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D20DB" w:rsidRPr="00C47725" w:rsidTr="002B5125">
        <w:tc>
          <w:tcPr>
            <w:tcW w:w="6522" w:type="dxa"/>
          </w:tcPr>
          <w:p w:rsidR="002D20DB" w:rsidRPr="00C47725" w:rsidRDefault="002D20DB" w:rsidP="002B5125">
            <w:pPr>
              <w:rPr>
                <w:lang w:val="de-DE"/>
              </w:rPr>
            </w:pPr>
            <w:r w:rsidRPr="00C47725">
              <w:rPr>
                <w:noProof/>
              </w:rPr>
              <w:drawing>
                <wp:inline distT="0" distB="0" distL="0" distR="0" wp14:anchorId="563CCF81" wp14:editId="75F1781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D20DB" w:rsidRPr="00C47725" w:rsidRDefault="002D20DB" w:rsidP="002B5125">
            <w:pPr>
              <w:pStyle w:val="Lettrine"/>
              <w:rPr>
                <w:lang w:val="de-DE"/>
              </w:rPr>
            </w:pPr>
            <w:r w:rsidRPr="00C47725">
              <w:rPr>
                <w:lang w:val="de-DE"/>
              </w:rPr>
              <w:t>G</w:t>
            </w:r>
          </w:p>
        </w:tc>
      </w:tr>
      <w:tr w:rsidR="002D20DB" w:rsidRPr="000E6F70" w:rsidTr="002B5125">
        <w:trPr>
          <w:trHeight w:val="219"/>
        </w:trPr>
        <w:tc>
          <w:tcPr>
            <w:tcW w:w="6522" w:type="dxa"/>
          </w:tcPr>
          <w:p w:rsidR="002D20DB" w:rsidRPr="00C47725" w:rsidRDefault="002D20DB" w:rsidP="002B5125">
            <w:pPr>
              <w:pStyle w:val="upove"/>
              <w:rPr>
                <w:lang w:val="de-DE"/>
              </w:rPr>
            </w:pPr>
            <w:r w:rsidRPr="00C47725">
              <w:rPr>
                <w:lang w:val="de-DE"/>
              </w:rPr>
              <w:t>Internationaler Verband zum Schutz von Pflanzenzüchtungen</w:t>
            </w:r>
          </w:p>
        </w:tc>
        <w:tc>
          <w:tcPr>
            <w:tcW w:w="3117" w:type="dxa"/>
          </w:tcPr>
          <w:p w:rsidR="002D20DB" w:rsidRPr="00C47725" w:rsidRDefault="002D20DB" w:rsidP="002B5125">
            <w:pPr>
              <w:rPr>
                <w:lang w:val="de-DE"/>
              </w:rPr>
            </w:pPr>
          </w:p>
        </w:tc>
      </w:tr>
    </w:tbl>
    <w:p w:rsidR="002D20DB" w:rsidRPr="00C47725" w:rsidRDefault="002D20DB" w:rsidP="002D20DB">
      <w:pPr>
        <w:rPr>
          <w:lang w:val="de-DE"/>
        </w:rPr>
      </w:pPr>
    </w:p>
    <w:p w:rsidR="002D20DB" w:rsidRPr="00C47725" w:rsidRDefault="002D20DB" w:rsidP="002D20DB">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D20DB" w:rsidRPr="000E6F70" w:rsidTr="002B5125">
        <w:tc>
          <w:tcPr>
            <w:tcW w:w="6512" w:type="dxa"/>
          </w:tcPr>
          <w:p w:rsidR="002D20DB" w:rsidRPr="00C47725" w:rsidRDefault="002D20DB" w:rsidP="002B5125">
            <w:pPr>
              <w:pStyle w:val="Sessiontc"/>
              <w:rPr>
                <w:lang w:val="de-DE"/>
              </w:rPr>
            </w:pPr>
            <w:r w:rsidRPr="00C47725">
              <w:rPr>
                <w:lang w:val="de-DE"/>
              </w:rPr>
              <w:t>Technischer Ausschuss</w:t>
            </w:r>
          </w:p>
          <w:p w:rsidR="002D20DB" w:rsidRPr="00C47725" w:rsidRDefault="002D20DB" w:rsidP="002B5125">
            <w:pPr>
              <w:pStyle w:val="Sessiontcplacedate"/>
              <w:rPr>
                <w:sz w:val="22"/>
                <w:lang w:val="de-DE"/>
              </w:rPr>
            </w:pPr>
            <w:r w:rsidRPr="00C47725">
              <w:rPr>
                <w:lang w:val="de-DE"/>
              </w:rPr>
              <w:t>Fünfundfünfzigste Tagung</w:t>
            </w:r>
            <w:r w:rsidRPr="00C47725">
              <w:rPr>
                <w:lang w:val="de-DE"/>
              </w:rPr>
              <w:br/>
              <w:t>Genf, 28. und 29. Oktober 2019</w:t>
            </w:r>
          </w:p>
        </w:tc>
        <w:tc>
          <w:tcPr>
            <w:tcW w:w="3127" w:type="dxa"/>
          </w:tcPr>
          <w:p w:rsidR="002D20DB" w:rsidRPr="00C47725" w:rsidRDefault="002D20DB" w:rsidP="002B5125">
            <w:pPr>
              <w:pStyle w:val="Doccode"/>
              <w:rPr>
                <w:lang w:val="de-DE"/>
              </w:rPr>
            </w:pPr>
            <w:r w:rsidRPr="00C47725">
              <w:rPr>
                <w:lang w:val="de-DE"/>
              </w:rPr>
              <w:t>TC/55/25</w:t>
            </w:r>
          </w:p>
          <w:p w:rsidR="002D20DB" w:rsidRPr="00C47725" w:rsidRDefault="002D20DB" w:rsidP="002B5125">
            <w:pPr>
              <w:pStyle w:val="Docoriginal"/>
              <w:rPr>
                <w:lang w:val="de-DE"/>
              </w:rPr>
            </w:pPr>
            <w:r w:rsidRPr="00C47725">
              <w:rPr>
                <w:lang w:val="de-DE"/>
              </w:rPr>
              <w:t>Original:</w:t>
            </w:r>
            <w:r w:rsidRPr="00C47725">
              <w:rPr>
                <w:b w:val="0"/>
                <w:spacing w:val="0"/>
                <w:lang w:val="de-DE"/>
              </w:rPr>
              <w:t xml:space="preserve"> englisch</w:t>
            </w:r>
          </w:p>
          <w:p w:rsidR="002D20DB" w:rsidRPr="00C47725" w:rsidRDefault="002D20DB" w:rsidP="002B5125">
            <w:pPr>
              <w:pStyle w:val="Docoriginal"/>
              <w:rPr>
                <w:lang w:val="de-DE"/>
              </w:rPr>
            </w:pPr>
            <w:r w:rsidRPr="00C47725">
              <w:rPr>
                <w:lang w:val="de-DE"/>
              </w:rPr>
              <w:t>Datum:</w:t>
            </w:r>
            <w:r w:rsidRPr="00C47725">
              <w:rPr>
                <w:b w:val="0"/>
                <w:spacing w:val="0"/>
                <w:lang w:val="de-DE"/>
              </w:rPr>
              <w:t xml:space="preserve"> 29. Oktober 2019</w:t>
            </w:r>
          </w:p>
        </w:tc>
      </w:tr>
    </w:tbl>
    <w:p w:rsidR="002D20DB" w:rsidRPr="00C47725" w:rsidRDefault="002D20DB" w:rsidP="002D20DB">
      <w:pPr>
        <w:pStyle w:val="Titleofdoc0"/>
        <w:rPr>
          <w:lang w:val="de-DE"/>
        </w:rPr>
      </w:pPr>
      <w:bookmarkStart w:id="0" w:name="TitleOfDoc"/>
      <w:bookmarkEnd w:id="0"/>
      <w:r w:rsidRPr="00C47725">
        <w:rPr>
          <w:lang w:val="de-DE"/>
        </w:rPr>
        <w:t>bericht</w:t>
      </w:r>
    </w:p>
    <w:p w:rsidR="002D20DB" w:rsidRPr="00C47725" w:rsidRDefault="002D20DB" w:rsidP="002D20DB">
      <w:pPr>
        <w:pStyle w:val="preparedby1"/>
        <w:jc w:val="left"/>
        <w:rPr>
          <w:lang w:val="de-DE"/>
        </w:rPr>
      </w:pPr>
      <w:bookmarkStart w:id="1" w:name="Prepared"/>
      <w:bookmarkEnd w:id="1"/>
      <w:r w:rsidRPr="00C47725">
        <w:rPr>
          <w:lang w:val="de-DE"/>
        </w:rPr>
        <w:t>vom Technischen Ausschuss</w:t>
      </w:r>
      <w:r w:rsidR="00E10082" w:rsidRPr="00E10082">
        <w:rPr>
          <w:lang w:val="de-DE"/>
        </w:rPr>
        <w:t xml:space="preserve"> </w:t>
      </w:r>
      <w:r w:rsidR="00E10082" w:rsidRPr="00C47725">
        <w:rPr>
          <w:lang w:val="de-DE"/>
        </w:rPr>
        <w:t>angenommen</w:t>
      </w:r>
    </w:p>
    <w:p w:rsidR="002D20DB" w:rsidRPr="00C47725" w:rsidRDefault="002D20DB" w:rsidP="002D20DB">
      <w:pPr>
        <w:pStyle w:val="Disclaimer"/>
        <w:rPr>
          <w:lang w:val="de-DE"/>
        </w:rPr>
      </w:pPr>
      <w:r w:rsidRPr="00C47725">
        <w:rPr>
          <w:color w:val="BFBFBF" w:themeColor="background1" w:themeShade="BF"/>
          <w:lang w:val="de-DE"/>
        </w:rPr>
        <w:t>Haftungs</w:t>
      </w:r>
      <w:r>
        <w:rPr>
          <w:color w:val="BFBFBF" w:themeColor="background1" w:themeShade="BF"/>
          <w:lang w:val="de-DE"/>
        </w:rPr>
        <w:t>a</w:t>
      </w:r>
      <w:r w:rsidRPr="00C47725">
        <w:rPr>
          <w:color w:val="BFBFBF" w:themeColor="background1" w:themeShade="BF"/>
          <w:lang w:val="de-DE"/>
        </w:rPr>
        <w:t>usschluss: dieses Dokument gibt nicht die Grundsätze oder eine Anleitung der UPOV wiede</w:t>
      </w:r>
      <w:r w:rsidRPr="00C47725">
        <w:rPr>
          <w:lang w:val="de-DE"/>
        </w:rPr>
        <w:t>r</w:t>
      </w:r>
    </w:p>
    <w:p w:rsidR="002D20DB" w:rsidRPr="00C47725" w:rsidRDefault="002D20DB" w:rsidP="002D20DB">
      <w:pPr>
        <w:rPr>
          <w:lang w:val="de-DE"/>
        </w:rPr>
      </w:pPr>
      <w:r w:rsidRPr="00E006A5">
        <w:rPr>
          <w:lang w:val="de-DE"/>
        </w:rPr>
        <w:fldChar w:fldCharType="begin"/>
      </w:r>
      <w:r w:rsidRPr="00E006A5">
        <w:rPr>
          <w:lang w:val="de-DE"/>
        </w:rPr>
        <w:instrText xml:space="preserve"> AUTONUM  \* Arabic </w:instrText>
      </w:r>
      <w:r w:rsidRPr="00E006A5">
        <w:rPr>
          <w:lang w:val="de-DE"/>
        </w:rPr>
        <w:fldChar w:fldCharType="end"/>
      </w:r>
      <w:r w:rsidRPr="00C47725">
        <w:rPr>
          <w:lang w:val="de-DE"/>
        </w:rPr>
        <w:tab/>
        <w:t>Der Technische Ausschuss (TC) hielt seine fünfundfünfzigste Tagung am 28. und 29. Oktober 2019 in Genf ab. Die Teilnehmerliste ist in Anlage I dieses Berichts wiedergegeben.</w:t>
      </w:r>
    </w:p>
    <w:p w:rsidR="002D20DB" w:rsidRPr="00C47725" w:rsidRDefault="002D20DB" w:rsidP="002D20DB">
      <w:pPr>
        <w:rPr>
          <w:snapToGrid w:val="0"/>
          <w:lang w:val="de-DE"/>
        </w:rPr>
      </w:pPr>
    </w:p>
    <w:p w:rsidR="002D20DB" w:rsidRPr="00C47725" w:rsidRDefault="002D20DB" w:rsidP="002D20DB">
      <w:pPr>
        <w:rPr>
          <w:lang w:val="de-DE"/>
        </w:rPr>
      </w:pPr>
      <w:r w:rsidRPr="00E006A5">
        <w:rPr>
          <w:lang w:val="de-DE"/>
        </w:rPr>
        <w:fldChar w:fldCharType="begin"/>
      </w:r>
      <w:r w:rsidRPr="00E006A5">
        <w:rPr>
          <w:lang w:val="de-DE"/>
        </w:rPr>
        <w:instrText xml:space="preserve"> AUTONUM  \* Arabic </w:instrText>
      </w:r>
      <w:r w:rsidRPr="00E006A5">
        <w:rPr>
          <w:lang w:val="de-DE"/>
        </w:rPr>
        <w:fldChar w:fldCharType="end"/>
      </w:r>
      <w:r w:rsidRPr="00C47725">
        <w:rPr>
          <w:lang w:val="de-DE"/>
        </w:rPr>
        <w:tab/>
        <w:t>Die Tagung wurde von Herrn Kees van Ettekoven (Niederlande), dem Vorsitzenden des TC, eröffnet, der die Teilnehmer begrüßte.</w:t>
      </w:r>
    </w:p>
    <w:p w:rsidR="002D20DB" w:rsidRPr="00C47725" w:rsidRDefault="002D20DB" w:rsidP="002D20DB">
      <w:pPr>
        <w:rPr>
          <w:snapToGrid w:val="0"/>
          <w:lang w:val="de-DE"/>
        </w:rPr>
      </w:pPr>
    </w:p>
    <w:p w:rsidR="002D20DB" w:rsidRPr="00C47725" w:rsidRDefault="002D20DB" w:rsidP="002D20DB">
      <w:pPr>
        <w:rPr>
          <w:lang w:val="de-DE"/>
        </w:rPr>
      </w:pPr>
      <w:r w:rsidRPr="0084084B">
        <w:rPr>
          <w:lang w:val="de-DE"/>
        </w:rPr>
        <w:fldChar w:fldCharType="begin"/>
      </w:r>
      <w:r w:rsidRPr="0084084B">
        <w:rPr>
          <w:lang w:val="de-DE"/>
        </w:rPr>
        <w:instrText xml:space="preserve"> AUTONUM  </w:instrText>
      </w:r>
      <w:r w:rsidRPr="0084084B">
        <w:rPr>
          <w:lang w:val="de-DE"/>
        </w:rPr>
        <w:fldChar w:fldCharType="end"/>
      </w:r>
      <w:r w:rsidRPr="00C47725">
        <w:rPr>
          <w:lang w:val="de-DE"/>
        </w:rPr>
        <w:tab/>
        <w:t>Der</w:t>
      </w:r>
      <w:r w:rsidR="005505D8">
        <w:rPr>
          <w:lang w:val="de-DE"/>
        </w:rPr>
        <w:t xml:space="preserve"> Stellvertretende Generalsekretär</w:t>
      </w:r>
      <w:r w:rsidRPr="00C47725">
        <w:rPr>
          <w:lang w:val="de-DE"/>
        </w:rPr>
        <w:t xml:space="preserve"> stellte </w:t>
      </w:r>
      <w:r>
        <w:rPr>
          <w:lang w:val="de-DE"/>
        </w:rPr>
        <w:t>Frau</w:t>
      </w:r>
      <w:r w:rsidRPr="00C47725">
        <w:rPr>
          <w:lang w:val="de-DE"/>
        </w:rPr>
        <w:t xml:space="preserve"> Wen vor, </w:t>
      </w:r>
      <w:r>
        <w:rPr>
          <w:lang w:val="de-DE"/>
        </w:rPr>
        <w:t>die</w:t>
      </w:r>
      <w:r w:rsidRPr="00C47725">
        <w:rPr>
          <w:lang w:val="de-DE"/>
        </w:rPr>
        <w:t xml:space="preserve"> der UPOV im September 2019 im Rahmen eines einjährigen Stipendiums beigetreten war. Er berichtete, dass </w:t>
      </w:r>
      <w:r>
        <w:rPr>
          <w:lang w:val="de-DE"/>
        </w:rPr>
        <w:t>Frau</w:t>
      </w:r>
      <w:r w:rsidRPr="00C47725">
        <w:rPr>
          <w:lang w:val="de-DE"/>
        </w:rPr>
        <w:t xml:space="preserve"> Wen vor Beginn </w:t>
      </w:r>
      <w:r>
        <w:rPr>
          <w:lang w:val="de-DE"/>
        </w:rPr>
        <w:t>ihres</w:t>
      </w:r>
      <w:r w:rsidRPr="00C47725">
        <w:rPr>
          <w:lang w:val="de-DE"/>
        </w:rPr>
        <w:t xml:space="preserve"> Stipendiums Stellvertretende Abteilungsleiter</w:t>
      </w:r>
      <w:r>
        <w:rPr>
          <w:lang w:val="de-DE"/>
        </w:rPr>
        <w:t>in</w:t>
      </w:r>
      <w:r w:rsidRPr="00C47725">
        <w:rPr>
          <w:lang w:val="de-DE"/>
        </w:rPr>
        <w:t xml:space="preserve"> im Entwicklungszentrum für Wissenschaft und Technologie des Landwirtschaftsministeriums von China </w:t>
      </w:r>
      <w:r w:rsidRPr="00640C34">
        <w:rPr>
          <w:lang w:val="de-DE"/>
        </w:rPr>
        <w:t xml:space="preserve">war. Er stellte auch Frau Trang Thi Thu Tran vor, die der UPOV im September 2019 </w:t>
      </w:r>
      <w:r>
        <w:rPr>
          <w:lang w:val="de-DE"/>
        </w:rPr>
        <w:t xml:space="preserve">im Rahmen eines </w:t>
      </w:r>
      <w:r w:rsidRPr="00640C34">
        <w:rPr>
          <w:lang w:val="de-DE"/>
        </w:rPr>
        <w:t>ICS-Vertrag</w:t>
      </w:r>
      <w:r>
        <w:rPr>
          <w:lang w:val="de-DE"/>
        </w:rPr>
        <w:t>s</w:t>
      </w:r>
      <w:r w:rsidRPr="00640C34">
        <w:rPr>
          <w:lang w:val="de-DE"/>
        </w:rPr>
        <w:t xml:space="preserve"> für das Pilotprojekt </w:t>
      </w:r>
      <w:r>
        <w:rPr>
          <w:lang w:val="de-DE"/>
        </w:rPr>
        <w:t xml:space="preserve">des </w:t>
      </w:r>
      <w:r w:rsidRPr="00640C34">
        <w:rPr>
          <w:lang w:val="de-DE"/>
        </w:rPr>
        <w:t>Ostasienforum</w:t>
      </w:r>
      <w:r>
        <w:rPr>
          <w:lang w:val="de-DE"/>
        </w:rPr>
        <w:t>s</w:t>
      </w:r>
      <w:r w:rsidRPr="00640C34">
        <w:rPr>
          <w:lang w:val="de-DE"/>
        </w:rPr>
        <w:t xml:space="preserve"> für Sortenschutz </w:t>
      </w:r>
      <w:r>
        <w:rPr>
          <w:lang w:val="de-DE"/>
        </w:rPr>
        <w:t>beigetreten war</w:t>
      </w:r>
      <w:r w:rsidRPr="00640C34">
        <w:rPr>
          <w:lang w:val="de-DE"/>
        </w:rPr>
        <w:t>. Er berichtete auch, dass Frau Sarr</w:t>
      </w:r>
      <w:r w:rsidRPr="00C47725">
        <w:rPr>
          <w:lang w:val="de-DE"/>
        </w:rPr>
        <w:t xml:space="preserve">a Berich der UPOV im März 2019 im Rahmen eines Stipendiums beigetreten war, um für einen Zeitraum von neun Monaten an IT-Projekten zu arbeiten. </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B5125">
      <w:pPr>
        <w:pStyle w:val="Heading2"/>
        <w:rPr>
          <w:snapToGrid w:val="0"/>
          <w:lang w:val="de-DE"/>
        </w:rPr>
      </w:pPr>
      <w:r w:rsidRPr="00C47725">
        <w:rPr>
          <w:snapToGrid w:val="0"/>
          <w:lang w:val="de-DE"/>
        </w:rPr>
        <w:t>Annahme der Tagesordnung</w:t>
      </w:r>
    </w:p>
    <w:p w:rsidR="002D20DB" w:rsidRPr="00C47725" w:rsidRDefault="002D20DB" w:rsidP="002D20DB">
      <w:pPr>
        <w:ind w:left="567" w:hanging="567"/>
        <w:rPr>
          <w:rFonts w:cs="Arial"/>
          <w:snapToGrid w:val="0"/>
          <w:lang w:val="de-DE"/>
        </w:rPr>
      </w:pPr>
    </w:p>
    <w:p w:rsidR="002D20DB" w:rsidRPr="00C47725" w:rsidRDefault="002D20DB" w:rsidP="002D20DB">
      <w:pPr>
        <w:keepNext/>
        <w:rPr>
          <w:lang w:val="de-DE"/>
        </w:rPr>
      </w:pPr>
      <w:r w:rsidRPr="007E5B36">
        <w:rPr>
          <w:lang w:val="de-DE"/>
        </w:rPr>
        <w:fldChar w:fldCharType="begin"/>
      </w:r>
      <w:r w:rsidRPr="007E5B36">
        <w:rPr>
          <w:lang w:val="de-DE"/>
        </w:rPr>
        <w:instrText xml:space="preserve"> AUTONUM  \* Arabic </w:instrText>
      </w:r>
      <w:r w:rsidRPr="007E5B36">
        <w:rPr>
          <w:lang w:val="de-DE"/>
        </w:rPr>
        <w:fldChar w:fldCharType="end"/>
      </w:r>
      <w:r w:rsidRPr="00C47725">
        <w:rPr>
          <w:lang w:val="de-DE"/>
        </w:rPr>
        <w:tab/>
        <w:t xml:space="preserve">Der TC nahm die in Dokument TC/55/1 Rev. 2 dargelegte Tagesordnung an. Der TC nahm zur Kenntnis, dass für die unter </w:t>
      </w:r>
      <w:r>
        <w:rPr>
          <w:lang w:val="de-DE"/>
        </w:rPr>
        <w:t>Tagesordnungsp</w:t>
      </w:r>
      <w:r w:rsidRPr="00C47725">
        <w:rPr>
          <w:lang w:val="de-DE"/>
        </w:rPr>
        <w:t xml:space="preserve">unkt 15 vorgesehene Erörterung keine </w:t>
      </w:r>
      <w:r>
        <w:rPr>
          <w:lang w:val="de-DE"/>
        </w:rPr>
        <w:t>Dokumente</w:t>
      </w:r>
      <w:r w:rsidRPr="00C47725">
        <w:rPr>
          <w:lang w:val="de-DE"/>
        </w:rPr>
        <w:t xml:space="preserve"> eingegangen </w:t>
      </w:r>
      <w:r>
        <w:rPr>
          <w:lang w:val="de-DE"/>
        </w:rPr>
        <w:t>waren</w:t>
      </w:r>
      <w:r w:rsidRPr="00C47725">
        <w:rPr>
          <w:lang w:val="de-DE"/>
        </w:rPr>
        <w:t xml:space="preserve">. </w:t>
      </w:r>
    </w:p>
    <w:p w:rsidR="002D20DB" w:rsidRPr="00C47725" w:rsidRDefault="002D20DB" w:rsidP="002D20DB">
      <w:pPr>
        <w:keepNext/>
        <w:rPr>
          <w:lang w:val="de-DE"/>
        </w:rPr>
      </w:pPr>
    </w:p>
    <w:p w:rsidR="002D20DB" w:rsidRPr="00C47725" w:rsidRDefault="002D20DB" w:rsidP="002D20DB">
      <w:pPr>
        <w:keepNext/>
        <w:rPr>
          <w:lang w:val="de-DE"/>
        </w:rPr>
      </w:pPr>
    </w:p>
    <w:p w:rsidR="002D20DB" w:rsidRPr="00C47725" w:rsidRDefault="002D20DB" w:rsidP="002D20DB">
      <w:pPr>
        <w:pStyle w:val="Heading2"/>
        <w:rPr>
          <w:lang w:val="de-DE"/>
        </w:rPr>
      </w:pPr>
      <w:r w:rsidRPr="00C47725">
        <w:rPr>
          <w:snapToGrid w:val="0"/>
          <w:lang w:val="de-DE"/>
        </w:rPr>
        <w:t>Bericht des</w:t>
      </w:r>
      <w:r w:rsidR="005505D8">
        <w:rPr>
          <w:snapToGrid w:val="0"/>
          <w:lang w:val="de-DE"/>
        </w:rPr>
        <w:t xml:space="preserve"> Stellvertretenden Generalsekretär</w:t>
      </w:r>
      <w:r w:rsidRPr="00C47725">
        <w:rPr>
          <w:snapToGrid w:val="0"/>
          <w:lang w:val="de-DE"/>
        </w:rPr>
        <w:t>s über die Entwicklungen in der UOPV</w:t>
      </w:r>
    </w:p>
    <w:p w:rsidR="002D20DB" w:rsidRPr="00C47725" w:rsidRDefault="002D20DB" w:rsidP="002D20DB">
      <w:pPr>
        <w:keepNext/>
        <w:rPr>
          <w:lang w:val="de-DE"/>
        </w:rPr>
      </w:pPr>
    </w:p>
    <w:p w:rsidR="002D20DB" w:rsidRPr="00C47725" w:rsidRDefault="002D20DB" w:rsidP="002D20DB">
      <w:pPr>
        <w:rPr>
          <w:lang w:val="de-DE"/>
        </w:rPr>
      </w:pPr>
      <w:r w:rsidRPr="007E5B36">
        <w:rPr>
          <w:lang w:val="de-DE"/>
        </w:rPr>
        <w:fldChar w:fldCharType="begin"/>
      </w:r>
      <w:r w:rsidRPr="007E5B36">
        <w:rPr>
          <w:lang w:val="de-DE"/>
        </w:rPr>
        <w:instrText xml:space="preserve"> AUTONUM  </w:instrText>
      </w:r>
      <w:r w:rsidRPr="007E5B36">
        <w:rPr>
          <w:lang w:val="de-DE"/>
        </w:rPr>
        <w:fldChar w:fldCharType="end"/>
      </w:r>
      <w:r w:rsidRPr="00C47725">
        <w:rPr>
          <w:lang w:val="de-DE"/>
        </w:rPr>
        <w:tab/>
        <w:t xml:space="preserve">Der TC hörte ein Referat </w:t>
      </w:r>
      <w:r>
        <w:rPr>
          <w:lang w:val="de-DE"/>
        </w:rPr>
        <w:t>vom</w:t>
      </w:r>
      <w:r w:rsidRPr="00C47725">
        <w:rPr>
          <w:lang w:val="de-DE"/>
        </w:rPr>
        <w:t xml:space="preserve"> UPOV-Büro, von dem eine Abschrift als Dokument TC/55/INF/8 bereitgestellt </w:t>
      </w:r>
      <w:r>
        <w:rPr>
          <w:lang w:val="de-DE"/>
        </w:rPr>
        <w:t>würde</w:t>
      </w:r>
      <w:r w:rsidRPr="00C47725">
        <w:rPr>
          <w:lang w:val="de-DE"/>
        </w:rPr>
        <w:t xml:space="preserve">. </w:t>
      </w:r>
    </w:p>
    <w:p w:rsidR="002D20DB" w:rsidRPr="00C47725" w:rsidRDefault="002D20DB" w:rsidP="002D20DB">
      <w:pPr>
        <w:jc w:val="left"/>
        <w:rPr>
          <w:lang w:val="de-DE"/>
        </w:rPr>
      </w:pPr>
    </w:p>
    <w:p w:rsidR="002D20DB" w:rsidRPr="00C47725" w:rsidRDefault="002D20DB" w:rsidP="002D20DB">
      <w:pPr>
        <w:jc w:val="left"/>
        <w:rPr>
          <w:lang w:val="de-DE"/>
        </w:rPr>
      </w:pPr>
    </w:p>
    <w:p w:rsidR="002D20DB" w:rsidRPr="00C47725" w:rsidRDefault="002D20DB" w:rsidP="002B5125">
      <w:pPr>
        <w:pStyle w:val="Heading2"/>
        <w:rPr>
          <w:lang w:val="de-DE"/>
        </w:rPr>
      </w:pPr>
      <w:r w:rsidRPr="00C47725">
        <w:rPr>
          <w:lang w:val="de-DE"/>
        </w:rPr>
        <w:t>Bericht über den Fortschritt der Arbeiten</w:t>
      </w:r>
      <w:r>
        <w:rPr>
          <w:lang w:val="de-DE"/>
        </w:rPr>
        <w:t xml:space="preserve"> </w:t>
      </w:r>
      <w:r w:rsidRPr="00C47725">
        <w:rPr>
          <w:lang w:val="de-DE"/>
        </w:rPr>
        <w:t>der Technischen Arbeitsgruppen, einschließlich der Arbeitsgruppe für biochemische und molekulare Verfahren und insbesondere für DNS-Profilierungsverfahren (BMT)</w:t>
      </w:r>
    </w:p>
    <w:p w:rsidR="002D20DB" w:rsidRPr="00C47725" w:rsidRDefault="002D20DB" w:rsidP="002D20DB">
      <w:pPr>
        <w:keepNext/>
        <w:jc w:val="left"/>
        <w:rPr>
          <w:lang w:val="de-DE"/>
        </w:rPr>
      </w:pPr>
    </w:p>
    <w:p w:rsidR="002D20DB" w:rsidRPr="00C47725" w:rsidRDefault="002D20DB" w:rsidP="002D20DB">
      <w:pPr>
        <w:rPr>
          <w:lang w:val="de-DE"/>
        </w:rPr>
      </w:pPr>
      <w:r w:rsidRPr="00163EB4">
        <w:rPr>
          <w:lang w:val="de-DE"/>
        </w:rPr>
        <w:fldChar w:fldCharType="begin"/>
      </w:r>
      <w:r w:rsidRPr="00163EB4">
        <w:rPr>
          <w:lang w:val="de-DE"/>
        </w:rPr>
        <w:instrText xml:space="preserve"> AUTONUM  </w:instrText>
      </w:r>
      <w:r w:rsidRPr="00163EB4">
        <w:rPr>
          <w:lang w:val="de-DE"/>
        </w:rPr>
        <w:fldChar w:fldCharType="end"/>
      </w:r>
      <w:r w:rsidRPr="00C47725">
        <w:rPr>
          <w:lang w:val="de-DE"/>
        </w:rPr>
        <w:tab/>
        <w:t xml:space="preserve">Der TC nahm zur Kenntnis, dass seit seiner </w:t>
      </w:r>
      <w:r>
        <w:rPr>
          <w:lang w:val="de-DE"/>
        </w:rPr>
        <w:t>vier</w:t>
      </w:r>
      <w:r w:rsidRPr="00C47725">
        <w:rPr>
          <w:lang w:val="de-DE"/>
        </w:rPr>
        <w:t xml:space="preserve">undfünfzigsten Tagung die Technische Arbeitsgruppe für landwirtschaftliche Arten (TWA), die Technische Arbeitsgruppe für Automatisierung und Computerprogramme (TWC), </w:t>
      </w:r>
      <w:r>
        <w:rPr>
          <w:lang w:val="de-DE"/>
        </w:rPr>
        <w:t xml:space="preserve">die </w:t>
      </w:r>
      <w:r w:rsidRPr="00C47725">
        <w:rPr>
          <w:lang w:val="de-DE"/>
        </w:rPr>
        <w:t>Technische Arbeitsgruppe für Zierpflanzen und forstliche Baumarten (TWO), die Technische Arbeitsgruppe für Gemüsearten (TWV) und die Arbeitsgruppe für biochemische und molekulare Verfahren und insbesondere für DNS-Profilierungsverfahren (BMT) jeweils zwei Tagungen</w:t>
      </w:r>
      <w:r>
        <w:rPr>
          <w:lang w:val="de-DE"/>
        </w:rPr>
        <w:t xml:space="preserve"> </w:t>
      </w:r>
      <w:r w:rsidRPr="00C47725">
        <w:rPr>
          <w:lang w:val="de-DE"/>
        </w:rPr>
        <w:t>abgehalten hatten.</w:t>
      </w:r>
      <w:r>
        <w:rPr>
          <w:lang w:val="de-DE"/>
        </w:rPr>
        <w:t xml:space="preserve"> </w:t>
      </w:r>
      <w:r w:rsidRPr="007E5B36">
        <w:rPr>
          <w:lang w:val="de-DE"/>
        </w:rPr>
        <w:t>Der T</w:t>
      </w:r>
      <w:r>
        <w:rPr>
          <w:lang w:val="de-DE"/>
        </w:rPr>
        <w:t>C nahm zur Kenntnis</w:t>
      </w:r>
      <w:r w:rsidRPr="007E5B36">
        <w:rPr>
          <w:lang w:val="de-DE"/>
        </w:rPr>
        <w:t>, dass die Technische Arbeitsgruppe für Obst</w:t>
      </w:r>
      <w:r>
        <w:rPr>
          <w:lang w:val="de-DE"/>
        </w:rPr>
        <w:t>arten</w:t>
      </w:r>
      <w:r w:rsidRPr="007E5B36">
        <w:rPr>
          <w:lang w:val="de-DE"/>
        </w:rPr>
        <w:t xml:space="preserve"> (TWF) im gleichen Zeitraum zwei Sitzungen abgehalten hat</w:t>
      </w:r>
      <w:r>
        <w:rPr>
          <w:lang w:val="de-DE"/>
        </w:rPr>
        <w:t>te</w:t>
      </w:r>
      <w:r w:rsidRPr="007E5B36">
        <w:rPr>
          <w:lang w:val="de-DE"/>
        </w:rPr>
        <w:t>.</w:t>
      </w:r>
    </w:p>
    <w:p w:rsidR="002D20DB" w:rsidRPr="00C47725" w:rsidRDefault="002D20DB" w:rsidP="002D20DB">
      <w:pPr>
        <w:rPr>
          <w:lang w:val="de-DE"/>
        </w:rPr>
      </w:pPr>
    </w:p>
    <w:p w:rsidR="002D20DB" w:rsidRPr="00C47725" w:rsidRDefault="002D20DB" w:rsidP="002D20DB">
      <w:pPr>
        <w:rPr>
          <w:lang w:val="de-DE"/>
        </w:rPr>
      </w:pPr>
      <w:r w:rsidRPr="00654408">
        <w:rPr>
          <w:lang w:val="de-DE"/>
        </w:rPr>
        <w:fldChar w:fldCharType="begin"/>
      </w:r>
      <w:r w:rsidRPr="00654408">
        <w:rPr>
          <w:lang w:val="de-DE"/>
        </w:rPr>
        <w:instrText xml:space="preserve"> AUTONUM  </w:instrText>
      </w:r>
      <w:r w:rsidRPr="00654408">
        <w:rPr>
          <w:lang w:val="de-DE"/>
        </w:rPr>
        <w:fldChar w:fldCharType="end"/>
      </w:r>
      <w:r w:rsidRPr="00C47725">
        <w:rPr>
          <w:lang w:val="de-DE"/>
        </w:rPr>
        <w:tab/>
        <w:t>Der TC hörte mündliche Berichte der Vorsitzenden über die Arbeit der TWA, TWC, TWF, TWO, TWV und BMT. Die Vorsitzenden legten die folgenden Zusammenfassungen der Arbeiten vor:</w:t>
      </w:r>
    </w:p>
    <w:p w:rsidR="002D20DB" w:rsidRPr="00C47725" w:rsidRDefault="002D20DB" w:rsidP="002D20DB">
      <w:pPr>
        <w:jc w:val="left"/>
        <w:rPr>
          <w:lang w:val="de-DE"/>
        </w:rPr>
      </w:pPr>
    </w:p>
    <w:p w:rsidR="002D20DB" w:rsidRPr="00C47725" w:rsidRDefault="002D20DB" w:rsidP="002D20DB">
      <w:pPr>
        <w:pStyle w:val="Heading3"/>
      </w:pPr>
      <w:r w:rsidRPr="00C47725">
        <w:lastRenderedPageBreak/>
        <w:t>Technische Arbeitsgruppe für landwirtschaftliche Arten (TWA)</w:t>
      </w:r>
    </w:p>
    <w:p w:rsidR="002D20DB" w:rsidRPr="00C47725" w:rsidRDefault="002D20DB" w:rsidP="002D20DB">
      <w:pPr>
        <w:keepNext/>
        <w:rPr>
          <w:rFonts w:cs="Arial"/>
          <w:lang w:val="de-DE"/>
        </w:rPr>
      </w:pPr>
    </w:p>
    <w:p w:rsidR="002D20DB" w:rsidRPr="00C47725" w:rsidRDefault="002D20DB" w:rsidP="002D20DB">
      <w:pPr>
        <w:keepNext/>
        <w:rPr>
          <w:rFonts w:cs="Arial"/>
          <w:lang w:val="de-DE"/>
        </w:rPr>
      </w:pPr>
      <w:r w:rsidRPr="00C47725">
        <w:rPr>
          <w:rFonts w:cs="Arial"/>
          <w:lang w:val="de-DE"/>
        </w:rPr>
        <w:t>Bericht von Frau Beate Ruecker (Deutschland), im Namen von Frau Cheryl Turnbull (Vereinigtes Königreich), Vorsitzende der TWA</w:t>
      </w:r>
    </w:p>
    <w:p w:rsidR="002D20DB" w:rsidRPr="00C47725" w:rsidRDefault="002D20DB" w:rsidP="002D20DB">
      <w:pPr>
        <w:keepNext/>
        <w:rPr>
          <w:snapToGrid w:val="0"/>
          <w:lang w:val="de-DE"/>
        </w:rPr>
      </w:pPr>
    </w:p>
    <w:p w:rsidR="002D20DB" w:rsidRPr="00C47725" w:rsidRDefault="002D20DB" w:rsidP="002D20DB">
      <w:pPr>
        <w:pStyle w:val="Heading4"/>
        <w:rPr>
          <w:snapToGrid w:val="0"/>
          <w:lang w:val="de-DE"/>
        </w:rPr>
      </w:pPr>
      <w:r w:rsidRPr="00C47725">
        <w:rPr>
          <w:snapToGrid w:val="0"/>
          <w:lang w:val="de-DE"/>
        </w:rPr>
        <w:t>Achtundvierzigste Tagung</w:t>
      </w:r>
      <w:r>
        <w:rPr>
          <w:snapToGrid w:val="0"/>
          <w:lang w:val="de-DE"/>
        </w:rPr>
        <w:t xml:space="preserve"> </w:t>
      </w:r>
      <w:r w:rsidRPr="00C47725">
        <w:rPr>
          <w:snapToGrid w:val="0"/>
          <w:lang w:val="de-DE"/>
        </w:rPr>
        <w:t>der TWA</w:t>
      </w:r>
    </w:p>
    <w:p w:rsidR="002D20DB" w:rsidRPr="00C47725" w:rsidRDefault="002D20DB" w:rsidP="002D20DB">
      <w:pPr>
        <w:rPr>
          <w:snapToGrid w:val="0"/>
          <w:lang w:val="de-DE"/>
        </w:rPr>
      </w:pPr>
    </w:p>
    <w:p w:rsidR="002D20DB" w:rsidRPr="00C47725" w:rsidRDefault="002D20DB" w:rsidP="002D20DB">
      <w:pPr>
        <w:rPr>
          <w:snapToGrid w:val="0"/>
          <w:lang w:val="de-DE"/>
        </w:rPr>
      </w:pPr>
      <w:r w:rsidRPr="00654408">
        <w:rPr>
          <w:snapToGrid w:val="0"/>
          <w:lang w:val="de-DE"/>
        </w:rPr>
        <w:fldChar w:fldCharType="begin"/>
      </w:r>
      <w:r w:rsidRPr="00654408">
        <w:rPr>
          <w:snapToGrid w:val="0"/>
          <w:lang w:val="de-DE"/>
        </w:rPr>
        <w:instrText xml:space="preserve"> AUTONUM  </w:instrText>
      </w:r>
      <w:r w:rsidRPr="00654408">
        <w:rPr>
          <w:snapToGrid w:val="0"/>
          <w:lang w:val="de-DE"/>
        </w:rPr>
        <w:fldChar w:fldCharType="end"/>
      </w:r>
      <w:r w:rsidRPr="00C47725">
        <w:rPr>
          <w:snapToGrid w:val="0"/>
          <w:lang w:val="de-DE"/>
        </w:rPr>
        <w:tab/>
        <w:t>Die TWA hielt ihre achtundvierzigste Tagung vom 16. bis 20. September 2019 in Montevideo, Uruguay, unter dem Vorsitz von Frau Cheryl Turnbull (Vereinigtes Königreich) ab. Der Bericht über die Tagung ist in Dokument TWA/48/9</w:t>
      </w:r>
      <w:r>
        <w:rPr>
          <w:snapToGrid w:val="0"/>
          <w:lang w:val="de-DE"/>
        </w:rPr>
        <w:t xml:space="preserve"> „Report“</w:t>
      </w:r>
      <w:r w:rsidRPr="00C47725">
        <w:rPr>
          <w:snapToGrid w:val="0"/>
          <w:lang w:val="de-DE"/>
        </w:rPr>
        <w:t xml:space="preserve"> dargelegt.</w:t>
      </w:r>
    </w:p>
    <w:p w:rsidR="002D20DB" w:rsidRPr="00C47725" w:rsidRDefault="002D20DB" w:rsidP="002D20DB">
      <w:pPr>
        <w:rPr>
          <w:snapToGrid w:val="0"/>
          <w:lang w:val="de-DE"/>
        </w:rPr>
      </w:pPr>
    </w:p>
    <w:p w:rsidR="002D20DB" w:rsidRPr="00C47725" w:rsidRDefault="002D20DB" w:rsidP="002D20DB">
      <w:pPr>
        <w:rPr>
          <w:snapToGrid w:val="0"/>
          <w:lang w:val="de-DE"/>
        </w:rPr>
      </w:pPr>
      <w:r w:rsidRPr="000E6C94">
        <w:rPr>
          <w:snapToGrid w:val="0"/>
          <w:lang w:val="de-DE"/>
        </w:rPr>
        <w:fldChar w:fldCharType="begin"/>
      </w:r>
      <w:r w:rsidRPr="000E6C94">
        <w:rPr>
          <w:snapToGrid w:val="0"/>
          <w:lang w:val="de-DE"/>
        </w:rPr>
        <w:instrText xml:space="preserve"> AUTONUM  </w:instrText>
      </w:r>
      <w:r w:rsidRPr="000E6C94">
        <w:rPr>
          <w:snapToGrid w:val="0"/>
          <w:lang w:val="de-DE"/>
        </w:rPr>
        <w:fldChar w:fldCharType="end"/>
      </w:r>
      <w:r w:rsidRPr="00C47725">
        <w:rPr>
          <w:snapToGrid w:val="0"/>
          <w:lang w:val="de-DE"/>
        </w:rPr>
        <w:tab/>
        <w:t xml:space="preserve">An der Tagung nahmen 42 Teilnehmer aus 20 Verbandsmitgliedern und 4 Beobachterorganisationen teil. </w:t>
      </w:r>
      <w:r>
        <w:rPr>
          <w:snapToGrid w:val="0"/>
          <w:lang w:val="de-DE"/>
        </w:rPr>
        <w:t>Tagesordnungspunkte</w:t>
      </w:r>
      <w:r w:rsidRPr="00C47725">
        <w:rPr>
          <w:snapToGrid w:val="0"/>
          <w:lang w:val="de-DE"/>
        </w:rPr>
        <w:t xml:space="preserve">, die </w:t>
      </w:r>
      <w:r>
        <w:rPr>
          <w:snapToGrid w:val="0"/>
          <w:lang w:val="de-DE"/>
        </w:rPr>
        <w:t>früher</w:t>
      </w:r>
      <w:r w:rsidRPr="00C47725">
        <w:rPr>
          <w:snapToGrid w:val="0"/>
          <w:lang w:val="de-DE"/>
        </w:rPr>
        <w:t xml:space="preserve"> in einer</w:t>
      </w:r>
      <w:r>
        <w:rPr>
          <w:snapToGrid w:val="0"/>
          <w:lang w:val="de-DE"/>
        </w:rPr>
        <w:t xml:space="preserve"> </w:t>
      </w:r>
      <w:r w:rsidRPr="00C47725">
        <w:rPr>
          <w:snapToGrid w:val="0"/>
          <w:lang w:val="de-DE"/>
        </w:rPr>
        <w:t>getrennten vorbereitende</w:t>
      </w:r>
      <w:r>
        <w:rPr>
          <w:snapToGrid w:val="0"/>
          <w:lang w:val="de-DE"/>
        </w:rPr>
        <w:t>n</w:t>
      </w:r>
      <w:r w:rsidRPr="00C47725">
        <w:rPr>
          <w:snapToGrid w:val="0"/>
          <w:lang w:val="de-DE"/>
        </w:rPr>
        <w:t xml:space="preserve"> Arbeitstagung erörtert worden wären, wurden erstmals in den Hauptteil der Sitzungserörterungen aufgenommen.</w:t>
      </w:r>
    </w:p>
    <w:p w:rsidR="002D20DB" w:rsidRPr="00C47725" w:rsidRDefault="002D20DB" w:rsidP="002D20DB">
      <w:pPr>
        <w:rPr>
          <w:snapToGrid w:val="0"/>
          <w:lang w:val="de-DE"/>
        </w:rPr>
      </w:pPr>
    </w:p>
    <w:p w:rsidR="002D20DB" w:rsidRPr="00C47725" w:rsidRDefault="002D20DB" w:rsidP="002D20DB">
      <w:pPr>
        <w:rPr>
          <w:snapToGrid w:val="0"/>
          <w:lang w:val="de-DE"/>
        </w:rPr>
      </w:pPr>
      <w:r w:rsidRPr="000E6C94">
        <w:rPr>
          <w:snapToGrid w:val="0"/>
          <w:lang w:val="de-DE"/>
        </w:rPr>
        <w:fldChar w:fldCharType="begin"/>
      </w:r>
      <w:r w:rsidRPr="000E6C94">
        <w:rPr>
          <w:snapToGrid w:val="0"/>
          <w:lang w:val="de-DE"/>
        </w:rPr>
        <w:instrText xml:space="preserve"> AUTONUM  </w:instrText>
      </w:r>
      <w:r w:rsidRPr="000E6C94">
        <w:rPr>
          <w:snapToGrid w:val="0"/>
          <w:lang w:val="de-DE"/>
        </w:rPr>
        <w:fldChar w:fldCharType="end"/>
      </w:r>
      <w:r w:rsidRPr="00C47725">
        <w:rPr>
          <w:snapToGrid w:val="0"/>
          <w:lang w:val="de-DE"/>
        </w:rPr>
        <w:tab/>
        <w:t>Die TWA wurde von Herrn Pedro Queheille, Vorsitzender des Nationalen Saatgutinstituts (INASE)</w:t>
      </w:r>
      <w:r>
        <w:rPr>
          <w:snapToGrid w:val="0"/>
          <w:lang w:val="de-DE"/>
        </w:rPr>
        <w:t>,</w:t>
      </w:r>
      <w:r w:rsidRPr="00C47725">
        <w:rPr>
          <w:snapToGrid w:val="0"/>
          <w:lang w:val="de-DE"/>
        </w:rPr>
        <w:t xml:space="preserve"> und Herrn Daniel Bayce, Geschäftsführender Direktor des Nationalen Saatgutinstituts (INASE)</w:t>
      </w:r>
      <w:r>
        <w:rPr>
          <w:snapToGrid w:val="0"/>
          <w:lang w:val="de-DE"/>
        </w:rPr>
        <w:t>,</w:t>
      </w:r>
      <w:r w:rsidR="002B5125">
        <w:rPr>
          <w:snapToGrid w:val="0"/>
          <w:lang w:val="de-DE"/>
        </w:rPr>
        <w:t xml:space="preserve"> begrüßt. Herr </w:t>
      </w:r>
      <w:r w:rsidRPr="00C47725">
        <w:rPr>
          <w:snapToGrid w:val="0"/>
          <w:lang w:val="de-DE"/>
        </w:rPr>
        <w:t xml:space="preserve">Pedro Queheille hielt ein Referat über Sortenschutz in Uruguay. </w:t>
      </w:r>
    </w:p>
    <w:p w:rsidR="002D20DB" w:rsidRPr="00C47725" w:rsidRDefault="002D20DB" w:rsidP="002D20DB">
      <w:pPr>
        <w:rPr>
          <w:snapToGrid w:val="0"/>
          <w:lang w:val="de-DE"/>
        </w:rPr>
      </w:pPr>
    </w:p>
    <w:p w:rsidR="002D20DB" w:rsidRPr="00C47725" w:rsidRDefault="002D20DB" w:rsidP="002D20DB">
      <w:pPr>
        <w:rPr>
          <w:snapToGrid w:val="0"/>
          <w:lang w:val="de-DE"/>
        </w:rPr>
      </w:pPr>
      <w:r w:rsidRPr="006D2072">
        <w:rPr>
          <w:snapToGrid w:val="0"/>
          <w:lang w:val="de-DE"/>
        </w:rPr>
        <w:fldChar w:fldCharType="begin"/>
      </w:r>
      <w:r w:rsidRPr="006D2072">
        <w:rPr>
          <w:snapToGrid w:val="0"/>
          <w:lang w:val="de-DE"/>
        </w:rPr>
        <w:instrText xml:space="preserve"> AUTONUM  </w:instrText>
      </w:r>
      <w:r w:rsidRPr="006D2072">
        <w:rPr>
          <w:snapToGrid w:val="0"/>
          <w:lang w:val="de-DE"/>
        </w:rPr>
        <w:fldChar w:fldCharType="end"/>
      </w:r>
      <w:r w:rsidRPr="00C47725">
        <w:rPr>
          <w:snapToGrid w:val="0"/>
          <w:lang w:val="de-DE"/>
        </w:rPr>
        <w:tab/>
        <w:t xml:space="preserve">Die TWA nahm die Tagesordnung, wie in Dokument TWA/48/1 Rev. dargelegt, an. </w:t>
      </w:r>
    </w:p>
    <w:p w:rsidR="002D20DB" w:rsidRPr="00C47725" w:rsidRDefault="002D20DB" w:rsidP="002D20DB">
      <w:pPr>
        <w:rPr>
          <w:snapToGrid w:val="0"/>
          <w:lang w:val="de-DE"/>
        </w:rPr>
      </w:pPr>
    </w:p>
    <w:p w:rsidR="002D20DB" w:rsidRPr="00C47725" w:rsidRDefault="002D20DB" w:rsidP="002D20DB">
      <w:pPr>
        <w:rPr>
          <w:snapToGrid w:val="0"/>
          <w:lang w:val="de-DE"/>
        </w:rPr>
      </w:pPr>
      <w:r w:rsidRPr="006D2072">
        <w:rPr>
          <w:snapToGrid w:val="0"/>
          <w:lang w:val="de-DE"/>
        </w:rPr>
        <w:fldChar w:fldCharType="begin"/>
      </w:r>
      <w:r w:rsidRPr="006D2072">
        <w:rPr>
          <w:snapToGrid w:val="0"/>
          <w:lang w:val="de-DE"/>
        </w:rPr>
        <w:instrText xml:space="preserve"> AUTONUM  </w:instrText>
      </w:r>
      <w:r w:rsidRPr="006D2072">
        <w:rPr>
          <w:snapToGrid w:val="0"/>
          <w:lang w:val="de-DE"/>
        </w:rPr>
        <w:fldChar w:fldCharType="end"/>
      </w:r>
      <w:r w:rsidRPr="00C47725">
        <w:rPr>
          <w:snapToGrid w:val="0"/>
          <w:lang w:val="de-DE"/>
        </w:rPr>
        <w:tab/>
        <w:t>Die TWA prüfte Dokument TWP/3/9</w:t>
      </w:r>
      <w:r>
        <w:rPr>
          <w:snapToGrid w:val="0"/>
          <w:lang w:val="de-DE"/>
        </w:rPr>
        <w:t xml:space="preserve"> „</w:t>
      </w:r>
      <w:r w:rsidRPr="00967481">
        <w:rPr>
          <w:snapToGrid w:val="0"/>
          <w:lang w:val="de-DE"/>
        </w:rPr>
        <w:t>Characteristics that only apply to certain varieties</w:t>
      </w:r>
      <w:r>
        <w:rPr>
          <w:snapToGrid w:val="0"/>
          <w:lang w:val="de-DE"/>
        </w:rPr>
        <w:t>“</w:t>
      </w:r>
      <w:r w:rsidRPr="00C47725">
        <w:rPr>
          <w:snapToGrid w:val="0"/>
          <w:lang w:val="de-DE"/>
        </w:rPr>
        <w:t xml:space="preserve"> und erörterte die potentiellen Risiken für Entscheidungen über die Unterscheidbarkeit als ein Ergebnis der Verwendung des vorgeschlagenen Ansatzes. Sie vereinbarten, dass das Risiko gering sei, ebenso wie das Risiko, dass zwei Prüfer unterschiedliche Entscheidungen träfen. Sie vereinbarten ferner, dass die Anwendung des vorgeschlagenen Ansatzes die Schwierigkeit erhöhen könn</w:t>
      </w:r>
      <w:r>
        <w:rPr>
          <w:snapToGrid w:val="0"/>
          <w:lang w:val="de-DE"/>
        </w:rPr>
        <w:t>t</w:t>
      </w:r>
      <w:r w:rsidRPr="00C47725">
        <w:rPr>
          <w:snapToGrid w:val="0"/>
          <w:lang w:val="de-DE"/>
        </w:rPr>
        <w:t>e, Sorten zum Vergleich auszuschließen, dass dies jedoch voraussichtlich keine wesentlichen Auswirkungen haben werden würde.</w:t>
      </w:r>
    </w:p>
    <w:p w:rsidR="002D20DB" w:rsidRPr="00C47725" w:rsidRDefault="002D20DB" w:rsidP="002D20DB">
      <w:pPr>
        <w:rPr>
          <w:snapToGrid w:val="0"/>
          <w:lang w:val="de-DE"/>
        </w:rPr>
      </w:pPr>
    </w:p>
    <w:p w:rsidR="002D20DB" w:rsidRPr="00C47725" w:rsidRDefault="002D20DB" w:rsidP="002D20DB">
      <w:pPr>
        <w:rPr>
          <w:snapToGrid w:val="0"/>
          <w:lang w:val="de-DE"/>
        </w:rPr>
      </w:pPr>
      <w:r w:rsidRPr="008D500E">
        <w:rPr>
          <w:snapToGrid w:val="0"/>
          <w:lang w:val="de-DE"/>
        </w:rPr>
        <w:fldChar w:fldCharType="begin"/>
      </w:r>
      <w:r w:rsidRPr="008D500E">
        <w:rPr>
          <w:snapToGrid w:val="0"/>
          <w:lang w:val="de-DE"/>
        </w:rPr>
        <w:instrText xml:space="preserve"> AUTONUM  </w:instrText>
      </w:r>
      <w:r w:rsidRPr="008D500E">
        <w:rPr>
          <w:snapToGrid w:val="0"/>
          <w:lang w:val="de-DE"/>
        </w:rPr>
        <w:fldChar w:fldCharType="end"/>
      </w:r>
      <w:r w:rsidRPr="00C47725">
        <w:rPr>
          <w:snapToGrid w:val="0"/>
          <w:lang w:val="de-DE"/>
        </w:rPr>
        <w:tab/>
        <w:t>Die TWA prüfte Dokumente TWP/3/10 und TWA/48/7</w:t>
      </w:r>
      <w:r>
        <w:rPr>
          <w:snapToGrid w:val="0"/>
          <w:lang w:val="de-DE"/>
        </w:rPr>
        <w:t xml:space="preserve"> „</w:t>
      </w:r>
      <w:r w:rsidRPr="00967481">
        <w:rPr>
          <w:snapToGrid w:val="0"/>
          <w:lang w:val="de-DE"/>
        </w:rPr>
        <w:t>Data Processing for the Assessment of Distinctness and for Producing Variety Descriptions</w:t>
      </w:r>
      <w:r>
        <w:rPr>
          <w:snapToGrid w:val="0"/>
          <w:lang w:val="de-DE"/>
        </w:rPr>
        <w:t>“</w:t>
      </w:r>
      <w:r w:rsidRPr="00C47725">
        <w:rPr>
          <w:snapToGrid w:val="0"/>
          <w:lang w:val="de-DE"/>
        </w:rPr>
        <w:t xml:space="preserve"> und nahm die Zusammenfassung de</w:t>
      </w:r>
      <w:r>
        <w:rPr>
          <w:snapToGrid w:val="0"/>
          <w:lang w:val="de-DE"/>
        </w:rPr>
        <w:t>r</w:t>
      </w:r>
      <w:r w:rsidRPr="00C47725">
        <w:rPr>
          <w:snapToGrid w:val="0"/>
          <w:lang w:val="de-DE"/>
        </w:rPr>
        <w:t xml:space="preserve"> in TWP/3/10</w:t>
      </w:r>
      <w:r>
        <w:rPr>
          <w:snapToGrid w:val="0"/>
          <w:lang w:val="de-DE"/>
        </w:rPr>
        <w:t>,</w:t>
      </w:r>
      <w:r w:rsidRPr="00C47725">
        <w:rPr>
          <w:snapToGrid w:val="0"/>
          <w:lang w:val="de-DE"/>
        </w:rPr>
        <w:t xml:space="preserve"> Anlage II dargelegten Ans</w:t>
      </w:r>
      <w:r>
        <w:rPr>
          <w:snapToGrid w:val="0"/>
          <w:lang w:val="de-DE"/>
        </w:rPr>
        <w:t>ä</w:t>
      </w:r>
      <w:r w:rsidRPr="00C47725">
        <w:rPr>
          <w:snapToGrid w:val="0"/>
          <w:lang w:val="de-DE"/>
        </w:rPr>
        <w:t>tze zur Kenntnis. Sie vereinbarte</w:t>
      </w:r>
      <w:r>
        <w:rPr>
          <w:snapToGrid w:val="0"/>
          <w:lang w:val="de-DE"/>
        </w:rPr>
        <w:t>n</w:t>
      </w:r>
      <w:r w:rsidRPr="00C47725">
        <w:rPr>
          <w:snapToGrid w:val="0"/>
          <w:lang w:val="de-DE"/>
        </w:rPr>
        <w:t xml:space="preserve">, dass </w:t>
      </w:r>
      <w:r>
        <w:rPr>
          <w:snapToGrid w:val="0"/>
          <w:lang w:val="de-DE"/>
        </w:rPr>
        <w:t>zu</w:t>
      </w:r>
      <w:r w:rsidRPr="00C47725">
        <w:rPr>
          <w:snapToGrid w:val="0"/>
          <w:lang w:val="de-DE"/>
        </w:rPr>
        <w:t xml:space="preserve"> Anleitungszwecke</w:t>
      </w:r>
      <w:r>
        <w:rPr>
          <w:snapToGrid w:val="0"/>
          <w:lang w:val="de-DE"/>
        </w:rPr>
        <w:t>n</w:t>
      </w:r>
      <w:r w:rsidRPr="00C47725">
        <w:rPr>
          <w:snapToGrid w:val="0"/>
          <w:lang w:val="de-DE"/>
        </w:rPr>
        <w:t xml:space="preserve"> ein Entscheidungsbaum oder Flussdiagramm die Auswahl</w:t>
      </w:r>
      <w:r>
        <w:rPr>
          <w:snapToGrid w:val="0"/>
          <w:lang w:val="de-DE"/>
        </w:rPr>
        <w:t xml:space="preserve"> </w:t>
      </w:r>
      <w:r w:rsidRPr="00C47725">
        <w:rPr>
          <w:snapToGrid w:val="0"/>
          <w:lang w:val="de-DE"/>
        </w:rPr>
        <w:t>der am besten geeigneten Methode z</w:t>
      </w:r>
      <w:r w:rsidRPr="008D500E">
        <w:rPr>
          <w:snapToGrid w:val="0"/>
          <w:lang w:val="de-DE"/>
        </w:rPr>
        <w:t>ur Umsetzung von Erfassungen in Noten erleichtern könnte, und schlug</w:t>
      </w:r>
      <w:r>
        <w:rPr>
          <w:snapToGrid w:val="0"/>
          <w:lang w:val="de-DE"/>
        </w:rPr>
        <w:t>en</w:t>
      </w:r>
      <w:r w:rsidRPr="008D500E">
        <w:rPr>
          <w:snapToGrid w:val="0"/>
          <w:lang w:val="de-DE"/>
        </w:rPr>
        <w:t xml:space="preserve"> einige Elemente </w:t>
      </w:r>
      <w:r>
        <w:rPr>
          <w:snapToGrid w:val="0"/>
          <w:lang w:val="de-DE"/>
        </w:rPr>
        <w:t xml:space="preserve">zur Aufnahme </w:t>
      </w:r>
      <w:r w:rsidRPr="008D500E">
        <w:rPr>
          <w:snapToGrid w:val="0"/>
          <w:lang w:val="de-DE"/>
        </w:rPr>
        <w:t>in ein solch</w:t>
      </w:r>
      <w:r w:rsidRPr="00C47725">
        <w:rPr>
          <w:snapToGrid w:val="0"/>
          <w:lang w:val="de-DE"/>
        </w:rPr>
        <w:t xml:space="preserve">es Instrument als Ausgangspunkt </w:t>
      </w:r>
      <w:r>
        <w:rPr>
          <w:snapToGrid w:val="0"/>
          <w:lang w:val="de-DE"/>
        </w:rPr>
        <w:t>vor</w:t>
      </w:r>
      <w:r w:rsidRPr="00C47725">
        <w:rPr>
          <w:snapToGrid w:val="0"/>
          <w:lang w:val="de-DE"/>
        </w:rPr>
        <w:t>.</w:t>
      </w:r>
    </w:p>
    <w:p w:rsidR="002D20DB" w:rsidRPr="00C47725" w:rsidRDefault="002D20DB" w:rsidP="002D20DB">
      <w:pPr>
        <w:rPr>
          <w:snapToGrid w:val="0"/>
          <w:lang w:val="de-DE"/>
        </w:rPr>
      </w:pPr>
    </w:p>
    <w:p w:rsidR="002D20DB" w:rsidRPr="00C47725" w:rsidRDefault="002D20DB" w:rsidP="002D20DB">
      <w:pPr>
        <w:rPr>
          <w:snapToGrid w:val="0"/>
          <w:lang w:val="de-DE"/>
        </w:rPr>
      </w:pPr>
      <w:r w:rsidRPr="008D500E">
        <w:rPr>
          <w:snapToGrid w:val="0"/>
          <w:lang w:val="de-DE"/>
        </w:rPr>
        <w:fldChar w:fldCharType="begin"/>
      </w:r>
      <w:r w:rsidRPr="008D500E">
        <w:rPr>
          <w:snapToGrid w:val="0"/>
          <w:lang w:val="de-DE"/>
        </w:rPr>
        <w:instrText xml:space="preserve"> AUTONUM  </w:instrText>
      </w:r>
      <w:r w:rsidRPr="008D500E">
        <w:rPr>
          <w:snapToGrid w:val="0"/>
          <w:lang w:val="de-DE"/>
        </w:rPr>
        <w:fldChar w:fldCharType="end"/>
      </w:r>
      <w:r w:rsidRPr="00C47725">
        <w:rPr>
          <w:snapToGrid w:val="0"/>
          <w:lang w:val="de-DE"/>
        </w:rPr>
        <w:tab/>
        <w:t>Die TWA prüfte Dokument TWP/3/12</w:t>
      </w:r>
      <w:r>
        <w:rPr>
          <w:snapToGrid w:val="0"/>
          <w:lang w:val="de-DE"/>
        </w:rPr>
        <w:t xml:space="preserve"> „</w:t>
      </w:r>
      <w:r w:rsidRPr="00967481">
        <w:rPr>
          <w:snapToGrid w:val="0"/>
          <w:lang w:val="de-DE"/>
        </w:rPr>
        <w:t>Characteristic-specific marker with incomplete information on state of expression</w:t>
      </w:r>
      <w:r>
        <w:rPr>
          <w:snapToGrid w:val="0"/>
          <w:lang w:val="de-DE"/>
        </w:rPr>
        <w:t>“</w:t>
      </w:r>
      <w:r w:rsidRPr="00C47725">
        <w:rPr>
          <w:snapToGrid w:val="0"/>
          <w:lang w:val="de-DE"/>
        </w:rPr>
        <w:t xml:space="preserve"> und vereinbarte, dass der Wortlaut des vorgeschlagenen neuen Beispiels weitere Klärung erfordere.</w:t>
      </w:r>
    </w:p>
    <w:p w:rsidR="002D20DB" w:rsidRPr="00C47725" w:rsidRDefault="002D20DB" w:rsidP="002D20DB">
      <w:pPr>
        <w:rPr>
          <w:snapToGrid w:val="0"/>
          <w:lang w:val="de-DE"/>
        </w:rPr>
      </w:pPr>
    </w:p>
    <w:p w:rsidR="002D20DB" w:rsidRPr="002D4793" w:rsidRDefault="002D20DB" w:rsidP="002D20DB">
      <w:pPr>
        <w:rPr>
          <w:snapToGrid w:val="0"/>
          <w:lang w:val="de-DE"/>
        </w:rPr>
      </w:pPr>
      <w:r w:rsidRPr="00011D87">
        <w:rPr>
          <w:snapToGrid w:val="0"/>
          <w:lang w:val="de-DE"/>
        </w:rPr>
        <w:fldChar w:fldCharType="begin"/>
      </w:r>
      <w:r w:rsidRPr="00011D87">
        <w:rPr>
          <w:snapToGrid w:val="0"/>
          <w:lang w:val="de-DE"/>
        </w:rPr>
        <w:instrText xml:space="preserve"> AUTONUM  </w:instrText>
      </w:r>
      <w:r w:rsidRPr="00011D87">
        <w:rPr>
          <w:snapToGrid w:val="0"/>
          <w:lang w:val="de-DE"/>
        </w:rPr>
        <w:fldChar w:fldCharType="end"/>
      </w:r>
      <w:r w:rsidRPr="00C47725">
        <w:rPr>
          <w:snapToGrid w:val="0"/>
          <w:lang w:val="de-DE"/>
        </w:rPr>
        <w:tab/>
        <w:t>Die TWA prüfte den Vorschlag für die Überarbeitung von Dokument TGP/7, all</w:t>
      </w:r>
      <w:r w:rsidRPr="008C6F22">
        <w:rPr>
          <w:snapToGrid w:val="0"/>
          <w:lang w:val="de-DE"/>
        </w:rPr>
        <w:t>e Ausprägungsstufen für quantitative Merkmale in den Prüfungsrichtlinien darzu</w:t>
      </w:r>
      <w:r>
        <w:rPr>
          <w:snapToGrid w:val="0"/>
          <w:lang w:val="de-DE"/>
        </w:rPr>
        <w:t>stellen,</w:t>
      </w:r>
      <w:r w:rsidRPr="008C6F22">
        <w:rPr>
          <w:snapToGrid w:val="0"/>
          <w:lang w:val="de-DE"/>
        </w:rPr>
        <w:t xml:space="preserve"> und verein</w:t>
      </w:r>
      <w:r w:rsidRPr="00C47725">
        <w:rPr>
          <w:snapToGrid w:val="0"/>
          <w:lang w:val="de-DE"/>
        </w:rPr>
        <w:t xml:space="preserve">barte, dass es ihnen zu diesem Zeitpunkt nicht möglich wäre, zu einer </w:t>
      </w:r>
      <w:r>
        <w:rPr>
          <w:snapToGrid w:val="0"/>
          <w:lang w:val="de-DE"/>
        </w:rPr>
        <w:t>Entschließung</w:t>
      </w:r>
      <w:r w:rsidRPr="00C47725">
        <w:rPr>
          <w:snapToGrid w:val="0"/>
          <w:lang w:val="de-DE"/>
        </w:rPr>
        <w:t xml:space="preserve"> in dieser Angelegenheit zu gelangen. Sie vereinbarte</w:t>
      </w:r>
      <w:r>
        <w:rPr>
          <w:snapToGrid w:val="0"/>
          <w:lang w:val="de-DE"/>
        </w:rPr>
        <w:t>n</w:t>
      </w:r>
      <w:r w:rsidRPr="00C47725">
        <w:rPr>
          <w:snapToGrid w:val="0"/>
          <w:lang w:val="de-DE"/>
        </w:rPr>
        <w:t>, dass dieser Ansatz für weniger erfahrene DUS-Prüfer und einige ande</w:t>
      </w:r>
      <w:r w:rsidRPr="008C6F22">
        <w:rPr>
          <w:snapToGrid w:val="0"/>
          <w:lang w:val="de-DE"/>
        </w:rPr>
        <w:t>re Benutzer von Prüfungsrichtlinien nützlich sein könnte und dass eine vollständige Darstellung für IT-Anwen</w:t>
      </w:r>
      <w:r w:rsidRPr="00C47725">
        <w:rPr>
          <w:snapToGrid w:val="0"/>
          <w:lang w:val="de-DE"/>
        </w:rPr>
        <w:t xml:space="preserve">dungen wichtig </w:t>
      </w:r>
      <w:r>
        <w:rPr>
          <w:snapToGrid w:val="0"/>
          <w:lang w:val="de-DE"/>
        </w:rPr>
        <w:t>sei</w:t>
      </w:r>
      <w:r w:rsidRPr="002D4793">
        <w:rPr>
          <w:snapToGrid w:val="0"/>
          <w:lang w:val="de-DE"/>
        </w:rPr>
        <w:t>. Sie nahm</w:t>
      </w:r>
      <w:r>
        <w:rPr>
          <w:snapToGrid w:val="0"/>
          <w:lang w:val="de-DE"/>
        </w:rPr>
        <w:t>en</w:t>
      </w:r>
      <w:r w:rsidRPr="002D4793">
        <w:rPr>
          <w:snapToGrid w:val="0"/>
          <w:lang w:val="de-DE"/>
        </w:rPr>
        <w:t xml:space="preserve"> </w:t>
      </w:r>
      <w:r>
        <w:rPr>
          <w:snapToGrid w:val="0"/>
          <w:lang w:val="de-DE"/>
        </w:rPr>
        <w:t>außerdem</w:t>
      </w:r>
      <w:r w:rsidRPr="002D4793">
        <w:rPr>
          <w:snapToGrid w:val="0"/>
          <w:lang w:val="de-DE"/>
        </w:rPr>
        <w:t xml:space="preserve"> zur Kenntnis, dass die Darstellung aller Ausprägungsstufen Prüfungsrichtlinien </w:t>
      </w:r>
      <w:r>
        <w:rPr>
          <w:snapToGrid w:val="0"/>
          <w:lang w:val="de-DE"/>
        </w:rPr>
        <w:t>verlängern</w:t>
      </w:r>
      <w:r w:rsidRPr="002D4793">
        <w:rPr>
          <w:snapToGrid w:val="0"/>
          <w:lang w:val="de-DE"/>
        </w:rPr>
        <w:t xml:space="preserve"> und das Dokument weniger praktisch für die Verwendung in der Praxis machen könnte.</w:t>
      </w:r>
    </w:p>
    <w:p w:rsidR="002D20DB" w:rsidRPr="00C47725" w:rsidRDefault="002D20DB" w:rsidP="002D20DB">
      <w:pPr>
        <w:rPr>
          <w:snapToGrid w:val="0"/>
          <w:lang w:val="de-DE"/>
        </w:rPr>
      </w:pPr>
    </w:p>
    <w:p w:rsidR="002D20DB" w:rsidRPr="00C47725" w:rsidRDefault="002D20DB" w:rsidP="002D20DB">
      <w:pPr>
        <w:rPr>
          <w:snapToGrid w:val="0"/>
          <w:lang w:val="de-DE"/>
        </w:rPr>
      </w:pPr>
      <w:r w:rsidRPr="00BE2BCD">
        <w:rPr>
          <w:snapToGrid w:val="0"/>
          <w:lang w:val="de-DE"/>
        </w:rPr>
        <w:fldChar w:fldCharType="begin"/>
      </w:r>
      <w:r w:rsidRPr="00BE2BCD">
        <w:rPr>
          <w:snapToGrid w:val="0"/>
          <w:lang w:val="de-DE"/>
        </w:rPr>
        <w:instrText xml:space="preserve"> AUTONUM  </w:instrText>
      </w:r>
      <w:r w:rsidRPr="00BE2BCD">
        <w:rPr>
          <w:snapToGrid w:val="0"/>
          <w:lang w:val="de-DE"/>
        </w:rPr>
        <w:fldChar w:fldCharType="end"/>
      </w:r>
      <w:r w:rsidRPr="00C47725">
        <w:rPr>
          <w:snapToGrid w:val="0"/>
          <w:lang w:val="de-DE"/>
        </w:rPr>
        <w:tab/>
        <w:t>Die TWA erörterte die Zusammenarbeit zwischen internationalen Organisationen und insbesondere die Er</w:t>
      </w:r>
      <w:r>
        <w:rPr>
          <w:snapToGrid w:val="0"/>
          <w:lang w:val="de-DE"/>
        </w:rPr>
        <w:t>arbeitung</w:t>
      </w:r>
      <w:r w:rsidRPr="00C47725">
        <w:rPr>
          <w:snapToGrid w:val="0"/>
          <w:lang w:val="de-DE"/>
        </w:rPr>
        <w:t xml:space="preserve"> einer Bestandsaufnahme zur Verwendung molekularer Markerverfahren. Sie vereinbarte, dass die Bedeutung von</w:t>
      </w:r>
      <w:r>
        <w:rPr>
          <w:snapToGrid w:val="0"/>
          <w:lang w:val="de-DE"/>
        </w:rPr>
        <w:t xml:space="preserve"> „</w:t>
      </w:r>
      <w:r w:rsidRPr="00C47725">
        <w:rPr>
          <w:snapToGrid w:val="0"/>
          <w:lang w:val="de-DE"/>
        </w:rPr>
        <w:t>Validierung</w:t>
      </w:r>
      <w:r>
        <w:rPr>
          <w:snapToGrid w:val="0"/>
          <w:lang w:val="de-DE"/>
        </w:rPr>
        <w:t>“</w:t>
      </w:r>
      <w:r w:rsidRPr="00C47725">
        <w:rPr>
          <w:snapToGrid w:val="0"/>
          <w:lang w:val="de-DE"/>
        </w:rPr>
        <w:t xml:space="preserve"> im Zusammenhang mit der Frage</w:t>
      </w:r>
      <w:r>
        <w:rPr>
          <w:snapToGrid w:val="0"/>
          <w:lang w:val="de-DE"/>
        </w:rPr>
        <w:t xml:space="preserve"> „</w:t>
      </w:r>
      <w:r w:rsidRPr="00C47725">
        <w:rPr>
          <w:snapToGrid w:val="0"/>
          <w:lang w:val="de-DE"/>
        </w:rPr>
        <w:t>Wurde das molekulare Verfahren validiert</w:t>
      </w:r>
      <w:r>
        <w:rPr>
          <w:snapToGrid w:val="0"/>
          <w:lang w:val="de-DE"/>
        </w:rPr>
        <w:t>?“</w:t>
      </w:r>
      <w:r w:rsidRPr="00C47725">
        <w:rPr>
          <w:snapToGrid w:val="0"/>
          <w:lang w:val="de-DE"/>
        </w:rPr>
        <w:t xml:space="preserve"> zu Verwirrung führen könnte und dass der Ausschluss der Frage aus der </w:t>
      </w:r>
      <w:r>
        <w:rPr>
          <w:snapToGrid w:val="0"/>
          <w:lang w:val="de-DE"/>
        </w:rPr>
        <w:t>Befragung</w:t>
      </w:r>
      <w:r w:rsidRPr="00C47725">
        <w:rPr>
          <w:snapToGrid w:val="0"/>
          <w:lang w:val="de-DE"/>
        </w:rPr>
        <w:t xml:space="preserve"> geprüft werden sollte. Die TWA vereinbarte auch, dass die </w:t>
      </w:r>
      <w:r>
        <w:rPr>
          <w:snapToGrid w:val="0"/>
          <w:lang w:val="de-DE"/>
        </w:rPr>
        <w:t>Befragung</w:t>
      </w:r>
      <w:r w:rsidRPr="00C47725">
        <w:rPr>
          <w:snapToGrid w:val="0"/>
          <w:lang w:val="de-DE"/>
        </w:rPr>
        <w:t xml:space="preserve"> nach Möglichkeit mit der OECD koordiniert werden sollte, um im </w:t>
      </w:r>
      <w:r>
        <w:rPr>
          <w:snapToGrid w:val="0"/>
          <w:lang w:val="de-DE"/>
        </w:rPr>
        <w:t>Interesse</w:t>
      </w:r>
      <w:r w:rsidRPr="00C47725">
        <w:rPr>
          <w:snapToGrid w:val="0"/>
          <w:lang w:val="de-DE"/>
        </w:rPr>
        <w:t xml:space="preserve"> der Befragten</w:t>
      </w:r>
      <w:r>
        <w:rPr>
          <w:snapToGrid w:val="0"/>
          <w:lang w:val="de-DE"/>
        </w:rPr>
        <w:t xml:space="preserve"> doppelte Arbeit </w:t>
      </w:r>
      <w:r w:rsidRPr="00C47725">
        <w:rPr>
          <w:snapToGrid w:val="0"/>
          <w:lang w:val="de-DE"/>
        </w:rPr>
        <w:t>zu vermeiden.</w:t>
      </w:r>
    </w:p>
    <w:p w:rsidR="002D20DB" w:rsidRPr="00C47725" w:rsidRDefault="002D20DB" w:rsidP="002D20DB">
      <w:pPr>
        <w:rPr>
          <w:snapToGrid w:val="0"/>
          <w:lang w:val="de-DE"/>
        </w:rPr>
      </w:pPr>
    </w:p>
    <w:p w:rsidR="002D20DB" w:rsidRPr="00C47725" w:rsidRDefault="002D20DB" w:rsidP="002D20DB">
      <w:pPr>
        <w:rPr>
          <w:snapToGrid w:val="0"/>
          <w:lang w:val="de-DE"/>
        </w:rPr>
      </w:pPr>
      <w:r w:rsidRPr="00327274">
        <w:rPr>
          <w:snapToGrid w:val="0"/>
          <w:lang w:val="de-DE"/>
        </w:rPr>
        <w:fldChar w:fldCharType="begin"/>
      </w:r>
      <w:r w:rsidRPr="00327274">
        <w:rPr>
          <w:snapToGrid w:val="0"/>
          <w:lang w:val="de-DE"/>
        </w:rPr>
        <w:instrText xml:space="preserve"> AUTONUM  </w:instrText>
      </w:r>
      <w:r w:rsidRPr="00327274">
        <w:rPr>
          <w:snapToGrid w:val="0"/>
          <w:lang w:val="de-DE"/>
        </w:rPr>
        <w:fldChar w:fldCharType="end"/>
      </w:r>
      <w:r w:rsidRPr="00C47725">
        <w:rPr>
          <w:snapToGrid w:val="0"/>
          <w:lang w:val="de-DE"/>
        </w:rPr>
        <w:tab/>
        <w:t xml:space="preserve">Die TWA bildete kleine </w:t>
      </w:r>
      <w:r w:rsidRPr="00BE2BCD">
        <w:rPr>
          <w:snapToGrid w:val="0"/>
          <w:lang w:val="de-DE"/>
        </w:rPr>
        <w:t>Diskussionsgruppen</w:t>
      </w:r>
      <w:r w:rsidRPr="00C47725">
        <w:rPr>
          <w:snapToGrid w:val="0"/>
          <w:lang w:val="de-DE"/>
        </w:rPr>
        <w:t xml:space="preserve">, um Informationen über ihre </w:t>
      </w:r>
      <w:r w:rsidRPr="002749C2">
        <w:rPr>
          <w:snapToGrid w:val="0"/>
          <w:lang w:val="de-DE"/>
        </w:rPr>
        <w:t>Arbeit</w:t>
      </w:r>
      <w:r w:rsidRPr="00C47725">
        <w:rPr>
          <w:snapToGrid w:val="0"/>
          <w:lang w:val="de-DE"/>
        </w:rPr>
        <w:t xml:space="preserve"> an biochemischen und molekularen Verfahren auszutauschen und </w:t>
      </w:r>
      <w:r>
        <w:rPr>
          <w:snapToGrid w:val="0"/>
          <w:lang w:val="de-DE"/>
        </w:rPr>
        <w:t>Bereiche für eine Zusammenarbeit</w:t>
      </w:r>
      <w:r w:rsidRPr="00C47725">
        <w:rPr>
          <w:snapToGrid w:val="0"/>
          <w:lang w:val="de-DE"/>
        </w:rPr>
        <w:t xml:space="preserve"> </w:t>
      </w:r>
      <w:r w:rsidRPr="002749C2">
        <w:rPr>
          <w:snapToGrid w:val="0"/>
          <w:lang w:val="de-DE"/>
        </w:rPr>
        <w:t>zu erkunden. Die T</w:t>
      </w:r>
      <w:r w:rsidRPr="00C47725">
        <w:rPr>
          <w:snapToGrid w:val="0"/>
          <w:lang w:val="de-DE"/>
        </w:rPr>
        <w:t xml:space="preserve">agungen waren fruchtbar und </w:t>
      </w:r>
      <w:r>
        <w:rPr>
          <w:snapToGrid w:val="0"/>
          <w:lang w:val="de-DE"/>
        </w:rPr>
        <w:t>sind gut angekommen</w:t>
      </w:r>
      <w:r w:rsidRPr="008A0BC7">
        <w:rPr>
          <w:snapToGrid w:val="0"/>
          <w:lang w:val="de-DE"/>
        </w:rPr>
        <w:t xml:space="preserve"> </w:t>
      </w:r>
      <w:r w:rsidRPr="0020085B">
        <w:rPr>
          <w:snapToGrid w:val="0"/>
          <w:lang w:val="de-DE"/>
        </w:rPr>
        <w:t>und es wurden Zusammenfassungen von Pflanzen und Behörden, die derzeit molekulare Verfahren verwenden (oder e</w:t>
      </w:r>
      <w:r>
        <w:rPr>
          <w:snapToGrid w:val="0"/>
          <w:lang w:val="de-DE"/>
        </w:rPr>
        <w:t>ntwickeln</w:t>
      </w:r>
      <w:r w:rsidRPr="0020085B">
        <w:rPr>
          <w:snapToGrid w:val="0"/>
          <w:lang w:val="de-DE"/>
        </w:rPr>
        <w:t xml:space="preserve">), </w:t>
      </w:r>
      <w:r>
        <w:rPr>
          <w:snapToGrid w:val="0"/>
          <w:lang w:val="de-DE"/>
        </w:rPr>
        <w:t>momentan</w:t>
      </w:r>
      <w:r w:rsidRPr="0020085B">
        <w:rPr>
          <w:snapToGrid w:val="0"/>
          <w:lang w:val="de-DE"/>
        </w:rPr>
        <w:t xml:space="preserve"> verwendeten Verfahren und </w:t>
      </w:r>
      <w:r>
        <w:rPr>
          <w:snapToGrid w:val="0"/>
          <w:lang w:val="de-DE"/>
        </w:rPr>
        <w:t>deren Zweck sowie</w:t>
      </w:r>
      <w:r w:rsidRPr="0020085B">
        <w:rPr>
          <w:snapToGrid w:val="0"/>
          <w:lang w:val="de-DE"/>
        </w:rPr>
        <w:t xml:space="preserve"> auch etwaige</w:t>
      </w:r>
      <w:r>
        <w:rPr>
          <w:snapToGrid w:val="0"/>
          <w:lang w:val="de-DE"/>
        </w:rPr>
        <w:t>n</w:t>
      </w:r>
      <w:r w:rsidRPr="0020085B">
        <w:rPr>
          <w:snapToGrid w:val="0"/>
          <w:lang w:val="de-DE"/>
        </w:rPr>
        <w:t xml:space="preserve"> Bereiche</w:t>
      </w:r>
      <w:r>
        <w:rPr>
          <w:snapToGrid w:val="0"/>
          <w:lang w:val="de-DE"/>
        </w:rPr>
        <w:t>n</w:t>
      </w:r>
      <w:r w:rsidRPr="0020085B">
        <w:rPr>
          <w:snapToGrid w:val="0"/>
          <w:lang w:val="de-DE"/>
        </w:rPr>
        <w:t xml:space="preserve"> für eine Zusammenarbeit </w:t>
      </w:r>
      <w:r>
        <w:rPr>
          <w:snapToGrid w:val="0"/>
          <w:lang w:val="de-DE"/>
        </w:rPr>
        <w:t>für künftige Referenz</w:t>
      </w:r>
      <w:r w:rsidRPr="0020085B">
        <w:rPr>
          <w:snapToGrid w:val="0"/>
          <w:lang w:val="de-DE"/>
        </w:rPr>
        <w:t xml:space="preserve"> erstellt.</w:t>
      </w:r>
    </w:p>
    <w:p w:rsidR="002D20DB" w:rsidRPr="00C47725" w:rsidRDefault="002D20DB" w:rsidP="002D20DB">
      <w:pPr>
        <w:rPr>
          <w:snapToGrid w:val="0"/>
          <w:lang w:val="de-DE"/>
        </w:rPr>
      </w:pPr>
    </w:p>
    <w:p w:rsidR="002D20DB" w:rsidRPr="00C47725" w:rsidRDefault="002D20DB" w:rsidP="002D20DB">
      <w:pPr>
        <w:rPr>
          <w:snapToGrid w:val="0"/>
          <w:lang w:val="de-DE"/>
        </w:rPr>
      </w:pPr>
      <w:r w:rsidRPr="00327274">
        <w:rPr>
          <w:snapToGrid w:val="0"/>
          <w:lang w:val="de-DE"/>
        </w:rPr>
        <w:fldChar w:fldCharType="begin"/>
      </w:r>
      <w:r w:rsidRPr="00327274">
        <w:rPr>
          <w:snapToGrid w:val="0"/>
          <w:lang w:val="de-DE"/>
        </w:rPr>
        <w:instrText xml:space="preserve"> AUTONUM  </w:instrText>
      </w:r>
      <w:r w:rsidRPr="00327274">
        <w:rPr>
          <w:snapToGrid w:val="0"/>
          <w:lang w:val="de-DE"/>
        </w:rPr>
        <w:fldChar w:fldCharType="end"/>
      </w:r>
      <w:r w:rsidRPr="00C47725">
        <w:rPr>
          <w:snapToGrid w:val="0"/>
          <w:lang w:val="de-DE"/>
        </w:rPr>
        <w:tab/>
        <w:t>Die TWA bildete auch kleine Diskussionsgruppen, um technische Bedenken zu erörtern, die eine Zusammenarbeit bei der DUS-Prüfung verhindern</w:t>
      </w:r>
      <w:r>
        <w:rPr>
          <w:snapToGrid w:val="0"/>
          <w:lang w:val="de-DE"/>
        </w:rPr>
        <w:t xml:space="preserve">, </w:t>
      </w:r>
      <w:r w:rsidRPr="00C47725">
        <w:rPr>
          <w:snapToGrid w:val="0"/>
          <w:lang w:val="de-DE"/>
        </w:rPr>
        <w:t xml:space="preserve">und wie diese überwunden werden könnten. </w:t>
      </w:r>
      <w:r w:rsidRPr="00C47725">
        <w:rPr>
          <w:snapToGrid w:val="0"/>
          <w:lang w:val="de-DE"/>
        </w:rPr>
        <w:lastRenderedPageBreak/>
        <w:t xml:space="preserve">Zusammenfassungen dieser Erörterungen wurden ebenfalls erstellt. Die kleinen Gruppen waren produktiv und </w:t>
      </w:r>
      <w:r>
        <w:rPr>
          <w:snapToGrid w:val="0"/>
          <w:lang w:val="de-DE"/>
        </w:rPr>
        <w:t xml:space="preserve">das </w:t>
      </w:r>
      <w:r w:rsidRPr="00C47725">
        <w:rPr>
          <w:snapToGrid w:val="0"/>
          <w:lang w:val="de-DE"/>
        </w:rPr>
        <w:t xml:space="preserve">Feedback zu dieser Arbeitsweise </w:t>
      </w:r>
      <w:r>
        <w:rPr>
          <w:snapToGrid w:val="0"/>
          <w:lang w:val="de-DE"/>
        </w:rPr>
        <w:t>war positiv</w:t>
      </w:r>
      <w:r w:rsidRPr="00C47725">
        <w:rPr>
          <w:snapToGrid w:val="0"/>
          <w:lang w:val="de-DE"/>
        </w:rPr>
        <w:t xml:space="preserve">. </w:t>
      </w:r>
    </w:p>
    <w:p w:rsidR="002D20DB" w:rsidRPr="00C47725" w:rsidRDefault="002D20DB" w:rsidP="002D20DB">
      <w:pPr>
        <w:rPr>
          <w:snapToGrid w:val="0"/>
          <w:lang w:val="de-DE"/>
        </w:rPr>
      </w:pPr>
    </w:p>
    <w:p w:rsidR="002D20DB" w:rsidRPr="00C47725" w:rsidRDefault="002D20DB" w:rsidP="002D20DB">
      <w:pPr>
        <w:rPr>
          <w:snapToGrid w:val="0"/>
          <w:lang w:val="de-DE"/>
        </w:rPr>
      </w:pPr>
      <w:r w:rsidRPr="00741C4F">
        <w:rPr>
          <w:snapToGrid w:val="0"/>
          <w:lang w:val="de-DE"/>
        </w:rPr>
        <w:fldChar w:fldCharType="begin"/>
      </w:r>
      <w:r w:rsidRPr="00741C4F">
        <w:rPr>
          <w:snapToGrid w:val="0"/>
          <w:lang w:val="de-DE"/>
        </w:rPr>
        <w:instrText xml:space="preserve"> AUTONUM  </w:instrText>
      </w:r>
      <w:r w:rsidRPr="00741C4F">
        <w:rPr>
          <w:snapToGrid w:val="0"/>
          <w:lang w:val="de-DE"/>
        </w:rPr>
        <w:fldChar w:fldCharType="end"/>
      </w:r>
      <w:r w:rsidRPr="00C47725">
        <w:rPr>
          <w:snapToGrid w:val="0"/>
          <w:lang w:val="de-DE"/>
        </w:rPr>
        <w:tab/>
        <w:t>Die TWA prüfte Dokument TWP/3/13</w:t>
      </w:r>
      <w:r>
        <w:rPr>
          <w:snapToGrid w:val="0"/>
          <w:lang w:val="de-DE"/>
        </w:rPr>
        <w:t xml:space="preserve"> „</w:t>
      </w:r>
      <w:r w:rsidRPr="00967481">
        <w:rPr>
          <w:snapToGrid w:val="0"/>
          <w:lang w:val="de-DE"/>
        </w:rPr>
        <w:t>Differences in notes for the assessment of distinctness</w:t>
      </w:r>
      <w:r>
        <w:rPr>
          <w:snapToGrid w:val="0"/>
          <w:lang w:val="de-DE"/>
        </w:rPr>
        <w:t>“</w:t>
      </w:r>
      <w:r w:rsidRPr="00C47725">
        <w:rPr>
          <w:snapToGrid w:val="0"/>
          <w:lang w:val="de-DE"/>
        </w:rPr>
        <w:t xml:space="preserve"> und nahm zur Kenntnis, dass das GAIA-Verfahren ein Vorauswahlinstrument </w:t>
      </w:r>
      <w:r>
        <w:rPr>
          <w:snapToGrid w:val="0"/>
          <w:lang w:val="de-DE"/>
        </w:rPr>
        <w:t>sei</w:t>
      </w:r>
      <w:r w:rsidRPr="00C47725">
        <w:rPr>
          <w:snapToGrid w:val="0"/>
          <w:lang w:val="de-DE"/>
        </w:rPr>
        <w:t xml:space="preserve"> und nicht zum Vergleich </w:t>
      </w:r>
      <w:r>
        <w:rPr>
          <w:snapToGrid w:val="0"/>
          <w:lang w:val="de-DE"/>
        </w:rPr>
        <w:t>von</w:t>
      </w:r>
      <w:r w:rsidRPr="00C47725">
        <w:rPr>
          <w:snapToGrid w:val="0"/>
          <w:lang w:val="de-DE"/>
        </w:rPr>
        <w:t xml:space="preserve"> Daten in </w:t>
      </w:r>
      <w:r w:rsidRPr="00741C4F">
        <w:rPr>
          <w:snapToGrid w:val="0"/>
          <w:lang w:val="de-DE"/>
        </w:rPr>
        <w:t>der Anbauprüfung ver</w:t>
      </w:r>
      <w:r w:rsidRPr="00C47725">
        <w:rPr>
          <w:snapToGrid w:val="0"/>
          <w:lang w:val="de-DE"/>
        </w:rPr>
        <w:t>wendet w</w:t>
      </w:r>
      <w:r>
        <w:rPr>
          <w:snapToGrid w:val="0"/>
          <w:lang w:val="de-DE"/>
        </w:rPr>
        <w:t>ü</w:t>
      </w:r>
      <w:r w:rsidRPr="00C47725">
        <w:rPr>
          <w:snapToGrid w:val="0"/>
          <w:lang w:val="de-DE"/>
        </w:rPr>
        <w:t>rde. Sie vereinbarte ferner, dass Erläuteru</w:t>
      </w:r>
      <w:r w:rsidRPr="00741C4F">
        <w:rPr>
          <w:snapToGrid w:val="0"/>
          <w:lang w:val="de-DE"/>
        </w:rPr>
        <w:t xml:space="preserve">ngen für bestimmte Form- und Farbmerkmale in Form einer Matrix </w:t>
      </w:r>
      <w:r>
        <w:rPr>
          <w:snapToGrid w:val="0"/>
          <w:lang w:val="de-DE"/>
        </w:rPr>
        <w:t>bereitgestellt</w:t>
      </w:r>
      <w:r w:rsidRPr="00741C4F">
        <w:rPr>
          <w:snapToGrid w:val="0"/>
          <w:lang w:val="de-DE"/>
        </w:rPr>
        <w:t xml:space="preserve"> werden könnten, die angibt, welche Ausprägungsstufe als un</w:t>
      </w:r>
      <w:r w:rsidRPr="00C47725">
        <w:rPr>
          <w:snapToGrid w:val="0"/>
          <w:lang w:val="de-DE"/>
        </w:rPr>
        <w:t>terschiedlich</w:t>
      </w:r>
      <w:r>
        <w:rPr>
          <w:snapToGrid w:val="0"/>
          <w:lang w:val="de-DE"/>
        </w:rPr>
        <w:t xml:space="preserve"> von einer anderen</w:t>
      </w:r>
      <w:r w:rsidRPr="00C47725">
        <w:rPr>
          <w:snapToGrid w:val="0"/>
          <w:lang w:val="de-DE"/>
        </w:rPr>
        <w:t xml:space="preserve"> zu betrachten sei. </w:t>
      </w:r>
    </w:p>
    <w:p w:rsidR="002D20DB" w:rsidRPr="00C47725" w:rsidRDefault="002D20DB" w:rsidP="002D20DB">
      <w:pPr>
        <w:rPr>
          <w:snapToGrid w:val="0"/>
          <w:lang w:val="de-DE"/>
        </w:rPr>
      </w:pPr>
    </w:p>
    <w:p w:rsidR="002D20DB" w:rsidRPr="00C47725" w:rsidRDefault="002D20DB" w:rsidP="002D20DB">
      <w:pPr>
        <w:rPr>
          <w:snapToGrid w:val="0"/>
          <w:lang w:val="de-DE"/>
        </w:rPr>
      </w:pPr>
      <w:r w:rsidRPr="00741C4F">
        <w:rPr>
          <w:snapToGrid w:val="0"/>
          <w:lang w:val="de-DE"/>
        </w:rPr>
        <w:fldChar w:fldCharType="begin"/>
      </w:r>
      <w:r w:rsidRPr="00741C4F">
        <w:rPr>
          <w:snapToGrid w:val="0"/>
          <w:lang w:val="de-DE"/>
        </w:rPr>
        <w:instrText xml:space="preserve"> AUTONUM  </w:instrText>
      </w:r>
      <w:r w:rsidRPr="00741C4F">
        <w:rPr>
          <w:snapToGrid w:val="0"/>
          <w:lang w:val="de-DE"/>
        </w:rPr>
        <w:fldChar w:fldCharType="end"/>
      </w:r>
      <w:r w:rsidRPr="00741C4F">
        <w:rPr>
          <w:snapToGrid w:val="0"/>
          <w:lang w:val="de-DE"/>
        </w:rPr>
        <w:tab/>
        <w:t>Die TWA hörte ein Referat ü</w:t>
      </w:r>
      <w:r w:rsidRPr="00C47725">
        <w:rPr>
          <w:snapToGrid w:val="0"/>
          <w:lang w:val="de-DE"/>
        </w:rPr>
        <w:t>ber</w:t>
      </w:r>
      <w:r>
        <w:rPr>
          <w:snapToGrid w:val="0"/>
          <w:lang w:val="de-DE"/>
        </w:rPr>
        <w:t xml:space="preserve"> „</w:t>
      </w:r>
      <w:r w:rsidRPr="004204EF">
        <w:rPr>
          <w:snapToGrid w:val="0"/>
          <w:lang w:val="de-DE"/>
        </w:rPr>
        <w:t xml:space="preserve">Erfahrungen mit neuen </w:t>
      </w:r>
      <w:r>
        <w:rPr>
          <w:snapToGrid w:val="0"/>
          <w:lang w:val="de-DE"/>
        </w:rPr>
        <w:t>Typen</w:t>
      </w:r>
      <w:r w:rsidRPr="004204EF">
        <w:rPr>
          <w:snapToGrid w:val="0"/>
          <w:lang w:val="de-DE"/>
        </w:rPr>
        <w:t xml:space="preserve"> und Arten von </w:t>
      </w:r>
      <w:r>
        <w:rPr>
          <w:snapToGrid w:val="0"/>
          <w:lang w:val="de-DE"/>
        </w:rPr>
        <w:t>landwirtschaftlichen P</w:t>
      </w:r>
      <w:r w:rsidRPr="004204EF">
        <w:rPr>
          <w:snapToGrid w:val="0"/>
          <w:lang w:val="de-DE"/>
        </w:rPr>
        <w:t>flanzen in der Tschechischen Republik</w:t>
      </w:r>
      <w:r>
        <w:rPr>
          <w:snapToGrid w:val="0"/>
          <w:lang w:val="de-DE"/>
        </w:rPr>
        <w:t>“</w:t>
      </w:r>
      <w:r w:rsidRPr="00C47725">
        <w:rPr>
          <w:snapToGrid w:val="0"/>
          <w:lang w:val="de-DE"/>
        </w:rPr>
        <w:t xml:space="preserve"> (Dokument TWA/48/6) und vereinbarte, dass die von der Tschechischen Republik </w:t>
      </w:r>
      <w:r>
        <w:rPr>
          <w:snapToGrid w:val="0"/>
          <w:lang w:val="de-DE"/>
        </w:rPr>
        <w:t>bereitgestellten</w:t>
      </w:r>
      <w:r w:rsidRPr="00C47725">
        <w:rPr>
          <w:snapToGrid w:val="0"/>
          <w:lang w:val="de-DE"/>
        </w:rPr>
        <w:t xml:space="preserve"> Informationen über den Umgang mit neuen Typ</w:t>
      </w:r>
      <w:r>
        <w:rPr>
          <w:snapToGrid w:val="0"/>
          <w:lang w:val="de-DE"/>
        </w:rPr>
        <w:t>e</w:t>
      </w:r>
      <w:r w:rsidRPr="00C47725">
        <w:rPr>
          <w:snapToGrid w:val="0"/>
          <w:lang w:val="de-DE"/>
        </w:rPr>
        <w:t xml:space="preserve">n und Arten eine nützliche Anleitung für neue und erfahrene Mitglieder </w:t>
      </w:r>
      <w:r>
        <w:rPr>
          <w:snapToGrid w:val="0"/>
          <w:lang w:val="de-DE"/>
        </w:rPr>
        <w:t>seien</w:t>
      </w:r>
      <w:r w:rsidRPr="00C47725">
        <w:rPr>
          <w:snapToGrid w:val="0"/>
          <w:lang w:val="de-DE"/>
        </w:rPr>
        <w:t xml:space="preserve">. Die TWA nahm </w:t>
      </w:r>
      <w:r w:rsidR="0032060F">
        <w:rPr>
          <w:snapToGrid w:val="0"/>
          <w:lang w:val="de-DE"/>
        </w:rPr>
        <w:t>die Erfahrung der Tschechischen </w:t>
      </w:r>
      <w:r w:rsidRPr="00C47725">
        <w:rPr>
          <w:snapToGrid w:val="0"/>
          <w:lang w:val="de-DE"/>
        </w:rPr>
        <w:t xml:space="preserve">Republik mit verschiedenen Modalitäten der Zusammenarbeit bei der DUS-Prüfung, wie z.B. die Übernahme von </w:t>
      </w:r>
      <w:r w:rsidRPr="00741C4F">
        <w:rPr>
          <w:snapToGrid w:val="0"/>
          <w:lang w:val="de-DE"/>
        </w:rPr>
        <w:t>Prüfungsberichten, die Auftragsprüfung durch eine andere Behörde und die Zusammenarbeit mit Züchtern, zusätzlich zur direkten Dur</w:t>
      </w:r>
      <w:r w:rsidRPr="00C47725">
        <w:rPr>
          <w:snapToGrid w:val="0"/>
          <w:lang w:val="de-DE"/>
        </w:rPr>
        <w:t>chführung der Prüfung</w:t>
      </w:r>
      <w:r>
        <w:rPr>
          <w:snapToGrid w:val="0"/>
          <w:lang w:val="de-DE"/>
        </w:rPr>
        <w:t xml:space="preserve">, </w:t>
      </w:r>
      <w:r w:rsidRPr="00C47725">
        <w:rPr>
          <w:snapToGrid w:val="0"/>
          <w:lang w:val="de-DE"/>
        </w:rPr>
        <w:t xml:space="preserve">zur Kenntnis. </w:t>
      </w:r>
    </w:p>
    <w:p w:rsidR="002D20DB" w:rsidRPr="00C47725" w:rsidRDefault="002D20DB" w:rsidP="002D20DB">
      <w:pPr>
        <w:rPr>
          <w:snapToGrid w:val="0"/>
          <w:lang w:val="de-DE"/>
        </w:rPr>
      </w:pPr>
    </w:p>
    <w:p w:rsidR="002D20DB" w:rsidRPr="00C47725" w:rsidRDefault="002D20DB" w:rsidP="002D20DB">
      <w:pPr>
        <w:rPr>
          <w:snapToGrid w:val="0"/>
          <w:lang w:val="de-DE"/>
        </w:rPr>
      </w:pPr>
      <w:r w:rsidRPr="00640C34">
        <w:rPr>
          <w:snapToGrid w:val="0"/>
          <w:lang w:val="de-DE"/>
        </w:rPr>
        <w:fldChar w:fldCharType="begin"/>
      </w:r>
      <w:r w:rsidRPr="00640C34">
        <w:rPr>
          <w:snapToGrid w:val="0"/>
          <w:lang w:val="de-DE"/>
        </w:rPr>
        <w:instrText xml:space="preserve"> AUTONUM  </w:instrText>
      </w:r>
      <w:r w:rsidRPr="00640C34">
        <w:rPr>
          <w:snapToGrid w:val="0"/>
          <w:lang w:val="de-DE"/>
        </w:rPr>
        <w:fldChar w:fldCharType="end"/>
      </w:r>
      <w:r w:rsidRPr="00C47725">
        <w:rPr>
          <w:snapToGrid w:val="0"/>
          <w:lang w:val="de-DE"/>
        </w:rPr>
        <w:tab/>
        <w:t>Die TWA erörterte n</w:t>
      </w:r>
      <w:r w:rsidRPr="00D67523">
        <w:rPr>
          <w:snapToGrid w:val="0"/>
          <w:lang w:val="de-DE"/>
        </w:rPr>
        <w:t>eun Entwürfe von Prüfungsrichtlinien</w:t>
      </w:r>
      <w:r>
        <w:rPr>
          <w:snapToGrid w:val="0"/>
          <w:lang w:val="de-DE"/>
        </w:rPr>
        <w:t xml:space="preserve"> </w:t>
      </w:r>
      <w:r w:rsidRPr="00054FDC">
        <w:rPr>
          <w:snapToGrid w:val="0"/>
          <w:lang w:val="de-DE"/>
        </w:rPr>
        <w:t>un</w:t>
      </w:r>
      <w:r w:rsidRPr="00C47725">
        <w:rPr>
          <w:snapToGrid w:val="0"/>
          <w:lang w:val="de-DE"/>
        </w:rPr>
        <w:t>d vereinbarte, die Entwürfe von Prüfungsrichtlinien für Ginseng (</w:t>
      </w:r>
      <w:r w:rsidRPr="00C47725">
        <w:rPr>
          <w:i/>
          <w:snapToGrid w:val="0"/>
          <w:lang w:val="de-DE"/>
        </w:rPr>
        <w:t xml:space="preserve">Panax Ginseng </w:t>
      </w:r>
      <w:r w:rsidRPr="0032060F">
        <w:rPr>
          <w:snapToGrid w:val="0"/>
          <w:lang w:val="de-DE"/>
        </w:rPr>
        <w:t>C.A. Mey</w:t>
      </w:r>
      <w:r w:rsidRPr="00C47725">
        <w:rPr>
          <w:snapToGrid w:val="0"/>
          <w:lang w:val="de-DE"/>
        </w:rPr>
        <w:t>) (Überarbeitung), Rotklee (</w:t>
      </w:r>
      <w:r w:rsidRPr="00C47725">
        <w:rPr>
          <w:i/>
          <w:snapToGrid w:val="0"/>
          <w:lang w:val="de-DE"/>
        </w:rPr>
        <w:t xml:space="preserve">Trifolium pratense </w:t>
      </w:r>
      <w:r w:rsidRPr="0032060F">
        <w:rPr>
          <w:snapToGrid w:val="0"/>
          <w:lang w:val="de-DE"/>
        </w:rPr>
        <w:t>L.</w:t>
      </w:r>
      <w:r w:rsidRPr="00C47725">
        <w:rPr>
          <w:snapToGrid w:val="0"/>
          <w:lang w:val="de-DE"/>
        </w:rPr>
        <w:t>) (Überarbeitung) und Triticale (</w:t>
      </w:r>
      <w:r w:rsidRPr="00C47725">
        <w:rPr>
          <w:i/>
          <w:snapToGrid w:val="0"/>
          <w:lang w:val="de-DE"/>
        </w:rPr>
        <w:t xml:space="preserve">xTriticosecale </w:t>
      </w:r>
      <w:r w:rsidRPr="0032060F">
        <w:rPr>
          <w:snapToGrid w:val="0"/>
          <w:lang w:val="de-DE"/>
        </w:rPr>
        <w:t>Witt.</w:t>
      </w:r>
      <w:r w:rsidRPr="00C47725">
        <w:rPr>
          <w:snapToGrid w:val="0"/>
          <w:lang w:val="de-DE"/>
        </w:rPr>
        <w:t>) (Überarbeitung) dem Technischen Ausschuss zur Annahme vorzulegen.</w:t>
      </w:r>
    </w:p>
    <w:p w:rsidR="002D20DB" w:rsidRPr="00C47725" w:rsidRDefault="002D20DB" w:rsidP="002D20DB">
      <w:pPr>
        <w:rPr>
          <w:snapToGrid w:val="0"/>
          <w:lang w:val="de-DE"/>
        </w:rPr>
      </w:pPr>
    </w:p>
    <w:p w:rsidR="002D20DB" w:rsidRPr="00C47725" w:rsidRDefault="002D20DB" w:rsidP="002D20DB">
      <w:pPr>
        <w:rPr>
          <w:snapToGrid w:val="0"/>
          <w:lang w:val="de-DE"/>
        </w:rPr>
      </w:pPr>
      <w:r w:rsidRPr="00640C34">
        <w:rPr>
          <w:snapToGrid w:val="0"/>
          <w:lang w:val="de-DE"/>
        </w:rPr>
        <w:fldChar w:fldCharType="begin"/>
      </w:r>
      <w:r w:rsidRPr="00640C34">
        <w:rPr>
          <w:snapToGrid w:val="0"/>
          <w:lang w:val="de-DE"/>
        </w:rPr>
        <w:instrText xml:space="preserve"> AUTONUM  </w:instrText>
      </w:r>
      <w:r w:rsidRPr="00640C34">
        <w:rPr>
          <w:snapToGrid w:val="0"/>
          <w:lang w:val="de-DE"/>
        </w:rPr>
        <w:fldChar w:fldCharType="end"/>
      </w:r>
      <w:r w:rsidRPr="00C47725">
        <w:rPr>
          <w:snapToGrid w:val="0"/>
          <w:lang w:val="de-DE"/>
        </w:rPr>
        <w:tab/>
        <w:t xml:space="preserve">Die TWA vereinbarte, auf ihrer neunundvierzigsten Tagung im Jahr 2020 10 Prüfungsrichtlinien zu erörtern. Die TWA vereinbarte, dass die Prüfungsrichtlinien für Reis, Sojabohne, Tee und Timotheus für 2020 mit einem Sternchen gekennzeichnet werden sollten. Es wird erwartet, dass neue Erörterungen über die Prüfungsrichtlinien für Kartoffel, Raps, Zuckerrohr, Sonnenblume und Sojagräser </w:t>
      </w:r>
      <w:r>
        <w:rPr>
          <w:snapToGrid w:val="0"/>
          <w:lang w:val="de-DE"/>
        </w:rPr>
        <w:t>aufgenommen</w:t>
      </w:r>
      <w:r w:rsidRPr="00C47725">
        <w:rPr>
          <w:snapToGrid w:val="0"/>
          <w:lang w:val="de-DE"/>
        </w:rPr>
        <w:t xml:space="preserve"> werden.</w:t>
      </w:r>
    </w:p>
    <w:p w:rsidR="002D20DB" w:rsidRPr="00C47725" w:rsidRDefault="002D20DB" w:rsidP="002D20DB">
      <w:pPr>
        <w:rPr>
          <w:snapToGrid w:val="0"/>
          <w:lang w:val="de-DE"/>
        </w:rPr>
      </w:pPr>
    </w:p>
    <w:p w:rsidR="002D20DB" w:rsidRPr="00C47725" w:rsidRDefault="002D20DB" w:rsidP="002D20DB">
      <w:pPr>
        <w:rPr>
          <w:snapToGrid w:val="0"/>
          <w:lang w:val="de-DE"/>
        </w:rPr>
      </w:pPr>
      <w:r w:rsidRPr="00640C34">
        <w:rPr>
          <w:snapToGrid w:val="0"/>
          <w:lang w:val="de-DE"/>
        </w:rPr>
        <w:fldChar w:fldCharType="begin"/>
      </w:r>
      <w:r w:rsidRPr="00640C34">
        <w:rPr>
          <w:snapToGrid w:val="0"/>
          <w:lang w:val="de-DE"/>
        </w:rPr>
        <w:instrText xml:space="preserve"> AUTONUM  </w:instrText>
      </w:r>
      <w:r w:rsidRPr="00640C34">
        <w:rPr>
          <w:snapToGrid w:val="0"/>
          <w:lang w:val="de-DE"/>
        </w:rPr>
        <w:fldChar w:fldCharType="end"/>
      </w:r>
      <w:r w:rsidRPr="00C47725">
        <w:rPr>
          <w:snapToGrid w:val="0"/>
          <w:lang w:val="de-DE"/>
        </w:rPr>
        <w:tab/>
        <w:t>Auf Einladung Kanadas vereinbarte die TWA, ihre neunundvierzigste Tagung vom 22. bis 26. Juni 2020 in Saskatoon, Kanada, abzuhalten.</w:t>
      </w:r>
    </w:p>
    <w:p w:rsidR="002D20DB" w:rsidRPr="00C47725" w:rsidRDefault="002D20DB" w:rsidP="002D20DB">
      <w:pPr>
        <w:rPr>
          <w:snapToGrid w:val="0"/>
          <w:lang w:val="de-DE"/>
        </w:rPr>
      </w:pPr>
    </w:p>
    <w:p w:rsidR="002D20DB" w:rsidRPr="00C47725" w:rsidRDefault="002D20DB" w:rsidP="002D20DB">
      <w:pPr>
        <w:rPr>
          <w:snapToGrid w:val="0"/>
          <w:lang w:val="de-DE"/>
        </w:rPr>
      </w:pPr>
      <w:r w:rsidRPr="00640C34">
        <w:rPr>
          <w:snapToGrid w:val="0"/>
          <w:lang w:val="de-DE"/>
        </w:rPr>
        <w:fldChar w:fldCharType="begin"/>
      </w:r>
      <w:r w:rsidRPr="00640C34">
        <w:rPr>
          <w:snapToGrid w:val="0"/>
          <w:lang w:val="de-DE"/>
        </w:rPr>
        <w:instrText xml:space="preserve"> AUTONUM  </w:instrText>
      </w:r>
      <w:r w:rsidRPr="00640C34">
        <w:rPr>
          <w:snapToGrid w:val="0"/>
          <w:lang w:val="de-DE"/>
        </w:rPr>
        <w:fldChar w:fldCharType="end"/>
      </w:r>
      <w:r w:rsidRPr="00C47725">
        <w:rPr>
          <w:snapToGrid w:val="0"/>
          <w:lang w:val="de-DE"/>
        </w:rPr>
        <w:tab/>
        <w:t xml:space="preserve">Die TWA vereinbarte, </w:t>
      </w:r>
      <w:r>
        <w:rPr>
          <w:snapToGrid w:val="0"/>
          <w:lang w:val="de-DE"/>
        </w:rPr>
        <w:t>dem TC vorzuschlagen, dem Rat zu empfehlen</w:t>
      </w:r>
      <w:r w:rsidRPr="00C47725">
        <w:rPr>
          <w:snapToGrid w:val="0"/>
          <w:lang w:val="de-DE"/>
        </w:rPr>
        <w:t>, Frau Renée Cloutier (Kanada) zur nächsten Vorsitzenden de</w:t>
      </w:r>
      <w:r>
        <w:rPr>
          <w:snapToGrid w:val="0"/>
          <w:lang w:val="de-DE"/>
        </w:rPr>
        <w:t>r</w:t>
      </w:r>
      <w:r w:rsidRPr="00C47725">
        <w:rPr>
          <w:snapToGrid w:val="0"/>
          <w:lang w:val="de-DE"/>
        </w:rPr>
        <w:t xml:space="preserve"> TWA zu wählen.</w:t>
      </w:r>
    </w:p>
    <w:p w:rsidR="002D20DB" w:rsidRPr="00C47725" w:rsidRDefault="002D20DB" w:rsidP="002D20DB">
      <w:pPr>
        <w:rPr>
          <w:snapToGrid w:val="0"/>
          <w:lang w:val="de-DE"/>
        </w:rPr>
      </w:pPr>
    </w:p>
    <w:p w:rsidR="002D20DB" w:rsidRPr="00C47725" w:rsidRDefault="002D20DB" w:rsidP="002D20DB">
      <w:pPr>
        <w:rPr>
          <w:snapToGrid w:val="0"/>
          <w:lang w:val="de-DE"/>
        </w:rPr>
      </w:pPr>
      <w:r w:rsidRPr="00640C34">
        <w:rPr>
          <w:snapToGrid w:val="0"/>
          <w:lang w:val="de-DE"/>
        </w:rPr>
        <w:fldChar w:fldCharType="begin"/>
      </w:r>
      <w:r w:rsidRPr="00640C34">
        <w:rPr>
          <w:snapToGrid w:val="0"/>
          <w:lang w:val="de-DE"/>
        </w:rPr>
        <w:instrText xml:space="preserve"> AUTONUM  </w:instrText>
      </w:r>
      <w:r w:rsidRPr="00640C34">
        <w:rPr>
          <w:snapToGrid w:val="0"/>
          <w:lang w:val="de-DE"/>
        </w:rPr>
        <w:fldChar w:fldCharType="end"/>
      </w:r>
      <w:r w:rsidRPr="00C47725">
        <w:rPr>
          <w:snapToGrid w:val="0"/>
          <w:lang w:val="de-DE"/>
        </w:rPr>
        <w:tab/>
        <w:t xml:space="preserve">Die TWA vereinbarte, auf ihrer nächsten Tagung folgende </w:t>
      </w:r>
      <w:r>
        <w:rPr>
          <w:snapToGrid w:val="0"/>
          <w:lang w:val="de-DE"/>
        </w:rPr>
        <w:t>Tagesordnungs</w:t>
      </w:r>
      <w:r w:rsidRPr="00C47725">
        <w:rPr>
          <w:snapToGrid w:val="0"/>
          <w:lang w:val="de-DE"/>
        </w:rPr>
        <w:t xml:space="preserve">unkte zu behandeln. </w:t>
      </w:r>
    </w:p>
    <w:p w:rsidR="002D20DB" w:rsidRPr="00C47725" w:rsidRDefault="002D20DB" w:rsidP="002D20DB">
      <w:pPr>
        <w:rPr>
          <w:snapToGrid w:val="0"/>
          <w:lang w:val="de-DE"/>
        </w:rPr>
      </w:pP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1. Eröffnung der Tagung</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2. Annahme der Tagesordnung</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 xml:space="preserve">3. Kurzberichte über die Entwicklungen im Sortenschutz </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ab/>
        <w:t>a)</w:t>
      </w:r>
      <w:r w:rsidRPr="00C47725">
        <w:rPr>
          <w:snapToGrid w:val="0"/>
          <w:lang w:val="de-DE"/>
        </w:rPr>
        <w:tab/>
        <w:t>Berichte von Mitgliedern und Beobachtern (von Mitgliedern und Beobachtern zu erstellende schriftliche Berichte)</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ab/>
        <w:t>b)</w:t>
      </w:r>
      <w:r w:rsidRPr="00C47725">
        <w:rPr>
          <w:snapToGrid w:val="0"/>
          <w:lang w:val="de-DE"/>
        </w:rPr>
        <w:tab/>
        <w:t>Berichte über Entwicklungen in der UPOV (mündlicher Bericht des Verbandsbüros)</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4. Molekulare Verfahren (vom Verbandsbüro zu erstellendes Dokument)</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5. Entwicklungen in der UPOV (vom Verbandsbüro zu erstellendes Dokument)</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6. Referat über die Verwendung molekularer Verfahren bei der DUS-Prüfung (</w:t>
      </w:r>
      <w:r>
        <w:rPr>
          <w:snapToGrid w:val="0"/>
          <w:lang w:val="de-DE"/>
        </w:rPr>
        <w:t>Verbandsmitglieder</w:t>
      </w:r>
      <w:r w:rsidRPr="00C47725">
        <w:rPr>
          <w:snapToGrid w:val="0"/>
          <w:lang w:val="de-DE"/>
        </w:rPr>
        <w:t xml:space="preserve"> werden um Referate gebeten)</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7. TGP-Dokumente (vom Verbandsbüro zu erstellende Dokumente)</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8. Sortenbezeichnungen (vom Verbandsbüro zu erstellendes Dokument)</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9. Informationen und Datenbanken</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ab/>
        <w:t>a)</w:t>
      </w:r>
      <w:r w:rsidRPr="00C47725">
        <w:rPr>
          <w:snapToGrid w:val="0"/>
          <w:lang w:val="de-DE"/>
        </w:rPr>
        <w:tab/>
        <w:t>UPOV-Informationsdatenbanken (vom Verbandsbüro zu erstellende Dokumente)</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ab/>
        <w:t>b)</w:t>
      </w:r>
      <w:r w:rsidRPr="00C47725">
        <w:rPr>
          <w:snapToGrid w:val="0"/>
          <w:lang w:val="de-DE"/>
        </w:rPr>
        <w:tab/>
        <w:t>Datenbanken für Sortenbeschreibungen (vom Verbandsbüro zu erstellende Dokumente)</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ab/>
        <w:t>c)</w:t>
      </w:r>
      <w:r w:rsidRPr="00C47725">
        <w:rPr>
          <w:snapToGrid w:val="0"/>
          <w:lang w:val="de-DE"/>
        </w:rPr>
        <w:tab/>
        <w:t>Austausch und Verwendung von Software und Ausrüstung (vom Verbandsbüro zu erstellendes Dokument)</w:t>
      </w:r>
    </w:p>
    <w:p w:rsidR="002D20DB" w:rsidRPr="00C47725" w:rsidRDefault="002D20DB" w:rsidP="002D20DB">
      <w:pPr>
        <w:tabs>
          <w:tab w:val="left" w:pos="1134"/>
          <w:tab w:val="left" w:pos="1701"/>
          <w:tab w:val="left" w:pos="2268"/>
        </w:tabs>
        <w:ind w:left="1134" w:hanging="567"/>
        <w:rPr>
          <w:snapToGrid w:val="0"/>
          <w:lang w:val="de-DE"/>
        </w:rPr>
      </w:pPr>
      <w:r w:rsidRPr="00C47725">
        <w:rPr>
          <w:snapToGrid w:val="0"/>
          <w:lang w:val="de-DE"/>
        </w:rPr>
        <w:tab/>
        <w:t>d)</w:t>
      </w:r>
      <w:r w:rsidRPr="00C47725">
        <w:rPr>
          <w:snapToGrid w:val="0"/>
          <w:lang w:val="de-DE"/>
        </w:rPr>
        <w:tab/>
        <w:t>UPOV PRISMA (vom Verbandsbüro zu erstellende Dokumente)</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10. Erfahrungen mit neuen Typ</w:t>
      </w:r>
      <w:r>
        <w:rPr>
          <w:snapToGrid w:val="0"/>
          <w:lang w:val="de-DE"/>
        </w:rPr>
        <w:t>e</w:t>
      </w:r>
      <w:r w:rsidRPr="00C47725">
        <w:rPr>
          <w:snapToGrid w:val="0"/>
          <w:lang w:val="de-DE"/>
        </w:rPr>
        <w:t>n und Arten (mündliche Berichte erbeten)</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 xml:space="preserve">11. Anleitung für Verfasser von Prüfungsrichtlinien </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 xml:space="preserve">12. Erörterungen von </w:t>
      </w:r>
      <w:r>
        <w:rPr>
          <w:snapToGrid w:val="0"/>
          <w:lang w:val="de-DE"/>
        </w:rPr>
        <w:t>Entwürfen von Prüfungsrichtlinien</w:t>
      </w:r>
      <w:r w:rsidRPr="00C47725">
        <w:rPr>
          <w:snapToGrid w:val="0"/>
          <w:lang w:val="de-DE"/>
        </w:rPr>
        <w:t xml:space="preserve"> (Untergruppen)</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 xml:space="preserve">13. Empfehlungen zu </w:t>
      </w:r>
      <w:r>
        <w:rPr>
          <w:snapToGrid w:val="0"/>
          <w:lang w:val="de-DE"/>
        </w:rPr>
        <w:t>Entwürfen von Prüfungsrichtlinien</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14. Neue Technologie für die DUS-Prüfung (von Argentinien, Dänemark zu erstellende Dokumente und Dokumente</w:t>
      </w:r>
      <w:r>
        <w:rPr>
          <w:snapToGrid w:val="0"/>
          <w:lang w:val="de-DE"/>
        </w:rPr>
        <w:t xml:space="preserve"> </w:t>
      </w:r>
      <w:r w:rsidRPr="00C47725">
        <w:rPr>
          <w:snapToGrid w:val="0"/>
          <w:lang w:val="de-DE"/>
        </w:rPr>
        <w:t>erbeten</w:t>
      </w:r>
      <w:r>
        <w:rPr>
          <w:snapToGrid w:val="0"/>
          <w:lang w:val="de-DE"/>
        </w:rPr>
        <w:t>)</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 xml:space="preserve">15. Prüfung von Hybridsorten (vom Vereinigten Königreich zu erstellendes Dokument und </w:t>
      </w:r>
      <w:r>
        <w:rPr>
          <w:snapToGrid w:val="0"/>
          <w:lang w:val="de-DE"/>
        </w:rPr>
        <w:t>Dokumente erbeten</w:t>
      </w:r>
      <w:r w:rsidRPr="00C47725">
        <w:rPr>
          <w:snapToGrid w:val="0"/>
          <w:lang w:val="de-DE"/>
        </w:rPr>
        <w:t>)</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16. Ort und Datum der nächsten Tagung</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17. Künftiges Programm</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lastRenderedPageBreak/>
        <w:t>18. Annahme des Berichts über die Tagung (wenn zeitlich möglich)</w:t>
      </w:r>
    </w:p>
    <w:p w:rsidR="002D20DB" w:rsidRPr="00C47725" w:rsidRDefault="002D20DB" w:rsidP="002D20DB">
      <w:pPr>
        <w:tabs>
          <w:tab w:val="left" w:pos="1134"/>
          <w:tab w:val="left" w:pos="1701"/>
        </w:tabs>
        <w:ind w:left="1134" w:hanging="567"/>
        <w:rPr>
          <w:snapToGrid w:val="0"/>
          <w:lang w:val="de-DE"/>
        </w:rPr>
      </w:pPr>
      <w:r w:rsidRPr="00C47725">
        <w:rPr>
          <w:snapToGrid w:val="0"/>
          <w:lang w:val="de-DE"/>
        </w:rPr>
        <w:t>19. Schließung der Tagung</w:t>
      </w:r>
    </w:p>
    <w:p w:rsidR="002D20DB" w:rsidRPr="00C47725" w:rsidRDefault="002D20DB" w:rsidP="002D20DB">
      <w:pPr>
        <w:rPr>
          <w:snapToGrid w:val="0"/>
          <w:lang w:val="de-DE"/>
        </w:rPr>
      </w:pPr>
    </w:p>
    <w:p w:rsidR="002D20DB" w:rsidRPr="00C47725" w:rsidRDefault="002D20DB" w:rsidP="002D20DB">
      <w:pPr>
        <w:rPr>
          <w:snapToGrid w:val="0"/>
          <w:lang w:val="de-DE"/>
        </w:rPr>
      </w:pPr>
      <w:r w:rsidRPr="00D7627A">
        <w:rPr>
          <w:snapToGrid w:val="0"/>
          <w:lang w:val="de-DE"/>
        </w:rPr>
        <w:fldChar w:fldCharType="begin"/>
      </w:r>
      <w:r w:rsidRPr="00D7627A">
        <w:rPr>
          <w:snapToGrid w:val="0"/>
          <w:lang w:val="de-DE"/>
        </w:rPr>
        <w:instrText xml:space="preserve"> AUTONUM  </w:instrText>
      </w:r>
      <w:r w:rsidRPr="00D7627A">
        <w:rPr>
          <w:snapToGrid w:val="0"/>
          <w:lang w:val="de-DE"/>
        </w:rPr>
        <w:fldChar w:fldCharType="end"/>
      </w:r>
      <w:r w:rsidRPr="00C47725">
        <w:rPr>
          <w:snapToGrid w:val="0"/>
          <w:lang w:val="de-DE"/>
        </w:rPr>
        <w:tab/>
        <w:t>Die TWA vereinbarte, dass Diskussionsgruppen eine nützliche Gelegenheit für den Erfahrungsaustausch zwischen den Teilnehmern b</w:t>
      </w:r>
      <w:r>
        <w:rPr>
          <w:snapToGrid w:val="0"/>
          <w:lang w:val="de-DE"/>
        </w:rPr>
        <w:t>ö</w:t>
      </w:r>
      <w:r w:rsidRPr="00C47725">
        <w:rPr>
          <w:snapToGrid w:val="0"/>
          <w:lang w:val="de-DE"/>
        </w:rPr>
        <w:t xml:space="preserve">ten, und vereinbarte, die Bildung </w:t>
      </w:r>
      <w:r>
        <w:rPr>
          <w:snapToGrid w:val="0"/>
          <w:lang w:val="de-DE"/>
        </w:rPr>
        <w:t>von</w:t>
      </w:r>
      <w:r w:rsidRPr="00C47725">
        <w:rPr>
          <w:snapToGrid w:val="0"/>
          <w:lang w:val="de-DE"/>
        </w:rPr>
        <w:t xml:space="preserve"> Diskussionsgruppen vorzuschlagen, um </w:t>
      </w:r>
      <w:r>
        <w:rPr>
          <w:snapToGrid w:val="0"/>
          <w:lang w:val="de-DE"/>
        </w:rPr>
        <w:t>auf</w:t>
      </w:r>
      <w:r w:rsidRPr="00C47725">
        <w:rPr>
          <w:snapToGrid w:val="0"/>
          <w:lang w:val="de-DE"/>
        </w:rPr>
        <w:t xml:space="preserve"> ihrer neunundvierzigsten Sitzung</w:t>
      </w:r>
      <w:r>
        <w:rPr>
          <w:snapToGrid w:val="0"/>
          <w:lang w:val="de-DE"/>
        </w:rPr>
        <w:t xml:space="preserve"> „</w:t>
      </w:r>
      <w:r w:rsidRPr="00C47725">
        <w:rPr>
          <w:snapToGrid w:val="0"/>
          <w:lang w:val="de-DE"/>
        </w:rPr>
        <w:t>Neue Technologie für die DUS-Prüfung</w:t>
      </w:r>
      <w:r>
        <w:rPr>
          <w:snapToGrid w:val="0"/>
          <w:lang w:val="de-DE"/>
        </w:rPr>
        <w:t>“</w:t>
      </w:r>
      <w:r w:rsidRPr="00C47725">
        <w:rPr>
          <w:snapToGrid w:val="0"/>
          <w:lang w:val="de-DE"/>
        </w:rPr>
        <w:t xml:space="preserve"> (</w:t>
      </w:r>
      <w:r>
        <w:rPr>
          <w:snapToGrid w:val="0"/>
          <w:lang w:val="de-DE"/>
        </w:rPr>
        <w:t>Tagesordnungsp</w:t>
      </w:r>
      <w:r w:rsidRPr="00C47725">
        <w:rPr>
          <w:snapToGrid w:val="0"/>
          <w:lang w:val="de-DE"/>
        </w:rPr>
        <w:t>unkt</w:t>
      </w:r>
      <w:r>
        <w:rPr>
          <w:snapToGrid w:val="0"/>
          <w:lang w:val="de-DE"/>
        </w:rPr>
        <w:t xml:space="preserve"> </w:t>
      </w:r>
      <w:r w:rsidRPr="00C47725">
        <w:rPr>
          <w:snapToGrid w:val="0"/>
          <w:lang w:val="de-DE"/>
        </w:rPr>
        <w:t>12) zu erörtern.</w:t>
      </w:r>
    </w:p>
    <w:p w:rsidR="002D20DB" w:rsidRPr="00C47725" w:rsidRDefault="002D20DB" w:rsidP="002D20DB">
      <w:pPr>
        <w:contextualSpacing/>
        <w:rPr>
          <w:rFonts w:cs="Arial"/>
          <w:color w:val="000000"/>
          <w:lang w:val="de-DE"/>
        </w:rPr>
      </w:pPr>
    </w:p>
    <w:p w:rsidR="002D20DB" w:rsidRPr="00C47725" w:rsidRDefault="002D20DB" w:rsidP="002D20DB">
      <w:pPr>
        <w:pStyle w:val="Heading3"/>
      </w:pPr>
      <w:r w:rsidRPr="00C47725">
        <w:t>Technische Arbeitsgruppe für Automatisierung und Computerprogramme (TWC)</w:t>
      </w:r>
    </w:p>
    <w:p w:rsidR="002D20DB" w:rsidRPr="00C47725" w:rsidRDefault="002D20DB" w:rsidP="002D20DB">
      <w:pPr>
        <w:keepNext/>
        <w:rPr>
          <w:lang w:val="de-DE"/>
        </w:rPr>
      </w:pPr>
    </w:p>
    <w:p w:rsidR="002D20DB" w:rsidRPr="00C47725" w:rsidRDefault="002D20DB" w:rsidP="002D20DB">
      <w:pPr>
        <w:keepNext/>
        <w:rPr>
          <w:lang w:val="de-DE"/>
        </w:rPr>
      </w:pPr>
      <w:r w:rsidRPr="00C47725">
        <w:rPr>
          <w:lang w:val="de-DE"/>
        </w:rPr>
        <w:t>Bericht von Herrn Kees van Ettekoven (Niederlande), in Abwesenheit von Herrn Christophe Chevalier (Frankreich), Vorsitzender de</w:t>
      </w:r>
      <w:r>
        <w:rPr>
          <w:lang w:val="de-DE"/>
        </w:rPr>
        <w:t>r</w:t>
      </w:r>
      <w:r w:rsidRPr="00C47725">
        <w:rPr>
          <w:lang w:val="de-DE"/>
        </w:rPr>
        <w:t xml:space="preserve"> TWC</w:t>
      </w:r>
    </w:p>
    <w:p w:rsidR="002D20DB" w:rsidRPr="00C47725" w:rsidRDefault="002D20DB" w:rsidP="002D20DB">
      <w:pPr>
        <w:keepNext/>
        <w:rPr>
          <w:lang w:val="de-DE"/>
        </w:rPr>
      </w:pPr>
    </w:p>
    <w:p w:rsidR="002D20DB" w:rsidRPr="00C47725" w:rsidRDefault="002D20DB" w:rsidP="002D20DB">
      <w:pPr>
        <w:pStyle w:val="Heading4"/>
        <w:rPr>
          <w:lang w:val="de-DE"/>
        </w:rPr>
      </w:pPr>
      <w:r w:rsidRPr="00C47725">
        <w:rPr>
          <w:lang w:val="de-DE"/>
        </w:rPr>
        <w:t>Siebenunddreißigste Tagung de</w:t>
      </w:r>
      <w:r>
        <w:rPr>
          <w:lang w:val="de-DE"/>
        </w:rPr>
        <w:t>r</w:t>
      </w:r>
      <w:r w:rsidRPr="00C47725">
        <w:rPr>
          <w:lang w:val="de-DE"/>
        </w:rPr>
        <w:t xml:space="preserve"> TWC</w:t>
      </w:r>
    </w:p>
    <w:p w:rsidR="002D20DB" w:rsidRPr="00C47725" w:rsidRDefault="002D20DB" w:rsidP="002D20DB">
      <w:pPr>
        <w:keepNext/>
        <w:rPr>
          <w:snapToGrid w:val="0"/>
          <w:lang w:val="de-DE"/>
        </w:rPr>
      </w:pPr>
    </w:p>
    <w:p w:rsidR="002D20DB" w:rsidRPr="00C47725" w:rsidRDefault="002D20DB" w:rsidP="002D20DB">
      <w:pPr>
        <w:rPr>
          <w:lang w:val="de-DE"/>
        </w:rPr>
      </w:pPr>
      <w:r w:rsidRPr="00D7627A">
        <w:rPr>
          <w:snapToGrid w:val="0"/>
          <w:lang w:val="de-DE"/>
        </w:rPr>
        <w:fldChar w:fldCharType="begin"/>
      </w:r>
      <w:r w:rsidRPr="00D7627A">
        <w:rPr>
          <w:snapToGrid w:val="0"/>
          <w:lang w:val="de-DE"/>
        </w:rPr>
        <w:instrText xml:space="preserve"> AUTONUM  </w:instrText>
      </w:r>
      <w:r w:rsidRPr="00D7627A">
        <w:rPr>
          <w:snapToGrid w:val="0"/>
          <w:lang w:val="de-DE"/>
        </w:rPr>
        <w:fldChar w:fldCharType="end"/>
      </w:r>
      <w:r w:rsidRPr="00C47725">
        <w:rPr>
          <w:snapToGrid w:val="0"/>
          <w:lang w:val="de-DE"/>
        </w:rPr>
        <w:tab/>
      </w:r>
      <w:r w:rsidRPr="00C47725">
        <w:rPr>
          <w:lang w:val="de-DE"/>
        </w:rPr>
        <w:t>Die TWC hielt ihre siebenunddreißigste Tagung vom 14. bis 16. Oktober 2019 in Hangzhou, China, ab. In Abwesenheit von Herrn Christophe Chevalier (Frankreich), Vorsitzender der TWC, wurde die Tagung von Herrn Kees van Ettekoven (Niederlande) eröffnet, der auch den Vorsitz führte</w:t>
      </w:r>
      <w:r w:rsidRPr="00C47725">
        <w:rPr>
          <w:rFonts w:cs="Arial"/>
          <w:lang w:val="de-DE"/>
        </w:rPr>
        <w:t>.</w:t>
      </w:r>
    </w:p>
    <w:p w:rsidR="002D20DB" w:rsidRPr="00C47725" w:rsidRDefault="002D20DB" w:rsidP="002D20DB">
      <w:pPr>
        <w:rPr>
          <w:lang w:val="de-DE"/>
        </w:rPr>
      </w:pPr>
    </w:p>
    <w:p w:rsidR="002D20DB" w:rsidRPr="00C47725" w:rsidRDefault="002D20DB" w:rsidP="002D20DB">
      <w:pPr>
        <w:rPr>
          <w:lang w:val="de-DE"/>
        </w:rPr>
      </w:pPr>
      <w:r w:rsidRPr="00B14B09">
        <w:rPr>
          <w:lang w:val="de-DE"/>
        </w:rPr>
        <w:fldChar w:fldCharType="begin"/>
      </w:r>
      <w:r w:rsidRPr="00B14B09">
        <w:rPr>
          <w:lang w:val="de-DE"/>
        </w:rPr>
        <w:instrText xml:space="preserve"> AUTONUM  </w:instrText>
      </w:r>
      <w:r w:rsidRPr="00B14B09">
        <w:rPr>
          <w:lang w:val="de-DE"/>
        </w:rPr>
        <w:fldChar w:fldCharType="end"/>
      </w:r>
      <w:r w:rsidRPr="00C47725">
        <w:rPr>
          <w:lang w:val="de-DE"/>
        </w:rPr>
        <w:tab/>
        <w:t>Die TWC wurde von Herrn Hao Tang, Abteilungsleiter, Abteilung für DUS-Prüfungen, Entwicklungszentrum für Wissenschaft und Techno</w:t>
      </w:r>
      <w:r w:rsidRPr="00B14B09">
        <w:rPr>
          <w:lang w:val="de-DE"/>
        </w:rPr>
        <w:t>logie des Landwirtschaftsministeriums (MARA) von China, begrüßt. Die TWC hörte ein Referat von Frau Xuhong Yang, Stellvertretende Abteilungsleiterin, Abteilung für DUS-Prüfungen, Entwicklungszentrum für Wissenschaft und Technologie des Landwirtschaftsministeriums (MARA) von China, über Entwicklungen im Sortenschutz in China. Der Bericht über die Sitzung ist in Dokument TWC/37/12</w:t>
      </w:r>
      <w:r>
        <w:rPr>
          <w:lang w:val="de-DE"/>
        </w:rPr>
        <w:t xml:space="preserve"> „Report“</w:t>
      </w:r>
      <w:r w:rsidRPr="00B14B09">
        <w:rPr>
          <w:lang w:val="de-DE"/>
        </w:rPr>
        <w:t xml:space="preserve"> dargelegt.</w:t>
      </w:r>
    </w:p>
    <w:p w:rsidR="002D20DB" w:rsidRPr="00C47725" w:rsidRDefault="002D20DB" w:rsidP="002D20DB">
      <w:pPr>
        <w:pStyle w:val="Heading5"/>
        <w:rPr>
          <w:lang w:val="de-DE"/>
        </w:rPr>
      </w:pPr>
    </w:p>
    <w:p w:rsidR="002D20DB" w:rsidRPr="00C47725" w:rsidRDefault="002D20DB" w:rsidP="002D20DB">
      <w:pPr>
        <w:pStyle w:val="Heading5"/>
        <w:rPr>
          <w:lang w:val="de-DE"/>
        </w:rPr>
      </w:pPr>
      <w:r w:rsidRPr="00C47725">
        <w:rPr>
          <w:lang w:val="de-DE"/>
        </w:rPr>
        <w:t>Methode zur Berechnung des kombinierten Homogenitätskriteriums über mehrere Jahre (COYU)</w:t>
      </w:r>
    </w:p>
    <w:p w:rsidR="002D20DB" w:rsidRPr="00C47725" w:rsidRDefault="002D20DB" w:rsidP="002D20DB">
      <w:pPr>
        <w:rPr>
          <w:lang w:val="de-DE"/>
        </w:rPr>
      </w:pPr>
    </w:p>
    <w:p w:rsidR="002D20DB" w:rsidRPr="00C47725" w:rsidRDefault="002D20DB" w:rsidP="002D20DB">
      <w:pPr>
        <w:rPr>
          <w:lang w:val="de-DE"/>
        </w:rPr>
      </w:pPr>
      <w:r w:rsidRPr="00B14B09">
        <w:rPr>
          <w:lang w:val="de-DE"/>
        </w:rPr>
        <w:fldChar w:fldCharType="begin"/>
      </w:r>
      <w:r w:rsidRPr="00B14B09">
        <w:rPr>
          <w:lang w:val="de-DE"/>
        </w:rPr>
        <w:instrText xml:space="preserve"> AUTONUM  </w:instrText>
      </w:r>
      <w:r w:rsidRPr="00B14B09">
        <w:rPr>
          <w:lang w:val="de-DE"/>
        </w:rPr>
        <w:fldChar w:fldCharType="end"/>
      </w:r>
      <w:r w:rsidRPr="00C47725">
        <w:rPr>
          <w:lang w:val="de-DE"/>
        </w:rPr>
        <w:tab/>
      </w:r>
      <w:r>
        <w:rPr>
          <w:lang w:val="de-DE"/>
        </w:rPr>
        <w:t>Die</w:t>
      </w:r>
      <w:r w:rsidRPr="00C47725">
        <w:rPr>
          <w:lang w:val="de-DE"/>
        </w:rPr>
        <w:t xml:space="preserve"> TWC vereinbarte, Mitglieder, die</w:t>
      </w:r>
      <w:r>
        <w:rPr>
          <w:lang w:val="de-DE"/>
        </w:rPr>
        <w:t xml:space="preserve"> „</w:t>
      </w:r>
      <w:r w:rsidRPr="00C47725">
        <w:rPr>
          <w:lang w:val="de-DE"/>
        </w:rPr>
        <w:t>R</w:t>
      </w:r>
      <w:r>
        <w:rPr>
          <w:lang w:val="de-DE"/>
        </w:rPr>
        <w:t>“</w:t>
      </w:r>
      <w:r w:rsidRPr="00C47725">
        <w:rPr>
          <w:lang w:val="de-DE"/>
        </w:rPr>
        <w:t>- oder</w:t>
      </w:r>
      <w:r>
        <w:rPr>
          <w:lang w:val="de-DE"/>
        </w:rPr>
        <w:t xml:space="preserve"> „</w:t>
      </w:r>
      <w:r w:rsidRPr="00C47725">
        <w:rPr>
          <w:lang w:val="de-DE"/>
        </w:rPr>
        <w:t>DUST</w:t>
      </w:r>
      <w:r>
        <w:rPr>
          <w:lang w:val="de-DE"/>
        </w:rPr>
        <w:t>“</w:t>
      </w:r>
      <w:r w:rsidRPr="00C47725">
        <w:rPr>
          <w:lang w:val="de-DE"/>
        </w:rPr>
        <w:t>-Software verwenden</w:t>
      </w:r>
      <w:r>
        <w:rPr>
          <w:lang w:val="de-DE"/>
        </w:rPr>
        <w:t xml:space="preserve">, </w:t>
      </w:r>
      <w:r w:rsidRPr="00C47725">
        <w:rPr>
          <w:lang w:val="de-DE"/>
        </w:rPr>
        <w:t xml:space="preserve">zu ersuchen, das neue COYU-Paket zu überprüfen, um </w:t>
      </w:r>
      <w:r>
        <w:rPr>
          <w:lang w:val="de-DE"/>
        </w:rPr>
        <w:t>etwaige</w:t>
      </w:r>
      <w:r w:rsidRPr="00C47725">
        <w:rPr>
          <w:lang w:val="de-DE"/>
        </w:rPr>
        <w:t xml:space="preserve"> Verbesserungspunkte zu </w:t>
      </w:r>
      <w:r w:rsidRPr="00B14B09">
        <w:rPr>
          <w:lang w:val="de-DE"/>
        </w:rPr>
        <w:t>ermitteln</w:t>
      </w:r>
      <w:r w:rsidRPr="00C47725">
        <w:rPr>
          <w:lang w:val="de-DE"/>
        </w:rPr>
        <w:t xml:space="preserve">. Die TWC nahm zur Kenntnis, dass Sachverständige aus China, Finnland, Frankreich und dem Vereinigten Königreich Interesse bekundet </w:t>
      </w:r>
      <w:r>
        <w:rPr>
          <w:lang w:val="de-DE"/>
        </w:rPr>
        <w:t>hätten</w:t>
      </w:r>
      <w:r w:rsidRPr="00C47725">
        <w:rPr>
          <w:lang w:val="de-DE"/>
        </w:rPr>
        <w:t>, das neue COYU-Paket zu überprüfen.</w:t>
      </w:r>
    </w:p>
    <w:p w:rsidR="002D20DB" w:rsidRPr="00C47725" w:rsidRDefault="002D20DB" w:rsidP="002D20DB">
      <w:pPr>
        <w:rPr>
          <w:lang w:val="de-DE"/>
        </w:rPr>
      </w:pPr>
    </w:p>
    <w:p w:rsidR="002D20DB" w:rsidRPr="00C47725" w:rsidRDefault="002D20DB" w:rsidP="002D20DB">
      <w:pPr>
        <w:rPr>
          <w:lang w:val="de-DE"/>
        </w:rPr>
      </w:pPr>
      <w:r w:rsidRPr="00B14B09">
        <w:rPr>
          <w:lang w:val="de-DE"/>
        </w:rPr>
        <w:fldChar w:fldCharType="begin"/>
      </w:r>
      <w:r w:rsidRPr="00B14B09">
        <w:rPr>
          <w:lang w:val="de-DE"/>
        </w:rPr>
        <w:instrText xml:space="preserve"> AUTONUM  </w:instrText>
      </w:r>
      <w:r w:rsidRPr="00B14B09">
        <w:rPr>
          <w:lang w:val="de-DE"/>
        </w:rPr>
        <w:fldChar w:fldCharType="end"/>
      </w:r>
      <w:r w:rsidRPr="00C47725">
        <w:rPr>
          <w:lang w:val="de-DE"/>
        </w:rPr>
        <w:tab/>
      </w:r>
      <w:r>
        <w:rPr>
          <w:lang w:val="de-DE"/>
        </w:rPr>
        <w:t>Die</w:t>
      </w:r>
      <w:r w:rsidRPr="00C47725">
        <w:rPr>
          <w:lang w:val="de-DE"/>
        </w:rPr>
        <w:t xml:space="preserve"> TWC prüfte den vorgeschlagenen Entwurf </w:t>
      </w:r>
      <w:r w:rsidRPr="00B14B09">
        <w:rPr>
          <w:lang w:val="de-DE"/>
        </w:rPr>
        <w:t xml:space="preserve">einer </w:t>
      </w:r>
      <w:bookmarkStart w:id="2" w:name="_Hlk24876049"/>
      <w:r w:rsidRPr="00B14B09">
        <w:rPr>
          <w:lang w:val="de-DE"/>
        </w:rPr>
        <w:t>Überarbeitung von Dokument</w:t>
      </w:r>
      <w:bookmarkEnd w:id="2"/>
      <w:r w:rsidRPr="00B14B09">
        <w:rPr>
          <w:lang w:val="de-DE"/>
        </w:rPr>
        <w:t xml:space="preserve"> TGP/8, Abschnitt 9</w:t>
      </w:r>
      <w:r>
        <w:rPr>
          <w:lang w:val="de-DE"/>
        </w:rPr>
        <w:t xml:space="preserve"> „</w:t>
      </w:r>
      <w:r w:rsidRPr="00B14B09">
        <w:rPr>
          <w:lang w:val="de-DE"/>
        </w:rPr>
        <w:t>Das kombinierte Homogenitätskriterium über mehrere Jahre (COYU)</w:t>
      </w:r>
      <w:r>
        <w:rPr>
          <w:lang w:val="de-DE"/>
        </w:rPr>
        <w:t>“</w:t>
      </w:r>
      <w:r w:rsidRPr="00B14B09">
        <w:rPr>
          <w:lang w:val="de-DE"/>
        </w:rPr>
        <w:t xml:space="preserve">, wie in der </w:t>
      </w:r>
      <w:bookmarkStart w:id="3" w:name="_Hlk24876056"/>
      <w:r w:rsidRPr="00B14B09">
        <w:rPr>
          <w:lang w:val="de-DE"/>
        </w:rPr>
        <w:t xml:space="preserve">Anlage des Dokuments </w:t>
      </w:r>
      <w:bookmarkEnd w:id="3"/>
      <w:r w:rsidRPr="00B14B09">
        <w:rPr>
          <w:lang w:val="de-DE"/>
        </w:rPr>
        <w:t xml:space="preserve">TWC/37/7 dargelegt. </w:t>
      </w:r>
      <w:r>
        <w:rPr>
          <w:lang w:val="de-DE"/>
        </w:rPr>
        <w:t>Die</w:t>
      </w:r>
      <w:r w:rsidRPr="00B14B09">
        <w:rPr>
          <w:lang w:val="de-DE"/>
        </w:rPr>
        <w:t xml:space="preserve"> TWC vereinbarte, den Sachverständigen aus dem Vereinigten Königreich zu ersuchen, eine </w:t>
      </w:r>
      <w:bookmarkStart w:id="4" w:name="_Hlk24876064"/>
      <w:r w:rsidRPr="00B14B09">
        <w:rPr>
          <w:lang w:val="de-DE"/>
        </w:rPr>
        <w:t>überarbeitete Fassung des Entwurfs einer Anlei</w:t>
      </w:r>
      <w:r w:rsidRPr="00C47725">
        <w:rPr>
          <w:lang w:val="de-DE"/>
        </w:rPr>
        <w:t xml:space="preserve">tung </w:t>
      </w:r>
      <w:bookmarkEnd w:id="4"/>
      <w:r w:rsidRPr="00C47725">
        <w:rPr>
          <w:lang w:val="de-DE"/>
        </w:rPr>
        <w:t>zu erstellen, die der TWC auf ihrer achtunddreißigsten Tagung vorgelegt werden soll.</w:t>
      </w:r>
    </w:p>
    <w:p w:rsidR="002D20DB" w:rsidRPr="00C47725" w:rsidRDefault="002D20DB" w:rsidP="002D20DB">
      <w:pPr>
        <w:keepNext/>
        <w:rPr>
          <w:rFonts w:eastAsia="MS Mincho"/>
          <w:lang w:val="de-DE"/>
        </w:rPr>
      </w:pPr>
    </w:p>
    <w:p w:rsidR="002D20DB" w:rsidRPr="00C47725" w:rsidRDefault="002D20DB" w:rsidP="002D20DB">
      <w:pPr>
        <w:pStyle w:val="Heading5"/>
        <w:rPr>
          <w:snapToGrid w:val="0"/>
          <w:lang w:val="de-DE"/>
        </w:rPr>
      </w:pPr>
      <w:r w:rsidRPr="00C47725">
        <w:rPr>
          <w:snapToGrid w:val="0"/>
          <w:lang w:val="de-DE"/>
        </w:rPr>
        <w:t>Mit der Prüfung der Homogenität anhand von Abweichern aufgrund von mehr als einer Wachstumsperiode verbundene Risiken</w:t>
      </w:r>
    </w:p>
    <w:p w:rsidR="002D20DB" w:rsidRPr="00C47725" w:rsidRDefault="002D20DB" w:rsidP="002D20DB">
      <w:pPr>
        <w:rPr>
          <w:snapToGrid w:val="0"/>
          <w:lang w:val="de-DE"/>
        </w:rPr>
      </w:pPr>
    </w:p>
    <w:p w:rsidR="002D20DB" w:rsidRPr="00C47725" w:rsidRDefault="002D20DB" w:rsidP="002D20DB">
      <w:pPr>
        <w:rPr>
          <w:lang w:val="de-DE"/>
        </w:rPr>
      </w:pPr>
      <w:r w:rsidRPr="00347072">
        <w:rPr>
          <w:lang w:val="de-DE"/>
        </w:rPr>
        <w:fldChar w:fldCharType="begin"/>
      </w:r>
      <w:r w:rsidRPr="00347072">
        <w:rPr>
          <w:lang w:val="de-DE"/>
        </w:rPr>
        <w:instrText xml:space="preserve"> AUTONUM  </w:instrText>
      </w:r>
      <w:r w:rsidRPr="00347072">
        <w:rPr>
          <w:lang w:val="de-DE"/>
        </w:rPr>
        <w:fldChar w:fldCharType="end"/>
      </w:r>
      <w:r w:rsidRPr="00C47725">
        <w:rPr>
          <w:lang w:val="de-DE"/>
        </w:rPr>
        <w:tab/>
        <w:t xml:space="preserve">Die TWC nahm zur Kenntnis, dass eine Software in Excel entwickelt </w:t>
      </w:r>
      <w:r>
        <w:rPr>
          <w:lang w:val="de-DE"/>
        </w:rPr>
        <w:t>worden war</w:t>
      </w:r>
      <w:r w:rsidRPr="00C47725">
        <w:rPr>
          <w:lang w:val="de-DE"/>
        </w:rPr>
        <w:t xml:space="preserve">, um die Anzahl der Abweicher und Risiken zu berechnen, die mit </w:t>
      </w:r>
      <w:r>
        <w:rPr>
          <w:lang w:val="de-DE"/>
        </w:rPr>
        <w:t xml:space="preserve">der </w:t>
      </w:r>
      <w:r w:rsidRPr="00C47725">
        <w:rPr>
          <w:lang w:val="de-DE"/>
        </w:rPr>
        <w:t xml:space="preserve">Prüfung der Homogenität anhand von Abweichern aufgrund von mehr als einer Wachstumsperiode verbunden sind, wie in Dokument TWC/37/5, Anlage II, dargelegt. Sie begrüßte die Verfügbarkeit von Software, die die Bestimmung der maximalen Anzahl von Abweichern ermöglicht, sowohl für den Fall, dass </w:t>
      </w:r>
      <w:r w:rsidRPr="00347072">
        <w:rPr>
          <w:lang w:val="de-DE"/>
        </w:rPr>
        <w:t>die Akzeptanzwahrscheinlichkeit in jeder Periode separat angewendet wird, als auch für die Zwei-Perioden-Prüfung.</w:t>
      </w:r>
    </w:p>
    <w:p w:rsidR="002D20DB" w:rsidRPr="00C47725" w:rsidRDefault="002D20DB" w:rsidP="002D20DB">
      <w:pPr>
        <w:rPr>
          <w:lang w:val="de-DE"/>
        </w:rPr>
      </w:pPr>
    </w:p>
    <w:p w:rsidR="002D20DB" w:rsidRPr="00C47725" w:rsidRDefault="002D20DB" w:rsidP="002D20DB">
      <w:pPr>
        <w:rPr>
          <w:lang w:val="de-DE"/>
        </w:rPr>
      </w:pPr>
      <w:r w:rsidRPr="00347072">
        <w:rPr>
          <w:lang w:val="de-DE"/>
        </w:rPr>
        <w:fldChar w:fldCharType="begin"/>
      </w:r>
      <w:r w:rsidRPr="00347072">
        <w:rPr>
          <w:lang w:val="de-DE"/>
        </w:rPr>
        <w:instrText xml:space="preserve"> AUTONUM  </w:instrText>
      </w:r>
      <w:r w:rsidRPr="00347072">
        <w:rPr>
          <w:lang w:val="de-DE"/>
        </w:rPr>
        <w:fldChar w:fldCharType="end"/>
      </w:r>
      <w:r w:rsidRPr="00C47725">
        <w:rPr>
          <w:lang w:val="de-DE"/>
        </w:rPr>
        <w:tab/>
        <w:t xml:space="preserve">Die TWC vereinbarte vorzuschlagen, die Software zum Herunterladen von der UPOV-Website zur Verfügung </w:t>
      </w:r>
      <w:r>
        <w:rPr>
          <w:lang w:val="de-DE"/>
        </w:rPr>
        <w:t>zu stellen</w:t>
      </w:r>
      <w:r w:rsidRPr="00C47725">
        <w:rPr>
          <w:lang w:val="de-DE"/>
        </w:rPr>
        <w:t xml:space="preserve">. </w:t>
      </w:r>
    </w:p>
    <w:p w:rsidR="002D20DB" w:rsidRPr="00C47725" w:rsidRDefault="002D20DB" w:rsidP="002D20DB">
      <w:pPr>
        <w:rPr>
          <w:lang w:val="de-DE"/>
        </w:rPr>
      </w:pPr>
    </w:p>
    <w:p w:rsidR="002D20DB" w:rsidRPr="00C47725" w:rsidRDefault="002D20DB" w:rsidP="002D20DB">
      <w:pPr>
        <w:pStyle w:val="Heading5"/>
        <w:rPr>
          <w:snapToGrid w:val="0"/>
          <w:lang w:val="de-DE"/>
        </w:rPr>
      </w:pPr>
      <w:r w:rsidRPr="00C47725">
        <w:rPr>
          <w:snapToGrid w:val="0"/>
          <w:lang w:val="de-DE"/>
        </w:rPr>
        <w:t xml:space="preserve">Erfahrung mit der Verwendung von zwei Standorten </w:t>
      </w:r>
      <w:r>
        <w:rPr>
          <w:snapToGrid w:val="0"/>
          <w:lang w:val="de-DE"/>
        </w:rPr>
        <w:t>in einem</w:t>
      </w:r>
      <w:r w:rsidRPr="00C47725">
        <w:rPr>
          <w:snapToGrid w:val="0"/>
          <w:lang w:val="de-DE"/>
        </w:rPr>
        <w:t xml:space="preserve"> Jahr für DUS-Entscheidungen</w:t>
      </w:r>
    </w:p>
    <w:p w:rsidR="002D20DB" w:rsidRPr="00C47725" w:rsidRDefault="002D20DB" w:rsidP="002D20DB">
      <w:pPr>
        <w:rPr>
          <w:lang w:val="de-DE"/>
        </w:rPr>
      </w:pPr>
    </w:p>
    <w:p w:rsidR="002D20DB" w:rsidRPr="00C47725" w:rsidRDefault="002D20DB" w:rsidP="002D20DB">
      <w:pPr>
        <w:rPr>
          <w:lang w:val="de-DE"/>
        </w:rPr>
      </w:pPr>
      <w:r w:rsidRPr="00347072">
        <w:rPr>
          <w:lang w:val="de-DE"/>
        </w:rPr>
        <w:fldChar w:fldCharType="begin"/>
      </w:r>
      <w:r w:rsidRPr="00347072">
        <w:rPr>
          <w:lang w:val="de-DE"/>
        </w:rPr>
        <w:instrText xml:space="preserve"> AUTONUM  </w:instrText>
      </w:r>
      <w:r w:rsidRPr="00347072">
        <w:rPr>
          <w:lang w:val="de-DE"/>
        </w:rPr>
        <w:fldChar w:fldCharType="end"/>
      </w:r>
      <w:r w:rsidRPr="00C47725">
        <w:rPr>
          <w:lang w:val="de-DE"/>
        </w:rPr>
        <w:tab/>
        <w:t>Die TWC erinnerte daran, dass, wenn zwei Wachstumsperioden im selben Jahr und zur gleichen Zeit durchgeführt w</w:t>
      </w:r>
      <w:r>
        <w:rPr>
          <w:lang w:val="de-DE"/>
        </w:rPr>
        <w:t>ü</w:t>
      </w:r>
      <w:r w:rsidRPr="00C47725">
        <w:rPr>
          <w:lang w:val="de-DE"/>
        </w:rPr>
        <w:t xml:space="preserve">rden, ein geeigneter Abstand oder ein </w:t>
      </w:r>
      <w:r>
        <w:rPr>
          <w:lang w:val="de-DE"/>
        </w:rPr>
        <w:t>geeigneter</w:t>
      </w:r>
      <w:r w:rsidRPr="00C47725">
        <w:rPr>
          <w:lang w:val="de-DE"/>
        </w:rPr>
        <w:t xml:space="preserve"> Unterschied bei den Anbaubedingungen zwischen zwei Prüfungsorten erforderlich wäre, um </w:t>
      </w:r>
      <w:r>
        <w:rPr>
          <w:lang w:val="de-DE"/>
        </w:rPr>
        <w:t>die</w:t>
      </w:r>
      <w:r w:rsidRPr="00C47725">
        <w:rPr>
          <w:lang w:val="de-DE"/>
        </w:rPr>
        <w:t xml:space="preserve"> Anforderung der Unabhängigkeit zu erfüllen.</w:t>
      </w:r>
    </w:p>
    <w:p w:rsidR="002D20DB" w:rsidRPr="00C47725" w:rsidRDefault="002D20DB" w:rsidP="002D20DB">
      <w:pPr>
        <w:rPr>
          <w:lang w:val="de-DE"/>
        </w:rPr>
      </w:pPr>
    </w:p>
    <w:p w:rsidR="002D20DB" w:rsidRPr="00C47725" w:rsidRDefault="002D20DB" w:rsidP="002D20DB">
      <w:pPr>
        <w:pStyle w:val="Heading5"/>
        <w:rPr>
          <w:lang w:val="de-DE"/>
        </w:rPr>
      </w:pPr>
      <w:r w:rsidRPr="00C47725">
        <w:rPr>
          <w:lang w:val="de-DE"/>
        </w:rPr>
        <w:t>Entwicklung und Innovation von DUS-Prüfungsinstrumenten</w:t>
      </w:r>
    </w:p>
    <w:p w:rsidR="002D20DB" w:rsidRPr="00C47725" w:rsidRDefault="002D20DB" w:rsidP="002D20DB">
      <w:pPr>
        <w:rPr>
          <w:lang w:val="de-DE"/>
        </w:rPr>
      </w:pPr>
    </w:p>
    <w:p w:rsidR="002D20DB" w:rsidRPr="00C47725" w:rsidRDefault="002D20DB" w:rsidP="002D20DB">
      <w:pPr>
        <w:rPr>
          <w:lang w:val="de-DE"/>
        </w:rPr>
      </w:pPr>
      <w:r w:rsidRPr="00347072">
        <w:rPr>
          <w:lang w:val="de-DE"/>
        </w:rPr>
        <w:fldChar w:fldCharType="begin"/>
      </w:r>
      <w:r w:rsidRPr="00347072">
        <w:rPr>
          <w:lang w:val="de-DE"/>
        </w:rPr>
        <w:instrText xml:space="preserve"> AUTONUM  </w:instrText>
      </w:r>
      <w:r w:rsidRPr="00347072">
        <w:rPr>
          <w:lang w:val="de-DE"/>
        </w:rPr>
        <w:fldChar w:fldCharType="end"/>
      </w:r>
      <w:r w:rsidRPr="00C47725">
        <w:rPr>
          <w:lang w:val="de-DE"/>
        </w:rPr>
        <w:tab/>
        <w:t>Die TWC erinnerte daran, dass die Dokumente UPOV/INF/16</w:t>
      </w:r>
      <w:r>
        <w:rPr>
          <w:lang w:val="de-DE"/>
        </w:rPr>
        <w:t xml:space="preserve"> „</w:t>
      </w:r>
      <w:r w:rsidRPr="00C47725">
        <w:rPr>
          <w:lang w:val="de-DE"/>
        </w:rPr>
        <w:t>Austauschbare Software</w:t>
      </w:r>
      <w:r>
        <w:rPr>
          <w:lang w:val="de-DE"/>
        </w:rPr>
        <w:t>“</w:t>
      </w:r>
      <w:r w:rsidRPr="00C47725">
        <w:rPr>
          <w:lang w:val="de-DE"/>
        </w:rPr>
        <w:t xml:space="preserve"> und/oder UPOV/INF/22</w:t>
      </w:r>
      <w:r>
        <w:rPr>
          <w:lang w:val="de-DE"/>
        </w:rPr>
        <w:t xml:space="preserve"> „</w:t>
      </w:r>
      <w:r w:rsidRPr="00C47725">
        <w:rPr>
          <w:lang w:val="de-DE"/>
        </w:rPr>
        <w:t>Von Verbandsmitgliedern verwendete Software und Ausrüstung</w:t>
      </w:r>
      <w:r>
        <w:rPr>
          <w:lang w:val="de-DE"/>
        </w:rPr>
        <w:t>“</w:t>
      </w:r>
      <w:r w:rsidRPr="00C47725">
        <w:rPr>
          <w:lang w:val="de-DE"/>
        </w:rPr>
        <w:t xml:space="preserve"> gegebenenfalls zum </w:t>
      </w:r>
      <w:r>
        <w:rPr>
          <w:lang w:val="de-DE"/>
        </w:rPr>
        <w:t>Teilen</w:t>
      </w:r>
      <w:r w:rsidRPr="00C47725">
        <w:rPr>
          <w:lang w:val="de-DE"/>
        </w:rPr>
        <w:t xml:space="preserve"> von Informationen über die von China berichteten Entwicklungen verwendet werden könnten.</w:t>
      </w:r>
    </w:p>
    <w:p w:rsidR="002D20DB" w:rsidRPr="00C47725" w:rsidRDefault="002D20DB" w:rsidP="002D20DB">
      <w:pPr>
        <w:pStyle w:val="Heading3"/>
      </w:pPr>
    </w:p>
    <w:p w:rsidR="002D20DB" w:rsidRPr="00C47725" w:rsidRDefault="002D20DB" w:rsidP="002D20DB">
      <w:pPr>
        <w:pStyle w:val="Heading5"/>
        <w:rPr>
          <w:lang w:val="de-DE"/>
        </w:rPr>
      </w:pPr>
      <w:r w:rsidRPr="00C47725">
        <w:rPr>
          <w:lang w:val="de-DE"/>
        </w:rPr>
        <w:t>Datenverarbeitung für die Prüfung der Unterscheidbarkeit und die Erstellung von Sortenbeschreibungen</w:t>
      </w:r>
    </w:p>
    <w:p w:rsidR="002D20DB" w:rsidRPr="00C47725" w:rsidRDefault="002D20DB" w:rsidP="002D20DB">
      <w:pPr>
        <w:jc w:val="left"/>
        <w:rPr>
          <w:lang w:val="de-DE"/>
        </w:rPr>
      </w:pPr>
    </w:p>
    <w:p w:rsidR="002D20DB" w:rsidRPr="00C47725" w:rsidRDefault="002D20DB" w:rsidP="002D20DB">
      <w:pPr>
        <w:keepNext/>
        <w:rPr>
          <w:lang w:val="de-DE"/>
        </w:rPr>
      </w:pPr>
      <w:r w:rsidRPr="00347072">
        <w:rPr>
          <w:lang w:val="de-DE"/>
        </w:rPr>
        <w:fldChar w:fldCharType="begin"/>
      </w:r>
      <w:r w:rsidRPr="00347072">
        <w:rPr>
          <w:lang w:val="de-DE"/>
        </w:rPr>
        <w:instrText xml:space="preserve"> AUTONUM  </w:instrText>
      </w:r>
      <w:r w:rsidRPr="00347072">
        <w:rPr>
          <w:lang w:val="de-DE"/>
        </w:rPr>
        <w:fldChar w:fldCharType="end"/>
      </w:r>
      <w:r w:rsidRPr="00C47725">
        <w:rPr>
          <w:lang w:val="de-DE"/>
        </w:rPr>
        <w:tab/>
        <w:t>Die TWC nahm zur Kenntnis, dass die i</w:t>
      </w:r>
      <w:r>
        <w:rPr>
          <w:lang w:val="de-DE"/>
        </w:rPr>
        <w:t>n de</w:t>
      </w:r>
      <w:r w:rsidRPr="00C47725">
        <w:rPr>
          <w:lang w:val="de-DE"/>
        </w:rPr>
        <w:t xml:space="preserve">m Dokument beschriebenen unterschiedlichen Ansätze </w:t>
      </w:r>
      <w:r>
        <w:rPr>
          <w:lang w:val="de-DE"/>
        </w:rPr>
        <w:t>zur</w:t>
      </w:r>
      <w:r w:rsidRPr="00C47725">
        <w:rPr>
          <w:lang w:val="de-DE"/>
        </w:rPr>
        <w:t xml:space="preserve"> Erstellung von Sortenbeschreibungen verwendet w</w:t>
      </w:r>
      <w:r>
        <w:rPr>
          <w:lang w:val="de-DE"/>
        </w:rPr>
        <w:t>ü</w:t>
      </w:r>
      <w:r w:rsidRPr="00C47725">
        <w:rPr>
          <w:lang w:val="de-DE"/>
        </w:rPr>
        <w:t>rden</w:t>
      </w:r>
      <w:r>
        <w:rPr>
          <w:lang w:val="de-DE"/>
        </w:rPr>
        <w:t>,</w:t>
      </w:r>
      <w:r w:rsidRPr="00C47725">
        <w:rPr>
          <w:lang w:val="de-DE"/>
        </w:rPr>
        <w:t xml:space="preserve"> und </w:t>
      </w:r>
      <w:r>
        <w:rPr>
          <w:lang w:val="de-DE"/>
        </w:rPr>
        <w:t>erwähnte</w:t>
      </w:r>
      <w:r w:rsidRPr="00C47725">
        <w:rPr>
          <w:lang w:val="de-DE"/>
        </w:rPr>
        <w:t xml:space="preserve"> nicht die Prüfung der Unterscheidbarkeit. Die TWC vereinbarte vorzuschlagen, den Titel des Dokuments in</w:t>
      </w:r>
      <w:r>
        <w:rPr>
          <w:lang w:val="de-DE"/>
        </w:rPr>
        <w:t xml:space="preserve"> „</w:t>
      </w:r>
      <w:r w:rsidRPr="00C47725">
        <w:rPr>
          <w:lang w:val="de-DE"/>
        </w:rPr>
        <w:t xml:space="preserve">Datenverarbeitung für die </w:t>
      </w:r>
      <w:r w:rsidRPr="00C47725">
        <w:rPr>
          <w:strike/>
          <w:highlight w:val="lightGray"/>
          <w:lang w:val="de-DE"/>
        </w:rPr>
        <w:t>Prüfung der Unterscheidbarkeit und die Erstellung</w:t>
      </w:r>
      <w:r w:rsidRPr="00C47725">
        <w:rPr>
          <w:lang w:val="de-DE"/>
        </w:rPr>
        <w:t xml:space="preserve"> </w:t>
      </w:r>
      <w:r w:rsidRPr="00C47725">
        <w:rPr>
          <w:highlight w:val="lightGray"/>
          <w:u w:val="single"/>
          <w:lang w:val="de-DE"/>
        </w:rPr>
        <w:t>Erstellung von</w:t>
      </w:r>
      <w:r w:rsidRPr="00C47725">
        <w:rPr>
          <w:lang w:val="de-DE"/>
        </w:rPr>
        <w:t xml:space="preserve"> Sortenbeschreibungen </w:t>
      </w:r>
      <w:r w:rsidRPr="00C47725">
        <w:rPr>
          <w:highlight w:val="lightGray"/>
          <w:u w:val="single"/>
          <w:lang w:val="de-DE"/>
        </w:rPr>
        <w:t>für gemessene quantitative Merkmale</w:t>
      </w:r>
      <w:r>
        <w:rPr>
          <w:lang w:val="de-DE"/>
        </w:rPr>
        <w:t>“ zu ändern</w:t>
      </w:r>
      <w:r w:rsidRPr="00C47725">
        <w:rPr>
          <w:lang w:val="de-DE"/>
        </w:rPr>
        <w:t xml:space="preserve">. </w:t>
      </w:r>
    </w:p>
    <w:p w:rsidR="002D20DB" w:rsidRPr="00C47725" w:rsidRDefault="002D20DB" w:rsidP="002D20DB">
      <w:pPr>
        <w:rPr>
          <w:lang w:val="de-DE"/>
        </w:rPr>
      </w:pPr>
    </w:p>
    <w:p w:rsidR="002D20DB" w:rsidRPr="00C47725" w:rsidRDefault="002D20DB" w:rsidP="002D20DB">
      <w:pPr>
        <w:rPr>
          <w:lang w:val="de-DE"/>
        </w:rPr>
      </w:pPr>
      <w:r w:rsidRPr="002D6591">
        <w:rPr>
          <w:lang w:val="de-DE"/>
        </w:rPr>
        <w:fldChar w:fldCharType="begin"/>
      </w:r>
      <w:r w:rsidRPr="002D6591">
        <w:rPr>
          <w:lang w:val="de-DE"/>
        </w:rPr>
        <w:instrText xml:space="preserve"> AUTONUM  </w:instrText>
      </w:r>
      <w:r w:rsidRPr="002D6591">
        <w:rPr>
          <w:lang w:val="de-DE"/>
        </w:rPr>
        <w:fldChar w:fldCharType="end"/>
      </w:r>
      <w:r w:rsidRPr="00C47725">
        <w:rPr>
          <w:lang w:val="de-DE"/>
        </w:rPr>
        <w:tab/>
        <w:t xml:space="preserve">Die TWC nahm das Gesuch des TC an die Sachverständigen aus Deutschland, </w:t>
      </w:r>
      <w:r w:rsidR="00A807BF" w:rsidRPr="00C47725">
        <w:rPr>
          <w:lang w:val="de-DE"/>
        </w:rPr>
        <w:t>Frankreich</w:t>
      </w:r>
      <w:r w:rsidR="00A807BF">
        <w:rPr>
          <w:lang w:val="de-DE"/>
        </w:rPr>
        <w:t>,</w:t>
      </w:r>
      <w:r w:rsidR="00A807BF" w:rsidRPr="00C47725">
        <w:rPr>
          <w:lang w:val="de-DE"/>
        </w:rPr>
        <w:t xml:space="preserve"> </w:t>
      </w:r>
      <w:r w:rsidRPr="00C47725">
        <w:rPr>
          <w:lang w:val="de-DE"/>
        </w:rPr>
        <w:t>Japan und d</w:t>
      </w:r>
      <w:r>
        <w:rPr>
          <w:lang w:val="de-DE"/>
        </w:rPr>
        <w:t>em</w:t>
      </w:r>
      <w:r w:rsidRPr="00C47725">
        <w:rPr>
          <w:lang w:val="de-DE"/>
        </w:rPr>
        <w:t xml:space="preserve"> Vereinigte</w:t>
      </w:r>
      <w:r>
        <w:rPr>
          <w:lang w:val="de-DE"/>
        </w:rPr>
        <w:t>n</w:t>
      </w:r>
      <w:r w:rsidRPr="00C47725">
        <w:rPr>
          <w:lang w:val="de-DE"/>
        </w:rPr>
        <w:t xml:space="preserve"> Königreich zur Kenntnis, Informationen über die Umstände vorzulegen, unter denen ihre Methoden geeignet wären, einschließlich der Methode der Vermehrung der Sorte und anderer Faktoren, die bei der Entscheidung, die Methode anzuwenden, herangezogen w</w:t>
      </w:r>
      <w:r>
        <w:rPr>
          <w:lang w:val="de-DE"/>
        </w:rPr>
        <w:t>e</w:t>
      </w:r>
      <w:r w:rsidRPr="00C47725">
        <w:rPr>
          <w:lang w:val="de-DE"/>
        </w:rPr>
        <w:t xml:space="preserve">rden. Die TWC nahm zur Kenntnis, dass die Beschreibungen der Methoden für die Anwendung und die Situationen, in denen die Methoden geeignet wären oder nicht geeignet wären, nicht ausreichend waren, und </w:t>
      </w:r>
      <w:r>
        <w:rPr>
          <w:lang w:val="de-DE"/>
        </w:rPr>
        <w:t>vereinbarte</w:t>
      </w:r>
      <w:r w:rsidRPr="00C47725">
        <w:rPr>
          <w:lang w:val="de-DE"/>
        </w:rPr>
        <w:t xml:space="preserve">, dass die </w:t>
      </w:r>
      <w:r>
        <w:rPr>
          <w:lang w:val="de-DE"/>
        </w:rPr>
        <w:t>Sachverständigen</w:t>
      </w:r>
      <w:r w:rsidRPr="00C47725">
        <w:rPr>
          <w:lang w:val="de-DE"/>
        </w:rPr>
        <w:t xml:space="preserve"> aus Deutschland, </w:t>
      </w:r>
      <w:r w:rsidR="00A807BF" w:rsidRPr="00C47725">
        <w:rPr>
          <w:lang w:val="de-DE"/>
        </w:rPr>
        <w:t>Frankreich</w:t>
      </w:r>
      <w:r w:rsidR="00A807BF">
        <w:rPr>
          <w:lang w:val="de-DE"/>
        </w:rPr>
        <w:t>,</w:t>
      </w:r>
      <w:r w:rsidR="00A807BF" w:rsidRPr="00C47725">
        <w:rPr>
          <w:lang w:val="de-DE"/>
        </w:rPr>
        <w:t xml:space="preserve"> </w:t>
      </w:r>
      <w:r w:rsidRPr="00C47725">
        <w:rPr>
          <w:lang w:val="de-DE"/>
        </w:rPr>
        <w:t xml:space="preserve">Italien und Japan ersucht werden sollten, die vom TC </w:t>
      </w:r>
      <w:r>
        <w:rPr>
          <w:lang w:val="de-DE"/>
        </w:rPr>
        <w:t>ersuchten</w:t>
      </w:r>
      <w:r w:rsidRPr="00C47725">
        <w:rPr>
          <w:lang w:val="de-DE"/>
        </w:rPr>
        <w:t xml:space="preserve"> Informationen den </w:t>
      </w:r>
      <w:r>
        <w:rPr>
          <w:lang w:val="de-DE"/>
        </w:rPr>
        <w:t>Sachverständigen</w:t>
      </w:r>
      <w:r w:rsidRPr="00C47725">
        <w:rPr>
          <w:lang w:val="de-DE"/>
        </w:rPr>
        <w:t xml:space="preserve"> aus dem Vereinigten Königreich </w:t>
      </w:r>
      <w:r>
        <w:rPr>
          <w:lang w:val="de-DE"/>
        </w:rPr>
        <w:t>bereitzustellen</w:t>
      </w:r>
      <w:r w:rsidRPr="00C47725">
        <w:rPr>
          <w:lang w:val="de-DE"/>
        </w:rPr>
        <w:t xml:space="preserve">. </w:t>
      </w:r>
    </w:p>
    <w:p w:rsidR="002D20DB" w:rsidRPr="00C47725" w:rsidRDefault="002D20DB" w:rsidP="002D20DB">
      <w:pPr>
        <w:rPr>
          <w:lang w:val="de-DE"/>
        </w:rPr>
      </w:pPr>
    </w:p>
    <w:p w:rsidR="002D20DB" w:rsidRPr="00C47725" w:rsidRDefault="002D20DB" w:rsidP="002D20DB">
      <w:pPr>
        <w:rPr>
          <w:lang w:val="de-DE"/>
        </w:rPr>
      </w:pPr>
      <w:r w:rsidRPr="002D6591">
        <w:rPr>
          <w:lang w:val="de-DE"/>
        </w:rPr>
        <w:fldChar w:fldCharType="begin"/>
      </w:r>
      <w:r w:rsidRPr="002D6591">
        <w:rPr>
          <w:lang w:val="de-DE"/>
        </w:rPr>
        <w:instrText xml:space="preserve"> AUTONUM  </w:instrText>
      </w:r>
      <w:r w:rsidRPr="002D6591">
        <w:rPr>
          <w:lang w:val="de-DE"/>
        </w:rPr>
        <w:fldChar w:fldCharType="end"/>
      </w:r>
      <w:r w:rsidRPr="00C47725">
        <w:rPr>
          <w:lang w:val="de-DE"/>
        </w:rPr>
        <w:tab/>
        <w:t xml:space="preserve">Die TWC prüfte den Vorschlag zur Erstellung eines Entscheidungsbaums </w:t>
      </w:r>
      <w:r>
        <w:rPr>
          <w:lang w:val="de-DE"/>
        </w:rPr>
        <w:t>für</w:t>
      </w:r>
      <w:r w:rsidRPr="00C47725">
        <w:rPr>
          <w:lang w:val="de-DE"/>
        </w:rPr>
        <w:t xml:space="preserve"> Anforderungen und Situationen für die Verwendung der verschiedenen beschriebenen Ansätze. Die TWC vereinbarte, die Sachverständigen aus Frankreich, Deutschland, Italien, Japan und dem Vereinigten Königreich zu ersuchen, die Bereitstellung der erforderlichen Informationen als </w:t>
      </w:r>
      <w:r>
        <w:rPr>
          <w:lang w:val="de-DE"/>
        </w:rPr>
        <w:t xml:space="preserve">einen </w:t>
      </w:r>
      <w:r w:rsidRPr="00C47725">
        <w:rPr>
          <w:lang w:val="de-DE"/>
        </w:rPr>
        <w:t xml:space="preserve">Ausgangspunkt für die Beschreibung der Anforderungen der einzelnen Ansätze </w:t>
      </w:r>
      <w:r>
        <w:rPr>
          <w:lang w:val="de-DE"/>
        </w:rPr>
        <w:t>zu prüfen</w:t>
      </w:r>
      <w:r w:rsidRPr="00C47725">
        <w:rPr>
          <w:lang w:val="de-DE"/>
        </w:rPr>
        <w:t xml:space="preserve">. </w:t>
      </w:r>
    </w:p>
    <w:p w:rsidR="002D20DB" w:rsidRPr="00C47725" w:rsidRDefault="002D20DB" w:rsidP="002D20DB">
      <w:pPr>
        <w:rPr>
          <w:lang w:val="de-DE"/>
        </w:rPr>
      </w:pPr>
    </w:p>
    <w:p w:rsidR="002D20DB" w:rsidRPr="00C47725" w:rsidRDefault="002D20DB" w:rsidP="002D20DB">
      <w:pPr>
        <w:pStyle w:val="Heading5"/>
        <w:rPr>
          <w:lang w:val="de-DE"/>
        </w:rPr>
      </w:pPr>
      <w:r w:rsidRPr="00C47725">
        <w:rPr>
          <w:lang w:val="de-DE"/>
        </w:rPr>
        <w:t>Anleitung für Verfasser von Prüfungsrichtlinien</w:t>
      </w:r>
    </w:p>
    <w:p w:rsidR="002D20DB" w:rsidRPr="00C47725" w:rsidRDefault="002D20DB" w:rsidP="002D20DB">
      <w:pPr>
        <w:keepNext/>
        <w:rPr>
          <w:lang w:val="de-DE"/>
        </w:rPr>
      </w:pPr>
    </w:p>
    <w:p w:rsidR="002D20DB" w:rsidRPr="002D6591" w:rsidRDefault="002D20DB" w:rsidP="002D20DB">
      <w:pPr>
        <w:rPr>
          <w:lang w:val="de-DE"/>
        </w:rPr>
      </w:pPr>
      <w:r w:rsidRPr="002D6591">
        <w:rPr>
          <w:lang w:val="de-DE"/>
        </w:rPr>
        <w:fldChar w:fldCharType="begin"/>
      </w:r>
      <w:r w:rsidRPr="002D6591">
        <w:rPr>
          <w:lang w:val="de-DE"/>
        </w:rPr>
        <w:instrText xml:space="preserve"> AUTONUM  </w:instrText>
      </w:r>
      <w:r w:rsidRPr="002D6591">
        <w:rPr>
          <w:lang w:val="de-DE"/>
        </w:rPr>
        <w:fldChar w:fldCharType="end"/>
      </w:r>
      <w:r w:rsidRPr="00C47725">
        <w:rPr>
          <w:lang w:val="de-DE"/>
        </w:rPr>
        <w:tab/>
        <w:t>Die TWC nahm zur Kenntnis, dass die verschiedenen Eleme</w:t>
      </w:r>
      <w:r w:rsidR="00303B94">
        <w:rPr>
          <w:lang w:val="de-DE"/>
        </w:rPr>
        <w:t>nte, die in der webbasierten TG</w:t>
      </w:r>
      <w:r w:rsidR="00303B94">
        <w:rPr>
          <w:lang w:val="de-DE"/>
        </w:rPr>
        <w:noBreakHyphen/>
      </w:r>
      <w:r w:rsidRPr="00C47725">
        <w:rPr>
          <w:lang w:val="de-DE"/>
        </w:rPr>
        <w:t>Mustervorlage angezeigt werden, Links zu den jeweiligen</w:t>
      </w:r>
      <w:r>
        <w:rPr>
          <w:lang w:val="de-DE"/>
        </w:rPr>
        <w:t xml:space="preserve"> „E</w:t>
      </w:r>
      <w:r w:rsidRPr="002D6591">
        <w:rPr>
          <w:lang w:val="de-DE"/>
        </w:rPr>
        <w:t>rläuternden Anmerkungen</w:t>
      </w:r>
      <w:r>
        <w:rPr>
          <w:lang w:val="de-DE"/>
        </w:rPr>
        <w:t>“</w:t>
      </w:r>
      <w:r w:rsidRPr="002D6591">
        <w:rPr>
          <w:lang w:val="de-DE"/>
        </w:rPr>
        <w:t xml:space="preserve"> oder dem</w:t>
      </w:r>
      <w:r>
        <w:rPr>
          <w:lang w:val="de-DE"/>
        </w:rPr>
        <w:t xml:space="preserve"> „Z</w:t>
      </w:r>
      <w:r w:rsidRPr="002D6591">
        <w:rPr>
          <w:lang w:val="de-DE"/>
        </w:rPr>
        <w:t>usätzlichen Standardwortlaut</w:t>
      </w:r>
      <w:r>
        <w:rPr>
          <w:lang w:val="de-DE"/>
        </w:rPr>
        <w:t>“</w:t>
      </w:r>
      <w:r w:rsidRPr="002D6591">
        <w:rPr>
          <w:lang w:val="de-DE"/>
        </w:rPr>
        <w:t xml:space="preserve"> in Dokument TGP/7 enth</w:t>
      </w:r>
      <w:r>
        <w:rPr>
          <w:lang w:val="de-DE"/>
        </w:rPr>
        <w:t>ie</w:t>
      </w:r>
      <w:r w:rsidRPr="002D6591">
        <w:rPr>
          <w:lang w:val="de-DE"/>
        </w:rPr>
        <w:t xml:space="preserve">lten. Die TWC vereinbarte vorzuschlagen, Links zu Standardwortlaut aus anderen TGP-Dokumenten auch über die webbasierte TG-Mustervorlage zugänglich </w:t>
      </w:r>
      <w:r>
        <w:rPr>
          <w:lang w:val="de-DE"/>
        </w:rPr>
        <w:t>zu machen</w:t>
      </w:r>
      <w:r w:rsidRPr="002D6591">
        <w:rPr>
          <w:lang w:val="de-DE"/>
        </w:rPr>
        <w:t>.</w:t>
      </w:r>
    </w:p>
    <w:p w:rsidR="002D20DB" w:rsidRPr="002D6591" w:rsidRDefault="002D20DB" w:rsidP="002D20DB">
      <w:pPr>
        <w:rPr>
          <w:lang w:val="de-DE"/>
        </w:rPr>
      </w:pPr>
    </w:p>
    <w:p w:rsidR="002D20DB" w:rsidRPr="00C47725" w:rsidRDefault="002D20DB" w:rsidP="002D20DB">
      <w:pPr>
        <w:pStyle w:val="Heading5"/>
        <w:rPr>
          <w:lang w:val="de-DE"/>
        </w:rPr>
      </w:pPr>
      <w:r w:rsidRPr="002D6591">
        <w:rPr>
          <w:lang w:val="de-DE"/>
        </w:rPr>
        <w:t>Darstellung der vollständigen Notenskala für quantitative Merkmale in den Prüfung</w:t>
      </w:r>
      <w:r w:rsidRPr="00C47725">
        <w:rPr>
          <w:lang w:val="de-DE"/>
        </w:rPr>
        <w:t>srichtlinien</w:t>
      </w:r>
    </w:p>
    <w:p w:rsidR="002D20DB" w:rsidRPr="00C47725" w:rsidRDefault="002D20DB" w:rsidP="002D20DB">
      <w:pPr>
        <w:keepNext/>
        <w:rPr>
          <w:lang w:val="de-DE"/>
        </w:rPr>
      </w:pPr>
    </w:p>
    <w:p w:rsidR="002D20DB" w:rsidRPr="00C47725" w:rsidRDefault="002D20DB" w:rsidP="002D20DB">
      <w:pPr>
        <w:keepNext/>
        <w:rPr>
          <w:lang w:val="de-DE"/>
        </w:rPr>
      </w:pPr>
      <w:r w:rsidRPr="002D6591">
        <w:rPr>
          <w:lang w:val="de-DE"/>
        </w:rPr>
        <w:fldChar w:fldCharType="begin"/>
      </w:r>
      <w:r w:rsidRPr="002D6591">
        <w:rPr>
          <w:lang w:val="de-DE"/>
        </w:rPr>
        <w:instrText xml:space="preserve"> AUTONUM  </w:instrText>
      </w:r>
      <w:r w:rsidRPr="002D6591">
        <w:rPr>
          <w:lang w:val="de-DE"/>
        </w:rPr>
        <w:fldChar w:fldCharType="end"/>
      </w:r>
      <w:r w:rsidRPr="00C47725">
        <w:rPr>
          <w:lang w:val="de-DE"/>
        </w:rPr>
        <w:tab/>
        <w:t xml:space="preserve">Die TWC nahm zur Kenntnis, dass es nützlich </w:t>
      </w:r>
      <w:r>
        <w:rPr>
          <w:lang w:val="de-DE"/>
        </w:rPr>
        <w:t>sei</w:t>
      </w:r>
      <w:r w:rsidRPr="00C47725">
        <w:rPr>
          <w:lang w:val="de-DE"/>
        </w:rPr>
        <w:t xml:space="preserve">, die vollständige Notenskala für </w:t>
      </w:r>
      <w:r>
        <w:rPr>
          <w:lang w:val="de-DE"/>
        </w:rPr>
        <w:t>e</w:t>
      </w:r>
      <w:r w:rsidRPr="00C47725">
        <w:rPr>
          <w:lang w:val="de-DE"/>
        </w:rPr>
        <w:t xml:space="preserve">lektronische Systeme für die Einreichung von Anträgen </w:t>
      </w:r>
      <w:r>
        <w:rPr>
          <w:lang w:val="de-DE"/>
        </w:rPr>
        <w:t>darzustellen,</w:t>
      </w:r>
      <w:r w:rsidRPr="00C47725">
        <w:rPr>
          <w:lang w:val="de-DE"/>
        </w:rPr>
        <w:t xml:space="preserve"> und </w:t>
      </w:r>
      <w:r>
        <w:rPr>
          <w:lang w:val="de-DE"/>
        </w:rPr>
        <w:t>stimmte</w:t>
      </w:r>
      <w:r w:rsidRPr="00C47725">
        <w:rPr>
          <w:lang w:val="de-DE"/>
        </w:rPr>
        <w:t xml:space="preserve"> der TWO, TWV und TWF</w:t>
      </w:r>
      <w:r>
        <w:rPr>
          <w:lang w:val="de-DE"/>
        </w:rPr>
        <w:t xml:space="preserve"> zu</w:t>
      </w:r>
      <w:r w:rsidRPr="00C47725">
        <w:rPr>
          <w:lang w:val="de-DE"/>
        </w:rPr>
        <w:t xml:space="preserve">, dass alle Ausprägungsstufen für quantitative Merkmale in den Prüfungsrichtlinien </w:t>
      </w:r>
      <w:r>
        <w:rPr>
          <w:lang w:val="de-DE"/>
        </w:rPr>
        <w:t>dargestellt werden</w:t>
      </w:r>
      <w:r w:rsidRPr="00C47725">
        <w:rPr>
          <w:lang w:val="de-DE"/>
        </w:rPr>
        <w:t xml:space="preserve"> sollten. </w:t>
      </w:r>
    </w:p>
    <w:p w:rsidR="002D20DB" w:rsidRPr="00C47725" w:rsidRDefault="002D20DB" w:rsidP="002D20DB">
      <w:pPr>
        <w:rPr>
          <w:snapToGrid w:val="0"/>
          <w:lang w:val="de-DE"/>
        </w:rPr>
      </w:pPr>
    </w:p>
    <w:p w:rsidR="002D20DB" w:rsidRPr="00C47725" w:rsidRDefault="002D20DB" w:rsidP="002D20DB">
      <w:pPr>
        <w:pStyle w:val="Heading5"/>
        <w:rPr>
          <w:lang w:val="de-DE"/>
        </w:rPr>
      </w:pPr>
      <w:r w:rsidRPr="00C47725">
        <w:rPr>
          <w:snapToGrid w:val="0"/>
          <w:lang w:val="de-DE"/>
        </w:rPr>
        <w:t xml:space="preserve">Tagung </w:t>
      </w:r>
      <w:r>
        <w:rPr>
          <w:snapToGrid w:val="0"/>
          <w:lang w:val="de-DE"/>
        </w:rPr>
        <w:t xml:space="preserve">zur </w:t>
      </w:r>
      <w:r w:rsidRPr="00C47725">
        <w:rPr>
          <w:snapToGrid w:val="0"/>
          <w:lang w:val="de-DE"/>
        </w:rPr>
        <w:t xml:space="preserve">Erleichterung der Zusammenarbeit </w:t>
      </w:r>
      <w:r>
        <w:rPr>
          <w:snapToGrid w:val="0"/>
          <w:lang w:val="de-DE"/>
        </w:rPr>
        <w:t xml:space="preserve">im Zusammenhang mit </w:t>
      </w:r>
      <w:r w:rsidRPr="00C47725">
        <w:rPr>
          <w:snapToGrid w:val="0"/>
          <w:lang w:val="de-DE"/>
        </w:rPr>
        <w:t xml:space="preserve">der </w:t>
      </w:r>
      <w:r>
        <w:rPr>
          <w:snapToGrid w:val="0"/>
          <w:lang w:val="de-DE"/>
        </w:rPr>
        <w:t>Anwendung</w:t>
      </w:r>
      <w:r w:rsidRPr="00C47725">
        <w:rPr>
          <w:snapToGrid w:val="0"/>
          <w:lang w:val="de-DE"/>
        </w:rPr>
        <w:t xml:space="preserve"> molekularer </w:t>
      </w:r>
      <w:r>
        <w:rPr>
          <w:snapToGrid w:val="0"/>
          <w:lang w:val="de-DE"/>
        </w:rPr>
        <w:t xml:space="preserve">Verfahren </w:t>
      </w:r>
      <w:r w:rsidRPr="00C47725">
        <w:rPr>
          <w:snapToGrid w:val="0"/>
          <w:lang w:val="de-DE"/>
        </w:rPr>
        <w:t>und der internationalen Zusammenarbeit bei der DUS-Prüfung</w:t>
      </w:r>
    </w:p>
    <w:p w:rsidR="002D20DB" w:rsidRPr="00C47725" w:rsidRDefault="002D20DB" w:rsidP="002D20DB">
      <w:pPr>
        <w:rPr>
          <w:lang w:val="de-DE"/>
        </w:rPr>
      </w:pPr>
    </w:p>
    <w:p w:rsidR="002D20DB" w:rsidRPr="00C47725" w:rsidRDefault="002D20DB" w:rsidP="002D20DB">
      <w:pPr>
        <w:rPr>
          <w:lang w:val="de-DE"/>
        </w:rPr>
      </w:pPr>
      <w:r w:rsidRPr="00967481">
        <w:rPr>
          <w:lang w:val="de-DE"/>
        </w:rPr>
        <w:fldChar w:fldCharType="begin"/>
      </w:r>
      <w:r w:rsidRPr="008050D7">
        <w:rPr>
          <w:lang w:val="de-DE"/>
        </w:rPr>
        <w:instrText xml:space="preserve"> AUTONUM  </w:instrText>
      </w:r>
      <w:r w:rsidRPr="00967481">
        <w:rPr>
          <w:lang w:val="de-DE"/>
        </w:rPr>
        <w:fldChar w:fldCharType="end"/>
      </w:r>
      <w:r w:rsidRPr="00C47725">
        <w:rPr>
          <w:lang w:val="de-DE"/>
        </w:rPr>
        <w:tab/>
        <w:t>Die TWC bildete Diskussionsgruppen, um die</w:t>
      </w:r>
      <w:r w:rsidRPr="00C47725">
        <w:rPr>
          <w:snapToGrid w:val="0"/>
          <w:lang w:val="de-DE"/>
        </w:rPr>
        <w:t xml:space="preserve"> Zusammenarbeit </w:t>
      </w:r>
      <w:r>
        <w:rPr>
          <w:snapToGrid w:val="0"/>
          <w:lang w:val="de-DE"/>
        </w:rPr>
        <w:t>im Zusammenhang mit</w:t>
      </w:r>
      <w:r w:rsidRPr="00C47725" w:rsidDel="00F846C8">
        <w:rPr>
          <w:snapToGrid w:val="0"/>
          <w:lang w:val="de-DE"/>
        </w:rPr>
        <w:t xml:space="preserve"> </w:t>
      </w:r>
      <w:r w:rsidRPr="00C47725">
        <w:rPr>
          <w:snapToGrid w:val="0"/>
          <w:lang w:val="de-DE"/>
        </w:rPr>
        <w:t xml:space="preserve">der </w:t>
      </w:r>
      <w:r>
        <w:rPr>
          <w:snapToGrid w:val="0"/>
          <w:lang w:val="de-DE"/>
        </w:rPr>
        <w:t>Anwendung</w:t>
      </w:r>
      <w:r w:rsidRPr="00C47725">
        <w:rPr>
          <w:snapToGrid w:val="0"/>
          <w:lang w:val="de-DE"/>
        </w:rPr>
        <w:t xml:space="preserve"> molekularer Verfahren,</w:t>
      </w:r>
      <w:r w:rsidRPr="00C47725">
        <w:rPr>
          <w:lang w:val="de-DE"/>
        </w:rPr>
        <w:t xml:space="preserve"> d</w:t>
      </w:r>
      <w:r w:rsidRPr="005B3274">
        <w:rPr>
          <w:lang w:val="de-DE"/>
        </w:rPr>
        <w:t xml:space="preserve">ie technischen </w:t>
      </w:r>
      <w:r>
        <w:rPr>
          <w:lang w:val="de-DE"/>
        </w:rPr>
        <w:t>Probleme</w:t>
      </w:r>
      <w:r w:rsidRPr="005B3274">
        <w:rPr>
          <w:lang w:val="de-DE"/>
        </w:rPr>
        <w:t>, d</w:t>
      </w:r>
      <w:r w:rsidRPr="00C47725">
        <w:rPr>
          <w:lang w:val="de-DE"/>
        </w:rPr>
        <w:t xml:space="preserve">ie die Zusammenarbeit bei der DUS-Prüfung verhindern, </w:t>
      </w:r>
      <w:r>
        <w:rPr>
          <w:lang w:val="de-DE"/>
        </w:rPr>
        <w:t>sowie</w:t>
      </w:r>
      <w:r w:rsidRPr="00C47725">
        <w:rPr>
          <w:lang w:val="de-DE"/>
        </w:rPr>
        <w:t xml:space="preserve"> die Frage, wie die aufgeworfenen technischen Bedenken überwunden werden können</w:t>
      </w:r>
      <w:r>
        <w:rPr>
          <w:lang w:val="de-DE"/>
        </w:rPr>
        <w:t xml:space="preserve">, </w:t>
      </w:r>
      <w:r w:rsidRPr="00C47725">
        <w:rPr>
          <w:lang w:val="de-DE"/>
        </w:rPr>
        <w:t>zu erörtern.</w:t>
      </w:r>
    </w:p>
    <w:p w:rsidR="002D20DB" w:rsidRPr="00C47725" w:rsidRDefault="002D20DB" w:rsidP="002D20DB">
      <w:pPr>
        <w:rPr>
          <w:snapToGrid w:val="0"/>
          <w:lang w:val="de-DE"/>
        </w:rPr>
      </w:pPr>
    </w:p>
    <w:p w:rsidR="002D20DB" w:rsidRPr="00C47725" w:rsidRDefault="002D20DB" w:rsidP="002D20DB">
      <w:pPr>
        <w:pStyle w:val="Heading5"/>
        <w:rPr>
          <w:lang w:val="de-DE"/>
        </w:rPr>
      </w:pPr>
      <w:r w:rsidRPr="00C47725">
        <w:rPr>
          <w:lang w:val="de-DE"/>
        </w:rPr>
        <w:t>Software, Informationen und Datenbanken</w:t>
      </w:r>
    </w:p>
    <w:p w:rsidR="002D20DB" w:rsidRPr="00C47725" w:rsidRDefault="002D20DB" w:rsidP="002D20DB">
      <w:pPr>
        <w:rPr>
          <w:lang w:val="de-DE"/>
        </w:rPr>
      </w:pPr>
    </w:p>
    <w:p w:rsidR="002D20DB" w:rsidRPr="00C47725" w:rsidRDefault="002D20DB" w:rsidP="002D20DB">
      <w:pPr>
        <w:rPr>
          <w:lang w:val="de-DE"/>
        </w:rPr>
      </w:pPr>
      <w:r w:rsidRPr="002D6591">
        <w:rPr>
          <w:lang w:val="de-DE"/>
        </w:rPr>
        <w:fldChar w:fldCharType="begin"/>
      </w:r>
      <w:r w:rsidRPr="002D6591">
        <w:rPr>
          <w:lang w:val="de-DE"/>
        </w:rPr>
        <w:instrText xml:space="preserve"> AUTONUM  </w:instrText>
      </w:r>
      <w:r w:rsidRPr="002D6591">
        <w:rPr>
          <w:lang w:val="de-DE"/>
        </w:rPr>
        <w:fldChar w:fldCharType="end"/>
      </w:r>
      <w:r w:rsidRPr="00C47725">
        <w:rPr>
          <w:lang w:val="de-DE"/>
        </w:rPr>
        <w:tab/>
        <w:t>Die TWC prüfte Dokument TWC/37/8 und hörte ein Referat über</w:t>
      </w:r>
      <w:r>
        <w:rPr>
          <w:lang w:val="de-DE"/>
        </w:rPr>
        <w:t xml:space="preserve"> „</w:t>
      </w:r>
      <w:r w:rsidRPr="00967481">
        <w:rPr>
          <w:lang w:val="de-DE"/>
        </w:rPr>
        <w:t>Eine Software für statistische Analyse - DUS EXCEL</w:t>
      </w:r>
      <w:r>
        <w:rPr>
          <w:lang w:val="de-DE"/>
        </w:rPr>
        <w:t>“</w:t>
      </w:r>
      <w:r w:rsidRPr="00C47725">
        <w:rPr>
          <w:lang w:val="de-DE"/>
        </w:rPr>
        <w:t xml:space="preserve">. </w:t>
      </w:r>
    </w:p>
    <w:p w:rsidR="002D20DB" w:rsidRPr="00C47725" w:rsidRDefault="002D20DB" w:rsidP="002D20DB">
      <w:pPr>
        <w:tabs>
          <w:tab w:val="left" w:pos="1312"/>
        </w:tabs>
        <w:rPr>
          <w:lang w:val="de-DE"/>
        </w:rPr>
      </w:pPr>
    </w:p>
    <w:p w:rsidR="002D20DB" w:rsidRPr="00C47725" w:rsidRDefault="002D20DB" w:rsidP="002D20DB">
      <w:pPr>
        <w:rPr>
          <w:lang w:val="de-DE"/>
        </w:rPr>
      </w:pPr>
      <w:r w:rsidRPr="00854E8B">
        <w:rPr>
          <w:lang w:val="de-DE"/>
        </w:rPr>
        <w:fldChar w:fldCharType="begin"/>
      </w:r>
      <w:r w:rsidRPr="00854E8B">
        <w:rPr>
          <w:lang w:val="de-DE"/>
        </w:rPr>
        <w:instrText xml:space="preserve"> AUTONUM  </w:instrText>
      </w:r>
      <w:r w:rsidRPr="00854E8B">
        <w:rPr>
          <w:lang w:val="de-DE"/>
        </w:rPr>
        <w:fldChar w:fldCharType="end"/>
      </w:r>
      <w:r w:rsidRPr="00C47725">
        <w:rPr>
          <w:lang w:val="de-DE"/>
        </w:rPr>
        <w:tab/>
        <w:t>Die TWC prüfte die Validierung der vorgestellten Software. Die TWC nahm das Angebot des Vereinigten Königreichs</w:t>
      </w:r>
      <w:r>
        <w:rPr>
          <w:lang w:val="de-DE"/>
        </w:rPr>
        <w:t xml:space="preserve"> zur Kenntnis</w:t>
      </w:r>
      <w:r w:rsidRPr="00C47725">
        <w:rPr>
          <w:lang w:val="de-DE"/>
        </w:rPr>
        <w:t xml:space="preserve">, China, Frankreich und Kenia einen gemeinsamen Datensatz für den Vergleich der Ergebnisse von COYD- und COYU-Verfahren </w:t>
      </w:r>
      <w:r>
        <w:rPr>
          <w:lang w:val="de-DE"/>
        </w:rPr>
        <w:t>unter Verwendung</w:t>
      </w:r>
      <w:r w:rsidRPr="00C47725">
        <w:rPr>
          <w:lang w:val="de-DE"/>
        </w:rPr>
        <w:t xml:space="preserve"> unterschiedlicher Software zur Verfügung zu stellen. </w:t>
      </w:r>
    </w:p>
    <w:p w:rsidR="002D20DB" w:rsidRPr="00C47725" w:rsidRDefault="002D20DB" w:rsidP="002D20DB">
      <w:pPr>
        <w:tabs>
          <w:tab w:val="left" w:pos="1312"/>
        </w:tabs>
        <w:rPr>
          <w:lang w:val="de-DE"/>
        </w:rPr>
      </w:pPr>
    </w:p>
    <w:p w:rsidR="002D20DB" w:rsidRPr="00C47725" w:rsidRDefault="002D20DB" w:rsidP="002D20DB">
      <w:pPr>
        <w:rPr>
          <w:lang w:val="de-DE"/>
        </w:rPr>
      </w:pPr>
      <w:r w:rsidRPr="00854E8B">
        <w:rPr>
          <w:lang w:val="de-DE"/>
        </w:rPr>
        <w:fldChar w:fldCharType="begin"/>
      </w:r>
      <w:r w:rsidRPr="00854E8B">
        <w:rPr>
          <w:lang w:val="de-DE"/>
        </w:rPr>
        <w:instrText xml:space="preserve"> AUTONUM  </w:instrText>
      </w:r>
      <w:r w:rsidRPr="00854E8B">
        <w:rPr>
          <w:lang w:val="de-DE"/>
        </w:rPr>
        <w:fldChar w:fldCharType="end"/>
      </w:r>
      <w:r w:rsidRPr="00C47725">
        <w:rPr>
          <w:lang w:val="de-DE"/>
        </w:rPr>
        <w:tab/>
        <w:t xml:space="preserve">Die TWC </w:t>
      </w:r>
      <w:r>
        <w:rPr>
          <w:lang w:val="de-DE"/>
        </w:rPr>
        <w:t xml:space="preserve">nahm </w:t>
      </w:r>
      <w:r w:rsidRPr="00C47725">
        <w:rPr>
          <w:lang w:val="de-DE"/>
        </w:rPr>
        <w:t>das Angebot Chinas</w:t>
      </w:r>
      <w:r>
        <w:rPr>
          <w:lang w:val="de-DE"/>
        </w:rPr>
        <w:t xml:space="preserve"> zur Kenntnis</w:t>
      </w:r>
      <w:r w:rsidRPr="00C47725">
        <w:rPr>
          <w:lang w:val="de-DE"/>
        </w:rPr>
        <w:t xml:space="preserve">, die Software anderen UPOV-Mitgliedern zur Verfügung zu stellen. Die TWC </w:t>
      </w:r>
      <w:r>
        <w:rPr>
          <w:lang w:val="de-DE"/>
        </w:rPr>
        <w:t>nahm zur Kenntnis</w:t>
      </w:r>
      <w:r w:rsidRPr="00C47725">
        <w:rPr>
          <w:lang w:val="de-DE"/>
        </w:rPr>
        <w:t xml:space="preserve">, dass die Benutzeroberfläche auf Chinesisch und Englisch verfügbar </w:t>
      </w:r>
      <w:r>
        <w:rPr>
          <w:lang w:val="de-DE"/>
        </w:rPr>
        <w:t>sei</w:t>
      </w:r>
      <w:r w:rsidRPr="00C47725">
        <w:rPr>
          <w:lang w:val="de-DE"/>
        </w:rPr>
        <w:t xml:space="preserve">, während das Benutzerhandbuch nur in chinesischer Sprache verfügbar </w:t>
      </w:r>
      <w:r>
        <w:rPr>
          <w:lang w:val="de-DE"/>
        </w:rPr>
        <w:t>sei</w:t>
      </w:r>
      <w:r w:rsidRPr="00C47725">
        <w:rPr>
          <w:lang w:val="de-DE"/>
        </w:rPr>
        <w:t>. Die TWC nahm das Angebot der Vereinigten Staaten von Amerika</w:t>
      </w:r>
      <w:r>
        <w:rPr>
          <w:lang w:val="de-DE"/>
        </w:rPr>
        <w:t xml:space="preserve"> </w:t>
      </w:r>
      <w:r w:rsidRPr="00C47725">
        <w:rPr>
          <w:lang w:val="de-DE"/>
        </w:rPr>
        <w:t>zur Kenntnis, eine kurze Beschreibung des Systems zu übersetzen, um das Interesse an der Übersetzung des gesamten Benutzerhandbuchs zu bewerten</w:t>
      </w:r>
      <w:r>
        <w:rPr>
          <w:lang w:val="de-DE"/>
        </w:rPr>
        <w:t>.</w:t>
      </w:r>
    </w:p>
    <w:p w:rsidR="002D20DB" w:rsidRPr="00C47725" w:rsidRDefault="002D20DB" w:rsidP="002D20DB">
      <w:pPr>
        <w:rPr>
          <w:lang w:val="de-DE"/>
        </w:rPr>
      </w:pPr>
    </w:p>
    <w:p w:rsidR="002D20DB" w:rsidRPr="00C47725" w:rsidRDefault="002D20DB" w:rsidP="002D20DB">
      <w:pPr>
        <w:pStyle w:val="Heading5"/>
        <w:rPr>
          <w:lang w:val="de-DE"/>
        </w:rPr>
      </w:pPr>
      <w:r w:rsidRPr="00C47725">
        <w:rPr>
          <w:lang w:val="de-DE"/>
        </w:rPr>
        <w:lastRenderedPageBreak/>
        <w:t xml:space="preserve">Ort und Datum der nächsten Tagung </w:t>
      </w:r>
    </w:p>
    <w:p w:rsidR="002D20DB" w:rsidRPr="00C47725" w:rsidRDefault="002D20DB" w:rsidP="002D20DB">
      <w:pPr>
        <w:keepNext/>
        <w:rPr>
          <w:rFonts w:cs="Arial"/>
          <w:lang w:val="de-DE"/>
        </w:rPr>
      </w:pPr>
    </w:p>
    <w:p w:rsidR="002D20DB" w:rsidRPr="00C47725" w:rsidRDefault="002D20DB" w:rsidP="002D20DB">
      <w:pPr>
        <w:keepNext/>
        <w:rPr>
          <w:color w:val="000000"/>
          <w:lang w:val="de-DE"/>
        </w:rPr>
      </w:pPr>
      <w:r w:rsidRPr="00854E8B">
        <w:rPr>
          <w:color w:val="000000"/>
          <w:lang w:val="de-DE"/>
        </w:rPr>
        <w:fldChar w:fldCharType="begin"/>
      </w:r>
      <w:r w:rsidRPr="00854E8B">
        <w:rPr>
          <w:color w:val="000000"/>
          <w:lang w:val="de-DE"/>
        </w:rPr>
        <w:instrText xml:space="preserve"> AUTONUM  </w:instrText>
      </w:r>
      <w:r w:rsidRPr="00854E8B">
        <w:rPr>
          <w:color w:val="000000"/>
          <w:lang w:val="de-DE"/>
        </w:rPr>
        <w:fldChar w:fldCharType="end"/>
      </w:r>
      <w:r w:rsidRPr="00C47725">
        <w:rPr>
          <w:color w:val="000000"/>
          <w:lang w:val="de-DE"/>
        </w:rPr>
        <w:tab/>
      </w:r>
      <w:r w:rsidRPr="00C47725">
        <w:rPr>
          <w:rFonts w:cs="Arial"/>
          <w:lang w:val="de-DE"/>
        </w:rPr>
        <w:t>Auf Einladung der Vereinigte</w:t>
      </w:r>
      <w:r>
        <w:rPr>
          <w:rFonts w:cs="Arial"/>
          <w:lang w:val="de-DE"/>
        </w:rPr>
        <w:t>n</w:t>
      </w:r>
      <w:r w:rsidRPr="00C47725">
        <w:rPr>
          <w:rFonts w:cs="Arial"/>
          <w:lang w:val="de-DE"/>
        </w:rPr>
        <w:t xml:space="preserve"> Staaten von Amerika vereinbarte die TWC, ihre achtunddreißigste Tagung gemeinsam mit de</w:t>
      </w:r>
      <w:r>
        <w:rPr>
          <w:rFonts w:cs="Arial"/>
          <w:lang w:val="de-DE"/>
        </w:rPr>
        <w:t>r</w:t>
      </w:r>
      <w:r w:rsidRPr="00C47725">
        <w:rPr>
          <w:rFonts w:cs="Arial"/>
          <w:lang w:val="de-DE"/>
        </w:rPr>
        <w:t xml:space="preserve"> BMT in der Woche vom 21. bis 25. September 2020 in Alexandria, Virginia</w:t>
      </w:r>
      <w:r>
        <w:rPr>
          <w:rFonts w:cs="Arial"/>
          <w:lang w:val="de-DE"/>
        </w:rPr>
        <w:t>,</w:t>
      </w:r>
      <w:r w:rsidRPr="00C47725">
        <w:rPr>
          <w:rFonts w:cs="Arial"/>
          <w:lang w:val="de-DE"/>
        </w:rPr>
        <w:t xml:space="preserve"> abzuhalten.</w:t>
      </w:r>
    </w:p>
    <w:p w:rsidR="002D20DB" w:rsidRPr="00C47725" w:rsidRDefault="002D20DB" w:rsidP="002D20DB">
      <w:pPr>
        <w:rPr>
          <w:rFonts w:cs="Arial"/>
          <w:lang w:val="de-DE"/>
        </w:rPr>
      </w:pPr>
    </w:p>
    <w:p w:rsidR="002D20DB" w:rsidRPr="00C47725" w:rsidRDefault="002D20DB" w:rsidP="002D20DB">
      <w:pPr>
        <w:pStyle w:val="Heading5"/>
        <w:rPr>
          <w:lang w:val="de-DE"/>
        </w:rPr>
      </w:pPr>
      <w:r w:rsidRPr="00C47725">
        <w:rPr>
          <w:lang w:val="de-DE"/>
        </w:rPr>
        <w:t>Künftiges Programm</w:t>
      </w:r>
    </w:p>
    <w:p w:rsidR="002D20DB" w:rsidRPr="00C47725" w:rsidRDefault="002D20DB" w:rsidP="002D20DB">
      <w:pPr>
        <w:keepNext/>
        <w:rPr>
          <w:snapToGrid w:val="0"/>
          <w:lang w:val="de-DE"/>
        </w:rPr>
      </w:pPr>
    </w:p>
    <w:p w:rsidR="002D20DB" w:rsidRPr="00C47725" w:rsidRDefault="002D20DB" w:rsidP="002D20DB">
      <w:pPr>
        <w:rPr>
          <w:rFonts w:cs="Arial"/>
          <w:lang w:val="de-DE"/>
        </w:rPr>
      </w:pPr>
      <w:r w:rsidRPr="00854E8B">
        <w:rPr>
          <w:lang w:val="de-DE"/>
        </w:rPr>
        <w:fldChar w:fldCharType="begin"/>
      </w:r>
      <w:r w:rsidRPr="00854E8B">
        <w:rPr>
          <w:lang w:val="de-DE"/>
        </w:rPr>
        <w:instrText xml:space="preserve"> AUTONUM  </w:instrText>
      </w:r>
      <w:r w:rsidRPr="00854E8B">
        <w:rPr>
          <w:lang w:val="de-DE"/>
        </w:rPr>
        <w:fldChar w:fldCharType="end"/>
      </w:r>
      <w:r w:rsidRPr="00C47725">
        <w:rPr>
          <w:lang w:val="de-DE"/>
        </w:rPr>
        <w:tab/>
      </w:r>
      <w:bookmarkStart w:id="5" w:name="_Hlk25011060"/>
      <w:bookmarkStart w:id="6" w:name="_Hlk24908604"/>
      <w:r w:rsidRPr="00C47725">
        <w:rPr>
          <w:rFonts w:cs="Arial"/>
          <w:lang w:val="de-DE"/>
        </w:rPr>
        <w:t xml:space="preserve">Die TWC </w:t>
      </w:r>
      <w:r>
        <w:rPr>
          <w:rFonts w:cs="Arial"/>
          <w:lang w:val="de-DE"/>
        </w:rPr>
        <w:t>bewertete</w:t>
      </w:r>
      <w:r w:rsidRPr="00C47725">
        <w:rPr>
          <w:rFonts w:cs="Arial"/>
          <w:lang w:val="de-DE"/>
        </w:rPr>
        <w:t xml:space="preserve"> die Organisation </w:t>
      </w:r>
      <w:r>
        <w:rPr>
          <w:rFonts w:cs="Arial"/>
          <w:lang w:val="de-DE"/>
        </w:rPr>
        <w:t>der</w:t>
      </w:r>
      <w:r w:rsidRPr="00C47725">
        <w:rPr>
          <w:rFonts w:cs="Arial"/>
          <w:lang w:val="de-DE"/>
        </w:rPr>
        <w:t xml:space="preserve"> Sitzungen der TWC und BMT in derselben Woche. Die TWC nahm zur Kenntnis, dass die Inhalte, die sowohl auf den Sitzungen der TWC als auch auf den Sitzungen der BMT dargelegt w</w:t>
      </w:r>
      <w:r>
        <w:rPr>
          <w:rFonts w:cs="Arial"/>
          <w:lang w:val="de-DE"/>
        </w:rPr>
        <w:t>ü</w:t>
      </w:r>
      <w:r w:rsidRPr="00C47725">
        <w:rPr>
          <w:rFonts w:cs="Arial"/>
          <w:lang w:val="de-DE"/>
        </w:rPr>
        <w:t xml:space="preserve">rden, </w:t>
      </w:r>
      <w:r>
        <w:rPr>
          <w:rFonts w:cs="Arial"/>
          <w:lang w:val="de-DE"/>
        </w:rPr>
        <w:t>doppelt seien</w:t>
      </w:r>
      <w:r w:rsidRPr="00C47725">
        <w:rPr>
          <w:rFonts w:cs="Arial"/>
          <w:lang w:val="de-DE"/>
        </w:rPr>
        <w:t>, und vereinbarte, dass es eine</w:t>
      </w:r>
      <w:r>
        <w:rPr>
          <w:rFonts w:cs="Arial"/>
          <w:lang w:val="de-DE"/>
        </w:rPr>
        <w:t>n</w:t>
      </w:r>
      <w:r w:rsidRPr="00C47725">
        <w:rPr>
          <w:rFonts w:cs="Arial"/>
          <w:lang w:val="de-DE"/>
        </w:rPr>
        <w:t xml:space="preserve"> einzige</w:t>
      </w:r>
      <w:r>
        <w:rPr>
          <w:rFonts w:cs="Arial"/>
          <w:lang w:val="de-DE"/>
        </w:rPr>
        <w:t>n</w:t>
      </w:r>
      <w:r w:rsidRPr="00C47725">
        <w:rPr>
          <w:rFonts w:cs="Arial"/>
          <w:lang w:val="de-DE"/>
        </w:rPr>
        <w:t xml:space="preserve"> Eröffnung</w:t>
      </w:r>
      <w:r>
        <w:rPr>
          <w:rFonts w:cs="Arial"/>
          <w:lang w:val="de-DE"/>
        </w:rPr>
        <w:t>s-</w:t>
      </w:r>
      <w:r w:rsidRPr="00C47725">
        <w:rPr>
          <w:rFonts w:cs="Arial"/>
          <w:lang w:val="de-DE"/>
        </w:rPr>
        <w:t xml:space="preserve"> und </w:t>
      </w:r>
      <w:r>
        <w:rPr>
          <w:rFonts w:cs="Arial"/>
          <w:lang w:val="de-DE"/>
        </w:rPr>
        <w:t>Einführungsteil</w:t>
      </w:r>
      <w:r w:rsidRPr="00C47725">
        <w:rPr>
          <w:rFonts w:cs="Arial"/>
          <w:lang w:val="de-DE"/>
        </w:rPr>
        <w:t xml:space="preserve"> für beide Sitzungen gleichzeitig geben sollte.</w:t>
      </w:r>
      <w:bookmarkEnd w:id="5"/>
      <w:r w:rsidRPr="00C47725">
        <w:rPr>
          <w:rFonts w:cs="Arial"/>
          <w:lang w:val="de-DE"/>
        </w:rPr>
        <w:t xml:space="preserve"> </w:t>
      </w:r>
      <w:bookmarkEnd w:id="6"/>
    </w:p>
    <w:p w:rsidR="002D20DB" w:rsidRPr="00C47725" w:rsidRDefault="002D20DB" w:rsidP="002D20DB">
      <w:pPr>
        <w:rPr>
          <w:rFonts w:cs="Arial"/>
          <w:lang w:val="de-DE"/>
        </w:rPr>
      </w:pPr>
    </w:p>
    <w:p w:rsidR="002D20DB" w:rsidRPr="00C47725" w:rsidRDefault="002D20DB" w:rsidP="002D20DB">
      <w:pPr>
        <w:rPr>
          <w:rFonts w:cs="Arial"/>
          <w:lang w:val="de-DE"/>
        </w:rPr>
      </w:pPr>
      <w:r w:rsidRPr="00854E8B">
        <w:rPr>
          <w:lang w:val="de-DE"/>
        </w:rPr>
        <w:fldChar w:fldCharType="begin"/>
      </w:r>
      <w:r w:rsidRPr="00854E8B">
        <w:rPr>
          <w:lang w:val="de-DE"/>
        </w:rPr>
        <w:instrText xml:space="preserve"> AUTONUM  </w:instrText>
      </w:r>
      <w:r w:rsidRPr="00854E8B">
        <w:rPr>
          <w:lang w:val="de-DE"/>
        </w:rPr>
        <w:fldChar w:fldCharType="end"/>
      </w:r>
      <w:r w:rsidRPr="00C47725">
        <w:rPr>
          <w:lang w:val="de-DE"/>
        </w:rPr>
        <w:tab/>
      </w:r>
      <w:r w:rsidRPr="00C47725">
        <w:rPr>
          <w:rFonts w:cs="Arial"/>
          <w:lang w:val="de-DE"/>
        </w:rPr>
        <w:t xml:space="preserve">Die TWC vereinbarte, dass die Tagesordnungspunkte, die </w:t>
      </w:r>
      <w:r>
        <w:rPr>
          <w:rFonts w:cs="Arial"/>
          <w:lang w:val="de-DE"/>
        </w:rPr>
        <w:t>zur Erörterung auf</w:t>
      </w:r>
      <w:r w:rsidRPr="00C47725">
        <w:rPr>
          <w:rFonts w:cs="Arial"/>
          <w:lang w:val="de-DE"/>
        </w:rPr>
        <w:t xml:space="preserve"> ihre</w:t>
      </w:r>
      <w:r>
        <w:rPr>
          <w:rFonts w:cs="Arial"/>
          <w:lang w:val="de-DE"/>
        </w:rPr>
        <w:t>r</w:t>
      </w:r>
      <w:r w:rsidRPr="00C47725">
        <w:rPr>
          <w:rFonts w:cs="Arial"/>
          <w:lang w:val="de-DE"/>
        </w:rPr>
        <w:t xml:space="preserve"> achtunddreißigste</w:t>
      </w:r>
      <w:r>
        <w:rPr>
          <w:rFonts w:cs="Arial"/>
          <w:lang w:val="de-DE"/>
        </w:rPr>
        <w:t>n</w:t>
      </w:r>
      <w:r w:rsidRPr="00C47725">
        <w:rPr>
          <w:rFonts w:cs="Arial"/>
          <w:lang w:val="de-DE"/>
        </w:rPr>
        <w:t xml:space="preserve"> Sitzung vorgesehen sind, auf maßgebliche </w:t>
      </w:r>
      <w:r>
        <w:rPr>
          <w:rFonts w:cs="Arial"/>
          <w:lang w:val="de-DE"/>
        </w:rPr>
        <w:t>Tagesordnungsp</w:t>
      </w:r>
      <w:r w:rsidRPr="00C47725">
        <w:rPr>
          <w:rFonts w:cs="Arial"/>
          <w:lang w:val="de-DE"/>
        </w:rPr>
        <w:t>unkte für die Gruppe konzentriert werden</w:t>
      </w:r>
      <w:r>
        <w:rPr>
          <w:rFonts w:cs="Arial"/>
          <w:lang w:val="de-DE"/>
        </w:rPr>
        <w:t xml:space="preserve"> sollten</w:t>
      </w:r>
      <w:r w:rsidRPr="00C47725">
        <w:rPr>
          <w:rFonts w:cs="Arial"/>
          <w:lang w:val="de-DE"/>
        </w:rPr>
        <w:t xml:space="preserve"> und alle anderen </w:t>
      </w:r>
      <w:r>
        <w:rPr>
          <w:rFonts w:cs="Arial"/>
          <w:lang w:val="de-DE"/>
        </w:rPr>
        <w:t>Tagesordnungsp</w:t>
      </w:r>
      <w:r w:rsidRPr="00C47725">
        <w:rPr>
          <w:rFonts w:cs="Arial"/>
          <w:lang w:val="de-DE"/>
        </w:rPr>
        <w:t>unkte</w:t>
      </w:r>
      <w:r>
        <w:rPr>
          <w:rFonts w:cs="Arial"/>
          <w:lang w:val="de-DE"/>
        </w:rPr>
        <w:t xml:space="preserve"> nur </w:t>
      </w:r>
      <w:r w:rsidRPr="00C47725">
        <w:rPr>
          <w:rFonts w:cs="Arial"/>
          <w:lang w:val="de-DE"/>
        </w:rPr>
        <w:t>zur Information vorgelegt werden</w:t>
      </w:r>
      <w:r>
        <w:rPr>
          <w:rFonts w:cs="Arial"/>
          <w:lang w:val="de-DE"/>
        </w:rPr>
        <w:t xml:space="preserve"> </w:t>
      </w:r>
      <w:r w:rsidRPr="00C47725">
        <w:rPr>
          <w:rFonts w:cs="Arial"/>
          <w:lang w:val="de-DE"/>
        </w:rPr>
        <w:t xml:space="preserve">sollten. Die TWC vereinbarte, dass die Tagesordnungspunkte an verschiedenen Tagen thematisch zusammengefasst werden </w:t>
      </w:r>
      <w:r>
        <w:rPr>
          <w:rFonts w:cs="Arial"/>
          <w:lang w:val="de-DE"/>
        </w:rPr>
        <w:t xml:space="preserve">sollten </w:t>
      </w:r>
      <w:r w:rsidRPr="00C47725">
        <w:rPr>
          <w:rFonts w:cs="Arial"/>
          <w:lang w:val="de-DE"/>
        </w:rPr>
        <w:t>und die Teilnehmer vorab über die Reihenfolge der Erörterung</w:t>
      </w:r>
      <w:r>
        <w:rPr>
          <w:rFonts w:cs="Arial"/>
          <w:lang w:val="de-DE"/>
        </w:rPr>
        <w:t>en</w:t>
      </w:r>
      <w:r w:rsidRPr="00C47725">
        <w:rPr>
          <w:rFonts w:cs="Arial"/>
          <w:lang w:val="de-DE"/>
        </w:rPr>
        <w:t xml:space="preserve"> informiert werden sollten. </w:t>
      </w:r>
    </w:p>
    <w:p w:rsidR="002D20DB" w:rsidRPr="00C47725" w:rsidRDefault="002D20DB" w:rsidP="002D20DB">
      <w:pPr>
        <w:rPr>
          <w:rFonts w:cs="Arial"/>
          <w:lang w:val="de-DE"/>
        </w:rPr>
      </w:pPr>
    </w:p>
    <w:p w:rsidR="002D20DB" w:rsidRPr="00C47725" w:rsidRDefault="002D20DB" w:rsidP="002D20DB">
      <w:pPr>
        <w:rPr>
          <w:rFonts w:cs="Arial"/>
          <w:lang w:val="de-DE"/>
        </w:rPr>
      </w:pPr>
      <w:r w:rsidRPr="00854E8B">
        <w:rPr>
          <w:lang w:val="de-DE"/>
        </w:rPr>
        <w:fldChar w:fldCharType="begin"/>
      </w:r>
      <w:r w:rsidRPr="00854E8B">
        <w:rPr>
          <w:lang w:val="de-DE"/>
        </w:rPr>
        <w:instrText xml:space="preserve"> AUTONUM  </w:instrText>
      </w:r>
      <w:r w:rsidRPr="00854E8B">
        <w:rPr>
          <w:lang w:val="de-DE"/>
        </w:rPr>
        <w:fldChar w:fldCharType="end"/>
      </w:r>
      <w:r w:rsidRPr="00C47725">
        <w:rPr>
          <w:lang w:val="de-DE"/>
        </w:rPr>
        <w:tab/>
      </w:r>
      <w:r w:rsidRPr="00C47725">
        <w:rPr>
          <w:rFonts w:cs="Arial"/>
          <w:lang w:val="de-DE"/>
        </w:rPr>
        <w:t>Die TWC vereinbarte, dass die vo</w:t>
      </w:r>
      <w:r>
        <w:rPr>
          <w:rFonts w:cs="Arial"/>
          <w:lang w:val="de-DE"/>
        </w:rPr>
        <w:t>r</w:t>
      </w:r>
      <w:r w:rsidRPr="00C47725">
        <w:rPr>
          <w:rFonts w:cs="Arial"/>
          <w:lang w:val="de-DE"/>
        </w:rPr>
        <w:t xml:space="preserve">stehend genannten Vorschläge </w:t>
      </w:r>
      <w:r>
        <w:rPr>
          <w:rFonts w:cs="Arial"/>
          <w:lang w:val="de-DE"/>
        </w:rPr>
        <w:t>das Einrichten</w:t>
      </w:r>
      <w:r w:rsidRPr="00C47725">
        <w:rPr>
          <w:rFonts w:cs="Arial"/>
          <w:lang w:val="de-DE"/>
        </w:rPr>
        <w:t xml:space="preserve"> von Zeit für einen technischen Besuch während der Sitzung ermöglichen könnten. </w:t>
      </w:r>
    </w:p>
    <w:p w:rsidR="002D20DB" w:rsidRPr="00C47725" w:rsidRDefault="002D20DB" w:rsidP="002D20DB">
      <w:pPr>
        <w:keepNext/>
        <w:rPr>
          <w:snapToGrid w:val="0"/>
          <w:lang w:val="de-DE"/>
        </w:rPr>
      </w:pPr>
    </w:p>
    <w:p w:rsidR="002D20DB" w:rsidRPr="00C47725" w:rsidRDefault="002D20DB" w:rsidP="002D20DB">
      <w:pPr>
        <w:keepNext/>
        <w:rPr>
          <w:rFonts w:cs="Arial"/>
          <w:lang w:val="de-DE"/>
        </w:rPr>
      </w:pPr>
      <w:r w:rsidRPr="00854E8B">
        <w:rPr>
          <w:color w:val="000000"/>
          <w:lang w:val="de-DE"/>
        </w:rPr>
        <w:fldChar w:fldCharType="begin"/>
      </w:r>
      <w:r w:rsidRPr="00854E8B">
        <w:rPr>
          <w:color w:val="000000"/>
          <w:lang w:val="de-DE"/>
        </w:rPr>
        <w:instrText xml:space="preserve"> AUTONUM  </w:instrText>
      </w:r>
      <w:r w:rsidRPr="00854E8B">
        <w:rPr>
          <w:color w:val="000000"/>
          <w:lang w:val="de-DE"/>
        </w:rPr>
        <w:fldChar w:fldCharType="end"/>
      </w:r>
      <w:r w:rsidRPr="00C47725">
        <w:rPr>
          <w:color w:val="000000"/>
          <w:lang w:val="de-DE"/>
        </w:rPr>
        <w:tab/>
      </w:r>
      <w:r w:rsidRPr="00C47725">
        <w:rPr>
          <w:rFonts w:cs="Arial"/>
          <w:lang w:val="de-DE"/>
        </w:rPr>
        <w:t xml:space="preserve">Die TWC vereinbarte, auf ihrer nächsten Tagung folgende </w:t>
      </w:r>
      <w:r>
        <w:rPr>
          <w:rFonts w:cs="Arial"/>
          <w:lang w:val="de-DE"/>
        </w:rPr>
        <w:t>Tagesordnungsp</w:t>
      </w:r>
      <w:r w:rsidRPr="00C47725">
        <w:rPr>
          <w:rFonts w:cs="Arial"/>
          <w:lang w:val="de-DE"/>
        </w:rPr>
        <w:t>unkte zu behandeln:</w:t>
      </w:r>
    </w:p>
    <w:p w:rsidR="002D20DB" w:rsidRPr="00C47725" w:rsidRDefault="002D20DB" w:rsidP="002D20DB">
      <w:pPr>
        <w:jc w:val="right"/>
        <w:rPr>
          <w:lang w:val="de-DE"/>
        </w:rPr>
      </w:pPr>
    </w:p>
    <w:p w:rsidR="002D20DB" w:rsidRPr="00C47725" w:rsidRDefault="002D20DB" w:rsidP="002D20DB">
      <w:pPr>
        <w:numPr>
          <w:ilvl w:val="0"/>
          <w:numId w:val="23"/>
        </w:numPr>
        <w:ind w:left="1134" w:hanging="567"/>
        <w:contextualSpacing/>
        <w:rPr>
          <w:lang w:val="de-DE"/>
        </w:rPr>
      </w:pPr>
      <w:r w:rsidRPr="00C47725">
        <w:rPr>
          <w:lang w:val="de-DE"/>
        </w:rPr>
        <w:t>Eröffnung der Tagung</w:t>
      </w:r>
    </w:p>
    <w:p w:rsidR="002D20DB" w:rsidRPr="00C47725" w:rsidRDefault="002D20DB" w:rsidP="002D20DB">
      <w:pPr>
        <w:numPr>
          <w:ilvl w:val="0"/>
          <w:numId w:val="23"/>
        </w:numPr>
        <w:ind w:left="1134" w:hanging="567"/>
        <w:contextualSpacing/>
        <w:rPr>
          <w:lang w:val="de-DE"/>
        </w:rPr>
      </w:pPr>
      <w:r w:rsidRPr="00C47725">
        <w:rPr>
          <w:lang w:val="de-DE"/>
        </w:rPr>
        <w:t>Annahme der Tagesordnung</w:t>
      </w:r>
    </w:p>
    <w:p w:rsidR="002D20DB" w:rsidRPr="00C47725" w:rsidRDefault="002D20DB" w:rsidP="002D20DB">
      <w:pPr>
        <w:numPr>
          <w:ilvl w:val="0"/>
          <w:numId w:val="23"/>
        </w:numPr>
        <w:ind w:left="1134" w:hanging="567"/>
        <w:contextualSpacing/>
        <w:rPr>
          <w:lang w:val="de-DE"/>
        </w:rPr>
      </w:pPr>
      <w:r w:rsidRPr="00C47725">
        <w:rPr>
          <w:lang w:val="de-DE"/>
        </w:rPr>
        <w:t xml:space="preserve">Kurzberichte über die Entwicklungen im Sortenschutz </w:t>
      </w:r>
    </w:p>
    <w:p w:rsidR="002D20DB" w:rsidRPr="00C47725" w:rsidRDefault="00303B94" w:rsidP="002D20DB">
      <w:pPr>
        <w:ind w:left="1134" w:hanging="567"/>
        <w:rPr>
          <w:rFonts w:cs="Arial"/>
          <w:color w:val="000000"/>
          <w:lang w:val="de-DE"/>
        </w:rPr>
      </w:pPr>
      <w:r>
        <w:rPr>
          <w:rFonts w:cs="Arial"/>
          <w:color w:val="000000"/>
          <w:lang w:val="de-DE"/>
        </w:rPr>
        <w:tab/>
      </w:r>
      <w:r w:rsidR="002D20DB" w:rsidRPr="00C47725">
        <w:rPr>
          <w:rFonts w:cs="Arial"/>
          <w:color w:val="000000"/>
          <w:lang w:val="de-DE"/>
        </w:rPr>
        <w:t>a)</w:t>
      </w:r>
      <w:r w:rsidR="002D20DB" w:rsidRPr="00C47725">
        <w:rPr>
          <w:rFonts w:cs="Arial"/>
          <w:color w:val="000000"/>
          <w:lang w:val="de-DE"/>
        </w:rPr>
        <w:tab/>
        <w:t>Berichte von Mitgliedern und Beobachtern (von Mitgliedern und Beobachtern zu erstellende schriftliche Berichte)</w:t>
      </w:r>
    </w:p>
    <w:p w:rsidR="002D20DB" w:rsidRPr="00C47725" w:rsidRDefault="00303B94" w:rsidP="002D20DB">
      <w:pPr>
        <w:ind w:left="1134" w:hanging="567"/>
        <w:rPr>
          <w:lang w:val="de-DE"/>
        </w:rPr>
      </w:pPr>
      <w:r>
        <w:rPr>
          <w:lang w:val="de-DE"/>
        </w:rPr>
        <w:tab/>
      </w:r>
      <w:r w:rsidR="002D20DB" w:rsidRPr="00C47725">
        <w:rPr>
          <w:lang w:val="de-DE"/>
        </w:rPr>
        <w:t>b)</w:t>
      </w:r>
      <w:r w:rsidR="002D20DB" w:rsidRPr="00C47725">
        <w:rPr>
          <w:lang w:val="de-DE"/>
        </w:rPr>
        <w:tab/>
        <w:t>Berichte über Entwicklungen in der UPOV (mündlicher Bericht des Verbandsbüros)</w:t>
      </w:r>
    </w:p>
    <w:p w:rsidR="002D20DB" w:rsidRPr="00C47725" w:rsidRDefault="002D20DB" w:rsidP="002D20DB">
      <w:pPr>
        <w:numPr>
          <w:ilvl w:val="0"/>
          <w:numId w:val="23"/>
        </w:numPr>
        <w:ind w:left="1134" w:hanging="567"/>
        <w:contextualSpacing/>
        <w:rPr>
          <w:bCs/>
          <w:lang w:val="de-DE"/>
        </w:rPr>
      </w:pPr>
      <w:r w:rsidRPr="00C47725">
        <w:rPr>
          <w:bCs/>
          <w:snapToGrid w:val="0"/>
          <w:lang w:val="de-DE"/>
        </w:rPr>
        <w:t>Statistische Verfahren (Dokumente erbeten)</w:t>
      </w:r>
    </w:p>
    <w:p w:rsidR="002D20DB" w:rsidRPr="00C47725" w:rsidRDefault="002D20DB" w:rsidP="002D20DB">
      <w:pPr>
        <w:ind w:left="1134" w:firstLine="567"/>
        <w:rPr>
          <w:lang w:val="de-DE"/>
        </w:rPr>
      </w:pPr>
      <w:r w:rsidRPr="00C47725">
        <w:rPr>
          <w:lang w:val="de-DE"/>
        </w:rPr>
        <w:t xml:space="preserve">Dokument TGP/8 </w:t>
      </w:r>
    </w:p>
    <w:p w:rsidR="002D20DB" w:rsidRPr="00C47725" w:rsidRDefault="002D20DB" w:rsidP="002D20DB">
      <w:pPr>
        <w:numPr>
          <w:ilvl w:val="2"/>
          <w:numId w:val="23"/>
        </w:numPr>
        <w:ind w:left="2268" w:hanging="425"/>
        <w:contextualSpacing/>
        <w:rPr>
          <w:lang w:val="de-DE"/>
        </w:rPr>
      </w:pPr>
      <w:r w:rsidRPr="00C47725">
        <w:rPr>
          <w:lang w:val="de-DE"/>
        </w:rPr>
        <w:t>Umstrukturierung von Dokument TGP/8 (von China zu erstellendes Dokument)</w:t>
      </w:r>
    </w:p>
    <w:p w:rsidR="002D20DB" w:rsidRPr="00C47725" w:rsidRDefault="002D20DB" w:rsidP="002D20DB">
      <w:pPr>
        <w:numPr>
          <w:ilvl w:val="2"/>
          <w:numId w:val="23"/>
        </w:numPr>
        <w:ind w:left="2268" w:hanging="425"/>
        <w:contextualSpacing/>
        <w:rPr>
          <w:lang w:val="de-DE"/>
        </w:rPr>
      </w:pPr>
      <w:r w:rsidRPr="00C47725">
        <w:rPr>
          <w:lang w:val="de-DE"/>
        </w:rPr>
        <w:t>Genotyp x Interaktion mit der Umwelt (von Finnland und Italien</w:t>
      </w:r>
      <w:r>
        <w:rPr>
          <w:lang w:val="de-DE"/>
        </w:rPr>
        <w:t xml:space="preserve"> </w:t>
      </w:r>
      <w:r w:rsidRPr="00C47725">
        <w:rPr>
          <w:lang w:val="de-DE"/>
        </w:rPr>
        <w:t>zu erstellendes Dokument)</w:t>
      </w:r>
    </w:p>
    <w:p w:rsidR="002D20DB" w:rsidRPr="00C47725" w:rsidRDefault="002D20DB" w:rsidP="002D20DB">
      <w:pPr>
        <w:numPr>
          <w:ilvl w:val="2"/>
          <w:numId w:val="23"/>
        </w:numPr>
        <w:ind w:left="2268" w:hanging="425"/>
        <w:contextualSpacing/>
        <w:rPr>
          <w:lang w:val="de-DE"/>
        </w:rPr>
      </w:pPr>
      <w:r w:rsidRPr="00C47725">
        <w:rPr>
          <w:snapToGrid w:val="0"/>
          <w:lang w:val="de-DE"/>
        </w:rPr>
        <w:t>Das kombinierte Homogenitätskriterium über mehrere Jahre (COYU) (vom Vereinigten Königreich zu erstellendes Dokument)</w:t>
      </w:r>
    </w:p>
    <w:p w:rsidR="002D20DB" w:rsidRPr="00C47725" w:rsidRDefault="002D20DB" w:rsidP="002D20DB">
      <w:pPr>
        <w:ind w:left="1701"/>
        <w:rPr>
          <w:lang w:val="de-DE"/>
        </w:rPr>
      </w:pPr>
      <w:r w:rsidRPr="00C47725">
        <w:rPr>
          <w:lang w:val="de-DE"/>
        </w:rPr>
        <w:t>Dokument TGP/10</w:t>
      </w:r>
    </w:p>
    <w:p w:rsidR="002D20DB" w:rsidRPr="00C47725" w:rsidRDefault="002D20DB" w:rsidP="002D20DB">
      <w:pPr>
        <w:ind w:left="2268" w:hanging="567"/>
        <w:rPr>
          <w:lang w:val="de-DE"/>
        </w:rPr>
      </w:pPr>
      <w:r w:rsidRPr="00C47725">
        <w:rPr>
          <w:lang w:val="de-DE"/>
        </w:rPr>
        <w:t>iv.</w:t>
      </w:r>
      <w:r w:rsidRPr="00C47725">
        <w:rPr>
          <w:lang w:val="de-DE"/>
        </w:rPr>
        <w:tab/>
        <w:t>Datenverarbeitung zur Erstellung von Sortenbeschreibungen (vom Vereinigten Königreich zu erstellendes Dokument)</w:t>
      </w:r>
    </w:p>
    <w:p w:rsidR="002D20DB" w:rsidRPr="00C47725" w:rsidRDefault="002D20DB" w:rsidP="002D20DB">
      <w:pPr>
        <w:numPr>
          <w:ilvl w:val="0"/>
          <w:numId w:val="23"/>
        </w:numPr>
        <w:ind w:left="1134" w:hanging="567"/>
        <w:contextualSpacing/>
        <w:rPr>
          <w:bCs/>
          <w:lang w:val="de-DE"/>
        </w:rPr>
      </w:pPr>
      <w:r w:rsidRPr="00C47725">
        <w:rPr>
          <w:bCs/>
          <w:snapToGrid w:val="0"/>
          <w:lang w:val="de-DE"/>
        </w:rPr>
        <w:t>Software, Informationen und Datenbanken (Dokumente erbeten)</w:t>
      </w:r>
    </w:p>
    <w:p w:rsidR="002D20DB" w:rsidRPr="00C47725" w:rsidRDefault="002D20DB" w:rsidP="002D20DB">
      <w:pPr>
        <w:ind w:left="1701" w:hanging="567"/>
        <w:rPr>
          <w:rFonts w:cs="Arial"/>
          <w:color w:val="000000"/>
          <w:lang w:val="de-DE"/>
        </w:rPr>
      </w:pPr>
      <w:r w:rsidRPr="00C47725">
        <w:rPr>
          <w:rFonts w:cs="Arial"/>
          <w:color w:val="000000"/>
          <w:lang w:val="de-DE"/>
        </w:rPr>
        <w:t>a)</w:t>
      </w:r>
      <w:r w:rsidRPr="00C47725">
        <w:rPr>
          <w:rFonts w:cs="Arial"/>
          <w:color w:val="000000"/>
          <w:lang w:val="de-DE"/>
        </w:rPr>
        <w:tab/>
        <w:t>UPOV-Informationsdatenbanken (vom Verbandsbüro zu erstellendes Dokument)</w:t>
      </w:r>
    </w:p>
    <w:p w:rsidR="002D20DB" w:rsidRPr="00C47725" w:rsidRDefault="002D20DB" w:rsidP="002D20DB">
      <w:pPr>
        <w:ind w:left="1701" w:hanging="567"/>
        <w:rPr>
          <w:rFonts w:cs="Arial"/>
          <w:color w:val="000000"/>
          <w:lang w:val="de-DE"/>
        </w:rPr>
      </w:pPr>
      <w:r w:rsidRPr="00C47725">
        <w:rPr>
          <w:rFonts w:cs="Arial"/>
          <w:color w:val="000000"/>
          <w:lang w:val="de-DE"/>
        </w:rPr>
        <w:t>b)</w:t>
      </w:r>
      <w:r w:rsidRPr="00C47725">
        <w:rPr>
          <w:rFonts w:cs="Arial"/>
          <w:color w:val="000000"/>
          <w:lang w:val="de-DE"/>
        </w:rPr>
        <w:tab/>
        <w:t>Datenbanken für Sortenbeschreibungen (vom Verbandsbüro zu erstellendes Dokument und Dokumente erbeten)</w:t>
      </w:r>
    </w:p>
    <w:p w:rsidR="002D20DB" w:rsidRPr="00C47725" w:rsidRDefault="002D20DB" w:rsidP="002D20DB">
      <w:pPr>
        <w:ind w:left="1701" w:hanging="567"/>
        <w:rPr>
          <w:rFonts w:cs="Arial"/>
          <w:color w:val="000000"/>
          <w:lang w:val="de-DE"/>
        </w:rPr>
      </w:pPr>
      <w:r w:rsidRPr="00C47725">
        <w:rPr>
          <w:rFonts w:cs="Arial"/>
          <w:color w:val="000000"/>
          <w:lang w:val="de-DE"/>
        </w:rPr>
        <w:t>c)</w:t>
      </w:r>
      <w:r w:rsidRPr="00C47725">
        <w:rPr>
          <w:rFonts w:cs="Arial"/>
          <w:color w:val="000000"/>
          <w:lang w:val="de-DE"/>
        </w:rPr>
        <w:tab/>
        <w:t>Austausch und Verwendung von Software und Ausrüstung (vom Verbandsbüro zu erstellendes Dokument)</w:t>
      </w:r>
    </w:p>
    <w:p w:rsidR="002D20DB" w:rsidRPr="00C47725" w:rsidRDefault="002D20DB" w:rsidP="002D20DB">
      <w:pPr>
        <w:ind w:left="1701" w:hanging="567"/>
        <w:rPr>
          <w:rFonts w:cs="Arial"/>
          <w:color w:val="000000"/>
          <w:lang w:val="de-DE"/>
        </w:rPr>
      </w:pPr>
      <w:r w:rsidRPr="00C47725">
        <w:rPr>
          <w:rFonts w:cs="Arial"/>
          <w:color w:val="000000"/>
          <w:lang w:val="de-DE"/>
        </w:rPr>
        <w:t>d)</w:t>
      </w:r>
      <w:r w:rsidRPr="00C47725">
        <w:rPr>
          <w:rFonts w:cs="Arial"/>
          <w:color w:val="000000"/>
          <w:lang w:val="de-DE"/>
        </w:rPr>
        <w:tab/>
        <w:t>UPOV PRISMA (vom Verbandsbüro zu erstellendes Dokument)</w:t>
      </w:r>
    </w:p>
    <w:p w:rsidR="002D20DB" w:rsidRPr="00C47725" w:rsidRDefault="002D20DB" w:rsidP="002D20DB">
      <w:pPr>
        <w:ind w:left="1701" w:hanging="567"/>
        <w:rPr>
          <w:rFonts w:cs="Arial"/>
          <w:color w:val="000000"/>
          <w:lang w:val="de-DE"/>
        </w:rPr>
      </w:pPr>
      <w:r w:rsidRPr="00C47725">
        <w:rPr>
          <w:rFonts w:cs="Arial"/>
          <w:color w:val="000000"/>
          <w:lang w:val="de-DE"/>
        </w:rPr>
        <w:t>e)</w:t>
      </w:r>
      <w:r w:rsidRPr="00C47725">
        <w:rPr>
          <w:rFonts w:cs="Arial"/>
          <w:color w:val="000000"/>
          <w:lang w:val="de-DE"/>
        </w:rPr>
        <w:tab/>
        <w:t>DUS-Excel (von China zu erstellendes Dokument)</w:t>
      </w:r>
    </w:p>
    <w:p w:rsidR="002D20DB" w:rsidRPr="00C47725" w:rsidRDefault="002D20DB" w:rsidP="002D20DB">
      <w:pPr>
        <w:ind w:left="1701" w:hanging="567"/>
        <w:rPr>
          <w:rFonts w:cs="Arial"/>
          <w:color w:val="000000"/>
          <w:lang w:val="de-DE"/>
        </w:rPr>
      </w:pPr>
      <w:r w:rsidRPr="00C47725">
        <w:rPr>
          <w:rFonts w:cs="Arial"/>
          <w:color w:val="000000"/>
          <w:lang w:val="de-DE"/>
        </w:rPr>
        <w:t>f)</w:t>
      </w:r>
      <w:r w:rsidRPr="00C47725">
        <w:rPr>
          <w:rFonts w:cs="Arial"/>
          <w:color w:val="000000"/>
          <w:lang w:val="de-DE"/>
        </w:rPr>
        <w:tab/>
      </w:r>
      <w:r>
        <w:rPr>
          <w:rFonts w:cs="Arial"/>
          <w:color w:val="000000"/>
          <w:lang w:val="de-DE"/>
        </w:rPr>
        <w:t>Validierung</w:t>
      </w:r>
      <w:r w:rsidRPr="00C47725">
        <w:rPr>
          <w:rFonts w:cs="Arial"/>
          <w:color w:val="000000"/>
          <w:lang w:val="de-DE"/>
        </w:rPr>
        <w:t xml:space="preserve"> von Software (vom Vereinigten Königreich zu erstellendes Dokument)</w:t>
      </w:r>
    </w:p>
    <w:p w:rsidR="002D20DB" w:rsidRPr="00C47725" w:rsidRDefault="002D20DB" w:rsidP="002D20DB">
      <w:pPr>
        <w:numPr>
          <w:ilvl w:val="0"/>
          <w:numId w:val="23"/>
        </w:numPr>
        <w:ind w:left="1134" w:hanging="567"/>
        <w:contextualSpacing/>
        <w:rPr>
          <w:lang w:val="de-DE"/>
        </w:rPr>
      </w:pPr>
      <w:r w:rsidRPr="00C47725">
        <w:rPr>
          <w:bCs/>
          <w:lang w:val="de-DE"/>
        </w:rPr>
        <w:t>Molekulare Verfahren und Bioinformatik</w:t>
      </w:r>
      <w:r w:rsidRPr="00C47725">
        <w:rPr>
          <w:lang w:val="de-DE"/>
        </w:rPr>
        <w:t xml:space="preserve"> (vom Verbandsbüro zu erstellendes Dokument und Dokumente erbeten)</w:t>
      </w:r>
    </w:p>
    <w:p w:rsidR="002D20DB" w:rsidRPr="00C47725" w:rsidRDefault="002D20DB" w:rsidP="002D20DB">
      <w:pPr>
        <w:ind w:left="1497" w:firstLine="204"/>
        <w:contextualSpacing/>
        <w:rPr>
          <w:lang w:val="de-DE"/>
        </w:rPr>
      </w:pPr>
      <w:r w:rsidRPr="00C47725">
        <w:rPr>
          <w:lang w:val="de-DE"/>
        </w:rPr>
        <w:t>Überarbeitung von Dokument TGP/15 (vom Verbandsbüro zu erstellendes Dokument)</w:t>
      </w:r>
    </w:p>
    <w:p w:rsidR="002D20DB" w:rsidRPr="00C47725" w:rsidRDefault="002D20DB" w:rsidP="002D20DB">
      <w:pPr>
        <w:numPr>
          <w:ilvl w:val="0"/>
          <w:numId w:val="23"/>
        </w:numPr>
        <w:ind w:left="1134" w:hanging="567"/>
        <w:contextualSpacing/>
        <w:rPr>
          <w:lang w:val="de-DE"/>
        </w:rPr>
      </w:pPr>
      <w:r w:rsidRPr="00C47725">
        <w:rPr>
          <w:bCs/>
          <w:snapToGrid w:val="0"/>
          <w:lang w:val="de-DE"/>
        </w:rPr>
        <w:t>Phänotypenbestimmung und Bildanalyse</w:t>
      </w:r>
      <w:r w:rsidRPr="00C47725">
        <w:rPr>
          <w:snapToGrid w:val="0"/>
          <w:lang w:val="de-DE"/>
        </w:rPr>
        <w:t xml:space="preserve"> (Dokumente erbeten)</w:t>
      </w:r>
    </w:p>
    <w:p w:rsidR="002D20DB" w:rsidRPr="00C47725" w:rsidRDefault="002D20DB" w:rsidP="002D20DB">
      <w:pPr>
        <w:numPr>
          <w:ilvl w:val="0"/>
          <w:numId w:val="23"/>
        </w:numPr>
        <w:ind w:left="1134" w:hanging="567"/>
        <w:contextualSpacing/>
        <w:rPr>
          <w:lang w:val="de-DE"/>
        </w:rPr>
      </w:pPr>
      <w:r w:rsidRPr="00C47725">
        <w:rPr>
          <w:bCs/>
          <w:lang w:val="de-DE"/>
        </w:rPr>
        <w:t>Instrumente und Methoden für die DUS-Prüfung</w:t>
      </w:r>
      <w:r w:rsidRPr="00C47725">
        <w:rPr>
          <w:lang w:val="de-DE"/>
        </w:rPr>
        <w:t xml:space="preserve"> (Dokumente erbeten)</w:t>
      </w:r>
    </w:p>
    <w:p w:rsidR="002D20DB" w:rsidRPr="00C47725" w:rsidRDefault="002D20DB" w:rsidP="002D20DB">
      <w:pPr>
        <w:numPr>
          <w:ilvl w:val="0"/>
          <w:numId w:val="23"/>
        </w:numPr>
        <w:ind w:left="1134" w:hanging="567"/>
        <w:contextualSpacing/>
        <w:rPr>
          <w:lang w:val="de-DE"/>
        </w:rPr>
      </w:pPr>
      <w:r w:rsidRPr="00C47725">
        <w:rPr>
          <w:rFonts w:cs="Arial"/>
          <w:color w:val="000000"/>
          <w:lang w:val="de-DE"/>
        </w:rPr>
        <w:t>Ort und Datum der nächsten Tagung</w:t>
      </w:r>
    </w:p>
    <w:p w:rsidR="002D20DB" w:rsidRPr="00C47725" w:rsidRDefault="002D20DB" w:rsidP="002D20DB">
      <w:pPr>
        <w:numPr>
          <w:ilvl w:val="0"/>
          <w:numId w:val="23"/>
        </w:numPr>
        <w:ind w:left="1134" w:hanging="567"/>
        <w:contextualSpacing/>
        <w:rPr>
          <w:lang w:val="de-DE"/>
        </w:rPr>
      </w:pPr>
      <w:r w:rsidRPr="00C47725">
        <w:rPr>
          <w:rFonts w:cs="Arial"/>
          <w:color w:val="000000"/>
          <w:lang w:val="de-DE"/>
        </w:rPr>
        <w:t>Künftiges Programm</w:t>
      </w:r>
    </w:p>
    <w:p w:rsidR="002D20DB" w:rsidRPr="00C47725" w:rsidRDefault="002D20DB" w:rsidP="002D20DB">
      <w:pPr>
        <w:numPr>
          <w:ilvl w:val="0"/>
          <w:numId w:val="23"/>
        </w:numPr>
        <w:ind w:left="1134" w:hanging="567"/>
        <w:contextualSpacing/>
        <w:rPr>
          <w:lang w:val="de-DE"/>
        </w:rPr>
      </w:pPr>
      <w:r w:rsidRPr="00C47725">
        <w:rPr>
          <w:rFonts w:cs="Arial"/>
          <w:color w:val="000000"/>
          <w:lang w:val="de-DE"/>
        </w:rPr>
        <w:t>Annahme des Berichts über die Tagung (wenn zeitlich möglich)</w:t>
      </w:r>
    </w:p>
    <w:p w:rsidR="002D20DB" w:rsidRPr="00C47725" w:rsidRDefault="002D20DB" w:rsidP="002D20DB">
      <w:pPr>
        <w:numPr>
          <w:ilvl w:val="0"/>
          <w:numId w:val="23"/>
        </w:numPr>
        <w:ind w:left="1134" w:hanging="567"/>
        <w:contextualSpacing/>
        <w:rPr>
          <w:lang w:val="de-DE"/>
        </w:rPr>
      </w:pPr>
      <w:r w:rsidRPr="00C47725">
        <w:rPr>
          <w:rFonts w:cs="Arial"/>
          <w:color w:val="000000"/>
          <w:lang w:val="de-DE"/>
        </w:rPr>
        <w:t>Schließung der Tagung</w:t>
      </w:r>
    </w:p>
    <w:p w:rsidR="002D20DB" w:rsidRPr="00C47725" w:rsidRDefault="002D20DB" w:rsidP="002D20DB">
      <w:pPr>
        <w:rPr>
          <w:snapToGrid w:val="0"/>
          <w:lang w:val="de-DE"/>
        </w:rPr>
      </w:pPr>
    </w:p>
    <w:p w:rsidR="002D20DB" w:rsidRPr="00C47725" w:rsidRDefault="002D20DB" w:rsidP="002D20DB">
      <w:pPr>
        <w:pStyle w:val="Heading3"/>
      </w:pPr>
      <w:r w:rsidRPr="00C47725">
        <w:lastRenderedPageBreak/>
        <w:t>Technische Arbeitsgruppe für Obstarten (TWF)</w:t>
      </w:r>
    </w:p>
    <w:p w:rsidR="002D20DB" w:rsidRPr="00C47725" w:rsidRDefault="002D20DB" w:rsidP="002D20DB">
      <w:pPr>
        <w:keepNext/>
        <w:rPr>
          <w:lang w:val="de-DE"/>
        </w:rPr>
      </w:pPr>
    </w:p>
    <w:p w:rsidR="002D20DB" w:rsidRPr="00C47725" w:rsidRDefault="002D20DB" w:rsidP="002D20DB">
      <w:pPr>
        <w:keepNext/>
        <w:rPr>
          <w:lang w:val="de-DE"/>
        </w:rPr>
      </w:pPr>
      <w:r w:rsidRPr="00C47725">
        <w:rPr>
          <w:lang w:val="de-DE"/>
        </w:rPr>
        <w:t>Bericht von Herrn Jean Maison (Europäische Union), Vorsitzender der TWF</w:t>
      </w:r>
    </w:p>
    <w:p w:rsidR="002D20DB" w:rsidRPr="00C47725" w:rsidRDefault="002D20DB" w:rsidP="002D20DB">
      <w:pPr>
        <w:keepNext/>
        <w:rPr>
          <w:lang w:val="de-DE"/>
        </w:rPr>
      </w:pPr>
    </w:p>
    <w:p w:rsidR="002D20DB" w:rsidRPr="00C47725" w:rsidRDefault="002D20DB" w:rsidP="002D20DB">
      <w:pPr>
        <w:pStyle w:val="Heading4"/>
        <w:rPr>
          <w:lang w:val="de-DE"/>
        </w:rPr>
      </w:pPr>
      <w:r w:rsidRPr="00C47725">
        <w:rPr>
          <w:lang w:val="de-DE"/>
        </w:rPr>
        <w:t>Neunundvierzigste Tagung der TWF</w:t>
      </w:r>
    </w:p>
    <w:p w:rsidR="002D20DB" w:rsidRPr="00C47725" w:rsidRDefault="002D20DB" w:rsidP="002D20DB">
      <w:pPr>
        <w:rPr>
          <w:lang w:val="de-DE"/>
        </w:rPr>
      </w:pPr>
    </w:p>
    <w:p w:rsidR="002D20DB" w:rsidRPr="00C47725" w:rsidRDefault="002D20DB" w:rsidP="002D20DB">
      <w:pPr>
        <w:rPr>
          <w:bCs/>
          <w:lang w:val="de-DE"/>
        </w:rPr>
      </w:pPr>
      <w:r w:rsidRPr="00854E8B">
        <w:rPr>
          <w:lang w:val="de-DE"/>
        </w:rPr>
        <w:fldChar w:fldCharType="begin"/>
      </w:r>
      <w:r w:rsidRPr="00854E8B">
        <w:rPr>
          <w:lang w:val="de-DE"/>
        </w:rPr>
        <w:instrText xml:space="preserve"> AUTONUM  </w:instrText>
      </w:r>
      <w:r w:rsidRPr="00854E8B">
        <w:rPr>
          <w:lang w:val="de-DE"/>
        </w:rPr>
        <w:fldChar w:fldCharType="end"/>
      </w:r>
      <w:r w:rsidRPr="00C47725">
        <w:rPr>
          <w:lang w:val="de-DE"/>
        </w:rPr>
        <w:tab/>
      </w:r>
      <w:r w:rsidRPr="00C47725">
        <w:rPr>
          <w:lang w:val="de-DE"/>
        </w:rPr>
        <w:tab/>
        <w:t xml:space="preserve">Die Technische Arbeitsgruppe für Obstarten (TWF) hielt ihre neunundvierzigste Tagung vom 9. bis 23. November 2018 in Santiago de Chile, Chile, </w:t>
      </w:r>
      <w:r w:rsidRPr="00C47725">
        <w:rPr>
          <w:bCs/>
          <w:lang w:val="de-DE"/>
        </w:rPr>
        <w:t xml:space="preserve">unter dem Vorsitz von Herrn Jean Maison (Europäische Union) ab. </w:t>
      </w:r>
    </w:p>
    <w:p w:rsidR="002D20DB" w:rsidRPr="00C47725" w:rsidRDefault="002D20DB" w:rsidP="002D20DB">
      <w:pPr>
        <w:rPr>
          <w:lang w:val="de-DE"/>
        </w:rPr>
      </w:pPr>
    </w:p>
    <w:p w:rsidR="002D20DB" w:rsidRPr="00C47725" w:rsidRDefault="002D20DB" w:rsidP="002D20DB">
      <w:pPr>
        <w:rPr>
          <w:lang w:val="de-DE"/>
        </w:rPr>
      </w:pPr>
      <w:r w:rsidRPr="00063310">
        <w:rPr>
          <w:lang w:val="de-DE"/>
        </w:rPr>
        <w:fldChar w:fldCharType="begin"/>
      </w:r>
      <w:r w:rsidRPr="00063310">
        <w:rPr>
          <w:lang w:val="de-DE"/>
        </w:rPr>
        <w:instrText xml:space="preserve"> AUTONUM  </w:instrText>
      </w:r>
      <w:r w:rsidRPr="00063310">
        <w:rPr>
          <w:lang w:val="de-DE"/>
        </w:rPr>
        <w:fldChar w:fldCharType="end"/>
      </w:r>
      <w:r w:rsidRPr="00C47725">
        <w:rPr>
          <w:lang w:val="de-DE"/>
        </w:rPr>
        <w:tab/>
        <w:t>An der Tagung der TWF nahmen 40 Teilnehmer a</w:t>
      </w:r>
      <w:r w:rsidR="00957385">
        <w:rPr>
          <w:lang w:val="de-DE"/>
        </w:rPr>
        <w:t>us 18 Verbandsmitgliedern und 1 </w:t>
      </w:r>
      <w:r w:rsidRPr="00C47725">
        <w:rPr>
          <w:lang w:val="de-DE"/>
        </w:rPr>
        <w:t xml:space="preserve">Beobachterorganisation teil. </w:t>
      </w:r>
    </w:p>
    <w:p w:rsidR="002D20DB" w:rsidRPr="00C47725" w:rsidRDefault="002D20DB" w:rsidP="002D20DB">
      <w:pPr>
        <w:rPr>
          <w:lang w:val="de-DE"/>
        </w:rPr>
      </w:pPr>
    </w:p>
    <w:p w:rsidR="002D20DB" w:rsidRPr="00C47725" w:rsidRDefault="002D20DB" w:rsidP="002D20DB">
      <w:pPr>
        <w:rPr>
          <w:lang w:val="de-DE"/>
        </w:rPr>
      </w:pPr>
      <w:r w:rsidRPr="00063310">
        <w:rPr>
          <w:lang w:val="de-DE"/>
        </w:rPr>
        <w:fldChar w:fldCharType="begin"/>
      </w:r>
      <w:r w:rsidRPr="00063310">
        <w:rPr>
          <w:lang w:val="de-DE"/>
        </w:rPr>
        <w:instrText xml:space="preserve"> AUTONUM  </w:instrText>
      </w:r>
      <w:r w:rsidRPr="00063310">
        <w:rPr>
          <w:lang w:val="de-DE"/>
        </w:rPr>
        <w:fldChar w:fldCharType="end"/>
      </w:r>
      <w:r w:rsidRPr="00C47725">
        <w:rPr>
          <w:lang w:val="de-DE"/>
        </w:rPr>
        <w:tab/>
      </w:r>
      <w:bookmarkStart w:id="7" w:name="_Hlk24892681"/>
      <w:r w:rsidRPr="00C47725">
        <w:rPr>
          <w:lang w:val="de-DE"/>
        </w:rPr>
        <w:t xml:space="preserve">Die TWF wurde von Herrn Guillermo Federico Aparicio Muñoz, Leiter der Saatgutabteilung, </w:t>
      </w:r>
      <w:r w:rsidRPr="00C47725">
        <w:rPr>
          <w:i/>
          <w:lang w:val="de-DE"/>
        </w:rPr>
        <w:t>Servicio Agrícola y Ganadero</w:t>
      </w:r>
      <w:r w:rsidRPr="00C47725">
        <w:rPr>
          <w:lang w:val="de-DE"/>
        </w:rPr>
        <w:t xml:space="preserve"> (SAG), Ministerium für Landwirtschaft, begrüßt, der ein Referat über den Sortenschutz in Chile hielt</w:t>
      </w:r>
      <w:r w:rsidRPr="00C47725">
        <w:rPr>
          <w:bCs/>
          <w:lang w:val="de-DE"/>
        </w:rPr>
        <w:t>.</w:t>
      </w:r>
      <w:r w:rsidRPr="00C47725">
        <w:rPr>
          <w:lang w:val="de-DE"/>
        </w:rPr>
        <w:t xml:space="preserve"> </w:t>
      </w:r>
      <w:bookmarkEnd w:id="7"/>
    </w:p>
    <w:p w:rsidR="002D20DB" w:rsidRPr="00C47725" w:rsidRDefault="002D20DB" w:rsidP="002D20DB">
      <w:pPr>
        <w:rPr>
          <w:lang w:val="de-DE"/>
        </w:rPr>
      </w:pPr>
    </w:p>
    <w:p w:rsidR="002D20DB" w:rsidRPr="00C47725" w:rsidRDefault="002D20DB" w:rsidP="002D20DB">
      <w:pPr>
        <w:rPr>
          <w:lang w:val="de-DE"/>
        </w:rPr>
      </w:pPr>
      <w:r w:rsidRPr="0020085B">
        <w:rPr>
          <w:bCs/>
          <w:lang w:val="de-DE"/>
        </w:rPr>
        <w:fldChar w:fldCharType="begin"/>
      </w:r>
      <w:r w:rsidRPr="0020085B">
        <w:rPr>
          <w:bCs/>
          <w:lang w:val="de-DE"/>
        </w:rPr>
        <w:instrText xml:space="preserve"> AUTONUM  </w:instrText>
      </w:r>
      <w:r w:rsidRPr="0020085B">
        <w:rPr>
          <w:bCs/>
          <w:lang w:val="de-DE"/>
        </w:rPr>
        <w:fldChar w:fldCharType="end"/>
      </w:r>
      <w:r w:rsidRPr="00C47725">
        <w:rPr>
          <w:bCs/>
          <w:lang w:val="de-DE"/>
        </w:rPr>
        <w:tab/>
        <w:t xml:space="preserve">Bei den </w:t>
      </w:r>
      <w:r>
        <w:rPr>
          <w:bCs/>
          <w:lang w:val="de-DE"/>
        </w:rPr>
        <w:t>Erörterungen</w:t>
      </w:r>
      <w:r w:rsidRPr="00C47725">
        <w:rPr>
          <w:bCs/>
          <w:lang w:val="de-DE"/>
        </w:rPr>
        <w:t xml:space="preserve"> über TGP-Dokumente nahm die TWF </w:t>
      </w:r>
      <w:r>
        <w:rPr>
          <w:bCs/>
          <w:lang w:val="de-DE"/>
        </w:rPr>
        <w:t>- von der der Vorschlag stammt</w:t>
      </w:r>
      <w:r w:rsidRPr="00C47725">
        <w:rPr>
          <w:bCs/>
          <w:lang w:val="de-DE"/>
        </w:rPr>
        <w:t xml:space="preserve"> - die Zustimmung des TC zur Kenntnis, den folgenden Satz als Standard</w:t>
      </w:r>
      <w:r>
        <w:rPr>
          <w:bCs/>
          <w:lang w:val="de-DE"/>
        </w:rPr>
        <w:t>wortlaut</w:t>
      </w:r>
      <w:r w:rsidRPr="00C47725">
        <w:rPr>
          <w:bCs/>
          <w:lang w:val="de-DE"/>
        </w:rPr>
        <w:t xml:space="preserve"> in die Prüfungsrichtlinien aufzunehmen: </w:t>
      </w:r>
    </w:p>
    <w:p w:rsidR="002D20DB" w:rsidRPr="00C47725" w:rsidRDefault="002D20DB" w:rsidP="002D20DB">
      <w:pPr>
        <w:rPr>
          <w:lang w:val="de-DE"/>
        </w:rPr>
      </w:pPr>
    </w:p>
    <w:p w:rsidR="002D20DB" w:rsidRPr="00C47725" w:rsidRDefault="002D20DB" w:rsidP="002D20DB">
      <w:pPr>
        <w:ind w:left="567" w:right="567"/>
        <w:rPr>
          <w:sz w:val="18"/>
          <w:u w:val="single"/>
          <w:lang w:val="de-DE"/>
        </w:rPr>
      </w:pPr>
      <w:r>
        <w:rPr>
          <w:sz w:val="18"/>
          <w:highlight w:val="lightGray"/>
          <w:u w:val="single"/>
          <w:lang w:val="de-DE"/>
        </w:rPr>
        <w:t>„</w:t>
      </w:r>
      <w:r w:rsidRPr="00967481">
        <w:rPr>
          <w:sz w:val="18"/>
          <w:highlight w:val="lightGray"/>
          <w:u w:val="single"/>
          <w:lang w:val="de-DE"/>
        </w:rPr>
        <w:t>Die Prüfung einer Sorte kann früher oder später zu dem Zeitpunkt abgeschlossen werden, wenn die zuständige Behörde das Ergebnis der Prüfung mit Sicherheit bestimmen kann</w:t>
      </w:r>
      <w:r>
        <w:rPr>
          <w:sz w:val="18"/>
          <w:highlight w:val="lightGray"/>
          <w:u w:val="single"/>
          <w:lang w:val="de-DE"/>
        </w:rPr>
        <w:t>“</w:t>
      </w:r>
    </w:p>
    <w:p w:rsidR="002D20DB" w:rsidRPr="00C47725" w:rsidRDefault="002D20DB" w:rsidP="002D20DB">
      <w:pPr>
        <w:rPr>
          <w:bCs/>
          <w:lang w:val="de-DE"/>
        </w:rPr>
      </w:pPr>
    </w:p>
    <w:p w:rsidR="002D20DB" w:rsidRPr="00C47725" w:rsidRDefault="002D20DB" w:rsidP="002D20DB">
      <w:pPr>
        <w:rPr>
          <w:lang w:val="de-DE"/>
        </w:rPr>
      </w:pPr>
      <w:r w:rsidRPr="00063310">
        <w:rPr>
          <w:bCs/>
          <w:lang w:val="de-DE"/>
        </w:rPr>
        <w:fldChar w:fldCharType="begin"/>
      </w:r>
      <w:r w:rsidRPr="00063310">
        <w:rPr>
          <w:bCs/>
          <w:lang w:val="de-DE"/>
        </w:rPr>
        <w:instrText xml:space="preserve"> AUTONUM  </w:instrText>
      </w:r>
      <w:r w:rsidRPr="00063310">
        <w:rPr>
          <w:bCs/>
          <w:lang w:val="de-DE"/>
        </w:rPr>
        <w:fldChar w:fldCharType="end"/>
      </w:r>
      <w:r w:rsidRPr="00C47725">
        <w:rPr>
          <w:bCs/>
          <w:lang w:val="de-DE"/>
        </w:rPr>
        <w:tab/>
        <w:t>Die TWF hörte ein Referat der Europäischen Union über die DUS-Prüfung von Mutantensorten bei Apfel und vereinbarte insbesondere, dass bei der DUS-Prüfung von Mutantensorten bei Apfel der Informationsaustausch zwischen DUS-</w:t>
      </w:r>
      <w:r>
        <w:rPr>
          <w:bCs/>
          <w:lang w:val="de-DE"/>
        </w:rPr>
        <w:t xml:space="preserve">Ämtern </w:t>
      </w:r>
      <w:r w:rsidRPr="00C47725">
        <w:rPr>
          <w:bCs/>
          <w:lang w:val="de-DE"/>
        </w:rPr>
        <w:t>wichtig sei, um sicherzustellen, dass die Behörden alle bestehenden potenziell ähnlichen Sorten kennen. Die TWF vereinbarte, dass das diesbezügliche Projekt, das sich auf bestimmte Mutationsgruppen konzentriert, daher fortgesetzt werden sollte, wobei alle an de</w:t>
      </w:r>
      <w:r w:rsidR="00E51015">
        <w:rPr>
          <w:bCs/>
          <w:lang w:val="de-DE"/>
        </w:rPr>
        <w:t>r DUS</w:t>
      </w:r>
      <w:r w:rsidR="00E51015">
        <w:rPr>
          <w:bCs/>
          <w:lang w:val="de-DE"/>
        </w:rPr>
        <w:noBreakHyphen/>
      </w:r>
      <w:r w:rsidRPr="00C47725">
        <w:rPr>
          <w:bCs/>
          <w:lang w:val="de-DE"/>
        </w:rPr>
        <w:t xml:space="preserve">Prüfung von Apfel beteiligten Mitglieder </w:t>
      </w:r>
      <w:r>
        <w:rPr>
          <w:bCs/>
          <w:lang w:val="de-DE"/>
        </w:rPr>
        <w:t>ersucht</w:t>
      </w:r>
      <w:r w:rsidRPr="00C47725">
        <w:rPr>
          <w:bCs/>
          <w:lang w:val="de-DE"/>
        </w:rPr>
        <w:t xml:space="preserve"> </w:t>
      </w:r>
      <w:r>
        <w:rPr>
          <w:bCs/>
          <w:lang w:val="de-DE"/>
        </w:rPr>
        <w:t xml:space="preserve">werden </w:t>
      </w:r>
      <w:r w:rsidRPr="00C47725">
        <w:rPr>
          <w:bCs/>
          <w:lang w:val="de-DE"/>
        </w:rPr>
        <w:t>w</w:t>
      </w:r>
      <w:r>
        <w:rPr>
          <w:bCs/>
          <w:lang w:val="de-DE"/>
        </w:rPr>
        <w:t>ü</w:t>
      </w:r>
      <w:r w:rsidRPr="00C47725">
        <w:rPr>
          <w:bCs/>
          <w:lang w:val="de-DE"/>
        </w:rPr>
        <w:t xml:space="preserve">rden, zu diesem Informationsaustausch beizutragen. </w:t>
      </w:r>
    </w:p>
    <w:p w:rsidR="002D20DB" w:rsidRPr="00C47725" w:rsidRDefault="002D20DB" w:rsidP="002D20DB">
      <w:pPr>
        <w:rPr>
          <w:lang w:val="de-DE"/>
        </w:rPr>
      </w:pPr>
    </w:p>
    <w:p w:rsidR="002D20DB" w:rsidRPr="00C47725" w:rsidRDefault="002D20DB" w:rsidP="002D20DB">
      <w:pPr>
        <w:rPr>
          <w:lang w:val="de-DE"/>
        </w:rPr>
      </w:pPr>
      <w:r w:rsidRPr="00063310">
        <w:rPr>
          <w:lang w:val="de-DE"/>
        </w:rPr>
        <w:fldChar w:fldCharType="begin"/>
      </w:r>
      <w:r w:rsidRPr="00063310">
        <w:rPr>
          <w:lang w:val="de-DE"/>
        </w:rPr>
        <w:instrText xml:space="preserve"> AUTONUM  </w:instrText>
      </w:r>
      <w:r w:rsidRPr="00063310">
        <w:rPr>
          <w:lang w:val="de-DE"/>
        </w:rPr>
        <w:fldChar w:fldCharType="end"/>
      </w:r>
      <w:r w:rsidRPr="00C47725">
        <w:rPr>
          <w:lang w:val="de-DE"/>
        </w:rPr>
        <w:tab/>
        <w:t xml:space="preserve">Die TWF wurde über die Ergebnisse der </w:t>
      </w:r>
      <w:r>
        <w:rPr>
          <w:lang w:val="de-DE"/>
        </w:rPr>
        <w:t>Befragung</w:t>
      </w:r>
      <w:r w:rsidRPr="00C47725">
        <w:rPr>
          <w:lang w:val="de-DE"/>
        </w:rPr>
        <w:t xml:space="preserve"> über Ansätze zur </w:t>
      </w:r>
      <w:r>
        <w:rPr>
          <w:lang w:val="de-DE"/>
        </w:rPr>
        <w:t>Beschaffung</w:t>
      </w:r>
      <w:r w:rsidRPr="00C47725">
        <w:rPr>
          <w:lang w:val="de-DE"/>
        </w:rPr>
        <w:t xml:space="preserve"> von Pflanzenmaterial bei Züchtern und zur Entscheidung über Sorten, deren Existenz allgemein bekannt ist, informiert. Sie vereinbarte, dass die Beschaffung von Pflanzenmaterial eine wichtige Voraussetzung für die DUS-Prüfung </w:t>
      </w:r>
      <w:r>
        <w:rPr>
          <w:lang w:val="de-DE"/>
        </w:rPr>
        <w:t>sei</w:t>
      </w:r>
      <w:r w:rsidRPr="00C47725">
        <w:rPr>
          <w:lang w:val="de-DE"/>
        </w:rPr>
        <w:t xml:space="preserve"> und dass es interessant wäre, weitere aktuelle Herausforderungen für die DUS-Behörden im Obstsektor auf ihrer nächsten Tagung</w:t>
      </w:r>
      <w:r>
        <w:rPr>
          <w:lang w:val="de-DE"/>
        </w:rPr>
        <w:t xml:space="preserve"> </w:t>
      </w:r>
      <w:r w:rsidRPr="00C47725">
        <w:rPr>
          <w:lang w:val="de-DE"/>
        </w:rPr>
        <w:t xml:space="preserve">unter einem </w:t>
      </w:r>
      <w:r>
        <w:rPr>
          <w:lang w:val="de-DE"/>
        </w:rPr>
        <w:t>speziellen</w:t>
      </w:r>
      <w:r w:rsidRPr="00C47725">
        <w:rPr>
          <w:lang w:val="de-DE"/>
        </w:rPr>
        <w:t xml:space="preserve"> Tagesordnungspunkt zu erörtern. </w:t>
      </w:r>
    </w:p>
    <w:p w:rsidR="002D20DB" w:rsidRPr="00C47725" w:rsidRDefault="002D20DB" w:rsidP="002D20DB">
      <w:pPr>
        <w:rPr>
          <w:lang w:val="de-DE"/>
        </w:rPr>
      </w:pPr>
    </w:p>
    <w:p w:rsidR="002D20DB" w:rsidRPr="00C47725" w:rsidRDefault="002D20DB" w:rsidP="002D20DB">
      <w:pPr>
        <w:rPr>
          <w:lang w:val="de-DE"/>
        </w:rPr>
      </w:pPr>
      <w:r w:rsidRPr="00967481">
        <w:rPr>
          <w:bCs/>
          <w:lang w:val="de-DE"/>
        </w:rPr>
        <w:fldChar w:fldCharType="begin"/>
      </w:r>
      <w:r w:rsidRPr="00E23C5F">
        <w:rPr>
          <w:bCs/>
          <w:lang w:val="de-DE"/>
        </w:rPr>
        <w:instrText xml:space="preserve"> AUTONUM  </w:instrText>
      </w:r>
      <w:r w:rsidRPr="00967481">
        <w:rPr>
          <w:bCs/>
          <w:lang w:val="de-DE"/>
        </w:rPr>
        <w:fldChar w:fldCharType="end"/>
      </w:r>
      <w:r w:rsidRPr="00C47725">
        <w:rPr>
          <w:bCs/>
          <w:lang w:val="de-DE"/>
        </w:rPr>
        <w:tab/>
        <w:t xml:space="preserve">Die TWF befasste sich mit den zu </w:t>
      </w:r>
      <w:r>
        <w:rPr>
          <w:bCs/>
          <w:lang w:val="de-DE"/>
        </w:rPr>
        <w:t>bereinigenden Angelegenheiten bezüglich</w:t>
      </w:r>
      <w:r w:rsidRPr="00C47725">
        <w:rPr>
          <w:bCs/>
          <w:lang w:val="de-DE"/>
        </w:rPr>
        <w:t xml:space="preserve"> d</w:t>
      </w:r>
      <w:r w:rsidRPr="00D67523">
        <w:rPr>
          <w:bCs/>
          <w:lang w:val="de-DE"/>
        </w:rPr>
        <w:t>e</w:t>
      </w:r>
      <w:r>
        <w:rPr>
          <w:bCs/>
          <w:lang w:val="de-DE"/>
        </w:rPr>
        <w:t>s</w:t>
      </w:r>
      <w:r w:rsidRPr="00D67523">
        <w:rPr>
          <w:bCs/>
          <w:lang w:val="de-DE"/>
        </w:rPr>
        <w:t xml:space="preserve"> </w:t>
      </w:r>
      <w:r w:rsidRPr="00CA7495">
        <w:rPr>
          <w:bCs/>
          <w:lang w:val="de-DE"/>
        </w:rPr>
        <w:t>Entwurf</w:t>
      </w:r>
      <w:r>
        <w:rPr>
          <w:bCs/>
          <w:lang w:val="de-DE"/>
        </w:rPr>
        <w:t>s</w:t>
      </w:r>
      <w:r w:rsidRPr="00CA7495">
        <w:rPr>
          <w:bCs/>
          <w:lang w:val="de-DE"/>
        </w:rPr>
        <w:t xml:space="preserve"> von Prüfungsrichtlinien</w:t>
      </w:r>
      <w:r w:rsidRPr="00D67523">
        <w:rPr>
          <w:bCs/>
          <w:lang w:val="de-DE"/>
        </w:rPr>
        <w:t xml:space="preserve"> f</w:t>
      </w:r>
      <w:r w:rsidRPr="00C47725">
        <w:rPr>
          <w:bCs/>
          <w:lang w:val="de-DE"/>
        </w:rPr>
        <w:t xml:space="preserve">ür Schwarznuss, wie vom TC-EDC empfohlen. Sie vereinbarte, dass die folgenden Überarbeitungen oder Teilüberarbeitungen der Prüfungsrichtlinien dem TC zur Annahme vorgelegt werden sollten: Mandel, Heidelbeere, Kokosnuss, Kiwi und Macadamia. </w:t>
      </w:r>
      <w:r>
        <w:rPr>
          <w:bCs/>
          <w:lang w:val="de-DE"/>
        </w:rPr>
        <w:t>Sie</w:t>
      </w:r>
      <w:r w:rsidRPr="00C47725">
        <w:rPr>
          <w:bCs/>
          <w:lang w:val="de-DE"/>
        </w:rPr>
        <w:t xml:space="preserve"> erörterte ferner den Entwurf von Prüfungsrichtlinien für Apfel, Aprikose, Argan und Rebe.</w:t>
      </w:r>
    </w:p>
    <w:p w:rsidR="002D20DB" w:rsidRPr="00C47725" w:rsidRDefault="002D20DB" w:rsidP="002D20DB">
      <w:pPr>
        <w:rPr>
          <w:lang w:val="de-DE"/>
        </w:rPr>
      </w:pPr>
    </w:p>
    <w:p w:rsidR="002D20DB" w:rsidRPr="00C47725" w:rsidRDefault="002D20DB" w:rsidP="002D20DB">
      <w:pPr>
        <w:rPr>
          <w:lang w:val="de-DE"/>
        </w:rPr>
      </w:pPr>
      <w:r w:rsidRPr="00063310">
        <w:rPr>
          <w:lang w:val="de-DE"/>
        </w:rPr>
        <w:fldChar w:fldCharType="begin"/>
      </w:r>
      <w:r w:rsidRPr="00063310">
        <w:rPr>
          <w:lang w:val="de-DE"/>
        </w:rPr>
        <w:instrText xml:space="preserve"> AUTONUM  </w:instrText>
      </w:r>
      <w:r w:rsidRPr="00063310">
        <w:rPr>
          <w:lang w:val="de-DE"/>
        </w:rPr>
        <w:fldChar w:fldCharType="end"/>
      </w:r>
      <w:r w:rsidRPr="00C47725">
        <w:rPr>
          <w:lang w:val="de-DE"/>
        </w:rPr>
        <w:tab/>
        <w:t xml:space="preserve">Auf </w:t>
      </w:r>
      <w:r>
        <w:rPr>
          <w:lang w:val="de-DE"/>
        </w:rPr>
        <w:t xml:space="preserve">die </w:t>
      </w:r>
      <w:r w:rsidRPr="00C47725">
        <w:rPr>
          <w:lang w:val="de-DE"/>
        </w:rPr>
        <w:t>gemeinsame Einladung Ungarns und der Europäischen Union</w:t>
      </w:r>
      <w:r>
        <w:rPr>
          <w:lang w:val="de-DE"/>
        </w:rPr>
        <w:t xml:space="preserve"> hin</w:t>
      </w:r>
      <w:r w:rsidRPr="00C47725">
        <w:rPr>
          <w:lang w:val="de-DE"/>
        </w:rPr>
        <w:t xml:space="preserve"> vereinbarte die TWF, ihre fünfzigste Tagung vom 24. bis 28. Juni 2019 in Budapest, Ungarn, abzuhalten.</w:t>
      </w:r>
    </w:p>
    <w:p w:rsidR="002D20DB" w:rsidRPr="00C47725" w:rsidRDefault="002D20DB" w:rsidP="002D20DB">
      <w:pPr>
        <w:rPr>
          <w:lang w:val="de-DE"/>
        </w:rPr>
      </w:pPr>
    </w:p>
    <w:p w:rsidR="002D20DB" w:rsidRPr="00C47725" w:rsidRDefault="002D20DB" w:rsidP="002D20DB">
      <w:pPr>
        <w:rPr>
          <w:lang w:val="de-DE"/>
        </w:rPr>
      </w:pPr>
      <w:r w:rsidRPr="0020085B">
        <w:rPr>
          <w:bCs/>
          <w:lang w:val="de-DE"/>
        </w:rPr>
        <w:fldChar w:fldCharType="begin"/>
      </w:r>
      <w:r w:rsidRPr="0020085B">
        <w:rPr>
          <w:bCs/>
          <w:lang w:val="de-DE"/>
        </w:rPr>
        <w:instrText xml:space="preserve"> AUTONUM  </w:instrText>
      </w:r>
      <w:r w:rsidRPr="0020085B">
        <w:rPr>
          <w:bCs/>
          <w:lang w:val="de-DE"/>
        </w:rPr>
        <w:fldChar w:fldCharType="end"/>
      </w:r>
      <w:r w:rsidRPr="00C47725">
        <w:rPr>
          <w:bCs/>
          <w:lang w:val="de-DE"/>
        </w:rPr>
        <w:tab/>
        <w:t>Die TWF besuchte das experimentelle Forschungszentrum der</w:t>
      </w:r>
      <w:r>
        <w:rPr>
          <w:bCs/>
          <w:lang w:val="de-DE"/>
        </w:rPr>
        <w:t xml:space="preserve"> „</w:t>
      </w:r>
      <w:r w:rsidRPr="00C47725">
        <w:rPr>
          <w:bCs/>
          <w:lang w:val="de-DE"/>
        </w:rPr>
        <w:t>Universidad de Chile</w:t>
      </w:r>
      <w:r>
        <w:rPr>
          <w:bCs/>
          <w:lang w:val="de-DE"/>
        </w:rPr>
        <w:t>“</w:t>
      </w:r>
      <w:r w:rsidRPr="00C47725">
        <w:rPr>
          <w:bCs/>
          <w:lang w:val="de-DE"/>
        </w:rPr>
        <w:t xml:space="preserve"> und die Zuchtprogramme für Nektarine, Pfirsich, Pflaume und Mandel. Die TWF besuchte auch die Forschungs</w:t>
      </w:r>
      <w:r>
        <w:rPr>
          <w:bCs/>
          <w:lang w:val="de-DE"/>
        </w:rPr>
        <w:t>stelle</w:t>
      </w:r>
      <w:r w:rsidRPr="00C47725">
        <w:rPr>
          <w:bCs/>
          <w:lang w:val="de-DE"/>
        </w:rPr>
        <w:t xml:space="preserve"> der </w:t>
      </w:r>
      <w:r w:rsidRPr="00C47725">
        <w:rPr>
          <w:bCs/>
          <w:i/>
          <w:lang w:val="de-DE"/>
        </w:rPr>
        <w:t>Universidad Católica de Chile</w:t>
      </w:r>
      <w:r w:rsidRPr="00C47725">
        <w:rPr>
          <w:bCs/>
          <w:lang w:val="de-DE"/>
        </w:rPr>
        <w:t xml:space="preserve"> und hörte von </w:t>
      </w:r>
      <w:r>
        <w:rPr>
          <w:bCs/>
          <w:lang w:val="de-DE"/>
        </w:rPr>
        <w:t>deren</w:t>
      </w:r>
      <w:r w:rsidRPr="00C47725">
        <w:rPr>
          <w:bCs/>
          <w:lang w:val="de-DE"/>
        </w:rPr>
        <w:t xml:space="preserve"> Erfahrungen mit Süßkirschenzüchtern.</w:t>
      </w:r>
    </w:p>
    <w:p w:rsidR="002D20DB" w:rsidRPr="00C47725" w:rsidRDefault="002D20DB" w:rsidP="002D20DB">
      <w:pPr>
        <w:keepNext/>
        <w:rPr>
          <w:lang w:val="de-DE"/>
        </w:rPr>
      </w:pPr>
    </w:p>
    <w:p w:rsidR="002D20DB" w:rsidRPr="00C47725" w:rsidRDefault="002D20DB" w:rsidP="002D20DB">
      <w:pPr>
        <w:pStyle w:val="Heading4"/>
        <w:rPr>
          <w:lang w:val="de-DE"/>
        </w:rPr>
      </w:pPr>
      <w:r w:rsidRPr="00C47725">
        <w:rPr>
          <w:lang w:val="de-DE"/>
        </w:rPr>
        <w:t>Fünfzigste Tagung der TWF</w:t>
      </w:r>
    </w:p>
    <w:p w:rsidR="002D20DB" w:rsidRPr="00C47725" w:rsidRDefault="002D20DB" w:rsidP="002D20DB">
      <w:pPr>
        <w:rPr>
          <w:lang w:val="de-DE"/>
        </w:rPr>
      </w:pPr>
    </w:p>
    <w:p w:rsidR="002D20DB" w:rsidRPr="00C47725" w:rsidRDefault="002D20DB" w:rsidP="002D20DB">
      <w:pPr>
        <w:rPr>
          <w:bCs/>
          <w:lang w:val="de-DE"/>
        </w:rPr>
      </w:pPr>
      <w:r w:rsidRPr="00063310">
        <w:rPr>
          <w:lang w:val="de-DE"/>
        </w:rPr>
        <w:fldChar w:fldCharType="begin"/>
      </w:r>
      <w:r w:rsidRPr="00063310">
        <w:rPr>
          <w:lang w:val="de-DE"/>
        </w:rPr>
        <w:instrText xml:space="preserve"> AUTONUM  </w:instrText>
      </w:r>
      <w:r w:rsidRPr="00063310">
        <w:rPr>
          <w:lang w:val="de-DE"/>
        </w:rPr>
        <w:fldChar w:fldCharType="end"/>
      </w:r>
      <w:r w:rsidRPr="00C47725">
        <w:rPr>
          <w:lang w:val="de-DE"/>
        </w:rPr>
        <w:tab/>
        <w:t>Die Technische Arbeitsgruppe für Obstarten (TWF) hielt ihre fünfzigste Tagung vom 24. bis 28. Juni 2019 in Budapest, Ungarn, ab</w:t>
      </w:r>
      <w:r w:rsidRPr="00C47725">
        <w:rPr>
          <w:bCs/>
          <w:lang w:val="de-DE"/>
        </w:rPr>
        <w:t xml:space="preserve">. Den </w:t>
      </w:r>
      <w:r>
        <w:rPr>
          <w:bCs/>
          <w:lang w:val="de-DE"/>
        </w:rPr>
        <w:t>Vorsitz der Tagung</w:t>
      </w:r>
      <w:r w:rsidRPr="00C47725">
        <w:rPr>
          <w:bCs/>
          <w:lang w:val="de-DE"/>
        </w:rPr>
        <w:t xml:space="preserve"> führte Herr Jean Maison (Europäische Union), Vorsitzender der TWF. </w:t>
      </w:r>
    </w:p>
    <w:p w:rsidR="002D20DB" w:rsidRPr="00C47725" w:rsidRDefault="002D20DB" w:rsidP="002D20DB">
      <w:pPr>
        <w:rPr>
          <w:lang w:val="de-DE"/>
        </w:rPr>
      </w:pPr>
    </w:p>
    <w:p w:rsidR="002D20DB" w:rsidRPr="00C47725" w:rsidRDefault="002D20DB" w:rsidP="002D20DB">
      <w:pPr>
        <w:rPr>
          <w:lang w:val="de-DE"/>
        </w:rPr>
      </w:pPr>
      <w:r w:rsidRPr="00063310">
        <w:rPr>
          <w:lang w:val="de-DE"/>
        </w:rPr>
        <w:fldChar w:fldCharType="begin"/>
      </w:r>
      <w:r w:rsidRPr="00063310">
        <w:rPr>
          <w:lang w:val="de-DE"/>
        </w:rPr>
        <w:instrText xml:space="preserve"> AUTONUM  </w:instrText>
      </w:r>
      <w:r w:rsidRPr="00063310">
        <w:rPr>
          <w:lang w:val="de-DE"/>
        </w:rPr>
        <w:fldChar w:fldCharType="end"/>
      </w:r>
      <w:r w:rsidRPr="00C47725">
        <w:rPr>
          <w:lang w:val="de-DE"/>
        </w:rPr>
        <w:tab/>
        <w:t>An der Tagung der TWF nahmen 60 Teilnehmer a</w:t>
      </w:r>
      <w:r w:rsidR="00E51015">
        <w:rPr>
          <w:lang w:val="de-DE"/>
        </w:rPr>
        <w:t>us 19 Verbandsmitgliedern und 1 </w:t>
      </w:r>
      <w:r w:rsidRPr="00C47725">
        <w:rPr>
          <w:lang w:val="de-DE"/>
        </w:rPr>
        <w:t xml:space="preserve">Beobachterorganisation teil. </w:t>
      </w:r>
    </w:p>
    <w:p w:rsidR="002D20DB" w:rsidRPr="00C47725" w:rsidRDefault="002D20DB" w:rsidP="002D20DB">
      <w:pPr>
        <w:rPr>
          <w:lang w:val="de-DE"/>
        </w:rPr>
      </w:pPr>
    </w:p>
    <w:p w:rsidR="002D20DB" w:rsidRPr="00C47725" w:rsidRDefault="002D20DB" w:rsidP="002D20DB">
      <w:pPr>
        <w:rPr>
          <w:bCs/>
          <w:lang w:val="de-DE"/>
        </w:rPr>
      </w:pPr>
      <w:r w:rsidRPr="00063310">
        <w:rPr>
          <w:bCs/>
          <w:lang w:val="de-DE"/>
        </w:rPr>
        <w:fldChar w:fldCharType="begin"/>
      </w:r>
      <w:r w:rsidRPr="00063310">
        <w:rPr>
          <w:bCs/>
          <w:lang w:val="de-DE"/>
        </w:rPr>
        <w:instrText xml:space="preserve"> AUTONUM  </w:instrText>
      </w:r>
      <w:r w:rsidRPr="00063310">
        <w:rPr>
          <w:bCs/>
          <w:lang w:val="de-DE"/>
        </w:rPr>
        <w:fldChar w:fldCharType="end"/>
      </w:r>
      <w:r w:rsidRPr="00C47725">
        <w:rPr>
          <w:bCs/>
          <w:lang w:val="de-DE"/>
        </w:rPr>
        <w:tab/>
        <w:t>Die TWF wurde von Herrn Tamás Tarpataki, stellvertretender Staatssekretär für Agrarmärkte, Ministerium für Landwirtschaft, begrüßt. Herr Tarpataki hielt ein Referat über den Agrarsektor in Ungarn und über das Nationale Zentrum für landwirtschaftliche Forschung und Innovation (NARIC FRI).</w:t>
      </w:r>
    </w:p>
    <w:p w:rsidR="002D20DB" w:rsidRPr="00C47725" w:rsidRDefault="002D20DB" w:rsidP="002D20DB">
      <w:pPr>
        <w:rPr>
          <w:lang w:val="de-DE"/>
        </w:rPr>
      </w:pPr>
    </w:p>
    <w:p w:rsidR="002D20DB" w:rsidRPr="00C47725" w:rsidRDefault="002D20DB" w:rsidP="002D20DB">
      <w:pPr>
        <w:rPr>
          <w:lang w:val="de-DE"/>
        </w:rPr>
      </w:pPr>
      <w:r w:rsidRPr="008D5EE7">
        <w:rPr>
          <w:bCs/>
          <w:lang w:val="de-DE"/>
        </w:rPr>
        <w:fldChar w:fldCharType="begin"/>
      </w:r>
      <w:r w:rsidRPr="008D5EE7">
        <w:rPr>
          <w:bCs/>
          <w:lang w:val="de-DE"/>
        </w:rPr>
        <w:instrText xml:space="preserve"> AUTONUM  </w:instrText>
      </w:r>
      <w:r w:rsidRPr="008D5EE7">
        <w:rPr>
          <w:bCs/>
          <w:lang w:val="de-DE"/>
        </w:rPr>
        <w:fldChar w:fldCharType="end"/>
      </w:r>
      <w:r w:rsidRPr="00C47725">
        <w:rPr>
          <w:bCs/>
          <w:lang w:val="de-DE"/>
        </w:rPr>
        <w:tab/>
        <w:t xml:space="preserve">In Bezug auf TGP-Dokumente begrüßte die TWF die Möglichkeit, das Verfahren für Teilüberarbeitungen der Prüfungsrichtlinien zu überarbeiten, so dass Sachverständige im Laufe des Jahres neue Vorschläge unterbreiten können. </w:t>
      </w:r>
      <w:r>
        <w:rPr>
          <w:bCs/>
          <w:lang w:val="de-DE"/>
        </w:rPr>
        <w:t>Sie</w:t>
      </w:r>
      <w:r w:rsidRPr="00C47725">
        <w:rPr>
          <w:bCs/>
          <w:lang w:val="de-DE"/>
        </w:rPr>
        <w:t xml:space="preserve"> </w:t>
      </w:r>
      <w:r>
        <w:rPr>
          <w:bCs/>
          <w:lang w:val="de-DE"/>
        </w:rPr>
        <w:t>legte</w:t>
      </w:r>
      <w:r w:rsidRPr="00C47725">
        <w:rPr>
          <w:bCs/>
          <w:lang w:val="de-DE"/>
        </w:rPr>
        <w:t xml:space="preserve"> Klarstellungen zu den Situationen</w:t>
      </w:r>
      <w:r>
        <w:rPr>
          <w:bCs/>
          <w:lang w:val="de-DE"/>
        </w:rPr>
        <w:t xml:space="preserve"> vor</w:t>
      </w:r>
      <w:r w:rsidRPr="00C47725">
        <w:rPr>
          <w:bCs/>
          <w:lang w:val="de-DE"/>
        </w:rPr>
        <w:t>, für die ein solches beschleunigtes Verfahren gelten würde.</w:t>
      </w:r>
    </w:p>
    <w:p w:rsidR="002D20DB" w:rsidRPr="00C47725" w:rsidRDefault="002D20DB" w:rsidP="002D20DB">
      <w:pPr>
        <w:rPr>
          <w:lang w:val="de-DE"/>
        </w:rPr>
      </w:pPr>
    </w:p>
    <w:p w:rsidR="002D20DB" w:rsidRPr="00C47725" w:rsidRDefault="002D20DB" w:rsidP="002D20DB">
      <w:pPr>
        <w:rPr>
          <w:lang w:val="de-DE"/>
        </w:rPr>
      </w:pPr>
      <w:r w:rsidRPr="008D5EE7">
        <w:rPr>
          <w:bCs/>
          <w:lang w:val="de-DE"/>
        </w:rPr>
        <w:fldChar w:fldCharType="begin"/>
      </w:r>
      <w:r w:rsidRPr="008D5EE7">
        <w:rPr>
          <w:bCs/>
          <w:lang w:val="de-DE"/>
        </w:rPr>
        <w:instrText xml:space="preserve"> AUTONUM  </w:instrText>
      </w:r>
      <w:r w:rsidRPr="008D5EE7">
        <w:rPr>
          <w:bCs/>
          <w:lang w:val="de-DE"/>
        </w:rPr>
        <w:fldChar w:fldCharType="end"/>
      </w:r>
      <w:r w:rsidRPr="00C47725">
        <w:rPr>
          <w:bCs/>
          <w:lang w:val="de-DE"/>
        </w:rPr>
        <w:tab/>
        <w:t>Die TWF erörterte den Zugang zu Pflanzenmaterial zum Zweck der Verwaltung von Sortensammlungen und der DUS-Prüfung auf der Grundlage der folgenden Präsentationen:</w:t>
      </w:r>
      <w:r w:rsidRPr="00C47725">
        <w:rPr>
          <w:lang w:val="de-DE"/>
        </w:rPr>
        <w:t xml:space="preserve"> </w:t>
      </w:r>
    </w:p>
    <w:p w:rsidR="002D20DB" w:rsidRPr="00C47725" w:rsidRDefault="002D20DB" w:rsidP="002D20DB">
      <w:pPr>
        <w:numPr>
          <w:ilvl w:val="0"/>
          <w:numId w:val="14"/>
        </w:numPr>
        <w:rPr>
          <w:lang w:val="de-DE"/>
        </w:rPr>
      </w:pPr>
      <w:r>
        <w:rPr>
          <w:lang w:val="de-DE"/>
        </w:rPr>
        <w:t>„</w:t>
      </w:r>
      <w:r w:rsidRPr="00C47725">
        <w:rPr>
          <w:lang w:val="de-DE"/>
        </w:rPr>
        <w:t>Kanadas Erfahrung beim Zugang zu Pflanzenmaterial für die DUS-Prüfung</w:t>
      </w:r>
      <w:r>
        <w:rPr>
          <w:lang w:val="de-DE"/>
        </w:rPr>
        <w:t>“</w:t>
      </w:r>
    </w:p>
    <w:p w:rsidR="002D20DB" w:rsidRPr="00C47725" w:rsidRDefault="002D20DB" w:rsidP="002D20DB">
      <w:pPr>
        <w:numPr>
          <w:ilvl w:val="0"/>
          <w:numId w:val="14"/>
        </w:numPr>
        <w:rPr>
          <w:lang w:val="de-DE"/>
        </w:rPr>
      </w:pPr>
      <w:r>
        <w:rPr>
          <w:lang w:val="de-DE"/>
        </w:rPr>
        <w:t>„</w:t>
      </w:r>
      <w:r w:rsidRPr="00C47725">
        <w:rPr>
          <w:lang w:val="de-DE"/>
        </w:rPr>
        <w:t>Chinas Praxis beim Zugang zu Pflanzenmaterial für die Verwaltung von Vergleichssammlungen und für DUS-Prüfungen</w:t>
      </w:r>
      <w:r>
        <w:rPr>
          <w:lang w:val="de-DE"/>
        </w:rPr>
        <w:t>“</w:t>
      </w:r>
    </w:p>
    <w:p w:rsidR="002D20DB" w:rsidRPr="00C47725" w:rsidRDefault="002D20DB" w:rsidP="002D20DB">
      <w:pPr>
        <w:numPr>
          <w:ilvl w:val="0"/>
          <w:numId w:val="14"/>
        </w:numPr>
        <w:rPr>
          <w:lang w:val="de-DE"/>
        </w:rPr>
      </w:pPr>
      <w:r>
        <w:rPr>
          <w:lang w:val="de-DE"/>
        </w:rPr>
        <w:t>„</w:t>
      </w:r>
      <w:r w:rsidRPr="00C47725">
        <w:rPr>
          <w:lang w:val="de-DE"/>
        </w:rPr>
        <w:t>Zugang zu Pflanzenmaterial zu Sortenprüfung</w:t>
      </w:r>
      <w:r>
        <w:rPr>
          <w:lang w:val="de-DE"/>
        </w:rPr>
        <w:t>szwecken</w:t>
      </w:r>
      <w:r w:rsidRPr="00C47725">
        <w:rPr>
          <w:lang w:val="de-DE"/>
        </w:rPr>
        <w:t xml:space="preserve">: </w:t>
      </w:r>
      <w:r w:rsidRPr="0020085B">
        <w:rPr>
          <w:lang w:val="de-DE"/>
        </w:rPr>
        <w:t>Status quo</w:t>
      </w:r>
      <w:r w:rsidRPr="002E0BB1">
        <w:rPr>
          <w:lang w:val="de-DE"/>
        </w:rPr>
        <w:t>, Pro</w:t>
      </w:r>
      <w:r w:rsidRPr="00C47725">
        <w:rPr>
          <w:lang w:val="de-DE"/>
        </w:rPr>
        <w:t>bleme und mögliche Lösungen</w:t>
      </w:r>
      <w:r>
        <w:rPr>
          <w:lang w:val="de-DE"/>
        </w:rPr>
        <w:t>“</w:t>
      </w:r>
      <w:r w:rsidRPr="00C47725">
        <w:rPr>
          <w:lang w:val="de-DE"/>
        </w:rPr>
        <w:t xml:space="preserve"> von einem Sachverständigen aus Italien.</w:t>
      </w:r>
    </w:p>
    <w:p w:rsidR="002D20DB" w:rsidRPr="00C47725" w:rsidRDefault="002D20DB" w:rsidP="002D20DB">
      <w:pPr>
        <w:ind w:left="720"/>
        <w:rPr>
          <w:lang w:val="de-DE"/>
        </w:rPr>
      </w:pPr>
    </w:p>
    <w:p w:rsidR="002D20DB" w:rsidRPr="00C47725" w:rsidRDefault="002D20DB" w:rsidP="002D20DB">
      <w:pPr>
        <w:rPr>
          <w:lang w:val="de-DE"/>
        </w:rPr>
      </w:pPr>
      <w:r w:rsidRPr="008D5EE7">
        <w:rPr>
          <w:lang w:val="de-DE"/>
        </w:rPr>
        <w:fldChar w:fldCharType="begin"/>
      </w:r>
      <w:r w:rsidRPr="008D5EE7">
        <w:rPr>
          <w:lang w:val="de-DE"/>
        </w:rPr>
        <w:instrText xml:space="preserve"> AUTONUM  </w:instrText>
      </w:r>
      <w:r w:rsidRPr="008D5EE7">
        <w:rPr>
          <w:lang w:val="de-DE"/>
        </w:rPr>
        <w:fldChar w:fldCharType="end"/>
      </w:r>
      <w:r w:rsidRPr="00C47725">
        <w:rPr>
          <w:lang w:val="de-DE"/>
        </w:rPr>
        <w:tab/>
        <w:t xml:space="preserve">Die TWF vereinbarte, dass Züchter eine wichtige Quelle für Informationen und lebendes Pflanzenmaterial </w:t>
      </w:r>
      <w:r>
        <w:rPr>
          <w:lang w:val="de-DE"/>
        </w:rPr>
        <w:t>seien</w:t>
      </w:r>
      <w:r w:rsidRPr="00C47725">
        <w:rPr>
          <w:lang w:val="de-DE"/>
        </w:rPr>
        <w:t xml:space="preserve"> und dass es im Interesse der Züchter lieg</w:t>
      </w:r>
      <w:r>
        <w:rPr>
          <w:lang w:val="de-DE"/>
        </w:rPr>
        <w:t>e</w:t>
      </w:r>
      <w:r w:rsidRPr="00C47725">
        <w:rPr>
          <w:lang w:val="de-DE"/>
        </w:rPr>
        <w:t xml:space="preserve">, bei der Einrichtung und Pflege von Sortensammlungen </w:t>
      </w:r>
      <w:r>
        <w:rPr>
          <w:lang w:val="de-DE"/>
        </w:rPr>
        <w:t>zusammenzuarbeiten</w:t>
      </w:r>
      <w:r w:rsidRPr="00C47725">
        <w:rPr>
          <w:lang w:val="de-DE"/>
        </w:rPr>
        <w:t xml:space="preserve">. Die TWF nahm die Bemerkung eines Vertreters der CIOPORA zur Kenntnis, </w:t>
      </w:r>
      <w:r>
        <w:rPr>
          <w:lang w:val="de-DE"/>
        </w:rPr>
        <w:t>wie</w:t>
      </w:r>
      <w:r w:rsidRPr="00C47725">
        <w:rPr>
          <w:lang w:val="de-DE"/>
        </w:rPr>
        <w:t xml:space="preserve"> wichtig </w:t>
      </w:r>
      <w:r>
        <w:rPr>
          <w:lang w:val="de-DE"/>
        </w:rPr>
        <w:t xml:space="preserve">es </w:t>
      </w:r>
      <w:r w:rsidRPr="00C47725">
        <w:rPr>
          <w:lang w:val="de-DE"/>
        </w:rPr>
        <w:t>sei</w:t>
      </w:r>
      <w:r w:rsidRPr="008D5EE7">
        <w:rPr>
          <w:lang w:val="de-DE"/>
        </w:rPr>
        <w:t>, die Interessen der Züchter zu schützen, wenn Pflanzenmaterial von Züchtern zur Verfügung gestellt</w:t>
      </w:r>
      <w:r>
        <w:rPr>
          <w:lang w:val="de-DE"/>
        </w:rPr>
        <w:t xml:space="preserve"> </w:t>
      </w:r>
      <w:r w:rsidRPr="008D5EE7">
        <w:rPr>
          <w:lang w:val="de-DE"/>
        </w:rPr>
        <w:t xml:space="preserve">werde. </w:t>
      </w:r>
      <w:r>
        <w:rPr>
          <w:lang w:val="de-DE"/>
        </w:rPr>
        <w:t>Sie</w:t>
      </w:r>
      <w:r w:rsidRPr="008D5EE7">
        <w:rPr>
          <w:lang w:val="de-DE"/>
        </w:rPr>
        <w:t xml:space="preserve"> erörterte ferner das von Züchtern </w:t>
      </w:r>
      <w:r>
        <w:rPr>
          <w:lang w:val="de-DE"/>
        </w:rPr>
        <w:t>empfundene</w:t>
      </w:r>
      <w:r w:rsidRPr="008D5EE7">
        <w:rPr>
          <w:lang w:val="de-DE"/>
        </w:rPr>
        <w:t xml:space="preserve"> Risiko, wenn Prüfungsämter Züchtungstätigkeiten ausüben, und wie sichergestellt werden kann, dass die lebenden Sammlungen nicht für Züchtungszwecke verwendet werden. Die TWF betonte, dass ein hohes Maß an Vertrauen zwischen den </w:t>
      </w:r>
      <w:r>
        <w:rPr>
          <w:lang w:val="de-DE"/>
        </w:rPr>
        <w:t>Sortenschutzämtern</w:t>
      </w:r>
      <w:r w:rsidRPr="008D5EE7">
        <w:rPr>
          <w:lang w:val="de-DE"/>
        </w:rPr>
        <w:t xml:space="preserve"> und den Züchtern vorhanden s</w:t>
      </w:r>
      <w:r w:rsidRPr="00C47725">
        <w:rPr>
          <w:lang w:val="de-DE"/>
        </w:rPr>
        <w:t xml:space="preserve">ein müsse, um eine fruchtbare Zusammenarbeit zu gewährleisten. Die TWF nahm zur Kenntnis, dass die Europäische Union </w:t>
      </w:r>
      <w:r w:rsidRPr="008D5EE7">
        <w:rPr>
          <w:lang w:val="de-DE"/>
        </w:rPr>
        <w:t>eine Richtlinie</w:t>
      </w:r>
      <w:r w:rsidRPr="00C47725">
        <w:rPr>
          <w:lang w:val="de-DE"/>
        </w:rPr>
        <w:t xml:space="preserve"> über die Verwendung von für DUS-Prüfungen eingereicht</w:t>
      </w:r>
      <w:r>
        <w:rPr>
          <w:lang w:val="de-DE"/>
        </w:rPr>
        <w:t xml:space="preserve">em </w:t>
      </w:r>
      <w:r w:rsidRPr="00C47725">
        <w:rPr>
          <w:lang w:val="de-DE"/>
        </w:rPr>
        <w:t>Pflanzenmaterial angenommen hat.</w:t>
      </w:r>
    </w:p>
    <w:p w:rsidR="002D20DB" w:rsidRPr="00C47725" w:rsidRDefault="002D20DB" w:rsidP="002D20DB">
      <w:pPr>
        <w:rPr>
          <w:lang w:val="de-DE"/>
        </w:rPr>
      </w:pPr>
    </w:p>
    <w:p w:rsidR="002D20DB" w:rsidRPr="00C47725" w:rsidRDefault="002D20DB" w:rsidP="002D20DB">
      <w:pPr>
        <w:rPr>
          <w:lang w:val="de-DE"/>
        </w:rPr>
      </w:pPr>
      <w:r w:rsidRPr="008D5EE7">
        <w:rPr>
          <w:lang w:val="de-DE"/>
        </w:rPr>
        <w:fldChar w:fldCharType="begin"/>
      </w:r>
      <w:r w:rsidRPr="008D5EE7">
        <w:rPr>
          <w:lang w:val="de-DE"/>
        </w:rPr>
        <w:instrText xml:space="preserve"> AUTONUM  </w:instrText>
      </w:r>
      <w:r w:rsidRPr="008D5EE7">
        <w:rPr>
          <w:lang w:val="de-DE"/>
        </w:rPr>
        <w:fldChar w:fldCharType="end"/>
      </w:r>
      <w:r w:rsidRPr="00C47725">
        <w:rPr>
          <w:lang w:val="de-DE"/>
        </w:rPr>
        <w:tab/>
        <w:t xml:space="preserve">Die TWF vereinbarte, die Erörterung auf ihrer nächsten </w:t>
      </w:r>
      <w:r>
        <w:rPr>
          <w:lang w:val="de-DE"/>
        </w:rPr>
        <w:t>Tagung</w:t>
      </w:r>
      <w:r w:rsidRPr="00C47725">
        <w:rPr>
          <w:lang w:val="de-DE"/>
        </w:rPr>
        <w:t xml:space="preserve"> fortzusetzen, und ersuchte den Sachverständigen aus Italien, ein Dokument zu erstellen, in dem die Probleme der </w:t>
      </w:r>
      <w:r>
        <w:rPr>
          <w:lang w:val="de-DE"/>
        </w:rPr>
        <w:t>Sortenschutzämter</w:t>
      </w:r>
      <w:r w:rsidRPr="00C47725">
        <w:rPr>
          <w:lang w:val="de-DE"/>
        </w:rPr>
        <w:t xml:space="preserve"> und Züchter zusammengefasst sind, </w:t>
      </w:r>
      <w:r>
        <w:rPr>
          <w:lang w:val="de-DE"/>
        </w:rPr>
        <w:t>denen Sortenschutzämter</w:t>
      </w:r>
      <w:r w:rsidRPr="00C47725">
        <w:rPr>
          <w:lang w:val="de-DE"/>
        </w:rPr>
        <w:t xml:space="preserve"> und Züchter </w:t>
      </w:r>
      <w:r>
        <w:rPr>
          <w:lang w:val="de-DE"/>
        </w:rPr>
        <w:t xml:space="preserve">gegenüberstehen, </w:t>
      </w:r>
      <w:r w:rsidRPr="00C47725">
        <w:rPr>
          <w:lang w:val="de-DE"/>
        </w:rPr>
        <w:t xml:space="preserve">und </w:t>
      </w:r>
      <w:r>
        <w:rPr>
          <w:lang w:val="de-DE"/>
        </w:rPr>
        <w:t>Vorschläge zu machen</w:t>
      </w:r>
      <w:r w:rsidRPr="00C47725">
        <w:rPr>
          <w:lang w:val="de-DE"/>
        </w:rPr>
        <w:t xml:space="preserve">, wie diese Probleme innerhalb der UPOV </w:t>
      </w:r>
      <w:r>
        <w:rPr>
          <w:lang w:val="de-DE"/>
        </w:rPr>
        <w:t>angegangen</w:t>
      </w:r>
      <w:r w:rsidRPr="00C47725">
        <w:rPr>
          <w:lang w:val="de-DE"/>
        </w:rPr>
        <w:t xml:space="preserve"> werden könn</w:t>
      </w:r>
      <w:r>
        <w:rPr>
          <w:lang w:val="de-DE"/>
        </w:rPr>
        <w:t>t</w:t>
      </w:r>
      <w:r w:rsidRPr="00C47725">
        <w:rPr>
          <w:lang w:val="de-DE"/>
        </w:rPr>
        <w:t>en.</w:t>
      </w:r>
    </w:p>
    <w:p w:rsidR="002D20DB" w:rsidRPr="00C47725" w:rsidRDefault="002D20DB" w:rsidP="002D20DB">
      <w:pPr>
        <w:rPr>
          <w:bCs/>
          <w:lang w:val="de-DE"/>
        </w:rPr>
      </w:pPr>
    </w:p>
    <w:p w:rsidR="002D20DB" w:rsidRPr="00C47725" w:rsidRDefault="002D20DB" w:rsidP="002D20DB">
      <w:pPr>
        <w:rPr>
          <w:lang w:val="de-DE"/>
        </w:rPr>
      </w:pPr>
      <w:r w:rsidRPr="008D5EE7">
        <w:rPr>
          <w:lang w:val="de-DE"/>
        </w:rPr>
        <w:fldChar w:fldCharType="begin"/>
      </w:r>
      <w:r w:rsidRPr="008D5EE7">
        <w:rPr>
          <w:lang w:val="de-DE"/>
        </w:rPr>
        <w:instrText xml:space="preserve"> AUTONUM  </w:instrText>
      </w:r>
      <w:r w:rsidRPr="008D5EE7">
        <w:rPr>
          <w:lang w:val="de-DE"/>
        </w:rPr>
        <w:fldChar w:fldCharType="end"/>
      </w:r>
      <w:r w:rsidRPr="00C47725">
        <w:rPr>
          <w:lang w:val="de-DE"/>
        </w:rPr>
        <w:tab/>
        <w:t xml:space="preserve">Die TWF erhielt ein Update über </w:t>
      </w:r>
      <w:r>
        <w:rPr>
          <w:lang w:val="de-DE"/>
        </w:rPr>
        <w:t>die Lage</w:t>
      </w:r>
      <w:r w:rsidRPr="00C47725">
        <w:rPr>
          <w:lang w:val="de-DE"/>
        </w:rPr>
        <w:t xml:space="preserve"> der DUS-Prüfung von Mutantensorten bei Apfel </w:t>
      </w:r>
      <w:r>
        <w:rPr>
          <w:lang w:val="de-DE"/>
        </w:rPr>
        <w:t>von</w:t>
      </w:r>
      <w:r w:rsidRPr="00C47725">
        <w:rPr>
          <w:lang w:val="de-DE"/>
        </w:rPr>
        <w:t xml:space="preserve"> der Europäischen Union und nahm zur Kenntnis, dass ohne eine geeig</w:t>
      </w:r>
      <w:r w:rsidRPr="008D5EE7">
        <w:rPr>
          <w:lang w:val="de-DE"/>
        </w:rPr>
        <w:t>nete Sortensammlung für d</w:t>
      </w:r>
      <w:r w:rsidRPr="00C47725">
        <w:rPr>
          <w:lang w:val="de-DE"/>
        </w:rPr>
        <w:t xml:space="preserve">ie DUS-Prüfung die Genauigkeit des DUS-Berichts beeinträchtigt werden könnte, was die Zusammenarbeit und den Austausch von DUS-Berichten zwischen den </w:t>
      </w:r>
      <w:r>
        <w:rPr>
          <w:lang w:val="de-DE"/>
        </w:rPr>
        <w:t>Sortenschutzämter</w:t>
      </w:r>
      <w:r w:rsidRPr="00C47725">
        <w:rPr>
          <w:lang w:val="de-DE"/>
        </w:rPr>
        <w:t xml:space="preserve"> für Mutantensorten bei Apfel </w:t>
      </w:r>
      <w:r>
        <w:rPr>
          <w:lang w:val="de-DE"/>
        </w:rPr>
        <w:t>behindern</w:t>
      </w:r>
      <w:r w:rsidRPr="00C47725">
        <w:rPr>
          <w:lang w:val="de-DE"/>
        </w:rPr>
        <w:t xml:space="preserve"> könnte. </w:t>
      </w:r>
    </w:p>
    <w:p w:rsidR="002D20DB" w:rsidRPr="00C47725" w:rsidRDefault="002D20DB" w:rsidP="002D20DB">
      <w:pPr>
        <w:rPr>
          <w:lang w:val="de-DE"/>
        </w:rPr>
      </w:pPr>
    </w:p>
    <w:p w:rsidR="002D20DB" w:rsidRPr="00C47725" w:rsidRDefault="002D20DB" w:rsidP="002D20DB">
      <w:pPr>
        <w:rPr>
          <w:lang w:val="de-DE"/>
        </w:rPr>
      </w:pPr>
      <w:r w:rsidRPr="0020085B">
        <w:rPr>
          <w:bCs/>
          <w:lang w:val="de-DE"/>
        </w:rPr>
        <w:fldChar w:fldCharType="begin"/>
      </w:r>
      <w:r w:rsidRPr="00AD1CEA">
        <w:rPr>
          <w:bCs/>
          <w:lang w:val="de-DE"/>
        </w:rPr>
        <w:instrText xml:space="preserve"> AUTONUM  </w:instrText>
      </w:r>
      <w:r w:rsidRPr="0020085B">
        <w:rPr>
          <w:bCs/>
          <w:lang w:val="de-DE"/>
        </w:rPr>
        <w:fldChar w:fldCharType="end"/>
      </w:r>
      <w:r w:rsidRPr="00C47725">
        <w:rPr>
          <w:bCs/>
          <w:lang w:val="de-DE"/>
        </w:rPr>
        <w:tab/>
      </w:r>
      <w:r>
        <w:rPr>
          <w:bCs/>
          <w:lang w:val="de-DE"/>
        </w:rPr>
        <w:t>Die TWF</w:t>
      </w:r>
      <w:r w:rsidRPr="00C47725">
        <w:rPr>
          <w:bCs/>
          <w:lang w:val="de-DE"/>
        </w:rPr>
        <w:t xml:space="preserve"> hielt eine Tagung </w:t>
      </w:r>
      <w:r>
        <w:rPr>
          <w:bCs/>
          <w:lang w:val="de-DE"/>
        </w:rPr>
        <w:t>über die</w:t>
      </w:r>
      <w:r w:rsidRPr="00C47725">
        <w:rPr>
          <w:bCs/>
          <w:lang w:val="de-DE"/>
        </w:rPr>
        <w:t xml:space="preserve"> Erleichterung der Zusammenarbeit </w:t>
      </w:r>
      <w:r>
        <w:rPr>
          <w:bCs/>
          <w:lang w:val="de-DE"/>
        </w:rPr>
        <w:t>im Zusammenhang mit</w:t>
      </w:r>
      <w:r w:rsidRPr="00C47725">
        <w:rPr>
          <w:bCs/>
          <w:lang w:val="de-DE"/>
        </w:rPr>
        <w:t xml:space="preserve"> der Anwendung molekularer </w:t>
      </w:r>
      <w:r>
        <w:rPr>
          <w:bCs/>
          <w:lang w:val="de-DE"/>
        </w:rPr>
        <w:t>Verfahren</w:t>
      </w:r>
      <w:r w:rsidRPr="00C47725">
        <w:rPr>
          <w:bCs/>
          <w:lang w:val="de-DE"/>
        </w:rPr>
        <w:t xml:space="preserve"> und eine weitere Tagung </w:t>
      </w:r>
      <w:r>
        <w:rPr>
          <w:bCs/>
          <w:lang w:val="de-DE"/>
        </w:rPr>
        <w:t>über</w:t>
      </w:r>
      <w:r w:rsidRPr="00C47725">
        <w:rPr>
          <w:bCs/>
          <w:lang w:val="de-DE"/>
        </w:rPr>
        <w:t xml:space="preserve"> Zusammenarbeit bei der </w:t>
      </w:r>
      <w:r>
        <w:rPr>
          <w:bCs/>
          <w:lang w:val="de-DE"/>
        </w:rPr>
        <w:t>Prüfung</w:t>
      </w:r>
      <w:r w:rsidRPr="00C47725">
        <w:rPr>
          <w:bCs/>
          <w:lang w:val="de-DE"/>
        </w:rPr>
        <w:t xml:space="preserve"> ab.</w:t>
      </w:r>
    </w:p>
    <w:p w:rsidR="002D20DB" w:rsidRPr="00C47725" w:rsidRDefault="002D20DB" w:rsidP="002D20DB">
      <w:pPr>
        <w:rPr>
          <w:lang w:val="de-DE"/>
        </w:rPr>
      </w:pPr>
    </w:p>
    <w:p w:rsidR="002D20DB" w:rsidRPr="00C47725" w:rsidRDefault="002D20DB" w:rsidP="002D20DB">
      <w:pPr>
        <w:keepNext/>
        <w:rPr>
          <w:bCs/>
          <w:lang w:val="de-DE"/>
        </w:rPr>
      </w:pPr>
      <w:r w:rsidRPr="008D5EE7">
        <w:rPr>
          <w:bCs/>
          <w:lang w:val="de-DE"/>
        </w:rPr>
        <w:fldChar w:fldCharType="begin"/>
      </w:r>
      <w:r w:rsidRPr="008D5EE7">
        <w:rPr>
          <w:bCs/>
          <w:lang w:val="de-DE"/>
        </w:rPr>
        <w:instrText xml:space="preserve"> AUTONUM  </w:instrText>
      </w:r>
      <w:r w:rsidRPr="008D5EE7">
        <w:rPr>
          <w:bCs/>
          <w:lang w:val="de-DE"/>
        </w:rPr>
        <w:fldChar w:fldCharType="end"/>
      </w:r>
      <w:r w:rsidRPr="00C47725">
        <w:rPr>
          <w:bCs/>
          <w:lang w:val="de-DE"/>
        </w:rPr>
        <w:tab/>
        <w:t>Die TWF vereinbarte insbesondere</w:t>
      </w:r>
      <w:r>
        <w:rPr>
          <w:bCs/>
          <w:lang w:val="de-DE"/>
        </w:rPr>
        <w:t>,</w:t>
      </w:r>
      <w:r w:rsidRPr="00C47725">
        <w:rPr>
          <w:bCs/>
          <w:lang w:val="de-DE"/>
        </w:rPr>
        <w:t xml:space="preserve"> Folgendes auf ihrer nächsten Tagung zu erörtern:</w:t>
      </w:r>
    </w:p>
    <w:p w:rsidR="002D20DB" w:rsidRPr="00C47725" w:rsidRDefault="002D20DB" w:rsidP="002D20DB">
      <w:pPr>
        <w:numPr>
          <w:ilvl w:val="0"/>
          <w:numId w:val="15"/>
        </w:numPr>
        <w:ind w:left="1418" w:hanging="425"/>
        <w:rPr>
          <w:lang w:val="de-DE"/>
        </w:rPr>
      </w:pPr>
      <w:r w:rsidRPr="00C47725">
        <w:rPr>
          <w:lang w:val="de-DE"/>
        </w:rPr>
        <w:t>Zugang zu Pflanzenmaterial zum Zwecke der Verwaltung von Sortensammlungen und der DUS-Prüfung (von Italien zu erstellendes Dokument)</w:t>
      </w:r>
    </w:p>
    <w:p w:rsidR="002D20DB" w:rsidRPr="00C47725" w:rsidRDefault="002D20DB" w:rsidP="002D20DB">
      <w:pPr>
        <w:numPr>
          <w:ilvl w:val="0"/>
          <w:numId w:val="15"/>
        </w:numPr>
        <w:ind w:left="1418" w:hanging="425"/>
        <w:rPr>
          <w:lang w:val="de-DE"/>
        </w:rPr>
      </w:pPr>
      <w:r w:rsidRPr="00C47725">
        <w:rPr>
          <w:lang w:val="de-DE"/>
        </w:rPr>
        <w:t>DUS-Prüfung von Mutantensorten bei Apfel (von der Europäischen Union zu erstellendes Dokument)</w:t>
      </w:r>
    </w:p>
    <w:p w:rsidR="002D20DB" w:rsidRPr="00C47725" w:rsidRDefault="002D20DB" w:rsidP="002D20DB">
      <w:pPr>
        <w:rPr>
          <w:lang w:val="de-DE"/>
        </w:rPr>
      </w:pPr>
    </w:p>
    <w:p w:rsidR="002D20DB" w:rsidRPr="00C47725" w:rsidRDefault="002D20DB" w:rsidP="002D20DB">
      <w:pPr>
        <w:rPr>
          <w:bCs/>
          <w:lang w:val="de-DE"/>
        </w:rPr>
      </w:pPr>
      <w:r w:rsidRPr="00D46210">
        <w:rPr>
          <w:bCs/>
          <w:lang w:val="de-DE"/>
        </w:rPr>
        <w:fldChar w:fldCharType="begin"/>
      </w:r>
      <w:r w:rsidRPr="00D46210">
        <w:rPr>
          <w:bCs/>
          <w:lang w:val="de-DE"/>
        </w:rPr>
        <w:instrText xml:space="preserve"> AUTONUM  </w:instrText>
      </w:r>
      <w:r w:rsidRPr="00D46210">
        <w:rPr>
          <w:bCs/>
          <w:lang w:val="de-DE"/>
        </w:rPr>
        <w:fldChar w:fldCharType="end"/>
      </w:r>
      <w:r w:rsidRPr="00C47725">
        <w:rPr>
          <w:bCs/>
          <w:lang w:val="de-DE"/>
        </w:rPr>
        <w:tab/>
        <w:t xml:space="preserve">Die TWF prüfte </w:t>
      </w:r>
      <w:r>
        <w:rPr>
          <w:bCs/>
          <w:lang w:val="de-DE"/>
        </w:rPr>
        <w:t>Angelegenheiten</w:t>
      </w:r>
      <w:r w:rsidRPr="00C47725">
        <w:rPr>
          <w:bCs/>
          <w:lang w:val="de-DE"/>
        </w:rPr>
        <w:t xml:space="preserve">, die im Zusammenhang mit dem </w:t>
      </w:r>
      <w:r>
        <w:rPr>
          <w:bCs/>
          <w:lang w:val="de-DE"/>
        </w:rPr>
        <w:t>Entwurf von Prüfungsrichtlinien</w:t>
      </w:r>
      <w:r w:rsidRPr="00C47725">
        <w:rPr>
          <w:bCs/>
          <w:lang w:val="de-DE"/>
        </w:rPr>
        <w:t xml:space="preserve"> für Macadamia und für Schwarznuss, wie vom TC empfohlen, </w:t>
      </w:r>
      <w:r>
        <w:rPr>
          <w:bCs/>
          <w:lang w:val="de-DE"/>
        </w:rPr>
        <w:t>bereinigt</w:t>
      </w:r>
      <w:r w:rsidRPr="00C47725">
        <w:rPr>
          <w:bCs/>
          <w:lang w:val="de-DE"/>
        </w:rPr>
        <w:t xml:space="preserve"> werden sollen. </w:t>
      </w:r>
      <w:r>
        <w:rPr>
          <w:bCs/>
          <w:lang w:val="de-DE"/>
        </w:rPr>
        <w:t>Sie</w:t>
      </w:r>
      <w:r w:rsidRPr="00C47725">
        <w:rPr>
          <w:bCs/>
          <w:lang w:val="de-DE"/>
        </w:rPr>
        <w:t xml:space="preserve"> vereinbarte, dass die Teilüberarbeitung der Prüfungsrichtlinien für Orangen und Grapefruit dem TC zur Annahme vorgelegt werden sollte. </w:t>
      </w:r>
      <w:r>
        <w:rPr>
          <w:bCs/>
          <w:lang w:val="de-DE"/>
        </w:rPr>
        <w:t>Sie</w:t>
      </w:r>
      <w:r w:rsidRPr="00C47725">
        <w:rPr>
          <w:bCs/>
          <w:lang w:val="de-DE"/>
        </w:rPr>
        <w:t xml:space="preserve"> erörterte ferner </w:t>
      </w:r>
      <w:r>
        <w:rPr>
          <w:bCs/>
          <w:lang w:val="de-DE"/>
        </w:rPr>
        <w:t>die Entwürfe von Prüfungsrichtlinien</w:t>
      </w:r>
      <w:r w:rsidRPr="00C47725">
        <w:rPr>
          <w:bCs/>
          <w:lang w:val="de-DE"/>
        </w:rPr>
        <w:t xml:space="preserve"> für Apfel, Aprikose, Argan, Rebe</w:t>
      </w:r>
      <w:r w:rsidRPr="00D46210">
        <w:rPr>
          <w:bCs/>
          <w:lang w:val="de-DE"/>
        </w:rPr>
        <w:t>, Maulbeere</w:t>
      </w:r>
      <w:r w:rsidRPr="00C47725">
        <w:rPr>
          <w:bCs/>
          <w:lang w:val="de-DE"/>
        </w:rPr>
        <w:t>, Pistazie, Erdbeere und Süßkirsche.</w:t>
      </w:r>
    </w:p>
    <w:p w:rsidR="002D20DB" w:rsidRPr="00C47725" w:rsidRDefault="002D20DB" w:rsidP="002D20DB">
      <w:pPr>
        <w:rPr>
          <w:lang w:val="de-DE"/>
        </w:rPr>
      </w:pPr>
    </w:p>
    <w:p w:rsidR="002D20DB" w:rsidRPr="00C47725" w:rsidRDefault="002D20DB" w:rsidP="002D20DB">
      <w:pPr>
        <w:rPr>
          <w:lang w:val="de-DE"/>
        </w:rPr>
      </w:pPr>
      <w:r w:rsidRPr="00D46210">
        <w:rPr>
          <w:lang w:val="de-DE"/>
        </w:rPr>
        <w:fldChar w:fldCharType="begin"/>
      </w:r>
      <w:r w:rsidRPr="00D46210">
        <w:rPr>
          <w:lang w:val="de-DE"/>
        </w:rPr>
        <w:instrText xml:space="preserve"> AUTONUM  </w:instrText>
      </w:r>
      <w:r w:rsidRPr="00D46210">
        <w:rPr>
          <w:lang w:val="de-DE"/>
        </w:rPr>
        <w:fldChar w:fldCharType="end"/>
      </w:r>
      <w:r w:rsidRPr="00C47725">
        <w:rPr>
          <w:lang w:val="de-DE"/>
        </w:rPr>
        <w:tab/>
        <w:t>Die TWF vereinbarte</w:t>
      </w:r>
      <w:r>
        <w:rPr>
          <w:lang w:val="de-DE"/>
        </w:rPr>
        <w:t>,</w:t>
      </w:r>
      <w:r w:rsidRPr="00C47725">
        <w:rPr>
          <w:lang w:val="de-DE"/>
        </w:rPr>
        <w:t xml:space="preserve"> auf ihrer einundfünfzigste</w:t>
      </w:r>
      <w:r>
        <w:rPr>
          <w:lang w:val="de-DE"/>
        </w:rPr>
        <w:t>n</w:t>
      </w:r>
      <w:r w:rsidRPr="00C47725">
        <w:rPr>
          <w:lang w:val="de-DE"/>
        </w:rPr>
        <w:t xml:space="preserve"> Tagung 17 Prüfungsrichtlinien zu erörtern.</w:t>
      </w:r>
    </w:p>
    <w:p w:rsidR="002D20DB" w:rsidRPr="00C47725" w:rsidRDefault="002D20DB" w:rsidP="002D20DB">
      <w:pPr>
        <w:rPr>
          <w:lang w:val="de-DE"/>
        </w:rPr>
      </w:pPr>
    </w:p>
    <w:p w:rsidR="002D20DB" w:rsidRPr="00C47725" w:rsidRDefault="002D20DB" w:rsidP="002D20DB">
      <w:pPr>
        <w:rPr>
          <w:lang w:val="de-DE"/>
        </w:rPr>
      </w:pPr>
      <w:r w:rsidRPr="00D46210">
        <w:rPr>
          <w:lang w:val="de-DE"/>
        </w:rPr>
        <w:fldChar w:fldCharType="begin"/>
      </w:r>
      <w:r w:rsidRPr="00D46210">
        <w:rPr>
          <w:lang w:val="de-DE"/>
        </w:rPr>
        <w:instrText xml:space="preserve"> AUTONUM  </w:instrText>
      </w:r>
      <w:r w:rsidRPr="00D46210">
        <w:rPr>
          <w:lang w:val="de-DE"/>
        </w:rPr>
        <w:fldChar w:fldCharType="end"/>
      </w:r>
      <w:r w:rsidRPr="00C47725">
        <w:rPr>
          <w:lang w:val="de-DE"/>
        </w:rPr>
        <w:tab/>
        <w:t xml:space="preserve">Auf Einladung </w:t>
      </w:r>
      <w:r w:rsidRPr="00C47725">
        <w:rPr>
          <w:bCs/>
          <w:lang w:val="de-DE"/>
        </w:rPr>
        <w:t>Frankreichs vereinbarte die TWF, ihre einundfünfzigste Tagung vom 6. bis 10. Juli 2020 in Nîmes, Frankreich, abzuhalten.</w:t>
      </w:r>
      <w:r w:rsidRPr="00C47725">
        <w:rPr>
          <w:lang w:val="de-DE"/>
        </w:rPr>
        <w:t xml:space="preserve"> </w:t>
      </w:r>
    </w:p>
    <w:p w:rsidR="002D20DB" w:rsidRPr="00C47725" w:rsidRDefault="002D20DB" w:rsidP="002D20DB">
      <w:pPr>
        <w:rPr>
          <w:bCs/>
          <w:lang w:val="de-DE"/>
        </w:rPr>
      </w:pPr>
    </w:p>
    <w:p w:rsidR="002D20DB" w:rsidRPr="00C47725" w:rsidRDefault="002D20DB" w:rsidP="002D20DB">
      <w:pPr>
        <w:rPr>
          <w:lang w:val="de-DE"/>
        </w:rPr>
      </w:pPr>
      <w:r w:rsidRPr="00D46210">
        <w:rPr>
          <w:lang w:val="de-DE"/>
        </w:rPr>
        <w:fldChar w:fldCharType="begin"/>
      </w:r>
      <w:r w:rsidRPr="00D46210">
        <w:rPr>
          <w:lang w:val="de-DE"/>
        </w:rPr>
        <w:instrText xml:space="preserve"> AUTONUM  </w:instrText>
      </w:r>
      <w:r w:rsidRPr="00D46210">
        <w:rPr>
          <w:lang w:val="de-DE"/>
        </w:rPr>
        <w:fldChar w:fldCharType="end"/>
      </w:r>
      <w:r w:rsidRPr="00C47725">
        <w:rPr>
          <w:lang w:val="de-DE"/>
        </w:rPr>
        <w:tab/>
        <w:t>Die TWF vereinbarte, auf ihrer nächsten Tagung folgende Punkte zu behandeln:</w:t>
      </w:r>
    </w:p>
    <w:p w:rsidR="002D20DB" w:rsidRPr="00C47725" w:rsidRDefault="002D20DB" w:rsidP="002D20DB">
      <w:pPr>
        <w:rPr>
          <w:lang w:val="de-DE"/>
        </w:rPr>
      </w:pPr>
    </w:p>
    <w:p w:rsidR="002D20DB" w:rsidRPr="00C47725" w:rsidRDefault="002D20DB" w:rsidP="002D20DB">
      <w:pPr>
        <w:numPr>
          <w:ilvl w:val="0"/>
          <w:numId w:val="17"/>
        </w:numPr>
        <w:rPr>
          <w:lang w:val="de-DE"/>
        </w:rPr>
      </w:pPr>
      <w:r w:rsidRPr="00C47725">
        <w:rPr>
          <w:lang w:val="de-DE"/>
        </w:rPr>
        <w:t>Eröffnung der Tagung</w:t>
      </w:r>
    </w:p>
    <w:p w:rsidR="002D20DB" w:rsidRPr="00C47725" w:rsidRDefault="002D20DB" w:rsidP="002D20DB">
      <w:pPr>
        <w:numPr>
          <w:ilvl w:val="0"/>
          <w:numId w:val="17"/>
        </w:numPr>
        <w:rPr>
          <w:lang w:val="de-DE"/>
        </w:rPr>
      </w:pPr>
      <w:r w:rsidRPr="00C47725">
        <w:rPr>
          <w:lang w:val="de-DE"/>
        </w:rPr>
        <w:t>Annahme der Tagesordnung</w:t>
      </w:r>
    </w:p>
    <w:p w:rsidR="002D20DB" w:rsidRPr="00C47725" w:rsidRDefault="002D20DB" w:rsidP="002D20DB">
      <w:pPr>
        <w:numPr>
          <w:ilvl w:val="0"/>
          <w:numId w:val="17"/>
        </w:numPr>
        <w:rPr>
          <w:lang w:val="de-DE"/>
        </w:rPr>
      </w:pPr>
      <w:r w:rsidRPr="00C47725">
        <w:rPr>
          <w:lang w:val="de-DE"/>
        </w:rPr>
        <w:t>Kurzberichte</w:t>
      </w:r>
      <w:r>
        <w:rPr>
          <w:lang w:val="de-DE"/>
        </w:rPr>
        <w:t xml:space="preserve"> </w:t>
      </w:r>
      <w:r w:rsidRPr="00C47725">
        <w:rPr>
          <w:lang w:val="de-DE"/>
        </w:rPr>
        <w:t>über die Entwicklungen im Sortenschutz</w:t>
      </w:r>
    </w:p>
    <w:p w:rsidR="002D20DB" w:rsidRPr="00C47725" w:rsidRDefault="002D20DB" w:rsidP="002D20DB">
      <w:pPr>
        <w:tabs>
          <w:tab w:val="left" w:pos="1701"/>
        </w:tabs>
        <w:ind w:left="1701" w:hanging="567"/>
        <w:rPr>
          <w:lang w:val="de-DE"/>
        </w:rPr>
      </w:pPr>
      <w:r w:rsidRPr="00C47725">
        <w:rPr>
          <w:lang w:val="de-DE"/>
        </w:rPr>
        <w:t>a)</w:t>
      </w:r>
      <w:r w:rsidRPr="00C47725">
        <w:rPr>
          <w:lang w:val="de-DE"/>
        </w:rPr>
        <w:tab/>
        <w:t>Berichte von Mitgliedern und Beobachtern (von Mitgliedern und Beobachtern zu erstellende schriftliche Berichte)</w:t>
      </w:r>
    </w:p>
    <w:p w:rsidR="002D20DB" w:rsidRPr="00C47725" w:rsidRDefault="002D20DB" w:rsidP="002D20DB">
      <w:pPr>
        <w:tabs>
          <w:tab w:val="left" w:pos="1701"/>
        </w:tabs>
        <w:ind w:left="1701" w:hanging="567"/>
        <w:rPr>
          <w:lang w:val="de-DE"/>
        </w:rPr>
      </w:pPr>
      <w:r w:rsidRPr="00C47725">
        <w:rPr>
          <w:lang w:val="de-DE"/>
        </w:rPr>
        <w:lastRenderedPageBreak/>
        <w:t>b)</w:t>
      </w:r>
      <w:r w:rsidRPr="00C47725">
        <w:rPr>
          <w:lang w:val="de-DE"/>
        </w:rPr>
        <w:tab/>
        <w:t>Berichte über Entwicklungen in der UPOV (mündlicher Bericht des Verbandsbüros)</w:t>
      </w:r>
    </w:p>
    <w:p w:rsidR="002D20DB" w:rsidRPr="00C47725" w:rsidRDefault="002D20DB" w:rsidP="002D20DB">
      <w:pPr>
        <w:numPr>
          <w:ilvl w:val="0"/>
          <w:numId w:val="17"/>
        </w:numPr>
        <w:rPr>
          <w:lang w:val="de-DE"/>
        </w:rPr>
      </w:pPr>
      <w:r w:rsidRPr="00C47725">
        <w:rPr>
          <w:lang w:val="de-DE"/>
        </w:rPr>
        <w:t>Molekulare Verfahren (vom Verbandsbüro zu erstellendes Dokument)</w:t>
      </w:r>
    </w:p>
    <w:p w:rsidR="002D20DB" w:rsidRPr="00C47725" w:rsidRDefault="002D20DB" w:rsidP="002D20DB">
      <w:pPr>
        <w:numPr>
          <w:ilvl w:val="0"/>
          <w:numId w:val="16"/>
        </w:numPr>
        <w:ind w:left="1701" w:hanging="567"/>
        <w:rPr>
          <w:lang w:val="de-DE"/>
        </w:rPr>
      </w:pPr>
      <w:r w:rsidRPr="00C47725">
        <w:rPr>
          <w:lang w:val="de-DE"/>
        </w:rPr>
        <w:t>Entwicklungen in der UPOV (vom Verbandsbüro zu erstellendes Dokument)</w:t>
      </w:r>
    </w:p>
    <w:p w:rsidR="002D20DB" w:rsidRPr="00C47725" w:rsidRDefault="002D20DB" w:rsidP="002D20DB">
      <w:pPr>
        <w:numPr>
          <w:ilvl w:val="0"/>
          <w:numId w:val="16"/>
        </w:numPr>
        <w:ind w:left="1701" w:hanging="567"/>
        <w:rPr>
          <w:lang w:val="de-DE"/>
        </w:rPr>
      </w:pPr>
      <w:r w:rsidRPr="00C47725">
        <w:rPr>
          <w:lang w:val="de-DE"/>
        </w:rPr>
        <w:t>Referat über die Verwendung molekularer Verfahren bei der DUS-Prüfung (</w:t>
      </w:r>
      <w:r>
        <w:rPr>
          <w:lang w:val="de-DE"/>
        </w:rPr>
        <w:t>Verbandsmitglieder</w:t>
      </w:r>
      <w:r w:rsidRPr="00C47725">
        <w:rPr>
          <w:lang w:val="de-DE"/>
        </w:rPr>
        <w:t xml:space="preserve"> werden um Referate gebeten)</w:t>
      </w:r>
    </w:p>
    <w:p w:rsidR="002D20DB" w:rsidRPr="00C47725" w:rsidRDefault="002D20DB" w:rsidP="002D20DB">
      <w:pPr>
        <w:numPr>
          <w:ilvl w:val="0"/>
          <w:numId w:val="17"/>
        </w:numPr>
        <w:rPr>
          <w:lang w:val="de-DE"/>
        </w:rPr>
      </w:pPr>
      <w:r w:rsidRPr="00C47725">
        <w:rPr>
          <w:lang w:val="de-DE"/>
        </w:rPr>
        <w:t>TGP-Dokumente (vom Verbandsbüro zu erstellende Dokumente)</w:t>
      </w:r>
    </w:p>
    <w:p w:rsidR="002D20DB" w:rsidRPr="00C47725" w:rsidRDefault="002D20DB" w:rsidP="002D20DB">
      <w:pPr>
        <w:numPr>
          <w:ilvl w:val="0"/>
          <w:numId w:val="17"/>
        </w:numPr>
        <w:rPr>
          <w:lang w:val="de-DE"/>
        </w:rPr>
      </w:pPr>
      <w:r w:rsidRPr="00C47725">
        <w:rPr>
          <w:lang w:val="de-DE"/>
        </w:rPr>
        <w:t>Sortenbezeichnungen (vom Verbandsbüro zu erstellendes Dokument)</w:t>
      </w:r>
    </w:p>
    <w:p w:rsidR="002D20DB" w:rsidRPr="00C47725" w:rsidRDefault="002D20DB" w:rsidP="002D20DB">
      <w:pPr>
        <w:numPr>
          <w:ilvl w:val="0"/>
          <w:numId w:val="17"/>
        </w:numPr>
        <w:rPr>
          <w:lang w:val="de-DE"/>
        </w:rPr>
      </w:pPr>
      <w:r w:rsidRPr="00C47725">
        <w:rPr>
          <w:lang w:val="de-DE"/>
        </w:rPr>
        <w:t>Informationen und Datenbanken</w:t>
      </w:r>
    </w:p>
    <w:p w:rsidR="002D20DB" w:rsidRPr="00C47725" w:rsidRDefault="002D20DB" w:rsidP="002D20DB">
      <w:pPr>
        <w:ind w:left="1701" w:hanging="567"/>
        <w:rPr>
          <w:lang w:val="de-DE"/>
        </w:rPr>
      </w:pPr>
      <w:r w:rsidRPr="00C47725">
        <w:rPr>
          <w:lang w:val="de-DE"/>
        </w:rPr>
        <w:t>a)</w:t>
      </w:r>
      <w:r w:rsidRPr="00C47725">
        <w:rPr>
          <w:lang w:val="de-DE"/>
        </w:rPr>
        <w:tab/>
        <w:t>UPOV-Informationsdatenbanken (vom Verbandsbüro zu erstellende Dokumente)</w:t>
      </w:r>
    </w:p>
    <w:p w:rsidR="002D20DB" w:rsidRPr="00C47725" w:rsidRDefault="002D20DB" w:rsidP="002D20DB">
      <w:pPr>
        <w:ind w:left="1701" w:hanging="567"/>
        <w:rPr>
          <w:lang w:val="de-DE"/>
        </w:rPr>
      </w:pPr>
      <w:r w:rsidRPr="00C47725">
        <w:rPr>
          <w:lang w:val="de-DE"/>
        </w:rPr>
        <w:t>b)</w:t>
      </w:r>
      <w:r w:rsidRPr="00C47725">
        <w:rPr>
          <w:lang w:val="de-DE"/>
        </w:rPr>
        <w:tab/>
        <w:t xml:space="preserve">Datenbanken für Sortenbeschreibungen (vom Verbandsbüro zu erstellende Dokumente) </w:t>
      </w:r>
    </w:p>
    <w:p w:rsidR="002D20DB" w:rsidRPr="00C47725" w:rsidRDefault="002D20DB" w:rsidP="002D20DB">
      <w:pPr>
        <w:ind w:left="1701" w:hanging="567"/>
        <w:rPr>
          <w:lang w:val="de-DE"/>
        </w:rPr>
      </w:pPr>
      <w:r w:rsidRPr="00C47725">
        <w:rPr>
          <w:lang w:val="de-DE"/>
        </w:rPr>
        <w:t>c)</w:t>
      </w:r>
      <w:r w:rsidRPr="00C47725">
        <w:rPr>
          <w:lang w:val="de-DE"/>
        </w:rPr>
        <w:tab/>
        <w:t>Austausch und Verwendung von Software und Ausrüstung (vom Verbandsbüro zu erstellendes Dokument)</w:t>
      </w:r>
    </w:p>
    <w:p w:rsidR="002D20DB" w:rsidRPr="00C47725" w:rsidRDefault="002D20DB" w:rsidP="002D20DB">
      <w:pPr>
        <w:ind w:left="1701" w:hanging="567"/>
        <w:rPr>
          <w:lang w:val="de-DE"/>
        </w:rPr>
      </w:pPr>
      <w:r w:rsidRPr="00C47725">
        <w:rPr>
          <w:lang w:val="de-DE"/>
        </w:rPr>
        <w:t>d)</w:t>
      </w:r>
      <w:r w:rsidRPr="00C47725">
        <w:rPr>
          <w:lang w:val="de-DE"/>
        </w:rPr>
        <w:tab/>
        <w:t>UPOV PRISMA (vom Verbandsbüro zu erstellendes Dokument)</w:t>
      </w:r>
    </w:p>
    <w:p w:rsidR="002D20DB" w:rsidRPr="00C47725" w:rsidRDefault="002D20DB" w:rsidP="002D20DB">
      <w:pPr>
        <w:numPr>
          <w:ilvl w:val="0"/>
          <w:numId w:val="17"/>
        </w:numPr>
        <w:rPr>
          <w:lang w:val="de-DE"/>
        </w:rPr>
      </w:pPr>
      <w:r w:rsidRPr="00C47725">
        <w:rPr>
          <w:lang w:val="de-DE"/>
        </w:rPr>
        <w:t>Erfahrungen mit neuen Typ</w:t>
      </w:r>
      <w:r>
        <w:rPr>
          <w:lang w:val="de-DE"/>
        </w:rPr>
        <w:t>e</w:t>
      </w:r>
      <w:r w:rsidRPr="00C47725">
        <w:rPr>
          <w:lang w:val="de-DE"/>
        </w:rPr>
        <w:t>n und Arten (mündliche Berichte erbeten)</w:t>
      </w:r>
    </w:p>
    <w:p w:rsidR="002D20DB" w:rsidRPr="00C47725" w:rsidRDefault="002D20DB" w:rsidP="002D20DB">
      <w:pPr>
        <w:numPr>
          <w:ilvl w:val="0"/>
          <w:numId w:val="17"/>
        </w:numPr>
        <w:rPr>
          <w:lang w:val="de-DE"/>
        </w:rPr>
      </w:pPr>
      <w:r w:rsidRPr="00C47725">
        <w:rPr>
          <w:lang w:val="de-DE"/>
        </w:rPr>
        <w:t>Zugang zu Pflanzenmaterial zum Zwecke der Verwaltung von Sortensammlungen und DUS-Prüfung (Italien erstellt ein Dokument)</w:t>
      </w:r>
    </w:p>
    <w:p w:rsidR="002D20DB" w:rsidRPr="00C47725" w:rsidRDefault="002D20DB" w:rsidP="002D20DB">
      <w:pPr>
        <w:numPr>
          <w:ilvl w:val="0"/>
          <w:numId w:val="17"/>
        </w:numPr>
        <w:rPr>
          <w:lang w:val="de-DE"/>
        </w:rPr>
      </w:pPr>
      <w:r w:rsidRPr="00C47725">
        <w:rPr>
          <w:lang w:val="de-DE"/>
        </w:rPr>
        <w:t>DUS-Prüfung von Mutantensorten bei Apfel (von der Europäischen Union zu erstellendes Dokument)</w:t>
      </w:r>
    </w:p>
    <w:p w:rsidR="002D20DB" w:rsidRPr="00C47725" w:rsidRDefault="002D20DB" w:rsidP="002D20DB">
      <w:pPr>
        <w:numPr>
          <w:ilvl w:val="0"/>
          <w:numId w:val="17"/>
        </w:numPr>
        <w:rPr>
          <w:lang w:val="de-DE"/>
        </w:rPr>
      </w:pPr>
      <w:r w:rsidRPr="00C47725">
        <w:rPr>
          <w:lang w:val="de-DE"/>
        </w:rPr>
        <w:t>Fragen, die bei der DUS-Prüfung für den Obstsektor relevant sind (Referate</w:t>
      </w:r>
      <w:r>
        <w:rPr>
          <w:lang w:val="de-DE"/>
        </w:rPr>
        <w:t xml:space="preserve"> </w:t>
      </w:r>
      <w:r w:rsidRPr="00C47725">
        <w:rPr>
          <w:lang w:val="de-DE"/>
        </w:rPr>
        <w:t>von Mitgliedern und Beobachtern erbeten)</w:t>
      </w:r>
    </w:p>
    <w:p w:rsidR="002D20DB" w:rsidRPr="00C47725" w:rsidRDefault="002D20DB" w:rsidP="002D20DB">
      <w:pPr>
        <w:numPr>
          <w:ilvl w:val="0"/>
          <w:numId w:val="17"/>
        </w:numPr>
        <w:rPr>
          <w:lang w:val="de-DE"/>
        </w:rPr>
      </w:pPr>
      <w:r w:rsidRPr="00C47725">
        <w:rPr>
          <w:lang w:val="de-DE"/>
        </w:rPr>
        <w:t>Anleitung für Verfasser von Prüfungsrichtlinien</w:t>
      </w:r>
    </w:p>
    <w:p w:rsidR="002D20DB" w:rsidRPr="00C47725" w:rsidRDefault="002D20DB" w:rsidP="002D20DB">
      <w:pPr>
        <w:numPr>
          <w:ilvl w:val="0"/>
          <w:numId w:val="17"/>
        </w:numPr>
        <w:rPr>
          <w:lang w:val="de-DE"/>
        </w:rPr>
      </w:pPr>
      <w:r w:rsidRPr="00C47725">
        <w:rPr>
          <w:lang w:val="de-DE"/>
        </w:rPr>
        <w:t xml:space="preserve">Zu </w:t>
      </w:r>
      <w:r>
        <w:rPr>
          <w:lang w:val="de-DE"/>
        </w:rPr>
        <w:t>bereinigende</w:t>
      </w:r>
      <w:r w:rsidRPr="00C47725">
        <w:rPr>
          <w:lang w:val="de-DE"/>
        </w:rPr>
        <w:t xml:space="preserve"> Angelegenheiten betreffend Prüfungsrichtlinien, die dem Technischen Ausschuss zur Annahme vorgelegt werden (wenn zweckmäßig)</w:t>
      </w:r>
    </w:p>
    <w:p w:rsidR="002D20DB" w:rsidRPr="00C47725" w:rsidRDefault="002D20DB" w:rsidP="002D20DB">
      <w:pPr>
        <w:numPr>
          <w:ilvl w:val="0"/>
          <w:numId w:val="17"/>
        </w:numPr>
        <w:rPr>
          <w:lang w:val="de-DE"/>
        </w:rPr>
      </w:pPr>
      <w:r w:rsidRPr="00C47725">
        <w:rPr>
          <w:lang w:val="de-DE"/>
        </w:rPr>
        <w:t xml:space="preserve">Erörterungen von </w:t>
      </w:r>
      <w:r>
        <w:rPr>
          <w:lang w:val="de-DE"/>
        </w:rPr>
        <w:t>Entwürfen von Prüfungsrichtlinien</w:t>
      </w:r>
      <w:r w:rsidRPr="00C47725">
        <w:rPr>
          <w:lang w:val="de-DE"/>
        </w:rPr>
        <w:t xml:space="preserve"> (Untergruppen)</w:t>
      </w:r>
    </w:p>
    <w:p w:rsidR="002D20DB" w:rsidRPr="00C47725" w:rsidRDefault="002D20DB" w:rsidP="002D20DB">
      <w:pPr>
        <w:numPr>
          <w:ilvl w:val="0"/>
          <w:numId w:val="17"/>
        </w:numPr>
        <w:rPr>
          <w:lang w:val="de-DE"/>
        </w:rPr>
      </w:pPr>
      <w:r w:rsidRPr="00C47725">
        <w:rPr>
          <w:lang w:val="de-DE"/>
        </w:rPr>
        <w:t xml:space="preserve">Empfehlungen zu </w:t>
      </w:r>
      <w:r>
        <w:rPr>
          <w:lang w:val="de-DE"/>
        </w:rPr>
        <w:t>Entwürfen von Prüfungsrichtlinien</w:t>
      </w:r>
    </w:p>
    <w:p w:rsidR="002D20DB" w:rsidRPr="00C47725" w:rsidRDefault="002D20DB" w:rsidP="002D20DB">
      <w:pPr>
        <w:numPr>
          <w:ilvl w:val="0"/>
          <w:numId w:val="17"/>
        </w:numPr>
        <w:rPr>
          <w:lang w:val="de-DE"/>
        </w:rPr>
      </w:pPr>
      <w:r w:rsidRPr="00C47725">
        <w:rPr>
          <w:lang w:val="de-DE"/>
        </w:rPr>
        <w:t>Ort und Datum der nächsten Tagung</w:t>
      </w:r>
    </w:p>
    <w:p w:rsidR="002D20DB" w:rsidRPr="00C47725" w:rsidRDefault="002D20DB" w:rsidP="002D20DB">
      <w:pPr>
        <w:numPr>
          <w:ilvl w:val="0"/>
          <w:numId w:val="17"/>
        </w:numPr>
        <w:rPr>
          <w:lang w:val="de-DE"/>
        </w:rPr>
      </w:pPr>
      <w:r w:rsidRPr="00C47725">
        <w:rPr>
          <w:lang w:val="de-DE"/>
        </w:rPr>
        <w:t>Künftiges Programm</w:t>
      </w:r>
    </w:p>
    <w:p w:rsidR="002D20DB" w:rsidRPr="00C47725" w:rsidRDefault="002D20DB" w:rsidP="002D20DB">
      <w:pPr>
        <w:numPr>
          <w:ilvl w:val="0"/>
          <w:numId w:val="17"/>
        </w:numPr>
        <w:rPr>
          <w:lang w:val="de-DE"/>
        </w:rPr>
      </w:pPr>
      <w:r w:rsidRPr="00C47725">
        <w:rPr>
          <w:lang w:val="de-DE"/>
        </w:rPr>
        <w:t>Annahme des Berichts über die Tagung (wenn zeitlich möglich)</w:t>
      </w:r>
    </w:p>
    <w:p w:rsidR="002D20DB" w:rsidRPr="00C47725" w:rsidRDefault="002D20DB" w:rsidP="002D20DB">
      <w:pPr>
        <w:numPr>
          <w:ilvl w:val="0"/>
          <w:numId w:val="17"/>
        </w:numPr>
        <w:rPr>
          <w:lang w:val="de-DE"/>
        </w:rPr>
      </w:pPr>
      <w:r w:rsidRPr="00C47725">
        <w:rPr>
          <w:lang w:val="de-DE"/>
        </w:rPr>
        <w:t>Schließung der Tagung</w:t>
      </w:r>
    </w:p>
    <w:p w:rsidR="002D20DB" w:rsidRPr="00C47725" w:rsidRDefault="002D20DB" w:rsidP="002D20DB">
      <w:pPr>
        <w:rPr>
          <w:bCs/>
          <w:lang w:val="de-DE"/>
        </w:rPr>
      </w:pPr>
    </w:p>
    <w:p w:rsidR="002D20DB" w:rsidRPr="00C47725" w:rsidRDefault="002D20DB" w:rsidP="002D20DB">
      <w:pPr>
        <w:rPr>
          <w:lang w:val="de-DE"/>
        </w:rPr>
      </w:pPr>
      <w:r w:rsidRPr="00D46210">
        <w:rPr>
          <w:bCs/>
          <w:lang w:val="de-DE"/>
        </w:rPr>
        <w:fldChar w:fldCharType="begin"/>
      </w:r>
      <w:r w:rsidRPr="00D46210">
        <w:rPr>
          <w:bCs/>
          <w:lang w:val="de-DE"/>
        </w:rPr>
        <w:instrText xml:space="preserve"> AUTONUM  </w:instrText>
      </w:r>
      <w:r w:rsidRPr="00D46210">
        <w:rPr>
          <w:bCs/>
          <w:lang w:val="de-DE"/>
        </w:rPr>
        <w:fldChar w:fldCharType="end"/>
      </w:r>
      <w:r w:rsidRPr="00C47725">
        <w:rPr>
          <w:bCs/>
          <w:lang w:val="de-DE"/>
        </w:rPr>
        <w:tab/>
      </w:r>
      <w:r>
        <w:rPr>
          <w:bCs/>
          <w:lang w:val="de-DE"/>
        </w:rPr>
        <w:t>Die TWF</w:t>
      </w:r>
      <w:r w:rsidRPr="00C47725">
        <w:rPr>
          <w:bCs/>
          <w:lang w:val="de-DE"/>
        </w:rPr>
        <w:t xml:space="preserve"> besuchte die NÉBIH-Prüfstelle in Pölöske i</w:t>
      </w:r>
      <w:r>
        <w:rPr>
          <w:bCs/>
          <w:lang w:val="de-DE"/>
        </w:rPr>
        <w:t>n der</w:t>
      </w:r>
      <w:r w:rsidRPr="00C47725">
        <w:rPr>
          <w:bCs/>
          <w:lang w:val="de-DE"/>
        </w:rPr>
        <w:t xml:space="preserve"> westtransdanubischen </w:t>
      </w:r>
      <w:r>
        <w:rPr>
          <w:bCs/>
          <w:lang w:val="de-DE"/>
        </w:rPr>
        <w:t>Region</w:t>
      </w:r>
      <w:r w:rsidRPr="00C47725">
        <w:rPr>
          <w:bCs/>
          <w:lang w:val="de-DE"/>
        </w:rPr>
        <w:t xml:space="preserve"> und das Forschungsinstitut für Weinbau und Önologie in Badacsony, eines der 16 Institute des </w:t>
      </w:r>
      <w:r w:rsidRPr="00D46210">
        <w:rPr>
          <w:bCs/>
          <w:lang w:val="de-DE"/>
        </w:rPr>
        <w:t>Nationale</w:t>
      </w:r>
      <w:r>
        <w:rPr>
          <w:bCs/>
          <w:lang w:val="de-DE"/>
        </w:rPr>
        <w:t>n</w:t>
      </w:r>
      <w:r w:rsidRPr="00D46210">
        <w:rPr>
          <w:bCs/>
          <w:lang w:val="de-DE"/>
        </w:rPr>
        <w:t xml:space="preserve"> Zentrum</w:t>
      </w:r>
      <w:r>
        <w:rPr>
          <w:bCs/>
          <w:lang w:val="de-DE"/>
        </w:rPr>
        <w:t>s</w:t>
      </w:r>
      <w:r w:rsidRPr="00D46210">
        <w:rPr>
          <w:bCs/>
          <w:lang w:val="de-DE"/>
        </w:rPr>
        <w:t xml:space="preserve"> für landwirtschaftliche Forschung und Innovation</w:t>
      </w:r>
      <w:r w:rsidRPr="00C47725">
        <w:rPr>
          <w:bCs/>
          <w:lang w:val="de-DE"/>
        </w:rPr>
        <w:t xml:space="preserve"> (NARIC)</w:t>
      </w:r>
      <w:r w:rsidRPr="00C47725">
        <w:rPr>
          <w:lang w:val="de-DE"/>
        </w:rPr>
        <w:t>.</w:t>
      </w:r>
    </w:p>
    <w:p w:rsidR="002D20DB" w:rsidRPr="00C47725" w:rsidRDefault="002D20DB" w:rsidP="002D20DB">
      <w:pPr>
        <w:rPr>
          <w:lang w:val="de-DE"/>
        </w:rPr>
      </w:pPr>
    </w:p>
    <w:p w:rsidR="002D20DB" w:rsidRPr="00C47725" w:rsidRDefault="002D20DB" w:rsidP="002D20DB">
      <w:pPr>
        <w:rPr>
          <w:lang w:val="de-DE"/>
        </w:rPr>
      </w:pPr>
      <w:r w:rsidRPr="00D46210">
        <w:rPr>
          <w:lang w:val="de-DE"/>
        </w:rPr>
        <w:fldChar w:fldCharType="begin"/>
      </w:r>
      <w:r w:rsidRPr="00D46210">
        <w:rPr>
          <w:lang w:val="de-DE"/>
        </w:rPr>
        <w:instrText xml:space="preserve"> AUTONUM  </w:instrText>
      </w:r>
      <w:r w:rsidRPr="00D46210">
        <w:rPr>
          <w:lang w:val="de-DE"/>
        </w:rPr>
        <w:fldChar w:fldCharType="end"/>
      </w:r>
      <w:r w:rsidRPr="00C47725">
        <w:rPr>
          <w:lang w:val="de-DE"/>
        </w:rPr>
        <w:tab/>
      </w:r>
      <w:r w:rsidRPr="00C47725">
        <w:rPr>
          <w:rFonts w:cs="Arial"/>
          <w:lang w:val="de-DE"/>
        </w:rPr>
        <w:t xml:space="preserve">Die TWF vereinbarte, </w:t>
      </w:r>
      <w:r>
        <w:rPr>
          <w:rFonts w:cs="Arial"/>
          <w:lang w:val="de-DE"/>
        </w:rPr>
        <w:t>dem TC vorzuschlagen, dem Rat zu empfehlen</w:t>
      </w:r>
      <w:r w:rsidRPr="00C47725">
        <w:rPr>
          <w:rFonts w:cs="Arial"/>
          <w:lang w:val="de-DE"/>
        </w:rPr>
        <w:t>, Herrn Christopher Barnaby aus Neuseeland zum nächsten Vorsitzenden der TWF zu wählen.</w:t>
      </w:r>
    </w:p>
    <w:p w:rsidR="002D20DB" w:rsidRPr="00C47725" w:rsidRDefault="002D20DB" w:rsidP="002D20DB">
      <w:pPr>
        <w:rPr>
          <w:lang w:val="de-DE"/>
        </w:rPr>
      </w:pPr>
    </w:p>
    <w:p w:rsidR="002D20DB" w:rsidRPr="00C47725" w:rsidRDefault="002D20DB" w:rsidP="002D20DB">
      <w:pPr>
        <w:pStyle w:val="Heading3"/>
      </w:pPr>
      <w:r w:rsidRPr="00C47725">
        <w:t>Technische Arbeitsgruppe für Zierpflanzen und forstliche Baumarten (TWO)</w:t>
      </w:r>
    </w:p>
    <w:p w:rsidR="002D20DB" w:rsidRPr="00C47725" w:rsidRDefault="002D20DB" w:rsidP="002D20DB">
      <w:pPr>
        <w:keepNext/>
        <w:contextualSpacing/>
        <w:rPr>
          <w:rFonts w:cs="Arial"/>
          <w:lang w:val="de-DE"/>
        </w:rPr>
      </w:pPr>
    </w:p>
    <w:p w:rsidR="002D20DB" w:rsidRPr="00C47725" w:rsidRDefault="002D20DB" w:rsidP="002D20DB">
      <w:pPr>
        <w:keepNext/>
        <w:contextualSpacing/>
        <w:rPr>
          <w:rFonts w:cs="Arial"/>
          <w:lang w:val="de-DE"/>
        </w:rPr>
      </w:pPr>
      <w:r w:rsidRPr="00C47725">
        <w:rPr>
          <w:rFonts w:cs="Arial"/>
          <w:lang w:val="de-DE"/>
        </w:rPr>
        <w:t xml:space="preserve">Bericht von Herrn Nik Hulse (Australien), in Abwesenheit von Herrn Henk de Greef (Niederlande), Vorsitzender der TWO </w:t>
      </w:r>
    </w:p>
    <w:p w:rsidR="002D20DB" w:rsidRPr="00C47725" w:rsidRDefault="002D20DB" w:rsidP="002D20DB">
      <w:pPr>
        <w:keepNext/>
        <w:contextualSpacing/>
        <w:rPr>
          <w:rFonts w:cs="Arial"/>
          <w:lang w:val="de-DE"/>
        </w:rPr>
      </w:pPr>
    </w:p>
    <w:p w:rsidR="002D20DB" w:rsidRPr="00C47725" w:rsidRDefault="002D20DB" w:rsidP="002D20DB">
      <w:pPr>
        <w:pStyle w:val="Heading4"/>
        <w:rPr>
          <w:lang w:val="de-DE"/>
        </w:rPr>
      </w:pPr>
      <w:r w:rsidRPr="00C47725">
        <w:rPr>
          <w:lang w:val="de-DE"/>
        </w:rPr>
        <w:t>Einundfünfzigste Tagung der TWO</w:t>
      </w:r>
    </w:p>
    <w:p w:rsidR="002D20DB" w:rsidRPr="00C47725" w:rsidRDefault="002D20DB" w:rsidP="002D20DB">
      <w:pPr>
        <w:keepNext/>
        <w:contextualSpacing/>
        <w:rPr>
          <w:rFonts w:cs="Arial"/>
          <w:lang w:val="de-DE"/>
        </w:rPr>
      </w:pPr>
    </w:p>
    <w:p w:rsidR="002D20DB" w:rsidRPr="00C47725" w:rsidRDefault="002D20DB" w:rsidP="002D20DB">
      <w:pPr>
        <w:rPr>
          <w:rFonts w:cs="Arial"/>
          <w:color w:val="000000" w:themeColor="text1"/>
          <w:lang w:val="de-DE"/>
        </w:rPr>
      </w:pPr>
      <w:r w:rsidRPr="00D46210">
        <w:rPr>
          <w:rFonts w:cs="Arial"/>
          <w:color w:val="000000" w:themeColor="text1"/>
          <w:lang w:val="de-DE"/>
        </w:rPr>
        <w:fldChar w:fldCharType="begin"/>
      </w:r>
      <w:r w:rsidRPr="00D46210">
        <w:rPr>
          <w:rFonts w:cs="Arial"/>
          <w:color w:val="000000" w:themeColor="text1"/>
          <w:lang w:val="de-DE"/>
        </w:rPr>
        <w:instrText xml:space="preserve"> AUTONUM  </w:instrText>
      </w:r>
      <w:r w:rsidRPr="00D46210">
        <w:rPr>
          <w:rFonts w:cs="Arial"/>
          <w:color w:val="000000" w:themeColor="text1"/>
          <w:lang w:val="de-DE"/>
        </w:rPr>
        <w:fldChar w:fldCharType="end"/>
      </w:r>
      <w:r w:rsidRPr="00C47725">
        <w:rPr>
          <w:rFonts w:cs="Arial"/>
          <w:color w:val="000000" w:themeColor="text1"/>
          <w:lang w:val="de-DE"/>
        </w:rPr>
        <w:tab/>
        <w:t>Die TWO hielt ihre einundfünfzigste Tagung vom 18. bis 22. Februar 2019 in Christchurch, Neuseeland, ab. In Abwesenheit von Herrn Henk the Greef (Niederlande), Vo</w:t>
      </w:r>
      <w:r w:rsidR="00A3168F">
        <w:rPr>
          <w:rFonts w:cs="Arial"/>
          <w:color w:val="000000" w:themeColor="text1"/>
          <w:lang w:val="de-DE"/>
        </w:rPr>
        <w:t>rsitzender der TWO, führte Herr </w:t>
      </w:r>
      <w:r w:rsidRPr="00C47725">
        <w:rPr>
          <w:rFonts w:cs="Arial"/>
          <w:color w:val="000000" w:themeColor="text1"/>
          <w:lang w:val="de-DE"/>
        </w:rPr>
        <w:t xml:space="preserve">Nik Hulse (Australien) den </w:t>
      </w:r>
      <w:r>
        <w:rPr>
          <w:rFonts w:cs="Arial"/>
          <w:color w:val="000000" w:themeColor="text1"/>
          <w:lang w:val="de-DE"/>
        </w:rPr>
        <w:t>Vorsitz der Tagung</w:t>
      </w:r>
      <w:r w:rsidRPr="00C47725">
        <w:rPr>
          <w:rFonts w:cs="Arial"/>
          <w:color w:val="000000" w:themeColor="text1"/>
          <w:lang w:val="de-DE"/>
        </w:rPr>
        <w:t>. Der Bericht über die Tagung ist in Dokument TWO/51/12</w:t>
      </w:r>
      <w:r>
        <w:rPr>
          <w:rFonts w:cs="Arial"/>
          <w:color w:val="000000" w:themeColor="text1"/>
          <w:lang w:val="de-DE"/>
        </w:rPr>
        <w:t xml:space="preserve"> „Report“</w:t>
      </w:r>
      <w:r w:rsidRPr="00C47725">
        <w:rPr>
          <w:rFonts w:cs="Arial"/>
          <w:color w:val="000000" w:themeColor="text1"/>
          <w:lang w:val="de-DE"/>
        </w:rPr>
        <w:t xml:space="preserve"> dargelegt. </w:t>
      </w:r>
    </w:p>
    <w:p w:rsidR="002D20DB" w:rsidRPr="00C47725" w:rsidRDefault="002D20DB" w:rsidP="002D20DB">
      <w:pPr>
        <w:rPr>
          <w:rFonts w:cs="Arial"/>
          <w:color w:val="000000" w:themeColor="text1"/>
          <w:lang w:val="de-DE"/>
        </w:rPr>
      </w:pPr>
    </w:p>
    <w:p w:rsidR="002D20DB" w:rsidRPr="00C47725" w:rsidRDefault="002D20DB" w:rsidP="002D20DB">
      <w:pPr>
        <w:rPr>
          <w:rFonts w:cs="Arial"/>
          <w:color w:val="000000" w:themeColor="text1"/>
          <w:lang w:val="de-DE"/>
        </w:rPr>
      </w:pPr>
      <w:r w:rsidRPr="00D46210">
        <w:rPr>
          <w:rFonts w:cs="Arial"/>
          <w:color w:val="000000" w:themeColor="text1"/>
          <w:lang w:val="de-DE"/>
        </w:rPr>
        <w:fldChar w:fldCharType="begin"/>
      </w:r>
      <w:r w:rsidRPr="00D46210">
        <w:rPr>
          <w:rFonts w:cs="Arial"/>
          <w:color w:val="000000" w:themeColor="text1"/>
          <w:lang w:val="de-DE"/>
        </w:rPr>
        <w:instrText xml:space="preserve"> AUTONUM  </w:instrText>
      </w:r>
      <w:r w:rsidRPr="00D46210">
        <w:rPr>
          <w:rFonts w:cs="Arial"/>
          <w:color w:val="000000" w:themeColor="text1"/>
          <w:lang w:val="de-DE"/>
        </w:rPr>
        <w:fldChar w:fldCharType="end"/>
      </w:r>
      <w:r w:rsidRPr="00C47725">
        <w:rPr>
          <w:rFonts w:cs="Arial"/>
          <w:color w:val="000000" w:themeColor="text1"/>
          <w:lang w:val="de-DE"/>
        </w:rPr>
        <w:tab/>
        <w:t xml:space="preserve">An der Tagung nahmen 28 Teilnehmer aus 12 Verbandsmitgliedern, 1 Beobachterstaat und 1 Beobachterorganisation teil. Eine vorbereitende Arbeitstagung wurde am Nachmittag des 17. Februar 2019 abgehalten, an der 18 Teilnehmer aus 10 Verbandsmitgliedern und 1 Beobachterorganisation teilnahmen. </w:t>
      </w:r>
    </w:p>
    <w:p w:rsidR="002D20DB" w:rsidRPr="00C47725" w:rsidRDefault="002D20DB" w:rsidP="002D20DB">
      <w:pPr>
        <w:rPr>
          <w:rFonts w:cs="Arial"/>
          <w:color w:val="000000" w:themeColor="text1"/>
          <w:lang w:val="de-DE"/>
        </w:rPr>
      </w:pPr>
    </w:p>
    <w:p w:rsidR="002D20DB" w:rsidRPr="00C47725" w:rsidRDefault="002D20DB" w:rsidP="002D20DB">
      <w:pPr>
        <w:tabs>
          <w:tab w:val="left" w:pos="630"/>
        </w:tabs>
        <w:rPr>
          <w:rFonts w:cs="Arial"/>
          <w:color w:val="000000" w:themeColor="text1"/>
          <w:lang w:val="de-DE"/>
        </w:rPr>
      </w:pPr>
      <w:r w:rsidRPr="00D46210">
        <w:rPr>
          <w:rFonts w:cs="Arial"/>
          <w:color w:val="000000" w:themeColor="text1"/>
          <w:lang w:val="de-DE"/>
        </w:rPr>
        <w:fldChar w:fldCharType="begin"/>
      </w:r>
      <w:r w:rsidRPr="00D46210">
        <w:rPr>
          <w:rFonts w:cs="Arial"/>
          <w:color w:val="000000" w:themeColor="text1"/>
          <w:lang w:val="de-DE"/>
        </w:rPr>
        <w:instrText xml:space="preserve"> AUTONUM  </w:instrText>
      </w:r>
      <w:r w:rsidRPr="00D46210">
        <w:rPr>
          <w:rFonts w:cs="Arial"/>
          <w:color w:val="000000" w:themeColor="text1"/>
          <w:lang w:val="de-DE"/>
        </w:rPr>
        <w:fldChar w:fldCharType="end"/>
      </w:r>
      <w:r w:rsidRPr="00C47725">
        <w:rPr>
          <w:rFonts w:cs="Arial"/>
          <w:color w:val="000000" w:themeColor="text1"/>
          <w:lang w:val="de-DE"/>
        </w:rPr>
        <w:tab/>
        <w:t xml:space="preserve">Die TWO wurde von </w:t>
      </w:r>
      <w:r>
        <w:rPr>
          <w:rFonts w:cs="Arial"/>
          <w:color w:val="000000" w:themeColor="text1"/>
          <w:lang w:val="de-DE"/>
        </w:rPr>
        <w:t xml:space="preserve">Herrn </w:t>
      </w:r>
      <w:r w:rsidRPr="00C47725">
        <w:rPr>
          <w:rFonts w:cs="Arial"/>
          <w:color w:val="000000" w:themeColor="text1"/>
          <w:lang w:val="de-DE"/>
        </w:rPr>
        <w:t xml:space="preserve">Simon Gallagher, National Manager, Amt für geistiges Eigentum Neuseelands (IPONZ), begrüßt. Die TWO hörte ein Referat von Herrn Chris Barnaby, </w:t>
      </w:r>
      <w:r>
        <w:rPr>
          <w:rFonts w:cs="Arial"/>
          <w:color w:val="000000" w:themeColor="text1"/>
          <w:lang w:val="de-DE"/>
        </w:rPr>
        <w:t>Stellvertretender Beauftragter</w:t>
      </w:r>
      <w:r w:rsidRPr="00C47725">
        <w:rPr>
          <w:rFonts w:cs="Arial"/>
          <w:color w:val="000000" w:themeColor="text1"/>
          <w:lang w:val="de-DE"/>
        </w:rPr>
        <w:t xml:space="preserve"> / </w:t>
      </w:r>
      <w:r>
        <w:rPr>
          <w:rFonts w:cs="Arial"/>
          <w:color w:val="000000" w:themeColor="text1"/>
          <w:lang w:val="de-DE"/>
        </w:rPr>
        <w:t>Hauptprüfer für Sortenrechte</w:t>
      </w:r>
      <w:r w:rsidRPr="00C47725">
        <w:rPr>
          <w:rFonts w:cs="Arial"/>
          <w:color w:val="000000" w:themeColor="text1"/>
          <w:lang w:val="de-DE"/>
        </w:rPr>
        <w:t xml:space="preserve">, </w:t>
      </w:r>
      <w:r>
        <w:rPr>
          <w:rFonts w:cs="Arial"/>
          <w:color w:val="000000" w:themeColor="text1"/>
          <w:lang w:val="de-DE"/>
        </w:rPr>
        <w:t>Amt für Sortenrechte</w:t>
      </w:r>
      <w:r w:rsidRPr="00C47725">
        <w:rPr>
          <w:rFonts w:cs="Arial"/>
          <w:color w:val="000000" w:themeColor="text1"/>
          <w:lang w:val="de-DE"/>
        </w:rPr>
        <w:t xml:space="preserve">, IPONZ, über den Sortenschutz in Neuseeland. </w:t>
      </w:r>
    </w:p>
    <w:p w:rsidR="002D20DB" w:rsidRPr="00C47725" w:rsidRDefault="002D20DB" w:rsidP="002D20DB">
      <w:pPr>
        <w:rPr>
          <w:lang w:val="de-DE"/>
        </w:rPr>
      </w:pPr>
    </w:p>
    <w:p w:rsidR="002D20DB" w:rsidRPr="00C47725" w:rsidRDefault="002D20DB" w:rsidP="002D20DB">
      <w:pPr>
        <w:rPr>
          <w:snapToGrid w:val="0"/>
          <w:lang w:val="de-DE"/>
        </w:rPr>
      </w:pPr>
      <w:r w:rsidRPr="00D46210">
        <w:rPr>
          <w:rFonts w:cs="Arial"/>
          <w:snapToGrid w:val="0"/>
          <w:lang w:val="de-DE"/>
        </w:rPr>
        <w:fldChar w:fldCharType="begin"/>
      </w:r>
      <w:r w:rsidRPr="00D46210">
        <w:rPr>
          <w:rFonts w:cs="Arial"/>
          <w:snapToGrid w:val="0"/>
          <w:lang w:val="de-DE"/>
        </w:rPr>
        <w:instrText xml:space="preserve"> AUTONUM  </w:instrText>
      </w:r>
      <w:r w:rsidRPr="00D46210">
        <w:rPr>
          <w:rFonts w:cs="Arial"/>
          <w:snapToGrid w:val="0"/>
          <w:lang w:val="de-DE"/>
        </w:rPr>
        <w:fldChar w:fldCharType="end"/>
      </w:r>
      <w:r w:rsidRPr="00C47725">
        <w:rPr>
          <w:rFonts w:cs="Arial"/>
          <w:snapToGrid w:val="0"/>
          <w:lang w:val="de-DE"/>
        </w:rPr>
        <w:tab/>
      </w:r>
      <w:r w:rsidRPr="00C47725">
        <w:rPr>
          <w:snapToGrid w:val="0"/>
          <w:lang w:val="de-DE"/>
        </w:rPr>
        <w:t xml:space="preserve">Die TWO prüfte den Vorschlag für eine Überarbeitung von Dokument TGP/7 und vereinbarte, dass alle Ausprägungsstufen für </w:t>
      </w:r>
      <w:r>
        <w:rPr>
          <w:snapToGrid w:val="0"/>
          <w:lang w:val="de-DE"/>
        </w:rPr>
        <w:t>quantitative Merkmale in den Prüfungsrichtlinien dargestellt</w:t>
      </w:r>
      <w:r w:rsidRPr="00C47725">
        <w:rPr>
          <w:snapToGrid w:val="0"/>
          <w:lang w:val="de-DE"/>
        </w:rPr>
        <w:t xml:space="preserve"> sein sollten.</w:t>
      </w:r>
    </w:p>
    <w:p w:rsidR="002D20DB" w:rsidRPr="00C47725" w:rsidRDefault="002D20DB" w:rsidP="002D20DB">
      <w:pPr>
        <w:rPr>
          <w:lang w:val="de-DE"/>
        </w:rPr>
      </w:pPr>
    </w:p>
    <w:p w:rsidR="002D20DB" w:rsidRPr="00C47725" w:rsidRDefault="002D20DB" w:rsidP="002D20DB">
      <w:pPr>
        <w:keepLines/>
        <w:rPr>
          <w:rFonts w:cs="Arial"/>
          <w:snapToGrid w:val="0"/>
          <w:lang w:val="de-DE"/>
        </w:rPr>
      </w:pPr>
      <w:r w:rsidRPr="00E32552">
        <w:rPr>
          <w:rFonts w:cs="Arial"/>
          <w:snapToGrid w:val="0"/>
          <w:lang w:val="de-DE"/>
        </w:rPr>
        <w:lastRenderedPageBreak/>
        <w:fldChar w:fldCharType="begin"/>
      </w:r>
      <w:r w:rsidRPr="00E32552">
        <w:rPr>
          <w:rFonts w:cs="Arial"/>
          <w:snapToGrid w:val="0"/>
          <w:lang w:val="de-DE"/>
        </w:rPr>
        <w:instrText xml:space="preserve"> AUTONUM  </w:instrText>
      </w:r>
      <w:r w:rsidRPr="00E32552">
        <w:rPr>
          <w:rFonts w:cs="Arial"/>
          <w:snapToGrid w:val="0"/>
          <w:lang w:val="de-DE"/>
        </w:rPr>
        <w:fldChar w:fldCharType="end"/>
      </w:r>
      <w:r w:rsidRPr="00E32552">
        <w:rPr>
          <w:rFonts w:cs="Arial"/>
          <w:snapToGrid w:val="0"/>
          <w:lang w:val="de-DE"/>
        </w:rPr>
        <w:tab/>
        <w:t>Die TWO erinnerte daran, dass die Anleitung in Dokument TGP/7 quantitative Merkmale der Skala</w:t>
      </w:r>
      <w:r>
        <w:rPr>
          <w:rFonts w:cs="Arial"/>
          <w:snapToGrid w:val="0"/>
          <w:lang w:val="de-DE"/>
        </w:rPr>
        <w:t xml:space="preserve"> „</w:t>
      </w:r>
      <w:r w:rsidR="00A3168F">
        <w:rPr>
          <w:rFonts w:cs="Arial"/>
          <w:snapToGrid w:val="0"/>
          <w:lang w:val="de-DE"/>
        </w:rPr>
        <w:t>1 </w:t>
      </w:r>
      <w:r w:rsidRPr="00E32552">
        <w:rPr>
          <w:rFonts w:cs="Arial"/>
          <w:snapToGrid w:val="0"/>
          <w:lang w:val="de-DE"/>
        </w:rPr>
        <w:t>bis 9</w:t>
      </w:r>
      <w:r>
        <w:rPr>
          <w:rFonts w:cs="Arial"/>
          <w:snapToGrid w:val="0"/>
          <w:lang w:val="de-DE"/>
        </w:rPr>
        <w:t>“</w:t>
      </w:r>
      <w:r w:rsidRPr="00E32552">
        <w:rPr>
          <w:rFonts w:cs="Arial"/>
          <w:snapToGrid w:val="0"/>
          <w:lang w:val="de-DE"/>
        </w:rPr>
        <w:t xml:space="preserve"> erforder</w:t>
      </w:r>
      <w:r>
        <w:rPr>
          <w:rFonts w:cs="Arial"/>
          <w:snapToGrid w:val="0"/>
          <w:lang w:val="de-DE"/>
        </w:rPr>
        <w:t>e</w:t>
      </w:r>
      <w:r w:rsidRPr="00E32552">
        <w:rPr>
          <w:rFonts w:cs="Arial"/>
          <w:snapToGrid w:val="0"/>
          <w:lang w:val="de-DE"/>
        </w:rPr>
        <w:t xml:space="preserve">, um Beispielsorten für mindestens drei Ausprägungsstufen </w:t>
      </w:r>
      <w:r>
        <w:rPr>
          <w:rFonts w:cs="Arial"/>
          <w:snapToGrid w:val="0"/>
          <w:lang w:val="de-DE"/>
        </w:rPr>
        <w:t xml:space="preserve">zu haben, </w:t>
      </w:r>
      <w:r w:rsidRPr="00E32552">
        <w:rPr>
          <w:rFonts w:cs="Arial"/>
          <w:snapToGrid w:val="0"/>
          <w:lang w:val="de-DE"/>
        </w:rPr>
        <w:t>und Skalen</w:t>
      </w:r>
      <w:r>
        <w:rPr>
          <w:rFonts w:cs="Arial"/>
          <w:snapToGrid w:val="0"/>
          <w:lang w:val="de-DE"/>
        </w:rPr>
        <w:t xml:space="preserve"> „</w:t>
      </w:r>
      <w:r w:rsidRPr="00E32552">
        <w:rPr>
          <w:rFonts w:cs="Arial"/>
          <w:snapToGrid w:val="0"/>
          <w:lang w:val="de-DE"/>
        </w:rPr>
        <w:t>1-5</w:t>
      </w:r>
      <w:r>
        <w:rPr>
          <w:rFonts w:cs="Arial"/>
          <w:snapToGrid w:val="0"/>
          <w:lang w:val="de-DE"/>
        </w:rPr>
        <w:t>“</w:t>
      </w:r>
      <w:r w:rsidRPr="00E32552">
        <w:rPr>
          <w:rFonts w:cs="Arial"/>
          <w:snapToGrid w:val="0"/>
          <w:lang w:val="de-DE"/>
        </w:rPr>
        <w:t xml:space="preserve"> /</w:t>
      </w:r>
      <w:r>
        <w:rPr>
          <w:rFonts w:cs="Arial"/>
          <w:snapToGrid w:val="0"/>
          <w:lang w:val="de-DE"/>
        </w:rPr>
        <w:t xml:space="preserve"> „</w:t>
      </w:r>
      <w:r w:rsidR="00A3168F">
        <w:rPr>
          <w:rFonts w:cs="Arial"/>
          <w:snapToGrid w:val="0"/>
          <w:lang w:val="de-DE"/>
        </w:rPr>
        <w:t>1</w:t>
      </w:r>
      <w:r w:rsidR="00A3168F">
        <w:rPr>
          <w:rFonts w:cs="Arial"/>
          <w:snapToGrid w:val="0"/>
          <w:lang w:val="de-DE"/>
        </w:rPr>
        <w:noBreakHyphen/>
      </w:r>
      <w:r w:rsidRPr="00E32552">
        <w:rPr>
          <w:rFonts w:cs="Arial"/>
          <w:snapToGrid w:val="0"/>
          <w:lang w:val="de-DE"/>
        </w:rPr>
        <w:t>4</w:t>
      </w:r>
      <w:r>
        <w:rPr>
          <w:rFonts w:cs="Arial"/>
          <w:snapToGrid w:val="0"/>
          <w:lang w:val="de-DE"/>
        </w:rPr>
        <w:t>“</w:t>
      </w:r>
      <w:r w:rsidRPr="00E32552">
        <w:rPr>
          <w:rFonts w:cs="Arial"/>
          <w:snapToGrid w:val="0"/>
          <w:lang w:val="de-DE"/>
        </w:rPr>
        <w:t xml:space="preserve"> /</w:t>
      </w:r>
      <w:r>
        <w:rPr>
          <w:rFonts w:cs="Arial"/>
          <w:snapToGrid w:val="0"/>
          <w:lang w:val="de-DE"/>
        </w:rPr>
        <w:t xml:space="preserve"> „</w:t>
      </w:r>
      <w:r w:rsidRPr="00E32552">
        <w:rPr>
          <w:rFonts w:cs="Arial"/>
          <w:snapToGrid w:val="0"/>
          <w:lang w:val="de-DE"/>
        </w:rPr>
        <w:t>1-3</w:t>
      </w:r>
      <w:r>
        <w:rPr>
          <w:rFonts w:cs="Arial"/>
          <w:snapToGrid w:val="0"/>
          <w:lang w:val="de-DE"/>
        </w:rPr>
        <w:t>“,</w:t>
      </w:r>
      <w:r w:rsidRPr="00E32552">
        <w:rPr>
          <w:rFonts w:cs="Arial"/>
          <w:snapToGrid w:val="0"/>
          <w:lang w:val="de-DE"/>
        </w:rPr>
        <w:t xml:space="preserve"> </w:t>
      </w:r>
      <w:r>
        <w:rPr>
          <w:rFonts w:cs="Arial"/>
          <w:snapToGrid w:val="0"/>
          <w:lang w:val="de-DE"/>
        </w:rPr>
        <w:t>um</w:t>
      </w:r>
      <w:r w:rsidRPr="00E32552">
        <w:rPr>
          <w:rFonts w:cs="Arial"/>
          <w:snapToGrid w:val="0"/>
          <w:lang w:val="de-DE"/>
        </w:rPr>
        <w:t xml:space="preserve"> mindestens zwei Ausprägungsstufen zu haben. Die TWO stimmte dem Vorschlag zu, alle Ausprägungsstufen quantitativer Merkmale in den Prüfungsrichtlinien darzustellen, und </w:t>
      </w:r>
      <w:r>
        <w:rPr>
          <w:rFonts w:cs="Arial"/>
          <w:snapToGrid w:val="0"/>
          <w:lang w:val="de-DE"/>
        </w:rPr>
        <w:t>vereinbarte</w:t>
      </w:r>
      <w:r w:rsidRPr="00E32552">
        <w:rPr>
          <w:rFonts w:cs="Arial"/>
          <w:snapToGrid w:val="0"/>
          <w:lang w:val="de-DE"/>
        </w:rPr>
        <w:t xml:space="preserve">, dass dies die Mindestanzahl der </w:t>
      </w:r>
      <w:r>
        <w:rPr>
          <w:rFonts w:cs="Arial"/>
          <w:snapToGrid w:val="0"/>
          <w:lang w:val="de-DE"/>
        </w:rPr>
        <w:t>in</w:t>
      </w:r>
      <w:r w:rsidRPr="00E32552">
        <w:rPr>
          <w:rFonts w:cs="Arial"/>
          <w:snapToGrid w:val="0"/>
          <w:lang w:val="de-DE"/>
        </w:rPr>
        <w:t xml:space="preserve"> Dokument TGP/7 geforderten Beispielsorten nicht ändern würde.</w:t>
      </w:r>
    </w:p>
    <w:p w:rsidR="002D20DB" w:rsidRPr="00C47725" w:rsidRDefault="002D20DB" w:rsidP="002D20DB">
      <w:pPr>
        <w:keepLines/>
        <w:rPr>
          <w:rFonts w:eastAsia="SimSun" w:cs="Arial"/>
          <w:lang w:val="de-DE" w:eastAsia="zh-CN"/>
        </w:rPr>
      </w:pPr>
    </w:p>
    <w:p w:rsidR="002D20DB" w:rsidRPr="00C47725" w:rsidRDefault="002D20DB" w:rsidP="002D20DB">
      <w:pPr>
        <w:rPr>
          <w:rFonts w:eastAsia="SimSun" w:cs="Arial"/>
          <w:lang w:val="de-DE" w:eastAsia="zh-CN"/>
        </w:rPr>
      </w:pPr>
      <w:r w:rsidRPr="00E32552">
        <w:rPr>
          <w:rFonts w:eastAsia="SimSun" w:cs="Arial"/>
          <w:lang w:val="de-DE" w:eastAsia="zh-CN"/>
        </w:rPr>
        <w:fldChar w:fldCharType="begin"/>
      </w:r>
      <w:r w:rsidRPr="00E32552">
        <w:rPr>
          <w:rFonts w:eastAsia="SimSun" w:cs="Arial"/>
          <w:lang w:val="de-DE" w:eastAsia="zh-CN"/>
        </w:rPr>
        <w:instrText xml:space="preserve"> AUTONUM  </w:instrText>
      </w:r>
      <w:r w:rsidRPr="00E32552">
        <w:rPr>
          <w:rFonts w:eastAsia="SimSun" w:cs="Arial"/>
          <w:lang w:val="de-DE" w:eastAsia="zh-CN"/>
        </w:rPr>
        <w:fldChar w:fldCharType="end"/>
      </w:r>
      <w:r w:rsidRPr="00C47725">
        <w:rPr>
          <w:rFonts w:eastAsia="SimSun" w:cs="Arial"/>
          <w:lang w:val="de-DE" w:eastAsia="zh-CN"/>
        </w:rPr>
        <w:tab/>
        <w:t>Die TWO prüfte Dokument TWP/3/9</w:t>
      </w:r>
      <w:r>
        <w:rPr>
          <w:rFonts w:eastAsia="SimSun" w:cs="Arial"/>
          <w:lang w:val="de-DE" w:eastAsia="zh-CN"/>
        </w:rPr>
        <w:t xml:space="preserve"> „</w:t>
      </w:r>
      <w:r w:rsidRPr="00967481">
        <w:rPr>
          <w:rFonts w:eastAsia="SimSun" w:cs="Arial"/>
          <w:lang w:val="de-DE" w:eastAsia="zh-CN"/>
        </w:rPr>
        <w:t>Characteristics which only apply to certain varieties</w:t>
      </w:r>
      <w:r>
        <w:rPr>
          <w:rFonts w:eastAsia="SimSun" w:cs="Arial"/>
          <w:lang w:val="de-DE" w:eastAsia="zh-CN"/>
        </w:rPr>
        <w:t>“</w:t>
      </w:r>
      <w:r w:rsidRPr="00C47725">
        <w:rPr>
          <w:rFonts w:eastAsia="SimSun" w:cs="Arial"/>
          <w:lang w:val="de-DE" w:eastAsia="zh-CN"/>
        </w:rPr>
        <w:t xml:space="preserve"> und das Gesuch, geeignete Beispiele </w:t>
      </w:r>
      <w:r>
        <w:rPr>
          <w:rFonts w:eastAsia="SimSun" w:cs="Arial"/>
          <w:lang w:val="de-DE" w:eastAsia="zh-CN"/>
        </w:rPr>
        <w:t>für</w:t>
      </w:r>
      <w:r w:rsidRPr="00C47725">
        <w:rPr>
          <w:rFonts w:eastAsia="SimSun" w:cs="Arial"/>
          <w:lang w:val="de-DE" w:eastAsia="zh-CN"/>
        </w:rPr>
        <w:t xml:space="preserve"> quantitative und pseudo</w:t>
      </w:r>
      <w:r>
        <w:rPr>
          <w:rFonts w:eastAsia="SimSun" w:cs="Arial"/>
          <w:lang w:val="de-DE" w:eastAsia="zh-CN"/>
        </w:rPr>
        <w:t>-</w:t>
      </w:r>
      <w:r w:rsidRPr="00C47725">
        <w:rPr>
          <w:rFonts w:eastAsia="SimSun" w:cs="Arial"/>
          <w:lang w:val="de-DE" w:eastAsia="zh-CN"/>
        </w:rPr>
        <w:t xml:space="preserve">qualitative Merkmale darzulegen, um aufzuzeigen, wie der vorgeschlagene Ansatz so verwendet werden </w:t>
      </w:r>
      <w:r>
        <w:rPr>
          <w:rFonts w:eastAsia="SimSun" w:cs="Arial"/>
          <w:lang w:val="de-DE" w:eastAsia="zh-CN"/>
        </w:rPr>
        <w:t>könnte</w:t>
      </w:r>
      <w:r w:rsidRPr="00C47725">
        <w:rPr>
          <w:rFonts w:eastAsia="SimSun" w:cs="Arial"/>
          <w:lang w:val="de-DE" w:eastAsia="zh-CN"/>
        </w:rPr>
        <w:t>, dass keine Risiken für Entscheidungen über die Unterscheidbarkeit entstehen.</w:t>
      </w:r>
    </w:p>
    <w:p w:rsidR="002D20DB" w:rsidRPr="00C47725" w:rsidRDefault="002D20DB" w:rsidP="002D20DB">
      <w:pPr>
        <w:rPr>
          <w:rFonts w:cs="Arial"/>
          <w:color w:val="000000" w:themeColor="text1"/>
          <w:lang w:val="de-DE"/>
        </w:rPr>
      </w:pPr>
    </w:p>
    <w:p w:rsidR="002D20DB" w:rsidRPr="00C47725" w:rsidRDefault="002D20DB" w:rsidP="002D20DB">
      <w:pPr>
        <w:rPr>
          <w:rFonts w:eastAsia="SimSun" w:cs="Arial"/>
          <w:lang w:val="de-DE" w:eastAsia="zh-CN"/>
        </w:rPr>
      </w:pPr>
      <w:r w:rsidRPr="00E32552">
        <w:rPr>
          <w:rFonts w:cs="Arial"/>
          <w:snapToGrid w:val="0"/>
          <w:lang w:val="de-DE"/>
        </w:rPr>
        <w:fldChar w:fldCharType="begin"/>
      </w:r>
      <w:r w:rsidRPr="00E32552">
        <w:rPr>
          <w:rFonts w:cs="Arial"/>
          <w:snapToGrid w:val="0"/>
          <w:lang w:val="de-DE"/>
        </w:rPr>
        <w:instrText xml:space="preserve"> AUTONUM  </w:instrText>
      </w:r>
      <w:r w:rsidRPr="00E32552">
        <w:rPr>
          <w:rFonts w:cs="Arial"/>
          <w:snapToGrid w:val="0"/>
          <w:lang w:val="de-DE"/>
        </w:rPr>
        <w:fldChar w:fldCharType="end"/>
      </w:r>
      <w:r w:rsidRPr="00E32552">
        <w:rPr>
          <w:rFonts w:cs="Arial"/>
          <w:snapToGrid w:val="0"/>
          <w:lang w:val="de-DE"/>
        </w:rPr>
        <w:tab/>
      </w:r>
      <w:r w:rsidRPr="00E32552">
        <w:rPr>
          <w:rFonts w:eastAsia="SimSun" w:cs="Arial"/>
          <w:lang w:val="de-DE" w:eastAsia="zh-CN"/>
        </w:rPr>
        <w:t>Die TWO vereinbarte, dass wenn eine Struktur an einem Pflanzenteil</w:t>
      </w:r>
      <w:r>
        <w:rPr>
          <w:rFonts w:eastAsia="SimSun" w:cs="Arial"/>
          <w:lang w:val="de-DE" w:eastAsia="zh-CN"/>
        </w:rPr>
        <w:t xml:space="preserve"> „</w:t>
      </w:r>
      <w:r w:rsidRPr="00E32552">
        <w:rPr>
          <w:rFonts w:eastAsia="SimSun" w:cs="Arial"/>
          <w:lang w:val="de-DE" w:eastAsia="zh-CN"/>
        </w:rPr>
        <w:t>fehlend oder sehr gering</w:t>
      </w:r>
      <w:r>
        <w:rPr>
          <w:rFonts w:eastAsia="SimSun" w:cs="Arial"/>
          <w:lang w:val="de-DE" w:eastAsia="zh-CN"/>
        </w:rPr>
        <w:t>“</w:t>
      </w:r>
      <w:r w:rsidRPr="00E32552">
        <w:rPr>
          <w:rFonts w:eastAsia="SimSun" w:cs="Arial"/>
          <w:lang w:val="de-DE" w:eastAsia="zh-CN"/>
        </w:rPr>
        <w:t xml:space="preserve"> sei, die Erfassung weiterer Merkmale an dieser Struktur </w:t>
      </w:r>
      <w:r>
        <w:rPr>
          <w:rFonts w:eastAsia="SimSun" w:cs="Arial"/>
          <w:lang w:val="de-DE" w:eastAsia="zh-CN"/>
        </w:rPr>
        <w:t xml:space="preserve">möglicherweise </w:t>
      </w:r>
      <w:r w:rsidRPr="00E32552">
        <w:rPr>
          <w:rFonts w:eastAsia="SimSun" w:cs="Arial"/>
          <w:lang w:val="de-DE" w:eastAsia="zh-CN"/>
        </w:rPr>
        <w:t xml:space="preserve">schwierig oder nicht durchführbar sein könnte. Beispielsweise </w:t>
      </w:r>
      <w:r>
        <w:rPr>
          <w:rFonts w:eastAsia="SimSun" w:cs="Arial"/>
          <w:lang w:val="de-DE" w:eastAsia="zh-CN"/>
        </w:rPr>
        <w:t>wäre</w:t>
      </w:r>
      <w:r w:rsidRPr="00E32552">
        <w:rPr>
          <w:rFonts w:eastAsia="SimSun" w:cs="Arial"/>
          <w:lang w:val="de-DE" w:eastAsia="zh-CN"/>
        </w:rPr>
        <w:t xml:space="preserve"> das Erfassen von</w:t>
      </w:r>
      <w:r>
        <w:rPr>
          <w:rFonts w:eastAsia="SimSun" w:cs="Arial"/>
          <w:lang w:val="de-DE" w:eastAsia="zh-CN"/>
        </w:rPr>
        <w:t xml:space="preserve"> „</w:t>
      </w:r>
      <w:r w:rsidRPr="00E32552">
        <w:rPr>
          <w:rFonts w:eastAsia="SimSun" w:cs="Arial"/>
          <w:lang w:val="de-DE" w:eastAsia="zh-CN"/>
        </w:rPr>
        <w:t>Behaarung: Farbe</w:t>
      </w:r>
      <w:r>
        <w:rPr>
          <w:rFonts w:eastAsia="SimSun" w:cs="Arial"/>
          <w:lang w:val="de-DE" w:eastAsia="zh-CN"/>
        </w:rPr>
        <w:t>“</w:t>
      </w:r>
      <w:r w:rsidRPr="00E32552">
        <w:rPr>
          <w:rFonts w:eastAsia="SimSun" w:cs="Arial"/>
          <w:lang w:val="de-DE" w:eastAsia="zh-CN"/>
        </w:rPr>
        <w:t xml:space="preserve"> an einer Pflanze mit</w:t>
      </w:r>
      <w:r>
        <w:rPr>
          <w:rFonts w:eastAsia="SimSun" w:cs="Arial"/>
          <w:lang w:val="de-DE" w:eastAsia="zh-CN"/>
        </w:rPr>
        <w:t xml:space="preserve"> „</w:t>
      </w:r>
      <w:r w:rsidRPr="00E32552">
        <w:rPr>
          <w:rFonts w:eastAsia="SimSun" w:cs="Arial"/>
          <w:lang w:val="de-DE" w:eastAsia="zh-CN"/>
        </w:rPr>
        <w:t>Vorhandensein von B</w:t>
      </w:r>
      <w:r w:rsidRPr="00C47725">
        <w:rPr>
          <w:rFonts w:eastAsia="SimSun" w:cs="Arial"/>
          <w:lang w:val="de-DE" w:eastAsia="zh-CN"/>
        </w:rPr>
        <w:t>ehaarung: fehlend oder sehr gering</w:t>
      </w:r>
      <w:r>
        <w:rPr>
          <w:rFonts w:eastAsia="SimSun" w:cs="Arial"/>
          <w:lang w:val="de-DE" w:eastAsia="zh-CN"/>
        </w:rPr>
        <w:t>“</w:t>
      </w:r>
      <w:r w:rsidRPr="00C47725">
        <w:rPr>
          <w:rFonts w:eastAsia="SimSun" w:cs="Arial"/>
          <w:lang w:val="de-DE" w:eastAsia="zh-CN"/>
        </w:rPr>
        <w:t xml:space="preserve"> nicht </w:t>
      </w:r>
      <w:r>
        <w:rPr>
          <w:rFonts w:eastAsia="SimSun" w:cs="Arial"/>
          <w:lang w:val="de-DE" w:eastAsia="zh-CN"/>
        </w:rPr>
        <w:t>praktisch</w:t>
      </w:r>
      <w:r w:rsidRPr="00C47725">
        <w:rPr>
          <w:rFonts w:eastAsia="SimSun" w:cs="Arial"/>
          <w:lang w:val="de-DE" w:eastAsia="zh-CN"/>
        </w:rPr>
        <w:t>.</w:t>
      </w:r>
    </w:p>
    <w:p w:rsidR="002D20DB" w:rsidRPr="00C47725" w:rsidRDefault="002D20DB" w:rsidP="002D20DB">
      <w:pPr>
        <w:rPr>
          <w:lang w:val="de-DE"/>
        </w:rPr>
      </w:pPr>
    </w:p>
    <w:p w:rsidR="002D20DB" w:rsidRPr="00C47725" w:rsidRDefault="002D20DB" w:rsidP="002D20DB">
      <w:pPr>
        <w:rPr>
          <w:lang w:val="de-DE"/>
        </w:rPr>
      </w:pPr>
      <w:r w:rsidRPr="00E32552">
        <w:rPr>
          <w:rFonts w:cs="Arial"/>
          <w:lang w:val="de-DE"/>
        </w:rPr>
        <w:fldChar w:fldCharType="begin"/>
      </w:r>
      <w:r w:rsidRPr="00E32552">
        <w:rPr>
          <w:rFonts w:cs="Arial"/>
          <w:lang w:val="de-DE"/>
        </w:rPr>
        <w:instrText xml:space="preserve"> AUTONUM  </w:instrText>
      </w:r>
      <w:r w:rsidRPr="00E32552">
        <w:rPr>
          <w:rFonts w:cs="Arial"/>
          <w:lang w:val="de-DE"/>
        </w:rPr>
        <w:fldChar w:fldCharType="end"/>
      </w:r>
      <w:r w:rsidRPr="00E32552">
        <w:rPr>
          <w:rFonts w:cs="Arial"/>
          <w:lang w:val="de-DE"/>
        </w:rPr>
        <w:tab/>
      </w:r>
      <w:r w:rsidRPr="00E32552">
        <w:rPr>
          <w:lang w:val="de-DE"/>
        </w:rPr>
        <w:t>Die TWO</w:t>
      </w:r>
      <w:r w:rsidRPr="00C47725">
        <w:rPr>
          <w:lang w:val="de-DE"/>
        </w:rPr>
        <w:t xml:space="preserve"> vereinbarte, dass das folgende pseudo-qualitative Merkmal aus den Prüfungsrichtlinien für Dahlia (TG/226/1) ein geeignetes Beispiel sei, um aufzuzeigen, wie der vorgeschlagene Ansatz so verwendet werden </w:t>
      </w:r>
      <w:r>
        <w:rPr>
          <w:lang w:val="de-DE"/>
        </w:rPr>
        <w:t>könnte</w:t>
      </w:r>
      <w:r w:rsidRPr="00C47725">
        <w:rPr>
          <w:lang w:val="de-DE"/>
        </w:rPr>
        <w:t>, dass keine Risiken für Entscheidungen über die Unterscheidbarkeit entstehen.</w:t>
      </w:r>
    </w:p>
    <w:p w:rsidR="002D20DB" w:rsidRPr="00C47725" w:rsidRDefault="002D20DB" w:rsidP="002D20DB">
      <w:pPr>
        <w:rPr>
          <w:lang w:val="de-DE"/>
        </w:rPr>
      </w:pPr>
    </w:p>
    <w:p w:rsidR="002D20DB" w:rsidRPr="00C47725" w:rsidRDefault="002D20DB" w:rsidP="002D20DB">
      <w:pPr>
        <w:ind w:left="709"/>
        <w:rPr>
          <w:rFonts w:eastAsiaTheme="minorEastAsia"/>
          <w:snapToGrid w:val="0"/>
          <w:lang w:val="de-DE" w:eastAsia="ja-JP"/>
        </w:rPr>
      </w:pPr>
      <w:r w:rsidRPr="00C47725">
        <w:rPr>
          <w:lang w:val="de-DE"/>
        </w:rPr>
        <w:t>(PQ) Blume: Typ: einfach (1); halbgefüllt (2); gefüllt margeritenförmig (3); gefüllt (4)</w:t>
      </w:r>
    </w:p>
    <w:p w:rsidR="002D20DB" w:rsidRPr="00C47725" w:rsidRDefault="002D20DB" w:rsidP="002D20DB">
      <w:pPr>
        <w:rPr>
          <w:rFonts w:cs="Arial"/>
          <w:lang w:val="de-DE"/>
        </w:rPr>
      </w:pPr>
    </w:p>
    <w:p w:rsidR="002D20DB" w:rsidRPr="00E32552" w:rsidRDefault="002D20DB" w:rsidP="002D20DB">
      <w:pPr>
        <w:rPr>
          <w:snapToGrid w:val="0"/>
          <w:lang w:val="de-DE"/>
        </w:rPr>
      </w:pPr>
      <w:r w:rsidRPr="00E32552">
        <w:rPr>
          <w:rFonts w:cs="Arial"/>
          <w:lang w:val="de-DE"/>
        </w:rPr>
        <w:fldChar w:fldCharType="begin"/>
      </w:r>
      <w:r w:rsidRPr="00E32552">
        <w:rPr>
          <w:rFonts w:cs="Arial"/>
          <w:lang w:val="de-DE"/>
        </w:rPr>
        <w:instrText xml:space="preserve"> AUTONUM  </w:instrText>
      </w:r>
      <w:r w:rsidRPr="00E32552">
        <w:rPr>
          <w:rFonts w:cs="Arial"/>
          <w:lang w:val="de-DE"/>
        </w:rPr>
        <w:fldChar w:fldCharType="end"/>
      </w:r>
      <w:r w:rsidRPr="00E32552">
        <w:rPr>
          <w:rFonts w:cs="Arial"/>
          <w:lang w:val="de-DE"/>
        </w:rPr>
        <w:tab/>
      </w:r>
      <w:r w:rsidRPr="00E32552">
        <w:rPr>
          <w:snapToGrid w:val="0"/>
          <w:lang w:val="de-DE"/>
        </w:rPr>
        <w:t>Die TWO vereinbarte, dass die Überschrift des Merkmals vorzugsweise den Ausschluss enthalten sollte und, wenn nötig</w:t>
      </w:r>
      <w:r>
        <w:rPr>
          <w:snapToGrid w:val="0"/>
          <w:lang w:val="de-DE"/>
        </w:rPr>
        <w:t>,</w:t>
      </w:r>
      <w:r w:rsidRPr="00E32552">
        <w:rPr>
          <w:snapToGrid w:val="0"/>
          <w:lang w:val="de-DE"/>
        </w:rPr>
        <w:t xml:space="preserve"> eine Erläuterung in den Prüfungsrichtlinien.</w:t>
      </w:r>
    </w:p>
    <w:p w:rsidR="002D20DB" w:rsidRPr="00E32552" w:rsidRDefault="002D20DB" w:rsidP="002D20DB">
      <w:pPr>
        <w:rPr>
          <w:snapToGrid w:val="0"/>
          <w:lang w:val="de-DE"/>
        </w:rPr>
      </w:pPr>
    </w:p>
    <w:p w:rsidR="002D20DB" w:rsidRPr="00967481" w:rsidRDefault="002D20DB" w:rsidP="002D20DB">
      <w:pPr>
        <w:rPr>
          <w:snapToGrid w:val="0"/>
        </w:rPr>
      </w:pPr>
      <w:r w:rsidRPr="00E32552">
        <w:rPr>
          <w:snapToGrid w:val="0"/>
          <w:lang w:val="de-DE"/>
        </w:rPr>
        <w:fldChar w:fldCharType="begin"/>
      </w:r>
      <w:r w:rsidRPr="00967481">
        <w:rPr>
          <w:snapToGrid w:val="0"/>
        </w:rPr>
        <w:instrText xml:space="preserve"> AUTONUM  </w:instrText>
      </w:r>
      <w:r w:rsidRPr="00E32552">
        <w:rPr>
          <w:snapToGrid w:val="0"/>
          <w:lang w:val="de-DE"/>
        </w:rPr>
        <w:fldChar w:fldCharType="end"/>
      </w:r>
      <w:r w:rsidRPr="00967481">
        <w:rPr>
          <w:snapToGrid w:val="0"/>
        </w:rPr>
        <w:tab/>
        <w:t>Die TWO prüfte Dokument TWP/3/11 „</w:t>
      </w:r>
      <w:r w:rsidRPr="00824357">
        <w:rPr>
          <w:snapToGrid w:val="0"/>
        </w:rPr>
        <w:t>Color names for the RHS Colour Chart</w:t>
      </w:r>
      <w:r w:rsidRPr="00967481">
        <w:rPr>
          <w:snapToGrid w:val="0"/>
        </w:rPr>
        <w:t>“</w:t>
      </w:r>
    </w:p>
    <w:p w:rsidR="002D20DB" w:rsidRPr="00967481" w:rsidRDefault="002D20DB" w:rsidP="002D20DB">
      <w:pPr>
        <w:rPr>
          <w:rFonts w:cs="Arial"/>
        </w:rPr>
      </w:pPr>
    </w:p>
    <w:p w:rsidR="002D20DB" w:rsidRPr="00E32552" w:rsidRDefault="002D20DB" w:rsidP="002D20DB">
      <w:pPr>
        <w:rPr>
          <w:rFonts w:cs="Arial"/>
          <w:lang w:val="de-DE"/>
        </w:rPr>
      </w:pPr>
      <w:r w:rsidRPr="00E32552">
        <w:rPr>
          <w:rFonts w:cs="Arial"/>
          <w:lang w:val="de-DE"/>
        </w:rPr>
        <w:fldChar w:fldCharType="begin"/>
      </w:r>
      <w:r w:rsidRPr="00E32552">
        <w:rPr>
          <w:rFonts w:cs="Arial"/>
          <w:lang w:val="de-DE"/>
        </w:rPr>
        <w:instrText xml:space="preserve"> AUTONUM  </w:instrText>
      </w:r>
      <w:r w:rsidRPr="00E32552">
        <w:rPr>
          <w:rFonts w:cs="Arial"/>
          <w:lang w:val="de-DE"/>
        </w:rPr>
        <w:fldChar w:fldCharType="end"/>
      </w:r>
      <w:r w:rsidRPr="00E32552">
        <w:rPr>
          <w:rFonts w:cs="Arial"/>
          <w:lang w:val="de-DE"/>
        </w:rPr>
        <w:tab/>
      </w:r>
      <w:r w:rsidRPr="00E32552">
        <w:rPr>
          <w:snapToGrid w:val="0"/>
          <w:lang w:val="de-DE"/>
        </w:rPr>
        <w:t xml:space="preserve">Die TWO prüfte </w:t>
      </w:r>
      <w:r w:rsidRPr="00E32552">
        <w:rPr>
          <w:rFonts w:cs="Arial"/>
          <w:lang w:val="de-DE"/>
        </w:rPr>
        <w:t>den Vorschlag für die Überarbeitung der Liste von UPOV-Farbgruppen in Dokument TGP/14</w:t>
      </w:r>
      <w:r>
        <w:rPr>
          <w:rFonts w:cs="Arial"/>
          <w:lang w:val="de-DE"/>
        </w:rPr>
        <w:t xml:space="preserve"> „</w:t>
      </w:r>
      <w:r w:rsidRPr="00E32552">
        <w:rPr>
          <w:rFonts w:cs="Arial"/>
          <w:lang w:val="de-DE"/>
        </w:rPr>
        <w:t>Glossar der in den UPOV Dokumenten verwendeten Begriffe</w:t>
      </w:r>
      <w:r>
        <w:rPr>
          <w:rFonts w:cs="Arial"/>
          <w:lang w:val="de-DE"/>
        </w:rPr>
        <w:t>“</w:t>
      </w:r>
      <w:r w:rsidRPr="00E32552">
        <w:rPr>
          <w:rFonts w:cs="Arial"/>
          <w:lang w:val="de-DE"/>
        </w:rPr>
        <w:t xml:space="preserve"> auf der Grundlage </w:t>
      </w:r>
      <w:r>
        <w:rPr>
          <w:rFonts w:cs="Arial"/>
          <w:lang w:val="de-DE"/>
        </w:rPr>
        <w:t>der in</w:t>
      </w:r>
      <w:r w:rsidRPr="00E32552">
        <w:rPr>
          <w:rFonts w:cs="Arial"/>
          <w:lang w:val="de-DE"/>
        </w:rPr>
        <w:t xml:space="preserve"> Dokument TWP/3/11, Anlage I, dargelegten Farbgruppen. Die TWO vereinbarte, dass die neue Liste der UPOV-Farbgruppen, die auf der Grundlage der sechsten Ausgabe der RHS-Farbkarte erstellt wurde, zur Aufnahme in Dokument TGP/14 vorgeschlagen werden sollte.</w:t>
      </w:r>
    </w:p>
    <w:p w:rsidR="002D20DB" w:rsidRPr="00E32552" w:rsidRDefault="002D20DB" w:rsidP="002D20DB">
      <w:pPr>
        <w:rPr>
          <w:rFonts w:cs="Arial"/>
          <w:lang w:val="de-DE"/>
        </w:rPr>
      </w:pPr>
    </w:p>
    <w:p w:rsidR="002D20DB" w:rsidRPr="00C47725" w:rsidRDefault="002D20DB" w:rsidP="002D20DB">
      <w:pPr>
        <w:rPr>
          <w:rFonts w:cs="Arial"/>
          <w:lang w:val="de-DE"/>
        </w:rPr>
      </w:pPr>
      <w:r w:rsidRPr="00E32552">
        <w:rPr>
          <w:rFonts w:cs="Arial"/>
          <w:lang w:val="de-DE"/>
        </w:rPr>
        <w:fldChar w:fldCharType="begin"/>
      </w:r>
      <w:r w:rsidRPr="00E32552">
        <w:rPr>
          <w:rFonts w:cs="Arial"/>
          <w:lang w:val="de-DE"/>
        </w:rPr>
        <w:instrText xml:space="preserve"> AUTONUM  </w:instrText>
      </w:r>
      <w:r w:rsidRPr="00E32552">
        <w:rPr>
          <w:rFonts w:cs="Arial"/>
          <w:lang w:val="de-DE"/>
        </w:rPr>
        <w:fldChar w:fldCharType="end"/>
      </w:r>
      <w:r w:rsidRPr="00E32552">
        <w:rPr>
          <w:rFonts w:cs="Arial"/>
          <w:lang w:val="de-DE"/>
        </w:rPr>
        <w:tab/>
        <w:t>Die TWO</w:t>
      </w:r>
      <w:r w:rsidRPr="00C47725">
        <w:rPr>
          <w:rFonts w:cs="Arial"/>
          <w:lang w:val="de-DE"/>
        </w:rPr>
        <w:t xml:space="preserve"> prüfte</w:t>
      </w:r>
      <w:r>
        <w:rPr>
          <w:rFonts w:cs="Arial"/>
          <w:lang w:val="de-DE"/>
        </w:rPr>
        <w:t xml:space="preserve"> den </w:t>
      </w:r>
      <w:r w:rsidRPr="00C47725">
        <w:rPr>
          <w:rFonts w:cs="Arial"/>
          <w:lang w:val="de-DE"/>
        </w:rPr>
        <w:t>Vorschlag für eine Überarbeitung von Dokument TGP/14, Abschnitt 2, Unterabschnitt 3:</w:t>
      </w:r>
      <w:r>
        <w:rPr>
          <w:rFonts w:cs="Arial"/>
          <w:lang w:val="de-DE"/>
        </w:rPr>
        <w:t xml:space="preserve"> „</w:t>
      </w:r>
      <w:r w:rsidRPr="00C47725">
        <w:rPr>
          <w:rFonts w:cs="Arial"/>
          <w:lang w:val="de-DE"/>
        </w:rPr>
        <w:t>Farbe</w:t>
      </w:r>
      <w:r>
        <w:rPr>
          <w:rFonts w:cs="Arial"/>
          <w:lang w:val="de-DE"/>
        </w:rPr>
        <w:t>“</w:t>
      </w:r>
      <w:r w:rsidRPr="00C47725">
        <w:rPr>
          <w:rFonts w:cs="Arial"/>
          <w:lang w:val="de-DE"/>
        </w:rPr>
        <w:t>, und Unterabschnitt 3: Anlage:</w:t>
      </w:r>
      <w:r>
        <w:rPr>
          <w:rFonts w:cs="Arial"/>
          <w:lang w:val="de-DE"/>
        </w:rPr>
        <w:t xml:space="preserve"> „</w:t>
      </w:r>
      <w:r w:rsidRPr="00C47725">
        <w:rPr>
          <w:rFonts w:cs="Arial"/>
          <w:lang w:val="de-DE"/>
        </w:rPr>
        <w:t>Farbbezeichnungen für die RHS-Farbkarte</w:t>
      </w:r>
      <w:r>
        <w:rPr>
          <w:rFonts w:cs="Arial"/>
          <w:lang w:val="de-DE"/>
        </w:rPr>
        <w:t>“</w:t>
      </w:r>
      <w:r w:rsidRPr="00C47725">
        <w:rPr>
          <w:rFonts w:cs="Arial"/>
          <w:lang w:val="de-DE"/>
        </w:rPr>
        <w:t xml:space="preserve">, um die Einführung der überarbeitenden Liste von UPOV-Farbgruppen wiederzugeben. Die TWO vereinbarte, dass Dokument TGP/14 überarbeitet werden sollte, um </w:t>
      </w:r>
      <w:r>
        <w:rPr>
          <w:rFonts w:cs="Arial"/>
          <w:lang w:val="de-DE"/>
        </w:rPr>
        <w:t>die</w:t>
      </w:r>
      <w:r w:rsidRPr="00C47725">
        <w:rPr>
          <w:rFonts w:cs="Arial"/>
          <w:lang w:val="de-DE"/>
        </w:rPr>
        <w:t xml:space="preserve"> Einführung der neuen Liste der UPOV-Farbgruppen auf der Grundlage des Vorschlags in Dokument TWP/3/11, </w:t>
      </w:r>
      <w:r>
        <w:rPr>
          <w:rFonts w:cs="Arial"/>
          <w:lang w:val="de-DE"/>
        </w:rPr>
        <w:t>Anlage</w:t>
      </w:r>
      <w:r w:rsidRPr="00C47725">
        <w:rPr>
          <w:rFonts w:cs="Arial"/>
          <w:lang w:val="de-DE"/>
        </w:rPr>
        <w:t xml:space="preserve"> II, wiederzugeben.</w:t>
      </w:r>
    </w:p>
    <w:p w:rsidR="002D20DB" w:rsidRPr="00C47725" w:rsidRDefault="002D20DB" w:rsidP="002D20DB">
      <w:pPr>
        <w:rPr>
          <w:rFonts w:cs="Arial"/>
          <w:lang w:val="de-DE"/>
        </w:rPr>
      </w:pPr>
    </w:p>
    <w:p w:rsidR="002D20DB" w:rsidRPr="00C47725" w:rsidRDefault="002D20DB" w:rsidP="002D20DB">
      <w:pPr>
        <w:rPr>
          <w:rFonts w:cs="Arial"/>
          <w:lang w:val="de-DE"/>
        </w:rPr>
      </w:pPr>
      <w:r w:rsidRPr="00E32552">
        <w:rPr>
          <w:rFonts w:cs="Arial"/>
          <w:lang w:val="de-DE"/>
        </w:rPr>
        <w:fldChar w:fldCharType="begin"/>
      </w:r>
      <w:r w:rsidRPr="00E32552">
        <w:rPr>
          <w:rFonts w:cs="Arial"/>
          <w:lang w:val="de-DE"/>
        </w:rPr>
        <w:instrText xml:space="preserve"> AUTONUM  </w:instrText>
      </w:r>
      <w:r w:rsidRPr="00E32552">
        <w:rPr>
          <w:rFonts w:cs="Arial"/>
          <w:lang w:val="de-DE"/>
        </w:rPr>
        <w:fldChar w:fldCharType="end"/>
      </w:r>
      <w:r w:rsidRPr="00C47725">
        <w:rPr>
          <w:rFonts w:cs="Arial"/>
          <w:lang w:val="de-DE"/>
        </w:rPr>
        <w:tab/>
        <w:t>Die TWO hörte Referate von Australien und der Europäischen Union über Erfahrungen bei der Begriffsbestimmung von Bäumen, Sträuchern und Reben. Die TWO schlug vor, die Behörden zu ersuchen, die Liste der Gattungen und Arten, die als Bäume und Reben gelten, über UPOV PRISMA zur Verfügung zu stellen, und die Behörden zu ersuchen, auf der nächsten Tagung der TWO über die Informationen zu berichten, die UPOV PRISMA zur Verfügung gestellt w</w:t>
      </w:r>
      <w:r>
        <w:rPr>
          <w:rFonts w:cs="Arial"/>
          <w:lang w:val="de-DE"/>
        </w:rPr>
        <w:t>u</w:t>
      </w:r>
      <w:r w:rsidRPr="00C47725">
        <w:rPr>
          <w:rFonts w:cs="Arial"/>
          <w:lang w:val="de-DE"/>
        </w:rPr>
        <w:t xml:space="preserve">rden. </w:t>
      </w:r>
    </w:p>
    <w:p w:rsidR="002D20DB" w:rsidRPr="00C47725" w:rsidRDefault="002D20DB" w:rsidP="002D20DB">
      <w:pPr>
        <w:rPr>
          <w:rFonts w:cs="Arial"/>
          <w:lang w:val="de-DE"/>
        </w:rPr>
      </w:pPr>
    </w:p>
    <w:p w:rsidR="002D20DB" w:rsidRPr="00E32552" w:rsidRDefault="002D20DB" w:rsidP="002D20DB">
      <w:pPr>
        <w:rPr>
          <w:rFonts w:cs="Arial"/>
          <w:color w:val="000000" w:themeColor="text1"/>
          <w:lang w:val="de-DE"/>
        </w:rPr>
      </w:pPr>
      <w:r w:rsidRPr="00E32552">
        <w:rPr>
          <w:rFonts w:cs="Arial"/>
          <w:color w:val="000000" w:themeColor="text1"/>
          <w:lang w:val="de-DE"/>
        </w:rPr>
        <w:fldChar w:fldCharType="begin"/>
      </w:r>
      <w:r w:rsidRPr="00E32552">
        <w:rPr>
          <w:rFonts w:cs="Arial"/>
          <w:color w:val="000000" w:themeColor="text1"/>
          <w:lang w:val="de-DE"/>
        </w:rPr>
        <w:instrText xml:space="preserve"> AUTONUM  </w:instrText>
      </w:r>
      <w:r w:rsidRPr="00E32552">
        <w:rPr>
          <w:rFonts w:cs="Arial"/>
          <w:color w:val="000000" w:themeColor="text1"/>
          <w:lang w:val="de-DE"/>
        </w:rPr>
        <w:fldChar w:fldCharType="end"/>
      </w:r>
      <w:r w:rsidRPr="00E32552">
        <w:rPr>
          <w:rFonts w:cs="Arial"/>
          <w:color w:val="000000" w:themeColor="text1"/>
          <w:lang w:val="de-DE"/>
        </w:rPr>
        <w:tab/>
      </w:r>
      <w:r w:rsidRPr="00E32552">
        <w:rPr>
          <w:lang w:val="de-DE"/>
        </w:rPr>
        <w:t xml:space="preserve">Die TWO vereinbarte, dass es bestimmte Gattungen und Arten </w:t>
      </w:r>
      <w:r>
        <w:rPr>
          <w:lang w:val="de-DE"/>
        </w:rPr>
        <w:t>gebe</w:t>
      </w:r>
      <w:r w:rsidRPr="00E32552">
        <w:rPr>
          <w:lang w:val="de-DE"/>
        </w:rPr>
        <w:t xml:space="preserve">, für die eine Entscheidung, ob eine Sorte als Baum oder Rebe anzusehen ist, nicht verallgemeinert werden </w:t>
      </w:r>
      <w:r>
        <w:rPr>
          <w:lang w:val="de-DE"/>
        </w:rPr>
        <w:t>könne</w:t>
      </w:r>
      <w:r w:rsidRPr="00E32552">
        <w:rPr>
          <w:lang w:val="de-DE"/>
        </w:rPr>
        <w:t xml:space="preserve">. Die TWO </w:t>
      </w:r>
      <w:r>
        <w:rPr>
          <w:lang w:val="de-DE"/>
        </w:rPr>
        <w:t>vereinbarte</w:t>
      </w:r>
      <w:r w:rsidRPr="00E32552">
        <w:rPr>
          <w:lang w:val="de-DE"/>
        </w:rPr>
        <w:t xml:space="preserve">, die Behörden </w:t>
      </w:r>
      <w:r>
        <w:rPr>
          <w:lang w:val="de-DE"/>
        </w:rPr>
        <w:t>zu ersuchen</w:t>
      </w:r>
      <w:r w:rsidRPr="00E32552">
        <w:rPr>
          <w:lang w:val="de-DE"/>
        </w:rPr>
        <w:t xml:space="preserve">, Informationen über die Gattungen und Arten </w:t>
      </w:r>
      <w:r>
        <w:rPr>
          <w:lang w:val="de-DE"/>
        </w:rPr>
        <w:t>bereitzustellen</w:t>
      </w:r>
      <w:r w:rsidRPr="00E32552">
        <w:rPr>
          <w:lang w:val="de-DE"/>
        </w:rPr>
        <w:t xml:space="preserve">, die ihrer Meinung nach von Fall zu Fall behandelt werden sollten. </w:t>
      </w:r>
    </w:p>
    <w:p w:rsidR="002D20DB" w:rsidRPr="00E32552" w:rsidRDefault="002D20DB" w:rsidP="002D20DB">
      <w:pPr>
        <w:rPr>
          <w:rFonts w:cs="Arial"/>
          <w:color w:val="000000" w:themeColor="text1"/>
          <w:lang w:val="de-DE"/>
        </w:rPr>
      </w:pPr>
    </w:p>
    <w:p w:rsidR="002D20DB" w:rsidRPr="00E32552" w:rsidRDefault="002D20DB" w:rsidP="002D20DB">
      <w:pPr>
        <w:rPr>
          <w:rFonts w:cs="Arial"/>
          <w:color w:val="000000" w:themeColor="text1"/>
          <w:lang w:val="de-DE"/>
        </w:rPr>
      </w:pPr>
      <w:r w:rsidRPr="00E32552">
        <w:rPr>
          <w:rFonts w:cs="Arial"/>
          <w:color w:val="000000" w:themeColor="text1"/>
          <w:lang w:val="de-DE"/>
        </w:rPr>
        <w:fldChar w:fldCharType="begin"/>
      </w:r>
      <w:r w:rsidRPr="00E32552">
        <w:rPr>
          <w:rFonts w:cs="Arial"/>
          <w:color w:val="000000" w:themeColor="text1"/>
          <w:lang w:val="de-DE"/>
        </w:rPr>
        <w:instrText xml:space="preserve"> AUTONUM  </w:instrText>
      </w:r>
      <w:r w:rsidRPr="00E32552">
        <w:rPr>
          <w:rFonts w:cs="Arial"/>
          <w:color w:val="000000" w:themeColor="text1"/>
          <w:lang w:val="de-DE"/>
        </w:rPr>
        <w:fldChar w:fldCharType="end"/>
      </w:r>
      <w:r w:rsidRPr="00E32552">
        <w:rPr>
          <w:rFonts w:cs="Arial"/>
          <w:color w:val="000000" w:themeColor="text1"/>
          <w:lang w:val="de-DE"/>
        </w:rPr>
        <w:tab/>
        <w:t xml:space="preserve">Die TWO vereinbarte, dem Technischen Ausschuss sieben Entwürfe von Prüfungsrichtlinien zur Annahme vorzulegen: Inkalilie; Calendula; Mädchenauge; Gazanie; Kängurublume (Überarbeitung); Phalaenopsis (Teilüberarbeitung); und Portulak (Überarbeitung). Auf </w:t>
      </w:r>
      <w:r>
        <w:rPr>
          <w:rFonts w:cs="Arial"/>
          <w:color w:val="000000" w:themeColor="text1"/>
          <w:lang w:val="de-DE"/>
        </w:rPr>
        <w:t>ihrer</w:t>
      </w:r>
      <w:r w:rsidRPr="00E32552">
        <w:rPr>
          <w:rFonts w:cs="Arial"/>
          <w:color w:val="000000" w:themeColor="text1"/>
          <w:lang w:val="de-DE"/>
        </w:rPr>
        <w:t xml:space="preserve"> zweiundfünfzigsten Sitzung im Jahr 2020</w:t>
      </w:r>
      <w:r>
        <w:rPr>
          <w:rFonts w:cs="Arial"/>
          <w:color w:val="000000" w:themeColor="text1"/>
          <w:lang w:val="de-DE"/>
        </w:rPr>
        <w:t xml:space="preserve"> sieht</w:t>
      </w:r>
      <w:r w:rsidRPr="00E32552">
        <w:rPr>
          <w:rFonts w:cs="Arial"/>
          <w:color w:val="000000" w:themeColor="text1"/>
          <w:lang w:val="de-DE"/>
        </w:rPr>
        <w:t xml:space="preserve"> die TWO</w:t>
      </w:r>
      <w:r>
        <w:rPr>
          <w:rFonts w:cs="Arial"/>
          <w:color w:val="000000" w:themeColor="text1"/>
          <w:lang w:val="de-DE"/>
        </w:rPr>
        <w:t xml:space="preserve"> vor</w:t>
      </w:r>
      <w:r w:rsidRPr="00E32552">
        <w:rPr>
          <w:rFonts w:cs="Arial"/>
          <w:color w:val="000000" w:themeColor="text1"/>
          <w:lang w:val="de-DE"/>
        </w:rPr>
        <w:t>, 11 Prüfungsrichtlinien zu erörtern.</w:t>
      </w:r>
    </w:p>
    <w:p w:rsidR="002D20DB" w:rsidRPr="00E32552" w:rsidRDefault="002D20DB" w:rsidP="002D20DB">
      <w:pPr>
        <w:rPr>
          <w:rFonts w:cs="Arial"/>
          <w:color w:val="000000" w:themeColor="text1"/>
          <w:lang w:val="de-DE"/>
        </w:rPr>
      </w:pPr>
      <w:r w:rsidRPr="00E32552">
        <w:rPr>
          <w:rFonts w:cs="Arial"/>
          <w:color w:val="000000" w:themeColor="text1"/>
          <w:lang w:val="de-DE"/>
        </w:rPr>
        <w:t xml:space="preserve"> </w:t>
      </w:r>
    </w:p>
    <w:p w:rsidR="002D20DB" w:rsidRPr="00C47725" w:rsidRDefault="002D20DB" w:rsidP="002D20DB">
      <w:pPr>
        <w:rPr>
          <w:rFonts w:cs="Arial"/>
          <w:color w:val="000000" w:themeColor="text1"/>
          <w:lang w:val="de-DE"/>
        </w:rPr>
      </w:pPr>
      <w:r w:rsidRPr="00E32552">
        <w:rPr>
          <w:rFonts w:cs="Arial"/>
          <w:color w:val="000000" w:themeColor="text1"/>
          <w:lang w:val="de-DE"/>
        </w:rPr>
        <w:fldChar w:fldCharType="begin"/>
      </w:r>
      <w:r w:rsidRPr="00E32552">
        <w:rPr>
          <w:rFonts w:cs="Arial"/>
          <w:color w:val="000000" w:themeColor="text1"/>
          <w:lang w:val="de-DE"/>
        </w:rPr>
        <w:instrText xml:space="preserve"> AUTONUM  </w:instrText>
      </w:r>
      <w:r w:rsidRPr="00E32552">
        <w:rPr>
          <w:rFonts w:cs="Arial"/>
          <w:color w:val="000000" w:themeColor="text1"/>
          <w:lang w:val="de-DE"/>
        </w:rPr>
        <w:fldChar w:fldCharType="end"/>
      </w:r>
      <w:r w:rsidRPr="00E32552">
        <w:rPr>
          <w:rFonts w:cs="Arial"/>
          <w:color w:val="000000" w:themeColor="text1"/>
          <w:lang w:val="de-DE"/>
        </w:rPr>
        <w:tab/>
      </w:r>
      <w:bookmarkStart w:id="8" w:name="_Hlk24899024"/>
      <w:r w:rsidRPr="00E32552">
        <w:rPr>
          <w:rFonts w:cs="Arial"/>
          <w:lang w:val="de-DE"/>
        </w:rPr>
        <w:t>Auf Ein</w:t>
      </w:r>
      <w:r w:rsidRPr="00C47725">
        <w:rPr>
          <w:rFonts w:cs="Arial"/>
          <w:lang w:val="de-DE"/>
        </w:rPr>
        <w:t>ladung der Niederlande vereinbarte die TWO, ihre zweiundfünfzigste Tagung vom 8. bis 12. Juni 2020 in Roelofarendsveen, Niederlande, abzuhalten</w:t>
      </w:r>
      <w:r w:rsidRPr="00C47725">
        <w:rPr>
          <w:rFonts w:cs="Arial"/>
          <w:color w:val="000000" w:themeColor="text1"/>
          <w:lang w:val="de-DE"/>
        </w:rPr>
        <w:t>.</w:t>
      </w:r>
      <w:bookmarkEnd w:id="8"/>
    </w:p>
    <w:p w:rsidR="002D20DB" w:rsidRPr="00C47725" w:rsidRDefault="002D20DB" w:rsidP="002D20DB">
      <w:pPr>
        <w:rPr>
          <w:rFonts w:cs="Arial"/>
          <w:lang w:val="de-DE"/>
        </w:rPr>
      </w:pPr>
    </w:p>
    <w:p w:rsidR="002D20DB" w:rsidRPr="00C47725" w:rsidRDefault="002D20DB" w:rsidP="002D20DB">
      <w:pPr>
        <w:rPr>
          <w:rFonts w:ascii="Calibri" w:eastAsia="Calibri" w:hAnsi="Calibri"/>
          <w:sz w:val="22"/>
          <w:szCs w:val="22"/>
          <w:lang w:val="de-DE"/>
        </w:rPr>
      </w:pPr>
      <w:r w:rsidRPr="000820C7">
        <w:rPr>
          <w:rFonts w:cs="Arial"/>
          <w:color w:val="000000" w:themeColor="text1"/>
          <w:lang w:val="de-DE"/>
        </w:rPr>
        <w:fldChar w:fldCharType="begin"/>
      </w:r>
      <w:r w:rsidRPr="000820C7">
        <w:rPr>
          <w:rFonts w:cs="Arial"/>
          <w:color w:val="000000" w:themeColor="text1"/>
          <w:lang w:val="de-DE"/>
        </w:rPr>
        <w:instrText xml:space="preserve"> AUTONUM  </w:instrText>
      </w:r>
      <w:r w:rsidRPr="000820C7">
        <w:rPr>
          <w:rFonts w:cs="Arial"/>
          <w:color w:val="000000" w:themeColor="text1"/>
          <w:lang w:val="de-DE"/>
        </w:rPr>
        <w:fldChar w:fldCharType="end"/>
      </w:r>
      <w:r w:rsidRPr="00C47725">
        <w:rPr>
          <w:rFonts w:cs="Arial"/>
          <w:color w:val="000000" w:themeColor="text1"/>
          <w:lang w:val="de-DE"/>
        </w:rPr>
        <w:tab/>
      </w:r>
      <w:r w:rsidRPr="000820C7">
        <w:rPr>
          <w:rFonts w:cs="Arial"/>
          <w:lang w:val="de-DE"/>
        </w:rPr>
        <w:t xml:space="preserve">Die TWO vereinbarte, </w:t>
      </w:r>
      <w:r w:rsidRPr="000820C7">
        <w:rPr>
          <w:rFonts w:eastAsia="Calibri" w:cs="Arial"/>
          <w:lang w:val="de-DE"/>
        </w:rPr>
        <w:t xml:space="preserve">auf ihrer nächsten Tagung folgende </w:t>
      </w:r>
      <w:r>
        <w:rPr>
          <w:rFonts w:eastAsia="Calibri" w:cs="Arial"/>
          <w:lang w:val="de-DE"/>
        </w:rPr>
        <w:t>Tagesordnungsp</w:t>
      </w:r>
      <w:r w:rsidRPr="000820C7">
        <w:rPr>
          <w:rFonts w:eastAsia="Calibri" w:cs="Arial"/>
          <w:lang w:val="de-DE"/>
        </w:rPr>
        <w:t>unkte zu behandeln</w:t>
      </w:r>
      <w:r w:rsidRPr="000820C7">
        <w:rPr>
          <w:lang w:val="de-DE"/>
        </w:rPr>
        <w:t>:</w:t>
      </w:r>
    </w:p>
    <w:p w:rsidR="002D20DB" w:rsidRPr="00C47725" w:rsidRDefault="002D20DB" w:rsidP="002D20DB">
      <w:pPr>
        <w:ind w:left="567"/>
        <w:rPr>
          <w:lang w:val="de-DE"/>
        </w:rPr>
      </w:pPr>
    </w:p>
    <w:p w:rsidR="002D20DB" w:rsidRPr="00C47725" w:rsidRDefault="002D20DB" w:rsidP="002D20DB">
      <w:pPr>
        <w:tabs>
          <w:tab w:val="left" w:pos="1134"/>
          <w:tab w:val="left" w:pos="1701"/>
        </w:tabs>
        <w:ind w:left="567"/>
        <w:rPr>
          <w:lang w:val="de-DE"/>
        </w:rPr>
      </w:pPr>
      <w:r w:rsidRPr="00C47725">
        <w:rPr>
          <w:lang w:val="de-DE"/>
        </w:rPr>
        <w:t>1.</w:t>
      </w:r>
      <w:r w:rsidRPr="00C47725">
        <w:rPr>
          <w:lang w:val="de-DE"/>
        </w:rPr>
        <w:tab/>
        <w:t>Eröffnung der Tagung</w:t>
      </w:r>
    </w:p>
    <w:p w:rsidR="002D20DB" w:rsidRPr="00C47725" w:rsidRDefault="002D20DB" w:rsidP="002D20DB">
      <w:pPr>
        <w:tabs>
          <w:tab w:val="left" w:pos="1134"/>
          <w:tab w:val="left" w:pos="1701"/>
        </w:tabs>
        <w:ind w:left="567"/>
        <w:rPr>
          <w:lang w:val="de-DE"/>
        </w:rPr>
      </w:pPr>
      <w:r w:rsidRPr="00C47725">
        <w:rPr>
          <w:lang w:val="de-DE"/>
        </w:rPr>
        <w:t>2.</w:t>
      </w:r>
      <w:r w:rsidRPr="00C47725">
        <w:rPr>
          <w:lang w:val="de-DE"/>
        </w:rPr>
        <w:tab/>
        <w:t>Annahme der Tagesordnung</w:t>
      </w:r>
    </w:p>
    <w:p w:rsidR="002D20DB" w:rsidRPr="00C47725" w:rsidRDefault="002D20DB" w:rsidP="002D20DB">
      <w:pPr>
        <w:tabs>
          <w:tab w:val="left" w:pos="1134"/>
          <w:tab w:val="left" w:pos="1701"/>
        </w:tabs>
        <w:ind w:left="567"/>
        <w:rPr>
          <w:lang w:val="de-DE"/>
        </w:rPr>
      </w:pPr>
      <w:r w:rsidRPr="00C47725">
        <w:rPr>
          <w:lang w:val="de-DE"/>
        </w:rPr>
        <w:t>3.</w:t>
      </w:r>
      <w:r w:rsidRPr="00C47725">
        <w:rPr>
          <w:lang w:val="de-DE"/>
        </w:rPr>
        <w:tab/>
        <w:t>Kurzberichte über die Entwicklungen im Sortenschutz</w:t>
      </w:r>
    </w:p>
    <w:p w:rsidR="002D20DB" w:rsidRPr="00C47725" w:rsidRDefault="002D20DB" w:rsidP="002D20DB">
      <w:pPr>
        <w:tabs>
          <w:tab w:val="left" w:pos="1134"/>
          <w:tab w:val="left" w:pos="1701"/>
        </w:tabs>
        <w:ind w:left="1701" w:hanging="567"/>
        <w:rPr>
          <w:lang w:val="de-DE"/>
        </w:rPr>
      </w:pPr>
      <w:r w:rsidRPr="00C47725">
        <w:rPr>
          <w:lang w:val="de-DE"/>
        </w:rPr>
        <w:lastRenderedPageBreak/>
        <w:t>a)</w:t>
      </w:r>
      <w:r w:rsidRPr="00C47725">
        <w:rPr>
          <w:lang w:val="de-DE"/>
        </w:rPr>
        <w:tab/>
        <w:t>Berichte von Mitgliedern und Beobachtern (von Mitgliedern und Beobachtern zu erstellende schriftliche Berichte)</w:t>
      </w:r>
    </w:p>
    <w:p w:rsidR="002D20DB" w:rsidRPr="00C47725" w:rsidRDefault="002D20DB" w:rsidP="002D20DB">
      <w:pPr>
        <w:tabs>
          <w:tab w:val="left" w:pos="1134"/>
          <w:tab w:val="left" w:pos="1701"/>
        </w:tabs>
        <w:ind w:left="1701" w:hanging="567"/>
        <w:rPr>
          <w:lang w:val="de-DE"/>
        </w:rPr>
      </w:pPr>
      <w:r w:rsidRPr="00C47725">
        <w:rPr>
          <w:lang w:val="de-DE"/>
        </w:rPr>
        <w:t>b)</w:t>
      </w:r>
      <w:r w:rsidRPr="00C47725">
        <w:rPr>
          <w:lang w:val="de-DE"/>
        </w:rPr>
        <w:tab/>
        <w:t xml:space="preserve">Berichte über Entwicklungen in der UPOV </w:t>
      </w:r>
      <w:r w:rsidRPr="00C47725">
        <w:rPr>
          <w:rFonts w:cs="Arial"/>
          <w:lang w:val="de-DE"/>
        </w:rPr>
        <w:t>(vom Verbandsbüro zu erstellendes Dokument)</w:t>
      </w:r>
    </w:p>
    <w:p w:rsidR="002D20DB" w:rsidRPr="00C47725" w:rsidRDefault="002D20DB" w:rsidP="002D20DB">
      <w:pPr>
        <w:tabs>
          <w:tab w:val="left" w:pos="1134"/>
          <w:tab w:val="left" w:pos="1701"/>
        </w:tabs>
        <w:ind w:left="567"/>
        <w:rPr>
          <w:rFonts w:cs="Arial"/>
          <w:lang w:val="de-DE"/>
        </w:rPr>
      </w:pPr>
      <w:r w:rsidRPr="00C47725">
        <w:rPr>
          <w:lang w:val="de-DE"/>
        </w:rPr>
        <w:t>4.</w:t>
      </w:r>
      <w:r w:rsidRPr="00C47725">
        <w:rPr>
          <w:lang w:val="de-DE"/>
        </w:rPr>
        <w:tab/>
        <w:t xml:space="preserve">TGP-Dokumente </w:t>
      </w:r>
      <w:r w:rsidRPr="00C47725">
        <w:rPr>
          <w:rFonts w:cs="Arial"/>
          <w:lang w:val="de-DE"/>
        </w:rPr>
        <w:t>(vom Verbandsbüro zu erstellende Dokumente)</w:t>
      </w:r>
    </w:p>
    <w:p w:rsidR="002D20DB" w:rsidRPr="00C47725" w:rsidRDefault="002D20DB" w:rsidP="002D20DB">
      <w:pPr>
        <w:tabs>
          <w:tab w:val="left" w:pos="1134"/>
          <w:tab w:val="left" w:pos="1701"/>
        </w:tabs>
        <w:ind w:left="567"/>
        <w:rPr>
          <w:lang w:val="de-DE"/>
        </w:rPr>
      </w:pPr>
      <w:r w:rsidRPr="00C47725">
        <w:rPr>
          <w:lang w:val="de-DE"/>
        </w:rPr>
        <w:t>5.</w:t>
      </w:r>
      <w:r w:rsidRPr="00C47725">
        <w:rPr>
          <w:lang w:val="de-DE"/>
        </w:rPr>
        <w:tab/>
        <w:t xml:space="preserve">Molekulare Verfahren </w:t>
      </w:r>
      <w:r w:rsidRPr="00C47725">
        <w:rPr>
          <w:rFonts w:cs="Arial"/>
          <w:lang w:val="de-DE"/>
        </w:rPr>
        <w:t>(vom Verbandsbüro zu erstellendes Dokument)</w:t>
      </w:r>
    </w:p>
    <w:p w:rsidR="002D20DB" w:rsidRPr="00C47725" w:rsidRDefault="002D20DB" w:rsidP="002D20DB">
      <w:pPr>
        <w:tabs>
          <w:tab w:val="left" w:pos="1134"/>
          <w:tab w:val="left" w:pos="1701"/>
        </w:tabs>
        <w:ind w:left="567"/>
        <w:rPr>
          <w:lang w:val="de-DE"/>
        </w:rPr>
      </w:pPr>
      <w:r w:rsidRPr="00C47725">
        <w:rPr>
          <w:lang w:val="de-DE"/>
        </w:rPr>
        <w:t>6.</w:t>
      </w:r>
      <w:r w:rsidRPr="00C47725">
        <w:rPr>
          <w:lang w:val="de-DE"/>
        </w:rPr>
        <w:tab/>
        <w:t>Sortenbezeichnungen (vom Verbandsbüro zu erstellendes Dokument)</w:t>
      </w:r>
    </w:p>
    <w:p w:rsidR="002D20DB" w:rsidRPr="00C47725" w:rsidRDefault="002D20DB" w:rsidP="002D20DB">
      <w:pPr>
        <w:tabs>
          <w:tab w:val="left" w:pos="1134"/>
          <w:tab w:val="left" w:pos="1701"/>
        </w:tabs>
        <w:ind w:left="567"/>
        <w:rPr>
          <w:lang w:val="de-DE"/>
        </w:rPr>
      </w:pPr>
      <w:r w:rsidRPr="00C47725">
        <w:rPr>
          <w:lang w:val="de-DE"/>
        </w:rPr>
        <w:t>7.</w:t>
      </w:r>
      <w:r w:rsidRPr="00C47725">
        <w:rPr>
          <w:lang w:val="de-DE"/>
        </w:rPr>
        <w:tab/>
        <w:t>Informationen und Datenbanken</w:t>
      </w:r>
    </w:p>
    <w:p w:rsidR="002D20DB" w:rsidRPr="00C47725" w:rsidRDefault="002D20DB" w:rsidP="002D20DB">
      <w:pPr>
        <w:tabs>
          <w:tab w:val="left" w:pos="1134"/>
          <w:tab w:val="left" w:pos="1701"/>
        </w:tabs>
        <w:ind w:left="1701" w:hanging="567"/>
        <w:rPr>
          <w:rFonts w:cs="Arial"/>
          <w:lang w:val="de-DE"/>
        </w:rPr>
      </w:pPr>
      <w:r w:rsidRPr="00C47725">
        <w:rPr>
          <w:rFonts w:cs="Arial"/>
          <w:lang w:val="de-DE"/>
        </w:rPr>
        <w:t>a)</w:t>
      </w:r>
      <w:r w:rsidRPr="00C47725">
        <w:rPr>
          <w:rFonts w:cs="Arial"/>
          <w:lang w:val="de-DE"/>
        </w:rPr>
        <w:tab/>
        <w:t>UPOV-Informationsdatenbanken (vom Verbandsbüro zu erstellendes Dokument)</w:t>
      </w:r>
    </w:p>
    <w:p w:rsidR="002D20DB" w:rsidRPr="00C47725" w:rsidRDefault="002D20DB" w:rsidP="002D20DB">
      <w:pPr>
        <w:tabs>
          <w:tab w:val="left" w:pos="1134"/>
          <w:tab w:val="left" w:pos="1701"/>
        </w:tabs>
        <w:ind w:left="1701" w:hanging="567"/>
        <w:rPr>
          <w:rFonts w:cs="Arial"/>
          <w:lang w:val="de-DE"/>
        </w:rPr>
      </w:pPr>
      <w:r w:rsidRPr="00C47725">
        <w:rPr>
          <w:rFonts w:cs="Arial"/>
          <w:lang w:val="de-DE"/>
        </w:rPr>
        <w:t>b)</w:t>
      </w:r>
      <w:r w:rsidRPr="00C47725">
        <w:rPr>
          <w:rFonts w:cs="Arial"/>
          <w:lang w:val="de-DE"/>
        </w:rPr>
        <w:tab/>
        <w:t xml:space="preserve">Datenbanken für Sortenbeschreibungen (vom Verbandsbüro zu erstellendes Dokument und Dokumente erbeten) </w:t>
      </w:r>
    </w:p>
    <w:p w:rsidR="002D20DB" w:rsidRPr="00C47725" w:rsidRDefault="002D20DB" w:rsidP="002D20DB">
      <w:pPr>
        <w:tabs>
          <w:tab w:val="left" w:pos="1134"/>
          <w:tab w:val="left" w:pos="1701"/>
        </w:tabs>
        <w:ind w:left="1701" w:hanging="567"/>
        <w:rPr>
          <w:rFonts w:cs="Arial"/>
          <w:lang w:val="de-DE"/>
        </w:rPr>
      </w:pPr>
      <w:r w:rsidRPr="00C47725">
        <w:rPr>
          <w:rFonts w:cs="Arial"/>
          <w:lang w:val="de-DE"/>
        </w:rPr>
        <w:t>c)</w:t>
      </w:r>
      <w:r w:rsidRPr="00C47725">
        <w:rPr>
          <w:rFonts w:cs="Arial"/>
          <w:lang w:val="de-DE"/>
        </w:rPr>
        <w:tab/>
        <w:t>Austausch und Verwendung von Software und Ausrüstung (vom Verbandsbüro zu erstellendes Dokument)</w:t>
      </w:r>
    </w:p>
    <w:p w:rsidR="002D20DB" w:rsidRPr="00C47725" w:rsidRDefault="002D20DB" w:rsidP="002D20DB">
      <w:pPr>
        <w:tabs>
          <w:tab w:val="left" w:pos="1134"/>
          <w:tab w:val="left" w:pos="1701"/>
        </w:tabs>
        <w:ind w:left="1701" w:hanging="567"/>
        <w:rPr>
          <w:rFonts w:cs="Arial"/>
          <w:lang w:val="de-DE"/>
        </w:rPr>
      </w:pPr>
      <w:r w:rsidRPr="00C47725">
        <w:rPr>
          <w:rFonts w:cs="Arial"/>
          <w:lang w:val="de-DE"/>
        </w:rPr>
        <w:t>d)</w:t>
      </w:r>
      <w:r w:rsidRPr="00C47725">
        <w:rPr>
          <w:rFonts w:cs="Arial"/>
          <w:lang w:val="de-DE"/>
        </w:rPr>
        <w:tab/>
        <w:t xml:space="preserve">UPOV PRISMA (vom Verbandsbüro zu erstellendes Dokument und </w:t>
      </w:r>
      <w:r>
        <w:rPr>
          <w:rFonts w:cs="Arial"/>
          <w:lang w:val="de-DE"/>
        </w:rPr>
        <w:t xml:space="preserve">erbetene </w:t>
      </w:r>
      <w:r w:rsidRPr="00C47725">
        <w:rPr>
          <w:rFonts w:cs="Arial"/>
          <w:lang w:val="de-DE"/>
        </w:rPr>
        <w:t>Berichte über die Bereitstellung von Informationen über Bäume und Reben an UPOV PRISMA)</w:t>
      </w:r>
    </w:p>
    <w:p w:rsidR="002D20DB" w:rsidRPr="00C47725" w:rsidRDefault="002D20DB" w:rsidP="002D20DB">
      <w:pPr>
        <w:tabs>
          <w:tab w:val="left" w:pos="1134"/>
          <w:tab w:val="left" w:pos="1701"/>
        </w:tabs>
        <w:ind w:left="1134" w:hanging="567"/>
        <w:rPr>
          <w:rFonts w:cs="Arial"/>
          <w:color w:val="000000"/>
          <w:lang w:val="de-DE"/>
        </w:rPr>
      </w:pPr>
      <w:r w:rsidRPr="00C47725">
        <w:rPr>
          <w:rFonts w:cs="Arial"/>
          <w:color w:val="000000"/>
          <w:lang w:val="de-DE"/>
        </w:rPr>
        <w:t>8.</w:t>
      </w:r>
      <w:r w:rsidRPr="00C47725">
        <w:rPr>
          <w:rFonts w:cs="Arial"/>
          <w:color w:val="000000"/>
          <w:lang w:val="de-DE"/>
        </w:rPr>
        <w:tab/>
        <w:t>Mindestabstände zwischen vegetativ vermehrten Zierpflanzen (von der Europäischen Union und CIOPORA zu erstellendes Dokument und Dokumente erbeten)</w:t>
      </w:r>
    </w:p>
    <w:p w:rsidR="002D20DB" w:rsidRPr="00C47725" w:rsidRDefault="002D20DB" w:rsidP="002D20DB">
      <w:pPr>
        <w:tabs>
          <w:tab w:val="left" w:pos="1134"/>
          <w:tab w:val="left" w:pos="1701"/>
        </w:tabs>
        <w:ind w:left="567"/>
        <w:rPr>
          <w:lang w:val="de-DE"/>
        </w:rPr>
      </w:pPr>
      <w:r w:rsidRPr="00C47725">
        <w:rPr>
          <w:lang w:val="de-DE"/>
        </w:rPr>
        <w:t>9.</w:t>
      </w:r>
      <w:r w:rsidRPr="00C47725">
        <w:rPr>
          <w:lang w:val="de-DE"/>
        </w:rPr>
        <w:tab/>
        <w:t>Neue Fragen, die sich für die DUS-Prüfung ergeben (Dokumente erbeten)</w:t>
      </w:r>
    </w:p>
    <w:p w:rsidR="002D20DB" w:rsidRPr="00C47725" w:rsidRDefault="002D20DB" w:rsidP="002D20DB">
      <w:pPr>
        <w:tabs>
          <w:tab w:val="left" w:pos="1134"/>
          <w:tab w:val="left" w:pos="1701"/>
        </w:tabs>
        <w:ind w:left="1170" w:hanging="603"/>
        <w:rPr>
          <w:lang w:val="de-DE"/>
        </w:rPr>
      </w:pPr>
      <w:r w:rsidRPr="00C47725">
        <w:rPr>
          <w:lang w:val="de-DE"/>
        </w:rPr>
        <w:t>10.</w:t>
      </w:r>
      <w:r w:rsidRPr="00C47725">
        <w:rPr>
          <w:lang w:val="de-DE"/>
        </w:rPr>
        <w:tab/>
        <w:t xml:space="preserve">Bericht über Gerichtsverfahren betreffend technische Angelegenheiten (Dokument </w:t>
      </w:r>
      <w:r>
        <w:rPr>
          <w:lang w:val="de-DE"/>
        </w:rPr>
        <w:t>erbeten</w:t>
      </w:r>
      <w:r w:rsidRPr="00C47725">
        <w:rPr>
          <w:lang w:val="de-DE"/>
        </w:rPr>
        <w:t>)</w:t>
      </w:r>
    </w:p>
    <w:p w:rsidR="002D20DB" w:rsidRPr="00C47725" w:rsidRDefault="002D20DB" w:rsidP="002D20DB">
      <w:pPr>
        <w:tabs>
          <w:tab w:val="left" w:pos="1134"/>
          <w:tab w:val="left" w:pos="1701"/>
        </w:tabs>
        <w:ind w:left="567"/>
        <w:rPr>
          <w:lang w:val="de-DE"/>
        </w:rPr>
      </w:pPr>
      <w:r w:rsidRPr="00C47725">
        <w:rPr>
          <w:lang w:val="de-DE"/>
        </w:rPr>
        <w:t>11.</w:t>
      </w:r>
      <w:r w:rsidRPr="00C47725">
        <w:rPr>
          <w:lang w:val="de-DE"/>
        </w:rPr>
        <w:tab/>
        <w:t xml:space="preserve">Erfahrungen mit neuen </w:t>
      </w:r>
      <w:r>
        <w:rPr>
          <w:lang w:val="de-DE"/>
        </w:rPr>
        <w:t>Typen</w:t>
      </w:r>
      <w:r w:rsidRPr="00C47725">
        <w:rPr>
          <w:lang w:val="de-DE"/>
        </w:rPr>
        <w:t xml:space="preserve"> und Arten (mündliche Berichte erbeten) </w:t>
      </w:r>
    </w:p>
    <w:p w:rsidR="002D20DB" w:rsidRPr="00C47725" w:rsidRDefault="002D20DB" w:rsidP="002D20DB">
      <w:pPr>
        <w:tabs>
          <w:tab w:val="left" w:pos="1134"/>
          <w:tab w:val="left" w:pos="1701"/>
        </w:tabs>
        <w:ind w:left="567"/>
        <w:rPr>
          <w:lang w:val="de-DE"/>
        </w:rPr>
      </w:pPr>
      <w:r w:rsidRPr="00C47725">
        <w:rPr>
          <w:lang w:val="de-DE"/>
        </w:rPr>
        <w:t>12.</w:t>
      </w:r>
      <w:r w:rsidRPr="00C47725">
        <w:rPr>
          <w:lang w:val="de-DE"/>
        </w:rPr>
        <w:tab/>
        <w:t xml:space="preserve">Angelegenheiten, die bezüglich der vom Technischen </w:t>
      </w:r>
      <w:r>
        <w:rPr>
          <w:lang w:val="de-DE"/>
        </w:rPr>
        <w:t>Ausschuss</w:t>
      </w:r>
      <w:r w:rsidRPr="00C47725">
        <w:rPr>
          <w:lang w:val="de-DE"/>
        </w:rPr>
        <w:t xml:space="preserve"> angenommenen </w:t>
      </w:r>
      <w:r w:rsidRPr="00C47725">
        <w:rPr>
          <w:lang w:val="de-DE"/>
        </w:rPr>
        <w:tab/>
        <w:t>Prüfungsrichtlinien zu bereinigen sind</w:t>
      </w:r>
    </w:p>
    <w:p w:rsidR="002D20DB" w:rsidRPr="00C47725" w:rsidRDefault="002D20DB" w:rsidP="002D20DB">
      <w:pPr>
        <w:tabs>
          <w:tab w:val="left" w:pos="1134"/>
          <w:tab w:val="left" w:pos="1701"/>
        </w:tabs>
        <w:ind w:left="567"/>
        <w:rPr>
          <w:lang w:val="de-DE"/>
        </w:rPr>
      </w:pPr>
      <w:r w:rsidRPr="00C47725">
        <w:rPr>
          <w:lang w:val="de-DE"/>
        </w:rPr>
        <w:t>13.</w:t>
      </w:r>
      <w:r w:rsidRPr="00C47725">
        <w:rPr>
          <w:lang w:val="de-DE"/>
        </w:rPr>
        <w:tab/>
        <w:t xml:space="preserve">Erörterungen von </w:t>
      </w:r>
      <w:r>
        <w:rPr>
          <w:lang w:val="de-DE"/>
        </w:rPr>
        <w:t>Entwürfen von Prüfungsrichtlinien</w:t>
      </w:r>
      <w:r w:rsidRPr="00C47725">
        <w:rPr>
          <w:lang w:val="de-DE"/>
        </w:rPr>
        <w:t xml:space="preserve"> (Untergruppen)</w:t>
      </w:r>
    </w:p>
    <w:p w:rsidR="002D20DB" w:rsidRPr="00C47725" w:rsidRDefault="002D20DB" w:rsidP="002D20DB">
      <w:pPr>
        <w:tabs>
          <w:tab w:val="left" w:pos="1134"/>
          <w:tab w:val="left" w:pos="1701"/>
        </w:tabs>
        <w:ind w:left="567"/>
        <w:rPr>
          <w:lang w:val="de-DE"/>
        </w:rPr>
      </w:pPr>
      <w:r w:rsidRPr="00C47725">
        <w:rPr>
          <w:lang w:val="de-DE"/>
        </w:rPr>
        <w:t>14.</w:t>
      </w:r>
      <w:r w:rsidRPr="00C47725">
        <w:rPr>
          <w:lang w:val="de-DE"/>
        </w:rPr>
        <w:tab/>
        <w:t xml:space="preserve">Empfehlungen zu </w:t>
      </w:r>
      <w:r>
        <w:rPr>
          <w:lang w:val="de-DE"/>
        </w:rPr>
        <w:t>Entwürfen von Prüfungsrichtlinien</w:t>
      </w:r>
    </w:p>
    <w:p w:rsidR="002D20DB" w:rsidRPr="00C47725" w:rsidRDefault="002D20DB" w:rsidP="002D20DB">
      <w:pPr>
        <w:tabs>
          <w:tab w:val="left" w:pos="1134"/>
          <w:tab w:val="left" w:pos="1701"/>
        </w:tabs>
        <w:ind w:left="567"/>
        <w:rPr>
          <w:lang w:val="de-DE"/>
        </w:rPr>
      </w:pPr>
      <w:r w:rsidRPr="00C47725">
        <w:rPr>
          <w:lang w:val="de-DE"/>
        </w:rPr>
        <w:t>15.</w:t>
      </w:r>
      <w:r w:rsidRPr="00C47725">
        <w:rPr>
          <w:lang w:val="de-DE"/>
        </w:rPr>
        <w:tab/>
        <w:t xml:space="preserve">Anleitung für Verfasser von Prüfungsrichtlinien </w:t>
      </w:r>
    </w:p>
    <w:p w:rsidR="002D20DB" w:rsidRPr="00C47725" w:rsidRDefault="002D20DB" w:rsidP="002D20DB">
      <w:pPr>
        <w:tabs>
          <w:tab w:val="left" w:pos="1134"/>
          <w:tab w:val="left" w:pos="1701"/>
        </w:tabs>
        <w:ind w:left="567"/>
        <w:rPr>
          <w:lang w:val="de-DE"/>
        </w:rPr>
      </w:pPr>
      <w:r w:rsidRPr="00C47725">
        <w:rPr>
          <w:lang w:val="de-DE"/>
        </w:rPr>
        <w:t>16.</w:t>
      </w:r>
      <w:r w:rsidRPr="00C47725">
        <w:rPr>
          <w:lang w:val="de-DE"/>
        </w:rPr>
        <w:tab/>
        <w:t>Ort und Datum der nächsten Tagung</w:t>
      </w:r>
    </w:p>
    <w:p w:rsidR="002D20DB" w:rsidRPr="00C47725" w:rsidRDefault="002D20DB" w:rsidP="002D20DB">
      <w:pPr>
        <w:tabs>
          <w:tab w:val="left" w:pos="1134"/>
          <w:tab w:val="left" w:pos="1701"/>
        </w:tabs>
        <w:ind w:left="567"/>
        <w:rPr>
          <w:lang w:val="de-DE"/>
        </w:rPr>
      </w:pPr>
      <w:r w:rsidRPr="00C47725">
        <w:rPr>
          <w:lang w:val="de-DE"/>
        </w:rPr>
        <w:t>17.</w:t>
      </w:r>
      <w:r w:rsidRPr="00C47725">
        <w:rPr>
          <w:lang w:val="de-DE"/>
        </w:rPr>
        <w:tab/>
        <w:t>Künftiges Programm</w:t>
      </w:r>
    </w:p>
    <w:p w:rsidR="002D20DB" w:rsidRPr="00C47725" w:rsidRDefault="002D20DB" w:rsidP="002D20DB">
      <w:pPr>
        <w:tabs>
          <w:tab w:val="left" w:pos="1134"/>
          <w:tab w:val="left" w:pos="1701"/>
        </w:tabs>
        <w:ind w:left="567"/>
        <w:rPr>
          <w:lang w:val="de-DE"/>
        </w:rPr>
      </w:pPr>
      <w:r w:rsidRPr="00C47725">
        <w:rPr>
          <w:lang w:val="de-DE"/>
        </w:rPr>
        <w:t>18.</w:t>
      </w:r>
      <w:r w:rsidRPr="00C47725">
        <w:rPr>
          <w:lang w:val="de-DE"/>
        </w:rPr>
        <w:tab/>
        <w:t>Annahme des Berichts über die Tagung (wenn zeitlich möglich)</w:t>
      </w:r>
    </w:p>
    <w:p w:rsidR="002D20DB" w:rsidRPr="00C47725" w:rsidRDefault="002D20DB" w:rsidP="002D20DB">
      <w:pPr>
        <w:tabs>
          <w:tab w:val="left" w:pos="1134"/>
          <w:tab w:val="left" w:pos="1701"/>
        </w:tabs>
        <w:ind w:left="567"/>
        <w:rPr>
          <w:lang w:val="de-DE"/>
        </w:rPr>
      </w:pPr>
      <w:r w:rsidRPr="00C47725">
        <w:rPr>
          <w:lang w:val="de-DE"/>
        </w:rPr>
        <w:t>19.</w:t>
      </w:r>
      <w:r w:rsidRPr="00C47725">
        <w:rPr>
          <w:lang w:val="de-DE"/>
        </w:rPr>
        <w:tab/>
        <w:t>Schließung der Tagung</w:t>
      </w:r>
    </w:p>
    <w:p w:rsidR="002D20DB" w:rsidRPr="00C47725" w:rsidRDefault="002D20DB" w:rsidP="002D20DB">
      <w:pPr>
        <w:rPr>
          <w:rFonts w:cs="Arial"/>
          <w:color w:val="000000" w:themeColor="text1"/>
          <w:lang w:val="de-DE"/>
        </w:rPr>
      </w:pPr>
    </w:p>
    <w:p w:rsidR="002D20DB" w:rsidRPr="00C47725" w:rsidRDefault="002D20DB" w:rsidP="002D20DB">
      <w:pPr>
        <w:rPr>
          <w:shd w:val="clear" w:color="auto" w:fill="FFFFFF"/>
          <w:lang w:val="de-DE"/>
        </w:rPr>
      </w:pPr>
      <w:r w:rsidRPr="000820C7">
        <w:rPr>
          <w:shd w:val="clear" w:color="auto" w:fill="FFFFFF"/>
          <w:lang w:val="de-DE"/>
        </w:rPr>
        <w:fldChar w:fldCharType="begin"/>
      </w:r>
      <w:r w:rsidRPr="000820C7">
        <w:rPr>
          <w:shd w:val="clear" w:color="auto" w:fill="FFFFFF"/>
          <w:lang w:val="de-DE"/>
        </w:rPr>
        <w:instrText xml:space="preserve"> AUTONUM  </w:instrText>
      </w:r>
      <w:r w:rsidRPr="000820C7">
        <w:rPr>
          <w:shd w:val="clear" w:color="auto" w:fill="FFFFFF"/>
          <w:lang w:val="de-DE"/>
        </w:rPr>
        <w:fldChar w:fldCharType="end"/>
      </w:r>
      <w:r w:rsidRPr="00C47725">
        <w:rPr>
          <w:shd w:val="clear" w:color="auto" w:fill="FFFFFF"/>
          <w:lang w:val="de-DE"/>
        </w:rPr>
        <w:tab/>
        <w:t xml:space="preserve">Am </w:t>
      </w:r>
      <w:r>
        <w:rPr>
          <w:shd w:val="clear" w:color="auto" w:fill="FFFFFF"/>
          <w:lang w:val="de-DE"/>
        </w:rPr>
        <w:t>N</w:t>
      </w:r>
      <w:r w:rsidRPr="00C47725">
        <w:rPr>
          <w:shd w:val="clear" w:color="auto" w:fill="FFFFFF"/>
          <w:lang w:val="de-DE"/>
        </w:rPr>
        <w:t xml:space="preserve">achmittag </w:t>
      </w:r>
      <w:r>
        <w:rPr>
          <w:shd w:val="clear" w:color="auto" w:fill="FFFFFF"/>
          <w:lang w:val="de-DE"/>
        </w:rPr>
        <w:t xml:space="preserve">des Mittwoch, </w:t>
      </w:r>
      <w:r w:rsidRPr="00C47725">
        <w:rPr>
          <w:shd w:val="clear" w:color="auto" w:fill="FFFFFF"/>
          <w:lang w:val="de-DE"/>
        </w:rPr>
        <w:t>20. Februar 2019</w:t>
      </w:r>
      <w:r>
        <w:rPr>
          <w:shd w:val="clear" w:color="auto" w:fill="FFFFFF"/>
          <w:lang w:val="de-DE"/>
        </w:rPr>
        <w:t>,</w:t>
      </w:r>
      <w:r w:rsidRPr="00C47725">
        <w:rPr>
          <w:shd w:val="clear" w:color="auto" w:fill="FFFFFF"/>
          <w:lang w:val="de-DE"/>
        </w:rPr>
        <w:t xml:space="preserve"> besuchte die TWO die Broadfield New Zealand Gardens bei Rolleston, um einheimische Zierpflanzen</w:t>
      </w:r>
      <w:r>
        <w:rPr>
          <w:shd w:val="clear" w:color="auto" w:fill="FFFFFF"/>
          <w:lang w:val="de-DE"/>
        </w:rPr>
        <w:t>, unter anderem</w:t>
      </w:r>
      <w:r w:rsidRPr="00C47725">
        <w:rPr>
          <w:shd w:val="clear" w:color="auto" w:fill="FFFFFF"/>
          <w:lang w:val="de-DE"/>
        </w:rPr>
        <w:t xml:space="preserve"> Agathis, Clianthus, Neopanax und Pseudopanax</w:t>
      </w:r>
      <w:r>
        <w:rPr>
          <w:shd w:val="clear" w:color="auto" w:fill="FFFFFF"/>
          <w:lang w:val="de-DE"/>
        </w:rPr>
        <w:t>,</w:t>
      </w:r>
      <w:r w:rsidRPr="00C47725">
        <w:rPr>
          <w:shd w:val="clear" w:color="auto" w:fill="FFFFFF"/>
          <w:lang w:val="de-DE"/>
        </w:rPr>
        <w:t xml:space="preserve"> zu sehen. Die TWO besuchte auch die Manaaki Whenua Landcare </w:t>
      </w:r>
      <w:r>
        <w:rPr>
          <w:shd w:val="clear" w:color="auto" w:fill="FFFFFF"/>
          <w:lang w:val="de-DE"/>
        </w:rPr>
        <w:t>Forschungsstelle im</w:t>
      </w:r>
      <w:r w:rsidRPr="00C47725">
        <w:rPr>
          <w:shd w:val="clear" w:color="auto" w:fill="FFFFFF"/>
          <w:lang w:val="de-DE"/>
        </w:rPr>
        <w:t xml:space="preserve"> Canterbury Agriculture and Science Centre Lincoln (CASC) und die DUS-</w:t>
      </w:r>
      <w:r>
        <w:rPr>
          <w:shd w:val="clear" w:color="auto" w:fill="FFFFFF"/>
          <w:lang w:val="de-DE"/>
        </w:rPr>
        <w:t>Anbauv</w:t>
      </w:r>
      <w:r w:rsidRPr="00C47725">
        <w:rPr>
          <w:shd w:val="clear" w:color="auto" w:fill="FFFFFF"/>
          <w:lang w:val="de-DE"/>
        </w:rPr>
        <w:t xml:space="preserve">ersuche für Storchschnabel, Daphne und Leucothoe. Die TWO besuchte die Sortensammlungen für Cordyline, Strauchveronika, Zantedeschia und New Zealand Flax. </w:t>
      </w:r>
    </w:p>
    <w:p w:rsidR="002D20DB" w:rsidRPr="00C47725" w:rsidRDefault="002D20DB" w:rsidP="002D20DB">
      <w:pPr>
        <w:rPr>
          <w:shd w:val="clear" w:color="auto" w:fill="FFFFFF"/>
          <w:lang w:val="de-DE"/>
        </w:rPr>
      </w:pPr>
    </w:p>
    <w:p w:rsidR="002D20DB" w:rsidRPr="00C47725" w:rsidRDefault="002D20DB" w:rsidP="002D20DB">
      <w:pPr>
        <w:rPr>
          <w:shd w:val="clear" w:color="auto" w:fill="FFFFFF"/>
          <w:lang w:val="de-DE"/>
        </w:rPr>
      </w:pPr>
      <w:r w:rsidRPr="000820C7">
        <w:rPr>
          <w:shd w:val="clear" w:color="auto" w:fill="FFFFFF"/>
          <w:lang w:val="de-DE"/>
        </w:rPr>
        <w:fldChar w:fldCharType="begin"/>
      </w:r>
      <w:r w:rsidRPr="000820C7">
        <w:rPr>
          <w:shd w:val="clear" w:color="auto" w:fill="FFFFFF"/>
          <w:lang w:val="de-DE"/>
        </w:rPr>
        <w:instrText xml:space="preserve"> AUTONUM  </w:instrText>
      </w:r>
      <w:r w:rsidRPr="000820C7">
        <w:rPr>
          <w:shd w:val="clear" w:color="auto" w:fill="FFFFFF"/>
          <w:lang w:val="de-DE"/>
        </w:rPr>
        <w:fldChar w:fldCharType="end"/>
      </w:r>
      <w:r w:rsidRPr="00C47725">
        <w:rPr>
          <w:shd w:val="clear" w:color="auto" w:fill="FFFFFF"/>
          <w:lang w:val="de-DE"/>
        </w:rPr>
        <w:tab/>
        <w:t xml:space="preserve">Die TWO wird auf ihrer </w:t>
      </w:r>
      <w:r w:rsidRPr="00C47725">
        <w:rPr>
          <w:rFonts w:cs="Arial"/>
          <w:lang w:val="de-DE"/>
        </w:rPr>
        <w:t>zweiundfünfzigste</w:t>
      </w:r>
      <w:r>
        <w:rPr>
          <w:rFonts w:cs="Arial"/>
          <w:lang w:val="de-DE"/>
        </w:rPr>
        <w:t>n</w:t>
      </w:r>
      <w:r w:rsidRPr="00C47725">
        <w:rPr>
          <w:rFonts w:cs="Arial"/>
          <w:lang w:val="de-DE"/>
        </w:rPr>
        <w:t xml:space="preserve"> Tagung vom 8. bis 12. Juni 2020 in Roelofarendsveen, Niederlande,</w:t>
      </w:r>
      <w:r w:rsidRPr="00C47725">
        <w:rPr>
          <w:shd w:val="clear" w:color="auto" w:fill="FFFFFF"/>
          <w:lang w:val="de-DE"/>
        </w:rPr>
        <w:t xml:space="preserve"> ihren nächsten Vorsitzenden </w:t>
      </w:r>
      <w:r>
        <w:rPr>
          <w:shd w:val="clear" w:color="auto" w:fill="FFFFFF"/>
          <w:lang w:val="de-DE"/>
        </w:rPr>
        <w:t>benennen</w:t>
      </w:r>
      <w:r w:rsidRPr="00C47725">
        <w:rPr>
          <w:shd w:val="clear" w:color="auto" w:fill="FFFFFF"/>
          <w:lang w:val="de-DE"/>
        </w:rPr>
        <w:t>.</w:t>
      </w:r>
    </w:p>
    <w:p w:rsidR="002D20DB" w:rsidRPr="00C47725" w:rsidRDefault="002D20DB" w:rsidP="002D20DB">
      <w:pPr>
        <w:rPr>
          <w:rFonts w:cs="Arial"/>
          <w:lang w:val="de-DE"/>
        </w:rPr>
      </w:pPr>
    </w:p>
    <w:p w:rsidR="002D20DB" w:rsidRPr="00C47725" w:rsidRDefault="002D20DB" w:rsidP="002D20DB">
      <w:pPr>
        <w:pStyle w:val="Heading3"/>
      </w:pPr>
      <w:r w:rsidRPr="00C47725">
        <w:t>Technische Arbeitsgruppe für Gemüsearten (TWV)</w:t>
      </w:r>
    </w:p>
    <w:p w:rsidR="002D20DB" w:rsidRPr="00C47725" w:rsidRDefault="002D20DB" w:rsidP="002D20DB">
      <w:pPr>
        <w:keepNext/>
        <w:rPr>
          <w:rFonts w:cs="Arial"/>
          <w:lang w:val="de-DE"/>
        </w:rPr>
      </w:pPr>
    </w:p>
    <w:p w:rsidR="002D20DB" w:rsidRPr="00C47725" w:rsidRDefault="002D20DB" w:rsidP="002D20DB">
      <w:pPr>
        <w:keepNext/>
        <w:rPr>
          <w:rFonts w:cs="Arial"/>
          <w:lang w:val="de-DE"/>
        </w:rPr>
      </w:pPr>
      <w:r w:rsidRPr="00C47725">
        <w:rPr>
          <w:rFonts w:cs="Arial"/>
          <w:lang w:val="de-DE"/>
        </w:rPr>
        <w:t>Bericht von Frau Romana Bravi (Italien), Vorsitzende de</w:t>
      </w:r>
      <w:r>
        <w:rPr>
          <w:rFonts w:cs="Arial"/>
          <w:lang w:val="de-DE"/>
        </w:rPr>
        <w:t>r</w:t>
      </w:r>
      <w:r w:rsidRPr="00C47725">
        <w:rPr>
          <w:rFonts w:cs="Arial"/>
          <w:lang w:val="de-DE"/>
        </w:rPr>
        <w:t xml:space="preserve"> TWV</w:t>
      </w:r>
    </w:p>
    <w:p w:rsidR="002D20DB" w:rsidRPr="00C47725" w:rsidRDefault="002D20DB" w:rsidP="002D20DB">
      <w:pPr>
        <w:keepNext/>
        <w:rPr>
          <w:rFonts w:cs="Arial"/>
          <w:lang w:val="de-DE"/>
        </w:rPr>
      </w:pPr>
    </w:p>
    <w:p w:rsidR="002D20DB" w:rsidRPr="00C47725" w:rsidRDefault="002D20DB" w:rsidP="002D20DB">
      <w:pPr>
        <w:pStyle w:val="Heading4"/>
        <w:rPr>
          <w:lang w:val="de-DE"/>
        </w:rPr>
      </w:pPr>
      <w:r w:rsidRPr="00C47725">
        <w:rPr>
          <w:lang w:val="de-DE"/>
        </w:rPr>
        <w:t>Dreiundfünfzigste Tagung der TWV</w:t>
      </w:r>
    </w:p>
    <w:p w:rsidR="002D20DB" w:rsidRPr="00C47725" w:rsidRDefault="002D20DB" w:rsidP="002D20DB">
      <w:pPr>
        <w:keepNext/>
        <w:rPr>
          <w:rFonts w:cs="Arial"/>
          <w:lang w:val="de-DE"/>
        </w:rPr>
      </w:pPr>
    </w:p>
    <w:p w:rsidR="002D20DB" w:rsidRPr="00C47725" w:rsidRDefault="002D20DB" w:rsidP="002D20DB">
      <w:pPr>
        <w:rPr>
          <w:rFonts w:cs="Arial"/>
          <w:lang w:val="de-DE"/>
        </w:rPr>
      </w:pPr>
      <w:r w:rsidRPr="000820C7">
        <w:rPr>
          <w:rFonts w:cs="Arial"/>
          <w:lang w:val="de-DE"/>
        </w:rPr>
        <w:fldChar w:fldCharType="begin"/>
      </w:r>
      <w:r w:rsidRPr="000820C7">
        <w:rPr>
          <w:rFonts w:cs="Arial"/>
          <w:lang w:val="de-DE"/>
        </w:rPr>
        <w:instrText xml:space="preserve"> AUTONUM  </w:instrText>
      </w:r>
      <w:r w:rsidRPr="000820C7">
        <w:rPr>
          <w:rFonts w:cs="Arial"/>
          <w:lang w:val="de-DE"/>
        </w:rPr>
        <w:fldChar w:fldCharType="end"/>
      </w:r>
      <w:r w:rsidRPr="00C47725">
        <w:rPr>
          <w:rFonts w:cs="Arial"/>
          <w:lang w:val="de-DE"/>
        </w:rPr>
        <w:tab/>
        <w:t>Die Technische Arbeitsgruppe für Gemüsearten (TWV) hielt ihre dreiundfünfzigste Tagung vom 20. bis 24. Mai 2019 in Seoul, Republik Korea, ab. An der Tagung der TWV nahmen 58 Teilnehmer aus 15 Verbandsmitgliedern und 3 Beobachterorganisationen teil.</w:t>
      </w:r>
    </w:p>
    <w:p w:rsidR="002D20DB" w:rsidRPr="00C47725" w:rsidRDefault="002D20DB" w:rsidP="002D20DB">
      <w:pPr>
        <w:rPr>
          <w:rFonts w:cs="Arial"/>
          <w:lang w:val="de-DE"/>
        </w:rPr>
      </w:pPr>
    </w:p>
    <w:p w:rsidR="002D20DB" w:rsidRPr="00C47725" w:rsidRDefault="002D20DB" w:rsidP="002D20DB">
      <w:pPr>
        <w:rPr>
          <w:rFonts w:cs="Arial"/>
          <w:lang w:val="de-DE"/>
        </w:rPr>
      </w:pPr>
      <w:r w:rsidRPr="000820C7">
        <w:rPr>
          <w:rFonts w:cs="Arial"/>
          <w:lang w:val="de-DE"/>
        </w:rPr>
        <w:fldChar w:fldCharType="begin"/>
      </w:r>
      <w:r w:rsidRPr="000820C7">
        <w:rPr>
          <w:rFonts w:cs="Arial"/>
          <w:lang w:val="de-DE"/>
        </w:rPr>
        <w:instrText xml:space="preserve"> AUTONUM  </w:instrText>
      </w:r>
      <w:r w:rsidRPr="000820C7">
        <w:rPr>
          <w:rFonts w:cs="Arial"/>
          <w:lang w:val="de-DE"/>
        </w:rPr>
        <w:fldChar w:fldCharType="end"/>
      </w:r>
      <w:r w:rsidRPr="00C47725">
        <w:rPr>
          <w:rFonts w:cs="Arial"/>
          <w:lang w:val="de-DE"/>
        </w:rPr>
        <w:tab/>
        <w:t>Die Tagung wurde von Frau Romana Bravi (Italien), Vorsitzende der TWV, eröffnet, die die Teilnehmer begrüßte und der Republik Korea für die Ausrichtung der Tagung der TWV dankte. Die TWV wurde von Herrn Choi Byungkook, Generaldirektor, Abteilung für internationale Entwicklung und Zusammenarbeit, Ministerium für Landwirtschaft, Ernährung und län</w:t>
      </w:r>
      <w:r w:rsidRPr="000820C7">
        <w:rPr>
          <w:rFonts w:cs="Arial"/>
          <w:lang w:val="de-DE"/>
        </w:rPr>
        <w:t xml:space="preserve">dliche Angelegenheiten (MAFRA), begrüßt. Die TWV hörte ein Referat </w:t>
      </w:r>
      <w:r w:rsidRPr="00967481">
        <w:rPr>
          <w:rFonts w:cs="Arial"/>
          <w:lang w:val="de-DE"/>
        </w:rPr>
        <w:t>über Sortenschutz und Saatgutindustrie in der Republik Korea</w:t>
      </w:r>
      <w:r w:rsidRPr="00B87785">
        <w:rPr>
          <w:rFonts w:cs="Arial"/>
          <w:lang w:val="de-DE"/>
        </w:rPr>
        <w:t xml:space="preserve"> von</w:t>
      </w:r>
      <w:r w:rsidRPr="000820C7">
        <w:rPr>
          <w:rFonts w:cs="Arial"/>
          <w:lang w:val="de-DE"/>
        </w:rPr>
        <w:t xml:space="preserve"> Herrn Pang Munjin, Direktor der </w:t>
      </w:r>
      <w:r>
        <w:rPr>
          <w:rFonts w:cs="Arial"/>
          <w:lang w:val="de-DE"/>
        </w:rPr>
        <w:t>Abteilung für Sortenrechte</w:t>
      </w:r>
      <w:r w:rsidRPr="000820C7">
        <w:rPr>
          <w:rFonts w:cs="Arial"/>
          <w:lang w:val="de-DE"/>
        </w:rPr>
        <w:t xml:space="preserve">, </w:t>
      </w:r>
      <w:r>
        <w:rPr>
          <w:rFonts w:cs="Arial"/>
          <w:lang w:val="de-DE"/>
        </w:rPr>
        <w:t>Stelle für Saatgut und Sorten in Korea</w:t>
      </w:r>
      <w:r w:rsidRPr="000820C7">
        <w:rPr>
          <w:rFonts w:cs="Arial"/>
          <w:lang w:val="de-DE"/>
        </w:rPr>
        <w:t xml:space="preserve"> (KSVS). Die TWV befasste sich mit den folgenden Hauptthemen:</w:t>
      </w:r>
      <w:r w:rsidRPr="00C47725">
        <w:rPr>
          <w:rFonts w:cs="Arial"/>
          <w:lang w:val="de-DE"/>
        </w:rPr>
        <w:t xml:space="preserve"> </w:t>
      </w:r>
    </w:p>
    <w:p w:rsidR="002D20DB" w:rsidRPr="00C47725" w:rsidRDefault="002D20DB" w:rsidP="002D20DB">
      <w:pPr>
        <w:rPr>
          <w:rFonts w:cs="Arial"/>
          <w:lang w:val="de-DE"/>
        </w:rPr>
      </w:pPr>
    </w:p>
    <w:p w:rsidR="002D20DB" w:rsidRPr="00C47725" w:rsidRDefault="002D20DB" w:rsidP="002D20DB">
      <w:pPr>
        <w:pStyle w:val="Heading5"/>
        <w:rPr>
          <w:lang w:val="de-DE"/>
        </w:rPr>
      </w:pPr>
      <w:r w:rsidRPr="00C47725">
        <w:rPr>
          <w:lang w:val="de-DE"/>
        </w:rPr>
        <w:t>Merkmale, die nur für bestimmte Sorten gelten (TWP/3/9)</w:t>
      </w:r>
    </w:p>
    <w:p w:rsidR="002D20DB" w:rsidRPr="00C47725" w:rsidRDefault="002D20DB" w:rsidP="002D20DB">
      <w:pPr>
        <w:rPr>
          <w:rFonts w:cs="Arial"/>
          <w:u w:val="single"/>
          <w:lang w:val="de-DE"/>
        </w:rPr>
      </w:pPr>
    </w:p>
    <w:p w:rsidR="002D20DB" w:rsidRPr="00C47725" w:rsidRDefault="002D20DB" w:rsidP="002D20DB">
      <w:pPr>
        <w:rPr>
          <w:rFonts w:cs="Arial"/>
          <w:lang w:val="de-DE"/>
        </w:rPr>
      </w:pPr>
      <w:r w:rsidRPr="000820C7">
        <w:rPr>
          <w:rFonts w:cs="Arial"/>
          <w:lang w:val="de-DE"/>
        </w:rPr>
        <w:fldChar w:fldCharType="begin"/>
      </w:r>
      <w:r w:rsidRPr="000820C7">
        <w:rPr>
          <w:rFonts w:cs="Arial"/>
          <w:lang w:val="de-DE"/>
        </w:rPr>
        <w:instrText xml:space="preserve"> AUTONUM  </w:instrText>
      </w:r>
      <w:r w:rsidRPr="000820C7">
        <w:rPr>
          <w:rFonts w:cs="Arial"/>
          <w:lang w:val="de-DE"/>
        </w:rPr>
        <w:fldChar w:fldCharType="end"/>
      </w:r>
      <w:r w:rsidRPr="00C47725">
        <w:rPr>
          <w:rFonts w:cs="Arial"/>
          <w:lang w:val="de-DE"/>
        </w:rPr>
        <w:tab/>
        <w:t xml:space="preserve">Die TWV prüfte das Gesuch, Beispiele für ungeeignete Fälle </w:t>
      </w:r>
      <w:r>
        <w:rPr>
          <w:rFonts w:cs="Arial"/>
          <w:lang w:val="de-DE"/>
        </w:rPr>
        <w:t>bereitzustellen</w:t>
      </w:r>
      <w:r w:rsidRPr="00C47725">
        <w:rPr>
          <w:rFonts w:cs="Arial"/>
          <w:lang w:val="de-DE"/>
        </w:rPr>
        <w:t xml:space="preserve">, um die Risiken für Entscheidungen über die Unterscheidbarkeit </w:t>
      </w:r>
      <w:r>
        <w:rPr>
          <w:rFonts w:cs="Arial"/>
          <w:lang w:val="de-DE"/>
        </w:rPr>
        <w:t>bei</w:t>
      </w:r>
      <w:r w:rsidRPr="00C47725">
        <w:rPr>
          <w:rFonts w:cs="Arial"/>
          <w:lang w:val="de-DE"/>
        </w:rPr>
        <w:t xml:space="preserve"> Ausschluss von Sorten von der </w:t>
      </w:r>
      <w:r>
        <w:rPr>
          <w:rFonts w:cs="Arial"/>
          <w:lang w:val="de-DE"/>
        </w:rPr>
        <w:t>Erfassung</w:t>
      </w:r>
      <w:r w:rsidRPr="00C47725">
        <w:rPr>
          <w:rFonts w:cs="Arial"/>
          <w:lang w:val="de-DE"/>
        </w:rPr>
        <w:t xml:space="preserve"> aufgrund eines vorhergehenden quantitativen oder pseudo-qualitativen Merkmals aufzuzeigen.</w:t>
      </w:r>
    </w:p>
    <w:p w:rsidR="002D20DB" w:rsidRPr="00C47725" w:rsidRDefault="002D20DB" w:rsidP="002D20DB">
      <w:pPr>
        <w:rPr>
          <w:rFonts w:cs="Arial"/>
          <w:lang w:val="de-DE"/>
        </w:rPr>
      </w:pPr>
    </w:p>
    <w:p w:rsidR="002D20DB" w:rsidRPr="00C47725" w:rsidRDefault="002D20DB" w:rsidP="002D20DB">
      <w:pPr>
        <w:rPr>
          <w:rFonts w:cs="Arial"/>
          <w:lang w:val="de-DE"/>
        </w:rPr>
      </w:pPr>
      <w:r w:rsidRPr="000820C7">
        <w:rPr>
          <w:rFonts w:cs="Arial"/>
          <w:lang w:val="de-DE"/>
        </w:rPr>
        <w:lastRenderedPageBreak/>
        <w:fldChar w:fldCharType="begin"/>
      </w:r>
      <w:r w:rsidRPr="000820C7">
        <w:rPr>
          <w:rFonts w:cs="Arial"/>
          <w:lang w:val="de-DE"/>
        </w:rPr>
        <w:instrText xml:space="preserve"> AUTONUM  </w:instrText>
      </w:r>
      <w:r w:rsidRPr="000820C7">
        <w:rPr>
          <w:rFonts w:cs="Arial"/>
          <w:lang w:val="de-DE"/>
        </w:rPr>
        <w:fldChar w:fldCharType="end"/>
      </w:r>
      <w:r w:rsidRPr="00C47725">
        <w:rPr>
          <w:rFonts w:cs="Arial"/>
          <w:lang w:val="de-DE"/>
        </w:rPr>
        <w:tab/>
        <w:t>Die TWV vereinbarte, dass, wenn eine Struktur an einem Pflanzenteil</w:t>
      </w:r>
      <w:r>
        <w:rPr>
          <w:rFonts w:cs="Arial"/>
          <w:lang w:val="de-DE"/>
        </w:rPr>
        <w:t xml:space="preserve"> „</w:t>
      </w:r>
      <w:r w:rsidRPr="00C47725">
        <w:rPr>
          <w:rFonts w:cs="Arial"/>
          <w:lang w:val="de-DE"/>
        </w:rPr>
        <w:t>fehlend oder gering</w:t>
      </w:r>
      <w:r>
        <w:rPr>
          <w:rFonts w:cs="Arial"/>
          <w:lang w:val="de-DE"/>
        </w:rPr>
        <w:t>“</w:t>
      </w:r>
      <w:r w:rsidRPr="00C47725">
        <w:rPr>
          <w:rFonts w:cs="Arial"/>
          <w:lang w:val="de-DE"/>
        </w:rPr>
        <w:t xml:space="preserve"> sei, die Erfassung weiterer Merkmale an dieser Struktur schwierig sein könnte. Beispielsweise in den Prüfungsrichtlinien für Salat (TG 13/11), Merkmal 3:</w:t>
      </w:r>
      <w:r>
        <w:rPr>
          <w:rFonts w:cs="Arial"/>
          <w:lang w:val="de-DE"/>
        </w:rPr>
        <w:t xml:space="preserve"> „</w:t>
      </w:r>
      <w:r w:rsidRPr="00C47725">
        <w:rPr>
          <w:rFonts w:cs="Arial"/>
          <w:lang w:val="de-DE"/>
        </w:rPr>
        <w:t>Pflanze: Stärke des Überlappens des oberen Teils der Blätter</w:t>
      </w:r>
      <w:r>
        <w:rPr>
          <w:rFonts w:cs="Arial"/>
          <w:lang w:val="de-DE"/>
        </w:rPr>
        <w:t>“</w:t>
      </w:r>
      <w:r w:rsidRPr="00C47725">
        <w:rPr>
          <w:rFonts w:cs="Arial"/>
          <w:lang w:val="de-DE"/>
        </w:rPr>
        <w:t>, angegeben als QN, mit Stufen (1)</w:t>
      </w:r>
      <w:r>
        <w:rPr>
          <w:rFonts w:cs="Arial"/>
          <w:lang w:val="de-DE"/>
        </w:rPr>
        <w:t xml:space="preserve"> „</w:t>
      </w:r>
      <w:r w:rsidRPr="00C47725">
        <w:rPr>
          <w:rFonts w:cs="Arial"/>
          <w:lang w:val="de-DE"/>
        </w:rPr>
        <w:t>fehlend oder gering, (2) mittel, (3) stark</w:t>
      </w:r>
      <w:r>
        <w:rPr>
          <w:rFonts w:cs="Arial"/>
          <w:lang w:val="de-DE"/>
        </w:rPr>
        <w:t>“</w:t>
      </w:r>
      <w:r w:rsidRPr="00C47725">
        <w:rPr>
          <w:rFonts w:cs="Arial"/>
          <w:lang w:val="de-DE"/>
        </w:rPr>
        <w:t>. Die TWV vereinbarte jedoch, dass dies in Verbindung mit der in Kapitel 5.3 der Prüfungsrichtlinien dargelegten Tabelle die Risiken für Entscheidungen über die Unterscheidbarkeit reduziere, und forderte daher zur Verwendung solcher Tabellen auf, wenn erforderlich.</w:t>
      </w:r>
    </w:p>
    <w:p w:rsidR="002D20DB" w:rsidRPr="00C47725" w:rsidRDefault="002D20DB" w:rsidP="002D20DB">
      <w:pPr>
        <w:rPr>
          <w:rFonts w:cs="Arial"/>
          <w:lang w:val="de-DE"/>
        </w:rPr>
      </w:pPr>
    </w:p>
    <w:p w:rsidR="002D20DB" w:rsidRPr="00C47725" w:rsidRDefault="002D20DB" w:rsidP="002D20DB">
      <w:pPr>
        <w:rPr>
          <w:rFonts w:cs="Arial"/>
          <w:lang w:val="de-DE"/>
        </w:rPr>
      </w:pPr>
      <w:r w:rsidRPr="00CA7495">
        <w:rPr>
          <w:rFonts w:cs="Arial"/>
          <w:lang w:val="de-DE"/>
        </w:rPr>
        <w:fldChar w:fldCharType="begin"/>
      </w:r>
      <w:r w:rsidRPr="008E1EA5">
        <w:rPr>
          <w:rFonts w:cs="Arial"/>
          <w:lang w:val="de-DE"/>
        </w:rPr>
        <w:instrText xml:space="preserve"> AUTONUM  </w:instrText>
      </w:r>
      <w:r w:rsidRPr="00CA7495">
        <w:rPr>
          <w:rFonts w:cs="Arial"/>
          <w:lang w:val="de-DE"/>
        </w:rPr>
        <w:fldChar w:fldCharType="end"/>
      </w:r>
      <w:r w:rsidRPr="00C47725">
        <w:rPr>
          <w:rFonts w:cs="Arial"/>
          <w:lang w:val="de-DE"/>
        </w:rPr>
        <w:tab/>
        <w:t xml:space="preserve">Die TWV vereinbarte, dass das folgende pseudo-qualitative Merkmal aus den Prüfungsrichtlinien für Blattzichorie (TG/154/4) ein geeignetes Beispiel sei, um aufzuzeigen, wie der vorgeschlagene Ansatz so verwendet werden </w:t>
      </w:r>
      <w:r>
        <w:rPr>
          <w:rFonts w:cs="Arial"/>
          <w:lang w:val="de-DE"/>
        </w:rPr>
        <w:t>könnte</w:t>
      </w:r>
      <w:r w:rsidRPr="00C47725">
        <w:rPr>
          <w:rFonts w:cs="Arial"/>
          <w:lang w:val="de-DE"/>
        </w:rPr>
        <w:t>, dass keine Risiken für Entscheidungen über die Unterscheidbarkeit entstehen.</w:t>
      </w:r>
    </w:p>
    <w:p w:rsidR="002D20DB" w:rsidRPr="00C47725" w:rsidRDefault="002D20DB" w:rsidP="002D20DB">
      <w:pPr>
        <w:rPr>
          <w:rFonts w:cs="Arial"/>
          <w:lang w:val="de-DE"/>
        </w:rPr>
      </w:pPr>
    </w:p>
    <w:p w:rsidR="002D20DB" w:rsidRPr="00C47725" w:rsidRDefault="002D20DB" w:rsidP="002D20DB">
      <w:pPr>
        <w:tabs>
          <w:tab w:val="left" w:pos="1134"/>
        </w:tabs>
        <w:ind w:left="567"/>
        <w:rPr>
          <w:rFonts w:cs="Arial"/>
          <w:lang w:val="de-DE"/>
        </w:rPr>
      </w:pPr>
      <w:r w:rsidRPr="00C47725">
        <w:rPr>
          <w:rFonts w:cs="Arial"/>
          <w:lang w:val="de-DE"/>
        </w:rPr>
        <w:t>Merkmal 16:</w:t>
      </w:r>
      <w:r>
        <w:rPr>
          <w:rFonts w:cs="Arial"/>
          <w:lang w:val="de-DE"/>
        </w:rPr>
        <w:t xml:space="preserve"> „</w:t>
      </w:r>
      <w:r w:rsidRPr="00C47725">
        <w:rPr>
          <w:rFonts w:cs="Arial"/>
          <w:lang w:val="de-DE"/>
        </w:rPr>
        <w:t>Pflanze: Kopfbildung: fehlen</w:t>
      </w:r>
      <w:r w:rsidRPr="002341B8">
        <w:rPr>
          <w:rFonts w:cs="Arial"/>
          <w:lang w:val="de-DE"/>
        </w:rPr>
        <w:t>d (1); offen (2);</w:t>
      </w:r>
      <w:r w:rsidRPr="00C47725">
        <w:rPr>
          <w:rFonts w:cs="Arial"/>
          <w:lang w:val="de-DE"/>
        </w:rPr>
        <w:t xml:space="preserve"> geschlossen (3)</w:t>
      </w:r>
      <w:r>
        <w:rPr>
          <w:rFonts w:cs="Arial"/>
          <w:lang w:val="de-DE"/>
        </w:rPr>
        <w:t>“</w:t>
      </w:r>
    </w:p>
    <w:p w:rsidR="002D20DB" w:rsidRPr="00C47725" w:rsidRDefault="002D20DB" w:rsidP="002D20DB">
      <w:pPr>
        <w:tabs>
          <w:tab w:val="left" w:pos="1134"/>
        </w:tabs>
        <w:ind w:left="567"/>
        <w:rPr>
          <w:rFonts w:cs="Arial"/>
          <w:lang w:val="de-DE"/>
        </w:rPr>
      </w:pPr>
      <w:r w:rsidRPr="00C47725">
        <w:rPr>
          <w:rFonts w:cs="Arial"/>
          <w:lang w:val="de-DE"/>
        </w:rPr>
        <w:t>Merkmal 17:</w:t>
      </w:r>
      <w:r>
        <w:rPr>
          <w:rFonts w:cs="Arial"/>
          <w:lang w:val="de-DE"/>
        </w:rPr>
        <w:t xml:space="preserve"> „</w:t>
      </w:r>
      <w:r w:rsidRPr="00C47725">
        <w:rPr>
          <w:rFonts w:cs="Arial"/>
          <w:lang w:val="de-DE"/>
        </w:rPr>
        <w:t>Nur Sorten mit Kopfbildung…</w:t>
      </w:r>
      <w:r>
        <w:rPr>
          <w:rFonts w:cs="Arial"/>
          <w:lang w:val="de-DE"/>
        </w:rPr>
        <w:t>“</w:t>
      </w:r>
      <w:r w:rsidRPr="00C47725">
        <w:rPr>
          <w:rFonts w:cs="Arial"/>
          <w:lang w:val="de-DE"/>
        </w:rPr>
        <w:t xml:space="preserve"> </w:t>
      </w:r>
    </w:p>
    <w:p w:rsidR="002D20DB" w:rsidRPr="00C47725" w:rsidRDefault="002D20DB" w:rsidP="002D20DB">
      <w:pPr>
        <w:rPr>
          <w:rFonts w:cs="Arial"/>
          <w:u w:val="single"/>
          <w:lang w:val="de-DE"/>
        </w:rPr>
      </w:pPr>
    </w:p>
    <w:p w:rsidR="002D20DB" w:rsidRPr="00C47725" w:rsidRDefault="002D20DB" w:rsidP="002D20DB">
      <w:pPr>
        <w:pStyle w:val="Heading5"/>
        <w:rPr>
          <w:rFonts w:cs="Arial"/>
          <w:lang w:val="de-DE"/>
        </w:rPr>
      </w:pPr>
      <w:r w:rsidRPr="00C47725">
        <w:rPr>
          <w:lang w:val="de-DE"/>
        </w:rPr>
        <w:t xml:space="preserve">TGP/15: Anleitung zur Verwendung </w:t>
      </w:r>
      <w:r>
        <w:rPr>
          <w:lang w:val="de-DE"/>
        </w:rPr>
        <w:t>biochemischer und molekularer Marker</w:t>
      </w:r>
      <w:r w:rsidRPr="00C47725">
        <w:rPr>
          <w:lang w:val="de-DE"/>
        </w:rPr>
        <w:t xml:space="preserve"> bei der Prüfung der Unterscheidbarkeit, der Homogenität und der Beständigkeit (DUS): </w:t>
      </w:r>
      <w:r w:rsidRPr="00C47725">
        <w:rPr>
          <w:rFonts w:cs="Arial"/>
          <w:lang w:val="de-DE"/>
        </w:rPr>
        <w:t>Neues Beispiel: Merkmalsspezifischer Marker mit unvollständigen Informationen über die Ausprägungsstufe</w:t>
      </w:r>
    </w:p>
    <w:p w:rsidR="002D20DB" w:rsidRPr="00C47725" w:rsidRDefault="002D20DB" w:rsidP="002D20DB">
      <w:pPr>
        <w:rPr>
          <w:rFonts w:cs="Arial"/>
          <w:lang w:val="de-DE"/>
        </w:rPr>
      </w:pPr>
    </w:p>
    <w:p w:rsidR="002D20DB" w:rsidRPr="00C47725" w:rsidRDefault="002D20DB" w:rsidP="002D20DB">
      <w:pPr>
        <w:rPr>
          <w:rFonts w:cs="Arial"/>
          <w:lang w:val="de-DE"/>
        </w:rPr>
      </w:pPr>
      <w:r w:rsidRPr="000820C7">
        <w:rPr>
          <w:rFonts w:cs="Arial"/>
          <w:lang w:val="de-DE"/>
        </w:rPr>
        <w:fldChar w:fldCharType="begin"/>
      </w:r>
      <w:r w:rsidRPr="000820C7">
        <w:rPr>
          <w:rFonts w:cs="Arial"/>
          <w:lang w:val="de-DE"/>
        </w:rPr>
        <w:instrText xml:space="preserve"> AUTONUM  </w:instrText>
      </w:r>
      <w:r w:rsidRPr="000820C7">
        <w:rPr>
          <w:rFonts w:cs="Arial"/>
          <w:lang w:val="de-DE"/>
        </w:rPr>
        <w:fldChar w:fldCharType="end"/>
      </w:r>
      <w:r w:rsidRPr="00C47725">
        <w:rPr>
          <w:rFonts w:cs="Arial"/>
          <w:lang w:val="de-DE"/>
        </w:rPr>
        <w:tab/>
      </w:r>
      <w:r>
        <w:rPr>
          <w:rFonts w:cs="Arial"/>
          <w:lang w:val="de-DE"/>
        </w:rPr>
        <w:t>Die</w:t>
      </w:r>
      <w:r w:rsidRPr="00C47725">
        <w:rPr>
          <w:rFonts w:cs="Arial"/>
          <w:lang w:val="de-DE"/>
        </w:rPr>
        <w:t xml:space="preserve"> TWV stimmte dem Vorschlag zu, Dokument TGP/15 ein neues Beispiel hinzuzufügen, um eine Situation zu veranschaulichen, in der der merkmalspezifische Marker keine vollständigen Informationen über </w:t>
      </w:r>
      <w:r>
        <w:rPr>
          <w:rFonts w:cs="Arial"/>
          <w:lang w:val="de-DE"/>
        </w:rPr>
        <w:t>di</w:t>
      </w:r>
      <w:r w:rsidRPr="00671AF9">
        <w:rPr>
          <w:rFonts w:cs="Arial"/>
          <w:lang w:val="de-DE"/>
        </w:rPr>
        <w:t>e Ausprägungsstufe e</w:t>
      </w:r>
      <w:r w:rsidRPr="00C47725">
        <w:rPr>
          <w:rFonts w:cs="Arial"/>
          <w:lang w:val="de-DE"/>
        </w:rPr>
        <w:t>ines Merkmals liefert, wie in der Anlage des Dokuments TWP/3/12 dargelegt.</w:t>
      </w:r>
    </w:p>
    <w:p w:rsidR="002D20DB" w:rsidRPr="00C47725" w:rsidRDefault="002D20DB" w:rsidP="002D20DB">
      <w:pPr>
        <w:rPr>
          <w:rFonts w:cs="Arial"/>
          <w:lang w:val="de-DE"/>
        </w:rPr>
      </w:pPr>
    </w:p>
    <w:p w:rsidR="002D20DB" w:rsidRPr="00C47725" w:rsidRDefault="002D20DB" w:rsidP="002D20DB">
      <w:pPr>
        <w:rPr>
          <w:rFonts w:cs="Arial"/>
          <w:lang w:val="de-DE"/>
        </w:rPr>
      </w:pPr>
      <w:r w:rsidRPr="000820C7">
        <w:rPr>
          <w:rFonts w:cs="Arial"/>
          <w:lang w:val="de-DE"/>
        </w:rPr>
        <w:fldChar w:fldCharType="begin"/>
      </w:r>
      <w:r w:rsidRPr="000820C7">
        <w:rPr>
          <w:rFonts w:cs="Arial"/>
          <w:lang w:val="de-DE"/>
        </w:rPr>
        <w:instrText xml:space="preserve"> AUTONUM  </w:instrText>
      </w:r>
      <w:r w:rsidRPr="000820C7">
        <w:rPr>
          <w:rFonts w:cs="Arial"/>
          <w:lang w:val="de-DE"/>
        </w:rPr>
        <w:fldChar w:fldCharType="end"/>
      </w:r>
      <w:r w:rsidRPr="00C47725">
        <w:rPr>
          <w:rFonts w:cs="Arial"/>
          <w:lang w:val="de-DE"/>
        </w:rPr>
        <w:tab/>
        <w:t xml:space="preserve">Die TWV vereinbarte, dass ein neuer Satz in Dokument TGP/15 aufgenommen werden sollte für </w:t>
      </w:r>
      <w:r>
        <w:rPr>
          <w:rFonts w:cs="Arial"/>
          <w:lang w:val="de-DE"/>
        </w:rPr>
        <w:t>Fälle, in denen</w:t>
      </w:r>
      <w:r w:rsidRPr="00C47725">
        <w:rPr>
          <w:rFonts w:cs="Arial"/>
          <w:lang w:val="de-DE"/>
        </w:rPr>
        <w:t xml:space="preserve"> eine Sorte vom Antragsteller im </w:t>
      </w:r>
      <w:r>
        <w:rPr>
          <w:rFonts w:cs="Arial"/>
          <w:lang w:val="de-DE"/>
        </w:rPr>
        <w:t>Technischen Fragebogen</w:t>
      </w:r>
      <w:r w:rsidRPr="00C47725">
        <w:rPr>
          <w:rFonts w:cs="Arial"/>
          <w:lang w:val="de-DE"/>
        </w:rPr>
        <w:t xml:space="preserve"> als resistent angegeben wird, der Markertest jedoch negativ ist, um zu erklären, dass ein Biotest durchgeführt</w:t>
      </w:r>
      <w:r>
        <w:rPr>
          <w:rFonts w:cs="Arial"/>
          <w:lang w:val="de-DE"/>
        </w:rPr>
        <w:t>/vorgenommen</w:t>
      </w:r>
      <w:r w:rsidRPr="00C47725">
        <w:rPr>
          <w:rFonts w:cs="Arial"/>
          <w:lang w:val="de-DE"/>
        </w:rPr>
        <w:t xml:space="preserve"> werden sollte und endgültig </w:t>
      </w:r>
      <w:r>
        <w:rPr>
          <w:rFonts w:cs="Arial"/>
          <w:lang w:val="de-DE"/>
        </w:rPr>
        <w:t>sein sollte</w:t>
      </w:r>
      <w:r w:rsidRPr="00C47725">
        <w:rPr>
          <w:rFonts w:cs="Arial"/>
          <w:lang w:val="de-DE"/>
        </w:rPr>
        <w:t>.</w:t>
      </w:r>
    </w:p>
    <w:p w:rsidR="002D20DB" w:rsidRPr="00C47725" w:rsidRDefault="002D20DB" w:rsidP="002D20DB">
      <w:pPr>
        <w:rPr>
          <w:rFonts w:cs="Arial"/>
          <w:lang w:val="de-DE"/>
        </w:rPr>
      </w:pPr>
    </w:p>
    <w:p w:rsidR="002D20DB" w:rsidRPr="00C47725" w:rsidRDefault="002D20DB" w:rsidP="002D20DB">
      <w:pPr>
        <w:pStyle w:val="Heading5"/>
        <w:rPr>
          <w:lang w:val="de-DE"/>
        </w:rPr>
      </w:pPr>
      <w:r w:rsidRPr="00C47725">
        <w:rPr>
          <w:lang w:val="de-DE"/>
        </w:rPr>
        <w:t>TGP/7: Erstellung von Prüfungsrichtlinien – Verfahren für eine Teilüberarbeitung von UPOV</w:t>
      </w:r>
      <w:r w:rsidR="003C6CDA">
        <w:rPr>
          <w:lang w:val="de-DE"/>
        </w:rPr>
        <w:noBreakHyphen/>
      </w:r>
      <w:r w:rsidRPr="00C47725">
        <w:rPr>
          <w:lang w:val="de-DE"/>
        </w:rPr>
        <w:t>Prüfungsrichtlinien</w:t>
      </w:r>
    </w:p>
    <w:p w:rsidR="002D20DB" w:rsidRPr="00C47725" w:rsidRDefault="002D20DB" w:rsidP="002D20DB">
      <w:pPr>
        <w:rPr>
          <w:rFonts w:cs="Arial"/>
          <w:u w:val="single"/>
          <w:lang w:val="de-DE"/>
        </w:rPr>
      </w:pPr>
    </w:p>
    <w:p w:rsidR="002D20DB" w:rsidRPr="00C47725" w:rsidRDefault="002D20DB" w:rsidP="002D20DB">
      <w:pPr>
        <w:rPr>
          <w:rFonts w:cs="Arial"/>
          <w:lang w:val="de-DE"/>
        </w:rPr>
      </w:pPr>
      <w:r w:rsidRPr="000820C7">
        <w:rPr>
          <w:rFonts w:cs="Arial"/>
          <w:lang w:val="de-DE"/>
        </w:rPr>
        <w:t>Die TWV</w:t>
      </w:r>
      <w:r w:rsidRPr="00C47725">
        <w:rPr>
          <w:rFonts w:cs="Arial"/>
          <w:lang w:val="de-DE"/>
        </w:rPr>
        <w:t xml:space="preserve"> begrüßte die Möglichkeit, ein beschleunigtes Verfahren für Teilüberarbeitungen der Prüfungsrichtlinien einzuführen, das es Sachverständigen ermöglicht, im Laufe des Jahres </w:t>
      </w:r>
      <w:r>
        <w:rPr>
          <w:rFonts w:cs="Arial"/>
          <w:lang w:val="de-DE"/>
        </w:rPr>
        <w:t>unter Einhaltung der</w:t>
      </w:r>
      <w:r w:rsidRPr="00C47725">
        <w:rPr>
          <w:rFonts w:cs="Arial"/>
          <w:lang w:val="de-DE"/>
        </w:rPr>
        <w:t xml:space="preserve"> vereinbarte</w:t>
      </w:r>
      <w:r>
        <w:rPr>
          <w:rFonts w:cs="Arial"/>
          <w:lang w:val="de-DE"/>
        </w:rPr>
        <w:t>n</w:t>
      </w:r>
      <w:r w:rsidRPr="00C47725">
        <w:rPr>
          <w:rFonts w:cs="Arial"/>
          <w:lang w:val="de-DE"/>
        </w:rPr>
        <w:t xml:space="preserve"> Frist für die Vorbereitung und Verbreitung des Dokuments rechtzeitig vor der Tagung</w:t>
      </w:r>
      <w:r>
        <w:rPr>
          <w:rFonts w:cs="Arial"/>
          <w:lang w:val="de-DE"/>
        </w:rPr>
        <w:t xml:space="preserve"> Vorschläge zu machen</w:t>
      </w:r>
      <w:r w:rsidRPr="00C47725">
        <w:rPr>
          <w:rFonts w:cs="Arial"/>
          <w:lang w:val="de-DE"/>
        </w:rPr>
        <w:t>, um den Verbandsmitgliedern genügend Zeit zur Prüfung zu geben.</w:t>
      </w:r>
    </w:p>
    <w:p w:rsidR="002D20DB" w:rsidRPr="00C47725" w:rsidRDefault="002D20DB" w:rsidP="002D20DB">
      <w:pPr>
        <w:rPr>
          <w:rFonts w:cs="Arial"/>
          <w:u w:val="single"/>
          <w:lang w:val="de-DE"/>
        </w:rPr>
      </w:pPr>
    </w:p>
    <w:p w:rsidR="002D20DB" w:rsidRPr="00C47725" w:rsidRDefault="002D20DB" w:rsidP="002D20DB">
      <w:pPr>
        <w:pStyle w:val="Heading5"/>
        <w:rPr>
          <w:lang w:val="de-DE"/>
        </w:rPr>
      </w:pPr>
      <w:r w:rsidRPr="00C47725">
        <w:rPr>
          <w:lang w:val="de-DE"/>
        </w:rPr>
        <w:t>Molekulare Verfahren - TWP/3/7</w:t>
      </w:r>
    </w:p>
    <w:p w:rsidR="002D20DB" w:rsidRPr="00C47725" w:rsidRDefault="002D20DB" w:rsidP="002D20DB">
      <w:pPr>
        <w:rPr>
          <w:rFonts w:cs="Arial"/>
          <w:lang w:val="de-DE"/>
        </w:rPr>
      </w:pPr>
    </w:p>
    <w:p w:rsidR="002D20DB" w:rsidRPr="00C47725" w:rsidRDefault="002D20DB" w:rsidP="002D20DB">
      <w:pPr>
        <w:rPr>
          <w:rFonts w:cs="Arial"/>
          <w:lang w:val="de-DE"/>
        </w:rPr>
      </w:pPr>
      <w:r w:rsidRPr="000820C7">
        <w:rPr>
          <w:rFonts w:cs="Arial"/>
          <w:lang w:val="de-DE"/>
        </w:rPr>
        <w:fldChar w:fldCharType="begin"/>
      </w:r>
      <w:r w:rsidRPr="000820C7">
        <w:rPr>
          <w:rFonts w:cs="Arial"/>
          <w:lang w:val="de-DE"/>
        </w:rPr>
        <w:instrText xml:space="preserve"> AUTONUM  </w:instrText>
      </w:r>
      <w:r w:rsidRPr="000820C7">
        <w:rPr>
          <w:rFonts w:cs="Arial"/>
          <w:lang w:val="de-DE"/>
        </w:rPr>
        <w:fldChar w:fldCharType="end"/>
      </w:r>
      <w:r w:rsidRPr="00C47725">
        <w:rPr>
          <w:rFonts w:cs="Arial"/>
          <w:lang w:val="de-DE"/>
        </w:rPr>
        <w:tab/>
        <w:t xml:space="preserve">Die TWV schlug vor, die BMT zu ersuchen, Anleitung zu Elementen </w:t>
      </w:r>
      <w:r>
        <w:rPr>
          <w:rFonts w:cs="Arial"/>
          <w:lang w:val="de-DE"/>
        </w:rPr>
        <w:t>bereitzustellen</w:t>
      </w:r>
      <w:r w:rsidRPr="00C47725">
        <w:rPr>
          <w:rFonts w:cs="Arial"/>
          <w:lang w:val="de-DE"/>
        </w:rPr>
        <w:t>, die in ein Protokoll eines DNS-Markertests für ein spezielles Merkmal aufzunehmen sind.</w:t>
      </w:r>
    </w:p>
    <w:p w:rsidR="002D20DB" w:rsidRPr="00C47725" w:rsidRDefault="002D20DB" w:rsidP="002D20DB">
      <w:pPr>
        <w:rPr>
          <w:rFonts w:cs="Arial"/>
          <w:lang w:val="de-DE"/>
        </w:rPr>
      </w:pPr>
    </w:p>
    <w:p w:rsidR="002D20DB" w:rsidRPr="00C47725" w:rsidRDefault="002D20DB" w:rsidP="002D20DB">
      <w:pPr>
        <w:pStyle w:val="Heading5"/>
        <w:rPr>
          <w:lang w:val="de-DE"/>
        </w:rPr>
      </w:pPr>
      <w:r w:rsidRPr="00C47725">
        <w:rPr>
          <w:lang w:val="de-DE"/>
        </w:rPr>
        <w:t>Zusammenarbeit zwischen internationalen Organisationen</w:t>
      </w:r>
    </w:p>
    <w:p w:rsidR="002D20DB" w:rsidRPr="00C47725" w:rsidRDefault="002D20DB" w:rsidP="002D20DB">
      <w:pPr>
        <w:keepNext/>
        <w:rPr>
          <w:rFonts w:cs="Arial"/>
          <w:lang w:val="de-DE"/>
        </w:rPr>
      </w:pPr>
    </w:p>
    <w:p w:rsidR="002D20DB" w:rsidRPr="00C47725" w:rsidRDefault="002D20DB" w:rsidP="002D20DB">
      <w:pPr>
        <w:keepNext/>
        <w:rPr>
          <w:rFonts w:cs="Arial"/>
          <w:lang w:val="de-DE"/>
        </w:rPr>
      </w:pPr>
      <w:r w:rsidRPr="002D3FAD">
        <w:rPr>
          <w:rFonts w:cs="Arial"/>
          <w:lang w:val="de-DE"/>
        </w:rPr>
        <w:fldChar w:fldCharType="begin"/>
      </w:r>
      <w:r w:rsidRPr="002D3FAD">
        <w:rPr>
          <w:rFonts w:cs="Arial"/>
          <w:lang w:val="de-DE"/>
        </w:rPr>
        <w:instrText xml:space="preserve"> AUTONUM  </w:instrText>
      </w:r>
      <w:r w:rsidRPr="002D3FAD">
        <w:rPr>
          <w:rFonts w:cs="Arial"/>
          <w:lang w:val="de-DE"/>
        </w:rPr>
        <w:fldChar w:fldCharType="end"/>
      </w:r>
      <w:r w:rsidRPr="00C47725">
        <w:rPr>
          <w:rFonts w:cs="Arial"/>
          <w:lang w:val="de-DE"/>
        </w:rPr>
        <w:tab/>
        <w:t xml:space="preserve">Die TWV billigte die Bestandsaufnahme zur Verwendung molekularer Markerverfahren nach Pflanze mit den folgenden Ergänzungen, um den derzeitigen Stand der molekularen </w:t>
      </w:r>
      <w:r>
        <w:rPr>
          <w:rFonts w:cs="Arial"/>
          <w:lang w:val="de-DE"/>
        </w:rPr>
        <w:t>Markerverfahren</w:t>
      </w:r>
      <w:r w:rsidRPr="00C47725">
        <w:rPr>
          <w:rFonts w:cs="Arial"/>
          <w:lang w:val="de-DE"/>
        </w:rPr>
        <w:t xml:space="preserve"> (d.h. bereits verwendet oder in Bearbeitung)</w:t>
      </w:r>
      <w:r>
        <w:rPr>
          <w:rFonts w:cs="Arial"/>
          <w:lang w:val="de-DE"/>
        </w:rPr>
        <w:t xml:space="preserve"> </w:t>
      </w:r>
      <w:r w:rsidRPr="00C47725">
        <w:rPr>
          <w:rFonts w:cs="Arial"/>
          <w:lang w:val="de-DE"/>
        </w:rPr>
        <w:t>wi</w:t>
      </w:r>
      <w:r>
        <w:rPr>
          <w:rFonts w:cs="Arial"/>
          <w:lang w:val="de-DE"/>
        </w:rPr>
        <w:t>e</w:t>
      </w:r>
      <w:r w:rsidRPr="00C47725">
        <w:rPr>
          <w:rFonts w:cs="Arial"/>
          <w:lang w:val="de-DE"/>
        </w:rPr>
        <w:t>derzugeben.</w:t>
      </w:r>
    </w:p>
    <w:p w:rsidR="002D20DB" w:rsidRPr="00C47725" w:rsidRDefault="002D20DB" w:rsidP="002D20DB">
      <w:pPr>
        <w:rPr>
          <w:rFonts w:cs="Arial"/>
          <w:lang w:val="de-DE"/>
        </w:rPr>
      </w:pPr>
    </w:p>
    <w:p w:rsidR="002D20DB" w:rsidRPr="00C47725" w:rsidRDefault="002D20DB" w:rsidP="002D20DB">
      <w:pPr>
        <w:pStyle w:val="ListParagraph"/>
        <w:numPr>
          <w:ilvl w:val="0"/>
          <w:numId w:val="20"/>
        </w:numPr>
        <w:spacing w:after="160"/>
        <w:ind w:left="1134" w:hanging="567"/>
        <w:jc w:val="left"/>
        <w:rPr>
          <w:rFonts w:cs="Arial"/>
          <w:i/>
          <w:lang w:val="de-DE"/>
        </w:rPr>
      </w:pPr>
      <w:r w:rsidRPr="00C47725">
        <w:rPr>
          <w:rFonts w:cs="Arial"/>
          <w:i/>
          <w:lang w:val="de-DE"/>
        </w:rPr>
        <w:t>Sta</w:t>
      </w:r>
      <w:r>
        <w:rPr>
          <w:rFonts w:cs="Arial"/>
          <w:i/>
          <w:lang w:val="de-DE"/>
        </w:rPr>
        <w:t>nd</w:t>
      </w:r>
      <w:r w:rsidRPr="00C47725">
        <w:rPr>
          <w:rFonts w:cs="Arial"/>
          <w:i/>
          <w:lang w:val="de-DE"/>
        </w:rPr>
        <w:t xml:space="preserve"> (d.h. derzeit verwendet oder in Bearbeitung)</w:t>
      </w:r>
    </w:p>
    <w:p w:rsidR="002D20DB" w:rsidRPr="00C47725" w:rsidRDefault="002D20DB" w:rsidP="002D20DB">
      <w:pPr>
        <w:pStyle w:val="ListParagraph"/>
        <w:numPr>
          <w:ilvl w:val="0"/>
          <w:numId w:val="20"/>
        </w:numPr>
        <w:spacing w:after="160"/>
        <w:ind w:left="1134" w:hanging="567"/>
        <w:jc w:val="left"/>
        <w:rPr>
          <w:rFonts w:cs="Arial"/>
          <w:i/>
          <w:lang w:val="de-DE"/>
        </w:rPr>
      </w:pPr>
      <w:r w:rsidRPr="00C47725">
        <w:rPr>
          <w:rFonts w:cs="Arial"/>
          <w:i/>
          <w:lang w:val="de-DE"/>
        </w:rPr>
        <w:t xml:space="preserve">Pflanze(n), für die molekulare Markerverfahren verwendet werden und betreffendes Merkmal </w:t>
      </w:r>
      <w:r>
        <w:rPr>
          <w:rFonts w:cs="Arial"/>
          <w:i/>
          <w:lang w:val="de-DE"/>
        </w:rPr>
        <w:t xml:space="preserve">(bei Verwendung) </w:t>
      </w:r>
      <w:r w:rsidRPr="00C47725">
        <w:rPr>
          <w:rFonts w:cs="Arial"/>
          <w:i/>
          <w:lang w:val="de-DE"/>
        </w:rPr>
        <w:t>[Botanische(n) Name(n) und UPOV-Code(s) angeben]</w:t>
      </w:r>
    </w:p>
    <w:p w:rsidR="002D20DB" w:rsidRPr="00C47725" w:rsidRDefault="002D20DB" w:rsidP="002D20DB">
      <w:pPr>
        <w:pStyle w:val="Heading5"/>
        <w:rPr>
          <w:lang w:val="de-DE"/>
        </w:rPr>
      </w:pPr>
      <w:r w:rsidRPr="00C47725">
        <w:rPr>
          <w:lang w:val="de-DE"/>
        </w:rPr>
        <w:t>Verwendung von Krankheitsresistenzmerkmalen</w:t>
      </w:r>
    </w:p>
    <w:p w:rsidR="002D20DB" w:rsidRPr="00C47725" w:rsidRDefault="002D20DB" w:rsidP="002D20DB">
      <w:pPr>
        <w:rPr>
          <w:rFonts w:cs="Arial"/>
          <w:u w:val="single"/>
          <w:lang w:val="de-DE"/>
        </w:rPr>
      </w:pPr>
    </w:p>
    <w:p w:rsidR="002D20DB" w:rsidRPr="0075480D" w:rsidRDefault="002D20DB" w:rsidP="002D20DB">
      <w:pPr>
        <w:rPr>
          <w:rFonts w:cs="Arial"/>
          <w:lang w:val="de-DE"/>
        </w:rPr>
      </w:pPr>
      <w:r w:rsidRPr="0075480D">
        <w:rPr>
          <w:rFonts w:cs="Arial"/>
          <w:lang w:val="de-DE"/>
        </w:rPr>
        <w:fldChar w:fldCharType="begin"/>
      </w:r>
      <w:r w:rsidRPr="0075480D">
        <w:rPr>
          <w:rFonts w:cs="Arial"/>
          <w:lang w:val="de-DE"/>
        </w:rPr>
        <w:instrText xml:space="preserve"> AUTONUM  </w:instrText>
      </w:r>
      <w:r w:rsidRPr="0075480D">
        <w:rPr>
          <w:rFonts w:cs="Arial"/>
          <w:lang w:val="de-DE"/>
        </w:rPr>
        <w:fldChar w:fldCharType="end"/>
      </w:r>
      <w:r w:rsidRPr="0075480D">
        <w:rPr>
          <w:rFonts w:cs="Arial"/>
          <w:lang w:val="de-DE"/>
        </w:rPr>
        <w:tab/>
        <w:t>Die TWV hörte die folgenden Referate:</w:t>
      </w:r>
    </w:p>
    <w:p w:rsidR="002D20DB" w:rsidRPr="0075480D" w:rsidRDefault="002D20DB" w:rsidP="002D20DB">
      <w:pPr>
        <w:keepNext/>
        <w:rPr>
          <w:rFonts w:cs="Arial"/>
          <w:lang w:val="de-DE"/>
        </w:rPr>
      </w:pPr>
    </w:p>
    <w:p w:rsidR="002D20DB" w:rsidRPr="0075480D" w:rsidRDefault="002D20DB" w:rsidP="002D20DB">
      <w:pPr>
        <w:numPr>
          <w:ilvl w:val="0"/>
          <w:numId w:val="21"/>
        </w:numPr>
        <w:tabs>
          <w:tab w:val="left" w:pos="1701"/>
        </w:tabs>
        <w:ind w:left="1134" w:hanging="567"/>
        <w:contextualSpacing/>
        <w:rPr>
          <w:rFonts w:eastAsia="MS Mincho" w:cs="Arial"/>
          <w:lang w:val="de-DE"/>
        </w:rPr>
      </w:pPr>
      <w:r>
        <w:rPr>
          <w:rFonts w:eastAsia="MS Mincho" w:cs="Arial"/>
          <w:lang w:val="de-DE"/>
        </w:rPr>
        <w:t>„</w:t>
      </w:r>
      <w:r w:rsidRPr="0075480D">
        <w:rPr>
          <w:rFonts w:eastAsia="MS Mincho" w:cs="Arial"/>
          <w:lang w:val="de-DE"/>
        </w:rPr>
        <w:t>Verwendung von Krankheitsresistenzmerkmalen</w:t>
      </w:r>
      <w:r>
        <w:rPr>
          <w:rFonts w:eastAsia="MS Mincho" w:cs="Arial"/>
          <w:lang w:val="de-DE"/>
        </w:rPr>
        <w:t>“</w:t>
      </w:r>
      <w:r w:rsidRPr="0075480D">
        <w:rPr>
          <w:rFonts w:eastAsia="MS Mincho" w:cs="Arial"/>
          <w:lang w:val="de-DE"/>
        </w:rPr>
        <w:t>, vorgetragen von einem Sachverständigen aus der Europäischen Union.</w:t>
      </w:r>
    </w:p>
    <w:p w:rsidR="002D20DB" w:rsidRPr="0075480D" w:rsidRDefault="002D20DB" w:rsidP="002D20DB">
      <w:pPr>
        <w:numPr>
          <w:ilvl w:val="0"/>
          <w:numId w:val="21"/>
        </w:numPr>
        <w:tabs>
          <w:tab w:val="left" w:pos="1701"/>
        </w:tabs>
        <w:ind w:left="1134" w:hanging="567"/>
        <w:contextualSpacing/>
        <w:rPr>
          <w:rFonts w:eastAsia="MS Mincho" w:cs="Arial"/>
          <w:lang w:val="de-DE"/>
        </w:rPr>
      </w:pPr>
      <w:r>
        <w:rPr>
          <w:rFonts w:eastAsia="MS Mincho" w:cs="Arial"/>
          <w:lang w:val="de-DE"/>
        </w:rPr>
        <w:t>„</w:t>
      </w:r>
      <w:r w:rsidRPr="0075480D">
        <w:rPr>
          <w:rFonts w:eastAsia="MS Mincho" w:cs="Arial"/>
          <w:lang w:val="de-DE"/>
        </w:rPr>
        <w:t>Bewertung der Krankheitsresistenz von Gemüsesorten nach UPOV</w:t>
      </w:r>
      <w:r>
        <w:rPr>
          <w:rFonts w:eastAsia="MS Mincho" w:cs="Arial"/>
          <w:lang w:val="de-DE"/>
        </w:rPr>
        <w:t>-</w:t>
      </w:r>
      <w:r w:rsidRPr="0075480D">
        <w:rPr>
          <w:rFonts w:eastAsia="MS Mincho" w:cs="Arial"/>
          <w:lang w:val="de-DE"/>
        </w:rPr>
        <w:t xml:space="preserve">Normen. Ein Fokus auf </w:t>
      </w:r>
      <w:r>
        <w:rPr>
          <w:rFonts w:eastAsia="MS Mincho" w:cs="Arial"/>
          <w:lang w:val="de-DE"/>
        </w:rPr>
        <w:t>den</w:t>
      </w:r>
      <w:r w:rsidRPr="0075480D">
        <w:rPr>
          <w:rFonts w:eastAsia="MS Mincho" w:cs="Arial"/>
          <w:lang w:val="de-DE"/>
        </w:rPr>
        <w:t xml:space="preserve"> italienischen Aktivitäten</w:t>
      </w:r>
      <w:r>
        <w:rPr>
          <w:rFonts w:eastAsia="MS Mincho" w:cs="Arial"/>
          <w:lang w:val="de-DE"/>
        </w:rPr>
        <w:t>“</w:t>
      </w:r>
      <w:r w:rsidRPr="0075480D">
        <w:rPr>
          <w:rFonts w:eastAsia="MS Mincho" w:cs="Arial"/>
          <w:lang w:val="de-DE"/>
        </w:rPr>
        <w:t>, vorgetragen von einem Sachverständigen aus Italien.</w:t>
      </w:r>
    </w:p>
    <w:p w:rsidR="002D20DB" w:rsidRPr="0075480D" w:rsidRDefault="002D20DB" w:rsidP="002D20DB">
      <w:pPr>
        <w:numPr>
          <w:ilvl w:val="0"/>
          <w:numId w:val="21"/>
        </w:numPr>
        <w:tabs>
          <w:tab w:val="left" w:pos="1701"/>
        </w:tabs>
        <w:ind w:left="1134" w:hanging="567"/>
        <w:contextualSpacing/>
        <w:rPr>
          <w:rFonts w:eastAsia="MS Mincho" w:cs="Arial"/>
          <w:lang w:val="de-DE"/>
        </w:rPr>
      </w:pPr>
      <w:r>
        <w:rPr>
          <w:rFonts w:eastAsia="MS Mincho" w:cs="Arial"/>
          <w:lang w:val="de-DE"/>
        </w:rPr>
        <w:t>„</w:t>
      </w:r>
      <w:r w:rsidRPr="0075480D">
        <w:rPr>
          <w:rFonts w:eastAsia="MS Mincho" w:cs="Arial"/>
          <w:lang w:val="de-DE"/>
        </w:rPr>
        <w:t>Krankheitsresistenz bei DUS</w:t>
      </w:r>
      <w:r>
        <w:rPr>
          <w:rFonts w:eastAsia="MS Mincho" w:cs="Arial"/>
          <w:lang w:val="de-DE"/>
        </w:rPr>
        <w:t>“</w:t>
      </w:r>
      <w:r w:rsidRPr="0075480D">
        <w:rPr>
          <w:rFonts w:eastAsia="MS Mincho" w:cs="Arial"/>
          <w:lang w:val="de-DE"/>
        </w:rPr>
        <w:t>, vorgetragen von Sachverständigen aus Frankreich und den Niederlanden.</w:t>
      </w:r>
    </w:p>
    <w:p w:rsidR="002D20DB" w:rsidRPr="0075480D" w:rsidRDefault="002D20DB" w:rsidP="002D20DB">
      <w:pPr>
        <w:numPr>
          <w:ilvl w:val="0"/>
          <w:numId w:val="21"/>
        </w:numPr>
        <w:tabs>
          <w:tab w:val="left" w:pos="1701"/>
        </w:tabs>
        <w:ind w:left="1134" w:hanging="567"/>
        <w:contextualSpacing/>
        <w:rPr>
          <w:rFonts w:eastAsia="MS Mincho" w:cs="Arial"/>
          <w:lang w:val="de-DE"/>
        </w:rPr>
      </w:pPr>
      <w:r>
        <w:rPr>
          <w:rFonts w:eastAsia="MS Mincho" w:cs="Arial"/>
          <w:lang w:val="de-DE"/>
        </w:rPr>
        <w:t>„</w:t>
      </w:r>
      <w:r w:rsidRPr="0075480D">
        <w:rPr>
          <w:rFonts w:eastAsia="MS Mincho" w:cs="Arial"/>
          <w:lang w:val="de-DE"/>
        </w:rPr>
        <w:t>Harmonisierung von Krankheitsresistenzprüfungen für die DUS-Prüfung: Harmores 3</w:t>
      </w:r>
      <w:r>
        <w:rPr>
          <w:rFonts w:eastAsia="MS Mincho" w:cs="Arial"/>
          <w:lang w:val="de-DE"/>
        </w:rPr>
        <w:t>“</w:t>
      </w:r>
      <w:r w:rsidRPr="0075480D">
        <w:rPr>
          <w:rFonts w:eastAsia="MS Mincho" w:cs="Arial"/>
          <w:lang w:val="de-DE"/>
        </w:rPr>
        <w:t>, vorgetragen von einem Sachverständigen aus Frankreich (im Namen der Arbeitsgruppe).</w:t>
      </w:r>
    </w:p>
    <w:p w:rsidR="002D20DB" w:rsidRPr="00B87785" w:rsidRDefault="002D20DB" w:rsidP="002D20DB">
      <w:pPr>
        <w:numPr>
          <w:ilvl w:val="0"/>
          <w:numId w:val="21"/>
        </w:numPr>
        <w:tabs>
          <w:tab w:val="left" w:pos="1701"/>
        </w:tabs>
        <w:ind w:left="1134" w:hanging="567"/>
        <w:contextualSpacing/>
        <w:rPr>
          <w:rFonts w:eastAsia="MS Mincho" w:cs="Arial"/>
          <w:snapToGrid w:val="0"/>
          <w:lang w:val="de-DE"/>
        </w:rPr>
      </w:pPr>
      <w:r>
        <w:rPr>
          <w:rFonts w:eastAsia="MS Mincho" w:cs="Arial"/>
          <w:lang w:val="de-DE"/>
        </w:rPr>
        <w:lastRenderedPageBreak/>
        <w:t>„</w:t>
      </w:r>
      <w:r w:rsidRPr="0075480D">
        <w:rPr>
          <w:rFonts w:eastAsia="MS Mincho" w:cs="Arial"/>
          <w:lang w:val="de-DE"/>
        </w:rPr>
        <w:t>Krankheitsresistenz bei Gemü</w:t>
      </w:r>
      <w:r w:rsidRPr="00B87785">
        <w:rPr>
          <w:rFonts w:eastAsia="MS Mincho" w:cs="Arial"/>
          <w:lang w:val="de-DE"/>
        </w:rPr>
        <w:t xml:space="preserve">se: </w:t>
      </w:r>
      <w:r w:rsidRPr="00967481">
        <w:rPr>
          <w:rFonts w:eastAsia="MS Mincho" w:cs="Arial"/>
          <w:lang w:val="de-DE"/>
        </w:rPr>
        <w:t>Was macht die europäische Industrie bei Ansprüchen?</w:t>
      </w:r>
      <w:r>
        <w:rPr>
          <w:rFonts w:eastAsia="MS Mincho" w:cs="Arial"/>
          <w:lang w:val="de-DE"/>
        </w:rPr>
        <w:t>“</w:t>
      </w:r>
      <w:r w:rsidRPr="00B87785">
        <w:rPr>
          <w:rFonts w:eastAsia="MS Mincho" w:cs="Arial"/>
          <w:lang w:val="de-DE"/>
        </w:rPr>
        <w:t xml:space="preserve">, vorgetragen von einem Sachverständigen der </w:t>
      </w:r>
      <w:r w:rsidRPr="00967481">
        <w:rPr>
          <w:rFonts w:eastAsia="MS Mincho" w:cs="Arial"/>
          <w:i/>
          <w:lang w:val="de-DE"/>
        </w:rPr>
        <w:t>European Seed Association</w:t>
      </w:r>
      <w:r w:rsidRPr="00B87785">
        <w:rPr>
          <w:rFonts w:eastAsia="MS Mincho" w:cs="Arial"/>
          <w:lang w:val="de-DE"/>
        </w:rPr>
        <w:t xml:space="preserve"> (ESA).</w:t>
      </w:r>
    </w:p>
    <w:p w:rsidR="002D20DB" w:rsidRPr="00C47725" w:rsidRDefault="002D20DB" w:rsidP="002D20DB">
      <w:pPr>
        <w:keepNext/>
        <w:numPr>
          <w:ilvl w:val="0"/>
          <w:numId w:val="21"/>
        </w:numPr>
        <w:tabs>
          <w:tab w:val="left" w:pos="1701"/>
        </w:tabs>
        <w:ind w:left="1134" w:hanging="567"/>
        <w:contextualSpacing/>
        <w:rPr>
          <w:rFonts w:eastAsia="MS Mincho" w:cs="Arial"/>
          <w:lang w:val="de-DE"/>
        </w:rPr>
      </w:pPr>
      <w:r>
        <w:rPr>
          <w:rFonts w:eastAsia="MS Mincho" w:cs="Arial"/>
          <w:lang w:val="de-DE"/>
        </w:rPr>
        <w:t>„</w:t>
      </w:r>
      <w:r w:rsidRPr="00465B2F">
        <w:rPr>
          <w:rFonts w:eastAsia="MS Mincho" w:cs="Arial"/>
          <w:lang w:val="de-DE"/>
        </w:rPr>
        <w:t>ISF-Arbeitsgruppe über die Terminologie der Krankheitsresistenz</w:t>
      </w:r>
      <w:r>
        <w:rPr>
          <w:rFonts w:eastAsia="MS Mincho" w:cs="Arial"/>
          <w:lang w:val="de-DE"/>
        </w:rPr>
        <w:t>“</w:t>
      </w:r>
      <w:r w:rsidRPr="00C47725">
        <w:rPr>
          <w:rFonts w:eastAsia="MS Mincho" w:cs="Arial"/>
          <w:lang w:val="de-DE"/>
        </w:rPr>
        <w:t>, vorgetragen von einem Sachverständigen d</w:t>
      </w:r>
      <w:r>
        <w:rPr>
          <w:rFonts w:eastAsia="MS Mincho" w:cs="Arial"/>
          <w:lang w:val="de-DE"/>
        </w:rPr>
        <w:t>es</w:t>
      </w:r>
      <w:r w:rsidRPr="00C47725">
        <w:rPr>
          <w:rFonts w:eastAsia="MS Mincho" w:cs="Arial"/>
          <w:lang w:val="de-DE"/>
        </w:rPr>
        <w:t xml:space="preserve"> </w:t>
      </w:r>
      <w:r w:rsidRPr="0020085B">
        <w:rPr>
          <w:rFonts w:eastAsia="MS Mincho" w:cs="Arial"/>
          <w:i/>
          <w:lang w:val="de-DE"/>
        </w:rPr>
        <w:t>International Seed Federation</w:t>
      </w:r>
      <w:r>
        <w:rPr>
          <w:rFonts w:eastAsia="MS Mincho" w:cs="Arial"/>
          <w:lang w:val="de-DE"/>
        </w:rPr>
        <w:t xml:space="preserve"> </w:t>
      </w:r>
      <w:r w:rsidRPr="00C47725">
        <w:rPr>
          <w:rFonts w:eastAsia="MS Mincho" w:cs="Arial"/>
          <w:lang w:val="de-DE"/>
        </w:rPr>
        <w:t>(ISF).</w:t>
      </w:r>
    </w:p>
    <w:p w:rsidR="002D20DB" w:rsidRPr="00C47725" w:rsidRDefault="002D20DB" w:rsidP="002D20DB">
      <w:pPr>
        <w:rPr>
          <w:rFonts w:cs="Arial"/>
          <w:lang w:val="de-DE"/>
        </w:rPr>
      </w:pPr>
    </w:p>
    <w:p w:rsidR="002D20DB" w:rsidRPr="00C47725" w:rsidRDefault="002D20DB" w:rsidP="002D20DB">
      <w:pPr>
        <w:rPr>
          <w:rFonts w:cs="Arial"/>
          <w:lang w:val="de-DE"/>
        </w:rPr>
      </w:pPr>
      <w:r w:rsidRPr="002D3FAD">
        <w:rPr>
          <w:rFonts w:cs="Arial"/>
          <w:lang w:val="de-DE"/>
        </w:rPr>
        <w:fldChar w:fldCharType="begin"/>
      </w:r>
      <w:r w:rsidRPr="002D3FAD">
        <w:rPr>
          <w:rFonts w:cs="Arial"/>
          <w:lang w:val="de-DE"/>
        </w:rPr>
        <w:instrText xml:space="preserve"> AUTONUM  </w:instrText>
      </w:r>
      <w:r w:rsidRPr="002D3FAD">
        <w:rPr>
          <w:rFonts w:cs="Arial"/>
          <w:lang w:val="de-DE"/>
        </w:rPr>
        <w:fldChar w:fldCharType="end"/>
      </w:r>
      <w:r w:rsidRPr="00C47725">
        <w:rPr>
          <w:rFonts w:cs="Arial"/>
          <w:lang w:val="de-DE"/>
        </w:rPr>
        <w:tab/>
        <w:t xml:space="preserve">Die TWV vereinbarte, dass die derzeitige Anleitung in UPOV-Dokumenten in Bezug auf die Verwendung von Krankheitsresistenzmerkmalen in den Prüfungsrichtlinien und in der DUS-Prüfung klar und ausreichend </w:t>
      </w:r>
      <w:r>
        <w:rPr>
          <w:rFonts w:cs="Arial"/>
          <w:lang w:val="de-DE"/>
        </w:rPr>
        <w:t>sei</w:t>
      </w:r>
      <w:r w:rsidRPr="00C47725">
        <w:rPr>
          <w:rFonts w:cs="Arial"/>
          <w:lang w:val="de-DE"/>
        </w:rPr>
        <w:t>. Die TWV nahm zur Kenntnis, dass im Rahmen der Krankheitsresistenzmerkmale bei der Verwendung von QN als Ausprägungstyp mehr als 3 Stufen verwendet werden könn</w:t>
      </w:r>
      <w:r>
        <w:rPr>
          <w:rFonts w:cs="Arial"/>
          <w:lang w:val="de-DE"/>
        </w:rPr>
        <w:t>t</w:t>
      </w:r>
      <w:r w:rsidRPr="00C47725">
        <w:rPr>
          <w:rFonts w:cs="Arial"/>
          <w:lang w:val="de-DE"/>
        </w:rPr>
        <w:t>en.</w:t>
      </w:r>
    </w:p>
    <w:p w:rsidR="002D20DB" w:rsidRPr="00C47725" w:rsidRDefault="002D20DB" w:rsidP="002D20DB">
      <w:pPr>
        <w:rPr>
          <w:rFonts w:cs="Arial"/>
          <w:lang w:val="de-DE"/>
        </w:rPr>
      </w:pPr>
    </w:p>
    <w:p w:rsidR="002D20DB" w:rsidRPr="00C47725" w:rsidRDefault="002D20DB" w:rsidP="002D20DB">
      <w:pPr>
        <w:rPr>
          <w:rFonts w:cs="Arial"/>
          <w:lang w:val="de-DE"/>
        </w:rPr>
      </w:pPr>
      <w:r w:rsidRPr="002D3FAD">
        <w:rPr>
          <w:rFonts w:cs="Arial"/>
          <w:lang w:val="de-DE"/>
        </w:rPr>
        <w:fldChar w:fldCharType="begin"/>
      </w:r>
      <w:r w:rsidRPr="002D3FAD">
        <w:rPr>
          <w:rFonts w:cs="Arial"/>
          <w:lang w:val="de-DE"/>
        </w:rPr>
        <w:instrText xml:space="preserve"> AUTONUM  </w:instrText>
      </w:r>
      <w:r w:rsidRPr="002D3FAD">
        <w:rPr>
          <w:rFonts w:cs="Arial"/>
          <w:lang w:val="de-DE"/>
        </w:rPr>
        <w:fldChar w:fldCharType="end"/>
      </w:r>
      <w:r w:rsidRPr="00C47725">
        <w:rPr>
          <w:rFonts w:cs="Arial"/>
          <w:lang w:val="de-DE"/>
        </w:rPr>
        <w:tab/>
        <w:t xml:space="preserve">Die TWV vereinbarte, dass Krankheitsresistenz ein wichtiges Züchterziel </w:t>
      </w:r>
      <w:r>
        <w:rPr>
          <w:rFonts w:cs="Arial"/>
          <w:lang w:val="de-DE"/>
        </w:rPr>
        <w:t>sei</w:t>
      </w:r>
      <w:r w:rsidRPr="00C47725">
        <w:rPr>
          <w:rFonts w:cs="Arial"/>
          <w:lang w:val="de-DE"/>
        </w:rPr>
        <w:t xml:space="preserve">, weshalb die Zusammenarbeit zwischen allen </w:t>
      </w:r>
      <w:r>
        <w:rPr>
          <w:rFonts w:cs="Arial"/>
          <w:lang w:val="de-DE"/>
        </w:rPr>
        <w:t>Interessenvertretern</w:t>
      </w:r>
      <w:r w:rsidRPr="00C47725">
        <w:rPr>
          <w:rFonts w:cs="Arial"/>
          <w:lang w:val="de-DE"/>
        </w:rPr>
        <w:t xml:space="preserve"> von Vorteil wäre, um die Entwicklung von DUS-Prüfung und Prüfungsrichtlinien im Einklang mit den Erwartungen der Nutzer des Systems sicherzustellen. </w:t>
      </w:r>
    </w:p>
    <w:p w:rsidR="002D20DB" w:rsidRPr="00C47725" w:rsidRDefault="002D20DB" w:rsidP="002D20DB">
      <w:pPr>
        <w:rPr>
          <w:rFonts w:cs="Arial"/>
          <w:lang w:val="de-DE"/>
        </w:rPr>
      </w:pPr>
    </w:p>
    <w:p w:rsidR="002D20DB" w:rsidRPr="00C47725" w:rsidRDefault="002D20DB" w:rsidP="002D20DB">
      <w:pPr>
        <w:rPr>
          <w:rFonts w:cs="Arial"/>
          <w:lang w:val="de-DE"/>
        </w:rPr>
      </w:pPr>
      <w:r w:rsidRPr="002D3FAD">
        <w:rPr>
          <w:rFonts w:cs="Arial"/>
          <w:lang w:val="de-DE"/>
        </w:rPr>
        <w:fldChar w:fldCharType="begin"/>
      </w:r>
      <w:r w:rsidRPr="002D3FAD">
        <w:rPr>
          <w:rFonts w:cs="Arial"/>
          <w:lang w:val="de-DE"/>
        </w:rPr>
        <w:instrText xml:space="preserve"> AUTONUM  </w:instrText>
      </w:r>
      <w:r w:rsidRPr="002D3FAD">
        <w:rPr>
          <w:rFonts w:cs="Arial"/>
          <w:lang w:val="de-DE"/>
        </w:rPr>
        <w:fldChar w:fldCharType="end"/>
      </w:r>
      <w:r w:rsidRPr="00C47725">
        <w:rPr>
          <w:rFonts w:cs="Arial"/>
          <w:lang w:val="de-DE"/>
        </w:rPr>
        <w:tab/>
        <w:t xml:space="preserve">Die TWV vereinbarte, dass Krankheitsresistenzmerkmale für die DUS-Prüfung wichtig </w:t>
      </w:r>
      <w:r>
        <w:rPr>
          <w:rFonts w:cs="Arial"/>
          <w:lang w:val="de-DE"/>
        </w:rPr>
        <w:t>seien</w:t>
      </w:r>
      <w:r w:rsidRPr="00C47725">
        <w:rPr>
          <w:rFonts w:cs="Arial"/>
          <w:lang w:val="de-DE"/>
        </w:rPr>
        <w:t>, insbesondere für Unterscheidung, Gruppierung und Sortenbeschreibung</w:t>
      </w:r>
      <w:r>
        <w:rPr>
          <w:rFonts w:cs="Arial"/>
          <w:lang w:val="de-DE"/>
        </w:rPr>
        <w:t>en</w:t>
      </w:r>
      <w:r w:rsidRPr="00C47725">
        <w:rPr>
          <w:rFonts w:cs="Arial"/>
          <w:lang w:val="de-DE"/>
        </w:rPr>
        <w:t>. Die TWV vereinbarte daher, dass es in der Verantwortung jeder TWP lieg</w:t>
      </w:r>
      <w:r>
        <w:rPr>
          <w:rFonts w:cs="Arial"/>
          <w:lang w:val="de-DE"/>
        </w:rPr>
        <w:t>e</w:t>
      </w:r>
      <w:r w:rsidRPr="00C47725">
        <w:rPr>
          <w:rFonts w:cs="Arial"/>
          <w:lang w:val="de-DE"/>
        </w:rPr>
        <w:t xml:space="preserve">, die Prüfungsrichtlinien gegebenenfalls zu aktualisieren und sich die angemessene Zeit zu nehmen, um Merkmale mit einer anerkannten Methodik für die Bewertung der Merkmale (z.B. Ausprägungstyp QN/QL, gemeinsam vereinbarte Terminologie) und für die Einhaltung des validierten Krankheitsprüfungsprotokolls aufzunehmen und/oder zu aktualisieren. Um dieses Ziel zu erreichen, vereinbarte die TWV, dass alle </w:t>
      </w:r>
      <w:r>
        <w:rPr>
          <w:rFonts w:cs="Arial"/>
          <w:lang w:val="de-DE"/>
        </w:rPr>
        <w:t xml:space="preserve">Interessenvertreter </w:t>
      </w:r>
      <w:r w:rsidRPr="00C47725">
        <w:rPr>
          <w:rFonts w:cs="Arial"/>
          <w:lang w:val="de-DE"/>
        </w:rPr>
        <w:t xml:space="preserve">(d.h. DUS-Sachverständige, Pathologen, Züchter) hinzugezogen bzw. beteiligt werden sollten und genügend Zeit zur Verfügung gestellt </w:t>
      </w:r>
      <w:r>
        <w:rPr>
          <w:rFonts w:cs="Arial"/>
          <w:lang w:val="de-DE"/>
        </w:rPr>
        <w:t>bekommen</w:t>
      </w:r>
      <w:r w:rsidRPr="00C47725">
        <w:rPr>
          <w:rFonts w:cs="Arial"/>
          <w:lang w:val="de-DE"/>
        </w:rPr>
        <w:t xml:space="preserve"> sollte</w:t>
      </w:r>
      <w:r>
        <w:rPr>
          <w:rFonts w:cs="Arial"/>
          <w:lang w:val="de-DE"/>
        </w:rPr>
        <w:t>n</w:t>
      </w:r>
      <w:r w:rsidRPr="00C47725">
        <w:rPr>
          <w:rFonts w:cs="Arial"/>
          <w:lang w:val="de-DE"/>
        </w:rPr>
        <w:t>, um sicherzustellen, dass</w:t>
      </w:r>
      <w:r>
        <w:rPr>
          <w:rFonts w:cs="Arial"/>
          <w:lang w:val="de-DE"/>
        </w:rPr>
        <w:t xml:space="preserve"> sich</w:t>
      </w:r>
      <w:r w:rsidRPr="00C47725">
        <w:rPr>
          <w:rFonts w:cs="Arial"/>
          <w:lang w:val="de-DE"/>
        </w:rPr>
        <w:t xml:space="preserve"> alle DUS-Prüfungsämter </w:t>
      </w:r>
      <w:r>
        <w:rPr>
          <w:rFonts w:cs="Arial"/>
          <w:lang w:val="de-DE"/>
        </w:rPr>
        <w:t>einig sind</w:t>
      </w:r>
      <w:r w:rsidRPr="00C47725">
        <w:rPr>
          <w:rFonts w:cs="Arial"/>
          <w:lang w:val="de-DE"/>
        </w:rPr>
        <w:t>, bevor sie neue Krankheitsresistenzmerkmale oder ein neues Krankheitsprüfungsprotokoll hinzufügen.</w:t>
      </w:r>
    </w:p>
    <w:p w:rsidR="002D20DB" w:rsidRPr="00C47725" w:rsidRDefault="002D20DB" w:rsidP="002D20DB">
      <w:pPr>
        <w:rPr>
          <w:rFonts w:cs="Arial"/>
          <w:lang w:val="de-DE"/>
        </w:rPr>
      </w:pPr>
    </w:p>
    <w:p w:rsidR="002D20DB" w:rsidRPr="00C47725" w:rsidRDefault="002D20DB" w:rsidP="002D20DB">
      <w:pPr>
        <w:pStyle w:val="Heading5"/>
        <w:rPr>
          <w:lang w:val="de-DE"/>
        </w:rPr>
      </w:pPr>
      <w:r w:rsidRPr="00C47725">
        <w:rPr>
          <w:lang w:val="de-DE"/>
        </w:rPr>
        <w:t>Neue Fragen, die sich für die DUS-Prüfung ergeben</w:t>
      </w:r>
    </w:p>
    <w:p w:rsidR="002D20DB" w:rsidRPr="00C47725" w:rsidRDefault="002D20DB" w:rsidP="002D20DB">
      <w:pPr>
        <w:keepNext/>
        <w:keepLines/>
        <w:outlineLvl w:val="1"/>
        <w:rPr>
          <w:rFonts w:cs="Arial"/>
          <w:u w:val="single"/>
          <w:lang w:val="de-DE"/>
        </w:rPr>
      </w:pPr>
    </w:p>
    <w:p w:rsidR="002D20DB" w:rsidRPr="00C47725" w:rsidRDefault="002D20DB" w:rsidP="002D20DB">
      <w:pPr>
        <w:keepNext/>
        <w:keepLines/>
        <w:rPr>
          <w:rFonts w:cs="Arial"/>
          <w:lang w:val="de-DE"/>
        </w:rPr>
      </w:pPr>
      <w:r w:rsidRPr="002D3FAD">
        <w:rPr>
          <w:rFonts w:cs="Arial"/>
          <w:lang w:val="de-DE"/>
        </w:rPr>
        <w:fldChar w:fldCharType="begin"/>
      </w:r>
      <w:r w:rsidRPr="002D3FAD">
        <w:rPr>
          <w:rFonts w:cs="Arial"/>
          <w:lang w:val="de-DE"/>
        </w:rPr>
        <w:instrText xml:space="preserve"> AUTONUM  </w:instrText>
      </w:r>
      <w:r w:rsidRPr="002D3FAD">
        <w:rPr>
          <w:rFonts w:cs="Arial"/>
          <w:lang w:val="de-DE"/>
        </w:rPr>
        <w:fldChar w:fldCharType="end"/>
      </w:r>
      <w:r w:rsidRPr="00C47725">
        <w:rPr>
          <w:rFonts w:cs="Arial"/>
          <w:lang w:val="de-DE"/>
        </w:rPr>
        <w:tab/>
        <w:t>Im Zusammenhang mit der Erörterung, die auf der zweiundfünfzigsten Sitzung der TWV über</w:t>
      </w:r>
      <w:r>
        <w:rPr>
          <w:rFonts w:cs="Arial"/>
          <w:lang w:val="de-DE"/>
        </w:rPr>
        <w:t xml:space="preserve"> „</w:t>
      </w:r>
      <w:r w:rsidRPr="00C47725">
        <w:rPr>
          <w:rFonts w:cs="Arial"/>
          <w:lang w:val="de-DE"/>
        </w:rPr>
        <w:t xml:space="preserve">Phänotypen-Abweicher bei </w:t>
      </w:r>
      <w:r w:rsidRPr="00C47725">
        <w:rPr>
          <w:rFonts w:cs="Arial"/>
          <w:i/>
          <w:lang w:val="de-DE"/>
        </w:rPr>
        <w:t>Brassica oleracea</w:t>
      </w:r>
      <w:r w:rsidRPr="00C47725">
        <w:rPr>
          <w:rFonts w:cs="Arial"/>
          <w:lang w:val="de-DE"/>
        </w:rPr>
        <w:t xml:space="preserve"> var. </w:t>
      </w:r>
      <w:r w:rsidRPr="00C47725">
        <w:rPr>
          <w:rFonts w:cs="Arial"/>
          <w:i/>
          <w:lang w:val="de-DE"/>
        </w:rPr>
        <w:t>Botrytis</w:t>
      </w:r>
      <w:r>
        <w:rPr>
          <w:rFonts w:cs="Arial"/>
          <w:lang w:val="de-DE"/>
        </w:rPr>
        <w:t>“</w:t>
      </w:r>
      <w:r w:rsidRPr="00C47725">
        <w:rPr>
          <w:rFonts w:cs="Arial"/>
          <w:lang w:val="de-DE"/>
        </w:rPr>
        <w:t xml:space="preserve"> stattfand, berichtete der Vertreter von Crop Life International nach Rücksprache mit Mitgliedern von Crop Life International, dass es sich nicht um ein zunehmendes Problem handele und </w:t>
      </w:r>
      <w:r>
        <w:rPr>
          <w:rFonts w:cs="Arial"/>
          <w:lang w:val="de-DE"/>
        </w:rPr>
        <w:t>derzeit</w:t>
      </w:r>
      <w:r w:rsidRPr="00C47725">
        <w:rPr>
          <w:rFonts w:cs="Arial"/>
          <w:lang w:val="de-DE"/>
        </w:rPr>
        <w:t xml:space="preserve"> nicht als ein großes Problem in Pflanzenzüchtungsprogrammen weltweit angesehen werde. Die TWV vereinbarte, die Erörterung über diesen Punkt nicht fortzusetzen, und ersuchte Sachverständige aus Frankreich und Beobachtern, gegebenenfalls über künftige Entwicklungen zu berichten.</w:t>
      </w:r>
    </w:p>
    <w:p w:rsidR="002D20DB" w:rsidRPr="00C47725" w:rsidRDefault="002D20DB" w:rsidP="002D20DB">
      <w:pPr>
        <w:keepNext/>
        <w:keepLines/>
        <w:rPr>
          <w:rFonts w:cs="Arial"/>
          <w:lang w:val="de-DE"/>
        </w:rPr>
      </w:pPr>
    </w:p>
    <w:p w:rsidR="002D20DB" w:rsidRPr="00C47725" w:rsidRDefault="002D20DB" w:rsidP="002D20DB">
      <w:pPr>
        <w:rPr>
          <w:rFonts w:cs="Arial"/>
          <w:lang w:val="de-DE"/>
        </w:rPr>
      </w:pPr>
      <w:r w:rsidRPr="002D3FAD">
        <w:rPr>
          <w:rFonts w:cs="Arial"/>
          <w:lang w:val="de-DE"/>
        </w:rPr>
        <w:fldChar w:fldCharType="begin"/>
      </w:r>
      <w:r w:rsidRPr="002D3FAD">
        <w:rPr>
          <w:rFonts w:cs="Arial"/>
          <w:lang w:val="de-DE"/>
        </w:rPr>
        <w:instrText xml:space="preserve"> AUTONUM  </w:instrText>
      </w:r>
      <w:r w:rsidRPr="002D3FAD">
        <w:rPr>
          <w:rFonts w:cs="Arial"/>
          <w:lang w:val="de-DE"/>
        </w:rPr>
        <w:fldChar w:fldCharType="end"/>
      </w:r>
      <w:r w:rsidRPr="00C47725">
        <w:rPr>
          <w:rFonts w:cs="Arial"/>
          <w:lang w:val="de-DE"/>
        </w:rPr>
        <w:tab/>
        <w:t xml:space="preserve">Die TWV nahm die Bemerkung eines Sachverständigen aus den Niederlanden </w:t>
      </w:r>
      <w:r>
        <w:rPr>
          <w:rFonts w:cs="Arial"/>
          <w:lang w:val="de-DE"/>
        </w:rPr>
        <w:t>bezüglich</w:t>
      </w:r>
      <w:r w:rsidRPr="00C47725">
        <w:rPr>
          <w:rFonts w:cs="Arial"/>
          <w:lang w:val="de-DE"/>
        </w:rPr>
        <w:t xml:space="preserve"> der zunehmende</w:t>
      </w:r>
      <w:r>
        <w:rPr>
          <w:rFonts w:cs="Arial"/>
          <w:lang w:val="de-DE"/>
        </w:rPr>
        <w:t>n</w:t>
      </w:r>
      <w:r w:rsidRPr="00C47725">
        <w:rPr>
          <w:rFonts w:cs="Arial"/>
          <w:lang w:val="de-DE"/>
        </w:rPr>
        <w:t xml:space="preserve"> Verwendung vegetativ vermehrter Sorten bei normalerweise samenvermehrten Arten (z.B</w:t>
      </w:r>
      <w:r w:rsidR="00DB1F66">
        <w:rPr>
          <w:rFonts w:cs="Arial"/>
          <w:lang w:val="de-DE"/>
        </w:rPr>
        <w:t>. </w:t>
      </w:r>
      <w:r>
        <w:rPr>
          <w:rFonts w:cs="Arial"/>
          <w:lang w:val="de-DE"/>
        </w:rPr>
        <w:t>Paprika</w:t>
      </w:r>
      <w:r w:rsidRPr="00C47725">
        <w:rPr>
          <w:rFonts w:cs="Arial"/>
          <w:lang w:val="de-DE"/>
        </w:rPr>
        <w:t xml:space="preserve">) zur Kenntnis. Die TWV ersuchte den Sachverständigen aus den Niederlanden und andere Sachverständige, über die neuesten Entwicklungen im Zusammenhang mit diesem Trend zu berichten und insbesondere die </w:t>
      </w:r>
      <w:r>
        <w:rPr>
          <w:rFonts w:cs="Arial"/>
          <w:lang w:val="de-DE"/>
        </w:rPr>
        <w:t>potentiellen</w:t>
      </w:r>
      <w:r w:rsidRPr="00C47725">
        <w:rPr>
          <w:rFonts w:cs="Arial"/>
          <w:lang w:val="de-DE"/>
        </w:rPr>
        <w:t xml:space="preserve"> Herausforderungen im Rahmen der DUS-Prüfung zu erläutern.</w:t>
      </w:r>
    </w:p>
    <w:p w:rsidR="002D20DB" w:rsidRPr="00C47725" w:rsidRDefault="002D20DB" w:rsidP="002D20DB">
      <w:pPr>
        <w:rPr>
          <w:rFonts w:cs="Arial"/>
          <w:lang w:val="de-DE"/>
        </w:rPr>
      </w:pPr>
    </w:p>
    <w:p w:rsidR="002D20DB" w:rsidRPr="00C47725" w:rsidRDefault="002D20DB" w:rsidP="002D20DB">
      <w:pPr>
        <w:pStyle w:val="Heading5"/>
        <w:rPr>
          <w:lang w:val="de-DE"/>
        </w:rPr>
      </w:pPr>
      <w:r w:rsidRPr="00C47725">
        <w:rPr>
          <w:lang w:val="de-DE"/>
        </w:rPr>
        <w:t xml:space="preserve">Erfahrungen mit neuen </w:t>
      </w:r>
      <w:r>
        <w:rPr>
          <w:lang w:val="de-DE"/>
        </w:rPr>
        <w:t>Typen</w:t>
      </w:r>
      <w:r w:rsidRPr="00C47725">
        <w:rPr>
          <w:lang w:val="de-DE"/>
        </w:rPr>
        <w:t xml:space="preserve"> und Arten</w:t>
      </w:r>
    </w:p>
    <w:p w:rsidR="002D20DB" w:rsidRPr="00C47725" w:rsidRDefault="002D20DB" w:rsidP="002D20DB">
      <w:pPr>
        <w:keepNext/>
        <w:rPr>
          <w:rFonts w:cs="Arial"/>
          <w:lang w:val="de-DE"/>
        </w:rPr>
      </w:pPr>
    </w:p>
    <w:p w:rsidR="002D20DB" w:rsidRPr="00C47725" w:rsidRDefault="002D20DB" w:rsidP="002D20DB">
      <w:pPr>
        <w:rPr>
          <w:rFonts w:cs="Arial"/>
          <w:lang w:val="de-DE"/>
        </w:rPr>
      </w:pPr>
      <w:r w:rsidRPr="002D3FAD">
        <w:rPr>
          <w:rFonts w:cs="Arial"/>
          <w:lang w:val="de-DE"/>
        </w:rPr>
        <w:fldChar w:fldCharType="begin"/>
      </w:r>
      <w:r w:rsidRPr="002D3FAD">
        <w:rPr>
          <w:rFonts w:cs="Arial"/>
          <w:lang w:val="de-DE"/>
        </w:rPr>
        <w:instrText xml:space="preserve"> AUTONUM  </w:instrText>
      </w:r>
      <w:r w:rsidRPr="002D3FAD">
        <w:rPr>
          <w:rFonts w:cs="Arial"/>
          <w:lang w:val="de-DE"/>
        </w:rPr>
        <w:fldChar w:fldCharType="end"/>
      </w:r>
      <w:r w:rsidRPr="00C47725">
        <w:rPr>
          <w:rFonts w:cs="Arial"/>
          <w:lang w:val="de-DE"/>
        </w:rPr>
        <w:tab/>
        <w:t xml:space="preserve">Die TWV hörte ein Referat von einem Sachverständigen aus China über die </w:t>
      </w:r>
      <w:r>
        <w:rPr>
          <w:rFonts w:cs="Arial"/>
          <w:lang w:val="de-DE"/>
        </w:rPr>
        <w:t xml:space="preserve">durchgeführte </w:t>
      </w:r>
      <w:r w:rsidRPr="00C47725">
        <w:rPr>
          <w:rFonts w:cs="Arial"/>
          <w:lang w:val="de-DE"/>
        </w:rPr>
        <w:t xml:space="preserve">Arbeit zur </w:t>
      </w:r>
      <w:r>
        <w:rPr>
          <w:rFonts w:cs="Arial"/>
          <w:lang w:val="de-DE"/>
        </w:rPr>
        <w:t>Erarbeitung</w:t>
      </w:r>
      <w:r w:rsidRPr="00C47725">
        <w:rPr>
          <w:rFonts w:cs="Arial"/>
          <w:lang w:val="de-DE"/>
        </w:rPr>
        <w:t xml:space="preserve"> einer nationalen Prüfungsrichtlinie für Wasserspinat (</w:t>
      </w:r>
      <w:r w:rsidRPr="00C47725">
        <w:rPr>
          <w:rFonts w:cs="Arial"/>
          <w:i/>
          <w:lang w:val="de-DE"/>
        </w:rPr>
        <w:t>Ipomoea aquatica</w:t>
      </w:r>
      <w:r w:rsidRPr="00C47725">
        <w:rPr>
          <w:rFonts w:cs="Arial"/>
          <w:lang w:val="de-DE"/>
        </w:rPr>
        <w:t xml:space="preserve">). Die TWV vereinbarte, Sachverständige aus China und allen anderen Mitgliedern </w:t>
      </w:r>
      <w:r>
        <w:rPr>
          <w:rFonts w:cs="Arial"/>
          <w:lang w:val="de-DE"/>
        </w:rPr>
        <w:t>zu ersuchen</w:t>
      </w:r>
      <w:r w:rsidRPr="00C47725">
        <w:rPr>
          <w:rFonts w:cs="Arial"/>
          <w:lang w:val="de-DE"/>
        </w:rPr>
        <w:t xml:space="preserve">, über weitere Entwicklungen </w:t>
      </w:r>
      <w:r>
        <w:rPr>
          <w:rFonts w:cs="Arial"/>
          <w:lang w:val="de-DE"/>
        </w:rPr>
        <w:t>bezüglich</w:t>
      </w:r>
      <w:r w:rsidRPr="00C47725">
        <w:rPr>
          <w:rFonts w:cs="Arial"/>
          <w:lang w:val="de-DE"/>
        </w:rPr>
        <w:t xml:space="preserve"> der Anzahl der Anträge und </w:t>
      </w:r>
      <w:r>
        <w:rPr>
          <w:rFonts w:cs="Arial"/>
          <w:lang w:val="de-DE"/>
        </w:rPr>
        <w:t>jeglichen</w:t>
      </w:r>
      <w:r w:rsidRPr="00C47725">
        <w:rPr>
          <w:rFonts w:cs="Arial"/>
          <w:lang w:val="de-DE"/>
        </w:rPr>
        <w:t xml:space="preserve"> Züchtungsaktivitäten zu berichten, um gegebenenfalls die </w:t>
      </w:r>
      <w:r>
        <w:rPr>
          <w:rFonts w:cs="Arial"/>
          <w:lang w:val="de-DE"/>
        </w:rPr>
        <w:t>Erarbeitung</w:t>
      </w:r>
      <w:r w:rsidRPr="00C47725">
        <w:rPr>
          <w:rFonts w:cs="Arial"/>
          <w:lang w:val="de-DE"/>
        </w:rPr>
        <w:t xml:space="preserve"> von Prüfungsrichtlinie</w:t>
      </w:r>
      <w:r>
        <w:rPr>
          <w:rFonts w:cs="Arial"/>
          <w:lang w:val="de-DE"/>
        </w:rPr>
        <w:t>n</w:t>
      </w:r>
      <w:r w:rsidRPr="00C47725">
        <w:rPr>
          <w:rFonts w:cs="Arial"/>
          <w:lang w:val="de-DE"/>
        </w:rPr>
        <w:t xml:space="preserve"> für die Zukunft </w:t>
      </w:r>
      <w:r>
        <w:rPr>
          <w:rFonts w:cs="Arial"/>
          <w:lang w:val="de-DE"/>
        </w:rPr>
        <w:t>in Erwägung ziehen</w:t>
      </w:r>
      <w:r w:rsidRPr="00C47725">
        <w:rPr>
          <w:rFonts w:cs="Arial"/>
          <w:lang w:val="de-DE"/>
        </w:rPr>
        <w:t xml:space="preserve"> zu können.</w:t>
      </w:r>
    </w:p>
    <w:p w:rsidR="002D20DB" w:rsidRPr="00C47725" w:rsidRDefault="002D20DB" w:rsidP="002D20DB">
      <w:pPr>
        <w:rPr>
          <w:rFonts w:cs="Arial"/>
          <w:lang w:val="de-DE"/>
        </w:rPr>
      </w:pPr>
    </w:p>
    <w:p w:rsidR="002D20DB" w:rsidRPr="00C47725" w:rsidRDefault="002D20DB" w:rsidP="002D20DB">
      <w:pPr>
        <w:pStyle w:val="Heading5"/>
        <w:rPr>
          <w:lang w:val="de-DE"/>
        </w:rPr>
      </w:pPr>
      <w:r w:rsidRPr="00C47725">
        <w:rPr>
          <w:lang w:val="de-DE"/>
        </w:rPr>
        <w:t xml:space="preserve">Zusammenarbeit bei der Prüfung </w:t>
      </w:r>
    </w:p>
    <w:p w:rsidR="002D20DB" w:rsidRPr="00C47725" w:rsidRDefault="002D20DB" w:rsidP="002D20DB">
      <w:pPr>
        <w:rPr>
          <w:rFonts w:cs="Arial"/>
          <w:lang w:val="de-DE"/>
        </w:rPr>
      </w:pPr>
    </w:p>
    <w:p w:rsidR="002D20DB" w:rsidRPr="002D3FAD" w:rsidRDefault="002D20DB" w:rsidP="002D20DB">
      <w:pPr>
        <w:rPr>
          <w:rFonts w:cs="Arial"/>
          <w:lang w:val="de-DE"/>
        </w:rPr>
      </w:pPr>
      <w:r w:rsidRPr="00967481">
        <w:rPr>
          <w:rFonts w:cs="Arial"/>
          <w:lang w:val="de-DE"/>
        </w:rPr>
        <w:fldChar w:fldCharType="begin"/>
      </w:r>
      <w:r w:rsidRPr="008050D7">
        <w:rPr>
          <w:rFonts w:cs="Arial"/>
          <w:lang w:val="de-DE"/>
        </w:rPr>
        <w:instrText xml:space="preserve"> AUTONUM  </w:instrText>
      </w:r>
      <w:r w:rsidRPr="00967481">
        <w:rPr>
          <w:rFonts w:cs="Arial"/>
          <w:lang w:val="de-DE"/>
        </w:rPr>
        <w:fldChar w:fldCharType="end"/>
      </w:r>
      <w:r w:rsidRPr="002D3FAD">
        <w:rPr>
          <w:rFonts w:cs="Arial"/>
          <w:lang w:val="de-DE"/>
        </w:rPr>
        <w:tab/>
        <w:t>Die TWV bildete Diskussionsgruppen, um die technischen Probleme zu erörtern, die eine Zusammenarbeit bei der DUS-Prüfung verhindern, und wie die aufgeworfenen technischen Bedenken überwunden werden können.</w:t>
      </w:r>
    </w:p>
    <w:p w:rsidR="002D20DB" w:rsidRPr="002D3FAD" w:rsidRDefault="002D20DB" w:rsidP="002D20DB">
      <w:pPr>
        <w:rPr>
          <w:rFonts w:cs="Arial"/>
          <w:lang w:val="de-DE"/>
        </w:rPr>
      </w:pPr>
    </w:p>
    <w:p w:rsidR="002D20DB" w:rsidRPr="002D3FAD" w:rsidRDefault="002D20DB" w:rsidP="002D20DB">
      <w:pPr>
        <w:pStyle w:val="Heading5"/>
        <w:rPr>
          <w:lang w:val="de-DE"/>
        </w:rPr>
      </w:pPr>
      <w:r w:rsidRPr="002D3FAD">
        <w:rPr>
          <w:lang w:val="de-DE"/>
        </w:rPr>
        <w:t xml:space="preserve">Sortenbezeichnung </w:t>
      </w:r>
    </w:p>
    <w:p w:rsidR="002D20DB" w:rsidRPr="002D3FAD" w:rsidRDefault="002D20DB" w:rsidP="002D20DB">
      <w:pPr>
        <w:rPr>
          <w:rFonts w:cs="Arial"/>
          <w:lang w:val="de-DE"/>
        </w:rPr>
      </w:pPr>
    </w:p>
    <w:p w:rsidR="002D20DB" w:rsidRPr="002D3FAD" w:rsidRDefault="002D20DB" w:rsidP="002D20DB">
      <w:pPr>
        <w:rPr>
          <w:rFonts w:cs="Arial"/>
          <w:lang w:val="de-DE"/>
        </w:rPr>
      </w:pPr>
      <w:r w:rsidRPr="002D3FAD">
        <w:rPr>
          <w:rFonts w:cs="Arial"/>
          <w:lang w:val="de-DE"/>
        </w:rPr>
        <w:fldChar w:fldCharType="begin"/>
      </w:r>
      <w:r w:rsidRPr="002D3FAD">
        <w:rPr>
          <w:rFonts w:cs="Arial"/>
          <w:lang w:val="de-DE"/>
        </w:rPr>
        <w:instrText xml:space="preserve"> AUTONUM  </w:instrText>
      </w:r>
      <w:r w:rsidRPr="002D3FAD">
        <w:rPr>
          <w:rFonts w:cs="Arial"/>
          <w:lang w:val="de-DE"/>
        </w:rPr>
        <w:fldChar w:fldCharType="end"/>
      </w:r>
      <w:r w:rsidRPr="002D3FAD">
        <w:rPr>
          <w:rFonts w:cs="Arial"/>
          <w:lang w:val="de-DE"/>
        </w:rPr>
        <w:tab/>
        <w:t>Die TWV stimmte dem Vorschlag zu, Klasse 205, wie in Dokument TWP/3/6</w:t>
      </w:r>
      <w:r>
        <w:rPr>
          <w:rFonts w:cs="Arial"/>
          <w:lang w:val="de-DE"/>
        </w:rPr>
        <w:t xml:space="preserve"> „</w:t>
      </w:r>
      <w:r w:rsidRPr="00967481">
        <w:rPr>
          <w:rFonts w:cs="Arial"/>
          <w:lang w:val="de-DE"/>
        </w:rPr>
        <w:t>Variety Denominations</w:t>
      </w:r>
      <w:r>
        <w:rPr>
          <w:rFonts w:cs="Arial"/>
          <w:lang w:val="de-DE"/>
        </w:rPr>
        <w:t>“</w:t>
      </w:r>
      <w:r w:rsidRPr="002D3FAD">
        <w:rPr>
          <w:rFonts w:cs="Arial"/>
          <w:lang w:val="de-DE"/>
        </w:rPr>
        <w:t xml:space="preserve"> vorgeschlagen, zu überarbeiten, um die derzeitige Klasse 205 (</w:t>
      </w:r>
      <w:r w:rsidRPr="002D3FAD">
        <w:rPr>
          <w:rFonts w:cs="Arial"/>
          <w:i/>
          <w:lang w:val="de-DE"/>
        </w:rPr>
        <w:t>Cichorium</w:t>
      </w:r>
      <w:r w:rsidRPr="002D3FAD">
        <w:rPr>
          <w:rFonts w:cs="Arial"/>
          <w:lang w:val="de-DE"/>
        </w:rPr>
        <w:t xml:space="preserve"> und </w:t>
      </w:r>
      <w:r w:rsidRPr="002D3FAD">
        <w:rPr>
          <w:rFonts w:cs="Arial"/>
          <w:i/>
          <w:lang w:val="de-DE"/>
        </w:rPr>
        <w:t>Lactuca</w:t>
      </w:r>
      <w:r w:rsidRPr="002D3FAD">
        <w:rPr>
          <w:rFonts w:cs="Arial"/>
          <w:lang w:val="de-DE"/>
        </w:rPr>
        <w:t>) in zwei neue Klassen aufzuteilen:</w:t>
      </w:r>
    </w:p>
    <w:p w:rsidR="002D20DB" w:rsidRPr="002D3FAD" w:rsidRDefault="002D20DB" w:rsidP="002D20DB">
      <w:pPr>
        <w:ind w:left="1134" w:hanging="567"/>
        <w:rPr>
          <w:rFonts w:cs="Arial"/>
          <w:lang w:val="de-DE"/>
        </w:rPr>
      </w:pPr>
    </w:p>
    <w:p w:rsidR="002D20DB" w:rsidRPr="002D3FAD" w:rsidRDefault="002D20DB" w:rsidP="002D20DB">
      <w:pPr>
        <w:ind w:left="1134" w:hanging="567"/>
        <w:rPr>
          <w:rFonts w:cs="Arial"/>
          <w:lang w:val="de-DE"/>
        </w:rPr>
      </w:pPr>
      <w:r w:rsidRPr="002D3FAD">
        <w:rPr>
          <w:rFonts w:cs="Arial"/>
          <w:lang w:val="de-DE"/>
        </w:rPr>
        <w:t>•</w:t>
      </w:r>
      <w:r w:rsidRPr="002D3FAD">
        <w:rPr>
          <w:rFonts w:cs="Arial"/>
          <w:lang w:val="de-DE"/>
        </w:rPr>
        <w:tab/>
        <w:t xml:space="preserve">Klasse: </w:t>
      </w:r>
      <w:r w:rsidRPr="002D3FAD">
        <w:rPr>
          <w:rFonts w:cs="Arial"/>
          <w:i/>
          <w:lang w:val="de-DE"/>
        </w:rPr>
        <w:t>Lactuca</w:t>
      </w:r>
      <w:r w:rsidRPr="002D3FAD">
        <w:rPr>
          <w:rFonts w:cs="Arial"/>
          <w:lang w:val="de-DE"/>
        </w:rPr>
        <w:t xml:space="preserve"> – </w:t>
      </w:r>
      <w:r w:rsidRPr="002D3FAD">
        <w:rPr>
          <w:rFonts w:cs="Arial"/>
          <w:i/>
          <w:lang w:val="de-DE"/>
        </w:rPr>
        <w:t>Cichorium endivia</w:t>
      </w:r>
      <w:r w:rsidRPr="002D3FAD">
        <w:rPr>
          <w:rFonts w:cs="Arial"/>
          <w:lang w:val="de-DE"/>
        </w:rPr>
        <w:t xml:space="preserve"> (Endive), </w:t>
      </w:r>
      <w:r w:rsidRPr="002D3FAD">
        <w:rPr>
          <w:rFonts w:cs="Arial"/>
          <w:i/>
          <w:lang w:val="de-DE"/>
        </w:rPr>
        <w:t>Cichorium intybus</w:t>
      </w:r>
      <w:r w:rsidRPr="002D3FAD">
        <w:rPr>
          <w:rFonts w:cs="Arial"/>
          <w:lang w:val="de-DE"/>
        </w:rPr>
        <w:t xml:space="preserve"> var. </w:t>
      </w:r>
      <w:r w:rsidRPr="002D3FAD">
        <w:rPr>
          <w:rFonts w:cs="Arial"/>
          <w:i/>
          <w:lang w:val="de-DE"/>
        </w:rPr>
        <w:t>foliosum</w:t>
      </w:r>
      <w:r w:rsidRPr="002D3FAD">
        <w:rPr>
          <w:rFonts w:cs="Arial"/>
          <w:lang w:val="de-DE"/>
        </w:rPr>
        <w:t xml:space="preserve"> (Salatzichorie)</w:t>
      </w:r>
    </w:p>
    <w:p w:rsidR="002D20DB" w:rsidRPr="002D3FAD" w:rsidRDefault="002D20DB" w:rsidP="002D20DB">
      <w:pPr>
        <w:ind w:left="1134" w:hanging="567"/>
        <w:rPr>
          <w:rFonts w:cs="Arial"/>
          <w:lang w:val="de-DE"/>
        </w:rPr>
      </w:pPr>
      <w:r w:rsidRPr="002D3FAD">
        <w:rPr>
          <w:rFonts w:cs="Arial"/>
          <w:lang w:val="de-DE"/>
        </w:rPr>
        <w:t>•</w:t>
      </w:r>
      <w:r w:rsidRPr="002D3FAD">
        <w:rPr>
          <w:rFonts w:cs="Arial"/>
          <w:lang w:val="de-DE"/>
        </w:rPr>
        <w:tab/>
        <w:t xml:space="preserve">Klasse: </w:t>
      </w:r>
      <w:r w:rsidRPr="002D3FAD">
        <w:rPr>
          <w:rFonts w:cs="Arial"/>
          <w:i/>
          <w:lang w:val="de-DE"/>
        </w:rPr>
        <w:t>Cichorium intybus</w:t>
      </w:r>
      <w:r w:rsidRPr="002D3FAD">
        <w:rPr>
          <w:rFonts w:cs="Arial"/>
          <w:lang w:val="de-DE"/>
        </w:rPr>
        <w:t xml:space="preserve"> var. </w:t>
      </w:r>
      <w:r w:rsidRPr="002D3FAD">
        <w:rPr>
          <w:rFonts w:cs="Arial"/>
          <w:i/>
          <w:lang w:val="de-DE"/>
        </w:rPr>
        <w:t>sativum</w:t>
      </w:r>
      <w:r w:rsidRPr="002D3FAD">
        <w:rPr>
          <w:rFonts w:cs="Arial"/>
          <w:lang w:val="de-DE"/>
        </w:rPr>
        <w:t xml:space="preserve"> (Wurzelzichorie)</w:t>
      </w:r>
    </w:p>
    <w:p w:rsidR="002D20DB" w:rsidRPr="002D3FAD" w:rsidRDefault="002D20DB" w:rsidP="002D20DB">
      <w:pPr>
        <w:rPr>
          <w:rFonts w:cs="Arial"/>
          <w:lang w:val="de-DE"/>
        </w:rPr>
      </w:pPr>
    </w:p>
    <w:p w:rsidR="002D20DB" w:rsidRPr="002D3FAD" w:rsidRDefault="002D20DB" w:rsidP="002D20DB">
      <w:pPr>
        <w:pStyle w:val="Heading5"/>
        <w:rPr>
          <w:lang w:val="de-DE"/>
        </w:rPr>
      </w:pPr>
      <w:r w:rsidRPr="002D3FAD">
        <w:rPr>
          <w:lang w:val="de-DE"/>
        </w:rPr>
        <w:t>Erörterung und Empfehlungen zu Entwürfen von Prüfungsrichtlinien</w:t>
      </w:r>
    </w:p>
    <w:p w:rsidR="002D20DB" w:rsidRPr="002D3FAD" w:rsidRDefault="002D20DB" w:rsidP="002D20DB">
      <w:pPr>
        <w:rPr>
          <w:lang w:val="de-DE"/>
        </w:rPr>
      </w:pPr>
    </w:p>
    <w:p w:rsidR="002D20DB" w:rsidRPr="00C47725" w:rsidRDefault="002D20DB" w:rsidP="002D20DB">
      <w:pPr>
        <w:rPr>
          <w:rFonts w:cs="Arial"/>
          <w:lang w:val="de-DE"/>
        </w:rPr>
      </w:pPr>
      <w:r w:rsidRPr="002D3FAD">
        <w:rPr>
          <w:rFonts w:cs="Arial"/>
          <w:lang w:val="de-DE"/>
        </w:rPr>
        <w:fldChar w:fldCharType="begin"/>
      </w:r>
      <w:r w:rsidRPr="002D3FAD">
        <w:rPr>
          <w:rFonts w:cs="Arial"/>
          <w:lang w:val="de-DE"/>
        </w:rPr>
        <w:instrText xml:space="preserve"> AUTONUM  </w:instrText>
      </w:r>
      <w:r w:rsidRPr="002D3FAD">
        <w:rPr>
          <w:rFonts w:cs="Arial"/>
          <w:lang w:val="de-DE"/>
        </w:rPr>
        <w:fldChar w:fldCharType="end"/>
      </w:r>
      <w:r w:rsidRPr="002D3FAD">
        <w:rPr>
          <w:rFonts w:cs="Arial"/>
          <w:lang w:val="de-DE"/>
        </w:rPr>
        <w:tab/>
        <w:t xml:space="preserve">Die Untergruppen erörterten Prüfungsrichtlinien für Kichererbse, Fenchel, Kohl, Melone, </w:t>
      </w:r>
      <w:r>
        <w:rPr>
          <w:rFonts w:cs="Arial"/>
          <w:lang w:val="de-DE"/>
        </w:rPr>
        <w:t>Paprika</w:t>
      </w:r>
      <w:r w:rsidRPr="002D3FAD">
        <w:rPr>
          <w:rFonts w:cs="Arial"/>
          <w:lang w:val="de-DE"/>
        </w:rPr>
        <w:t>, Kürbis, Mangold, Rüb</w:t>
      </w:r>
      <w:r w:rsidRPr="00C47725">
        <w:rPr>
          <w:rFonts w:cs="Arial"/>
          <w:lang w:val="de-DE"/>
        </w:rPr>
        <w:t>e, Tomate und Tomatenunterlagen. Die TWV vereinbarte, dass die folgenden Entwürfe von Prüfungsrichtlinien dem TC auf seiner fünfundfünfzigste</w:t>
      </w:r>
      <w:r>
        <w:rPr>
          <w:rFonts w:cs="Arial"/>
          <w:lang w:val="de-DE"/>
        </w:rPr>
        <w:t>n</w:t>
      </w:r>
      <w:r w:rsidRPr="00C47725">
        <w:rPr>
          <w:rFonts w:cs="Arial"/>
          <w:lang w:val="de-DE"/>
        </w:rPr>
        <w:t xml:space="preserve"> Tagung zur Annahme vorgelegt werden sollten: Fenchel, Melone, Mangold, Tomate und Tomatenunterlagen. Die TWV vereinbarte, die folgenden Entwürfe von Prüfungsrichtlinien auf ihrer vierundfünfzigsten Tagung zu erörtern: Kichererbse, Chinakohl, Aubergine, Kohl, </w:t>
      </w:r>
      <w:r>
        <w:rPr>
          <w:rFonts w:cs="Arial"/>
          <w:lang w:val="de-DE"/>
        </w:rPr>
        <w:t>Paprika</w:t>
      </w:r>
      <w:r w:rsidRPr="00C47725">
        <w:rPr>
          <w:rFonts w:cs="Arial"/>
          <w:lang w:val="de-DE"/>
        </w:rPr>
        <w:t xml:space="preserve">, Kürbis (Teilüberarbeitung), Tomate (Teilüberarbeitung), Tomatenunterlagen (Teilüberarbeitung) und </w:t>
      </w:r>
      <w:r>
        <w:rPr>
          <w:rFonts w:cs="Arial"/>
          <w:lang w:val="de-DE"/>
        </w:rPr>
        <w:t>Rübe</w:t>
      </w:r>
      <w:r w:rsidRPr="00C47725">
        <w:rPr>
          <w:rFonts w:cs="Arial"/>
          <w:lang w:val="de-DE"/>
        </w:rPr>
        <w:t xml:space="preserve">. </w:t>
      </w:r>
    </w:p>
    <w:p w:rsidR="002D20DB" w:rsidRPr="00C47725" w:rsidRDefault="002D20DB" w:rsidP="002D20DB">
      <w:pPr>
        <w:rPr>
          <w:rFonts w:cs="Arial"/>
          <w:lang w:val="de-DE"/>
        </w:rPr>
      </w:pPr>
    </w:p>
    <w:p w:rsidR="002D20DB" w:rsidRPr="00C47725" w:rsidRDefault="002D20DB" w:rsidP="002D20DB">
      <w:pPr>
        <w:pStyle w:val="Heading5"/>
        <w:rPr>
          <w:lang w:val="de-DE"/>
        </w:rPr>
      </w:pPr>
      <w:r w:rsidRPr="00C47725">
        <w:rPr>
          <w:lang w:val="de-DE"/>
        </w:rPr>
        <w:t>Vorsitzende</w:t>
      </w:r>
    </w:p>
    <w:p w:rsidR="002D20DB" w:rsidRPr="00C47725" w:rsidRDefault="002D20DB" w:rsidP="002D20DB">
      <w:pPr>
        <w:rPr>
          <w:lang w:val="de-DE"/>
        </w:rPr>
      </w:pPr>
    </w:p>
    <w:p w:rsidR="002D20DB" w:rsidRPr="00C47725" w:rsidRDefault="002D20DB" w:rsidP="002D20DB">
      <w:pPr>
        <w:rPr>
          <w:rFonts w:cs="Arial"/>
          <w:lang w:val="de-DE"/>
        </w:rPr>
      </w:pPr>
      <w:r w:rsidRPr="002D3FAD">
        <w:rPr>
          <w:rFonts w:cs="Arial"/>
          <w:lang w:val="de-DE"/>
        </w:rPr>
        <w:fldChar w:fldCharType="begin"/>
      </w:r>
      <w:r w:rsidRPr="002D3FAD">
        <w:rPr>
          <w:rFonts w:cs="Arial"/>
          <w:lang w:val="de-DE"/>
        </w:rPr>
        <w:instrText xml:space="preserve"> AUTONUM  </w:instrText>
      </w:r>
      <w:r w:rsidRPr="002D3FAD">
        <w:rPr>
          <w:rFonts w:cs="Arial"/>
          <w:lang w:val="de-DE"/>
        </w:rPr>
        <w:fldChar w:fldCharType="end"/>
      </w:r>
      <w:r w:rsidRPr="00C47725">
        <w:rPr>
          <w:rFonts w:cs="Arial"/>
          <w:lang w:val="de-DE"/>
        </w:rPr>
        <w:tab/>
      </w:r>
      <w:bookmarkStart w:id="9" w:name="_Hlk24902172"/>
      <w:r w:rsidRPr="00C47725">
        <w:rPr>
          <w:rFonts w:cs="Arial"/>
          <w:lang w:val="de-DE"/>
        </w:rPr>
        <w:t xml:space="preserve">Die TWV vereinbarte, </w:t>
      </w:r>
      <w:r>
        <w:rPr>
          <w:rFonts w:cs="Arial"/>
          <w:lang w:val="de-DE"/>
        </w:rPr>
        <w:t>dem TC vorzuschlagen, dem Rat zu empfehlen</w:t>
      </w:r>
      <w:r w:rsidRPr="00C47725">
        <w:rPr>
          <w:rFonts w:cs="Arial"/>
          <w:lang w:val="de-DE"/>
        </w:rPr>
        <w:t>, Frau Marian van Leeuwen (Niederlande) zur nächsten Vorsitzenden der TWV zu wählen.</w:t>
      </w:r>
    </w:p>
    <w:bookmarkEnd w:id="9"/>
    <w:p w:rsidR="002D20DB" w:rsidRPr="00C47725" w:rsidRDefault="002D20DB" w:rsidP="002D20DB">
      <w:pPr>
        <w:rPr>
          <w:rFonts w:cs="Arial"/>
          <w:lang w:val="de-DE"/>
        </w:rPr>
      </w:pPr>
    </w:p>
    <w:p w:rsidR="002D20DB" w:rsidRPr="00C47725" w:rsidRDefault="002D20DB" w:rsidP="002D20DB">
      <w:pPr>
        <w:pStyle w:val="Heading5"/>
        <w:rPr>
          <w:lang w:val="de-DE"/>
        </w:rPr>
      </w:pPr>
      <w:r w:rsidRPr="00C47725">
        <w:rPr>
          <w:lang w:val="de-DE"/>
        </w:rPr>
        <w:t xml:space="preserve">Ort und Datum der nächsten Tagung </w:t>
      </w:r>
    </w:p>
    <w:p w:rsidR="002D20DB" w:rsidRPr="00C47725" w:rsidRDefault="002D20DB" w:rsidP="002D20DB">
      <w:pPr>
        <w:rPr>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Auf Einladung Brasiliens vereinbarte die TWV, ihre vierundfünfzigste Tagung vom 11. bis 15. Mai 2020 in Brasilia, Brasilien, abzuhalten.</w:t>
      </w:r>
    </w:p>
    <w:p w:rsidR="002D20DB" w:rsidRPr="00C47725" w:rsidRDefault="002D20DB" w:rsidP="002D20DB">
      <w:pPr>
        <w:rPr>
          <w:rFonts w:cs="Arial"/>
          <w:lang w:val="de-DE"/>
        </w:rPr>
      </w:pPr>
    </w:p>
    <w:p w:rsidR="002D20DB" w:rsidRPr="00C47725" w:rsidRDefault="002D20DB" w:rsidP="002D20DB">
      <w:pPr>
        <w:pStyle w:val="Heading5"/>
        <w:rPr>
          <w:lang w:val="de-DE"/>
        </w:rPr>
      </w:pPr>
      <w:r w:rsidRPr="00C47725">
        <w:rPr>
          <w:lang w:val="de-DE"/>
        </w:rPr>
        <w:t>Tagesordnungspunkte für die nächste Tagung</w:t>
      </w:r>
    </w:p>
    <w:p w:rsidR="002D20DB" w:rsidRPr="00C47725" w:rsidRDefault="002D20DB" w:rsidP="002D20DB">
      <w:pPr>
        <w:rPr>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 xml:space="preserve">Die TWV vereinbarte, auf ihrer nächsten Tagung die folgenden </w:t>
      </w:r>
      <w:r>
        <w:rPr>
          <w:rFonts w:cs="Arial"/>
          <w:lang w:val="de-DE"/>
        </w:rPr>
        <w:t>Tagesordnungsp</w:t>
      </w:r>
      <w:r w:rsidRPr="00C47725">
        <w:rPr>
          <w:rFonts w:cs="Arial"/>
          <w:lang w:val="de-DE"/>
        </w:rPr>
        <w:t>unkte zu behandeln:</w:t>
      </w:r>
    </w:p>
    <w:p w:rsidR="002D20DB" w:rsidRPr="00C47725" w:rsidRDefault="002D20DB" w:rsidP="002D20DB">
      <w:pPr>
        <w:rPr>
          <w:rFonts w:cs="Arial"/>
          <w:lang w:val="de-DE"/>
        </w:rPr>
      </w:pPr>
    </w:p>
    <w:p w:rsidR="002D20DB" w:rsidRPr="00C47725" w:rsidRDefault="002D20DB" w:rsidP="002D20DB">
      <w:pPr>
        <w:numPr>
          <w:ilvl w:val="0"/>
          <w:numId w:val="18"/>
        </w:numPr>
        <w:tabs>
          <w:tab w:val="clear" w:pos="360"/>
          <w:tab w:val="num" w:pos="1134"/>
          <w:tab w:val="left" w:pos="1701"/>
        </w:tabs>
        <w:ind w:left="1134" w:hanging="567"/>
        <w:jc w:val="left"/>
        <w:rPr>
          <w:rFonts w:cs="Arial"/>
          <w:lang w:val="de-DE"/>
        </w:rPr>
      </w:pPr>
      <w:r w:rsidRPr="00C47725">
        <w:rPr>
          <w:rFonts w:cs="Arial"/>
          <w:lang w:val="de-DE"/>
        </w:rPr>
        <w:t>Eröffnung der Tagung</w:t>
      </w:r>
    </w:p>
    <w:p w:rsidR="002D20DB" w:rsidRPr="00C47725" w:rsidRDefault="002D20DB" w:rsidP="002D20DB">
      <w:pPr>
        <w:numPr>
          <w:ilvl w:val="0"/>
          <w:numId w:val="18"/>
        </w:numPr>
        <w:tabs>
          <w:tab w:val="clear" w:pos="360"/>
          <w:tab w:val="num" w:pos="1134"/>
          <w:tab w:val="left" w:pos="1701"/>
        </w:tabs>
        <w:ind w:left="1134" w:hanging="567"/>
        <w:jc w:val="left"/>
        <w:rPr>
          <w:rFonts w:cs="Arial"/>
          <w:lang w:val="de-DE"/>
        </w:rPr>
      </w:pPr>
      <w:r w:rsidRPr="00C47725">
        <w:rPr>
          <w:rFonts w:cs="Arial"/>
          <w:lang w:val="de-DE"/>
        </w:rPr>
        <w:t>Annahme der Tagesordnung</w:t>
      </w:r>
    </w:p>
    <w:p w:rsidR="002D20DB" w:rsidRPr="00C47725" w:rsidRDefault="002D20DB" w:rsidP="002D20DB">
      <w:pPr>
        <w:numPr>
          <w:ilvl w:val="0"/>
          <w:numId w:val="18"/>
        </w:numPr>
        <w:tabs>
          <w:tab w:val="clear" w:pos="360"/>
          <w:tab w:val="num" w:pos="1134"/>
          <w:tab w:val="left" w:pos="1701"/>
        </w:tabs>
        <w:ind w:left="1134" w:hanging="567"/>
        <w:jc w:val="left"/>
        <w:rPr>
          <w:rFonts w:cs="Arial"/>
          <w:lang w:val="de-DE"/>
        </w:rPr>
      </w:pPr>
      <w:r w:rsidRPr="00C47725">
        <w:rPr>
          <w:rFonts w:cs="Arial"/>
          <w:lang w:val="de-DE"/>
        </w:rPr>
        <w:t>Kurzberichte über die Entwicklungen im Sortenschutz</w:t>
      </w:r>
    </w:p>
    <w:p w:rsidR="002D20DB" w:rsidRPr="00C47725" w:rsidRDefault="002D20DB" w:rsidP="002D20DB">
      <w:pPr>
        <w:numPr>
          <w:ilvl w:val="0"/>
          <w:numId w:val="19"/>
        </w:numPr>
        <w:tabs>
          <w:tab w:val="left" w:pos="1701"/>
        </w:tabs>
        <w:ind w:left="1701" w:hanging="567"/>
        <w:jc w:val="left"/>
        <w:rPr>
          <w:rFonts w:cs="Arial"/>
          <w:lang w:val="de-DE"/>
        </w:rPr>
      </w:pPr>
      <w:r w:rsidRPr="00C47725">
        <w:rPr>
          <w:rFonts w:cs="Arial"/>
          <w:lang w:val="de-DE"/>
        </w:rPr>
        <w:t xml:space="preserve">Berichte von Mitgliedern und Beobachtern </w:t>
      </w:r>
    </w:p>
    <w:p w:rsidR="002D20DB" w:rsidRPr="00C47725" w:rsidRDefault="002D20DB" w:rsidP="002D20DB">
      <w:pPr>
        <w:numPr>
          <w:ilvl w:val="0"/>
          <w:numId w:val="19"/>
        </w:numPr>
        <w:tabs>
          <w:tab w:val="left" w:pos="1701"/>
        </w:tabs>
        <w:ind w:left="1701" w:hanging="567"/>
        <w:jc w:val="left"/>
        <w:rPr>
          <w:rFonts w:cs="Arial"/>
          <w:lang w:val="de-DE"/>
        </w:rPr>
      </w:pPr>
      <w:r w:rsidRPr="00C47725">
        <w:rPr>
          <w:rFonts w:cs="Arial"/>
          <w:lang w:val="de-DE"/>
        </w:rPr>
        <w:t>Berichte über Entwicklungen in der UPOV (mündlicher Bericht des Verbandsbüros)</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 xml:space="preserve">Molekulare Verfahren </w:t>
      </w:r>
    </w:p>
    <w:p w:rsidR="002D20DB" w:rsidRPr="00C47725" w:rsidRDefault="002D20DB" w:rsidP="002D20DB">
      <w:pPr>
        <w:numPr>
          <w:ilvl w:val="0"/>
          <w:numId w:val="16"/>
        </w:numPr>
        <w:tabs>
          <w:tab w:val="left" w:pos="1701"/>
        </w:tabs>
        <w:ind w:left="1701" w:hanging="567"/>
        <w:jc w:val="left"/>
        <w:rPr>
          <w:rFonts w:cs="Arial"/>
          <w:lang w:val="de-DE"/>
        </w:rPr>
      </w:pPr>
      <w:r w:rsidRPr="00C47725">
        <w:rPr>
          <w:rFonts w:cs="Arial"/>
          <w:lang w:val="de-DE"/>
        </w:rPr>
        <w:t>Entwicklungen in der UPOV (vom Verbandsbüro zu erstellendes Dokument)</w:t>
      </w:r>
    </w:p>
    <w:p w:rsidR="002D20DB" w:rsidRPr="00C47725" w:rsidRDefault="002D20DB" w:rsidP="002D20DB">
      <w:pPr>
        <w:numPr>
          <w:ilvl w:val="0"/>
          <w:numId w:val="16"/>
        </w:numPr>
        <w:tabs>
          <w:tab w:val="left" w:pos="1701"/>
        </w:tabs>
        <w:ind w:left="1701" w:hanging="567"/>
        <w:jc w:val="left"/>
        <w:rPr>
          <w:rFonts w:cs="Arial"/>
          <w:lang w:val="de-DE"/>
        </w:rPr>
      </w:pPr>
      <w:r w:rsidRPr="00C47725">
        <w:rPr>
          <w:rFonts w:cs="Arial"/>
          <w:lang w:val="de-DE"/>
        </w:rPr>
        <w:t>Referat über die Verwendung molekularer Verfahren bei der DUS-Prüfung (</w:t>
      </w:r>
      <w:r>
        <w:rPr>
          <w:rFonts w:cs="Arial"/>
          <w:lang w:val="de-DE"/>
        </w:rPr>
        <w:t>Verbandsmitglieder</w:t>
      </w:r>
      <w:r w:rsidRPr="00C47725">
        <w:rPr>
          <w:rFonts w:cs="Arial"/>
          <w:lang w:val="de-DE"/>
        </w:rPr>
        <w:t xml:space="preserve"> werden um Referate gebeten)</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 xml:space="preserve">TGP-Dokumente </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Sortenbezeichnungen (vom Verbandsbüro zu erstellendes Dokument)</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Informationen und Datenbanken</w:t>
      </w:r>
    </w:p>
    <w:p w:rsidR="002D20DB" w:rsidRPr="00C47725" w:rsidRDefault="002D20DB" w:rsidP="002D20DB">
      <w:pPr>
        <w:tabs>
          <w:tab w:val="left" w:pos="1701"/>
        </w:tabs>
        <w:ind w:left="1701" w:hanging="567"/>
        <w:rPr>
          <w:rFonts w:cs="Arial"/>
          <w:lang w:val="de-DE"/>
        </w:rPr>
      </w:pPr>
      <w:r w:rsidRPr="00C47725">
        <w:rPr>
          <w:rFonts w:cs="Arial"/>
          <w:lang w:val="de-DE"/>
        </w:rPr>
        <w:t>a) UPOV-Informationsdatenbanken (vom Verbandsbüro zu erstellendes Dokument)</w:t>
      </w:r>
    </w:p>
    <w:p w:rsidR="002D20DB" w:rsidRPr="00C47725" w:rsidRDefault="002D20DB" w:rsidP="002D20DB">
      <w:pPr>
        <w:tabs>
          <w:tab w:val="left" w:pos="1701"/>
        </w:tabs>
        <w:ind w:left="1701" w:hanging="567"/>
        <w:rPr>
          <w:rFonts w:cs="Arial"/>
          <w:lang w:val="de-DE"/>
        </w:rPr>
      </w:pPr>
      <w:r w:rsidRPr="00C47725">
        <w:rPr>
          <w:rFonts w:cs="Arial"/>
          <w:lang w:val="de-DE"/>
        </w:rPr>
        <w:t>b) Datenbanken für Sortenbeschreibungen (vom Verbandsbüro zu erstellendes Dokument und Dokumente erbeten)</w:t>
      </w:r>
    </w:p>
    <w:p w:rsidR="002D20DB" w:rsidRPr="00C47725" w:rsidRDefault="002D20DB" w:rsidP="002D20DB">
      <w:pPr>
        <w:tabs>
          <w:tab w:val="left" w:pos="1701"/>
        </w:tabs>
        <w:ind w:left="1701" w:hanging="567"/>
        <w:rPr>
          <w:rFonts w:cs="Arial"/>
          <w:lang w:val="de-DE"/>
        </w:rPr>
      </w:pPr>
      <w:r w:rsidRPr="00C47725">
        <w:rPr>
          <w:rFonts w:cs="Arial"/>
          <w:lang w:val="de-DE"/>
        </w:rPr>
        <w:t>c) Austausch und Verwendung von Software und Ausrüstung (vom Verbandsbüro zu erstellendes Dokument)</w:t>
      </w:r>
    </w:p>
    <w:p w:rsidR="002D20DB" w:rsidRPr="00C47725" w:rsidRDefault="002D20DB" w:rsidP="002D20DB">
      <w:pPr>
        <w:tabs>
          <w:tab w:val="left" w:pos="1701"/>
        </w:tabs>
        <w:ind w:left="1701" w:hanging="567"/>
        <w:rPr>
          <w:rFonts w:cs="Arial"/>
          <w:lang w:val="de-DE"/>
        </w:rPr>
      </w:pPr>
      <w:r w:rsidRPr="00C47725">
        <w:rPr>
          <w:rFonts w:cs="Arial"/>
          <w:lang w:val="de-DE"/>
        </w:rPr>
        <w:t>d) UPOV PRISMA (vom Verbandsbüro zu erstellendes Dokument)</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 xml:space="preserve">Erfahrungen mit neuen </w:t>
      </w:r>
      <w:r>
        <w:rPr>
          <w:rFonts w:cs="Arial"/>
          <w:lang w:val="de-DE"/>
        </w:rPr>
        <w:t>Typen</w:t>
      </w:r>
      <w:r w:rsidRPr="00C47725">
        <w:rPr>
          <w:rFonts w:cs="Arial"/>
          <w:lang w:val="de-DE"/>
        </w:rPr>
        <w:t xml:space="preserve"> und Arten (mündliche Berichte erbeten)</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Neue Fragen, die sich für die DUS-Prüfung ergeben (</w:t>
      </w:r>
      <w:r>
        <w:rPr>
          <w:rFonts w:cs="Arial"/>
          <w:lang w:val="de-DE"/>
        </w:rPr>
        <w:t>Verbandsmitglieder</w:t>
      </w:r>
      <w:r w:rsidRPr="00C47725">
        <w:rPr>
          <w:rFonts w:cs="Arial"/>
          <w:lang w:val="de-DE"/>
        </w:rPr>
        <w:t xml:space="preserve"> werden um Referate gebeten)</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Verwendung von Krankheitsresistenzmerkmalen (</w:t>
      </w:r>
      <w:r>
        <w:rPr>
          <w:rFonts w:cs="Arial"/>
          <w:lang w:val="de-DE"/>
        </w:rPr>
        <w:t>Verbandsmitglieder</w:t>
      </w:r>
      <w:r w:rsidRPr="00C47725">
        <w:rPr>
          <w:rFonts w:cs="Arial"/>
          <w:lang w:val="de-DE"/>
        </w:rPr>
        <w:t xml:space="preserve"> und Beobachter werden um Referate gebeten)</w:t>
      </w:r>
    </w:p>
    <w:p w:rsidR="002D20DB" w:rsidRPr="00C47725" w:rsidRDefault="002D20DB" w:rsidP="002D20DB">
      <w:pPr>
        <w:numPr>
          <w:ilvl w:val="0"/>
          <w:numId w:val="18"/>
        </w:numPr>
        <w:tabs>
          <w:tab w:val="left" w:pos="1701"/>
        </w:tabs>
        <w:ind w:left="1134" w:hanging="567"/>
        <w:jc w:val="left"/>
        <w:rPr>
          <w:rFonts w:cs="Arial"/>
          <w:lang w:val="de-DE"/>
        </w:rPr>
      </w:pPr>
      <w:r w:rsidRPr="00C47725">
        <w:rPr>
          <w:lang w:val="de-DE"/>
        </w:rPr>
        <w:t xml:space="preserve">Angelegenheiten, die bezüglich der vom Technischen </w:t>
      </w:r>
      <w:r>
        <w:rPr>
          <w:lang w:val="de-DE"/>
        </w:rPr>
        <w:t>Ausschuss</w:t>
      </w:r>
      <w:r w:rsidRPr="00C47725">
        <w:rPr>
          <w:lang w:val="de-DE"/>
        </w:rPr>
        <w:t xml:space="preserve"> angenommenen Prüfungsrichtlinien zu bereinigen sind</w:t>
      </w:r>
      <w:r>
        <w:rPr>
          <w:lang w:val="de-DE"/>
        </w:rPr>
        <w:t xml:space="preserve"> </w:t>
      </w:r>
      <w:r w:rsidRPr="00C47725">
        <w:rPr>
          <w:rFonts w:cs="Arial"/>
          <w:lang w:val="de-DE"/>
        </w:rPr>
        <w:t xml:space="preserve">(wenn </w:t>
      </w:r>
      <w:r>
        <w:rPr>
          <w:rFonts w:cs="Arial"/>
          <w:lang w:val="de-DE"/>
        </w:rPr>
        <w:t>zweckmäßig</w:t>
      </w:r>
      <w:r w:rsidRPr="00C47725">
        <w:rPr>
          <w:rFonts w:cs="Arial"/>
          <w:lang w:val="de-DE"/>
        </w:rPr>
        <w:t>)</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Erörterung über Entwürfe von Prüfungsrichtlinien (Untergruppen)</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 xml:space="preserve">Empfehlungen zu </w:t>
      </w:r>
      <w:r>
        <w:rPr>
          <w:rFonts w:cs="Arial"/>
          <w:lang w:val="de-DE"/>
        </w:rPr>
        <w:t>Entwürfen von Prüfungsrichtlinien</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Anleitung für Verfasser von Prüfungsrichtlinien</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Ort und Datum der nächsten Tagung</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Künftiges Programm</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Bericht über die Tagung (wenn zeitlich möglich)</w:t>
      </w:r>
    </w:p>
    <w:p w:rsidR="002D20DB" w:rsidRPr="00C47725" w:rsidRDefault="002D20DB" w:rsidP="002D20DB">
      <w:pPr>
        <w:numPr>
          <w:ilvl w:val="0"/>
          <w:numId w:val="18"/>
        </w:numPr>
        <w:tabs>
          <w:tab w:val="left" w:pos="1701"/>
        </w:tabs>
        <w:ind w:left="1134" w:hanging="567"/>
        <w:jc w:val="left"/>
        <w:rPr>
          <w:rFonts w:cs="Arial"/>
          <w:lang w:val="de-DE"/>
        </w:rPr>
      </w:pPr>
      <w:r w:rsidRPr="00C47725">
        <w:rPr>
          <w:rFonts w:cs="Arial"/>
          <w:lang w:val="de-DE"/>
        </w:rPr>
        <w:t>Schließung der Tagung</w:t>
      </w:r>
    </w:p>
    <w:p w:rsidR="002D20DB" w:rsidRPr="00C47725" w:rsidRDefault="002D20DB" w:rsidP="002D20DB">
      <w:pPr>
        <w:rPr>
          <w:lang w:val="de-DE"/>
        </w:rPr>
      </w:pPr>
    </w:p>
    <w:p w:rsidR="002D20DB" w:rsidRPr="00C47725" w:rsidRDefault="002D20DB" w:rsidP="002D20DB">
      <w:pPr>
        <w:pStyle w:val="Heading3"/>
      </w:pPr>
      <w:bookmarkStart w:id="10" w:name="_Toc494205441"/>
      <w:r w:rsidRPr="00C47725">
        <w:lastRenderedPageBreak/>
        <w:t>Arbeitsgruppe für biochemische und molekulare Verfahren und insbesondere für DNS-Profilierungsverfahren</w:t>
      </w:r>
      <w:bookmarkEnd w:id="10"/>
    </w:p>
    <w:p w:rsidR="002D20DB" w:rsidRPr="00C47725" w:rsidRDefault="002D20DB" w:rsidP="002D20DB">
      <w:pPr>
        <w:keepNext/>
        <w:rPr>
          <w:lang w:val="de-DE"/>
        </w:rPr>
      </w:pPr>
    </w:p>
    <w:p w:rsidR="002D20DB" w:rsidRPr="00C47725" w:rsidRDefault="002D20DB" w:rsidP="002D20DB">
      <w:pPr>
        <w:keepNext/>
        <w:rPr>
          <w:lang w:val="de-DE"/>
        </w:rPr>
      </w:pPr>
      <w:r w:rsidRPr="00C47725">
        <w:rPr>
          <w:lang w:val="de-DE"/>
        </w:rPr>
        <w:t>Bericht von Herrn Nik Hulse (Australien), Vorsitzender der BMT</w:t>
      </w:r>
    </w:p>
    <w:p w:rsidR="002D20DB" w:rsidRPr="00C47725" w:rsidRDefault="002D20DB" w:rsidP="002D20DB">
      <w:pPr>
        <w:keepNext/>
        <w:rPr>
          <w:lang w:val="de-DE"/>
        </w:rPr>
      </w:pPr>
    </w:p>
    <w:p w:rsidR="002D20DB" w:rsidRPr="00C47725" w:rsidRDefault="002D20DB" w:rsidP="002D20DB">
      <w:pPr>
        <w:pStyle w:val="Heading4"/>
        <w:rPr>
          <w:lang w:val="de-DE"/>
        </w:rPr>
      </w:pPr>
      <w:r w:rsidRPr="00C47725">
        <w:rPr>
          <w:lang w:val="de-DE"/>
        </w:rPr>
        <w:t>Acht</w:t>
      </w:r>
      <w:r>
        <w:rPr>
          <w:lang w:val="de-DE"/>
        </w:rPr>
        <w:t>zehnte</w:t>
      </w:r>
      <w:r w:rsidRPr="00C47725">
        <w:rPr>
          <w:lang w:val="de-DE"/>
        </w:rPr>
        <w:t xml:space="preserve"> Tagung der BMT</w:t>
      </w:r>
    </w:p>
    <w:p w:rsidR="002D20DB" w:rsidRPr="00C47725" w:rsidRDefault="002D20DB" w:rsidP="002D20DB">
      <w:pPr>
        <w:rPr>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 xml:space="preserve">Die BMT hielt ihre </w:t>
      </w:r>
      <w:r>
        <w:rPr>
          <w:lang w:val="de-DE"/>
        </w:rPr>
        <w:t>a</w:t>
      </w:r>
      <w:r w:rsidRPr="00C47725">
        <w:rPr>
          <w:lang w:val="de-DE"/>
        </w:rPr>
        <w:t>cht</w:t>
      </w:r>
      <w:r>
        <w:rPr>
          <w:lang w:val="de-DE"/>
        </w:rPr>
        <w:t>zehnte</w:t>
      </w:r>
      <w:r w:rsidRPr="00C47725">
        <w:rPr>
          <w:lang w:val="de-DE"/>
        </w:rPr>
        <w:t xml:space="preserve"> </w:t>
      </w:r>
      <w:r w:rsidRPr="00C47725">
        <w:rPr>
          <w:rFonts w:cs="Arial"/>
          <w:lang w:val="de-DE"/>
        </w:rPr>
        <w:t xml:space="preserve">Tagung vom 16. bis 18. Oktober 2019 in Hangzhou, China, ab. Die Tagung wurde von Herrn Nik Hulse (Australien), Vorsitzender der BMT, eröffnet. Die BMT wurde von Herrn Jianmeng Li, </w:t>
      </w:r>
      <w:r>
        <w:rPr>
          <w:rFonts w:cs="Arial"/>
          <w:lang w:val="de-DE"/>
        </w:rPr>
        <w:t>Abteilungsleiter</w:t>
      </w:r>
      <w:r w:rsidRPr="00C47725">
        <w:rPr>
          <w:rFonts w:cs="Arial"/>
          <w:lang w:val="de-DE"/>
        </w:rPr>
        <w:t xml:space="preserve">, </w:t>
      </w:r>
      <w:r>
        <w:rPr>
          <w:rFonts w:cs="Arial"/>
          <w:lang w:val="de-DE"/>
        </w:rPr>
        <w:t>Abteilung für Saatgut und Innovation</w:t>
      </w:r>
      <w:r w:rsidRPr="00C47725">
        <w:rPr>
          <w:rFonts w:cs="Arial"/>
          <w:lang w:val="de-DE"/>
        </w:rPr>
        <w:t xml:space="preserve">, </w:t>
      </w:r>
      <w:r>
        <w:rPr>
          <w:rFonts w:cs="Arial"/>
          <w:lang w:val="de-DE"/>
        </w:rPr>
        <w:t>Ministerium für Landwirtschaft und ländliche Angelegenheiten</w:t>
      </w:r>
      <w:r w:rsidRPr="00C47725">
        <w:rPr>
          <w:rFonts w:cs="Arial"/>
          <w:lang w:val="de-DE"/>
        </w:rPr>
        <w:t xml:space="preserve"> (MARA), China, begrüßt. Die BMT hörte ein Referat von Herrn Ruixi Han, leitender Prüfer der Abteilung für DUS-Prüfungen im Entwicklungszentrum für Wissenschaft und Technologie des Landwirtschaftsministeriums von China, über </w:t>
      </w:r>
      <w:r>
        <w:rPr>
          <w:rFonts w:cs="Arial"/>
          <w:lang w:val="de-DE"/>
        </w:rPr>
        <w:t>die „</w:t>
      </w:r>
      <w:r w:rsidRPr="00C47725">
        <w:rPr>
          <w:rFonts w:cs="Arial"/>
          <w:lang w:val="de-DE"/>
        </w:rPr>
        <w:t xml:space="preserve">Verwendung molekularer Verfahren in DUS-Prüfungen und Durchsetzung von </w:t>
      </w:r>
      <w:r>
        <w:rPr>
          <w:rFonts w:cs="Arial"/>
          <w:lang w:val="de-DE"/>
        </w:rPr>
        <w:t>Sortenschutz</w:t>
      </w:r>
      <w:r w:rsidRPr="00C47725">
        <w:rPr>
          <w:rFonts w:cs="Arial"/>
          <w:lang w:val="de-DE"/>
        </w:rPr>
        <w:t xml:space="preserve"> in China</w:t>
      </w:r>
      <w:r>
        <w:rPr>
          <w:rFonts w:cs="Arial"/>
          <w:lang w:val="de-DE"/>
        </w:rPr>
        <w:t>“</w:t>
      </w:r>
      <w:r w:rsidRPr="00C47725">
        <w:rPr>
          <w:rFonts w:cs="Arial"/>
          <w:lang w:val="de-DE"/>
        </w:rPr>
        <w:t xml:space="preserve">. </w:t>
      </w:r>
    </w:p>
    <w:p w:rsidR="002D20DB" w:rsidRPr="00C47725" w:rsidRDefault="002D20DB" w:rsidP="002D20DB">
      <w:pPr>
        <w:rPr>
          <w:rFonts w:cs="Arial"/>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 xml:space="preserve">Vor der Tagung der BMT fand keine vorbereitende Arbeitstagung statt. Stattdessen wurden während der Tagung der BMT </w:t>
      </w:r>
      <w:r>
        <w:rPr>
          <w:rFonts w:cs="Arial"/>
          <w:lang w:val="de-DE"/>
        </w:rPr>
        <w:t>Referate</w:t>
      </w:r>
      <w:r w:rsidRPr="00C47725">
        <w:rPr>
          <w:rFonts w:cs="Arial"/>
          <w:lang w:val="de-DE"/>
        </w:rPr>
        <w:t xml:space="preserve"> zu vorbereitenden Themen gehalten, die der Einführung der entsprechenden </w:t>
      </w:r>
      <w:r>
        <w:rPr>
          <w:rFonts w:cs="Arial"/>
          <w:lang w:val="de-DE"/>
        </w:rPr>
        <w:t>Tagesordnungsp</w:t>
      </w:r>
      <w:r w:rsidRPr="00C47725">
        <w:rPr>
          <w:rFonts w:cs="Arial"/>
          <w:lang w:val="de-DE"/>
        </w:rPr>
        <w:t>unkte vorausging</w:t>
      </w:r>
      <w:r>
        <w:rPr>
          <w:rFonts w:cs="Arial"/>
          <w:lang w:val="de-DE"/>
        </w:rPr>
        <w:t>en</w:t>
      </w:r>
      <w:r w:rsidRPr="00C47725">
        <w:rPr>
          <w:rFonts w:cs="Arial"/>
          <w:lang w:val="de-DE"/>
        </w:rPr>
        <w:t>. An der Tagung der BMT nahmen 65 Teilnehmer aus 18 Verbandsmitgliedern und 7 Beobachterorganisationen teil.</w:t>
      </w:r>
    </w:p>
    <w:p w:rsidR="002D20DB" w:rsidRPr="00C47725" w:rsidRDefault="002D20DB" w:rsidP="002D20DB">
      <w:pPr>
        <w:rPr>
          <w:rFonts w:cs="Arial"/>
          <w:lang w:val="de-DE"/>
        </w:rPr>
      </w:pPr>
      <w:r w:rsidRPr="00C47725">
        <w:rPr>
          <w:rFonts w:cs="Arial"/>
          <w:lang w:val="de-DE"/>
        </w:rPr>
        <w:t xml:space="preserve"> </w:t>
      </w: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Die BMT erhielt einen Bericht über die Entwicklung eines Software-Tools für die Markerauswahl unter Verwendung des</w:t>
      </w:r>
      <w:r>
        <w:rPr>
          <w:rFonts w:cs="Arial"/>
          <w:lang w:val="de-DE"/>
        </w:rPr>
        <w:t xml:space="preserve"> „</w:t>
      </w:r>
      <w:r w:rsidRPr="00C47725">
        <w:rPr>
          <w:rFonts w:cs="Arial"/>
          <w:lang w:val="de-DE"/>
        </w:rPr>
        <w:t>Traveling-Salesman</w:t>
      </w:r>
      <w:r>
        <w:rPr>
          <w:rFonts w:cs="Arial"/>
          <w:lang w:val="de-DE"/>
        </w:rPr>
        <w:t>“</w:t>
      </w:r>
      <w:r w:rsidRPr="00C47725">
        <w:rPr>
          <w:rFonts w:cs="Arial"/>
          <w:lang w:val="de-DE"/>
        </w:rPr>
        <w:t xml:space="preserve">-Algorithmus. Die BMT </w:t>
      </w:r>
      <w:r>
        <w:rPr>
          <w:rFonts w:cs="Arial"/>
          <w:lang w:val="de-DE"/>
        </w:rPr>
        <w:t>ersuchte</w:t>
      </w:r>
      <w:r w:rsidRPr="00C47725">
        <w:rPr>
          <w:rFonts w:cs="Arial"/>
          <w:lang w:val="de-DE"/>
        </w:rPr>
        <w:t xml:space="preserve"> Mitglieder, die Software zu testen und der BMT auf </w:t>
      </w:r>
      <w:r>
        <w:rPr>
          <w:rFonts w:cs="Arial"/>
          <w:lang w:val="de-DE"/>
        </w:rPr>
        <w:t>ihrer</w:t>
      </w:r>
      <w:r w:rsidRPr="00C47725">
        <w:rPr>
          <w:rFonts w:cs="Arial"/>
          <w:lang w:val="de-DE"/>
        </w:rPr>
        <w:t xml:space="preserve"> neunzehnten Sitzung </w:t>
      </w:r>
      <w:r>
        <w:rPr>
          <w:rFonts w:cs="Arial"/>
          <w:lang w:val="de-DE"/>
        </w:rPr>
        <w:t xml:space="preserve">darüber </w:t>
      </w:r>
      <w:r w:rsidRPr="00C47725">
        <w:rPr>
          <w:rFonts w:cs="Arial"/>
          <w:lang w:val="de-DE"/>
        </w:rPr>
        <w:t>zu berichten.</w:t>
      </w:r>
    </w:p>
    <w:p w:rsidR="002D20DB" w:rsidRPr="00C47725" w:rsidRDefault="002D20DB" w:rsidP="002D20DB">
      <w:pPr>
        <w:rPr>
          <w:rFonts w:cs="Arial"/>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 xml:space="preserve">Die BMT hörte folgende Referate über die Verwendung molekularer Verfahren bei der Sortenidentifizierung: </w:t>
      </w:r>
    </w:p>
    <w:p w:rsidR="002D20DB" w:rsidRPr="00C47725" w:rsidRDefault="002D20DB" w:rsidP="002D20DB">
      <w:pPr>
        <w:pStyle w:val="ListParagraph"/>
        <w:numPr>
          <w:ilvl w:val="0"/>
          <w:numId w:val="22"/>
        </w:numPr>
        <w:spacing w:after="160"/>
        <w:jc w:val="left"/>
        <w:rPr>
          <w:rFonts w:cs="Arial"/>
          <w:lang w:val="de-DE"/>
        </w:rPr>
      </w:pPr>
      <w:r>
        <w:rPr>
          <w:rFonts w:cs="Arial"/>
          <w:lang w:val="de-DE"/>
        </w:rPr>
        <w:t xml:space="preserve"> „</w:t>
      </w:r>
      <w:r w:rsidRPr="00C47725">
        <w:rPr>
          <w:rFonts w:cs="Arial"/>
          <w:iCs/>
          <w:lang w:val="de-DE"/>
        </w:rPr>
        <w:t xml:space="preserve">Verwendung von SSR- und SNP-Markern </w:t>
      </w:r>
      <w:r>
        <w:rPr>
          <w:rFonts w:cs="Arial"/>
          <w:iCs/>
          <w:lang w:val="de-DE"/>
        </w:rPr>
        <w:t>bei der I</w:t>
      </w:r>
      <w:r w:rsidRPr="00C47725">
        <w:rPr>
          <w:rFonts w:cs="Arial"/>
          <w:iCs/>
          <w:lang w:val="de-DE"/>
        </w:rPr>
        <w:t>dentifizierung von Mais</w:t>
      </w:r>
      <w:r>
        <w:rPr>
          <w:rFonts w:cs="Arial"/>
          <w:iCs/>
          <w:lang w:val="de-DE"/>
        </w:rPr>
        <w:t>sorten“</w:t>
      </w:r>
    </w:p>
    <w:p w:rsidR="002D20DB" w:rsidRPr="00C47725" w:rsidRDefault="002D20DB" w:rsidP="002D20DB">
      <w:pPr>
        <w:pStyle w:val="ListParagraph"/>
        <w:numPr>
          <w:ilvl w:val="0"/>
          <w:numId w:val="22"/>
        </w:numPr>
        <w:spacing w:after="160"/>
        <w:jc w:val="left"/>
        <w:rPr>
          <w:rFonts w:cs="Arial"/>
          <w:lang w:val="de-DE"/>
        </w:rPr>
      </w:pPr>
      <w:r>
        <w:rPr>
          <w:rFonts w:cs="Arial"/>
          <w:lang w:val="de-DE"/>
        </w:rPr>
        <w:t xml:space="preserve"> „</w:t>
      </w:r>
      <w:r w:rsidRPr="00C47725">
        <w:rPr>
          <w:rFonts w:cs="Arial"/>
          <w:lang w:val="de-DE"/>
        </w:rPr>
        <w:t>Anwendungen des MNP-Markers im Sortenschutz</w:t>
      </w:r>
      <w:r>
        <w:rPr>
          <w:rFonts w:cs="Arial"/>
          <w:lang w:val="de-DE"/>
        </w:rPr>
        <w:t>“</w:t>
      </w:r>
    </w:p>
    <w:p w:rsidR="002D20DB" w:rsidRPr="00C47725" w:rsidRDefault="002D20DB" w:rsidP="002D20DB">
      <w:pPr>
        <w:pStyle w:val="ListParagraph"/>
        <w:numPr>
          <w:ilvl w:val="0"/>
          <w:numId w:val="22"/>
        </w:numPr>
        <w:spacing w:after="160"/>
        <w:jc w:val="left"/>
        <w:rPr>
          <w:rFonts w:cs="Arial"/>
          <w:lang w:val="de-DE"/>
        </w:rPr>
      </w:pPr>
      <w:r>
        <w:rPr>
          <w:rFonts w:cs="Arial"/>
          <w:lang w:val="de-DE"/>
        </w:rPr>
        <w:t xml:space="preserve"> „</w:t>
      </w:r>
      <w:r w:rsidRPr="00C47725">
        <w:rPr>
          <w:rFonts w:cs="Arial"/>
          <w:lang w:val="de-DE"/>
        </w:rPr>
        <w:t xml:space="preserve">Assoziationsanalyse von SSR-Markern und landwirtschaftlichen Merkmalen </w:t>
      </w:r>
      <w:r>
        <w:rPr>
          <w:rFonts w:cs="Arial"/>
          <w:lang w:val="de-DE"/>
        </w:rPr>
        <w:t>bei</w:t>
      </w:r>
      <w:r w:rsidRPr="00C47725">
        <w:rPr>
          <w:rFonts w:cs="Arial"/>
          <w:lang w:val="de-DE"/>
        </w:rPr>
        <w:t xml:space="preserve"> Sojabohne</w:t>
      </w:r>
      <w:r>
        <w:rPr>
          <w:rFonts w:cs="Arial"/>
          <w:lang w:val="de-DE"/>
        </w:rPr>
        <w:t>“</w:t>
      </w:r>
    </w:p>
    <w:p w:rsidR="002D20DB" w:rsidRPr="00C47725" w:rsidRDefault="002D20DB" w:rsidP="002D20DB">
      <w:pPr>
        <w:ind w:left="567"/>
        <w:rPr>
          <w:rFonts w:cs="Arial"/>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Die BMT hörte die folgenden Referate über die Verwendung molekulare</w:t>
      </w:r>
      <w:r>
        <w:rPr>
          <w:rFonts w:cs="Arial"/>
          <w:lang w:val="de-DE"/>
        </w:rPr>
        <w:t>r</w:t>
      </w:r>
      <w:r w:rsidRPr="00C47725">
        <w:rPr>
          <w:rFonts w:cs="Arial"/>
          <w:lang w:val="de-DE"/>
        </w:rPr>
        <w:t xml:space="preserve"> Verfahren im Zusammenhang mit der DUS-Prüfung: </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r>
      <w:r>
        <w:rPr>
          <w:rFonts w:cs="Arial"/>
          <w:lang w:val="de-DE"/>
        </w:rPr>
        <w:t>„</w:t>
      </w:r>
      <w:r w:rsidRPr="00C47725">
        <w:rPr>
          <w:rFonts w:cs="Arial"/>
          <w:lang w:val="de-DE"/>
        </w:rPr>
        <w:t xml:space="preserve">Erleichterung der </w:t>
      </w:r>
      <w:r>
        <w:rPr>
          <w:rFonts w:cs="Arial"/>
          <w:lang w:val="de-DE"/>
        </w:rPr>
        <w:t>Prüfung der Unterscheidbarkeit, Homogenität und Beständigkeit</w:t>
      </w:r>
      <w:r w:rsidRPr="00C47725">
        <w:rPr>
          <w:rFonts w:cs="Arial"/>
          <w:lang w:val="de-DE"/>
        </w:rPr>
        <w:t xml:space="preserve"> von Sojasorten: Entwicklung und Validierung von molekularen Markern und Methoden zur Sortenstichprobe</w:t>
      </w:r>
      <w:r>
        <w:rPr>
          <w:rFonts w:cs="Arial"/>
          <w:lang w:val="de-DE"/>
        </w:rPr>
        <w:t>“</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r>
      <w:r>
        <w:rPr>
          <w:rFonts w:cs="Arial"/>
          <w:lang w:val="de-DE"/>
        </w:rPr>
        <w:t>„</w:t>
      </w:r>
      <w:r w:rsidRPr="00C47725">
        <w:rPr>
          <w:rFonts w:cs="Arial"/>
          <w:lang w:val="de-DE"/>
        </w:rPr>
        <w:t xml:space="preserve">Erleichterung der </w:t>
      </w:r>
      <w:r>
        <w:rPr>
          <w:rFonts w:cs="Arial"/>
          <w:lang w:val="de-DE"/>
        </w:rPr>
        <w:t>Prüfung der Unterscheidbarkeit, Homogenität und Beständigkeit</w:t>
      </w:r>
      <w:r w:rsidRPr="00C47725">
        <w:rPr>
          <w:rFonts w:cs="Arial"/>
          <w:lang w:val="de-DE"/>
        </w:rPr>
        <w:t xml:space="preserve"> von Sojasorten: Festlegung von Kriterien für die Verwendung von </w:t>
      </w:r>
      <w:r>
        <w:rPr>
          <w:rFonts w:cs="Arial"/>
          <w:lang w:val="de-DE"/>
        </w:rPr>
        <w:t>Einzeln</w:t>
      </w:r>
      <w:r w:rsidRPr="00C47725">
        <w:rPr>
          <w:rFonts w:cs="Arial"/>
          <w:lang w:val="de-DE"/>
        </w:rPr>
        <w:t>u</w:t>
      </w:r>
      <w:r>
        <w:rPr>
          <w:rFonts w:cs="Arial"/>
          <w:lang w:val="de-DE"/>
        </w:rPr>
        <w:t>k</w:t>
      </w:r>
      <w:r w:rsidRPr="00C47725">
        <w:rPr>
          <w:rFonts w:cs="Arial"/>
          <w:lang w:val="de-DE"/>
        </w:rPr>
        <w:t>leotid</w:t>
      </w:r>
      <w:r>
        <w:rPr>
          <w:rFonts w:cs="Arial"/>
          <w:lang w:val="de-DE"/>
        </w:rPr>
        <w:t>-</w:t>
      </w:r>
      <w:r w:rsidRPr="00C47725">
        <w:rPr>
          <w:rFonts w:cs="Arial"/>
          <w:lang w:val="de-DE"/>
        </w:rPr>
        <w:t>Polymorphism</w:t>
      </w:r>
      <w:r>
        <w:rPr>
          <w:rFonts w:cs="Arial"/>
          <w:lang w:val="de-DE"/>
        </w:rPr>
        <w:t>us</w:t>
      </w:r>
      <w:r w:rsidRPr="00C47725">
        <w:rPr>
          <w:rFonts w:cs="Arial"/>
          <w:lang w:val="de-DE"/>
        </w:rPr>
        <w:t>-Daten</w:t>
      </w:r>
      <w:r>
        <w:rPr>
          <w:rFonts w:cs="Arial"/>
          <w:lang w:val="de-DE"/>
        </w:rPr>
        <w:t>“</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r>
      <w:r>
        <w:rPr>
          <w:rFonts w:cs="Arial"/>
          <w:lang w:val="de-DE"/>
        </w:rPr>
        <w:t>„</w:t>
      </w:r>
      <w:r w:rsidRPr="00C47725">
        <w:rPr>
          <w:rFonts w:cs="Arial"/>
          <w:lang w:val="de-DE"/>
        </w:rPr>
        <w:t>Sortenprüfung der nächsten Generation für einen verbesserten Anbau auf europäischem Ackerland (InnoVar)</w:t>
      </w:r>
      <w:r>
        <w:rPr>
          <w:rFonts w:cs="Arial"/>
          <w:lang w:val="de-DE"/>
        </w:rPr>
        <w:t>“</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r>
      <w:r>
        <w:rPr>
          <w:rFonts w:cs="Arial"/>
          <w:iCs/>
          <w:lang w:val="de-DE"/>
        </w:rPr>
        <w:t>„</w:t>
      </w:r>
      <w:r w:rsidRPr="00C47725">
        <w:rPr>
          <w:rFonts w:cs="Arial"/>
          <w:iCs/>
          <w:lang w:val="de-DE"/>
        </w:rPr>
        <w:t>CPVO-Bericht über IMODDUS: neueste Entwicklungen (INVITE) und Update zu F&amp;E-Projekten</w:t>
      </w:r>
      <w:r>
        <w:rPr>
          <w:rFonts w:cs="Arial"/>
          <w:iCs/>
          <w:lang w:val="de-DE"/>
        </w:rPr>
        <w:t>“</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r>
      <w:r>
        <w:rPr>
          <w:rFonts w:cs="Arial"/>
          <w:lang w:val="de-DE"/>
        </w:rPr>
        <w:t>„</w:t>
      </w:r>
      <w:r w:rsidRPr="00C47725">
        <w:rPr>
          <w:rFonts w:cs="Arial"/>
          <w:lang w:val="de-DE"/>
        </w:rPr>
        <w:t>Ein einfaches SSR-basiertes Identifikationssystem für Süßkartoffel</w:t>
      </w:r>
      <w:r>
        <w:rPr>
          <w:rFonts w:cs="Arial"/>
          <w:lang w:val="de-DE"/>
        </w:rPr>
        <w:t>“</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r>
      <w:r>
        <w:rPr>
          <w:rFonts w:cs="Arial"/>
          <w:lang w:val="de-DE"/>
        </w:rPr>
        <w:t>„</w:t>
      </w:r>
      <w:r w:rsidRPr="00C47725">
        <w:rPr>
          <w:rFonts w:cs="Arial"/>
          <w:lang w:val="de-DE"/>
        </w:rPr>
        <w:t>Verwendung von molekularen Markern zum Schutz und zur Sortenidentifikation: Stand der Technik in Argentinien</w:t>
      </w:r>
      <w:r>
        <w:rPr>
          <w:rFonts w:cs="Arial"/>
          <w:lang w:val="de-DE"/>
        </w:rPr>
        <w:t>“</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r>
      <w:r>
        <w:rPr>
          <w:rFonts w:cs="Arial"/>
          <w:lang w:val="de-DE"/>
        </w:rPr>
        <w:t>„</w:t>
      </w:r>
      <w:r w:rsidRPr="00C47725">
        <w:rPr>
          <w:rFonts w:cs="Arial"/>
          <w:lang w:val="de-DE"/>
        </w:rPr>
        <w:t>Welche Informationen sind für</w:t>
      </w:r>
      <w:r>
        <w:rPr>
          <w:rFonts w:cs="Arial"/>
          <w:lang w:val="de-DE"/>
        </w:rPr>
        <w:t xml:space="preserve"> „</w:t>
      </w:r>
      <w:r w:rsidRPr="00C47725">
        <w:rPr>
          <w:rFonts w:cs="Arial"/>
          <w:lang w:val="de-DE"/>
        </w:rPr>
        <w:t>charakterspezifische molekulare Marker</w:t>
      </w:r>
      <w:r>
        <w:rPr>
          <w:rFonts w:cs="Arial"/>
          <w:lang w:val="de-DE"/>
        </w:rPr>
        <w:t>“</w:t>
      </w:r>
      <w:r w:rsidRPr="00C47725">
        <w:rPr>
          <w:rFonts w:cs="Arial"/>
          <w:lang w:val="de-DE"/>
        </w:rPr>
        <w:t xml:space="preserve"> in den Prüfungsrichtlinien wesentlich?</w:t>
      </w:r>
      <w:r>
        <w:rPr>
          <w:rFonts w:cs="Arial"/>
          <w:lang w:val="de-DE"/>
        </w:rPr>
        <w:t>“</w:t>
      </w:r>
    </w:p>
    <w:p w:rsidR="002D20DB" w:rsidRPr="00C47725" w:rsidRDefault="002D20DB" w:rsidP="002D20DB">
      <w:pPr>
        <w:rPr>
          <w:rFonts w:cs="Arial"/>
          <w:lang w:val="de-DE"/>
        </w:rPr>
      </w:pPr>
    </w:p>
    <w:p w:rsidR="002D20DB" w:rsidRPr="00491131"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491131">
        <w:rPr>
          <w:rFonts w:cs="Arial"/>
          <w:lang w:val="de-DE"/>
        </w:rPr>
        <w:tab/>
        <w:t xml:space="preserve">Die BMT prüfte die Zusammenarbeit zwischen internationalen Organisationen und vereinbarte, dass die maßgeblichen Elemente aus dem Weltsaatgutprojekt und </w:t>
      </w:r>
      <w:r>
        <w:rPr>
          <w:rFonts w:cs="Arial"/>
          <w:lang w:val="de-DE"/>
        </w:rPr>
        <w:t>die</w:t>
      </w:r>
      <w:r w:rsidRPr="00491131">
        <w:rPr>
          <w:rFonts w:cs="Arial"/>
          <w:lang w:val="de-DE"/>
        </w:rPr>
        <w:t xml:space="preserve"> FAQ zu</w:t>
      </w:r>
      <w:r>
        <w:rPr>
          <w:rFonts w:cs="Arial"/>
          <w:lang w:val="de-DE"/>
        </w:rPr>
        <w:t>r</w:t>
      </w:r>
      <w:r w:rsidRPr="00491131">
        <w:rPr>
          <w:rFonts w:cs="Arial"/>
          <w:lang w:val="de-DE"/>
        </w:rPr>
        <w:t xml:space="preserve"> </w:t>
      </w:r>
      <w:r>
        <w:rPr>
          <w:rFonts w:cs="Arial"/>
          <w:lang w:val="de-DE"/>
        </w:rPr>
        <w:t>Verwendung molekularer Verfahren</w:t>
      </w:r>
      <w:r w:rsidRPr="00491131">
        <w:rPr>
          <w:rFonts w:cs="Arial"/>
          <w:lang w:val="de-DE"/>
        </w:rPr>
        <w:t xml:space="preserve"> eine nützliche Grundlage für die Erstellung eines gemeinsamen Dokuments bilden</w:t>
      </w:r>
      <w:r>
        <w:rPr>
          <w:rFonts w:cs="Arial"/>
          <w:lang w:val="de-DE"/>
        </w:rPr>
        <w:t xml:space="preserve"> würden</w:t>
      </w:r>
      <w:r w:rsidRPr="00491131">
        <w:rPr>
          <w:rFonts w:cs="Arial"/>
          <w:lang w:val="de-DE"/>
        </w:rPr>
        <w:t>, in dem die wichtigsten Merkmale der Systeme OECD, UPOV und ISTA erläutert w</w:t>
      </w:r>
      <w:r>
        <w:rPr>
          <w:rFonts w:cs="Arial"/>
          <w:lang w:val="de-DE"/>
        </w:rPr>
        <w:t>ü</w:t>
      </w:r>
      <w:r w:rsidRPr="00491131">
        <w:rPr>
          <w:rFonts w:cs="Arial"/>
          <w:lang w:val="de-DE"/>
        </w:rPr>
        <w:t>rden.</w:t>
      </w:r>
    </w:p>
    <w:p w:rsidR="002D20DB" w:rsidRPr="00491131" w:rsidRDefault="002D20DB" w:rsidP="002D20DB">
      <w:pPr>
        <w:rPr>
          <w:rFonts w:cs="Arial"/>
          <w:lang w:val="de-DE"/>
        </w:rPr>
      </w:pPr>
    </w:p>
    <w:p w:rsidR="002D20DB" w:rsidRPr="00491131"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491131">
        <w:rPr>
          <w:rFonts w:cs="Arial"/>
          <w:lang w:val="de-DE"/>
        </w:rPr>
        <w:tab/>
        <w:t xml:space="preserve">Die BMT prüfte die </w:t>
      </w:r>
      <w:r>
        <w:rPr>
          <w:rFonts w:cs="Arial"/>
          <w:lang w:val="de-DE"/>
        </w:rPr>
        <w:t>Ausarbeitung</w:t>
      </w:r>
      <w:r w:rsidRPr="00491131">
        <w:rPr>
          <w:rFonts w:cs="Arial"/>
          <w:lang w:val="de-DE"/>
        </w:rPr>
        <w:t xml:space="preserve"> einer Bestandsaufnahme von molekularen Markerverfahren nach Pflanze und einigte sich auf die Elemente, die in eine </w:t>
      </w:r>
      <w:r>
        <w:rPr>
          <w:rFonts w:cs="Arial"/>
          <w:lang w:val="de-DE"/>
        </w:rPr>
        <w:t>Befragung</w:t>
      </w:r>
      <w:r w:rsidRPr="00491131">
        <w:rPr>
          <w:rFonts w:cs="Arial"/>
          <w:lang w:val="de-DE"/>
        </w:rPr>
        <w:t xml:space="preserve"> einbezogen werden sollen, und vereinbarte, dass die </w:t>
      </w:r>
      <w:r>
        <w:rPr>
          <w:rFonts w:cs="Arial"/>
          <w:lang w:val="de-DE"/>
        </w:rPr>
        <w:t>Befragung</w:t>
      </w:r>
      <w:r w:rsidRPr="00491131">
        <w:rPr>
          <w:rFonts w:cs="Arial"/>
          <w:lang w:val="de-DE"/>
        </w:rPr>
        <w:t xml:space="preserve"> strukturiert werden sollte.</w:t>
      </w:r>
    </w:p>
    <w:p w:rsidR="002D20DB" w:rsidRPr="00491131" w:rsidRDefault="002D20DB" w:rsidP="002D20DB">
      <w:pPr>
        <w:rPr>
          <w:rFonts w:cs="Arial"/>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491131">
        <w:rPr>
          <w:rFonts w:cs="Arial"/>
          <w:lang w:val="de-DE"/>
        </w:rPr>
        <w:tab/>
        <w:t>Die BMT vereinbarte, dass eine Test</w:t>
      </w:r>
      <w:r>
        <w:rPr>
          <w:rFonts w:cs="Arial"/>
          <w:lang w:val="de-DE"/>
        </w:rPr>
        <w:t>befragung</w:t>
      </w:r>
      <w:r w:rsidRPr="00491131">
        <w:rPr>
          <w:rFonts w:cs="Arial"/>
          <w:lang w:val="de-DE"/>
        </w:rPr>
        <w:t xml:space="preserve"> </w:t>
      </w:r>
      <w:r>
        <w:rPr>
          <w:rFonts w:cs="Arial"/>
          <w:lang w:val="de-DE"/>
        </w:rPr>
        <w:t>in Betracht gezogen</w:t>
      </w:r>
      <w:r w:rsidRPr="00491131">
        <w:rPr>
          <w:rFonts w:cs="Arial"/>
          <w:lang w:val="de-DE"/>
        </w:rPr>
        <w:t xml:space="preserve"> werden sollte, bevor die Mitglieder um Stellung</w:t>
      </w:r>
      <w:r w:rsidRPr="00C47725">
        <w:rPr>
          <w:rFonts w:cs="Arial"/>
          <w:lang w:val="de-DE"/>
        </w:rPr>
        <w:t>nahme ersucht w</w:t>
      </w:r>
      <w:r>
        <w:rPr>
          <w:rFonts w:cs="Arial"/>
          <w:lang w:val="de-DE"/>
        </w:rPr>
        <w:t>ü</w:t>
      </w:r>
      <w:r w:rsidRPr="00C47725">
        <w:rPr>
          <w:rFonts w:cs="Arial"/>
          <w:lang w:val="de-DE"/>
        </w:rPr>
        <w:t>rden.</w:t>
      </w:r>
    </w:p>
    <w:p w:rsidR="002D20DB" w:rsidRPr="00C47725" w:rsidRDefault="002D20DB" w:rsidP="002D20DB">
      <w:pPr>
        <w:rPr>
          <w:rFonts w:cs="Arial"/>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r>
      <w:r w:rsidRPr="00491131">
        <w:rPr>
          <w:rFonts w:cs="Arial"/>
          <w:lang w:val="de-DE"/>
        </w:rPr>
        <w:t>D</w:t>
      </w:r>
      <w:r>
        <w:rPr>
          <w:rFonts w:cs="Arial"/>
          <w:lang w:val="de-DE"/>
        </w:rPr>
        <w:t>ie</w:t>
      </w:r>
      <w:r w:rsidRPr="00491131">
        <w:rPr>
          <w:rFonts w:cs="Arial"/>
          <w:lang w:val="de-DE"/>
        </w:rPr>
        <w:t xml:space="preserve"> BMT </w:t>
      </w:r>
      <w:r>
        <w:rPr>
          <w:rFonts w:cs="Arial"/>
          <w:lang w:val="de-DE"/>
        </w:rPr>
        <w:t>hörte</w:t>
      </w:r>
      <w:r w:rsidRPr="00491131">
        <w:rPr>
          <w:rFonts w:cs="Arial"/>
          <w:lang w:val="de-DE"/>
        </w:rPr>
        <w:t xml:space="preserve"> folgende </w:t>
      </w:r>
      <w:r>
        <w:rPr>
          <w:rFonts w:cs="Arial"/>
          <w:lang w:val="de-DE"/>
        </w:rPr>
        <w:t>Referate</w:t>
      </w:r>
      <w:r w:rsidRPr="00491131">
        <w:rPr>
          <w:rFonts w:cs="Arial"/>
          <w:lang w:val="de-DE"/>
        </w:rPr>
        <w:t xml:space="preserve"> </w:t>
      </w:r>
      <w:r>
        <w:rPr>
          <w:rFonts w:cs="Arial"/>
          <w:lang w:val="de-DE"/>
        </w:rPr>
        <w:t>im Zusammenhang mit der</w:t>
      </w:r>
      <w:r w:rsidRPr="00491131">
        <w:rPr>
          <w:rFonts w:cs="Arial"/>
          <w:lang w:val="de-DE"/>
        </w:rPr>
        <w:t xml:space="preserve"> Zusammenarbeit mit OECD und ISTA im Bereich </w:t>
      </w:r>
      <w:r>
        <w:rPr>
          <w:rFonts w:cs="Arial"/>
          <w:lang w:val="de-DE"/>
        </w:rPr>
        <w:t>von</w:t>
      </w:r>
      <w:r w:rsidRPr="00491131">
        <w:rPr>
          <w:rFonts w:cs="Arial"/>
          <w:lang w:val="de-DE"/>
        </w:rPr>
        <w:t xml:space="preserve"> </w:t>
      </w:r>
      <w:r>
        <w:rPr>
          <w:rFonts w:cs="Arial"/>
          <w:lang w:val="de-DE"/>
        </w:rPr>
        <w:t>molekularen Verfahren</w:t>
      </w:r>
      <w:r w:rsidRPr="00C47725">
        <w:rPr>
          <w:rFonts w:cs="Arial"/>
          <w:lang w:val="de-DE"/>
        </w:rPr>
        <w:t>:</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r>
      <w:r>
        <w:rPr>
          <w:rFonts w:cs="Arial"/>
          <w:lang w:val="de-DE"/>
        </w:rPr>
        <w:t xml:space="preserve"> „H</w:t>
      </w:r>
      <w:r w:rsidRPr="00C47725">
        <w:rPr>
          <w:rFonts w:cs="Arial"/>
          <w:lang w:val="de-DE"/>
        </w:rPr>
        <w:t>orizontale Verfahren für molekulare Biomarker-Analyse</w:t>
      </w:r>
      <w:r>
        <w:rPr>
          <w:rFonts w:cs="Arial"/>
          <w:lang w:val="de-DE"/>
        </w:rPr>
        <w:t>“</w:t>
      </w:r>
      <w:r w:rsidRPr="00C47725">
        <w:rPr>
          <w:rFonts w:cs="Arial"/>
          <w:lang w:val="de-DE"/>
        </w:rPr>
        <w:t xml:space="preserve"> (International Standards Organization - ISO)</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r>
      <w:r>
        <w:rPr>
          <w:rFonts w:cs="Arial"/>
          <w:lang w:val="de-DE"/>
        </w:rPr>
        <w:t xml:space="preserve"> „OECD </w:t>
      </w:r>
      <w:r w:rsidRPr="00C47725">
        <w:rPr>
          <w:rFonts w:cs="Arial"/>
          <w:lang w:val="de-DE"/>
        </w:rPr>
        <w:t>Saatgutsystem: ein internationales System zur Zertifizierung von Saatgut</w:t>
      </w:r>
      <w:r>
        <w:rPr>
          <w:rFonts w:cs="Arial"/>
          <w:lang w:val="de-DE"/>
        </w:rPr>
        <w:t>“</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r>
      <w:r>
        <w:rPr>
          <w:rFonts w:cs="Arial"/>
          <w:lang w:val="de-DE"/>
        </w:rPr>
        <w:t xml:space="preserve"> „</w:t>
      </w:r>
      <w:r w:rsidRPr="00C47725">
        <w:rPr>
          <w:rFonts w:cs="Arial"/>
          <w:lang w:val="de-DE"/>
        </w:rPr>
        <w:t>Internationale Vereinigung für Saatgutprüfung</w:t>
      </w:r>
      <w:r>
        <w:rPr>
          <w:rFonts w:cs="Arial"/>
          <w:lang w:val="de-DE"/>
        </w:rPr>
        <w:t>“</w:t>
      </w:r>
    </w:p>
    <w:p w:rsidR="002D20DB" w:rsidRPr="00C47725" w:rsidRDefault="002D20DB" w:rsidP="002D20DB">
      <w:pPr>
        <w:ind w:left="851" w:hanging="284"/>
        <w:rPr>
          <w:rFonts w:cs="Arial"/>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Die BMT hörte ein Referat von der Europäischen Union über</w:t>
      </w:r>
      <w:r>
        <w:rPr>
          <w:rFonts w:cs="Arial"/>
          <w:lang w:val="de-DE"/>
        </w:rPr>
        <w:t xml:space="preserve"> „</w:t>
      </w:r>
      <w:r w:rsidRPr="00C47725">
        <w:rPr>
          <w:rFonts w:cs="Arial"/>
          <w:lang w:val="de-DE"/>
        </w:rPr>
        <w:t xml:space="preserve">Zugang zu </w:t>
      </w:r>
      <w:r>
        <w:rPr>
          <w:rFonts w:cs="Arial"/>
          <w:lang w:val="de-DE"/>
        </w:rPr>
        <w:t>Vergleichs</w:t>
      </w:r>
      <w:r w:rsidRPr="00C47725">
        <w:rPr>
          <w:rFonts w:cs="Arial"/>
          <w:lang w:val="de-DE"/>
        </w:rPr>
        <w:t>material und Daten von EU-Prüfungsämtern</w:t>
      </w:r>
      <w:r>
        <w:rPr>
          <w:rFonts w:cs="Arial"/>
          <w:lang w:val="de-DE"/>
        </w:rPr>
        <w:t>“</w:t>
      </w:r>
      <w:r w:rsidRPr="00C47725">
        <w:rPr>
          <w:rFonts w:cs="Arial"/>
          <w:lang w:val="de-DE"/>
        </w:rPr>
        <w:t xml:space="preserve">. Die BMT bildete daraufhin Diskussionsgruppen, </w:t>
      </w:r>
      <w:r>
        <w:rPr>
          <w:rFonts w:cs="Arial"/>
          <w:lang w:val="de-DE"/>
        </w:rPr>
        <w:t>um den</w:t>
      </w:r>
      <w:r w:rsidRPr="00C47725">
        <w:rPr>
          <w:rFonts w:cs="Arial"/>
          <w:lang w:val="de-DE"/>
        </w:rPr>
        <w:t xml:space="preserve"> Teilnehmer</w:t>
      </w:r>
      <w:r>
        <w:rPr>
          <w:rFonts w:cs="Arial"/>
          <w:lang w:val="de-DE"/>
        </w:rPr>
        <w:t>n zu ermöglichen,</w:t>
      </w:r>
      <w:r w:rsidRPr="00C47725">
        <w:rPr>
          <w:rFonts w:cs="Arial"/>
          <w:lang w:val="de-DE"/>
        </w:rPr>
        <w:t xml:space="preserve"> Informationen über ihre Arbeit aus</w:t>
      </w:r>
      <w:r>
        <w:rPr>
          <w:rFonts w:cs="Arial"/>
          <w:lang w:val="de-DE"/>
        </w:rPr>
        <w:t>zu</w:t>
      </w:r>
      <w:r w:rsidRPr="00C47725">
        <w:rPr>
          <w:rFonts w:cs="Arial"/>
          <w:lang w:val="de-DE"/>
        </w:rPr>
        <w:t xml:space="preserve">tauschen und </w:t>
      </w:r>
      <w:r>
        <w:rPr>
          <w:rFonts w:cs="Arial"/>
          <w:lang w:val="de-DE"/>
        </w:rPr>
        <w:t>Bereiche für Zusammenarbeit</w:t>
      </w:r>
      <w:r w:rsidRPr="00C47725">
        <w:rPr>
          <w:rFonts w:cs="Arial"/>
          <w:lang w:val="de-DE"/>
        </w:rPr>
        <w:t xml:space="preserve"> </w:t>
      </w:r>
      <w:r>
        <w:rPr>
          <w:rFonts w:cs="Arial"/>
          <w:lang w:val="de-DE"/>
        </w:rPr>
        <w:t xml:space="preserve">zu </w:t>
      </w:r>
      <w:r w:rsidRPr="00C47725">
        <w:rPr>
          <w:rFonts w:cs="Arial"/>
          <w:lang w:val="de-DE"/>
        </w:rPr>
        <w:t>erkunden.</w:t>
      </w:r>
    </w:p>
    <w:p w:rsidR="002D20DB" w:rsidRPr="00C47725" w:rsidRDefault="002D20DB" w:rsidP="002D20DB">
      <w:pPr>
        <w:rPr>
          <w:rFonts w:cs="Arial"/>
          <w:lang w:val="de-DE"/>
        </w:rPr>
      </w:pPr>
    </w:p>
    <w:p w:rsidR="002D20DB" w:rsidRPr="00C47725" w:rsidRDefault="002D20DB" w:rsidP="002D20DB">
      <w:pPr>
        <w:pStyle w:val="Heading5"/>
        <w:rPr>
          <w:rFonts w:cs="Arial"/>
          <w:lang w:val="de-DE"/>
        </w:rPr>
      </w:pPr>
      <w:r w:rsidRPr="00C47725">
        <w:rPr>
          <w:rFonts w:cs="Arial"/>
          <w:lang w:val="de-DE"/>
        </w:rPr>
        <w:t>Überprüfung von Dokument UPOV/INF/17:</w:t>
      </w:r>
      <w:r>
        <w:rPr>
          <w:rFonts w:cs="Arial"/>
          <w:lang w:val="de-DE"/>
        </w:rPr>
        <w:t xml:space="preserve"> „</w:t>
      </w:r>
      <w:r w:rsidRPr="00C47725">
        <w:rPr>
          <w:rFonts w:cs="Arial"/>
          <w:lang w:val="de-DE"/>
        </w:rPr>
        <w:t>Richtlinien für die DNS-Profilierung: Auswahl molekularer Marker und Aufbau von Datenbanken (‚BMT-Richtlinien‘)</w:t>
      </w:r>
      <w:r>
        <w:rPr>
          <w:rFonts w:cs="Arial"/>
          <w:lang w:val="de-DE"/>
        </w:rPr>
        <w:t>“</w:t>
      </w:r>
    </w:p>
    <w:p w:rsidR="002D20DB" w:rsidRPr="00C47725" w:rsidRDefault="002D20DB" w:rsidP="002D20DB">
      <w:pPr>
        <w:rPr>
          <w:rFonts w:cs="Arial"/>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 xml:space="preserve">Insbesondere wurde vereinbart, </w:t>
      </w:r>
      <w:r>
        <w:rPr>
          <w:rFonts w:cs="Arial"/>
          <w:lang w:val="de-DE"/>
        </w:rPr>
        <w:t xml:space="preserve">zu </w:t>
      </w:r>
      <w:r w:rsidRPr="00C47725">
        <w:rPr>
          <w:rFonts w:cs="Arial"/>
          <w:lang w:val="de-DE"/>
        </w:rPr>
        <w:t xml:space="preserve">Abschnitt B Wortlaut hinzuzufügen, der die Anforderungen an </w:t>
      </w:r>
      <w:r>
        <w:rPr>
          <w:rFonts w:cs="Arial"/>
          <w:lang w:val="de-DE"/>
        </w:rPr>
        <w:t>die</w:t>
      </w:r>
      <w:r w:rsidRPr="00C47725">
        <w:rPr>
          <w:rFonts w:cs="Arial"/>
          <w:lang w:val="de-DE"/>
        </w:rPr>
        <w:t xml:space="preserve"> DNS</w:t>
      </w:r>
      <w:r>
        <w:rPr>
          <w:rFonts w:cs="Arial"/>
          <w:lang w:val="de-DE"/>
        </w:rPr>
        <w:t>-</w:t>
      </w:r>
      <w:r w:rsidRPr="00C47725">
        <w:rPr>
          <w:rFonts w:cs="Arial"/>
          <w:lang w:val="de-DE"/>
        </w:rPr>
        <w:t>Profilierung einer Pflanzensorte erläutert. Diese beinhalten 5 Phasen</w:t>
      </w:r>
      <w:r>
        <w:rPr>
          <w:rFonts w:cs="Arial"/>
          <w:lang w:val="de-DE"/>
        </w:rPr>
        <w:t>:</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Auswahl molekularer Marker</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Auswahl der Erfassungsmethode</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Validierung und Harmonisierung der Erfassungsmethode</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Aufbau der Datenbank</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r>
      <w:r>
        <w:rPr>
          <w:rFonts w:cs="Arial"/>
          <w:lang w:val="de-DE"/>
        </w:rPr>
        <w:t>A</w:t>
      </w:r>
      <w:r w:rsidRPr="00C47725">
        <w:rPr>
          <w:rFonts w:cs="Arial"/>
          <w:lang w:val="de-DE"/>
        </w:rPr>
        <w:t>ustausch</w:t>
      </w:r>
      <w:r>
        <w:rPr>
          <w:rFonts w:cs="Arial"/>
          <w:lang w:val="de-DE"/>
        </w:rPr>
        <w:t xml:space="preserve"> von Daten</w:t>
      </w:r>
    </w:p>
    <w:p w:rsidR="002D20DB" w:rsidRPr="00C47725" w:rsidRDefault="002D20DB" w:rsidP="002D20DB">
      <w:pPr>
        <w:ind w:left="851" w:hanging="284"/>
        <w:rPr>
          <w:rFonts w:cs="Arial"/>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Die BMT vereinbarte, dass</w:t>
      </w:r>
      <w:r>
        <w:rPr>
          <w:rFonts w:cs="Arial"/>
          <w:lang w:val="de-DE"/>
        </w:rPr>
        <w:t xml:space="preserve"> „A</w:t>
      </w:r>
      <w:r w:rsidRPr="00C47725">
        <w:rPr>
          <w:rFonts w:cs="Arial"/>
          <w:lang w:val="de-DE"/>
        </w:rPr>
        <w:t>ustausch</w:t>
      </w:r>
      <w:r>
        <w:rPr>
          <w:rFonts w:cs="Arial"/>
          <w:lang w:val="de-DE"/>
        </w:rPr>
        <w:t xml:space="preserve"> von Daten“</w:t>
      </w:r>
      <w:r w:rsidRPr="00C47725">
        <w:rPr>
          <w:rFonts w:cs="Arial"/>
          <w:lang w:val="de-DE"/>
        </w:rPr>
        <w:t xml:space="preserve"> klärungsbedürftig </w:t>
      </w:r>
      <w:r>
        <w:rPr>
          <w:rFonts w:cs="Arial"/>
          <w:lang w:val="de-DE"/>
        </w:rPr>
        <w:t>sei,</w:t>
      </w:r>
      <w:r w:rsidRPr="00C47725">
        <w:rPr>
          <w:rFonts w:cs="Arial"/>
          <w:lang w:val="de-DE"/>
        </w:rPr>
        <w:t xml:space="preserve"> und vereinbarte, den derzeitigen Abschnitt 1 zu streichen.</w:t>
      </w:r>
    </w:p>
    <w:p w:rsidR="002D20DB" w:rsidRPr="00C47725" w:rsidRDefault="002D20DB" w:rsidP="002D20DB">
      <w:pPr>
        <w:rPr>
          <w:rFonts w:cs="Arial"/>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Die BMT vereinbarte, die folgenden Abschnitte zu streichen:</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Abschnitt 2.2 Kriterien für spezifische Typen molekularer Marker</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Abschnitt 5. Normung der Analyseprotokolle</w:t>
      </w:r>
      <w:r>
        <w:rPr>
          <w:rFonts w:cs="Arial"/>
          <w:lang w:val="de-DE"/>
        </w:rPr>
        <w:t xml:space="preserve"> </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Abschnitte 6.4, 6.5, 6.6, 6.7 und 6.8</w:t>
      </w:r>
    </w:p>
    <w:p w:rsidR="002D20DB" w:rsidRPr="00C47725" w:rsidRDefault="002D20DB" w:rsidP="002D20DB">
      <w:pPr>
        <w:ind w:left="851" w:hanging="284"/>
        <w:rPr>
          <w:rFonts w:cs="Arial"/>
          <w:lang w:val="de-DE"/>
        </w:rPr>
      </w:pPr>
    </w:p>
    <w:p w:rsidR="002D20DB" w:rsidRPr="00C47725" w:rsidRDefault="002D20DB" w:rsidP="002D20DB">
      <w:pPr>
        <w:rPr>
          <w:rFonts w:cs="Arial"/>
          <w:lang w:val="de-DE"/>
        </w:rPr>
      </w:pPr>
      <w:r w:rsidRPr="00491131">
        <w:rPr>
          <w:rFonts w:cs="Arial"/>
          <w:lang w:val="de-DE"/>
        </w:rPr>
        <w:fldChar w:fldCharType="begin"/>
      </w:r>
      <w:r w:rsidRPr="00491131">
        <w:rPr>
          <w:rFonts w:cs="Arial"/>
          <w:lang w:val="de-DE"/>
        </w:rPr>
        <w:instrText xml:space="preserve"> AUTONUM  </w:instrText>
      </w:r>
      <w:r w:rsidRPr="00491131">
        <w:rPr>
          <w:rFonts w:cs="Arial"/>
          <w:lang w:val="de-DE"/>
        </w:rPr>
        <w:fldChar w:fldCharType="end"/>
      </w:r>
      <w:r w:rsidRPr="00C47725">
        <w:rPr>
          <w:rFonts w:cs="Arial"/>
          <w:lang w:val="de-DE"/>
        </w:rPr>
        <w:tab/>
        <w:t>Die BMT vereinbarte, den derzeitigen Abschnitt 2.2</w:t>
      </w:r>
      <w:r>
        <w:rPr>
          <w:rFonts w:cs="Arial"/>
          <w:lang w:val="de-DE"/>
        </w:rPr>
        <w:t xml:space="preserve"> „</w:t>
      </w:r>
      <w:r w:rsidRPr="00C47725">
        <w:rPr>
          <w:rFonts w:cs="Arial"/>
          <w:lang w:val="de-DE"/>
        </w:rPr>
        <w:t>Kriterien für spezifische Typen molekularer Marker</w:t>
      </w:r>
      <w:r>
        <w:rPr>
          <w:rFonts w:cs="Arial"/>
          <w:lang w:val="de-DE"/>
        </w:rPr>
        <w:t>“</w:t>
      </w:r>
      <w:r w:rsidRPr="00C47725">
        <w:rPr>
          <w:rFonts w:cs="Arial"/>
          <w:lang w:val="de-DE"/>
        </w:rPr>
        <w:t xml:space="preserve"> zu streichen und die folgenden neuen Abschnitte hinzu</w:t>
      </w:r>
      <w:r>
        <w:rPr>
          <w:rFonts w:cs="Arial"/>
          <w:lang w:val="de-DE"/>
        </w:rPr>
        <w:t>fügen</w:t>
      </w:r>
      <w:r w:rsidRPr="00C47725">
        <w:rPr>
          <w:rFonts w:cs="Arial"/>
          <w:lang w:val="de-DE"/>
        </w:rPr>
        <w:t>:</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Neuer Abschnitt 1.2</w:t>
      </w:r>
      <w:r>
        <w:rPr>
          <w:rFonts w:cs="Arial"/>
          <w:lang w:val="de-DE"/>
        </w:rPr>
        <w:t xml:space="preserve"> </w:t>
      </w:r>
      <w:r w:rsidR="00FE7AFB">
        <w:rPr>
          <w:rFonts w:cs="Arial"/>
          <w:lang w:val="de-DE"/>
        </w:rPr>
        <w:t xml:space="preserve"> </w:t>
      </w:r>
      <w:r w:rsidRPr="00C47725">
        <w:rPr>
          <w:rFonts w:cs="Arial"/>
          <w:lang w:val="de-DE"/>
        </w:rPr>
        <w:t>Molekulare Marker – leistungsbezogene Überlegungen</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Neuer Abschnitt 2.1</w:t>
      </w:r>
      <w:r>
        <w:rPr>
          <w:rFonts w:cs="Arial"/>
          <w:lang w:val="de-DE"/>
        </w:rPr>
        <w:t xml:space="preserve"> </w:t>
      </w:r>
      <w:r w:rsidR="00FE7AFB">
        <w:rPr>
          <w:rFonts w:cs="Arial"/>
          <w:lang w:val="de-DE"/>
        </w:rPr>
        <w:t xml:space="preserve"> </w:t>
      </w:r>
      <w:r w:rsidRPr="00C47725">
        <w:rPr>
          <w:rFonts w:cs="Arial"/>
          <w:lang w:val="de-DE"/>
        </w:rPr>
        <w:t>DNS Profilierungsverfahren - allgemeine Überlegungen</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Neuer Abschnitt 3.</w:t>
      </w:r>
      <w:r>
        <w:rPr>
          <w:rFonts w:cs="Arial"/>
          <w:lang w:val="de-DE"/>
        </w:rPr>
        <w:t xml:space="preserve"> </w:t>
      </w:r>
      <w:r w:rsidR="00FE7AFB">
        <w:rPr>
          <w:rFonts w:cs="Arial"/>
          <w:lang w:val="de-DE"/>
        </w:rPr>
        <w:t xml:space="preserve"> </w:t>
      </w:r>
      <w:r w:rsidRPr="00C47725">
        <w:rPr>
          <w:rFonts w:cs="Arial"/>
          <w:lang w:val="de-DE"/>
        </w:rPr>
        <w:t>Validierung und Harmonisierung eines Markersatzes und Erfassungsmethode</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Neuer Abschnitt 4.</w:t>
      </w:r>
      <w:r>
        <w:rPr>
          <w:rFonts w:cs="Arial"/>
          <w:lang w:val="de-DE"/>
        </w:rPr>
        <w:t xml:space="preserve"> </w:t>
      </w:r>
      <w:r w:rsidR="00FE7AFB">
        <w:rPr>
          <w:rFonts w:cs="Arial"/>
          <w:lang w:val="de-DE"/>
        </w:rPr>
        <w:t xml:space="preserve"> </w:t>
      </w:r>
      <w:r w:rsidRPr="00C47725">
        <w:rPr>
          <w:rFonts w:cs="Arial"/>
          <w:lang w:val="de-DE"/>
        </w:rPr>
        <w:t>Aufbau einer pflanzenspezifischen Datenbank</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Neuer Abschnitt 5.</w:t>
      </w:r>
      <w:r>
        <w:rPr>
          <w:rFonts w:cs="Arial"/>
          <w:lang w:val="de-DE"/>
        </w:rPr>
        <w:t xml:space="preserve"> </w:t>
      </w:r>
      <w:r w:rsidR="00FE7AFB">
        <w:rPr>
          <w:rFonts w:cs="Arial"/>
          <w:lang w:val="de-DE"/>
        </w:rPr>
        <w:t xml:space="preserve"> </w:t>
      </w:r>
      <w:r>
        <w:rPr>
          <w:rFonts w:cs="Arial"/>
          <w:lang w:val="de-DE"/>
        </w:rPr>
        <w:t>A</w:t>
      </w:r>
      <w:r w:rsidRPr="00C47725">
        <w:rPr>
          <w:rFonts w:cs="Arial"/>
          <w:lang w:val="de-DE"/>
        </w:rPr>
        <w:t>ustausch</w:t>
      </w:r>
      <w:r>
        <w:rPr>
          <w:rFonts w:cs="Arial"/>
          <w:lang w:val="de-DE"/>
        </w:rPr>
        <w:t xml:space="preserve"> von Daten</w:t>
      </w:r>
    </w:p>
    <w:p w:rsidR="002D20DB" w:rsidRPr="00C47725" w:rsidRDefault="002D20DB" w:rsidP="002D20DB">
      <w:pPr>
        <w:rPr>
          <w:rFonts w:cs="Arial"/>
          <w:lang w:val="de-DE"/>
        </w:rPr>
      </w:pPr>
    </w:p>
    <w:p w:rsidR="002D20DB" w:rsidRPr="00C47725" w:rsidRDefault="002D20DB" w:rsidP="002D20DB">
      <w:pPr>
        <w:rPr>
          <w:rFonts w:cs="Arial"/>
          <w:lang w:val="de-DE"/>
        </w:rPr>
      </w:pPr>
      <w:r w:rsidRPr="00E24E43">
        <w:rPr>
          <w:rFonts w:cs="Arial"/>
          <w:lang w:val="de-DE"/>
        </w:rPr>
        <w:fldChar w:fldCharType="begin"/>
      </w:r>
      <w:r w:rsidRPr="00E24E43">
        <w:rPr>
          <w:rFonts w:cs="Arial"/>
          <w:lang w:val="de-DE"/>
        </w:rPr>
        <w:instrText xml:space="preserve"> AUTONUM  </w:instrText>
      </w:r>
      <w:r w:rsidRPr="00E24E43">
        <w:rPr>
          <w:rFonts w:cs="Arial"/>
          <w:lang w:val="de-DE"/>
        </w:rPr>
        <w:fldChar w:fldCharType="end"/>
      </w:r>
      <w:r w:rsidRPr="00C47725">
        <w:rPr>
          <w:rFonts w:cs="Arial"/>
          <w:lang w:val="de-DE"/>
        </w:rPr>
        <w:tab/>
        <w:t>Die BMT vereinbarte, das Glossar zu streichen.</w:t>
      </w:r>
    </w:p>
    <w:p w:rsidR="002D20DB" w:rsidRPr="00C47725" w:rsidRDefault="002D20DB" w:rsidP="002D20DB">
      <w:pPr>
        <w:rPr>
          <w:rFonts w:cs="Arial"/>
          <w:lang w:val="de-DE"/>
        </w:rPr>
      </w:pPr>
    </w:p>
    <w:p w:rsidR="002D20DB" w:rsidRPr="00C47725" w:rsidRDefault="002D20DB" w:rsidP="002D20DB">
      <w:pPr>
        <w:rPr>
          <w:rFonts w:cs="Arial"/>
          <w:lang w:val="de-DE"/>
        </w:rPr>
      </w:pPr>
      <w:r w:rsidRPr="00E24E43">
        <w:rPr>
          <w:rFonts w:cs="Arial"/>
          <w:lang w:val="de-DE"/>
        </w:rPr>
        <w:fldChar w:fldCharType="begin"/>
      </w:r>
      <w:r w:rsidRPr="00E24E43">
        <w:rPr>
          <w:rFonts w:cs="Arial"/>
          <w:lang w:val="de-DE"/>
        </w:rPr>
        <w:instrText xml:space="preserve"> AUTONUM  </w:instrText>
      </w:r>
      <w:r w:rsidRPr="00E24E43">
        <w:rPr>
          <w:rFonts w:cs="Arial"/>
          <w:lang w:val="de-DE"/>
        </w:rPr>
        <w:fldChar w:fldCharType="end"/>
      </w:r>
      <w:r w:rsidRPr="00C47725">
        <w:rPr>
          <w:rFonts w:cs="Arial"/>
          <w:lang w:val="de-DE"/>
        </w:rPr>
        <w:tab/>
        <w:t>Die BMT vereinbarte, einen neuen Abschnitt C Liste von Acronymen hinzuzufügen mit den folgenden Einträgen:</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BAM</w:t>
      </w:r>
      <w:r w:rsidRPr="00C47725">
        <w:rPr>
          <w:rFonts w:cs="Arial"/>
          <w:lang w:val="de-DE"/>
        </w:rPr>
        <w:tab/>
      </w:r>
      <w:r w:rsidRPr="00C47725">
        <w:rPr>
          <w:rFonts w:cs="Arial"/>
          <w:lang w:val="de-DE"/>
        </w:rPr>
        <w:tab/>
        <w:t>Binary Alignment Map</w:t>
      </w:r>
      <w:r>
        <w:rPr>
          <w:rFonts w:cs="Arial"/>
          <w:lang w:val="de-DE"/>
        </w:rPr>
        <w:t xml:space="preserve"> (</w:t>
      </w:r>
      <w:r w:rsidRPr="003F0447">
        <w:rPr>
          <w:rFonts w:cs="Arial"/>
          <w:lang w:val="de-DE"/>
        </w:rPr>
        <w:t xml:space="preserve">Binäre </w:t>
      </w:r>
      <w:r>
        <w:rPr>
          <w:rFonts w:cs="Arial"/>
          <w:lang w:val="de-DE"/>
        </w:rPr>
        <w:t>Ausrichtungsabbildung)</w:t>
      </w:r>
    </w:p>
    <w:p w:rsidR="002D20DB" w:rsidRPr="000E6F70" w:rsidRDefault="002D20DB" w:rsidP="002D20DB">
      <w:pPr>
        <w:ind w:left="851" w:hanging="284"/>
        <w:rPr>
          <w:rFonts w:cs="Arial"/>
          <w:lang w:val="de-DE"/>
        </w:rPr>
      </w:pPr>
      <w:r w:rsidRPr="000E6F70">
        <w:rPr>
          <w:rFonts w:cs="Arial"/>
          <w:lang w:val="de-DE"/>
        </w:rPr>
        <w:t>•</w:t>
      </w:r>
      <w:r w:rsidRPr="000E6F70">
        <w:rPr>
          <w:rFonts w:cs="Arial"/>
          <w:lang w:val="de-DE"/>
        </w:rPr>
        <w:tab/>
        <w:t>BCF</w:t>
      </w:r>
      <w:r w:rsidRPr="000E6F70">
        <w:rPr>
          <w:rFonts w:cs="Arial"/>
          <w:lang w:val="de-DE"/>
        </w:rPr>
        <w:tab/>
      </w:r>
      <w:r w:rsidRPr="000E6F70">
        <w:rPr>
          <w:rFonts w:cs="Arial"/>
          <w:lang w:val="de-DE"/>
        </w:rPr>
        <w:tab/>
        <w:t>Binary Call Format (BCF Binäres Aufrufformat)</w:t>
      </w:r>
    </w:p>
    <w:p w:rsidR="002D20DB" w:rsidRPr="00FA5FF0" w:rsidRDefault="00FA5FF0" w:rsidP="002D20DB">
      <w:pPr>
        <w:ind w:left="851" w:hanging="284"/>
        <w:jc w:val="left"/>
        <w:rPr>
          <w:rFonts w:cs="Arial"/>
          <w:lang w:val="de-DE"/>
        </w:rPr>
      </w:pPr>
      <w:r w:rsidRPr="00FA5FF0">
        <w:rPr>
          <w:rFonts w:cs="Arial"/>
          <w:lang w:val="de-DE"/>
        </w:rPr>
        <w:t>•</w:t>
      </w:r>
      <w:r w:rsidRPr="00FA5FF0">
        <w:rPr>
          <w:rFonts w:cs="Arial"/>
          <w:lang w:val="de-DE"/>
        </w:rPr>
        <w:tab/>
        <w:t>CRAM</w:t>
      </w:r>
      <w:r w:rsidRPr="00FA5FF0">
        <w:rPr>
          <w:rFonts w:cs="Arial"/>
          <w:lang w:val="de-DE"/>
        </w:rPr>
        <w:tab/>
      </w:r>
      <w:r w:rsidR="002D20DB" w:rsidRPr="00FA5FF0">
        <w:rPr>
          <w:rFonts w:cs="Arial"/>
          <w:lang w:val="de-DE"/>
        </w:rPr>
        <w:t xml:space="preserve">Compressed Reference-oriented Alignment Map (komprimierte referenzorientierte </w:t>
      </w:r>
      <w:r w:rsidRPr="00FA5FF0">
        <w:rPr>
          <w:rFonts w:cs="Arial"/>
          <w:lang w:val="de-DE"/>
        </w:rPr>
        <w:tab/>
      </w:r>
      <w:r w:rsidRPr="00FA5FF0">
        <w:rPr>
          <w:rFonts w:cs="Arial"/>
          <w:lang w:val="de-DE"/>
        </w:rPr>
        <w:tab/>
      </w:r>
      <w:r w:rsidR="002D20DB" w:rsidRPr="00FA5FF0">
        <w:rPr>
          <w:rFonts w:cs="Arial"/>
          <w:lang w:val="de-DE"/>
        </w:rPr>
        <w:t>Ausrichtungsabbildung)</w:t>
      </w:r>
    </w:p>
    <w:p w:rsidR="002D20DB" w:rsidRPr="000E6F70" w:rsidRDefault="002D20DB" w:rsidP="002D20DB">
      <w:pPr>
        <w:ind w:left="851" w:hanging="284"/>
        <w:rPr>
          <w:rFonts w:cs="Arial"/>
          <w:lang w:val="de-DE"/>
        </w:rPr>
      </w:pPr>
      <w:r w:rsidRPr="000E6F70">
        <w:rPr>
          <w:rFonts w:cs="Arial"/>
          <w:lang w:val="de-DE"/>
        </w:rPr>
        <w:t>•</w:t>
      </w:r>
      <w:r w:rsidRPr="000E6F70">
        <w:rPr>
          <w:rFonts w:cs="Arial"/>
          <w:lang w:val="de-DE"/>
        </w:rPr>
        <w:tab/>
        <w:t>MNP</w:t>
      </w:r>
      <w:r w:rsidRPr="000E6F70">
        <w:rPr>
          <w:rFonts w:cs="Arial"/>
          <w:lang w:val="de-DE"/>
        </w:rPr>
        <w:tab/>
      </w:r>
      <w:r w:rsidRPr="000E6F70">
        <w:rPr>
          <w:rFonts w:cs="Arial"/>
          <w:lang w:val="de-DE"/>
        </w:rPr>
        <w:tab/>
        <w:t>Multiple Nucleotide Polymorphism (Mehrfachnukleotid-Polymorphismus)</w:t>
      </w:r>
    </w:p>
    <w:p w:rsidR="002D20DB" w:rsidRPr="000E6F70" w:rsidRDefault="002D20DB" w:rsidP="002D20DB">
      <w:pPr>
        <w:ind w:left="851" w:hanging="284"/>
        <w:rPr>
          <w:rFonts w:cs="Arial"/>
          <w:lang w:val="de-DE"/>
        </w:rPr>
      </w:pPr>
      <w:r w:rsidRPr="000E6F70">
        <w:rPr>
          <w:rFonts w:cs="Arial"/>
          <w:lang w:val="de-DE"/>
        </w:rPr>
        <w:t>•</w:t>
      </w:r>
      <w:r w:rsidRPr="000E6F70">
        <w:rPr>
          <w:rFonts w:cs="Arial"/>
          <w:lang w:val="de-DE"/>
        </w:rPr>
        <w:tab/>
        <w:t>NIL</w:t>
      </w:r>
      <w:r w:rsidRPr="000E6F70">
        <w:rPr>
          <w:rFonts w:cs="Arial"/>
          <w:lang w:val="de-DE"/>
        </w:rPr>
        <w:tab/>
      </w:r>
      <w:r w:rsidRPr="000E6F70">
        <w:rPr>
          <w:rFonts w:cs="Arial"/>
          <w:lang w:val="de-DE"/>
        </w:rPr>
        <w:tab/>
        <w:t>Near Isogenic Line (isogenennahe Linie)</w:t>
      </w:r>
    </w:p>
    <w:p w:rsidR="002D20DB" w:rsidRPr="00C47725" w:rsidRDefault="002D20DB" w:rsidP="002D20DB">
      <w:pPr>
        <w:ind w:left="851" w:hanging="284"/>
        <w:rPr>
          <w:rFonts w:cs="Arial"/>
          <w:lang w:val="de-DE"/>
        </w:rPr>
      </w:pPr>
      <w:r w:rsidRPr="000E6F70">
        <w:rPr>
          <w:rFonts w:cs="Arial"/>
          <w:lang w:val="de-DE"/>
        </w:rPr>
        <w:t>•</w:t>
      </w:r>
      <w:r w:rsidRPr="000E6F70">
        <w:rPr>
          <w:rFonts w:cs="Arial"/>
          <w:lang w:val="de-DE"/>
        </w:rPr>
        <w:tab/>
        <w:t>RIL</w:t>
      </w:r>
      <w:r w:rsidRPr="000E6F70">
        <w:rPr>
          <w:rFonts w:cs="Arial"/>
          <w:lang w:val="de-DE"/>
        </w:rPr>
        <w:tab/>
      </w:r>
      <w:r w:rsidRPr="000E6F70">
        <w:rPr>
          <w:rFonts w:cs="Arial"/>
          <w:lang w:val="de-DE"/>
        </w:rPr>
        <w:tab/>
      </w:r>
      <w:r w:rsidRPr="00C47725">
        <w:rPr>
          <w:rFonts w:cs="Arial"/>
          <w:lang w:val="de-DE"/>
        </w:rPr>
        <w:t>Recombinant Inbred Line</w:t>
      </w:r>
      <w:r>
        <w:rPr>
          <w:rFonts w:cs="Arial"/>
          <w:lang w:val="de-DE"/>
        </w:rPr>
        <w:t xml:space="preserve"> (</w:t>
      </w:r>
      <w:r w:rsidRPr="003F0447">
        <w:rPr>
          <w:rFonts w:cs="Arial"/>
          <w:lang w:val="de-DE"/>
        </w:rPr>
        <w:t>Rekombinante Inzucht</w:t>
      </w:r>
      <w:r>
        <w:rPr>
          <w:rFonts w:cs="Arial"/>
          <w:lang w:val="de-DE"/>
        </w:rPr>
        <w:t>linie)</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SAM</w:t>
      </w:r>
      <w:r w:rsidRPr="00C47725">
        <w:rPr>
          <w:rFonts w:cs="Arial"/>
          <w:lang w:val="de-DE"/>
        </w:rPr>
        <w:tab/>
      </w:r>
      <w:r w:rsidRPr="00C47725">
        <w:rPr>
          <w:rFonts w:cs="Arial"/>
          <w:lang w:val="de-DE"/>
        </w:rPr>
        <w:tab/>
        <w:t>Sequence Alignment Map</w:t>
      </w:r>
      <w:r>
        <w:rPr>
          <w:rFonts w:cs="Arial"/>
          <w:lang w:val="de-DE"/>
        </w:rPr>
        <w:t xml:space="preserve"> (</w:t>
      </w:r>
      <w:r w:rsidRPr="003F0447">
        <w:rPr>
          <w:rFonts w:cs="Arial"/>
          <w:lang w:val="de-DE"/>
        </w:rPr>
        <w:t>Sequenz-</w:t>
      </w:r>
      <w:r>
        <w:rPr>
          <w:rFonts w:cs="Arial"/>
          <w:lang w:val="de-DE"/>
        </w:rPr>
        <w:t>Ausrichtungsabbildung)</w:t>
      </w:r>
    </w:p>
    <w:p w:rsidR="002D20DB" w:rsidRPr="004F1DFE" w:rsidRDefault="002D20DB" w:rsidP="002D20DB">
      <w:pPr>
        <w:ind w:left="851" w:hanging="284"/>
        <w:rPr>
          <w:rFonts w:cs="Arial"/>
          <w:lang w:val="de-DE"/>
        </w:rPr>
      </w:pPr>
      <w:r w:rsidRPr="004F1DFE">
        <w:rPr>
          <w:rFonts w:cs="Arial"/>
          <w:lang w:val="de-DE"/>
        </w:rPr>
        <w:t>•</w:t>
      </w:r>
      <w:r w:rsidRPr="004F1DFE">
        <w:rPr>
          <w:rFonts w:cs="Arial"/>
          <w:lang w:val="de-DE"/>
        </w:rPr>
        <w:tab/>
        <w:t>SNP</w:t>
      </w:r>
      <w:r w:rsidRPr="004F1DFE">
        <w:rPr>
          <w:rFonts w:cs="Arial"/>
          <w:lang w:val="de-DE"/>
        </w:rPr>
        <w:tab/>
      </w:r>
      <w:r w:rsidRPr="004F1DFE">
        <w:rPr>
          <w:rFonts w:cs="Arial"/>
          <w:lang w:val="de-DE"/>
        </w:rPr>
        <w:tab/>
        <w:t>Single Nucleotide Polymorphism (Einzelnukleotid-Polymorphismus)</w:t>
      </w:r>
    </w:p>
    <w:p w:rsidR="002D20DB" w:rsidRPr="00C47725" w:rsidRDefault="002D20DB" w:rsidP="002D20DB">
      <w:pPr>
        <w:ind w:left="851" w:hanging="284"/>
        <w:rPr>
          <w:rFonts w:cs="Arial"/>
          <w:lang w:val="de-DE"/>
        </w:rPr>
      </w:pPr>
      <w:r w:rsidRPr="00C47725">
        <w:rPr>
          <w:rFonts w:cs="Arial"/>
          <w:lang w:val="de-DE"/>
        </w:rPr>
        <w:t>•</w:t>
      </w:r>
      <w:r w:rsidRPr="00C47725">
        <w:rPr>
          <w:rFonts w:cs="Arial"/>
          <w:lang w:val="de-DE"/>
        </w:rPr>
        <w:tab/>
        <w:t>TIFF</w:t>
      </w:r>
      <w:r w:rsidRPr="00C47725">
        <w:rPr>
          <w:rFonts w:cs="Arial"/>
          <w:lang w:val="de-DE"/>
        </w:rPr>
        <w:tab/>
      </w:r>
      <w:r w:rsidRPr="00C47725">
        <w:rPr>
          <w:rFonts w:cs="Arial"/>
          <w:lang w:val="de-DE"/>
        </w:rPr>
        <w:tab/>
        <w:t>Tagged Image File Format</w:t>
      </w:r>
      <w:r>
        <w:rPr>
          <w:rFonts w:cs="Arial"/>
          <w:lang w:val="de-DE"/>
        </w:rPr>
        <w:t xml:space="preserve"> (gekennzeichnetes</w:t>
      </w:r>
      <w:r w:rsidRPr="003F0447">
        <w:rPr>
          <w:rFonts w:cs="Arial"/>
          <w:lang w:val="de-DE"/>
        </w:rPr>
        <w:t xml:space="preserve"> Bilddateiformat</w:t>
      </w:r>
      <w:r>
        <w:rPr>
          <w:rFonts w:cs="Arial"/>
          <w:lang w:val="de-DE"/>
        </w:rPr>
        <w:t>)</w:t>
      </w:r>
    </w:p>
    <w:p w:rsidR="002D20DB" w:rsidRPr="004F1DFE" w:rsidRDefault="002D20DB" w:rsidP="002D20DB">
      <w:pPr>
        <w:ind w:left="851" w:hanging="284"/>
        <w:rPr>
          <w:rFonts w:cs="Arial"/>
          <w:lang w:val="de-DE"/>
        </w:rPr>
      </w:pPr>
      <w:r w:rsidRPr="004F1DFE">
        <w:rPr>
          <w:rFonts w:cs="Arial"/>
          <w:lang w:val="de-DE"/>
        </w:rPr>
        <w:t>•</w:t>
      </w:r>
      <w:r w:rsidRPr="004F1DFE">
        <w:rPr>
          <w:rFonts w:cs="Arial"/>
          <w:lang w:val="de-DE"/>
        </w:rPr>
        <w:tab/>
        <w:t>VCF</w:t>
      </w:r>
      <w:r w:rsidRPr="004F1DFE">
        <w:rPr>
          <w:rFonts w:cs="Arial"/>
          <w:lang w:val="de-DE"/>
        </w:rPr>
        <w:tab/>
      </w:r>
      <w:r w:rsidRPr="004F1DFE">
        <w:rPr>
          <w:rFonts w:cs="Arial"/>
          <w:lang w:val="de-DE"/>
        </w:rPr>
        <w:tab/>
        <w:t>Variant Call Format (Variantenaufrufformat)</w:t>
      </w:r>
    </w:p>
    <w:p w:rsidR="002D20DB" w:rsidRPr="004F1DFE" w:rsidRDefault="002D20DB" w:rsidP="002D20DB">
      <w:pPr>
        <w:rPr>
          <w:rFonts w:cs="Arial"/>
          <w:lang w:val="de-DE"/>
        </w:rPr>
      </w:pPr>
    </w:p>
    <w:p w:rsidR="002D20DB" w:rsidRPr="00C47725" w:rsidRDefault="002D20DB" w:rsidP="002D20DB">
      <w:pPr>
        <w:rPr>
          <w:rFonts w:cs="Arial"/>
          <w:lang w:val="de-DE"/>
        </w:rPr>
      </w:pPr>
      <w:r w:rsidRPr="00E24E43">
        <w:rPr>
          <w:rFonts w:cs="Arial"/>
          <w:lang w:val="de-DE"/>
        </w:rPr>
        <w:fldChar w:fldCharType="begin"/>
      </w:r>
      <w:r w:rsidRPr="00E24E43">
        <w:rPr>
          <w:rFonts w:cs="Arial"/>
          <w:lang w:val="de-DE"/>
        </w:rPr>
        <w:instrText xml:space="preserve"> AUTONUM  </w:instrText>
      </w:r>
      <w:r w:rsidRPr="00E24E43">
        <w:rPr>
          <w:rFonts w:cs="Arial"/>
          <w:lang w:val="de-DE"/>
        </w:rPr>
        <w:fldChar w:fldCharType="end"/>
      </w:r>
      <w:r w:rsidRPr="00C47725">
        <w:rPr>
          <w:rFonts w:cs="Arial"/>
          <w:lang w:val="de-DE"/>
        </w:rPr>
        <w:tab/>
        <w:t xml:space="preserve">Die BMT vereinbarte, dem TC vorzuschlagen, dass die Europäische Union, Frankreich und die Niederlande einen neuen Entwurf von UPOV/INF/17 zur Prüfung </w:t>
      </w:r>
      <w:r>
        <w:rPr>
          <w:rFonts w:cs="Arial"/>
          <w:lang w:val="de-DE"/>
        </w:rPr>
        <w:t>auf der</w:t>
      </w:r>
      <w:r w:rsidRPr="00C47725">
        <w:rPr>
          <w:rFonts w:cs="Arial"/>
          <w:lang w:val="de-DE"/>
        </w:rPr>
        <w:t xml:space="preserve"> neuntzehnte Tagung der BMT </w:t>
      </w:r>
      <w:r>
        <w:rPr>
          <w:rFonts w:cs="Arial"/>
          <w:lang w:val="de-DE"/>
        </w:rPr>
        <w:t>erstellen</w:t>
      </w:r>
      <w:r w:rsidRPr="00C47725">
        <w:rPr>
          <w:rFonts w:cs="Arial"/>
          <w:lang w:val="de-DE"/>
        </w:rPr>
        <w:t xml:space="preserve"> sollten.</w:t>
      </w:r>
    </w:p>
    <w:p w:rsidR="002D20DB" w:rsidRPr="00C47725" w:rsidRDefault="002D20DB" w:rsidP="002D20DB">
      <w:pPr>
        <w:rPr>
          <w:rFonts w:cs="Arial"/>
          <w:lang w:val="de-DE"/>
        </w:rPr>
      </w:pPr>
    </w:p>
    <w:bookmarkStart w:id="11" w:name="_Hlk22740387"/>
    <w:p w:rsidR="002D20DB" w:rsidRPr="00C47725" w:rsidRDefault="002D20DB" w:rsidP="002D20DB">
      <w:pPr>
        <w:rPr>
          <w:rFonts w:cs="Arial"/>
          <w:lang w:val="de-DE"/>
        </w:rPr>
      </w:pPr>
      <w:r w:rsidRPr="00E24E43">
        <w:rPr>
          <w:rFonts w:cs="Arial"/>
          <w:lang w:val="de-DE"/>
        </w:rPr>
        <w:fldChar w:fldCharType="begin"/>
      </w:r>
      <w:r w:rsidRPr="00E24E43">
        <w:rPr>
          <w:rFonts w:cs="Arial"/>
          <w:lang w:val="de-DE"/>
        </w:rPr>
        <w:instrText xml:space="preserve"> AUTONUM  </w:instrText>
      </w:r>
      <w:r w:rsidRPr="00E24E43">
        <w:rPr>
          <w:rFonts w:cs="Arial"/>
          <w:lang w:val="de-DE"/>
        </w:rPr>
        <w:fldChar w:fldCharType="end"/>
      </w:r>
      <w:r w:rsidRPr="00C47725">
        <w:rPr>
          <w:rFonts w:cs="Arial"/>
          <w:lang w:val="de-DE"/>
        </w:rPr>
        <w:tab/>
        <w:t>Auf Einladung der Vereinigte</w:t>
      </w:r>
      <w:r>
        <w:rPr>
          <w:rFonts w:cs="Arial"/>
          <w:lang w:val="de-DE"/>
        </w:rPr>
        <w:t>n</w:t>
      </w:r>
      <w:r w:rsidRPr="00C47725">
        <w:rPr>
          <w:rFonts w:cs="Arial"/>
          <w:lang w:val="de-DE"/>
        </w:rPr>
        <w:t xml:space="preserve"> Staaten von Amerika vereinbarte die BMT, ihre neunzehnte Tagung gemeinsam mit der TWC in der Woche vom 21. September 2020 in Alexandria, Virginia</w:t>
      </w:r>
      <w:r>
        <w:rPr>
          <w:rFonts w:cs="Arial"/>
          <w:lang w:val="de-DE"/>
        </w:rPr>
        <w:t>,</w:t>
      </w:r>
      <w:r w:rsidRPr="00C47725">
        <w:rPr>
          <w:rFonts w:cs="Arial"/>
          <w:lang w:val="de-DE"/>
        </w:rPr>
        <w:t xml:space="preserve"> abzuhalten. </w:t>
      </w:r>
    </w:p>
    <w:p w:rsidR="002D20DB" w:rsidRPr="00C47725" w:rsidRDefault="002D20DB" w:rsidP="002D20DB">
      <w:pPr>
        <w:rPr>
          <w:rFonts w:cs="Arial"/>
          <w:lang w:val="de-DE"/>
        </w:rPr>
      </w:pPr>
    </w:p>
    <w:p w:rsidR="002D20DB" w:rsidRPr="00C47725" w:rsidRDefault="002D20DB" w:rsidP="002D20DB">
      <w:pPr>
        <w:rPr>
          <w:rFonts w:cs="Arial"/>
          <w:lang w:val="de-DE"/>
        </w:rPr>
      </w:pPr>
      <w:r w:rsidRPr="00E24E43">
        <w:rPr>
          <w:rFonts w:cs="Arial"/>
          <w:lang w:val="de-DE"/>
        </w:rPr>
        <w:fldChar w:fldCharType="begin"/>
      </w:r>
      <w:r w:rsidRPr="00E24E43">
        <w:rPr>
          <w:rFonts w:cs="Arial"/>
          <w:lang w:val="de-DE"/>
        </w:rPr>
        <w:instrText xml:space="preserve"> AUTONUM  </w:instrText>
      </w:r>
      <w:r w:rsidRPr="00E24E43">
        <w:rPr>
          <w:rFonts w:cs="Arial"/>
          <w:lang w:val="de-DE"/>
        </w:rPr>
        <w:fldChar w:fldCharType="end"/>
      </w:r>
      <w:r w:rsidRPr="00C47725">
        <w:rPr>
          <w:rFonts w:cs="Arial"/>
          <w:lang w:val="de-DE"/>
        </w:rPr>
        <w:tab/>
        <w:t>Die BMT stimmte der TWC zu, dass Doppelungen von Inhalten vermieden werden sollten und dass es eine</w:t>
      </w:r>
      <w:r>
        <w:rPr>
          <w:rFonts w:cs="Arial"/>
          <w:lang w:val="de-DE"/>
        </w:rPr>
        <w:t>n</w:t>
      </w:r>
      <w:r w:rsidRPr="00C47725">
        <w:rPr>
          <w:rFonts w:cs="Arial"/>
          <w:lang w:val="de-DE"/>
        </w:rPr>
        <w:t xml:space="preserve"> einzige</w:t>
      </w:r>
      <w:r>
        <w:rPr>
          <w:rFonts w:cs="Arial"/>
          <w:lang w:val="de-DE"/>
        </w:rPr>
        <w:t>n</w:t>
      </w:r>
      <w:r w:rsidRPr="00C47725">
        <w:rPr>
          <w:rFonts w:cs="Arial"/>
          <w:lang w:val="de-DE"/>
        </w:rPr>
        <w:t xml:space="preserve"> </w:t>
      </w:r>
      <w:r>
        <w:rPr>
          <w:rFonts w:cs="Arial"/>
          <w:lang w:val="de-DE"/>
        </w:rPr>
        <w:t>Eröffnungs-</w:t>
      </w:r>
      <w:r w:rsidRPr="00C47725">
        <w:rPr>
          <w:rFonts w:cs="Arial"/>
          <w:lang w:val="de-DE"/>
        </w:rPr>
        <w:t xml:space="preserve"> und Einführungsteil geben sollte. Es wurde auch erwogen, </w:t>
      </w:r>
      <w:r>
        <w:rPr>
          <w:rFonts w:cs="Arial"/>
          <w:lang w:val="de-DE"/>
        </w:rPr>
        <w:t xml:space="preserve">dass es dann möglich sein sollte, </w:t>
      </w:r>
      <w:r w:rsidRPr="00C47725">
        <w:rPr>
          <w:rFonts w:cs="Arial"/>
          <w:lang w:val="de-DE"/>
        </w:rPr>
        <w:t xml:space="preserve">Zeit für einen technischen Besuch einzuräumen. </w:t>
      </w:r>
    </w:p>
    <w:p w:rsidR="002D20DB" w:rsidRPr="00C47725" w:rsidRDefault="002D20DB" w:rsidP="002D20DB">
      <w:pPr>
        <w:rPr>
          <w:rFonts w:cs="Arial"/>
          <w:lang w:val="de-DE"/>
        </w:rPr>
      </w:pPr>
    </w:p>
    <w:bookmarkEnd w:id="11"/>
    <w:p w:rsidR="002D20DB" w:rsidRPr="00C47725" w:rsidRDefault="002D20DB" w:rsidP="002D20DB">
      <w:pPr>
        <w:keepNext/>
        <w:rPr>
          <w:rFonts w:cs="Arial"/>
          <w:lang w:val="de-DE"/>
        </w:rPr>
      </w:pPr>
      <w:r w:rsidRPr="00E24E43">
        <w:rPr>
          <w:rFonts w:cs="Arial"/>
          <w:lang w:val="de-DE"/>
        </w:rPr>
        <w:fldChar w:fldCharType="begin"/>
      </w:r>
      <w:r w:rsidRPr="00E24E43">
        <w:rPr>
          <w:rFonts w:cs="Arial"/>
          <w:lang w:val="de-DE"/>
        </w:rPr>
        <w:instrText xml:space="preserve"> AUTONUM  </w:instrText>
      </w:r>
      <w:r w:rsidRPr="00E24E43">
        <w:rPr>
          <w:rFonts w:cs="Arial"/>
          <w:lang w:val="de-DE"/>
        </w:rPr>
        <w:fldChar w:fldCharType="end"/>
      </w:r>
      <w:r w:rsidRPr="00C47725">
        <w:rPr>
          <w:rFonts w:cs="Arial"/>
          <w:lang w:val="de-DE"/>
        </w:rPr>
        <w:tab/>
        <w:t xml:space="preserve">Während ihrer neunzehnten Tagung </w:t>
      </w:r>
      <w:r>
        <w:rPr>
          <w:rFonts w:cs="Arial"/>
          <w:lang w:val="de-DE"/>
        </w:rPr>
        <w:t>sah</w:t>
      </w:r>
      <w:r w:rsidRPr="00C47725">
        <w:rPr>
          <w:rFonts w:cs="Arial"/>
          <w:lang w:val="de-DE"/>
        </w:rPr>
        <w:t xml:space="preserve"> die BMT</w:t>
      </w:r>
      <w:r>
        <w:rPr>
          <w:rFonts w:cs="Arial"/>
          <w:lang w:val="de-DE"/>
        </w:rPr>
        <w:t xml:space="preserve"> vor</w:t>
      </w:r>
      <w:r w:rsidRPr="00C47725">
        <w:rPr>
          <w:rFonts w:cs="Arial"/>
          <w:lang w:val="de-DE"/>
        </w:rPr>
        <w:t xml:space="preserve">, folgende </w:t>
      </w:r>
      <w:r>
        <w:rPr>
          <w:rFonts w:cs="Arial"/>
          <w:lang w:val="de-DE"/>
        </w:rPr>
        <w:t>Tagesordnungsp</w:t>
      </w:r>
      <w:r w:rsidRPr="00C47725">
        <w:rPr>
          <w:rFonts w:cs="Arial"/>
          <w:lang w:val="de-DE"/>
        </w:rPr>
        <w:t>unkte zu erörtern:</w:t>
      </w:r>
      <w:r>
        <w:rPr>
          <w:rFonts w:cs="Arial"/>
          <w:lang w:val="de-DE"/>
        </w:rPr>
        <w:t xml:space="preserve"> </w:t>
      </w:r>
    </w:p>
    <w:p w:rsidR="002D20DB" w:rsidRPr="00C47725" w:rsidRDefault="002D20DB" w:rsidP="002D20DB">
      <w:pPr>
        <w:keepNext/>
        <w:rPr>
          <w:rFonts w:cs="Arial"/>
          <w:lang w:val="de-DE"/>
        </w:rPr>
      </w:pPr>
    </w:p>
    <w:p w:rsidR="002D20DB" w:rsidRPr="00C47725" w:rsidRDefault="002D20DB" w:rsidP="002D20DB">
      <w:pPr>
        <w:tabs>
          <w:tab w:val="left" w:pos="1134"/>
        </w:tabs>
        <w:ind w:left="1134" w:hanging="567"/>
        <w:rPr>
          <w:rFonts w:cs="Arial"/>
          <w:lang w:val="de-DE"/>
        </w:rPr>
      </w:pPr>
      <w:r w:rsidRPr="00C47725">
        <w:rPr>
          <w:rFonts w:cs="Arial"/>
          <w:lang w:val="de-DE"/>
        </w:rPr>
        <w:t>1.</w:t>
      </w:r>
      <w:r w:rsidRPr="00C47725">
        <w:rPr>
          <w:rFonts w:cs="Arial"/>
          <w:lang w:val="de-DE"/>
        </w:rPr>
        <w:tab/>
        <w:t>Eröffnung der Tagung</w:t>
      </w:r>
    </w:p>
    <w:p w:rsidR="002D20DB" w:rsidRPr="00C47725" w:rsidRDefault="002D20DB" w:rsidP="002D20DB">
      <w:pPr>
        <w:tabs>
          <w:tab w:val="left" w:pos="1134"/>
        </w:tabs>
        <w:ind w:left="1134" w:hanging="567"/>
        <w:rPr>
          <w:rFonts w:cs="Arial"/>
          <w:lang w:val="de-DE"/>
        </w:rPr>
      </w:pPr>
      <w:r w:rsidRPr="00C47725">
        <w:rPr>
          <w:rFonts w:cs="Arial"/>
          <w:lang w:val="de-DE"/>
        </w:rPr>
        <w:t>2.</w:t>
      </w:r>
      <w:r w:rsidRPr="00C47725">
        <w:rPr>
          <w:rFonts w:cs="Arial"/>
          <w:lang w:val="de-DE"/>
        </w:rPr>
        <w:tab/>
        <w:t>Annahme der Tagesordnung</w:t>
      </w:r>
    </w:p>
    <w:p w:rsidR="002D20DB" w:rsidRPr="00C47725" w:rsidRDefault="002D20DB" w:rsidP="002D20DB">
      <w:pPr>
        <w:tabs>
          <w:tab w:val="left" w:pos="1134"/>
        </w:tabs>
        <w:ind w:left="1134" w:hanging="567"/>
        <w:rPr>
          <w:rFonts w:cs="Arial"/>
          <w:lang w:val="de-DE"/>
        </w:rPr>
      </w:pPr>
      <w:r w:rsidRPr="00C47725">
        <w:rPr>
          <w:rFonts w:cs="Arial"/>
          <w:lang w:val="de-DE"/>
        </w:rPr>
        <w:lastRenderedPageBreak/>
        <w:t>3.</w:t>
      </w:r>
      <w:r w:rsidRPr="00C47725">
        <w:rPr>
          <w:rFonts w:cs="Arial"/>
          <w:lang w:val="de-DE"/>
        </w:rPr>
        <w:tab/>
        <w:t>Berichte über Entwicklungen in der UOPV betreffend biochemische und molekulare Verfahren (vom Verbandsbüro zu erstellendes Dokument)</w:t>
      </w:r>
    </w:p>
    <w:p w:rsidR="002D20DB" w:rsidRPr="00C47725" w:rsidRDefault="002D20DB" w:rsidP="002D20DB">
      <w:pPr>
        <w:tabs>
          <w:tab w:val="left" w:pos="1134"/>
        </w:tabs>
        <w:ind w:left="1134" w:hanging="567"/>
        <w:rPr>
          <w:rFonts w:cs="Arial"/>
          <w:lang w:val="de-DE"/>
        </w:rPr>
      </w:pPr>
      <w:r w:rsidRPr="00C47725">
        <w:rPr>
          <w:rFonts w:cs="Arial"/>
          <w:lang w:val="de-DE"/>
        </w:rPr>
        <w:t>4.</w:t>
      </w:r>
      <w:r w:rsidRPr="00C47725">
        <w:rPr>
          <w:rFonts w:cs="Arial"/>
          <w:lang w:val="de-DE"/>
        </w:rPr>
        <w:tab/>
        <w:t>Kurzreferate über neue Entwicklungen bei biochemischen und molekularen Verfahren durch DUS-Sachverständige, Biochemie- und Molekularfachleute, Pflanzenzüchter und einschlägige internationale Organisationen (mündlicher Bericht der Teilnehmer)</w:t>
      </w:r>
    </w:p>
    <w:p w:rsidR="002D20DB" w:rsidRPr="00C47725" w:rsidRDefault="002D20DB" w:rsidP="002D20DB">
      <w:pPr>
        <w:tabs>
          <w:tab w:val="left" w:pos="1134"/>
        </w:tabs>
        <w:ind w:left="1134" w:hanging="567"/>
        <w:rPr>
          <w:rFonts w:cs="Arial"/>
          <w:lang w:val="de-DE"/>
        </w:rPr>
      </w:pPr>
      <w:r w:rsidRPr="00C47725">
        <w:rPr>
          <w:rFonts w:cs="Arial"/>
          <w:lang w:val="de-DE"/>
        </w:rPr>
        <w:t>5.</w:t>
      </w:r>
      <w:r w:rsidRPr="00C47725">
        <w:rPr>
          <w:rFonts w:cs="Arial"/>
          <w:lang w:val="de-DE"/>
        </w:rPr>
        <w:tab/>
        <w:t>Bericht über die Arbeiten an molekularen Verfahren im Zusammenhang mit der DUS-Prüfung (Beiträge erbeten)</w:t>
      </w:r>
    </w:p>
    <w:p w:rsidR="002D20DB" w:rsidRPr="00C47725" w:rsidRDefault="002D20DB" w:rsidP="002D20DB">
      <w:pPr>
        <w:tabs>
          <w:tab w:val="left" w:pos="1134"/>
        </w:tabs>
        <w:ind w:left="1134" w:hanging="567"/>
        <w:rPr>
          <w:rFonts w:cs="Arial"/>
          <w:lang w:val="de-DE"/>
        </w:rPr>
      </w:pPr>
      <w:r w:rsidRPr="00C47725">
        <w:rPr>
          <w:rFonts w:cs="Arial"/>
          <w:lang w:val="de-DE"/>
        </w:rPr>
        <w:t>6.</w:t>
      </w:r>
      <w:r w:rsidRPr="00C47725">
        <w:rPr>
          <w:rFonts w:cs="Arial"/>
          <w:lang w:val="de-DE"/>
        </w:rPr>
        <w:tab/>
        <w:t xml:space="preserve">Zusammenarbeit zwischen internationalen Organisationen (vom Verbandsbüro zu erstellendes Dokument) </w:t>
      </w:r>
    </w:p>
    <w:p w:rsidR="002D20DB" w:rsidRPr="00C47725" w:rsidRDefault="002D20DB" w:rsidP="002D20DB">
      <w:pPr>
        <w:tabs>
          <w:tab w:val="left" w:pos="1134"/>
        </w:tabs>
        <w:ind w:left="1134" w:hanging="567"/>
        <w:rPr>
          <w:rFonts w:cs="Arial"/>
          <w:lang w:val="de-DE"/>
        </w:rPr>
      </w:pPr>
      <w:r w:rsidRPr="00C47725">
        <w:rPr>
          <w:rFonts w:cs="Arial"/>
          <w:lang w:val="de-DE"/>
        </w:rPr>
        <w:t>7.</w:t>
      </w:r>
      <w:r w:rsidRPr="00C47725">
        <w:rPr>
          <w:rFonts w:cs="Arial"/>
          <w:lang w:val="de-DE"/>
        </w:rPr>
        <w:tab/>
        <w:t>Datenbanken mit Sortenbeschreibungen einschließlich Datenbanken mit molekularen Daten (Beiträge erbeten)</w:t>
      </w:r>
    </w:p>
    <w:p w:rsidR="002D20DB" w:rsidRPr="00C47725" w:rsidRDefault="002D20DB" w:rsidP="002D20DB">
      <w:pPr>
        <w:tabs>
          <w:tab w:val="left" w:pos="1134"/>
        </w:tabs>
        <w:ind w:left="1134" w:hanging="567"/>
        <w:rPr>
          <w:rFonts w:cs="Arial"/>
          <w:lang w:val="de-DE"/>
        </w:rPr>
      </w:pPr>
      <w:r w:rsidRPr="00C47725">
        <w:rPr>
          <w:rFonts w:cs="Arial"/>
          <w:lang w:val="de-DE"/>
        </w:rPr>
        <w:t>8.</w:t>
      </w:r>
      <w:r w:rsidRPr="00C47725">
        <w:rPr>
          <w:rFonts w:cs="Arial"/>
          <w:lang w:val="de-DE"/>
        </w:rPr>
        <w:tab/>
        <w:t>Verfahren für die Analyse molekularer Daten, Verwaltung von Datenbanken und Austausch von Daten und Material (Beiträge erbeten)</w:t>
      </w:r>
    </w:p>
    <w:p w:rsidR="002D20DB" w:rsidRPr="00C47725" w:rsidRDefault="002D20DB" w:rsidP="002D20DB">
      <w:pPr>
        <w:tabs>
          <w:tab w:val="left" w:pos="1134"/>
        </w:tabs>
        <w:ind w:left="1134" w:hanging="567"/>
        <w:rPr>
          <w:rFonts w:cs="Arial"/>
          <w:lang w:val="de-DE"/>
        </w:rPr>
      </w:pPr>
      <w:r w:rsidRPr="00C47725">
        <w:rPr>
          <w:rFonts w:cs="Arial"/>
          <w:lang w:val="de-DE"/>
        </w:rPr>
        <w:t>9.</w:t>
      </w:r>
      <w:r w:rsidRPr="00C47725">
        <w:rPr>
          <w:rFonts w:cs="Arial"/>
          <w:lang w:val="de-DE"/>
        </w:rPr>
        <w:tab/>
      </w:r>
      <w:bookmarkStart w:id="12" w:name="_Ref498061157"/>
      <w:r w:rsidRPr="00C47725">
        <w:rPr>
          <w:rFonts w:cs="Arial"/>
          <w:lang w:val="de-DE"/>
        </w:rPr>
        <w:t>Verwendung molekularer Verfahren bei der Prüfung der wesentlichen Ableitung</w:t>
      </w:r>
      <w:r w:rsidRPr="00C47725">
        <w:rPr>
          <w:rFonts w:cs="Arial"/>
          <w:vertAlign w:val="superscript"/>
          <w:lang w:val="de-DE"/>
        </w:rPr>
        <w:footnoteReference w:id="1"/>
      </w:r>
      <w:bookmarkEnd w:id="12"/>
      <w:r w:rsidRPr="00C47725">
        <w:rPr>
          <w:rFonts w:cs="Arial"/>
          <w:lang w:val="de-DE"/>
        </w:rPr>
        <w:t xml:space="preserve"> (Beiträge erbeten) </w:t>
      </w:r>
    </w:p>
    <w:p w:rsidR="002D20DB" w:rsidRPr="00C47725" w:rsidRDefault="002D20DB" w:rsidP="002D20DB">
      <w:pPr>
        <w:tabs>
          <w:tab w:val="left" w:pos="1134"/>
        </w:tabs>
        <w:ind w:left="1134" w:hanging="567"/>
        <w:rPr>
          <w:rFonts w:cs="Arial"/>
          <w:lang w:val="de-DE"/>
        </w:rPr>
      </w:pPr>
      <w:r w:rsidRPr="00C47725">
        <w:rPr>
          <w:rFonts w:cs="Arial"/>
          <w:lang w:val="de-DE"/>
        </w:rPr>
        <w:t>10.</w:t>
      </w:r>
      <w:r w:rsidRPr="00C47725">
        <w:rPr>
          <w:rFonts w:cs="Arial"/>
          <w:lang w:val="de-DE"/>
        </w:rPr>
        <w:tab/>
        <w:t>Verwendung molekularer Verfahren bei der Sortenidentifizierung</w:t>
      </w:r>
      <w:r w:rsidRPr="00C47725">
        <w:rPr>
          <w:rFonts w:cs="Arial"/>
          <w:vertAlign w:val="superscript"/>
          <w:lang w:val="de-DE"/>
        </w:rPr>
        <w:t>1</w:t>
      </w:r>
      <w:r w:rsidRPr="00C47725">
        <w:rPr>
          <w:rFonts w:cs="Arial"/>
          <w:lang w:val="de-DE"/>
        </w:rPr>
        <w:t xml:space="preserve"> (Beiträge erbeten)</w:t>
      </w:r>
    </w:p>
    <w:p w:rsidR="002D20DB" w:rsidRPr="00C47725" w:rsidRDefault="002D20DB" w:rsidP="002D20DB">
      <w:pPr>
        <w:tabs>
          <w:tab w:val="left" w:pos="1134"/>
        </w:tabs>
        <w:ind w:left="1134" w:hanging="567"/>
        <w:rPr>
          <w:rFonts w:cs="Arial"/>
          <w:lang w:val="de-DE"/>
        </w:rPr>
      </w:pPr>
      <w:r w:rsidRPr="00C47725">
        <w:rPr>
          <w:rFonts w:cs="Arial"/>
          <w:lang w:val="de-DE"/>
        </w:rPr>
        <w:t>11.</w:t>
      </w:r>
      <w:r w:rsidRPr="00C47725">
        <w:rPr>
          <w:rFonts w:cs="Arial"/>
          <w:lang w:val="de-DE"/>
        </w:rPr>
        <w:tab/>
        <w:t>Vertraulichkeit, Eigentum und Zugang zu molekularen Daten</w:t>
      </w:r>
      <w:r w:rsidRPr="00C47725">
        <w:rPr>
          <w:rFonts w:cs="Arial"/>
          <w:vertAlign w:val="superscript"/>
          <w:lang w:val="de-DE"/>
        </w:rPr>
        <w:t>1</w:t>
      </w:r>
      <w:r w:rsidRPr="00C47725">
        <w:rPr>
          <w:rFonts w:cs="Arial"/>
          <w:lang w:val="de-DE"/>
        </w:rPr>
        <w:t xml:space="preserve"> (Beiträge erbeten)</w:t>
      </w:r>
    </w:p>
    <w:p w:rsidR="002D20DB" w:rsidRPr="00C47725" w:rsidRDefault="002D20DB" w:rsidP="002D20DB">
      <w:pPr>
        <w:tabs>
          <w:tab w:val="left" w:pos="1134"/>
        </w:tabs>
        <w:ind w:left="1134" w:hanging="567"/>
        <w:rPr>
          <w:rFonts w:cs="Arial"/>
          <w:lang w:val="de-DE"/>
        </w:rPr>
      </w:pPr>
      <w:r w:rsidRPr="00C47725">
        <w:rPr>
          <w:rFonts w:cs="Arial"/>
          <w:lang w:val="de-DE"/>
        </w:rPr>
        <w:t>12.</w:t>
      </w:r>
      <w:r w:rsidRPr="00C47725">
        <w:rPr>
          <w:rFonts w:cs="Arial"/>
          <w:lang w:val="de-DE"/>
        </w:rPr>
        <w:tab/>
        <w:t>Überprüfung von Dokument UPOV/INF/17</w:t>
      </w:r>
      <w:r>
        <w:rPr>
          <w:rFonts w:cs="Arial"/>
          <w:lang w:val="de-DE"/>
        </w:rPr>
        <w:t xml:space="preserve"> „</w:t>
      </w:r>
      <w:r w:rsidRPr="00C47725">
        <w:rPr>
          <w:rFonts w:cs="Arial"/>
          <w:lang w:val="de-DE"/>
        </w:rPr>
        <w:t>Richtlinien für die DNS-Profilierung: Auswahl molekularer Marker und Aufbau von Datenbanken</w:t>
      </w:r>
      <w:r>
        <w:rPr>
          <w:rFonts w:cs="Arial"/>
          <w:lang w:val="de-DE"/>
        </w:rPr>
        <w:t>“</w:t>
      </w:r>
      <w:r w:rsidRPr="00C47725">
        <w:rPr>
          <w:rFonts w:cs="Arial"/>
          <w:lang w:val="de-DE"/>
        </w:rPr>
        <w:t xml:space="preserve"> </w:t>
      </w:r>
    </w:p>
    <w:p w:rsidR="002D20DB" w:rsidRPr="00C47725" w:rsidRDefault="002D20DB" w:rsidP="002D20DB">
      <w:pPr>
        <w:tabs>
          <w:tab w:val="left" w:pos="1134"/>
        </w:tabs>
        <w:ind w:left="1134" w:hanging="567"/>
        <w:rPr>
          <w:rFonts w:cs="Arial"/>
          <w:lang w:val="de-DE"/>
        </w:rPr>
      </w:pPr>
      <w:r w:rsidRPr="00C47725">
        <w:rPr>
          <w:rFonts w:cs="Arial"/>
          <w:lang w:val="de-DE"/>
        </w:rPr>
        <w:t>13.</w:t>
      </w:r>
      <w:r w:rsidRPr="00C47725">
        <w:rPr>
          <w:rFonts w:cs="Arial"/>
          <w:lang w:val="de-DE"/>
        </w:rPr>
        <w:tab/>
        <w:t xml:space="preserve">Sitzung zur Erleichterung der Zusammenarbeit </w:t>
      </w:r>
    </w:p>
    <w:p w:rsidR="002D20DB" w:rsidRPr="00C47725" w:rsidRDefault="002D20DB" w:rsidP="002D20DB">
      <w:pPr>
        <w:tabs>
          <w:tab w:val="left" w:pos="1134"/>
        </w:tabs>
        <w:ind w:left="1134" w:hanging="567"/>
        <w:rPr>
          <w:rFonts w:cs="Arial"/>
          <w:lang w:val="de-DE"/>
        </w:rPr>
      </w:pPr>
      <w:r w:rsidRPr="00C47725">
        <w:rPr>
          <w:rFonts w:cs="Arial"/>
          <w:lang w:val="de-DE"/>
        </w:rPr>
        <w:t>14.</w:t>
      </w:r>
      <w:r w:rsidRPr="00C47725">
        <w:rPr>
          <w:rFonts w:cs="Arial"/>
          <w:lang w:val="de-DE"/>
        </w:rPr>
        <w:tab/>
        <w:t>Datum und Ort der nächsten Tagung</w:t>
      </w:r>
    </w:p>
    <w:p w:rsidR="002D20DB" w:rsidRPr="00C47725" w:rsidRDefault="002D20DB" w:rsidP="002D20DB">
      <w:pPr>
        <w:tabs>
          <w:tab w:val="left" w:pos="1134"/>
        </w:tabs>
        <w:ind w:left="1134" w:hanging="567"/>
        <w:rPr>
          <w:rFonts w:cs="Arial"/>
          <w:lang w:val="de-DE"/>
        </w:rPr>
      </w:pPr>
      <w:r w:rsidRPr="00C47725">
        <w:rPr>
          <w:rFonts w:cs="Arial"/>
          <w:lang w:val="de-DE"/>
        </w:rPr>
        <w:t>15.</w:t>
      </w:r>
      <w:r w:rsidRPr="00C47725">
        <w:rPr>
          <w:rFonts w:cs="Arial"/>
          <w:lang w:val="de-DE"/>
        </w:rPr>
        <w:tab/>
        <w:t>Künftiges Programm</w:t>
      </w:r>
    </w:p>
    <w:p w:rsidR="002D20DB" w:rsidRPr="00C47725" w:rsidRDefault="002D20DB" w:rsidP="002D20DB">
      <w:pPr>
        <w:tabs>
          <w:tab w:val="left" w:pos="1134"/>
        </w:tabs>
        <w:ind w:left="1134" w:hanging="567"/>
        <w:rPr>
          <w:rFonts w:cs="Arial"/>
          <w:lang w:val="de-DE"/>
        </w:rPr>
      </w:pPr>
      <w:r w:rsidRPr="00C47725">
        <w:rPr>
          <w:rFonts w:cs="Arial"/>
          <w:lang w:val="de-DE"/>
        </w:rPr>
        <w:t>16.</w:t>
      </w:r>
      <w:r w:rsidRPr="00C47725">
        <w:rPr>
          <w:rFonts w:cs="Arial"/>
          <w:lang w:val="de-DE"/>
        </w:rPr>
        <w:tab/>
        <w:t>Bericht über die Tagung (wenn zeitlich möglich)</w:t>
      </w:r>
    </w:p>
    <w:p w:rsidR="002D20DB" w:rsidRPr="00C47725" w:rsidRDefault="002D20DB" w:rsidP="002D20DB">
      <w:pPr>
        <w:tabs>
          <w:tab w:val="left" w:pos="1134"/>
        </w:tabs>
        <w:ind w:left="1134" w:hanging="567"/>
        <w:rPr>
          <w:rFonts w:cs="Arial"/>
          <w:lang w:val="de-DE"/>
        </w:rPr>
      </w:pPr>
      <w:r w:rsidRPr="00C47725">
        <w:rPr>
          <w:rFonts w:cs="Arial"/>
          <w:lang w:val="de-DE"/>
        </w:rPr>
        <w:t>17.</w:t>
      </w:r>
      <w:r w:rsidRPr="00C47725">
        <w:rPr>
          <w:rFonts w:cs="Arial"/>
          <w:lang w:val="de-DE"/>
        </w:rPr>
        <w:tab/>
        <w:t>Schließung der Tagung</w:t>
      </w:r>
    </w:p>
    <w:p w:rsidR="002D20DB" w:rsidRPr="00C47725" w:rsidRDefault="002D20DB" w:rsidP="002D20DB">
      <w:pPr>
        <w:rPr>
          <w:rFonts w:cs="Arial"/>
          <w:lang w:val="de-DE"/>
        </w:rPr>
      </w:pPr>
    </w:p>
    <w:p w:rsidR="002D20DB" w:rsidRPr="00C47725" w:rsidRDefault="002D20DB" w:rsidP="002D20DB">
      <w:pPr>
        <w:rPr>
          <w:lang w:val="de-DE"/>
        </w:rPr>
      </w:pPr>
    </w:p>
    <w:p w:rsidR="002D20DB" w:rsidRPr="00C47725" w:rsidRDefault="002D20DB" w:rsidP="002D20DB">
      <w:pPr>
        <w:pStyle w:val="Heading2"/>
        <w:keepLines/>
        <w:rPr>
          <w:lang w:val="de-DE"/>
        </w:rPr>
      </w:pPr>
      <w:r w:rsidRPr="00C47725">
        <w:rPr>
          <w:lang w:val="de-DE"/>
        </w:rPr>
        <w:t>Arbeitsprogramm für die TWP und BMT im Jahr 2020</w:t>
      </w:r>
    </w:p>
    <w:p w:rsidR="002D20DB" w:rsidRPr="00C47725" w:rsidRDefault="002D20DB" w:rsidP="002D20DB">
      <w:pPr>
        <w:keepNext/>
        <w:keepLines/>
        <w:rPr>
          <w:lang w:val="de-DE"/>
        </w:rPr>
      </w:pPr>
    </w:p>
    <w:p w:rsidR="002D20DB" w:rsidRPr="00C47725" w:rsidRDefault="002D20DB" w:rsidP="002D20DB">
      <w:pPr>
        <w:keepNext/>
        <w:keepLines/>
        <w:rPr>
          <w:lang w:val="de-DE"/>
        </w:rPr>
      </w:pPr>
      <w:r w:rsidRPr="00E24E43">
        <w:rPr>
          <w:lang w:val="de-DE"/>
        </w:rPr>
        <w:fldChar w:fldCharType="begin"/>
      </w:r>
      <w:r w:rsidRPr="00E24E43">
        <w:rPr>
          <w:lang w:val="de-DE"/>
        </w:rPr>
        <w:instrText xml:space="preserve"> AUTONUM  </w:instrText>
      </w:r>
      <w:r w:rsidRPr="00E24E43">
        <w:rPr>
          <w:lang w:val="de-DE"/>
        </w:rPr>
        <w:fldChar w:fldCharType="end"/>
      </w:r>
      <w:r w:rsidRPr="00C47725">
        <w:rPr>
          <w:lang w:val="de-DE"/>
        </w:rPr>
        <w:tab/>
        <w:t>Der TC billigte das Arbeitsprogramm für die Tagungen der TWP und BMT im Jahr 2020, wie in den jeweiligen Sitzungsberichten und Bericht</w:t>
      </w:r>
      <w:r>
        <w:rPr>
          <w:lang w:val="de-DE"/>
        </w:rPr>
        <w:t>en</w:t>
      </w:r>
      <w:r w:rsidRPr="00C47725">
        <w:rPr>
          <w:lang w:val="de-DE"/>
        </w:rPr>
        <w:t xml:space="preserve"> der Vorsitzenden dargelegt. Der TC vereinbarte, dass die Arbeitsprogramme dem Rat auf seiner Tagung am 1. November 2019 zur Annahme vorgeschlagen werden sollten.</w:t>
      </w:r>
    </w:p>
    <w:p w:rsidR="002D20DB" w:rsidRPr="00C47725" w:rsidRDefault="002D20DB" w:rsidP="002D20DB">
      <w:pPr>
        <w:rPr>
          <w:lang w:val="de-DE"/>
        </w:rPr>
      </w:pPr>
    </w:p>
    <w:p w:rsidR="002D20DB" w:rsidRPr="00C47725" w:rsidRDefault="002D20DB" w:rsidP="002D20DB">
      <w:pPr>
        <w:pStyle w:val="Heading3"/>
      </w:pPr>
      <w:r>
        <w:t>Organisation der Arbeit</w:t>
      </w:r>
      <w:r w:rsidRPr="00C47725">
        <w:t xml:space="preserve"> der TWC und BMT</w:t>
      </w:r>
    </w:p>
    <w:p w:rsidR="002D20DB" w:rsidRPr="00C47725" w:rsidRDefault="002D20DB" w:rsidP="002D20DB">
      <w:pPr>
        <w:rPr>
          <w:lang w:val="de-DE"/>
        </w:rPr>
      </w:pPr>
    </w:p>
    <w:p w:rsidR="002D20DB" w:rsidRPr="00C47725" w:rsidRDefault="002D20DB" w:rsidP="002D20DB">
      <w:pPr>
        <w:rPr>
          <w:lang w:val="de-DE"/>
        </w:rPr>
      </w:pPr>
      <w:r w:rsidRPr="00E24E43">
        <w:rPr>
          <w:lang w:val="de-DE"/>
        </w:rPr>
        <w:fldChar w:fldCharType="begin"/>
      </w:r>
      <w:r w:rsidRPr="00E24E43">
        <w:rPr>
          <w:lang w:val="de-DE"/>
        </w:rPr>
        <w:instrText xml:space="preserve"> AUTONUM  </w:instrText>
      </w:r>
      <w:r w:rsidRPr="00E24E43">
        <w:rPr>
          <w:lang w:val="de-DE"/>
        </w:rPr>
        <w:fldChar w:fldCharType="end"/>
      </w:r>
      <w:r w:rsidRPr="00C47725">
        <w:rPr>
          <w:lang w:val="de-DE"/>
        </w:rPr>
        <w:tab/>
        <w:t xml:space="preserve">Der TC prüfte die Ergebnisse der Organisation der Tagungen von TWC und BMT in der gleichen Woche. </w:t>
      </w:r>
    </w:p>
    <w:p w:rsidR="002D20DB" w:rsidRPr="00C47725" w:rsidRDefault="002D20DB" w:rsidP="002D20DB">
      <w:pPr>
        <w:rPr>
          <w:rFonts w:cs="Arial"/>
          <w:lang w:val="de-DE"/>
        </w:rPr>
      </w:pPr>
    </w:p>
    <w:p w:rsidR="002D20DB" w:rsidRPr="00C47725" w:rsidRDefault="002D20DB" w:rsidP="002D20DB">
      <w:pPr>
        <w:rPr>
          <w:lang w:val="de-DE"/>
        </w:rPr>
      </w:pPr>
      <w:r w:rsidRPr="00E24E43">
        <w:rPr>
          <w:lang w:val="de-DE"/>
        </w:rPr>
        <w:fldChar w:fldCharType="begin"/>
      </w:r>
      <w:r w:rsidRPr="00E24E43">
        <w:rPr>
          <w:lang w:val="de-DE"/>
        </w:rPr>
        <w:instrText xml:space="preserve"> AUTONUM  </w:instrText>
      </w:r>
      <w:r w:rsidRPr="00E24E43">
        <w:rPr>
          <w:lang w:val="de-DE"/>
        </w:rPr>
        <w:fldChar w:fldCharType="end"/>
      </w:r>
      <w:r w:rsidRPr="00C47725">
        <w:rPr>
          <w:lang w:val="de-DE"/>
        </w:rPr>
        <w:tab/>
      </w:r>
      <w:bookmarkStart w:id="13" w:name="_Hlk25011099"/>
      <w:r w:rsidRPr="00C47725">
        <w:rPr>
          <w:rFonts w:cs="Arial"/>
          <w:lang w:val="de-DE"/>
        </w:rPr>
        <w:t>Der TC nahm die Berichte der TWC und der BMT über die Verdopplung von Inhalten zur Kenntnis, die auf den Sitzungen sowohl der TWC als auch BMT vorgelegt w</w:t>
      </w:r>
      <w:r>
        <w:rPr>
          <w:rFonts w:cs="Arial"/>
          <w:lang w:val="de-DE"/>
        </w:rPr>
        <w:t>ü</w:t>
      </w:r>
      <w:r w:rsidRPr="00C47725">
        <w:rPr>
          <w:rFonts w:cs="Arial"/>
          <w:lang w:val="de-DE"/>
        </w:rPr>
        <w:t xml:space="preserve">rden, und dass </w:t>
      </w:r>
      <w:r>
        <w:rPr>
          <w:rFonts w:cs="Arial"/>
          <w:lang w:val="de-DE"/>
        </w:rPr>
        <w:t>die</w:t>
      </w:r>
      <w:r w:rsidRPr="00C47725">
        <w:rPr>
          <w:rFonts w:cs="Arial"/>
          <w:lang w:val="de-DE"/>
        </w:rPr>
        <w:t xml:space="preserve"> TWC und BMT vereinbart hatten, dass es eine</w:t>
      </w:r>
      <w:r>
        <w:rPr>
          <w:rFonts w:cs="Arial"/>
          <w:lang w:val="de-DE"/>
        </w:rPr>
        <w:t>n</w:t>
      </w:r>
      <w:r w:rsidRPr="00C47725">
        <w:rPr>
          <w:rFonts w:cs="Arial"/>
          <w:lang w:val="de-DE"/>
        </w:rPr>
        <w:t xml:space="preserve"> einzige</w:t>
      </w:r>
      <w:r>
        <w:rPr>
          <w:rFonts w:cs="Arial"/>
          <w:lang w:val="de-DE"/>
        </w:rPr>
        <w:t>n</w:t>
      </w:r>
      <w:r w:rsidRPr="00C47725">
        <w:rPr>
          <w:rFonts w:cs="Arial"/>
          <w:lang w:val="de-DE"/>
        </w:rPr>
        <w:t xml:space="preserve"> Eröffnung</w:t>
      </w:r>
      <w:r>
        <w:rPr>
          <w:rFonts w:cs="Arial"/>
          <w:lang w:val="de-DE"/>
        </w:rPr>
        <w:t>s-</w:t>
      </w:r>
      <w:r w:rsidRPr="00C47725">
        <w:rPr>
          <w:rFonts w:cs="Arial"/>
          <w:lang w:val="de-DE"/>
        </w:rPr>
        <w:t xml:space="preserve"> und </w:t>
      </w:r>
      <w:r>
        <w:rPr>
          <w:rFonts w:cs="Arial"/>
          <w:lang w:val="de-DE"/>
        </w:rPr>
        <w:t>Einführungsteil</w:t>
      </w:r>
      <w:r w:rsidRPr="00C47725">
        <w:rPr>
          <w:rFonts w:cs="Arial"/>
          <w:lang w:val="de-DE"/>
        </w:rPr>
        <w:t xml:space="preserve"> für beide Sitzungen gleichzeitig geben sollte. Er nahm ferner</w:t>
      </w:r>
      <w:r>
        <w:rPr>
          <w:rFonts w:cs="Arial"/>
          <w:lang w:val="de-DE"/>
        </w:rPr>
        <w:t xml:space="preserve"> die Herausforderung für den</w:t>
      </w:r>
      <w:r w:rsidRPr="00C47725">
        <w:rPr>
          <w:rFonts w:cs="Arial"/>
          <w:lang w:val="de-DE"/>
        </w:rPr>
        <w:t xml:space="preserve"> Gastgeber der gemeinsamen Sitzungen</w:t>
      </w:r>
      <w:r>
        <w:rPr>
          <w:rFonts w:cs="Arial"/>
          <w:lang w:val="de-DE"/>
        </w:rPr>
        <w:t xml:space="preserve"> </w:t>
      </w:r>
      <w:r w:rsidRPr="00C47725">
        <w:rPr>
          <w:rFonts w:cs="Arial"/>
          <w:lang w:val="de-DE"/>
        </w:rPr>
        <w:t>zur Kenntnis, zwei Eröffnungsfeiern und zwei Empfänge abzuhalten.</w:t>
      </w:r>
    </w:p>
    <w:bookmarkEnd w:id="13"/>
    <w:p w:rsidR="002D20DB" w:rsidRPr="00C47725" w:rsidRDefault="002D20DB" w:rsidP="002D20DB">
      <w:pPr>
        <w:rPr>
          <w:rFonts w:cs="Arial"/>
          <w:lang w:val="de-DE"/>
        </w:rPr>
      </w:pPr>
    </w:p>
    <w:p w:rsidR="002D20DB" w:rsidRPr="00C47725" w:rsidRDefault="002D20DB" w:rsidP="002D20DB">
      <w:pPr>
        <w:rPr>
          <w:rFonts w:cs="Arial"/>
          <w:lang w:val="de-DE"/>
        </w:rPr>
      </w:pPr>
      <w:r w:rsidRPr="00511EC9">
        <w:rPr>
          <w:rFonts w:cs="Arial"/>
          <w:lang w:val="de-DE"/>
        </w:rPr>
        <w:fldChar w:fldCharType="begin"/>
      </w:r>
      <w:r w:rsidRPr="00511EC9">
        <w:rPr>
          <w:rFonts w:cs="Arial"/>
          <w:lang w:val="de-DE"/>
        </w:rPr>
        <w:instrText xml:space="preserve"> AUTONUM  </w:instrText>
      </w:r>
      <w:r w:rsidRPr="00511EC9">
        <w:rPr>
          <w:rFonts w:cs="Arial"/>
          <w:lang w:val="de-DE"/>
        </w:rPr>
        <w:fldChar w:fldCharType="end"/>
      </w:r>
      <w:r w:rsidRPr="00C47725">
        <w:rPr>
          <w:rFonts w:cs="Arial"/>
          <w:lang w:val="de-DE"/>
        </w:rPr>
        <w:tab/>
        <w:t xml:space="preserve">Der TC nahm die Bemerkungen und Vorschläge der TWC und BMT zur Organisation der </w:t>
      </w:r>
      <w:r>
        <w:rPr>
          <w:rFonts w:cs="Arial"/>
          <w:lang w:val="de-DE"/>
        </w:rPr>
        <w:t>Tagungen</w:t>
      </w:r>
      <w:r w:rsidRPr="00C47725">
        <w:rPr>
          <w:rFonts w:cs="Arial"/>
          <w:lang w:val="de-DE"/>
        </w:rPr>
        <w:t xml:space="preserve"> in derselben Woche zur Kenntnis und vereinbarte, das UPOV-Büro zu ersuchen, </w:t>
      </w:r>
      <w:r>
        <w:rPr>
          <w:rFonts w:cs="Arial"/>
          <w:lang w:val="de-DE"/>
        </w:rPr>
        <w:t xml:space="preserve">den </w:t>
      </w:r>
      <w:r w:rsidRPr="00C47725">
        <w:rPr>
          <w:rFonts w:cs="Arial"/>
          <w:lang w:val="de-DE"/>
        </w:rPr>
        <w:t xml:space="preserve">Entwurf einer Aufgabendefinition für ein etwaiges einzelnes Organ zu erstellen, das die Arbeit der TWC und BMT umfasst, damit es von der TWC und BMT geprüft und den anderen TWP auf ihren Tagungen im Jahr 2020 berichtet werden kann. Die etwaige Aufgabendefinition </w:t>
      </w:r>
      <w:r>
        <w:rPr>
          <w:rFonts w:cs="Arial"/>
          <w:lang w:val="de-DE"/>
        </w:rPr>
        <w:t>würde</w:t>
      </w:r>
      <w:r w:rsidRPr="00C47725">
        <w:rPr>
          <w:rFonts w:cs="Arial"/>
          <w:lang w:val="de-DE"/>
        </w:rPr>
        <w:t xml:space="preserve"> dann vom TC in Verbindung mit den Bemerkungen von TWC und BMT auf seiner sechsundfünfzigsten Tagung geprüft werden.</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rPr>
          <w:snapToGrid w:val="0"/>
          <w:lang w:val="de-DE"/>
        </w:rPr>
      </w:pPr>
      <w:r w:rsidRPr="00C47725">
        <w:rPr>
          <w:snapToGrid w:val="0"/>
          <w:lang w:val="de-DE"/>
        </w:rPr>
        <w:t xml:space="preserve">Fragen, die von den technischen Arbeitsgruppen aufgeworfen wurden </w:t>
      </w:r>
    </w:p>
    <w:p w:rsidR="002D20DB" w:rsidRPr="00C47725" w:rsidRDefault="002D20DB" w:rsidP="002D20DB">
      <w:pPr>
        <w:ind w:left="567" w:hanging="567"/>
        <w:jc w:val="left"/>
        <w:rPr>
          <w:rFonts w:cs="Arial"/>
          <w:snapToGrid w:val="0"/>
          <w:lang w:val="de-DE"/>
        </w:rPr>
      </w:pPr>
    </w:p>
    <w:p w:rsidR="002D20DB" w:rsidRPr="00511EC9" w:rsidRDefault="002D20DB" w:rsidP="002D20DB">
      <w:pPr>
        <w:ind w:left="567" w:hanging="567"/>
        <w:jc w:val="left"/>
        <w:rPr>
          <w:rFonts w:cs="Arial"/>
          <w:lang w:val="de-DE"/>
        </w:rPr>
      </w:pPr>
      <w:r w:rsidRPr="00511EC9">
        <w:rPr>
          <w:rFonts w:cs="Arial"/>
          <w:snapToGrid w:val="0"/>
          <w:lang w:val="de-DE"/>
        </w:rPr>
        <w:fldChar w:fldCharType="begin"/>
      </w:r>
      <w:r w:rsidRPr="00511EC9">
        <w:rPr>
          <w:rFonts w:cs="Arial"/>
          <w:snapToGrid w:val="0"/>
          <w:lang w:val="de-DE"/>
        </w:rPr>
        <w:instrText xml:space="preserve"> AUTONUM  </w:instrText>
      </w:r>
      <w:r w:rsidRPr="00511EC9">
        <w:rPr>
          <w:rFonts w:cs="Arial"/>
          <w:snapToGrid w:val="0"/>
          <w:lang w:val="de-DE"/>
        </w:rPr>
        <w:fldChar w:fldCharType="end"/>
      </w:r>
      <w:r w:rsidRPr="00511EC9">
        <w:rPr>
          <w:rFonts w:cs="Arial"/>
          <w:snapToGrid w:val="0"/>
          <w:lang w:val="de-DE"/>
        </w:rPr>
        <w:tab/>
      </w:r>
      <w:r w:rsidRPr="00511EC9">
        <w:rPr>
          <w:rFonts w:cs="Arial"/>
          <w:lang w:val="de-DE"/>
        </w:rPr>
        <w:t>Der TC prüfte Dokumente TC/55/3 und TC/55/3 Add.</w:t>
      </w:r>
    </w:p>
    <w:p w:rsidR="002D20DB" w:rsidRPr="00511EC9" w:rsidRDefault="002D20DB" w:rsidP="002D20DB">
      <w:pPr>
        <w:ind w:left="567" w:hanging="567"/>
        <w:jc w:val="left"/>
        <w:rPr>
          <w:rFonts w:cs="Arial"/>
          <w:lang w:val="de-DE"/>
        </w:rPr>
      </w:pPr>
    </w:p>
    <w:p w:rsidR="002D20DB" w:rsidRPr="00C47725" w:rsidRDefault="002D20DB" w:rsidP="002D20DB">
      <w:pPr>
        <w:ind w:left="567" w:hanging="567"/>
        <w:jc w:val="left"/>
        <w:rPr>
          <w:lang w:val="de-DE"/>
        </w:rPr>
      </w:pPr>
      <w:r w:rsidRPr="00511EC9">
        <w:rPr>
          <w:lang w:val="de-DE"/>
        </w:rPr>
        <w:fldChar w:fldCharType="begin"/>
      </w:r>
      <w:r w:rsidRPr="00511EC9">
        <w:rPr>
          <w:lang w:val="de-DE"/>
        </w:rPr>
        <w:instrText xml:space="preserve"> AUTONUM  </w:instrText>
      </w:r>
      <w:r w:rsidRPr="00511EC9">
        <w:rPr>
          <w:lang w:val="de-DE"/>
        </w:rPr>
        <w:fldChar w:fldCharType="end"/>
      </w:r>
      <w:r w:rsidRPr="00511EC9">
        <w:rPr>
          <w:lang w:val="de-DE"/>
        </w:rPr>
        <w:tab/>
        <w:t>Der</w:t>
      </w:r>
      <w:r w:rsidRPr="00C47725">
        <w:rPr>
          <w:lang w:val="de-DE"/>
        </w:rPr>
        <w:t xml:space="preserve"> TC nahm die Entwicklungen in den TWP zur Kenntnis betreffend: </w:t>
      </w:r>
    </w:p>
    <w:p w:rsidR="002D20DB" w:rsidRPr="00C47725" w:rsidRDefault="002D20DB" w:rsidP="002D20DB">
      <w:pPr>
        <w:ind w:left="567" w:hanging="567"/>
        <w:jc w:val="left"/>
        <w:rPr>
          <w:lang w:val="de-DE"/>
        </w:rPr>
      </w:pPr>
    </w:p>
    <w:p w:rsidR="002D20DB" w:rsidRPr="00C47725" w:rsidRDefault="002D20DB" w:rsidP="002D20DB">
      <w:pPr>
        <w:ind w:left="1134" w:hanging="567"/>
        <w:jc w:val="left"/>
        <w:rPr>
          <w:lang w:val="de-DE"/>
        </w:rPr>
      </w:pPr>
      <w:r w:rsidRPr="00C47725">
        <w:rPr>
          <w:lang w:val="de-DE"/>
        </w:rPr>
        <w:t>i)</w:t>
      </w:r>
      <w:r w:rsidRPr="00C47725">
        <w:rPr>
          <w:lang w:val="de-DE"/>
        </w:rPr>
        <w:tab/>
        <w:t>Verwendung von Krankheitsresistenzmerkmalen;</w:t>
      </w:r>
    </w:p>
    <w:p w:rsidR="002D20DB" w:rsidRPr="00C47725" w:rsidRDefault="002D20DB" w:rsidP="002D20DB">
      <w:pPr>
        <w:ind w:left="1134" w:hanging="567"/>
        <w:jc w:val="left"/>
        <w:rPr>
          <w:lang w:val="de-DE"/>
        </w:rPr>
      </w:pPr>
      <w:r w:rsidRPr="00C47725">
        <w:rPr>
          <w:lang w:val="de-DE"/>
        </w:rPr>
        <w:t>ii)</w:t>
      </w:r>
      <w:r w:rsidRPr="00C47725">
        <w:rPr>
          <w:lang w:val="de-DE"/>
        </w:rPr>
        <w:tab/>
        <w:t>Zugang zu Pflanzenmaterial zum Zweck der Verwaltu</w:t>
      </w:r>
      <w:r w:rsidR="00CD01F3">
        <w:rPr>
          <w:lang w:val="de-DE"/>
        </w:rPr>
        <w:t>ng von Sortensammlungen und DUS</w:t>
      </w:r>
      <w:r w:rsidR="00CD01F3">
        <w:rPr>
          <w:lang w:val="de-DE"/>
        </w:rPr>
        <w:noBreakHyphen/>
      </w:r>
      <w:r w:rsidRPr="00C47725">
        <w:rPr>
          <w:lang w:val="de-DE"/>
        </w:rPr>
        <w:t>Prüfung;</w:t>
      </w:r>
    </w:p>
    <w:p w:rsidR="002D20DB" w:rsidRPr="00C47725" w:rsidRDefault="002D20DB" w:rsidP="002D20DB">
      <w:pPr>
        <w:ind w:left="1134" w:hanging="567"/>
        <w:jc w:val="left"/>
        <w:rPr>
          <w:lang w:val="de-DE"/>
        </w:rPr>
      </w:pPr>
      <w:r w:rsidRPr="00C47725">
        <w:rPr>
          <w:lang w:val="de-DE"/>
        </w:rPr>
        <w:lastRenderedPageBreak/>
        <w:t>iii)</w:t>
      </w:r>
      <w:r w:rsidRPr="00C47725">
        <w:rPr>
          <w:lang w:val="de-DE"/>
        </w:rPr>
        <w:tab/>
        <w:t>DUS-Prüfung von Mutantensorten bei Apfel;</w:t>
      </w:r>
    </w:p>
    <w:p w:rsidR="002D20DB" w:rsidRPr="00C47725" w:rsidRDefault="002D20DB" w:rsidP="002D20DB">
      <w:pPr>
        <w:ind w:left="1134" w:hanging="567"/>
        <w:jc w:val="left"/>
        <w:rPr>
          <w:lang w:val="de-DE"/>
        </w:rPr>
      </w:pPr>
      <w:r w:rsidRPr="00C47725">
        <w:rPr>
          <w:lang w:val="de-DE"/>
        </w:rPr>
        <w:t>iv)</w:t>
      </w:r>
      <w:r w:rsidRPr="00C47725">
        <w:rPr>
          <w:lang w:val="de-DE"/>
        </w:rPr>
        <w:tab/>
        <w:t>Erfahrungen mit der Begriffsbestimmung von Bäumen, Sträuchern und Reben;</w:t>
      </w:r>
    </w:p>
    <w:p w:rsidR="002D20DB" w:rsidRPr="00C47725" w:rsidRDefault="002D20DB" w:rsidP="002D20DB">
      <w:pPr>
        <w:ind w:left="1134" w:hanging="567"/>
        <w:jc w:val="left"/>
        <w:rPr>
          <w:lang w:val="de-DE"/>
        </w:rPr>
      </w:pPr>
      <w:r w:rsidRPr="00C47725">
        <w:rPr>
          <w:lang w:val="de-DE"/>
        </w:rPr>
        <w:t>v)</w:t>
      </w:r>
      <w:r w:rsidRPr="00C47725">
        <w:rPr>
          <w:lang w:val="de-DE"/>
        </w:rPr>
        <w:tab/>
        <w:t>Begriffsbestimmung von</w:t>
      </w:r>
      <w:r>
        <w:rPr>
          <w:lang w:val="de-DE"/>
        </w:rPr>
        <w:t xml:space="preserve"> „</w:t>
      </w:r>
      <w:r w:rsidRPr="00C47725">
        <w:rPr>
          <w:lang w:val="de-DE"/>
        </w:rPr>
        <w:t>Wach</w:t>
      </w:r>
      <w:r>
        <w:rPr>
          <w:lang w:val="de-DE"/>
        </w:rPr>
        <w:t>s</w:t>
      </w:r>
      <w:r w:rsidRPr="00C47725">
        <w:rPr>
          <w:lang w:val="de-DE"/>
        </w:rPr>
        <w:t>tumsperiode</w:t>
      </w:r>
      <w:r>
        <w:rPr>
          <w:lang w:val="de-DE"/>
        </w:rPr>
        <w:t>“</w:t>
      </w:r>
      <w:r w:rsidRPr="00C47725">
        <w:rPr>
          <w:lang w:val="de-DE"/>
        </w:rPr>
        <w:t xml:space="preserve"> für Zierpflanzen;</w:t>
      </w:r>
    </w:p>
    <w:p w:rsidR="002D20DB" w:rsidRPr="00C47725" w:rsidRDefault="002D20DB" w:rsidP="002D20DB">
      <w:pPr>
        <w:ind w:left="1134" w:hanging="567"/>
        <w:jc w:val="left"/>
        <w:rPr>
          <w:lang w:val="de-DE"/>
        </w:rPr>
      </w:pPr>
      <w:r w:rsidRPr="00C47725">
        <w:rPr>
          <w:lang w:val="de-DE"/>
        </w:rPr>
        <w:t>vi)</w:t>
      </w:r>
      <w:r w:rsidRPr="00C47725">
        <w:rPr>
          <w:lang w:val="de-DE"/>
        </w:rPr>
        <w:tab/>
        <w:t>Erfahrungen mit Merkmalen, die auf der Grundlage von Massenproben geprüft werden;</w:t>
      </w:r>
    </w:p>
    <w:p w:rsidR="002D20DB" w:rsidRPr="00C47725" w:rsidRDefault="002D20DB" w:rsidP="002D20DB">
      <w:pPr>
        <w:ind w:left="1134" w:hanging="567"/>
        <w:jc w:val="left"/>
        <w:rPr>
          <w:lang w:val="de-DE"/>
        </w:rPr>
      </w:pPr>
      <w:r w:rsidRPr="00C47725">
        <w:rPr>
          <w:lang w:val="de-DE"/>
        </w:rPr>
        <w:t>vii)</w:t>
      </w:r>
      <w:r w:rsidRPr="00C47725">
        <w:rPr>
          <w:lang w:val="de-DE"/>
        </w:rPr>
        <w:tab/>
        <w:t>Erfahrung mit der RHS-Farbkarte und etwaige künftige Hinzufügung von Farben;</w:t>
      </w:r>
    </w:p>
    <w:p w:rsidR="002D20DB" w:rsidRPr="00C47725" w:rsidRDefault="002D20DB" w:rsidP="002D20DB">
      <w:pPr>
        <w:ind w:left="1134" w:hanging="567"/>
        <w:jc w:val="left"/>
        <w:rPr>
          <w:lang w:val="de-DE"/>
        </w:rPr>
      </w:pPr>
      <w:r w:rsidRPr="00C47725">
        <w:rPr>
          <w:lang w:val="de-DE"/>
        </w:rPr>
        <w:t>viii)</w:t>
      </w:r>
      <w:r w:rsidRPr="00C47725">
        <w:rPr>
          <w:lang w:val="de-DE"/>
        </w:rPr>
        <w:tab/>
        <w:t>Erfahrungen mit taxonomischen Datenbanken;</w:t>
      </w:r>
    </w:p>
    <w:p w:rsidR="002D20DB" w:rsidRPr="00C47725" w:rsidRDefault="002D20DB" w:rsidP="002D20DB">
      <w:pPr>
        <w:ind w:left="1134" w:hanging="567"/>
        <w:jc w:val="left"/>
        <w:rPr>
          <w:lang w:val="de-DE"/>
        </w:rPr>
      </w:pPr>
      <w:r w:rsidRPr="00C47725">
        <w:rPr>
          <w:lang w:val="de-DE"/>
        </w:rPr>
        <w:t>ix)</w:t>
      </w:r>
      <w:r w:rsidRPr="00C47725">
        <w:rPr>
          <w:lang w:val="de-DE"/>
        </w:rPr>
        <w:tab/>
        <w:t>Unstimmigkeiten zwischen TQ-Informationen und zur Prüfung eingereichtem Pflanzenmaterial;</w:t>
      </w:r>
    </w:p>
    <w:p w:rsidR="002D20DB" w:rsidRPr="00C47725" w:rsidRDefault="002D20DB" w:rsidP="002D20DB">
      <w:pPr>
        <w:ind w:left="1134" w:hanging="567"/>
        <w:jc w:val="left"/>
        <w:rPr>
          <w:lang w:val="de-DE"/>
        </w:rPr>
      </w:pPr>
      <w:r w:rsidRPr="00C47725">
        <w:rPr>
          <w:lang w:val="de-DE"/>
        </w:rPr>
        <w:t>x)</w:t>
      </w:r>
      <w:r w:rsidRPr="00C47725">
        <w:rPr>
          <w:lang w:val="de-DE"/>
        </w:rPr>
        <w:tab/>
        <w:t>Erfahrungen mit neuen Typ</w:t>
      </w:r>
      <w:r>
        <w:rPr>
          <w:lang w:val="de-DE"/>
        </w:rPr>
        <w:t>e</w:t>
      </w:r>
      <w:r w:rsidRPr="00C47725">
        <w:rPr>
          <w:lang w:val="de-DE"/>
        </w:rPr>
        <w:t>n und Arten;</w:t>
      </w:r>
    </w:p>
    <w:p w:rsidR="002D20DB" w:rsidRPr="00C47725" w:rsidRDefault="002D20DB" w:rsidP="002D20DB">
      <w:pPr>
        <w:ind w:left="1134" w:hanging="567"/>
        <w:jc w:val="left"/>
        <w:rPr>
          <w:lang w:val="de-DE"/>
        </w:rPr>
      </w:pPr>
      <w:r w:rsidRPr="00C47725">
        <w:rPr>
          <w:lang w:val="de-DE"/>
        </w:rPr>
        <w:t>xi)</w:t>
      </w:r>
      <w:r w:rsidRPr="00C47725">
        <w:rPr>
          <w:lang w:val="de-DE"/>
        </w:rPr>
        <w:tab/>
        <w:t xml:space="preserve">Neue Fragen, die sich für die DUS-Prüfung ergeben; </w:t>
      </w:r>
    </w:p>
    <w:p w:rsidR="002D20DB" w:rsidRPr="00C47725" w:rsidRDefault="002D20DB" w:rsidP="002D20DB">
      <w:pPr>
        <w:ind w:left="1134" w:hanging="567"/>
        <w:jc w:val="left"/>
        <w:rPr>
          <w:lang w:val="de-DE"/>
        </w:rPr>
      </w:pPr>
      <w:r w:rsidRPr="00C47725">
        <w:rPr>
          <w:lang w:val="de-DE"/>
        </w:rPr>
        <w:t>xii)</w:t>
      </w:r>
      <w:r w:rsidRPr="00C47725">
        <w:rPr>
          <w:lang w:val="de-DE"/>
        </w:rPr>
        <w:tab/>
        <w:t xml:space="preserve">Fragen, die bei der DUS-Prüfung für den Obstsektor relevant sind; </w:t>
      </w:r>
    </w:p>
    <w:p w:rsidR="002D20DB" w:rsidRPr="00C47725" w:rsidRDefault="002D20DB" w:rsidP="002D20DB">
      <w:pPr>
        <w:ind w:left="1134" w:hanging="567"/>
        <w:jc w:val="left"/>
        <w:rPr>
          <w:lang w:val="de-DE"/>
        </w:rPr>
      </w:pPr>
      <w:r w:rsidRPr="00C47725">
        <w:rPr>
          <w:lang w:val="de-DE"/>
        </w:rPr>
        <w:t>xiii)</w:t>
      </w:r>
      <w:r w:rsidRPr="00C47725">
        <w:rPr>
          <w:lang w:val="de-DE"/>
        </w:rPr>
        <w:tab/>
        <w:t>Diskussionsgruppen zum Thema</w:t>
      </w:r>
      <w:r>
        <w:rPr>
          <w:lang w:val="de-DE"/>
        </w:rPr>
        <w:t xml:space="preserve"> „</w:t>
      </w:r>
      <w:r w:rsidRPr="00C47725">
        <w:rPr>
          <w:lang w:val="de-DE"/>
        </w:rPr>
        <w:t>Neue Technologie für die DUS-Prüfung</w:t>
      </w:r>
      <w:r>
        <w:rPr>
          <w:lang w:val="de-DE"/>
        </w:rPr>
        <w:t>“</w:t>
      </w:r>
      <w:r w:rsidRPr="00C47725">
        <w:rPr>
          <w:lang w:val="de-DE"/>
        </w:rPr>
        <w:t>;</w:t>
      </w:r>
    </w:p>
    <w:p w:rsidR="002D20DB" w:rsidRPr="00C47725" w:rsidRDefault="002D20DB" w:rsidP="00193D69">
      <w:pPr>
        <w:ind w:left="1134" w:hanging="567"/>
        <w:rPr>
          <w:lang w:val="de-DE"/>
        </w:rPr>
      </w:pPr>
      <w:r w:rsidRPr="00C47725">
        <w:rPr>
          <w:lang w:val="de-DE"/>
        </w:rPr>
        <w:t>xiv)</w:t>
      </w:r>
      <w:r w:rsidRPr="00C47725">
        <w:rPr>
          <w:lang w:val="de-DE"/>
        </w:rPr>
        <w:tab/>
        <w:t>Prüfung der Homogenität anhand von Abweichern;</w:t>
      </w:r>
    </w:p>
    <w:p w:rsidR="002D20DB" w:rsidRPr="00C47725" w:rsidRDefault="002D20DB" w:rsidP="00193D69">
      <w:pPr>
        <w:ind w:left="1134" w:hanging="567"/>
        <w:rPr>
          <w:lang w:val="de-DE"/>
        </w:rPr>
      </w:pPr>
      <w:r w:rsidRPr="00C47725">
        <w:rPr>
          <w:lang w:val="de-DE"/>
        </w:rPr>
        <w:t>xv)</w:t>
      </w:r>
      <w:r w:rsidRPr="00C47725">
        <w:rPr>
          <w:lang w:val="de-DE"/>
        </w:rPr>
        <w:tab/>
        <w:t xml:space="preserve">Erfahrung mit der Verwendung von zwei Standorten </w:t>
      </w:r>
      <w:r>
        <w:rPr>
          <w:lang w:val="de-DE"/>
        </w:rPr>
        <w:t>in</w:t>
      </w:r>
      <w:r w:rsidRPr="00C47725">
        <w:rPr>
          <w:lang w:val="de-DE"/>
        </w:rPr>
        <w:t xml:space="preserve"> ein</w:t>
      </w:r>
      <w:r>
        <w:rPr>
          <w:lang w:val="de-DE"/>
        </w:rPr>
        <w:t>em</w:t>
      </w:r>
      <w:r w:rsidRPr="00C47725">
        <w:rPr>
          <w:lang w:val="de-DE"/>
        </w:rPr>
        <w:t xml:space="preserve"> Jahr für DUS-Entscheidungen;</w:t>
      </w:r>
    </w:p>
    <w:p w:rsidR="002D20DB" w:rsidRPr="00C47725" w:rsidRDefault="002D20DB" w:rsidP="00193D69">
      <w:pPr>
        <w:ind w:left="1134" w:hanging="567"/>
        <w:rPr>
          <w:lang w:val="de-DE"/>
        </w:rPr>
      </w:pPr>
      <w:r w:rsidRPr="00C47725">
        <w:rPr>
          <w:lang w:val="de-DE"/>
        </w:rPr>
        <w:t>xvi)</w:t>
      </w:r>
      <w:r w:rsidRPr="00C47725">
        <w:rPr>
          <w:lang w:val="de-DE"/>
        </w:rPr>
        <w:tab/>
        <w:t>Entwicklung und Innovation von DUS-Prüfungsinstrumente</w:t>
      </w:r>
      <w:r>
        <w:rPr>
          <w:lang w:val="de-DE"/>
        </w:rPr>
        <w:t>n</w:t>
      </w:r>
      <w:r w:rsidRPr="00C47725">
        <w:rPr>
          <w:lang w:val="de-DE"/>
        </w:rPr>
        <w:t>;</w:t>
      </w:r>
    </w:p>
    <w:p w:rsidR="002D20DB" w:rsidRPr="00C47725" w:rsidRDefault="002D20DB" w:rsidP="00193D69">
      <w:pPr>
        <w:ind w:left="1134" w:hanging="567"/>
        <w:rPr>
          <w:lang w:val="de-DE"/>
        </w:rPr>
      </w:pPr>
      <w:r w:rsidRPr="00C47725">
        <w:rPr>
          <w:lang w:val="de-DE"/>
        </w:rPr>
        <w:t>xvii)</w:t>
      </w:r>
      <w:r w:rsidRPr="00C47725">
        <w:rPr>
          <w:lang w:val="de-DE"/>
        </w:rPr>
        <w:tab/>
        <w:t>Von der UPOV bereitgestellte Webdienste;</w:t>
      </w:r>
    </w:p>
    <w:p w:rsidR="002D20DB" w:rsidRPr="00C47725" w:rsidRDefault="002D20DB" w:rsidP="00193D69">
      <w:pPr>
        <w:ind w:left="1134" w:hanging="567"/>
        <w:rPr>
          <w:lang w:val="de-DE"/>
        </w:rPr>
      </w:pPr>
      <w:r w:rsidRPr="00C47725">
        <w:rPr>
          <w:lang w:val="de-DE"/>
        </w:rPr>
        <w:t>xviii)</w:t>
      </w:r>
      <w:r w:rsidRPr="00C47725">
        <w:rPr>
          <w:lang w:val="de-DE"/>
        </w:rPr>
        <w:tab/>
        <w:t xml:space="preserve">Eine Software </w:t>
      </w:r>
      <w:r>
        <w:rPr>
          <w:lang w:val="de-DE"/>
        </w:rPr>
        <w:t>für die</w:t>
      </w:r>
      <w:r w:rsidRPr="00C47725">
        <w:rPr>
          <w:lang w:val="de-DE"/>
        </w:rPr>
        <w:t xml:space="preserve"> statistische Analyse – DUS-Excel; und</w:t>
      </w:r>
    </w:p>
    <w:p w:rsidR="002D20DB" w:rsidRPr="00C47725" w:rsidRDefault="002D20DB" w:rsidP="00193D69">
      <w:pPr>
        <w:ind w:left="1134" w:hanging="567"/>
        <w:rPr>
          <w:lang w:val="de-DE"/>
        </w:rPr>
      </w:pPr>
      <w:r w:rsidRPr="00C47725">
        <w:rPr>
          <w:lang w:val="de-DE"/>
        </w:rPr>
        <w:t>xix)</w:t>
      </w:r>
      <w:r w:rsidRPr="00C47725">
        <w:rPr>
          <w:lang w:val="de-DE"/>
        </w:rPr>
        <w:tab/>
        <w:t xml:space="preserve">Aufbau einer Datenbank mit molekularen Markerinformationen </w:t>
      </w:r>
      <w:r w:rsidR="00193D69">
        <w:rPr>
          <w:lang w:val="de-DE"/>
        </w:rPr>
        <w:t xml:space="preserve">für die Verwaltung von </w:t>
      </w:r>
      <w:r w:rsidRPr="00C47725">
        <w:rPr>
          <w:lang w:val="de-DE"/>
        </w:rPr>
        <w:t>Sortensammlungen</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rPr>
          <w:lang w:val="de-DE"/>
        </w:rPr>
      </w:pPr>
      <w:r w:rsidRPr="00C47725">
        <w:rPr>
          <w:lang w:val="de-DE"/>
        </w:rPr>
        <w:t>TGP-Dokumente</w:t>
      </w:r>
    </w:p>
    <w:p w:rsidR="002D20DB" w:rsidRPr="00C47725" w:rsidRDefault="002D20DB" w:rsidP="002D20DB">
      <w:pPr>
        <w:keepNext/>
        <w:rPr>
          <w:lang w:val="de-DE"/>
        </w:rPr>
      </w:pPr>
    </w:p>
    <w:p w:rsidR="002D20DB" w:rsidRPr="00C47725" w:rsidRDefault="002D20DB" w:rsidP="002D20DB">
      <w:pPr>
        <w:keepNext/>
        <w:rPr>
          <w:lang w:val="de-DE"/>
        </w:rPr>
      </w:pPr>
      <w:r w:rsidRPr="00511EC9">
        <w:rPr>
          <w:lang w:val="de-DE"/>
        </w:rPr>
        <w:fldChar w:fldCharType="begin"/>
      </w:r>
      <w:r w:rsidRPr="00511EC9">
        <w:rPr>
          <w:lang w:val="de-DE"/>
        </w:rPr>
        <w:instrText xml:space="preserve"> AUTONUM  </w:instrText>
      </w:r>
      <w:r w:rsidRPr="00511EC9">
        <w:rPr>
          <w:lang w:val="de-DE"/>
        </w:rPr>
        <w:fldChar w:fldCharType="end"/>
      </w:r>
      <w:r w:rsidRPr="00C47725">
        <w:rPr>
          <w:lang w:val="de-DE"/>
        </w:rPr>
        <w:tab/>
        <w:t xml:space="preserve">Der TC prüfte </w:t>
      </w:r>
      <w:r w:rsidRPr="00C47725">
        <w:rPr>
          <w:rFonts w:cs="Arial"/>
          <w:lang w:val="de-DE"/>
        </w:rPr>
        <w:t>Dokumente TC/55/4 und TC/55/4 Add.</w:t>
      </w:r>
    </w:p>
    <w:p w:rsidR="002D20DB" w:rsidRPr="00C47725" w:rsidRDefault="002D20DB" w:rsidP="002D20DB">
      <w:pPr>
        <w:keepNext/>
        <w:rPr>
          <w:lang w:val="de-DE"/>
        </w:rPr>
      </w:pPr>
    </w:p>
    <w:p w:rsidR="002D20DB" w:rsidRPr="00C47725" w:rsidRDefault="002D20DB" w:rsidP="002D20DB">
      <w:pPr>
        <w:pStyle w:val="Heading3"/>
      </w:pPr>
      <w:bookmarkStart w:id="14" w:name="_Toc21683346"/>
      <w:r w:rsidRPr="00C47725">
        <w:t>Angelegenheiten zur Annahme durch den Rat im Jahr 2019</w:t>
      </w:r>
      <w:bookmarkEnd w:id="14"/>
    </w:p>
    <w:p w:rsidR="002D20DB" w:rsidRPr="00C47725" w:rsidRDefault="002D20DB" w:rsidP="002D20DB">
      <w:pPr>
        <w:keepNext/>
        <w:rPr>
          <w:lang w:val="de-DE"/>
        </w:rPr>
      </w:pPr>
    </w:p>
    <w:p w:rsidR="002D20DB" w:rsidRPr="00C47725" w:rsidRDefault="002D20DB" w:rsidP="002D20DB">
      <w:pPr>
        <w:keepNext/>
        <w:rPr>
          <w:lang w:val="de-DE"/>
        </w:rPr>
      </w:pPr>
      <w:r w:rsidRPr="00511EC9">
        <w:rPr>
          <w:lang w:val="de-DE"/>
        </w:rPr>
        <w:fldChar w:fldCharType="begin"/>
      </w:r>
      <w:r w:rsidRPr="00511EC9">
        <w:rPr>
          <w:lang w:val="de-DE"/>
        </w:rPr>
        <w:instrText xml:space="preserve"> AUTONUM  </w:instrText>
      </w:r>
      <w:r w:rsidRPr="00511EC9">
        <w:rPr>
          <w:lang w:val="de-DE"/>
        </w:rPr>
        <w:fldChar w:fldCharType="end"/>
      </w:r>
      <w:r w:rsidRPr="00C47725">
        <w:rPr>
          <w:lang w:val="de-DE"/>
        </w:rPr>
        <w:tab/>
        <w:t>Der TC nahm die Überarbeitung der folgenden TGP-Dokumente, die dem Rat auf seiner dreiundfünfzigsten ordentlichen Tagung zur Annahme vorgelegt werden sollen, vorbehaltlich der Billigung durch den CAJ auf seiner sechsundsiebzigsten Tagung</w:t>
      </w:r>
      <w:r>
        <w:rPr>
          <w:lang w:val="de-DE"/>
        </w:rPr>
        <w:t xml:space="preserve">, </w:t>
      </w:r>
      <w:r w:rsidRPr="00C47725">
        <w:rPr>
          <w:lang w:val="de-DE"/>
        </w:rPr>
        <w:t>zur Kenntnis:</w:t>
      </w:r>
    </w:p>
    <w:p w:rsidR="002D20DB" w:rsidRPr="00C47725" w:rsidRDefault="002D20DB" w:rsidP="002D20DB">
      <w:pPr>
        <w:keepNext/>
        <w:rPr>
          <w:lang w:val="de-DE"/>
        </w:rPr>
      </w:pPr>
    </w:p>
    <w:p w:rsidR="002D20DB" w:rsidRPr="00C47725" w:rsidRDefault="002D20DB" w:rsidP="002D20DB">
      <w:pPr>
        <w:pStyle w:val="ListParagraph"/>
        <w:numPr>
          <w:ilvl w:val="0"/>
          <w:numId w:val="13"/>
        </w:numPr>
        <w:rPr>
          <w:lang w:val="de-DE"/>
        </w:rPr>
      </w:pPr>
      <w:r w:rsidRPr="00C47725">
        <w:rPr>
          <w:lang w:val="de-DE"/>
        </w:rPr>
        <w:t>Dokument TGP/7</w:t>
      </w:r>
      <w:r>
        <w:rPr>
          <w:lang w:val="de-DE"/>
        </w:rPr>
        <w:t xml:space="preserve"> „</w:t>
      </w:r>
      <w:r w:rsidRPr="00C47725">
        <w:rPr>
          <w:lang w:val="de-DE"/>
        </w:rPr>
        <w:t>Erstellung von Prüfungsrichtlinien</w:t>
      </w:r>
      <w:r>
        <w:rPr>
          <w:lang w:val="de-DE"/>
        </w:rPr>
        <w:t>“</w:t>
      </w:r>
      <w:r w:rsidRPr="00C47725">
        <w:rPr>
          <w:lang w:val="de-DE"/>
        </w:rPr>
        <w:t xml:space="preserve"> (Dokument TGP/7/7), auf der Grundlage von Dokument TGP/7/7 Draft 1 Rev.</w:t>
      </w:r>
    </w:p>
    <w:p w:rsidR="002D20DB" w:rsidRPr="00C47725" w:rsidRDefault="002D20DB" w:rsidP="002D20DB">
      <w:pPr>
        <w:pStyle w:val="ListParagraph"/>
        <w:rPr>
          <w:lang w:val="de-DE"/>
        </w:rPr>
      </w:pPr>
    </w:p>
    <w:p w:rsidR="002D20DB" w:rsidRPr="00C47725" w:rsidRDefault="002D20DB" w:rsidP="002D20DB">
      <w:pPr>
        <w:pStyle w:val="ListParagraph"/>
        <w:numPr>
          <w:ilvl w:val="0"/>
          <w:numId w:val="13"/>
        </w:numPr>
        <w:rPr>
          <w:lang w:val="de-DE"/>
        </w:rPr>
      </w:pPr>
      <w:r w:rsidRPr="00C47725">
        <w:rPr>
          <w:lang w:val="de-DE"/>
        </w:rPr>
        <w:t>Dokument TGP/8</w:t>
      </w:r>
      <w:r>
        <w:rPr>
          <w:lang w:val="de-DE"/>
        </w:rPr>
        <w:t xml:space="preserve"> „</w:t>
      </w:r>
      <w:r w:rsidRPr="00C47725">
        <w:rPr>
          <w:lang w:val="de-DE"/>
        </w:rPr>
        <w:t xml:space="preserve">Prüfungsanlage und Verfahren für die Prüfung der Unterscheidbarkeit, der Homogenität und der </w:t>
      </w:r>
      <w:r>
        <w:rPr>
          <w:lang w:val="de-DE"/>
        </w:rPr>
        <w:t>B</w:t>
      </w:r>
      <w:r w:rsidRPr="00C47725">
        <w:rPr>
          <w:lang w:val="de-DE"/>
        </w:rPr>
        <w:t>eständigkeit</w:t>
      </w:r>
      <w:r>
        <w:rPr>
          <w:lang w:val="de-DE"/>
        </w:rPr>
        <w:t>“</w:t>
      </w:r>
      <w:r w:rsidRPr="00C47725">
        <w:rPr>
          <w:lang w:val="de-DE"/>
        </w:rPr>
        <w:t xml:space="preserve"> (Dokument TGP/8/3), auf der Grundlage von Dokument TGP/8/4 Draft 1.</w:t>
      </w:r>
    </w:p>
    <w:p w:rsidR="002D20DB" w:rsidRPr="00C47725" w:rsidRDefault="002D20DB" w:rsidP="002D20DB">
      <w:pPr>
        <w:rPr>
          <w:lang w:val="de-DE"/>
        </w:rPr>
      </w:pPr>
    </w:p>
    <w:p w:rsidR="002D20DB" w:rsidRPr="00C47725" w:rsidRDefault="002D20DB" w:rsidP="002D20DB">
      <w:pPr>
        <w:pStyle w:val="ListParagraph"/>
        <w:numPr>
          <w:ilvl w:val="0"/>
          <w:numId w:val="13"/>
        </w:numPr>
        <w:rPr>
          <w:lang w:val="de-DE"/>
        </w:rPr>
      </w:pPr>
      <w:r w:rsidRPr="00C47725">
        <w:rPr>
          <w:lang w:val="de-DE"/>
        </w:rPr>
        <w:t>Dokument TGP/10</w:t>
      </w:r>
      <w:r>
        <w:rPr>
          <w:lang w:val="de-DE"/>
        </w:rPr>
        <w:t xml:space="preserve"> „</w:t>
      </w:r>
      <w:r w:rsidRPr="00C47725">
        <w:rPr>
          <w:lang w:val="de-DE"/>
        </w:rPr>
        <w:t>Prüfung der Homogenität</w:t>
      </w:r>
      <w:r>
        <w:rPr>
          <w:lang w:val="de-DE"/>
        </w:rPr>
        <w:t>“</w:t>
      </w:r>
      <w:r w:rsidRPr="00C47725">
        <w:rPr>
          <w:lang w:val="de-DE"/>
        </w:rPr>
        <w:t xml:space="preserve"> (Dokument TGP/10/1), auf der Grundlage von Dokument TGP/10/2 Draft 1.</w:t>
      </w:r>
    </w:p>
    <w:p w:rsidR="002D20DB" w:rsidRPr="00C47725" w:rsidRDefault="002D20DB" w:rsidP="002D20DB">
      <w:pPr>
        <w:rPr>
          <w:lang w:val="de-DE"/>
        </w:rPr>
      </w:pPr>
    </w:p>
    <w:p w:rsidR="002D20DB" w:rsidRPr="00C47725" w:rsidRDefault="002D20DB" w:rsidP="002D20DB">
      <w:pPr>
        <w:pStyle w:val="ListParagraph"/>
        <w:numPr>
          <w:ilvl w:val="0"/>
          <w:numId w:val="13"/>
        </w:numPr>
        <w:rPr>
          <w:lang w:val="de-DE"/>
        </w:rPr>
      </w:pPr>
      <w:r w:rsidRPr="00C47725">
        <w:rPr>
          <w:lang w:val="de-DE"/>
        </w:rPr>
        <w:t>Dokument TGP/14</w:t>
      </w:r>
      <w:r>
        <w:rPr>
          <w:lang w:val="de-DE"/>
        </w:rPr>
        <w:t xml:space="preserve"> „</w:t>
      </w:r>
      <w:r w:rsidRPr="00C47725">
        <w:rPr>
          <w:lang w:val="de-DE"/>
        </w:rPr>
        <w:t>Glossar der in den UPOV-Dokumenten verwendeten Begriffe</w:t>
      </w:r>
      <w:r>
        <w:rPr>
          <w:lang w:val="de-DE"/>
        </w:rPr>
        <w:t>“</w:t>
      </w:r>
      <w:r w:rsidRPr="00C47725">
        <w:rPr>
          <w:lang w:val="de-DE"/>
        </w:rPr>
        <w:t xml:space="preserve"> (Dokument TGP/14/3), auf der Grundlage von Dokument TGP/14/4 Draft 1.</w:t>
      </w:r>
    </w:p>
    <w:p w:rsidR="002D20DB" w:rsidRPr="00C47725" w:rsidRDefault="002D20DB" w:rsidP="002D20DB">
      <w:pPr>
        <w:rPr>
          <w:lang w:val="de-DE"/>
        </w:rPr>
      </w:pPr>
    </w:p>
    <w:p w:rsidR="002D20DB" w:rsidRPr="00C47725" w:rsidRDefault="002D20DB" w:rsidP="002D20DB">
      <w:pPr>
        <w:pStyle w:val="ListParagraph"/>
        <w:numPr>
          <w:ilvl w:val="0"/>
          <w:numId w:val="13"/>
        </w:numPr>
        <w:rPr>
          <w:lang w:val="de-DE"/>
        </w:rPr>
      </w:pPr>
      <w:r w:rsidRPr="00C47725">
        <w:rPr>
          <w:lang w:val="de-DE"/>
        </w:rPr>
        <w:t>Dokument TGP/15</w:t>
      </w:r>
      <w:r>
        <w:rPr>
          <w:lang w:val="de-DE"/>
        </w:rPr>
        <w:t xml:space="preserve"> „</w:t>
      </w:r>
      <w:r w:rsidRPr="00C47725">
        <w:rPr>
          <w:lang w:val="de-DE"/>
        </w:rPr>
        <w:t xml:space="preserve">Anleitung zur Verwendung </w:t>
      </w:r>
      <w:r>
        <w:rPr>
          <w:lang w:val="de-DE"/>
        </w:rPr>
        <w:t>biochemischer und molekularer Marker</w:t>
      </w:r>
      <w:r w:rsidRPr="00C47725">
        <w:rPr>
          <w:lang w:val="de-DE"/>
        </w:rPr>
        <w:t xml:space="preserve"> bei der Prüfung der Unterscheidbarkeit, der Homogenität und der Beständigkeit (DUS)</w:t>
      </w:r>
      <w:r>
        <w:rPr>
          <w:lang w:val="de-DE"/>
        </w:rPr>
        <w:t>“</w:t>
      </w:r>
      <w:r w:rsidRPr="00C47725">
        <w:rPr>
          <w:lang w:val="de-DE"/>
        </w:rPr>
        <w:t xml:space="preserve"> (Dokument TGP/15/1), auf der Grundlage von Dokument TGP/15/2 Draft 2.</w:t>
      </w:r>
    </w:p>
    <w:p w:rsidR="002D20DB" w:rsidRPr="00C47725" w:rsidRDefault="002D20DB" w:rsidP="002D20DB">
      <w:pPr>
        <w:rPr>
          <w:lang w:val="de-DE"/>
        </w:rPr>
      </w:pPr>
    </w:p>
    <w:p w:rsidR="002D20DB" w:rsidRPr="00C47725" w:rsidRDefault="002D20DB" w:rsidP="002D20DB">
      <w:pPr>
        <w:rPr>
          <w:lang w:val="de-DE"/>
        </w:rPr>
      </w:pPr>
      <w:r w:rsidRPr="00511EC9">
        <w:rPr>
          <w:lang w:val="de-DE"/>
        </w:rPr>
        <w:fldChar w:fldCharType="begin"/>
      </w:r>
      <w:r w:rsidRPr="00511EC9">
        <w:rPr>
          <w:lang w:val="de-DE"/>
        </w:rPr>
        <w:instrText xml:space="preserve"> AUTONUM  </w:instrText>
      </w:r>
      <w:r w:rsidRPr="00511EC9">
        <w:rPr>
          <w:lang w:val="de-DE"/>
        </w:rPr>
        <w:fldChar w:fldCharType="end"/>
      </w:r>
      <w:r w:rsidRPr="00C47725">
        <w:rPr>
          <w:lang w:val="de-DE"/>
        </w:rPr>
        <w:tab/>
        <w:t xml:space="preserve">Der TC nahm zur Kenntnis, dass </w:t>
      </w:r>
      <w:r>
        <w:rPr>
          <w:lang w:val="de-DE"/>
        </w:rPr>
        <w:t xml:space="preserve">der Rat </w:t>
      </w:r>
      <w:r w:rsidRPr="00C47725">
        <w:rPr>
          <w:lang w:val="de-DE"/>
        </w:rPr>
        <w:t xml:space="preserve">in </w:t>
      </w:r>
      <w:r>
        <w:rPr>
          <w:lang w:val="de-DE"/>
        </w:rPr>
        <w:t>Verbindung</w:t>
      </w:r>
      <w:r w:rsidRPr="00C47725">
        <w:rPr>
          <w:lang w:val="de-DE"/>
        </w:rPr>
        <w:t xml:space="preserve"> mit der</w:t>
      </w:r>
      <w:r w:rsidR="00EB29CE">
        <w:rPr>
          <w:lang w:val="de-DE"/>
        </w:rPr>
        <w:t xml:space="preserve"> Annahme der überarbeiteten TGP</w:t>
      </w:r>
      <w:r w:rsidR="00EB29CE">
        <w:rPr>
          <w:lang w:val="de-DE"/>
        </w:rPr>
        <w:noBreakHyphen/>
      </w:r>
      <w:r w:rsidRPr="00C47725">
        <w:rPr>
          <w:lang w:val="de-DE"/>
        </w:rPr>
        <w:t xml:space="preserve">Dokumente ersucht werden </w:t>
      </w:r>
      <w:r>
        <w:rPr>
          <w:lang w:val="de-DE"/>
        </w:rPr>
        <w:t>würde</w:t>
      </w:r>
      <w:r w:rsidRPr="00C47725">
        <w:rPr>
          <w:lang w:val="de-DE"/>
        </w:rPr>
        <w:t xml:space="preserve">, eine </w:t>
      </w:r>
      <w:r>
        <w:rPr>
          <w:lang w:val="de-DE"/>
        </w:rPr>
        <w:t>Überarbeitung von Dokument</w:t>
      </w:r>
      <w:r w:rsidRPr="00C47725">
        <w:rPr>
          <w:lang w:val="de-DE"/>
        </w:rPr>
        <w:t xml:space="preserve"> TGP/0</w:t>
      </w:r>
      <w:r>
        <w:rPr>
          <w:lang w:val="de-DE"/>
        </w:rPr>
        <w:t xml:space="preserve"> „</w:t>
      </w:r>
      <w:r w:rsidR="00EB29CE">
        <w:rPr>
          <w:lang w:val="de-DE"/>
        </w:rPr>
        <w:t>Liste von TGP</w:t>
      </w:r>
      <w:r w:rsidR="00EB29CE">
        <w:rPr>
          <w:lang w:val="de-DE"/>
        </w:rPr>
        <w:noBreakHyphen/>
      </w:r>
      <w:r w:rsidRPr="00C47725">
        <w:rPr>
          <w:lang w:val="de-DE"/>
        </w:rPr>
        <w:t>Dokumenten und Datum der jüngsten Ausgabe</w:t>
      </w:r>
      <w:r>
        <w:rPr>
          <w:lang w:val="de-DE"/>
        </w:rPr>
        <w:t>“</w:t>
      </w:r>
      <w:r w:rsidRPr="00C47725">
        <w:rPr>
          <w:lang w:val="de-DE"/>
        </w:rPr>
        <w:t xml:space="preserve"> (Dokument TGP/0/10) auf der Grundlage von Dokument TGP/0/11 Draft 1 anzunehmen.</w:t>
      </w:r>
    </w:p>
    <w:p w:rsidR="002D20DB" w:rsidRPr="00C47725" w:rsidRDefault="002D20DB" w:rsidP="002D20DB">
      <w:pPr>
        <w:rPr>
          <w:lang w:val="de-DE"/>
        </w:rPr>
      </w:pPr>
    </w:p>
    <w:p w:rsidR="002D20DB" w:rsidRPr="00C47725" w:rsidRDefault="002D20DB" w:rsidP="002D20DB">
      <w:pPr>
        <w:pStyle w:val="Heading3"/>
      </w:pPr>
      <w:r w:rsidRPr="00C47725">
        <w:t>Etwaige künftige Überarbeitung</w:t>
      </w:r>
      <w:r>
        <w:t>en</w:t>
      </w:r>
      <w:r w:rsidRPr="00C47725">
        <w:t xml:space="preserve"> von TGP-Dokumenten</w:t>
      </w:r>
    </w:p>
    <w:p w:rsidR="002D20DB" w:rsidRPr="00C47725" w:rsidRDefault="002D20DB" w:rsidP="002D20DB">
      <w:pPr>
        <w:keepNext/>
        <w:rPr>
          <w:lang w:val="de-DE"/>
        </w:rPr>
      </w:pPr>
    </w:p>
    <w:p w:rsidR="002D20DB" w:rsidRPr="00C47725" w:rsidRDefault="002D20DB" w:rsidP="002D20DB">
      <w:pPr>
        <w:pStyle w:val="Heading4"/>
        <w:rPr>
          <w:lang w:val="de-DE"/>
        </w:rPr>
      </w:pPr>
      <w:r w:rsidRPr="00C47725">
        <w:rPr>
          <w:snapToGrid w:val="0"/>
          <w:lang w:val="de-DE"/>
        </w:rPr>
        <w:t>TGP/7: Erstellung von Prüfungsrichtlinien</w:t>
      </w:r>
    </w:p>
    <w:p w:rsidR="002D20DB" w:rsidRPr="00C47725" w:rsidRDefault="002D20DB" w:rsidP="002D20DB">
      <w:pPr>
        <w:keepNext/>
        <w:rPr>
          <w:lang w:val="de-DE"/>
        </w:rPr>
      </w:pPr>
    </w:p>
    <w:p w:rsidR="002D20DB" w:rsidRPr="00C47725" w:rsidRDefault="002D20DB" w:rsidP="002D20DB">
      <w:pPr>
        <w:pStyle w:val="Heading5"/>
        <w:rPr>
          <w:lang w:val="de-DE"/>
        </w:rPr>
      </w:pPr>
      <w:r w:rsidRPr="00C47725">
        <w:rPr>
          <w:lang w:val="de-DE"/>
        </w:rPr>
        <w:t>Merkmale, die nur für bestimmte Sorten gelten</w:t>
      </w:r>
    </w:p>
    <w:p w:rsidR="002D20DB" w:rsidRPr="00C47725" w:rsidRDefault="002D20DB" w:rsidP="002D20DB">
      <w:pPr>
        <w:keepNext/>
        <w:rPr>
          <w:lang w:val="de-DE"/>
        </w:rPr>
      </w:pPr>
    </w:p>
    <w:p w:rsidR="002D20DB" w:rsidRPr="00C47725" w:rsidRDefault="002D20DB" w:rsidP="002D20DB">
      <w:pPr>
        <w:keepNext/>
        <w:rPr>
          <w:lang w:val="de-DE"/>
        </w:rPr>
      </w:pPr>
      <w:r w:rsidRPr="00511EC9">
        <w:rPr>
          <w:lang w:val="de-DE"/>
        </w:rPr>
        <w:fldChar w:fldCharType="begin"/>
      </w:r>
      <w:r w:rsidRPr="00511EC9">
        <w:rPr>
          <w:lang w:val="de-DE"/>
        </w:rPr>
        <w:instrText xml:space="preserve"> AUTONUM  </w:instrText>
      </w:r>
      <w:r w:rsidRPr="00511EC9">
        <w:rPr>
          <w:lang w:val="de-DE"/>
        </w:rPr>
        <w:fldChar w:fldCharType="end"/>
      </w:r>
      <w:r w:rsidRPr="00C47725">
        <w:rPr>
          <w:lang w:val="de-DE"/>
        </w:rPr>
        <w:tab/>
        <w:t xml:space="preserve">Der TC prüfte </w:t>
      </w:r>
      <w:r w:rsidRPr="00C47725">
        <w:rPr>
          <w:rFonts w:cs="Arial"/>
          <w:lang w:val="de-DE"/>
        </w:rPr>
        <w:t>Dokumente TC/55/12 und TC/55/12 Add.</w:t>
      </w:r>
    </w:p>
    <w:p w:rsidR="002D20DB" w:rsidRPr="00C47725" w:rsidRDefault="002D20DB" w:rsidP="002D20DB">
      <w:pPr>
        <w:rPr>
          <w:lang w:val="de-DE"/>
        </w:rPr>
      </w:pPr>
    </w:p>
    <w:p w:rsidR="002D20DB" w:rsidRPr="00C47725" w:rsidRDefault="002D20DB" w:rsidP="002D20DB">
      <w:pPr>
        <w:rPr>
          <w:lang w:val="de-DE"/>
        </w:rPr>
      </w:pPr>
      <w:r w:rsidRPr="00511EC9">
        <w:rPr>
          <w:lang w:val="de-DE"/>
        </w:rPr>
        <w:lastRenderedPageBreak/>
        <w:fldChar w:fldCharType="begin"/>
      </w:r>
      <w:r w:rsidRPr="00511EC9">
        <w:rPr>
          <w:lang w:val="de-DE"/>
        </w:rPr>
        <w:instrText xml:space="preserve"> AUTONUM  </w:instrText>
      </w:r>
      <w:r w:rsidRPr="00511EC9">
        <w:rPr>
          <w:lang w:val="de-DE"/>
        </w:rPr>
        <w:fldChar w:fldCharType="end"/>
      </w:r>
      <w:r w:rsidRPr="00C47725">
        <w:rPr>
          <w:lang w:val="de-DE"/>
        </w:rPr>
        <w:tab/>
        <w:t>Der TC prüfte den Vorschlag zur Änderung der Anleitung in Dokume</w:t>
      </w:r>
      <w:r w:rsidRPr="002B0E23">
        <w:rPr>
          <w:lang w:val="de-DE"/>
        </w:rPr>
        <w:t xml:space="preserve">nt </w:t>
      </w:r>
      <w:r w:rsidRPr="00967481">
        <w:rPr>
          <w:lang w:val="de-DE"/>
        </w:rPr>
        <w:t>TGP/7, erläuternde Anmerkung</w:t>
      </w:r>
      <w:r w:rsidR="00546490">
        <w:rPr>
          <w:lang w:val="de-DE"/>
        </w:rPr>
        <w:t> </w:t>
      </w:r>
      <w:r w:rsidRPr="00C47725">
        <w:rPr>
          <w:lang w:val="de-DE"/>
        </w:rPr>
        <w:t xml:space="preserve">18 (GN 18), um den Ausschluss eines Merkmals von der </w:t>
      </w:r>
      <w:r>
        <w:rPr>
          <w:lang w:val="de-DE"/>
        </w:rPr>
        <w:t>Erfassung</w:t>
      </w:r>
      <w:r w:rsidRPr="00C47725">
        <w:rPr>
          <w:lang w:val="de-DE"/>
        </w:rPr>
        <w:t xml:space="preserve"> aufgrund einer Ausprägungsstufe eines vorhergehenden quantitativen oder pseudo-qualitativen Merkmals </w:t>
      </w:r>
      <w:r>
        <w:rPr>
          <w:lang w:val="de-DE"/>
        </w:rPr>
        <w:t>zuzulassen</w:t>
      </w:r>
      <w:r w:rsidRPr="00C47725">
        <w:rPr>
          <w:lang w:val="de-DE"/>
        </w:rPr>
        <w:t xml:space="preserve">. </w:t>
      </w:r>
    </w:p>
    <w:p w:rsidR="002D20DB" w:rsidRPr="00C47725" w:rsidRDefault="002D20DB" w:rsidP="002D20DB">
      <w:pPr>
        <w:rPr>
          <w:lang w:val="de-DE"/>
        </w:rPr>
      </w:pPr>
    </w:p>
    <w:p w:rsidR="002D20DB" w:rsidRPr="00C47725" w:rsidRDefault="002D20DB" w:rsidP="002D20DB">
      <w:pPr>
        <w:rPr>
          <w:lang w:val="de-DE"/>
        </w:rPr>
      </w:pPr>
      <w:r w:rsidRPr="00511EC9">
        <w:rPr>
          <w:lang w:val="de-DE"/>
        </w:rPr>
        <w:fldChar w:fldCharType="begin"/>
      </w:r>
      <w:r w:rsidRPr="00511EC9">
        <w:rPr>
          <w:lang w:val="de-DE"/>
        </w:rPr>
        <w:instrText xml:space="preserve"> AUTONUM  </w:instrText>
      </w:r>
      <w:r w:rsidRPr="00511EC9">
        <w:rPr>
          <w:lang w:val="de-DE"/>
        </w:rPr>
        <w:fldChar w:fldCharType="end"/>
      </w:r>
      <w:r w:rsidRPr="00C47725">
        <w:rPr>
          <w:lang w:val="de-DE"/>
        </w:rPr>
        <w:tab/>
        <w:t xml:space="preserve">Der TC prüfte </w:t>
      </w:r>
      <w:r>
        <w:rPr>
          <w:lang w:val="de-DE"/>
        </w:rPr>
        <w:t>die</w:t>
      </w:r>
      <w:r w:rsidRPr="00C47725">
        <w:rPr>
          <w:lang w:val="de-DE"/>
        </w:rPr>
        <w:t xml:space="preserve"> Beispiel</w:t>
      </w:r>
      <w:r>
        <w:rPr>
          <w:lang w:val="de-DE"/>
        </w:rPr>
        <w:t>e</w:t>
      </w:r>
      <w:r w:rsidRPr="00C47725">
        <w:rPr>
          <w:lang w:val="de-DE"/>
        </w:rPr>
        <w:t xml:space="preserve"> für quantitative und pseudo-qualitative Merkmale, die von den TWP auf deren Tagungen im Jahr 2019 dargelegt wurden, um zu zeigen, wie der vorgeschlagen Ansatz so verwendet werden könn</w:t>
      </w:r>
      <w:r>
        <w:rPr>
          <w:lang w:val="de-DE"/>
        </w:rPr>
        <w:t>t</w:t>
      </w:r>
      <w:r w:rsidRPr="00C47725">
        <w:rPr>
          <w:lang w:val="de-DE"/>
        </w:rPr>
        <w:t>e, dass keine Risiken für Entscheidungen über die Unterscheidbarkeit entstehen.</w:t>
      </w:r>
    </w:p>
    <w:p w:rsidR="002D20DB" w:rsidRPr="00C47725" w:rsidRDefault="002D20DB" w:rsidP="002D20DB">
      <w:pPr>
        <w:rPr>
          <w:lang w:val="de-DE"/>
        </w:rPr>
      </w:pPr>
    </w:p>
    <w:p w:rsidR="002D20DB" w:rsidRPr="00C47725" w:rsidRDefault="002D20DB" w:rsidP="002D20DB">
      <w:pPr>
        <w:keepLines/>
        <w:rPr>
          <w:lang w:val="de-DE"/>
        </w:rPr>
      </w:pPr>
      <w:r w:rsidRPr="00511EC9">
        <w:rPr>
          <w:lang w:val="de-DE"/>
        </w:rPr>
        <w:fldChar w:fldCharType="begin"/>
      </w:r>
      <w:r w:rsidRPr="00511EC9">
        <w:rPr>
          <w:lang w:val="de-DE"/>
        </w:rPr>
        <w:instrText xml:space="preserve"> AUTONUM  </w:instrText>
      </w:r>
      <w:r w:rsidRPr="00511EC9">
        <w:rPr>
          <w:lang w:val="de-DE"/>
        </w:rPr>
        <w:fldChar w:fldCharType="end"/>
      </w:r>
      <w:r w:rsidRPr="00C47725">
        <w:rPr>
          <w:lang w:val="de-DE"/>
        </w:rPr>
        <w:tab/>
        <w:t xml:space="preserve">Der TC vereinbarte, die Anleitung in Dokument TGP/7, </w:t>
      </w:r>
      <w:r>
        <w:rPr>
          <w:lang w:val="de-DE"/>
        </w:rPr>
        <w:t>erläuternde Anmerkung</w:t>
      </w:r>
      <w:r w:rsidRPr="00C47725">
        <w:rPr>
          <w:lang w:val="de-DE"/>
        </w:rPr>
        <w:t xml:space="preserve"> 18 (GN 18), </w:t>
      </w:r>
      <w:r>
        <w:rPr>
          <w:lang w:val="de-DE"/>
        </w:rPr>
        <w:t xml:space="preserve">wie folgt </w:t>
      </w:r>
      <w:r w:rsidRPr="00C47725">
        <w:rPr>
          <w:lang w:val="de-DE"/>
        </w:rPr>
        <w:t>zu ändern</w:t>
      </w:r>
    </w:p>
    <w:p w:rsidR="002D20DB" w:rsidRPr="00C47725" w:rsidRDefault="002D20DB" w:rsidP="002D20DB">
      <w:pPr>
        <w:rPr>
          <w:lang w:val="de-DE"/>
        </w:rPr>
      </w:pPr>
    </w:p>
    <w:p w:rsidR="002D20DB" w:rsidRPr="00C47725" w:rsidRDefault="002D20DB" w:rsidP="002D20DB">
      <w:pPr>
        <w:ind w:left="567" w:right="565"/>
        <w:rPr>
          <w:rFonts w:cs="Arial"/>
          <w:bCs/>
          <w:i/>
          <w:snapToGrid w:val="0"/>
          <w:sz w:val="18"/>
          <w:lang w:val="de-DE"/>
        </w:rPr>
      </w:pPr>
      <w:r>
        <w:rPr>
          <w:rFonts w:cs="Arial"/>
          <w:bCs/>
          <w:i/>
          <w:snapToGrid w:val="0"/>
          <w:sz w:val="18"/>
          <w:lang w:val="de-DE"/>
        </w:rPr>
        <w:t>„</w:t>
      </w:r>
      <w:r w:rsidRPr="00C47725">
        <w:rPr>
          <w:rFonts w:cs="Arial"/>
          <w:bCs/>
          <w:i/>
          <w:snapToGrid w:val="0"/>
          <w:sz w:val="18"/>
          <w:lang w:val="de-DE"/>
        </w:rPr>
        <w:t>3. Merkmale, die nur für bestimmte Sorten gelten</w:t>
      </w:r>
    </w:p>
    <w:p w:rsidR="002D20DB" w:rsidRPr="00C47725" w:rsidRDefault="002D20DB" w:rsidP="002D20DB">
      <w:pPr>
        <w:ind w:left="567" w:right="565"/>
        <w:rPr>
          <w:rFonts w:cs="Arial"/>
          <w:bCs/>
          <w:snapToGrid w:val="0"/>
          <w:sz w:val="18"/>
          <w:lang w:val="de-DE"/>
        </w:rPr>
      </w:pPr>
    </w:p>
    <w:p w:rsidR="002D20DB" w:rsidRPr="00C47725" w:rsidRDefault="002D20DB" w:rsidP="002D20DB">
      <w:pPr>
        <w:ind w:left="567" w:right="565"/>
        <w:rPr>
          <w:rFonts w:cs="Arial"/>
          <w:bCs/>
          <w:snapToGrid w:val="0"/>
          <w:sz w:val="18"/>
          <w:lang w:val="de-DE"/>
        </w:rPr>
      </w:pPr>
      <w:r>
        <w:rPr>
          <w:rFonts w:cs="Arial"/>
          <w:bCs/>
          <w:snapToGrid w:val="0"/>
          <w:sz w:val="18"/>
          <w:lang w:val="de-DE"/>
        </w:rPr>
        <w:t>„</w:t>
      </w:r>
      <w:r w:rsidRPr="00C47725">
        <w:rPr>
          <w:rFonts w:cs="Arial"/>
          <w:bCs/>
          <w:snapToGrid w:val="0"/>
          <w:sz w:val="18"/>
          <w:lang w:val="de-DE"/>
        </w:rPr>
        <w:t xml:space="preserve">In einigen Fällen bestimmt die Ausprägungsstufe eines vorhergehenden Merkmals, </w:t>
      </w:r>
      <w:r>
        <w:rPr>
          <w:rFonts w:cs="Arial"/>
          <w:bCs/>
          <w:snapToGrid w:val="0"/>
          <w:sz w:val="18"/>
          <w:lang w:val="de-DE"/>
        </w:rPr>
        <w:t>dass</w:t>
      </w:r>
      <w:r w:rsidRPr="00C47725">
        <w:rPr>
          <w:rFonts w:cs="Arial"/>
          <w:bCs/>
          <w:snapToGrid w:val="0"/>
          <w:sz w:val="18"/>
          <w:lang w:val="de-DE"/>
        </w:rPr>
        <w:t xml:space="preserve"> ein </w:t>
      </w:r>
      <w:r>
        <w:rPr>
          <w:rFonts w:cs="Arial"/>
          <w:bCs/>
          <w:snapToGrid w:val="0"/>
          <w:sz w:val="18"/>
          <w:lang w:val="de-DE"/>
        </w:rPr>
        <w:t>nachfolgendes</w:t>
      </w:r>
      <w:r w:rsidRPr="00C47725">
        <w:rPr>
          <w:rFonts w:cs="Arial"/>
          <w:bCs/>
          <w:snapToGrid w:val="0"/>
          <w:sz w:val="18"/>
          <w:lang w:val="de-DE"/>
        </w:rPr>
        <w:t xml:space="preserve"> Merkmal </w:t>
      </w:r>
      <w:r>
        <w:rPr>
          <w:rFonts w:cs="Arial"/>
          <w:bCs/>
          <w:snapToGrid w:val="0"/>
          <w:sz w:val="18"/>
          <w:lang w:val="de-DE"/>
        </w:rPr>
        <w:t>nicht zutreffend</w:t>
      </w:r>
      <w:r w:rsidRPr="00C47725">
        <w:rPr>
          <w:rFonts w:cs="Arial"/>
          <w:bCs/>
          <w:snapToGrid w:val="0"/>
          <w:sz w:val="18"/>
          <w:lang w:val="de-DE"/>
        </w:rPr>
        <w:t xml:space="preserve"> ist; z.B. wäre es nicht möglich, die Form der Blattlappen für eine Sorte zu beschreiben, die keine Blattlappen hat.</w:t>
      </w:r>
      <w:r>
        <w:rPr>
          <w:rFonts w:cs="Arial"/>
          <w:bCs/>
          <w:snapToGrid w:val="0"/>
          <w:sz w:val="18"/>
          <w:lang w:val="de-DE"/>
        </w:rPr>
        <w:t xml:space="preserve"> </w:t>
      </w:r>
    </w:p>
    <w:p w:rsidR="002D20DB" w:rsidRPr="00C47725" w:rsidRDefault="002D20DB" w:rsidP="002D20DB">
      <w:pPr>
        <w:ind w:left="567" w:right="565"/>
        <w:rPr>
          <w:rFonts w:cs="Arial"/>
          <w:bCs/>
          <w:snapToGrid w:val="0"/>
          <w:sz w:val="18"/>
          <w:szCs w:val="18"/>
          <w:highlight w:val="lightGray"/>
          <w:u w:val="single"/>
          <w:lang w:val="de-DE"/>
        </w:rPr>
      </w:pPr>
    </w:p>
    <w:p w:rsidR="002D20DB" w:rsidRPr="00C47725" w:rsidRDefault="002D20DB" w:rsidP="002D20DB">
      <w:pPr>
        <w:ind w:left="567" w:right="565"/>
        <w:rPr>
          <w:rFonts w:cs="Arial"/>
          <w:bCs/>
          <w:snapToGrid w:val="0"/>
          <w:sz w:val="18"/>
          <w:lang w:val="de-DE"/>
        </w:rPr>
      </w:pPr>
      <w:r>
        <w:rPr>
          <w:rFonts w:cs="Arial"/>
          <w:bCs/>
          <w:snapToGrid w:val="0"/>
          <w:sz w:val="18"/>
          <w:lang w:val="de-DE"/>
        </w:rPr>
        <w:t>„</w:t>
      </w:r>
      <w:r w:rsidRPr="00C47725">
        <w:rPr>
          <w:rFonts w:cs="Arial"/>
          <w:bCs/>
          <w:snapToGrid w:val="0"/>
          <w:sz w:val="18"/>
          <w:lang w:val="de-DE"/>
        </w:rPr>
        <w:t>In Fällen, in denen dies nicht offensichtlich ist oder die Merkmale in der Merkmalstabelle getrennt sind, geht der Bezeichnung des nachfolgenden Merkmals ein unterstrichener Hinweis auf die Sortentypen aufgrund des vorhergehenden Merkmals</w:t>
      </w:r>
      <w:r>
        <w:rPr>
          <w:rFonts w:cs="Arial"/>
          <w:bCs/>
          <w:snapToGrid w:val="0"/>
          <w:sz w:val="18"/>
          <w:lang w:val="de-DE"/>
        </w:rPr>
        <w:t xml:space="preserve"> voraus</w:t>
      </w:r>
      <w:r w:rsidRPr="00C47725">
        <w:rPr>
          <w:rFonts w:cs="Arial"/>
          <w:bCs/>
          <w:snapToGrid w:val="0"/>
          <w:sz w:val="18"/>
          <w:lang w:val="de-DE"/>
        </w:rPr>
        <w:t>.</w:t>
      </w:r>
    </w:p>
    <w:p w:rsidR="002D20DB" w:rsidRPr="00C47725" w:rsidRDefault="002D20DB" w:rsidP="002D20DB">
      <w:pPr>
        <w:ind w:left="567" w:right="565"/>
        <w:rPr>
          <w:rFonts w:cs="Arial"/>
          <w:bCs/>
          <w:snapToGrid w:val="0"/>
          <w:sz w:val="18"/>
          <w:lang w:val="de-DE"/>
        </w:rPr>
      </w:pPr>
    </w:p>
    <w:p w:rsidR="002D20DB" w:rsidRPr="00C47725" w:rsidRDefault="002D20DB" w:rsidP="002D20DB">
      <w:pPr>
        <w:ind w:left="567" w:right="565"/>
        <w:rPr>
          <w:sz w:val="18"/>
          <w:szCs w:val="18"/>
          <w:lang w:val="de-DE"/>
        </w:rPr>
      </w:pPr>
      <w:r>
        <w:rPr>
          <w:sz w:val="18"/>
          <w:szCs w:val="18"/>
          <w:lang w:val="de-DE"/>
        </w:rPr>
        <w:t>„</w:t>
      </w:r>
      <w:r w:rsidRPr="00C47725">
        <w:rPr>
          <w:sz w:val="18"/>
          <w:szCs w:val="18"/>
          <w:lang w:val="de-DE"/>
        </w:rPr>
        <w:t>Die folgenden Beispiels zeigen, wie der vorgeschlagene Ansatz für QL-, PQ- und QN-Merkmale verwendet werden kann:</w:t>
      </w:r>
    </w:p>
    <w:p w:rsidR="002D20DB" w:rsidRPr="00C47725" w:rsidRDefault="002D20DB" w:rsidP="002D20DB">
      <w:pPr>
        <w:ind w:left="567" w:right="565"/>
        <w:rPr>
          <w:rFonts w:cs="Arial"/>
          <w:bCs/>
          <w:snapToGrid w:val="0"/>
          <w:sz w:val="18"/>
          <w:lang w:val="de-DE"/>
        </w:rPr>
      </w:pPr>
    </w:p>
    <w:p w:rsidR="002D20DB" w:rsidRPr="00C47725" w:rsidRDefault="002D20DB" w:rsidP="002D20DB">
      <w:pPr>
        <w:ind w:left="1134" w:right="565"/>
        <w:rPr>
          <w:rFonts w:cs="Arial"/>
          <w:bCs/>
          <w:snapToGrid w:val="0"/>
          <w:sz w:val="18"/>
          <w:lang w:val="de-DE"/>
        </w:rPr>
      </w:pPr>
      <w:r w:rsidRPr="00C47725">
        <w:rPr>
          <w:rFonts w:cs="Arial"/>
          <w:bCs/>
          <w:snapToGrid w:val="0"/>
          <w:sz w:val="18"/>
          <w:lang w:val="de-DE"/>
        </w:rPr>
        <w:t xml:space="preserve">(QL) Blüte: Typ: </w:t>
      </w:r>
      <w:r w:rsidRPr="00C47725">
        <w:rPr>
          <w:snapToGrid w:val="0"/>
          <w:sz w:val="18"/>
          <w:lang w:val="de-DE"/>
        </w:rPr>
        <w:t>einfach (1); gefüllt (2)</w:t>
      </w:r>
    </w:p>
    <w:p w:rsidR="002D20DB" w:rsidRPr="00C47725" w:rsidRDefault="002D20DB" w:rsidP="002D20DB">
      <w:pPr>
        <w:ind w:left="1134" w:right="565"/>
        <w:rPr>
          <w:rFonts w:cs="Arial"/>
          <w:bCs/>
          <w:snapToGrid w:val="0"/>
          <w:sz w:val="18"/>
          <w:lang w:val="de-DE"/>
        </w:rPr>
      </w:pPr>
      <w:r w:rsidRPr="00C47725">
        <w:rPr>
          <w:rFonts w:cs="Arial"/>
          <w:bCs/>
          <w:snapToGrid w:val="0"/>
          <w:sz w:val="18"/>
          <w:lang w:val="de-DE"/>
        </w:rPr>
        <w:t xml:space="preserve">(PQ) </w:t>
      </w:r>
      <w:r w:rsidRPr="00C47725">
        <w:rPr>
          <w:rFonts w:cs="Arial"/>
          <w:bCs/>
          <w:snapToGrid w:val="0"/>
          <w:sz w:val="18"/>
          <w:u w:val="single"/>
          <w:lang w:val="de-DE"/>
        </w:rPr>
        <w:t>Nur Sorten mit: Blüte: Typ: einfach</w:t>
      </w:r>
      <w:r w:rsidRPr="00C47725">
        <w:rPr>
          <w:rFonts w:cs="Arial"/>
          <w:bCs/>
          <w:snapToGrid w:val="0"/>
          <w:sz w:val="18"/>
          <w:lang w:val="de-DE"/>
        </w:rPr>
        <w:t>: Blüte: Form</w:t>
      </w:r>
    </w:p>
    <w:p w:rsidR="002D20DB" w:rsidRPr="00C47725" w:rsidRDefault="002D20DB" w:rsidP="002D20DB">
      <w:pPr>
        <w:ind w:left="567" w:right="565"/>
        <w:rPr>
          <w:rFonts w:cs="Arial"/>
          <w:bCs/>
          <w:snapToGrid w:val="0"/>
          <w:sz w:val="18"/>
          <w:szCs w:val="18"/>
          <w:lang w:val="de-DE"/>
        </w:rPr>
      </w:pPr>
    </w:p>
    <w:p w:rsidR="002D20DB" w:rsidRPr="00C47725" w:rsidRDefault="002D20DB" w:rsidP="002D20DB">
      <w:pPr>
        <w:keepNext/>
        <w:keepLines/>
        <w:ind w:left="1560" w:right="567" w:hanging="426"/>
        <w:rPr>
          <w:snapToGrid w:val="0"/>
          <w:sz w:val="18"/>
          <w:lang w:val="de-DE"/>
        </w:rPr>
      </w:pPr>
      <w:r w:rsidRPr="00C47725">
        <w:rPr>
          <w:snapToGrid w:val="0"/>
          <w:sz w:val="18"/>
          <w:lang w:val="de-DE"/>
        </w:rPr>
        <w:t>(PQ) Blume: Typ: einfach (1); halbgefüllt (2); gefüllt margeritenförmig (3); gefüllt (4)</w:t>
      </w:r>
    </w:p>
    <w:p w:rsidR="002D20DB" w:rsidRPr="00C47725" w:rsidRDefault="002D20DB" w:rsidP="002D20DB">
      <w:pPr>
        <w:keepNext/>
        <w:keepLines/>
        <w:ind w:left="1560" w:right="567" w:hanging="426"/>
        <w:rPr>
          <w:snapToGrid w:val="0"/>
          <w:sz w:val="18"/>
          <w:lang w:val="de-DE"/>
        </w:rPr>
      </w:pPr>
      <w:r w:rsidRPr="00C47725">
        <w:rPr>
          <w:snapToGrid w:val="0"/>
          <w:sz w:val="18"/>
          <w:lang w:val="de-DE"/>
        </w:rPr>
        <w:t xml:space="preserve">(QN) </w:t>
      </w:r>
      <w:r w:rsidRPr="00C47725">
        <w:rPr>
          <w:sz w:val="18"/>
          <w:u w:val="single"/>
          <w:lang w:val="de-DE"/>
        </w:rPr>
        <w:t>Nur Sorten mit: Blume: Typ: gefüllt margeritenförmig oder gefüllt</w:t>
      </w:r>
      <w:r w:rsidRPr="00C47725">
        <w:rPr>
          <w:sz w:val="18"/>
          <w:lang w:val="de-DE"/>
        </w:rPr>
        <w:t>: Blume: Höhe: kurz (3); mittel (5); hoch (7)</w:t>
      </w:r>
    </w:p>
    <w:p w:rsidR="002D20DB" w:rsidRPr="00C47725" w:rsidRDefault="002D20DB" w:rsidP="002D20DB">
      <w:pPr>
        <w:ind w:left="1560" w:right="567" w:hanging="426"/>
        <w:rPr>
          <w:sz w:val="18"/>
          <w:lang w:val="de-DE"/>
        </w:rPr>
      </w:pPr>
    </w:p>
    <w:p w:rsidR="002D20DB" w:rsidRPr="00C47725" w:rsidRDefault="002D20DB" w:rsidP="002D20DB">
      <w:pPr>
        <w:keepNext/>
        <w:ind w:left="1560" w:right="567" w:hanging="426"/>
        <w:rPr>
          <w:sz w:val="18"/>
          <w:lang w:val="de-DE"/>
        </w:rPr>
      </w:pPr>
      <w:r w:rsidRPr="00C47725">
        <w:rPr>
          <w:sz w:val="18"/>
          <w:lang w:val="de-DE"/>
        </w:rPr>
        <w:t xml:space="preserve">(PQ) Pflanze: Kopfbildung: fehlend </w:t>
      </w:r>
      <w:r w:rsidRPr="002341B8">
        <w:rPr>
          <w:sz w:val="18"/>
          <w:lang w:val="de-DE"/>
        </w:rPr>
        <w:t>(1); offen (2);</w:t>
      </w:r>
      <w:r w:rsidRPr="00C47725">
        <w:rPr>
          <w:sz w:val="18"/>
          <w:lang w:val="de-DE"/>
        </w:rPr>
        <w:t xml:space="preserve"> geschlossen (3)</w:t>
      </w:r>
    </w:p>
    <w:p w:rsidR="002D20DB" w:rsidRPr="00C47725" w:rsidRDefault="002D20DB" w:rsidP="002D20DB">
      <w:pPr>
        <w:keepNext/>
        <w:ind w:left="1560" w:right="567" w:hanging="426"/>
        <w:rPr>
          <w:sz w:val="18"/>
          <w:lang w:val="de-DE"/>
        </w:rPr>
      </w:pPr>
      <w:r w:rsidRPr="00C47725">
        <w:rPr>
          <w:sz w:val="18"/>
          <w:lang w:val="de-DE"/>
        </w:rPr>
        <w:t xml:space="preserve">(QN) </w:t>
      </w:r>
      <w:r w:rsidRPr="00C47725">
        <w:rPr>
          <w:sz w:val="18"/>
          <w:u w:val="single"/>
          <w:lang w:val="de-DE"/>
        </w:rPr>
        <w:t>Nur Sorten mit: Pflanze: Kopfbildung: offen oder geschlossen</w:t>
      </w:r>
      <w:r w:rsidRPr="00C47725">
        <w:rPr>
          <w:sz w:val="18"/>
          <w:lang w:val="de-DE"/>
        </w:rPr>
        <w:t>: Zeitpunkt der Kopfbildung: sehr früh (1); früh (3); mittel (5); spät (7); sehr spät (9)</w:t>
      </w:r>
      <w:r>
        <w:rPr>
          <w:sz w:val="18"/>
          <w:lang w:val="de-DE"/>
        </w:rPr>
        <w:t>“</w:t>
      </w:r>
    </w:p>
    <w:p w:rsidR="002D20DB" w:rsidRPr="00C47725" w:rsidRDefault="002D20DB" w:rsidP="002D20DB">
      <w:pPr>
        <w:ind w:left="1560" w:hanging="426"/>
        <w:rPr>
          <w:i/>
          <w:sz w:val="18"/>
          <w:lang w:val="de-DE"/>
        </w:rPr>
      </w:pPr>
    </w:p>
    <w:p w:rsidR="002D20DB" w:rsidRPr="00C47725" w:rsidRDefault="002D20DB" w:rsidP="002D20DB">
      <w:pPr>
        <w:ind w:left="1560" w:hanging="426"/>
        <w:rPr>
          <w:snapToGrid w:val="0"/>
          <w:sz w:val="18"/>
          <w:lang w:val="de-DE"/>
        </w:rPr>
      </w:pPr>
      <w:r w:rsidRPr="00C47725">
        <w:rPr>
          <w:snapToGrid w:val="0"/>
          <w:sz w:val="18"/>
          <w:lang w:val="de-DE"/>
        </w:rPr>
        <w:t>(QN) Vorhandensein von Behaarung: fehlend oder sehr gering (1).</w:t>
      </w:r>
    </w:p>
    <w:p w:rsidR="002D20DB" w:rsidRPr="00C47725" w:rsidRDefault="002D20DB" w:rsidP="002D20DB">
      <w:pPr>
        <w:ind w:left="1560" w:hanging="426"/>
        <w:rPr>
          <w:snapToGrid w:val="0"/>
          <w:sz w:val="18"/>
          <w:lang w:val="de-DE"/>
        </w:rPr>
      </w:pPr>
      <w:r w:rsidRPr="00C47725">
        <w:rPr>
          <w:snapToGrid w:val="0"/>
          <w:sz w:val="18"/>
          <w:lang w:val="de-DE"/>
        </w:rPr>
        <w:t xml:space="preserve">(PQ) </w:t>
      </w:r>
      <w:r w:rsidRPr="00C47725">
        <w:rPr>
          <w:rFonts w:cs="Arial"/>
          <w:bCs/>
          <w:snapToGrid w:val="0"/>
          <w:sz w:val="18"/>
          <w:u w:val="single"/>
          <w:lang w:val="de-DE"/>
        </w:rPr>
        <w:t>Nur Sorten mit: Vorhandensein von Be</w:t>
      </w:r>
      <w:r>
        <w:rPr>
          <w:rFonts w:cs="Arial"/>
          <w:bCs/>
          <w:snapToGrid w:val="0"/>
          <w:sz w:val="18"/>
          <w:u w:val="single"/>
          <w:lang w:val="de-DE"/>
        </w:rPr>
        <w:t>h</w:t>
      </w:r>
      <w:r w:rsidRPr="00C47725">
        <w:rPr>
          <w:rFonts w:cs="Arial"/>
          <w:bCs/>
          <w:snapToGrid w:val="0"/>
          <w:sz w:val="18"/>
          <w:u w:val="single"/>
          <w:lang w:val="de-DE"/>
        </w:rPr>
        <w:t>aarung: anders als: fehlend oder sehr gering</w:t>
      </w:r>
      <w:r>
        <w:rPr>
          <w:rFonts w:cs="Arial"/>
          <w:bCs/>
          <w:snapToGrid w:val="0"/>
          <w:sz w:val="18"/>
          <w:u w:val="single"/>
          <w:lang w:val="de-DE"/>
        </w:rPr>
        <w:t>“</w:t>
      </w:r>
      <w:r w:rsidRPr="00C47725">
        <w:rPr>
          <w:rFonts w:cs="Arial"/>
          <w:bCs/>
          <w:snapToGrid w:val="0"/>
          <w:sz w:val="18"/>
          <w:u w:val="single"/>
          <w:lang w:val="de-DE"/>
        </w:rPr>
        <w:t xml:space="preserve"> (1)</w:t>
      </w:r>
      <w:r w:rsidRPr="00C47725">
        <w:rPr>
          <w:rFonts w:cs="Arial"/>
          <w:bCs/>
          <w:snapToGrid w:val="0"/>
          <w:sz w:val="18"/>
          <w:lang w:val="de-DE"/>
        </w:rPr>
        <w:t>: Behaarung: Farbe</w:t>
      </w:r>
    </w:p>
    <w:p w:rsidR="002D20DB" w:rsidRPr="00C47725" w:rsidRDefault="002D20DB" w:rsidP="002D20DB">
      <w:pPr>
        <w:ind w:left="567"/>
        <w:rPr>
          <w:rFonts w:cs="Arial"/>
          <w:bCs/>
          <w:snapToGrid w:val="0"/>
          <w:sz w:val="18"/>
          <w:szCs w:val="18"/>
          <w:lang w:val="de-DE"/>
        </w:rPr>
      </w:pPr>
    </w:p>
    <w:p w:rsidR="002D20DB" w:rsidRPr="00C47725" w:rsidRDefault="002D20DB" w:rsidP="002D20DB">
      <w:pPr>
        <w:ind w:left="567" w:right="567"/>
        <w:rPr>
          <w:lang w:val="de-DE"/>
        </w:rPr>
      </w:pPr>
      <w:r>
        <w:rPr>
          <w:sz w:val="18"/>
          <w:lang w:val="de-DE"/>
        </w:rPr>
        <w:t>„</w:t>
      </w:r>
      <w:r w:rsidRPr="00C47725">
        <w:rPr>
          <w:sz w:val="18"/>
          <w:lang w:val="de-DE"/>
        </w:rPr>
        <w:t>Der Ausschluss von Merkmalen von der Erfassung aufgrund eines vorhergehenden pseudo-qualitativen (PQ) oder quantitativen (QN) Merkmals sollte unter Berücksichtigung der Konsequenzen für die Prüfung der Unterscheidbarkeit mit Vorsicht verwendet werden.</w:t>
      </w:r>
      <w:r>
        <w:rPr>
          <w:rFonts w:cs="Arial"/>
          <w:bCs/>
          <w:snapToGrid w:val="0"/>
          <w:sz w:val="18"/>
          <w:lang w:val="de-DE"/>
        </w:rPr>
        <w:t>“</w:t>
      </w:r>
    </w:p>
    <w:p w:rsidR="002D20DB" w:rsidRPr="00C47725" w:rsidRDefault="002D20DB" w:rsidP="002D20DB">
      <w:pPr>
        <w:rPr>
          <w:lang w:val="de-DE"/>
        </w:rPr>
      </w:pPr>
    </w:p>
    <w:p w:rsidR="002D20DB" w:rsidRPr="00C47725" w:rsidRDefault="002D20DB" w:rsidP="002D20DB">
      <w:pPr>
        <w:pStyle w:val="Heading4"/>
        <w:rPr>
          <w:lang w:val="de-DE"/>
        </w:rPr>
      </w:pPr>
      <w:r w:rsidRPr="00C47725">
        <w:rPr>
          <w:lang w:val="de-DE"/>
        </w:rPr>
        <w:t>TGP/8: Prüfungsanlage und Verfahren für die Prüfung</w:t>
      </w:r>
      <w:r>
        <w:rPr>
          <w:lang w:val="de-DE"/>
        </w:rPr>
        <w:t xml:space="preserve"> </w:t>
      </w:r>
      <w:r w:rsidRPr="00C47725">
        <w:rPr>
          <w:lang w:val="de-DE"/>
        </w:rPr>
        <w:t xml:space="preserve">der Unterscheidbarkeit, der Homogenität und der </w:t>
      </w:r>
      <w:r>
        <w:rPr>
          <w:lang w:val="de-DE"/>
        </w:rPr>
        <w:t>B</w:t>
      </w:r>
      <w:r w:rsidRPr="00C47725">
        <w:rPr>
          <w:lang w:val="de-DE"/>
        </w:rPr>
        <w:t>eständigkeit</w:t>
      </w:r>
    </w:p>
    <w:p w:rsidR="002D20DB" w:rsidRPr="00C47725" w:rsidRDefault="002D20DB" w:rsidP="002D20DB">
      <w:pPr>
        <w:keepNext/>
        <w:rPr>
          <w:lang w:val="de-DE"/>
        </w:rPr>
      </w:pPr>
    </w:p>
    <w:p w:rsidR="002D20DB" w:rsidRPr="00C47725" w:rsidRDefault="002D20DB" w:rsidP="002D20DB">
      <w:pPr>
        <w:pStyle w:val="Heading5"/>
        <w:rPr>
          <w:lang w:val="de-DE"/>
        </w:rPr>
      </w:pPr>
      <w:r w:rsidRPr="00C47725">
        <w:rPr>
          <w:lang w:val="de-DE"/>
        </w:rPr>
        <w:t>Datenverarbeitung für die Prüfung der Unterscheidbarkeit und die Erstellung von Sortenbeschreibungen</w:t>
      </w:r>
    </w:p>
    <w:p w:rsidR="002D20DB" w:rsidRPr="00C47725" w:rsidRDefault="002D20DB" w:rsidP="002D20DB">
      <w:pPr>
        <w:keepNext/>
        <w:rPr>
          <w:lang w:val="de-DE"/>
        </w:rPr>
      </w:pPr>
    </w:p>
    <w:p w:rsidR="002D20DB" w:rsidRPr="00C47725" w:rsidRDefault="002D20DB" w:rsidP="002D20DB">
      <w:pPr>
        <w:keepNext/>
        <w:rPr>
          <w:lang w:val="de-DE"/>
        </w:rPr>
      </w:pPr>
      <w:r w:rsidRPr="00511EC9">
        <w:rPr>
          <w:lang w:val="de-DE"/>
        </w:rPr>
        <w:fldChar w:fldCharType="begin"/>
      </w:r>
      <w:r w:rsidRPr="00511EC9">
        <w:rPr>
          <w:lang w:val="de-DE"/>
        </w:rPr>
        <w:instrText xml:space="preserve"> AUTONUM  </w:instrText>
      </w:r>
      <w:r w:rsidRPr="00511EC9">
        <w:rPr>
          <w:lang w:val="de-DE"/>
        </w:rPr>
        <w:fldChar w:fldCharType="end"/>
      </w:r>
      <w:r w:rsidRPr="00C47725">
        <w:rPr>
          <w:lang w:val="de-DE"/>
        </w:rPr>
        <w:tab/>
        <w:t>Der TC prüfte Dokumente</w:t>
      </w:r>
      <w:r w:rsidRPr="00C47725">
        <w:rPr>
          <w:rFonts w:cs="Arial"/>
          <w:lang w:val="de-DE"/>
        </w:rPr>
        <w:t> TC/55/13 und TC/55/13 Add.</w:t>
      </w:r>
    </w:p>
    <w:p w:rsidR="002D20DB" w:rsidRPr="00C47725" w:rsidRDefault="002D20DB" w:rsidP="002D20DB">
      <w:pPr>
        <w:rPr>
          <w:lang w:val="de-DE"/>
        </w:rPr>
      </w:pPr>
    </w:p>
    <w:p w:rsidR="002D20DB" w:rsidRPr="00C47725" w:rsidRDefault="002D20DB" w:rsidP="002D20DB">
      <w:pPr>
        <w:keepNext/>
        <w:rPr>
          <w:lang w:val="de-DE"/>
        </w:rPr>
      </w:pPr>
      <w:r w:rsidRPr="00511EC9">
        <w:rPr>
          <w:lang w:val="de-DE"/>
        </w:rPr>
        <w:fldChar w:fldCharType="begin"/>
      </w:r>
      <w:r w:rsidRPr="00511EC9">
        <w:rPr>
          <w:lang w:val="de-DE"/>
        </w:rPr>
        <w:instrText xml:space="preserve"> AUTONUM  </w:instrText>
      </w:r>
      <w:r w:rsidRPr="00511EC9">
        <w:rPr>
          <w:lang w:val="de-DE"/>
        </w:rPr>
        <w:fldChar w:fldCharType="end"/>
      </w:r>
      <w:r w:rsidRPr="00C47725">
        <w:rPr>
          <w:lang w:val="de-DE"/>
        </w:rPr>
        <w:tab/>
        <w:t>Der TC stimmte der TWC zu, dass der Titel des Dokuments geändert werden sollte in</w:t>
      </w:r>
      <w:r>
        <w:rPr>
          <w:lang w:val="de-DE"/>
        </w:rPr>
        <w:t xml:space="preserve"> „</w:t>
      </w:r>
      <w:r w:rsidRPr="00C47725">
        <w:rPr>
          <w:lang w:val="de-DE"/>
        </w:rPr>
        <w:t>Datenverarbeitung zur Erstellung von Sortenbeschreibungen für gemessene quantitative Merkmale</w:t>
      </w:r>
      <w:r>
        <w:rPr>
          <w:lang w:val="de-DE"/>
        </w:rPr>
        <w:t>“</w:t>
      </w:r>
      <w:r w:rsidRPr="00C47725">
        <w:rPr>
          <w:lang w:val="de-DE"/>
        </w:rPr>
        <w:t>.</w:t>
      </w:r>
    </w:p>
    <w:p w:rsidR="002D20DB" w:rsidRPr="00C47725" w:rsidRDefault="002D20DB" w:rsidP="002D20DB">
      <w:pPr>
        <w:rPr>
          <w:lang w:val="de-DE"/>
        </w:rPr>
      </w:pPr>
    </w:p>
    <w:p w:rsidR="002D20DB" w:rsidRPr="00C47725" w:rsidRDefault="002D20DB" w:rsidP="002D20DB">
      <w:pPr>
        <w:rPr>
          <w:lang w:val="de-DE"/>
        </w:rPr>
      </w:pPr>
      <w:r w:rsidRPr="001A01BC">
        <w:rPr>
          <w:lang w:val="de-DE"/>
        </w:rPr>
        <w:fldChar w:fldCharType="begin"/>
      </w:r>
      <w:r w:rsidRPr="001A01BC">
        <w:rPr>
          <w:lang w:val="de-DE"/>
        </w:rPr>
        <w:instrText xml:space="preserve"> AUTONUM  </w:instrText>
      </w:r>
      <w:r w:rsidRPr="001A01BC">
        <w:rPr>
          <w:lang w:val="de-DE"/>
        </w:rPr>
        <w:fldChar w:fldCharType="end"/>
      </w:r>
      <w:r w:rsidRPr="00C47725">
        <w:rPr>
          <w:lang w:val="de-DE"/>
        </w:rPr>
        <w:tab/>
        <w:t>Der TC stimmte de</w:t>
      </w:r>
      <w:r>
        <w:rPr>
          <w:lang w:val="de-DE"/>
        </w:rPr>
        <w:t>r</w:t>
      </w:r>
      <w:r w:rsidRPr="00C47725">
        <w:rPr>
          <w:lang w:val="de-DE"/>
        </w:rPr>
        <w:t xml:space="preserve"> TWC zu, dass die Beschreibungen der Methoden für die Anwendung und die Situationen, in denen die Methoden geeignet wären oder nicht geeignet wären, nicht ausreichend </w:t>
      </w:r>
      <w:r>
        <w:rPr>
          <w:lang w:val="de-DE"/>
        </w:rPr>
        <w:t>seien</w:t>
      </w:r>
      <w:r w:rsidRPr="00C47725">
        <w:rPr>
          <w:lang w:val="de-DE"/>
        </w:rPr>
        <w:t>.</w:t>
      </w:r>
    </w:p>
    <w:p w:rsidR="002D20DB" w:rsidRPr="00C47725" w:rsidRDefault="002D20DB" w:rsidP="002D20DB">
      <w:pPr>
        <w:rPr>
          <w:lang w:val="de-DE"/>
        </w:rPr>
      </w:pPr>
      <w:r w:rsidRPr="00C47725">
        <w:rPr>
          <w:lang w:val="de-DE"/>
        </w:rPr>
        <w:t>.</w:t>
      </w:r>
    </w:p>
    <w:p w:rsidR="002D20DB" w:rsidRPr="00C47725" w:rsidRDefault="002D20DB" w:rsidP="002D20DB">
      <w:pPr>
        <w:rPr>
          <w:lang w:val="de-DE"/>
        </w:rPr>
      </w:pPr>
      <w:r w:rsidRPr="00CA7495">
        <w:rPr>
          <w:lang w:val="de-DE"/>
        </w:rPr>
        <w:fldChar w:fldCharType="begin"/>
      </w:r>
      <w:r w:rsidRPr="00CA7495">
        <w:rPr>
          <w:lang w:val="de-DE"/>
        </w:rPr>
        <w:instrText xml:space="preserve"> AUTONUM  </w:instrText>
      </w:r>
      <w:r w:rsidRPr="00CA7495">
        <w:rPr>
          <w:lang w:val="de-DE"/>
        </w:rPr>
        <w:fldChar w:fldCharType="end"/>
      </w:r>
      <w:r w:rsidRPr="00C47725">
        <w:rPr>
          <w:lang w:val="de-DE"/>
        </w:rPr>
        <w:tab/>
        <w:t>Der TC stimmte de</w:t>
      </w:r>
      <w:r>
        <w:rPr>
          <w:lang w:val="de-DE"/>
        </w:rPr>
        <w:t>r</w:t>
      </w:r>
      <w:r w:rsidRPr="00C47725">
        <w:rPr>
          <w:lang w:val="de-DE"/>
        </w:rPr>
        <w:t xml:space="preserve"> TWC zu, die Sachverständigen aus Deutschland, </w:t>
      </w:r>
      <w:r w:rsidR="000B0029" w:rsidRPr="00C47725">
        <w:rPr>
          <w:lang w:val="de-DE"/>
        </w:rPr>
        <w:t>Frankreich</w:t>
      </w:r>
      <w:r w:rsidR="000B0029">
        <w:rPr>
          <w:lang w:val="de-DE"/>
        </w:rPr>
        <w:t>,</w:t>
      </w:r>
      <w:r w:rsidR="000B0029" w:rsidRPr="00C47725">
        <w:rPr>
          <w:lang w:val="de-DE"/>
        </w:rPr>
        <w:t xml:space="preserve"> </w:t>
      </w:r>
      <w:r w:rsidRPr="00C47725">
        <w:rPr>
          <w:lang w:val="de-DE"/>
        </w:rPr>
        <w:t xml:space="preserve">Italien, Japan und dem Vereinigten Königreich zu ersuchen, die folgenden Informationen gegebenenfalls als </w:t>
      </w:r>
      <w:r>
        <w:rPr>
          <w:lang w:val="de-DE"/>
        </w:rPr>
        <w:t xml:space="preserve">einen </w:t>
      </w:r>
      <w:r w:rsidRPr="00C47725">
        <w:rPr>
          <w:lang w:val="de-DE"/>
        </w:rPr>
        <w:t>Ausgangspunkt für die Beschreibung der Anforderungen der einzelnen Ansätze darzulegen:</w:t>
      </w:r>
      <w:r>
        <w:rPr>
          <w:lang w:val="de-DE"/>
        </w:rPr>
        <w:t xml:space="preserve"> </w:t>
      </w:r>
    </w:p>
    <w:p w:rsidR="002D20DB" w:rsidRPr="00C47725" w:rsidRDefault="002D20DB" w:rsidP="002D20DB">
      <w:pPr>
        <w:rPr>
          <w:lang w:val="de-DE"/>
        </w:rPr>
      </w:pPr>
    </w:p>
    <w:p w:rsidR="002D20DB" w:rsidRPr="00C47725" w:rsidRDefault="002D20DB" w:rsidP="002D20DB">
      <w:pPr>
        <w:pStyle w:val="ListParagraph"/>
        <w:numPr>
          <w:ilvl w:val="0"/>
          <w:numId w:val="12"/>
        </w:numPr>
        <w:ind w:left="1134" w:hanging="567"/>
        <w:rPr>
          <w:lang w:val="de-DE"/>
        </w:rPr>
      </w:pPr>
      <w:r w:rsidRPr="00C47725">
        <w:rPr>
          <w:lang w:val="de-DE"/>
        </w:rPr>
        <w:t>Land</w:t>
      </w:r>
    </w:p>
    <w:p w:rsidR="002D20DB" w:rsidRPr="00C47725" w:rsidRDefault="002D20DB" w:rsidP="002D20DB">
      <w:pPr>
        <w:pStyle w:val="ListParagraph"/>
        <w:numPr>
          <w:ilvl w:val="0"/>
          <w:numId w:val="12"/>
        </w:numPr>
        <w:ind w:left="1134" w:hanging="567"/>
        <w:rPr>
          <w:lang w:val="de-DE"/>
        </w:rPr>
      </w:pPr>
      <w:r w:rsidRPr="00C47725">
        <w:rPr>
          <w:lang w:val="de-DE"/>
        </w:rPr>
        <w:t>Methode</w:t>
      </w:r>
    </w:p>
    <w:p w:rsidR="002D20DB" w:rsidRPr="00C47725" w:rsidRDefault="002D20DB" w:rsidP="002D20DB">
      <w:pPr>
        <w:pStyle w:val="ListParagraph"/>
        <w:numPr>
          <w:ilvl w:val="0"/>
          <w:numId w:val="12"/>
        </w:numPr>
        <w:ind w:left="1134" w:hanging="567"/>
        <w:rPr>
          <w:lang w:val="de-DE"/>
        </w:rPr>
      </w:pPr>
      <w:r w:rsidRPr="00C47725">
        <w:rPr>
          <w:lang w:val="de-DE"/>
        </w:rPr>
        <w:t>Ist ein vollständiger Satz von Beispielsorten erforderlich? [</w:t>
      </w:r>
      <w:r>
        <w:rPr>
          <w:lang w:val="de-DE"/>
        </w:rPr>
        <w:t>„</w:t>
      </w:r>
      <w:r w:rsidRPr="00C47725">
        <w:rPr>
          <w:lang w:val="de-DE"/>
        </w:rPr>
        <w:t>Ja</w:t>
      </w:r>
      <w:r>
        <w:rPr>
          <w:lang w:val="de-DE"/>
        </w:rPr>
        <w:t>“</w:t>
      </w:r>
      <w:r w:rsidRPr="00C47725">
        <w:rPr>
          <w:lang w:val="de-DE"/>
        </w:rPr>
        <w:t>,</w:t>
      </w:r>
      <w:r>
        <w:rPr>
          <w:lang w:val="de-DE"/>
        </w:rPr>
        <w:t xml:space="preserve"> „</w:t>
      </w:r>
      <w:r w:rsidRPr="00C47725">
        <w:rPr>
          <w:lang w:val="de-DE"/>
        </w:rPr>
        <w:t>nein</w:t>
      </w:r>
      <w:r>
        <w:rPr>
          <w:lang w:val="de-DE"/>
        </w:rPr>
        <w:t>“</w:t>
      </w:r>
      <w:r w:rsidRPr="00C47725">
        <w:rPr>
          <w:lang w:val="de-DE"/>
        </w:rPr>
        <w:t xml:space="preserve"> oder</w:t>
      </w:r>
      <w:r>
        <w:rPr>
          <w:lang w:val="de-DE"/>
        </w:rPr>
        <w:t xml:space="preserve"> „nicht zutreffend“</w:t>
      </w:r>
      <w:r w:rsidRPr="00C47725">
        <w:rPr>
          <w:lang w:val="de-DE"/>
        </w:rPr>
        <w:t>]</w:t>
      </w:r>
    </w:p>
    <w:p w:rsidR="002D20DB" w:rsidRPr="00C47725" w:rsidRDefault="002D20DB" w:rsidP="002D20DB">
      <w:pPr>
        <w:pStyle w:val="ListParagraph"/>
        <w:numPr>
          <w:ilvl w:val="0"/>
          <w:numId w:val="12"/>
        </w:numPr>
        <w:ind w:left="1134" w:hanging="567"/>
        <w:rPr>
          <w:lang w:val="de-DE"/>
        </w:rPr>
      </w:pPr>
      <w:r w:rsidRPr="00C47725">
        <w:rPr>
          <w:lang w:val="de-DE"/>
        </w:rPr>
        <w:t>Ist eine Teilmenge von Beispielssorten erforderlich? [</w:t>
      </w:r>
      <w:r>
        <w:rPr>
          <w:lang w:val="de-DE"/>
        </w:rPr>
        <w:t>„</w:t>
      </w:r>
      <w:r w:rsidRPr="00C47725">
        <w:rPr>
          <w:lang w:val="de-DE"/>
        </w:rPr>
        <w:t>Ja</w:t>
      </w:r>
      <w:r>
        <w:rPr>
          <w:lang w:val="de-DE"/>
        </w:rPr>
        <w:t>“</w:t>
      </w:r>
      <w:r w:rsidRPr="00C47725">
        <w:rPr>
          <w:lang w:val="de-DE"/>
        </w:rPr>
        <w:t>,</w:t>
      </w:r>
      <w:r>
        <w:rPr>
          <w:lang w:val="de-DE"/>
        </w:rPr>
        <w:t xml:space="preserve"> „</w:t>
      </w:r>
      <w:r w:rsidRPr="00C47725">
        <w:rPr>
          <w:lang w:val="de-DE"/>
        </w:rPr>
        <w:t>nein</w:t>
      </w:r>
      <w:r>
        <w:rPr>
          <w:lang w:val="de-DE"/>
        </w:rPr>
        <w:t>“</w:t>
      </w:r>
      <w:r w:rsidRPr="00C47725">
        <w:rPr>
          <w:lang w:val="de-DE"/>
        </w:rPr>
        <w:t xml:space="preserve"> oder</w:t>
      </w:r>
      <w:r>
        <w:rPr>
          <w:lang w:val="de-DE"/>
        </w:rPr>
        <w:t xml:space="preserve"> „nicht zutreffend“</w:t>
      </w:r>
      <w:r w:rsidRPr="00C47725">
        <w:rPr>
          <w:lang w:val="de-DE"/>
        </w:rPr>
        <w:t>]</w:t>
      </w:r>
    </w:p>
    <w:p w:rsidR="002D20DB" w:rsidRPr="00C47725" w:rsidRDefault="002D20DB" w:rsidP="002D20DB">
      <w:pPr>
        <w:pStyle w:val="ListParagraph"/>
        <w:numPr>
          <w:ilvl w:val="0"/>
          <w:numId w:val="12"/>
        </w:numPr>
        <w:ind w:left="1134" w:hanging="567"/>
        <w:rPr>
          <w:lang w:val="de-DE"/>
        </w:rPr>
      </w:pPr>
      <w:r w:rsidRPr="00C47725">
        <w:rPr>
          <w:lang w:val="de-DE"/>
        </w:rPr>
        <w:t>Sorten x Jahre Freiheitsgrad &gt; 15? [</w:t>
      </w:r>
      <w:r>
        <w:rPr>
          <w:lang w:val="de-DE"/>
        </w:rPr>
        <w:t>„</w:t>
      </w:r>
      <w:r w:rsidRPr="00C47725">
        <w:rPr>
          <w:lang w:val="de-DE"/>
        </w:rPr>
        <w:t>Ja</w:t>
      </w:r>
      <w:r>
        <w:rPr>
          <w:lang w:val="de-DE"/>
        </w:rPr>
        <w:t>“</w:t>
      </w:r>
      <w:r w:rsidRPr="00C47725">
        <w:rPr>
          <w:lang w:val="de-DE"/>
        </w:rPr>
        <w:t>,</w:t>
      </w:r>
      <w:r>
        <w:rPr>
          <w:lang w:val="de-DE"/>
        </w:rPr>
        <w:t xml:space="preserve"> „</w:t>
      </w:r>
      <w:r w:rsidRPr="00C47725">
        <w:rPr>
          <w:lang w:val="de-DE"/>
        </w:rPr>
        <w:t>nein</w:t>
      </w:r>
      <w:r>
        <w:rPr>
          <w:lang w:val="de-DE"/>
        </w:rPr>
        <w:t>“</w:t>
      </w:r>
      <w:r w:rsidRPr="00C47725">
        <w:rPr>
          <w:lang w:val="de-DE"/>
        </w:rPr>
        <w:t xml:space="preserve"> oder</w:t>
      </w:r>
      <w:r>
        <w:rPr>
          <w:lang w:val="de-DE"/>
        </w:rPr>
        <w:t xml:space="preserve"> „nicht zutreffend“</w:t>
      </w:r>
      <w:r w:rsidRPr="00C47725">
        <w:rPr>
          <w:lang w:val="de-DE"/>
        </w:rPr>
        <w:t>]</w:t>
      </w:r>
    </w:p>
    <w:p w:rsidR="002D20DB" w:rsidRPr="00C47725" w:rsidRDefault="002D20DB" w:rsidP="002D20DB">
      <w:pPr>
        <w:pStyle w:val="ListParagraph"/>
        <w:numPr>
          <w:ilvl w:val="0"/>
          <w:numId w:val="12"/>
        </w:numPr>
        <w:ind w:left="1134" w:hanging="567"/>
        <w:rPr>
          <w:lang w:val="de-DE"/>
        </w:rPr>
      </w:pPr>
      <w:r w:rsidRPr="00C47725">
        <w:rPr>
          <w:lang w:val="de-DE"/>
        </w:rPr>
        <w:lastRenderedPageBreak/>
        <w:t>Sind eingrenzende Sorten erforderlich? [</w:t>
      </w:r>
      <w:r>
        <w:rPr>
          <w:lang w:val="de-DE"/>
        </w:rPr>
        <w:t>„</w:t>
      </w:r>
      <w:r w:rsidRPr="00C47725">
        <w:rPr>
          <w:lang w:val="de-DE"/>
        </w:rPr>
        <w:t>Ja</w:t>
      </w:r>
      <w:r>
        <w:rPr>
          <w:lang w:val="de-DE"/>
        </w:rPr>
        <w:t>“</w:t>
      </w:r>
      <w:r w:rsidRPr="00C47725">
        <w:rPr>
          <w:lang w:val="de-DE"/>
        </w:rPr>
        <w:t>,</w:t>
      </w:r>
      <w:r>
        <w:rPr>
          <w:lang w:val="de-DE"/>
        </w:rPr>
        <w:t xml:space="preserve"> „</w:t>
      </w:r>
      <w:r w:rsidRPr="00C47725">
        <w:rPr>
          <w:lang w:val="de-DE"/>
        </w:rPr>
        <w:t>nein</w:t>
      </w:r>
      <w:r>
        <w:rPr>
          <w:lang w:val="de-DE"/>
        </w:rPr>
        <w:t>“</w:t>
      </w:r>
      <w:r w:rsidRPr="00C47725">
        <w:rPr>
          <w:lang w:val="de-DE"/>
        </w:rPr>
        <w:t xml:space="preserve"> oder</w:t>
      </w:r>
      <w:r>
        <w:rPr>
          <w:lang w:val="de-DE"/>
        </w:rPr>
        <w:t xml:space="preserve"> „nicht zutreffend“</w:t>
      </w:r>
      <w:r w:rsidRPr="00C47725">
        <w:rPr>
          <w:lang w:val="de-DE"/>
        </w:rPr>
        <w:t>]</w:t>
      </w:r>
    </w:p>
    <w:p w:rsidR="002D20DB" w:rsidRPr="00C47725" w:rsidRDefault="002D20DB" w:rsidP="002D20DB">
      <w:pPr>
        <w:pStyle w:val="ListParagraph"/>
        <w:numPr>
          <w:ilvl w:val="0"/>
          <w:numId w:val="12"/>
        </w:numPr>
        <w:ind w:left="1134" w:hanging="567"/>
        <w:rPr>
          <w:lang w:val="de-DE"/>
        </w:rPr>
      </w:pPr>
      <w:r w:rsidRPr="00C47725">
        <w:rPr>
          <w:lang w:val="de-DE"/>
        </w:rPr>
        <w:t>Ist ein Gutachten</w:t>
      </w:r>
      <w:r>
        <w:rPr>
          <w:lang w:val="de-DE"/>
        </w:rPr>
        <w:t xml:space="preserve"> von einem Pflanzensachverständigen</w:t>
      </w:r>
      <w:r w:rsidRPr="00C47725">
        <w:rPr>
          <w:lang w:val="de-DE"/>
        </w:rPr>
        <w:t xml:space="preserve"> erforderlich? [</w:t>
      </w:r>
      <w:r>
        <w:rPr>
          <w:lang w:val="de-DE"/>
        </w:rPr>
        <w:t>„</w:t>
      </w:r>
      <w:r w:rsidRPr="00C47725">
        <w:rPr>
          <w:lang w:val="de-DE"/>
        </w:rPr>
        <w:t>Ja</w:t>
      </w:r>
      <w:r>
        <w:rPr>
          <w:lang w:val="de-DE"/>
        </w:rPr>
        <w:t>“</w:t>
      </w:r>
      <w:r w:rsidRPr="00C47725">
        <w:rPr>
          <w:lang w:val="de-DE"/>
        </w:rPr>
        <w:t>,</w:t>
      </w:r>
      <w:r>
        <w:rPr>
          <w:lang w:val="de-DE"/>
        </w:rPr>
        <w:t xml:space="preserve"> „</w:t>
      </w:r>
      <w:r w:rsidRPr="00C47725">
        <w:rPr>
          <w:lang w:val="de-DE"/>
        </w:rPr>
        <w:t>nein</w:t>
      </w:r>
      <w:r>
        <w:rPr>
          <w:lang w:val="de-DE"/>
        </w:rPr>
        <w:t>“</w:t>
      </w:r>
      <w:r w:rsidRPr="00C47725">
        <w:rPr>
          <w:lang w:val="de-DE"/>
        </w:rPr>
        <w:t xml:space="preserve"> oder</w:t>
      </w:r>
      <w:r>
        <w:rPr>
          <w:lang w:val="de-DE"/>
        </w:rPr>
        <w:t xml:space="preserve"> „nicht zutreffend“</w:t>
      </w:r>
      <w:r w:rsidRPr="00C47725">
        <w:rPr>
          <w:lang w:val="de-DE"/>
        </w:rPr>
        <w:t>]</w:t>
      </w:r>
    </w:p>
    <w:p w:rsidR="002D20DB" w:rsidRPr="00C47725" w:rsidRDefault="002D20DB" w:rsidP="002D20DB">
      <w:pPr>
        <w:pStyle w:val="ListParagraph"/>
        <w:numPr>
          <w:ilvl w:val="0"/>
          <w:numId w:val="12"/>
        </w:numPr>
        <w:ind w:left="1134" w:hanging="567"/>
        <w:rPr>
          <w:lang w:val="de-DE"/>
        </w:rPr>
      </w:pPr>
      <w:r w:rsidRPr="00C47725">
        <w:rPr>
          <w:lang w:val="de-DE"/>
        </w:rPr>
        <w:t>Ist die vollständige Variationsbreite der Ausprägung</w:t>
      </w:r>
      <w:r>
        <w:rPr>
          <w:lang w:val="de-DE"/>
        </w:rPr>
        <w:t xml:space="preserve"> </w:t>
      </w:r>
      <w:r w:rsidRPr="00C47725">
        <w:rPr>
          <w:lang w:val="de-DE"/>
        </w:rPr>
        <w:t>in der Anbauprüfung erforderlich? [</w:t>
      </w:r>
      <w:r>
        <w:rPr>
          <w:lang w:val="de-DE"/>
        </w:rPr>
        <w:t>„</w:t>
      </w:r>
      <w:r w:rsidRPr="00C47725">
        <w:rPr>
          <w:lang w:val="de-DE"/>
        </w:rPr>
        <w:t>Ja</w:t>
      </w:r>
      <w:r>
        <w:rPr>
          <w:lang w:val="de-DE"/>
        </w:rPr>
        <w:t>“</w:t>
      </w:r>
      <w:r w:rsidRPr="00C47725">
        <w:rPr>
          <w:lang w:val="de-DE"/>
        </w:rPr>
        <w:t>,</w:t>
      </w:r>
      <w:r>
        <w:rPr>
          <w:lang w:val="de-DE"/>
        </w:rPr>
        <w:t xml:space="preserve"> „</w:t>
      </w:r>
      <w:r w:rsidRPr="00C47725">
        <w:rPr>
          <w:lang w:val="de-DE"/>
        </w:rPr>
        <w:t>nein</w:t>
      </w:r>
      <w:r>
        <w:rPr>
          <w:lang w:val="de-DE"/>
        </w:rPr>
        <w:t>“</w:t>
      </w:r>
      <w:r w:rsidRPr="00C47725">
        <w:rPr>
          <w:lang w:val="de-DE"/>
        </w:rPr>
        <w:t xml:space="preserve"> oder</w:t>
      </w:r>
      <w:r>
        <w:rPr>
          <w:lang w:val="de-DE"/>
        </w:rPr>
        <w:t xml:space="preserve"> „nicht zutreffend“</w:t>
      </w:r>
      <w:r w:rsidRPr="00C47725">
        <w:rPr>
          <w:lang w:val="de-DE"/>
        </w:rPr>
        <w:t>]</w:t>
      </w:r>
    </w:p>
    <w:p w:rsidR="002D20DB" w:rsidRPr="00C47725" w:rsidRDefault="002D20DB" w:rsidP="002D20DB">
      <w:pPr>
        <w:pStyle w:val="ListParagraph"/>
        <w:numPr>
          <w:ilvl w:val="0"/>
          <w:numId w:val="12"/>
        </w:numPr>
        <w:ind w:left="1134" w:hanging="567"/>
        <w:rPr>
          <w:lang w:val="de-DE"/>
        </w:rPr>
      </w:pPr>
      <w:r w:rsidRPr="00C47725">
        <w:rPr>
          <w:lang w:val="de-DE"/>
        </w:rPr>
        <w:t>Kann die Methode auch bei zyklischen Pflanzungen angewendet werden? [</w:t>
      </w:r>
      <w:r>
        <w:rPr>
          <w:lang w:val="de-DE"/>
        </w:rPr>
        <w:t>„</w:t>
      </w:r>
      <w:r w:rsidRPr="00C47725">
        <w:rPr>
          <w:lang w:val="de-DE"/>
        </w:rPr>
        <w:t>Ja</w:t>
      </w:r>
      <w:r>
        <w:rPr>
          <w:lang w:val="de-DE"/>
        </w:rPr>
        <w:t>“</w:t>
      </w:r>
      <w:r w:rsidRPr="00C47725">
        <w:rPr>
          <w:lang w:val="de-DE"/>
        </w:rPr>
        <w:t>,</w:t>
      </w:r>
      <w:r>
        <w:rPr>
          <w:lang w:val="de-DE"/>
        </w:rPr>
        <w:t xml:space="preserve"> „</w:t>
      </w:r>
      <w:r w:rsidRPr="00C47725">
        <w:rPr>
          <w:lang w:val="de-DE"/>
        </w:rPr>
        <w:t>nein</w:t>
      </w:r>
      <w:r>
        <w:rPr>
          <w:lang w:val="de-DE"/>
        </w:rPr>
        <w:t>“</w:t>
      </w:r>
      <w:r w:rsidRPr="00C47725">
        <w:rPr>
          <w:lang w:val="de-DE"/>
        </w:rPr>
        <w:t xml:space="preserve"> oder</w:t>
      </w:r>
      <w:r>
        <w:rPr>
          <w:lang w:val="de-DE"/>
        </w:rPr>
        <w:t xml:space="preserve"> „nicht zutreffend“</w:t>
      </w:r>
      <w:r w:rsidRPr="00C47725">
        <w:rPr>
          <w:lang w:val="de-DE"/>
        </w:rPr>
        <w:t>]</w:t>
      </w:r>
    </w:p>
    <w:p w:rsidR="002D20DB" w:rsidRPr="00C47725" w:rsidRDefault="002D20DB" w:rsidP="002D20DB">
      <w:pPr>
        <w:pStyle w:val="ListParagraph"/>
        <w:numPr>
          <w:ilvl w:val="0"/>
          <w:numId w:val="12"/>
        </w:numPr>
        <w:ind w:left="1134" w:hanging="567"/>
        <w:rPr>
          <w:lang w:val="de-DE"/>
        </w:rPr>
      </w:pPr>
      <w:r w:rsidRPr="00C47725">
        <w:rPr>
          <w:lang w:val="de-DE"/>
        </w:rPr>
        <w:t>Ist ein</w:t>
      </w:r>
      <w:r>
        <w:rPr>
          <w:lang w:val="de-DE"/>
        </w:rPr>
        <w:t>e</w:t>
      </w:r>
      <w:r w:rsidRPr="00C47725">
        <w:rPr>
          <w:lang w:val="de-DE"/>
        </w:rPr>
        <w:t xml:space="preserve"> kontinuierliche Variationsbreite der Ausprägung erforderlich? [</w:t>
      </w:r>
      <w:r>
        <w:rPr>
          <w:lang w:val="de-DE"/>
        </w:rPr>
        <w:t>„</w:t>
      </w:r>
      <w:r w:rsidRPr="00C47725">
        <w:rPr>
          <w:lang w:val="de-DE"/>
        </w:rPr>
        <w:t>Ja</w:t>
      </w:r>
      <w:r>
        <w:rPr>
          <w:lang w:val="de-DE"/>
        </w:rPr>
        <w:t>“</w:t>
      </w:r>
      <w:r w:rsidRPr="00C47725">
        <w:rPr>
          <w:lang w:val="de-DE"/>
        </w:rPr>
        <w:t>,</w:t>
      </w:r>
      <w:r>
        <w:rPr>
          <w:lang w:val="de-DE"/>
        </w:rPr>
        <w:t xml:space="preserve"> „</w:t>
      </w:r>
      <w:r w:rsidRPr="00C47725">
        <w:rPr>
          <w:lang w:val="de-DE"/>
        </w:rPr>
        <w:t>nein</w:t>
      </w:r>
      <w:r>
        <w:rPr>
          <w:lang w:val="de-DE"/>
        </w:rPr>
        <w:t>“</w:t>
      </w:r>
      <w:r w:rsidRPr="00C47725">
        <w:rPr>
          <w:lang w:val="de-DE"/>
        </w:rPr>
        <w:t xml:space="preserve"> oder</w:t>
      </w:r>
      <w:r>
        <w:rPr>
          <w:lang w:val="de-DE"/>
        </w:rPr>
        <w:t xml:space="preserve"> „nicht zutreffend“</w:t>
      </w:r>
      <w:r w:rsidRPr="00C47725">
        <w:rPr>
          <w:lang w:val="de-DE"/>
        </w:rPr>
        <w:t>]</w:t>
      </w:r>
    </w:p>
    <w:p w:rsidR="002D20DB" w:rsidRPr="00C47725" w:rsidRDefault="002D20DB" w:rsidP="002D20DB">
      <w:pPr>
        <w:rPr>
          <w:lang w:val="de-DE"/>
        </w:rPr>
      </w:pPr>
    </w:p>
    <w:p w:rsidR="002D20DB" w:rsidRPr="00C47725" w:rsidRDefault="002D20DB" w:rsidP="002D20DB">
      <w:pPr>
        <w:rPr>
          <w:lang w:val="de-DE"/>
        </w:rPr>
      </w:pPr>
      <w:r w:rsidRPr="001A01BC">
        <w:rPr>
          <w:lang w:val="de-DE"/>
        </w:rPr>
        <w:fldChar w:fldCharType="begin"/>
      </w:r>
      <w:r w:rsidRPr="001A01BC">
        <w:rPr>
          <w:lang w:val="de-DE"/>
        </w:rPr>
        <w:instrText xml:space="preserve"> AUTONUM  </w:instrText>
      </w:r>
      <w:r w:rsidRPr="001A01BC">
        <w:rPr>
          <w:lang w:val="de-DE"/>
        </w:rPr>
        <w:fldChar w:fldCharType="end"/>
      </w:r>
      <w:r w:rsidRPr="00C47725">
        <w:rPr>
          <w:lang w:val="de-DE"/>
        </w:rPr>
        <w:tab/>
        <w:t>Der TC stimmte der TWC zu, dass von den Sachverständigen, die Informationen zur Verfügung stellen, gegebenenfalls weitere Kriterien oder Anforderungen hinzugefügt werden könnten.</w:t>
      </w:r>
    </w:p>
    <w:p w:rsidR="002D20DB" w:rsidRPr="00C47725" w:rsidRDefault="002D20DB" w:rsidP="002D20DB">
      <w:pPr>
        <w:rPr>
          <w:lang w:val="de-DE"/>
        </w:rPr>
      </w:pPr>
    </w:p>
    <w:p w:rsidR="002D20DB" w:rsidRPr="00C47725" w:rsidRDefault="002D20DB" w:rsidP="002D20DB">
      <w:pPr>
        <w:rPr>
          <w:lang w:val="de-DE"/>
        </w:rPr>
      </w:pPr>
      <w:r w:rsidRPr="001A01BC">
        <w:rPr>
          <w:lang w:val="de-DE"/>
        </w:rPr>
        <w:fldChar w:fldCharType="begin"/>
      </w:r>
      <w:r w:rsidRPr="001A01BC">
        <w:rPr>
          <w:lang w:val="de-DE"/>
        </w:rPr>
        <w:instrText xml:space="preserve"> AUTONUM  </w:instrText>
      </w:r>
      <w:r w:rsidRPr="001A01BC">
        <w:rPr>
          <w:lang w:val="de-DE"/>
        </w:rPr>
        <w:fldChar w:fldCharType="end"/>
      </w:r>
      <w:r w:rsidRPr="00C47725">
        <w:rPr>
          <w:lang w:val="de-DE"/>
        </w:rPr>
        <w:tab/>
        <w:t xml:space="preserve">Der TC stimmte der TWC zu, die Sachverständigen aus Deutschland, </w:t>
      </w:r>
      <w:r w:rsidR="00A34EE0" w:rsidRPr="00C47725">
        <w:rPr>
          <w:lang w:val="de-DE"/>
        </w:rPr>
        <w:t>Frankreich</w:t>
      </w:r>
      <w:r w:rsidR="00A34EE0">
        <w:rPr>
          <w:lang w:val="de-DE"/>
        </w:rPr>
        <w:t>,</w:t>
      </w:r>
      <w:r w:rsidR="00A34EE0" w:rsidRPr="00C47725">
        <w:rPr>
          <w:lang w:val="de-DE"/>
        </w:rPr>
        <w:t xml:space="preserve"> </w:t>
      </w:r>
      <w:r w:rsidRPr="00C47725">
        <w:rPr>
          <w:lang w:val="de-DE"/>
        </w:rPr>
        <w:t xml:space="preserve">Italien und Japan zu ersuchen, dem Sachverständigen aus dem Vereinigten Königreich die vom TC </w:t>
      </w:r>
      <w:r>
        <w:rPr>
          <w:lang w:val="de-DE"/>
        </w:rPr>
        <w:t>erbeten</w:t>
      </w:r>
      <w:r w:rsidRPr="00C47725">
        <w:rPr>
          <w:lang w:val="de-DE"/>
        </w:rPr>
        <w:t xml:space="preserve">en Informationen zur Verfügung zu stellen. </w:t>
      </w:r>
    </w:p>
    <w:p w:rsidR="002D20DB" w:rsidRPr="00C47725" w:rsidRDefault="002D20DB" w:rsidP="002D20DB">
      <w:pPr>
        <w:rPr>
          <w:lang w:val="de-DE"/>
        </w:rPr>
      </w:pPr>
    </w:p>
    <w:p w:rsidR="002D20DB" w:rsidRPr="00C47725" w:rsidRDefault="002D20DB" w:rsidP="002D20DB">
      <w:pPr>
        <w:pStyle w:val="Heading5"/>
        <w:rPr>
          <w:rFonts w:eastAsia="MS Mincho"/>
          <w:lang w:val="de-DE"/>
        </w:rPr>
      </w:pPr>
      <w:bookmarkStart w:id="15" w:name="_Toc21683358"/>
      <w:r w:rsidRPr="00C47725">
        <w:rPr>
          <w:rFonts w:eastAsia="MS Mincho"/>
          <w:lang w:val="de-DE"/>
        </w:rPr>
        <w:t>Das kombinierte Homogenitätskriterium über mehrere Jahre (COYU)</w:t>
      </w:r>
      <w:bookmarkEnd w:id="15"/>
    </w:p>
    <w:p w:rsidR="002D20DB" w:rsidRPr="00C47725" w:rsidRDefault="002D20DB" w:rsidP="002D20DB">
      <w:pPr>
        <w:keepNext/>
        <w:rPr>
          <w:rFonts w:eastAsia="MS Mincho"/>
          <w:lang w:val="de-DE"/>
        </w:rPr>
      </w:pPr>
    </w:p>
    <w:p w:rsidR="002D20DB" w:rsidRPr="00C47725" w:rsidRDefault="002D20DB" w:rsidP="002D20DB">
      <w:pPr>
        <w:keepNext/>
        <w:rPr>
          <w:rFonts w:eastAsia="MS Mincho"/>
          <w:lang w:val="de-DE"/>
        </w:rPr>
      </w:pPr>
      <w:r w:rsidRPr="001A01BC">
        <w:rPr>
          <w:rFonts w:eastAsia="MS Mincho"/>
          <w:lang w:val="de-DE"/>
        </w:rPr>
        <w:fldChar w:fldCharType="begin"/>
      </w:r>
      <w:r w:rsidRPr="001A01BC">
        <w:rPr>
          <w:rFonts w:eastAsia="MS Mincho"/>
          <w:lang w:val="de-DE"/>
        </w:rPr>
        <w:instrText xml:space="preserve"> AUTONUM  </w:instrText>
      </w:r>
      <w:r w:rsidRPr="001A01BC">
        <w:rPr>
          <w:rFonts w:eastAsia="MS Mincho"/>
          <w:lang w:val="de-DE"/>
        </w:rPr>
        <w:fldChar w:fldCharType="end"/>
      </w:r>
      <w:r w:rsidRPr="00C47725">
        <w:rPr>
          <w:rFonts w:eastAsia="MS Mincho"/>
          <w:lang w:val="de-DE"/>
        </w:rPr>
        <w:tab/>
        <w:t>Der TC prüfte Dokumente TC/55/4 und TC/55/4 Add.</w:t>
      </w:r>
    </w:p>
    <w:p w:rsidR="002D20DB" w:rsidRPr="00C47725" w:rsidRDefault="002D20DB" w:rsidP="002D20DB">
      <w:pPr>
        <w:rPr>
          <w:rFonts w:eastAsia="MS Mincho"/>
          <w:lang w:val="de-DE"/>
        </w:rPr>
      </w:pPr>
    </w:p>
    <w:p w:rsidR="002D20DB" w:rsidRPr="00C47725" w:rsidRDefault="002D20DB" w:rsidP="002D20DB">
      <w:pPr>
        <w:rPr>
          <w:rFonts w:eastAsia="MS Mincho"/>
          <w:lang w:val="de-DE"/>
        </w:rPr>
      </w:pPr>
      <w:r w:rsidRPr="00CA7495">
        <w:rPr>
          <w:rFonts w:eastAsia="MS Mincho"/>
          <w:lang w:val="de-DE"/>
        </w:rPr>
        <w:fldChar w:fldCharType="begin"/>
      </w:r>
      <w:r w:rsidRPr="00CA7495">
        <w:rPr>
          <w:rFonts w:eastAsia="MS Mincho"/>
          <w:lang w:val="de-DE"/>
        </w:rPr>
        <w:instrText xml:space="preserve"> AUTONUM  </w:instrText>
      </w:r>
      <w:r w:rsidRPr="00CA7495">
        <w:rPr>
          <w:rFonts w:eastAsia="MS Mincho"/>
          <w:lang w:val="de-DE"/>
        </w:rPr>
        <w:fldChar w:fldCharType="end"/>
      </w:r>
      <w:r w:rsidRPr="00C47725">
        <w:rPr>
          <w:rFonts w:eastAsia="MS Mincho"/>
          <w:lang w:val="de-DE"/>
        </w:rPr>
        <w:tab/>
        <w:t>Der TC nahm zur Kenntnis, dass die TWC auf ihrer siebenunddreißigsten Tagung einen Entwurf eines Ersatzabschnitts</w:t>
      </w:r>
      <w:r>
        <w:rPr>
          <w:rFonts w:eastAsia="MS Mincho"/>
          <w:lang w:val="de-DE"/>
        </w:rPr>
        <w:t xml:space="preserve"> für Dokument</w:t>
      </w:r>
      <w:r w:rsidRPr="00C47725">
        <w:rPr>
          <w:rFonts w:eastAsia="MS Mincho"/>
          <w:lang w:val="de-DE"/>
        </w:rPr>
        <w:t xml:space="preserve"> TGP/8 über die Berechnungsmethode von COYU geprüft hat</w:t>
      </w:r>
      <w:r>
        <w:rPr>
          <w:rFonts w:eastAsia="MS Mincho"/>
          <w:lang w:val="de-DE"/>
        </w:rPr>
        <w:t>te</w:t>
      </w:r>
      <w:r w:rsidRPr="00C47725">
        <w:rPr>
          <w:rFonts w:eastAsia="MS Mincho"/>
          <w:lang w:val="de-DE"/>
        </w:rPr>
        <w:t>, wie in Dokument TC/55/4 Add. dargelegt. Der TC nahm das Gesuch der TWC an den Sachverständigen aus dem Vereinigten Königreich</w:t>
      </w:r>
      <w:r>
        <w:rPr>
          <w:rFonts w:eastAsia="MS Mincho"/>
          <w:lang w:val="de-DE"/>
        </w:rPr>
        <w:t xml:space="preserve"> zur Kenntnis</w:t>
      </w:r>
      <w:r w:rsidRPr="00C47725">
        <w:rPr>
          <w:rFonts w:eastAsia="MS Mincho"/>
          <w:lang w:val="de-DE"/>
        </w:rPr>
        <w:t xml:space="preserve">, eine überarbeitete Fassung des Entwurfs einer Anleitung zu erstellen, die der TWC auf ihrer achtunddreißigsten Tagung vorgelegt werden soll. </w:t>
      </w:r>
    </w:p>
    <w:p w:rsidR="002D20DB" w:rsidRPr="00C47725" w:rsidRDefault="002D20DB" w:rsidP="002D20DB">
      <w:pPr>
        <w:rPr>
          <w:rFonts w:eastAsia="MS Mincho"/>
          <w:lang w:val="de-DE"/>
        </w:rPr>
      </w:pPr>
    </w:p>
    <w:p w:rsidR="002D20DB" w:rsidRPr="00C47725" w:rsidRDefault="002D20DB" w:rsidP="002D20DB">
      <w:pPr>
        <w:rPr>
          <w:lang w:val="de-DE"/>
        </w:rPr>
      </w:pPr>
      <w:r w:rsidRPr="001A01BC">
        <w:rPr>
          <w:lang w:val="de-DE"/>
        </w:rPr>
        <w:fldChar w:fldCharType="begin"/>
      </w:r>
      <w:r w:rsidRPr="001A01BC">
        <w:rPr>
          <w:lang w:val="de-DE"/>
        </w:rPr>
        <w:instrText xml:space="preserve"> AUTONUM  </w:instrText>
      </w:r>
      <w:r w:rsidRPr="001A01BC">
        <w:rPr>
          <w:lang w:val="de-DE"/>
        </w:rPr>
        <w:fldChar w:fldCharType="end"/>
      </w:r>
      <w:r w:rsidRPr="00C47725">
        <w:rPr>
          <w:lang w:val="de-DE"/>
        </w:rPr>
        <w:tab/>
        <w:t>Der TC nahm das Gesuch der TWC an Mitglieder, die die Software</w:t>
      </w:r>
      <w:r>
        <w:rPr>
          <w:lang w:val="de-DE"/>
        </w:rPr>
        <w:t xml:space="preserve"> „</w:t>
      </w:r>
      <w:r w:rsidRPr="00C47725">
        <w:rPr>
          <w:lang w:val="de-DE"/>
        </w:rPr>
        <w:t>R</w:t>
      </w:r>
      <w:r>
        <w:rPr>
          <w:lang w:val="de-DE"/>
        </w:rPr>
        <w:t>“</w:t>
      </w:r>
      <w:r w:rsidRPr="00C47725">
        <w:rPr>
          <w:lang w:val="de-DE"/>
        </w:rPr>
        <w:t xml:space="preserve"> oder</w:t>
      </w:r>
      <w:r>
        <w:rPr>
          <w:lang w:val="de-DE"/>
        </w:rPr>
        <w:t xml:space="preserve"> „</w:t>
      </w:r>
      <w:r w:rsidRPr="00C47725">
        <w:rPr>
          <w:lang w:val="de-DE"/>
        </w:rPr>
        <w:t>DUST</w:t>
      </w:r>
      <w:r>
        <w:rPr>
          <w:lang w:val="de-DE"/>
        </w:rPr>
        <w:t>“</w:t>
      </w:r>
      <w:r w:rsidRPr="00C47725">
        <w:rPr>
          <w:lang w:val="de-DE"/>
        </w:rPr>
        <w:t xml:space="preserve"> verwenden</w:t>
      </w:r>
      <w:r>
        <w:rPr>
          <w:lang w:val="de-DE"/>
        </w:rPr>
        <w:t>, zur Kenntnis</w:t>
      </w:r>
      <w:r w:rsidRPr="00C47725">
        <w:rPr>
          <w:lang w:val="de-DE"/>
        </w:rPr>
        <w:t xml:space="preserve">, das neue COYU-Paket zu überprüfen, um mögliche </w:t>
      </w:r>
      <w:r>
        <w:rPr>
          <w:lang w:val="de-DE"/>
        </w:rPr>
        <w:t>Verbesserungspunkt</w:t>
      </w:r>
      <w:r w:rsidRPr="00C47725">
        <w:rPr>
          <w:lang w:val="de-DE"/>
        </w:rPr>
        <w:t xml:space="preserve">e zu </w:t>
      </w:r>
      <w:r>
        <w:rPr>
          <w:lang w:val="de-DE"/>
        </w:rPr>
        <w:t>ermitteln</w:t>
      </w:r>
      <w:r w:rsidRPr="00C47725">
        <w:rPr>
          <w:lang w:val="de-DE"/>
        </w:rPr>
        <w:t xml:space="preserve">. </w:t>
      </w:r>
    </w:p>
    <w:p w:rsidR="002D20DB" w:rsidRPr="00C47725" w:rsidRDefault="002D20DB" w:rsidP="002D20DB">
      <w:pPr>
        <w:rPr>
          <w:lang w:val="de-DE"/>
        </w:rPr>
      </w:pPr>
    </w:p>
    <w:p w:rsidR="002D20DB" w:rsidRPr="00C47725" w:rsidRDefault="002D20DB" w:rsidP="002D20DB">
      <w:pPr>
        <w:pStyle w:val="Heading4"/>
        <w:rPr>
          <w:lang w:val="de-DE"/>
        </w:rPr>
      </w:pPr>
      <w:r w:rsidRPr="00C47725">
        <w:rPr>
          <w:lang w:val="de-DE"/>
        </w:rPr>
        <w:t xml:space="preserve">TGP/14: </w:t>
      </w:r>
      <w:r w:rsidRPr="00C47725">
        <w:rPr>
          <w:snapToGrid w:val="0"/>
          <w:lang w:val="de-DE"/>
        </w:rPr>
        <w:t>Glossar der in den UPOV-Dokumenten verwendeten Begriffe</w:t>
      </w:r>
    </w:p>
    <w:p w:rsidR="002D20DB" w:rsidRPr="00C47725" w:rsidRDefault="002D20DB" w:rsidP="002D20DB">
      <w:pPr>
        <w:keepNext/>
        <w:rPr>
          <w:lang w:val="de-DE"/>
        </w:rPr>
      </w:pPr>
    </w:p>
    <w:p w:rsidR="002D20DB" w:rsidRPr="00C47725" w:rsidRDefault="002D20DB" w:rsidP="002D20DB">
      <w:pPr>
        <w:pStyle w:val="Heading5"/>
        <w:rPr>
          <w:lang w:val="de-DE"/>
        </w:rPr>
      </w:pPr>
      <w:r w:rsidRPr="00C47725">
        <w:rPr>
          <w:lang w:val="de-DE"/>
        </w:rPr>
        <w:t>Farbbezeichnungen für die RHS-Farbkarte</w:t>
      </w:r>
    </w:p>
    <w:p w:rsidR="002D20DB" w:rsidRPr="00C47725" w:rsidRDefault="002D20DB" w:rsidP="002D20DB">
      <w:pPr>
        <w:keepNext/>
        <w:rPr>
          <w:lang w:val="de-DE"/>
        </w:rPr>
      </w:pPr>
    </w:p>
    <w:p w:rsidR="002D20DB" w:rsidRPr="00C47725" w:rsidRDefault="002D20DB" w:rsidP="002D20DB">
      <w:pPr>
        <w:keepNext/>
        <w:rPr>
          <w:rFonts w:cs="Arial"/>
          <w:lang w:val="de-DE"/>
        </w:rPr>
      </w:pPr>
      <w:r w:rsidRPr="001A01BC">
        <w:rPr>
          <w:lang w:val="de-DE"/>
        </w:rPr>
        <w:fldChar w:fldCharType="begin"/>
      </w:r>
      <w:r w:rsidRPr="001A01BC">
        <w:rPr>
          <w:lang w:val="de-DE"/>
        </w:rPr>
        <w:instrText xml:space="preserve"> AUTONUM  </w:instrText>
      </w:r>
      <w:r w:rsidRPr="001A01BC">
        <w:rPr>
          <w:lang w:val="de-DE"/>
        </w:rPr>
        <w:fldChar w:fldCharType="end"/>
      </w:r>
      <w:r w:rsidRPr="00C47725">
        <w:rPr>
          <w:lang w:val="de-DE"/>
        </w:rPr>
        <w:tab/>
        <w:t xml:space="preserve">Der TC prüfte </w:t>
      </w:r>
      <w:r w:rsidRPr="00C47725">
        <w:rPr>
          <w:rFonts w:cs="Arial"/>
          <w:lang w:val="de-DE"/>
        </w:rPr>
        <w:t>Dokument TC/55/14.</w:t>
      </w:r>
    </w:p>
    <w:p w:rsidR="002D20DB" w:rsidRPr="00C47725" w:rsidRDefault="002D20DB" w:rsidP="002D20DB">
      <w:pPr>
        <w:rPr>
          <w:rFonts w:cs="Arial"/>
          <w:lang w:val="de-DE"/>
        </w:rPr>
      </w:pPr>
    </w:p>
    <w:p w:rsidR="002D20DB" w:rsidRPr="00C47725" w:rsidRDefault="002D20DB" w:rsidP="002D20DB">
      <w:pPr>
        <w:rPr>
          <w:rFonts w:cs="Arial"/>
          <w:lang w:val="de-DE"/>
        </w:rPr>
      </w:pPr>
      <w:r w:rsidRPr="001A01BC">
        <w:rPr>
          <w:rFonts w:cs="Arial"/>
          <w:lang w:val="de-DE"/>
        </w:rPr>
        <w:fldChar w:fldCharType="begin"/>
      </w:r>
      <w:r w:rsidRPr="001A01BC">
        <w:rPr>
          <w:rFonts w:cs="Arial"/>
          <w:lang w:val="de-DE"/>
        </w:rPr>
        <w:instrText xml:space="preserve"> AUTONUM  </w:instrText>
      </w:r>
      <w:r w:rsidRPr="001A01BC">
        <w:rPr>
          <w:rFonts w:cs="Arial"/>
          <w:lang w:val="de-DE"/>
        </w:rPr>
        <w:fldChar w:fldCharType="end"/>
      </w:r>
      <w:r w:rsidRPr="00C47725">
        <w:rPr>
          <w:rFonts w:cs="Arial"/>
          <w:lang w:val="de-DE"/>
        </w:rPr>
        <w:tab/>
      </w:r>
      <w:r w:rsidRPr="00C47725">
        <w:rPr>
          <w:lang w:val="de-DE"/>
        </w:rPr>
        <w:t>Der TC vereinbarte, die Liste der UPOV-Farbgruppen in Dokument TGP/14</w:t>
      </w:r>
      <w:r>
        <w:rPr>
          <w:lang w:val="de-DE"/>
        </w:rPr>
        <w:t xml:space="preserve"> „</w:t>
      </w:r>
      <w:r w:rsidRPr="00C47725">
        <w:rPr>
          <w:lang w:val="de-DE"/>
        </w:rPr>
        <w:t>Glossar der in den UPOV</w:t>
      </w:r>
      <w:r w:rsidR="00080892">
        <w:rPr>
          <w:lang w:val="de-DE"/>
        </w:rPr>
        <w:noBreakHyphen/>
      </w:r>
      <w:r w:rsidRPr="00C47725">
        <w:rPr>
          <w:lang w:val="de-DE"/>
        </w:rPr>
        <w:t>Dokumenten verwendeten Begriffe</w:t>
      </w:r>
      <w:r>
        <w:rPr>
          <w:lang w:val="de-DE"/>
        </w:rPr>
        <w:t>“</w:t>
      </w:r>
      <w:r w:rsidRPr="00C47725">
        <w:rPr>
          <w:lang w:val="de-DE"/>
        </w:rPr>
        <w:t xml:space="preserve"> auf der Grundlage der in Dokument TC/55/14, Anlage I, dargestellten Farbgruppen zu überarbeiten.</w:t>
      </w:r>
    </w:p>
    <w:p w:rsidR="002D20DB" w:rsidRPr="00C47725" w:rsidRDefault="002D20DB" w:rsidP="002D20DB">
      <w:pPr>
        <w:rPr>
          <w:lang w:val="de-DE"/>
        </w:rPr>
      </w:pPr>
    </w:p>
    <w:p w:rsidR="002D20DB" w:rsidRPr="00C47725" w:rsidRDefault="002D20DB" w:rsidP="002D20DB">
      <w:pPr>
        <w:rPr>
          <w:lang w:val="de-DE"/>
        </w:rPr>
      </w:pPr>
      <w:r w:rsidRPr="001A01BC">
        <w:rPr>
          <w:rFonts w:cs="Arial"/>
          <w:lang w:val="de-DE"/>
        </w:rPr>
        <w:fldChar w:fldCharType="begin"/>
      </w:r>
      <w:r w:rsidRPr="001A01BC">
        <w:rPr>
          <w:rFonts w:cs="Arial"/>
          <w:lang w:val="de-DE"/>
        </w:rPr>
        <w:instrText xml:space="preserve"> AUTONUM  </w:instrText>
      </w:r>
      <w:r w:rsidRPr="001A01BC">
        <w:rPr>
          <w:rFonts w:cs="Arial"/>
          <w:lang w:val="de-DE"/>
        </w:rPr>
        <w:fldChar w:fldCharType="end"/>
      </w:r>
      <w:r w:rsidRPr="00C47725">
        <w:rPr>
          <w:rFonts w:cs="Arial"/>
          <w:lang w:val="de-DE"/>
        </w:rPr>
        <w:tab/>
      </w:r>
      <w:r w:rsidRPr="00C47725">
        <w:rPr>
          <w:lang w:val="de-DE"/>
        </w:rPr>
        <w:t>Der TC vereinbarte, Dokument TGP/14, Abschnitt 2, Unterabschnitt 3:</w:t>
      </w:r>
      <w:r>
        <w:rPr>
          <w:lang w:val="de-DE"/>
        </w:rPr>
        <w:t xml:space="preserve"> „</w:t>
      </w:r>
      <w:r w:rsidRPr="00C47725">
        <w:rPr>
          <w:lang w:val="de-DE"/>
        </w:rPr>
        <w:t>Farbe</w:t>
      </w:r>
      <w:r>
        <w:rPr>
          <w:lang w:val="de-DE"/>
        </w:rPr>
        <w:t>“</w:t>
      </w:r>
      <w:r w:rsidRPr="00C47725">
        <w:rPr>
          <w:lang w:val="de-DE"/>
        </w:rPr>
        <w:t>, und Unterabschnitt 3: Anlage:</w:t>
      </w:r>
      <w:r>
        <w:rPr>
          <w:lang w:val="de-DE"/>
        </w:rPr>
        <w:t xml:space="preserve"> „</w:t>
      </w:r>
      <w:r w:rsidRPr="00C47725">
        <w:rPr>
          <w:lang w:val="de-DE"/>
        </w:rPr>
        <w:t>Farbbezeichnungen für die RHS-Farbkarte</w:t>
      </w:r>
      <w:r>
        <w:rPr>
          <w:lang w:val="de-DE"/>
        </w:rPr>
        <w:t>“</w:t>
      </w:r>
      <w:r w:rsidRPr="00C47725">
        <w:rPr>
          <w:lang w:val="de-DE"/>
        </w:rPr>
        <w:t>, zu überarbeiten, um die Einführung der überarbeiteten Liste der UPOV-Farbgruppen wiederzugeben, wie in Dokument TC/55/14, Anlage II, dargelegt.</w:t>
      </w:r>
    </w:p>
    <w:p w:rsidR="002D20DB" w:rsidRPr="00C47725" w:rsidRDefault="002D20DB" w:rsidP="002D20DB">
      <w:pPr>
        <w:rPr>
          <w:lang w:val="de-DE"/>
        </w:rPr>
      </w:pPr>
    </w:p>
    <w:p w:rsidR="002D20DB" w:rsidRPr="00C47725" w:rsidRDefault="002D20DB" w:rsidP="002D20DB">
      <w:pPr>
        <w:rPr>
          <w:lang w:val="de-DE"/>
        </w:rPr>
      </w:pPr>
      <w:r w:rsidRPr="001A01BC">
        <w:rPr>
          <w:lang w:val="de-DE"/>
        </w:rPr>
        <w:fldChar w:fldCharType="begin"/>
      </w:r>
      <w:r w:rsidRPr="001A01BC">
        <w:rPr>
          <w:lang w:val="de-DE"/>
        </w:rPr>
        <w:instrText xml:space="preserve"> AUTONUM  </w:instrText>
      </w:r>
      <w:r w:rsidRPr="001A01BC">
        <w:rPr>
          <w:lang w:val="de-DE"/>
        </w:rPr>
        <w:fldChar w:fldCharType="end"/>
      </w:r>
      <w:r w:rsidRPr="00C47725">
        <w:rPr>
          <w:lang w:val="de-DE"/>
        </w:rPr>
        <w:tab/>
        <w:t xml:space="preserve">Der TC nahm das Gesuch der TWF </w:t>
      </w:r>
      <w:r>
        <w:rPr>
          <w:lang w:val="de-DE"/>
        </w:rPr>
        <w:t xml:space="preserve">zur Kenntnis, dass </w:t>
      </w:r>
      <w:r w:rsidRPr="00C47725">
        <w:rPr>
          <w:lang w:val="de-DE"/>
        </w:rPr>
        <w:t>ein Sachverständige</w:t>
      </w:r>
      <w:r>
        <w:rPr>
          <w:lang w:val="de-DE"/>
        </w:rPr>
        <w:t>r</w:t>
      </w:r>
      <w:r w:rsidRPr="00C47725">
        <w:rPr>
          <w:lang w:val="de-DE"/>
        </w:rPr>
        <w:t xml:space="preserve"> </w:t>
      </w:r>
      <w:r>
        <w:rPr>
          <w:lang w:val="de-DE"/>
        </w:rPr>
        <w:t>aus</w:t>
      </w:r>
      <w:r w:rsidRPr="00C47725">
        <w:rPr>
          <w:lang w:val="de-DE"/>
        </w:rPr>
        <w:t xml:space="preserve"> Neuseeland</w:t>
      </w:r>
      <w:r>
        <w:rPr>
          <w:lang w:val="de-DE"/>
        </w:rPr>
        <w:t xml:space="preserve"> </w:t>
      </w:r>
      <w:r w:rsidRPr="00C47725">
        <w:rPr>
          <w:lang w:val="de-DE"/>
        </w:rPr>
        <w:t xml:space="preserve">auf </w:t>
      </w:r>
      <w:r>
        <w:rPr>
          <w:lang w:val="de-DE"/>
        </w:rPr>
        <w:t>ihrer</w:t>
      </w:r>
      <w:r w:rsidRPr="00C47725">
        <w:rPr>
          <w:lang w:val="de-DE"/>
        </w:rPr>
        <w:t xml:space="preserve"> einundfünfzigsten Sitzung im Jahr 2020</w:t>
      </w:r>
      <w:r>
        <w:rPr>
          <w:lang w:val="de-DE"/>
        </w:rPr>
        <w:t xml:space="preserve"> </w:t>
      </w:r>
      <w:r w:rsidRPr="00C47725">
        <w:rPr>
          <w:lang w:val="de-DE"/>
        </w:rPr>
        <w:t>ein Referat über die Verwendung der RHS-</w:t>
      </w:r>
      <w:r>
        <w:rPr>
          <w:lang w:val="de-DE"/>
        </w:rPr>
        <w:t>Farbkarte</w:t>
      </w:r>
      <w:r w:rsidR="00DA2449">
        <w:rPr>
          <w:lang w:val="de-DE"/>
        </w:rPr>
        <w:t xml:space="preserve"> in der DUS</w:t>
      </w:r>
      <w:r w:rsidR="00DA2449">
        <w:rPr>
          <w:lang w:val="de-DE"/>
        </w:rPr>
        <w:noBreakHyphen/>
      </w:r>
      <w:r w:rsidRPr="00C47725">
        <w:rPr>
          <w:lang w:val="de-DE"/>
        </w:rPr>
        <w:t>Prüfung von Aprikose halte.</w:t>
      </w:r>
    </w:p>
    <w:p w:rsidR="002D20DB" w:rsidRPr="00C47725" w:rsidRDefault="002D20DB" w:rsidP="002D20DB">
      <w:pPr>
        <w:rPr>
          <w:lang w:val="de-DE"/>
        </w:rPr>
      </w:pPr>
    </w:p>
    <w:p w:rsidR="002D20DB" w:rsidRPr="00C47725" w:rsidRDefault="002D20DB" w:rsidP="002D20DB">
      <w:pPr>
        <w:pStyle w:val="Heading4"/>
        <w:rPr>
          <w:lang w:val="de-DE"/>
        </w:rPr>
      </w:pPr>
      <w:r w:rsidRPr="00C47725">
        <w:rPr>
          <w:lang w:val="de-DE"/>
        </w:rPr>
        <w:t xml:space="preserve">TGP/15: </w:t>
      </w:r>
      <w:r w:rsidRPr="00C47725">
        <w:rPr>
          <w:snapToGrid w:val="0"/>
          <w:lang w:val="de-DE"/>
        </w:rPr>
        <w:t xml:space="preserve">Anleitung zur Verwendung </w:t>
      </w:r>
      <w:r>
        <w:rPr>
          <w:snapToGrid w:val="0"/>
          <w:lang w:val="de-DE"/>
        </w:rPr>
        <w:t>biochemischer und molekularer Marker</w:t>
      </w:r>
      <w:r w:rsidRPr="00C47725">
        <w:rPr>
          <w:snapToGrid w:val="0"/>
          <w:lang w:val="de-DE"/>
        </w:rPr>
        <w:t xml:space="preserve"> bei der Prüfung der Unterscheidbarkeit, der Homogenität und der Beständigkeit (DUS)</w:t>
      </w:r>
    </w:p>
    <w:p w:rsidR="002D20DB" w:rsidRPr="00C47725" w:rsidRDefault="002D20DB" w:rsidP="002D20DB">
      <w:pPr>
        <w:keepNext/>
        <w:rPr>
          <w:lang w:val="de-DE"/>
        </w:rPr>
      </w:pPr>
    </w:p>
    <w:p w:rsidR="002D20DB" w:rsidRPr="00C47725" w:rsidRDefault="002D20DB" w:rsidP="002D20DB">
      <w:pPr>
        <w:pStyle w:val="Heading5"/>
        <w:rPr>
          <w:lang w:val="de-DE"/>
        </w:rPr>
      </w:pPr>
      <w:r w:rsidRPr="00C47725">
        <w:rPr>
          <w:lang w:val="de-DE"/>
        </w:rPr>
        <w:t>Neues Beispiel: Merkmalsspezifischer Marker mit unvollständigen Informationen über die Ausprägungsstufe</w:t>
      </w:r>
    </w:p>
    <w:p w:rsidR="002D20DB" w:rsidRPr="00C47725" w:rsidRDefault="002D20DB" w:rsidP="002D20DB">
      <w:pPr>
        <w:keepNext/>
        <w:rPr>
          <w:lang w:val="de-DE"/>
        </w:rPr>
      </w:pPr>
    </w:p>
    <w:p w:rsidR="002D20DB" w:rsidRPr="00C47725" w:rsidRDefault="002D20DB" w:rsidP="002D20DB">
      <w:pPr>
        <w:keepNext/>
        <w:rPr>
          <w:lang w:val="de-DE"/>
        </w:rPr>
      </w:pPr>
      <w:r w:rsidRPr="001A01BC">
        <w:rPr>
          <w:lang w:val="de-DE"/>
        </w:rPr>
        <w:fldChar w:fldCharType="begin"/>
      </w:r>
      <w:r w:rsidRPr="001A01BC">
        <w:rPr>
          <w:lang w:val="de-DE"/>
        </w:rPr>
        <w:instrText xml:space="preserve"> AUTONUM  </w:instrText>
      </w:r>
      <w:r w:rsidRPr="001A01BC">
        <w:rPr>
          <w:lang w:val="de-DE"/>
        </w:rPr>
        <w:fldChar w:fldCharType="end"/>
      </w:r>
      <w:r w:rsidRPr="00C47725">
        <w:rPr>
          <w:lang w:val="de-DE"/>
        </w:rPr>
        <w:tab/>
        <w:t>Der TC prüfte Dokumente</w:t>
      </w:r>
      <w:r w:rsidRPr="00C47725">
        <w:rPr>
          <w:rFonts w:cs="Arial"/>
          <w:lang w:val="de-DE"/>
        </w:rPr>
        <w:t> TC/55/15, TC/55/15 Add. und TC/55/15 Add. 2.</w:t>
      </w:r>
    </w:p>
    <w:p w:rsidR="002D20DB" w:rsidRPr="00C47725" w:rsidRDefault="002D20DB" w:rsidP="002D20DB">
      <w:pPr>
        <w:rPr>
          <w:lang w:val="de-DE"/>
        </w:rPr>
      </w:pPr>
    </w:p>
    <w:p w:rsidR="002D20DB" w:rsidRPr="00C47725" w:rsidRDefault="002D20DB" w:rsidP="002D20DB">
      <w:pPr>
        <w:rPr>
          <w:lang w:val="de-DE"/>
        </w:rPr>
      </w:pPr>
      <w:r w:rsidRPr="001A01BC">
        <w:rPr>
          <w:rFonts w:cs="Arial"/>
          <w:lang w:val="de-DE"/>
        </w:rPr>
        <w:fldChar w:fldCharType="begin"/>
      </w:r>
      <w:r w:rsidRPr="001A01BC">
        <w:rPr>
          <w:rFonts w:cs="Arial"/>
          <w:lang w:val="de-DE"/>
        </w:rPr>
        <w:instrText xml:space="preserve"> AUTONUM  </w:instrText>
      </w:r>
      <w:r w:rsidRPr="001A01BC">
        <w:rPr>
          <w:rFonts w:cs="Arial"/>
          <w:lang w:val="de-DE"/>
        </w:rPr>
        <w:fldChar w:fldCharType="end"/>
      </w:r>
      <w:r w:rsidRPr="00C47725">
        <w:rPr>
          <w:rFonts w:cs="Arial"/>
          <w:lang w:val="de-DE"/>
        </w:rPr>
        <w:tab/>
      </w:r>
      <w:r w:rsidRPr="00C47725">
        <w:rPr>
          <w:lang w:val="de-DE"/>
        </w:rPr>
        <w:t>Der TC prüfte den Vorschlag</w:t>
      </w:r>
      <w:r>
        <w:rPr>
          <w:lang w:val="de-DE"/>
        </w:rPr>
        <w:t>,</w:t>
      </w:r>
      <w:r w:rsidRPr="00C47725">
        <w:rPr>
          <w:lang w:val="de-DE"/>
        </w:rPr>
        <w:t xml:space="preserve"> ein neues Beispiel in Dokument TGP/15 auf</w:t>
      </w:r>
      <w:r>
        <w:rPr>
          <w:lang w:val="de-DE"/>
        </w:rPr>
        <w:t>zunehmen</w:t>
      </w:r>
      <w:r w:rsidRPr="00C47725">
        <w:rPr>
          <w:lang w:val="de-DE"/>
        </w:rPr>
        <w:t>, um eine Situation zu veranschaulichen, in der der merkmalspezifische Marker keine vollständigen Informationen über die Ausprägungsstufe eines Merkmals liefert, wie in Dokument TC/55/15, Anlage</w:t>
      </w:r>
      <w:r>
        <w:rPr>
          <w:lang w:val="de-DE"/>
        </w:rPr>
        <w:t xml:space="preserve"> dargelegt</w:t>
      </w:r>
      <w:r w:rsidRPr="00C47725">
        <w:rPr>
          <w:lang w:val="de-DE"/>
        </w:rPr>
        <w:t>, in Verbindung mit den Bemerkungen der TWP und BMT.</w:t>
      </w:r>
    </w:p>
    <w:p w:rsidR="002D20DB" w:rsidRPr="00C47725" w:rsidRDefault="002D20DB" w:rsidP="002D20DB">
      <w:pPr>
        <w:rPr>
          <w:lang w:val="de-DE"/>
        </w:rPr>
      </w:pPr>
    </w:p>
    <w:p w:rsidR="002D20DB" w:rsidRPr="00C47725" w:rsidRDefault="002D20DB" w:rsidP="002D20DB">
      <w:pPr>
        <w:rPr>
          <w:rFonts w:eastAsia="Calibri" w:cs="Arial"/>
          <w:sz w:val="18"/>
          <w:szCs w:val="18"/>
          <w:lang w:val="de-DE"/>
        </w:rPr>
      </w:pPr>
      <w:r w:rsidRPr="001A01BC">
        <w:rPr>
          <w:lang w:val="de-DE"/>
        </w:rPr>
        <w:lastRenderedPageBreak/>
        <w:fldChar w:fldCharType="begin"/>
      </w:r>
      <w:r w:rsidRPr="001A01BC">
        <w:rPr>
          <w:lang w:val="de-DE"/>
        </w:rPr>
        <w:instrText xml:space="preserve"> AUTONUM  </w:instrText>
      </w:r>
      <w:r w:rsidRPr="001A01BC">
        <w:rPr>
          <w:lang w:val="de-DE"/>
        </w:rPr>
        <w:fldChar w:fldCharType="end"/>
      </w:r>
      <w:r w:rsidRPr="00C47725">
        <w:rPr>
          <w:lang w:val="de-DE"/>
        </w:rPr>
        <w:tab/>
        <w:t xml:space="preserve">Der TC vereinbarte, dass das folgende Beispiel, wie vom TC-EDC geändert, in Dokument TGP/15 aufgenommen werden sollte: </w:t>
      </w:r>
    </w:p>
    <w:p w:rsidR="002D20DB" w:rsidRPr="00C47725" w:rsidRDefault="002D20DB" w:rsidP="002D20DB">
      <w:pPr>
        <w:ind w:left="567" w:right="567"/>
        <w:rPr>
          <w:sz w:val="18"/>
          <w:lang w:val="de-DE"/>
        </w:rPr>
      </w:pPr>
    </w:p>
    <w:p w:rsidR="002D20DB" w:rsidRPr="00C47725" w:rsidRDefault="002D20DB" w:rsidP="002D20DB">
      <w:pPr>
        <w:spacing w:after="160"/>
        <w:ind w:left="567" w:right="567"/>
        <w:jc w:val="center"/>
        <w:rPr>
          <w:rFonts w:eastAsia="Calibri" w:cs="Arial"/>
          <w:sz w:val="18"/>
          <w:lang w:val="de-DE"/>
        </w:rPr>
      </w:pPr>
      <w:r>
        <w:rPr>
          <w:rFonts w:eastAsia="Calibri" w:cs="Arial"/>
          <w:sz w:val="18"/>
          <w:lang w:val="de-DE"/>
        </w:rPr>
        <w:t>„</w:t>
      </w:r>
      <w:r w:rsidRPr="00C47725">
        <w:rPr>
          <w:rFonts w:eastAsia="Calibri" w:cs="Arial"/>
          <w:sz w:val="18"/>
          <w:lang w:val="de-DE"/>
        </w:rPr>
        <w:t xml:space="preserve">BEISPIEL 2: GEN-SPEZIFISCHER MARKER MIT UNVOLLSTÄNDIGEN INFORMATIONEN ÜBER DIE AUSPRÄGUNGSSTUFE </w:t>
      </w:r>
      <w:r>
        <w:rPr>
          <w:rFonts w:eastAsia="Calibri" w:cs="Arial"/>
          <w:sz w:val="18"/>
          <w:lang w:val="de-DE"/>
        </w:rPr>
        <w:t>FÜR</w:t>
      </w:r>
      <w:r w:rsidRPr="00C47725">
        <w:rPr>
          <w:rFonts w:eastAsia="Calibri" w:cs="Arial"/>
          <w:sz w:val="18"/>
          <w:lang w:val="de-DE"/>
        </w:rPr>
        <w:t xml:space="preserve"> KRANKHEITSRESISTENZ BEI TOMATE</w:t>
      </w:r>
    </w:p>
    <w:p w:rsidR="002D20DB" w:rsidRPr="00C47725" w:rsidRDefault="002D20DB" w:rsidP="002D20DB">
      <w:pPr>
        <w:spacing w:after="160"/>
        <w:ind w:left="567" w:right="567"/>
        <w:jc w:val="center"/>
        <w:rPr>
          <w:rFonts w:eastAsia="Calibri" w:cs="Arial"/>
          <w:i/>
          <w:iCs/>
          <w:sz w:val="18"/>
          <w:lang w:val="de-DE"/>
        </w:rPr>
      </w:pPr>
      <w:r w:rsidRPr="00C47725">
        <w:rPr>
          <w:rFonts w:eastAsia="Calibri" w:cs="Arial"/>
          <w:i/>
          <w:iCs/>
          <w:sz w:val="18"/>
          <w:lang w:val="de-DE"/>
        </w:rPr>
        <w:t>erstellt von Sachverständigen aus den Niederlanden</w:t>
      </w:r>
    </w:p>
    <w:p w:rsidR="002D20DB" w:rsidRPr="00C47725" w:rsidRDefault="002D20DB" w:rsidP="002D20DB">
      <w:pPr>
        <w:autoSpaceDE w:val="0"/>
        <w:autoSpaceDN w:val="0"/>
        <w:adjustRightInd w:val="0"/>
        <w:ind w:left="567" w:right="567"/>
        <w:rPr>
          <w:rFonts w:eastAsia="Calibri" w:cs="Arial"/>
          <w:sz w:val="18"/>
          <w:lang w:val="de-DE"/>
        </w:rPr>
      </w:pPr>
    </w:p>
    <w:p w:rsidR="002D20DB" w:rsidRPr="00C47725" w:rsidRDefault="002D20DB" w:rsidP="002D20DB">
      <w:pPr>
        <w:autoSpaceDE w:val="0"/>
        <w:autoSpaceDN w:val="0"/>
        <w:adjustRightInd w:val="0"/>
        <w:ind w:left="567" w:right="567"/>
        <w:rPr>
          <w:rFonts w:eastAsia="Calibri" w:cs="Arial"/>
          <w:sz w:val="18"/>
          <w:lang w:val="de-DE"/>
        </w:rPr>
      </w:pPr>
      <w:r>
        <w:rPr>
          <w:rFonts w:eastAsia="Calibri" w:cs="Arial"/>
          <w:sz w:val="18"/>
          <w:lang w:val="de-DE"/>
        </w:rPr>
        <w:t>„</w:t>
      </w:r>
      <w:r w:rsidRPr="00C47725">
        <w:rPr>
          <w:rFonts w:eastAsia="Calibri" w:cs="Arial"/>
          <w:sz w:val="18"/>
          <w:lang w:val="de-DE"/>
        </w:rPr>
        <w:t>Beispiel</w:t>
      </w:r>
    </w:p>
    <w:p w:rsidR="002D20DB" w:rsidRPr="00C47725" w:rsidRDefault="002D20DB" w:rsidP="002D20DB">
      <w:pPr>
        <w:autoSpaceDE w:val="0"/>
        <w:autoSpaceDN w:val="0"/>
        <w:adjustRightInd w:val="0"/>
        <w:ind w:left="567" w:right="567"/>
        <w:rPr>
          <w:rFonts w:eastAsia="Calibri" w:cs="Arial"/>
          <w:sz w:val="18"/>
          <w:lang w:val="de-DE"/>
        </w:rPr>
      </w:pPr>
    </w:p>
    <w:p w:rsidR="002D20DB" w:rsidRPr="001A01BC" w:rsidRDefault="002D20DB" w:rsidP="002D20DB">
      <w:pPr>
        <w:autoSpaceDE w:val="0"/>
        <w:autoSpaceDN w:val="0"/>
        <w:adjustRightInd w:val="0"/>
        <w:ind w:left="567" w:right="567"/>
        <w:rPr>
          <w:rFonts w:eastAsia="Calibri" w:cs="Arial"/>
          <w:sz w:val="18"/>
          <w:szCs w:val="18"/>
          <w:lang w:val="de-DE"/>
        </w:rPr>
      </w:pPr>
      <w:r>
        <w:rPr>
          <w:rFonts w:eastAsia="Calibri" w:cs="Arial"/>
          <w:sz w:val="18"/>
          <w:lang w:val="de-DE"/>
        </w:rPr>
        <w:t>„</w:t>
      </w:r>
      <w:r w:rsidRPr="001A01BC">
        <w:rPr>
          <w:rFonts w:eastAsia="Calibri" w:cs="Arial"/>
          <w:sz w:val="18"/>
          <w:lang w:val="de-DE"/>
        </w:rPr>
        <w:t>1.</w:t>
      </w:r>
      <w:r w:rsidRPr="001A01BC">
        <w:rPr>
          <w:rFonts w:eastAsia="Calibri" w:cs="Arial"/>
          <w:sz w:val="18"/>
          <w:lang w:val="de-DE"/>
        </w:rPr>
        <w:tab/>
        <w:t>Resistenz gegen das Tomatenmosaikvirus (ToMV) Pathotyp 0 in Tomate wird durch das Vorhandensein von Allel</w:t>
      </w:r>
      <w:r w:rsidRPr="001A01BC">
        <w:rPr>
          <w:rFonts w:eastAsia="Calibri" w:cs="Arial"/>
          <w:sz w:val="18"/>
          <w:szCs w:val="18"/>
          <w:lang w:val="de-DE"/>
        </w:rPr>
        <w:t xml:space="preserve"> </w:t>
      </w:r>
      <w:r w:rsidRPr="001A01BC">
        <w:rPr>
          <w:rFonts w:eastAsia="Calibri" w:cs="Arial"/>
          <w:i/>
          <w:sz w:val="18"/>
          <w:szCs w:val="18"/>
          <w:lang w:val="de-DE"/>
        </w:rPr>
        <w:t xml:space="preserve">Tm1 </w:t>
      </w:r>
      <w:r w:rsidRPr="001A01BC">
        <w:rPr>
          <w:rFonts w:eastAsia="Calibri" w:cs="Arial"/>
          <w:sz w:val="18"/>
          <w:szCs w:val="18"/>
          <w:lang w:val="de-DE"/>
        </w:rPr>
        <w:t xml:space="preserve">aus dem Gen Tm1 oder von Allelen </w:t>
      </w:r>
      <w:r w:rsidRPr="001A01BC">
        <w:rPr>
          <w:rFonts w:eastAsia="Calibri" w:cs="Arial"/>
          <w:i/>
          <w:sz w:val="18"/>
          <w:szCs w:val="18"/>
          <w:lang w:val="de-DE"/>
        </w:rPr>
        <w:t>Tm2</w:t>
      </w:r>
      <w:r w:rsidRPr="001A01BC">
        <w:rPr>
          <w:rFonts w:eastAsia="Calibri" w:cs="Arial"/>
          <w:sz w:val="18"/>
          <w:szCs w:val="18"/>
          <w:lang w:val="de-DE"/>
        </w:rPr>
        <w:t xml:space="preserve"> oder </w:t>
      </w:r>
      <w:r w:rsidRPr="001A01BC">
        <w:rPr>
          <w:rFonts w:eastAsia="Calibri" w:cs="Arial"/>
          <w:i/>
          <w:sz w:val="18"/>
          <w:szCs w:val="18"/>
          <w:lang w:val="de-DE"/>
        </w:rPr>
        <w:t>Tm2</w:t>
      </w:r>
      <w:r w:rsidRPr="001A01BC">
        <w:rPr>
          <w:rFonts w:eastAsia="Calibri" w:cs="Arial"/>
          <w:i/>
          <w:sz w:val="18"/>
          <w:szCs w:val="18"/>
          <w:vertAlign w:val="superscript"/>
          <w:lang w:val="de-DE"/>
        </w:rPr>
        <w:t>2</w:t>
      </w:r>
      <w:r w:rsidRPr="001A01BC">
        <w:rPr>
          <w:rFonts w:eastAsia="Calibri" w:cs="Arial"/>
          <w:sz w:val="18"/>
          <w:szCs w:val="18"/>
          <w:lang w:val="de-DE"/>
        </w:rPr>
        <w:t xml:space="preserve"> aus dem Gen Tm2 </w:t>
      </w:r>
      <w:r>
        <w:rPr>
          <w:rFonts w:eastAsia="Calibri" w:cs="Arial"/>
          <w:sz w:val="18"/>
          <w:szCs w:val="18"/>
          <w:lang w:val="de-DE"/>
        </w:rPr>
        <w:t>verliehen</w:t>
      </w:r>
      <w:r w:rsidRPr="001A01BC">
        <w:rPr>
          <w:rFonts w:eastAsia="Calibri" w:cs="Arial"/>
          <w:sz w:val="18"/>
          <w:szCs w:val="18"/>
          <w:lang w:val="de-DE"/>
        </w:rPr>
        <w:t>.</w:t>
      </w:r>
    </w:p>
    <w:p w:rsidR="002D20DB" w:rsidRPr="001A01BC" w:rsidRDefault="002D20DB" w:rsidP="002D20DB">
      <w:pPr>
        <w:autoSpaceDE w:val="0"/>
        <w:autoSpaceDN w:val="0"/>
        <w:adjustRightInd w:val="0"/>
        <w:ind w:left="567" w:right="567"/>
        <w:rPr>
          <w:rFonts w:eastAsia="Calibri" w:cs="Arial"/>
          <w:sz w:val="18"/>
          <w:szCs w:val="18"/>
          <w:lang w:val="de-DE"/>
        </w:rPr>
      </w:pPr>
    </w:p>
    <w:p w:rsidR="002D20DB" w:rsidRPr="001A01BC" w:rsidRDefault="002D20DB" w:rsidP="002D20DB">
      <w:pPr>
        <w:autoSpaceDE w:val="0"/>
        <w:autoSpaceDN w:val="0"/>
        <w:adjustRightInd w:val="0"/>
        <w:ind w:left="567" w:right="567"/>
        <w:rPr>
          <w:rFonts w:eastAsia="Calibri" w:cs="Arial"/>
          <w:sz w:val="18"/>
          <w:lang w:val="de-DE"/>
        </w:rPr>
      </w:pPr>
      <w:r>
        <w:rPr>
          <w:rFonts w:eastAsia="Calibri" w:cs="Arial"/>
          <w:sz w:val="18"/>
          <w:lang w:val="de-DE"/>
        </w:rPr>
        <w:t>„</w:t>
      </w:r>
      <w:r w:rsidRPr="001A01BC">
        <w:rPr>
          <w:rFonts w:eastAsia="Calibri" w:cs="Arial"/>
          <w:sz w:val="18"/>
          <w:lang w:val="de-DE"/>
        </w:rPr>
        <w:t>2.</w:t>
      </w:r>
      <w:r w:rsidRPr="001A01BC">
        <w:rPr>
          <w:rFonts w:eastAsia="Calibri" w:cs="Arial"/>
          <w:sz w:val="18"/>
          <w:lang w:val="de-DE"/>
        </w:rPr>
        <w:tab/>
        <w:t xml:space="preserve">Ein einfacher Marker identifiziert das Vorhandensein von Resistenzallelen </w:t>
      </w:r>
      <w:r w:rsidRPr="001A01BC">
        <w:rPr>
          <w:rFonts w:eastAsia="Calibri" w:cs="Arial"/>
          <w:i/>
          <w:sz w:val="18"/>
          <w:lang w:val="de-DE"/>
        </w:rPr>
        <w:t>Tm2</w:t>
      </w:r>
      <w:r w:rsidRPr="001A01BC">
        <w:rPr>
          <w:rFonts w:eastAsia="Calibri" w:cs="Arial"/>
          <w:sz w:val="18"/>
          <w:lang w:val="de-DE"/>
        </w:rPr>
        <w:t xml:space="preserve"> und </w:t>
      </w:r>
      <w:r w:rsidRPr="001A01BC">
        <w:rPr>
          <w:rFonts w:eastAsia="Calibri" w:cs="Arial"/>
          <w:i/>
          <w:sz w:val="18"/>
          <w:lang w:val="de-DE"/>
        </w:rPr>
        <w:t>Tm2</w:t>
      </w:r>
      <w:r w:rsidRPr="001A01BC">
        <w:rPr>
          <w:rFonts w:eastAsia="Calibri" w:cs="Arial"/>
          <w:i/>
          <w:sz w:val="18"/>
          <w:vertAlign w:val="superscript"/>
          <w:lang w:val="de-DE"/>
        </w:rPr>
        <w:t>2</w:t>
      </w:r>
      <w:r w:rsidRPr="001A01BC">
        <w:rPr>
          <w:rFonts w:eastAsia="Calibri" w:cs="Arial"/>
          <w:sz w:val="18"/>
          <w:lang w:val="de-DE"/>
        </w:rPr>
        <w:t xml:space="preserve"> und dem Anfälligkeitsallel </w:t>
      </w:r>
      <w:r w:rsidRPr="001A01BC">
        <w:rPr>
          <w:rFonts w:eastAsia="Calibri" w:cs="Arial"/>
          <w:i/>
          <w:sz w:val="18"/>
          <w:lang w:val="de-DE"/>
        </w:rPr>
        <w:t>tm2</w:t>
      </w:r>
      <w:r w:rsidRPr="001A01BC">
        <w:rPr>
          <w:rFonts w:eastAsia="Calibri" w:cs="Arial"/>
          <w:sz w:val="18"/>
          <w:lang w:val="de-DE"/>
        </w:rPr>
        <w:t xml:space="preserve">. Marker </w:t>
      </w:r>
      <w:r w:rsidR="00E31ACB" w:rsidRPr="001A01BC">
        <w:rPr>
          <w:rFonts w:eastAsia="Calibri" w:cs="Arial"/>
          <w:i/>
          <w:sz w:val="18"/>
          <w:lang w:val="de-DE"/>
        </w:rPr>
        <w:t>Tm2</w:t>
      </w:r>
      <w:r w:rsidR="00E31ACB" w:rsidRPr="001A01BC">
        <w:rPr>
          <w:rFonts w:eastAsia="Calibri" w:cs="Arial"/>
          <w:i/>
          <w:sz w:val="18"/>
          <w:vertAlign w:val="superscript"/>
          <w:lang w:val="de-DE"/>
        </w:rPr>
        <w:t>2</w:t>
      </w:r>
      <w:r w:rsidRPr="001A01BC">
        <w:rPr>
          <w:rFonts w:eastAsia="Calibri" w:cs="Arial"/>
          <w:sz w:val="18"/>
          <w:lang w:val="de-DE"/>
        </w:rPr>
        <w:t xml:space="preserve"> liegt in der Protein kodierenden Sequenz.</w:t>
      </w:r>
    </w:p>
    <w:p w:rsidR="002D20DB" w:rsidRPr="001A01BC" w:rsidRDefault="002D20DB" w:rsidP="002D20DB">
      <w:pPr>
        <w:autoSpaceDE w:val="0"/>
        <w:autoSpaceDN w:val="0"/>
        <w:adjustRightInd w:val="0"/>
        <w:ind w:left="567" w:right="567"/>
        <w:rPr>
          <w:rFonts w:eastAsia="Calibri" w:cs="Arial"/>
          <w:sz w:val="18"/>
          <w:lang w:val="de-DE"/>
        </w:rPr>
      </w:pPr>
    </w:p>
    <w:p w:rsidR="002D20DB" w:rsidRPr="001A01BC" w:rsidRDefault="002D20DB" w:rsidP="002D20DB">
      <w:pPr>
        <w:autoSpaceDE w:val="0"/>
        <w:autoSpaceDN w:val="0"/>
        <w:adjustRightInd w:val="0"/>
        <w:ind w:left="567" w:right="567"/>
        <w:rPr>
          <w:rFonts w:eastAsia="Calibri" w:cs="Arial"/>
          <w:sz w:val="18"/>
          <w:lang w:val="de-DE"/>
        </w:rPr>
      </w:pPr>
      <w:r>
        <w:rPr>
          <w:rFonts w:eastAsia="Calibri" w:cs="Arial"/>
          <w:sz w:val="18"/>
          <w:lang w:val="de-DE"/>
        </w:rPr>
        <w:t>„</w:t>
      </w:r>
      <w:r w:rsidRPr="001A01BC">
        <w:rPr>
          <w:rFonts w:eastAsia="Calibri" w:cs="Arial"/>
          <w:sz w:val="18"/>
          <w:lang w:val="de-DE"/>
        </w:rPr>
        <w:t>3.</w:t>
      </w:r>
      <w:r w:rsidRPr="001A01BC">
        <w:rPr>
          <w:rFonts w:eastAsia="Calibri" w:cs="Arial"/>
          <w:sz w:val="18"/>
          <w:lang w:val="de-DE"/>
        </w:rPr>
        <w:tab/>
        <w:t xml:space="preserve">Eine Sorte ist resistent gegen ToMV Pathotyp 0, wenn das Resistenzallel </w:t>
      </w:r>
      <w:r w:rsidRPr="001A01BC">
        <w:rPr>
          <w:rFonts w:eastAsia="Calibri" w:cs="Arial"/>
          <w:i/>
          <w:sz w:val="18"/>
          <w:lang w:val="de-DE"/>
        </w:rPr>
        <w:t xml:space="preserve">Tm2 oder </w:t>
      </w:r>
      <w:r w:rsidRPr="001A01BC">
        <w:rPr>
          <w:rFonts w:eastAsia="Calibri" w:cs="Arial"/>
          <w:sz w:val="18"/>
          <w:lang w:val="de-DE"/>
        </w:rPr>
        <w:t xml:space="preserve">Resistenzallel </w:t>
      </w:r>
      <w:r w:rsidRPr="001A01BC">
        <w:rPr>
          <w:rFonts w:eastAsia="Calibri" w:cs="Arial"/>
          <w:i/>
          <w:sz w:val="18"/>
          <w:lang w:val="de-DE"/>
        </w:rPr>
        <w:t>Tm2</w:t>
      </w:r>
      <w:r w:rsidRPr="001A01BC">
        <w:rPr>
          <w:rFonts w:eastAsia="Calibri" w:cs="Arial"/>
          <w:i/>
          <w:sz w:val="18"/>
          <w:vertAlign w:val="superscript"/>
          <w:lang w:val="de-DE"/>
        </w:rPr>
        <w:t>2</w:t>
      </w:r>
      <w:r w:rsidRPr="001A01BC">
        <w:rPr>
          <w:rFonts w:eastAsia="Calibri" w:cs="Arial"/>
          <w:sz w:val="18"/>
          <w:lang w:val="de-DE"/>
        </w:rPr>
        <w:t xml:space="preserve"> vorhanden ist.</w:t>
      </w:r>
    </w:p>
    <w:p w:rsidR="002D20DB" w:rsidRPr="001A01BC" w:rsidRDefault="002D20DB" w:rsidP="002D20DB">
      <w:pPr>
        <w:autoSpaceDE w:val="0"/>
        <w:autoSpaceDN w:val="0"/>
        <w:adjustRightInd w:val="0"/>
        <w:ind w:left="567" w:right="567"/>
        <w:rPr>
          <w:rFonts w:eastAsia="Calibri" w:cs="Arial"/>
          <w:sz w:val="18"/>
          <w:lang w:val="de-DE"/>
        </w:rPr>
      </w:pPr>
    </w:p>
    <w:p w:rsidR="002D20DB" w:rsidRPr="00C47725" w:rsidRDefault="002D20DB" w:rsidP="002D20DB">
      <w:pPr>
        <w:autoSpaceDE w:val="0"/>
        <w:autoSpaceDN w:val="0"/>
        <w:adjustRightInd w:val="0"/>
        <w:ind w:left="567" w:right="567"/>
        <w:rPr>
          <w:rFonts w:eastAsia="Calibri" w:cs="Arial"/>
          <w:sz w:val="18"/>
          <w:lang w:val="de-DE"/>
        </w:rPr>
      </w:pPr>
      <w:r>
        <w:rPr>
          <w:rFonts w:eastAsia="Calibri" w:cs="Arial"/>
          <w:sz w:val="18"/>
          <w:lang w:val="de-DE"/>
        </w:rPr>
        <w:t>„</w:t>
      </w:r>
      <w:r w:rsidRPr="001A01BC">
        <w:rPr>
          <w:rFonts w:eastAsia="Calibri" w:cs="Arial"/>
          <w:sz w:val="18"/>
          <w:lang w:val="de-DE"/>
        </w:rPr>
        <w:t>4.</w:t>
      </w:r>
      <w:r w:rsidRPr="001A01BC">
        <w:rPr>
          <w:rFonts w:eastAsia="Calibri" w:cs="Arial"/>
          <w:sz w:val="18"/>
          <w:lang w:val="de-DE"/>
        </w:rPr>
        <w:tab/>
        <w:t>Eine Sorte mit homozygotem Allel</w:t>
      </w:r>
      <w:r w:rsidRPr="001A01BC">
        <w:rPr>
          <w:rFonts w:eastAsia="Calibri" w:cs="Arial"/>
          <w:i/>
          <w:sz w:val="18"/>
          <w:lang w:val="de-DE"/>
        </w:rPr>
        <w:t xml:space="preserve"> tm2</w:t>
      </w:r>
      <w:r w:rsidRPr="001A01BC">
        <w:rPr>
          <w:rFonts w:eastAsia="Calibri" w:cs="Arial"/>
          <w:sz w:val="18"/>
          <w:lang w:val="de-DE"/>
        </w:rPr>
        <w:t xml:space="preserve"> wird anfällig gegen ToMV Pathotyp 0 sein, es sei denn, die Resistenz ist durch das Resistenzallel </w:t>
      </w:r>
      <w:r w:rsidRPr="001A01BC">
        <w:rPr>
          <w:rFonts w:eastAsia="Calibri" w:cs="Arial"/>
          <w:i/>
          <w:sz w:val="18"/>
          <w:lang w:val="de-DE"/>
        </w:rPr>
        <w:t>Tm1</w:t>
      </w:r>
      <w:r w:rsidRPr="001A01BC">
        <w:rPr>
          <w:rFonts w:eastAsia="Calibri" w:cs="Arial"/>
          <w:sz w:val="18"/>
          <w:lang w:val="de-DE"/>
        </w:rPr>
        <w:t xml:space="preserve"> codiert. In diesem Fall kann die Resistenz gegen ToMV Pathotyp 0 nicht durch einen DNS-Marker-Test beurteilt werden, da es keinen zuverlässigen Marker für das Gen </w:t>
      </w:r>
      <w:r w:rsidRPr="001A01BC">
        <w:rPr>
          <w:rFonts w:eastAsia="Calibri" w:cs="Arial"/>
          <w:i/>
          <w:sz w:val="18"/>
          <w:lang w:val="de-DE"/>
        </w:rPr>
        <w:t>Tm1</w:t>
      </w:r>
      <w:r w:rsidRPr="001A01BC">
        <w:rPr>
          <w:rFonts w:eastAsia="Calibri" w:cs="Arial"/>
          <w:sz w:val="18"/>
          <w:lang w:val="de-DE"/>
        </w:rPr>
        <w:t xml:space="preserve"> gibt.</w:t>
      </w:r>
    </w:p>
    <w:p w:rsidR="002D20DB" w:rsidRPr="00C47725" w:rsidRDefault="002D20DB" w:rsidP="002D20DB">
      <w:pPr>
        <w:autoSpaceDE w:val="0"/>
        <w:autoSpaceDN w:val="0"/>
        <w:adjustRightInd w:val="0"/>
        <w:ind w:left="567" w:right="567"/>
        <w:rPr>
          <w:rFonts w:eastAsia="Calibri" w:cs="Arial"/>
          <w:sz w:val="18"/>
          <w:lang w:val="de-DE"/>
        </w:rPr>
      </w:pPr>
    </w:p>
    <w:p w:rsidR="002D20DB" w:rsidRPr="00C47725" w:rsidRDefault="002D20DB" w:rsidP="002D20DB">
      <w:pPr>
        <w:autoSpaceDE w:val="0"/>
        <w:autoSpaceDN w:val="0"/>
        <w:adjustRightInd w:val="0"/>
        <w:ind w:left="567" w:right="567"/>
        <w:rPr>
          <w:rFonts w:eastAsia="Calibri" w:cs="Arial"/>
          <w:sz w:val="18"/>
          <w:lang w:val="de-DE"/>
        </w:rPr>
      </w:pPr>
    </w:p>
    <w:p w:rsidR="002D20DB" w:rsidRPr="00C47725" w:rsidRDefault="002D20DB" w:rsidP="002D20DB">
      <w:pPr>
        <w:keepNext/>
        <w:autoSpaceDE w:val="0"/>
        <w:autoSpaceDN w:val="0"/>
        <w:adjustRightInd w:val="0"/>
        <w:ind w:left="567" w:right="567"/>
        <w:rPr>
          <w:rFonts w:eastAsia="Calibri" w:cs="Arial"/>
          <w:sz w:val="18"/>
          <w:lang w:val="de-DE"/>
        </w:rPr>
      </w:pPr>
      <w:r>
        <w:rPr>
          <w:rFonts w:eastAsia="Calibri" w:cs="Arial"/>
          <w:sz w:val="18"/>
          <w:lang w:val="de-DE"/>
        </w:rPr>
        <w:t>„</w:t>
      </w:r>
      <w:r w:rsidRPr="001A01BC">
        <w:rPr>
          <w:rFonts w:eastAsia="Calibri" w:cs="Arial"/>
          <w:sz w:val="18"/>
          <w:lang w:val="de-DE"/>
        </w:rPr>
        <w:t>Tabelle 1: S</w:t>
      </w:r>
      <w:r w:rsidRPr="00C47725">
        <w:rPr>
          <w:rFonts w:eastAsia="Calibri" w:cs="Arial"/>
          <w:sz w:val="18"/>
          <w:lang w:val="de-DE"/>
        </w:rPr>
        <w:t>chematischer Überblick über die Resistenz gegen das Tomatenmosaikvirus und Resistenzallelen:</w:t>
      </w:r>
    </w:p>
    <w:p w:rsidR="002D20DB" w:rsidRPr="00C47725" w:rsidRDefault="002D20DB" w:rsidP="002D20DB">
      <w:pPr>
        <w:keepNext/>
        <w:autoSpaceDE w:val="0"/>
        <w:autoSpaceDN w:val="0"/>
        <w:adjustRightInd w:val="0"/>
        <w:ind w:left="567" w:right="567"/>
        <w:rPr>
          <w:rFonts w:eastAsia="Calibri" w:cs="Arial"/>
          <w:sz w:val="18"/>
          <w:szCs w:val="19"/>
          <w:lang w:val="de-DE"/>
        </w:rPr>
      </w:pPr>
    </w:p>
    <w:tbl>
      <w:tblPr>
        <w:tblStyle w:val="TableGrid"/>
        <w:tblW w:w="8505" w:type="dxa"/>
        <w:tblInd w:w="562" w:type="dxa"/>
        <w:tblLayout w:type="fixed"/>
        <w:tblLook w:val="04A0" w:firstRow="1" w:lastRow="0" w:firstColumn="1" w:lastColumn="0" w:noHBand="0" w:noVBand="1"/>
      </w:tblPr>
      <w:tblGrid>
        <w:gridCol w:w="1701"/>
        <w:gridCol w:w="1985"/>
        <w:gridCol w:w="2977"/>
        <w:gridCol w:w="1842"/>
      </w:tblGrid>
      <w:tr w:rsidR="002D20DB" w:rsidRPr="000E6F70" w:rsidTr="002B5125">
        <w:tc>
          <w:tcPr>
            <w:tcW w:w="1701" w:type="dxa"/>
            <w:vAlign w:val="center"/>
          </w:tcPr>
          <w:p w:rsidR="002D20DB" w:rsidRPr="00C47725" w:rsidRDefault="002D20DB" w:rsidP="002B5125">
            <w:pPr>
              <w:keepNext/>
              <w:autoSpaceDE w:val="0"/>
              <w:autoSpaceDN w:val="0"/>
              <w:adjustRightInd w:val="0"/>
              <w:ind w:left="180"/>
              <w:jc w:val="left"/>
              <w:rPr>
                <w:rFonts w:cs="Arial"/>
                <w:sz w:val="18"/>
                <w:szCs w:val="19"/>
                <w:lang w:val="de-DE"/>
              </w:rPr>
            </w:pPr>
            <w:r w:rsidRPr="00C47725">
              <w:rPr>
                <w:rFonts w:cs="Arial"/>
                <w:sz w:val="18"/>
                <w:szCs w:val="19"/>
                <w:lang w:val="de-DE"/>
              </w:rPr>
              <w:t>Genetischer Hintergrund</w:t>
            </w:r>
          </w:p>
        </w:tc>
        <w:tc>
          <w:tcPr>
            <w:tcW w:w="1985" w:type="dxa"/>
            <w:vAlign w:val="center"/>
          </w:tcPr>
          <w:p w:rsidR="002D20DB" w:rsidRPr="00C47725" w:rsidRDefault="002D20DB" w:rsidP="002B5125">
            <w:pPr>
              <w:keepNext/>
              <w:autoSpaceDE w:val="0"/>
              <w:autoSpaceDN w:val="0"/>
              <w:adjustRightInd w:val="0"/>
              <w:ind w:left="36" w:right="34"/>
              <w:jc w:val="left"/>
              <w:rPr>
                <w:rFonts w:cs="Arial"/>
                <w:i/>
                <w:sz w:val="18"/>
                <w:szCs w:val="19"/>
                <w:lang w:val="de-DE"/>
              </w:rPr>
            </w:pPr>
            <w:r w:rsidRPr="00C47725">
              <w:rPr>
                <w:rFonts w:cs="Arial"/>
                <w:i/>
                <w:sz w:val="18"/>
                <w:szCs w:val="19"/>
                <w:lang w:val="de-DE"/>
              </w:rPr>
              <w:t xml:space="preserve">tm2/tm2 </w:t>
            </w:r>
          </w:p>
          <w:p w:rsidR="002D20DB" w:rsidRPr="00C47725" w:rsidRDefault="002D20DB" w:rsidP="002B5125">
            <w:pPr>
              <w:keepNext/>
              <w:autoSpaceDE w:val="0"/>
              <w:autoSpaceDN w:val="0"/>
              <w:adjustRightInd w:val="0"/>
              <w:ind w:left="36" w:right="34"/>
              <w:jc w:val="left"/>
              <w:rPr>
                <w:rFonts w:cs="Arial"/>
                <w:sz w:val="18"/>
                <w:szCs w:val="19"/>
                <w:lang w:val="de-DE"/>
              </w:rPr>
            </w:pPr>
          </w:p>
          <w:p w:rsidR="002D20DB" w:rsidRPr="00C47725" w:rsidRDefault="002D20DB" w:rsidP="002B5125">
            <w:pPr>
              <w:keepNext/>
              <w:autoSpaceDE w:val="0"/>
              <w:autoSpaceDN w:val="0"/>
              <w:adjustRightInd w:val="0"/>
              <w:ind w:left="36" w:right="34"/>
              <w:jc w:val="left"/>
              <w:rPr>
                <w:rFonts w:cs="Arial"/>
                <w:sz w:val="18"/>
                <w:szCs w:val="19"/>
                <w:lang w:val="de-DE"/>
              </w:rPr>
            </w:pPr>
            <w:r w:rsidRPr="00C47725">
              <w:rPr>
                <w:rFonts w:cs="Arial"/>
                <w:sz w:val="18"/>
                <w:szCs w:val="19"/>
                <w:lang w:val="de-DE"/>
              </w:rPr>
              <w:t xml:space="preserve">und </w:t>
            </w:r>
          </w:p>
          <w:p w:rsidR="002D20DB" w:rsidRPr="00C47725" w:rsidRDefault="002D20DB" w:rsidP="002B5125">
            <w:pPr>
              <w:keepNext/>
              <w:autoSpaceDE w:val="0"/>
              <w:autoSpaceDN w:val="0"/>
              <w:adjustRightInd w:val="0"/>
              <w:ind w:left="36" w:right="34"/>
              <w:jc w:val="left"/>
              <w:rPr>
                <w:rFonts w:cs="Arial"/>
                <w:sz w:val="18"/>
                <w:szCs w:val="19"/>
                <w:lang w:val="de-DE"/>
              </w:rPr>
            </w:pPr>
          </w:p>
          <w:p w:rsidR="002D20DB" w:rsidRPr="00C47725" w:rsidRDefault="002D20DB" w:rsidP="002B5125">
            <w:pPr>
              <w:keepNext/>
              <w:autoSpaceDE w:val="0"/>
              <w:autoSpaceDN w:val="0"/>
              <w:adjustRightInd w:val="0"/>
              <w:ind w:left="36" w:right="34"/>
              <w:jc w:val="left"/>
              <w:rPr>
                <w:rFonts w:cs="Arial"/>
                <w:i/>
                <w:sz w:val="18"/>
                <w:szCs w:val="19"/>
                <w:lang w:val="de-DE"/>
              </w:rPr>
            </w:pPr>
            <w:r w:rsidRPr="00C47725">
              <w:rPr>
                <w:rFonts w:cs="Arial"/>
                <w:i/>
                <w:sz w:val="18"/>
                <w:szCs w:val="19"/>
                <w:lang w:val="de-DE"/>
              </w:rPr>
              <w:t>tm1/tm1</w:t>
            </w:r>
          </w:p>
          <w:p w:rsidR="002D20DB" w:rsidRPr="00C47725" w:rsidRDefault="002D20DB" w:rsidP="002B5125">
            <w:pPr>
              <w:keepNext/>
              <w:autoSpaceDE w:val="0"/>
              <w:autoSpaceDN w:val="0"/>
              <w:adjustRightInd w:val="0"/>
              <w:ind w:left="36" w:right="34"/>
              <w:jc w:val="left"/>
              <w:rPr>
                <w:rFonts w:cs="Arial"/>
                <w:sz w:val="18"/>
                <w:szCs w:val="19"/>
                <w:lang w:val="de-DE"/>
              </w:rPr>
            </w:pPr>
          </w:p>
        </w:tc>
        <w:tc>
          <w:tcPr>
            <w:tcW w:w="2977" w:type="dxa"/>
            <w:vAlign w:val="center"/>
          </w:tcPr>
          <w:p w:rsidR="002D20DB" w:rsidRPr="00C47725" w:rsidRDefault="002D20DB" w:rsidP="002B5125">
            <w:pPr>
              <w:keepNext/>
              <w:autoSpaceDE w:val="0"/>
              <w:autoSpaceDN w:val="0"/>
              <w:adjustRightInd w:val="0"/>
              <w:ind w:left="36"/>
              <w:jc w:val="left"/>
              <w:rPr>
                <w:rFonts w:cs="Arial"/>
                <w:sz w:val="18"/>
                <w:szCs w:val="19"/>
                <w:lang w:val="de-DE"/>
              </w:rPr>
            </w:pPr>
            <w:r w:rsidRPr="00C47725">
              <w:rPr>
                <w:rFonts w:cs="Arial"/>
                <w:i/>
                <w:sz w:val="18"/>
                <w:szCs w:val="19"/>
                <w:lang w:val="de-DE"/>
              </w:rPr>
              <w:t>Tm2/Tm2 oder Tm2</w:t>
            </w:r>
            <w:r w:rsidRPr="00C47725">
              <w:rPr>
                <w:rFonts w:cs="Arial"/>
                <w:i/>
                <w:sz w:val="18"/>
                <w:szCs w:val="19"/>
                <w:vertAlign w:val="superscript"/>
                <w:lang w:val="de-DE"/>
              </w:rPr>
              <w:t>2</w:t>
            </w:r>
            <w:r w:rsidRPr="00C47725">
              <w:rPr>
                <w:rFonts w:cs="Arial"/>
                <w:i/>
                <w:sz w:val="18"/>
                <w:szCs w:val="19"/>
                <w:lang w:val="de-DE"/>
              </w:rPr>
              <w:t>/Tm2</w:t>
            </w:r>
            <w:r w:rsidRPr="00C47725">
              <w:rPr>
                <w:rFonts w:cs="Arial"/>
                <w:i/>
                <w:sz w:val="18"/>
                <w:szCs w:val="19"/>
                <w:vertAlign w:val="superscript"/>
                <w:lang w:val="de-DE"/>
              </w:rPr>
              <w:t>2</w:t>
            </w:r>
            <w:r w:rsidRPr="00C47725">
              <w:rPr>
                <w:rFonts w:cs="Arial"/>
                <w:sz w:val="18"/>
                <w:szCs w:val="19"/>
                <w:lang w:val="de-DE"/>
              </w:rPr>
              <w:t xml:space="preserve"> oder </w:t>
            </w:r>
            <w:r w:rsidRPr="00C47725">
              <w:rPr>
                <w:rFonts w:cs="Arial"/>
                <w:i/>
                <w:sz w:val="18"/>
                <w:szCs w:val="19"/>
                <w:lang w:val="de-DE"/>
              </w:rPr>
              <w:t>Tm2</w:t>
            </w:r>
            <w:r w:rsidRPr="00C47725">
              <w:rPr>
                <w:rFonts w:cs="Arial"/>
                <w:i/>
                <w:sz w:val="18"/>
                <w:szCs w:val="19"/>
                <w:vertAlign w:val="superscript"/>
                <w:lang w:val="de-DE"/>
              </w:rPr>
              <w:t>2</w:t>
            </w:r>
            <w:r w:rsidRPr="00C47725">
              <w:rPr>
                <w:rFonts w:cs="Arial"/>
                <w:i/>
                <w:sz w:val="18"/>
                <w:szCs w:val="19"/>
                <w:lang w:val="de-DE"/>
              </w:rPr>
              <w:t>/Tm2</w:t>
            </w:r>
            <w:r w:rsidRPr="00C47725">
              <w:rPr>
                <w:rFonts w:cs="Arial"/>
                <w:sz w:val="18"/>
                <w:szCs w:val="19"/>
                <w:lang w:val="de-DE"/>
              </w:rPr>
              <w:t xml:space="preserve"> oder </w:t>
            </w:r>
          </w:p>
          <w:p w:rsidR="002D20DB" w:rsidRPr="00C47725" w:rsidRDefault="002D20DB" w:rsidP="002B5125">
            <w:pPr>
              <w:keepNext/>
              <w:autoSpaceDE w:val="0"/>
              <w:autoSpaceDN w:val="0"/>
              <w:adjustRightInd w:val="0"/>
              <w:ind w:left="36"/>
              <w:jc w:val="left"/>
              <w:rPr>
                <w:rFonts w:cs="Arial"/>
                <w:i/>
                <w:sz w:val="18"/>
                <w:szCs w:val="19"/>
                <w:lang w:val="de-DE"/>
              </w:rPr>
            </w:pPr>
            <w:r w:rsidRPr="00C47725">
              <w:rPr>
                <w:rFonts w:cs="Arial"/>
                <w:i/>
                <w:sz w:val="18"/>
                <w:szCs w:val="19"/>
                <w:lang w:val="de-DE"/>
              </w:rPr>
              <w:t>Tm2/tm2 oder Tm2</w:t>
            </w:r>
            <w:r w:rsidRPr="00C47725">
              <w:rPr>
                <w:rFonts w:cs="Arial"/>
                <w:i/>
                <w:sz w:val="18"/>
                <w:szCs w:val="19"/>
                <w:vertAlign w:val="superscript"/>
                <w:lang w:val="de-DE"/>
              </w:rPr>
              <w:t>2</w:t>
            </w:r>
            <w:r w:rsidRPr="00C47725">
              <w:rPr>
                <w:rFonts w:cs="Arial"/>
                <w:i/>
                <w:sz w:val="18"/>
                <w:szCs w:val="19"/>
                <w:lang w:val="de-DE"/>
              </w:rPr>
              <w:t>/tm2</w:t>
            </w:r>
          </w:p>
          <w:p w:rsidR="002D20DB" w:rsidRPr="00C47725" w:rsidRDefault="002D20DB" w:rsidP="002B5125">
            <w:pPr>
              <w:keepNext/>
              <w:autoSpaceDE w:val="0"/>
              <w:autoSpaceDN w:val="0"/>
              <w:adjustRightInd w:val="0"/>
              <w:ind w:left="36"/>
              <w:jc w:val="left"/>
              <w:rPr>
                <w:rFonts w:cs="Arial"/>
                <w:sz w:val="18"/>
                <w:szCs w:val="19"/>
                <w:lang w:val="de-DE"/>
              </w:rPr>
            </w:pPr>
          </w:p>
          <w:p w:rsidR="002D20DB" w:rsidRPr="00C47725" w:rsidRDefault="002D20DB" w:rsidP="002B5125">
            <w:pPr>
              <w:keepNext/>
              <w:autoSpaceDE w:val="0"/>
              <w:autoSpaceDN w:val="0"/>
              <w:adjustRightInd w:val="0"/>
              <w:ind w:left="36"/>
              <w:jc w:val="left"/>
              <w:rPr>
                <w:rFonts w:cs="Arial"/>
                <w:sz w:val="18"/>
                <w:szCs w:val="19"/>
                <w:lang w:val="de-DE"/>
              </w:rPr>
            </w:pPr>
            <w:r w:rsidRPr="00C47725">
              <w:rPr>
                <w:rFonts w:cs="Arial"/>
                <w:sz w:val="18"/>
                <w:szCs w:val="19"/>
                <w:lang w:val="de-DE"/>
              </w:rPr>
              <w:t xml:space="preserve">und </w:t>
            </w:r>
          </w:p>
          <w:p w:rsidR="002D20DB" w:rsidRPr="00C47725" w:rsidRDefault="002D20DB" w:rsidP="002B5125">
            <w:pPr>
              <w:keepNext/>
              <w:autoSpaceDE w:val="0"/>
              <w:autoSpaceDN w:val="0"/>
              <w:adjustRightInd w:val="0"/>
              <w:ind w:left="36"/>
              <w:jc w:val="left"/>
              <w:rPr>
                <w:rFonts w:cs="Arial"/>
                <w:sz w:val="18"/>
                <w:szCs w:val="19"/>
                <w:lang w:val="de-DE"/>
              </w:rPr>
            </w:pPr>
          </w:p>
          <w:p w:rsidR="002D20DB" w:rsidRPr="00C47725" w:rsidRDefault="002D20DB" w:rsidP="002B5125">
            <w:pPr>
              <w:keepNext/>
              <w:autoSpaceDE w:val="0"/>
              <w:autoSpaceDN w:val="0"/>
              <w:adjustRightInd w:val="0"/>
              <w:spacing w:before="60"/>
              <w:ind w:left="36"/>
              <w:jc w:val="left"/>
              <w:rPr>
                <w:rFonts w:cs="Arial"/>
                <w:sz w:val="18"/>
                <w:szCs w:val="19"/>
                <w:lang w:val="de-DE"/>
              </w:rPr>
            </w:pPr>
            <w:r w:rsidRPr="00C47725">
              <w:rPr>
                <w:rFonts w:cs="Arial"/>
                <w:i/>
                <w:sz w:val="18"/>
                <w:szCs w:val="19"/>
                <w:lang w:val="de-DE"/>
              </w:rPr>
              <w:t>Tm1/Tm1</w:t>
            </w:r>
            <w:r w:rsidRPr="00C47725">
              <w:rPr>
                <w:rFonts w:cs="Arial"/>
                <w:sz w:val="18"/>
                <w:szCs w:val="19"/>
                <w:lang w:val="de-DE"/>
              </w:rPr>
              <w:t xml:space="preserve"> oder </w:t>
            </w:r>
            <w:r w:rsidRPr="00C47725">
              <w:rPr>
                <w:rFonts w:cs="Arial"/>
                <w:i/>
                <w:sz w:val="18"/>
                <w:szCs w:val="19"/>
                <w:lang w:val="de-DE"/>
              </w:rPr>
              <w:t>Tm1/tm1</w:t>
            </w:r>
            <w:r w:rsidRPr="00C47725">
              <w:rPr>
                <w:rFonts w:cs="Arial"/>
                <w:sz w:val="18"/>
                <w:szCs w:val="19"/>
                <w:lang w:val="de-DE"/>
              </w:rPr>
              <w:t xml:space="preserve"> oder </w:t>
            </w:r>
            <w:r w:rsidRPr="00C47725">
              <w:rPr>
                <w:rFonts w:cs="Arial"/>
                <w:i/>
                <w:sz w:val="18"/>
                <w:szCs w:val="19"/>
                <w:lang w:val="de-DE"/>
              </w:rPr>
              <w:t>tm1/tm1</w:t>
            </w:r>
          </w:p>
        </w:tc>
        <w:tc>
          <w:tcPr>
            <w:tcW w:w="1842" w:type="dxa"/>
            <w:vAlign w:val="center"/>
          </w:tcPr>
          <w:p w:rsidR="002D20DB" w:rsidRPr="00C47725" w:rsidRDefault="002D20DB" w:rsidP="002B5125">
            <w:pPr>
              <w:keepNext/>
              <w:autoSpaceDE w:val="0"/>
              <w:autoSpaceDN w:val="0"/>
              <w:adjustRightInd w:val="0"/>
              <w:ind w:left="20" w:right="-108"/>
              <w:jc w:val="left"/>
              <w:rPr>
                <w:rFonts w:cs="Arial"/>
                <w:i/>
                <w:sz w:val="18"/>
                <w:szCs w:val="19"/>
                <w:lang w:val="de-DE"/>
              </w:rPr>
            </w:pPr>
            <w:r w:rsidRPr="00C47725">
              <w:rPr>
                <w:rFonts w:cs="Arial"/>
                <w:i/>
                <w:sz w:val="18"/>
                <w:szCs w:val="19"/>
                <w:lang w:val="de-DE"/>
              </w:rPr>
              <w:t xml:space="preserve">tm2/tm2 </w:t>
            </w:r>
          </w:p>
          <w:p w:rsidR="002D20DB" w:rsidRPr="00C47725" w:rsidRDefault="002D20DB" w:rsidP="002B5125">
            <w:pPr>
              <w:keepNext/>
              <w:autoSpaceDE w:val="0"/>
              <w:autoSpaceDN w:val="0"/>
              <w:adjustRightInd w:val="0"/>
              <w:ind w:left="20" w:right="-108"/>
              <w:jc w:val="left"/>
              <w:rPr>
                <w:rFonts w:cs="Arial"/>
                <w:sz w:val="18"/>
                <w:szCs w:val="19"/>
                <w:lang w:val="de-DE"/>
              </w:rPr>
            </w:pPr>
          </w:p>
          <w:p w:rsidR="002D20DB" w:rsidRPr="00C47725" w:rsidRDefault="002D20DB" w:rsidP="002B5125">
            <w:pPr>
              <w:keepNext/>
              <w:autoSpaceDE w:val="0"/>
              <w:autoSpaceDN w:val="0"/>
              <w:adjustRightInd w:val="0"/>
              <w:ind w:left="20" w:right="-108"/>
              <w:jc w:val="left"/>
              <w:rPr>
                <w:rFonts w:cs="Arial"/>
                <w:sz w:val="18"/>
                <w:szCs w:val="19"/>
                <w:lang w:val="de-DE"/>
              </w:rPr>
            </w:pPr>
            <w:r w:rsidRPr="00C47725">
              <w:rPr>
                <w:rFonts w:cs="Arial"/>
                <w:sz w:val="18"/>
                <w:szCs w:val="19"/>
                <w:lang w:val="de-DE"/>
              </w:rPr>
              <w:t>und</w:t>
            </w:r>
          </w:p>
          <w:p w:rsidR="002D20DB" w:rsidRPr="00C47725" w:rsidRDefault="002D20DB" w:rsidP="002B5125">
            <w:pPr>
              <w:keepNext/>
              <w:autoSpaceDE w:val="0"/>
              <w:autoSpaceDN w:val="0"/>
              <w:adjustRightInd w:val="0"/>
              <w:ind w:left="20" w:right="-108"/>
              <w:jc w:val="left"/>
              <w:rPr>
                <w:rFonts w:cs="Arial"/>
                <w:sz w:val="18"/>
                <w:szCs w:val="19"/>
                <w:lang w:val="de-DE"/>
              </w:rPr>
            </w:pPr>
          </w:p>
          <w:p w:rsidR="002D20DB" w:rsidRPr="00C47725" w:rsidRDefault="002D20DB" w:rsidP="002B5125">
            <w:pPr>
              <w:keepNext/>
              <w:autoSpaceDE w:val="0"/>
              <w:autoSpaceDN w:val="0"/>
              <w:adjustRightInd w:val="0"/>
              <w:ind w:left="20" w:right="-108"/>
              <w:jc w:val="left"/>
              <w:rPr>
                <w:rFonts w:cs="Arial"/>
                <w:i/>
                <w:sz w:val="18"/>
                <w:szCs w:val="19"/>
                <w:lang w:val="de-DE"/>
              </w:rPr>
            </w:pPr>
            <w:r w:rsidRPr="00C47725">
              <w:rPr>
                <w:rFonts w:cs="Arial"/>
                <w:i/>
                <w:sz w:val="18"/>
                <w:szCs w:val="19"/>
                <w:lang w:val="de-DE"/>
              </w:rPr>
              <w:t>Tm1/Tm1</w:t>
            </w:r>
            <w:r w:rsidRPr="00C47725">
              <w:rPr>
                <w:rFonts w:cs="Arial"/>
                <w:sz w:val="18"/>
                <w:szCs w:val="19"/>
                <w:lang w:val="de-DE"/>
              </w:rPr>
              <w:t xml:space="preserve"> oder </w:t>
            </w:r>
            <w:r w:rsidRPr="00C47725">
              <w:rPr>
                <w:rFonts w:cs="Arial"/>
                <w:i/>
                <w:sz w:val="18"/>
                <w:szCs w:val="19"/>
                <w:lang w:val="de-DE"/>
              </w:rPr>
              <w:t xml:space="preserve">Tm1/tm1 </w:t>
            </w:r>
          </w:p>
        </w:tc>
      </w:tr>
      <w:tr w:rsidR="002D20DB" w:rsidRPr="00C47725" w:rsidTr="002B5125">
        <w:trPr>
          <w:trHeight w:val="606"/>
        </w:trPr>
        <w:tc>
          <w:tcPr>
            <w:tcW w:w="1701" w:type="dxa"/>
            <w:vAlign w:val="center"/>
          </w:tcPr>
          <w:p w:rsidR="002D20DB" w:rsidRPr="00C47725" w:rsidRDefault="002D20DB" w:rsidP="002B5125">
            <w:pPr>
              <w:autoSpaceDE w:val="0"/>
              <w:autoSpaceDN w:val="0"/>
              <w:adjustRightInd w:val="0"/>
              <w:ind w:left="180"/>
              <w:jc w:val="left"/>
              <w:rPr>
                <w:rFonts w:cs="Arial"/>
                <w:sz w:val="18"/>
                <w:szCs w:val="19"/>
                <w:lang w:val="de-DE"/>
              </w:rPr>
            </w:pPr>
            <w:r w:rsidRPr="00C47725">
              <w:rPr>
                <w:rFonts w:cs="Arial"/>
                <w:sz w:val="18"/>
                <w:szCs w:val="19"/>
                <w:lang w:val="de-DE"/>
              </w:rPr>
              <w:t xml:space="preserve">Marker </w:t>
            </w:r>
            <w:r w:rsidRPr="00C47725">
              <w:rPr>
                <w:rFonts w:cs="Arial"/>
                <w:i/>
                <w:sz w:val="18"/>
                <w:szCs w:val="19"/>
                <w:lang w:val="de-DE"/>
              </w:rPr>
              <w:t>Tm2/2</w:t>
            </w:r>
            <w:r w:rsidRPr="00C47725">
              <w:rPr>
                <w:rFonts w:cs="Arial"/>
                <w:i/>
                <w:sz w:val="18"/>
                <w:szCs w:val="19"/>
                <w:vertAlign w:val="superscript"/>
                <w:lang w:val="de-DE"/>
              </w:rPr>
              <w:t>2</w:t>
            </w:r>
          </w:p>
        </w:tc>
        <w:tc>
          <w:tcPr>
            <w:tcW w:w="1985" w:type="dxa"/>
            <w:vAlign w:val="center"/>
          </w:tcPr>
          <w:p w:rsidR="002D20DB" w:rsidRPr="00C47725" w:rsidRDefault="002D20DB" w:rsidP="002B5125">
            <w:pPr>
              <w:autoSpaceDE w:val="0"/>
              <w:autoSpaceDN w:val="0"/>
              <w:adjustRightInd w:val="0"/>
              <w:ind w:left="36" w:right="34"/>
              <w:jc w:val="left"/>
              <w:rPr>
                <w:rFonts w:cs="Arial"/>
                <w:sz w:val="18"/>
                <w:szCs w:val="19"/>
                <w:lang w:val="de-DE"/>
              </w:rPr>
            </w:pPr>
            <w:r w:rsidRPr="001A01BC">
              <w:rPr>
                <w:rFonts w:eastAsia="Calibri" w:cs="Arial"/>
                <w:sz w:val="18"/>
                <w:lang w:val="de-DE"/>
              </w:rPr>
              <w:t>Anfälligkeitsallel</w:t>
            </w:r>
          </w:p>
        </w:tc>
        <w:tc>
          <w:tcPr>
            <w:tcW w:w="2977" w:type="dxa"/>
            <w:vAlign w:val="center"/>
          </w:tcPr>
          <w:p w:rsidR="002D20DB" w:rsidRPr="00C47725" w:rsidRDefault="002D20DB" w:rsidP="002B5125">
            <w:pPr>
              <w:autoSpaceDE w:val="0"/>
              <w:autoSpaceDN w:val="0"/>
              <w:adjustRightInd w:val="0"/>
              <w:ind w:left="36"/>
              <w:jc w:val="left"/>
              <w:rPr>
                <w:rFonts w:cs="Arial"/>
                <w:sz w:val="18"/>
                <w:szCs w:val="19"/>
                <w:lang w:val="de-DE"/>
              </w:rPr>
            </w:pPr>
            <w:r w:rsidRPr="001A01BC">
              <w:rPr>
                <w:rFonts w:eastAsia="Calibri" w:cs="Arial"/>
                <w:sz w:val="18"/>
                <w:lang w:val="de-DE"/>
              </w:rPr>
              <w:t>Resistenzallel</w:t>
            </w:r>
          </w:p>
        </w:tc>
        <w:tc>
          <w:tcPr>
            <w:tcW w:w="1842" w:type="dxa"/>
            <w:vAlign w:val="center"/>
          </w:tcPr>
          <w:p w:rsidR="002D20DB" w:rsidRPr="00C47725" w:rsidRDefault="002D20DB" w:rsidP="002B5125">
            <w:pPr>
              <w:autoSpaceDE w:val="0"/>
              <w:autoSpaceDN w:val="0"/>
              <w:adjustRightInd w:val="0"/>
              <w:ind w:left="20" w:right="-108"/>
              <w:jc w:val="left"/>
              <w:rPr>
                <w:rFonts w:cs="Arial"/>
                <w:sz w:val="18"/>
                <w:szCs w:val="19"/>
                <w:lang w:val="de-DE"/>
              </w:rPr>
            </w:pPr>
            <w:r w:rsidRPr="001A01BC">
              <w:rPr>
                <w:rFonts w:eastAsia="Calibri" w:cs="Arial"/>
                <w:sz w:val="18"/>
                <w:lang w:val="de-DE"/>
              </w:rPr>
              <w:t>Anfälligkeitsallel</w:t>
            </w:r>
          </w:p>
        </w:tc>
      </w:tr>
      <w:tr w:rsidR="002D20DB" w:rsidRPr="00C47725" w:rsidTr="002B5125">
        <w:trPr>
          <w:trHeight w:val="558"/>
        </w:trPr>
        <w:tc>
          <w:tcPr>
            <w:tcW w:w="1701" w:type="dxa"/>
            <w:vAlign w:val="center"/>
          </w:tcPr>
          <w:p w:rsidR="002D20DB" w:rsidRPr="00C47725" w:rsidRDefault="002D20DB" w:rsidP="002B5125">
            <w:pPr>
              <w:autoSpaceDE w:val="0"/>
              <w:autoSpaceDN w:val="0"/>
              <w:adjustRightInd w:val="0"/>
              <w:spacing w:before="120" w:after="120"/>
              <w:ind w:left="180"/>
              <w:jc w:val="left"/>
              <w:rPr>
                <w:rFonts w:cs="Arial"/>
                <w:sz w:val="18"/>
                <w:szCs w:val="19"/>
                <w:lang w:val="de-DE"/>
              </w:rPr>
            </w:pPr>
            <w:r w:rsidRPr="00C47725">
              <w:rPr>
                <w:rFonts w:cs="Arial"/>
                <w:sz w:val="18"/>
                <w:szCs w:val="19"/>
                <w:lang w:val="de-DE"/>
              </w:rPr>
              <w:t xml:space="preserve">Resistenz gegen ToMV - </w:t>
            </w:r>
            <w:r>
              <w:rPr>
                <w:rFonts w:cs="Arial"/>
                <w:sz w:val="18"/>
                <w:szCs w:val="19"/>
                <w:lang w:val="de-DE"/>
              </w:rPr>
              <w:t>Pathotyp</w:t>
            </w:r>
            <w:r w:rsidRPr="00C47725">
              <w:rPr>
                <w:rFonts w:cs="Arial"/>
                <w:sz w:val="18"/>
                <w:szCs w:val="19"/>
                <w:lang w:val="de-DE"/>
              </w:rPr>
              <w:t xml:space="preserve"> 0</w:t>
            </w:r>
          </w:p>
        </w:tc>
        <w:tc>
          <w:tcPr>
            <w:tcW w:w="1985" w:type="dxa"/>
            <w:vAlign w:val="center"/>
          </w:tcPr>
          <w:p w:rsidR="002D20DB" w:rsidRPr="00C47725" w:rsidRDefault="002D20DB" w:rsidP="002B5125">
            <w:pPr>
              <w:autoSpaceDE w:val="0"/>
              <w:autoSpaceDN w:val="0"/>
              <w:adjustRightInd w:val="0"/>
              <w:ind w:left="36" w:right="34"/>
              <w:jc w:val="left"/>
              <w:rPr>
                <w:rFonts w:cs="Arial"/>
                <w:sz w:val="18"/>
                <w:szCs w:val="19"/>
                <w:lang w:val="de-DE"/>
              </w:rPr>
            </w:pPr>
            <w:r w:rsidRPr="00C47725">
              <w:rPr>
                <w:rFonts w:cs="Arial"/>
                <w:sz w:val="18"/>
                <w:szCs w:val="19"/>
                <w:lang w:val="de-DE"/>
              </w:rPr>
              <w:t>fehlend</w:t>
            </w:r>
          </w:p>
        </w:tc>
        <w:tc>
          <w:tcPr>
            <w:tcW w:w="2977" w:type="dxa"/>
            <w:vAlign w:val="center"/>
          </w:tcPr>
          <w:p w:rsidR="002D20DB" w:rsidRPr="00C47725" w:rsidRDefault="002D20DB" w:rsidP="002B5125">
            <w:pPr>
              <w:autoSpaceDE w:val="0"/>
              <w:autoSpaceDN w:val="0"/>
              <w:adjustRightInd w:val="0"/>
              <w:ind w:left="36"/>
              <w:jc w:val="left"/>
              <w:rPr>
                <w:rFonts w:cs="Arial"/>
                <w:sz w:val="18"/>
                <w:szCs w:val="19"/>
                <w:lang w:val="de-DE"/>
              </w:rPr>
            </w:pPr>
            <w:r w:rsidRPr="00C47725">
              <w:rPr>
                <w:rFonts w:cs="Arial"/>
                <w:sz w:val="18"/>
                <w:szCs w:val="19"/>
                <w:lang w:val="de-DE"/>
              </w:rPr>
              <w:t>vorhanden</w:t>
            </w:r>
          </w:p>
        </w:tc>
        <w:tc>
          <w:tcPr>
            <w:tcW w:w="1842" w:type="dxa"/>
            <w:vAlign w:val="center"/>
          </w:tcPr>
          <w:p w:rsidR="002D20DB" w:rsidRPr="00C47725" w:rsidRDefault="002D20DB" w:rsidP="002B5125">
            <w:pPr>
              <w:autoSpaceDE w:val="0"/>
              <w:autoSpaceDN w:val="0"/>
              <w:adjustRightInd w:val="0"/>
              <w:ind w:left="20" w:right="-108"/>
              <w:jc w:val="left"/>
              <w:rPr>
                <w:rFonts w:cs="Arial"/>
                <w:sz w:val="18"/>
                <w:szCs w:val="19"/>
                <w:lang w:val="de-DE"/>
              </w:rPr>
            </w:pPr>
            <w:r w:rsidRPr="00C47725">
              <w:rPr>
                <w:rFonts w:cs="Arial"/>
                <w:sz w:val="18"/>
                <w:szCs w:val="19"/>
                <w:lang w:val="de-DE"/>
              </w:rPr>
              <w:t>vorhanden</w:t>
            </w:r>
          </w:p>
        </w:tc>
      </w:tr>
    </w:tbl>
    <w:p w:rsidR="002D20DB" w:rsidRPr="00C47725" w:rsidRDefault="002D20DB" w:rsidP="002D20DB">
      <w:pPr>
        <w:autoSpaceDE w:val="0"/>
        <w:autoSpaceDN w:val="0"/>
        <w:adjustRightInd w:val="0"/>
        <w:ind w:left="567" w:right="567"/>
        <w:rPr>
          <w:rFonts w:eastAsia="Calibri" w:cs="Arial"/>
          <w:sz w:val="18"/>
          <w:lang w:val="de-DE"/>
        </w:rPr>
      </w:pPr>
    </w:p>
    <w:p w:rsidR="002D20DB" w:rsidRPr="001A01BC" w:rsidRDefault="002D20DB" w:rsidP="002D20DB">
      <w:pPr>
        <w:autoSpaceDE w:val="0"/>
        <w:autoSpaceDN w:val="0"/>
        <w:adjustRightInd w:val="0"/>
        <w:ind w:left="567" w:right="567"/>
        <w:rPr>
          <w:rFonts w:eastAsia="Calibri" w:cs="Arial"/>
          <w:sz w:val="18"/>
          <w:lang w:val="de-DE"/>
        </w:rPr>
      </w:pPr>
      <w:r>
        <w:rPr>
          <w:rFonts w:eastAsia="Calibri" w:cs="Arial"/>
          <w:sz w:val="18"/>
          <w:lang w:val="de-DE"/>
        </w:rPr>
        <w:t>„</w:t>
      </w:r>
      <w:r w:rsidRPr="001A01BC">
        <w:rPr>
          <w:rFonts w:eastAsia="Calibri" w:cs="Arial"/>
          <w:sz w:val="18"/>
          <w:lang w:val="de-DE"/>
        </w:rPr>
        <w:t>5.</w:t>
      </w:r>
      <w:r w:rsidRPr="001A01BC">
        <w:rPr>
          <w:rFonts w:eastAsia="Calibri" w:cs="Arial"/>
          <w:sz w:val="18"/>
          <w:lang w:val="de-DE"/>
        </w:rPr>
        <w:tab/>
        <w:t xml:space="preserve">Wenn eine Sorte als resistent gegen ToMV Pathotyp 0 angegeben wird, kann der DNS-Marker-Test durchgeführt werden. In Fällen, in denen die Resistenz auf dem Vorhandensein des Allels </w:t>
      </w:r>
      <w:r w:rsidRPr="001A01BC">
        <w:rPr>
          <w:rFonts w:eastAsia="Calibri" w:cs="Arial"/>
          <w:i/>
          <w:sz w:val="18"/>
          <w:lang w:val="de-DE"/>
        </w:rPr>
        <w:t>Tm2</w:t>
      </w:r>
      <w:r w:rsidRPr="001A01BC">
        <w:rPr>
          <w:rFonts w:eastAsia="Calibri" w:cs="Arial"/>
          <w:sz w:val="18"/>
          <w:lang w:val="de-DE"/>
        </w:rPr>
        <w:t xml:space="preserve"> oder </w:t>
      </w:r>
      <w:r w:rsidRPr="001A01BC">
        <w:rPr>
          <w:rFonts w:eastAsia="Calibri" w:cs="Arial"/>
          <w:i/>
          <w:sz w:val="18"/>
          <w:lang w:val="de-DE"/>
        </w:rPr>
        <w:t>Tm2</w:t>
      </w:r>
      <w:r w:rsidRPr="001A01BC">
        <w:rPr>
          <w:rFonts w:eastAsia="Calibri" w:cs="Arial"/>
          <w:i/>
          <w:sz w:val="18"/>
          <w:vertAlign w:val="superscript"/>
          <w:lang w:val="de-DE"/>
        </w:rPr>
        <w:t>2</w:t>
      </w:r>
      <w:r w:rsidRPr="001A01BC">
        <w:rPr>
          <w:rFonts w:eastAsia="Calibri" w:cs="Arial"/>
          <w:sz w:val="18"/>
          <w:lang w:val="de-DE"/>
        </w:rPr>
        <w:t xml:space="preserve"> basiert, könnte der DNS-Marker-Test den </w:t>
      </w:r>
      <w:r>
        <w:rPr>
          <w:rFonts w:eastAsia="Calibri" w:cs="Arial"/>
          <w:sz w:val="18"/>
          <w:lang w:val="de-DE"/>
        </w:rPr>
        <w:t>herkömmlichen</w:t>
      </w:r>
      <w:r w:rsidRPr="001A01BC">
        <w:rPr>
          <w:rFonts w:eastAsia="Calibri" w:cs="Arial"/>
          <w:sz w:val="18"/>
          <w:lang w:val="de-DE"/>
        </w:rPr>
        <w:t xml:space="preserve"> Biotest</w:t>
      </w:r>
      <w:r>
        <w:rPr>
          <w:rFonts w:eastAsia="Calibri" w:cs="Arial"/>
          <w:sz w:val="18"/>
          <w:lang w:val="de-DE"/>
        </w:rPr>
        <w:t xml:space="preserve"> </w:t>
      </w:r>
      <w:r w:rsidRPr="001A01BC">
        <w:rPr>
          <w:rFonts w:eastAsia="Calibri" w:cs="Arial"/>
          <w:sz w:val="18"/>
          <w:lang w:val="de-DE"/>
        </w:rPr>
        <w:t>ersetzen.</w:t>
      </w:r>
    </w:p>
    <w:p w:rsidR="002D20DB" w:rsidRPr="001A01BC" w:rsidRDefault="002D20DB" w:rsidP="002D20DB">
      <w:pPr>
        <w:autoSpaceDE w:val="0"/>
        <w:autoSpaceDN w:val="0"/>
        <w:adjustRightInd w:val="0"/>
        <w:ind w:left="567" w:right="567"/>
        <w:rPr>
          <w:rFonts w:eastAsia="Calibri" w:cs="Arial"/>
          <w:sz w:val="18"/>
          <w:lang w:val="de-DE"/>
        </w:rPr>
      </w:pPr>
    </w:p>
    <w:p w:rsidR="002D20DB" w:rsidRPr="00C47725" w:rsidRDefault="002D20DB" w:rsidP="002D20DB">
      <w:pPr>
        <w:autoSpaceDE w:val="0"/>
        <w:autoSpaceDN w:val="0"/>
        <w:adjustRightInd w:val="0"/>
        <w:ind w:left="567" w:right="567"/>
        <w:rPr>
          <w:rFonts w:eastAsia="Calibri" w:cs="Arial"/>
          <w:sz w:val="18"/>
          <w:lang w:val="de-DE"/>
        </w:rPr>
      </w:pPr>
      <w:r>
        <w:rPr>
          <w:rFonts w:eastAsia="Calibri" w:cs="Arial"/>
          <w:sz w:val="18"/>
          <w:lang w:val="de-DE"/>
        </w:rPr>
        <w:t>„</w:t>
      </w:r>
      <w:r w:rsidRPr="001A01BC">
        <w:rPr>
          <w:rFonts w:eastAsia="Calibri" w:cs="Arial"/>
          <w:sz w:val="18"/>
          <w:lang w:val="de-DE"/>
        </w:rPr>
        <w:t>6.</w:t>
      </w:r>
      <w:r w:rsidRPr="001A01BC">
        <w:rPr>
          <w:rFonts w:eastAsia="Calibri" w:cs="Arial"/>
          <w:sz w:val="18"/>
          <w:lang w:val="de-DE"/>
        </w:rPr>
        <w:tab/>
        <w:t>Wenn d</w:t>
      </w:r>
      <w:r w:rsidRPr="00C47725">
        <w:rPr>
          <w:rFonts w:eastAsia="Calibri" w:cs="Arial"/>
          <w:sz w:val="18"/>
          <w:lang w:val="de-DE"/>
        </w:rPr>
        <w:t>er DNS-Marker-Test den Resistenzanspruch nicht bestätigt oder wenn die Sorte als anfällig angegeben wird, muss ein Biotest durchgeführt werden.</w:t>
      </w:r>
      <w:r>
        <w:rPr>
          <w:rFonts w:eastAsia="Calibri" w:cs="Arial"/>
          <w:sz w:val="18"/>
          <w:lang w:val="de-DE"/>
        </w:rPr>
        <w:t>“</w:t>
      </w:r>
    </w:p>
    <w:p w:rsidR="002D20DB" w:rsidRPr="00C47725" w:rsidRDefault="002D20DB" w:rsidP="002D20DB">
      <w:pPr>
        <w:rPr>
          <w:lang w:val="de-DE"/>
        </w:rPr>
      </w:pPr>
    </w:p>
    <w:p w:rsidR="002D20DB" w:rsidRPr="00C47725" w:rsidRDefault="002D20DB" w:rsidP="002D20DB">
      <w:pPr>
        <w:rPr>
          <w:lang w:val="de-DE"/>
        </w:rPr>
      </w:pPr>
      <w:r w:rsidRPr="000823B8">
        <w:rPr>
          <w:lang w:val="de-DE"/>
        </w:rPr>
        <w:fldChar w:fldCharType="begin"/>
      </w:r>
      <w:r w:rsidRPr="000823B8">
        <w:rPr>
          <w:lang w:val="de-DE"/>
        </w:rPr>
        <w:instrText xml:space="preserve"> AUTONUM  </w:instrText>
      </w:r>
      <w:r w:rsidRPr="000823B8">
        <w:rPr>
          <w:lang w:val="de-DE"/>
        </w:rPr>
        <w:fldChar w:fldCharType="end"/>
      </w:r>
      <w:r w:rsidRPr="00C47725">
        <w:rPr>
          <w:lang w:val="de-DE"/>
        </w:rPr>
        <w:tab/>
        <w:t>Der TC nahm zur Kenntnis, dass das neue Beispiel</w:t>
      </w:r>
      <w:r>
        <w:rPr>
          <w:lang w:val="de-DE"/>
        </w:rPr>
        <w:t xml:space="preserve"> „</w:t>
      </w:r>
      <w:r w:rsidRPr="00C47725">
        <w:rPr>
          <w:lang w:val="de-DE"/>
        </w:rPr>
        <w:t>Merkmalsspezifischer Marker mit unvollständigen Informationen über die Ausprägungsstufe</w:t>
      </w:r>
      <w:r>
        <w:rPr>
          <w:lang w:val="de-DE"/>
        </w:rPr>
        <w:t>“</w:t>
      </w:r>
      <w:r w:rsidRPr="00C47725">
        <w:rPr>
          <w:lang w:val="de-DE"/>
        </w:rPr>
        <w:t xml:space="preserve"> ein zweite</w:t>
      </w:r>
      <w:r>
        <w:rPr>
          <w:lang w:val="de-DE"/>
        </w:rPr>
        <w:t>s</w:t>
      </w:r>
      <w:r w:rsidRPr="00C47725">
        <w:rPr>
          <w:lang w:val="de-DE"/>
        </w:rPr>
        <w:t xml:space="preserve"> Beispiel für das Modell</w:t>
      </w:r>
      <w:r>
        <w:rPr>
          <w:lang w:val="de-DE"/>
        </w:rPr>
        <w:t xml:space="preserve"> „„</w:t>
      </w:r>
      <w:r w:rsidRPr="00C47725">
        <w:rPr>
          <w:lang w:val="de-DE"/>
        </w:rPr>
        <w:t>Merkmalsspezifische mo</w:t>
      </w:r>
      <w:r>
        <w:rPr>
          <w:lang w:val="de-DE"/>
        </w:rPr>
        <w:t>lekulare</w:t>
      </w:r>
      <w:r w:rsidRPr="00C47725">
        <w:rPr>
          <w:lang w:val="de-DE"/>
        </w:rPr>
        <w:t xml:space="preserve"> Marker</w:t>
      </w:r>
      <w:r>
        <w:rPr>
          <w:lang w:val="de-DE"/>
        </w:rPr>
        <w:t>“</w:t>
      </w:r>
      <w:r w:rsidRPr="00C47725">
        <w:rPr>
          <w:lang w:val="de-DE"/>
        </w:rPr>
        <w:t xml:space="preserve"> in Dokument TGP/15 </w:t>
      </w:r>
      <w:r>
        <w:rPr>
          <w:lang w:val="de-DE"/>
        </w:rPr>
        <w:t>werden würde</w:t>
      </w:r>
      <w:r w:rsidRPr="00C47725">
        <w:rPr>
          <w:lang w:val="de-DE"/>
        </w:rPr>
        <w:t xml:space="preserve">. </w:t>
      </w:r>
    </w:p>
    <w:p w:rsidR="002D20DB" w:rsidRPr="00C47725" w:rsidRDefault="002D20DB" w:rsidP="002D20DB">
      <w:pPr>
        <w:rPr>
          <w:lang w:val="de-DE"/>
        </w:rPr>
      </w:pPr>
    </w:p>
    <w:p w:rsidR="002D20DB" w:rsidRPr="00C47725" w:rsidRDefault="002D20DB" w:rsidP="002D20DB">
      <w:pPr>
        <w:rPr>
          <w:lang w:val="de-DE"/>
        </w:rPr>
      </w:pPr>
      <w:r w:rsidRPr="000823B8">
        <w:rPr>
          <w:lang w:val="de-DE"/>
        </w:rPr>
        <w:fldChar w:fldCharType="begin"/>
      </w:r>
      <w:r w:rsidRPr="000823B8">
        <w:rPr>
          <w:lang w:val="de-DE"/>
        </w:rPr>
        <w:instrText xml:space="preserve"> AUTONUM  </w:instrText>
      </w:r>
      <w:r w:rsidRPr="000823B8">
        <w:rPr>
          <w:lang w:val="de-DE"/>
        </w:rPr>
        <w:fldChar w:fldCharType="end"/>
      </w:r>
      <w:r w:rsidRPr="00C47725">
        <w:rPr>
          <w:lang w:val="de-DE"/>
        </w:rPr>
        <w:tab/>
        <w:t>Der TC vereinbarte, dass das Modell</w:t>
      </w:r>
      <w:r>
        <w:rPr>
          <w:lang w:val="de-DE"/>
        </w:rPr>
        <w:t xml:space="preserve"> „</w:t>
      </w:r>
      <w:r w:rsidRPr="00C47725">
        <w:rPr>
          <w:lang w:val="de-DE"/>
        </w:rPr>
        <w:t>Genetische Selektion von ähnlichen Sorten für die erste Wachstumsperiode</w:t>
      </w:r>
      <w:r>
        <w:rPr>
          <w:lang w:val="de-DE"/>
        </w:rPr>
        <w:t>“</w:t>
      </w:r>
      <w:r w:rsidRPr="00C47725">
        <w:rPr>
          <w:lang w:val="de-DE"/>
        </w:rPr>
        <w:t xml:space="preserve"> in Dokument TGP/15 als ein zweites Beispiel für das Modell</w:t>
      </w:r>
      <w:r>
        <w:rPr>
          <w:lang w:val="de-DE"/>
        </w:rPr>
        <w:t xml:space="preserve"> „</w:t>
      </w:r>
      <w:r w:rsidRPr="00C47725">
        <w:rPr>
          <w:lang w:val="de-DE"/>
        </w:rPr>
        <w:t>Kombination phänotypischer und molekularer Abstände bei der Verwaltung von Sortensammlungen</w:t>
      </w:r>
      <w:r>
        <w:rPr>
          <w:lang w:val="de-DE"/>
        </w:rPr>
        <w:t>“</w:t>
      </w:r>
      <w:r w:rsidRPr="00C47725">
        <w:rPr>
          <w:lang w:val="de-DE"/>
        </w:rPr>
        <w:t xml:space="preserve"> dargelegt werden sollte. Der TC vereinbarte, dass die Terminologie zu verschiedenen</w:t>
      </w:r>
      <w:r>
        <w:rPr>
          <w:lang w:val="de-DE"/>
        </w:rPr>
        <w:t xml:space="preserve"> „</w:t>
      </w:r>
      <w:r w:rsidRPr="00C47725">
        <w:rPr>
          <w:lang w:val="de-DE"/>
        </w:rPr>
        <w:t>Modellen</w:t>
      </w:r>
      <w:r>
        <w:rPr>
          <w:lang w:val="de-DE"/>
        </w:rPr>
        <w:t>“</w:t>
      </w:r>
      <w:r w:rsidRPr="00C47725">
        <w:rPr>
          <w:lang w:val="de-DE"/>
        </w:rPr>
        <w:t xml:space="preserve"> in dem Dokument überprüft werden sollte.</w:t>
      </w:r>
    </w:p>
    <w:p w:rsidR="002D20DB" w:rsidRPr="00C47725" w:rsidRDefault="002D20DB" w:rsidP="002D20DB">
      <w:pPr>
        <w:rPr>
          <w:lang w:val="de-DE"/>
        </w:rPr>
      </w:pPr>
    </w:p>
    <w:p w:rsidR="002D20DB" w:rsidRPr="00C47725" w:rsidRDefault="002D20DB" w:rsidP="002D20DB">
      <w:pPr>
        <w:pStyle w:val="Heading3"/>
      </w:pPr>
      <w:bookmarkStart w:id="16" w:name="_Toc21683364"/>
      <w:r w:rsidRPr="00C47725">
        <w:lastRenderedPageBreak/>
        <w:t>Neue Vorschläge für Überarbeitungen von TGP-Dokumente</w:t>
      </w:r>
      <w:bookmarkEnd w:id="16"/>
      <w:r w:rsidRPr="00C47725">
        <w:t>n</w:t>
      </w:r>
    </w:p>
    <w:p w:rsidR="002D20DB" w:rsidRPr="00C47725" w:rsidRDefault="002D20DB" w:rsidP="002D20DB">
      <w:pPr>
        <w:keepNext/>
        <w:rPr>
          <w:lang w:val="de-DE"/>
        </w:rPr>
      </w:pPr>
    </w:p>
    <w:p w:rsidR="002D20DB" w:rsidRPr="00C47725" w:rsidRDefault="002D20DB" w:rsidP="002D20DB">
      <w:pPr>
        <w:pStyle w:val="Heading4"/>
        <w:rPr>
          <w:lang w:val="de-DE"/>
        </w:rPr>
      </w:pPr>
      <w:bookmarkStart w:id="17" w:name="_Toc21683365"/>
      <w:r w:rsidRPr="00C47725">
        <w:rPr>
          <w:lang w:val="de-DE"/>
        </w:rPr>
        <w:t>TGP/7: Erstellung von Prüfungsrichtlinien</w:t>
      </w:r>
      <w:bookmarkEnd w:id="17"/>
    </w:p>
    <w:p w:rsidR="002D20DB" w:rsidRPr="00C47725" w:rsidRDefault="002D20DB" w:rsidP="002D20DB">
      <w:pPr>
        <w:keepNext/>
        <w:rPr>
          <w:lang w:val="de-DE"/>
        </w:rPr>
      </w:pPr>
    </w:p>
    <w:p w:rsidR="002D20DB" w:rsidRPr="00C47725" w:rsidRDefault="002D20DB" w:rsidP="002D20DB">
      <w:pPr>
        <w:pStyle w:val="Heading5"/>
        <w:rPr>
          <w:rFonts w:eastAsia="MS Mincho"/>
          <w:lang w:val="de-DE"/>
        </w:rPr>
      </w:pPr>
      <w:r w:rsidRPr="00C47725">
        <w:rPr>
          <w:rFonts w:eastAsia="MS Mincho"/>
          <w:lang w:val="de-DE"/>
        </w:rPr>
        <w:t>Verfahren für eine Teilüberarbeitung von UPOV-Prüfungsrichtlinien</w:t>
      </w:r>
    </w:p>
    <w:p w:rsidR="002D20DB" w:rsidRPr="00C47725" w:rsidRDefault="002D20DB" w:rsidP="002D20DB">
      <w:pPr>
        <w:keepNext/>
        <w:rPr>
          <w:lang w:val="de-DE"/>
        </w:rPr>
      </w:pPr>
    </w:p>
    <w:p w:rsidR="002D20DB" w:rsidRPr="00C47725" w:rsidRDefault="002D20DB" w:rsidP="002D20DB">
      <w:pPr>
        <w:rPr>
          <w:lang w:val="de-DE"/>
        </w:rPr>
      </w:pPr>
      <w:r w:rsidRPr="000823B8">
        <w:rPr>
          <w:rFonts w:cs="Arial"/>
          <w:lang w:val="de-DE"/>
        </w:rPr>
        <w:fldChar w:fldCharType="begin"/>
      </w:r>
      <w:r w:rsidRPr="000823B8">
        <w:rPr>
          <w:rFonts w:cs="Arial"/>
          <w:lang w:val="de-DE"/>
        </w:rPr>
        <w:instrText xml:space="preserve"> AUTONUM  </w:instrText>
      </w:r>
      <w:r w:rsidRPr="000823B8">
        <w:rPr>
          <w:rFonts w:cs="Arial"/>
          <w:lang w:val="de-DE"/>
        </w:rPr>
        <w:fldChar w:fldCharType="end"/>
      </w:r>
      <w:r w:rsidRPr="00C47725">
        <w:rPr>
          <w:rFonts w:cs="Arial"/>
          <w:lang w:val="de-DE"/>
        </w:rPr>
        <w:tab/>
      </w:r>
      <w:r w:rsidRPr="00C47725">
        <w:rPr>
          <w:lang w:val="de-DE"/>
        </w:rPr>
        <w:t>Der TC prüfte, ob das Verfahren für Teilüberarbeitungen von Prüfungsrichtlinien auf der Grundlage der vo</w:t>
      </w:r>
      <w:r>
        <w:rPr>
          <w:lang w:val="de-DE"/>
        </w:rPr>
        <w:t>n der</w:t>
      </w:r>
      <w:r w:rsidRPr="00C47725">
        <w:rPr>
          <w:lang w:val="de-DE"/>
        </w:rPr>
        <w:t xml:space="preserve"> TWF bereitgestellten Informationen überarbeitet werden sollte.</w:t>
      </w:r>
    </w:p>
    <w:p w:rsidR="002D20DB" w:rsidRPr="00C47725" w:rsidRDefault="002D20DB" w:rsidP="002D20DB">
      <w:pPr>
        <w:rPr>
          <w:lang w:val="de-DE"/>
        </w:rPr>
      </w:pPr>
    </w:p>
    <w:p w:rsidR="002D20DB" w:rsidRPr="00C47725" w:rsidRDefault="002D20DB" w:rsidP="002D20DB">
      <w:pPr>
        <w:rPr>
          <w:lang w:val="de-DE"/>
        </w:rPr>
      </w:pPr>
      <w:r w:rsidRPr="000823B8">
        <w:rPr>
          <w:lang w:val="de-DE"/>
        </w:rPr>
        <w:fldChar w:fldCharType="begin"/>
      </w:r>
      <w:r w:rsidRPr="000823B8">
        <w:rPr>
          <w:lang w:val="de-DE"/>
        </w:rPr>
        <w:instrText xml:space="preserve"> AUTONUM  </w:instrText>
      </w:r>
      <w:r w:rsidRPr="000823B8">
        <w:rPr>
          <w:lang w:val="de-DE"/>
        </w:rPr>
        <w:fldChar w:fldCharType="end"/>
      </w:r>
      <w:r w:rsidRPr="00C47725">
        <w:rPr>
          <w:lang w:val="de-DE"/>
        </w:rPr>
        <w:tab/>
        <w:t>Der TC nahm die folgenden von der TWF vorgeschlagenen Umstände</w:t>
      </w:r>
      <w:r>
        <w:rPr>
          <w:lang w:val="de-DE"/>
        </w:rPr>
        <w:t xml:space="preserve"> zur Kenntnis</w:t>
      </w:r>
      <w:r w:rsidRPr="00C47725">
        <w:rPr>
          <w:lang w:val="de-DE"/>
        </w:rPr>
        <w:t xml:space="preserve">, </w:t>
      </w:r>
      <w:r>
        <w:rPr>
          <w:lang w:val="de-DE"/>
        </w:rPr>
        <w:t>um</w:t>
      </w:r>
      <w:r w:rsidRPr="00C47725">
        <w:rPr>
          <w:lang w:val="de-DE"/>
        </w:rPr>
        <w:t xml:space="preserve"> es Sachverständigen </w:t>
      </w:r>
      <w:r>
        <w:rPr>
          <w:lang w:val="de-DE"/>
        </w:rPr>
        <w:t xml:space="preserve">zu </w:t>
      </w:r>
      <w:r w:rsidRPr="00C47725">
        <w:rPr>
          <w:lang w:val="de-DE"/>
        </w:rPr>
        <w:t>ermöglichen, im Laufe des Jahres neue Vorschläge für Teilüberarbeitungen von Prüfungsrichtlinien vorzulegen:</w:t>
      </w:r>
    </w:p>
    <w:p w:rsidR="002D20DB" w:rsidRPr="00C47725" w:rsidRDefault="002D20DB" w:rsidP="002D20DB">
      <w:pPr>
        <w:rPr>
          <w:lang w:val="de-DE"/>
        </w:rPr>
      </w:pPr>
    </w:p>
    <w:p w:rsidR="002D20DB" w:rsidRPr="00C47725" w:rsidRDefault="002D20DB" w:rsidP="002D20DB">
      <w:pPr>
        <w:pStyle w:val="ListParagraph"/>
        <w:numPr>
          <w:ilvl w:val="0"/>
          <w:numId w:val="27"/>
        </w:numPr>
        <w:rPr>
          <w:lang w:val="de-DE"/>
        </w:rPr>
      </w:pPr>
      <w:r w:rsidRPr="00C47725">
        <w:rPr>
          <w:lang w:val="de-DE"/>
        </w:rPr>
        <w:t xml:space="preserve">Für Vorschläge </w:t>
      </w:r>
      <w:r>
        <w:rPr>
          <w:lang w:val="de-DE"/>
        </w:rPr>
        <w:t>zum S</w:t>
      </w:r>
      <w:r w:rsidRPr="00C47725">
        <w:rPr>
          <w:lang w:val="de-DE"/>
        </w:rPr>
        <w:t>treichen eines Merkmals</w:t>
      </w:r>
    </w:p>
    <w:p w:rsidR="002D20DB" w:rsidRPr="00C47725" w:rsidRDefault="002D20DB" w:rsidP="002D20DB">
      <w:pPr>
        <w:pStyle w:val="ListParagraph"/>
        <w:numPr>
          <w:ilvl w:val="0"/>
          <w:numId w:val="27"/>
        </w:numPr>
        <w:rPr>
          <w:lang w:val="de-DE"/>
        </w:rPr>
      </w:pPr>
      <w:r w:rsidRPr="00C47725">
        <w:rPr>
          <w:lang w:val="de-DE"/>
        </w:rPr>
        <w:t xml:space="preserve">Für Vorschläge </w:t>
      </w:r>
      <w:r>
        <w:rPr>
          <w:lang w:val="de-DE"/>
        </w:rPr>
        <w:t>zum H</w:t>
      </w:r>
      <w:r w:rsidRPr="00C47725">
        <w:rPr>
          <w:lang w:val="de-DE"/>
        </w:rPr>
        <w:t>inzufügen einer neuen Ausprägungsstufe und/oder Hinzufügen einer neuen Abbildung</w:t>
      </w:r>
    </w:p>
    <w:p w:rsidR="002D20DB" w:rsidRPr="00C47725" w:rsidRDefault="002D20DB" w:rsidP="002D20DB">
      <w:pPr>
        <w:pStyle w:val="ListParagraph"/>
        <w:numPr>
          <w:ilvl w:val="0"/>
          <w:numId w:val="27"/>
        </w:numPr>
        <w:rPr>
          <w:lang w:val="de-DE"/>
        </w:rPr>
      </w:pPr>
      <w:r w:rsidRPr="00C47725">
        <w:rPr>
          <w:lang w:val="de-DE"/>
        </w:rPr>
        <w:t xml:space="preserve">Für Vorschläge </w:t>
      </w:r>
      <w:r>
        <w:rPr>
          <w:lang w:val="de-DE"/>
        </w:rPr>
        <w:t>zum H</w:t>
      </w:r>
      <w:r w:rsidRPr="00C47725">
        <w:rPr>
          <w:lang w:val="de-DE"/>
        </w:rPr>
        <w:t>inzufügen neuer Beispielsorten</w:t>
      </w:r>
    </w:p>
    <w:p w:rsidR="002D20DB" w:rsidRPr="00C47725" w:rsidRDefault="002D20DB" w:rsidP="002D20DB">
      <w:pPr>
        <w:rPr>
          <w:lang w:val="de-DE"/>
        </w:rPr>
      </w:pPr>
    </w:p>
    <w:p w:rsidR="002D20DB" w:rsidRPr="00C47725" w:rsidRDefault="002D20DB" w:rsidP="002D20DB">
      <w:pPr>
        <w:rPr>
          <w:lang w:val="de-DE"/>
        </w:rPr>
      </w:pPr>
      <w:r w:rsidRPr="000823B8">
        <w:rPr>
          <w:lang w:val="de-DE"/>
        </w:rPr>
        <w:fldChar w:fldCharType="begin"/>
      </w:r>
      <w:r w:rsidRPr="000823B8">
        <w:rPr>
          <w:lang w:val="de-DE"/>
        </w:rPr>
        <w:instrText xml:space="preserve"> AUTONUM  </w:instrText>
      </w:r>
      <w:r w:rsidRPr="000823B8">
        <w:rPr>
          <w:lang w:val="de-DE"/>
        </w:rPr>
        <w:fldChar w:fldCharType="end"/>
      </w:r>
      <w:r w:rsidRPr="00C47725">
        <w:rPr>
          <w:lang w:val="de-DE"/>
        </w:rPr>
        <w:tab/>
        <w:t xml:space="preserve">Der TC nahm die folgenden </w:t>
      </w:r>
      <w:r>
        <w:rPr>
          <w:lang w:val="de-DE"/>
        </w:rPr>
        <w:t>von der</w:t>
      </w:r>
      <w:r w:rsidRPr="00C47725">
        <w:rPr>
          <w:lang w:val="de-DE"/>
        </w:rPr>
        <w:t xml:space="preserve"> TWF vorgeschlagenen Umstände zur Kenntnis, wenn ein beschleunigtes Verfahren nicht angewendet werden sollte:</w:t>
      </w:r>
    </w:p>
    <w:p w:rsidR="002D20DB" w:rsidRPr="00C47725" w:rsidRDefault="002D20DB" w:rsidP="002D20DB">
      <w:pPr>
        <w:rPr>
          <w:lang w:val="de-DE"/>
        </w:rPr>
      </w:pPr>
    </w:p>
    <w:p w:rsidR="002D20DB" w:rsidRPr="00C47725" w:rsidRDefault="002D20DB" w:rsidP="002D20DB">
      <w:pPr>
        <w:pStyle w:val="ListParagraph"/>
        <w:numPr>
          <w:ilvl w:val="0"/>
          <w:numId w:val="28"/>
        </w:numPr>
        <w:rPr>
          <w:lang w:val="de-DE"/>
        </w:rPr>
      </w:pPr>
      <w:r w:rsidRPr="00C47725">
        <w:rPr>
          <w:lang w:val="de-DE"/>
        </w:rPr>
        <w:t>Für Vorschläge für Gruppierungsmerkmale</w:t>
      </w:r>
    </w:p>
    <w:p w:rsidR="002D20DB" w:rsidRPr="00C47725" w:rsidRDefault="002D20DB" w:rsidP="002D20DB">
      <w:pPr>
        <w:pStyle w:val="ListParagraph"/>
        <w:numPr>
          <w:ilvl w:val="0"/>
          <w:numId w:val="28"/>
        </w:numPr>
        <w:rPr>
          <w:lang w:val="de-DE"/>
        </w:rPr>
      </w:pPr>
      <w:r w:rsidRPr="00C47725">
        <w:rPr>
          <w:lang w:val="de-DE"/>
        </w:rPr>
        <w:t xml:space="preserve">Für Vorschläge </w:t>
      </w:r>
      <w:r>
        <w:rPr>
          <w:lang w:val="de-DE"/>
        </w:rPr>
        <w:t>zum H</w:t>
      </w:r>
      <w:r w:rsidRPr="00C47725">
        <w:rPr>
          <w:lang w:val="de-DE"/>
        </w:rPr>
        <w:t>inzufügen neuer Merkmale</w:t>
      </w:r>
    </w:p>
    <w:p w:rsidR="002D20DB" w:rsidRPr="00C47725" w:rsidRDefault="002D20DB" w:rsidP="002D20DB">
      <w:pPr>
        <w:rPr>
          <w:lang w:val="de-DE"/>
        </w:rPr>
      </w:pPr>
    </w:p>
    <w:p w:rsidR="002D20DB" w:rsidRPr="00C47725" w:rsidRDefault="002D20DB" w:rsidP="002D20DB">
      <w:pPr>
        <w:rPr>
          <w:lang w:val="de-DE"/>
        </w:rPr>
      </w:pPr>
      <w:r w:rsidRPr="000823B8">
        <w:rPr>
          <w:lang w:val="de-DE"/>
        </w:rPr>
        <w:fldChar w:fldCharType="begin"/>
      </w:r>
      <w:r w:rsidRPr="000823B8">
        <w:rPr>
          <w:lang w:val="de-DE"/>
        </w:rPr>
        <w:instrText xml:space="preserve"> AUTONUM  </w:instrText>
      </w:r>
      <w:r w:rsidRPr="000823B8">
        <w:rPr>
          <w:lang w:val="de-DE"/>
        </w:rPr>
        <w:fldChar w:fldCharType="end"/>
      </w:r>
      <w:r w:rsidRPr="00C47725">
        <w:rPr>
          <w:lang w:val="de-DE"/>
        </w:rPr>
        <w:tab/>
        <w:t xml:space="preserve">Der TC </w:t>
      </w:r>
      <w:r>
        <w:rPr>
          <w:lang w:val="de-DE"/>
        </w:rPr>
        <w:t>erinnerte daran</w:t>
      </w:r>
      <w:r w:rsidRPr="00C47725">
        <w:rPr>
          <w:lang w:val="de-DE"/>
        </w:rPr>
        <w:t>, dass im Fall der Annahme eines beschleunigten Verfahrens Vorschläge für Teilüberarbeitungen der Prüfungsrichtlinien mindestens zwei Monate vor der Tagung veröffentlicht werden müssten, um den Mitgliedern genügend Zeit zur Prüfung zu gebe</w:t>
      </w:r>
      <w:r>
        <w:rPr>
          <w:lang w:val="de-DE"/>
        </w:rPr>
        <w:t>n</w:t>
      </w:r>
      <w:r w:rsidRPr="00C47725">
        <w:rPr>
          <w:lang w:val="de-DE"/>
        </w:rPr>
        <w:t xml:space="preserve">. Der TC nahm zur Kenntnis, dass auch </w:t>
      </w:r>
      <w:r>
        <w:rPr>
          <w:lang w:val="de-DE"/>
        </w:rPr>
        <w:t>das</w:t>
      </w:r>
      <w:r w:rsidRPr="00C47725">
        <w:rPr>
          <w:lang w:val="de-DE"/>
        </w:rPr>
        <w:t xml:space="preserve"> UPOV-Büro zusätzliche Zeit benötig</w:t>
      </w:r>
      <w:r>
        <w:rPr>
          <w:lang w:val="de-DE"/>
        </w:rPr>
        <w:t>en würde</w:t>
      </w:r>
      <w:r w:rsidRPr="00C47725">
        <w:rPr>
          <w:lang w:val="de-DE"/>
        </w:rPr>
        <w:t xml:space="preserve">, um Dokumente </w:t>
      </w:r>
      <w:r>
        <w:rPr>
          <w:lang w:val="de-DE"/>
        </w:rPr>
        <w:t>zu erstellen, bevor sie online veröffentlicht werden</w:t>
      </w:r>
      <w:r w:rsidRPr="00C47725">
        <w:rPr>
          <w:lang w:val="de-DE"/>
        </w:rPr>
        <w:t>.</w:t>
      </w:r>
    </w:p>
    <w:p w:rsidR="002D20DB" w:rsidRPr="00C47725" w:rsidRDefault="002D20DB" w:rsidP="002D20DB">
      <w:pPr>
        <w:rPr>
          <w:lang w:val="de-DE"/>
        </w:rPr>
      </w:pPr>
    </w:p>
    <w:p w:rsidR="002D20DB" w:rsidRPr="00C47725" w:rsidRDefault="002D20DB" w:rsidP="002D20DB">
      <w:pPr>
        <w:rPr>
          <w:lang w:val="de-DE"/>
        </w:rPr>
      </w:pPr>
      <w:r w:rsidRPr="000823B8">
        <w:rPr>
          <w:lang w:val="de-DE"/>
        </w:rPr>
        <w:fldChar w:fldCharType="begin"/>
      </w:r>
      <w:r w:rsidRPr="000823B8">
        <w:rPr>
          <w:lang w:val="de-DE"/>
        </w:rPr>
        <w:instrText xml:space="preserve"> AUTONUM  </w:instrText>
      </w:r>
      <w:r w:rsidRPr="000823B8">
        <w:rPr>
          <w:lang w:val="de-DE"/>
        </w:rPr>
        <w:fldChar w:fldCharType="end"/>
      </w:r>
      <w:r w:rsidRPr="00C47725">
        <w:rPr>
          <w:lang w:val="de-DE"/>
        </w:rPr>
        <w:tab/>
        <w:t xml:space="preserve">Der TC erinnerte daran, dass Teilüberarbeitungen </w:t>
      </w:r>
      <w:r>
        <w:rPr>
          <w:lang w:val="de-DE"/>
        </w:rPr>
        <w:t>von</w:t>
      </w:r>
      <w:r w:rsidRPr="00C47725">
        <w:rPr>
          <w:lang w:val="de-DE"/>
        </w:rPr>
        <w:t xml:space="preserve"> Prüfungsrichtlinien in den TWP oder </w:t>
      </w:r>
      <w:r>
        <w:rPr>
          <w:lang w:val="de-DE"/>
        </w:rPr>
        <w:t>auf</w:t>
      </w:r>
      <w:r w:rsidRPr="00C47725">
        <w:rPr>
          <w:lang w:val="de-DE"/>
        </w:rPr>
        <w:t xml:space="preserve"> den Tagungen des TC vorgeschlagen werden könnten, </w:t>
      </w:r>
      <w:r>
        <w:rPr>
          <w:lang w:val="de-DE"/>
        </w:rPr>
        <w:t>was</w:t>
      </w:r>
      <w:r w:rsidRPr="00C47725">
        <w:rPr>
          <w:lang w:val="de-DE"/>
        </w:rPr>
        <w:t xml:space="preserve"> mindestens zwei Möglichkeiten pro Jahr biete, Teilüberarbeitungen vorzuschlagen. </w:t>
      </w:r>
    </w:p>
    <w:p w:rsidR="002D20DB" w:rsidRPr="00C47725" w:rsidRDefault="002D20DB" w:rsidP="002D20DB">
      <w:pPr>
        <w:rPr>
          <w:lang w:val="de-DE"/>
        </w:rPr>
      </w:pPr>
    </w:p>
    <w:p w:rsidR="002D20DB" w:rsidRPr="00C47725" w:rsidRDefault="002D20DB" w:rsidP="002D20DB">
      <w:pPr>
        <w:rPr>
          <w:lang w:val="de-DE"/>
        </w:rPr>
      </w:pPr>
      <w:r w:rsidRPr="000823B8">
        <w:rPr>
          <w:lang w:val="de-DE"/>
        </w:rPr>
        <w:fldChar w:fldCharType="begin"/>
      </w:r>
      <w:r w:rsidRPr="000823B8">
        <w:rPr>
          <w:lang w:val="de-DE"/>
        </w:rPr>
        <w:instrText xml:space="preserve"> AUTONUM  </w:instrText>
      </w:r>
      <w:r w:rsidRPr="000823B8">
        <w:rPr>
          <w:lang w:val="de-DE"/>
        </w:rPr>
        <w:fldChar w:fldCharType="end"/>
      </w:r>
      <w:r w:rsidRPr="00C47725">
        <w:rPr>
          <w:lang w:val="de-DE"/>
        </w:rPr>
        <w:tab/>
        <w:t xml:space="preserve">Der TC nahm zur Kenntnis, dass häufige Aktualisierungen </w:t>
      </w:r>
      <w:r>
        <w:rPr>
          <w:lang w:val="de-DE"/>
        </w:rPr>
        <w:t>von</w:t>
      </w:r>
      <w:r w:rsidRPr="00C47725">
        <w:rPr>
          <w:lang w:val="de-DE"/>
        </w:rPr>
        <w:t xml:space="preserve"> Prüfungsrichtlinien sich nachteilig auf die internationale Harmonisierung auswirken könnten, und ersuchte die TWF, zu prüfen, ob ein neues Verfahren erforderlich </w:t>
      </w:r>
      <w:r>
        <w:rPr>
          <w:lang w:val="de-DE"/>
        </w:rPr>
        <w:t>sei</w:t>
      </w:r>
      <w:r w:rsidRPr="00C47725">
        <w:rPr>
          <w:lang w:val="de-DE"/>
        </w:rPr>
        <w:t>. Der TC vereinbarte, dass, falls die TWF feststell</w:t>
      </w:r>
      <w:r>
        <w:rPr>
          <w:lang w:val="de-DE"/>
        </w:rPr>
        <w:t>en sollte</w:t>
      </w:r>
      <w:r w:rsidRPr="00C47725">
        <w:rPr>
          <w:lang w:val="de-DE"/>
        </w:rPr>
        <w:t xml:space="preserve">, dass ein beschleunigtes Verfahren gerechtfertigt </w:t>
      </w:r>
      <w:r>
        <w:rPr>
          <w:lang w:val="de-DE"/>
        </w:rPr>
        <w:t>wäre</w:t>
      </w:r>
      <w:r w:rsidRPr="00C47725">
        <w:rPr>
          <w:lang w:val="de-DE"/>
        </w:rPr>
        <w:t xml:space="preserve">, </w:t>
      </w:r>
      <w:r>
        <w:rPr>
          <w:lang w:val="de-DE"/>
        </w:rPr>
        <w:t>dies</w:t>
      </w:r>
      <w:r w:rsidRPr="00C47725">
        <w:rPr>
          <w:lang w:val="de-DE"/>
        </w:rPr>
        <w:t xml:space="preserve"> nur in Ausnahmefällen angewendet werden solle.</w:t>
      </w:r>
    </w:p>
    <w:p w:rsidR="002D20DB" w:rsidRPr="00C47725" w:rsidRDefault="002D20DB" w:rsidP="002D20DB">
      <w:pPr>
        <w:rPr>
          <w:lang w:val="de-DE"/>
        </w:rPr>
      </w:pPr>
    </w:p>
    <w:p w:rsidR="002D20DB" w:rsidRPr="00C47725" w:rsidRDefault="002D20DB" w:rsidP="002D20DB">
      <w:pPr>
        <w:pStyle w:val="Heading5"/>
        <w:rPr>
          <w:lang w:val="de-DE"/>
        </w:rPr>
      </w:pPr>
      <w:r w:rsidRPr="00C47725">
        <w:rPr>
          <w:rFonts w:eastAsia="MS Mincho"/>
          <w:lang w:val="de-DE"/>
        </w:rPr>
        <w:t>Darstellung der vollständigen Notenskala für quantitative Merkmale in den Prüfungsrichtlinien</w:t>
      </w:r>
    </w:p>
    <w:p w:rsidR="002D20DB" w:rsidRPr="00C47725" w:rsidRDefault="002D20DB" w:rsidP="002D20DB">
      <w:pPr>
        <w:keepNext/>
        <w:rPr>
          <w:lang w:val="de-DE"/>
        </w:rPr>
      </w:pPr>
    </w:p>
    <w:p w:rsidR="002D20DB" w:rsidRPr="00C47725" w:rsidRDefault="002D20DB" w:rsidP="002D20DB">
      <w:pPr>
        <w:keepNext/>
        <w:rPr>
          <w:lang w:val="de-DE"/>
        </w:rPr>
      </w:pPr>
      <w:r w:rsidRPr="000823B8">
        <w:rPr>
          <w:rFonts w:cs="Arial"/>
          <w:lang w:val="de-DE"/>
        </w:rPr>
        <w:fldChar w:fldCharType="begin"/>
      </w:r>
      <w:r w:rsidRPr="000823B8">
        <w:rPr>
          <w:rFonts w:cs="Arial"/>
          <w:lang w:val="de-DE"/>
        </w:rPr>
        <w:instrText xml:space="preserve"> AUTONUM  </w:instrText>
      </w:r>
      <w:r w:rsidRPr="000823B8">
        <w:rPr>
          <w:rFonts w:cs="Arial"/>
          <w:lang w:val="de-DE"/>
        </w:rPr>
        <w:fldChar w:fldCharType="end"/>
      </w:r>
      <w:r w:rsidRPr="00C47725">
        <w:rPr>
          <w:rFonts w:cs="Arial"/>
          <w:lang w:val="de-DE"/>
        </w:rPr>
        <w:tab/>
      </w:r>
      <w:r w:rsidRPr="00C47725">
        <w:rPr>
          <w:lang w:val="de-DE"/>
        </w:rPr>
        <w:t>Der TC stimmte dem Vorschlag</w:t>
      </w:r>
      <w:r>
        <w:rPr>
          <w:lang w:val="de-DE"/>
        </w:rPr>
        <w:t xml:space="preserve"> zu</w:t>
      </w:r>
      <w:r w:rsidRPr="00C47725">
        <w:rPr>
          <w:lang w:val="de-DE"/>
        </w:rPr>
        <w:t>, Dokument TGP/7 zu überarbeiten, um alle Ausprägungsstufen für quantitative Merkmale in den Prüfungsrichtlinien darzustellen.</w:t>
      </w:r>
    </w:p>
    <w:p w:rsidR="002D20DB" w:rsidRPr="00C47725" w:rsidRDefault="002D20DB" w:rsidP="002D20DB">
      <w:pPr>
        <w:keepNext/>
        <w:rPr>
          <w:lang w:val="de-DE"/>
        </w:rPr>
      </w:pPr>
    </w:p>
    <w:p w:rsidR="002D20DB" w:rsidRPr="00C47725" w:rsidRDefault="002D20DB" w:rsidP="002D20DB">
      <w:pPr>
        <w:pStyle w:val="Heading5"/>
        <w:rPr>
          <w:lang w:val="de-DE"/>
        </w:rPr>
      </w:pPr>
      <w:r>
        <w:rPr>
          <w:lang w:val="de-DE"/>
        </w:rPr>
        <w:t>Links</w:t>
      </w:r>
      <w:r w:rsidRPr="00C47725">
        <w:rPr>
          <w:lang w:val="de-DE"/>
        </w:rPr>
        <w:t xml:space="preserve"> zu maßgeblichen TGP-Dokumenten betreffend Anleitung in Prüfungsrichtlinien</w:t>
      </w:r>
    </w:p>
    <w:p w:rsidR="002D20DB" w:rsidRPr="00C47725" w:rsidRDefault="002D20DB" w:rsidP="002D20DB">
      <w:pPr>
        <w:rPr>
          <w:lang w:val="de-DE"/>
        </w:rPr>
      </w:pPr>
    </w:p>
    <w:p w:rsidR="002D20DB" w:rsidRPr="00C47725" w:rsidRDefault="002D20DB" w:rsidP="002D20DB">
      <w:pPr>
        <w:rPr>
          <w:lang w:val="de-DE"/>
        </w:rPr>
      </w:pPr>
      <w:r w:rsidRPr="000823B8">
        <w:rPr>
          <w:lang w:val="de-DE"/>
        </w:rPr>
        <w:fldChar w:fldCharType="begin"/>
      </w:r>
      <w:r w:rsidRPr="000823B8">
        <w:rPr>
          <w:lang w:val="de-DE"/>
        </w:rPr>
        <w:instrText xml:space="preserve"> AUTONUM  </w:instrText>
      </w:r>
      <w:r w:rsidRPr="000823B8">
        <w:rPr>
          <w:lang w:val="de-DE"/>
        </w:rPr>
        <w:fldChar w:fldCharType="end"/>
      </w:r>
      <w:r w:rsidRPr="00C47725">
        <w:rPr>
          <w:lang w:val="de-DE"/>
        </w:rPr>
        <w:tab/>
        <w:t xml:space="preserve">Der TC nahm den Vorschlag der TWC auf ihrer siebenunddreißigsten Tagung zur Kenntnis, maßgebliche Anleitung in TGP-Dokumenten anzugeben, die in den </w:t>
      </w:r>
      <w:r>
        <w:rPr>
          <w:lang w:val="de-DE"/>
        </w:rPr>
        <w:t>Prüfungsrichtlinien</w:t>
      </w:r>
      <w:r w:rsidRPr="00C47725">
        <w:rPr>
          <w:lang w:val="de-DE"/>
        </w:rPr>
        <w:t xml:space="preserve"> </w:t>
      </w:r>
      <w:r>
        <w:rPr>
          <w:lang w:val="de-DE"/>
        </w:rPr>
        <w:t xml:space="preserve">angegebene Links </w:t>
      </w:r>
      <w:r w:rsidRPr="00C47725">
        <w:rPr>
          <w:lang w:val="de-DE"/>
        </w:rPr>
        <w:t xml:space="preserve">enthalten könnte, und vereinbarte, die TWP auf ihren Tagungen im Jahr 2020 zu ersuchen, </w:t>
      </w:r>
      <w:r>
        <w:rPr>
          <w:lang w:val="de-DE"/>
        </w:rPr>
        <w:t>Links</w:t>
      </w:r>
      <w:r w:rsidRPr="00C47725">
        <w:rPr>
          <w:lang w:val="de-DE"/>
        </w:rPr>
        <w:t xml:space="preserve"> vorzuschlagen, die gegebenenfalls angegeben werden könnten.</w:t>
      </w:r>
    </w:p>
    <w:p w:rsidR="002D20DB" w:rsidRPr="00C47725" w:rsidRDefault="002D20DB" w:rsidP="002D20DB">
      <w:pPr>
        <w:rPr>
          <w:lang w:val="de-DE"/>
        </w:rPr>
      </w:pPr>
    </w:p>
    <w:p w:rsidR="002D20DB" w:rsidRPr="00C47725" w:rsidRDefault="002D20DB" w:rsidP="002D20DB">
      <w:pPr>
        <w:rPr>
          <w:lang w:val="de-DE"/>
        </w:rPr>
      </w:pPr>
      <w:r w:rsidRPr="00C0783B">
        <w:rPr>
          <w:lang w:val="de-DE"/>
        </w:rPr>
        <w:fldChar w:fldCharType="begin"/>
      </w:r>
      <w:r w:rsidRPr="00C0783B">
        <w:rPr>
          <w:lang w:val="de-DE"/>
        </w:rPr>
        <w:instrText xml:space="preserve"> AUTONUM  </w:instrText>
      </w:r>
      <w:r w:rsidRPr="00C0783B">
        <w:rPr>
          <w:lang w:val="de-DE"/>
        </w:rPr>
        <w:fldChar w:fldCharType="end"/>
      </w:r>
      <w:r w:rsidRPr="00C47725">
        <w:rPr>
          <w:lang w:val="de-DE"/>
        </w:rPr>
        <w:tab/>
        <w:t>Der TC vereinbarte, dass dem TC auf seiner sechsundfünfzigsten Sitzung über maßgebliche UPOV</w:t>
      </w:r>
      <w:r w:rsidR="003F068C">
        <w:rPr>
          <w:lang w:val="de-DE"/>
        </w:rPr>
        <w:noBreakHyphen/>
      </w:r>
      <w:r w:rsidRPr="00C47725">
        <w:rPr>
          <w:lang w:val="de-DE"/>
        </w:rPr>
        <w:t xml:space="preserve">Anleitung, die von den TWP </w:t>
      </w:r>
      <w:r>
        <w:rPr>
          <w:lang w:val="de-DE"/>
        </w:rPr>
        <w:t>ermittelt</w:t>
      </w:r>
      <w:r w:rsidRPr="00C47725">
        <w:rPr>
          <w:lang w:val="de-DE"/>
        </w:rPr>
        <w:t xml:space="preserve"> w</w:t>
      </w:r>
      <w:r>
        <w:rPr>
          <w:lang w:val="de-DE"/>
        </w:rPr>
        <w:t>ü</w:t>
      </w:r>
      <w:r w:rsidRPr="00C47725">
        <w:rPr>
          <w:lang w:val="de-DE"/>
        </w:rPr>
        <w:t xml:space="preserve">rde, berichtet werden sollte, </w:t>
      </w:r>
      <w:r>
        <w:rPr>
          <w:lang w:val="de-DE"/>
        </w:rPr>
        <w:t>um</w:t>
      </w:r>
      <w:r w:rsidRPr="00C47725">
        <w:rPr>
          <w:lang w:val="de-DE"/>
        </w:rPr>
        <w:t xml:space="preserve"> diese bei einer künftigen </w:t>
      </w:r>
      <w:r>
        <w:rPr>
          <w:lang w:val="de-DE"/>
        </w:rPr>
        <w:t>Überarbeitung von Dokument</w:t>
      </w:r>
      <w:r w:rsidRPr="00C47725">
        <w:rPr>
          <w:lang w:val="de-DE"/>
        </w:rPr>
        <w:t xml:space="preserve"> TGP/7</w:t>
      </w:r>
      <w:r>
        <w:rPr>
          <w:lang w:val="de-DE"/>
        </w:rPr>
        <w:t xml:space="preserve"> möglicherweise</w:t>
      </w:r>
      <w:r w:rsidRPr="00C47725">
        <w:rPr>
          <w:lang w:val="de-DE"/>
        </w:rPr>
        <w:t xml:space="preserve"> in die </w:t>
      </w:r>
      <w:r>
        <w:rPr>
          <w:lang w:val="de-DE"/>
        </w:rPr>
        <w:t>Musterv</w:t>
      </w:r>
      <w:r w:rsidRPr="00C47725">
        <w:rPr>
          <w:lang w:val="de-DE"/>
        </w:rPr>
        <w:t xml:space="preserve">orlage für </w:t>
      </w:r>
      <w:r>
        <w:rPr>
          <w:lang w:val="de-DE"/>
        </w:rPr>
        <w:t>Prüfungsrichtlinien</w:t>
      </w:r>
      <w:r w:rsidRPr="00C47725">
        <w:rPr>
          <w:lang w:val="de-DE"/>
        </w:rPr>
        <w:t xml:space="preserve"> auf</w:t>
      </w:r>
      <w:r>
        <w:rPr>
          <w:lang w:val="de-DE"/>
        </w:rPr>
        <w:t>zunehmen</w:t>
      </w:r>
      <w:r w:rsidRPr="00C47725">
        <w:rPr>
          <w:lang w:val="de-DE"/>
        </w:rPr>
        <w:t>.</w:t>
      </w:r>
    </w:p>
    <w:p w:rsidR="002D20DB" w:rsidRPr="00C47725" w:rsidRDefault="002D20DB" w:rsidP="002D20DB">
      <w:pPr>
        <w:rPr>
          <w:lang w:val="de-DE"/>
        </w:rPr>
      </w:pPr>
    </w:p>
    <w:p w:rsidR="002D20DB" w:rsidRPr="00C47725" w:rsidRDefault="002D20DB" w:rsidP="002D20DB">
      <w:pPr>
        <w:pStyle w:val="Heading4"/>
        <w:rPr>
          <w:lang w:val="de-DE"/>
        </w:rPr>
      </w:pPr>
      <w:bookmarkStart w:id="18" w:name="_Toc519608642"/>
      <w:bookmarkStart w:id="19" w:name="_Toc21683370"/>
      <w:r w:rsidRPr="00C47725">
        <w:rPr>
          <w:snapToGrid w:val="0"/>
          <w:lang w:val="de-DE"/>
        </w:rPr>
        <w:t xml:space="preserve">TGP/12: </w:t>
      </w:r>
      <w:bookmarkEnd w:id="18"/>
      <w:bookmarkEnd w:id="19"/>
      <w:r w:rsidRPr="00C0783B">
        <w:rPr>
          <w:snapToGrid w:val="0"/>
          <w:lang w:val="de-DE"/>
        </w:rPr>
        <w:t>Anleitung zu bestimmten physiologischen Merkmalen</w:t>
      </w:r>
    </w:p>
    <w:p w:rsidR="002D20DB" w:rsidRPr="00C47725" w:rsidRDefault="002D20DB" w:rsidP="002D20DB">
      <w:pPr>
        <w:keepNext/>
        <w:keepLines/>
        <w:rPr>
          <w:lang w:val="de-DE"/>
        </w:rPr>
      </w:pPr>
    </w:p>
    <w:p w:rsidR="002D20DB" w:rsidRPr="00C47725" w:rsidRDefault="002D20DB" w:rsidP="002D20DB">
      <w:pPr>
        <w:keepNext/>
        <w:rPr>
          <w:lang w:val="de-DE"/>
        </w:rPr>
      </w:pPr>
      <w:r w:rsidRPr="00C0783B">
        <w:rPr>
          <w:lang w:val="de-DE"/>
        </w:rPr>
        <w:fldChar w:fldCharType="begin"/>
      </w:r>
      <w:r w:rsidRPr="00C0783B">
        <w:rPr>
          <w:lang w:val="de-DE"/>
        </w:rPr>
        <w:instrText xml:space="preserve"> AUTONUM  </w:instrText>
      </w:r>
      <w:r w:rsidRPr="00C0783B">
        <w:rPr>
          <w:lang w:val="de-DE"/>
        </w:rPr>
        <w:fldChar w:fldCharType="end"/>
      </w:r>
      <w:r w:rsidRPr="00C47725">
        <w:rPr>
          <w:lang w:val="de-DE"/>
        </w:rPr>
        <w:tab/>
        <w:t xml:space="preserve">Der TC nahm zur Kenntnis, dass die TWV auf ihrer dreiundfünfzigsten Tagung vereinbart hatte, dass die derzeitige Anleitung in UPOV-Dokumenten in Bezug auf die Verwendung von </w:t>
      </w:r>
      <w:r w:rsidRPr="00C47725">
        <w:rPr>
          <w:lang w:val="de-DE"/>
        </w:rPr>
        <w:lastRenderedPageBreak/>
        <w:t xml:space="preserve">Krankheitsresistenzmerkmalen klar und </w:t>
      </w:r>
      <w:r>
        <w:rPr>
          <w:lang w:val="de-DE"/>
        </w:rPr>
        <w:t>derzeit</w:t>
      </w:r>
      <w:r w:rsidRPr="00C47725">
        <w:rPr>
          <w:lang w:val="de-DE"/>
        </w:rPr>
        <w:t xml:space="preserve"> ausreichend sei, wie in Dokument TC/55/4 Absatz 65 dargelegt. Der TC vereinbarte, dass in diesem Stadium keine weiteren Maßnahmen erforderlich </w:t>
      </w:r>
      <w:r>
        <w:rPr>
          <w:lang w:val="de-DE"/>
        </w:rPr>
        <w:t>seien</w:t>
      </w:r>
      <w:r w:rsidRPr="00C47725">
        <w:rPr>
          <w:lang w:val="de-DE"/>
        </w:rPr>
        <w:t>.</w:t>
      </w:r>
    </w:p>
    <w:p w:rsidR="002D20DB" w:rsidRPr="00C47725" w:rsidRDefault="002D20DB" w:rsidP="002D20DB">
      <w:pPr>
        <w:rPr>
          <w:lang w:val="de-DE"/>
        </w:rPr>
      </w:pPr>
    </w:p>
    <w:p w:rsidR="002D20DB" w:rsidRPr="00C47725" w:rsidRDefault="002D20DB" w:rsidP="002D20DB">
      <w:pPr>
        <w:pStyle w:val="Heading3"/>
      </w:pPr>
      <w:bookmarkStart w:id="20" w:name="_Toc519608644"/>
      <w:bookmarkStart w:id="21" w:name="_Toc21683373"/>
      <w:r w:rsidRPr="00C47725">
        <w:t xml:space="preserve">Programm zur </w:t>
      </w:r>
      <w:r>
        <w:t>Erstellung</w:t>
      </w:r>
      <w:r w:rsidRPr="00C47725">
        <w:t xml:space="preserve"> von TGP-Dokumente</w:t>
      </w:r>
      <w:bookmarkEnd w:id="20"/>
      <w:bookmarkEnd w:id="21"/>
      <w:r w:rsidRPr="00C47725">
        <w:t>n</w:t>
      </w:r>
    </w:p>
    <w:p w:rsidR="002D20DB" w:rsidRPr="00C47725" w:rsidRDefault="002D20DB" w:rsidP="002D20DB">
      <w:pPr>
        <w:keepNext/>
        <w:rPr>
          <w:lang w:val="de-DE"/>
        </w:rPr>
      </w:pPr>
    </w:p>
    <w:p w:rsidR="002D20DB" w:rsidRPr="00C47725" w:rsidRDefault="002D20DB" w:rsidP="002D20DB">
      <w:pPr>
        <w:keepNext/>
        <w:rPr>
          <w:lang w:val="de-DE"/>
        </w:rPr>
      </w:pPr>
      <w:r w:rsidRPr="00C0783B">
        <w:rPr>
          <w:lang w:val="de-DE"/>
        </w:rPr>
        <w:fldChar w:fldCharType="begin"/>
      </w:r>
      <w:r w:rsidRPr="00C0783B">
        <w:rPr>
          <w:lang w:val="de-DE"/>
        </w:rPr>
        <w:instrText xml:space="preserve"> AUTONUM  </w:instrText>
      </w:r>
      <w:r w:rsidRPr="00C0783B">
        <w:rPr>
          <w:lang w:val="de-DE"/>
        </w:rPr>
        <w:fldChar w:fldCharType="end"/>
      </w:r>
      <w:r w:rsidRPr="00C47725">
        <w:rPr>
          <w:lang w:val="de-DE"/>
        </w:rPr>
        <w:tab/>
        <w:t xml:space="preserve">Der TC </w:t>
      </w:r>
      <w:r w:rsidRPr="001C467D">
        <w:rPr>
          <w:lang w:val="de-DE"/>
        </w:rPr>
        <w:t xml:space="preserve">stimmte vorbehaltlich seiner </w:t>
      </w:r>
      <w:r>
        <w:rPr>
          <w:lang w:val="de-DE"/>
        </w:rPr>
        <w:t>Entschließungen</w:t>
      </w:r>
      <w:r w:rsidRPr="001C467D">
        <w:rPr>
          <w:lang w:val="de-DE"/>
        </w:rPr>
        <w:t xml:space="preserve"> auf dieser Tagung dem Programm für die </w:t>
      </w:r>
      <w:r>
        <w:rPr>
          <w:lang w:val="de-DE"/>
        </w:rPr>
        <w:t>Erstellung</w:t>
      </w:r>
      <w:r w:rsidRPr="001C467D">
        <w:rPr>
          <w:lang w:val="de-DE"/>
        </w:rPr>
        <w:t xml:space="preserve"> von TGP-Dokumenten zu</w:t>
      </w:r>
      <w:r w:rsidRPr="00C47725">
        <w:rPr>
          <w:lang w:val="de-DE"/>
        </w:rPr>
        <w:t>, wie in Anlage IV des Dokuments TC/5</w:t>
      </w:r>
      <w:r w:rsidR="00964901">
        <w:rPr>
          <w:lang w:val="de-DE"/>
        </w:rPr>
        <w:t>5</w:t>
      </w:r>
      <w:r w:rsidRPr="00C47725">
        <w:rPr>
          <w:lang w:val="de-DE"/>
        </w:rPr>
        <w:t>/</w:t>
      </w:r>
      <w:r w:rsidR="00964901">
        <w:rPr>
          <w:lang w:val="de-DE"/>
        </w:rPr>
        <w:t>4</w:t>
      </w:r>
      <w:r w:rsidRPr="00C47725">
        <w:rPr>
          <w:lang w:val="de-DE"/>
        </w:rPr>
        <w:t xml:space="preserve"> dargelegt.</w:t>
      </w:r>
    </w:p>
    <w:p w:rsidR="002D20DB" w:rsidRPr="00C47725" w:rsidRDefault="002D20DB" w:rsidP="002D20DB">
      <w:pPr>
        <w:rPr>
          <w:lang w:val="de-DE"/>
        </w:rPr>
      </w:pPr>
    </w:p>
    <w:p w:rsidR="002D20DB" w:rsidRPr="00C47725" w:rsidRDefault="002D20DB" w:rsidP="002D20DB">
      <w:pPr>
        <w:rPr>
          <w:lang w:val="de-DE"/>
        </w:rPr>
      </w:pPr>
      <w:r w:rsidRPr="00C0783B">
        <w:rPr>
          <w:lang w:val="de-DE"/>
        </w:rPr>
        <w:fldChar w:fldCharType="begin"/>
      </w:r>
      <w:r w:rsidRPr="00C0783B">
        <w:rPr>
          <w:lang w:val="de-DE"/>
        </w:rPr>
        <w:instrText xml:space="preserve"> AUTONUM  </w:instrText>
      </w:r>
      <w:r w:rsidRPr="00C0783B">
        <w:rPr>
          <w:lang w:val="de-DE"/>
        </w:rPr>
        <w:fldChar w:fldCharType="end"/>
      </w:r>
      <w:r w:rsidRPr="00C47725">
        <w:rPr>
          <w:lang w:val="de-DE"/>
        </w:rPr>
        <w:tab/>
        <w:t>Der TC vereinbarte, den Geltungsbereich des Dokuments</w:t>
      </w:r>
      <w:r>
        <w:rPr>
          <w:lang w:val="de-DE"/>
        </w:rPr>
        <w:t xml:space="preserve"> „</w:t>
      </w:r>
      <w:r w:rsidRPr="00C47725">
        <w:rPr>
          <w:lang w:val="de-DE"/>
        </w:rPr>
        <w:t>TGP-Dokumente</w:t>
      </w:r>
      <w:r>
        <w:rPr>
          <w:lang w:val="de-DE"/>
        </w:rPr>
        <w:t>“</w:t>
      </w:r>
      <w:r w:rsidRPr="00C47725">
        <w:rPr>
          <w:lang w:val="de-DE"/>
        </w:rPr>
        <w:t xml:space="preserve"> auf alle maßgeblichen Informationsmaterialien </w:t>
      </w:r>
      <w:r>
        <w:rPr>
          <w:lang w:val="de-DE"/>
        </w:rPr>
        <w:t xml:space="preserve">zur Vorlage auf </w:t>
      </w:r>
      <w:r w:rsidRPr="00C47725">
        <w:rPr>
          <w:lang w:val="de-DE"/>
        </w:rPr>
        <w:t>künftigen Tagungen des Technischen Ausschusses auszudehnen.</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rPr>
          <w:lang w:val="de-DE"/>
        </w:rPr>
      </w:pPr>
      <w:r w:rsidRPr="00C47725">
        <w:rPr>
          <w:lang w:val="de-DE"/>
        </w:rPr>
        <w:t>Molekulare Verfahren</w:t>
      </w:r>
    </w:p>
    <w:p w:rsidR="002D20DB" w:rsidRPr="00C47725" w:rsidRDefault="002D20DB" w:rsidP="002D20DB">
      <w:pPr>
        <w:keepNext/>
        <w:rPr>
          <w:lang w:val="de-DE"/>
        </w:rPr>
      </w:pPr>
    </w:p>
    <w:p w:rsidR="002D20DB" w:rsidRPr="00C47725" w:rsidRDefault="002D20DB" w:rsidP="002D20DB">
      <w:pPr>
        <w:keepNext/>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prüfte Dokumente </w:t>
      </w:r>
      <w:r w:rsidRPr="00C47725">
        <w:rPr>
          <w:rFonts w:cs="Arial"/>
          <w:lang w:val="de-DE"/>
        </w:rPr>
        <w:t>TC/55/7, TC/55/7 Add., TC/55/7 Add. 2.</w:t>
      </w:r>
    </w:p>
    <w:p w:rsidR="002D20DB" w:rsidRPr="00C47725" w:rsidRDefault="002D20DB" w:rsidP="002D20DB">
      <w:pPr>
        <w:rPr>
          <w:lang w:val="de-DE"/>
        </w:rPr>
      </w:pPr>
    </w:p>
    <w:p w:rsidR="002D20DB" w:rsidRPr="00C47725" w:rsidRDefault="002D20DB" w:rsidP="002D20DB">
      <w:pPr>
        <w:pStyle w:val="Heading3"/>
      </w:pPr>
      <w:r w:rsidRPr="00C47725">
        <w:t>Überprüfung von Dokument UPOV/INF/17:</w:t>
      </w:r>
      <w:r>
        <w:t xml:space="preserve"> „</w:t>
      </w:r>
      <w:r w:rsidRPr="00C47725">
        <w:t>Richtlinien für die DNS-Profilierung: Auswahl molekularer Marker und Aufbau von Datenbanken (‚BMT-Richtlinien‘)</w:t>
      </w:r>
      <w:r>
        <w:t>“</w:t>
      </w:r>
    </w:p>
    <w:p w:rsidR="002D20DB" w:rsidRPr="00C47725" w:rsidRDefault="002D20DB" w:rsidP="002D20DB">
      <w:pPr>
        <w:keepNext/>
        <w:rPr>
          <w:lang w:val="de-DE"/>
        </w:rPr>
      </w:pPr>
    </w:p>
    <w:p w:rsidR="002D20DB" w:rsidRPr="00C47725" w:rsidRDefault="002D20DB" w:rsidP="002D20DB">
      <w:pPr>
        <w:keepNext/>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Der TC nahm zur Kenntnis, dass die BMT auf ihrer achtzehnten Tagung das Dokument UPOV/INF/17/2 Draft 2</w:t>
      </w:r>
      <w:r>
        <w:rPr>
          <w:lang w:val="de-DE"/>
        </w:rPr>
        <w:t xml:space="preserve"> „</w:t>
      </w:r>
      <w:r w:rsidRPr="00C47725">
        <w:rPr>
          <w:lang w:val="de-DE"/>
        </w:rPr>
        <w:t>Richtlinien für die DNS-Profilierung: Auswahl molekularer Marker und Aufbau von Datenbanken (‚BMT-Richtlinien‘)</w:t>
      </w:r>
      <w:r>
        <w:rPr>
          <w:lang w:val="de-DE"/>
        </w:rPr>
        <w:t>“ geprüft hatte</w:t>
      </w:r>
      <w:r w:rsidRPr="00C47725">
        <w:rPr>
          <w:lang w:val="de-DE"/>
        </w:rPr>
        <w:t>, wie in Dokument TC/55/7, Absatz 7, dargelegt.</w:t>
      </w:r>
    </w:p>
    <w:p w:rsidR="002D20DB" w:rsidRPr="00C47725" w:rsidRDefault="002D20DB" w:rsidP="002D20DB">
      <w:pPr>
        <w:rPr>
          <w:lang w:val="de-DE"/>
        </w:rPr>
      </w:pPr>
    </w:p>
    <w:p w:rsidR="002D20DB" w:rsidRPr="00C47725" w:rsidRDefault="002D20DB" w:rsidP="002D20DB">
      <w:pPr>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Der TC nahm zur Kenntnis, dass der BMT auf ihrer achtzehnten Tagung</w:t>
      </w:r>
      <w:r>
        <w:rPr>
          <w:lang w:val="de-DE"/>
        </w:rPr>
        <w:t xml:space="preserve"> </w:t>
      </w:r>
      <w:r w:rsidRPr="00C47725">
        <w:rPr>
          <w:lang w:val="de-DE"/>
        </w:rPr>
        <w:t>über den Vorschlag der TWV</w:t>
      </w:r>
      <w:r w:rsidRPr="00EF0AA3">
        <w:rPr>
          <w:lang w:val="de-DE"/>
        </w:rPr>
        <w:t xml:space="preserve"> </w:t>
      </w:r>
      <w:r w:rsidRPr="00C47725">
        <w:rPr>
          <w:lang w:val="de-DE"/>
        </w:rPr>
        <w:t>berichtet worden wa</w:t>
      </w:r>
      <w:r>
        <w:rPr>
          <w:lang w:val="de-DE"/>
        </w:rPr>
        <w:t>r</w:t>
      </w:r>
      <w:r w:rsidRPr="00C47725">
        <w:rPr>
          <w:lang w:val="de-DE"/>
        </w:rPr>
        <w:t xml:space="preserve">, Anleitung </w:t>
      </w:r>
      <w:r>
        <w:rPr>
          <w:lang w:val="de-DE"/>
        </w:rPr>
        <w:t>zu</w:t>
      </w:r>
      <w:r w:rsidRPr="00C47725">
        <w:rPr>
          <w:lang w:val="de-DE"/>
        </w:rPr>
        <w:t xml:space="preserve"> Elemente</w:t>
      </w:r>
      <w:r>
        <w:rPr>
          <w:lang w:val="de-DE"/>
        </w:rPr>
        <w:t>n</w:t>
      </w:r>
      <w:r w:rsidRPr="00C47725">
        <w:rPr>
          <w:lang w:val="de-DE"/>
        </w:rPr>
        <w:t xml:space="preserve"> zu entwickeln, die in ein Protokoll des DNS-Markertests für ein </w:t>
      </w:r>
      <w:r>
        <w:rPr>
          <w:lang w:val="de-DE"/>
        </w:rPr>
        <w:t>spezifisches</w:t>
      </w:r>
      <w:r w:rsidRPr="00C47725">
        <w:rPr>
          <w:lang w:val="de-DE"/>
        </w:rPr>
        <w:t xml:space="preserve"> Merkmal in Dokument UPOV/INF/17 aufgenommen werden soll, wie in Dokument TC/55/7, Absatz 9, dargelegt.</w:t>
      </w:r>
    </w:p>
    <w:p w:rsidR="002D20DB" w:rsidRPr="00C47725" w:rsidRDefault="002D20DB" w:rsidP="002D20DB">
      <w:pPr>
        <w:rPr>
          <w:lang w:val="de-DE"/>
        </w:rPr>
      </w:pPr>
    </w:p>
    <w:p w:rsidR="002D20DB" w:rsidRPr="00C47725" w:rsidRDefault="002D20DB" w:rsidP="002D20DB">
      <w:pPr>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stimmte dem Vorschlag der BMT auf </w:t>
      </w:r>
      <w:r>
        <w:rPr>
          <w:lang w:val="de-DE"/>
        </w:rPr>
        <w:t>ihrer</w:t>
      </w:r>
      <w:r w:rsidRPr="00C47725">
        <w:rPr>
          <w:lang w:val="de-DE"/>
        </w:rPr>
        <w:t xml:space="preserve"> achtzehnten </w:t>
      </w:r>
      <w:r w:rsidR="00083964">
        <w:rPr>
          <w:lang w:val="de-DE"/>
        </w:rPr>
        <w:t>Tagung zu, dass die Europäische </w:t>
      </w:r>
      <w:r w:rsidRPr="00C47725">
        <w:rPr>
          <w:lang w:val="de-DE"/>
        </w:rPr>
        <w:t>Union, Frankreich und die Niederlande einen neuen Entwurf für Dokument UPOV/INF/17</w:t>
      </w:r>
      <w:r>
        <w:rPr>
          <w:lang w:val="de-DE"/>
        </w:rPr>
        <w:t xml:space="preserve"> „</w:t>
      </w:r>
      <w:r w:rsidRPr="00C47725">
        <w:rPr>
          <w:lang w:val="de-DE"/>
        </w:rPr>
        <w:t>Richtlinien für die DNS-Profilierung: Auswahl molekularer Marker u</w:t>
      </w:r>
      <w:r w:rsidR="00083964">
        <w:rPr>
          <w:lang w:val="de-DE"/>
        </w:rPr>
        <w:t>nd Aufbau von Datenbanken (‚BMT</w:t>
      </w:r>
      <w:r w:rsidR="00083964">
        <w:rPr>
          <w:lang w:val="de-DE"/>
        </w:rPr>
        <w:noBreakHyphen/>
      </w:r>
      <w:r w:rsidRPr="00C47725">
        <w:rPr>
          <w:lang w:val="de-DE"/>
        </w:rPr>
        <w:t>Richtlinien‘)</w:t>
      </w:r>
      <w:r>
        <w:rPr>
          <w:lang w:val="de-DE"/>
        </w:rPr>
        <w:t>“</w:t>
      </w:r>
      <w:r w:rsidRPr="00C47725">
        <w:rPr>
          <w:lang w:val="de-DE"/>
        </w:rPr>
        <w:t xml:space="preserve"> (Dokument UPOV/INF/17/2 Draft 3) zur Prüfung auf </w:t>
      </w:r>
      <w:r>
        <w:rPr>
          <w:lang w:val="de-DE"/>
        </w:rPr>
        <w:t>der</w:t>
      </w:r>
      <w:r w:rsidRPr="00C47725">
        <w:rPr>
          <w:lang w:val="de-DE"/>
        </w:rPr>
        <w:t xml:space="preserve"> neunzehnten Tagung</w:t>
      </w:r>
      <w:r>
        <w:rPr>
          <w:lang w:val="de-DE"/>
        </w:rPr>
        <w:t xml:space="preserve"> der BMT </w:t>
      </w:r>
      <w:r w:rsidRPr="00C47725">
        <w:rPr>
          <w:lang w:val="de-DE"/>
        </w:rPr>
        <w:t>ausarbeiten soll</w:t>
      </w:r>
      <w:r>
        <w:rPr>
          <w:lang w:val="de-DE"/>
        </w:rPr>
        <w:t>t</w:t>
      </w:r>
      <w:r w:rsidRPr="00C47725">
        <w:rPr>
          <w:lang w:val="de-DE"/>
        </w:rPr>
        <w:t>en.</w:t>
      </w:r>
    </w:p>
    <w:p w:rsidR="002D20DB" w:rsidRPr="00C47725" w:rsidRDefault="002D20DB" w:rsidP="002D20DB">
      <w:pPr>
        <w:rPr>
          <w:lang w:val="de-DE"/>
        </w:rPr>
      </w:pPr>
    </w:p>
    <w:p w:rsidR="002D20DB" w:rsidRPr="00C47725" w:rsidRDefault="002D20DB" w:rsidP="002D20DB">
      <w:pPr>
        <w:pStyle w:val="Heading3"/>
      </w:pPr>
      <w:bookmarkStart w:id="22" w:name="_Toc525647214"/>
      <w:bookmarkStart w:id="23" w:name="_Toc526175654"/>
      <w:bookmarkStart w:id="24" w:name="_Toc15059496"/>
      <w:bookmarkStart w:id="25" w:name="_Toc16181358"/>
      <w:r w:rsidRPr="00C47725">
        <w:t>Zusammenarbeit zwischen internationalen Organisationen</w:t>
      </w:r>
      <w:bookmarkEnd w:id="22"/>
      <w:bookmarkEnd w:id="23"/>
      <w:bookmarkEnd w:id="24"/>
      <w:bookmarkEnd w:id="25"/>
    </w:p>
    <w:p w:rsidR="002D20DB" w:rsidRPr="00C47725" w:rsidRDefault="002D20DB" w:rsidP="002D20DB">
      <w:pPr>
        <w:keepNext/>
        <w:rPr>
          <w:lang w:val="de-DE"/>
        </w:rPr>
      </w:pPr>
    </w:p>
    <w:p w:rsidR="002D20DB" w:rsidRPr="00C47725" w:rsidRDefault="002D20DB" w:rsidP="002D20DB">
      <w:pPr>
        <w:pStyle w:val="Heading4"/>
        <w:rPr>
          <w:lang w:val="de-DE"/>
        </w:rPr>
      </w:pPr>
      <w:bookmarkStart w:id="26" w:name="_Toc14980927"/>
      <w:bookmarkStart w:id="27" w:name="_Toc15059497"/>
      <w:bookmarkStart w:id="28" w:name="_Toc16181359"/>
      <w:r w:rsidRPr="00C47725">
        <w:rPr>
          <w:lang w:val="de-DE"/>
        </w:rPr>
        <w:t>Gemeinsames Dokument zur Er</w:t>
      </w:r>
      <w:r>
        <w:rPr>
          <w:lang w:val="de-DE"/>
        </w:rPr>
        <w:t>läuterung</w:t>
      </w:r>
      <w:r w:rsidRPr="00C47725">
        <w:rPr>
          <w:lang w:val="de-DE"/>
        </w:rPr>
        <w:t xml:space="preserve"> der </w:t>
      </w:r>
      <w:r>
        <w:rPr>
          <w:lang w:val="de-DE"/>
        </w:rPr>
        <w:t>wesentlichen</w:t>
      </w:r>
      <w:r w:rsidRPr="00C47725">
        <w:rPr>
          <w:lang w:val="de-DE"/>
        </w:rPr>
        <w:t xml:space="preserve"> Besonderheiten der Systeme von OECD, UPOV und ISTA</w:t>
      </w:r>
      <w:bookmarkEnd w:id="26"/>
      <w:bookmarkEnd w:id="27"/>
      <w:bookmarkEnd w:id="28"/>
    </w:p>
    <w:p w:rsidR="002D20DB" w:rsidRPr="00C47725" w:rsidRDefault="002D20DB" w:rsidP="002D20DB">
      <w:pPr>
        <w:keepNext/>
        <w:rPr>
          <w:lang w:val="de-DE"/>
        </w:rPr>
      </w:pPr>
    </w:p>
    <w:p w:rsidR="002D20DB" w:rsidRPr="00C47725" w:rsidRDefault="002D20DB" w:rsidP="002D20DB">
      <w:pPr>
        <w:keepNext/>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w:t>
      </w:r>
      <w:r>
        <w:rPr>
          <w:lang w:val="de-DE"/>
        </w:rPr>
        <w:t>stimmte</w:t>
      </w:r>
      <w:r w:rsidRPr="00C47725">
        <w:rPr>
          <w:lang w:val="de-DE"/>
        </w:rPr>
        <w:t xml:space="preserve"> der BMT auf </w:t>
      </w:r>
      <w:r>
        <w:rPr>
          <w:lang w:val="de-DE"/>
        </w:rPr>
        <w:t>ihrer</w:t>
      </w:r>
      <w:r w:rsidRPr="00C47725">
        <w:rPr>
          <w:lang w:val="de-DE"/>
        </w:rPr>
        <w:t xml:space="preserve"> achtzehnte</w:t>
      </w:r>
      <w:r>
        <w:rPr>
          <w:lang w:val="de-DE"/>
        </w:rPr>
        <w:t>n</w:t>
      </w:r>
      <w:r w:rsidRPr="00C47725">
        <w:rPr>
          <w:lang w:val="de-DE"/>
        </w:rPr>
        <w:t xml:space="preserve"> Tagung</w:t>
      </w:r>
      <w:r>
        <w:rPr>
          <w:lang w:val="de-DE"/>
        </w:rPr>
        <w:t xml:space="preserve"> zu</w:t>
      </w:r>
      <w:r w:rsidRPr="00C47725">
        <w:rPr>
          <w:lang w:val="de-DE"/>
        </w:rPr>
        <w:t xml:space="preserve">, dass maßgebliche Elemente aus der Weltsaatgutpartnerschaft und </w:t>
      </w:r>
      <w:r>
        <w:rPr>
          <w:lang w:val="de-DE"/>
        </w:rPr>
        <w:t>die</w:t>
      </w:r>
      <w:r w:rsidRPr="00C47725">
        <w:rPr>
          <w:lang w:val="de-DE"/>
        </w:rPr>
        <w:t xml:space="preserve"> FAQ über </w:t>
      </w:r>
      <w:r>
        <w:rPr>
          <w:lang w:val="de-DE"/>
        </w:rPr>
        <w:t>die</w:t>
      </w:r>
      <w:r w:rsidRPr="00C47725">
        <w:rPr>
          <w:lang w:val="de-DE"/>
        </w:rPr>
        <w:t xml:space="preserve"> </w:t>
      </w:r>
      <w:r>
        <w:rPr>
          <w:lang w:val="de-DE"/>
        </w:rPr>
        <w:t>Verwendung molekularer Verfahren</w:t>
      </w:r>
      <w:r w:rsidRPr="00C47725">
        <w:rPr>
          <w:lang w:val="de-DE"/>
        </w:rPr>
        <w:t xml:space="preserve"> bei der DUS-Prüfung eine geeignete Grundlage für das Verbandsbüro sein würden, um in Abstimmung mit der OECD einen Entwurf für ein gemeinsames Dokument zur Er</w:t>
      </w:r>
      <w:r>
        <w:rPr>
          <w:lang w:val="de-DE"/>
        </w:rPr>
        <w:t>läuterung</w:t>
      </w:r>
      <w:r w:rsidRPr="00C47725">
        <w:rPr>
          <w:lang w:val="de-DE"/>
        </w:rPr>
        <w:t xml:space="preserve"> der </w:t>
      </w:r>
      <w:r>
        <w:rPr>
          <w:lang w:val="de-DE"/>
        </w:rPr>
        <w:t>wesentlichen</w:t>
      </w:r>
      <w:r w:rsidRPr="00C47725">
        <w:rPr>
          <w:lang w:val="de-DE"/>
        </w:rPr>
        <w:t xml:space="preserve"> Besonderheiten der Systeme von OECD, UPOV und ISTA zu erstellen.</w:t>
      </w:r>
      <w:r w:rsidRPr="00C47725">
        <w:rPr>
          <w:iCs/>
          <w:lang w:val="de-DE" w:eastAsia="ja-JP"/>
        </w:rPr>
        <w:t xml:space="preserve"> </w:t>
      </w:r>
    </w:p>
    <w:p w:rsidR="002D20DB" w:rsidRPr="00C47725" w:rsidRDefault="002D20DB" w:rsidP="002D20DB">
      <w:pPr>
        <w:rPr>
          <w:lang w:val="de-DE"/>
        </w:rPr>
      </w:pPr>
    </w:p>
    <w:p w:rsidR="002D20DB" w:rsidRPr="00C47725" w:rsidRDefault="002D20DB" w:rsidP="002D20DB">
      <w:pPr>
        <w:pStyle w:val="Heading4"/>
        <w:rPr>
          <w:lang w:val="de-DE"/>
        </w:rPr>
      </w:pPr>
      <w:bookmarkStart w:id="29" w:name="_Toc14980928"/>
      <w:bookmarkStart w:id="30" w:name="_Toc15059498"/>
      <w:bookmarkStart w:id="31" w:name="_Toc16181360"/>
      <w:r w:rsidRPr="00C47725">
        <w:rPr>
          <w:lang w:val="de-DE"/>
        </w:rPr>
        <w:t>Bestandsaufnahme zur Verwendung molekularer Markerverfahren nach Pflanze</w:t>
      </w:r>
      <w:bookmarkEnd w:id="29"/>
      <w:bookmarkEnd w:id="30"/>
      <w:bookmarkEnd w:id="31"/>
    </w:p>
    <w:p w:rsidR="002D20DB" w:rsidRPr="00C47725" w:rsidRDefault="002D20DB" w:rsidP="002D20DB">
      <w:pPr>
        <w:keepNext/>
        <w:rPr>
          <w:lang w:val="de-DE"/>
        </w:rPr>
      </w:pPr>
    </w:p>
    <w:p w:rsidR="002D20DB" w:rsidRPr="00C47725" w:rsidRDefault="002D20DB" w:rsidP="002D20DB">
      <w:pPr>
        <w:keepNext/>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Der TC prüfte die etwaige Erstellung einer Bestandsaufnahme zur Verwendung molekularer Markerverfahren nach Pflanze, um ein gemeinsames OECD/UPOV/ISTA-Dokument mit diesen Informationen in einem ähnlichen Format wie Dokument UPOV/INF/16</w:t>
      </w:r>
      <w:r>
        <w:rPr>
          <w:lang w:val="de-DE"/>
        </w:rPr>
        <w:t xml:space="preserve"> „</w:t>
      </w:r>
      <w:r w:rsidRPr="00C47725">
        <w:rPr>
          <w:lang w:val="de-DE"/>
        </w:rPr>
        <w:t>Austauschbare Software</w:t>
      </w:r>
      <w:r>
        <w:rPr>
          <w:lang w:val="de-DE"/>
        </w:rPr>
        <w:t>“</w:t>
      </w:r>
      <w:r w:rsidRPr="00C47725">
        <w:rPr>
          <w:lang w:val="de-DE"/>
        </w:rPr>
        <w:t xml:space="preserve"> </w:t>
      </w:r>
      <w:r>
        <w:rPr>
          <w:lang w:val="de-DE"/>
        </w:rPr>
        <w:t>auszuarbeiten</w:t>
      </w:r>
      <w:r w:rsidRPr="00C47725">
        <w:rPr>
          <w:lang w:val="de-DE"/>
        </w:rPr>
        <w:t xml:space="preserve">. </w:t>
      </w:r>
    </w:p>
    <w:p w:rsidR="002D20DB" w:rsidRPr="00C47725" w:rsidRDefault="002D20DB" w:rsidP="002D20DB">
      <w:pPr>
        <w:keepNext/>
        <w:rPr>
          <w:lang w:val="de-DE"/>
        </w:rPr>
      </w:pPr>
    </w:p>
    <w:p w:rsidR="002D20DB" w:rsidRPr="00C47725" w:rsidRDefault="002D20DB" w:rsidP="002D20DB">
      <w:pPr>
        <w:keepNext/>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Der TC vereinbarte die folgenden Elemente für die Bestandsaufnahme:</w:t>
      </w:r>
    </w:p>
    <w:p w:rsidR="002D20DB" w:rsidRPr="00C47725" w:rsidRDefault="002D20DB" w:rsidP="002D20DB">
      <w:pPr>
        <w:rPr>
          <w:lang w:val="de-DE"/>
        </w:rPr>
      </w:pPr>
    </w:p>
    <w:p w:rsidR="002D20DB" w:rsidRPr="00C47725" w:rsidRDefault="002D20DB" w:rsidP="002D20DB">
      <w:pPr>
        <w:pStyle w:val="ListParagraph"/>
        <w:numPr>
          <w:ilvl w:val="0"/>
          <w:numId w:val="24"/>
        </w:numPr>
        <w:ind w:left="1134" w:hanging="567"/>
        <w:rPr>
          <w:lang w:val="de-DE"/>
        </w:rPr>
      </w:pPr>
      <w:r w:rsidRPr="00C47725">
        <w:rPr>
          <w:lang w:val="de-DE"/>
        </w:rPr>
        <w:t xml:space="preserve">Land oder zwischenstaatliche Organisation, das/die molekulare Markerverfahren verwendet </w:t>
      </w:r>
    </w:p>
    <w:p w:rsidR="002D20DB" w:rsidRPr="00C47725" w:rsidRDefault="002D20DB" w:rsidP="002D20DB">
      <w:pPr>
        <w:pStyle w:val="ListParagraph"/>
        <w:numPr>
          <w:ilvl w:val="0"/>
          <w:numId w:val="24"/>
        </w:numPr>
        <w:ind w:left="1134" w:hanging="567"/>
        <w:rPr>
          <w:rFonts w:eastAsiaTheme="minorEastAsia"/>
          <w:lang w:val="de-DE"/>
        </w:rPr>
      </w:pPr>
      <w:r w:rsidRPr="00C47725">
        <w:rPr>
          <w:rFonts w:cs="Arial"/>
          <w:lang w:val="de-DE"/>
        </w:rPr>
        <w:t xml:space="preserve">Verwendet die Behörde molekulare </w:t>
      </w:r>
      <w:r>
        <w:rPr>
          <w:rFonts w:cs="Arial"/>
          <w:lang w:val="de-DE"/>
        </w:rPr>
        <w:t>Markerverfahren?</w:t>
      </w:r>
      <w:r w:rsidRPr="00C47725">
        <w:rPr>
          <w:lang w:val="de-DE"/>
        </w:rPr>
        <w:t xml:space="preserve"> </w:t>
      </w:r>
    </w:p>
    <w:p w:rsidR="002D20DB" w:rsidRPr="007975AE" w:rsidRDefault="002D20DB" w:rsidP="002D20DB">
      <w:pPr>
        <w:pStyle w:val="ListParagraph"/>
        <w:numPr>
          <w:ilvl w:val="0"/>
          <w:numId w:val="24"/>
        </w:numPr>
        <w:ind w:left="1134" w:hanging="567"/>
        <w:rPr>
          <w:lang w:val="de-DE"/>
        </w:rPr>
      </w:pPr>
      <w:r w:rsidRPr="00C47725">
        <w:rPr>
          <w:lang w:val="de-DE"/>
        </w:rPr>
        <w:t>Quelle [Name der Behö</w:t>
      </w:r>
      <w:r w:rsidRPr="007975AE">
        <w:rPr>
          <w:lang w:val="de-DE"/>
        </w:rPr>
        <w:t>rde] und Kontaktangaben [E-Mail-Adresse]</w:t>
      </w:r>
    </w:p>
    <w:p w:rsidR="002D20DB" w:rsidRPr="007975AE" w:rsidRDefault="002D20DB" w:rsidP="002D20DB">
      <w:pPr>
        <w:pStyle w:val="ListParagraph"/>
        <w:numPr>
          <w:ilvl w:val="0"/>
          <w:numId w:val="24"/>
        </w:numPr>
        <w:ind w:left="1134" w:hanging="567"/>
        <w:rPr>
          <w:lang w:val="de-DE"/>
        </w:rPr>
      </w:pPr>
      <w:r w:rsidRPr="007975AE">
        <w:rPr>
          <w:lang w:val="de-DE"/>
        </w:rPr>
        <w:t xml:space="preserve">Art des molekularen Markerverfahrens </w:t>
      </w:r>
      <w:r w:rsidRPr="0020085B">
        <w:rPr>
          <w:lang w:val="de-DE"/>
        </w:rPr>
        <w:t xml:space="preserve">[AFLP, </w:t>
      </w:r>
      <w:r w:rsidRPr="0020085B">
        <w:rPr>
          <w:rFonts w:cs="Arial"/>
          <w:lang w:val="de-DE"/>
        </w:rPr>
        <w:t>Kapillarelektrophorese-Fragmentanalyse, MNP, RAPD-STS, SSR, SNPs, Taqman, Ganzgenomsequenzierung</w:t>
      </w:r>
      <w:r w:rsidRPr="007975AE">
        <w:rPr>
          <w:rFonts w:cs="Arial"/>
          <w:lang w:val="de-DE"/>
        </w:rPr>
        <w:t>, andere</w:t>
      </w:r>
      <w:r>
        <w:rPr>
          <w:rFonts w:cs="Arial"/>
          <w:lang w:val="de-DE"/>
        </w:rPr>
        <w:t>s</w:t>
      </w:r>
      <w:r w:rsidRPr="007975AE">
        <w:rPr>
          <w:rFonts w:cs="Arial"/>
          <w:lang w:val="de-DE"/>
        </w:rPr>
        <w:t xml:space="preserve"> </w:t>
      </w:r>
      <w:r>
        <w:rPr>
          <w:rFonts w:cs="Arial"/>
          <w:lang w:val="de-DE"/>
        </w:rPr>
        <w:t>Verfahren</w:t>
      </w:r>
      <w:r w:rsidRPr="007975AE">
        <w:rPr>
          <w:rFonts w:cs="Arial"/>
          <w:lang w:val="de-DE"/>
        </w:rPr>
        <w:t xml:space="preserve"> (bitte angeben)]</w:t>
      </w:r>
      <w:r w:rsidRPr="007975AE">
        <w:rPr>
          <w:lang w:val="de-DE"/>
        </w:rPr>
        <w:t xml:space="preserve"> [mehr als eine Antwort erlaubt]</w:t>
      </w:r>
    </w:p>
    <w:p w:rsidR="002D20DB" w:rsidRPr="00C47725" w:rsidRDefault="002D20DB" w:rsidP="002D20DB">
      <w:pPr>
        <w:pStyle w:val="ListParagraph"/>
        <w:numPr>
          <w:ilvl w:val="0"/>
          <w:numId w:val="24"/>
        </w:numPr>
        <w:ind w:left="1134" w:hanging="567"/>
        <w:rPr>
          <w:lang w:val="de-DE"/>
        </w:rPr>
      </w:pPr>
      <w:r w:rsidRPr="00C47725">
        <w:rPr>
          <w:lang w:val="de-DE"/>
        </w:rPr>
        <w:t>Quelle des molekularen Markers und Kontaktdaten [E-Mail-Adresse]</w:t>
      </w:r>
    </w:p>
    <w:p w:rsidR="002D20DB" w:rsidRPr="00C47725" w:rsidRDefault="002D20DB" w:rsidP="002D20DB">
      <w:pPr>
        <w:pStyle w:val="ListParagraph"/>
        <w:numPr>
          <w:ilvl w:val="0"/>
          <w:numId w:val="24"/>
        </w:numPr>
        <w:ind w:left="1134" w:hanging="567"/>
        <w:rPr>
          <w:lang w:val="de-DE"/>
        </w:rPr>
      </w:pPr>
      <w:r w:rsidRPr="00C47725">
        <w:rPr>
          <w:lang w:val="de-DE"/>
        </w:rPr>
        <w:t>Verfügbarkeit des Markers [öffentlich verfügbar oder ein proprietärer Marker].</w:t>
      </w:r>
    </w:p>
    <w:p w:rsidR="002D20DB" w:rsidRPr="00C47725" w:rsidRDefault="002D20DB" w:rsidP="002D20DB">
      <w:pPr>
        <w:pStyle w:val="ListParagraph"/>
        <w:numPr>
          <w:ilvl w:val="0"/>
          <w:numId w:val="24"/>
        </w:numPr>
        <w:ind w:left="1134" w:hanging="567"/>
        <w:rPr>
          <w:lang w:val="de-DE"/>
        </w:rPr>
      </w:pPr>
      <w:r w:rsidRPr="00C47725">
        <w:rPr>
          <w:lang w:val="de-DE"/>
        </w:rPr>
        <w:t>Status (z.B. derzeit verwendet oder in Ausarbeitung begriffen)</w:t>
      </w:r>
    </w:p>
    <w:p w:rsidR="002D20DB" w:rsidRPr="00C47725" w:rsidRDefault="002D20DB" w:rsidP="002D20DB">
      <w:pPr>
        <w:pStyle w:val="ListParagraph"/>
        <w:numPr>
          <w:ilvl w:val="0"/>
          <w:numId w:val="24"/>
        </w:numPr>
        <w:ind w:left="1134" w:hanging="567"/>
        <w:rPr>
          <w:lang w:val="de-DE"/>
        </w:rPr>
      </w:pPr>
      <w:r w:rsidRPr="00C47725">
        <w:rPr>
          <w:lang w:val="de-DE"/>
        </w:rPr>
        <w:lastRenderedPageBreak/>
        <w:t xml:space="preserve">Pflanze(n), für die molekulare Markerverfahren verwendet werden und betreffendes Merkmal [Botanische(n) Name(n) und UPOV-Code(s) angeben] </w:t>
      </w:r>
    </w:p>
    <w:p w:rsidR="002D20DB" w:rsidRPr="00C47725" w:rsidRDefault="002D20DB" w:rsidP="002D20DB">
      <w:pPr>
        <w:pStyle w:val="ListParagraph"/>
        <w:numPr>
          <w:ilvl w:val="0"/>
          <w:numId w:val="24"/>
        </w:numPr>
        <w:ind w:left="1134" w:hanging="567"/>
        <w:rPr>
          <w:lang w:val="de-DE"/>
        </w:rPr>
      </w:pPr>
      <w:r w:rsidRPr="00C47725">
        <w:rPr>
          <w:lang w:val="de-DE"/>
        </w:rPr>
        <w:t>Zweck der Verwendung molekularer Verfahren [UPOV-Modell</w:t>
      </w:r>
      <w:r>
        <w:rPr>
          <w:lang w:val="de-DE"/>
        </w:rPr>
        <w:t xml:space="preserve"> „</w:t>
      </w:r>
      <w:r w:rsidRPr="00C47725">
        <w:rPr>
          <w:lang w:val="de-DE"/>
        </w:rPr>
        <w:t>Merkmalspezifische molekulare Marker</w:t>
      </w:r>
      <w:r>
        <w:rPr>
          <w:lang w:val="de-DE"/>
        </w:rPr>
        <w:t>“</w:t>
      </w:r>
      <w:r w:rsidRPr="00C47725">
        <w:rPr>
          <w:lang w:val="de-DE"/>
        </w:rPr>
        <w:t>, UPOV-Modell</w:t>
      </w:r>
      <w:r>
        <w:rPr>
          <w:lang w:val="de-DE"/>
        </w:rPr>
        <w:t xml:space="preserve"> „</w:t>
      </w:r>
      <w:r w:rsidRPr="00C47725">
        <w:rPr>
          <w:lang w:val="de-DE"/>
        </w:rPr>
        <w:t>Kombination phänotypischer und molekularer Abstände bei der Verwaltung von Sortensammlungen</w:t>
      </w:r>
      <w:r>
        <w:rPr>
          <w:lang w:val="de-DE"/>
        </w:rPr>
        <w:t>“</w:t>
      </w:r>
      <w:r w:rsidRPr="00C47725">
        <w:rPr>
          <w:lang w:val="de-DE"/>
        </w:rPr>
        <w:t>, Reinheit, Identität, Überprüfung der Übereinstimmung von Pflanzenmaterial mit einer geschützten Sorte zum Zwecke der Ausübung der Züchterrechte, Überprüfung der Hybridität].</w:t>
      </w:r>
    </w:p>
    <w:p w:rsidR="002D20DB" w:rsidRPr="00C47725" w:rsidRDefault="002D20DB" w:rsidP="002D20DB">
      <w:pPr>
        <w:pStyle w:val="ListParagraph"/>
        <w:numPr>
          <w:ilvl w:val="0"/>
          <w:numId w:val="24"/>
        </w:numPr>
        <w:ind w:left="1134" w:hanging="567"/>
        <w:rPr>
          <w:lang w:val="de-DE"/>
        </w:rPr>
      </w:pPr>
      <w:r w:rsidRPr="00C47725">
        <w:rPr>
          <w:lang w:val="de-DE"/>
        </w:rPr>
        <w:t>Wurde das molekulare Markerverfahren als Teil der Saatgutzertifizierung in den vergangen zwei Jahren verwendet? [Nationale Zertifizierung, OECD-Zertifizierung] [maßgeblich für OECD-Saatgutsysteme].</w:t>
      </w:r>
    </w:p>
    <w:p w:rsidR="002D20DB" w:rsidRPr="00C47725" w:rsidRDefault="002D20DB" w:rsidP="002D20DB">
      <w:pPr>
        <w:pStyle w:val="ListParagraph"/>
        <w:numPr>
          <w:ilvl w:val="0"/>
          <w:numId w:val="24"/>
        </w:numPr>
        <w:ind w:left="1134" w:hanging="567"/>
        <w:rPr>
          <w:lang w:val="de-DE"/>
        </w:rPr>
      </w:pPr>
      <w:r w:rsidRPr="00C47725">
        <w:rPr>
          <w:lang w:val="de-DE"/>
        </w:rPr>
        <w:t xml:space="preserve">Wie viele Male wurde das molekulare Markerverfahren in den vergangenen 2 Jahren von der Behörde verwendet? [Routine, gelegentlich] [z.B. 1 bis 5, 6 bis 20, 21 bis 100, mehr als 100]. </w:t>
      </w:r>
    </w:p>
    <w:p w:rsidR="002D20DB" w:rsidRPr="00C47725" w:rsidRDefault="002D20DB" w:rsidP="002D20DB">
      <w:pPr>
        <w:pStyle w:val="ListParagraph"/>
        <w:numPr>
          <w:ilvl w:val="0"/>
          <w:numId w:val="24"/>
        </w:numPr>
        <w:ind w:left="1134" w:hanging="567"/>
        <w:rPr>
          <w:lang w:val="de-DE"/>
        </w:rPr>
      </w:pPr>
      <w:r w:rsidRPr="00C47725">
        <w:rPr>
          <w:lang w:val="de-DE"/>
        </w:rPr>
        <w:t>Wurde das molekulare Markerverfahren durch [UPOV-Prüfungsrichtlinie(n), UPOV TGP-Dokument(e), oder andere(s) UPOV-Dokument(e)] erfasst? (bitte präzisieren).</w:t>
      </w:r>
    </w:p>
    <w:p w:rsidR="002D20DB" w:rsidRPr="00C47725" w:rsidRDefault="002D20DB" w:rsidP="002D20DB">
      <w:pPr>
        <w:pStyle w:val="ListParagraph"/>
        <w:numPr>
          <w:ilvl w:val="0"/>
          <w:numId w:val="24"/>
        </w:numPr>
        <w:ind w:left="1134" w:hanging="567"/>
        <w:rPr>
          <w:lang w:val="de-DE"/>
        </w:rPr>
      </w:pPr>
      <w:r w:rsidRPr="00C47725">
        <w:rPr>
          <w:lang w:val="de-DE"/>
        </w:rPr>
        <w:t xml:space="preserve">Wurde das molekulare Verfahren validiert/anerkannt/autorisiert [falls ja, eine bestimmte Organisation oder Behörde angeben] [maßgeblich für OECD-Saatgutsysteme]. </w:t>
      </w:r>
    </w:p>
    <w:p w:rsidR="002D20DB" w:rsidRPr="00C47725" w:rsidRDefault="002D20DB" w:rsidP="002D20DB">
      <w:pPr>
        <w:pStyle w:val="ListParagraph"/>
        <w:numPr>
          <w:ilvl w:val="0"/>
          <w:numId w:val="24"/>
        </w:numPr>
        <w:ind w:left="1134" w:hanging="567"/>
        <w:rPr>
          <w:lang w:val="de-DE"/>
        </w:rPr>
      </w:pPr>
      <w:r w:rsidRPr="00C47725">
        <w:rPr>
          <w:lang w:val="de-DE"/>
        </w:rPr>
        <w:t>Hat die Behörde Datenbanken mit Informationen erstellt, die durch die Verwendung der molekularen Markertechnik gewonnen wurden</w:t>
      </w:r>
      <w:r>
        <w:rPr>
          <w:lang w:val="de-DE"/>
        </w:rPr>
        <w:t>?</w:t>
      </w:r>
      <w:r w:rsidRPr="00C47725">
        <w:rPr>
          <w:lang w:val="de-DE"/>
        </w:rPr>
        <w:t xml:space="preserve"> </w:t>
      </w:r>
    </w:p>
    <w:p w:rsidR="002D20DB" w:rsidRPr="00C47725" w:rsidRDefault="002D20DB" w:rsidP="002D20DB">
      <w:pPr>
        <w:rPr>
          <w:highlight w:val="yellow"/>
          <w:lang w:val="de-DE"/>
        </w:rPr>
      </w:pPr>
    </w:p>
    <w:p w:rsidR="002D20DB" w:rsidRPr="00C47725" w:rsidRDefault="002D20DB" w:rsidP="002D20DB">
      <w:pPr>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Der TC vereinbarte, dass die Frage</w:t>
      </w:r>
      <w:r>
        <w:rPr>
          <w:lang w:val="de-DE"/>
        </w:rPr>
        <w:t xml:space="preserve"> „</w:t>
      </w:r>
      <w:r w:rsidRPr="00C47725">
        <w:rPr>
          <w:lang w:val="de-DE"/>
        </w:rPr>
        <w:t>Wurde das molekulare Verfahren validiert</w:t>
      </w:r>
      <w:r>
        <w:rPr>
          <w:lang w:val="de-DE"/>
        </w:rPr>
        <w:t>?“</w:t>
      </w:r>
      <w:r w:rsidRPr="00C47725">
        <w:rPr>
          <w:lang w:val="de-DE"/>
        </w:rPr>
        <w:t xml:space="preserve"> wie folgt geändert werden sollte:</w:t>
      </w:r>
      <w:r>
        <w:rPr>
          <w:lang w:val="de-DE"/>
        </w:rPr>
        <w:t xml:space="preserve"> „</w:t>
      </w:r>
      <w:r w:rsidRPr="00C47725">
        <w:rPr>
          <w:lang w:val="de-DE"/>
        </w:rPr>
        <w:t>Wurde das molekulare Verfahren validiert/anerkannt/autorisiert</w:t>
      </w:r>
      <w:r>
        <w:rPr>
          <w:lang w:val="de-DE"/>
        </w:rPr>
        <w:t>?“</w:t>
      </w:r>
      <w:r w:rsidRPr="00C47725">
        <w:rPr>
          <w:lang w:val="de-DE"/>
        </w:rPr>
        <w:t xml:space="preserve">. </w:t>
      </w:r>
    </w:p>
    <w:p w:rsidR="002D20DB" w:rsidRPr="00C47725" w:rsidRDefault="002D20DB" w:rsidP="002D20DB">
      <w:pPr>
        <w:rPr>
          <w:lang w:val="de-DE"/>
        </w:rPr>
      </w:pPr>
    </w:p>
    <w:p w:rsidR="002D20DB" w:rsidRPr="00C47725" w:rsidRDefault="002D20DB" w:rsidP="002D20DB">
      <w:pPr>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vereinbarte, dass ein Rundschreiben herausgegeben werden sollte, in dem </w:t>
      </w:r>
      <w:r>
        <w:rPr>
          <w:lang w:val="de-DE"/>
        </w:rPr>
        <w:t>Verbandsmitglieder</w:t>
      </w:r>
      <w:r w:rsidRPr="00C47725">
        <w:rPr>
          <w:lang w:val="de-DE"/>
        </w:rPr>
        <w:t xml:space="preserve"> ersucht w</w:t>
      </w:r>
      <w:r>
        <w:rPr>
          <w:lang w:val="de-DE"/>
        </w:rPr>
        <w:t>ü</w:t>
      </w:r>
      <w:r w:rsidRPr="00C47725">
        <w:rPr>
          <w:lang w:val="de-DE"/>
        </w:rPr>
        <w:t xml:space="preserve">rden, eine </w:t>
      </w:r>
      <w:r>
        <w:rPr>
          <w:lang w:val="de-DE"/>
        </w:rPr>
        <w:t>Befragung</w:t>
      </w:r>
      <w:r w:rsidRPr="00C47725">
        <w:rPr>
          <w:lang w:val="de-DE"/>
        </w:rPr>
        <w:t xml:space="preserve"> als Grundlage für die Erstellung einer Bestandsaufnahme zur Verwendung molekularer Markerverfahren nach Pflanze in Abstimmung mit der OECD</w:t>
      </w:r>
      <w:r>
        <w:rPr>
          <w:lang w:val="de-DE"/>
        </w:rPr>
        <w:t xml:space="preserve"> </w:t>
      </w:r>
      <w:r w:rsidRPr="00C47725">
        <w:rPr>
          <w:lang w:val="de-DE"/>
        </w:rPr>
        <w:t>durchzuführen.</w:t>
      </w:r>
    </w:p>
    <w:p w:rsidR="002D20DB" w:rsidRPr="00C47725" w:rsidRDefault="002D20DB" w:rsidP="002D20DB">
      <w:pPr>
        <w:rPr>
          <w:lang w:val="de-DE"/>
        </w:rPr>
      </w:pPr>
    </w:p>
    <w:p w:rsidR="002D20DB" w:rsidRPr="00C47725" w:rsidRDefault="002D20DB" w:rsidP="002D20DB">
      <w:pPr>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stimmte der BMT zu, dass die </w:t>
      </w:r>
      <w:r>
        <w:rPr>
          <w:lang w:val="de-DE"/>
        </w:rPr>
        <w:t>Befragung</w:t>
      </w:r>
      <w:r w:rsidRPr="00C47725">
        <w:rPr>
          <w:lang w:val="de-DE"/>
        </w:rPr>
        <w:t xml:space="preserve"> strukturierte Antworten haben sollte, um einen </w:t>
      </w:r>
      <w:r>
        <w:rPr>
          <w:lang w:val="de-DE"/>
        </w:rPr>
        <w:t>best</w:t>
      </w:r>
      <w:r w:rsidRPr="00C47725">
        <w:rPr>
          <w:lang w:val="de-DE"/>
        </w:rPr>
        <w:t>möglichen Vergleich der Ergebnisse zu ermöglichen.</w:t>
      </w:r>
    </w:p>
    <w:p w:rsidR="002D20DB" w:rsidRPr="00C47725" w:rsidRDefault="002D20DB" w:rsidP="002D20DB">
      <w:pPr>
        <w:rPr>
          <w:lang w:val="de-DE"/>
        </w:rPr>
      </w:pPr>
    </w:p>
    <w:p w:rsidR="002D20DB" w:rsidRPr="00C47725" w:rsidRDefault="002D20DB" w:rsidP="002D20DB">
      <w:pPr>
        <w:rPr>
          <w:lang w:val="de-DE"/>
        </w:rPr>
      </w:pPr>
      <w:r w:rsidRPr="00C47725">
        <w:rPr>
          <w:lang w:val="de-DE"/>
        </w:rPr>
        <w:fldChar w:fldCharType="begin"/>
      </w:r>
      <w:r w:rsidRPr="00C47725">
        <w:rPr>
          <w:lang w:val="de-DE"/>
        </w:rPr>
        <w:instrText xml:space="preserve"> AUTONUM  </w:instrText>
      </w:r>
      <w:r w:rsidRPr="00C47725">
        <w:rPr>
          <w:lang w:val="de-DE"/>
        </w:rPr>
        <w:fldChar w:fldCharType="end"/>
      </w:r>
      <w:r w:rsidRPr="00C47725">
        <w:rPr>
          <w:lang w:val="de-DE"/>
        </w:rPr>
        <w:tab/>
        <w:t xml:space="preserve">Der TC vereinbarte, dass das </w:t>
      </w:r>
      <w:r>
        <w:rPr>
          <w:lang w:val="de-DE"/>
        </w:rPr>
        <w:t>Verbandsbüro</w:t>
      </w:r>
      <w:r w:rsidRPr="00C47725">
        <w:rPr>
          <w:lang w:val="de-DE"/>
        </w:rPr>
        <w:t xml:space="preserve"> eine</w:t>
      </w:r>
      <w:r>
        <w:rPr>
          <w:lang w:val="de-DE"/>
        </w:rPr>
        <w:t xml:space="preserve"> </w:t>
      </w:r>
      <w:r w:rsidRPr="00C47725">
        <w:rPr>
          <w:lang w:val="de-DE"/>
        </w:rPr>
        <w:t>Test</w:t>
      </w:r>
      <w:r>
        <w:rPr>
          <w:lang w:val="de-DE"/>
        </w:rPr>
        <w:t>befragung</w:t>
      </w:r>
      <w:r w:rsidRPr="00C47725">
        <w:rPr>
          <w:lang w:val="de-DE"/>
        </w:rPr>
        <w:t xml:space="preserve"> mit </w:t>
      </w:r>
      <w:r>
        <w:rPr>
          <w:lang w:val="de-DE"/>
        </w:rPr>
        <w:t>Sachverständigen</w:t>
      </w:r>
      <w:r w:rsidRPr="00C47725">
        <w:rPr>
          <w:lang w:val="de-DE"/>
        </w:rPr>
        <w:t xml:space="preserve"> aus dem Vereinigten Königreich durchführen sollte.</w:t>
      </w:r>
    </w:p>
    <w:p w:rsidR="002D20DB" w:rsidRPr="00C47725" w:rsidRDefault="002D20DB" w:rsidP="002D20DB">
      <w:pPr>
        <w:rPr>
          <w:lang w:val="de-DE"/>
        </w:rPr>
      </w:pPr>
    </w:p>
    <w:p w:rsidR="002D20DB" w:rsidRPr="00C47725" w:rsidRDefault="002D20DB" w:rsidP="002D20DB">
      <w:pPr>
        <w:pStyle w:val="Heading4"/>
        <w:rPr>
          <w:lang w:val="de-DE"/>
        </w:rPr>
      </w:pPr>
      <w:bookmarkStart w:id="32" w:name="_Toc14980929"/>
      <w:bookmarkStart w:id="33" w:name="_Toc15059500"/>
      <w:bookmarkStart w:id="34" w:name="_Toc16181362"/>
      <w:r w:rsidRPr="00C47725">
        <w:rPr>
          <w:lang w:val="de-DE"/>
        </w:rPr>
        <w:t xml:space="preserve">Listen </w:t>
      </w:r>
      <w:r>
        <w:rPr>
          <w:lang w:val="de-DE"/>
        </w:rPr>
        <w:t>etwaiger</w:t>
      </w:r>
      <w:r w:rsidRPr="00C47725">
        <w:rPr>
          <w:lang w:val="de-DE"/>
        </w:rPr>
        <w:t xml:space="preserve"> gemeinsamer Initiativen mit OECD und ISTA hinsichtlich molekularer Verfahren</w:t>
      </w:r>
      <w:bookmarkEnd w:id="32"/>
      <w:bookmarkEnd w:id="33"/>
      <w:bookmarkEnd w:id="34"/>
      <w:r w:rsidRPr="00C47725">
        <w:rPr>
          <w:lang w:val="de-DE"/>
        </w:rPr>
        <w:t xml:space="preserve"> </w:t>
      </w:r>
    </w:p>
    <w:p w:rsidR="002D20DB" w:rsidRPr="00C47725" w:rsidRDefault="002D20DB" w:rsidP="002D20DB">
      <w:pPr>
        <w:keepNext/>
        <w:rPr>
          <w:lang w:val="de-DE"/>
        </w:rPr>
      </w:pPr>
    </w:p>
    <w:p w:rsidR="002D20DB" w:rsidRPr="00C47725" w:rsidRDefault="002D20DB" w:rsidP="002D20DB">
      <w:pPr>
        <w:keepNext/>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prüfte </w:t>
      </w:r>
      <w:r>
        <w:rPr>
          <w:lang w:val="de-DE"/>
        </w:rPr>
        <w:t>etwaige</w:t>
      </w:r>
      <w:r w:rsidRPr="00C47725">
        <w:rPr>
          <w:lang w:val="de-DE"/>
        </w:rPr>
        <w:t xml:space="preserve"> gemeinsame Initiativen mit OECD und ISTA hinsichtlich molekularer Verfahren und stimmte dem Vorschlag der BMT auf </w:t>
      </w:r>
      <w:r>
        <w:rPr>
          <w:lang w:val="de-DE"/>
        </w:rPr>
        <w:t xml:space="preserve">ihrer achtzehnten </w:t>
      </w:r>
      <w:r w:rsidRPr="00C47725">
        <w:rPr>
          <w:lang w:val="de-DE"/>
        </w:rPr>
        <w:t xml:space="preserve">Sitzung zu, gemeinsame </w:t>
      </w:r>
      <w:r>
        <w:rPr>
          <w:lang w:val="de-DE"/>
        </w:rPr>
        <w:t>Arbeitstagungen</w:t>
      </w:r>
      <w:r w:rsidRPr="00C47725">
        <w:rPr>
          <w:lang w:val="de-DE"/>
        </w:rPr>
        <w:t xml:space="preserve"> </w:t>
      </w:r>
      <w:r>
        <w:rPr>
          <w:lang w:val="de-DE"/>
        </w:rPr>
        <w:t>künftig</w:t>
      </w:r>
      <w:r w:rsidRPr="00C47725">
        <w:rPr>
          <w:lang w:val="de-DE"/>
        </w:rPr>
        <w:t xml:space="preserve"> zu wiederholen. </w:t>
      </w:r>
    </w:p>
    <w:p w:rsidR="002D20DB" w:rsidRPr="00C47725" w:rsidRDefault="002D20DB" w:rsidP="002D20DB">
      <w:pPr>
        <w:keepNext/>
        <w:rPr>
          <w:lang w:val="de-DE"/>
        </w:rPr>
      </w:pPr>
    </w:p>
    <w:p w:rsidR="002D20DB" w:rsidRPr="00C47725" w:rsidRDefault="002D20DB" w:rsidP="002D20DB">
      <w:pPr>
        <w:keepNext/>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w:t>
      </w:r>
      <w:r>
        <w:rPr>
          <w:lang w:val="de-DE"/>
        </w:rPr>
        <w:t>stimmte</w:t>
      </w:r>
      <w:r w:rsidRPr="00C47725">
        <w:rPr>
          <w:lang w:val="de-DE"/>
        </w:rPr>
        <w:t xml:space="preserve"> der BMT</w:t>
      </w:r>
      <w:r>
        <w:rPr>
          <w:lang w:val="de-DE"/>
        </w:rPr>
        <w:t xml:space="preserve"> zu</w:t>
      </w:r>
      <w:r w:rsidRPr="00C47725">
        <w:rPr>
          <w:lang w:val="de-DE"/>
        </w:rPr>
        <w:t xml:space="preserve">, eine gemeinsame Initiative vorzuschlagen, bei der jede Organisation die anderen über die Verwendung molekularer Marker </w:t>
      </w:r>
      <w:r>
        <w:rPr>
          <w:lang w:val="de-DE"/>
        </w:rPr>
        <w:t>bei</w:t>
      </w:r>
      <w:r w:rsidRPr="00C47725">
        <w:rPr>
          <w:lang w:val="de-DE"/>
        </w:rPr>
        <w:t xml:space="preserve"> ihrer Arbeit informiert.</w:t>
      </w:r>
    </w:p>
    <w:p w:rsidR="002D20DB" w:rsidRPr="00C47725" w:rsidRDefault="002D20DB" w:rsidP="002D20DB">
      <w:pPr>
        <w:rPr>
          <w:lang w:val="de-DE"/>
        </w:rPr>
      </w:pPr>
    </w:p>
    <w:p w:rsidR="002D20DB" w:rsidRPr="00C47725" w:rsidRDefault="002D20DB" w:rsidP="002D20DB">
      <w:pPr>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nahm zur Kenntnis, dass es keine </w:t>
      </w:r>
      <w:r>
        <w:rPr>
          <w:lang w:val="de-DE"/>
        </w:rPr>
        <w:t>Begriffsbestimmungen</w:t>
      </w:r>
      <w:r w:rsidRPr="00C47725">
        <w:rPr>
          <w:lang w:val="de-DE"/>
        </w:rPr>
        <w:t xml:space="preserve"> für biochemische und </w:t>
      </w:r>
      <w:r>
        <w:rPr>
          <w:lang w:val="de-DE"/>
        </w:rPr>
        <w:t>molekulare Verfahren</w:t>
      </w:r>
      <w:r w:rsidRPr="00C47725">
        <w:rPr>
          <w:lang w:val="de-DE"/>
        </w:rPr>
        <w:t xml:space="preserve"> in der UPOV g</w:t>
      </w:r>
      <w:r>
        <w:rPr>
          <w:lang w:val="de-DE"/>
        </w:rPr>
        <w:t>e</w:t>
      </w:r>
      <w:r w:rsidRPr="00C47725">
        <w:rPr>
          <w:lang w:val="de-DE"/>
        </w:rPr>
        <w:t>b</w:t>
      </w:r>
      <w:r>
        <w:rPr>
          <w:lang w:val="de-DE"/>
        </w:rPr>
        <w:t>e</w:t>
      </w:r>
      <w:r w:rsidRPr="00C47725">
        <w:rPr>
          <w:lang w:val="de-DE"/>
        </w:rPr>
        <w:t xml:space="preserve">. Der TC vereinbarte, dass Informationen aus der </w:t>
      </w:r>
      <w:r>
        <w:rPr>
          <w:lang w:val="de-DE"/>
        </w:rPr>
        <w:t>Befragung</w:t>
      </w:r>
      <w:r w:rsidRPr="00C47725">
        <w:rPr>
          <w:lang w:val="de-DE"/>
        </w:rPr>
        <w:t xml:space="preserve"> zu den Verfahren dazu beitragen könnten, Verfahren zu klären, die als biochemisch oder molekular gelten. </w:t>
      </w:r>
    </w:p>
    <w:p w:rsidR="002D20DB" w:rsidRPr="00C47725" w:rsidRDefault="002D20DB" w:rsidP="002D20DB">
      <w:pPr>
        <w:rPr>
          <w:lang w:val="de-DE"/>
        </w:rPr>
      </w:pPr>
    </w:p>
    <w:p w:rsidR="002D20DB" w:rsidRPr="009D40FF" w:rsidRDefault="002D20DB" w:rsidP="009D40FF">
      <w:pPr>
        <w:pStyle w:val="Heading3"/>
      </w:pPr>
      <w:bookmarkStart w:id="35" w:name="_Toc536782789"/>
      <w:bookmarkStart w:id="36" w:name="_Toc13511378"/>
      <w:bookmarkStart w:id="37" w:name="_Toc14980930"/>
      <w:bookmarkStart w:id="38" w:name="_Toc15568815"/>
      <w:bookmarkStart w:id="39" w:name="_Toc16181363"/>
      <w:r w:rsidRPr="009D40FF">
        <w:rPr>
          <w:rStyle w:val="Heading1Char"/>
          <w:caps w:val="0"/>
          <w:lang w:val="de-DE"/>
        </w:rPr>
        <w:t>Sitzung zur Erleichterung der Zusammenarbeit im Zusammenhang mit der Verwendung molekularer Verfahre</w:t>
      </w:r>
      <w:r w:rsidRPr="009D40FF">
        <w:t>n</w:t>
      </w:r>
      <w:bookmarkEnd w:id="35"/>
      <w:bookmarkEnd w:id="36"/>
      <w:bookmarkEnd w:id="37"/>
      <w:bookmarkEnd w:id="38"/>
      <w:bookmarkEnd w:id="39"/>
    </w:p>
    <w:p w:rsidR="002D20DB" w:rsidRPr="00C47725" w:rsidRDefault="002D20DB" w:rsidP="002D20DB">
      <w:pPr>
        <w:rPr>
          <w:lang w:val="de-DE"/>
        </w:rPr>
      </w:pPr>
    </w:p>
    <w:p w:rsidR="002D20DB" w:rsidRPr="00C47725" w:rsidRDefault="002D20DB" w:rsidP="002D20DB">
      <w:pPr>
        <w:rPr>
          <w:color w:val="000000"/>
          <w:lang w:val="de-DE" w:eastAsia="ja-JP"/>
        </w:rPr>
      </w:pPr>
      <w:r w:rsidRPr="001C467D">
        <w:rPr>
          <w:color w:val="000000"/>
          <w:lang w:val="de-DE" w:eastAsia="ja-JP"/>
        </w:rPr>
        <w:fldChar w:fldCharType="begin"/>
      </w:r>
      <w:r w:rsidRPr="001C467D">
        <w:rPr>
          <w:color w:val="000000"/>
          <w:lang w:val="de-DE" w:eastAsia="ja-JP"/>
        </w:rPr>
        <w:instrText xml:space="preserve"> AUTONUM  </w:instrText>
      </w:r>
      <w:r w:rsidRPr="001C467D">
        <w:rPr>
          <w:color w:val="000000"/>
          <w:lang w:val="de-DE" w:eastAsia="ja-JP"/>
        </w:rPr>
        <w:fldChar w:fldCharType="end"/>
      </w:r>
      <w:r w:rsidRPr="00C47725">
        <w:rPr>
          <w:color w:val="000000"/>
          <w:lang w:val="de-DE" w:eastAsia="ja-JP"/>
        </w:rPr>
        <w:tab/>
        <w:t xml:space="preserve">Der TC nahm zur Kenntnis, dass die TWP und die BMT auf ihren Sitzungen im Jahr 2019 Diskussionsgruppen gebildet </w:t>
      </w:r>
      <w:r>
        <w:rPr>
          <w:color w:val="000000"/>
          <w:lang w:val="de-DE" w:eastAsia="ja-JP"/>
        </w:rPr>
        <w:t>hatten</w:t>
      </w:r>
      <w:r w:rsidRPr="00C47725">
        <w:rPr>
          <w:color w:val="000000"/>
          <w:lang w:val="de-DE" w:eastAsia="ja-JP"/>
        </w:rPr>
        <w:t xml:space="preserve">, </w:t>
      </w:r>
      <w:r>
        <w:rPr>
          <w:color w:val="000000"/>
          <w:lang w:val="de-DE" w:eastAsia="ja-JP"/>
        </w:rPr>
        <w:t>um</w:t>
      </w:r>
      <w:r w:rsidRPr="00C47725">
        <w:rPr>
          <w:color w:val="000000"/>
          <w:lang w:val="de-DE" w:eastAsia="ja-JP"/>
        </w:rPr>
        <w:t xml:space="preserve"> es den Teilnehmern </w:t>
      </w:r>
      <w:r>
        <w:rPr>
          <w:color w:val="000000"/>
          <w:lang w:val="de-DE" w:eastAsia="ja-JP"/>
        </w:rPr>
        <w:t xml:space="preserve">zu </w:t>
      </w:r>
      <w:r w:rsidRPr="00C47725">
        <w:rPr>
          <w:color w:val="000000"/>
          <w:lang w:val="de-DE" w:eastAsia="ja-JP"/>
        </w:rPr>
        <w:t>ermöglichen, Informationen über ihre Arbeit an biochemischen und molekularen Verfahren auszutauschen und Bereiche für eine Zusammenarbeit zu erkunden. Der TC nahm die Ergebnisse der Erörterungen in den TWP zur Kenntnis, wie in Dokument TC/55/7, Absätze 32 bis 35, dargelegt</w:t>
      </w:r>
      <w:r>
        <w:rPr>
          <w:color w:val="000000"/>
          <w:lang w:val="de-DE" w:eastAsia="ja-JP"/>
        </w:rPr>
        <w:t xml:space="preserve">, </w:t>
      </w:r>
      <w:r w:rsidRPr="00C47725">
        <w:rPr>
          <w:color w:val="000000"/>
          <w:lang w:val="de-DE" w:eastAsia="ja-JP"/>
        </w:rPr>
        <w:t>über das de</w:t>
      </w:r>
      <w:r>
        <w:rPr>
          <w:color w:val="000000"/>
          <w:lang w:val="de-DE" w:eastAsia="ja-JP"/>
        </w:rPr>
        <w:t>r</w:t>
      </w:r>
      <w:r w:rsidRPr="00C47725">
        <w:rPr>
          <w:color w:val="000000"/>
          <w:lang w:val="de-DE" w:eastAsia="ja-JP"/>
        </w:rPr>
        <w:t xml:space="preserve"> BMT auf </w:t>
      </w:r>
      <w:r>
        <w:rPr>
          <w:color w:val="000000"/>
          <w:lang w:val="de-DE" w:eastAsia="ja-JP"/>
        </w:rPr>
        <w:t>ihrer</w:t>
      </w:r>
      <w:r w:rsidRPr="00C47725">
        <w:rPr>
          <w:color w:val="000000"/>
          <w:lang w:val="de-DE" w:eastAsia="ja-JP"/>
        </w:rPr>
        <w:t xml:space="preserve"> achtzehnten Tagung berichtet worden war.</w:t>
      </w:r>
    </w:p>
    <w:p w:rsidR="002D20DB" w:rsidRPr="00C47725" w:rsidRDefault="002D20DB" w:rsidP="002D20DB">
      <w:pPr>
        <w:rPr>
          <w:lang w:val="de-DE"/>
        </w:rPr>
      </w:pPr>
    </w:p>
    <w:p w:rsidR="002D20DB" w:rsidRPr="00C47725" w:rsidRDefault="002D20DB" w:rsidP="002D20DB">
      <w:pPr>
        <w:pStyle w:val="Heading4"/>
        <w:rPr>
          <w:lang w:val="de-DE"/>
        </w:rPr>
      </w:pPr>
      <w:bookmarkStart w:id="40" w:name="_Toc13511380"/>
      <w:bookmarkStart w:id="41" w:name="_Toc15568817"/>
      <w:bookmarkStart w:id="42" w:name="_Toc16181365"/>
      <w:r w:rsidRPr="00C47725">
        <w:rPr>
          <w:snapToGrid w:val="0"/>
          <w:lang w:val="de-DE"/>
        </w:rPr>
        <w:t>Entwicklungen in den Technische</w:t>
      </w:r>
      <w:r>
        <w:rPr>
          <w:snapToGrid w:val="0"/>
          <w:lang w:val="de-DE"/>
        </w:rPr>
        <w:t>n</w:t>
      </w:r>
      <w:r w:rsidRPr="00C47725">
        <w:rPr>
          <w:snapToGrid w:val="0"/>
          <w:lang w:val="de-DE"/>
        </w:rPr>
        <w:t xml:space="preserve"> Arbeitsgruppen und der Arbeitsgruppe für biochemische und molekulare Verfahren und insbesondere für DNS Profilierungsverfahren im Jahr 2019</w:t>
      </w:r>
      <w:bookmarkEnd w:id="40"/>
      <w:bookmarkEnd w:id="41"/>
      <w:bookmarkEnd w:id="42"/>
    </w:p>
    <w:p w:rsidR="002D20DB" w:rsidRPr="00C47725" w:rsidRDefault="002D20DB" w:rsidP="002D20DB">
      <w:pPr>
        <w:rPr>
          <w:lang w:val="de-DE"/>
        </w:rPr>
      </w:pPr>
    </w:p>
    <w:p w:rsidR="002D20DB" w:rsidRPr="00C47725" w:rsidRDefault="002D20DB" w:rsidP="002D20DB">
      <w:pPr>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nahm zur Kenntnis, dass die BMT auf ihrer achtzehnten Tagung ersucht worden war, Vorschläge für die nächsten Schritte zur Erkundung von Bereichen für die Zusammenarbeit bei der </w:t>
      </w:r>
      <w:r>
        <w:rPr>
          <w:lang w:val="de-DE"/>
        </w:rPr>
        <w:t>Verwendung molekularer Verfahren</w:t>
      </w:r>
      <w:r w:rsidRPr="00C47725">
        <w:rPr>
          <w:lang w:val="de-DE"/>
        </w:rPr>
        <w:t xml:space="preserve"> zu erarbeiten, wie in Dokument TC/55/7, Absatz 38, dargelegt.</w:t>
      </w:r>
    </w:p>
    <w:p w:rsidR="002D20DB" w:rsidRPr="00C47725" w:rsidRDefault="002D20DB" w:rsidP="002D20DB">
      <w:pPr>
        <w:rPr>
          <w:lang w:val="de-DE"/>
        </w:rPr>
      </w:pPr>
    </w:p>
    <w:p w:rsidR="002D20DB" w:rsidRPr="00C47725" w:rsidRDefault="002D20DB" w:rsidP="002D20DB">
      <w:pPr>
        <w:rPr>
          <w:lang w:val="de-DE"/>
        </w:rPr>
      </w:pPr>
      <w:r w:rsidRPr="001C467D">
        <w:rPr>
          <w:lang w:val="de-DE"/>
        </w:rPr>
        <w:lastRenderedPageBreak/>
        <w:fldChar w:fldCharType="begin"/>
      </w:r>
      <w:r w:rsidRPr="001C467D">
        <w:rPr>
          <w:lang w:val="de-DE"/>
        </w:rPr>
        <w:instrText xml:space="preserve"> AUTONUM  </w:instrText>
      </w:r>
      <w:r w:rsidRPr="001C467D">
        <w:rPr>
          <w:lang w:val="de-DE"/>
        </w:rPr>
        <w:fldChar w:fldCharType="end"/>
      </w:r>
      <w:r w:rsidRPr="00C47725">
        <w:rPr>
          <w:lang w:val="de-DE"/>
        </w:rPr>
        <w:tab/>
        <w:t>Der TC nahm die folgenden Ergebnisse der Erörterungen in der BMT betreffend Fragen der Zusammenarbeit zwischen Partnern und Dienstleistern zur Kenntnis, einschließlich Vertraulichkeit, Zugang zu Daten und Material:</w:t>
      </w:r>
    </w:p>
    <w:p w:rsidR="002D20DB" w:rsidRPr="00C47725" w:rsidRDefault="002D20DB" w:rsidP="002D20DB">
      <w:pPr>
        <w:ind w:left="720"/>
        <w:contextualSpacing/>
        <w:rPr>
          <w:rFonts w:eastAsia="Calibri" w:cs="Arial"/>
          <w:lang w:val="de-DE"/>
        </w:rPr>
      </w:pPr>
    </w:p>
    <w:p w:rsidR="002D20DB" w:rsidRPr="00C47725" w:rsidRDefault="002D20DB" w:rsidP="002D20DB">
      <w:pPr>
        <w:numPr>
          <w:ilvl w:val="0"/>
          <w:numId w:val="25"/>
        </w:numPr>
        <w:ind w:left="1134" w:hanging="567"/>
        <w:contextualSpacing/>
        <w:rPr>
          <w:rFonts w:eastAsia="Calibri" w:cs="Arial"/>
          <w:lang w:val="de-DE"/>
        </w:rPr>
      </w:pPr>
      <w:r w:rsidRPr="00C47725">
        <w:rPr>
          <w:rFonts w:cs="Arial"/>
          <w:lang w:val="de-DE"/>
        </w:rPr>
        <w:t>DNS-Fingerabdruckdaten sollten vertraulich behandelt werden</w:t>
      </w:r>
      <w:r w:rsidRPr="00C47725">
        <w:rPr>
          <w:rFonts w:eastAsia="Calibri" w:cs="Arial"/>
          <w:lang w:val="de-DE"/>
        </w:rPr>
        <w:t xml:space="preserve">; </w:t>
      </w:r>
    </w:p>
    <w:p w:rsidR="002D20DB" w:rsidRPr="00C47725" w:rsidRDefault="002D20DB" w:rsidP="002D20DB">
      <w:pPr>
        <w:pStyle w:val="ListParagraph"/>
        <w:numPr>
          <w:ilvl w:val="0"/>
          <w:numId w:val="25"/>
        </w:numPr>
        <w:ind w:left="1134" w:hanging="567"/>
        <w:rPr>
          <w:rFonts w:eastAsia="Calibri" w:cs="Arial"/>
          <w:lang w:val="de-DE"/>
        </w:rPr>
      </w:pPr>
      <w:r w:rsidRPr="00C47725">
        <w:rPr>
          <w:rFonts w:eastAsia="Calibri" w:cs="Arial"/>
          <w:lang w:val="de-DE"/>
        </w:rPr>
        <w:t>Sortenidentifizierungsdaten, die eine geringe Anzahl von SNP-Markern verwenden, könnten öffentlich verfügbar gemacht werden;</w:t>
      </w:r>
    </w:p>
    <w:p w:rsidR="002D20DB" w:rsidRPr="00C47725" w:rsidRDefault="002D20DB" w:rsidP="002D20DB">
      <w:pPr>
        <w:pStyle w:val="ListParagraph"/>
        <w:numPr>
          <w:ilvl w:val="0"/>
          <w:numId w:val="25"/>
        </w:numPr>
        <w:ind w:left="1134" w:hanging="567"/>
        <w:rPr>
          <w:rFonts w:eastAsia="Calibri" w:cs="Arial"/>
          <w:lang w:val="de-DE"/>
        </w:rPr>
      </w:pPr>
      <w:r w:rsidRPr="00C47725">
        <w:rPr>
          <w:rFonts w:eastAsia="Calibri" w:cs="Arial"/>
          <w:lang w:val="de-DE"/>
        </w:rPr>
        <w:t xml:space="preserve">Vor dem Austausch von DNS-basierten Informationen sollte die Zustimmung des Züchters eingeholt werden; </w:t>
      </w:r>
    </w:p>
    <w:p w:rsidR="002D20DB" w:rsidRPr="00C47725" w:rsidRDefault="002D20DB" w:rsidP="002D20DB">
      <w:pPr>
        <w:pStyle w:val="ListParagraph"/>
        <w:numPr>
          <w:ilvl w:val="0"/>
          <w:numId w:val="25"/>
        </w:numPr>
        <w:ind w:left="1134" w:hanging="567"/>
        <w:rPr>
          <w:rFonts w:eastAsia="Calibri" w:cs="Arial"/>
          <w:lang w:val="de-DE"/>
        </w:rPr>
      </w:pPr>
      <w:r w:rsidRPr="00C47725">
        <w:rPr>
          <w:rFonts w:eastAsia="Calibri" w:cs="Arial"/>
          <w:lang w:val="de-DE"/>
        </w:rPr>
        <w:t>Züchter sollten über die Veröffentlichung der Sortenidentifizierung durch SNP informiert werden;</w:t>
      </w:r>
    </w:p>
    <w:p w:rsidR="002D20DB" w:rsidRPr="00C47725" w:rsidRDefault="002D20DB" w:rsidP="002D20DB">
      <w:pPr>
        <w:pStyle w:val="ListParagraph"/>
        <w:numPr>
          <w:ilvl w:val="0"/>
          <w:numId w:val="25"/>
        </w:numPr>
        <w:ind w:left="1134" w:hanging="567"/>
        <w:rPr>
          <w:rFonts w:eastAsia="Calibri" w:cs="Arial"/>
          <w:lang w:val="de-DE"/>
        </w:rPr>
      </w:pPr>
      <w:r w:rsidRPr="00C47725">
        <w:rPr>
          <w:rFonts w:eastAsia="Calibri" w:cs="Arial"/>
          <w:lang w:val="de-DE"/>
        </w:rPr>
        <w:t>Informationen zur Elternlinie sollten vertraulich behandelt werden;</w:t>
      </w:r>
    </w:p>
    <w:p w:rsidR="002D20DB" w:rsidRPr="00C47725" w:rsidRDefault="002D20DB" w:rsidP="002D20DB">
      <w:pPr>
        <w:pStyle w:val="ListParagraph"/>
        <w:numPr>
          <w:ilvl w:val="0"/>
          <w:numId w:val="25"/>
        </w:numPr>
        <w:ind w:left="1134" w:hanging="567"/>
        <w:rPr>
          <w:rFonts w:eastAsia="Calibri" w:cs="Arial"/>
          <w:lang w:val="de-DE"/>
        </w:rPr>
      </w:pPr>
      <w:r w:rsidRPr="00C47725">
        <w:rPr>
          <w:rFonts w:eastAsia="Calibri" w:cs="Arial"/>
          <w:lang w:val="de-DE"/>
        </w:rPr>
        <w:t>Gesuch an Züchter, Beobachterorganisationen und andere Teilnehmer</w:t>
      </w:r>
      <w:r>
        <w:rPr>
          <w:rFonts w:eastAsia="Calibri" w:cs="Arial"/>
          <w:lang w:val="de-DE"/>
        </w:rPr>
        <w:t>,</w:t>
      </w:r>
      <w:r w:rsidRPr="00C47725">
        <w:rPr>
          <w:rFonts w:eastAsia="Calibri" w:cs="Arial"/>
          <w:lang w:val="de-DE"/>
        </w:rPr>
        <w:t xml:space="preserve"> auf der neunzehnten Tagung der BMT </w:t>
      </w:r>
      <w:r>
        <w:rPr>
          <w:rFonts w:eastAsia="Calibri" w:cs="Arial"/>
          <w:lang w:val="de-DE"/>
        </w:rPr>
        <w:t>Referate</w:t>
      </w:r>
      <w:r w:rsidRPr="00C47725">
        <w:rPr>
          <w:rFonts w:eastAsia="Calibri" w:cs="Arial"/>
          <w:lang w:val="de-DE"/>
        </w:rPr>
        <w:t xml:space="preserve"> zu Eigentumsfragen</w:t>
      </w:r>
      <w:r>
        <w:rPr>
          <w:rFonts w:eastAsia="Calibri" w:cs="Arial"/>
          <w:lang w:val="de-DE"/>
        </w:rPr>
        <w:t xml:space="preserve"> </w:t>
      </w:r>
      <w:r w:rsidRPr="00C47725">
        <w:rPr>
          <w:rFonts w:eastAsia="Calibri" w:cs="Arial"/>
          <w:lang w:val="de-DE"/>
        </w:rPr>
        <w:t>während des Tages der Züchter zu halten;</w:t>
      </w:r>
    </w:p>
    <w:p w:rsidR="002D20DB" w:rsidRPr="00C47725" w:rsidRDefault="002D20DB" w:rsidP="002D20DB">
      <w:pPr>
        <w:pStyle w:val="ListParagraph"/>
        <w:numPr>
          <w:ilvl w:val="0"/>
          <w:numId w:val="25"/>
        </w:numPr>
        <w:ind w:left="1134" w:hanging="567"/>
        <w:rPr>
          <w:rFonts w:eastAsia="Calibri" w:cs="Arial"/>
          <w:lang w:val="de-DE"/>
        </w:rPr>
      </w:pPr>
      <w:r w:rsidRPr="00C47725">
        <w:rPr>
          <w:rFonts w:eastAsia="Calibri" w:cs="Arial"/>
          <w:lang w:val="de-DE"/>
        </w:rPr>
        <w:t xml:space="preserve">Vorschlag zur </w:t>
      </w:r>
      <w:r>
        <w:rPr>
          <w:rFonts w:eastAsia="Calibri" w:cs="Arial"/>
          <w:lang w:val="de-DE"/>
        </w:rPr>
        <w:t>Ausarbeitung</w:t>
      </w:r>
      <w:r w:rsidRPr="00C47725">
        <w:rPr>
          <w:rFonts w:eastAsia="Calibri" w:cs="Arial"/>
          <w:lang w:val="de-DE"/>
        </w:rPr>
        <w:t xml:space="preserve"> einer Vereinbarungsvorlage mit Züchtern für die Verwendung von molekularen Daten. Die Vorlage sollte eine Anforderung für eine Beschreibung der beabsichtigten Verwendung der Daten enthalten;</w:t>
      </w:r>
    </w:p>
    <w:p w:rsidR="002D20DB" w:rsidRPr="00C47725" w:rsidRDefault="002D20DB" w:rsidP="002D20DB">
      <w:pPr>
        <w:pStyle w:val="ListParagraph"/>
        <w:numPr>
          <w:ilvl w:val="0"/>
          <w:numId w:val="25"/>
        </w:numPr>
        <w:ind w:left="1134" w:hanging="567"/>
        <w:rPr>
          <w:lang w:val="de-DE"/>
        </w:rPr>
      </w:pPr>
      <w:r w:rsidRPr="00C47725">
        <w:rPr>
          <w:rFonts w:eastAsia="Calibri" w:cs="Arial"/>
          <w:lang w:val="de-DE"/>
        </w:rPr>
        <w:t>nahm zur Kenntnis, dass Neuseeland eine Stellungnahme zum Zugang und zur Verwendung von Pflanzenmaterial einschließlich molekularer Daten veröffentlicht hatte. Molekulare Daten würden beispielsweise nur mit Zustimmung des Züchters zur Verfügung gestellt</w:t>
      </w:r>
      <w:r w:rsidRPr="00C47725">
        <w:rPr>
          <w:rFonts w:cs="Arial"/>
          <w:lang w:val="de-DE"/>
        </w:rPr>
        <w:t>.</w:t>
      </w:r>
    </w:p>
    <w:p w:rsidR="002D20DB" w:rsidRPr="00C47725" w:rsidRDefault="002D20DB" w:rsidP="002D20DB">
      <w:pPr>
        <w:rPr>
          <w:lang w:val="de-DE"/>
        </w:rPr>
      </w:pPr>
    </w:p>
    <w:p w:rsidR="002D20DB" w:rsidRPr="00C47725" w:rsidRDefault="002D20DB" w:rsidP="002D20DB">
      <w:pPr>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w:t>
      </w:r>
      <w:r>
        <w:rPr>
          <w:lang w:val="de-DE"/>
        </w:rPr>
        <w:t>stimmte</w:t>
      </w:r>
      <w:r w:rsidRPr="00C47725">
        <w:rPr>
          <w:lang w:val="de-DE"/>
        </w:rPr>
        <w:t xml:space="preserve"> der BMT</w:t>
      </w:r>
      <w:r>
        <w:rPr>
          <w:lang w:val="de-DE"/>
        </w:rPr>
        <w:t xml:space="preserve"> zu</w:t>
      </w:r>
      <w:r w:rsidRPr="00C47725">
        <w:rPr>
          <w:lang w:val="de-DE"/>
        </w:rPr>
        <w:t xml:space="preserve">, dass Züchter, Beobachterorganisationen und andere Teilnehmer ersucht </w:t>
      </w:r>
      <w:r>
        <w:rPr>
          <w:lang w:val="de-DE"/>
        </w:rPr>
        <w:t>werden sollten</w:t>
      </w:r>
      <w:r w:rsidRPr="00C47725">
        <w:rPr>
          <w:lang w:val="de-DE"/>
        </w:rPr>
        <w:t xml:space="preserve">, </w:t>
      </w:r>
      <w:r w:rsidRPr="00C47725">
        <w:rPr>
          <w:rFonts w:eastAsia="Calibri" w:cs="Arial"/>
          <w:lang w:val="de-DE"/>
        </w:rPr>
        <w:t xml:space="preserve">auf der neunzehnten Tagung der BMT </w:t>
      </w:r>
      <w:r>
        <w:rPr>
          <w:rFonts w:eastAsia="Calibri" w:cs="Arial"/>
          <w:lang w:val="de-DE"/>
        </w:rPr>
        <w:t>Referate</w:t>
      </w:r>
      <w:r w:rsidRPr="00C47725">
        <w:rPr>
          <w:rFonts w:eastAsia="Calibri" w:cs="Arial"/>
          <w:lang w:val="de-DE"/>
        </w:rPr>
        <w:t xml:space="preserve"> zu Eigentumsfragen </w:t>
      </w:r>
      <w:r w:rsidRPr="00C47725">
        <w:rPr>
          <w:lang w:val="de-DE"/>
        </w:rPr>
        <w:t xml:space="preserve">während des Tages der Züchter </w:t>
      </w:r>
      <w:r w:rsidRPr="00C47725">
        <w:rPr>
          <w:rFonts w:eastAsia="Calibri" w:cs="Arial"/>
          <w:lang w:val="de-DE"/>
        </w:rPr>
        <w:t>zu halten</w:t>
      </w:r>
      <w:r w:rsidRPr="00C47725">
        <w:rPr>
          <w:rFonts w:cs="Arial"/>
          <w:lang w:val="de-DE"/>
        </w:rPr>
        <w:t>.</w:t>
      </w:r>
    </w:p>
    <w:p w:rsidR="002D20DB" w:rsidRPr="00C47725" w:rsidRDefault="002D20DB" w:rsidP="002D20DB">
      <w:pPr>
        <w:rPr>
          <w:lang w:val="de-DE"/>
        </w:rPr>
      </w:pPr>
    </w:p>
    <w:p w:rsidR="002D20DB" w:rsidRPr="00C47725" w:rsidRDefault="002D20DB" w:rsidP="002D20DB">
      <w:pPr>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Der TC erinnerte daran, dass Dokument TGP/5 Abschnitt 1</w:t>
      </w:r>
      <w:r>
        <w:rPr>
          <w:lang w:val="de-DE"/>
        </w:rPr>
        <w:t xml:space="preserve"> „</w:t>
      </w:r>
      <w:r w:rsidRPr="00C47725">
        <w:rPr>
          <w:lang w:val="de-DE"/>
        </w:rPr>
        <w:t>Musterverwaltungsvereinbarung für die internationale Zusammenarbeit bei der Prüfung von Sorten</w:t>
      </w:r>
      <w:r>
        <w:rPr>
          <w:lang w:val="de-DE"/>
        </w:rPr>
        <w:t>“</w:t>
      </w:r>
      <w:r w:rsidRPr="00C47725">
        <w:rPr>
          <w:lang w:val="de-DE"/>
        </w:rPr>
        <w:t xml:space="preserve"> Anleitung für die Vertraulichkeit molekularer Informationen </w:t>
      </w:r>
      <w:r>
        <w:rPr>
          <w:lang w:val="de-DE"/>
        </w:rPr>
        <w:t>bereitstelle</w:t>
      </w:r>
      <w:r w:rsidRPr="00C47725">
        <w:rPr>
          <w:lang w:val="de-DE"/>
        </w:rPr>
        <w:t>.</w:t>
      </w:r>
    </w:p>
    <w:p w:rsidR="002D20DB" w:rsidRPr="00C47725" w:rsidRDefault="002D20DB" w:rsidP="002D20DB">
      <w:pPr>
        <w:rPr>
          <w:lang w:val="de-DE"/>
        </w:rPr>
      </w:pPr>
    </w:p>
    <w:p w:rsidR="002D20DB" w:rsidRPr="00C47725" w:rsidRDefault="002D20DB" w:rsidP="002D20DB">
      <w:pPr>
        <w:pStyle w:val="Heading2"/>
        <w:rPr>
          <w:lang w:val="de-DE"/>
        </w:rPr>
      </w:pPr>
      <w:r w:rsidRPr="00C47725">
        <w:rPr>
          <w:lang w:val="de-DE"/>
        </w:rPr>
        <w:t>Internationale Zusammenarbeit bei der Prüfung</w:t>
      </w:r>
    </w:p>
    <w:p w:rsidR="002D20DB" w:rsidRPr="00C47725" w:rsidRDefault="002D20DB" w:rsidP="002D20DB">
      <w:pPr>
        <w:keepNext/>
        <w:rPr>
          <w:lang w:val="de-DE"/>
        </w:rPr>
      </w:pPr>
    </w:p>
    <w:p w:rsidR="002D20DB" w:rsidRPr="00C47725" w:rsidRDefault="002D20DB" w:rsidP="002D20DB">
      <w:pPr>
        <w:keepNext/>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prüfte Dokumente </w:t>
      </w:r>
      <w:r w:rsidRPr="00C47725">
        <w:rPr>
          <w:rFonts w:cs="Arial"/>
          <w:lang w:val="de-DE"/>
        </w:rPr>
        <w:t>TC/55/10 und TC/55/10 Add.</w:t>
      </w:r>
    </w:p>
    <w:p w:rsidR="002D20DB" w:rsidRPr="00C47725" w:rsidRDefault="002D20DB" w:rsidP="002D20DB">
      <w:pPr>
        <w:rPr>
          <w:lang w:val="de-DE"/>
        </w:rPr>
      </w:pPr>
    </w:p>
    <w:p w:rsidR="002D20DB" w:rsidRPr="00C47725" w:rsidRDefault="002D20DB" w:rsidP="002D20DB">
      <w:pPr>
        <w:pStyle w:val="Heading3"/>
      </w:pPr>
      <w:r w:rsidRPr="00C47725">
        <w:t>Benennung von Ansprechpartnern für die internationale Zusammenarbeit bei der DUS-Prüfung</w:t>
      </w:r>
    </w:p>
    <w:p w:rsidR="002D20DB" w:rsidRPr="00C47725" w:rsidRDefault="002D20DB" w:rsidP="002D20DB">
      <w:pPr>
        <w:keepNext/>
        <w:rPr>
          <w:lang w:val="de-DE"/>
        </w:rPr>
      </w:pPr>
    </w:p>
    <w:p w:rsidR="002D20DB" w:rsidRPr="00C47725" w:rsidRDefault="002D20DB" w:rsidP="002D20DB">
      <w:pPr>
        <w:rPr>
          <w:lang w:val="de-DE"/>
        </w:rPr>
      </w:pPr>
      <w:r w:rsidRPr="0020085B">
        <w:rPr>
          <w:lang w:val="de-DE"/>
        </w:rPr>
        <w:fldChar w:fldCharType="begin"/>
      </w:r>
      <w:r w:rsidRPr="00E22C7B">
        <w:rPr>
          <w:lang w:val="de-DE"/>
        </w:rPr>
        <w:instrText xml:space="preserve"> AUTONUM  </w:instrText>
      </w:r>
      <w:r w:rsidRPr="0020085B">
        <w:rPr>
          <w:lang w:val="de-DE"/>
        </w:rPr>
        <w:fldChar w:fldCharType="end"/>
      </w:r>
      <w:r w:rsidRPr="00C47725">
        <w:rPr>
          <w:lang w:val="de-DE"/>
        </w:rPr>
        <w:tab/>
        <w:t xml:space="preserve">Der TC nahm die Liste der Personen zur Kenntnis, die in Fragen bezüglich internationaler Zusammenarbeit bei der DUS-Prüfung zu kontaktieren sind, wie in Dokument TC/55/10, Anlage, dargelegt, die nach der Einführung des neuen </w:t>
      </w:r>
      <w:r>
        <w:rPr>
          <w:lang w:val="de-DE"/>
        </w:rPr>
        <w:t>Designs der Website</w:t>
      </w:r>
      <w:r w:rsidRPr="00C47725">
        <w:rPr>
          <w:lang w:val="de-DE"/>
        </w:rPr>
        <w:t xml:space="preserve"> auf der UPOV-Website </w:t>
      </w:r>
      <w:r>
        <w:rPr>
          <w:lang w:val="de-DE"/>
        </w:rPr>
        <w:t xml:space="preserve">zur Verfügung gestellt </w:t>
      </w:r>
      <w:r w:rsidRPr="00C47725">
        <w:rPr>
          <w:lang w:val="de-DE"/>
        </w:rPr>
        <w:t>werden soll.</w:t>
      </w:r>
    </w:p>
    <w:p w:rsidR="002D20DB" w:rsidRPr="00C47725" w:rsidRDefault="002D20DB" w:rsidP="002D20DB">
      <w:pPr>
        <w:rPr>
          <w:lang w:val="de-DE"/>
        </w:rPr>
      </w:pPr>
    </w:p>
    <w:p w:rsidR="002D20DB" w:rsidRPr="00C47725" w:rsidRDefault="002D20DB" w:rsidP="002D20DB">
      <w:pPr>
        <w:rPr>
          <w:lang w:val="de-DE"/>
        </w:rPr>
      </w:pPr>
      <w:r w:rsidRPr="001C467D">
        <w:rPr>
          <w:lang w:val="de-DE"/>
        </w:rPr>
        <w:fldChar w:fldCharType="begin"/>
      </w:r>
      <w:r w:rsidRPr="001C467D">
        <w:rPr>
          <w:lang w:val="de-DE"/>
        </w:rPr>
        <w:instrText xml:space="preserve"> AUTONUM  </w:instrText>
      </w:r>
      <w:r w:rsidRPr="001C467D">
        <w:rPr>
          <w:lang w:val="de-DE"/>
        </w:rPr>
        <w:fldChar w:fldCharType="end"/>
      </w:r>
      <w:r w:rsidRPr="00C47725">
        <w:rPr>
          <w:lang w:val="de-DE"/>
        </w:rPr>
        <w:tab/>
        <w:t xml:space="preserve">Der TC nahm zur Kenntnis, dass UPOV-Mitglieder ersucht werden </w:t>
      </w:r>
      <w:r>
        <w:rPr>
          <w:lang w:val="de-DE"/>
        </w:rPr>
        <w:t>würden</w:t>
      </w:r>
      <w:r w:rsidRPr="00C47725">
        <w:rPr>
          <w:lang w:val="de-DE"/>
        </w:rPr>
        <w:t xml:space="preserve">, die Informationen über eine Person/Personen, die in Fragen bezüglich internationaler Zusammenarbeit bei der DUS-Prüfung zu kontaktieren ist/sind, wenn </w:t>
      </w:r>
      <w:r>
        <w:rPr>
          <w:lang w:val="de-DE"/>
        </w:rPr>
        <w:t>darum ersucht wird</w:t>
      </w:r>
      <w:r w:rsidRPr="00C47725">
        <w:rPr>
          <w:lang w:val="de-DE"/>
        </w:rPr>
        <w:t xml:space="preserve">, Informationen </w:t>
      </w:r>
      <w:r>
        <w:rPr>
          <w:lang w:val="de-DE"/>
        </w:rPr>
        <w:t>für Dokument</w:t>
      </w:r>
      <w:r w:rsidRPr="00C47725">
        <w:rPr>
          <w:lang w:val="de-DE"/>
        </w:rPr>
        <w:t xml:space="preserve"> TC/[xx]/4</w:t>
      </w:r>
      <w:r>
        <w:rPr>
          <w:lang w:val="de-DE"/>
        </w:rPr>
        <w:t xml:space="preserve"> „</w:t>
      </w:r>
      <w:r w:rsidRPr="00C47725">
        <w:rPr>
          <w:lang w:val="de-DE"/>
        </w:rPr>
        <w:t>Liste der Gattungen und Arten, für die die Behörden über praktische Erfahrung bei der Prüfung der Unterscheidbarkeit, Homogenität und Beständigkeit verfügen</w:t>
      </w:r>
      <w:r>
        <w:rPr>
          <w:lang w:val="de-DE"/>
        </w:rPr>
        <w:t>“</w:t>
      </w:r>
      <w:r w:rsidRPr="00C47725">
        <w:rPr>
          <w:lang w:val="de-DE"/>
        </w:rPr>
        <w:t xml:space="preserve"> zur Verfügung zu stellen</w:t>
      </w:r>
      <w:r>
        <w:rPr>
          <w:lang w:val="de-DE"/>
        </w:rPr>
        <w:t>, jedes Jahr</w:t>
      </w:r>
      <w:r w:rsidRPr="00C47725">
        <w:rPr>
          <w:lang w:val="de-DE"/>
        </w:rPr>
        <w:t xml:space="preserve"> zu aktualisieren.</w:t>
      </w:r>
    </w:p>
    <w:p w:rsidR="002D20DB" w:rsidRPr="00C47725" w:rsidRDefault="002D20DB" w:rsidP="002D20DB">
      <w:pPr>
        <w:rPr>
          <w:lang w:val="de-DE"/>
        </w:rPr>
      </w:pPr>
    </w:p>
    <w:p w:rsidR="002D20DB" w:rsidRPr="00C47725" w:rsidRDefault="002D20DB" w:rsidP="002D20DB">
      <w:pPr>
        <w:pStyle w:val="Heading3"/>
      </w:pPr>
      <w:r w:rsidRPr="00C47725">
        <w:t>Informationen über Möglichkeiten der internationalen Zusammenarbeit</w:t>
      </w:r>
    </w:p>
    <w:p w:rsidR="002D20DB" w:rsidRPr="00C47725" w:rsidRDefault="002D20DB" w:rsidP="002D20DB">
      <w:pPr>
        <w:keepNext/>
        <w:rPr>
          <w:lang w:val="de-DE"/>
        </w:rPr>
      </w:pPr>
    </w:p>
    <w:p w:rsidR="002D20DB" w:rsidRPr="00C47725" w:rsidRDefault="002D20DB" w:rsidP="002D20DB">
      <w:pPr>
        <w:keepNext/>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Der TC nahm zur Kenntnis, dass das Thema der internation</w:t>
      </w:r>
      <w:r w:rsidR="00EE027D">
        <w:rPr>
          <w:lang w:val="de-DE"/>
        </w:rPr>
        <w:t>alen Zusammenarbeit bei der DUS</w:t>
      </w:r>
      <w:r w:rsidR="00EE027D">
        <w:rPr>
          <w:lang w:val="de-DE"/>
        </w:rPr>
        <w:noBreakHyphen/>
      </w:r>
      <w:r w:rsidRPr="00C47725">
        <w:rPr>
          <w:lang w:val="de-DE"/>
        </w:rPr>
        <w:t xml:space="preserve">Prüfung und die Erläuterung </w:t>
      </w:r>
      <w:r>
        <w:rPr>
          <w:lang w:val="de-DE"/>
        </w:rPr>
        <w:t>von</w:t>
      </w:r>
      <w:r w:rsidRPr="00C47725">
        <w:rPr>
          <w:lang w:val="de-DE"/>
        </w:rPr>
        <w:t xml:space="preserve"> bestehenden Möglichkeiten d</w:t>
      </w:r>
      <w:r w:rsidR="00EE027D">
        <w:rPr>
          <w:lang w:val="de-DE"/>
        </w:rPr>
        <w:t>er Zusammenarbeit zwischen UPOV</w:t>
      </w:r>
      <w:r w:rsidR="00EE027D">
        <w:rPr>
          <w:lang w:val="de-DE"/>
        </w:rPr>
        <w:noBreakHyphen/>
      </w:r>
      <w:r w:rsidRPr="00C47725">
        <w:rPr>
          <w:lang w:val="de-DE"/>
        </w:rPr>
        <w:t>Mitgliedern den TWP auf ihren Tagungen im Jahr 2019 vorge</w:t>
      </w:r>
      <w:r>
        <w:rPr>
          <w:lang w:val="de-DE"/>
        </w:rPr>
        <w:t>legt worden war</w:t>
      </w:r>
      <w:r w:rsidRPr="00C47725">
        <w:rPr>
          <w:lang w:val="de-DE"/>
        </w:rPr>
        <w:t>.</w:t>
      </w:r>
    </w:p>
    <w:p w:rsidR="002D20DB" w:rsidRPr="00C47725" w:rsidRDefault="002D20DB" w:rsidP="002D20DB">
      <w:pPr>
        <w:rPr>
          <w:lang w:val="de-DE"/>
        </w:rPr>
      </w:pPr>
    </w:p>
    <w:p w:rsidR="002D20DB" w:rsidRPr="00C47725" w:rsidRDefault="002D20DB" w:rsidP="002D20DB">
      <w:pPr>
        <w:pStyle w:val="Heading3"/>
      </w:pPr>
      <w:bookmarkStart w:id="43" w:name="_Toc17381962"/>
      <w:r w:rsidRPr="00C47725">
        <w:t xml:space="preserve">Technische </w:t>
      </w:r>
      <w:r>
        <w:t>Probleme</w:t>
      </w:r>
      <w:r w:rsidRPr="00C47725">
        <w:t>, die die Zusammenarbeit verhindern</w:t>
      </w:r>
      <w:bookmarkEnd w:id="43"/>
    </w:p>
    <w:p w:rsidR="002D20DB" w:rsidRPr="00C47725" w:rsidRDefault="002D20DB" w:rsidP="002D20DB">
      <w:pPr>
        <w:keepNext/>
        <w:rPr>
          <w:lang w:val="de-DE"/>
        </w:rPr>
      </w:pPr>
    </w:p>
    <w:p w:rsidR="002D20DB" w:rsidRPr="00C47725" w:rsidRDefault="002D20DB" w:rsidP="002D20DB">
      <w:pPr>
        <w:keepNext/>
        <w:rPr>
          <w:lang w:val="de-DE"/>
        </w:rPr>
      </w:pPr>
      <w:r w:rsidRPr="00967481">
        <w:rPr>
          <w:lang w:val="de-DE"/>
        </w:rPr>
        <w:fldChar w:fldCharType="begin"/>
      </w:r>
      <w:r w:rsidRPr="008050D7">
        <w:rPr>
          <w:lang w:val="de-DE"/>
        </w:rPr>
        <w:instrText xml:space="preserve"> AUTONUM  </w:instrText>
      </w:r>
      <w:r w:rsidRPr="00967481">
        <w:rPr>
          <w:lang w:val="de-DE"/>
        </w:rPr>
        <w:fldChar w:fldCharType="end"/>
      </w:r>
      <w:r w:rsidRPr="00C47725">
        <w:rPr>
          <w:lang w:val="de-DE"/>
        </w:rPr>
        <w:tab/>
        <w:t xml:space="preserve">Der TC nahm zur Kenntnis, dass die TWP auf ihren Tagungen im Jahr 2019 Diskussionsgruppen gebildet haben, um die technischen </w:t>
      </w:r>
      <w:r>
        <w:rPr>
          <w:lang w:val="de-DE"/>
        </w:rPr>
        <w:t>Probleme</w:t>
      </w:r>
      <w:r w:rsidRPr="00C47725">
        <w:rPr>
          <w:lang w:val="de-DE"/>
        </w:rPr>
        <w:t xml:space="preserve"> zu erörtern, die die Zusammenarbeit bei der DUS-Prüfung verhindern, und um vorzuschlagen, wie die aufgeworfenen technischen Bedenken überwunden werden können.</w:t>
      </w:r>
    </w:p>
    <w:p w:rsidR="002D20DB" w:rsidRPr="00C47725" w:rsidRDefault="002D20DB" w:rsidP="002D20DB">
      <w:pPr>
        <w:keepNext/>
        <w:rPr>
          <w:lang w:val="de-DE"/>
        </w:rPr>
      </w:pPr>
    </w:p>
    <w:p w:rsidR="002D20DB" w:rsidRPr="00C47725" w:rsidRDefault="002D20DB" w:rsidP="002D20DB">
      <w:pPr>
        <w:rPr>
          <w:snapToGrid w:val="0"/>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Der TC prüfte die Ergebnisse der auf den Tagungen der TWO, TWV, TWF, TWA und TWC im Jahr 2019 geführten Erörterungen, wie in Dokument TC/55/10, Absätze 19 bis 26, dargelegt</w:t>
      </w:r>
      <w:r>
        <w:rPr>
          <w:lang w:val="de-DE"/>
        </w:rPr>
        <w:t>,</w:t>
      </w:r>
      <w:r w:rsidRPr="00C47725">
        <w:rPr>
          <w:lang w:val="de-DE"/>
        </w:rPr>
        <w:t xml:space="preserve"> und </w:t>
      </w:r>
      <w:r w:rsidRPr="00C47725">
        <w:rPr>
          <w:snapToGrid w:val="0"/>
          <w:lang w:val="de-DE"/>
        </w:rPr>
        <w:t xml:space="preserve">die Vorschläge zur Lösung der aufgeworfenen </w:t>
      </w:r>
      <w:r>
        <w:rPr>
          <w:snapToGrid w:val="0"/>
          <w:lang w:val="de-DE"/>
        </w:rPr>
        <w:t>Bedenken</w:t>
      </w:r>
      <w:r w:rsidRPr="00C47725">
        <w:rPr>
          <w:snapToGrid w:val="0"/>
          <w:lang w:val="de-DE"/>
        </w:rPr>
        <w:t>, wie in Absätzen 27 und 28 dargelegt.</w:t>
      </w:r>
    </w:p>
    <w:p w:rsidR="002D20DB" w:rsidRPr="00C47725" w:rsidRDefault="002D20DB" w:rsidP="002D20DB">
      <w:pPr>
        <w:rPr>
          <w:lang w:val="de-DE"/>
        </w:rPr>
      </w:pPr>
    </w:p>
    <w:p w:rsidR="002D20DB" w:rsidRPr="00C47725" w:rsidRDefault="002D20DB" w:rsidP="002D20DB">
      <w:pPr>
        <w:rPr>
          <w:lang w:val="de-DE"/>
        </w:rPr>
      </w:pPr>
      <w:r w:rsidRPr="00B95BBF">
        <w:rPr>
          <w:lang w:val="de-DE"/>
        </w:rPr>
        <w:lastRenderedPageBreak/>
        <w:fldChar w:fldCharType="begin"/>
      </w:r>
      <w:r w:rsidRPr="00B95BBF">
        <w:rPr>
          <w:lang w:val="de-DE"/>
        </w:rPr>
        <w:instrText xml:space="preserve"> AUTONUM  </w:instrText>
      </w:r>
      <w:r w:rsidRPr="00B95BBF">
        <w:rPr>
          <w:lang w:val="de-DE"/>
        </w:rPr>
        <w:fldChar w:fldCharType="end"/>
      </w:r>
      <w:r w:rsidRPr="00C47725">
        <w:rPr>
          <w:lang w:val="de-DE"/>
        </w:rPr>
        <w:tab/>
        <w:t xml:space="preserve">Der TC vereinbarte, das UPOV-Büro zu ersuchen, einen </w:t>
      </w:r>
      <w:r>
        <w:rPr>
          <w:lang w:val="de-DE"/>
        </w:rPr>
        <w:t>stimmigen</w:t>
      </w:r>
      <w:r w:rsidRPr="00C47725">
        <w:rPr>
          <w:lang w:val="de-DE"/>
        </w:rPr>
        <w:t xml:space="preserve"> Plan auf der Grundlage der folgenden Vorschläge zu erstellen, um die von den TWP aufgeworfenen Bedenken </w:t>
      </w:r>
      <w:r>
        <w:rPr>
          <w:lang w:val="de-DE"/>
        </w:rPr>
        <w:t>anzugehen</w:t>
      </w:r>
      <w:r w:rsidRPr="00C47725">
        <w:rPr>
          <w:lang w:val="de-DE"/>
        </w:rPr>
        <w:t xml:space="preserve"> und </w:t>
      </w:r>
      <w:r>
        <w:rPr>
          <w:lang w:val="de-DE"/>
        </w:rPr>
        <w:t>Vorschläge zu machen</w:t>
      </w:r>
      <w:r w:rsidRPr="00C47725">
        <w:rPr>
          <w:lang w:val="de-DE"/>
        </w:rPr>
        <w:t xml:space="preserve">, wie die Auswirkungen des Plans bewertet werden können: </w:t>
      </w:r>
    </w:p>
    <w:p w:rsidR="002D20DB" w:rsidRPr="00C47725" w:rsidRDefault="002D20DB" w:rsidP="002D20DB">
      <w:pPr>
        <w:keepNext/>
        <w:rPr>
          <w:lang w:val="de-DE"/>
        </w:rPr>
      </w:pPr>
    </w:p>
    <w:p w:rsidR="002D20DB" w:rsidRPr="00C47725" w:rsidRDefault="002D20DB" w:rsidP="002D20DB">
      <w:pPr>
        <w:pStyle w:val="ListParagraph"/>
        <w:numPr>
          <w:ilvl w:val="0"/>
          <w:numId w:val="7"/>
        </w:numPr>
        <w:ind w:left="1134" w:hanging="567"/>
        <w:rPr>
          <w:lang w:val="de-DE"/>
        </w:rPr>
      </w:pPr>
      <w:r w:rsidRPr="00C47725">
        <w:rPr>
          <w:lang w:val="de-DE"/>
        </w:rPr>
        <w:t>GENIE Datenbank: Praktische Erfahrung und Zusammenarbeit bei der Prüfung;</w:t>
      </w:r>
    </w:p>
    <w:p w:rsidR="002D20DB" w:rsidRPr="00C47725" w:rsidRDefault="002D20DB" w:rsidP="002D20DB">
      <w:pPr>
        <w:pStyle w:val="ListParagraph"/>
        <w:numPr>
          <w:ilvl w:val="0"/>
          <w:numId w:val="7"/>
        </w:numPr>
        <w:ind w:left="1134" w:hanging="567"/>
        <w:rPr>
          <w:lang w:val="de-DE"/>
        </w:rPr>
      </w:pPr>
      <w:r w:rsidRPr="00C47725">
        <w:rPr>
          <w:lang w:val="de-DE"/>
        </w:rPr>
        <w:t>Veröffentlichung von Ansprechpartnern für die DUS-Zusammenarbeit auf der UPOV-Website (siehe Absätze 6 bis 11);</w:t>
      </w:r>
    </w:p>
    <w:p w:rsidR="002D20DB" w:rsidRPr="00C47725" w:rsidRDefault="002D20DB" w:rsidP="002D20DB">
      <w:pPr>
        <w:pStyle w:val="ListParagraph"/>
        <w:numPr>
          <w:ilvl w:val="0"/>
          <w:numId w:val="7"/>
        </w:numPr>
        <w:ind w:left="1134" w:hanging="567"/>
        <w:rPr>
          <w:lang w:val="de-DE"/>
        </w:rPr>
      </w:pPr>
      <w:r w:rsidRPr="00C47725">
        <w:rPr>
          <w:lang w:val="de-DE"/>
        </w:rPr>
        <w:t>PLUTO-Datenbank: Einrichtung einer Suchfunktion zum Auffinden von DUS-Prüfungsberichten;</w:t>
      </w:r>
    </w:p>
    <w:p w:rsidR="002D20DB" w:rsidRPr="00C47725" w:rsidRDefault="002D20DB" w:rsidP="002D20DB">
      <w:pPr>
        <w:pStyle w:val="ListParagraph"/>
        <w:numPr>
          <w:ilvl w:val="0"/>
          <w:numId w:val="7"/>
        </w:numPr>
        <w:ind w:left="1134" w:hanging="567"/>
        <w:rPr>
          <w:lang w:val="de-DE"/>
        </w:rPr>
      </w:pPr>
      <w:r w:rsidRPr="00C47725">
        <w:rPr>
          <w:lang w:val="de-DE"/>
        </w:rPr>
        <w:t>Mehrsprachiges Online-Tool zur Anforderung von DUS-Prüfungsberichten;</w:t>
      </w:r>
    </w:p>
    <w:p w:rsidR="002D20DB" w:rsidRPr="00C47725" w:rsidRDefault="002D20DB" w:rsidP="002D20DB">
      <w:pPr>
        <w:pStyle w:val="ListParagraph"/>
        <w:numPr>
          <w:ilvl w:val="0"/>
          <w:numId w:val="7"/>
        </w:numPr>
        <w:ind w:left="1134" w:hanging="567"/>
        <w:rPr>
          <w:lang w:val="de-DE"/>
        </w:rPr>
      </w:pPr>
      <w:r w:rsidRPr="00C47725">
        <w:rPr>
          <w:lang w:val="de-DE"/>
        </w:rPr>
        <w:t>TWP-Tagungen: Ersuchen um Referate über DUS-Prüfungsverfahren;</w:t>
      </w:r>
    </w:p>
    <w:p w:rsidR="002D20DB" w:rsidRPr="00C47725" w:rsidRDefault="002D20DB" w:rsidP="002D20DB">
      <w:pPr>
        <w:pStyle w:val="ListParagraph"/>
        <w:numPr>
          <w:ilvl w:val="0"/>
          <w:numId w:val="7"/>
        </w:numPr>
        <w:ind w:left="1134" w:hanging="567"/>
        <w:rPr>
          <w:lang w:val="de-DE"/>
        </w:rPr>
      </w:pPr>
      <w:r w:rsidRPr="00C47725">
        <w:rPr>
          <w:lang w:val="de-DE"/>
        </w:rPr>
        <w:t>Änderung von Dokument TGP/5 Abschnitt 6, um die in die Prüfung einbezogenen Sorten (nicht nur ähnliche Sorten) zu melden;</w:t>
      </w:r>
    </w:p>
    <w:p w:rsidR="002D20DB" w:rsidRPr="00C47725" w:rsidRDefault="002D20DB" w:rsidP="002D20DB">
      <w:pPr>
        <w:pStyle w:val="ListParagraph"/>
        <w:numPr>
          <w:ilvl w:val="0"/>
          <w:numId w:val="7"/>
        </w:numPr>
        <w:ind w:left="1134" w:hanging="567"/>
        <w:rPr>
          <w:lang w:val="de-DE"/>
        </w:rPr>
      </w:pPr>
      <w:r w:rsidRPr="00C47725">
        <w:rPr>
          <w:lang w:val="de-DE"/>
        </w:rPr>
        <w:t>Änderung des Dokuments TGP/5 Abschnitt 6, um Daten aus Feldbeobachtungen zusammen mit dem DUS-Prüfungsbericht für jede Sorte zu liefern;</w:t>
      </w:r>
    </w:p>
    <w:p w:rsidR="002D20DB" w:rsidRPr="00C47725" w:rsidRDefault="002D20DB" w:rsidP="002D20DB">
      <w:pPr>
        <w:pStyle w:val="ListParagraph"/>
        <w:numPr>
          <w:ilvl w:val="0"/>
          <w:numId w:val="7"/>
        </w:numPr>
        <w:ind w:left="1134" w:hanging="567"/>
        <w:rPr>
          <w:lang w:val="de-DE"/>
        </w:rPr>
      </w:pPr>
      <w:r w:rsidRPr="00C47725">
        <w:rPr>
          <w:lang w:val="de-DE"/>
        </w:rPr>
        <w:t>Übersetzung des Musterabkommens für die Zusammenarbeit bei der Sortenprüfung in andere maßgebliche Sprachen (Dokument TGP/5 Abschnitt 1);</w:t>
      </w:r>
    </w:p>
    <w:p w:rsidR="002D20DB" w:rsidRPr="00C47725" w:rsidRDefault="002D20DB" w:rsidP="002D20DB">
      <w:pPr>
        <w:pStyle w:val="ListParagraph"/>
        <w:numPr>
          <w:ilvl w:val="0"/>
          <w:numId w:val="7"/>
        </w:numPr>
        <w:ind w:left="1134" w:hanging="567"/>
        <w:rPr>
          <w:lang w:val="de-DE"/>
        </w:rPr>
      </w:pPr>
      <w:r w:rsidRPr="00C47725">
        <w:rPr>
          <w:lang w:val="de-DE"/>
        </w:rPr>
        <w:t>Entwicklung einer gemeinsamen Datenbank mit morphologischen und molekularen Informationen für ausgewählte Pflanzen/Arten;</w:t>
      </w:r>
    </w:p>
    <w:p w:rsidR="002D20DB" w:rsidRPr="00C47725" w:rsidRDefault="002D20DB" w:rsidP="002D20DB">
      <w:pPr>
        <w:pStyle w:val="ListParagraph"/>
        <w:numPr>
          <w:ilvl w:val="0"/>
          <w:numId w:val="7"/>
        </w:numPr>
        <w:ind w:left="1134" w:hanging="567"/>
        <w:rPr>
          <w:lang w:val="de-DE"/>
        </w:rPr>
      </w:pPr>
      <w:r w:rsidRPr="00C47725">
        <w:rPr>
          <w:lang w:val="de-DE"/>
        </w:rPr>
        <w:t>Veröffentlichung von Qualitätssicherungsverfahren für die Sortenprüfung;</w:t>
      </w:r>
    </w:p>
    <w:p w:rsidR="002D20DB" w:rsidRPr="00C47725" w:rsidRDefault="002D20DB" w:rsidP="002D20DB">
      <w:pPr>
        <w:pStyle w:val="ListParagraph"/>
        <w:numPr>
          <w:ilvl w:val="0"/>
          <w:numId w:val="7"/>
        </w:numPr>
        <w:ind w:left="1134" w:hanging="567"/>
        <w:rPr>
          <w:lang w:val="de-DE"/>
        </w:rPr>
      </w:pPr>
      <w:r w:rsidRPr="00C47725">
        <w:rPr>
          <w:lang w:val="de-DE"/>
        </w:rPr>
        <w:t>Befragung der Verbandsmitglieder und Überprüfung ihrer Verwendung der UPOV-Prüfungsrichtlinien.</w:t>
      </w:r>
    </w:p>
    <w:p w:rsidR="002D20DB" w:rsidRPr="00C47725" w:rsidRDefault="002D20DB" w:rsidP="002D20DB">
      <w:pPr>
        <w:rPr>
          <w:lang w:val="de-DE"/>
        </w:rPr>
      </w:pPr>
    </w:p>
    <w:p w:rsidR="002D20DB" w:rsidRPr="00C47725" w:rsidRDefault="002D20DB" w:rsidP="002D20DB">
      <w:pPr>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Der TC vereinbarte, dem CAJ über die damit verbundenen politischen oder rechtlichen Fragen, dargelegt in Dokument TC/55/10, Absätze 27 und 28, zu berichten.</w:t>
      </w:r>
    </w:p>
    <w:p w:rsidR="002D20DB" w:rsidRPr="00C47725" w:rsidRDefault="002D20DB" w:rsidP="002D20DB">
      <w:pPr>
        <w:rPr>
          <w:lang w:val="de-DE"/>
        </w:rPr>
      </w:pPr>
    </w:p>
    <w:p w:rsidR="002D20DB" w:rsidRPr="00C47725" w:rsidRDefault="002D20DB" w:rsidP="002D20DB">
      <w:pPr>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 xml:space="preserve">Der TC nahm zur Kenntnis, dass </w:t>
      </w:r>
      <w:r>
        <w:rPr>
          <w:lang w:val="de-DE"/>
        </w:rPr>
        <w:t xml:space="preserve">die </w:t>
      </w:r>
      <w:r w:rsidRPr="00C47725">
        <w:rPr>
          <w:lang w:val="de-DE"/>
        </w:rPr>
        <w:t>Tagungen der TWP</w:t>
      </w:r>
      <w:r>
        <w:rPr>
          <w:lang w:val="de-DE"/>
        </w:rPr>
        <w:t xml:space="preserve"> </w:t>
      </w:r>
      <w:r w:rsidRPr="00C47725">
        <w:rPr>
          <w:lang w:val="de-DE"/>
        </w:rPr>
        <w:t xml:space="preserve">Sachverständigen die Möglichkeit bieten könnten, die Zusammenarbeit und den Informationsaustausch zu verbessern, und vereinbarte, dass </w:t>
      </w:r>
      <w:r>
        <w:rPr>
          <w:lang w:val="de-DE"/>
        </w:rPr>
        <w:t>Tagungen</w:t>
      </w:r>
      <w:r w:rsidRPr="00C47725">
        <w:rPr>
          <w:lang w:val="de-DE"/>
        </w:rPr>
        <w:t xml:space="preserve"> der TWP genutzt werden sollten, um die Zusammenarbeit zwischen den Mitgliedern in größerem </w:t>
      </w:r>
      <w:r>
        <w:rPr>
          <w:lang w:val="de-DE"/>
        </w:rPr>
        <w:t>Ausmaß</w:t>
      </w:r>
      <w:r w:rsidRPr="00C47725">
        <w:rPr>
          <w:lang w:val="de-DE"/>
        </w:rPr>
        <w:t xml:space="preserve"> auszubauen.</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rPr>
          <w:lang w:val="de-DE"/>
        </w:rPr>
      </w:pPr>
      <w:r w:rsidRPr="00C47725">
        <w:rPr>
          <w:lang w:val="de-DE"/>
        </w:rPr>
        <w:t>UPOV-Informationsdatenbanken</w:t>
      </w:r>
    </w:p>
    <w:p w:rsidR="002D20DB" w:rsidRPr="00C47725" w:rsidRDefault="002D20DB" w:rsidP="002D20DB">
      <w:pPr>
        <w:keepNext/>
        <w:rPr>
          <w:lang w:val="de-DE"/>
        </w:rPr>
      </w:pPr>
    </w:p>
    <w:p w:rsidR="002D20DB" w:rsidRPr="00C47725" w:rsidRDefault="002D20DB" w:rsidP="002D20DB">
      <w:pPr>
        <w:keepNext/>
        <w:jc w:val="left"/>
        <w:rPr>
          <w:snapToGrid w:val="0"/>
          <w:u w:val="single"/>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Der TC prüfte Dokumente</w:t>
      </w:r>
      <w:r w:rsidRPr="00C47725">
        <w:rPr>
          <w:rFonts w:cs="Arial"/>
          <w:lang w:val="de-DE"/>
        </w:rPr>
        <w:t xml:space="preserve"> TC/55/5 und TC/55/5 Add.</w:t>
      </w:r>
    </w:p>
    <w:p w:rsidR="002D20DB" w:rsidRPr="00C47725" w:rsidRDefault="002D20DB" w:rsidP="002D20DB">
      <w:pPr>
        <w:rPr>
          <w:lang w:val="de-DE"/>
        </w:rPr>
      </w:pPr>
    </w:p>
    <w:p w:rsidR="002D20DB" w:rsidRPr="00C47725" w:rsidRDefault="002D20DB" w:rsidP="002D20DB">
      <w:pPr>
        <w:pStyle w:val="Heading3"/>
        <w:rPr>
          <w:snapToGrid w:val="0"/>
          <w:u w:val="single"/>
        </w:rPr>
      </w:pPr>
      <w:bookmarkStart w:id="44" w:name="_Toc477797640"/>
      <w:bookmarkStart w:id="45" w:name="_Toc525734052"/>
      <w:bookmarkStart w:id="46" w:name="_Toc16687084"/>
      <w:r w:rsidRPr="00C47725">
        <w:rPr>
          <w:rFonts w:eastAsiaTheme="minorEastAsia"/>
        </w:rPr>
        <w:t>Änderungen der</w:t>
      </w:r>
      <w:r>
        <w:rPr>
          <w:rFonts w:eastAsiaTheme="minorEastAsia"/>
        </w:rPr>
        <w:t xml:space="preserve"> „</w:t>
      </w:r>
      <w:r w:rsidRPr="00C47725">
        <w:rPr>
          <w:rFonts w:eastAsiaTheme="minorEastAsia"/>
        </w:rPr>
        <w:t>Einführung in das UPOV-Code-System</w:t>
      </w:r>
      <w:bookmarkEnd w:id="44"/>
      <w:bookmarkEnd w:id="45"/>
      <w:bookmarkEnd w:id="46"/>
      <w:r>
        <w:rPr>
          <w:rFonts w:eastAsiaTheme="minorEastAsia"/>
        </w:rPr>
        <w:t>“</w:t>
      </w:r>
    </w:p>
    <w:p w:rsidR="002D20DB" w:rsidRPr="00C47725" w:rsidRDefault="002D20DB" w:rsidP="002D20DB">
      <w:pPr>
        <w:keepNext/>
        <w:jc w:val="left"/>
        <w:rPr>
          <w:lang w:val="de-DE"/>
        </w:rPr>
      </w:pPr>
    </w:p>
    <w:p w:rsidR="002D20DB" w:rsidRPr="00C47725" w:rsidRDefault="002D20DB" w:rsidP="002D20DB">
      <w:pPr>
        <w:keepNext/>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Der TC prüfte die vorgeschlagen Änderungen der</w:t>
      </w:r>
      <w:r>
        <w:rPr>
          <w:lang w:val="de-DE"/>
        </w:rPr>
        <w:t xml:space="preserve"> „</w:t>
      </w:r>
      <w:r w:rsidRPr="00C47725">
        <w:rPr>
          <w:lang w:val="de-DE"/>
        </w:rPr>
        <w:t>Einführung in das UPOV-Code-System</w:t>
      </w:r>
      <w:r>
        <w:rPr>
          <w:lang w:val="de-DE"/>
        </w:rPr>
        <w:t>“</w:t>
      </w:r>
      <w:r w:rsidRPr="00C47725">
        <w:rPr>
          <w:lang w:val="de-DE"/>
        </w:rPr>
        <w:t xml:space="preserve">, um die Schaffung von Ausnahmen für die UPOV-Codes für Popcorn, Zuckermais und </w:t>
      </w:r>
      <w:r w:rsidRPr="00C47725">
        <w:rPr>
          <w:i/>
          <w:lang w:val="de-DE"/>
        </w:rPr>
        <w:t>Brassica oleracea</w:t>
      </w:r>
      <w:r w:rsidRPr="00C47725">
        <w:rPr>
          <w:lang w:val="de-DE"/>
        </w:rPr>
        <w:t xml:space="preserve"> wiederzugeben, wie in Dokument TC/55/5, Anlage I, dargelegt. </w:t>
      </w:r>
    </w:p>
    <w:p w:rsidR="002D20DB" w:rsidRPr="00C47725" w:rsidRDefault="002D20DB" w:rsidP="002D20DB">
      <w:pPr>
        <w:pStyle w:val="DecisionParagraphs"/>
        <w:rPr>
          <w:highlight w:val="yellow"/>
          <w:lang w:val="de-DE"/>
        </w:rPr>
      </w:pPr>
    </w:p>
    <w:p w:rsidR="002D20DB" w:rsidRPr="00C47725" w:rsidRDefault="002D20DB" w:rsidP="002D20DB">
      <w:pPr>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Der TC erinnerte daran, dass der Hauptzweck des UPOV-Code-Systems darin bes</w:t>
      </w:r>
      <w:r>
        <w:rPr>
          <w:lang w:val="de-DE"/>
        </w:rPr>
        <w:t>tehe</w:t>
      </w:r>
      <w:r w:rsidRPr="00C47725">
        <w:rPr>
          <w:lang w:val="de-DE"/>
        </w:rPr>
        <w:t xml:space="preserve">, das Problem der Synonyme für Pflanzentaxa zu lösen, und dass es auf taxonomischen Kriterien beruhen solle, </w:t>
      </w:r>
      <w:r>
        <w:rPr>
          <w:lang w:val="de-DE"/>
        </w:rPr>
        <w:t>wobei zu bedenken sei,</w:t>
      </w:r>
      <w:r w:rsidRPr="00C47725">
        <w:rPr>
          <w:lang w:val="de-DE"/>
        </w:rPr>
        <w:t xml:space="preserve"> </w:t>
      </w:r>
      <w:r>
        <w:rPr>
          <w:lang w:val="de-DE"/>
        </w:rPr>
        <w:t xml:space="preserve">dass </w:t>
      </w:r>
      <w:r w:rsidRPr="00C47725">
        <w:rPr>
          <w:lang w:val="de-DE"/>
        </w:rPr>
        <w:t>das UPOV-Code-System von anderen internationalen Organisationen, wie beispielsweise de</w:t>
      </w:r>
      <w:r>
        <w:rPr>
          <w:lang w:val="de-DE"/>
        </w:rPr>
        <w:t>r</w:t>
      </w:r>
      <w:r w:rsidRPr="00C47725">
        <w:rPr>
          <w:lang w:val="de-DE"/>
        </w:rPr>
        <w:t xml:space="preserve"> ISTA, verwendet w</w:t>
      </w:r>
      <w:r>
        <w:rPr>
          <w:lang w:val="de-DE"/>
        </w:rPr>
        <w:t>e</w:t>
      </w:r>
      <w:r w:rsidRPr="00C47725">
        <w:rPr>
          <w:lang w:val="de-DE"/>
        </w:rPr>
        <w:t xml:space="preserve">rde. </w:t>
      </w:r>
    </w:p>
    <w:p w:rsidR="002D20DB" w:rsidRPr="00C47725" w:rsidRDefault="002D20DB" w:rsidP="002D20DB">
      <w:pPr>
        <w:rPr>
          <w:lang w:val="de-DE"/>
        </w:rPr>
      </w:pPr>
    </w:p>
    <w:p w:rsidR="002D20DB" w:rsidRPr="00C47725" w:rsidRDefault="002D20DB" w:rsidP="002D20DB">
      <w:pPr>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Der TC vereinbarte, dass die für die</w:t>
      </w:r>
      <w:r>
        <w:rPr>
          <w:lang w:val="de-DE"/>
        </w:rPr>
        <w:t xml:space="preserve"> „</w:t>
      </w:r>
      <w:r w:rsidRPr="00C47725">
        <w:rPr>
          <w:lang w:val="de-DE"/>
        </w:rPr>
        <w:t>Einführung in das UPOV-Code-System</w:t>
      </w:r>
      <w:r>
        <w:rPr>
          <w:lang w:val="de-DE"/>
        </w:rPr>
        <w:t>“</w:t>
      </w:r>
      <w:r w:rsidRPr="00C47725">
        <w:rPr>
          <w:lang w:val="de-DE"/>
        </w:rPr>
        <w:t xml:space="preserve"> vorgeschlagenen Ausnahmen </w:t>
      </w:r>
      <w:r>
        <w:rPr>
          <w:lang w:val="de-DE"/>
        </w:rPr>
        <w:t>von dem</w:t>
      </w:r>
      <w:r w:rsidRPr="00C47725">
        <w:rPr>
          <w:lang w:val="de-DE"/>
        </w:rPr>
        <w:t xml:space="preserve"> </w:t>
      </w:r>
      <w:r>
        <w:rPr>
          <w:lang w:val="de-DE"/>
        </w:rPr>
        <w:t>Informationsnetz für Keimplasmaressourcen (</w:t>
      </w:r>
      <w:r w:rsidRPr="00C47725">
        <w:rPr>
          <w:lang w:val="de-DE"/>
        </w:rPr>
        <w:t>Germplasm Resources Information Network</w:t>
      </w:r>
      <w:r>
        <w:rPr>
          <w:lang w:val="de-DE"/>
        </w:rPr>
        <w:t>)</w:t>
      </w:r>
      <w:r w:rsidRPr="00C47725">
        <w:rPr>
          <w:lang w:val="de-DE"/>
        </w:rPr>
        <w:t xml:space="preserve"> (GRIN) abweichen. Der TC vereinbarte, dass UPOV</w:t>
      </w:r>
      <w:r>
        <w:rPr>
          <w:lang w:val="de-DE"/>
        </w:rPr>
        <w:t>-</w:t>
      </w:r>
      <w:r w:rsidRPr="00C47725">
        <w:rPr>
          <w:lang w:val="de-DE"/>
        </w:rPr>
        <w:t xml:space="preserve">Codes weiterhin so </w:t>
      </w:r>
      <w:r w:rsidR="00EE027D">
        <w:rPr>
          <w:lang w:val="de-DE"/>
        </w:rPr>
        <w:t>weit wie möglich der GRIN</w:t>
      </w:r>
      <w:r w:rsidR="00EE027D">
        <w:rPr>
          <w:lang w:val="de-DE"/>
        </w:rPr>
        <w:noBreakHyphen/>
      </w:r>
      <w:r w:rsidRPr="00C47725">
        <w:rPr>
          <w:lang w:val="de-DE"/>
        </w:rPr>
        <w:t>Taxonomie folgen sollten.</w:t>
      </w:r>
    </w:p>
    <w:p w:rsidR="002D20DB" w:rsidRPr="00C47725" w:rsidRDefault="002D20DB" w:rsidP="002D20DB">
      <w:pPr>
        <w:rPr>
          <w:lang w:val="de-DE"/>
        </w:rPr>
      </w:pPr>
    </w:p>
    <w:p w:rsidR="002D20DB" w:rsidRPr="00C47725" w:rsidRDefault="002D20DB" w:rsidP="002D20DB">
      <w:pPr>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Der TC vereinbarte, die Änderung der</w:t>
      </w:r>
      <w:r>
        <w:rPr>
          <w:lang w:val="de-DE"/>
        </w:rPr>
        <w:t xml:space="preserve"> „</w:t>
      </w:r>
      <w:r w:rsidRPr="00C47725">
        <w:rPr>
          <w:lang w:val="de-DE"/>
        </w:rPr>
        <w:t>Einführung in das UPOV-Code-System</w:t>
      </w:r>
      <w:r>
        <w:rPr>
          <w:lang w:val="de-DE"/>
        </w:rPr>
        <w:t>“</w:t>
      </w:r>
      <w:r w:rsidRPr="00C47725">
        <w:rPr>
          <w:lang w:val="de-DE"/>
        </w:rPr>
        <w:t xml:space="preserve"> zu </w:t>
      </w:r>
      <w:r>
        <w:rPr>
          <w:lang w:val="de-DE"/>
        </w:rPr>
        <w:t>vertagen</w:t>
      </w:r>
      <w:r w:rsidRPr="00C47725">
        <w:rPr>
          <w:lang w:val="de-DE"/>
        </w:rPr>
        <w:t xml:space="preserve"> und alternative Lösungen zu </w:t>
      </w:r>
      <w:r>
        <w:rPr>
          <w:lang w:val="de-DE"/>
        </w:rPr>
        <w:t>sondieren</w:t>
      </w:r>
      <w:r w:rsidRPr="00C47725">
        <w:rPr>
          <w:lang w:val="de-DE"/>
        </w:rPr>
        <w:t xml:space="preserve">, </w:t>
      </w:r>
      <w:r>
        <w:rPr>
          <w:lang w:val="de-DE"/>
        </w:rPr>
        <w:t>um zu ermöglichen, dass</w:t>
      </w:r>
      <w:r w:rsidRPr="00C47725">
        <w:rPr>
          <w:lang w:val="de-DE"/>
        </w:rPr>
        <w:t xml:space="preserve"> UPOV</w:t>
      </w:r>
      <w:r>
        <w:rPr>
          <w:lang w:val="de-DE"/>
        </w:rPr>
        <w:t>-</w:t>
      </w:r>
      <w:r w:rsidRPr="00C47725">
        <w:rPr>
          <w:lang w:val="de-DE"/>
        </w:rPr>
        <w:t>Codes nützliche Informationen über Sortengruppen oder -typen für DUS-</w:t>
      </w:r>
      <w:r>
        <w:rPr>
          <w:lang w:val="de-DE"/>
        </w:rPr>
        <w:t>P</w:t>
      </w:r>
      <w:r w:rsidRPr="00C47725">
        <w:rPr>
          <w:lang w:val="de-DE"/>
        </w:rPr>
        <w:t>rüfung</w:t>
      </w:r>
      <w:r>
        <w:rPr>
          <w:lang w:val="de-DE"/>
        </w:rPr>
        <w:t>szwecke</w:t>
      </w:r>
      <w:r w:rsidRPr="00C47725">
        <w:rPr>
          <w:lang w:val="de-DE"/>
        </w:rPr>
        <w:t xml:space="preserve"> liefern. Der TC vereinbarte, das Verbandsbüro zu ersuchen, ein Dokument mit Vorschlägen</w:t>
      </w:r>
      <w:r>
        <w:rPr>
          <w:lang w:val="de-DE"/>
        </w:rPr>
        <w:t xml:space="preserve"> </w:t>
      </w:r>
      <w:r w:rsidRPr="00C47725">
        <w:rPr>
          <w:lang w:val="de-DE"/>
        </w:rPr>
        <w:t>zur Prüfung auf seiner sechsundfünfzigsten Tagung auszuarbeiten.</w:t>
      </w:r>
    </w:p>
    <w:p w:rsidR="002D20DB" w:rsidRPr="00C47725" w:rsidRDefault="002D20DB" w:rsidP="002D20DB">
      <w:pPr>
        <w:rPr>
          <w:lang w:val="de-DE"/>
        </w:rPr>
      </w:pPr>
    </w:p>
    <w:p w:rsidR="002D20DB" w:rsidRPr="00C47725" w:rsidRDefault="002D20DB" w:rsidP="002D20DB">
      <w:pPr>
        <w:pStyle w:val="Heading3"/>
      </w:pPr>
      <w:r w:rsidRPr="00C47725">
        <w:t xml:space="preserve">Änderungen </w:t>
      </w:r>
      <w:r>
        <w:t>von</w:t>
      </w:r>
      <w:r w:rsidRPr="00C47725">
        <w:t xml:space="preserve"> UPOV-Codes </w:t>
      </w:r>
    </w:p>
    <w:p w:rsidR="002D20DB" w:rsidRPr="00C47725" w:rsidRDefault="002D20DB" w:rsidP="002D20DB">
      <w:pPr>
        <w:rPr>
          <w:lang w:val="de-DE"/>
        </w:rPr>
      </w:pPr>
    </w:p>
    <w:p w:rsidR="002D20DB" w:rsidRPr="00C47725" w:rsidRDefault="002D20DB" w:rsidP="002D20DB">
      <w:pPr>
        <w:pStyle w:val="Heading4"/>
        <w:rPr>
          <w:lang w:val="de-DE"/>
        </w:rPr>
      </w:pPr>
      <w:bookmarkStart w:id="47" w:name="_Toc16687087"/>
      <w:r w:rsidRPr="00C47725">
        <w:rPr>
          <w:lang w:val="de-DE"/>
        </w:rPr>
        <w:t xml:space="preserve">Vorschläge für Änderungen </w:t>
      </w:r>
      <w:r>
        <w:rPr>
          <w:lang w:val="de-DE"/>
        </w:rPr>
        <w:t>von</w:t>
      </w:r>
      <w:r w:rsidRPr="00C47725">
        <w:rPr>
          <w:lang w:val="de-DE"/>
        </w:rPr>
        <w:t xml:space="preserve"> UPOV-Codes</w:t>
      </w:r>
      <w:bookmarkEnd w:id="47"/>
    </w:p>
    <w:p w:rsidR="002D20DB" w:rsidRPr="00C47725" w:rsidRDefault="002D20DB" w:rsidP="002D20DB">
      <w:pPr>
        <w:keepNext/>
        <w:jc w:val="left"/>
        <w:rPr>
          <w:lang w:val="de-DE"/>
        </w:rPr>
      </w:pPr>
    </w:p>
    <w:p w:rsidR="002D20DB" w:rsidRPr="00C47725" w:rsidRDefault="002D20DB" w:rsidP="002D20DB">
      <w:pPr>
        <w:keepNext/>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 xml:space="preserve">Der TC vereinbarte, die folgenden </w:t>
      </w:r>
      <w:r>
        <w:rPr>
          <w:lang w:val="de-DE"/>
        </w:rPr>
        <w:t>UPOV-Codes</w:t>
      </w:r>
      <w:r w:rsidRPr="00C47725">
        <w:rPr>
          <w:lang w:val="de-DE"/>
        </w:rPr>
        <w:t xml:space="preserve"> zu ändern, wie in Dokument TC/55/5, Absätze 18 bis 62</w:t>
      </w:r>
      <w:r>
        <w:rPr>
          <w:lang w:val="de-DE"/>
        </w:rPr>
        <w:t>,</w:t>
      </w:r>
      <w:r w:rsidRPr="00C47725">
        <w:rPr>
          <w:lang w:val="de-DE"/>
        </w:rPr>
        <w:t xml:space="preserve"> und TC/55/5 Add., Absätze 4, 8 und 12, dargelegt:</w:t>
      </w:r>
    </w:p>
    <w:p w:rsidR="002D20DB" w:rsidRPr="00C47725" w:rsidRDefault="002D20DB" w:rsidP="002D20DB">
      <w:pPr>
        <w:rPr>
          <w:rFonts w:eastAsiaTheme="minorEastAsia"/>
          <w:lang w:val="de-DE" w:eastAsia="ja-JP"/>
        </w:rPr>
        <w:sectPr w:rsidR="002D20DB" w:rsidRPr="00C47725" w:rsidSect="002B5125">
          <w:headerReference w:type="even" r:id="rId8"/>
          <w:headerReference w:type="default" r:id="rId9"/>
          <w:pgSz w:w="11907" w:h="16840" w:code="9"/>
          <w:pgMar w:top="510" w:right="1134" w:bottom="1134" w:left="1134" w:header="510" w:footer="680" w:gutter="0"/>
          <w:cols w:space="720"/>
          <w:titlePg/>
        </w:sectPr>
      </w:pPr>
    </w:p>
    <w:p w:rsidR="002D20DB" w:rsidRPr="00C47725" w:rsidRDefault="002D20DB" w:rsidP="002D20DB">
      <w:pPr>
        <w:rPr>
          <w:rFonts w:eastAsiaTheme="minorEastAsia"/>
          <w:lang w:val="de-DE" w:eastAsia="ja-JP"/>
        </w:rPr>
      </w:pPr>
    </w:p>
    <w:p w:rsidR="002D20DB" w:rsidRPr="004F1DFE" w:rsidRDefault="002D20DB" w:rsidP="002D20DB">
      <w:pPr>
        <w:pStyle w:val="ListParagraph"/>
        <w:numPr>
          <w:ilvl w:val="0"/>
          <w:numId w:val="26"/>
        </w:numPr>
        <w:jc w:val="left"/>
        <w:rPr>
          <w:rFonts w:eastAsiaTheme="minorEastAsia"/>
          <w:snapToGrid w:val="0"/>
          <w:lang w:val="es-ES_tradnl"/>
        </w:rPr>
      </w:pPr>
      <w:r w:rsidRPr="004F1DFE">
        <w:rPr>
          <w:rFonts w:eastAsiaTheme="minorEastAsia"/>
          <w:snapToGrid w:val="0"/>
          <w:lang w:val="es-ES_tradnl"/>
        </w:rPr>
        <w:t xml:space="preserve">ASCOC, ASNEO, NEOFI und NEOFI_FAL </w:t>
      </w:r>
    </w:p>
    <w:p w:rsidR="002D20DB" w:rsidRPr="00C47725" w:rsidRDefault="002D20DB" w:rsidP="002D20DB">
      <w:pPr>
        <w:pStyle w:val="ListParagraph"/>
        <w:numPr>
          <w:ilvl w:val="0"/>
          <w:numId w:val="26"/>
        </w:numPr>
        <w:jc w:val="left"/>
        <w:rPr>
          <w:lang w:val="de-DE"/>
        </w:rPr>
      </w:pPr>
      <w:r w:rsidRPr="00C47725">
        <w:rPr>
          <w:rFonts w:eastAsiaTheme="minorEastAsia"/>
          <w:lang w:val="de-DE"/>
        </w:rPr>
        <w:t>BERBE</w:t>
      </w:r>
      <w:r w:rsidRPr="00C47725">
        <w:rPr>
          <w:rFonts w:eastAsiaTheme="minorEastAsia" w:cs="Arial"/>
          <w:snapToGrid w:val="0"/>
          <w:lang w:val="de-DE"/>
        </w:rPr>
        <w:t>_REP</w:t>
      </w:r>
    </w:p>
    <w:p w:rsidR="002D20DB" w:rsidRPr="00C47725" w:rsidRDefault="002D20DB" w:rsidP="002D20DB">
      <w:pPr>
        <w:pStyle w:val="ListParagraph"/>
        <w:numPr>
          <w:ilvl w:val="0"/>
          <w:numId w:val="26"/>
        </w:numPr>
        <w:jc w:val="left"/>
        <w:rPr>
          <w:snapToGrid w:val="0"/>
          <w:lang w:val="de-DE"/>
        </w:rPr>
      </w:pPr>
      <w:r w:rsidRPr="00C47725">
        <w:rPr>
          <w:snapToGrid w:val="0"/>
          <w:lang w:val="de-DE"/>
        </w:rPr>
        <w:t>CITRU_LIT</w:t>
      </w:r>
    </w:p>
    <w:p w:rsidR="002D20DB" w:rsidRPr="00C47725" w:rsidRDefault="002D20DB" w:rsidP="002D20DB">
      <w:pPr>
        <w:pStyle w:val="ListParagraph"/>
        <w:numPr>
          <w:ilvl w:val="0"/>
          <w:numId w:val="26"/>
        </w:numPr>
        <w:jc w:val="left"/>
        <w:rPr>
          <w:rFonts w:cs="Arial"/>
          <w:lang w:val="de-DE"/>
        </w:rPr>
      </w:pPr>
      <w:r w:rsidRPr="00C47725">
        <w:rPr>
          <w:rFonts w:cs="Arial"/>
          <w:lang w:val="de-DE"/>
        </w:rPr>
        <w:t>CRTNT und CRTNT_CAL</w:t>
      </w:r>
    </w:p>
    <w:p w:rsidR="002D20DB" w:rsidRPr="00C47725" w:rsidRDefault="002D20DB" w:rsidP="002D20DB">
      <w:pPr>
        <w:pStyle w:val="ListParagraph"/>
        <w:numPr>
          <w:ilvl w:val="0"/>
          <w:numId w:val="26"/>
        </w:numPr>
        <w:jc w:val="left"/>
        <w:rPr>
          <w:lang w:val="de-DE"/>
        </w:rPr>
      </w:pPr>
      <w:r w:rsidRPr="00C47725">
        <w:rPr>
          <w:rFonts w:cs="Arial"/>
          <w:lang w:val="de-DE"/>
        </w:rPr>
        <w:t>ECSED und ECSED_EMO</w:t>
      </w:r>
    </w:p>
    <w:p w:rsidR="002D20DB" w:rsidRPr="00C47725" w:rsidRDefault="002D20DB" w:rsidP="002D20DB">
      <w:pPr>
        <w:pStyle w:val="ListParagraph"/>
        <w:numPr>
          <w:ilvl w:val="0"/>
          <w:numId w:val="26"/>
        </w:numPr>
        <w:jc w:val="left"/>
        <w:rPr>
          <w:rFonts w:cs="Arial"/>
          <w:lang w:val="de-DE"/>
        </w:rPr>
      </w:pPr>
      <w:r w:rsidRPr="00C47725">
        <w:rPr>
          <w:rFonts w:cs="Arial"/>
          <w:lang w:val="de-DE"/>
        </w:rPr>
        <w:t xml:space="preserve">ECHIN_CHA </w:t>
      </w:r>
    </w:p>
    <w:p w:rsidR="002D20DB" w:rsidRPr="00C47725" w:rsidRDefault="002D20DB" w:rsidP="002D20DB">
      <w:pPr>
        <w:pStyle w:val="ListParagraph"/>
        <w:numPr>
          <w:ilvl w:val="0"/>
          <w:numId w:val="26"/>
        </w:numPr>
        <w:jc w:val="left"/>
        <w:rPr>
          <w:lang w:val="de-DE"/>
        </w:rPr>
      </w:pPr>
      <w:r w:rsidRPr="00C47725">
        <w:rPr>
          <w:snapToGrid w:val="0"/>
          <w:lang w:val="de-DE"/>
        </w:rPr>
        <w:t>EPICH_FES</w:t>
      </w:r>
    </w:p>
    <w:p w:rsidR="002D20DB" w:rsidRPr="00C47725" w:rsidRDefault="002D20DB" w:rsidP="002D20DB">
      <w:pPr>
        <w:pStyle w:val="ListParagraph"/>
        <w:numPr>
          <w:ilvl w:val="0"/>
          <w:numId w:val="26"/>
        </w:numPr>
        <w:jc w:val="left"/>
        <w:rPr>
          <w:snapToGrid w:val="0"/>
          <w:lang w:val="de-DE"/>
        </w:rPr>
      </w:pPr>
      <w:r w:rsidRPr="00C47725">
        <w:rPr>
          <w:snapToGrid w:val="0"/>
          <w:lang w:val="de-DE"/>
        </w:rPr>
        <w:t xml:space="preserve">EUTRE </w:t>
      </w:r>
    </w:p>
    <w:p w:rsidR="002D20DB" w:rsidRPr="00C47725" w:rsidRDefault="002D20DB" w:rsidP="002D20DB">
      <w:pPr>
        <w:pStyle w:val="ListParagraph"/>
        <w:numPr>
          <w:ilvl w:val="0"/>
          <w:numId w:val="26"/>
        </w:numPr>
        <w:jc w:val="left"/>
        <w:rPr>
          <w:snapToGrid w:val="0"/>
          <w:lang w:val="de-DE"/>
        </w:rPr>
      </w:pPr>
      <w:r w:rsidRPr="00C47725">
        <w:rPr>
          <w:snapToGrid w:val="0"/>
          <w:lang w:val="de-DE"/>
        </w:rPr>
        <w:t>EUTRE_JAP</w:t>
      </w:r>
    </w:p>
    <w:p w:rsidR="002D20DB" w:rsidRPr="00967481" w:rsidRDefault="002D20DB" w:rsidP="002D20DB">
      <w:pPr>
        <w:pStyle w:val="ListParagraph"/>
        <w:numPr>
          <w:ilvl w:val="0"/>
          <w:numId w:val="26"/>
        </w:numPr>
        <w:jc w:val="left"/>
        <w:rPr>
          <w:rFonts w:cs="Arial"/>
        </w:rPr>
      </w:pPr>
      <w:r w:rsidRPr="00967481">
        <w:rPr>
          <w:rFonts w:cs="Arial"/>
        </w:rPr>
        <w:t>ISOPL, DGISO, ISOPL_CAN und DGISO_PCA</w:t>
      </w:r>
    </w:p>
    <w:p w:rsidR="002D20DB" w:rsidRPr="00C47725" w:rsidRDefault="002D20DB" w:rsidP="002D20DB">
      <w:pPr>
        <w:pStyle w:val="ListParagraph"/>
        <w:numPr>
          <w:ilvl w:val="0"/>
          <w:numId w:val="26"/>
        </w:numPr>
        <w:jc w:val="left"/>
        <w:rPr>
          <w:rFonts w:cs="Arial"/>
          <w:lang w:val="de-DE"/>
        </w:rPr>
      </w:pPr>
      <w:r w:rsidRPr="00C47725">
        <w:rPr>
          <w:rFonts w:cs="Arial"/>
          <w:lang w:val="de-DE"/>
        </w:rPr>
        <w:t>HAWOR_FAS, HAWOR_LIM, HAWOR_LFA und HAWOR_MAR</w:t>
      </w:r>
    </w:p>
    <w:p w:rsidR="002D20DB" w:rsidRPr="00C47725" w:rsidRDefault="002D20DB" w:rsidP="002D20DB">
      <w:pPr>
        <w:pStyle w:val="ListParagraph"/>
        <w:numPr>
          <w:ilvl w:val="0"/>
          <w:numId w:val="26"/>
        </w:numPr>
        <w:jc w:val="left"/>
        <w:rPr>
          <w:rFonts w:cs="Arial"/>
          <w:lang w:val="de-DE"/>
        </w:rPr>
      </w:pPr>
      <w:r w:rsidRPr="00C47725">
        <w:rPr>
          <w:rFonts w:eastAsiaTheme="minorEastAsia"/>
          <w:snapToGrid w:val="0"/>
          <w:lang w:val="de-DE"/>
        </w:rPr>
        <w:t xml:space="preserve">HAWOT_FAS </w:t>
      </w:r>
    </w:p>
    <w:p w:rsidR="002D20DB" w:rsidRPr="00C47725" w:rsidRDefault="002D20DB" w:rsidP="002D20DB">
      <w:pPr>
        <w:pStyle w:val="ListParagraph"/>
        <w:numPr>
          <w:ilvl w:val="0"/>
          <w:numId w:val="26"/>
        </w:numPr>
        <w:jc w:val="left"/>
        <w:rPr>
          <w:rFonts w:cs="Arial"/>
          <w:i/>
          <w:lang w:val="de-DE"/>
        </w:rPr>
      </w:pPr>
      <w:r w:rsidRPr="00C47725">
        <w:rPr>
          <w:rFonts w:eastAsiaTheme="minorEastAsia"/>
          <w:snapToGrid w:val="0"/>
          <w:lang w:val="de-DE"/>
        </w:rPr>
        <w:t xml:space="preserve">HAWOT_LIM </w:t>
      </w:r>
    </w:p>
    <w:p w:rsidR="002D20DB" w:rsidRPr="00C47725" w:rsidRDefault="002D20DB" w:rsidP="002D20DB">
      <w:pPr>
        <w:pStyle w:val="ListParagraph"/>
        <w:numPr>
          <w:ilvl w:val="0"/>
          <w:numId w:val="26"/>
        </w:numPr>
        <w:jc w:val="left"/>
        <w:rPr>
          <w:rFonts w:eastAsiaTheme="minorEastAsia"/>
          <w:snapToGrid w:val="0"/>
          <w:lang w:val="de-DE"/>
        </w:rPr>
      </w:pPr>
      <w:r w:rsidRPr="00C47725">
        <w:rPr>
          <w:rFonts w:eastAsiaTheme="minorEastAsia"/>
          <w:snapToGrid w:val="0"/>
          <w:lang w:val="de-DE"/>
        </w:rPr>
        <w:t xml:space="preserve">HAWOT_LFA </w:t>
      </w:r>
    </w:p>
    <w:p w:rsidR="002D20DB" w:rsidRPr="00C47725" w:rsidRDefault="002D20DB" w:rsidP="002D20DB">
      <w:pPr>
        <w:pStyle w:val="ListParagraph"/>
        <w:numPr>
          <w:ilvl w:val="0"/>
          <w:numId w:val="26"/>
        </w:numPr>
        <w:jc w:val="left"/>
        <w:rPr>
          <w:lang w:val="de-DE"/>
        </w:rPr>
      </w:pPr>
      <w:r w:rsidRPr="00C47725">
        <w:rPr>
          <w:lang w:val="de-DE"/>
        </w:rPr>
        <w:t>HELLE_FNI</w:t>
      </w:r>
    </w:p>
    <w:p w:rsidR="002D20DB" w:rsidRPr="00C47725" w:rsidRDefault="002D20DB" w:rsidP="002D20DB">
      <w:pPr>
        <w:pStyle w:val="ListParagraph"/>
        <w:numPr>
          <w:ilvl w:val="0"/>
          <w:numId w:val="26"/>
        </w:numPr>
        <w:jc w:val="left"/>
        <w:rPr>
          <w:snapToGrid w:val="0"/>
          <w:lang w:val="de-DE"/>
        </w:rPr>
      </w:pPr>
      <w:r w:rsidRPr="00C47725">
        <w:rPr>
          <w:snapToGrid w:val="0"/>
          <w:lang w:val="de-DE"/>
        </w:rPr>
        <w:t>HOMLC und HOMLC_PLA</w:t>
      </w:r>
    </w:p>
    <w:p w:rsidR="002D20DB" w:rsidRPr="00C47725" w:rsidRDefault="002D20DB" w:rsidP="002D20DB">
      <w:pPr>
        <w:pStyle w:val="ListParagraph"/>
        <w:numPr>
          <w:ilvl w:val="0"/>
          <w:numId w:val="26"/>
        </w:numPr>
        <w:jc w:val="left"/>
        <w:rPr>
          <w:i/>
          <w:snapToGrid w:val="0"/>
          <w:lang w:val="de-DE"/>
        </w:rPr>
      </w:pPr>
      <w:r w:rsidRPr="00C47725">
        <w:rPr>
          <w:lang w:val="de-DE"/>
        </w:rPr>
        <w:t>LAVN</w:t>
      </w:r>
      <w:r w:rsidRPr="00C47725">
        <w:rPr>
          <w:rFonts w:cs="Arial"/>
          <w:lang w:val="de-DE"/>
        </w:rPr>
        <w:t>_XAL</w:t>
      </w:r>
      <w:r w:rsidRPr="00C47725">
        <w:rPr>
          <w:snapToGrid w:val="0"/>
          <w:lang w:val="de-DE"/>
        </w:rPr>
        <w:t xml:space="preserve"> </w:t>
      </w:r>
    </w:p>
    <w:p w:rsidR="002D20DB" w:rsidRPr="00C47725" w:rsidRDefault="002D20DB" w:rsidP="002D20DB">
      <w:pPr>
        <w:pStyle w:val="ListParagraph"/>
        <w:numPr>
          <w:ilvl w:val="0"/>
          <w:numId w:val="26"/>
        </w:numPr>
        <w:jc w:val="left"/>
        <w:rPr>
          <w:snapToGrid w:val="0"/>
          <w:lang w:val="de-DE"/>
        </w:rPr>
      </w:pPr>
      <w:r w:rsidRPr="00C47725">
        <w:rPr>
          <w:lang w:val="de-DE"/>
        </w:rPr>
        <w:t xml:space="preserve">LOBIV und LOBIV_SIL </w:t>
      </w:r>
    </w:p>
    <w:p w:rsidR="002D20DB" w:rsidRPr="00C47725" w:rsidRDefault="002D20DB" w:rsidP="002D20DB">
      <w:pPr>
        <w:pStyle w:val="ListParagraph"/>
        <w:numPr>
          <w:ilvl w:val="0"/>
          <w:numId w:val="26"/>
        </w:numPr>
        <w:jc w:val="left"/>
        <w:rPr>
          <w:snapToGrid w:val="0"/>
          <w:lang w:val="de-DE"/>
        </w:rPr>
      </w:pPr>
      <w:r w:rsidRPr="00C47725">
        <w:rPr>
          <w:snapToGrid w:val="0"/>
          <w:lang w:val="de-DE"/>
        </w:rPr>
        <w:t>MAHON, MAHON_ACA, MAHON_AQU, MAHON_BEA, MAHON_JAP, MAHON_LOM, MAHON_PUM und MAHON_REP</w:t>
      </w:r>
    </w:p>
    <w:p w:rsidR="002D20DB" w:rsidRPr="00C47725" w:rsidRDefault="002D20DB" w:rsidP="002D20DB">
      <w:pPr>
        <w:pStyle w:val="ListParagraph"/>
        <w:numPr>
          <w:ilvl w:val="0"/>
          <w:numId w:val="26"/>
        </w:numPr>
        <w:jc w:val="left"/>
        <w:rPr>
          <w:snapToGrid w:val="0"/>
          <w:lang w:val="de-DE"/>
        </w:rPr>
      </w:pPr>
      <w:r w:rsidRPr="00C47725">
        <w:rPr>
          <w:snapToGrid w:val="0"/>
          <w:lang w:val="de-DE"/>
        </w:rPr>
        <w:t xml:space="preserve">MUEHL_PLA </w:t>
      </w:r>
    </w:p>
    <w:p w:rsidR="002D20DB" w:rsidRPr="00C47725" w:rsidRDefault="002D20DB" w:rsidP="002D20DB">
      <w:pPr>
        <w:pStyle w:val="ListParagraph"/>
        <w:numPr>
          <w:ilvl w:val="0"/>
          <w:numId w:val="26"/>
        </w:numPr>
        <w:jc w:val="left"/>
        <w:rPr>
          <w:lang w:val="de-DE"/>
        </w:rPr>
      </w:pPr>
      <w:r w:rsidRPr="00C47725">
        <w:rPr>
          <w:lang w:val="de-DE"/>
        </w:rPr>
        <w:t xml:space="preserve">NEOTY_LOL </w:t>
      </w:r>
    </w:p>
    <w:p w:rsidR="002D20DB" w:rsidRPr="004F1DFE" w:rsidRDefault="002D20DB" w:rsidP="002D20DB">
      <w:pPr>
        <w:pStyle w:val="ListParagraph"/>
        <w:numPr>
          <w:ilvl w:val="0"/>
          <w:numId w:val="26"/>
        </w:numPr>
        <w:jc w:val="left"/>
        <w:rPr>
          <w:lang w:val="de-DE"/>
        </w:rPr>
      </w:pPr>
      <w:r w:rsidRPr="004F1DFE">
        <w:rPr>
          <w:lang w:val="de-DE"/>
        </w:rPr>
        <w:t>SENEC_BIC, SENEC_CIN, SENEC_CHE, SENEC_CON, SENEC_CRU, SENEC_FIC, SENEC_HER, SENEC_JAC, SENEC_LAX und SENEC_TAL</w:t>
      </w:r>
    </w:p>
    <w:p w:rsidR="002D20DB" w:rsidRPr="00C47725" w:rsidRDefault="002D20DB" w:rsidP="002D20DB">
      <w:pPr>
        <w:pStyle w:val="ListParagraph"/>
        <w:numPr>
          <w:ilvl w:val="0"/>
          <w:numId w:val="26"/>
        </w:numPr>
        <w:jc w:val="left"/>
        <w:rPr>
          <w:rFonts w:eastAsiaTheme="minorEastAsia"/>
          <w:snapToGrid w:val="0"/>
          <w:lang w:val="de-DE"/>
        </w:rPr>
      </w:pPr>
      <w:bookmarkStart w:id="48" w:name="_Toc16687088"/>
      <w:r w:rsidRPr="00C47725">
        <w:rPr>
          <w:rFonts w:eastAsiaTheme="minorEastAsia"/>
          <w:snapToGrid w:val="0"/>
          <w:lang w:val="de-DE"/>
        </w:rPr>
        <w:t>VANDA_FAL</w:t>
      </w:r>
    </w:p>
    <w:p w:rsidR="002D20DB" w:rsidRPr="00C47725" w:rsidRDefault="002D20DB" w:rsidP="002D20DB">
      <w:pPr>
        <w:pStyle w:val="ListParagraph"/>
        <w:numPr>
          <w:ilvl w:val="0"/>
          <w:numId w:val="26"/>
        </w:numPr>
        <w:jc w:val="left"/>
        <w:rPr>
          <w:i/>
          <w:snapToGrid w:val="0"/>
          <w:lang w:val="de-DE"/>
        </w:rPr>
      </w:pPr>
      <w:r w:rsidRPr="00C47725">
        <w:rPr>
          <w:snapToGrid w:val="0"/>
          <w:lang w:val="de-DE"/>
        </w:rPr>
        <w:t xml:space="preserve">WASAB und WASAB_JAP </w:t>
      </w:r>
    </w:p>
    <w:p w:rsidR="002D20DB" w:rsidRPr="00C47725" w:rsidRDefault="002D20DB" w:rsidP="002D20DB">
      <w:pPr>
        <w:pStyle w:val="ListParagraph"/>
        <w:jc w:val="left"/>
        <w:rPr>
          <w:i/>
          <w:snapToGrid w:val="0"/>
          <w:lang w:val="de-DE"/>
        </w:rPr>
        <w:sectPr w:rsidR="002D20DB" w:rsidRPr="00C47725" w:rsidSect="002B5125">
          <w:type w:val="continuous"/>
          <w:pgSz w:w="11907" w:h="16840" w:code="9"/>
          <w:pgMar w:top="510" w:right="1134" w:bottom="1134" w:left="1134" w:header="510" w:footer="680" w:gutter="0"/>
          <w:cols w:num="2" w:space="720"/>
          <w:titlePg/>
        </w:sectPr>
      </w:pPr>
    </w:p>
    <w:p w:rsidR="002D20DB" w:rsidRPr="00C47725" w:rsidRDefault="002D20DB" w:rsidP="002D20DB">
      <w:pPr>
        <w:pStyle w:val="ListParagraph"/>
        <w:jc w:val="left"/>
        <w:rPr>
          <w:i/>
          <w:snapToGrid w:val="0"/>
          <w:lang w:val="de-DE"/>
        </w:rPr>
      </w:pPr>
    </w:p>
    <w:p w:rsidR="002D20DB" w:rsidRPr="00C47725" w:rsidRDefault="002D20DB" w:rsidP="002D20DB">
      <w:pPr>
        <w:rPr>
          <w:lang w:val="de-DE"/>
        </w:rPr>
      </w:pPr>
    </w:p>
    <w:p w:rsidR="002D20DB" w:rsidRPr="00C47725" w:rsidRDefault="002D20DB" w:rsidP="002D20DB">
      <w:pPr>
        <w:pStyle w:val="Heading4"/>
        <w:rPr>
          <w:highlight w:val="yellow"/>
          <w:lang w:val="de-DE"/>
        </w:rPr>
      </w:pPr>
      <w:r w:rsidRPr="00C47725">
        <w:rPr>
          <w:lang w:val="de-DE"/>
        </w:rPr>
        <w:t xml:space="preserve">Umsetzung der Änderungen </w:t>
      </w:r>
      <w:r>
        <w:rPr>
          <w:lang w:val="de-DE"/>
        </w:rPr>
        <w:t>von</w:t>
      </w:r>
      <w:r w:rsidRPr="00C47725">
        <w:rPr>
          <w:lang w:val="de-DE"/>
        </w:rPr>
        <w:t xml:space="preserve"> UPOV-Codes</w:t>
      </w:r>
      <w:bookmarkEnd w:id="48"/>
    </w:p>
    <w:p w:rsidR="002D20DB" w:rsidRPr="00C47725" w:rsidRDefault="002D20DB" w:rsidP="002D20DB">
      <w:pPr>
        <w:rPr>
          <w:lang w:val="de-DE"/>
        </w:rPr>
      </w:pPr>
    </w:p>
    <w:p w:rsidR="002D20DB" w:rsidRPr="00C47725" w:rsidRDefault="002D20DB" w:rsidP="002D20DB">
      <w:pPr>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 xml:space="preserve">Der TC nahm zur Kenntnis, dass </w:t>
      </w:r>
      <w:r>
        <w:rPr>
          <w:lang w:val="de-DE"/>
        </w:rPr>
        <w:t>Verbandsmitglieder</w:t>
      </w:r>
      <w:r w:rsidRPr="00C47725">
        <w:rPr>
          <w:lang w:val="de-DE"/>
        </w:rPr>
        <w:t xml:space="preserve"> und Beitragsleistende zur PLUTO-Datenbank vor den Änderungen de</w:t>
      </w:r>
      <w:r>
        <w:rPr>
          <w:lang w:val="de-DE"/>
        </w:rPr>
        <w:t>r</w:t>
      </w:r>
      <w:r w:rsidRPr="00C47725">
        <w:rPr>
          <w:lang w:val="de-DE"/>
        </w:rPr>
        <w:t xml:space="preserve"> UPOV-Codes im Voraus </w:t>
      </w:r>
      <w:r>
        <w:rPr>
          <w:lang w:val="de-DE"/>
        </w:rPr>
        <w:t>in einem</w:t>
      </w:r>
      <w:r w:rsidRPr="00C47725">
        <w:rPr>
          <w:lang w:val="de-DE"/>
        </w:rPr>
        <w:t xml:space="preserve"> Rundschreiben über die Änderungen und das Datum der Änderungen </w:t>
      </w:r>
      <w:r>
        <w:rPr>
          <w:lang w:val="de-DE"/>
        </w:rPr>
        <w:t>unterricht</w:t>
      </w:r>
      <w:r w:rsidRPr="00C47725">
        <w:rPr>
          <w:lang w:val="de-DE"/>
        </w:rPr>
        <w:t>et w</w:t>
      </w:r>
      <w:r>
        <w:rPr>
          <w:lang w:val="de-DE"/>
        </w:rPr>
        <w:t>ü</w:t>
      </w:r>
      <w:r w:rsidRPr="00C47725">
        <w:rPr>
          <w:lang w:val="de-DE"/>
        </w:rPr>
        <w:t>rden, wie in Dokument TC/55/5, Absatz 64, dargelegt.</w:t>
      </w:r>
    </w:p>
    <w:p w:rsidR="002D20DB" w:rsidRPr="00C47725" w:rsidRDefault="002D20DB" w:rsidP="002D20DB">
      <w:pPr>
        <w:rPr>
          <w:lang w:val="de-DE"/>
        </w:rPr>
      </w:pPr>
    </w:p>
    <w:p w:rsidR="002D20DB" w:rsidRPr="00C47725" w:rsidRDefault="002D20DB" w:rsidP="002D20DB">
      <w:pPr>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Der TC nahm zur Kenntnis, dass Beitragsleistende zur PLUTO-Datenbank ersucht werden</w:t>
      </w:r>
      <w:r>
        <w:rPr>
          <w:lang w:val="de-DE"/>
        </w:rPr>
        <w:t xml:space="preserve"> würden</w:t>
      </w:r>
      <w:r w:rsidRPr="00C47725">
        <w:rPr>
          <w:lang w:val="de-DE"/>
        </w:rPr>
        <w:t>, die geänderten UPOV-Codes zu verwenden, wenn sie ihre Daten für Pflanzensorten beim Verbandsbüro einreichen, wie in Dokument TC/55/5, Absatz 64, dargelegt.</w:t>
      </w:r>
    </w:p>
    <w:p w:rsidR="002D20DB" w:rsidRPr="00C47725" w:rsidRDefault="002D20DB" w:rsidP="002D20DB">
      <w:pPr>
        <w:rPr>
          <w:lang w:val="de-DE"/>
        </w:rPr>
      </w:pPr>
    </w:p>
    <w:p w:rsidR="002D20DB" w:rsidRPr="00C47725" w:rsidRDefault="002D20DB" w:rsidP="002D20DB">
      <w:pPr>
        <w:pStyle w:val="Heading3"/>
      </w:pPr>
      <w:r w:rsidRPr="00C47725">
        <w:t>Pluto-Datenbank</w:t>
      </w:r>
    </w:p>
    <w:p w:rsidR="002D20DB" w:rsidRPr="00C47725" w:rsidRDefault="002D20DB" w:rsidP="002D20DB">
      <w:pPr>
        <w:keepNext/>
        <w:jc w:val="left"/>
        <w:rPr>
          <w:lang w:val="de-DE"/>
        </w:rPr>
      </w:pPr>
    </w:p>
    <w:p w:rsidR="002D20DB" w:rsidRPr="00C47725" w:rsidRDefault="002D20DB" w:rsidP="002D20DB">
      <w:pPr>
        <w:pStyle w:val="Heading4"/>
        <w:rPr>
          <w:lang w:val="de-DE"/>
        </w:rPr>
      </w:pPr>
      <w:bookmarkStart w:id="49" w:name="_Toc477797644"/>
      <w:bookmarkStart w:id="50" w:name="_Toc525734063"/>
      <w:bookmarkStart w:id="51" w:name="_Toc13238983"/>
      <w:bookmarkStart w:id="52" w:name="_Toc16687090"/>
      <w:r w:rsidRPr="00C47725">
        <w:rPr>
          <w:lang w:val="de-DE"/>
        </w:rPr>
        <w:t>Program</w:t>
      </w:r>
      <w:r>
        <w:rPr>
          <w:lang w:val="de-DE"/>
        </w:rPr>
        <w:t>m</w:t>
      </w:r>
      <w:r w:rsidRPr="00C47725">
        <w:rPr>
          <w:lang w:val="de-DE"/>
        </w:rPr>
        <w:t xml:space="preserve"> für Verbesserung</w:t>
      </w:r>
      <w:r>
        <w:rPr>
          <w:lang w:val="de-DE"/>
        </w:rPr>
        <w:t>en</w:t>
      </w:r>
      <w:r w:rsidRPr="00C47725">
        <w:rPr>
          <w:lang w:val="de-DE"/>
        </w:rPr>
        <w:t xml:space="preserve"> der Pluto-Datenbank</w:t>
      </w:r>
      <w:bookmarkEnd w:id="49"/>
      <w:bookmarkEnd w:id="50"/>
      <w:bookmarkEnd w:id="51"/>
      <w:bookmarkEnd w:id="52"/>
    </w:p>
    <w:p w:rsidR="002D20DB" w:rsidRPr="00C47725" w:rsidRDefault="002D20DB" w:rsidP="002D20DB">
      <w:pPr>
        <w:keepNext/>
        <w:jc w:val="left"/>
        <w:rPr>
          <w:lang w:val="de-DE"/>
        </w:rPr>
      </w:pPr>
    </w:p>
    <w:p w:rsidR="002D20DB" w:rsidRPr="00C47725" w:rsidRDefault="002D20DB" w:rsidP="002D20DB">
      <w:pPr>
        <w:keepNext/>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C47725">
        <w:rPr>
          <w:lang w:val="de-DE"/>
        </w:rPr>
        <w:tab/>
        <w:t>Der TC stimmte dem Vorschlag zu, Abschnitt 3.1.3 des</w:t>
      </w:r>
      <w:r>
        <w:rPr>
          <w:lang w:val="de-DE"/>
        </w:rPr>
        <w:t xml:space="preserve"> „</w:t>
      </w:r>
      <w:r w:rsidRPr="00C47725">
        <w:rPr>
          <w:lang w:val="de-DE"/>
        </w:rPr>
        <w:t>Progr</w:t>
      </w:r>
      <w:r w:rsidR="002B71A2">
        <w:rPr>
          <w:lang w:val="de-DE"/>
        </w:rPr>
        <w:t>amms zur Verbesserung der PLUTO-</w:t>
      </w:r>
      <w:r w:rsidRPr="00C47725">
        <w:rPr>
          <w:lang w:val="de-DE"/>
        </w:rPr>
        <w:t>Datenbank</w:t>
      </w:r>
      <w:r>
        <w:rPr>
          <w:lang w:val="de-DE"/>
        </w:rPr>
        <w:t>“</w:t>
      </w:r>
      <w:r w:rsidRPr="00C47725">
        <w:rPr>
          <w:lang w:val="de-DE"/>
        </w:rPr>
        <w:t xml:space="preserve"> wie folgt zu überarbeiten, um die Änderung des akzeptablen Ze</w:t>
      </w:r>
      <w:r w:rsidR="002B71A2">
        <w:rPr>
          <w:lang w:val="de-DE"/>
        </w:rPr>
        <w:t>ichensatzes in die ISO/IEC</w:t>
      </w:r>
      <w:r w:rsidR="002B71A2">
        <w:rPr>
          <w:lang w:val="de-DE"/>
        </w:rPr>
        <w:noBreakHyphen/>
        <w:t>Norm </w:t>
      </w:r>
      <w:r w:rsidRPr="00C47725">
        <w:rPr>
          <w:lang w:val="de-DE"/>
        </w:rPr>
        <w:t xml:space="preserve">8859 1:1998 wiederzugeben. </w:t>
      </w:r>
    </w:p>
    <w:p w:rsidR="002D20DB" w:rsidRPr="00C47725" w:rsidRDefault="002D20DB" w:rsidP="002D20DB">
      <w:pPr>
        <w:rPr>
          <w:lang w:val="de-DE"/>
        </w:rPr>
      </w:pPr>
    </w:p>
    <w:p w:rsidR="002D20DB" w:rsidRPr="00B95BBF" w:rsidRDefault="002D20DB" w:rsidP="002D20DB">
      <w:pPr>
        <w:ind w:left="567" w:right="567"/>
        <w:rPr>
          <w:lang w:val="de-DE"/>
        </w:rPr>
      </w:pPr>
      <w:r>
        <w:rPr>
          <w:rFonts w:cs="Arial"/>
          <w:bCs/>
          <w:spacing w:val="-2"/>
          <w:sz w:val="18"/>
          <w:szCs w:val="18"/>
          <w:lang w:val="de-DE"/>
        </w:rPr>
        <w:t>„</w:t>
      </w:r>
      <w:r w:rsidRPr="00B95BBF">
        <w:rPr>
          <w:rFonts w:cs="Arial"/>
          <w:bCs/>
          <w:spacing w:val="-2"/>
          <w:sz w:val="18"/>
          <w:szCs w:val="18"/>
          <w:lang w:val="de-DE"/>
        </w:rPr>
        <w:t>3.1.3</w:t>
      </w:r>
      <w:r w:rsidRPr="00B95BBF">
        <w:rPr>
          <w:rFonts w:cs="Arial"/>
          <w:bCs/>
          <w:spacing w:val="-2"/>
          <w:sz w:val="18"/>
          <w:szCs w:val="18"/>
          <w:lang w:val="de-DE"/>
        </w:rPr>
        <w:tab/>
        <w:t>Vorbehaltlich von Abschnitt 3.1.4 gilt für den Zeichensatz die Darstellung in dem erweiterten ASCII [American Standard Code für Information Interchange] gemäß ISO [International Standards Organization]/IEC [International Electrotechnical Commission] Norm 8859 1: 1998.</w:t>
      </w:r>
      <w:r>
        <w:rPr>
          <w:rFonts w:cs="Arial"/>
          <w:bCs/>
          <w:spacing w:val="-2"/>
          <w:sz w:val="18"/>
          <w:szCs w:val="18"/>
          <w:lang w:val="de-DE"/>
        </w:rPr>
        <w:t>“</w:t>
      </w:r>
      <w:r w:rsidRPr="00B95BBF">
        <w:rPr>
          <w:rFonts w:cs="Arial"/>
          <w:bCs/>
          <w:spacing w:val="-2"/>
          <w:sz w:val="18"/>
          <w:szCs w:val="18"/>
          <w:lang w:val="de-DE"/>
        </w:rPr>
        <w:t xml:space="preserve"> </w:t>
      </w:r>
    </w:p>
    <w:p w:rsidR="002D20DB" w:rsidRPr="00B95BBF" w:rsidRDefault="002D20DB" w:rsidP="002D20DB">
      <w:pPr>
        <w:rPr>
          <w:lang w:val="de-DE"/>
        </w:rPr>
      </w:pPr>
    </w:p>
    <w:p w:rsidR="002D20DB" w:rsidRPr="00B95BBF" w:rsidRDefault="002D20DB" w:rsidP="002D20DB">
      <w:pPr>
        <w:rPr>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B95BBF">
        <w:rPr>
          <w:lang w:val="de-DE"/>
        </w:rPr>
        <w:tab/>
        <w:t>Der TC nahm zur Kenntnis, dass der CAJ auf seiner sechsundsiebzigsten Tagung die vorgeschlagene Überarbeitung von Abschnitt 3.1.3 des</w:t>
      </w:r>
      <w:r>
        <w:rPr>
          <w:lang w:val="de-DE"/>
        </w:rPr>
        <w:t xml:space="preserve"> „</w:t>
      </w:r>
      <w:r w:rsidRPr="00B95BBF">
        <w:rPr>
          <w:lang w:val="de-DE"/>
        </w:rPr>
        <w:t>Programm für Verbesserungen der PLUTO-Datenbank</w:t>
      </w:r>
      <w:r>
        <w:rPr>
          <w:lang w:val="de-DE"/>
        </w:rPr>
        <w:t>“</w:t>
      </w:r>
      <w:r w:rsidRPr="00B95BBF">
        <w:rPr>
          <w:lang w:val="de-DE"/>
        </w:rPr>
        <w:t xml:space="preserve"> in Verbindung mit den Bemerkungen des TC auf seiner fünfundfünfzigsten Tagung prüfen </w:t>
      </w:r>
      <w:r>
        <w:rPr>
          <w:lang w:val="de-DE"/>
        </w:rPr>
        <w:t>würde</w:t>
      </w:r>
      <w:r w:rsidRPr="00B95BBF">
        <w:rPr>
          <w:lang w:val="de-DE"/>
        </w:rPr>
        <w:t xml:space="preserve">. </w:t>
      </w:r>
    </w:p>
    <w:p w:rsidR="002D20DB" w:rsidRPr="00B95BBF" w:rsidRDefault="002D20DB" w:rsidP="002D20DB">
      <w:pPr>
        <w:rPr>
          <w:lang w:val="de-DE"/>
        </w:rPr>
      </w:pPr>
    </w:p>
    <w:p w:rsidR="002D20DB" w:rsidRPr="00B95BBF" w:rsidRDefault="002D20DB" w:rsidP="002D20DB">
      <w:pPr>
        <w:pStyle w:val="Heading3"/>
      </w:pPr>
      <w:r>
        <w:t>Gesuch</w:t>
      </w:r>
      <w:r w:rsidRPr="00B95BBF">
        <w:t xml:space="preserve"> des ISTA-Nomenklaturausschusses </w:t>
      </w:r>
    </w:p>
    <w:p w:rsidR="002D20DB" w:rsidRPr="00B95BBF" w:rsidRDefault="002D20DB" w:rsidP="002D20DB">
      <w:pPr>
        <w:keepNext/>
        <w:rPr>
          <w:lang w:val="de-DE"/>
        </w:rPr>
      </w:pPr>
    </w:p>
    <w:p w:rsidR="002D20DB" w:rsidRPr="00C47725" w:rsidRDefault="002D20DB" w:rsidP="002D20DB">
      <w:pPr>
        <w:keepNext/>
        <w:rPr>
          <w:rFonts w:cs="Arial"/>
          <w:lang w:val="de-DE"/>
        </w:rPr>
      </w:pPr>
      <w:r w:rsidRPr="00B95BBF">
        <w:rPr>
          <w:lang w:val="de-DE"/>
        </w:rPr>
        <w:fldChar w:fldCharType="begin"/>
      </w:r>
      <w:r w:rsidRPr="00B95BBF">
        <w:rPr>
          <w:lang w:val="de-DE"/>
        </w:rPr>
        <w:instrText xml:space="preserve"> AUTONUM  </w:instrText>
      </w:r>
      <w:r w:rsidRPr="00B95BBF">
        <w:rPr>
          <w:lang w:val="de-DE"/>
        </w:rPr>
        <w:fldChar w:fldCharType="end"/>
      </w:r>
      <w:r w:rsidRPr="00B95BBF">
        <w:rPr>
          <w:lang w:val="de-DE"/>
        </w:rPr>
        <w:tab/>
        <w:t>Der TC nahm zur</w:t>
      </w:r>
      <w:r w:rsidRPr="00C47725">
        <w:rPr>
          <w:lang w:val="de-DE"/>
        </w:rPr>
        <w:t xml:space="preserve"> Kenntnis, dass das Verbandsbüro ein </w:t>
      </w:r>
      <w:r>
        <w:rPr>
          <w:lang w:val="de-DE"/>
        </w:rPr>
        <w:t>Gesuch</w:t>
      </w:r>
      <w:r w:rsidRPr="00C47725">
        <w:rPr>
          <w:lang w:val="de-DE"/>
        </w:rPr>
        <w:t xml:space="preserve"> des Nomenklaturausschusses der Internationalen Vereinigung für Saatgutprüfung (ISTA) erhalten hat</w:t>
      </w:r>
      <w:r>
        <w:rPr>
          <w:lang w:val="de-DE"/>
        </w:rPr>
        <w:t>te</w:t>
      </w:r>
      <w:r w:rsidRPr="00C47725">
        <w:rPr>
          <w:lang w:val="de-DE"/>
        </w:rPr>
        <w:t xml:space="preserve">, UPOV-Codes für alle botanischen Namen bereitzustellen, die in der stabilisierten Liste der ISTA der botanischen Namen von </w:t>
      </w:r>
      <w:r>
        <w:rPr>
          <w:lang w:val="de-DE"/>
        </w:rPr>
        <w:t>Pflanzen</w:t>
      </w:r>
      <w:r w:rsidRPr="00C47725">
        <w:rPr>
          <w:lang w:val="de-DE"/>
        </w:rPr>
        <w:t xml:space="preserve"> aufgeführt sind, wie in Dokument TC/55/5 Add., Absatz 2, dargelegt. Am 3. Oktober 2019 stellte das Verbandsbüro dem ISTA-Nomenklaturausschuss eine Liste von UPOV-Codes zur Verfügung, die alle botanischen Namen in der </w:t>
      </w:r>
      <w:r>
        <w:rPr>
          <w:lang w:val="de-DE"/>
        </w:rPr>
        <w:t>stabilisierten Liste der ISTA</w:t>
      </w:r>
      <w:r w:rsidRPr="00C47725">
        <w:rPr>
          <w:lang w:val="de-DE"/>
        </w:rPr>
        <w:t xml:space="preserve"> abdeckt.</w:t>
      </w:r>
      <w:r w:rsidRPr="00C47725">
        <w:rPr>
          <w:rFonts w:cs="Arial"/>
          <w:lang w:val="de-DE"/>
        </w:rPr>
        <w:t xml:space="preserve"> </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rPr>
          <w:lang w:val="de-DE"/>
        </w:rPr>
      </w:pPr>
      <w:r w:rsidRPr="00C47725">
        <w:rPr>
          <w:snapToGrid w:val="0"/>
          <w:lang w:val="de-DE"/>
        </w:rPr>
        <w:t>Austausch und Verwendung von Software und Ausrüstung</w:t>
      </w:r>
    </w:p>
    <w:p w:rsidR="002D20DB" w:rsidRPr="00C47725" w:rsidRDefault="002D20DB" w:rsidP="002D20DB">
      <w:pPr>
        <w:keepNext/>
        <w:rPr>
          <w:lang w:val="de-DE"/>
        </w:rPr>
      </w:pPr>
    </w:p>
    <w:p w:rsidR="002D20DB" w:rsidRPr="00C47725" w:rsidRDefault="002D20DB" w:rsidP="002D20DB">
      <w:pPr>
        <w:keepNext/>
        <w:rPr>
          <w:lang w:val="de-DE"/>
        </w:rPr>
      </w:pPr>
      <w:r w:rsidRPr="00DC4185">
        <w:rPr>
          <w:lang w:val="de-DE"/>
        </w:rPr>
        <w:fldChar w:fldCharType="begin"/>
      </w:r>
      <w:r w:rsidRPr="00DC4185">
        <w:rPr>
          <w:lang w:val="de-DE"/>
        </w:rPr>
        <w:instrText xml:space="preserve"> AUTONUM  </w:instrText>
      </w:r>
      <w:r w:rsidRPr="00DC4185">
        <w:rPr>
          <w:lang w:val="de-DE"/>
        </w:rPr>
        <w:fldChar w:fldCharType="end"/>
      </w:r>
      <w:r w:rsidRPr="00C47725">
        <w:rPr>
          <w:lang w:val="de-DE"/>
        </w:rPr>
        <w:tab/>
        <w:t>Der TC prüfte Dokument TC/55/6.</w:t>
      </w:r>
    </w:p>
    <w:p w:rsidR="002D20DB" w:rsidRPr="00C47725" w:rsidRDefault="002D20DB" w:rsidP="002D20DB">
      <w:pPr>
        <w:rPr>
          <w:lang w:val="de-DE"/>
        </w:rPr>
      </w:pPr>
    </w:p>
    <w:p w:rsidR="002D20DB" w:rsidRPr="00C47725" w:rsidRDefault="002D20DB" w:rsidP="002D20DB">
      <w:pPr>
        <w:pStyle w:val="Heading3"/>
      </w:pPr>
      <w:bookmarkStart w:id="53" w:name="_Toc14686105"/>
      <w:r w:rsidRPr="00C47725">
        <w:t>Dokument UPOV/INF/16</w:t>
      </w:r>
      <w:r>
        <w:t xml:space="preserve"> „</w:t>
      </w:r>
      <w:r w:rsidRPr="00C47725">
        <w:t>Austauschbare Software</w:t>
      </w:r>
      <w:bookmarkEnd w:id="53"/>
      <w:r>
        <w:t>“</w:t>
      </w:r>
    </w:p>
    <w:p w:rsidR="002D20DB" w:rsidRPr="00C47725" w:rsidRDefault="002D20DB" w:rsidP="002D20DB">
      <w:pPr>
        <w:keepNext/>
        <w:rPr>
          <w:lang w:val="de-DE"/>
        </w:rPr>
      </w:pPr>
    </w:p>
    <w:p w:rsidR="002D20DB" w:rsidRPr="00C47725" w:rsidRDefault="002D20DB" w:rsidP="002D20DB">
      <w:pPr>
        <w:keepNext/>
        <w:rPr>
          <w:lang w:val="de-DE"/>
        </w:rPr>
      </w:pPr>
      <w:r w:rsidRPr="00BB1EFF">
        <w:rPr>
          <w:lang w:val="de-DE"/>
        </w:rPr>
        <w:fldChar w:fldCharType="begin"/>
      </w:r>
      <w:r w:rsidRPr="00BB1EFF">
        <w:rPr>
          <w:lang w:val="de-DE"/>
        </w:rPr>
        <w:instrText xml:space="preserve"> AUTONUM  </w:instrText>
      </w:r>
      <w:r w:rsidRPr="00BB1EFF">
        <w:rPr>
          <w:lang w:val="de-DE"/>
        </w:rPr>
        <w:fldChar w:fldCharType="end"/>
      </w:r>
      <w:r w:rsidRPr="00C47725">
        <w:rPr>
          <w:lang w:val="de-DE"/>
        </w:rPr>
        <w:tab/>
        <w:t>Der TC nahm zur Kenntnis, dass der Rat auf seiner zweiundfünfzigsten ordentlichen Tagung</w:t>
      </w:r>
      <w:r>
        <w:rPr>
          <w:lang w:val="de-DE"/>
        </w:rPr>
        <w:t xml:space="preserve"> vom</w:t>
      </w:r>
      <w:r w:rsidR="00474090">
        <w:rPr>
          <w:lang w:val="de-DE"/>
        </w:rPr>
        <w:t xml:space="preserve"> 2. </w:t>
      </w:r>
      <w:r w:rsidRPr="00C47725">
        <w:rPr>
          <w:lang w:val="de-DE"/>
        </w:rPr>
        <w:t>November 2018 in Genf Dokument UPOV/INF/16/8</w:t>
      </w:r>
      <w:r>
        <w:rPr>
          <w:lang w:val="de-DE"/>
        </w:rPr>
        <w:t xml:space="preserve"> „</w:t>
      </w:r>
      <w:r w:rsidRPr="00C47725">
        <w:rPr>
          <w:lang w:val="de-DE"/>
        </w:rPr>
        <w:t>Austauschbare Software</w:t>
      </w:r>
      <w:r>
        <w:rPr>
          <w:lang w:val="de-DE"/>
        </w:rPr>
        <w:t>“</w:t>
      </w:r>
      <w:r w:rsidRPr="00C47725">
        <w:rPr>
          <w:lang w:val="de-DE"/>
        </w:rPr>
        <w:t xml:space="preserve"> angenommen hat</w:t>
      </w:r>
      <w:r>
        <w:rPr>
          <w:lang w:val="de-DE"/>
        </w:rPr>
        <w:t>te</w:t>
      </w:r>
      <w:r w:rsidRPr="00C47725">
        <w:rPr>
          <w:lang w:val="de-DE"/>
        </w:rPr>
        <w:t xml:space="preserve">. </w:t>
      </w:r>
    </w:p>
    <w:p w:rsidR="002D20DB" w:rsidRPr="00C47725" w:rsidRDefault="002D20DB" w:rsidP="002D20DB">
      <w:pPr>
        <w:rPr>
          <w:lang w:val="de-DE"/>
        </w:rPr>
      </w:pPr>
    </w:p>
    <w:p w:rsidR="002D20DB" w:rsidRPr="00C47725" w:rsidRDefault="002D20DB" w:rsidP="002D20DB">
      <w:pPr>
        <w:rPr>
          <w:lang w:val="de-DE"/>
        </w:rPr>
      </w:pPr>
      <w:r w:rsidRPr="00BB1EFF">
        <w:rPr>
          <w:lang w:val="de-DE"/>
        </w:rPr>
        <w:lastRenderedPageBreak/>
        <w:fldChar w:fldCharType="begin"/>
      </w:r>
      <w:r w:rsidRPr="00BB1EFF">
        <w:rPr>
          <w:lang w:val="de-DE"/>
        </w:rPr>
        <w:instrText xml:space="preserve"> AUTONUM  </w:instrText>
      </w:r>
      <w:r w:rsidRPr="00BB1EFF">
        <w:rPr>
          <w:lang w:val="de-DE"/>
        </w:rPr>
        <w:fldChar w:fldCharType="end"/>
      </w:r>
      <w:r w:rsidRPr="00C47725">
        <w:rPr>
          <w:lang w:val="de-DE"/>
        </w:rPr>
        <w:tab/>
        <w:t xml:space="preserve">Der TC nahm zur Kenntnis, dass von den Verbandsmitgliedern keine neuen Informationen als </w:t>
      </w:r>
      <w:r>
        <w:rPr>
          <w:lang w:val="de-DE"/>
        </w:rPr>
        <w:t>Antwort</w:t>
      </w:r>
      <w:r w:rsidRPr="00C47725">
        <w:rPr>
          <w:lang w:val="de-DE"/>
        </w:rPr>
        <w:t xml:space="preserve"> auf das Rundschreiben E-19/045 eingegangen sind, in dem sie ersucht </w:t>
      </w:r>
      <w:r>
        <w:rPr>
          <w:lang w:val="de-DE"/>
        </w:rPr>
        <w:t>worden waren</w:t>
      </w:r>
      <w:r w:rsidRPr="00C47725">
        <w:rPr>
          <w:lang w:val="de-DE"/>
        </w:rPr>
        <w:t>, in Dokument UPOV/INF/16/8 enthaltene Informationen über die Verwendung der</w:t>
      </w:r>
      <w:r>
        <w:rPr>
          <w:lang w:val="de-DE"/>
        </w:rPr>
        <w:t xml:space="preserve"> </w:t>
      </w:r>
      <w:r w:rsidRPr="00C47725">
        <w:rPr>
          <w:lang w:val="de-DE"/>
        </w:rPr>
        <w:t>Software bereitzustellen oder zu aktualisieren.</w:t>
      </w:r>
    </w:p>
    <w:p w:rsidR="002D20DB" w:rsidRPr="00C47725" w:rsidRDefault="002D20DB" w:rsidP="002D20DB">
      <w:pPr>
        <w:rPr>
          <w:lang w:val="de-DE"/>
        </w:rPr>
      </w:pPr>
    </w:p>
    <w:p w:rsidR="002D20DB" w:rsidRPr="00C47725" w:rsidRDefault="002D20DB" w:rsidP="002D20DB">
      <w:pPr>
        <w:pStyle w:val="Heading3"/>
      </w:pPr>
      <w:bookmarkStart w:id="54" w:name="_Toc14686109"/>
      <w:r w:rsidRPr="00C47725">
        <w:t>Dokument</w:t>
      </w:r>
      <w:r w:rsidRPr="00C47725">
        <w:rPr>
          <w:lang w:eastAsia="ja-JP"/>
        </w:rPr>
        <w:t xml:space="preserve"> </w:t>
      </w:r>
      <w:r w:rsidRPr="00C47725">
        <w:t>UPOV/INF/22</w:t>
      </w:r>
      <w:r>
        <w:t xml:space="preserve"> „</w:t>
      </w:r>
      <w:r w:rsidRPr="00C47725">
        <w:rPr>
          <w:lang w:eastAsia="ja-JP"/>
        </w:rPr>
        <w:t>Von Verbandsmitgliedern verwendete Software und Ausrüstung</w:t>
      </w:r>
      <w:bookmarkEnd w:id="54"/>
      <w:r>
        <w:t>“</w:t>
      </w:r>
    </w:p>
    <w:p w:rsidR="002D20DB" w:rsidRPr="00C47725" w:rsidRDefault="002D20DB" w:rsidP="002D20DB">
      <w:pPr>
        <w:keepNext/>
        <w:rPr>
          <w:lang w:val="de-DE"/>
        </w:rPr>
      </w:pPr>
    </w:p>
    <w:p w:rsidR="002D20DB" w:rsidRPr="00C47725" w:rsidRDefault="002D20DB" w:rsidP="002D20DB">
      <w:pPr>
        <w:keepNext/>
        <w:rPr>
          <w:lang w:val="de-DE"/>
        </w:rPr>
      </w:pPr>
      <w:r w:rsidRPr="00BB1EFF">
        <w:rPr>
          <w:lang w:val="de-DE"/>
        </w:rPr>
        <w:fldChar w:fldCharType="begin"/>
      </w:r>
      <w:r w:rsidRPr="00BB1EFF">
        <w:rPr>
          <w:lang w:val="de-DE"/>
        </w:rPr>
        <w:instrText xml:space="preserve"> AUTONUM  </w:instrText>
      </w:r>
      <w:r w:rsidRPr="00BB1EFF">
        <w:rPr>
          <w:lang w:val="de-DE"/>
        </w:rPr>
        <w:fldChar w:fldCharType="end"/>
      </w:r>
      <w:r w:rsidRPr="00C47725">
        <w:rPr>
          <w:lang w:val="de-DE"/>
        </w:rPr>
        <w:tab/>
        <w:t>Der TC prüfte Dokument UPOV/INF/22/6 Draft 1 und vereinbarte, die Überarbeitung von Dokument UPOV/INF/22 auf dieser Grundlage vorzuschlagen.</w:t>
      </w:r>
    </w:p>
    <w:p w:rsidR="002D20DB" w:rsidRPr="00C47725" w:rsidRDefault="002D20DB" w:rsidP="002D20DB">
      <w:pPr>
        <w:rPr>
          <w:lang w:val="de-DE"/>
        </w:rPr>
      </w:pPr>
    </w:p>
    <w:p w:rsidR="002D20DB" w:rsidRPr="00C47725" w:rsidRDefault="002D20DB" w:rsidP="002D20DB">
      <w:pPr>
        <w:rPr>
          <w:lang w:val="de-DE"/>
        </w:rPr>
      </w:pPr>
      <w:r w:rsidRPr="00BB1EFF">
        <w:rPr>
          <w:lang w:val="de-DE"/>
        </w:rPr>
        <w:fldChar w:fldCharType="begin"/>
      </w:r>
      <w:r w:rsidRPr="00BB1EFF">
        <w:rPr>
          <w:lang w:val="de-DE"/>
        </w:rPr>
        <w:instrText xml:space="preserve"> AUTONUM  </w:instrText>
      </w:r>
      <w:r w:rsidRPr="00BB1EFF">
        <w:rPr>
          <w:lang w:val="de-DE"/>
        </w:rPr>
        <w:fldChar w:fldCharType="end"/>
      </w:r>
      <w:r w:rsidRPr="00C47725">
        <w:rPr>
          <w:lang w:val="de-DE"/>
        </w:rPr>
        <w:tab/>
        <w:t xml:space="preserve">Der TC nahm zur Kenntnis, dass dem CAJ auf seiner sechsundsiebzigsten Tagung über die Vorschläge des TC auf seiner fünfundfünfzigsten Tagung betreffend die Überarbeitung von Dokument UPOV/INF/22 berichtet werden </w:t>
      </w:r>
      <w:r>
        <w:rPr>
          <w:lang w:val="de-DE"/>
        </w:rPr>
        <w:t>würde</w:t>
      </w:r>
      <w:r w:rsidRPr="00C47725">
        <w:rPr>
          <w:lang w:val="de-DE"/>
        </w:rPr>
        <w:t xml:space="preserve"> und im Falle der Zustimmung durch den CAJ ein </w:t>
      </w:r>
      <w:r>
        <w:rPr>
          <w:lang w:val="de-DE"/>
        </w:rPr>
        <w:t>Entwurf von Dokument</w:t>
      </w:r>
      <w:r w:rsidRPr="00C47725">
        <w:rPr>
          <w:lang w:val="de-DE"/>
        </w:rPr>
        <w:t xml:space="preserve"> UPOV/INF/22/5 dem Rat auf seiner dreiundfünfzigsten ordentlichen Tagung am 1. November 2019 zur Annahme vor</w:t>
      </w:r>
      <w:r>
        <w:rPr>
          <w:lang w:val="de-DE"/>
        </w:rPr>
        <w:t>gelegt</w:t>
      </w:r>
      <w:r w:rsidRPr="00C47725">
        <w:rPr>
          <w:lang w:val="de-DE"/>
        </w:rPr>
        <w:t xml:space="preserve"> werden würde.</w:t>
      </w:r>
    </w:p>
    <w:p w:rsidR="002D20DB" w:rsidRPr="00C47725" w:rsidRDefault="002D20DB" w:rsidP="002D20DB">
      <w:pPr>
        <w:rPr>
          <w:lang w:val="de-DE"/>
        </w:rPr>
      </w:pPr>
    </w:p>
    <w:p w:rsidR="002D20DB" w:rsidRPr="00C47725" w:rsidRDefault="002D20DB" w:rsidP="002D20DB">
      <w:pPr>
        <w:pStyle w:val="Heading3"/>
      </w:pPr>
      <w:bookmarkStart w:id="55" w:name="_Toc14686113"/>
      <w:r w:rsidRPr="00C47725">
        <w:rPr>
          <w:lang w:eastAsia="ja-JP"/>
        </w:rPr>
        <w:t>Verfügbarkeit der Dokumente UPOV/INF/16</w:t>
      </w:r>
      <w:r>
        <w:rPr>
          <w:lang w:eastAsia="ja-JP"/>
        </w:rPr>
        <w:t xml:space="preserve"> „</w:t>
      </w:r>
      <w:r w:rsidRPr="00C47725">
        <w:rPr>
          <w:lang w:eastAsia="ja-JP"/>
        </w:rPr>
        <w:t>Austauschbare Software</w:t>
      </w:r>
      <w:r>
        <w:rPr>
          <w:lang w:eastAsia="ja-JP"/>
        </w:rPr>
        <w:t>“</w:t>
      </w:r>
      <w:r w:rsidRPr="00C47725">
        <w:rPr>
          <w:lang w:eastAsia="ja-JP"/>
        </w:rPr>
        <w:t xml:space="preserve"> und UPOV/INF/22</w:t>
      </w:r>
      <w:bookmarkEnd w:id="55"/>
      <w:r>
        <w:rPr>
          <w:lang w:eastAsia="ja-JP"/>
        </w:rPr>
        <w:t xml:space="preserve"> „</w:t>
      </w:r>
      <w:r w:rsidRPr="00C47725">
        <w:rPr>
          <w:lang w:eastAsia="ja-JP"/>
        </w:rPr>
        <w:t>Von Verbandsmitgliedern verwendete Software und Ausrüstung</w:t>
      </w:r>
      <w:r>
        <w:rPr>
          <w:lang w:eastAsia="ja-JP"/>
        </w:rPr>
        <w:t>“</w:t>
      </w:r>
      <w:r w:rsidRPr="00C47725">
        <w:rPr>
          <w:lang w:eastAsia="ja-JP"/>
        </w:rPr>
        <w:t xml:space="preserve"> in einer durchsuchbaren Form</w:t>
      </w:r>
    </w:p>
    <w:p w:rsidR="002D20DB" w:rsidRPr="00C47725" w:rsidRDefault="002D20DB" w:rsidP="002D20DB">
      <w:pPr>
        <w:keepNext/>
        <w:rPr>
          <w:lang w:val="de-DE"/>
        </w:rPr>
      </w:pPr>
    </w:p>
    <w:p w:rsidR="002D20DB" w:rsidRPr="00C47725" w:rsidRDefault="002D20DB" w:rsidP="002D20DB">
      <w:pPr>
        <w:keepNext/>
        <w:rPr>
          <w:lang w:val="de-DE"/>
        </w:rPr>
      </w:pPr>
      <w:r w:rsidRPr="00BB1EFF">
        <w:rPr>
          <w:lang w:val="de-DE"/>
        </w:rPr>
        <w:fldChar w:fldCharType="begin"/>
      </w:r>
      <w:r w:rsidRPr="00BB1EFF">
        <w:rPr>
          <w:lang w:val="de-DE"/>
        </w:rPr>
        <w:instrText xml:space="preserve"> AUTONUM  </w:instrText>
      </w:r>
      <w:r w:rsidRPr="00BB1EFF">
        <w:rPr>
          <w:lang w:val="de-DE"/>
        </w:rPr>
        <w:fldChar w:fldCharType="end"/>
      </w:r>
      <w:r w:rsidRPr="00C47725">
        <w:rPr>
          <w:lang w:val="de-DE"/>
        </w:rPr>
        <w:tab/>
        <w:t>Der TC nahm zur Kenntnis, dass die Informationen</w:t>
      </w:r>
      <w:r>
        <w:rPr>
          <w:lang w:val="de-DE"/>
        </w:rPr>
        <w:t xml:space="preserve"> in Dokumenten</w:t>
      </w:r>
      <w:r w:rsidRPr="00C47725">
        <w:rPr>
          <w:lang w:val="de-DE"/>
        </w:rPr>
        <w:t xml:space="preserve"> UPOV/INF/16 und UPOV/INF/22 nach der Einführung des neuen </w:t>
      </w:r>
      <w:r>
        <w:rPr>
          <w:lang w:val="de-DE"/>
        </w:rPr>
        <w:t>Designs der Website</w:t>
      </w:r>
      <w:r w:rsidRPr="00C47725">
        <w:rPr>
          <w:lang w:val="de-DE"/>
        </w:rPr>
        <w:t xml:space="preserve"> in einem durchsuchbaren Format auf der UPOV-Website verfügbar gemacht werden </w:t>
      </w:r>
      <w:r>
        <w:rPr>
          <w:lang w:val="de-DE"/>
        </w:rPr>
        <w:t>würden</w:t>
      </w:r>
      <w:r w:rsidRPr="00C47725">
        <w:rPr>
          <w:lang w:val="de-DE"/>
        </w:rPr>
        <w:t>.</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rPr>
          <w:snapToGrid w:val="0"/>
          <w:lang w:val="de-DE"/>
        </w:rPr>
      </w:pPr>
      <w:r w:rsidRPr="00C47725">
        <w:rPr>
          <w:snapToGrid w:val="0"/>
          <w:lang w:val="de-DE"/>
        </w:rPr>
        <w:t>Vorbereitende Arbeitstagungen</w:t>
      </w:r>
    </w:p>
    <w:p w:rsidR="002D20DB" w:rsidRPr="00C47725" w:rsidRDefault="002D20DB" w:rsidP="002D20DB">
      <w:pPr>
        <w:keepNext/>
        <w:rPr>
          <w:lang w:val="de-DE"/>
        </w:rPr>
      </w:pPr>
    </w:p>
    <w:p w:rsidR="002D20DB" w:rsidRPr="00C47725" w:rsidRDefault="002D20DB" w:rsidP="002D20DB">
      <w:pPr>
        <w:keepNext/>
        <w:rPr>
          <w:lang w:val="de-DE"/>
        </w:rPr>
      </w:pPr>
      <w:r w:rsidRPr="00BB1EFF">
        <w:rPr>
          <w:lang w:val="de-DE"/>
        </w:rPr>
        <w:fldChar w:fldCharType="begin"/>
      </w:r>
      <w:r w:rsidRPr="00BB1EFF">
        <w:rPr>
          <w:lang w:val="de-DE"/>
        </w:rPr>
        <w:instrText xml:space="preserve"> AUTONUM  </w:instrText>
      </w:r>
      <w:r w:rsidRPr="00BB1EFF">
        <w:rPr>
          <w:lang w:val="de-DE"/>
        </w:rPr>
        <w:fldChar w:fldCharType="end"/>
      </w:r>
      <w:r w:rsidRPr="00C47725">
        <w:rPr>
          <w:lang w:val="de-DE"/>
        </w:rPr>
        <w:tab/>
        <w:t>Der TC prüfte Dokument TC/55/9.</w:t>
      </w:r>
    </w:p>
    <w:p w:rsidR="002D20DB" w:rsidRPr="00C47725" w:rsidRDefault="002D20DB" w:rsidP="002D20DB">
      <w:pPr>
        <w:keepNext/>
        <w:rPr>
          <w:lang w:val="de-DE"/>
        </w:rPr>
      </w:pPr>
    </w:p>
    <w:p w:rsidR="002D20DB" w:rsidRPr="00C47725" w:rsidRDefault="002D20DB" w:rsidP="002D20DB">
      <w:pPr>
        <w:rPr>
          <w:lang w:val="de-DE"/>
        </w:rPr>
      </w:pPr>
      <w:r w:rsidRPr="0020085B">
        <w:rPr>
          <w:lang w:val="de-DE"/>
        </w:rPr>
        <w:fldChar w:fldCharType="begin"/>
      </w:r>
      <w:r w:rsidRPr="0020085B">
        <w:rPr>
          <w:lang w:val="de-DE"/>
        </w:rPr>
        <w:instrText xml:space="preserve"> AUTONUM  </w:instrText>
      </w:r>
      <w:r w:rsidRPr="0020085B">
        <w:rPr>
          <w:lang w:val="de-DE"/>
        </w:rPr>
        <w:fldChar w:fldCharType="end"/>
      </w:r>
      <w:r w:rsidRPr="00C47725">
        <w:rPr>
          <w:lang w:val="de-DE"/>
        </w:rPr>
        <w:tab/>
        <w:t>Der TC nahm den Bericht der vorbereitende</w:t>
      </w:r>
      <w:r>
        <w:rPr>
          <w:lang w:val="de-DE"/>
        </w:rPr>
        <w:t>n</w:t>
      </w:r>
      <w:r w:rsidRPr="00C47725">
        <w:rPr>
          <w:lang w:val="de-DE"/>
        </w:rPr>
        <w:t xml:space="preserve"> Arbeitstagung der TWO im Jahr 2019 zur Kenntnis.</w:t>
      </w:r>
    </w:p>
    <w:p w:rsidR="002D20DB" w:rsidRPr="00C47725" w:rsidRDefault="002D20DB" w:rsidP="002D20DB">
      <w:pPr>
        <w:rPr>
          <w:lang w:val="de-DE"/>
        </w:rPr>
      </w:pPr>
    </w:p>
    <w:p w:rsidR="002D20DB" w:rsidRPr="00C47725" w:rsidRDefault="002D20DB" w:rsidP="002D20DB">
      <w:pPr>
        <w:rPr>
          <w:lang w:val="de-DE"/>
        </w:rPr>
      </w:pPr>
      <w:r w:rsidRPr="00BB1EFF">
        <w:rPr>
          <w:lang w:val="de-DE"/>
        </w:rPr>
        <w:fldChar w:fldCharType="begin"/>
      </w:r>
      <w:r w:rsidRPr="00BB1EFF">
        <w:rPr>
          <w:lang w:val="de-DE"/>
        </w:rPr>
        <w:instrText xml:space="preserve"> AUTONUM  </w:instrText>
      </w:r>
      <w:r w:rsidRPr="00BB1EFF">
        <w:rPr>
          <w:lang w:val="de-DE"/>
        </w:rPr>
        <w:fldChar w:fldCharType="end"/>
      </w:r>
      <w:r w:rsidRPr="00C47725">
        <w:rPr>
          <w:lang w:val="de-DE"/>
        </w:rPr>
        <w:tab/>
        <w:t>Der TC nahm zur Kenntnis, dass die Elemente, die während der vorbereitende</w:t>
      </w:r>
      <w:r>
        <w:rPr>
          <w:lang w:val="de-DE"/>
        </w:rPr>
        <w:t>n</w:t>
      </w:r>
      <w:r w:rsidRPr="00C47725">
        <w:rPr>
          <w:lang w:val="de-DE"/>
        </w:rPr>
        <w:t xml:space="preserve"> Arbeitstagungen für die TWA, TWC, TWF, TWV und BMT zu erörtern sind, als </w:t>
      </w:r>
      <w:r>
        <w:rPr>
          <w:lang w:val="de-DE"/>
        </w:rPr>
        <w:t xml:space="preserve">eine </w:t>
      </w:r>
      <w:r w:rsidRPr="00C47725">
        <w:rPr>
          <w:lang w:val="de-DE"/>
        </w:rPr>
        <w:t xml:space="preserve">Einführung zu den jeweiligen Tagesordnungspunkten während des normalen Programms für die Tagungen vorgestellt </w:t>
      </w:r>
      <w:r>
        <w:rPr>
          <w:lang w:val="de-DE"/>
        </w:rPr>
        <w:t>worden waren</w:t>
      </w:r>
      <w:r w:rsidRPr="00C47725">
        <w:rPr>
          <w:lang w:val="de-DE"/>
        </w:rPr>
        <w:t>.</w:t>
      </w:r>
    </w:p>
    <w:p w:rsidR="002D20DB" w:rsidRPr="00C47725" w:rsidRDefault="002D20DB" w:rsidP="002D20DB">
      <w:pPr>
        <w:rPr>
          <w:lang w:val="de-DE"/>
        </w:rPr>
      </w:pPr>
    </w:p>
    <w:p w:rsidR="002D20DB" w:rsidRPr="00C47725" w:rsidRDefault="002D20DB" w:rsidP="002D20DB">
      <w:pPr>
        <w:rPr>
          <w:lang w:val="de-DE"/>
        </w:rPr>
      </w:pPr>
      <w:r w:rsidRPr="00BB1EFF">
        <w:rPr>
          <w:lang w:val="de-DE"/>
        </w:rPr>
        <w:fldChar w:fldCharType="begin"/>
      </w:r>
      <w:r w:rsidRPr="00BB1EFF">
        <w:rPr>
          <w:lang w:val="de-DE"/>
        </w:rPr>
        <w:instrText xml:space="preserve"> AUTONUM  </w:instrText>
      </w:r>
      <w:r w:rsidRPr="00BB1EFF">
        <w:rPr>
          <w:lang w:val="de-DE"/>
        </w:rPr>
        <w:fldChar w:fldCharType="end"/>
      </w:r>
      <w:r w:rsidRPr="00C47725">
        <w:rPr>
          <w:lang w:val="de-DE"/>
        </w:rPr>
        <w:tab/>
        <w:t xml:space="preserve">Der TC erinnerte daran, dass vorbereitende Arbeitstagungen eine Gelegenheit zur Schulung </w:t>
      </w:r>
      <w:r>
        <w:rPr>
          <w:lang w:val="de-DE"/>
        </w:rPr>
        <w:t>von</w:t>
      </w:r>
      <w:r w:rsidRPr="00C47725">
        <w:rPr>
          <w:lang w:val="de-DE"/>
        </w:rPr>
        <w:t xml:space="preserve"> lokalen Teilnehmer</w:t>
      </w:r>
      <w:r>
        <w:rPr>
          <w:lang w:val="de-DE"/>
        </w:rPr>
        <w:t>n</w:t>
      </w:r>
      <w:r w:rsidRPr="00C47725">
        <w:rPr>
          <w:lang w:val="de-DE"/>
        </w:rPr>
        <w:t xml:space="preserve"> darstell</w:t>
      </w:r>
      <w:r>
        <w:rPr>
          <w:lang w:val="de-DE"/>
        </w:rPr>
        <w:t>t</w:t>
      </w:r>
      <w:r w:rsidRPr="00C47725">
        <w:rPr>
          <w:lang w:val="de-DE"/>
        </w:rPr>
        <w:t xml:space="preserve">en, und vereinbarte, dass die Gastgeber der </w:t>
      </w:r>
      <w:r>
        <w:rPr>
          <w:lang w:val="de-DE"/>
        </w:rPr>
        <w:t xml:space="preserve">Tagungen der </w:t>
      </w:r>
      <w:r w:rsidRPr="00C47725">
        <w:rPr>
          <w:lang w:val="de-DE"/>
        </w:rPr>
        <w:t>TWP die Möglichkeit haben sollten, zu entscheiden, ob sie vor der Tagung der eine vorbereitende Arbeitstagung organisieren oder nicht.</w:t>
      </w:r>
    </w:p>
    <w:p w:rsidR="002D20DB" w:rsidRPr="00C47725" w:rsidRDefault="002D20DB" w:rsidP="002D20DB">
      <w:pPr>
        <w:rPr>
          <w:lang w:val="de-DE"/>
        </w:rPr>
      </w:pPr>
    </w:p>
    <w:p w:rsidR="002D20DB" w:rsidRPr="00C47725" w:rsidRDefault="002D20DB" w:rsidP="002D20DB">
      <w:pPr>
        <w:rPr>
          <w:lang w:val="de-DE"/>
        </w:rPr>
      </w:pPr>
      <w:r w:rsidRPr="00BB1EFF">
        <w:rPr>
          <w:lang w:val="de-DE"/>
        </w:rPr>
        <w:fldChar w:fldCharType="begin"/>
      </w:r>
      <w:r w:rsidRPr="00BB1EFF">
        <w:rPr>
          <w:lang w:val="de-DE"/>
        </w:rPr>
        <w:instrText xml:space="preserve"> AUTONUM  </w:instrText>
      </w:r>
      <w:r w:rsidRPr="00BB1EFF">
        <w:rPr>
          <w:lang w:val="de-DE"/>
        </w:rPr>
        <w:fldChar w:fldCharType="end"/>
      </w:r>
      <w:r w:rsidRPr="00C47725">
        <w:rPr>
          <w:lang w:val="de-DE"/>
        </w:rPr>
        <w:tab/>
        <w:t>Der TC vereinbarte, dass die TWP ersucht werden sollten, die mögliche Organisation von vorbereitende</w:t>
      </w:r>
      <w:r>
        <w:rPr>
          <w:lang w:val="de-DE"/>
        </w:rPr>
        <w:t>n</w:t>
      </w:r>
      <w:r w:rsidRPr="00C47725">
        <w:rPr>
          <w:lang w:val="de-DE"/>
        </w:rPr>
        <w:t xml:space="preserve"> Arbeitstagungen</w:t>
      </w:r>
      <w:r>
        <w:rPr>
          <w:lang w:val="de-DE"/>
        </w:rPr>
        <w:t xml:space="preserve"> bei den Überlegungen zu</w:t>
      </w:r>
      <w:r w:rsidRPr="00C47725">
        <w:rPr>
          <w:lang w:val="de-DE"/>
        </w:rPr>
        <w:t xml:space="preserve"> Datum und Ort ihrer künftigen Tagungen zu erörtern.</w:t>
      </w:r>
    </w:p>
    <w:p w:rsidR="002D20DB" w:rsidRPr="00C47725" w:rsidRDefault="002D20DB" w:rsidP="002D20DB">
      <w:pPr>
        <w:rPr>
          <w:lang w:val="de-DE"/>
        </w:rPr>
      </w:pPr>
    </w:p>
    <w:p w:rsidR="002D20DB" w:rsidRPr="00C47725" w:rsidRDefault="002D20DB" w:rsidP="002D20DB">
      <w:pPr>
        <w:rPr>
          <w:lang w:val="de-DE"/>
        </w:rPr>
      </w:pPr>
      <w:r w:rsidRPr="00BB1EFF">
        <w:rPr>
          <w:lang w:val="de-DE"/>
        </w:rPr>
        <w:fldChar w:fldCharType="begin"/>
      </w:r>
      <w:r w:rsidRPr="00BB1EFF">
        <w:rPr>
          <w:lang w:val="de-DE"/>
        </w:rPr>
        <w:instrText xml:space="preserve"> AUTONUM  </w:instrText>
      </w:r>
      <w:r w:rsidRPr="00BB1EFF">
        <w:rPr>
          <w:lang w:val="de-DE"/>
        </w:rPr>
        <w:fldChar w:fldCharType="end"/>
      </w:r>
      <w:r w:rsidRPr="00C47725">
        <w:rPr>
          <w:lang w:val="de-DE"/>
        </w:rPr>
        <w:tab/>
        <w:t>Der TC vereinbarte, dass das UPOV-Büro die Möglichkeit der Aufzeichnung eines</w:t>
      </w:r>
      <w:r>
        <w:rPr>
          <w:lang w:val="de-DE"/>
        </w:rPr>
        <w:t xml:space="preserve"> „</w:t>
      </w:r>
      <w:r w:rsidRPr="00C47725">
        <w:rPr>
          <w:lang w:val="de-DE"/>
        </w:rPr>
        <w:t>Webinars</w:t>
      </w:r>
      <w:r>
        <w:rPr>
          <w:lang w:val="de-DE"/>
        </w:rPr>
        <w:t>“</w:t>
      </w:r>
      <w:r w:rsidRPr="00C47725">
        <w:rPr>
          <w:lang w:val="de-DE"/>
        </w:rPr>
        <w:t>, um einen Teil des Inhalts der vorbereitenden Arbeitstagung für Fern</w:t>
      </w:r>
      <w:r>
        <w:rPr>
          <w:lang w:val="de-DE"/>
        </w:rPr>
        <w:t>lehrgänge</w:t>
      </w:r>
      <w:r w:rsidRPr="00C47725">
        <w:rPr>
          <w:lang w:val="de-DE"/>
        </w:rPr>
        <w:t xml:space="preserve"> online </w:t>
      </w:r>
      <w:r>
        <w:rPr>
          <w:lang w:val="de-DE"/>
        </w:rPr>
        <w:t>zur Verfügung zu stellen, sondieren</w:t>
      </w:r>
      <w:r w:rsidRPr="00C47725">
        <w:rPr>
          <w:lang w:val="de-DE"/>
        </w:rPr>
        <w:t xml:space="preserve"> sollte.</w:t>
      </w:r>
    </w:p>
    <w:p w:rsidR="002D20DB" w:rsidRPr="00C47725" w:rsidRDefault="002D20DB" w:rsidP="002D20DB">
      <w:pPr>
        <w:rPr>
          <w:lang w:val="de-DE"/>
        </w:rPr>
      </w:pPr>
    </w:p>
    <w:p w:rsidR="002D20DB" w:rsidRPr="00C47725" w:rsidRDefault="002D20DB" w:rsidP="002D20DB">
      <w:pPr>
        <w:rPr>
          <w:rFonts w:cs="Arial"/>
          <w:lang w:val="de-DE"/>
        </w:rPr>
      </w:pPr>
      <w:r w:rsidRPr="00BB1EFF">
        <w:rPr>
          <w:lang w:val="de-DE"/>
        </w:rPr>
        <w:fldChar w:fldCharType="begin"/>
      </w:r>
      <w:r w:rsidRPr="00BB1EFF">
        <w:rPr>
          <w:lang w:val="de-DE"/>
        </w:rPr>
        <w:instrText xml:space="preserve"> AUTONUM  </w:instrText>
      </w:r>
      <w:r w:rsidRPr="00BB1EFF">
        <w:rPr>
          <w:lang w:val="de-DE"/>
        </w:rPr>
        <w:fldChar w:fldCharType="end"/>
      </w:r>
      <w:r w:rsidRPr="00C47725">
        <w:rPr>
          <w:lang w:val="de-DE"/>
        </w:rPr>
        <w:tab/>
      </w:r>
      <w:r w:rsidRPr="00C47725">
        <w:rPr>
          <w:rFonts w:cs="Arial"/>
          <w:lang w:val="de-DE"/>
        </w:rPr>
        <w:t xml:space="preserve">Der TC vereinbarte </w:t>
      </w:r>
      <w:r w:rsidRPr="00BB1EFF">
        <w:rPr>
          <w:rFonts w:cs="Arial"/>
          <w:lang w:val="de-DE"/>
        </w:rPr>
        <w:t>die folgenden Inhalte</w:t>
      </w:r>
      <w:r w:rsidRPr="00C47725">
        <w:rPr>
          <w:rFonts w:cs="Arial"/>
          <w:lang w:val="de-DE"/>
        </w:rPr>
        <w:t xml:space="preserve"> </w:t>
      </w:r>
      <w:r w:rsidRPr="00C47725">
        <w:rPr>
          <w:snapToGrid w:val="0"/>
          <w:lang w:val="de-DE"/>
        </w:rPr>
        <w:t xml:space="preserve">als </w:t>
      </w:r>
      <w:r>
        <w:rPr>
          <w:snapToGrid w:val="0"/>
          <w:lang w:val="de-DE"/>
        </w:rPr>
        <w:t xml:space="preserve">eine </w:t>
      </w:r>
      <w:r w:rsidRPr="00C47725">
        <w:rPr>
          <w:snapToGrid w:val="0"/>
          <w:lang w:val="de-DE"/>
        </w:rPr>
        <w:t xml:space="preserve">Einführung in die jeweiligen Tagesordnungspunkte während des </w:t>
      </w:r>
      <w:r>
        <w:rPr>
          <w:snapToGrid w:val="0"/>
          <w:lang w:val="de-DE"/>
        </w:rPr>
        <w:t>n</w:t>
      </w:r>
      <w:r w:rsidRPr="00C47725">
        <w:rPr>
          <w:snapToGrid w:val="0"/>
          <w:lang w:val="de-DE"/>
        </w:rPr>
        <w:t>ormal</w:t>
      </w:r>
      <w:r>
        <w:rPr>
          <w:snapToGrid w:val="0"/>
          <w:lang w:val="de-DE"/>
        </w:rPr>
        <w:t>en P</w:t>
      </w:r>
      <w:r w:rsidRPr="00C47725">
        <w:rPr>
          <w:snapToGrid w:val="0"/>
          <w:lang w:val="de-DE"/>
        </w:rPr>
        <w:t>rogramms für die Tagungen der TWA</w:t>
      </w:r>
      <w:r w:rsidRPr="00C47725">
        <w:rPr>
          <w:rFonts w:cs="Arial"/>
          <w:lang w:val="de-DE"/>
        </w:rPr>
        <w:t xml:space="preserve">, TWF, TWO und TWV im Jahr 2020: </w:t>
      </w:r>
    </w:p>
    <w:p w:rsidR="002D20DB" w:rsidRPr="00C47725" w:rsidRDefault="002D20DB" w:rsidP="002D20DB">
      <w:pPr>
        <w:rPr>
          <w:rFonts w:cs="Arial"/>
          <w:lang w:val="de-DE"/>
        </w:rPr>
      </w:pPr>
    </w:p>
    <w:p w:rsidR="002D20DB" w:rsidRPr="00C47725" w:rsidRDefault="002D20DB" w:rsidP="002D20DB">
      <w:pPr>
        <w:numPr>
          <w:ilvl w:val="0"/>
          <w:numId w:val="5"/>
        </w:numPr>
        <w:rPr>
          <w:rFonts w:cs="Arial"/>
          <w:lang w:val="de-DE"/>
        </w:rPr>
      </w:pPr>
      <w:r w:rsidRPr="00C47725">
        <w:rPr>
          <w:rFonts w:cs="Arial"/>
          <w:lang w:val="de-DE"/>
        </w:rPr>
        <w:t xml:space="preserve">Einführung </w:t>
      </w:r>
      <w:r>
        <w:rPr>
          <w:rFonts w:cs="Arial"/>
          <w:lang w:val="de-DE"/>
        </w:rPr>
        <w:t>in die</w:t>
      </w:r>
      <w:r w:rsidRPr="00C47725">
        <w:rPr>
          <w:rFonts w:cs="Arial"/>
          <w:lang w:val="de-DE"/>
        </w:rPr>
        <w:t xml:space="preserve"> UPOV und Rolle der Technischen Arbeitsgruppen (TWP) der UPOV</w:t>
      </w:r>
    </w:p>
    <w:p w:rsidR="002D20DB" w:rsidRPr="00C47725" w:rsidRDefault="002D20DB" w:rsidP="002D20DB">
      <w:pPr>
        <w:numPr>
          <w:ilvl w:val="0"/>
          <w:numId w:val="5"/>
        </w:numPr>
        <w:rPr>
          <w:rFonts w:cs="Arial"/>
          <w:lang w:val="de-DE"/>
        </w:rPr>
      </w:pPr>
      <w:r w:rsidRPr="00C47725">
        <w:rPr>
          <w:rFonts w:cs="Arial"/>
          <w:lang w:val="de-DE"/>
        </w:rPr>
        <w:t>Überblick über die Allgemeine Einführung (Dokument TG/1/3 und TGP-Dokumente)</w:t>
      </w:r>
    </w:p>
    <w:p w:rsidR="002D20DB" w:rsidRPr="00C47725" w:rsidRDefault="002D20DB" w:rsidP="002D20DB">
      <w:pPr>
        <w:numPr>
          <w:ilvl w:val="0"/>
          <w:numId w:val="2"/>
        </w:numPr>
        <w:rPr>
          <w:rFonts w:cs="Arial"/>
          <w:lang w:val="de-DE"/>
        </w:rPr>
      </w:pPr>
      <w:r w:rsidRPr="00C47725">
        <w:rPr>
          <w:rFonts w:cs="Arial"/>
          <w:lang w:val="de-DE"/>
        </w:rPr>
        <w:t>Merkmale als Grundlage für die DUS-Prüfung und die Auswahl von Merkmalen.</w:t>
      </w:r>
    </w:p>
    <w:p w:rsidR="002D20DB" w:rsidRPr="00C47725" w:rsidRDefault="002D20DB" w:rsidP="002D20DB">
      <w:pPr>
        <w:numPr>
          <w:ilvl w:val="0"/>
          <w:numId w:val="5"/>
        </w:numPr>
        <w:rPr>
          <w:rFonts w:cs="Arial"/>
          <w:lang w:val="de-DE"/>
        </w:rPr>
      </w:pPr>
      <w:r w:rsidRPr="00C47725">
        <w:rPr>
          <w:rFonts w:cs="Arial"/>
          <w:lang w:val="de-DE"/>
        </w:rPr>
        <w:t xml:space="preserve">Anleitung zur Erstellung von Prüfungsrichtlinien (Dokument TGP/7) </w:t>
      </w:r>
    </w:p>
    <w:p w:rsidR="002D20DB" w:rsidRPr="00C47725" w:rsidRDefault="002D20DB" w:rsidP="002D20DB">
      <w:pPr>
        <w:numPr>
          <w:ilvl w:val="0"/>
          <w:numId w:val="6"/>
        </w:numPr>
        <w:rPr>
          <w:rFonts w:cs="Arial"/>
          <w:lang w:val="de-DE"/>
        </w:rPr>
      </w:pPr>
      <w:r w:rsidRPr="00C47725">
        <w:rPr>
          <w:rFonts w:cs="Arial"/>
          <w:lang w:val="de-DE"/>
        </w:rPr>
        <w:t>Gegenstand der Prüfungsrichtlinien, Anforderungen an das Vermehrungsmaterial und Durchführung der Prüfung;</w:t>
      </w:r>
    </w:p>
    <w:p w:rsidR="002D20DB" w:rsidRPr="00C47725" w:rsidRDefault="002D20DB" w:rsidP="002D20DB">
      <w:pPr>
        <w:numPr>
          <w:ilvl w:val="0"/>
          <w:numId w:val="6"/>
        </w:numPr>
        <w:rPr>
          <w:rFonts w:cs="Arial"/>
          <w:lang w:val="de-DE"/>
        </w:rPr>
      </w:pPr>
      <w:r>
        <w:rPr>
          <w:rFonts w:cs="Arial"/>
          <w:lang w:val="de-DE"/>
        </w:rPr>
        <w:t>Erfassungs</w:t>
      </w:r>
      <w:r w:rsidRPr="00C47725">
        <w:rPr>
          <w:rFonts w:cs="Arial"/>
          <w:lang w:val="de-DE"/>
        </w:rPr>
        <w:t>methode (MS, MG, VS, VG);</w:t>
      </w:r>
    </w:p>
    <w:p w:rsidR="002D20DB" w:rsidRPr="00C47725" w:rsidRDefault="002D20DB" w:rsidP="002D20DB">
      <w:pPr>
        <w:numPr>
          <w:ilvl w:val="0"/>
          <w:numId w:val="6"/>
        </w:numPr>
        <w:tabs>
          <w:tab w:val="left" w:pos="567"/>
          <w:tab w:val="left" w:pos="1134"/>
          <w:tab w:val="left" w:pos="2268"/>
          <w:tab w:val="left" w:pos="2835"/>
          <w:tab w:val="left" w:pos="3402"/>
          <w:tab w:val="left" w:pos="3969"/>
          <w:tab w:val="left" w:pos="4536"/>
          <w:tab w:val="center" w:pos="5386"/>
        </w:tabs>
        <w:rPr>
          <w:rFonts w:cs="Arial"/>
          <w:lang w:val="de-DE"/>
        </w:rPr>
      </w:pPr>
      <w:r w:rsidRPr="00C47725">
        <w:rPr>
          <w:rFonts w:cs="Arial"/>
          <w:lang w:val="de-DE"/>
        </w:rPr>
        <w:t>Ausprägungstypen (QL, PQ, QN), Noten und Unterscheidbarkeit;</w:t>
      </w:r>
    </w:p>
    <w:p w:rsidR="002D20DB" w:rsidRPr="00C47725" w:rsidRDefault="002D20DB" w:rsidP="002D20DB">
      <w:pPr>
        <w:numPr>
          <w:ilvl w:val="0"/>
          <w:numId w:val="6"/>
        </w:numPr>
        <w:rPr>
          <w:rFonts w:cs="Arial"/>
          <w:lang w:val="de-DE"/>
        </w:rPr>
      </w:pPr>
      <w:r w:rsidRPr="00C47725">
        <w:rPr>
          <w:rFonts w:cs="Arial"/>
          <w:lang w:val="de-DE"/>
        </w:rPr>
        <w:t>Form- und Farbmerkmale;</w:t>
      </w:r>
    </w:p>
    <w:p w:rsidR="002D20DB" w:rsidRPr="00C47725" w:rsidRDefault="002D20DB" w:rsidP="002D20DB">
      <w:pPr>
        <w:numPr>
          <w:ilvl w:val="0"/>
          <w:numId w:val="6"/>
        </w:numPr>
        <w:rPr>
          <w:rFonts w:cs="Arial"/>
          <w:lang w:val="de-DE"/>
        </w:rPr>
      </w:pPr>
      <w:r w:rsidRPr="00C47725">
        <w:rPr>
          <w:rFonts w:cs="Arial"/>
          <w:lang w:val="de-DE"/>
        </w:rPr>
        <w:t>Beispielsorten;</w:t>
      </w:r>
    </w:p>
    <w:p w:rsidR="002D20DB" w:rsidRPr="00C47725" w:rsidRDefault="002D20DB" w:rsidP="002D20DB">
      <w:pPr>
        <w:numPr>
          <w:ilvl w:val="0"/>
          <w:numId w:val="6"/>
        </w:numPr>
        <w:rPr>
          <w:rFonts w:cs="Arial"/>
          <w:lang w:val="de-DE"/>
        </w:rPr>
      </w:pPr>
      <w:r w:rsidRPr="00C47725">
        <w:rPr>
          <w:rFonts w:cs="Arial"/>
          <w:snapToGrid w:val="0"/>
          <w:color w:val="000000"/>
          <w:lang w:val="de-DE"/>
        </w:rPr>
        <w:t xml:space="preserve">Verfahren zur Erstellung von UPOV-Prüfungsrichtlinien, einschließlich: </w:t>
      </w:r>
      <w:r>
        <w:rPr>
          <w:rFonts w:cs="Arial"/>
          <w:snapToGrid w:val="0"/>
          <w:color w:val="000000"/>
          <w:lang w:val="de-DE"/>
        </w:rPr>
        <w:t xml:space="preserve">web-basierte </w:t>
      </w:r>
      <w:r w:rsidR="00D26816">
        <w:rPr>
          <w:rFonts w:cs="Arial"/>
          <w:snapToGrid w:val="0"/>
          <w:color w:val="000000"/>
          <w:lang w:val="de-DE"/>
        </w:rPr>
        <w:t>TG</w:t>
      </w:r>
      <w:r w:rsidR="00D26816">
        <w:rPr>
          <w:rFonts w:cs="Arial"/>
          <w:snapToGrid w:val="0"/>
          <w:color w:val="000000"/>
          <w:lang w:val="de-DE"/>
        </w:rPr>
        <w:noBreakHyphen/>
      </w:r>
      <w:r w:rsidRPr="00C47725">
        <w:rPr>
          <w:rFonts w:cs="Arial"/>
          <w:snapToGrid w:val="0"/>
          <w:color w:val="000000"/>
          <w:lang w:val="de-DE"/>
        </w:rPr>
        <w:t>Mustervorlage; Zusätzlicher Standardwortlaut; und erläuternde Anmerkungen</w:t>
      </w:r>
      <w:r w:rsidRPr="00C47725">
        <w:rPr>
          <w:rFonts w:cs="Arial"/>
          <w:lang w:val="de-DE"/>
        </w:rPr>
        <w:t>;</w:t>
      </w:r>
    </w:p>
    <w:p w:rsidR="002D20DB" w:rsidRPr="00C47725" w:rsidRDefault="002D20DB" w:rsidP="002D20DB">
      <w:pPr>
        <w:numPr>
          <w:ilvl w:val="0"/>
          <w:numId w:val="5"/>
        </w:numPr>
        <w:rPr>
          <w:rFonts w:cs="Arial"/>
          <w:lang w:val="de-DE"/>
        </w:rPr>
      </w:pPr>
      <w:r w:rsidRPr="00C47725">
        <w:rPr>
          <w:rFonts w:cs="Arial"/>
          <w:lang w:val="de-DE"/>
        </w:rPr>
        <w:t>Verfahren zur Annahme von Prüfungsrichtlinien auf dem Schriftweg;</w:t>
      </w:r>
    </w:p>
    <w:p w:rsidR="002D20DB" w:rsidRPr="00C47725" w:rsidRDefault="002D20DB" w:rsidP="002D20DB">
      <w:pPr>
        <w:numPr>
          <w:ilvl w:val="0"/>
          <w:numId w:val="5"/>
        </w:numPr>
        <w:rPr>
          <w:rFonts w:cs="Arial"/>
          <w:lang w:val="de-DE"/>
        </w:rPr>
      </w:pPr>
      <w:r w:rsidRPr="00C47725">
        <w:rPr>
          <w:rFonts w:cs="Arial"/>
          <w:lang w:val="de-DE"/>
        </w:rPr>
        <w:lastRenderedPageBreak/>
        <w:t xml:space="preserve">Rolle des führenden Sachverständigen bei der </w:t>
      </w:r>
      <w:r>
        <w:rPr>
          <w:rFonts w:cs="Arial"/>
          <w:lang w:val="de-DE"/>
        </w:rPr>
        <w:t>Verfassung</w:t>
      </w:r>
      <w:r w:rsidRPr="00C47725">
        <w:rPr>
          <w:rFonts w:cs="Arial"/>
          <w:lang w:val="de-DE"/>
        </w:rPr>
        <w:t xml:space="preserve"> von Prüfungsrichtlinien und wie man als interessierter Sachverständiger teilnehmen kann</w:t>
      </w:r>
    </w:p>
    <w:p w:rsidR="002D20DB" w:rsidRPr="00C47725" w:rsidRDefault="002D20DB" w:rsidP="002D20DB">
      <w:pPr>
        <w:numPr>
          <w:ilvl w:val="0"/>
          <w:numId w:val="5"/>
        </w:numPr>
        <w:rPr>
          <w:rFonts w:cs="Arial"/>
          <w:lang w:val="de-DE"/>
        </w:rPr>
      </w:pPr>
      <w:r w:rsidRPr="00C47725">
        <w:rPr>
          <w:rFonts w:cs="Arial"/>
          <w:lang w:val="de-DE"/>
        </w:rPr>
        <w:t>Möglichkeiten der internationalen Zusammenarbeit bei der DUS-Prüfung</w:t>
      </w:r>
    </w:p>
    <w:p w:rsidR="002D20DB" w:rsidRPr="00C47725" w:rsidRDefault="002D20DB" w:rsidP="002D20DB">
      <w:pPr>
        <w:numPr>
          <w:ilvl w:val="0"/>
          <w:numId w:val="5"/>
        </w:numPr>
        <w:rPr>
          <w:rFonts w:cs="Arial"/>
          <w:lang w:val="de-DE"/>
        </w:rPr>
      </w:pPr>
      <w:r w:rsidRPr="00C47725">
        <w:rPr>
          <w:rFonts w:cs="Arial"/>
          <w:lang w:val="de-DE"/>
        </w:rPr>
        <w:t>Tagesordnung für die TWC-Tagung</w:t>
      </w:r>
    </w:p>
    <w:p w:rsidR="002D20DB" w:rsidRPr="00C47725" w:rsidRDefault="002D20DB" w:rsidP="002D20DB">
      <w:pPr>
        <w:numPr>
          <w:ilvl w:val="0"/>
          <w:numId w:val="5"/>
        </w:numPr>
        <w:rPr>
          <w:rFonts w:cs="Arial"/>
          <w:lang w:val="de-DE"/>
        </w:rPr>
      </w:pPr>
      <w:r w:rsidRPr="00C47725">
        <w:rPr>
          <w:rFonts w:cs="Arial"/>
          <w:lang w:val="de-DE"/>
        </w:rPr>
        <w:t>Feedback der Teilnehmer</w:t>
      </w:r>
    </w:p>
    <w:p w:rsidR="002D20DB" w:rsidRPr="00C47725" w:rsidRDefault="002D20DB" w:rsidP="002D20DB">
      <w:pPr>
        <w:rPr>
          <w:rFonts w:cs="Arial"/>
          <w:highlight w:val="yellow"/>
          <w:lang w:val="de-DE"/>
        </w:rPr>
      </w:pPr>
    </w:p>
    <w:p w:rsidR="002D20DB" w:rsidRPr="00C47725" w:rsidRDefault="002D20DB" w:rsidP="002D20DB">
      <w:pPr>
        <w:keepNext/>
        <w:keepLines/>
        <w:rPr>
          <w:rFonts w:cs="Arial"/>
          <w:lang w:val="de-DE"/>
        </w:rPr>
      </w:pPr>
      <w:r w:rsidRPr="00B26063">
        <w:rPr>
          <w:rFonts w:cs="Arial"/>
          <w:lang w:val="de-DE"/>
        </w:rPr>
        <w:fldChar w:fldCharType="begin"/>
      </w:r>
      <w:r w:rsidRPr="00B26063">
        <w:rPr>
          <w:rFonts w:cs="Arial"/>
          <w:lang w:val="de-DE"/>
        </w:rPr>
        <w:instrText xml:space="preserve"> AUTONUM  </w:instrText>
      </w:r>
      <w:r w:rsidRPr="00B26063">
        <w:rPr>
          <w:rFonts w:cs="Arial"/>
          <w:lang w:val="de-DE"/>
        </w:rPr>
        <w:fldChar w:fldCharType="end"/>
      </w:r>
      <w:r w:rsidRPr="00C47725">
        <w:rPr>
          <w:rFonts w:cs="Arial"/>
          <w:lang w:val="de-DE"/>
        </w:rPr>
        <w:tab/>
        <w:t xml:space="preserve">Der TC vereinbarte </w:t>
      </w:r>
      <w:r w:rsidRPr="00BB1EFF">
        <w:rPr>
          <w:rFonts w:cs="Arial"/>
          <w:lang w:val="de-DE"/>
        </w:rPr>
        <w:t>die folgenden Inhalte</w:t>
      </w:r>
      <w:r w:rsidRPr="00C47725">
        <w:rPr>
          <w:rFonts w:cs="Arial"/>
          <w:lang w:val="de-DE"/>
        </w:rPr>
        <w:t xml:space="preserve"> </w:t>
      </w:r>
      <w:r w:rsidRPr="00C47725">
        <w:rPr>
          <w:snapToGrid w:val="0"/>
          <w:lang w:val="de-DE"/>
        </w:rPr>
        <w:t xml:space="preserve">als </w:t>
      </w:r>
      <w:r>
        <w:rPr>
          <w:snapToGrid w:val="0"/>
          <w:lang w:val="de-DE"/>
        </w:rPr>
        <w:t xml:space="preserve">eine </w:t>
      </w:r>
      <w:r w:rsidRPr="00C47725">
        <w:rPr>
          <w:snapToGrid w:val="0"/>
          <w:lang w:val="de-DE"/>
        </w:rPr>
        <w:t>Einführung</w:t>
      </w:r>
      <w:r w:rsidRPr="00C47725">
        <w:rPr>
          <w:rFonts w:cs="Arial"/>
          <w:lang w:val="de-DE"/>
        </w:rPr>
        <w:t xml:space="preserve"> </w:t>
      </w:r>
      <w:r w:rsidRPr="00C47725">
        <w:rPr>
          <w:snapToGrid w:val="0"/>
          <w:lang w:val="de-DE"/>
        </w:rPr>
        <w:t xml:space="preserve">in die jeweiligen Tagesordnungspunkte während des </w:t>
      </w:r>
      <w:r>
        <w:rPr>
          <w:snapToGrid w:val="0"/>
          <w:lang w:val="de-DE"/>
        </w:rPr>
        <w:t>normalen Programms</w:t>
      </w:r>
      <w:r w:rsidRPr="00C47725">
        <w:rPr>
          <w:snapToGrid w:val="0"/>
          <w:lang w:val="de-DE"/>
        </w:rPr>
        <w:t xml:space="preserve"> für die Tagungen der TWC und BMT im Jahr 2020: </w:t>
      </w:r>
    </w:p>
    <w:p w:rsidR="002D20DB" w:rsidRPr="00C47725" w:rsidRDefault="002D20DB" w:rsidP="002D20DB">
      <w:pPr>
        <w:keepNext/>
        <w:keepLines/>
        <w:rPr>
          <w:rFonts w:cs="Arial"/>
          <w:lang w:val="de-DE"/>
        </w:rPr>
      </w:pPr>
    </w:p>
    <w:p w:rsidR="002D20DB" w:rsidRPr="00C47725" w:rsidRDefault="002D20DB" w:rsidP="002D20DB">
      <w:pPr>
        <w:keepNext/>
        <w:keepLines/>
        <w:numPr>
          <w:ilvl w:val="0"/>
          <w:numId w:val="3"/>
        </w:numPr>
        <w:rPr>
          <w:rFonts w:cs="Arial"/>
          <w:lang w:val="de-DE"/>
        </w:rPr>
      </w:pPr>
      <w:r w:rsidRPr="00C47725">
        <w:rPr>
          <w:rFonts w:cs="Arial"/>
          <w:lang w:val="de-DE"/>
        </w:rPr>
        <w:t xml:space="preserve">Einführung </w:t>
      </w:r>
      <w:r>
        <w:rPr>
          <w:rFonts w:cs="Arial"/>
          <w:lang w:val="de-DE"/>
        </w:rPr>
        <w:t>in die</w:t>
      </w:r>
      <w:r w:rsidRPr="00C47725">
        <w:rPr>
          <w:rFonts w:cs="Arial"/>
          <w:lang w:val="de-DE"/>
        </w:rPr>
        <w:t xml:space="preserve"> UPOV und Rolle der TWP und der BMT;</w:t>
      </w:r>
    </w:p>
    <w:p w:rsidR="002D20DB" w:rsidRPr="00C47725" w:rsidRDefault="002D20DB" w:rsidP="002D20DB">
      <w:pPr>
        <w:keepNext/>
        <w:keepLines/>
        <w:numPr>
          <w:ilvl w:val="0"/>
          <w:numId w:val="3"/>
        </w:numPr>
        <w:ind w:left="1134" w:hanging="567"/>
        <w:rPr>
          <w:rFonts w:cs="Arial"/>
          <w:lang w:val="de-DE"/>
        </w:rPr>
      </w:pPr>
      <w:r w:rsidRPr="00C47725">
        <w:rPr>
          <w:rFonts w:cs="Arial"/>
          <w:lang w:val="de-DE"/>
        </w:rPr>
        <w:t>Überblick über die Allgemeine Einführung (Dokument TG/1/3 und TGP-Dokumente)</w:t>
      </w:r>
    </w:p>
    <w:p w:rsidR="002D20DB" w:rsidRPr="00C47725" w:rsidRDefault="002D20DB" w:rsidP="002D20DB">
      <w:pPr>
        <w:keepNext/>
        <w:keepLines/>
        <w:numPr>
          <w:ilvl w:val="0"/>
          <w:numId w:val="3"/>
        </w:numPr>
        <w:ind w:left="1134" w:hanging="567"/>
        <w:rPr>
          <w:rFonts w:cs="Arial"/>
          <w:lang w:val="de-DE"/>
        </w:rPr>
      </w:pPr>
      <w:r w:rsidRPr="00C47725">
        <w:rPr>
          <w:rFonts w:cs="Arial"/>
          <w:lang w:val="de-DE"/>
        </w:rPr>
        <w:t>Überblick über DUS-Prüfungen und Prüfungsrichtlinien;</w:t>
      </w:r>
    </w:p>
    <w:p w:rsidR="002D20DB" w:rsidRPr="00C47725" w:rsidRDefault="002D20DB" w:rsidP="002D20DB">
      <w:pPr>
        <w:keepNext/>
        <w:keepLines/>
        <w:numPr>
          <w:ilvl w:val="0"/>
          <w:numId w:val="3"/>
        </w:numPr>
        <w:ind w:left="1134" w:hanging="567"/>
        <w:rPr>
          <w:rFonts w:cs="Arial"/>
          <w:lang w:val="de-DE"/>
        </w:rPr>
      </w:pPr>
      <w:r w:rsidRPr="00C47725">
        <w:rPr>
          <w:rFonts w:cs="Arial"/>
          <w:lang w:val="de-DE"/>
        </w:rPr>
        <w:t>UPOV-Online-Ressourcen</w:t>
      </w:r>
    </w:p>
    <w:p w:rsidR="002D20DB" w:rsidRPr="00C47725" w:rsidRDefault="002D20DB" w:rsidP="002D20DB">
      <w:pPr>
        <w:numPr>
          <w:ilvl w:val="2"/>
          <w:numId w:val="4"/>
        </w:numPr>
        <w:ind w:left="1701" w:hanging="567"/>
        <w:rPr>
          <w:rFonts w:cs="Arial"/>
          <w:lang w:val="de-DE"/>
        </w:rPr>
      </w:pPr>
      <w:r w:rsidRPr="00C47725">
        <w:rPr>
          <w:rFonts w:cs="Arial"/>
          <w:lang w:val="de-DE"/>
        </w:rPr>
        <w:t>Gesetze der UPOV-Mitglieder: UPOV Lex, GENIE-Datenbank</w:t>
      </w:r>
    </w:p>
    <w:p w:rsidR="002D20DB" w:rsidRPr="00C47725" w:rsidRDefault="002D20DB" w:rsidP="002D20DB">
      <w:pPr>
        <w:numPr>
          <w:ilvl w:val="2"/>
          <w:numId w:val="4"/>
        </w:numPr>
        <w:ind w:left="1701" w:hanging="567"/>
        <w:rPr>
          <w:rFonts w:cs="Arial"/>
          <w:spacing w:val="-2"/>
          <w:lang w:val="de-DE"/>
        </w:rPr>
      </w:pPr>
      <w:r w:rsidRPr="00C47725">
        <w:rPr>
          <w:rFonts w:cs="Arial"/>
          <w:spacing w:val="-2"/>
          <w:lang w:val="de-DE"/>
        </w:rPr>
        <w:t>Anträge auf Erteilung von Züchterrechten: UPOV PRISMA Antragsinstrument</w:t>
      </w:r>
      <w:r>
        <w:rPr>
          <w:rFonts w:cs="Arial"/>
          <w:spacing w:val="-2"/>
          <w:lang w:val="de-DE"/>
        </w:rPr>
        <w:t xml:space="preserve"> für Züchterrechte</w:t>
      </w:r>
    </w:p>
    <w:p w:rsidR="002D20DB" w:rsidRPr="00C47725" w:rsidRDefault="002D20DB" w:rsidP="002D20DB">
      <w:pPr>
        <w:numPr>
          <w:ilvl w:val="2"/>
          <w:numId w:val="4"/>
        </w:numPr>
        <w:ind w:left="1701" w:hanging="567"/>
        <w:rPr>
          <w:rFonts w:cs="Arial"/>
          <w:spacing w:val="-2"/>
          <w:lang w:val="de-DE"/>
        </w:rPr>
      </w:pPr>
      <w:r w:rsidRPr="00C47725">
        <w:rPr>
          <w:rFonts w:cs="Arial"/>
          <w:spacing w:val="-2"/>
          <w:lang w:val="de-DE"/>
        </w:rPr>
        <w:t>DUS-Prüfung: GENIE-Datenbank, webbasierte Mustervorlage für Prüfungsrichtlinien, UPOV-Code</w:t>
      </w:r>
    </w:p>
    <w:p w:rsidR="002D20DB" w:rsidRPr="00C47725" w:rsidRDefault="002D20DB" w:rsidP="002D20DB">
      <w:pPr>
        <w:numPr>
          <w:ilvl w:val="2"/>
          <w:numId w:val="4"/>
        </w:numPr>
        <w:ind w:left="1701" w:hanging="567"/>
        <w:rPr>
          <w:rFonts w:cs="Arial"/>
          <w:spacing w:val="-2"/>
          <w:lang w:val="de-DE"/>
        </w:rPr>
      </w:pPr>
      <w:r w:rsidRPr="00C47725">
        <w:rPr>
          <w:rFonts w:cs="Arial"/>
          <w:spacing w:val="-2"/>
          <w:lang w:val="de-DE"/>
        </w:rPr>
        <w:t>Sortenbezeichnung/Neuheit: PLUTO-Datenbank</w:t>
      </w:r>
    </w:p>
    <w:p w:rsidR="002D20DB" w:rsidRPr="00C47725" w:rsidRDefault="002D20DB" w:rsidP="002D20DB">
      <w:pPr>
        <w:keepNext/>
        <w:numPr>
          <w:ilvl w:val="0"/>
          <w:numId w:val="3"/>
        </w:numPr>
        <w:rPr>
          <w:rFonts w:cs="Arial"/>
          <w:lang w:val="de-DE"/>
        </w:rPr>
      </w:pPr>
      <w:r w:rsidRPr="00C47725">
        <w:rPr>
          <w:rFonts w:cs="Arial"/>
          <w:lang w:val="de-DE"/>
        </w:rPr>
        <w:t>Lage in der UPOV betreffend die etwaige Anwendung molekularer Verfahren in der DUS-Prüfung</w:t>
      </w:r>
    </w:p>
    <w:p w:rsidR="002D20DB" w:rsidRPr="00C47725" w:rsidRDefault="002D20DB" w:rsidP="002D20DB">
      <w:pPr>
        <w:keepNext/>
        <w:numPr>
          <w:ilvl w:val="0"/>
          <w:numId w:val="3"/>
        </w:numPr>
        <w:rPr>
          <w:rFonts w:cs="Arial"/>
          <w:lang w:val="de-DE"/>
        </w:rPr>
      </w:pPr>
      <w:r w:rsidRPr="00C47725">
        <w:rPr>
          <w:rFonts w:cs="Arial"/>
          <w:lang w:val="de-DE"/>
        </w:rPr>
        <w:t xml:space="preserve">Der Begriff der im </w:t>
      </w:r>
      <w:r>
        <w:rPr>
          <w:rFonts w:cs="Arial"/>
          <w:lang w:val="de-DE"/>
        </w:rPr>
        <w:t>W</w:t>
      </w:r>
      <w:r w:rsidRPr="00C47725">
        <w:rPr>
          <w:rFonts w:cs="Arial"/>
          <w:lang w:val="de-DE"/>
        </w:rPr>
        <w:t>esentlichen abgeleiteten Sorten</w:t>
      </w:r>
    </w:p>
    <w:p w:rsidR="002D20DB" w:rsidRPr="00C47725" w:rsidRDefault="002D20DB" w:rsidP="002D20DB">
      <w:pPr>
        <w:keepNext/>
        <w:numPr>
          <w:ilvl w:val="0"/>
          <w:numId w:val="3"/>
        </w:numPr>
        <w:rPr>
          <w:lang w:val="de-DE"/>
        </w:rPr>
      </w:pPr>
      <w:r w:rsidRPr="00C47725">
        <w:rPr>
          <w:rFonts w:cs="Arial"/>
          <w:lang w:val="de-DE"/>
        </w:rPr>
        <w:t>Die Rolle der UPOV bei der Sortenidentifikation</w:t>
      </w:r>
    </w:p>
    <w:p w:rsidR="002D20DB" w:rsidRPr="00C47725" w:rsidRDefault="002D20DB" w:rsidP="002D20DB">
      <w:pPr>
        <w:keepNext/>
        <w:numPr>
          <w:ilvl w:val="0"/>
          <w:numId w:val="3"/>
        </w:numPr>
        <w:rPr>
          <w:lang w:val="de-DE"/>
        </w:rPr>
      </w:pPr>
      <w:r w:rsidRPr="00C47725">
        <w:rPr>
          <w:rFonts w:cs="Arial"/>
          <w:lang w:val="de-DE"/>
        </w:rPr>
        <w:t>Tagesordnung für die TWC und BMT</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rPr>
          <w:lang w:val="de-DE"/>
        </w:rPr>
      </w:pPr>
      <w:r w:rsidRPr="00C47725">
        <w:rPr>
          <w:lang w:val="de-DE"/>
        </w:rPr>
        <w:t>Angelegenheiten betreffend Sortenbeschreibungen</w:t>
      </w:r>
    </w:p>
    <w:p w:rsidR="002D20DB" w:rsidRPr="00C47725" w:rsidRDefault="002D20DB" w:rsidP="002D20DB">
      <w:pPr>
        <w:keepNext/>
        <w:rPr>
          <w:lang w:val="de-DE"/>
        </w:rPr>
      </w:pPr>
    </w:p>
    <w:p w:rsidR="002D20DB" w:rsidRPr="00C47725" w:rsidRDefault="002D20DB" w:rsidP="002D20DB">
      <w:pPr>
        <w:keepNext/>
        <w:rPr>
          <w:lang w:val="de-DE"/>
        </w:rPr>
      </w:pPr>
      <w:r w:rsidRPr="00B26063">
        <w:rPr>
          <w:lang w:val="de-DE"/>
        </w:rPr>
        <w:fldChar w:fldCharType="begin"/>
      </w:r>
      <w:r w:rsidRPr="00B26063">
        <w:rPr>
          <w:lang w:val="de-DE"/>
        </w:rPr>
        <w:instrText xml:space="preserve"> AUTONUM  </w:instrText>
      </w:r>
      <w:r w:rsidRPr="00B26063">
        <w:rPr>
          <w:lang w:val="de-DE"/>
        </w:rPr>
        <w:fldChar w:fldCharType="end"/>
      </w:r>
      <w:r w:rsidRPr="00C47725">
        <w:rPr>
          <w:lang w:val="de-DE"/>
        </w:rPr>
        <w:tab/>
        <w:t>Der TC prüfte Dokument TC/55/11.</w:t>
      </w:r>
    </w:p>
    <w:p w:rsidR="002D20DB" w:rsidRPr="00C47725" w:rsidRDefault="002D20DB" w:rsidP="002D20DB">
      <w:pPr>
        <w:rPr>
          <w:lang w:val="de-DE"/>
        </w:rPr>
      </w:pPr>
    </w:p>
    <w:p w:rsidR="002D20DB" w:rsidRPr="00C47725" w:rsidRDefault="002D20DB" w:rsidP="002D20DB">
      <w:pPr>
        <w:rPr>
          <w:lang w:val="de-DE"/>
        </w:rPr>
      </w:pPr>
      <w:r w:rsidRPr="00B26063">
        <w:rPr>
          <w:lang w:val="de-DE"/>
        </w:rPr>
        <w:fldChar w:fldCharType="begin"/>
      </w:r>
      <w:r w:rsidRPr="00B26063">
        <w:rPr>
          <w:lang w:val="de-DE"/>
        </w:rPr>
        <w:instrText xml:space="preserve"> AUTONUM  </w:instrText>
      </w:r>
      <w:r w:rsidRPr="00B26063">
        <w:rPr>
          <w:lang w:val="de-DE"/>
        </w:rPr>
        <w:fldChar w:fldCharType="end"/>
      </w:r>
      <w:r w:rsidRPr="00C47725">
        <w:rPr>
          <w:lang w:val="de-DE"/>
        </w:rPr>
        <w:tab/>
        <w:t>Der TC vereinbarte die Überarbeitung von Dokument TGP/5, Abschnitt 6</w:t>
      </w:r>
      <w:r>
        <w:rPr>
          <w:lang w:val="de-DE"/>
        </w:rPr>
        <w:t xml:space="preserve"> „</w:t>
      </w:r>
      <w:r w:rsidRPr="00C47725">
        <w:rPr>
          <w:lang w:val="de-DE"/>
        </w:rPr>
        <w:t>UPOV-Bericht über die technische Prüfung und UPOV-Sortenbeschreibung</w:t>
      </w:r>
      <w:r>
        <w:rPr>
          <w:lang w:val="de-DE"/>
        </w:rPr>
        <w:t>“</w:t>
      </w:r>
      <w:r w:rsidRPr="00C47725">
        <w:rPr>
          <w:lang w:val="de-DE"/>
        </w:rPr>
        <w:t xml:space="preserve"> auf der Grundlage des in Dokument TC/55/11, Anlage, dargelegten Vorschlags.</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keepNext/>
        <w:rPr>
          <w:u w:val="single"/>
          <w:lang w:val="de-DE"/>
        </w:rPr>
      </w:pPr>
      <w:r w:rsidRPr="00C47725">
        <w:rPr>
          <w:u w:val="single"/>
          <w:lang w:val="de-DE"/>
        </w:rPr>
        <w:t>Verbesserung der Beteiligung neuer Verbandsmitglieder an der Arbeit des TC und der TWP</w:t>
      </w:r>
    </w:p>
    <w:p w:rsidR="002D20DB" w:rsidRPr="00C47725" w:rsidRDefault="002D20DB" w:rsidP="002D20DB">
      <w:pPr>
        <w:keepNext/>
        <w:rPr>
          <w:lang w:val="de-DE"/>
        </w:rPr>
      </w:pPr>
    </w:p>
    <w:p w:rsidR="002D20DB" w:rsidRPr="00C47725" w:rsidRDefault="002D20DB" w:rsidP="002D20DB">
      <w:pPr>
        <w:keepNext/>
        <w:rPr>
          <w:lang w:val="de-DE"/>
        </w:rPr>
      </w:pPr>
      <w:r w:rsidRPr="00B26063">
        <w:rPr>
          <w:lang w:val="de-DE"/>
        </w:rPr>
        <w:fldChar w:fldCharType="begin"/>
      </w:r>
      <w:r w:rsidRPr="00B26063">
        <w:rPr>
          <w:lang w:val="de-DE"/>
        </w:rPr>
        <w:instrText xml:space="preserve"> AUTONUM  </w:instrText>
      </w:r>
      <w:r w:rsidRPr="00B26063">
        <w:rPr>
          <w:lang w:val="de-DE"/>
        </w:rPr>
        <w:fldChar w:fldCharType="end"/>
      </w:r>
      <w:r w:rsidRPr="00C47725">
        <w:rPr>
          <w:lang w:val="de-DE"/>
        </w:rPr>
        <w:tab/>
        <w:t>Der TC prüfte Dokument TC/55/24.</w:t>
      </w:r>
    </w:p>
    <w:p w:rsidR="002D20DB" w:rsidRPr="00C47725" w:rsidRDefault="002D20DB" w:rsidP="002D20DB">
      <w:pPr>
        <w:pStyle w:val="ListParagraph"/>
        <w:rPr>
          <w:rFonts w:eastAsiaTheme="minorEastAsia" w:cs="Arial"/>
          <w:snapToGrid w:val="0"/>
          <w:lang w:val="de-DE" w:eastAsia="ja-JP"/>
        </w:rPr>
      </w:pPr>
    </w:p>
    <w:p w:rsidR="002D20DB" w:rsidRPr="00C47725" w:rsidRDefault="002D20DB" w:rsidP="002D20DB">
      <w:pPr>
        <w:pStyle w:val="Heading3"/>
        <w:rPr>
          <w:rFonts w:eastAsiaTheme="minorEastAsia" w:cs="Arial"/>
          <w:snapToGrid w:val="0"/>
          <w:lang w:eastAsia="ja-JP"/>
        </w:rPr>
      </w:pPr>
      <w:r w:rsidRPr="00C47725">
        <w:t>Einladungsschreiben</w:t>
      </w:r>
    </w:p>
    <w:p w:rsidR="002D20DB" w:rsidRPr="00C47725" w:rsidRDefault="002D20DB" w:rsidP="002D20DB">
      <w:pPr>
        <w:pStyle w:val="ListParagraph"/>
        <w:rPr>
          <w:rFonts w:eastAsiaTheme="minorEastAsia" w:cs="Arial"/>
          <w:snapToGrid w:val="0"/>
          <w:lang w:val="de-DE" w:eastAsia="ja-JP"/>
        </w:rPr>
      </w:pPr>
    </w:p>
    <w:p w:rsidR="002D20DB" w:rsidRPr="00C47725" w:rsidRDefault="002D20DB" w:rsidP="00D26816">
      <w:pPr>
        <w:rPr>
          <w:rFonts w:eastAsiaTheme="minorEastAsia"/>
          <w:snapToGrid w:val="0"/>
          <w:lang w:val="de-DE" w:eastAsia="ja-JP"/>
        </w:rPr>
      </w:pPr>
      <w:r w:rsidRPr="0020085B">
        <w:rPr>
          <w:rFonts w:eastAsiaTheme="minorEastAsia"/>
          <w:snapToGrid w:val="0"/>
          <w:lang w:val="de-DE" w:eastAsia="ja-JP"/>
        </w:rPr>
        <w:fldChar w:fldCharType="begin"/>
      </w:r>
      <w:r w:rsidRPr="00590FDE">
        <w:rPr>
          <w:rFonts w:eastAsiaTheme="minorEastAsia"/>
          <w:snapToGrid w:val="0"/>
          <w:lang w:val="de-DE" w:eastAsia="ja-JP"/>
        </w:rPr>
        <w:instrText xml:space="preserve"> AUTONUM  </w:instrText>
      </w:r>
      <w:r w:rsidRPr="0020085B">
        <w:rPr>
          <w:rFonts w:eastAsiaTheme="minorEastAsia"/>
          <w:snapToGrid w:val="0"/>
          <w:lang w:val="de-DE" w:eastAsia="ja-JP"/>
        </w:rPr>
        <w:fldChar w:fldCharType="end"/>
      </w:r>
      <w:r w:rsidRPr="00C47725">
        <w:rPr>
          <w:rFonts w:eastAsiaTheme="minorEastAsia"/>
          <w:snapToGrid w:val="0"/>
          <w:lang w:val="de-DE" w:eastAsia="ja-JP"/>
        </w:rPr>
        <w:tab/>
        <w:t xml:space="preserve">Der TC vereinbarte, dass Einladungsschreiben der TWP früher als die derzeitigen drei Monate verschickt werden sollten, und vereinbarte, dass </w:t>
      </w:r>
      <w:r>
        <w:rPr>
          <w:rFonts w:eastAsiaTheme="minorEastAsia"/>
          <w:snapToGrid w:val="0"/>
          <w:lang w:val="de-DE" w:eastAsia="ja-JP"/>
        </w:rPr>
        <w:t>die „</w:t>
      </w:r>
      <w:r w:rsidRPr="00C47725">
        <w:rPr>
          <w:rFonts w:eastAsiaTheme="minorEastAsia"/>
          <w:snapToGrid w:val="0"/>
          <w:lang w:val="de-DE" w:eastAsia="ja-JP"/>
        </w:rPr>
        <w:t>Erläuternde Anmerkung für Gastgeber von TWP</w:t>
      </w:r>
      <w:r>
        <w:rPr>
          <w:rFonts w:eastAsiaTheme="minorEastAsia"/>
          <w:snapToGrid w:val="0"/>
          <w:lang w:val="de-DE" w:eastAsia="ja-JP"/>
        </w:rPr>
        <w:t>“</w:t>
      </w:r>
      <w:r w:rsidRPr="00C47725">
        <w:rPr>
          <w:rFonts w:eastAsiaTheme="minorEastAsia"/>
          <w:snapToGrid w:val="0"/>
          <w:lang w:val="de-DE" w:eastAsia="ja-JP"/>
        </w:rPr>
        <w:t xml:space="preserve"> sechs Monate vor den Sitzungen angegeben werden sollte. </w:t>
      </w:r>
    </w:p>
    <w:p w:rsidR="002D20DB" w:rsidRPr="00C47725" w:rsidRDefault="002D20DB" w:rsidP="002D20DB">
      <w:pPr>
        <w:rPr>
          <w:lang w:val="de-DE"/>
        </w:rPr>
      </w:pPr>
    </w:p>
    <w:p w:rsidR="002D20DB" w:rsidRPr="00C47725" w:rsidRDefault="002D20DB" w:rsidP="002D20DB">
      <w:pPr>
        <w:rPr>
          <w:lang w:val="de-DE"/>
        </w:rPr>
      </w:pPr>
      <w:r w:rsidRPr="00B26063">
        <w:rPr>
          <w:lang w:val="de-DE"/>
        </w:rPr>
        <w:fldChar w:fldCharType="begin"/>
      </w:r>
      <w:r w:rsidRPr="00B26063">
        <w:rPr>
          <w:lang w:val="de-DE"/>
        </w:rPr>
        <w:instrText xml:space="preserve"> AUTONUM  </w:instrText>
      </w:r>
      <w:r w:rsidRPr="00B26063">
        <w:rPr>
          <w:lang w:val="de-DE"/>
        </w:rPr>
        <w:fldChar w:fldCharType="end"/>
      </w:r>
      <w:r w:rsidRPr="00C47725">
        <w:rPr>
          <w:lang w:val="de-DE"/>
        </w:rPr>
        <w:tab/>
        <w:t>Der TC vereinbarte, das UPOV-Büro zu ersuchen, eine kurze Beschreibung über die Bedeutung der Arbeit der TWP</w:t>
      </w:r>
      <w:r>
        <w:rPr>
          <w:lang w:val="de-DE"/>
        </w:rPr>
        <w:t xml:space="preserve"> zu verfassen und den</w:t>
      </w:r>
      <w:r w:rsidRPr="00C47725">
        <w:rPr>
          <w:lang w:val="de-DE"/>
        </w:rPr>
        <w:t xml:space="preserve"> Einladungsschreiben zu den Tagungen der TWP </w:t>
      </w:r>
      <w:r>
        <w:rPr>
          <w:lang w:val="de-DE"/>
        </w:rPr>
        <w:t>beizulegen</w:t>
      </w:r>
      <w:r w:rsidRPr="00C47725">
        <w:rPr>
          <w:lang w:val="de-DE"/>
        </w:rPr>
        <w:t>.</w:t>
      </w:r>
    </w:p>
    <w:p w:rsidR="002D20DB" w:rsidRPr="00C47725" w:rsidRDefault="002D20DB" w:rsidP="002D20DB">
      <w:pPr>
        <w:rPr>
          <w:lang w:val="de-DE"/>
        </w:rPr>
      </w:pPr>
    </w:p>
    <w:p w:rsidR="002D20DB" w:rsidRPr="00C47725" w:rsidRDefault="002D20DB" w:rsidP="002D20DB">
      <w:pPr>
        <w:pStyle w:val="Heading3"/>
      </w:pPr>
      <w:bookmarkStart w:id="56" w:name="_Toc18604995"/>
      <w:bookmarkStart w:id="57" w:name="_Toc20500457"/>
      <w:r w:rsidRPr="00C47725">
        <w:t>Organi</w:t>
      </w:r>
      <w:r>
        <w:t>s</w:t>
      </w:r>
      <w:r w:rsidRPr="00C47725">
        <w:t>ation eines Seminars in Genf</w:t>
      </w:r>
      <w:bookmarkEnd w:id="56"/>
      <w:bookmarkEnd w:id="57"/>
    </w:p>
    <w:p w:rsidR="002D20DB" w:rsidRPr="00C47725" w:rsidRDefault="002D20DB" w:rsidP="002D20DB">
      <w:pPr>
        <w:keepNext/>
        <w:rPr>
          <w:lang w:val="de-DE"/>
        </w:rPr>
      </w:pPr>
    </w:p>
    <w:p w:rsidR="002D20DB" w:rsidRPr="00C47725" w:rsidRDefault="002D20DB" w:rsidP="002D20DB">
      <w:pPr>
        <w:keepNext/>
        <w:rPr>
          <w:lang w:val="de-DE"/>
        </w:rPr>
      </w:pPr>
      <w:r w:rsidRPr="00B26063">
        <w:rPr>
          <w:lang w:val="de-DE"/>
        </w:rPr>
        <w:fldChar w:fldCharType="begin"/>
      </w:r>
      <w:r w:rsidRPr="00B26063">
        <w:rPr>
          <w:lang w:val="de-DE"/>
        </w:rPr>
        <w:instrText xml:space="preserve"> AUTONUM  </w:instrText>
      </w:r>
      <w:r w:rsidRPr="00B26063">
        <w:rPr>
          <w:lang w:val="de-DE"/>
        </w:rPr>
        <w:fldChar w:fldCharType="end"/>
      </w:r>
      <w:r w:rsidRPr="00C47725">
        <w:rPr>
          <w:lang w:val="de-DE"/>
        </w:rPr>
        <w:tab/>
        <w:t>Der TC prüfte die Organisation eines Seminars</w:t>
      </w:r>
      <w:r>
        <w:rPr>
          <w:lang w:val="de-DE"/>
        </w:rPr>
        <w:t xml:space="preserve"> zur Kommunikation der</w:t>
      </w:r>
      <w:r w:rsidRPr="00C47725">
        <w:rPr>
          <w:lang w:val="de-DE"/>
        </w:rPr>
        <w:t xml:space="preserve"> Bedeutung der in </w:t>
      </w:r>
      <w:r>
        <w:rPr>
          <w:lang w:val="de-DE"/>
        </w:rPr>
        <w:t xml:space="preserve">der </w:t>
      </w:r>
      <w:r w:rsidRPr="00C47725">
        <w:rPr>
          <w:lang w:val="de-DE"/>
        </w:rPr>
        <w:t xml:space="preserve">UPOV </w:t>
      </w:r>
      <w:r>
        <w:rPr>
          <w:lang w:val="de-DE"/>
        </w:rPr>
        <w:t>durchgeführten</w:t>
      </w:r>
      <w:r w:rsidRPr="00C47725">
        <w:rPr>
          <w:lang w:val="de-DE"/>
        </w:rPr>
        <w:t xml:space="preserve"> technischen Arbei</w:t>
      </w:r>
      <w:r>
        <w:rPr>
          <w:lang w:val="de-DE"/>
        </w:rPr>
        <w:t>t</w:t>
      </w:r>
      <w:r w:rsidRPr="00C47725">
        <w:rPr>
          <w:lang w:val="de-DE"/>
        </w:rPr>
        <w:t xml:space="preserve"> und vereinbarte, dass weitere Überlegungen über das Ziel und die Zielgruppe erforderlich </w:t>
      </w:r>
      <w:r>
        <w:rPr>
          <w:lang w:val="de-DE"/>
        </w:rPr>
        <w:t>seien</w:t>
      </w:r>
      <w:r w:rsidRPr="00C47725">
        <w:rPr>
          <w:lang w:val="de-DE"/>
        </w:rPr>
        <w:t xml:space="preserve">, bevor die Idee weiterverfolgt werden kann. </w:t>
      </w:r>
    </w:p>
    <w:p w:rsidR="002D20DB" w:rsidRPr="00C47725" w:rsidRDefault="002D20DB" w:rsidP="002D20DB">
      <w:pPr>
        <w:rPr>
          <w:lang w:val="de-DE"/>
        </w:rPr>
      </w:pPr>
    </w:p>
    <w:p w:rsidR="002D20DB" w:rsidRPr="00C47725" w:rsidRDefault="002D20DB" w:rsidP="002D20DB">
      <w:pPr>
        <w:keepNext/>
        <w:rPr>
          <w:i/>
          <w:lang w:val="de-DE"/>
        </w:rPr>
      </w:pPr>
      <w:r w:rsidRPr="00C47725">
        <w:rPr>
          <w:i/>
          <w:lang w:val="de-DE"/>
        </w:rPr>
        <w:t>Teilnahme an den Sitzungen von TC und TWP auf elektronischem Wege</w:t>
      </w:r>
    </w:p>
    <w:p w:rsidR="002D20DB" w:rsidRPr="00C47725" w:rsidRDefault="002D20DB" w:rsidP="002D20DB">
      <w:pPr>
        <w:keepNext/>
        <w:rPr>
          <w:lang w:val="de-DE"/>
        </w:rPr>
      </w:pPr>
    </w:p>
    <w:p w:rsidR="002D20DB" w:rsidRPr="00C47725" w:rsidRDefault="002D20DB" w:rsidP="002D20DB">
      <w:pPr>
        <w:keepNext/>
        <w:rPr>
          <w:lang w:val="de-DE"/>
        </w:rPr>
      </w:pPr>
      <w:r w:rsidRPr="00B26063">
        <w:rPr>
          <w:lang w:val="de-DE"/>
        </w:rPr>
        <w:fldChar w:fldCharType="begin"/>
      </w:r>
      <w:r w:rsidRPr="00B26063">
        <w:rPr>
          <w:lang w:val="de-DE"/>
        </w:rPr>
        <w:instrText xml:space="preserve"> AUTONUM  </w:instrText>
      </w:r>
      <w:r w:rsidRPr="00B26063">
        <w:rPr>
          <w:lang w:val="de-DE"/>
        </w:rPr>
        <w:fldChar w:fldCharType="end"/>
      </w:r>
      <w:r w:rsidRPr="00C47725">
        <w:rPr>
          <w:lang w:val="de-DE"/>
        </w:rPr>
        <w:tab/>
        <w:t xml:space="preserve">Der TC nahm zur Kenntnis, dass die Empfänger der Einladungen zu den </w:t>
      </w:r>
      <w:r>
        <w:rPr>
          <w:lang w:val="de-DE"/>
        </w:rPr>
        <w:t>Tagungen</w:t>
      </w:r>
      <w:r w:rsidRPr="00C47725">
        <w:rPr>
          <w:lang w:val="de-DE"/>
        </w:rPr>
        <w:t xml:space="preserve"> der TWP im Jahr 2019 ersucht w</w:t>
      </w:r>
      <w:r>
        <w:rPr>
          <w:lang w:val="de-DE"/>
        </w:rPr>
        <w:t>u</w:t>
      </w:r>
      <w:r w:rsidRPr="00C47725">
        <w:rPr>
          <w:lang w:val="de-DE"/>
        </w:rPr>
        <w:t>rden, bestimmte Themen anzugeben, an denen sie auf elektronischem Wege teilnehmen möchten.</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rPr>
          <w:lang w:val="de-DE"/>
        </w:rPr>
      </w:pPr>
      <w:r w:rsidRPr="00C47725">
        <w:rPr>
          <w:lang w:val="de-DE"/>
        </w:rPr>
        <w:lastRenderedPageBreak/>
        <w:t xml:space="preserve">Sortenbezeichnungen </w:t>
      </w:r>
    </w:p>
    <w:p w:rsidR="002D20DB" w:rsidRPr="00C47725" w:rsidRDefault="002D20DB" w:rsidP="002D20DB">
      <w:pPr>
        <w:keepNext/>
        <w:rPr>
          <w:lang w:val="de-DE"/>
        </w:rPr>
      </w:pPr>
    </w:p>
    <w:p w:rsidR="002D20DB" w:rsidRPr="00C47725" w:rsidRDefault="002D20DB" w:rsidP="002D20DB">
      <w:pPr>
        <w:keepNext/>
        <w:rPr>
          <w:lang w:val="de-DE"/>
        </w:rPr>
      </w:pPr>
      <w:r w:rsidRPr="00B26063">
        <w:rPr>
          <w:lang w:val="de-DE"/>
        </w:rPr>
        <w:fldChar w:fldCharType="begin"/>
      </w:r>
      <w:r w:rsidRPr="00B26063">
        <w:rPr>
          <w:lang w:val="de-DE"/>
        </w:rPr>
        <w:instrText xml:space="preserve"> AUTONUM  </w:instrText>
      </w:r>
      <w:r w:rsidRPr="00B26063">
        <w:rPr>
          <w:lang w:val="de-DE"/>
        </w:rPr>
        <w:fldChar w:fldCharType="end"/>
      </w:r>
      <w:r w:rsidRPr="00C47725">
        <w:rPr>
          <w:lang w:val="de-DE"/>
        </w:rPr>
        <w:tab/>
        <w:t>Der TC prüfte Dokumente TC/55/8 und TC/55/8 Add.</w:t>
      </w:r>
    </w:p>
    <w:p w:rsidR="002D20DB" w:rsidRPr="00C47725" w:rsidRDefault="002D20DB" w:rsidP="002D20DB">
      <w:pPr>
        <w:rPr>
          <w:lang w:val="de-DE"/>
        </w:rPr>
      </w:pPr>
    </w:p>
    <w:p w:rsidR="002D20DB" w:rsidRPr="00C47725" w:rsidRDefault="002D20DB" w:rsidP="002D20DB">
      <w:pPr>
        <w:rPr>
          <w:rFonts w:eastAsiaTheme="minorEastAsia"/>
          <w:snapToGrid w:val="0"/>
          <w:highlight w:val="yellow"/>
          <w:lang w:val="de-DE" w:eastAsia="ja-JP"/>
        </w:rPr>
      </w:pPr>
      <w:r w:rsidRPr="00B26063">
        <w:rPr>
          <w:lang w:val="de-DE"/>
        </w:rPr>
        <w:fldChar w:fldCharType="begin"/>
      </w:r>
      <w:r w:rsidRPr="00B26063">
        <w:rPr>
          <w:lang w:val="de-DE"/>
        </w:rPr>
        <w:instrText xml:space="preserve"> AUTONUM  </w:instrText>
      </w:r>
      <w:r w:rsidRPr="00B26063">
        <w:rPr>
          <w:lang w:val="de-DE"/>
        </w:rPr>
        <w:fldChar w:fldCharType="end"/>
      </w:r>
      <w:r w:rsidRPr="00C47725">
        <w:rPr>
          <w:lang w:val="de-DE"/>
        </w:rPr>
        <w:tab/>
        <w:t>Der TC nahm</w:t>
      </w:r>
      <w:r>
        <w:rPr>
          <w:lang w:val="de-DE"/>
        </w:rPr>
        <w:t xml:space="preserve"> die</w:t>
      </w:r>
      <w:r w:rsidRPr="00C47725">
        <w:rPr>
          <w:lang w:val="de-DE"/>
        </w:rPr>
        <w:t xml:space="preserve"> Bemerkungen der TWP zur Kenntnis und stimmte den Vorschlägen zur Übera</w:t>
      </w:r>
      <w:r>
        <w:rPr>
          <w:lang w:val="de-DE"/>
        </w:rPr>
        <w:t>r</w:t>
      </w:r>
      <w:r w:rsidRPr="00C47725">
        <w:rPr>
          <w:lang w:val="de-DE"/>
        </w:rPr>
        <w:t>beitung der Klassenliste in Dokument UPOV/INF/12/5</w:t>
      </w:r>
      <w:r>
        <w:rPr>
          <w:lang w:val="de-DE"/>
        </w:rPr>
        <w:t xml:space="preserve"> zu,</w:t>
      </w:r>
      <w:r w:rsidRPr="00C47725">
        <w:rPr>
          <w:lang w:val="de-DE"/>
        </w:rPr>
        <w:t xml:space="preserve"> wie folgt:</w:t>
      </w:r>
    </w:p>
    <w:p w:rsidR="002D20DB" w:rsidRPr="00C47725" w:rsidRDefault="002D20DB" w:rsidP="002D20DB">
      <w:pPr>
        <w:rPr>
          <w:lang w:val="de-DE"/>
        </w:rPr>
      </w:pPr>
    </w:p>
    <w:p w:rsidR="002D20DB" w:rsidRPr="00C47725" w:rsidRDefault="002D20DB" w:rsidP="002D20DB">
      <w:pPr>
        <w:numPr>
          <w:ilvl w:val="0"/>
          <w:numId w:val="8"/>
        </w:numPr>
        <w:ind w:left="1134" w:hanging="567"/>
        <w:contextualSpacing/>
        <w:rPr>
          <w:lang w:val="de-DE"/>
        </w:rPr>
      </w:pPr>
      <w:r w:rsidRPr="00C47725">
        <w:rPr>
          <w:lang w:val="de-DE"/>
        </w:rPr>
        <w:t>Vorschlag, die derzeitige Klasse 205 (</w:t>
      </w:r>
      <w:r w:rsidRPr="00C47725">
        <w:rPr>
          <w:i/>
          <w:lang w:val="de-DE"/>
        </w:rPr>
        <w:t>Cichorium</w:t>
      </w:r>
      <w:r w:rsidRPr="00C47725">
        <w:rPr>
          <w:lang w:val="de-DE"/>
        </w:rPr>
        <w:t xml:space="preserve"> und </w:t>
      </w:r>
      <w:r w:rsidRPr="00C47725">
        <w:rPr>
          <w:i/>
          <w:lang w:val="de-DE"/>
        </w:rPr>
        <w:t>Lactuca</w:t>
      </w:r>
      <w:r w:rsidRPr="00C47725">
        <w:rPr>
          <w:lang w:val="de-DE"/>
        </w:rPr>
        <w:t>) in zwei neue Klassen aufzuteilen:</w:t>
      </w:r>
    </w:p>
    <w:p w:rsidR="002D20DB" w:rsidRPr="00C47725" w:rsidRDefault="002D20DB" w:rsidP="002D20DB">
      <w:pPr>
        <w:ind w:left="1134" w:hanging="567"/>
        <w:rPr>
          <w:lang w:val="de-DE"/>
        </w:rPr>
      </w:pPr>
      <w:r w:rsidRPr="00C47725">
        <w:rPr>
          <w:lang w:val="de-DE"/>
        </w:rPr>
        <w:t>•</w:t>
      </w:r>
      <w:r w:rsidRPr="00C47725">
        <w:rPr>
          <w:lang w:val="de-DE"/>
        </w:rPr>
        <w:tab/>
        <w:t xml:space="preserve">Klasse: Lactuca – </w:t>
      </w:r>
      <w:r w:rsidRPr="00C47725">
        <w:rPr>
          <w:i/>
          <w:lang w:val="de-DE"/>
        </w:rPr>
        <w:t>Cichorium endivia</w:t>
      </w:r>
      <w:r w:rsidRPr="00C47725">
        <w:rPr>
          <w:lang w:val="de-DE"/>
        </w:rPr>
        <w:t xml:space="preserve"> (Endive), </w:t>
      </w:r>
      <w:r w:rsidRPr="00C47725">
        <w:rPr>
          <w:i/>
          <w:lang w:val="de-DE"/>
        </w:rPr>
        <w:t>Cichorium intybus</w:t>
      </w:r>
      <w:r w:rsidRPr="00C47725">
        <w:rPr>
          <w:lang w:val="de-DE"/>
        </w:rPr>
        <w:t xml:space="preserve"> var. </w:t>
      </w:r>
      <w:r w:rsidRPr="00C47725">
        <w:rPr>
          <w:i/>
          <w:lang w:val="de-DE"/>
        </w:rPr>
        <w:t>foliosum</w:t>
      </w:r>
      <w:r w:rsidRPr="00C47725">
        <w:rPr>
          <w:lang w:val="de-DE"/>
        </w:rPr>
        <w:t xml:space="preserve"> (Salatzichorie)</w:t>
      </w:r>
    </w:p>
    <w:p w:rsidR="002D20DB" w:rsidRPr="00C47725" w:rsidRDefault="002D20DB" w:rsidP="002D20DB">
      <w:pPr>
        <w:ind w:left="1134" w:hanging="567"/>
        <w:rPr>
          <w:lang w:val="de-DE"/>
        </w:rPr>
      </w:pPr>
      <w:r w:rsidRPr="00C47725">
        <w:rPr>
          <w:lang w:val="de-DE"/>
        </w:rPr>
        <w:t>•</w:t>
      </w:r>
      <w:r w:rsidRPr="00C47725">
        <w:rPr>
          <w:lang w:val="de-DE"/>
        </w:rPr>
        <w:tab/>
        <w:t xml:space="preserve">Klasse: </w:t>
      </w:r>
      <w:r w:rsidRPr="00C47725">
        <w:rPr>
          <w:i/>
          <w:lang w:val="de-DE"/>
        </w:rPr>
        <w:t>Cichorium intybus</w:t>
      </w:r>
      <w:r w:rsidRPr="00C47725">
        <w:rPr>
          <w:lang w:val="de-DE"/>
        </w:rPr>
        <w:t xml:space="preserve"> var. </w:t>
      </w:r>
      <w:r w:rsidRPr="00C47725">
        <w:rPr>
          <w:i/>
          <w:lang w:val="de-DE"/>
        </w:rPr>
        <w:t>sativum</w:t>
      </w:r>
      <w:r w:rsidRPr="00C47725">
        <w:rPr>
          <w:lang w:val="de-DE"/>
        </w:rPr>
        <w:t xml:space="preserve"> (Wurzelzichorie)</w:t>
      </w:r>
    </w:p>
    <w:p w:rsidR="002D20DB" w:rsidRPr="00C47725" w:rsidRDefault="002D20DB" w:rsidP="002D20DB">
      <w:pPr>
        <w:ind w:left="1134" w:hanging="567"/>
        <w:rPr>
          <w:lang w:val="de-DE"/>
        </w:rPr>
      </w:pPr>
    </w:p>
    <w:p w:rsidR="002D20DB" w:rsidRPr="00C47725" w:rsidRDefault="002D20DB" w:rsidP="002D20DB">
      <w:pPr>
        <w:ind w:left="1134" w:hanging="567"/>
        <w:jc w:val="left"/>
        <w:rPr>
          <w:lang w:val="de-DE"/>
        </w:rPr>
      </w:pPr>
      <w:r w:rsidRPr="00C47725">
        <w:rPr>
          <w:lang w:val="de-DE"/>
        </w:rPr>
        <w:t>b)</w:t>
      </w:r>
      <w:r w:rsidRPr="00C47725">
        <w:rPr>
          <w:lang w:val="de-DE"/>
        </w:rPr>
        <w:tab/>
        <w:t xml:space="preserve">Vorschlag, die Gattung </w:t>
      </w:r>
      <w:r w:rsidRPr="00C47725">
        <w:rPr>
          <w:i/>
          <w:lang w:val="de-DE"/>
        </w:rPr>
        <w:t>Epichloe</w:t>
      </w:r>
      <w:r w:rsidRPr="00C47725">
        <w:rPr>
          <w:lang w:val="de-DE"/>
        </w:rPr>
        <w:t xml:space="preserve"> (ehemals </w:t>
      </w:r>
      <w:r w:rsidRPr="00C47725">
        <w:rPr>
          <w:i/>
          <w:lang w:val="de-DE"/>
        </w:rPr>
        <w:t>Neotyphodium</w:t>
      </w:r>
      <w:r w:rsidRPr="00C47725">
        <w:rPr>
          <w:lang w:val="de-DE"/>
        </w:rPr>
        <w:t>) in Klasse 203 (</w:t>
      </w:r>
      <w:r w:rsidRPr="00C47725">
        <w:rPr>
          <w:i/>
          <w:lang w:val="de-DE"/>
        </w:rPr>
        <w:t>Agrostis, Dactylis, Festuca, Festulolium, Lolium, Phalaris, Phleum</w:t>
      </w:r>
      <w:r w:rsidRPr="00C47725">
        <w:rPr>
          <w:lang w:val="de-DE"/>
        </w:rPr>
        <w:t xml:space="preserve"> und </w:t>
      </w:r>
      <w:r w:rsidRPr="00C47725">
        <w:rPr>
          <w:i/>
          <w:lang w:val="de-DE"/>
        </w:rPr>
        <w:t>Poa</w:t>
      </w:r>
      <w:r w:rsidRPr="00C47725">
        <w:rPr>
          <w:lang w:val="de-DE"/>
        </w:rPr>
        <w:t>) aufzunehmen</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rPr>
          <w:lang w:val="de-DE"/>
        </w:rPr>
      </w:pPr>
      <w:r w:rsidRPr="00C47725">
        <w:rPr>
          <w:lang w:val="de-DE"/>
        </w:rPr>
        <w:t>Prüfungsrichtlinien</w:t>
      </w:r>
    </w:p>
    <w:p w:rsidR="002D20DB" w:rsidRPr="00C47725" w:rsidRDefault="002D20DB" w:rsidP="002D20DB">
      <w:pPr>
        <w:keepNext/>
        <w:rPr>
          <w:lang w:val="de-DE"/>
        </w:rPr>
      </w:pPr>
    </w:p>
    <w:p w:rsidR="002D20DB" w:rsidRPr="00C47725" w:rsidRDefault="002D20DB" w:rsidP="002D20DB">
      <w:pPr>
        <w:keepNext/>
        <w:ind w:left="567" w:hanging="567"/>
        <w:rPr>
          <w:lang w:val="de-DE"/>
        </w:rPr>
      </w:pPr>
      <w:r w:rsidRPr="00B26063">
        <w:rPr>
          <w:lang w:val="de-DE"/>
        </w:rPr>
        <w:fldChar w:fldCharType="begin"/>
      </w:r>
      <w:r w:rsidRPr="00B26063">
        <w:rPr>
          <w:lang w:val="de-DE"/>
        </w:rPr>
        <w:instrText xml:space="preserve"> AUTONUM  </w:instrText>
      </w:r>
      <w:r w:rsidRPr="00B26063">
        <w:rPr>
          <w:lang w:val="de-DE"/>
        </w:rPr>
        <w:fldChar w:fldCharType="end"/>
      </w:r>
      <w:r w:rsidRPr="00C47725">
        <w:rPr>
          <w:lang w:val="de-DE"/>
        </w:rPr>
        <w:tab/>
        <w:t xml:space="preserve">Der TC prüfte Dokument TC/55/2. </w:t>
      </w:r>
    </w:p>
    <w:p w:rsidR="002D20DB" w:rsidRPr="00C47725" w:rsidRDefault="002D20DB" w:rsidP="002D20DB">
      <w:pPr>
        <w:keepNext/>
        <w:ind w:left="567" w:hanging="567"/>
        <w:rPr>
          <w:rFonts w:cs="Arial"/>
          <w:snapToGrid w:val="0"/>
          <w:lang w:val="de-DE"/>
        </w:rPr>
      </w:pPr>
    </w:p>
    <w:p w:rsidR="002D20DB" w:rsidRPr="00C47725" w:rsidRDefault="002D20DB" w:rsidP="002D20DB">
      <w:pPr>
        <w:pStyle w:val="Heading3"/>
      </w:pPr>
      <w:r w:rsidRPr="00C47725">
        <w:t xml:space="preserve">Auf dem Schriftweg angenommene Prüfungsrichtlinien </w:t>
      </w:r>
    </w:p>
    <w:p w:rsidR="002D20DB" w:rsidRPr="00C47725" w:rsidRDefault="002D20DB" w:rsidP="002D20DB">
      <w:pPr>
        <w:keepNext/>
        <w:ind w:left="567" w:hanging="567"/>
        <w:rPr>
          <w:rFonts w:cs="Arial"/>
          <w:snapToGrid w:val="0"/>
          <w:lang w:val="de-DE"/>
        </w:rPr>
      </w:pPr>
    </w:p>
    <w:p w:rsidR="002D20DB" w:rsidRPr="00C47725" w:rsidRDefault="002D20DB" w:rsidP="002D20DB">
      <w:pPr>
        <w:keepNext/>
        <w:rPr>
          <w:lang w:val="de-DE"/>
        </w:rPr>
      </w:pPr>
      <w:r w:rsidRPr="00B26063">
        <w:rPr>
          <w:rFonts w:cs="Arial"/>
          <w:snapToGrid w:val="0"/>
          <w:lang w:val="de-DE"/>
        </w:rPr>
        <w:fldChar w:fldCharType="begin"/>
      </w:r>
      <w:r w:rsidRPr="00B26063">
        <w:rPr>
          <w:rFonts w:cs="Arial"/>
          <w:snapToGrid w:val="0"/>
          <w:lang w:val="de-DE"/>
        </w:rPr>
        <w:instrText xml:space="preserve"> AUTONUM  </w:instrText>
      </w:r>
      <w:r w:rsidRPr="00B26063">
        <w:rPr>
          <w:rFonts w:cs="Arial"/>
          <w:snapToGrid w:val="0"/>
          <w:lang w:val="de-DE"/>
        </w:rPr>
        <w:fldChar w:fldCharType="end"/>
      </w:r>
      <w:r w:rsidRPr="00C47725">
        <w:rPr>
          <w:rFonts w:cs="Arial"/>
          <w:snapToGrid w:val="0"/>
          <w:lang w:val="de-DE"/>
        </w:rPr>
        <w:tab/>
        <w:t xml:space="preserve">Der TC </w:t>
      </w:r>
      <w:r w:rsidRPr="00C47725">
        <w:rPr>
          <w:lang w:val="de-DE"/>
        </w:rPr>
        <w:t xml:space="preserve">nahm zur Kenntnis, dass 1 </w:t>
      </w:r>
      <w:r w:rsidRPr="00C47725">
        <w:rPr>
          <w:snapToGrid w:val="0"/>
          <w:lang w:val="de-DE"/>
        </w:rPr>
        <w:t>überarbeitete Prüfungsrichtlinie und 6 </w:t>
      </w:r>
      <w:r w:rsidRPr="00C47725">
        <w:rPr>
          <w:lang w:val="de-DE"/>
        </w:rPr>
        <w:t>teilweise überarbeitete Prüfungsrichtlinien</w:t>
      </w:r>
      <w:r w:rsidRPr="00C47725">
        <w:rPr>
          <w:snapToGrid w:val="0"/>
          <w:lang w:val="de-DE"/>
        </w:rPr>
        <w:t xml:space="preserve"> für</w:t>
      </w:r>
      <w:r w:rsidRPr="00C47725">
        <w:rPr>
          <w:lang w:val="de-DE"/>
        </w:rPr>
        <w:t xml:space="preserve"> die Durchführung der Prüfung auf Unterscheidbarkeit, Homogenität und Beständigkeit</w:t>
      </w:r>
      <w:r w:rsidRPr="00C47725">
        <w:rPr>
          <w:snapToGrid w:val="0"/>
          <w:lang w:val="de-DE"/>
        </w:rPr>
        <w:t xml:space="preserve">, </w:t>
      </w:r>
      <w:r w:rsidRPr="00C47725">
        <w:rPr>
          <w:lang w:val="de-DE"/>
        </w:rPr>
        <w:t>wie in der nach</w:t>
      </w:r>
      <w:r>
        <w:rPr>
          <w:lang w:val="de-DE"/>
        </w:rPr>
        <w:t>stehenden</w:t>
      </w:r>
      <w:r w:rsidRPr="00C47725">
        <w:rPr>
          <w:lang w:val="de-DE"/>
        </w:rPr>
        <w:t xml:space="preserve"> Tabelle aufgeführt, aufgrund der in Anlage II dieses Dokuments aufgeführten Änderungen und der vom TC-EDC vorgeschlagenen sprachlichen Änderungen auf dem Schriftweg angenommen worden war:</w:t>
      </w:r>
    </w:p>
    <w:p w:rsidR="002D20DB" w:rsidRPr="00C47725" w:rsidRDefault="002D20DB" w:rsidP="002D20DB">
      <w:pPr>
        <w:rPr>
          <w:lang w:val="de-DE"/>
        </w:rPr>
      </w:pPr>
    </w:p>
    <w:tbl>
      <w:tblPr>
        <w:tblW w:w="10275" w:type="dxa"/>
        <w:tblInd w:w="-142"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2D20DB" w:rsidRPr="00C47725" w:rsidTr="002B5125">
        <w:trPr>
          <w:trHeight w:val="1050"/>
          <w:tblHeader/>
        </w:trPr>
        <w:tc>
          <w:tcPr>
            <w:tcW w:w="590" w:type="dxa"/>
            <w:tcBorders>
              <w:top w:val="single" w:sz="4" w:space="0" w:color="auto"/>
              <w:bottom w:val="single" w:sz="4" w:space="0" w:color="auto"/>
            </w:tcBorders>
            <w:shd w:val="clear" w:color="auto" w:fill="D9D9D9"/>
            <w:vAlign w:val="center"/>
          </w:tcPr>
          <w:p w:rsidR="002D20DB" w:rsidRPr="00C47725" w:rsidRDefault="002D20DB" w:rsidP="002B5125">
            <w:pPr>
              <w:keepNext/>
              <w:jc w:val="left"/>
              <w:rPr>
                <w:rFonts w:eastAsia="MS Mincho" w:cs="Arial"/>
                <w:bCs/>
                <w:sz w:val="16"/>
                <w:szCs w:val="16"/>
                <w:lang w:val="de-DE" w:eastAsia="ja-JP"/>
              </w:rPr>
            </w:pPr>
            <w:r w:rsidRPr="00C47725">
              <w:rPr>
                <w:rFonts w:eastAsia="MS Mincho" w:cs="Arial"/>
                <w:bCs/>
                <w:sz w:val="16"/>
                <w:szCs w:val="16"/>
                <w:lang w:val="de-DE" w:eastAsia="ja-JP"/>
              </w:rPr>
              <w:t>**</w:t>
            </w:r>
          </w:p>
        </w:tc>
        <w:tc>
          <w:tcPr>
            <w:tcW w:w="590" w:type="dxa"/>
            <w:tcBorders>
              <w:top w:val="single" w:sz="4" w:space="0" w:color="auto"/>
              <w:bottom w:val="single" w:sz="4" w:space="0" w:color="auto"/>
            </w:tcBorders>
            <w:shd w:val="clear" w:color="auto" w:fill="D9D9D9"/>
            <w:vAlign w:val="center"/>
          </w:tcPr>
          <w:p w:rsidR="002D20DB" w:rsidRPr="00C47725" w:rsidRDefault="002D20DB" w:rsidP="002B5125">
            <w:pPr>
              <w:keepNext/>
              <w:jc w:val="left"/>
              <w:rPr>
                <w:rFonts w:eastAsia="MS Mincho" w:cs="Arial"/>
                <w:bCs/>
                <w:sz w:val="16"/>
                <w:szCs w:val="16"/>
                <w:lang w:val="de-DE" w:eastAsia="ja-JP"/>
              </w:rPr>
            </w:pPr>
            <w:r w:rsidRPr="00C47725">
              <w:rPr>
                <w:rFonts w:eastAsia="MS Mincho" w:cs="Arial"/>
                <w:bCs/>
                <w:sz w:val="16"/>
                <w:szCs w:val="16"/>
                <w:lang w:val="de-DE" w:eastAsia="ja-JP"/>
              </w:rPr>
              <w:t>TWP</w:t>
            </w:r>
          </w:p>
        </w:tc>
        <w:tc>
          <w:tcPr>
            <w:tcW w:w="1866" w:type="dxa"/>
            <w:tcBorders>
              <w:top w:val="single" w:sz="4" w:space="0" w:color="auto"/>
              <w:bottom w:val="single" w:sz="4" w:space="0" w:color="auto"/>
            </w:tcBorders>
            <w:shd w:val="clear" w:color="auto" w:fill="D9D9D9"/>
            <w:vAlign w:val="center"/>
          </w:tcPr>
          <w:p w:rsidR="002D20DB" w:rsidRPr="00967481" w:rsidRDefault="002D20DB" w:rsidP="002B5125">
            <w:pPr>
              <w:keepNext/>
              <w:ind w:left="-36"/>
              <w:jc w:val="left"/>
              <w:rPr>
                <w:rFonts w:eastAsia="MS Mincho" w:cs="Arial"/>
                <w:bCs/>
                <w:sz w:val="16"/>
                <w:szCs w:val="16"/>
                <w:lang w:eastAsia="ja-JP"/>
              </w:rPr>
            </w:pPr>
            <w:r w:rsidRPr="004F1DFE">
              <w:rPr>
                <w:rFonts w:eastAsia="MS Mincho" w:cs="Arial"/>
                <w:bCs/>
                <w:sz w:val="16"/>
                <w:szCs w:val="16"/>
                <w:lang w:val="fr-CH" w:eastAsia="ja-JP"/>
              </w:rPr>
              <w:t xml:space="preserve">Document No. </w:t>
            </w:r>
            <w:r w:rsidRPr="004F1DFE">
              <w:rPr>
                <w:rFonts w:eastAsia="MS Mincho" w:cs="Arial"/>
                <w:bCs/>
                <w:sz w:val="16"/>
                <w:szCs w:val="16"/>
                <w:lang w:val="fr-CH" w:eastAsia="ja-JP"/>
              </w:rPr>
              <w:br/>
              <w:t xml:space="preserve">No. du document </w:t>
            </w:r>
            <w:r w:rsidRPr="004F1DFE">
              <w:rPr>
                <w:rFonts w:eastAsia="MS Mincho" w:cs="Arial"/>
                <w:bCs/>
                <w:sz w:val="16"/>
                <w:szCs w:val="16"/>
                <w:lang w:val="fr-CH" w:eastAsia="ja-JP"/>
              </w:rPr>
              <w:br/>
              <w:t xml:space="preserve">Dokument-Nr. </w:t>
            </w:r>
            <w:r w:rsidRPr="004F1DFE">
              <w:rPr>
                <w:rFonts w:eastAsia="MS Mincho" w:cs="Arial"/>
                <w:bCs/>
                <w:sz w:val="16"/>
                <w:szCs w:val="16"/>
                <w:lang w:val="fr-CH" w:eastAsia="ja-JP"/>
              </w:rPr>
              <w:br/>
            </w:r>
            <w:r w:rsidRPr="00967481">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rsidR="002D20DB" w:rsidRPr="00C47725" w:rsidRDefault="002D20DB" w:rsidP="002B5125">
            <w:pPr>
              <w:keepNext/>
              <w:jc w:val="left"/>
              <w:rPr>
                <w:rFonts w:eastAsia="MS Mincho" w:cs="Arial"/>
                <w:bCs/>
                <w:sz w:val="16"/>
                <w:szCs w:val="16"/>
                <w:lang w:val="de-DE" w:eastAsia="ja-JP"/>
              </w:rPr>
            </w:pPr>
            <w:r w:rsidRPr="00C47725">
              <w:rPr>
                <w:rFonts w:eastAsia="MS Mincho" w:cs="Arial"/>
                <w:bCs/>
                <w:sz w:val="16"/>
                <w:szCs w:val="16"/>
                <w:lang w:val="de-DE" w:eastAsia="ja-JP"/>
              </w:rPr>
              <w:t>English</w:t>
            </w:r>
          </w:p>
        </w:tc>
        <w:tc>
          <w:tcPr>
            <w:tcW w:w="1382" w:type="dxa"/>
            <w:tcBorders>
              <w:top w:val="single" w:sz="4" w:space="0" w:color="auto"/>
              <w:bottom w:val="single" w:sz="4" w:space="0" w:color="auto"/>
            </w:tcBorders>
            <w:shd w:val="clear" w:color="auto" w:fill="D9D9D9"/>
            <w:vAlign w:val="center"/>
          </w:tcPr>
          <w:p w:rsidR="002D20DB" w:rsidRPr="00C47725" w:rsidRDefault="002D20DB" w:rsidP="002B5125">
            <w:pPr>
              <w:keepNext/>
              <w:jc w:val="left"/>
              <w:rPr>
                <w:rFonts w:eastAsia="MS Mincho" w:cs="Arial"/>
                <w:sz w:val="16"/>
                <w:szCs w:val="16"/>
                <w:lang w:val="de-DE" w:eastAsia="ja-JP"/>
              </w:rPr>
            </w:pPr>
            <w:r w:rsidRPr="00C47725">
              <w:rPr>
                <w:rFonts w:eastAsia="MS Mincho" w:cs="Arial"/>
                <w:sz w:val="16"/>
                <w:szCs w:val="16"/>
                <w:lang w:val="de-DE" w:eastAsia="ja-JP"/>
              </w:rPr>
              <w:t>Français</w:t>
            </w:r>
          </w:p>
        </w:tc>
        <w:tc>
          <w:tcPr>
            <w:tcW w:w="1382" w:type="dxa"/>
            <w:tcBorders>
              <w:top w:val="single" w:sz="4" w:space="0" w:color="auto"/>
              <w:bottom w:val="single" w:sz="4" w:space="0" w:color="auto"/>
            </w:tcBorders>
            <w:shd w:val="clear" w:color="auto" w:fill="D9D9D9"/>
            <w:vAlign w:val="center"/>
          </w:tcPr>
          <w:p w:rsidR="002D20DB" w:rsidRPr="00C47725" w:rsidRDefault="002D20DB" w:rsidP="002B5125">
            <w:pPr>
              <w:keepNext/>
              <w:jc w:val="left"/>
              <w:rPr>
                <w:rFonts w:eastAsia="MS Mincho" w:cs="Arial"/>
                <w:sz w:val="16"/>
                <w:szCs w:val="16"/>
                <w:lang w:val="de-DE" w:eastAsia="ja-JP"/>
              </w:rPr>
            </w:pPr>
            <w:r w:rsidRPr="00C47725">
              <w:rPr>
                <w:rFonts w:eastAsia="MS Mincho" w:cs="Arial"/>
                <w:sz w:val="16"/>
                <w:szCs w:val="16"/>
                <w:lang w:val="de-DE" w:eastAsia="ja-JP"/>
              </w:rPr>
              <w:t>Deutsch</w:t>
            </w:r>
          </w:p>
        </w:tc>
        <w:tc>
          <w:tcPr>
            <w:tcW w:w="1382" w:type="dxa"/>
            <w:tcBorders>
              <w:top w:val="single" w:sz="4" w:space="0" w:color="auto"/>
              <w:bottom w:val="single" w:sz="4" w:space="0" w:color="auto"/>
            </w:tcBorders>
            <w:shd w:val="clear" w:color="auto" w:fill="D9D9D9"/>
            <w:vAlign w:val="center"/>
          </w:tcPr>
          <w:p w:rsidR="002D20DB" w:rsidRPr="00C47725" w:rsidRDefault="002D20DB" w:rsidP="002B5125">
            <w:pPr>
              <w:keepNext/>
              <w:jc w:val="left"/>
              <w:rPr>
                <w:rFonts w:eastAsia="MS Mincho" w:cs="Arial"/>
                <w:sz w:val="16"/>
                <w:szCs w:val="16"/>
                <w:lang w:val="de-DE" w:eastAsia="ja-JP"/>
              </w:rPr>
            </w:pPr>
            <w:r w:rsidRPr="00C47725">
              <w:rPr>
                <w:rFonts w:eastAsia="MS Mincho" w:cs="Arial"/>
                <w:sz w:val="16"/>
                <w:szCs w:val="16"/>
                <w:lang w:val="de-DE" w:eastAsia="ja-JP"/>
              </w:rPr>
              <w:t>Español</w:t>
            </w:r>
          </w:p>
        </w:tc>
        <w:tc>
          <w:tcPr>
            <w:tcW w:w="1701" w:type="dxa"/>
            <w:tcBorders>
              <w:top w:val="single" w:sz="4" w:space="0" w:color="auto"/>
              <w:bottom w:val="single" w:sz="4" w:space="0" w:color="auto"/>
            </w:tcBorders>
            <w:shd w:val="clear" w:color="auto" w:fill="D9D9D9"/>
            <w:vAlign w:val="center"/>
          </w:tcPr>
          <w:p w:rsidR="002D20DB" w:rsidRPr="00967481" w:rsidRDefault="002D20DB" w:rsidP="002B5125">
            <w:pPr>
              <w:keepNext/>
              <w:jc w:val="left"/>
              <w:rPr>
                <w:rFonts w:eastAsia="MS Mincho" w:cs="Arial"/>
                <w:sz w:val="16"/>
                <w:szCs w:val="16"/>
                <w:lang w:eastAsia="ja-JP"/>
              </w:rPr>
            </w:pPr>
            <w:r w:rsidRPr="00967481">
              <w:rPr>
                <w:rFonts w:eastAsia="Arial" w:cs="Arial"/>
                <w:color w:val="000000"/>
                <w:sz w:val="16"/>
                <w:szCs w:val="16"/>
                <w:shd w:val="clear" w:color="auto" w:fill="CACACA"/>
              </w:rPr>
              <w:t>Botanical name</w:t>
            </w:r>
            <w:r w:rsidRPr="00967481">
              <w:rPr>
                <w:rFonts w:eastAsia="Arial" w:cs="Arial"/>
                <w:color w:val="000000"/>
                <w:sz w:val="16"/>
                <w:szCs w:val="16"/>
                <w:shd w:val="clear" w:color="auto" w:fill="CACACA"/>
              </w:rPr>
              <w:br/>
              <w:t>Nom botanique</w:t>
            </w:r>
            <w:r w:rsidRPr="00967481">
              <w:rPr>
                <w:rFonts w:eastAsia="Arial" w:cs="Arial"/>
                <w:color w:val="000000"/>
                <w:sz w:val="16"/>
                <w:szCs w:val="16"/>
                <w:shd w:val="clear" w:color="auto" w:fill="CACACA"/>
              </w:rPr>
              <w:br/>
              <w:t>Botanischer Name</w:t>
            </w:r>
            <w:r w:rsidRPr="00967481">
              <w:rPr>
                <w:rFonts w:eastAsia="Arial" w:cs="Arial"/>
                <w:color w:val="000000"/>
                <w:sz w:val="16"/>
                <w:szCs w:val="16"/>
                <w:shd w:val="clear" w:color="auto" w:fill="CACACA"/>
              </w:rPr>
              <w:br/>
              <w:t>Nombre botánico</w:t>
            </w:r>
          </w:p>
        </w:tc>
      </w:tr>
      <w:tr w:rsidR="002D20DB" w:rsidRPr="000E6F70" w:rsidTr="002B5125">
        <w:tc>
          <w:tcPr>
            <w:tcW w:w="10275" w:type="dxa"/>
            <w:gridSpan w:val="8"/>
            <w:tcBorders>
              <w:top w:val="single" w:sz="4" w:space="0" w:color="auto"/>
              <w:left w:val="single" w:sz="4" w:space="0" w:color="auto"/>
              <w:bottom w:val="single" w:sz="4" w:space="0" w:color="auto"/>
              <w:right w:val="single" w:sz="4" w:space="0" w:color="auto"/>
            </w:tcBorders>
          </w:tcPr>
          <w:p w:rsidR="002D20DB" w:rsidRPr="004F1DFE" w:rsidRDefault="002D20DB" w:rsidP="002B5125">
            <w:pPr>
              <w:spacing w:before="60" w:after="120"/>
              <w:ind w:left="-36"/>
              <w:jc w:val="left"/>
              <w:rPr>
                <w:rFonts w:cs="Arial"/>
                <w:sz w:val="16"/>
                <w:szCs w:val="16"/>
                <w:u w:val="single"/>
                <w:lang w:val="fr-CH"/>
              </w:rPr>
            </w:pPr>
            <w:r w:rsidRPr="004F1DFE">
              <w:rPr>
                <w:rFonts w:cs="Arial"/>
                <w:bCs/>
                <w:sz w:val="16"/>
                <w:szCs w:val="16"/>
                <w:u w:val="single"/>
                <w:lang w:val="fr-CH"/>
              </w:rPr>
              <w:t xml:space="preserve">REVISIONS OF ADOPTED TEST GUIDELINES / </w:t>
            </w:r>
            <w:r w:rsidRPr="004F1DFE">
              <w:rPr>
                <w:rFonts w:cs="Arial"/>
                <w:sz w:val="16"/>
                <w:szCs w:val="16"/>
                <w:u w:val="single"/>
                <w:lang w:val="fr-CH"/>
              </w:rPr>
              <w:t xml:space="preserve">RÉVISIONS DE PRINCIPES DIRECTEURS D’EXAMEN ADOPTÉS / </w:t>
            </w:r>
            <w:r w:rsidRPr="004F1DFE">
              <w:rPr>
                <w:rFonts w:cs="Arial"/>
                <w:sz w:val="16"/>
                <w:szCs w:val="16"/>
                <w:u w:val="single"/>
                <w:lang w:val="fr-CH"/>
              </w:rPr>
              <w:br/>
              <w:t>REVISIONEN ANGENOMMENER PRÜFUNGSRICHTLINIEN / REVISIONS DE DIRECTRICES DE EXAMEN ADOPTADAS</w:t>
            </w:r>
          </w:p>
        </w:tc>
      </w:tr>
      <w:tr w:rsidR="002D20DB" w:rsidRPr="000E6F70" w:rsidTr="002B512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sz w:val="16"/>
                <w:lang w:val="de-DE"/>
              </w:rPr>
            </w:pPr>
            <w:r w:rsidRPr="00C47725">
              <w:rPr>
                <w:rFonts w:cs="Arial"/>
                <w:sz w:val="16"/>
                <w:lang w:val="de-DE"/>
              </w:rPr>
              <w:t>AU</w:t>
            </w:r>
          </w:p>
        </w:tc>
        <w:tc>
          <w:tcPr>
            <w:tcW w:w="590"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rPr>
                <w:rFonts w:cs="Arial"/>
                <w:sz w:val="16"/>
                <w:lang w:val="de-DE"/>
              </w:rPr>
            </w:pPr>
            <w:r w:rsidRPr="00C47725">
              <w:rPr>
                <w:rFonts w:cs="Arial"/>
                <w:sz w:val="16"/>
                <w:lang w:val="de-DE"/>
              </w:rPr>
              <w:t>TWF</w:t>
            </w:r>
          </w:p>
        </w:tc>
        <w:tc>
          <w:tcPr>
            <w:tcW w:w="1866"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ind w:left="-36"/>
              <w:rPr>
                <w:rFonts w:cs="Arial"/>
                <w:sz w:val="16"/>
                <w:lang w:val="de-DE"/>
              </w:rPr>
            </w:pPr>
            <w:r w:rsidRPr="00C47725">
              <w:rPr>
                <w:rFonts w:cs="Arial"/>
                <w:sz w:val="16"/>
                <w:lang w:val="de-DE"/>
              </w:rPr>
              <w:t>TG/137/5</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Blueberry</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Myrtille</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Heidelbeere</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Arándano americano</w:t>
            </w:r>
          </w:p>
        </w:tc>
        <w:tc>
          <w:tcPr>
            <w:tcW w:w="1701"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eastAsia="Arial" w:cs="Arial"/>
                <w:iCs/>
                <w:color w:val="000000"/>
                <w:sz w:val="16"/>
                <w:szCs w:val="16"/>
                <w:lang w:val="de-DE"/>
              </w:rPr>
              <w:t>Vaccinium angustifolium</w:t>
            </w:r>
            <w:r w:rsidRPr="00C47725">
              <w:rPr>
                <w:rFonts w:eastAsia="Arial" w:cs="Arial"/>
                <w:color w:val="000000"/>
                <w:sz w:val="16"/>
                <w:szCs w:val="16"/>
                <w:lang w:val="de-DE"/>
              </w:rPr>
              <w:t xml:space="preserve"> x </w:t>
            </w:r>
            <w:r w:rsidRPr="00C47725">
              <w:rPr>
                <w:rFonts w:eastAsia="Arial" w:cs="Arial"/>
                <w:iCs/>
                <w:color w:val="000000"/>
                <w:sz w:val="16"/>
                <w:szCs w:val="16"/>
                <w:lang w:val="de-DE"/>
              </w:rPr>
              <w:t>V. myrsinites</w:t>
            </w:r>
            <w:r w:rsidRPr="00C47725">
              <w:rPr>
                <w:rFonts w:eastAsia="Arial" w:cs="Arial"/>
                <w:color w:val="000000"/>
                <w:sz w:val="16"/>
                <w:szCs w:val="16"/>
                <w:lang w:val="de-DE"/>
              </w:rPr>
              <w:t xml:space="preserve"> x </w:t>
            </w:r>
            <w:r w:rsidRPr="00C47725">
              <w:rPr>
                <w:rFonts w:eastAsia="Arial" w:cs="Arial"/>
                <w:iCs/>
                <w:color w:val="000000"/>
                <w:sz w:val="16"/>
                <w:szCs w:val="16"/>
                <w:lang w:val="de-DE"/>
              </w:rPr>
              <w:t>V. corymbosum</w:t>
            </w:r>
            <w:r w:rsidRPr="00C47725">
              <w:rPr>
                <w:rFonts w:eastAsia="Arial" w:cs="Arial"/>
                <w:color w:val="000000"/>
                <w:sz w:val="16"/>
                <w:szCs w:val="16"/>
                <w:lang w:val="de-DE"/>
              </w:rPr>
              <w:t xml:space="preserve">; </w:t>
            </w:r>
            <w:r w:rsidRPr="00C47725">
              <w:rPr>
                <w:rFonts w:eastAsia="Arial" w:cs="Arial"/>
                <w:iCs/>
                <w:color w:val="000000"/>
                <w:sz w:val="16"/>
                <w:szCs w:val="16"/>
                <w:lang w:val="de-DE"/>
              </w:rPr>
              <w:t>V. angustifolium</w:t>
            </w:r>
            <w:r w:rsidRPr="00C47725">
              <w:rPr>
                <w:rFonts w:eastAsia="Arial" w:cs="Arial"/>
                <w:color w:val="000000"/>
                <w:sz w:val="16"/>
                <w:szCs w:val="16"/>
                <w:lang w:val="de-DE"/>
              </w:rPr>
              <w:t xml:space="preserve"> Aiton; </w:t>
            </w:r>
            <w:r w:rsidRPr="00C47725">
              <w:rPr>
                <w:rFonts w:eastAsia="Arial" w:cs="Arial"/>
                <w:color w:val="000000"/>
                <w:sz w:val="16"/>
                <w:szCs w:val="16"/>
                <w:lang w:val="de-DE"/>
              </w:rPr>
              <w:br/>
              <w:t>Hybrid</w:t>
            </w:r>
            <w:r>
              <w:rPr>
                <w:rFonts w:eastAsia="Arial" w:cs="Arial"/>
                <w:color w:val="000000"/>
                <w:sz w:val="16"/>
                <w:szCs w:val="16"/>
                <w:lang w:val="de-DE"/>
              </w:rPr>
              <w:t>e zwischen</w:t>
            </w:r>
            <w:r w:rsidRPr="00C47725">
              <w:rPr>
                <w:rFonts w:eastAsia="Arial" w:cs="Arial"/>
                <w:color w:val="000000"/>
                <w:sz w:val="16"/>
                <w:szCs w:val="16"/>
                <w:lang w:val="de-DE"/>
              </w:rPr>
              <w:t xml:space="preserve"> </w:t>
            </w:r>
            <w:r w:rsidRPr="00C47725">
              <w:rPr>
                <w:rFonts w:eastAsia="Arial" w:cs="Arial"/>
                <w:iCs/>
                <w:color w:val="000000"/>
                <w:sz w:val="16"/>
                <w:szCs w:val="16"/>
                <w:lang w:val="de-DE"/>
              </w:rPr>
              <w:t>V. corymbosum</w:t>
            </w:r>
            <w:r w:rsidRPr="00C47725">
              <w:rPr>
                <w:rFonts w:eastAsia="Arial" w:cs="Arial"/>
                <w:color w:val="000000"/>
                <w:sz w:val="16"/>
                <w:szCs w:val="16"/>
                <w:lang w:val="de-DE"/>
              </w:rPr>
              <w:t xml:space="preserve"> und </w:t>
            </w:r>
            <w:r w:rsidRPr="00C47725">
              <w:rPr>
                <w:rFonts w:eastAsia="Arial" w:cs="Arial"/>
                <w:iCs/>
                <w:color w:val="000000"/>
                <w:sz w:val="16"/>
                <w:szCs w:val="16"/>
                <w:lang w:val="de-DE"/>
              </w:rPr>
              <w:t>V. angustifolium</w:t>
            </w:r>
            <w:r w:rsidRPr="00C47725">
              <w:rPr>
                <w:rFonts w:eastAsia="Arial" w:cs="Arial"/>
                <w:color w:val="000000"/>
                <w:sz w:val="16"/>
                <w:szCs w:val="16"/>
                <w:lang w:val="de-DE"/>
              </w:rPr>
              <w:t>;</w:t>
            </w:r>
            <w:r w:rsidRPr="00C47725">
              <w:rPr>
                <w:rFonts w:eastAsia="Arial" w:cs="Arial"/>
                <w:color w:val="000000"/>
                <w:sz w:val="16"/>
                <w:szCs w:val="16"/>
                <w:lang w:val="de-DE"/>
              </w:rPr>
              <w:br/>
            </w:r>
            <w:r w:rsidRPr="00C47725">
              <w:rPr>
                <w:rFonts w:eastAsia="Arial" w:cs="Arial"/>
                <w:iCs/>
                <w:color w:val="000000"/>
                <w:sz w:val="16"/>
                <w:szCs w:val="16"/>
                <w:lang w:val="de-DE"/>
              </w:rPr>
              <w:t>V. corymbosum</w:t>
            </w:r>
            <w:r w:rsidRPr="00C47725">
              <w:rPr>
                <w:rFonts w:eastAsia="Arial" w:cs="Arial"/>
                <w:color w:val="000000"/>
                <w:sz w:val="16"/>
                <w:szCs w:val="16"/>
                <w:lang w:val="de-DE"/>
              </w:rPr>
              <w:t xml:space="preserve"> x </w:t>
            </w:r>
            <w:r w:rsidRPr="00C47725">
              <w:rPr>
                <w:rFonts w:eastAsia="Arial" w:cs="Arial"/>
                <w:iCs/>
                <w:color w:val="000000"/>
                <w:sz w:val="16"/>
                <w:szCs w:val="16"/>
                <w:lang w:val="de-DE"/>
              </w:rPr>
              <w:t>V. angustifolium</w:t>
            </w:r>
            <w:r w:rsidRPr="00C47725">
              <w:rPr>
                <w:rFonts w:eastAsia="Arial" w:cs="Arial"/>
                <w:color w:val="000000"/>
                <w:sz w:val="16"/>
                <w:szCs w:val="16"/>
                <w:lang w:val="de-DE"/>
              </w:rPr>
              <w:t xml:space="preserve"> x </w:t>
            </w:r>
            <w:r w:rsidRPr="00C47725">
              <w:rPr>
                <w:rFonts w:eastAsia="Arial" w:cs="Arial"/>
                <w:iCs/>
                <w:color w:val="000000"/>
                <w:sz w:val="16"/>
                <w:szCs w:val="16"/>
                <w:lang w:val="de-DE"/>
              </w:rPr>
              <w:t>V. virgatum</w:t>
            </w:r>
            <w:r w:rsidRPr="00C47725">
              <w:rPr>
                <w:rFonts w:eastAsia="Arial" w:cs="Arial"/>
                <w:color w:val="000000"/>
                <w:sz w:val="16"/>
                <w:szCs w:val="16"/>
                <w:lang w:val="de-DE"/>
              </w:rPr>
              <w:t>;</w:t>
            </w:r>
            <w:r w:rsidRPr="00C47725">
              <w:rPr>
                <w:rFonts w:eastAsia="Arial" w:cs="Arial"/>
                <w:color w:val="000000"/>
                <w:sz w:val="16"/>
                <w:szCs w:val="16"/>
                <w:lang w:val="de-DE"/>
              </w:rPr>
              <w:br/>
            </w:r>
            <w:r w:rsidRPr="00C47725">
              <w:rPr>
                <w:rFonts w:eastAsia="Arial" w:cs="Arial"/>
                <w:iCs/>
                <w:color w:val="000000"/>
                <w:sz w:val="16"/>
                <w:szCs w:val="16"/>
                <w:lang w:val="de-DE"/>
              </w:rPr>
              <w:t>V. corymbosum</w:t>
            </w:r>
            <w:r w:rsidRPr="00C47725">
              <w:rPr>
                <w:rFonts w:eastAsia="Arial" w:cs="Arial"/>
                <w:color w:val="000000"/>
                <w:sz w:val="16"/>
                <w:szCs w:val="16"/>
                <w:lang w:val="de-DE"/>
              </w:rPr>
              <w:t xml:space="preserve"> L.;</w:t>
            </w:r>
            <w:r w:rsidRPr="00C47725">
              <w:rPr>
                <w:rFonts w:eastAsia="Arial" w:cs="Arial"/>
                <w:color w:val="000000"/>
                <w:sz w:val="16"/>
                <w:szCs w:val="16"/>
                <w:lang w:val="de-DE"/>
              </w:rPr>
              <w:br/>
            </w:r>
            <w:r w:rsidRPr="00C47725">
              <w:rPr>
                <w:rFonts w:eastAsia="Arial" w:cs="Arial"/>
                <w:iCs/>
                <w:color w:val="000000"/>
                <w:sz w:val="16"/>
                <w:szCs w:val="16"/>
                <w:lang w:val="de-DE"/>
              </w:rPr>
              <w:t>V. formosum</w:t>
            </w:r>
            <w:r w:rsidRPr="00C47725">
              <w:rPr>
                <w:rFonts w:eastAsia="Arial" w:cs="Arial"/>
                <w:color w:val="000000"/>
                <w:sz w:val="16"/>
                <w:szCs w:val="16"/>
                <w:lang w:val="de-DE"/>
              </w:rPr>
              <w:t xml:space="preserve"> Andrews;</w:t>
            </w:r>
            <w:r w:rsidRPr="00C47725">
              <w:rPr>
                <w:rFonts w:eastAsia="Arial" w:cs="Arial"/>
                <w:color w:val="000000"/>
                <w:sz w:val="16"/>
                <w:szCs w:val="16"/>
                <w:lang w:val="de-DE"/>
              </w:rPr>
              <w:br/>
            </w:r>
            <w:r w:rsidRPr="00C47725">
              <w:rPr>
                <w:rFonts w:eastAsia="Arial" w:cs="Arial"/>
                <w:iCs/>
                <w:color w:val="000000"/>
                <w:sz w:val="16"/>
                <w:szCs w:val="16"/>
                <w:lang w:val="de-DE"/>
              </w:rPr>
              <w:t>V. myrtilloides</w:t>
            </w:r>
            <w:r w:rsidRPr="00C47725">
              <w:rPr>
                <w:rFonts w:eastAsia="Arial" w:cs="Arial"/>
                <w:color w:val="000000"/>
                <w:sz w:val="16"/>
                <w:szCs w:val="16"/>
                <w:lang w:val="de-DE"/>
              </w:rPr>
              <w:t xml:space="preserve"> Michx.;</w:t>
            </w:r>
            <w:r w:rsidRPr="00C47725">
              <w:rPr>
                <w:rFonts w:eastAsia="Arial" w:cs="Arial"/>
                <w:color w:val="000000"/>
                <w:sz w:val="16"/>
                <w:szCs w:val="16"/>
                <w:lang w:val="de-DE"/>
              </w:rPr>
              <w:br/>
            </w:r>
            <w:r w:rsidRPr="00C47725">
              <w:rPr>
                <w:rFonts w:eastAsia="Arial" w:cs="Arial"/>
                <w:iCs/>
                <w:color w:val="000000"/>
                <w:sz w:val="16"/>
                <w:szCs w:val="16"/>
                <w:lang w:val="de-DE"/>
              </w:rPr>
              <w:t>V. myrtillus</w:t>
            </w:r>
            <w:r w:rsidRPr="00C47725">
              <w:rPr>
                <w:rFonts w:eastAsia="Arial" w:cs="Arial"/>
                <w:color w:val="000000"/>
                <w:sz w:val="16"/>
                <w:szCs w:val="16"/>
                <w:lang w:val="de-DE"/>
              </w:rPr>
              <w:t xml:space="preserve"> L.; </w:t>
            </w:r>
            <w:r w:rsidRPr="00C47725">
              <w:rPr>
                <w:rFonts w:eastAsia="Arial" w:cs="Arial"/>
                <w:color w:val="000000"/>
                <w:sz w:val="16"/>
                <w:szCs w:val="16"/>
                <w:lang w:val="de-DE"/>
              </w:rPr>
              <w:br/>
            </w:r>
            <w:r w:rsidRPr="00C47725">
              <w:rPr>
                <w:rFonts w:eastAsia="Arial" w:cs="Arial"/>
                <w:iCs/>
                <w:color w:val="000000"/>
                <w:sz w:val="16"/>
                <w:szCs w:val="16"/>
                <w:lang w:val="de-DE"/>
              </w:rPr>
              <w:t>V. simulatum</w:t>
            </w:r>
            <w:r w:rsidRPr="00C47725">
              <w:rPr>
                <w:rFonts w:eastAsia="Arial" w:cs="Arial"/>
                <w:color w:val="000000"/>
                <w:sz w:val="16"/>
                <w:szCs w:val="16"/>
                <w:lang w:val="de-DE"/>
              </w:rPr>
              <w:t xml:space="preserve"> Small; </w:t>
            </w:r>
            <w:r w:rsidRPr="00C47725">
              <w:rPr>
                <w:rFonts w:eastAsia="Arial" w:cs="Arial"/>
                <w:color w:val="000000"/>
                <w:sz w:val="16"/>
                <w:szCs w:val="16"/>
                <w:lang w:val="de-DE"/>
              </w:rPr>
              <w:br/>
            </w:r>
            <w:r w:rsidRPr="00C47725">
              <w:rPr>
                <w:rFonts w:eastAsia="Arial" w:cs="Arial"/>
                <w:iCs/>
                <w:color w:val="000000"/>
                <w:sz w:val="16"/>
                <w:szCs w:val="16"/>
                <w:lang w:val="de-DE"/>
              </w:rPr>
              <w:t>V. virgatum</w:t>
            </w:r>
            <w:r w:rsidRPr="00C47725">
              <w:rPr>
                <w:rFonts w:eastAsia="Arial" w:cs="Arial"/>
                <w:color w:val="000000"/>
                <w:sz w:val="16"/>
                <w:szCs w:val="16"/>
                <w:lang w:val="de-DE"/>
              </w:rPr>
              <w:t xml:space="preserve"> Aiton</w:t>
            </w:r>
          </w:p>
        </w:tc>
      </w:tr>
      <w:tr w:rsidR="002D20DB" w:rsidRPr="000E6F70" w:rsidTr="002B5125">
        <w:tc>
          <w:tcPr>
            <w:tcW w:w="10275" w:type="dxa"/>
            <w:gridSpan w:val="8"/>
            <w:tcBorders>
              <w:top w:val="single" w:sz="4" w:space="0" w:color="auto"/>
              <w:left w:val="single" w:sz="4" w:space="0" w:color="auto"/>
              <w:bottom w:val="single" w:sz="4" w:space="0" w:color="auto"/>
              <w:right w:val="single" w:sz="4" w:space="0" w:color="auto"/>
            </w:tcBorders>
          </w:tcPr>
          <w:p w:rsidR="002D20DB" w:rsidRPr="004F1DFE" w:rsidRDefault="002D20DB" w:rsidP="002B5125">
            <w:pPr>
              <w:keepNext/>
              <w:spacing w:before="60" w:after="120"/>
              <w:ind w:left="-36"/>
              <w:jc w:val="left"/>
              <w:rPr>
                <w:rFonts w:cs="Arial"/>
                <w:sz w:val="16"/>
                <w:szCs w:val="16"/>
                <w:u w:val="single"/>
                <w:lang w:val="fr-CH"/>
              </w:rPr>
            </w:pPr>
            <w:r w:rsidRPr="004F1DFE">
              <w:rPr>
                <w:rFonts w:cs="Arial"/>
                <w:bCs/>
                <w:sz w:val="16"/>
                <w:szCs w:val="16"/>
                <w:u w:val="single"/>
                <w:lang w:val="fr-CH"/>
              </w:rPr>
              <w:t xml:space="preserve">PARTIAL REVISIONS OF ADOPTED TEST GUIDELINES / </w:t>
            </w:r>
            <w:r w:rsidRPr="004F1DFE">
              <w:rPr>
                <w:rFonts w:cs="Arial"/>
                <w:sz w:val="16"/>
                <w:szCs w:val="16"/>
                <w:u w:val="single"/>
                <w:lang w:val="fr-CH"/>
              </w:rPr>
              <w:t>RÉVISIONS PARTIELLES DE PRINCIPES DIRECTEURS D’EXAMEN ADOPTÉS / TEILREVISIONEN ANGENOMMENER PRÜFUNGSRICHTLINIEN / REVISIONS PARCIALES DE DIRECTRICES DE EXAMEN ADOPTADAS</w:t>
            </w:r>
          </w:p>
        </w:tc>
      </w:tr>
      <w:tr w:rsidR="002D20DB" w:rsidRPr="00C47725" w:rsidTr="002B512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keepNext/>
              <w:jc w:val="left"/>
              <w:rPr>
                <w:rFonts w:cs="Arial"/>
                <w:sz w:val="16"/>
                <w:lang w:val="de-DE"/>
              </w:rPr>
            </w:pPr>
            <w:r w:rsidRPr="00C47725">
              <w:rPr>
                <w:rFonts w:cs="Arial"/>
                <w:sz w:val="16"/>
                <w:lang w:val="de-DE"/>
              </w:rPr>
              <w:t>FR</w:t>
            </w:r>
          </w:p>
        </w:tc>
        <w:tc>
          <w:tcPr>
            <w:tcW w:w="590"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keepNext/>
              <w:jc w:val="left"/>
              <w:rPr>
                <w:rFonts w:cs="Arial"/>
                <w:sz w:val="16"/>
                <w:lang w:val="de-DE"/>
              </w:rPr>
            </w:pPr>
            <w:r w:rsidRPr="00C47725">
              <w:rPr>
                <w:rFonts w:cs="Arial"/>
                <w:sz w:val="16"/>
                <w:lang w:val="de-DE"/>
              </w:rPr>
              <w:t>TWV</w:t>
            </w:r>
          </w:p>
        </w:tc>
        <w:tc>
          <w:tcPr>
            <w:tcW w:w="1866"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TG/7/10 Rev. 2</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Pea</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Pois</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Erbse</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Guisante, Arveja</w:t>
            </w:r>
          </w:p>
        </w:tc>
        <w:tc>
          <w:tcPr>
            <w:tcW w:w="1701"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Pisum sativum L,</w:t>
            </w:r>
          </w:p>
          <w:p w:rsidR="002D20DB" w:rsidRPr="00C47725" w:rsidRDefault="002D20DB" w:rsidP="002B5125">
            <w:pPr>
              <w:jc w:val="left"/>
              <w:rPr>
                <w:rFonts w:cs="Arial"/>
                <w:sz w:val="16"/>
                <w:szCs w:val="16"/>
                <w:lang w:val="de-DE"/>
              </w:rPr>
            </w:pPr>
            <w:r w:rsidRPr="00C47725">
              <w:rPr>
                <w:rFonts w:cs="Arial"/>
                <w:sz w:val="16"/>
                <w:szCs w:val="16"/>
                <w:lang w:val="de-DE"/>
              </w:rPr>
              <w:t>Pisum arvense L.</w:t>
            </w:r>
          </w:p>
        </w:tc>
      </w:tr>
      <w:tr w:rsidR="002D20DB" w:rsidRPr="00C47725" w:rsidTr="002B512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keepNext/>
              <w:jc w:val="left"/>
              <w:rPr>
                <w:rFonts w:cs="Arial"/>
                <w:sz w:val="16"/>
                <w:lang w:val="de-DE"/>
              </w:rPr>
            </w:pPr>
            <w:r w:rsidRPr="00C47725">
              <w:rPr>
                <w:rFonts w:cs="Arial"/>
                <w:sz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keepNext/>
              <w:jc w:val="left"/>
              <w:rPr>
                <w:lang w:val="de-DE"/>
              </w:rPr>
            </w:pPr>
            <w:r w:rsidRPr="00C47725">
              <w:rPr>
                <w:rFonts w:cs="Arial"/>
                <w:sz w:val="16"/>
                <w:lang w:val="de-DE"/>
              </w:rPr>
              <w:t>TWV</w:t>
            </w:r>
          </w:p>
        </w:tc>
        <w:tc>
          <w:tcPr>
            <w:tcW w:w="1866"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TG/13/11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Lettuce</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Laitue</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Salat</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Lechuga</w:t>
            </w:r>
          </w:p>
        </w:tc>
        <w:tc>
          <w:tcPr>
            <w:tcW w:w="1701"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color w:val="333333"/>
                <w:sz w:val="16"/>
                <w:szCs w:val="18"/>
                <w:shd w:val="clear" w:color="auto" w:fill="FFFFFF"/>
                <w:lang w:val="de-DE"/>
              </w:rPr>
              <w:t>Lactuca sativa L.</w:t>
            </w:r>
          </w:p>
        </w:tc>
      </w:tr>
      <w:tr w:rsidR="002D20DB" w:rsidRPr="00C47725" w:rsidTr="002B512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keepNext/>
              <w:jc w:val="left"/>
              <w:rPr>
                <w:rFonts w:cs="Arial"/>
                <w:sz w:val="16"/>
                <w:lang w:val="de-DE"/>
              </w:rPr>
            </w:pPr>
            <w:r w:rsidRPr="00C47725">
              <w:rPr>
                <w:rFonts w:cs="Arial"/>
                <w:sz w:val="16"/>
                <w:lang w:val="de-DE"/>
              </w:rPr>
              <w:t>NL</w:t>
            </w:r>
          </w:p>
        </w:tc>
        <w:tc>
          <w:tcPr>
            <w:tcW w:w="590"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keepNext/>
              <w:jc w:val="left"/>
              <w:rPr>
                <w:lang w:val="de-DE"/>
              </w:rPr>
            </w:pPr>
            <w:r w:rsidRPr="00C47725">
              <w:rPr>
                <w:rFonts w:cs="Arial"/>
                <w:sz w:val="16"/>
                <w:lang w:val="de-DE"/>
              </w:rPr>
              <w:t>TWV</w:t>
            </w:r>
          </w:p>
        </w:tc>
        <w:tc>
          <w:tcPr>
            <w:tcW w:w="1866"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TG/55/7 Rev. 6</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Spinach</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Épinard</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Spinat</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Espinaca</w:t>
            </w:r>
          </w:p>
        </w:tc>
        <w:tc>
          <w:tcPr>
            <w:tcW w:w="1701"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Spinacia oleracea L.</w:t>
            </w:r>
          </w:p>
        </w:tc>
      </w:tr>
      <w:tr w:rsidR="002D20DB" w:rsidRPr="00967481" w:rsidTr="002B512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jc w:val="left"/>
              <w:rPr>
                <w:rFonts w:cs="Arial"/>
                <w:sz w:val="16"/>
                <w:lang w:val="de-DE"/>
              </w:rPr>
            </w:pPr>
            <w:r w:rsidRPr="00C47725">
              <w:rPr>
                <w:rFonts w:cs="Arial"/>
                <w:sz w:val="16"/>
                <w:lang w:val="de-DE"/>
              </w:rPr>
              <w:t>ES</w:t>
            </w:r>
          </w:p>
        </w:tc>
        <w:tc>
          <w:tcPr>
            <w:tcW w:w="590"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TWF</w:t>
            </w:r>
          </w:p>
        </w:tc>
        <w:tc>
          <w:tcPr>
            <w:tcW w:w="1866"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TG/56/4 Corr.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Almond</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Amandier</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Mandel</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 xml:space="preserve">Almendro </w:t>
            </w:r>
          </w:p>
        </w:tc>
        <w:tc>
          <w:tcPr>
            <w:tcW w:w="1701"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Prunus dulcis (Mill.) D.A.Webb, Prunus amygdalus (L.)</w:t>
            </w:r>
          </w:p>
        </w:tc>
      </w:tr>
      <w:tr w:rsidR="002D20DB" w:rsidRPr="00C47725" w:rsidTr="002B512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jc w:val="left"/>
              <w:rPr>
                <w:rFonts w:cs="Arial"/>
                <w:sz w:val="16"/>
                <w:lang w:val="de-DE"/>
              </w:rPr>
            </w:pPr>
            <w:r w:rsidRPr="00C47725">
              <w:rPr>
                <w:rFonts w:cs="Arial"/>
                <w:sz w:val="16"/>
                <w:lang w:val="de-DE"/>
              </w:rPr>
              <w:t>NZ</w:t>
            </w:r>
          </w:p>
        </w:tc>
        <w:tc>
          <w:tcPr>
            <w:tcW w:w="590"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TWF</w:t>
            </w:r>
          </w:p>
        </w:tc>
        <w:tc>
          <w:tcPr>
            <w:tcW w:w="1866"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TG/98/7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Actinidia, K</w:t>
            </w:r>
            <w:r w:rsidRPr="00C47725">
              <w:rPr>
                <w:sz w:val="16"/>
                <w:lang w:val="de-DE"/>
              </w:rPr>
              <w:t>iwifruit</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 xml:space="preserve">Actinidia </w:t>
            </w:r>
          </w:p>
        </w:tc>
        <w:tc>
          <w:tcPr>
            <w:tcW w:w="1701"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Actinidia Lindl.</w:t>
            </w:r>
          </w:p>
        </w:tc>
      </w:tr>
      <w:tr w:rsidR="002D20DB" w:rsidRPr="00C47725" w:rsidTr="002B512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jc w:val="left"/>
              <w:rPr>
                <w:rFonts w:cs="Arial"/>
                <w:sz w:val="16"/>
                <w:lang w:val="de-DE"/>
              </w:rPr>
            </w:pPr>
            <w:r w:rsidRPr="00C47725">
              <w:rPr>
                <w:rFonts w:cs="Arial"/>
                <w:sz w:val="16"/>
                <w:lang w:val="de-DE"/>
              </w:rPr>
              <w:t>BR</w:t>
            </w:r>
          </w:p>
        </w:tc>
        <w:tc>
          <w:tcPr>
            <w:tcW w:w="590"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TWF</w:t>
            </w:r>
          </w:p>
        </w:tc>
        <w:tc>
          <w:tcPr>
            <w:tcW w:w="1866"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lang w:val="de-DE"/>
              </w:rPr>
            </w:pPr>
            <w:r w:rsidRPr="00C47725">
              <w:rPr>
                <w:rFonts w:cs="Arial"/>
                <w:sz w:val="16"/>
                <w:lang w:val="de-DE"/>
              </w:rPr>
              <w:t>TG/314/1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Coconut</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Cocotier</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Pr>
                <w:rFonts w:cs="Arial"/>
                <w:sz w:val="16"/>
                <w:szCs w:val="16"/>
                <w:lang w:val="de-DE"/>
              </w:rPr>
              <w:t>Kokosnuss</w:t>
            </w:r>
          </w:p>
        </w:tc>
        <w:tc>
          <w:tcPr>
            <w:tcW w:w="1382"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Cocotero</w:t>
            </w:r>
          </w:p>
        </w:tc>
        <w:tc>
          <w:tcPr>
            <w:tcW w:w="1701" w:type="dxa"/>
            <w:tcBorders>
              <w:top w:val="single" w:sz="4" w:space="0" w:color="auto"/>
              <w:left w:val="nil"/>
              <w:bottom w:val="single" w:sz="4" w:space="0" w:color="auto"/>
              <w:right w:val="single" w:sz="4" w:space="0" w:color="auto"/>
            </w:tcBorders>
            <w:shd w:val="clear" w:color="auto" w:fill="auto"/>
          </w:tcPr>
          <w:p w:rsidR="002D20DB" w:rsidRPr="00C47725" w:rsidRDefault="002D20DB" w:rsidP="002B5125">
            <w:pPr>
              <w:jc w:val="left"/>
              <w:rPr>
                <w:rFonts w:cs="Arial"/>
                <w:sz w:val="16"/>
                <w:szCs w:val="16"/>
                <w:lang w:val="de-DE"/>
              </w:rPr>
            </w:pPr>
            <w:r w:rsidRPr="00C47725">
              <w:rPr>
                <w:rFonts w:cs="Arial"/>
                <w:sz w:val="16"/>
                <w:szCs w:val="16"/>
                <w:lang w:val="de-DE"/>
              </w:rPr>
              <w:t>Cocos nucifera L.</w:t>
            </w:r>
          </w:p>
        </w:tc>
      </w:tr>
    </w:tbl>
    <w:p w:rsidR="002D20DB" w:rsidRPr="00C47725" w:rsidRDefault="002D20DB" w:rsidP="002D20DB">
      <w:pPr>
        <w:rPr>
          <w:lang w:val="de-DE"/>
        </w:rPr>
      </w:pPr>
    </w:p>
    <w:p w:rsidR="002D20DB" w:rsidRPr="00C47725" w:rsidRDefault="002D20DB" w:rsidP="002D20DB">
      <w:pPr>
        <w:pStyle w:val="Heading3"/>
        <w:rPr>
          <w:snapToGrid w:val="0"/>
        </w:rPr>
      </w:pPr>
      <w:r w:rsidRPr="00C47725">
        <w:rPr>
          <w:snapToGrid w:val="0"/>
        </w:rPr>
        <w:lastRenderedPageBreak/>
        <w:t>Prüfungsrichtlinien zur Annahme</w:t>
      </w:r>
    </w:p>
    <w:p w:rsidR="002D20DB" w:rsidRPr="00C47725" w:rsidRDefault="002D20DB" w:rsidP="002D20DB">
      <w:pPr>
        <w:keepNext/>
        <w:ind w:left="567" w:hanging="567"/>
        <w:rPr>
          <w:rFonts w:cs="Arial"/>
          <w:snapToGrid w:val="0"/>
          <w:lang w:val="de-DE"/>
        </w:rPr>
      </w:pPr>
    </w:p>
    <w:p w:rsidR="002D20DB" w:rsidRPr="00C47725" w:rsidRDefault="002D20DB" w:rsidP="002D20DB">
      <w:pPr>
        <w:keepNext/>
        <w:rPr>
          <w:lang w:val="de-DE"/>
        </w:rPr>
      </w:pPr>
      <w:r w:rsidRPr="00B26063">
        <w:rPr>
          <w:lang w:val="de-DE"/>
        </w:rPr>
        <w:fldChar w:fldCharType="begin"/>
      </w:r>
      <w:r w:rsidRPr="00B26063">
        <w:rPr>
          <w:lang w:val="de-DE"/>
        </w:rPr>
        <w:instrText xml:space="preserve"> AUTONUM  </w:instrText>
      </w:r>
      <w:r w:rsidRPr="00B26063">
        <w:rPr>
          <w:lang w:val="de-DE"/>
        </w:rPr>
        <w:fldChar w:fldCharType="end"/>
      </w:r>
      <w:r w:rsidRPr="00C47725">
        <w:rPr>
          <w:lang w:val="de-DE"/>
        </w:rPr>
        <w:tab/>
        <w:t>Gemäß den in Dokument TGP/7 festgelegten Verfahren nahm der TC 3 neue Prüfungsrichtlinien, 5 überarbeitete Prüfungsrichtlinien und 7 teilweise überarbeitete Prüfungsrichtlinien für die Durchführung der Prüfung auf Unterscheidbarkeit, Homogenität und Beständigkeit, wie in der nach</w:t>
      </w:r>
      <w:r>
        <w:rPr>
          <w:lang w:val="de-DE"/>
        </w:rPr>
        <w:t>folgend</w:t>
      </w:r>
      <w:r w:rsidRPr="00C47725">
        <w:rPr>
          <w:lang w:val="de-DE"/>
        </w:rPr>
        <w:t>en Tabelle aufgeführt, aufgrund der in Anlage II dieses Dokuments aufgeführten Änderungen und der vom TC-EDC empfohlenen sprachlichen Änderungen an. Der TC vereinbarte, dass diese sobald wie möglich auf der UPOV-Website veröffentlicht werden soll</w:t>
      </w:r>
      <w:r>
        <w:rPr>
          <w:lang w:val="de-DE"/>
        </w:rPr>
        <w:t>t</w:t>
      </w:r>
      <w:r w:rsidRPr="00C47725">
        <w:rPr>
          <w:lang w:val="de-DE"/>
        </w:rPr>
        <w:t xml:space="preserve">en: </w:t>
      </w:r>
    </w:p>
    <w:p w:rsidR="002D20DB" w:rsidRPr="00C47725" w:rsidRDefault="002D20DB" w:rsidP="002D20DB">
      <w:pPr>
        <w:rPr>
          <w:lang w:val="de-DE"/>
        </w:rPr>
      </w:pPr>
    </w:p>
    <w:tbl>
      <w:tblPr>
        <w:tblW w:w="10080" w:type="dxa"/>
        <w:tblLayout w:type="fixed"/>
        <w:tblLook w:val="01E0" w:firstRow="1" w:lastRow="1" w:firstColumn="1" w:lastColumn="1" w:noHBand="0" w:noVBand="0"/>
      </w:tblPr>
      <w:tblGrid>
        <w:gridCol w:w="10080"/>
      </w:tblGrid>
      <w:tr w:rsidR="002D20DB" w:rsidRPr="00C47725" w:rsidTr="002B5125">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68"/>
              <w:gridCol w:w="1447"/>
              <w:gridCol w:w="1530"/>
              <w:gridCol w:w="1365"/>
              <w:gridCol w:w="1440"/>
              <w:gridCol w:w="1350"/>
              <w:gridCol w:w="1500"/>
            </w:tblGrid>
            <w:tr w:rsidR="002D20DB" w:rsidRPr="00C47725" w:rsidTr="002B5125">
              <w:trPr>
                <w:tblHeader/>
              </w:trPr>
              <w:tc>
                <w:tcPr>
                  <w:tcW w:w="600" w:type="dxa"/>
                  <w:shd w:val="clear" w:color="auto" w:fill="CACACA"/>
                  <w:tcMar>
                    <w:top w:w="0" w:type="dxa"/>
                    <w:left w:w="0" w:type="dxa"/>
                    <w:bottom w:w="0" w:type="dxa"/>
                    <w:right w:w="0" w:type="dxa"/>
                  </w:tcMar>
                  <w:vAlign w:val="center"/>
                </w:tcPr>
                <w:p w:rsidR="002D20DB" w:rsidRPr="00C47725" w:rsidRDefault="002D20DB" w:rsidP="002B5125">
                  <w:pPr>
                    <w:keepNext/>
                    <w:rPr>
                      <w:lang w:val="de-DE"/>
                    </w:rPr>
                  </w:pPr>
                  <w:r w:rsidRPr="00C47725">
                    <w:rPr>
                      <w:rFonts w:eastAsia="Arial" w:cs="Arial"/>
                      <w:color w:val="000000"/>
                      <w:sz w:val="16"/>
                      <w:szCs w:val="16"/>
                      <w:shd w:val="clear" w:color="auto" w:fill="CACACA"/>
                      <w:lang w:val="de-DE"/>
                    </w:rPr>
                    <w:t>**</w:t>
                  </w:r>
                </w:p>
              </w:tc>
              <w:tc>
                <w:tcPr>
                  <w:tcW w:w="668" w:type="dxa"/>
                  <w:shd w:val="clear" w:color="auto" w:fill="CACACA"/>
                  <w:tcMar>
                    <w:top w:w="0" w:type="dxa"/>
                    <w:left w:w="0" w:type="dxa"/>
                    <w:bottom w:w="0" w:type="dxa"/>
                    <w:right w:w="0" w:type="dxa"/>
                  </w:tcMar>
                  <w:vAlign w:val="center"/>
                </w:tcPr>
                <w:p w:rsidR="002D20DB" w:rsidRPr="00C47725" w:rsidRDefault="002D20DB" w:rsidP="002B5125">
                  <w:pPr>
                    <w:keepNext/>
                    <w:rPr>
                      <w:lang w:val="de-DE"/>
                    </w:rPr>
                  </w:pPr>
                  <w:r w:rsidRPr="00C47725">
                    <w:rPr>
                      <w:rFonts w:eastAsia="Arial" w:cs="Arial"/>
                      <w:color w:val="000000"/>
                      <w:sz w:val="16"/>
                      <w:szCs w:val="16"/>
                      <w:shd w:val="clear" w:color="auto" w:fill="CACACA"/>
                      <w:lang w:val="de-DE"/>
                    </w:rPr>
                    <w:t>TWP</w:t>
                  </w:r>
                </w:p>
              </w:tc>
              <w:tc>
                <w:tcPr>
                  <w:tcW w:w="1447" w:type="dxa"/>
                  <w:shd w:val="clear" w:color="auto" w:fill="CACACA"/>
                  <w:tcMar>
                    <w:top w:w="0" w:type="dxa"/>
                    <w:left w:w="0" w:type="dxa"/>
                    <w:bottom w:w="0" w:type="dxa"/>
                    <w:right w:w="0" w:type="dxa"/>
                  </w:tcMar>
                  <w:vAlign w:val="center"/>
                </w:tcPr>
                <w:p w:rsidR="002D20DB" w:rsidRPr="00967481" w:rsidRDefault="002D20DB" w:rsidP="002B5125">
                  <w:pPr>
                    <w:keepNext/>
                    <w:jc w:val="left"/>
                  </w:pPr>
                  <w:r w:rsidRPr="004F1DFE">
                    <w:rPr>
                      <w:rFonts w:eastAsia="Arial" w:cs="Arial"/>
                      <w:color w:val="000000"/>
                      <w:sz w:val="16"/>
                      <w:szCs w:val="16"/>
                      <w:shd w:val="clear" w:color="auto" w:fill="CACACA"/>
                      <w:lang w:val="fr-CH"/>
                    </w:rPr>
                    <w:t xml:space="preserve">Document No. </w:t>
                  </w:r>
                  <w:r w:rsidRPr="004F1DFE">
                    <w:rPr>
                      <w:rFonts w:eastAsia="Arial" w:cs="Arial"/>
                      <w:color w:val="000000"/>
                      <w:sz w:val="16"/>
                      <w:szCs w:val="16"/>
                      <w:shd w:val="clear" w:color="auto" w:fill="CACACA"/>
                      <w:lang w:val="fr-CH"/>
                    </w:rPr>
                    <w:br/>
                    <w:t xml:space="preserve">No. du document </w:t>
                  </w:r>
                  <w:r w:rsidRPr="004F1DFE">
                    <w:rPr>
                      <w:rFonts w:eastAsia="Arial" w:cs="Arial"/>
                      <w:color w:val="000000"/>
                      <w:sz w:val="16"/>
                      <w:szCs w:val="16"/>
                      <w:shd w:val="clear" w:color="auto" w:fill="CACACA"/>
                      <w:lang w:val="fr-CH"/>
                    </w:rPr>
                    <w:br/>
                    <w:t xml:space="preserve">Dokument-Nr. </w:t>
                  </w:r>
                  <w:r w:rsidRPr="004F1DFE">
                    <w:rPr>
                      <w:rFonts w:eastAsia="Arial" w:cs="Arial"/>
                      <w:color w:val="000000"/>
                      <w:sz w:val="16"/>
                      <w:szCs w:val="16"/>
                      <w:shd w:val="clear" w:color="auto" w:fill="CACACA"/>
                      <w:lang w:val="fr-CH"/>
                    </w:rPr>
                    <w:br/>
                  </w:r>
                  <w:r w:rsidRPr="00967481">
                    <w:rPr>
                      <w:rFonts w:eastAsia="Arial" w:cs="Arial"/>
                      <w:color w:val="000000"/>
                      <w:sz w:val="16"/>
                      <w:szCs w:val="16"/>
                      <w:shd w:val="clear" w:color="auto" w:fill="CACACA"/>
                    </w:rPr>
                    <w:t>No del documento</w:t>
                  </w:r>
                  <w:r w:rsidRPr="00967481">
                    <w:rPr>
                      <w:rFonts w:eastAsia="Arial" w:cs="Arial"/>
                      <w:color w:val="000000"/>
                      <w:sz w:val="16"/>
                      <w:szCs w:val="16"/>
                      <w:shd w:val="clear" w:color="auto" w:fill="CACACA"/>
                    </w:rPr>
                    <w:br/>
                  </w:r>
                </w:p>
              </w:tc>
              <w:tc>
                <w:tcPr>
                  <w:tcW w:w="1530" w:type="dxa"/>
                  <w:shd w:val="clear" w:color="auto" w:fill="CACACA"/>
                  <w:tcMar>
                    <w:top w:w="0" w:type="dxa"/>
                    <w:left w:w="0" w:type="dxa"/>
                    <w:bottom w:w="0" w:type="dxa"/>
                    <w:right w:w="0" w:type="dxa"/>
                  </w:tcMar>
                  <w:vAlign w:val="center"/>
                </w:tcPr>
                <w:p w:rsidR="002D20DB" w:rsidRPr="00C47725" w:rsidRDefault="002D20DB" w:rsidP="002B5125">
                  <w:pPr>
                    <w:keepNext/>
                    <w:rPr>
                      <w:lang w:val="de-DE"/>
                    </w:rPr>
                  </w:pPr>
                  <w:r w:rsidRPr="00C47725">
                    <w:rPr>
                      <w:rFonts w:eastAsia="Arial" w:cs="Arial"/>
                      <w:color w:val="000000"/>
                      <w:sz w:val="16"/>
                      <w:szCs w:val="16"/>
                      <w:shd w:val="clear" w:color="auto" w:fill="CACACA"/>
                      <w:lang w:val="de-DE"/>
                    </w:rPr>
                    <w:t>English</w:t>
                  </w:r>
                </w:p>
              </w:tc>
              <w:tc>
                <w:tcPr>
                  <w:tcW w:w="1365" w:type="dxa"/>
                  <w:shd w:val="clear" w:color="auto" w:fill="CACACA"/>
                  <w:tcMar>
                    <w:top w:w="0" w:type="dxa"/>
                    <w:left w:w="0" w:type="dxa"/>
                    <w:bottom w:w="0" w:type="dxa"/>
                    <w:right w:w="0" w:type="dxa"/>
                  </w:tcMar>
                  <w:vAlign w:val="center"/>
                </w:tcPr>
                <w:p w:rsidR="002D20DB" w:rsidRPr="00C47725" w:rsidRDefault="002D20DB" w:rsidP="002B5125">
                  <w:pPr>
                    <w:keepNext/>
                    <w:rPr>
                      <w:lang w:val="de-DE"/>
                    </w:rPr>
                  </w:pPr>
                  <w:r w:rsidRPr="00C47725">
                    <w:rPr>
                      <w:rFonts w:eastAsia="Arial" w:cs="Arial"/>
                      <w:color w:val="000000"/>
                      <w:sz w:val="16"/>
                      <w:szCs w:val="16"/>
                      <w:shd w:val="clear" w:color="auto" w:fill="CACACA"/>
                      <w:lang w:val="de-DE"/>
                    </w:rPr>
                    <w:t>Français</w:t>
                  </w:r>
                </w:p>
              </w:tc>
              <w:tc>
                <w:tcPr>
                  <w:tcW w:w="1440" w:type="dxa"/>
                  <w:shd w:val="clear" w:color="auto" w:fill="CACACA"/>
                  <w:tcMar>
                    <w:top w:w="0" w:type="dxa"/>
                    <w:left w:w="0" w:type="dxa"/>
                    <w:bottom w:w="0" w:type="dxa"/>
                    <w:right w:w="0" w:type="dxa"/>
                  </w:tcMar>
                  <w:vAlign w:val="center"/>
                </w:tcPr>
                <w:p w:rsidR="002D20DB" w:rsidRPr="00C47725" w:rsidRDefault="002D20DB" w:rsidP="002B5125">
                  <w:pPr>
                    <w:keepNext/>
                    <w:rPr>
                      <w:lang w:val="de-DE"/>
                    </w:rPr>
                  </w:pPr>
                  <w:r w:rsidRPr="00C47725">
                    <w:rPr>
                      <w:rFonts w:eastAsia="Arial" w:cs="Arial"/>
                      <w:color w:val="000000"/>
                      <w:sz w:val="16"/>
                      <w:szCs w:val="16"/>
                      <w:shd w:val="clear" w:color="auto" w:fill="CACACA"/>
                      <w:lang w:val="de-DE"/>
                    </w:rPr>
                    <w:t>Deutsch</w:t>
                  </w:r>
                </w:p>
              </w:tc>
              <w:tc>
                <w:tcPr>
                  <w:tcW w:w="1350" w:type="dxa"/>
                  <w:shd w:val="clear" w:color="auto" w:fill="CACACA"/>
                  <w:tcMar>
                    <w:top w:w="20" w:type="dxa"/>
                    <w:left w:w="20" w:type="dxa"/>
                    <w:bottom w:w="20" w:type="dxa"/>
                    <w:right w:w="20" w:type="dxa"/>
                  </w:tcMar>
                  <w:vAlign w:val="center"/>
                </w:tcPr>
                <w:p w:rsidR="002D20DB" w:rsidRPr="00C47725" w:rsidRDefault="002D20DB" w:rsidP="002B5125">
                  <w:pPr>
                    <w:keepNext/>
                    <w:jc w:val="center"/>
                    <w:rPr>
                      <w:lang w:val="de-DE"/>
                    </w:rPr>
                  </w:pPr>
                  <w:r w:rsidRPr="00C47725">
                    <w:rPr>
                      <w:rFonts w:eastAsia="Arial" w:cs="Arial"/>
                      <w:color w:val="000000"/>
                      <w:sz w:val="16"/>
                      <w:szCs w:val="16"/>
                      <w:shd w:val="clear" w:color="auto" w:fill="CACACA"/>
                      <w:lang w:val="de-DE"/>
                    </w:rPr>
                    <w:t>Español</w:t>
                  </w:r>
                </w:p>
              </w:tc>
              <w:tc>
                <w:tcPr>
                  <w:tcW w:w="1500" w:type="dxa"/>
                  <w:shd w:val="clear" w:color="auto" w:fill="CACACA"/>
                  <w:tcMar>
                    <w:top w:w="0" w:type="dxa"/>
                    <w:left w:w="0" w:type="dxa"/>
                    <w:bottom w:w="0" w:type="dxa"/>
                    <w:right w:w="0" w:type="dxa"/>
                  </w:tcMar>
                  <w:vAlign w:val="center"/>
                </w:tcPr>
                <w:p w:rsidR="002D20DB" w:rsidRPr="00967481" w:rsidRDefault="002D20DB" w:rsidP="002B5125">
                  <w:pPr>
                    <w:keepNext/>
                    <w:jc w:val="left"/>
                  </w:pPr>
                  <w:r w:rsidRPr="00967481">
                    <w:rPr>
                      <w:rFonts w:eastAsia="Arial" w:cs="Arial"/>
                      <w:color w:val="000000"/>
                      <w:sz w:val="16"/>
                      <w:szCs w:val="16"/>
                      <w:shd w:val="clear" w:color="auto" w:fill="CACACA"/>
                    </w:rPr>
                    <w:t>Botanical name</w:t>
                  </w:r>
                  <w:r w:rsidRPr="00967481">
                    <w:rPr>
                      <w:rFonts w:eastAsia="Arial" w:cs="Arial"/>
                      <w:color w:val="000000"/>
                      <w:sz w:val="16"/>
                      <w:szCs w:val="16"/>
                      <w:shd w:val="clear" w:color="auto" w:fill="CACACA"/>
                    </w:rPr>
                    <w:br/>
                    <w:t>Nom botanique</w:t>
                  </w:r>
                  <w:r w:rsidRPr="00967481">
                    <w:rPr>
                      <w:rFonts w:eastAsia="Arial" w:cs="Arial"/>
                      <w:color w:val="000000"/>
                      <w:sz w:val="16"/>
                      <w:szCs w:val="16"/>
                      <w:shd w:val="clear" w:color="auto" w:fill="CACACA"/>
                    </w:rPr>
                    <w:br/>
                    <w:t>Botanischer Name</w:t>
                  </w:r>
                  <w:r w:rsidRPr="00967481">
                    <w:rPr>
                      <w:rFonts w:eastAsia="Arial" w:cs="Arial"/>
                      <w:color w:val="000000"/>
                      <w:sz w:val="16"/>
                      <w:szCs w:val="16"/>
                      <w:shd w:val="clear" w:color="auto" w:fill="CACACA"/>
                    </w:rPr>
                    <w:br/>
                    <w:t>Nombre botánico</w:t>
                  </w:r>
                  <w:r w:rsidRPr="00967481">
                    <w:rPr>
                      <w:rFonts w:eastAsia="Arial" w:cs="Arial"/>
                      <w:color w:val="000000"/>
                      <w:sz w:val="16"/>
                      <w:szCs w:val="16"/>
                      <w:shd w:val="clear" w:color="auto" w:fill="CACACA"/>
                    </w:rPr>
                    <w:br/>
                  </w:r>
                </w:p>
              </w:tc>
            </w:tr>
            <w:tr w:rsidR="002D20DB" w:rsidRPr="00C47725" w:rsidTr="002B5125">
              <w:tc>
                <w:tcPr>
                  <w:tcW w:w="600" w:type="dxa"/>
                  <w:tcMar>
                    <w:top w:w="0" w:type="dxa"/>
                    <w:left w:w="0" w:type="dxa"/>
                    <w:bottom w:w="0" w:type="dxa"/>
                    <w:right w:w="0" w:type="dxa"/>
                  </w:tcMar>
                </w:tcPr>
                <w:p w:rsidR="002D20DB" w:rsidRPr="00967481" w:rsidRDefault="002D20DB" w:rsidP="002B5125">
                  <w:pPr>
                    <w:keepNext/>
                    <w:jc w:val="center"/>
                  </w:pPr>
                </w:p>
              </w:tc>
              <w:tc>
                <w:tcPr>
                  <w:tcW w:w="668" w:type="dxa"/>
                  <w:tcMar>
                    <w:top w:w="0" w:type="dxa"/>
                    <w:left w:w="0" w:type="dxa"/>
                    <w:bottom w:w="0" w:type="dxa"/>
                    <w:right w:w="0" w:type="dxa"/>
                  </w:tcMar>
                </w:tcPr>
                <w:p w:rsidR="002D20DB" w:rsidRPr="00967481" w:rsidRDefault="002D20DB" w:rsidP="002B5125">
                  <w:pPr>
                    <w:keepNext/>
                    <w:jc w:val="center"/>
                  </w:pPr>
                </w:p>
              </w:tc>
              <w:tc>
                <w:tcPr>
                  <w:tcW w:w="1447" w:type="dxa"/>
                  <w:tcMar>
                    <w:top w:w="0" w:type="dxa"/>
                    <w:left w:w="0" w:type="dxa"/>
                    <w:bottom w:w="0" w:type="dxa"/>
                    <w:right w:w="0" w:type="dxa"/>
                  </w:tcMar>
                </w:tcPr>
                <w:p w:rsidR="002D20DB" w:rsidRPr="00967481" w:rsidRDefault="002D20DB" w:rsidP="002B5125">
                  <w:pPr>
                    <w:keepNext/>
                    <w:jc w:val="center"/>
                  </w:pPr>
                </w:p>
              </w:tc>
              <w:tc>
                <w:tcPr>
                  <w:tcW w:w="1530" w:type="dxa"/>
                  <w:tcMar>
                    <w:top w:w="0" w:type="dxa"/>
                    <w:left w:w="0" w:type="dxa"/>
                    <w:bottom w:w="0" w:type="dxa"/>
                    <w:right w:w="0" w:type="dxa"/>
                  </w:tcMar>
                </w:tcPr>
                <w:p w:rsidR="002D20DB" w:rsidRPr="00967481" w:rsidRDefault="002D20DB" w:rsidP="002B5125">
                  <w:pPr>
                    <w:keepNext/>
                    <w:jc w:val="center"/>
                  </w:pPr>
                </w:p>
              </w:tc>
              <w:tc>
                <w:tcPr>
                  <w:tcW w:w="1365" w:type="dxa"/>
                  <w:tcMar>
                    <w:top w:w="0" w:type="dxa"/>
                    <w:left w:w="0" w:type="dxa"/>
                    <w:bottom w:w="0" w:type="dxa"/>
                    <w:right w:w="0" w:type="dxa"/>
                  </w:tcMar>
                </w:tcPr>
                <w:p w:rsidR="002D20DB" w:rsidRPr="00967481" w:rsidRDefault="002D20DB" w:rsidP="002B5125">
                  <w:pPr>
                    <w:keepNext/>
                    <w:jc w:val="center"/>
                  </w:pPr>
                </w:p>
              </w:tc>
              <w:tc>
                <w:tcPr>
                  <w:tcW w:w="1440" w:type="dxa"/>
                  <w:tcMar>
                    <w:top w:w="0" w:type="dxa"/>
                    <w:left w:w="0" w:type="dxa"/>
                    <w:bottom w:w="0" w:type="dxa"/>
                    <w:right w:w="0" w:type="dxa"/>
                  </w:tcMar>
                </w:tcPr>
                <w:p w:rsidR="002D20DB" w:rsidRPr="00967481" w:rsidRDefault="002D20DB" w:rsidP="002B5125">
                  <w:pPr>
                    <w:keepNext/>
                    <w:jc w:val="center"/>
                  </w:pPr>
                </w:p>
              </w:tc>
              <w:tc>
                <w:tcPr>
                  <w:tcW w:w="1350" w:type="dxa"/>
                  <w:tcMar>
                    <w:top w:w="0" w:type="dxa"/>
                    <w:left w:w="0" w:type="dxa"/>
                    <w:bottom w:w="0" w:type="dxa"/>
                    <w:right w:w="0" w:type="dxa"/>
                  </w:tcMar>
                </w:tcPr>
                <w:p w:rsidR="002D20DB" w:rsidRPr="00967481" w:rsidRDefault="002D20DB" w:rsidP="002B5125">
                  <w:pPr>
                    <w:keepNext/>
                    <w:jc w:val="center"/>
                  </w:pPr>
                </w:p>
              </w:tc>
              <w:tc>
                <w:tcPr>
                  <w:tcW w:w="1500" w:type="dxa"/>
                  <w:tcMar>
                    <w:top w:w="0" w:type="dxa"/>
                    <w:left w:w="0" w:type="dxa"/>
                    <w:bottom w:w="0" w:type="dxa"/>
                    <w:right w:w="0" w:type="dxa"/>
                  </w:tcMar>
                </w:tcPr>
                <w:p w:rsidR="002D20DB" w:rsidRPr="00967481" w:rsidRDefault="002D20DB" w:rsidP="002B5125">
                  <w:pPr>
                    <w:keepNext/>
                    <w:jc w:val="center"/>
                  </w:pPr>
                </w:p>
              </w:tc>
            </w:tr>
          </w:tbl>
          <w:p w:rsidR="002D20DB" w:rsidRPr="00967481" w:rsidRDefault="002D20DB" w:rsidP="002B5125">
            <w:pPr>
              <w:keepNext/>
            </w:pPr>
          </w:p>
        </w:tc>
      </w:tr>
      <w:tr w:rsidR="002D20DB" w:rsidRPr="00C47725" w:rsidTr="002B5125">
        <w:tc>
          <w:tcPr>
            <w:tcW w:w="10080" w:type="dxa"/>
            <w:tcMar>
              <w:top w:w="0" w:type="dxa"/>
              <w:left w:w="0" w:type="dxa"/>
              <w:bottom w:w="0" w:type="dxa"/>
              <w:right w:w="0" w:type="dxa"/>
            </w:tcMar>
          </w:tcPr>
          <w:p w:rsidR="002D20DB" w:rsidRPr="00967481" w:rsidRDefault="002D20DB" w:rsidP="002B5125">
            <w:pPr>
              <w:rPr>
                <w:rFonts w:eastAsia="Arial" w:cs="Arial"/>
                <w:color w:val="000000"/>
              </w:rPr>
            </w:pPr>
            <w:r w:rsidRPr="00967481">
              <w:rPr>
                <w:rFonts w:eastAsia="Arial" w:cs="Arial"/>
                <w:color w:val="000000"/>
              </w:rPr>
              <w:t xml:space="preserve"> </w:t>
            </w:r>
          </w:p>
        </w:tc>
      </w:tr>
      <w:tr w:rsidR="002D20DB" w:rsidRPr="00C47725" w:rsidTr="002B5125">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2D20DB" w:rsidRPr="00C47725" w:rsidTr="002B5125">
              <w:trPr>
                <w:trHeight w:val="230"/>
              </w:trPr>
              <w:tc>
                <w:tcPr>
                  <w:tcW w:w="9900" w:type="dxa"/>
                  <w:gridSpan w:val="8"/>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2D20DB" w:rsidRPr="004F1DFE" w:rsidRDefault="002D20DB" w:rsidP="002B5125">
                  <w:pPr>
                    <w:jc w:val="left"/>
                    <w:rPr>
                      <w:rFonts w:eastAsia="Arial" w:cs="Arial"/>
                      <w:color w:val="000000"/>
                      <w:sz w:val="16"/>
                      <w:szCs w:val="16"/>
                      <w:u w:val="single"/>
                      <w:lang w:val="fr-CH"/>
                    </w:rPr>
                  </w:pPr>
                  <w:r w:rsidRPr="004F1DFE">
                    <w:rPr>
                      <w:rFonts w:cs="Arial"/>
                      <w:bCs/>
                      <w:sz w:val="16"/>
                      <w:szCs w:val="16"/>
                      <w:u w:val="single"/>
                      <w:lang w:val="fr-CH"/>
                    </w:rPr>
                    <w:t>NEW TEST GUIDELINES / NOUVEAUX PRINCIPES DIRECTEURS D’EXAMEN / NEUE PRÜFUNGSRICHTLINIEN /</w:t>
                  </w:r>
                  <w:r w:rsidRPr="004F1DFE">
                    <w:rPr>
                      <w:rFonts w:cs="Arial"/>
                      <w:bCs/>
                      <w:sz w:val="16"/>
                      <w:szCs w:val="16"/>
                      <w:u w:val="single"/>
                      <w:lang w:val="fr-CH"/>
                    </w:rPr>
                    <w:br/>
                    <w:t>NUEVAS DIRECTRICES DE EXAMEN</w:t>
                  </w:r>
                  <w:r w:rsidRPr="004F1DFE">
                    <w:rPr>
                      <w:rFonts w:eastAsia="Arial" w:cs="Arial"/>
                      <w:color w:val="000000"/>
                      <w:sz w:val="16"/>
                      <w:szCs w:val="16"/>
                      <w:u w:val="single"/>
                      <w:lang w:val="fr-CH"/>
                    </w:rPr>
                    <w:br/>
                  </w:r>
                </w:p>
                <w:tbl>
                  <w:tblPr>
                    <w:tblW w:w="99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48"/>
                    <w:gridCol w:w="1510"/>
                    <w:gridCol w:w="1530"/>
                    <w:gridCol w:w="1298"/>
                    <w:gridCol w:w="1474"/>
                    <w:gridCol w:w="1383"/>
                    <w:gridCol w:w="1500"/>
                  </w:tblGrid>
                  <w:tr w:rsidR="002D20DB" w:rsidRPr="00C47725" w:rsidTr="002B5125">
                    <w:trPr>
                      <w:hidden/>
                    </w:trPr>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2D20DB" w:rsidRPr="002B5125" w:rsidRDefault="002D20DB" w:rsidP="002B5125">
                        <w:pPr>
                          <w:spacing w:before="20" w:after="20"/>
                          <w:rPr>
                            <w:vanish/>
                            <w:lang w:val="fr-CH"/>
                          </w:rPr>
                        </w:pPr>
                      </w:p>
                      <w:tbl>
                        <w:tblPr>
                          <w:tblW w:w="600" w:type="dxa"/>
                          <w:tblLayout w:type="fixed"/>
                          <w:tblCellMar>
                            <w:left w:w="0" w:type="dxa"/>
                            <w:right w:w="0" w:type="dxa"/>
                          </w:tblCellMar>
                          <w:tblLook w:val="01E0" w:firstRow="1" w:lastRow="1" w:firstColumn="1" w:lastColumn="1" w:noHBand="0" w:noVBand="0"/>
                        </w:tblPr>
                        <w:tblGrid>
                          <w:gridCol w:w="600"/>
                        </w:tblGrid>
                        <w:tr w:rsidR="002D20DB" w:rsidRPr="00C47725" w:rsidTr="002B5125">
                          <w:tc>
                            <w:tcPr>
                              <w:tcW w:w="60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JP</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870" w:type="dxa"/>
                          <w:tblLayout w:type="fixed"/>
                          <w:tblCellMar>
                            <w:left w:w="0" w:type="dxa"/>
                            <w:right w:w="0" w:type="dxa"/>
                          </w:tblCellMar>
                          <w:tblLook w:val="01E0" w:firstRow="1" w:lastRow="1" w:firstColumn="1" w:lastColumn="1" w:noHBand="0" w:noVBand="0"/>
                        </w:tblPr>
                        <w:tblGrid>
                          <w:gridCol w:w="870"/>
                        </w:tblGrid>
                        <w:tr w:rsidR="002D20DB" w:rsidRPr="00C47725" w:rsidTr="002B5125">
                          <w:tc>
                            <w:tcPr>
                              <w:tcW w:w="87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TWO</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sz w:val="16"/>
                            <w:szCs w:val="16"/>
                            <w:lang w:val="de-DE"/>
                          </w:rPr>
                        </w:pPr>
                      </w:p>
                      <w:tbl>
                        <w:tblPr>
                          <w:tblW w:w="1414" w:type="dxa"/>
                          <w:tblLayout w:type="fixed"/>
                          <w:tblCellMar>
                            <w:left w:w="0" w:type="dxa"/>
                            <w:right w:w="0" w:type="dxa"/>
                          </w:tblCellMar>
                          <w:tblLook w:val="01E0" w:firstRow="1" w:lastRow="1" w:firstColumn="1" w:lastColumn="1" w:noHBand="0" w:noVBand="0"/>
                        </w:tblPr>
                        <w:tblGrid>
                          <w:gridCol w:w="1414"/>
                        </w:tblGrid>
                        <w:tr w:rsidR="002D20DB" w:rsidRPr="00C47725" w:rsidTr="002B5125">
                          <w:tc>
                            <w:tcPr>
                              <w:tcW w:w="1414"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TG/CALEN(proj.4)</w:t>
                              </w:r>
                            </w:p>
                            <w:p w:rsidR="002D20DB" w:rsidRPr="00C47725" w:rsidRDefault="002D20DB" w:rsidP="002B5125">
                              <w:pPr>
                                <w:spacing w:before="20" w:after="20"/>
                                <w:rPr>
                                  <w:sz w:val="16"/>
                                  <w:szCs w:val="16"/>
                                  <w:lang w:val="de-DE"/>
                                </w:rPr>
                              </w:pPr>
                            </w:p>
                          </w:tc>
                        </w:tr>
                      </w:tbl>
                      <w:p w:rsidR="002D20DB" w:rsidRPr="00C47725" w:rsidRDefault="002D20DB" w:rsidP="002B5125">
                        <w:pPr>
                          <w:spacing w:before="20" w:after="20"/>
                          <w:rPr>
                            <w:sz w:val="16"/>
                            <w:szCs w:val="16"/>
                            <w:lang w:val="de-DE"/>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rPr>
                            <w:vanish/>
                            <w:sz w:val="16"/>
                            <w:szCs w:val="16"/>
                            <w:lang w:val="de-DE"/>
                          </w:rPr>
                        </w:pPr>
                      </w:p>
                      <w:tbl>
                        <w:tblPr>
                          <w:tblW w:w="1530" w:type="dxa"/>
                          <w:tblLayout w:type="fixed"/>
                          <w:tblCellMar>
                            <w:left w:w="0" w:type="dxa"/>
                            <w:right w:w="0" w:type="dxa"/>
                          </w:tblCellMar>
                          <w:tblLook w:val="01E0" w:firstRow="1" w:lastRow="1" w:firstColumn="1" w:lastColumn="1" w:noHBand="0" w:noVBand="0"/>
                        </w:tblPr>
                        <w:tblGrid>
                          <w:gridCol w:w="1530"/>
                        </w:tblGrid>
                        <w:tr w:rsidR="002D20DB" w:rsidRPr="00C47725" w:rsidTr="002B5125">
                          <w:tc>
                            <w:tcPr>
                              <w:tcW w:w="1530" w:type="dxa"/>
                              <w:tcMar>
                                <w:top w:w="0" w:type="dxa"/>
                                <w:left w:w="0" w:type="dxa"/>
                                <w:bottom w:w="0" w:type="dxa"/>
                                <w:right w:w="0" w:type="dxa"/>
                              </w:tcMar>
                            </w:tcPr>
                            <w:p w:rsidR="002D20DB" w:rsidRPr="00C47725" w:rsidRDefault="002D20DB" w:rsidP="002B5125">
                              <w:pPr>
                                <w:spacing w:before="20" w:after="20"/>
                                <w:rPr>
                                  <w:sz w:val="16"/>
                                  <w:szCs w:val="16"/>
                                  <w:lang w:val="de-DE"/>
                                </w:rPr>
                              </w:pPr>
                              <w:r w:rsidRPr="00C47725">
                                <w:rPr>
                                  <w:sz w:val="16"/>
                                  <w:szCs w:val="16"/>
                                  <w:lang w:val="de-DE"/>
                                </w:rPr>
                                <w:t>Calendula</w:t>
                              </w:r>
                            </w:p>
                          </w:tc>
                        </w:tr>
                      </w:tbl>
                      <w:p w:rsidR="002D20DB" w:rsidRPr="00C47725" w:rsidRDefault="002D20DB" w:rsidP="002B5125">
                        <w:pPr>
                          <w:spacing w:before="20" w:after="20"/>
                          <w:rPr>
                            <w:sz w:val="16"/>
                            <w:szCs w:val="16"/>
                            <w:lang w:val="de-DE"/>
                          </w:rPr>
                        </w:pP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2D20DB" w:rsidRPr="00C47725" w:rsidTr="002B5125">
                          <w:tc>
                            <w:tcPr>
                              <w:tcW w:w="1365" w:type="dxa"/>
                              <w:tcMar>
                                <w:top w:w="0" w:type="dxa"/>
                                <w:left w:w="0" w:type="dxa"/>
                                <w:bottom w:w="0" w:type="dxa"/>
                                <w:right w:w="0" w:type="dxa"/>
                              </w:tcMar>
                            </w:tcPr>
                            <w:p w:rsidR="002D20DB" w:rsidRPr="00C47725" w:rsidRDefault="002D20DB" w:rsidP="002B5125">
                              <w:pPr>
                                <w:spacing w:before="20" w:after="20"/>
                                <w:rPr>
                                  <w:sz w:val="16"/>
                                  <w:szCs w:val="16"/>
                                  <w:lang w:val="de-DE"/>
                                </w:rPr>
                              </w:pPr>
                              <w:r w:rsidRPr="00C47725">
                                <w:rPr>
                                  <w:sz w:val="16"/>
                                  <w:szCs w:val="16"/>
                                  <w:lang w:val="de-DE"/>
                                </w:rPr>
                                <w:t>Calendula</w:t>
                              </w:r>
                            </w:p>
                          </w:tc>
                        </w:tr>
                      </w:tbl>
                      <w:p w:rsidR="002D20DB" w:rsidRPr="00C47725" w:rsidRDefault="002D20DB" w:rsidP="002B5125">
                        <w:pPr>
                          <w:spacing w:before="20" w:after="20"/>
                          <w:rPr>
                            <w:sz w:val="16"/>
                            <w:szCs w:val="16"/>
                            <w:lang w:val="de-DE"/>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2D20DB" w:rsidRPr="00C47725" w:rsidTr="002B5125">
                          <w:tc>
                            <w:tcPr>
                              <w:tcW w:w="1440" w:type="dxa"/>
                              <w:tcMar>
                                <w:top w:w="0" w:type="dxa"/>
                                <w:left w:w="0" w:type="dxa"/>
                                <w:bottom w:w="0" w:type="dxa"/>
                                <w:right w:w="0" w:type="dxa"/>
                              </w:tcMar>
                            </w:tcPr>
                            <w:p w:rsidR="002D20DB" w:rsidRPr="00C47725" w:rsidRDefault="002D20DB" w:rsidP="002B5125">
                              <w:pPr>
                                <w:spacing w:before="20" w:after="20"/>
                                <w:rPr>
                                  <w:sz w:val="16"/>
                                  <w:szCs w:val="16"/>
                                  <w:lang w:val="de-DE"/>
                                </w:rPr>
                              </w:pPr>
                              <w:r w:rsidRPr="00C47725">
                                <w:rPr>
                                  <w:sz w:val="16"/>
                                  <w:szCs w:val="16"/>
                                  <w:lang w:val="de-DE"/>
                                </w:rPr>
                                <w:t>Ringelblume</w:t>
                              </w:r>
                            </w:p>
                          </w:tc>
                        </w:tr>
                      </w:tbl>
                      <w:p w:rsidR="002D20DB" w:rsidRPr="00C47725" w:rsidRDefault="002D20DB" w:rsidP="002B5125">
                        <w:pPr>
                          <w:spacing w:before="20" w:after="20"/>
                          <w:rPr>
                            <w:sz w:val="16"/>
                            <w:szCs w:val="16"/>
                            <w:lang w:val="de-DE"/>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2D20DB" w:rsidRPr="00C47725" w:rsidTr="002B5125">
                          <w:tc>
                            <w:tcPr>
                              <w:tcW w:w="1350" w:type="dxa"/>
                              <w:tcMar>
                                <w:top w:w="0" w:type="dxa"/>
                                <w:left w:w="0" w:type="dxa"/>
                                <w:bottom w:w="0" w:type="dxa"/>
                                <w:right w:w="0" w:type="dxa"/>
                              </w:tcMar>
                            </w:tcPr>
                            <w:p w:rsidR="002D20DB" w:rsidRPr="00C47725" w:rsidRDefault="002D20DB" w:rsidP="002B5125">
                              <w:pPr>
                                <w:spacing w:before="20" w:after="20"/>
                                <w:rPr>
                                  <w:sz w:val="16"/>
                                  <w:szCs w:val="16"/>
                                  <w:lang w:val="de-DE"/>
                                </w:rPr>
                              </w:pPr>
                              <w:r w:rsidRPr="00C47725">
                                <w:rPr>
                                  <w:sz w:val="16"/>
                                  <w:szCs w:val="16"/>
                                  <w:lang w:val="de-DE"/>
                                </w:rPr>
                                <w:t>Caléndul</w:t>
                              </w:r>
                            </w:p>
                          </w:tc>
                        </w:tr>
                      </w:tbl>
                      <w:p w:rsidR="002D20DB" w:rsidRPr="00C47725" w:rsidRDefault="002D20DB" w:rsidP="002B5125">
                        <w:pPr>
                          <w:spacing w:before="20" w:after="20"/>
                          <w:rPr>
                            <w:sz w:val="16"/>
                            <w:szCs w:val="16"/>
                            <w:lang w:val="de-DE"/>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1500" w:type="dxa"/>
                          <w:tblLayout w:type="fixed"/>
                          <w:tblCellMar>
                            <w:left w:w="0" w:type="dxa"/>
                            <w:right w:w="0" w:type="dxa"/>
                          </w:tblCellMar>
                          <w:tblLook w:val="01E0" w:firstRow="1" w:lastRow="1" w:firstColumn="1" w:lastColumn="1" w:noHBand="0" w:noVBand="0"/>
                        </w:tblPr>
                        <w:tblGrid>
                          <w:gridCol w:w="1500"/>
                        </w:tblGrid>
                        <w:tr w:rsidR="002D20DB" w:rsidRPr="00C47725" w:rsidTr="002B5125">
                          <w:tc>
                            <w:tcPr>
                              <w:tcW w:w="1500" w:type="dxa"/>
                              <w:tcMar>
                                <w:top w:w="0" w:type="dxa"/>
                                <w:left w:w="0" w:type="dxa"/>
                                <w:bottom w:w="0" w:type="dxa"/>
                                <w:right w:w="0" w:type="dxa"/>
                              </w:tcMar>
                            </w:tcPr>
                            <w:p w:rsidR="002D20DB" w:rsidRPr="00C47725" w:rsidRDefault="002D20DB" w:rsidP="002B5125">
                              <w:pPr>
                                <w:pStyle w:val="NormalWeb"/>
                                <w:spacing w:before="20" w:after="20"/>
                                <w:rPr>
                                  <w:lang w:val="de-DE"/>
                                </w:rPr>
                              </w:pPr>
                              <w:r w:rsidRPr="00C47725">
                                <w:rPr>
                                  <w:rFonts w:ascii="Arial" w:hAnsi="Arial" w:cs="Arial"/>
                                  <w:i/>
                                  <w:iCs/>
                                  <w:color w:val="000000"/>
                                  <w:sz w:val="16"/>
                                  <w:szCs w:val="16"/>
                                  <w:lang w:val="de-DE"/>
                                </w:rPr>
                                <w:t>Calendula</w:t>
                              </w:r>
                              <w:r w:rsidRPr="00C47725">
                                <w:rPr>
                                  <w:rFonts w:ascii="Arial" w:hAnsi="Arial" w:cs="Arial"/>
                                  <w:color w:val="000000"/>
                                  <w:sz w:val="16"/>
                                  <w:szCs w:val="16"/>
                                  <w:lang w:val="de-DE"/>
                                </w:rPr>
                                <w:t> L.</w:t>
                              </w:r>
                            </w:p>
                          </w:tc>
                        </w:tr>
                      </w:tbl>
                      <w:p w:rsidR="002D20DB" w:rsidRPr="00C47725" w:rsidRDefault="002D20DB" w:rsidP="002B5125">
                        <w:pPr>
                          <w:spacing w:before="20" w:after="20"/>
                          <w:rPr>
                            <w:lang w:val="de-DE"/>
                          </w:rPr>
                        </w:pPr>
                      </w:p>
                    </w:tc>
                  </w:tr>
                  <w:tr w:rsidR="002D20DB" w:rsidRPr="00C47725" w:rsidTr="002B5125">
                    <w:trPr>
                      <w:hidden/>
                    </w:trPr>
                    <w:tc>
                      <w:tcPr>
                        <w:tcW w:w="600" w:type="dxa"/>
                        <w:tcBorders>
                          <w:top w:val="single" w:sz="6" w:space="0" w:color="000000"/>
                          <w:left w:val="nil"/>
                          <w:bottom w:val="nil"/>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600" w:type="dxa"/>
                          <w:tblLayout w:type="fixed"/>
                          <w:tblCellMar>
                            <w:left w:w="0" w:type="dxa"/>
                            <w:right w:w="0" w:type="dxa"/>
                          </w:tblCellMar>
                          <w:tblLook w:val="01E0" w:firstRow="1" w:lastRow="1" w:firstColumn="1" w:lastColumn="1" w:noHBand="0" w:noVBand="0"/>
                        </w:tblPr>
                        <w:tblGrid>
                          <w:gridCol w:w="600"/>
                        </w:tblGrid>
                        <w:tr w:rsidR="002D20DB" w:rsidRPr="00C47725" w:rsidTr="002B5125">
                          <w:tc>
                            <w:tcPr>
                              <w:tcW w:w="60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ZA</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64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870" w:type="dxa"/>
                          <w:tblLayout w:type="fixed"/>
                          <w:tblCellMar>
                            <w:left w:w="0" w:type="dxa"/>
                            <w:right w:w="0" w:type="dxa"/>
                          </w:tblCellMar>
                          <w:tblLook w:val="01E0" w:firstRow="1" w:lastRow="1" w:firstColumn="1" w:lastColumn="1" w:noHBand="0" w:noVBand="0"/>
                        </w:tblPr>
                        <w:tblGrid>
                          <w:gridCol w:w="870"/>
                        </w:tblGrid>
                        <w:tr w:rsidR="002D20DB" w:rsidRPr="00C47725" w:rsidTr="002B5125">
                          <w:tc>
                            <w:tcPr>
                              <w:tcW w:w="87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TWO</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5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1414" w:type="dxa"/>
                          <w:tblLayout w:type="fixed"/>
                          <w:tblCellMar>
                            <w:left w:w="0" w:type="dxa"/>
                            <w:right w:w="0" w:type="dxa"/>
                          </w:tblCellMar>
                          <w:tblLook w:val="01E0" w:firstRow="1" w:lastRow="1" w:firstColumn="1" w:lastColumn="1" w:noHBand="0" w:noVBand="0"/>
                        </w:tblPr>
                        <w:tblGrid>
                          <w:gridCol w:w="1414"/>
                        </w:tblGrid>
                        <w:tr w:rsidR="002D20DB" w:rsidRPr="00C47725" w:rsidTr="002B5125">
                          <w:tc>
                            <w:tcPr>
                              <w:tcW w:w="1414"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TG/GAZAN(proj.4)</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5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1530" w:type="dxa"/>
                          <w:tblLayout w:type="fixed"/>
                          <w:tblCellMar>
                            <w:left w:w="0" w:type="dxa"/>
                            <w:right w:w="0" w:type="dxa"/>
                          </w:tblCellMar>
                          <w:tblLook w:val="01E0" w:firstRow="1" w:lastRow="1" w:firstColumn="1" w:lastColumn="1" w:noHBand="0" w:noVBand="0"/>
                        </w:tblPr>
                        <w:tblGrid>
                          <w:gridCol w:w="1530"/>
                        </w:tblGrid>
                        <w:tr w:rsidR="002D20DB" w:rsidRPr="00C47725" w:rsidTr="002B5125">
                          <w:tc>
                            <w:tcPr>
                              <w:tcW w:w="1530" w:type="dxa"/>
                              <w:tcMar>
                                <w:top w:w="0" w:type="dxa"/>
                                <w:left w:w="0" w:type="dxa"/>
                                <w:bottom w:w="0" w:type="dxa"/>
                                <w:right w:w="0" w:type="dxa"/>
                              </w:tcMar>
                            </w:tcPr>
                            <w:p w:rsidR="002D20DB" w:rsidRPr="00C47725" w:rsidRDefault="002D20DB" w:rsidP="002B5125">
                              <w:pPr>
                                <w:spacing w:before="20" w:after="20"/>
                                <w:rPr>
                                  <w:lang w:val="de-DE"/>
                                </w:rPr>
                              </w:pPr>
                              <w:r w:rsidRPr="00C47725">
                                <w:rPr>
                                  <w:rFonts w:cs="Arial"/>
                                  <w:color w:val="000000"/>
                                  <w:sz w:val="16"/>
                                  <w:szCs w:val="16"/>
                                  <w:lang w:val="de-DE"/>
                                </w:rPr>
                                <w:t>Gazania</w:t>
                              </w:r>
                            </w:p>
                          </w:tc>
                        </w:tr>
                      </w:tbl>
                      <w:p w:rsidR="002D20DB" w:rsidRPr="00C47725" w:rsidRDefault="002D20DB" w:rsidP="002B5125">
                        <w:pPr>
                          <w:spacing w:before="20" w:after="20"/>
                          <w:rPr>
                            <w:lang w:val="de-DE"/>
                          </w:rPr>
                        </w:pPr>
                      </w:p>
                    </w:tc>
                    <w:tc>
                      <w:tcPr>
                        <w:tcW w:w="129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1365" w:type="dxa"/>
                          <w:tblLayout w:type="fixed"/>
                          <w:tblCellMar>
                            <w:left w:w="0" w:type="dxa"/>
                            <w:right w:w="0" w:type="dxa"/>
                          </w:tblCellMar>
                          <w:tblLook w:val="01E0" w:firstRow="1" w:lastRow="1" w:firstColumn="1" w:lastColumn="1" w:noHBand="0" w:noVBand="0"/>
                        </w:tblPr>
                        <w:tblGrid>
                          <w:gridCol w:w="1365"/>
                        </w:tblGrid>
                        <w:tr w:rsidR="002D20DB" w:rsidRPr="00C47725" w:rsidTr="002B5125">
                          <w:tc>
                            <w:tcPr>
                              <w:tcW w:w="1365"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Gazania</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47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1440" w:type="dxa"/>
                          <w:tblLayout w:type="fixed"/>
                          <w:tblCellMar>
                            <w:left w:w="0" w:type="dxa"/>
                            <w:right w:w="0" w:type="dxa"/>
                          </w:tblCellMar>
                          <w:tblLook w:val="01E0" w:firstRow="1" w:lastRow="1" w:firstColumn="1" w:lastColumn="1" w:noHBand="0" w:noVBand="0"/>
                        </w:tblPr>
                        <w:tblGrid>
                          <w:gridCol w:w="1440"/>
                        </w:tblGrid>
                        <w:tr w:rsidR="002D20DB" w:rsidRPr="00C47725" w:rsidTr="002B5125">
                          <w:tc>
                            <w:tcPr>
                              <w:tcW w:w="144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Gazania</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38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1350" w:type="dxa"/>
                          <w:tblLayout w:type="fixed"/>
                          <w:tblCellMar>
                            <w:left w:w="0" w:type="dxa"/>
                            <w:right w:w="0" w:type="dxa"/>
                          </w:tblCellMar>
                          <w:tblLook w:val="01E0" w:firstRow="1" w:lastRow="1" w:firstColumn="1" w:lastColumn="1" w:noHBand="0" w:noVBand="0"/>
                        </w:tblPr>
                        <w:tblGrid>
                          <w:gridCol w:w="1350"/>
                        </w:tblGrid>
                        <w:tr w:rsidR="002D20DB" w:rsidRPr="00C47725" w:rsidTr="002B5125">
                          <w:tc>
                            <w:tcPr>
                              <w:tcW w:w="135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Gazania</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50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1500" w:type="dxa"/>
                          <w:tblLayout w:type="fixed"/>
                          <w:tblCellMar>
                            <w:left w:w="0" w:type="dxa"/>
                            <w:right w:w="0" w:type="dxa"/>
                          </w:tblCellMar>
                          <w:tblLook w:val="01E0" w:firstRow="1" w:lastRow="1" w:firstColumn="1" w:lastColumn="1" w:noHBand="0" w:noVBand="0"/>
                        </w:tblPr>
                        <w:tblGrid>
                          <w:gridCol w:w="1500"/>
                        </w:tblGrid>
                        <w:tr w:rsidR="002D20DB" w:rsidRPr="00C47725" w:rsidTr="002B5125">
                          <w:tc>
                            <w:tcPr>
                              <w:tcW w:w="150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i/>
                                  <w:iCs/>
                                  <w:color w:val="000000"/>
                                  <w:sz w:val="16"/>
                                  <w:szCs w:val="16"/>
                                  <w:lang w:val="de-DE"/>
                                </w:rPr>
                                <w:t>Gazania</w:t>
                              </w:r>
                              <w:r w:rsidRPr="00C47725">
                                <w:rPr>
                                  <w:rFonts w:cs="Arial"/>
                                  <w:color w:val="000000"/>
                                  <w:sz w:val="16"/>
                                  <w:szCs w:val="16"/>
                                  <w:lang w:val="de-DE"/>
                                </w:rPr>
                                <w:t> Gaertn.</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r>
                </w:tbl>
                <w:p w:rsidR="002D20DB" w:rsidRPr="00C47725" w:rsidRDefault="002D20DB" w:rsidP="002B5125">
                  <w:pPr>
                    <w:jc w:val="left"/>
                    <w:rPr>
                      <w:rFonts w:eastAsia="Arial" w:cs="Arial"/>
                      <w:color w:val="000000"/>
                      <w:sz w:val="16"/>
                      <w:szCs w:val="16"/>
                      <w:u w:val="single"/>
                      <w:lang w:val="de-DE"/>
                    </w:rPr>
                  </w:pPr>
                </w:p>
              </w:tc>
            </w:tr>
            <w:tr w:rsidR="002D20DB" w:rsidRPr="00C47725" w:rsidTr="002B5125">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2D20DB" w:rsidRPr="00C47725" w:rsidTr="002B5125">
                    <w:tc>
                      <w:tcPr>
                        <w:tcW w:w="645"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ES</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rPr>
                      <w:vanish/>
                      <w:lang w:val="de-DE"/>
                    </w:rPr>
                  </w:pPr>
                </w:p>
                <w:tbl>
                  <w:tblPr>
                    <w:tblW w:w="596" w:type="dxa"/>
                    <w:tblLayout w:type="fixed"/>
                    <w:tblCellMar>
                      <w:left w:w="0" w:type="dxa"/>
                      <w:right w:w="0" w:type="dxa"/>
                    </w:tblCellMar>
                    <w:tblLook w:val="01E0" w:firstRow="1" w:lastRow="1" w:firstColumn="1" w:lastColumn="1" w:noHBand="0" w:noVBand="0"/>
                  </w:tblPr>
                  <w:tblGrid>
                    <w:gridCol w:w="596"/>
                  </w:tblGrid>
                  <w:tr w:rsidR="002D20DB" w:rsidRPr="00C47725" w:rsidTr="002B5125">
                    <w:tc>
                      <w:tcPr>
                        <w:tcW w:w="596"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TWF</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jc w:val="left"/>
                    <w:rPr>
                      <w:vanish/>
                      <w:lang w:val="de-DE"/>
                    </w:rPr>
                  </w:pPr>
                </w:p>
                <w:tbl>
                  <w:tblPr>
                    <w:tblW w:w="1414" w:type="dxa"/>
                    <w:tblLayout w:type="fixed"/>
                    <w:tblCellMar>
                      <w:left w:w="0" w:type="dxa"/>
                      <w:right w:w="0" w:type="dxa"/>
                    </w:tblCellMar>
                    <w:tblLook w:val="01E0" w:firstRow="1" w:lastRow="1" w:firstColumn="1" w:lastColumn="1" w:noHBand="0" w:noVBand="0"/>
                  </w:tblPr>
                  <w:tblGrid>
                    <w:gridCol w:w="1414"/>
                  </w:tblGrid>
                  <w:tr w:rsidR="002D20DB" w:rsidRPr="00C47725" w:rsidTr="002B5125">
                    <w:tc>
                      <w:tcPr>
                        <w:tcW w:w="1414"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TG/JUGLA(proj.6)</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Black Walnut</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jc w:val="left"/>
                    <w:rPr>
                      <w:vanish/>
                      <w:lang w:val="de-DE"/>
                    </w:rPr>
                  </w:pPr>
                </w:p>
                <w:tbl>
                  <w:tblPr>
                    <w:tblW w:w="1290" w:type="dxa"/>
                    <w:tblLayout w:type="fixed"/>
                    <w:tblCellMar>
                      <w:left w:w="0" w:type="dxa"/>
                      <w:right w:w="0" w:type="dxa"/>
                    </w:tblCellMar>
                    <w:tblLook w:val="01E0" w:firstRow="1" w:lastRow="1" w:firstColumn="1" w:lastColumn="1" w:noHBand="0" w:noVBand="0"/>
                  </w:tblPr>
                  <w:tblGrid>
                    <w:gridCol w:w="1290"/>
                  </w:tblGrid>
                  <w:tr w:rsidR="002D20DB" w:rsidRPr="00C47725" w:rsidTr="002B5125">
                    <w:tc>
                      <w:tcPr>
                        <w:tcW w:w="129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Noyer noir</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2D20DB" w:rsidRPr="00C47725" w:rsidTr="002B5125">
                    <w:tc>
                      <w:tcPr>
                        <w:tcW w:w="147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Schwarznuss</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jc w:val="left"/>
                    <w:rPr>
                      <w:vanish/>
                      <w:lang w:val="de-DE"/>
                    </w:rPr>
                  </w:pPr>
                </w:p>
                <w:tbl>
                  <w:tblPr>
                    <w:tblW w:w="1365" w:type="dxa"/>
                    <w:tblLayout w:type="fixed"/>
                    <w:tblCellMar>
                      <w:left w:w="0" w:type="dxa"/>
                      <w:right w:w="0" w:type="dxa"/>
                    </w:tblCellMar>
                    <w:tblLook w:val="01E0" w:firstRow="1" w:lastRow="1" w:firstColumn="1" w:lastColumn="1" w:noHBand="0" w:noVBand="0"/>
                  </w:tblPr>
                  <w:tblGrid>
                    <w:gridCol w:w="1365"/>
                  </w:tblGrid>
                  <w:tr w:rsidR="002D20DB" w:rsidRPr="00C47725" w:rsidTr="002B5125">
                    <w:tc>
                      <w:tcPr>
                        <w:tcW w:w="136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Nogal negro</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967481" w:rsidRDefault="002D20DB" w:rsidP="002B5125">
                  <w:pPr>
                    <w:spacing w:before="20" w:after="20"/>
                    <w:jc w:val="left"/>
                    <w:rPr>
                      <w:vanish/>
                      <w:sz w:val="16"/>
                      <w:szCs w:val="16"/>
                    </w:rPr>
                  </w:pPr>
                </w:p>
                <w:tbl>
                  <w:tblPr>
                    <w:tblW w:w="1455" w:type="dxa"/>
                    <w:tblLayout w:type="fixed"/>
                    <w:tblCellMar>
                      <w:left w:w="0" w:type="dxa"/>
                      <w:right w:w="0" w:type="dxa"/>
                    </w:tblCellMar>
                    <w:tblLook w:val="01E0" w:firstRow="1" w:lastRow="1" w:firstColumn="1" w:lastColumn="1" w:noHBand="0" w:noVBand="0"/>
                  </w:tblPr>
                  <w:tblGrid>
                    <w:gridCol w:w="1455"/>
                  </w:tblGrid>
                  <w:tr w:rsidR="002D20DB" w:rsidRPr="00C47725" w:rsidTr="002B5125">
                    <w:tc>
                      <w:tcPr>
                        <w:tcW w:w="1455" w:type="dxa"/>
                        <w:tcMar>
                          <w:top w:w="0" w:type="dxa"/>
                          <w:left w:w="0" w:type="dxa"/>
                          <w:bottom w:w="0" w:type="dxa"/>
                          <w:right w:w="0" w:type="dxa"/>
                        </w:tcMar>
                      </w:tcPr>
                      <w:p w:rsidR="002D20DB" w:rsidRPr="00967481" w:rsidRDefault="002D20DB" w:rsidP="002B5125">
                        <w:pPr>
                          <w:spacing w:before="20" w:after="20"/>
                          <w:jc w:val="left"/>
                          <w:rPr>
                            <w:sz w:val="16"/>
                            <w:szCs w:val="16"/>
                          </w:rPr>
                        </w:pPr>
                      </w:p>
                    </w:tc>
                  </w:tr>
                </w:tbl>
                <w:p w:rsidR="002D20DB" w:rsidRPr="00967481" w:rsidRDefault="002D20DB" w:rsidP="002B5125">
                  <w:pPr>
                    <w:spacing w:before="20" w:after="20"/>
                    <w:jc w:val="left"/>
                    <w:rPr>
                      <w:sz w:val="16"/>
                      <w:szCs w:val="16"/>
                    </w:rPr>
                  </w:pPr>
                  <w:r w:rsidRPr="00967481">
                    <w:rPr>
                      <w:i/>
                      <w:sz w:val="16"/>
                      <w:szCs w:val="16"/>
                    </w:rPr>
                    <w:t>Juglans hindsii</w:t>
                  </w:r>
                  <w:r w:rsidRPr="00967481">
                    <w:rPr>
                      <w:sz w:val="16"/>
                      <w:szCs w:val="16"/>
                    </w:rPr>
                    <w:t xml:space="preserve"> (Jeps.) R. E. Sm.; </w:t>
                  </w:r>
                  <w:r w:rsidRPr="00967481">
                    <w:rPr>
                      <w:i/>
                      <w:sz w:val="16"/>
                      <w:szCs w:val="16"/>
                    </w:rPr>
                    <w:t>J. hindsii</w:t>
                  </w:r>
                  <w:r w:rsidRPr="00967481">
                    <w:rPr>
                      <w:sz w:val="16"/>
                      <w:szCs w:val="16"/>
                    </w:rPr>
                    <w:t xml:space="preserve"> × </w:t>
                  </w:r>
                  <w:r w:rsidRPr="00967481">
                    <w:rPr>
                      <w:i/>
                      <w:sz w:val="16"/>
                      <w:szCs w:val="16"/>
                    </w:rPr>
                    <w:t>J. regia</w:t>
                  </w:r>
                  <w:r w:rsidRPr="00967481">
                    <w:rPr>
                      <w:sz w:val="16"/>
                      <w:szCs w:val="16"/>
                    </w:rPr>
                    <w:t xml:space="preserve">; </w:t>
                  </w:r>
                  <w:r w:rsidRPr="00967481">
                    <w:rPr>
                      <w:i/>
                      <w:sz w:val="16"/>
                      <w:szCs w:val="16"/>
                    </w:rPr>
                    <w:t>J. major</w:t>
                  </w:r>
                  <w:r w:rsidRPr="00967481">
                    <w:rPr>
                      <w:sz w:val="16"/>
                      <w:szCs w:val="16"/>
                    </w:rPr>
                    <w:t xml:space="preserve"> (Torr.) A. Heller; </w:t>
                  </w:r>
                  <w:r w:rsidRPr="00967481">
                    <w:rPr>
                      <w:i/>
                      <w:sz w:val="16"/>
                      <w:szCs w:val="16"/>
                    </w:rPr>
                    <w:t>J. major</w:t>
                  </w:r>
                  <w:r w:rsidRPr="00967481">
                    <w:rPr>
                      <w:sz w:val="16"/>
                      <w:szCs w:val="16"/>
                    </w:rPr>
                    <w:t xml:space="preserve"> x </w:t>
                  </w:r>
                  <w:r w:rsidRPr="00967481">
                    <w:rPr>
                      <w:i/>
                      <w:sz w:val="16"/>
                      <w:szCs w:val="16"/>
                    </w:rPr>
                    <w:t>J. regia</w:t>
                  </w:r>
                  <w:r w:rsidRPr="00967481">
                    <w:rPr>
                      <w:sz w:val="16"/>
                      <w:szCs w:val="16"/>
                    </w:rPr>
                    <w:t xml:space="preserve">; </w:t>
                  </w:r>
                  <w:r w:rsidRPr="00967481">
                    <w:rPr>
                      <w:i/>
                      <w:sz w:val="16"/>
                      <w:szCs w:val="16"/>
                    </w:rPr>
                    <w:t>J. nigra</w:t>
                  </w:r>
                  <w:r w:rsidRPr="00967481">
                    <w:rPr>
                      <w:sz w:val="16"/>
                      <w:szCs w:val="16"/>
                    </w:rPr>
                    <w:t xml:space="preserve"> L.; </w:t>
                  </w:r>
                  <w:r w:rsidRPr="00967481">
                    <w:rPr>
                      <w:i/>
                      <w:sz w:val="16"/>
                      <w:szCs w:val="16"/>
                    </w:rPr>
                    <w:t>J. nigra</w:t>
                  </w:r>
                  <w:r w:rsidRPr="00967481">
                    <w:rPr>
                      <w:sz w:val="16"/>
                      <w:szCs w:val="16"/>
                    </w:rPr>
                    <w:t xml:space="preserve"> x </w:t>
                  </w:r>
                  <w:r w:rsidRPr="00967481">
                    <w:rPr>
                      <w:i/>
                      <w:sz w:val="16"/>
                      <w:szCs w:val="16"/>
                    </w:rPr>
                    <w:t>J. regia</w:t>
                  </w:r>
                  <w:r w:rsidRPr="00967481">
                    <w:rPr>
                      <w:sz w:val="16"/>
                      <w:szCs w:val="16"/>
                    </w:rPr>
                    <w:t xml:space="preserve"> L.</w:t>
                  </w:r>
                </w:p>
              </w:tc>
            </w:tr>
          </w:tbl>
          <w:p w:rsidR="002D20DB" w:rsidRPr="00967481" w:rsidRDefault="002D20DB" w:rsidP="002B5125"/>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2D20DB" w:rsidRPr="000E6F70" w:rsidTr="002B5125">
              <w:trPr>
                <w:trHeight w:val="276"/>
              </w:trPr>
              <w:tc>
                <w:tcPr>
                  <w:tcW w:w="9900" w:type="dxa"/>
                  <w:gridSpan w:val="8"/>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2D20DB" w:rsidRPr="002B5125" w:rsidRDefault="002D20DB" w:rsidP="002B5125">
                  <w:pPr>
                    <w:rPr>
                      <w:vanish/>
                      <w:sz w:val="16"/>
                      <w:szCs w:val="16"/>
                      <w:u w:val="single"/>
                      <w:lang w:val="fr-CH"/>
                    </w:rPr>
                  </w:pPr>
                  <w:r w:rsidRPr="00C47725">
                    <w:rPr>
                      <w:sz w:val="16"/>
                      <w:szCs w:val="16"/>
                      <w:u w:val="single"/>
                      <w:lang w:val="de-DE"/>
                    </w:rPr>
                    <w:fldChar w:fldCharType="begin"/>
                  </w:r>
                  <w:r w:rsidRPr="002B5125">
                    <w:rPr>
                      <w:sz w:val="16"/>
                      <w:szCs w:val="16"/>
                      <w:u w:val="single"/>
                      <w:lang w:val="fr-CH"/>
                    </w:rPr>
                    <w:instrText>TC "1" \f C \l "1"</w:instrText>
                  </w:r>
                  <w:r w:rsidRPr="00C47725">
                    <w:rPr>
                      <w:sz w:val="16"/>
                      <w:szCs w:val="16"/>
                      <w:u w:val="single"/>
                      <w:lang w:val="de-DE"/>
                    </w:rPr>
                    <w:fldChar w:fldCharType="end"/>
                  </w:r>
                </w:p>
                <w:p w:rsidR="002D20DB" w:rsidRPr="004F1DFE" w:rsidRDefault="002D20DB" w:rsidP="002B5125">
                  <w:pPr>
                    <w:jc w:val="left"/>
                    <w:rPr>
                      <w:rFonts w:eastAsia="Arial" w:cs="Arial"/>
                      <w:color w:val="000000"/>
                      <w:sz w:val="16"/>
                      <w:szCs w:val="16"/>
                      <w:u w:val="single"/>
                      <w:lang w:val="fr-CH"/>
                    </w:rPr>
                  </w:pPr>
                  <w:r w:rsidRPr="004F1DFE">
                    <w:rPr>
                      <w:sz w:val="16"/>
                      <w:szCs w:val="16"/>
                      <w:u w:val="single"/>
                      <w:lang w:val="fr-CH"/>
                    </w:rPr>
                    <w:t>REVISIONS</w:t>
                  </w:r>
                  <w:r w:rsidRPr="004F1DFE">
                    <w:rPr>
                      <w:rFonts w:eastAsia="Arial" w:cs="Arial"/>
                      <w:color w:val="000000"/>
                      <w:sz w:val="16"/>
                      <w:szCs w:val="16"/>
                      <w:u w:val="single"/>
                      <w:lang w:val="fr-CH"/>
                    </w:rPr>
                    <w:t xml:space="preserve"> OF TEST GUIDELINES / RÉVISIONS DE PRINCIPES DIRECTEURS D’EXAMEN ADOPTÉS / REVISIONEN ANGENOMMENER PRÜFUNGSRICHTLINIEN / REVISIONS DE DIRECTRICES DE EXAMEN ADOPTADAS</w:t>
                  </w:r>
                  <w:r w:rsidRPr="004F1DFE">
                    <w:rPr>
                      <w:rFonts w:eastAsia="Arial" w:cs="Arial"/>
                      <w:color w:val="000000"/>
                      <w:sz w:val="16"/>
                      <w:szCs w:val="16"/>
                      <w:u w:val="single"/>
                      <w:lang w:val="fr-CH"/>
                    </w:rPr>
                    <w:br/>
                  </w:r>
                </w:p>
              </w:tc>
            </w:tr>
            <w:tr w:rsidR="002D20DB" w:rsidRPr="00C47725" w:rsidTr="002B5125">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2D20DB" w:rsidRPr="00C47725" w:rsidTr="002B5125">
                    <w:tc>
                      <w:tcPr>
                        <w:tcW w:w="645"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NL</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596" w:type="dxa"/>
                    <w:tblLayout w:type="fixed"/>
                    <w:tblCellMar>
                      <w:left w:w="0" w:type="dxa"/>
                      <w:right w:w="0" w:type="dxa"/>
                    </w:tblCellMar>
                    <w:tblLook w:val="01E0" w:firstRow="1" w:lastRow="1" w:firstColumn="1" w:lastColumn="1" w:noHBand="0" w:noVBand="0"/>
                  </w:tblPr>
                  <w:tblGrid>
                    <w:gridCol w:w="596"/>
                  </w:tblGrid>
                  <w:tr w:rsidR="002D20DB" w:rsidRPr="00C47725" w:rsidTr="002B5125">
                    <w:tc>
                      <w:tcPr>
                        <w:tcW w:w="596"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TWO</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245" w:type="dxa"/>
                    <w:tblLayout w:type="fixed"/>
                    <w:tblCellMar>
                      <w:left w:w="0" w:type="dxa"/>
                      <w:right w:w="0" w:type="dxa"/>
                    </w:tblCellMar>
                    <w:tblLook w:val="01E0" w:firstRow="1" w:lastRow="1" w:firstColumn="1" w:lastColumn="1" w:noHBand="0" w:noVBand="0"/>
                  </w:tblPr>
                  <w:tblGrid>
                    <w:gridCol w:w="1245"/>
                  </w:tblGrid>
                  <w:tr w:rsidR="002D20DB" w:rsidRPr="00C47725" w:rsidTr="002B5125">
                    <w:tc>
                      <w:tcPr>
                        <w:tcW w:w="12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TG/29/8(proj.4)</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Alstroemeria</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290" w:type="dxa"/>
                    <w:tblLayout w:type="fixed"/>
                    <w:tblCellMar>
                      <w:left w:w="0" w:type="dxa"/>
                      <w:right w:w="0" w:type="dxa"/>
                    </w:tblCellMar>
                    <w:tblLook w:val="01E0" w:firstRow="1" w:lastRow="1" w:firstColumn="1" w:lastColumn="1" w:noHBand="0" w:noVBand="0"/>
                  </w:tblPr>
                  <w:tblGrid>
                    <w:gridCol w:w="1290"/>
                  </w:tblGrid>
                  <w:tr w:rsidR="002D20DB" w:rsidRPr="00C47725" w:rsidTr="002B5125">
                    <w:tc>
                      <w:tcPr>
                        <w:tcW w:w="129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Alstroemère</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2D20DB" w:rsidRPr="00C47725" w:rsidTr="002B5125">
                    <w:tc>
                      <w:tcPr>
                        <w:tcW w:w="147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Inkalilie</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365" w:type="dxa"/>
                    <w:tblLayout w:type="fixed"/>
                    <w:tblCellMar>
                      <w:left w:w="0" w:type="dxa"/>
                      <w:right w:w="0" w:type="dxa"/>
                    </w:tblCellMar>
                    <w:tblLook w:val="01E0" w:firstRow="1" w:lastRow="1" w:firstColumn="1" w:lastColumn="1" w:noHBand="0" w:noVBand="0"/>
                  </w:tblPr>
                  <w:tblGrid>
                    <w:gridCol w:w="1365"/>
                  </w:tblGrid>
                  <w:tr w:rsidR="002D20DB" w:rsidRPr="00C47725" w:rsidTr="002B5125">
                    <w:tc>
                      <w:tcPr>
                        <w:tcW w:w="136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Alstroemeria</w:t>
                        </w:r>
                      </w:p>
                      <w:p w:rsidR="002D20DB" w:rsidRPr="00C47725" w:rsidRDefault="002D20DB" w:rsidP="002B5125">
                        <w:pPr>
                          <w:spacing w:before="20" w:after="20"/>
                          <w:jc w:val="left"/>
                          <w:rPr>
                            <w:rFonts w:cs="Arial"/>
                            <w:color w:val="000000"/>
                            <w:sz w:val="16"/>
                            <w:szCs w:val="16"/>
                            <w:lang w:val="de-DE"/>
                          </w:rPr>
                        </w:pP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455" w:type="dxa"/>
                    <w:tblLayout w:type="fixed"/>
                    <w:tblCellMar>
                      <w:left w:w="0" w:type="dxa"/>
                      <w:right w:w="0" w:type="dxa"/>
                    </w:tblCellMar>
                    <w:tblLook w:val="01E0" w:firstRow="1" w:lastRow="1" w:firstColumn="1" w:lastColumn="1" w:noHBand="0" w:noVBand="0"/>
                  </w:tblPr>
                  <w:tblGrid>
                    <w:gridCol w:w="1455"/>
                  </w:tblGrid>
                  <w:tr w:rsidR="002D20DB" w:rsidRPr="00C47725" w:rsidTr="002B5125">
                    <w:tc>
                      <w:tcPr>
                        <w:tcW w:w="1455" w:type="dxa"/>
                        <w:tcMar>
                          <w:top w:w="0" w:type="dxa"/>
                          <w:left w:w="0" w:type="dxa"/>
                          <w:bottom w:w="0" w:type="dxa"/>
                          <w:right w:w="0" w:type="dxa"/>
                        </w:tcMar>
                      </w:tcPr>
                      <w:p w:rsidR="002D20DB" w:rsidRPr="00C47725" w:rsidRDefault="002D20DB" w:rsidP="002B5125">
                        <w:pPr>
                          <w:spacing w:before="20" w:after="20"/>
                          <w:jc w:val="left"/>
                          <w:rPr>
                            <w:rFonts w:cs="Arial"/>
                            <w:i/>
                            <w:color w:val="000000"/>
                            <w:sz w:val="16"/>
                            <w:szCs w:val="16"/>
                            <w:lang w:val="de-DE"/>
                          </w:rPr>
                        </w:pPr>
                        <w:r w:rsidRPr="00C47725">
                          <w:rPr>
                            <w:rFonts w:cs="Arial"/>
                            <w:i/>
                            <w:color w:val="000000"/>
                            <w:sz w:val="16"/>
                            <w:szCs w:val="16"/>
                            <w:lang w:val="de-DE"/>
                          </w:rPr>
                          <w:t xml:space="preserve">Alstroemeria </w:t>
                        </w:r>
                        <w:r w:rsidRPr="00C47725">
                          <w:rPr>
                            <w:rFonts w:cs="Arial"/>
                            <w:color w:val="000000"/>
                            <w:sz w:val="16"/>
                            <w:szCs w:val="16"/>
                            <w:lang w:val="de-DE"/>
                          </w:rPr>
                          <w:t>L.</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r>
            <w:tr w:rsidR="002D20DB" w:rsidRPr="00C47725" w:rsidTr="002B5125">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645" w:type="dxa"/>
                    <w:tblLayout w:type="fixed"/>
                    <w:tblCellMar>
                      <w:left w:w="0" w:type="dxa"/>
                      <w:right w:w="0" w:type="dxa"/>
                    </w:tblCellMar>
                    <w:tblLook w:val="01E0" w:firstRow="1" w:lastRow="1" w:firstColumn="1" w:lastColumn="1" w:noHBand="0" w:noVBand="0"/>
                  </w:tblPr>
                  <w:tblGrid>
                    <w:gridCol w:w="645"/>
                  </w:tblGrid>
                  <w:tr w:rsidR="002D20DB" w:rsidRPr="00C47725" w:rsidTr="002B5125">
                    <w:tc>
                      <w:tcPr>
                        <w:tcW w:w="645"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FR</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885" w:type="dxa"/>
                    <w:tblLayout w:type="fixed"/>
                    <w:tblCellMar>
                      <w:left w:w="0" w:type="dxa"/>
                      <w:right w:w="0" w:type="dxa"/>
                    </w:tblCellMar>
                    <w:tblLook w:val="01E0" w:firstRow="1" w:lastRow="1" w:firstColumn="1" w:lastColumn="1" w:noHBand="0" w:noVBand="0"/>
                  </w:tblPr>
                  <w:tblGrid>
                    <w:gridCol w:w="885"/>
                  </w:tblGrid>
                  <w:tr w:rsidR="002D20DB" w:rsidRPr="00C47725" w:rsidTr="002B5125">
                    <w:tc>
                      <w:tcPr>
                        <w:tcW w:w="885"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TWV</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245" w:type="dxa"/>
                    <w:tblLayout w:type="fixed"/>
                    <w:tblCellMar>
                      <w:left w:w="0" w:type="dxa"/>
                      <w:right w:w="0" w:type="dxa"/>
                    </w:tblCellMar>
                    <w:tblLook w:val="01E0" w:firstRow="1" w:lastRow="1" w:firstColumn="1" w:lastColumn="1" w:noHBand="0" w:noVBand="0"/>
                  </w:tblPr>
                  <w:tblGrid>
                    <w:gridCol w:w="1245"/>
                  </w:tblGrid>
                  <w:tr w:rsidR="002D20DB" w:rsidRPr="00C47725" w:rsidTr="002B5125">
                    <w:tc>
                      <w:tcPr>
                        <w:tcW w:w="12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TG/106/5(proj.4)</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 xml:space="preserve">Leaf beet, </w:t>
                        </w:r>
                      </w:p>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Swiss chard</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290" w:type="dxa"/>
                    <w:tblLayout w:type="fixed"/>
                    <w:tblCellMar>
                      <w:left w:w="0" w:type="dxa"/>
                      <w:right w:w="0" w:type="dxa"/>
                    </w:tblCellMar>
                    <w:tblLook w:val="01E0" w:firstRow="1" w:lastRow="1" w:firstColumn="1" w:lastColumn="1" w:noHBand="0" w:noVBand="0"/>
                  </w:tblPr>
                  <w:tblGrid>
                    <w:gridCol w:w="1290"/>
                  </w:tblGrid>
                  <w:tr w:rsidR="002D20DB" w:rsidRPr="00C47725" w:rsidTr="002B5125">
                    <w:tc>
                      <w:tcPr>
                        <w:tcW w:w="129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 xml:space="preserve">Poirée, </w:t>
                        </w:r>
                      </w:p>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Bette à cardes</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2D20DB" w:rsidRPr="00C47725" w:rsidTr="002B5125">
                    <w:tc>
                      <w:tcPr>
                        <w:tcW w:w="147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Mangold</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365" w:type="dxa"/>
                    <w:tblLayout w:type="fixed"/>
                    <w:tblCellMar>
                      <w:left w:w="0" w:type="dxa"/>
                      <w:right w:w="0" w:type="dxa"/>
                    </w:tblCellMar>
                    <w:tblLook w:val="01E0" w:firstRow="1" w:lastRow="1" w:firstColumn="1" w:lastColumn="1" w:noHBand="0" w:noVBand="0"/>
                  </w:tblPr>
                  <w:tblGrid>
                    <w:gridCol w:w="1365"/>
                  </w:tblGrid>
                  <w:tr w:rsidR="002D20DB" w:rsidRPr="00C47725" w:rsidTr="002B5125">
                    <w:tc>
                      <w:tcPr>
                        <w:tcW w:w="136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Acelga</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455" w:type="dxa"/>
                    <w:tblLayout w:type="fixed"/>
                    <w:tblCellMar>
                      <w:left w:w="0" w:type="dxa"/>
                      <w:right w:w="0" w:type="dxa"/>
                    </w:tblCellMar>
                    <w:tblLook w:val="01E0" w:firstRow="1" w:lastRow="1" w:firstColumn="1" w:lastColumn="1" w:noHBand="0" w:noVBand="0"/>
                  </w:tblPr>
                  <w:tblGrid>
                    <w:gridCol w:w="1455"/>
                  </w:tblGrid>
                  <w:tr w:rsidR="002D20DB" w:rsidRPr="00C47725" w:rsidTr="002B5125">
                    <w:tc>
                      <w:tcPr>
                        <w:tcW w:w="145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4F1DFE">
                          <w:rPr>
                            <w:rStyle w:val="Emphasis"/>
                            <w:rFonts w:cs="Arial"/>
                            <w:color w:val="000000"/>
                            <w:sz w:val="16"/>
                            <w:szCs w:val="16"/>
                            <w:lang w:val="es-ES_tradnl"/>
                          </w:rPr>
                          <w:t>Beta vulgaris</w:t>
                        </w:r>
                        <w:r w:rsidRPr="004F1DFE">
                          <w:rPr>
                            <w:rFonts w:cs="Arial"/>
                            <w:color w:val="000000"/>
                            <w:sz w:val="16"/>
                            <w:szCs w:val="16"/>
                            <w:lang w:val="es-ES_tradnl"/>
                          </w:rPr>
                          <w:t xml:space="preserve"> L. ssp. </w:t>
                        </w:r>
                        <w:r w:rsidRPr="004F1DFE">
                          <w:rPr>
                            <w:rStyle w:val="Emphasis"/>
                            <w:rFonts w:cs="Arial"/>
                            <w:color w:val="000000"/>
                            <w:sz w:val="16"/>
                            <w:szCs w:val="16"/>
                            <w:lang w:val="es-ES_tradnl"/>
                          </w:rPr>
                          <w:t>vulgaris</w:t>
                        </w:r>
                        <w:r w:rsidRPr="004F1DFE">
                          <w:rPr>
                            <w:rFonts w:cs="Arial"/>
                            <w:color w:val="000000"/>
                            <w:sz w:val="16"/>
                            <w:szCs w:val="16"/>
                            <w:lang w:val="es-ES_tradnl"/>
                          </w:rPr>
                          <w:t> var. </w:t>
                        </w:r>
                        <w:r w:rsidRPr="004F1DFE">
                          <w:rPr>
                            <w:rFonts w:cs="Arial"/>
                            <w:color w:val="000000"/>
                            <w:sz w:val="16"/>
                            <w:szCs w:val="16"/>
                            <w:lang w:val="es-ES_tradnl"/>
                          </w:rPr>
                          <w:br/>
                        </w:r>
                        <w:r w:rsidRPr="00C47725">
                          <w:rPr>
                            <w:rStyle w:val="Emphasis"/>
                            <w:rFonts w:cs="Arial"/>
                            <w:color w:val="000000"/>
                            <w:sz w:val="16"/>
                            <w:szCs w:val="16"/>
                            <w:lang w:val="de-DE"/>
                          </w:rPr>
                          <w:t>flavescens</w:t>
                        </w:r>
                        <w:r w:rsidRPr="00C47725">
                          <w:rPr>
                            <w:rFonts w:cs="Arial"/>
                            <w:color w:val="000000"/>
                            <w:sz w:val="16"/>
                            <w:szCs w:val="16"/>
                            <w:lang w:val="de-DE"/>
                          </w:rPr>
                          <w:t> DC.</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r>
            <w:tr w:rsidR="002D20DB" w:rsidRPr="000E6F70" w:rsidTr="002B5125">
              <w:trPr>
                <w:hidden/>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rPr>
                      <w:vanish/>
                      <w:lang w:val="de-DE"/>
                    </w:rPr>
                  </w:pPr>
                </w:p>
                <w:tbl>
                  <w:tblPr>
                    <w:tblW w:w="645" w:type="dxa"/>
                    <w:tblLayout w:type="fixed"/>
                    <w:tblCellMar>
                      <w:left w:w="0" w:type="dxa"/>
                      <w:right w:w="0" w:type="dxa"/>
                    </w:tblCellMar>
                    <w:tblLook w:val="01E0" w:firstRow="1" w:lastRow="1" w:firstColumn="1" w:lastColumn="1" w:noHBand="0" w:noVBand="0"/>
                  </w:tblPr>
                  <w:tblGrid>
                    <w:gridCol w:w="645"/>
                  </w:tblGrid>
                  <w:tr w:rsidR="002D20DB" w:rsidRPr="00C47725" w:rsidTr="002B5125">
                    <w:tc>
                      <w:tcPr>
                        <w:tcW w:w="645"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AU</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rPr>
                      <w:vanish/>
                      <w:lang w:val="de-DE"/>
                    </w:rPr>
                  </w:pPr>
                </w:p>
                <w:tbl>
                  <w:tblPr>
                    <w:tblW w:w="885" w:type="dxa"/>
                    <w:tblLayout w:type="fixed"/>
                    <w:tblCellMar>
                      <w:left w:w="0" w:type="dxa"/>
                      <w:right w:w="0" w:type="dxa"/>
                    </w:tblCellMar>
                    <w:tblLook w:val="01E0" w:firstRow="1" w:lastRow="1" w:firstColumn="1" w:lastColumn="1" w:noHBand="0" w:noVBand="0"/>
                  </w:tblPr>
                  <w:tblGrid>
                    <w:gridCol w:w="885"/>
                  </w:tblGrid>
                  <w:tr w:rsidR="002D20DB" w:rsidRPr="00C47725" w:rsidTr="002B5125">
                    <w:tc>
                      <w:tcPr>
                        <w:tcW w:w="885"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TWF</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jc w:val="left"/>
                    <w:rPr>
                      <w:vanish/>
                      <w:lang w:val="de-DE"/>
                    </w:rPr>
                  </w:pPr>
                </w:p>
                <w:tbl>
                  <w:tblPr>
                    <w:tblW w:w="1245" w:type="dxa"/>
                    <w:tblLayout w:type="fixed"/>
                    <w:tblCellMar>
                      <w:left w:w="0" w:type="dxa"/>
                      <w:right w:w="0" w:type="dxa"/>
                    </w:tblCellMar>
                    <w:tblLook w:val="01E0" w:firstRow="1" w:lastRow="1" w:firstColumn="1" w:lastColumn="1" w:noHBand="0" w:noVBand="0"/>
                  </w:tblPr>
                  <w:tblGrid>
                    <w:gridCol w:w="1245"/>
                  </w:tblGrid>
                  <w:tr w:rsidR="002D20DB" w:rsidRPr="00C47725" w:rsidTr="002B5125">
                    <w:tc>
                      <w:tcPr>
                        <w:tcW w:w="1245" w:type="dxa"/>
                        <w:tcMar>
                          <w:top w:w="0" w:type="dxa"/>
                          <w:left w:w="0" w:type="dxa"/>
                          <w:bottom w:w="0" w:type="dxa"/>
                          <w:right w:w="0" w:type="dxa"/>
                        </w:tcMar>
                      </w:tcPr>
                      <w:p w:rsidR="002D20DB" w:rsidRPr="00C47725" w:rsidRDefault="002D20DB" w:rsidP="002B5125">
                        <w:pPr>
                          <w:rPr>
                            <w:sz w:val="16"/>
                            <w:lang w:val="de-DE"/>
                          </w:rPr>
                        </w:pPr>
                        <w:r w:rsidRPr="00C47725">
                          <w:rPr>
                            <w:sz w:val="16"/>
                            <w:lang w:val="de-DE"/>
                          </w:rPr>
                          <w:t>TG/111/4(proj.5),</w:t>
                        </w:r>
                        <w:r w:rsidRPr="00C47725">
                          <w:rPr>
                            <w:sz w:val="16"/>
                            <w:lang w:val="de-DE"/>
                          </w:rPr>
                          <w:br/>
                          <w:t>TC/55/18</w:t>
                        </w:r>
                      </w:p>
                    </w:tc>
                  </w:tr>
                </w:tbl>
                <w:p w:rsidR="002D20DB" w:rsidRPr="00C47725" w:rsidRDefault="002D20DB" w:rsidP="002B5125">
                  <w:pPr>
                    <w:rPr>
                      <w:lang w:val="de-DE"/>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rPr>
                            <w:lang w:val="de-DE"/>
                          </w:rPr>
                        </w:pPr>
                        <w:r w:rsidRPr="00C47725">
                          <w:rPr>
                            <w:sz w:val="16"/>
                            <w:szCs w:val="16"/>
                            <w:lang w:val="de-DE"/>
                          </w:rPr>
                          <w:t>Macadamia</w:t>
                        </w:r>
                        <w:r w:rsidRPr="00C47725">
                          <w:rPr>
                            <w:lang w:val="de-DE"/>
                          </w:rPr>
                          <w:t xml:space="preserve"> </w:t>
                        </w:r>
                      </w:p>
                    </w:tc>
                  </w:tr>
                </w:tbl>
                <w:p w:rsidR="002D20DB" w:rsidRPr="00C47725" w:rsidRDefault="002D20DB" w:rsidP="002B5125">
                  <w:pPr>
                    <w:rPr>
                      <w:lang w:val="de-DE"/>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2D20DB" w:rsidRPr="00C47725" w:rsidTr="002B5125">
                    <w:tc>
                      <w:tcPr>
                        <w:tcW w:w="1290" w:type="dxa"/>
                        <w:tcMar>
                          <w:top w:w="0" w:type="dxa"/>
                          <w:left w:w="0" w:type="dxa"/>
                          <w:bottom w:w="0" w:type="dxa"/>
                          <w:right w:w="0" w:type="dxa"/>
                        </w:tcMar>
                      </w:tcPr>
                      <w:p w:rsidR="002D20DB" w:rsidRPr="00C47725" w:rsidRDefault="002D20DB" w:rsidP="002B5125">
                        <w:pPr>
                          <w:rPr>
                            <w:lang w:val="de-DE"/>
                          </w:rPr>
                        </w:pPr>
                        <w:r w:rsidRPr="00C47725">
                          <w:rPr>
                            <w:sz w:val="16"/>
                            <w:szCs w:val="16"/>
                            <w:lang w:val="de-DE"/>
                          </w:rPr>
                          <w:t>Macadamia</w:t>
                        </w:r>
                        <w:r w:rsidRPr="00C47725">
                          <w:rPr>
                            <w:lang w:val="de-DE"/>
                          </w:rPr>
                          <w:t xml:space="preserve"> </w:t>
                        </w:r>
                      </w:p>
                    </w:tc>
                  </w:tr>
                </w:tbl>
                <w:p w:rsidR="002D20DB" w:rsidRPr="00C47725" w:rsidRDefault="002D20DB" w:rsidP="002B5125">
                  <w:pPr>
                    <w:rPr>
                      <w:lang w:val="de-DE"/>
                    </w:rPr>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2D20DB" w:rsidRPr="00C47725" w:rsidTr="002B5125">
                    <w:tc>
                      <w:tcPr>
                        <w:tcW w:w="1470" w:type="dxa"/>
                        <w:tcMar>
                          <w:top w:w="0" w:type="dxa"/>
                          <w:left w:w="0" w:type="dxa"/>
                          <w:bottom w:w="0" w:type="dxa"/>
                          <w:right w:w="0" w:type="dxa"/>
                        </w:tcMar>
                      </w:tcPr>
                      <w:p w:rsidR="002D20DB" w:rsidRPr="00C47725" w:rsidRDefault="002D20DB" w:rsidP="002B5125">
                        <w:pPr>
                          <w:rPr>
                            <w:lang w:val="de-DE"/>
                          </w:rPr>
                        </w:pPr>
                        <w:r w:rsidRPr="00C47725">
                          <w:rPr>
                            <w:sz w:val="16"/>
                            <w:szCs w:val="16"/>
                            <w:lang w:val="de-DE"/>
                          </w:rPr>
                          <w:t>Macadamia</w:t>
                        </w:r>
                        <w:r w:rsidRPr="00C47725">
                          <w:rPr>
                            <w:lang w:val="de-DE"/>
                          </w:rPr>
                          <w:t xml:space="preserve"> </w:t>
                        </w:r>
                      </w:p>
                    </w:tc>
                  </w:tr>
                </w:tbl>
                <w:p w:rsidR="002D20DB" w:rsidRPr="00C47725" w:rsidRDefault="002D20DB" w:rsidP="002B5125">
                  <w:pPr>
                    <w:rPr>
                      <w:lang w:val="de-DE"/>
                    </w:rPr>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2D20DB" w:rsidRPr="00C47725" w:rsidTr="002B5125">
                    <w:tc>
                      <w:tcPr>
                        <w:tcW w:w="1365" w:type="dxa"/>
                        <w:tcMar>
                          <w:top w:w="0" w:type="dxa"/>
                          <w:left w:w="0" w:type="dxa"/>
                          <w:bottom w:w="0" w:type="dxa"/>
                          <w:right w:w="0" w:type="dxa"/>
                        </w:tcMar>
                      </w:tcPr>
                      <w:p w:rsidR="002D20DB" w:rsidRPr="00C47725" w:rsidRDefault="002D20DB" w:rsidP="002B5125">
                        <w:pPr>
                          <w:rPr>
                            <w:lang w:val="de-DE"/>
                          </w:rPr>
                        </w:pPr>
                        <w:r w:rsidRPr="00C47725">
                          <w:rPr>
                            <w:sz w:val="16"/>
                            <w:szCs w:val="16"/>
                            <w:lang w:val="de-DE"/>
                          </w:rPr>
                          <w:t>Macadamia</w:t>
                        </w:r>
                        <w:r w:rsidRPr="00C47725">
                          <w:rPr>
                            <w:lang w:val="de-DE"/>
                          </w:rPr>
                          <w:t xml:space="preserve"> </w:t>
                        </w:r>
                      </w:p>
                    </w:tc>
                  </w:tr>
                </w:tbl>
                <w:p w:rsidR="002D20DB" w:rsidRPr="00C47725" w:rsidRDefault="002D20DB" w:rsidP="002B5125">
                  <w:pPr>
                    <w:rPr>
                      <w:lang w:val="de-DE"/>
                    </w:rPr>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2D20DB" w:rsidRPr="000E6F70" w:rsidTr="002B5125">
                    <w:tc>
                      <w:tcPr>
                        <w:tcW w:w="1455" w:type="dxa"/>
                        <w:tcMar>
                          <w:top w:w="0" w:type="dxa"/>
                          <w:left w:w="0" w:type="dxa"/>
                          <w:bottom w:w="0" w:type="dxa"/>
                          <w:right w:w="0" w:type="dxa"/>
                        </w:tcMar>
                      </w:tcPr>
                      <w:p w:rsidR="002D20DB" w:rsidRPr="004F1DFE" w:rsidRDefault="002D20DB" w:rsidP="002B5125">
                        <w:pPr>
                          <w:rPr>
                            <w:sz w:val="16"/>
                            <w:szCs w:val="16"/>
                            <w:lang w:val="es-ES_tradnl"/>
                          </w:rPr>
                        </w:pPr>
                        <w:r w:rsidRPr="004F1DFE">
                          <w:rPr>
                            <w:i/>
                            <w:sz w:val="16"/>
                            <w:szCs w:val="16"/>
                            <w:lang w:val="es-ES_tradnl"/>
                          </w:rPr>
                          <w:t>Macadamia integrifolia</w:t>
                        </w:r>
                        <w:r w:rsidRPr="004F1DFE">
                          <w:rPr>
                            <w:sz w:val="16"/>
                            <w:szCs w:val="16"/>
                            <w:lang w:val="es-ES_tradnl"/>
                          </w:rPr>
                          <w:t xml:space="preserve"> Maiden et Betche; </w:t>
                        </w:r>
                      </w:p>
                      <w:p w:rsidR="002D20DB" w:rsidRPr="004F1DFE" w:rsidRDefault="002D20DB" w:rsidP="002B5125">
                        <w:pPr>
                          <w:rPr>
                            <w:lang w:val="es-ES_tradnl"/>
                          </w:rPr>
                        </w:pPr>
                        <w:r w:rsidRPr="004F1DFE">
                          <w:rPr>
                            <w:i/>
                            <w:sz w:val="16"/>
                            <w:szCs w:val="16"/>
                            <w:lang w:val="es-ES_tradnl"/>
                          </w:rPr>
                          <w:t>Macadamia tetraphylla</w:t>
                        </w:r>
                        <w:r w:rsidRPr="004F1DFE">
                          <w:rPr>
                            <w:sz w:val="16"/>
                            <w:szCs w:val="16"/>
                            <w:lang w:val="es-ES_tradnl"/>
                          </w:rPr>
                          <w:t xml:space="preserve"> L. Johns.</w:t>
                        </w:r>
                      </w:p>
                    </w:tc>
                  </w:tr>
                </w:tbl>
                <w:p w:rsidR="002D20DB" w:rsidRPr="004F1DFE" w:rsidRDefault="002D20DB" w:rsidP="002B5125">
                  <w:pPr>
                    <w:rPr>
                      <w:lang w:val="es-ES_tradnl"/>
                    </w:rPr>
                  </w:pPr>
                </w:p>
              </w:tc>
            </w:tr>
            <w:tr w:rsidR="002D20DB" w:rsidRPr="00C47725" w:rsidTr="002B5125">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2B5125" w:rsidRDefault="002D20DB" w:rsidP="002B5125">
                  <w:pPr>
                    <w:spacing w:before="20" w:after="20"/>
                    <w:rPr>
                      <w:vanish/>
                      <w:lang w:val="es-ES"/>
                    </w:rPr>
                  </w:pPr>
                </w:p>
                <w:tbl>
                  <w:tblPr>
                    <w:tblW w:w="645" w:type="dxa"/>
                    <w:tblLayout w:type="fixed"/>
                    <w:tblCellMar>
                      <w:left w:w="0" w:type="dxa"/>
                      <w:right w:w="0" w:type="dxa"/>
                    </w:tblCellMar>
                    <w:tblLook w:val="01E0" w:firstRow="1" w:lastRow="1" w:firstColumn="1" w:lastColumn="1" w:noHBand="0" w:noVBand="0"/>
                  </w:tblPr>
                  <w:tblGrid>
                    <w:gridCol w:w="645"/>
                  </w:tblGrid>
                  <w:tr w:rsidR="002D20DB" w:rsidRPr="00C47725" w:rsidTr="002B5125">
                    <w:tc>
                      <w:tcPr>
                        <w:tcW w:w="645"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AU</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885" w:type="dxa"/>
                    <w:tblLayout w:type="fixed"/>
                    <w:tblCellMar>
                      <w:left w:w="0" w:type="dxa"/>
                      <w:right w:w="0" w:type="dxa"/>
                    </w:tblCellMar>
                    <w:tblLook w:val="01E0" w:firstRow="1" w:lastRow="1" w:firstColumn="1" w:lastColumn="1" w:noHBand="0" w:noVBand="0"/>
                  </w:tblPr>
                  <w:tblGrid>
                    <w:gridCol w:w="885"/>
                  </w:tblGrid>
                  <w:tr w:rsidR="002D20DB" w:rsidRPr="00C47725" w:rsidTr="002B5125">
                    <w:tc>
                      <w:tcPr>
                        <w:tcW w:w="885"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TWO</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245" w:type="dxa"/>
                    <w:tblLayout w:type="fixed"/>
                    <w:tblCellMar>
                      <w:left w:w="0" w:type="dxa"/>
                      <w:right w:w="0" w:type="dxa"/>
                    </w:tblCellMar>
                    <w:tblLook w:val="01E0" w:firstRow="1" w:lastRow="1" w:firstColumn="1" w:lastColumn="1" w:noHBand="0" w:noVBand="0"/>
                  </w:tblPr>
                  <w:tblGrid>
                    <w:gridCol w:w="1245"/>
                  </w:tblGrid>
                  <w:tr w:rsidR="002D20DB" w:rsidRPr="00C47725" w:rsidTr="002B5125">
                    <w:tc>
                      <w:tcPr>
                        <w:tcW w:w="12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TG/175/4(proj.3)</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Kangaroo Paw</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290" w:type="dxa"/>
                    <w:tblLayout w:type="fixed"/>
                    <w:tblCellMar>
                      <w:left w:w="0" w:type="dxa"/>
                      <w:right w:w="0" w:type="dxa"/>
                    </w:tblCellMar>
                    <w:tblLook w:val="01E0" w:firstRow="1" w:lastRow="1" w:firstColumn="1" w:lastColumn="1" w:noHBand="0" w:noVBand="0"/>
                  </w:tblPr>
                  <w:tblGrid>
                    <w:gridCol w:w="1290"/>
                  </w:tblGrid>
                  <w:tr w:rsidR="002D20DB" w:rsidRPr="00C47725" w:rsidTr="002B5125">
                    <w:tc>
                      <w:tcPr>
                        <w:tcW w:w="129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Anigozanthos</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2D20DB" w:rsidRPr="00C47725" w:rsidTr="002B5125">
                    <w:tc>
                      <w:tcPr>
                        <w:tcW w:w="147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Känguruhblume</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365" w:type="dxa"/>
                    <w:tblLayout w:type="fixed"/>
                    <w:tblCellMar>
                      <w:left w:w="0" w:type="dxa"/>
                      <w:right w:w="0" w:type="dxa"/>
                    </w:tblCellMar>
                    <w:tblLook w:val="01E0" w:firstRow="1" w:lastRow="1" w:firstColumn="1" w:lastColumn="1" w:noHBand="0" w:noVBand="0"/>
                  </w:tblPr>
                  <w:tblGrid>
                    <w:gridCol w:w="1365"/>
                  </w:tblGrid>
                  <w:tr w:rsidR="002D20DB" w:rsidRPr="00C47725" w:rsidTr="002B5125">
                    <w:tc>
                      <w:tcPr>
                        <w:tcW w:w="136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Anigozanthos</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455" w:type="dxa"/>
                    <w:tblLayout w:type="fixed"/>
                    <w:tblCellMar>
                      <w:left w:w="0" w:type="dxa"/>
                      <w:right w:w="0" w:type="dxa"/>
                    </w:tblCellMar>
                    <w:tblLook w:val="01E0" w:firstRow="1" w:lastRow="1" w:firstColumn="1" w:lastColumn="1" w:noHBand="0" w:noVBand="0"/>
                  </w:tblPr>
                  <w:tblGrid>
                    <w:gridCol w:w="1455"/>
                  </w:tblGrid>
                  <w:tr w:rsidR="002D20DB" w:rsidRPr="00C47725" w:rsidTr="002B5125">
                    <w:tc>
                      <w:tcPr>
                        <w:tcW w:w="145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4F1DFE">
                          <w:rPr>
                            <w:rFonts w:cs="Arial"/>
                            <w:i/>
                            <w:iCs/>
                            <w:color w:val="000000"/>
                            <w:sz w:val="16"/>
                            <w:szCs w:val="16"/>
                            <w:lang w:val="es-ES_tradnl"/>
                          </w:rPr>
                          <w:t>Anigozanthos</w:t>
                        </w:r>
                        <w:r w:rsidRPr="004F1DFE">
                          <w:rPr>
                            <w:rFonts w:cs="Arial"/>
                            <w:color w:val="000000"/>
                            <w:sz w:val="16"/>
                            <w:szCs w:val="16"/>
                            <w:lang w:val="es-ES_tradnl"/>
                          </w:rPr>
                          <w:t> </w:t>
                        </w:r>
                        <w:r w:rsidRPr="004F1DFE">
                          <w:rPr>
                            <w:rFonts w:cs="Arial"/>
                            <w:color w:val="000000"/>
                            <w:sz w:val="16"/>
                            <w:szCs w:val="16"/>
                            <w:lang w:val="es-ES_tradnl"/>
                          </w:rPr>
                          <w:br/>
                          <w:t>Labill., </w:t>
                        </w:r>
                        <w:r w:rsidRPr="004F1DFE">
                          <w:rPr>
                            <w:rStyle w:val="Emphasis"/>
                            <w:rFonts w:cs="Arial"/>
                            <w:color w:val="000000"/>
                            <w:sz w:val="16"/>
                            <w:szCs w:val="16"/>
                            <w:lang w:val="es-ES_tradnl"/>
                          </w:rPr>
                          <w:t>Macropidia fuliginosa</w:t>
                        </w:r>
                        <w:r w:rsidRPr="004F1DFE">
                          <w:rPr>
                            <w:rFonts w:cs="Arial"/>
                            <w:color w:val="000000"/>
                            <w:sz w:val="16"/>
                            <w:szCs w:val="16"/>
                            <w:lang w:val="es-ES_tradnl"/>
                          </w:rPr>
                          <w:t xml:space="preserve"> (Hook.) </w:t>
                        </w:r>
                        <w:r w:rsidRPr="00C47725">
                          <w:rPr>
                            <w:rFonts w:cs="Arial"/>
                            <w:color w:val="000000"/>
                            <w:sz w:val="16"/>
                            <w:szCs w:val="16"/>
                            <w:lang w:val="de-DE"/>
                          </w:rPr>
                          <w:t>Druce</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r>
            <w:tr w:rsidR="002D20DB" w:rsidRPr="00C47725" w:rsidTr="002B5125">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645" w:type="dxa"/>
                    <w:tblLayout w:type="fixed"/>
                    <w:tblCellMar>
                      <w:left w:w="0" w:type="dxa"/>
                      <w:right w:w="0" w:type="dxa"/>
                    </w:tblCellMar>
                    <w:tblLook w:val="01E0" w:firstRow="1" w:lastRow="1" w:firstColumn="1" w:lastColumn="1" w:noHBand="0" w:noVBand="0"/>
                  </w:tblPr>
                  <w:tblGrid>
                    <w:gridCol w:w="645"/>
                  </w:tblGrid>
                  <w:tr w:rsidR="002D20DB" w:rsidRPr="00C47725" w:rsidTr="002B5125">
                    <w:tc>
                      <w:tcPr>
                        <w:tcW w:w="645"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NL</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885" w:type="dxa"/>
                    <w:tblLayout w:type="fixed"/>
                    <w:tblCellMar>
                      <w:left w:w="0" w:type="dxa"/>
                      <w:right w:w="0" w:type="dxa"/>
                    </w:tblCellMar>
                    <w:tblLook w:val="01E0" w:firstRow="1" w:lastRow="1" w:firstColumn="1" w:lastColumn="1" w:noHBand="0" w:noVBand="0"/>
                  </w:tblPr>
                  <w:tblGrid>
                    <w:gridCol w:w="885"/>
                  </w:tblGrid>
                  <w:tr w:rsidR="002D20DB" w:rsidRPr="00C47725" w:rsidTr="002B5125">
                    <w:tc>
                      <w:tcPr>
                        <w:tcW w:w="885"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TWV</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245" w:type="dxa"/>
                    <w:tblLayout w:type="fixed"/>
                    <w:tblCellMar>
                      <w:left w:w="0" w:type="dxa"/>
                      <w:right w:w="0" w:type="dxa"/>
                    </w:tblCellMar>
                    <w:tblLook w:val="01E0" w:firstRow="1" w:lastRow="1" w:firstColumn="1" w:lastColumn="1" w:noHBand="0" w:noVBand="0"/>
                  </w:tblPr>
                  <w:tblGrid>
                    <w:gridCol w:w="1245"/>
                  </w:tblGrid>
                  <w:tr w:rsidR="002D20DB" w:rsidRPr="00C47725" w:rsidTr="002B5125">
                    <w:tc>
                      <w:tcPr>
                        <w:tcW w:w="12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TG/183/4(proj.3)</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Fennel</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290" w:type="dxa"/>
                    <w:tblLayout w:type="fixed"/>
                    <w:tblCellMar>
                      <w:left w:w="0" w:type="dxa"/>
                      <w:right w:w="0" w:type="dxa"/>
                    </w:tblCellMar>
                    <w:tblLook w:val="01E0" w:firstRow="1" w:lastRow="1" w:firstColumn="1" w:lastColumn="1" w:noHBand="0" w:noVBand="0"/>
                  </w:tblPr>
                  <w:tblGrid>
                    <w:gridCol w:w="1290"/>
                  </w:tblGrid>
                  <w:tr w:rsidR="002D20DB" w:rsidRPr="00C47725" w:rsidTr="002B5125">
                    <w:tc>
                      <w:tcPr>
                        <w:tcW w:w="129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Fenouil</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2D20DB" w:rsidRPr="00C47725" w:rsidTr="002B5125">
                    <w:tc>
                      <w:tcPr>
                        <w:tcW w:w="147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Fenchel</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365" w:type="dxa"/>
                    <w:tblLayout w:type="fixed"/>
                    <w:tblCellMar>
                      <w:left w:w="0" w:type="dxa"/>
                      <w:right w:w="0" w:type="dxa"/>
                    </w:tblCellMar>
                    <w:tblLook w:val="01E0" w:firstRow="1" w:lastRow="1" w:firstColumn="1" w:lastColumn="1" w:noHBand="0" w:noVBand="0"/>
                  </w:tblPr>
                  <w:tblGrid>
                    <w:gridCol w:w="1365"/>
                  </w:tblGrid>
                  <w:tr w:rsidR="002D20DB" w:rsidRPr="00C47725" w:rsidTr="002B5125">
                    <w:tc>
                      <w:tcPr>
                        <w:tcW w:w="136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Hinojo</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455" w:type="dxa"/>
                    <w:tblLayout w:type="fixed"/>
                    <w:tblCellMar>
                      <w:left w:w="0" w:type="dxa"/>
                      <w:right w:w="0" w:type="dxa"/>
                    </w:tblCellMar>
                    <w:tblLook w:val="01E0" w:firstRow="1" w:lastRow="1" w:firstColumn="1" w:lastColumn="1" w:noHBand="0" w:noVBand="0"/>
                  </w:tblPr>
                  <w:tblGrid>
                    <w:gridCol w:w="1455"/>
                  </w:tblGrid>
                  <w:tr w:rsidR="002D20DB" w:rsidRPr="00C47725" w:rsidTr="002B5125">
                    <w:tc>
                      <w:tcPr>
                        <w:tcW w:w="145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Style w:val="Emphasis"/>
                            <w:rFonts w:cs="Arial"/>
                            <w:color w:val="000000"/>
                            <w:sz w:val="16"/>
                            <w:szCs w:val="16"/>
                            <w:lang w:val="de-DE"/>
                          </w:rPr>
                          <w:t>Foeniculum vulgare</w:t>
                        </w:r>
                        <w:r w:rsidRPr="00C47725">
                          <w:rPr>
                            <w:rFonts w:cs="Arial"/>
                            <w:color w:val="000000"/>
                            <w:sz w:val="16"/>
                            <w:szCs w:val="16"/>
                            <w:lang w:val="de-DE"/>
                          </w:rPr>
                          <w:t> Mill.</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r>
          </w:tbl>
          <w:p w:rsidR="002D20DB" w:rsidRPr="00C47725" w:rsidRDefault="002D20DB" w:rsidP="002B5125">
            <w:pPr>
              <w:rPr>
                <w:lang w:val="de-DE"/>
              </w:rPr>
            </w:pPr>
          </w:p>
        </w:tc>
      </w:tr>
      <w:tr w:rsidR="002D20DB" w:rsidRPr="00C47725" w:rsidTr="002B5125">
        <w:tc>
          <w:tcPr>
            <w:tcW w:w="10080" w:type="dxa"/>
            <w:tcMar>
              <w:top w:w="0" w:type="dxa"/>
              <w:left w:w="0" w:type="dxa"/>
              <w:bottom w:w="0" w:type="dxa"/>
              <w:right w:w="0" w:type="dxa"/>
            </w:tcMar>
          </w:tcPr>
          <w:p w:rsidR="002D20DB" w:rsidRPr="00C47725" w:rsidRDefault="002D20DB" w:rsidP="002B5125">
            <w:pPr>
              <w:rPr>
                <w:rFonts w:eastAsia="Arial" w:cs="Arial"/>
                <w:color w:val="000000"/>
                <w:lang w:val="de-DE"/>
              </w:rPr>
            </w:pPr>
            <w:r w:rsidRPr="00C47725">
              <w:rPr>
                <w:rFonts w:eastAsia="Arial" w:cs="Arial"/>
                <w:color w:val="000000"/>
                <w:lang w:val="de-DE"/>
              </w:rPr>
              <w:t xml:space="preserve"> </w:t>
            </w:r>
          </w:p>
        </w:tc>
      </w:tr>
      <w:tr w:rsidR="002D20DB" w:rsidRPr="000E6F70" w:rsidTr="002B5125">
        <w:tc>
          <w:tcPr>
            <w:tcW w:w="10080" w:type="dxa"/>
            <w:tcMar>
              <w:top w:w="0" w:type="dxa"/>
              <w:left w:w="0" w:type="dxa"/>
              <w:bottom w:w="0" w:type="dxa"/>
              <w:right w:w="0" w:type="dxa"/>
            </w:tcMar>
          </w:tcPr>
          <w:p w:rsidR="002D20DB" w:rsidRPr="004F1DFE" w:rsidRDefault="002D20DB" w:rsidP="002B5125">
            <w:pPr>
              <w:rPr>
                <w:lang w:val="fr-CH"/>
              </w:rPr>
            </w:pPr>
            <w:r w:rsidRPr="004F1DFE">
              <w:rPr>
                <w:rFonts w:eastAsia="Arial" w:cs="Arial"/>
                <w:color w:val="000000"/>
                <w:sz w:val="16"/>
                <w:szCs w:val="16"/>
                <w:u w:val="single"/>
                <w:lang w:val="fr-CH"/>
              </w:rPr>
              <w:t>PARTIAL REVISIONS OF TEST GUIDELINES / RÉVISIONS PARTIELLES DE PRINCIPES DIRECTEURS D’EXAMEN ADOPTÉS /</w:t>
            </w:r>
            <w:r w:rsidRPr="004F1DFE">
              <w:rPr>
                <w:rFonts w:eastAsia="Arial" w:cs="Arial"/>
                <w:color w:val="000000"/>
                <w:sz w:val="16"/>
                <w:szCs w:val="16"/>
                <w:u w:val="single"/>
                <w:lang w:val="fr-CH"/>
              </w:rPr>
              <w:br/>
              <w:t>TEILREVISIONEN ANGENOMMENER PRÜFUNGSRICHTLINIEN / REVISIONS PARCIALES DE DIRECTRICES DE EXAMEN ADOPTADAS</w:t>
            </w:r>
          </w:p>
          <w:p w:rsidR="002D20DB" w:rsidRPr="004F1DFE" w:rsidRDefault="002D20DB" w:rsidP="002B5125">
            <w:pPr>
              <w:rPr>
                <w:lang w:val="fr-CH"/>
              </w:rPr>
            </w:pPr>
          </w:p>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727"/>
              <w:gridCol w:w="1434"/>
              <w:gridCol w:w="1545"/>
              <w:gridCol w:w="1230"/>
              <w:gridCol w:w="1560"/>
              <w:gridCol w:w="1320"/>
              <w:gridCol w:w="1545"/>
            </w:tblGrid>
            <w:tr w:rsidR="002D20DB" w:rsidRPr="00C47725" w:rsidTr="002B5125">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2D20DB" w:rsidRPr="00C47725" w:rsidTr="002B5125">
                    <w:tc>
                      <w:tcPr>
                        <w:tcW w:w="54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NL</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975" w:type="dxa"/>
                    <w:tblLayout w:type="fixed"/>
                    <w:tblCellMar>
                      <w:left w:w="0" w:type="dxa"/>
                      <w:right w:w="0" w:type="dxa"/>
                    </w:tblCellMar>
                    <w:tblLook w:val="01E0" w:firstRow="1" w:lastRow="1" w:firstColumn="1" w:lastColumn="1" w:noHBand="0" w:noVBand="0"/>
                  </w:tblPr>
                  <w:tblGrid>
                    <w:gridCol w:w="975"/>
                  </w:tblGrid>
                  <w:tr w:rsidR="002D20DB" w:rsidRPr="00C47725" w:rsidTr="002B5125">
                    <w:tc>
                      <w:tcPr>
                        <w:tcW w:w="97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TWV</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ind w:right="-13"/>
                    <w:jc w:val="left"/>
                    <w:rPr>
                      <w:vanish/>
                      <w:lang w:val="de-DE"/>
                    </w:rPr>
                  </w:pPr>
                </w:p>
                <w:tbl>
                  <w:tblPr>
                    <w:tblW w:w="1413" w:type="dxa"/>
                    <w:tblLayout w:type="fixed"/>
                    <w:tblCellMar>
                      <w:left w:w="0" w:type="dxa"/>
                      <w:right w:w="0" w:type="dxa"/>
                    </w:tblCellMar>
                    <w:tblLook w:val="01E0" w:firstRow="1" w:lastRow="1" w:firstColumn="1" w:lastColumn="1" w:noHBand="0" w:noVBand="0"/>
                  </w:tblPr>
                  <w:tblGrid>
                    <w:gridCol w:w="1413"/>
                  </w:tblGrid>
                  <w:tr w:rsidR="002D20DB" w:rsidRPr="00C47725" w:rsidTr="002B5125">
                    <w:tc>
                      <w:tcPr>
                        <w:tcW w:w="1413" w:type="dxa"/>
                        <w:tcMar>
                          <w:top w:w="0" w:type="dxa"/>
                          <w:left w:w="0" w:type="dxa"/>
                          <w:bottom w:w="0" w:type="dxa"/>
                          <w:right w:w="0" w:type="dxa"/>
                        </w:tcMar>
                      </w:tcPr>
                      <w:p w:rsidR="002D20DB" w:rsidRPr="00C47725" w:rsidRDefault="002D20DB" w:rsidP="002B5125">
                        <w:pPr>
                          <w:spacing w:before="20" w:after="20"/>
                          <w:ind w:right="-13"/>
                          <w:jc w:val="left"/>
                          <w:rPr>
                            <w:rFonts w:cs="Arial"/>
                            <w:color w:val="000000"/>
                            <w:sz w:val="16"/>
                            <w:szCs w:val="16"/>
                            <w:lang w:val="de-DE"/>
                          </w:rPr>
                        </w:pPr>
                        <w:r w:rsidRPr="00C47725">
                          <w:rPr>
                            <w:rFonts w:cs="Arial"/>
                            <w:color w:val="000000"/>
                            <w:sz w:val="16"/>
                            <w:szCs w:val="16"/>
                            <w:lang w:val="de-DE"/>
                          </w:rPr>
                          <w:t>TG/44/11 Rev. 3 (proj.2)</w:t>
                        </w:r>
                      </w:p>
                      <w:p w:rsidR="002D20DB" w:rsidRPr="00C47725" w:rsidRDefault="002D20DB" w:rsidP="002B5125">
                        <w:pPr>
                          <w:spacing w:before="20" w:after="20"/>
                          <w:ind w:right="-13"/>
                          <w:jc w:val="left"/>
                          <w:rPr>
                            <w:lang w:val="de-DE"/>
                          </w:rPr>
                        </w:pPr>
                      </w:p>
                    </w:tc>
                  </w:tr>
                </w:tbl>
                <w:p w:rsidR="002D20DB" w:rsidRPr="00C47725" w:rsidRDefault="002D20DB" w:rsidP="002B5125">
                  <w:pPr>
                    <w:spacing w:before="20" w:after="20"/>
                    <w:ind w:right="-13"/>
                    <w:jc w:val="left"/>
                    <w:rPr>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Tomato</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Tomato</w:t>
                  </w:r>
                </w:p>
                <w:p w:rsidR="002D20DB" w:rsidRPr="00C47725" w:rsidRDefault="002D20DB" w:rsidP="002B5125">
                  <w:pPr>
                    <w:spacing w:before="20" w:after="20"/>
                    <w:jc w:val="left"/>
                    <w:rPr>
                      <w:rFonts w:cs="Arial"/>
                      <w:sz w:val="16"/>
                      <w:szCs w:val="16"/>
                      <w:lang w:val="de-DE"/>
                    </w:rPr>
                  </w:pPr>
                </w:p>
                <w:tbl>
                  <w:tblPr>
                    <w:tblW w:w="1230" w:type="dxa"/>
                    <w:tblLayout w:type="fixed"/>
                    <w:tblCellMar>
                      <w:left w:w="0" w:type="dxa"/>
                      <w:right w:w="0" w:type="dxa"/>
                    </w:tblCellMar>
                    <w:tblLook w:val="01E0" w:firstRow="1" w:lastRow="1" w:firstColumn="1" w:lastColumn="1" w:noHBand="0" w:noVBand="0"/>
                  </w:tblPr>
                  <w:tblGrid>
                    <w:gridCol w:w="1230"/>
                  </w:tblGrid>
                  <w:tr w:rsidR="002D20DB" w:rsidRPr="00C47725" w:rsidTr="002B5125">
                    <w:tc>
                      <w:tcPr>
                        <w:tcW w:w="123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Tomate</w:t>
                  </w:r>
                </w:p>
                <w:p w:rsidR="002D20DB" w:rsidRPr="00C47725" w:rsidRDefault="002D20DB" w:rsidP="002B5125">
                  <w:pPr>
                    <w:spacing w:before="20" w:after="20"/>
                    <w:jc w:val="left"/>
                    <w:rPr>
                      <w:rFonts w:cs="Arial"/>
                      <w:sz w:val="16"/>
                      <w:szCs w:val="16"/>
                      <w:lang w:val="de-DE"/>
                    </w:rPr>
                  </w:pPr>
                </w:p>
                <w:tbl>
                  <w:tblPr>
                    <w:tblW w:w="1560" w:type="dxa"/>
                    <w:tblLayout w:type="fixed"/>
                    <w:tblCellMar>
                      <w:left w:w="0" w:type="dxa"/>
                      <w:right w:w="0" w:type="dxa"/>
                    </w:tblCellMar>
                    <w:tblLook w:val="01E0" w:firstRow="1" w:lastRow="1" w:firstColumn="1" w:lastColumn="1" w:noHBand="0" w:noVBand="0"/>
                  </w:tblPr>
                  <w:tblGrid>
                    <w:gridCol w:w="1560"/>
                  </w:tblGrid>
                  <w:tr w:rsidR="002D20DB" w:rsidRPr="00C47725" w:rsidTr="002B5125">
                    <w:tc>
                      <w:tcPr>
                        <w:tcW w:w="156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Tomato</w:t>
                  </w:r>
                </w:p>
                <w:p w:rsidR="002D20DB" w:rsidRPr="00C47725" w:rsidRDefault="002D20DB" w:rsidP="002B5125">
                  <w:pPr>
                    <w:spacing w:before="20" w:after="20"/>
                    <w:jc w:val="left"/>
                    <w:rPr>
                      <w:rFonts w:cs="Arial"/>
                      <w:sz w:val="16"/>
                      <w:szCs w:val="16"/>
                      <w:lang w:val="de-DE"/>
                    </w:rPr>
                  </w:pPr>
                </w:p>
                <w:tbl>
                  <w:tblPr>
                    <w:tblW w:w="1320" w:type="dxa"/>
                    <w:tblLayout w:type="fixed"/>
                    <w:tblCellMar>
                      <w:left w:w="0" w:type="dxa"/>
                      <w:right w:w="0" w:type="dxa"/>
                    </w:tblCellMar>
                    <w:tblLook w:val="01E0" w:firstRow="1" w:lastRow="1" w:firstColumn="1" w:lastColumn="1" w:noHBand="0" w:noVBand="0"/>
                  </w:tblPr>
                  <w:tblGrid>
                    <w:gridCol w:w="1320"/>
                  </w:tblGrid>
                  <w:tr w:rsidR="002D20DB" w:rsidRPr="00C47725" w:rsidTr="002B5125">
                    <w:tc>
                      <w:tcPr>
                        <w:tcW w:w="132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Style w:val="Emphasis"/>
                            <w:rFonts w:cs="Arial"/>
                            <w:color w:val="000000"/>
                            <w:sz w:val="16"/>
                            <w:szCs w:val="16"/>
                            <w:lang w:val="de-DE"/>
                          </w:rPr>
                          <w:t>Solanum lycopersicum</w:t>
                        </w:r>
                        <w:r w:rsidRPr="00C47725">
                          <w:rPr>
                            <w:rFonts w:cs="Arial"/>
                            <w:color w:val="000000"/>
                            <w:sz w:val="16"/>
                            <w:szCs w:val="16"/>
                            <w:lang w:val="de-DE"/>
                          </w:rPr>
                          <w:t> L.</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r>
            <w:tr w:rsidR="002D20DB" w:rsidRPr="00C47725" w:rsidTr="002B5125">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540" w:type="dxa"/>
                    <w:tblLayout w:type="fixed"/>
                    <w:tblCellMar>
                      <w:left w:w="0" w:type="dxa"/>
                      <w:right w:w="0" w:type="dxa"/>
                    </w:tblCellMar>
                    <w:tblLook w:val="01E0" w:firstRow="1" w:lastRow="1" w:firstColumn="1" w:lastColumn="1" w:noHBand="0" w:noVBand="0"/>
                  </w:tblPr>
                  <w:tblGrid>
                    <w:gridCol w:w="540"/>
                  </w:tblGrid>
                  <w:tr w:rsidR="002D20DB" w:rsidRPr="00C47725" w:rsidTr="002B5125">
                    <w:tc>
                      <w:tcPr>
                        <w:tcW w:w="54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FR</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975" w:type="dxa"/>
                    <w:tblLayout w:type="fixed"/>
                    <w:tblCellMar>
                      <w:left w:w="0" w:type="dxa"/>
                      <w:right w:w="0" w:type="dxa"/>
                    </w:tblCellMar>
                    <w:tblLook w:val="01E0" w:firstRow="1" w:lastRow="1" w:firstColumn="1" w:lastColumn="1" w:noHBand="0" w:noVBand="0"/>
                  </w:tblPr>
                  <w:tblGrid>
                    <w:gridCol w:w="975"/>
                  </w:tblGrid>
                  <w:tr w:rsidR="002D20DB" w:rsidRPr="00C47725" w:rsidTr="002B5125">
                    <w:tc>
                      <w:tcPr>
                        <w:tcW w:w="97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TWF</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ind w:right="-13"/>
                    <w:jc w:val="left"/>
                    <w:rPr>
                      <w:vanish/>
                      <w:lang w:val="de-DE"/>
                    </w:rPr>
                  </w:pPr>
                </w:p>
                <w:tbl>
                  <w:tblPr>
                    <w:tblW w:w="1413" w:type="dxa"/>
                    <w:tblLayout w:type="fixed"/>
                    <w:tblCellMar>
                      <w:left w:w="0" w:type="dxa"/>
                      <w:right w:w="0" w:type="dxa"/>
                    </w:tblCellMar>
                    <w:tblLook w:val="01E0" w:firstRow="1" w:lastRow="1" w:firstColumn="1" w:lastColumn="1" w:noHBand="0" w:noVBand="0"/>
                  </w:tblPr>
                  <w:tblGrid>
                    <w:gridCol w:w="1413"/>
                  </w:tblGrid>
                  <w:tr w:rsidR="002D20DB" w:rsidRPr="00C47725" w:rsidTr="002B5125">
                    <w:tc>
                      <w:tcPr>
                        <w:tcW w:w="1413" w:type="dxa"/>
                        <w:tcMar>
                          <w:top w:w="0" w:type="dxa"/>
                          <w:left w:w="0" w:type="dxa"/>
                          <w:bottom w:w="0" w:type="dxa"/>
                          <w:right w:w="0" w:type="dxa"/>
                        </w:tcMar>
                      </w:tcPr>
                      <w:p w:rsidR="002D20DB" w:rsidRPr="00C47725" w:rsidRDefault="002D20DB" w:rsidP="002B5125">
                        <w:pPr>
                          <w:spacing w:before="20" w:after="20"/>
                          <w:ind w:right="-13"/>
                          <w:jc w:val="left"/>
                          <w:rPr>
                            <w:rFonts w:cs="Arial"/>
                            <w:color w:val="000000"/>
                            <w:sz w:val="16"/>
                            <w:szCs w:val="16"/>
                            <w:lang w:val="de-DE"/>
                          </w:rPr>
                        </w:pPr>
                        <w:r w:rsidRPr="00C47725">
                          <w:rPr>
                            <w:rFonts w:cs="Arial"/>
                            <w:color w:val="000000"/>
                            <w:sz w:val="16"/>
                            <w:szCs w:val="16"/>
                            <w:lang w:val="de-DE"/>
                          </w:rPr>
                          <w:t>TG/104/5 Rev. 2 (proj.2)</w:t>
                        </w:r>
                      </w:p>
                      <w:p w:rsidR="002D20DB" w:rsidRPr="00C47725" w:rsidRDefault="002D20DB" w:rsidP="002B5125">
                        <w:pPr>
                          <w:spacing w:before="20" w:after="20"/>
                          <w:ind w:right="-13"/>
                          <w:jc w:val="left"/>
                          <w:rPr>
                            <w:lang w:val="de-DE"/>
                          </w:rPr>
                        </w:pPr>
                      </w:p>
                    </w:tc>
                  </w:tr>
                </w:tbl>
                <w:p w:rsidR="002D20DB" w:rsidRPr="00C47725" w:rsidRDefault="002D20DB" w:rsidP="002B5125">
                  <w:pPr>
                    <w:spacing w:before="20" w:after="20"/>
                    <w:ind w:right="-13"/>
                    <w:jc w:val="left"/>
                    <w:rPr>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Melon</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2D20DB" w:rsidRPr="00C47725" w:rsidTr="002B5125">
                    <w:tc>
                      <w:tcPr>
                        <w:tcW w:w="123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color w:val="000000"/>
                            <w:sz w:val="16"/>
                            <w:szCs w:val="16"/>
                            <w:lang w:val="de-DE"/>
                          </w:rPr>
                          <w:t>Melon</w:t>
                        </w:r>
                      </w:p>
                    </w:tc>
                  </w:tr>
                </w:tbl>
                <w:p w:rsidR="002D20DB" w:rsidRPr="00C47725" w:rsidRDefault="002D20DB" w:rsidP="002B5125">
                  <w:pPr>
                    <w:spacing w:before="20" w:after="20"/>
                    <w:jc w:val="left"/>
                    <w:rPr>
                      <w:rFonts w:cs="Arial"/>
                      <w:sz w:val="16"/>
                      <w:szCs w:val="16"/>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color w:val="000000"/>
                      <w:sz w:val="16"/>
                      <w:szCs w:val="16"/>
                      <w:lang w:val="de-DE"/>
                    </w:rPr>
                    <w:t>Melone</w:t>
                  </w:r>
                </w:p>
                <w:tbl>
                  <w:tblPr>
                    <w:tblW w:w="1560" w:type="dxa"/>
                    <w:tblLayout w:type="fixed"/>
                    <w:tblCellMar>
                      <w:left w:w="0" w:type="dxa"/>
                      <w:right w:w="0" w:type="dxa"/>
                    </w:tblCellMar>
                    <w:tblLook w:val="01E0" w:firstRow="1" w:lastRow="1" w:firstColumn="1" w:lastColumn="1" w:noHBand="0" w:noVBand="0"/>
                  </w:tblPr>
                  <w:tblGrid>
                    <w:gridCol w:w="1560"/>
                  </w:tblGrid>
                  <w:tr w:rsidR="002D20DB" w:rsidRPr="00C47725" w:rsidTr="002B5125">
                    <w:tc>
                      <w:tcPr>
                        <w:tcW w:w="156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color w:val="000000"/>
                      <w:sz w:val="16"/>
                      <w:szCs w:val="16"/>
                      <w:lang w:val="de-DE"/>
                    </w:rPr>
                    <w:t>Melón</w:t>
                  </w:r>
                </w:p>
                <w:tbl>
                  <w:tblPr>
                    <w:tblW w:w="1320" w:type="dxa"/>
                    <w:tblLayout w:type="fixed"/>
                    <w:tblCellMar>
                      <w:left w:w="0" w:type="dxa"/>
                      <w:right w:w="0" w:type="dxa"/>
                    </w:tblCellMar>
                    <w:tblLook w:val="01E0" w:firstRow="1" w:lastRow="1" w:firstColumn="1" w:lastColumn="1" w:noHBand="0" w:noVBand="0"/>
                  </w:tblPr>
                  <w:tblGrid>
                    <w:gridCol w:w="1320"/>
                  </w:tblGrid>
                  <w:tr w:rsidR="002D20DB" w:rsidRPr="00C47725" w:rsidTr="002B5125">
                    <w:tc>
                      <w:tcPr>
                        <w:tcW w:w="132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Style w:val="Emphasis"/>
                            <w:rFonts w:cs="Arial"/>
                            <w:color w:val="000000"/>
                            <w:sz w:val="16"/>
                            <w:szCs w:val="16"/>
                            <w:lang w:val="de-DE"/>
                          </w:rPr>
                          <w:t>Cucumis melo</w:t>
                        </w:r>
                        <w:r w:rsidRPr="00C47725">
                          <w:rPr>
                            <w:rFonts w:cs="Arial"/>
                            <w:color w:val="000000"/>
                            <w:sz w:val="16"/>
                            <w:szCs w:val="16"/>
                            <w:lang w:val="de-DE"/>
                          </w:rPr>
                          <w:t> L.</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r>
            <w:tr w:rsidR="002D20DB" w:rsidRPr="000E6F70" w:rsidTr="002B5125">
              <w:trPr>
                <w:hidden/>
              </w:trPr>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rPr>
                      <w:vanish/>
                      <w:lang w:val="de-DE"/>
                    </w:rPr>
                  </w:pPr>
                </w:p>
                <w:tbl>
                  <w:tblPr>
                    <w:tblW w:w="540" w:type="dxa"/>
                    <w:tblLayout w:type="fixed"/>
                    <w:tblCellMar>
                      <w:left w:w="0" w:type="dxa"/>
                      <w:right w:w="0" w:type="dxa"/>
                    </w:tblCellMar>
                    <w:tblLook w:val="01E0" w:firstRow="1" w:lastRow="1" w:firstColumn="1" w:lastColumn="1" w:noHBand="0" w:noVBand="0"/>
                  </w:tblPr>
                  <w:tblGrid>
                    <w:gridCol w:w="540"/>
                  </w:tblGrid>
                  <w:tr w:rsidR="002D20DB" w:rsidRPr="00C47725" w:rsidTr="002B5125">
                    <w:tc>
                      <w:tcPr>
                        <w:tcW w:w="54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NL</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jc w:val="left"/>
                    <w:rPr>
                      <w:vanish/>
                      <w:lang w:val="de-DE"/>
                    </w:rPr>
                  </w:pPr>
                </w:p>
                <w:tbl>
                  <w:tblPr>
                    <w:tblW w:w="975" w:type="dxa"/>
                    <w:tblLayout w:type="fixed"/>
                    <w:tblCellMar>
                      <w:left w:w="0" w:type="dxa"/>
                      <w:right w:w="0" w:type="dxa"/>
                    </w:tblCellMar>
                    <w:tblLook w:val="01E0" w:firstRow="1" w:lastRow="1" w:firstColumn="1" w:lastColumn="1" w:noHBand="0" w:noVBand="0"/>
                  </w:tblPr>
                  <w:tblGrid>
                    <w:gridCol w:w="975"/>
                  </w:tblGrid>
                  <w:tr w:rsidR="002D20DB" w:rsidRPr="00C47725" w:rsidTr="002B5125">
                    <w:tc>
                      <w:tcPr>
                        <w:tcW w:w="97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TWV</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ind w:right="-13"/>
                    <w:jc w:val="left"/>
                    <w:rPr>
                      <w:vanish/>
                      <w:lang w:val="de-DE"/>
                    </w:rPr>
                  </w:pPr>
                </w:p>
                <w:tbl>
                  <w:tblPr>
                    <w:tblW w:w="1413" w:type="dxa"/>
                    <w:tblLayout w:type="fixed"/>
                    <w:tblCellMar>
                      <w:left w:w="0" w:type="dxa"/>
                      <w:right w:w="0" w:type="dxa"/>
                    </w:tblCellMar>
                    <w:tblLook w:val="01E0" w:firstRow="1" w:lastRow="1" w:firstColumn="1" w:lastColumn="1" w:noHBand="0" w:noVBand="0"/>
                  </w:tblPr>
                  <w:tblGrid>
                    <w:gridCol w:w="1413"/>
                  </w:tblGrid>
                  <w:tr w:rsidR="002D20DB" w:rsidRPr="00C47725" w:rsidTr="002B5125">
                    <w:tc>
                      <w:tcPr>
                        <w:tcW w:w="1413" w:type="dxa"/>
                        <w:tcMar>
                          <w:top w:w="0" w:type="dxa"/>
                          <w:left w:w="0" w:type="dxa"/>
                          <w:bottom w:w="0" w:type="dxa"/>
                          <w:right w:w="0" w:type="dxa"/>
                        </w:tcMar>
                      </w:tcPr>
                      <w:p w:rsidR="002D20DB" w:rsidRPr="00C47725" w:rsidRDefault="002D20DB" w:rsidP="002B5125">
                        <w:pPr>
                          <w:jc w:val="left"/>
                          <w:rPr>
                            <w:lang w:val="de-DE"/>
                          </w:rPr>
                        </w:pPr>
                        <w:r w:rsidRPr="00C47725">
                          <w:rPr>
                            <w:sz w:val="16"/>
                            <w:lang w:val="de-DE"/>
                          </w:rPr>
                          <w:t>TG/</w:t>
                        </w:r>
                        <w:bookmarkStart w:id="58" w:name="Code"/>
                        <w:bookmarkEnd w:id="58"/>
                        <w:r w:rsidRPr="00C47725">
                          <w:rPr>
                            <w:sz w:val="16"/>
                            <w:lang w:val="de-DE"/>
                          </w:rPr>
                          <w:t>142/5 Rev. (proj.1), TC/55/17</w:t>
                        </w:r>
                      </w:p>
                    </w:tc>
                  </w:tr>
                </w:tbl>
                <w:p w:rsidR="002D20DB" w:rsidRPr="00C47725" w:rsidRDefault="002D20DB" w:rsidP="002B5125">
                  <w:pPr>
                    <w:spacing w:before="20" w:after="20"/>
                    <w:ind w:right="-13"/>
                    <w:jc w:val="left"/>
                    <w:rPr>
                      <w:lang w:val="de-DE"/>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Watermelon</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2D20DB" w:rsidRPr="00C47725" w:rsidTr="002B5125">
                    <w:tc>
                      <w:tcPr>
                        <w:tcW w:w="123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color w:val="000000"/>
                            <w:sz w:val="16"/>
                            <w:szCs w:val="16"/>
                            <w:lang w:val="de-DE"/>
                          </w:rPr>
                          <w:t>Pastèque</w:t>
                        </w:r>
                      </w:p>
                    </w:tc>
                  </w:tr>
                  <w:tr w:rsidR="002D20DB" w:rsidRPr="00C47725" w:rsidTr="002B5125">
                    <w:tc>
                      <w:tcPr>
                        <w:tcW w:w="123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color w:val="000000"/>
                      <w:sz w:val="16"/>
                      <w:szCs w:val="16"/>
                      <w:lang w:val="de-DE"/>
                    </w:rPr>
                    <w:t>Wassermelone</w:t>
                  </w:r>
                </w:p>
                <w:tbl>
                  <w:tblPr>
                    <w:tblW w:w="1560" w:type="dxa"/>
                    <w:tblLayout w:type="fixed"/>
                    <w:tblCellMar>
                      <w:left w:w="0" w:type="dxa"/>
                      <w:right w:w="0" w:type="dxa"/>
                    </w:tblCellMar>
                    <w:tblLook w:val="01E0" w:firstRow="1" w:lastRow="1" w:firstColumn="1" w:lastColumn="1" w:noHBand="0" w:noVBand="0"/>
                  </w:tblPr>
                  <w:tblGrid>
                    <w:gridCol w:w="1560"/>
                  </w:tblGrid>
                  <w:tr w:rsidR="002D20DB" w:rsidRPr="00C47725" w:rsidTr="002B5125">
                    <w:tc>
                      <w:tcPr>
                        <w:tcW w:w="156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color w:val="000000"/>
                      <w:sz w:val="16"/>
                      <w:szCs w:val="16"/>
                      <w:lang w:val="de-DE"/>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2D20DB" w:rsidRPr="00C47725" w:rsidTr="002B5125">
                    <w:tc>
                      <w:tcPr>
                        <w:tcW w:w="132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0E6F70" w:rsidTr="002B5125">
                    <w:tc>
                      <w:tcPr>
                        <w:tcW w:w="1545" w:type="dxa"/>
                        <w:shd w:val="clear" w:color="auto" w:fill="auto"/>
                        <w:tcMar>
                          <w:top w:w="0" w:type="dxa"/>
                          <w:left w:w="0" w:type="dxa"/>
                          <w:bottom w:w="0" w:type="dxa"/>
                          <w:right w:w="0" w:type="dxa"/>
                        </w:tcMar>
                      </w:tcPr>
                      <w:p w:rsidR="002D20DB" w:rsidRPr="004F1DFE" w:rsidRDefault="002D20DB" w:rsidP="002B5125">
                        <w:pPr>
                          <w:jc w:val="left"/>
                          <w:rPr>
                            <w:sz w:val="16"/>
                            <w:lang w:val="fr-CH"/>
                          </w:rPr>
                        </w:pPr>
                        <w:r w:rsidRPr="004F1DFE">
                          <w:rPr>
                            <w:i/>
                            <w:sz w:val="16"/>
                            <w:shd w:val="clear" w:color="auto" w:fill="FFFFFF"/>
                            <w:lang w:val="fr-CH"/>
                          </w:rPr>
                          <w:t>Citrullus lanatus</w:t>
                        </w:r>
                        <w:r w:rsidRPr="004F1DFE">
                          <w:rPr>
                            <w:sz w:val="16"/>
                            <w:shd w:val="clear" w:color="auto" w:fill="FFFFFF"/>
                            <w:lang w:val="fr-CH"/>
                          </w:rPr>
                          <w:t xml:space="preserve"> (Thunb.) Matsum. et Nakai</w:t>
                        </w:r>
                      </w:p>
                    </w:tc>
                  </w:tr>
                </w:tbl>
                <w:p w:rsidR="002D20DB" w:rsidRPr="004F1DFE" w:rsidRDefault="002D20DB" w:rsidP="002B5125">
                  <w:pPr>
                    <w:spacing w:before="20" w:after="20"/>
                    <w:jc w:val="left"/>
                    <w:rPr>
                      <w:lang w:val="fr-CH"/>
                    </w:rPr>
                  </w:pPr>
                </w:p>
              </w:tc>
            </w:tr>
            <w:tr w:rsidR="002D20DB" w:rsidRPr="00C47725" w:rsidTr="002B5125">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2B5125" w:rsidRDefault="002D20DB" w:rsidP="002B5125">
                  <w:pPr>
                    <w:spacing w:before="20" w:after="20"/>
                    <w:rPr>
                      <w:vanish/>
                      <w:lang w:val="fr-CH"/>
                    </w:rPr>
                  </w:pPr>
                </w:p>
                <w:tbl>
                  <w:tblPr>
                    <w:tblW w:w="540" w:type="dxa"/>
                    <w:tblLayout w:type="fixed"/>
                    <w:tblCellMar>
                      <w:left w:w="0" w:type="dxa"/>
                      <w:right w:w="0" w:type="dxa"/>
                    </w:tblCellMar>
                    <w:tblLook w:val="01E0" w:firstRow="1" w:lastRow="1" w:firstColumn="1" w:lastColumn="1" w:noHBand="0" w:noVBand="0"/>
                  </w:tblPr>
                  <w:tblGrid>
                    <w:gridCol w:w="540"/>
                  </w:tblGrid>
                  <w:tr w:rsidR="002D20DB" w:rsidRPr="00C47725" w:rsidTr="002B5125">
                    <w:tc>
                      <w:tcPr>
                        <w:tcW w:w="54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ES</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975" w:type="dxa"/>
                    <w:tblLayout w:type="fixed"/>
                    <w:tblCellMar>
                      <w:left w:w="0" w:type="dxa"/>
                      <w:right w:w="0" w:type="dxa"/>
                    </w:tblCellMar>
                    <w:tblLook w:val="01E0" w:firstRow="1" w:lastRow="1" w:firstColumn="1" w:lastColumn="1" w:noHBand="0" w:noVBand="0"/>
                  </w:tblPr>
                  <w:tblGrid>
                    <w:gridCol w:w="975"/>
                  </w:tblGrid>
                  <w:tr w:rsidR="002D20DB" w:rsidRPr="00C47725" w:rsidTr="002B5125">
                    <w:tc>
                      <w:tcPr>
                        <w:tcW w:w="97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TWF</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ind w:right="-13"/>
                    <w:jc w:val="left"/>
                    <w:rPr>
                      <w:vanish/>
                      <w:lang w:val="de-DE"/>
                    </w:rPr>
                  </w:pPr>
                </w:p>
                <w:tbl>
                  <w:tblPr>
                    <w:tblW w:w="1413" w:type="dxa"/>
                    <w:tblLayout w:type="fixed"/>
                    <w:tblCellMar>
                      <w:left w:w="0" w:type="dxa"/>
                      <w:right w:w="0" w:type="dxa"/>
                    </w:tblCellMar>
                    <w:tblLook w:val="01E0" w:firstRow="1" w:lastRow="1" w:firstColumn="1" w:lastColumn="1" w:noHBand="0" w:noVBand="0"/>
                  </w:tblPr>
                  <w:tblGrid>
                    <w:gridCol w:w="1413"/>
                  </w:tblGrid>
                  <w:tr w:rsidR="002D20DB" w:rsidRPr="00C47725" w:rsidTr="002B5125">
                    <w:tc>
                      <w:tcPr>
                        <w:tcW w:w="1413" w:type="dxa"/>
                        <w:tcMar>
                          <w:top w:w="0" w:type="dxa"/>
                          <w:left w:w="0" w:type="dxa"/>
                          <w:bottom w:w="0" w:type="dxa"/>
                          <w:right w:w="0" w:type="dxa"/>
                        </w:tcMar>
                      </w:tcPr>
                      <w:p w:rsidR="002D20DB" w:rsidRPr="00C47725" w:rsidRDefault="002D20DB" w:rsidP="002B5125">
                        <w:pPr>
                          <w:spacing w:before="20" w:after="20"/>
                          <w:ind w:right="-13"/>
                          <w:jc w:val="left"/>
                          <w:rPr>
                            <w:rFonts w:cs="Arial"/>
                            <w:color w:val="000000"/>
                            <w:sz w:val="16"/>
                            <w:szCs w:val="16"/>
                            <w:lang w:val="de-DE"/>
                          </w:rPr>
                        </w:pPr>
                        <w:r w:rsidRPr="00C47725">
                          <w:rPr>
                            <w:rFonts w:cs="Arial"/>
                            <w:color w:val="000000"/>
                            <w:sz w:val="16"/>
                            <w:szCs w:val="16"/>
                            <w:lang w:val="de-DE"/>
                          </w:rPr>
                          <w:t>TG/202/1 Rev. 2 (proj.2)</w:t>
                        </w:r>
                      </w:p>
                      <w:p w:rsidR="002D20DB" w:rsidRPr="00C47725" w:rsidRDefault="002D20DB" w:rsidP="002B5125">
                        <w:pPr>
                          <w:spacing w:before="20" w:after="20"/>
                          <w:ind w:right="-13"/>
                          <w:jc w:val="left"/>
                          <w:rPr>
                            <w:lang w:val="de-DE"/>
                          </w:rPr>
                        </w:pPr>
                      </w:p>
                    </w:tc>
                  </w:tr>
                </w:tbl>
                <w:p w:rsidR="002D20DB" w:rsidRPr="00C47725" w:rsidRDefault="002D20DB" w:rsidP="002B5125">
                  <w:pPr>
                    <w:spacing w:before="20" w:after="20"/>
                    <w:ind w:right="-13"/>
                    <w:jc w:val="left"/>
                    <w:rPr>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Oranges</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2D20DB" w:rsidRPr="00C47725" w:rsidTr="002B5125">
                    <w:tc>
                      <w:tcPr>
                        <w:tcW w:w="123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color w:val="000000"/>
                            <w:sz w:val="16"/>
                            <w:szCs w:val="16"/>
                            <w:lang w:val="de-DE"/>
                          </w:rPr>
                          <w:t>Oranger</w:t>
                        </w:r>
                      </w:p>
                    </w:tc>
                  </w:tr>
                  <w:tr w:rsidR="002D20DB" w:rsidRPr="00C47725" w:rsidTr="002B5125">
                    <w:tc>
                      <w:tcPr>
                        <w:tcW w:w="1230"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color w:val="000000"/>
                      <w:sz w:val="16"/>
                      <w:szCs w:val="16"/>
                      <w:lang w:val="de-DE"/>
                    </w:rPr>
                    <w:t>Orangen</w:t>
                  </w:r>
                </w:p>
                <w:tbl>
                  <w:tblPr>
                    <w:tblW w:w="1560" w:type="dxa"/>
                    <w:tblLayout w:type="fixed"/>
                    <w:tblCellMar>
                      <w:left w:w="0" w:type="dxa"/>
                      <w:right w:w="0" w:type="dxa"/>
                    </w:tblCellMar>
                    <w:tblLook w:val="01E0" w:firstRow="1" w:lastRow="1" w:firstColumn="1" w:lastColumn="1" w:noHBand="0" w:noVBand="0"/>
                  </w:tblPr>
                  <w:tblGrid>
                    <w:gridCol w:w="1560"/>
                  </w:tblGrid>
                  <w:tr w:rsidR="002D20DB" w:rsidRPr="00C47725" w:rsidTr="002B5125">
                    <w:tc>
                      <w:tcPr>
                        <w:tcW w:w="156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sz w:val="16"/>
                      <w:szCs w:val="16"/>
                      <w:lang w:val="de-DE"/>
                    </w:rPr>
                    <w:t>Naranjo</w:t>
                  </w:r>
                </w:p>
                <w:tbl>
                  <w:tblPr>
                    <w:tblW w:w="1320" w:type="dxa"/>
                    <w:tblLayout w:type="fixed"/>
                    <w:tblCellMar>
                      <w:left w:w="0" w:type="dxa"/>
                      <w:right w:w="0" w:type="dxa"/>
                    </w:tblCellMar>
                    <w:tblLook w:val="01E0" w:firstRow="1" w:lastRow="1" w:firstColumn="1" w:lastColumn="1" w:noHBand="0" w:noVBand="0"/>
                  </w:tblPr>
                  <w:tblGrid>
                    <w:gridCol w:w="1320"/>
                  </w:tblGrid>
                  <w:tr w:rsidR="002D20DB" w:rsidRPr="00C47725" w:rsidTr="002B5125">
                    <w:tc>
                      <w:tcPr>
                        <w:tcW w:w="132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967481">
                          <w:rPr>
                            <w:rStyle w:val="Emphasis"/>
                            <w:rFonts w:cs="Arial"/>
                            <w:color w:val="000000"/>
                            <w:sz w:val="16"/>
                            <w:szCs w:val="16"/>
                          </w:rPr>
                          <w:t>Citrusaurantium</w:t>
                        </w:r>
                        <w:r w:rsidRPr="00967481">
                          <w:rPr>
                            <w:rFonts w:cs="Arial"/>
                            <w:color w:val="000000"/>
                            <w:sz w:val="16"/>
                            <w:szCs w:val="16"/>
                          </w:rPr>
                          <w:t> L., </w:t>
                        </w:r>
                        <w:r w:rsidRPr="00967481">
                          <w:rPr>
                            <w:rFonts w:cs="Arial"/>
                            <w:color w:val="000000"/>
                            <w:sz w:val="16"/>
                            <w:szCs w:val="16"/>
                          </w:rPr>
                          <w:br/>
                        </w:r>
                        <w:r w:rsidRPr="00967481">
                          <w:rPr>
                            <w:rStyle w:val="Emphasis"/>
                            <w:rFonts w:cs="Arial"/>
                            <w:color w:val="000000"/>
                            <w:sz w:val="16"/>
                            <w:szCs w:val="16"/>
                          </w:rPr>
                          <w:t>Citrus sinensis</w:t>
                        </w:r>
                        <w:r w:rsidRPr="00967481">
                          <w:rPr>
                            <w:rFonts w:cs="Arial"/>
                            <w:color w:val="000000"/>
                            <w:sz w:val="16"/>
                            <w:szCs w:val="16"/>
                          </w:rPr>
                          <w:t xml:space="preserve"> (L.) </w:t>
                        </w:r>
                        <w:r w:rsidRPr="00C47725">
                          <w:rPr>
                            <w:rFonts w:cs="Arial"/>
                            <w:color w:val="000000"/>
                            <w:sz w:val="16"/>
                            <w:szCs w:val="16"/>
                            <w:lang w:val="de-DE"/>
                          </w:rPr>
                          <w:t>Osbeck</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r>
            <w:tr w:rsidR="002D20DB" w:rsidRPr="00C47725" w:rsidTr="002B5125">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540" w:type="dxa"/>
                    <w:tblLayout w:type="fixed"/>
                    <w:tblCellMar>
                      <w:left w:w="0" w:type="dxa"/>
                      <w:right w:w="0" w:type="dxa"/>
                    </w:tblCellMar>
                    <w:tblLook w:val="01E0" w:firstRow="1" w:lastRow="1" w:firstColumn="1" w:lastColumn="1" w:noHBand="0" w:noVBand="0"/>
                  </w:tblPr>
                  <w:tblGrid>
                    <w:gridCol w:w="540"/>
                  </w:tblGrid>
                  <w:tr w:rsidR="002D20DB" w:rsidRPr="00C47725" w:rsidTr="002B5125">
                    <w:tc>
                      <w:tcPr>
                        <w:tcW w:w="54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ES</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975" w:type="dxa"/>
                    <w:tblLayout w:type="fixed"/>
                    <w:tblCellMar>
                      <w:left w:w="0" w:type="dxa"/>
                      <w:right w:w="0" w:type="dxa"/>
                    </w:tblCellMar>
                    <w:tblLook w:val="01E0" w:firstRow="1" w:lastRow="1" w:firstColumn="1" w:lastColumn="1" w:noHBand="0" w:noVBand="0"/>
                  </w:tblPr>
                  <w:tblGrid>
                    <w:gridCol w:w="975"/>
                  </w:tblGrid>
                  <w:tr w:rsidR="002D20DB" w:rsidRPr="00C47725" w:rsidTr="002B5125">
                    <w:tc>
                      <w:tcPr>
                        <w:tcW w:w="97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TWF</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ind w:right="-13"/>
                    <w:jc w:val="left"/>
                    <w:rPr>
                      <w:vanish/>
                      <w:lang w:val="de-DE"/>
                    </w:rPr>
                  </w:pPr>
                </w:p>
                <w:tbl>
                  <w:tblPr>
                    <w:tblW w:w="1413" w:type="dxa"/>
                    <w:tblLayout w:type="fixed"/>
                    <w:tblCellMar>
                      <w:left w:w="0" w:type="dxa"/>
                      <w:right w:w="0" w:type="dxa"/>
                    </w:tblCellMar>
                    <w:tblLook w:val="01E0" w:firstRow="1" w:lastRow="1" w:firstColumn="1" w:lastColumn="1" w:noHBand="0" w:noVBand="0"/>
                  </w:tblPr>
                  <w:tblGrid>
                    <w:gridCol w:w="1413"/>
                  </w:tblGrid>
                  <w:tr w:rsidR="002D20DB" w:rsidRPr="00C47725" w:rsidTr="002B5125">
                    <w:tc>
                      <w:tcPr>
                        <w:tcW w:w="1413" w:type="dxa"/>
                        <w:tcMar>
                          <w:top w:w="0" w:type="dxa"/>
                          <w:left w:w="0" w:type="dxa"/>
                          <w:bottom w:w="0" w:type="dxa"/>
                          <w:right w:w="0" w:type="dxa"/>
                        </w:tcMar>
                      </w:tcPr>
                      <w:p w:rsidR="002D20DB" w:rsidRPr="00C47725" w:rsidRDefault="002D20DB" w:rsidP="002B5125">
                        <w:pPr>
                          <w:spacing w:before="20" w:after="20"/>
                          <w:ind w:right="-13"/>
                          <w:jc w:val="left"/>
                          <w:rPr>
                            <w:rFonts w:cs="Arial"/>
                            <w:color w:val="000000"/>
                            <w:sz w:val="16"/>
                            <w:szCs w:val="16"/>
                            <w:lang w:val="de-DE"/>
                          </w:rPr>
                        </w:pPr>
                        <w:r w:rsidRPr="00C47725">
                          <w:rPr>
                            <w:rFonts w:cs="Arial"/>
                            <w:color w:val="000000"/>
                            <w:sz w:val="16"/>
                            <w:szCs w:val="16"/>
                            <w:lang w:val="de-DE"/>
                          </w:rPr>
                          <w:t>TG/204/1 Rev. 2 (proj.2)</w:t>
                        </w:r>
                      </w:p>
                      <w:p w:rsidR="002D20DB" w:rsidRPr="00C47725" w:rsidRDefault="002D20DB" w:rsidP="002B5125">
                        <w:pPr>
                          <w:spacing w:before="20" w:after="20"/>
                          <w:ind w:right="-13"/>
                          <w:jc w:val="left"/>
                          <w:rPr>
                            <w:lang w:val="de-DE"/>
                          </w:rPr>
                        </w:pPr>
                      </w:p>
                    </w:tc>
                  </w:tr>
                </w:tbl>
                <w:p w:rsidR="002D20DB" w:rsidRPr="00C47725" w:rsidRDefault="002D20DB" w:rsidP="002B5125">
                  <w:pPr>
                    <w:spacing w:before="20" w:after="20"/>
                    <w:ind w:right="-13"/>
                    <w:jc w:val="left"/>
                    <w:rPr>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Grapefruit and Pummelo</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sz w:val="16"/>
                      <w:szCs w:val="16"/>
                      <w:lang w:val="de-DE"/>
                    </w:rPr>
                    <w:t>Pomelo et Pamplemoussier</w:t>
                  </w:r>
                </w:p>
                <w:tbl>
                  <w:tblPr>
                    <w:tblW w:w="1230" w:type="dxa"/>
                    <w:tblLayout w:type="fixed"/>
                    <w:tblCellMar>
                      <w:left w:w="0" w:type="dxa"/>
                      <w:right w:w="0" w:type="dxa"/>
                    </w:tblCellMar>
                    <w:tblLook w:val="01E0" w:firstRow="1" w:lastRow="1" w:firstColumn="1" w:lastColumn="1" w:noHBand="0" w:noVBand="0"/>
                  </w:tblPr>
                  <w:tblGrid>
                    <w:gridCol w:w="1230"/>
                  </w:tblGrid>
                  <w:tr w:rsidR="002D20DB" w:rsidRPr="00C47725" w:rsidTr="002B5125">
                    <w:tc>
                      <w:tcPr>
                        <w:tcW w:w="123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sz w:val="16"/>
                      <w:szCs w:val="16"/>
                      <w:lang w:val="de-DE"/>
                    </w:rPr>
                    <w:t>Grapefruit und Pampelmuse</w:t>
                  </w:r>
                </w:p>
                <w:tbl>
                  <w:tblPr>
                    <w:tblW w:w="1560" w:type="dxa"/>
                    <w:tblLayout w:type="fixed"/>
                    <w:tblCellMar>
                      <w:left w:w="0" w:type="dxa"/>
                      <w:right w:w="0" w:type="dxa"/>
                    </w:tblCellMar>
                    <w:tblLook w:val="01E0" w:firstRow="1" w:lastRow="1" w:firstColumn="1" w:lastColumn="1" w:noHBand="0" w:noVBand="0"/>
                  </w:tblPr>
                  <w:tblGrid>
                    <w:gridCol w:w="1560"/>
                  </w:tblGrid>
                  <w:tr w:rsidR="002D20DB" w:rsidRPr="00C47725" w:rsidTr="002B5125">
                    <w:tc>
                      <w:tcPr>
                        <w:tcW w:w="156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r w:rsidRPr="00C47725">
                    <w:rPr>
                      <w:rFonts w:cs="Arial"/>
                      <w:sz w:val="16"/>
                      <w:szCs w:val="16"/>
                      <w:lang w:val="de-DE"/>
                    </w:rPr>
                    <w:t>Pomelo y Pummelo</w:t>
                  </w:r>
                </w:p>
                <w:tbl>
                  <w:tblPr>
                    <w:tblW w:w="1320" w:type="dxa"/>
                    <w:tblLayout w:type="fixed"/>
                    <w:tblCellMar>
                      <w:left w:w="0" w:type="dxa"/>
                      <w:right w:w="0" w:type="dxa"/>
                    </w:tblCellMar>
                    <w:tblLook w:val="01E0" w:firstRow="1" w:lastRow="1" w:firstColumn="1" w:lastColumn="1" w:noHBand="0" w:noVBand="0"/>
                  </w:tblPr>
                  <w:tblGrid>
                    <w:gridCol w:w="1320"/>
                  </w:tblGrid>
                  <w:tr w:rsidR="002D20DB" w:rsidRPr="00C47725" w:rsidTr="002B5125">
                    <w:tc>
                      <w:tcPr>
                        <w:tcW w:w="1320" w:type="dxa"/>
                        <w:tcMar>
                          <w:top w:w="0" w:type="dxa"/>
                          <w:left w:w="0" w:type="dxa"/>
                          <w:bottom w:w="0" w:type="dxa"/>
                          <w:right w:w="0" w:type="dxa"/>
                        </w:tcMar>
                      </w:tcPr>
                      <w:p w:rsidR="002D20DB" w:rsidRPr="00C47725" w:rsidRDefault="002D20DB" w:rsidP="002B5125">
                        <w:pPr>
                          <w:spacing w:before="20" w:after="20"/>
                          <w:jc w:val="left"/>
                          <w:rPr>
                            <w:rFonts w:cs="Arial"/>
                            <w:sz w:val="16"/>
                            <w:szCs w:val="16"/>
                            <w:lang w:val="de-DE"/>
                          </w:rPr>
                        </w:pPr>
                      </w:p>
                    </w:tc>
                  </w:tr>
                </w:tbl>
                <w:p w:rsidR="002D20DB" w:rsidRPr="00C47725" w:rsidRDefault="002D20DB" w:rsidP="002B5125">
                  <w:pPr>
                    <w:spacing w:before="20" w:after="20"/>
                    <w:jc w:val="left"/>
                    <w:rPr>
                      <w:rFonts w:cs="Arial"/>
                      <w:sz w:val="16"/>
                      <w:szCs w:val="16"/>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Style w:val="Emphasis"/>
                            <w:rFonts w:cs="Arial"/>
                            <w:color w:val="000000"/>
                            <w:sz w:val="16"/>
                            <w:szCs w:val="16"/>
                            <w:lang w:val="de-DE"/>
                          </w:rPr>
                          <w:t>Citrus</w:t>
                        </w:r>
                        <w:r w:rsidRPr="00C47725">
                          <w:rPr>
                            <w:rFonts w:cs="Arial"/>
                            <w:color w:val="000000"/>
                            <w:sz w:val="16"/>
                            <w:szCs w:val="16"/>
                            <w:lang w:val="de-DE"/>
                          </w:rPr>
                          <w:t xml:space="preserve"> × </w:t>
                        </w:r>
                        <w:r w:rsidRPr="00C47725">
                          <w:rPr>
                            <w:rStyle w:val="Emphasis"/>
                            <w:rFonts w:cs="Arial"/>
                            <w:color w:val="000000"/>
                            <w:sz w:val="16"/>
                            <w:szCs w:val="16"/>
                            <w:lang w:val="de-DE"/>
                          </w:rPr>
                          <w:t>paradisi</w:t>
                        </w:r>
                        <w:r w:rsidRPr="00C47725">
                          <w:rPr>
                            <w:rFonts w:cs="Arial"/>
                            <w:color w:val="000000"/>
                            <w:sz w:val="16"/>
                            <w:szCs w:val="16"/>
                            <w:lang w:val="de-DE"/>
                          </w:rPr>
                          <w:t> Macfad.</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r>
            <w:tr w:rsidR="002D20DB" w:rsidRPr="00C47725" w:rsidTr="002B5125">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rPr>
                      <w:vanish/>
                      <w:lang w:val="de-DE"/>
                    </w:rPr>
                  </w:pPr>
                </w:p>
                <w:tbl>
                  <w:tblPr>
                    <w:tblW w:w="540" w:type="dxa"/>
                    <w:tblLayout w:type="fixed"/>
                    <w:tblCellMar>
                      <w:left w:w="0" w:type="dxa"/>
                      <w:right w:w="0" w:type="dxa"/>
                    </w:tblCellMar>
                    <w:tblLook w:val="01E0" w:firstRow="1" w:lastRow="1" w:firstColumn="1" w:lastColumn="1" w:noHBand="0" w:noVBand="0"/>
                  </w:tblPr>
                  <w:tblGrid>
                    <w:gridCol w:w="540"/>
                  </w:tblGrid>
                  <w:tr w:rsidR="002D20DB" w:rsidRPr="00C47725" w:rsidTr="002B5125">
                    <w:tc>
                      <w:tcPr>
                        <w:tcW w:w="540" w:type="dxa"/>
                        <w:tcMar>
                          <w:top w:w="0" w:type="dxa"/>
                          <w:left w:w="0" w:type="dxa"/>
                          <w:bottom w:w="0" w:type="dxa"/>
                          <w:right w:w="0" w:type="dxa"/>
                        </w:tcMar>
                      </w:tcPr>
                      <w:p w:rsidR="002D20DB" w:rsidRPr="00C47725" w:rsidRDefault="002D20DB" w:rsidP="002B5125">
                        <w:pPr>
                          <w:spacing w:before="20" w:after="20"/>
                          <w:rPr>
                            <w:rFonts w:cs="Arial"/>
                            <w:color w:val="000000"/>
                            <w:sz w:val="16"/>
                            <w:szCs w:val="16"/>
                            <w:lang w:val="de-DE"/>
                          </w:rPr>
                        </w:pPr>
                        <w:r w:rsidRPr="00C47725">
                          <w:rPr>
                            <w:rFonts w:cs="Arial"/>
                            <w:color w:val="000000"/>
                            <w:sz w:val="16"/>
                            <w:szCs w:val="16"/>
                            <w:lang w:val="de-DE"/>
                          </w:rPr>
                          <w:t>NL</w:t>
                        </w:r>
                      </w:p>
                      <w:p w:rsidR="002D20DB" w:rsidRPr="00C47725" w:rsidRDefault="002D20DB" w:rsidP="002B5125">
                        <w:pPr>
                          <w:spacing w:before="20" w:after="20"/>
                          <w:rPr>
                            <w:lang w:val="de-DE"/>
                          </w:rPr>
                        </w:pPr>
                      </w:p>
                    </w:tc>
                  </w:tr>
                </w:tbl>
                <w:p w:rsidR="002D20DB" w:rsidRPr="00C47725" w:rsidRDefault="002D20DB" w:rsidP="002B5125">
                  <w:pPr>
                    <w:spacing w:before="20" w:after="20"/>
                    <w:rPr>
                      <w:lang w:val="de-DE"/>
                    </w:rPr>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975" w:type="dxa"/>
                    <w:tblLayout w:type="fixed"/>
                    <w:tblCellMar>
                      <w:left w:w="0" w:type="dxa"/>
                      <w:right w:w="0" w:type="dxa"/>
                    </w:tblCellMar>
                    <w:tblLook w:val="01E0" w:firstRow="1" w:lastRow="1" w:firstColumn="1" w:lastColumn="1" w:noHBand="0" w:noVBand="0"/>
                  </w:tblPr>
                  <w:tblGrid>
                    <w:gridCol w:w="975"/>
                  </w:tblGrid>
                  <w:tr w:rsidR="002D20DB" w:rsidRPr="00C47725" w:rsidTr="002B5125">
                    <w:tc>
                      <w:tcPr>
                        <w:tcW w:w="97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TWO</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ind w:right="-13"/>
                    <w:jc w:val="left"/>
                    <w:rPr>
                      <w:vanish/>
                      <w:lang w:val="de-DE"/>
                    </w:rPr>
                  </w:pPr>
                </w:p>
                <w:tbl>
                  <w:tblPr>
                    <w:tblW w:w="1413" w:type="dxa"/>
                    <w:tblLayout w:type="fixed"/>
                    <w:tblCellMar>
                      <w:left w:w="0" w:type="dxa"/>
                      <w:right w:w="0" w:type="dxa"/>
                    </w:tblCellMar>
                    <w:tblLook w:val="01E0" w:firstRow="1" w:lastRow="1" w:firstColumn="1" w:lastColumn="1" w:noHBand="0" w:noVBand="0"/>
                  </w:tblPr>
                  <w:tblGrid>
                    <w:gridCol w:w="1413"/>
                  </w:tblGrid>
                  <w:tr w:rsidR="002D20DB" w:rsidRPr="00C47725" w:rsidTr="002B5125">
                    <w:tc>
                      <w:tcPr>
                        <w:tcW w:w="1413" w:type="dxa"/>
                        <w:tcMar>
                          <w:top w:w="0" w:type="dxa"/>
                          <w:left w:w="0" w:type="dxa"/>
                          <w:bottom w:w="0" w:type="dxa"/>
                          <w:right w:w="0" w:type="dxa"/>
                        </w:tcMar>
                      </w:tcPr>
                      <w:p w:rsidR="002D20DB" w:rsidRPr="00C47725" w:rsidRDefault="002D20DB" w:rsidP="002B5125">
                        <w:pPr>
                          <w:spacing w:before="20" w:after="20"/>
                          <w:ind w:right="-13"/>
                          <w:jc w:val="left"/>
                          <w:rPr>
                            <w:rFonts w:cs="Arial"/>
                            <w:color w:val="000000"/>
                            <w:sz w:val="16"/>
                            <w:szCs w:val="16"/>
                            <w:lang w:val="de-DE"/>
                          </w:rPr>
                        </w:pPr>
                        <w:r w:rsidRPr="00C47725">
                          <w:rPr>
                            <w:rFonts w:cs="Arial"/>
                            <w:color w:val="000000"/>
                            <w:sz w:val="16"/>
                            <w:szCs w:val="16"/>
                            <w:lang w:val="de-DE"/>
                          </w:rPr>
                          <w:t>TG/213/2 Rev. (proj.3)</w:t>
                        </w:r>
                      </w:p>
                      <w:p w:rsidR="002D20DB" w:rsidRPr="00C47725" w:rsidRDefault="002D20DB" w:rsidP="002B5125">
                        <w:pPr>
                          <w:spacing w:before="20" w:after="20"/>
                          <w:ind w:right="-13"/>
                          <w:jc w:val="left"/>
                          <w:rPr>
                            <w:lang w:val="de-DE"/>
                          </w:rPr>
                        </w:pPr>
                      </w:p>
                    </w:tc>
                  </w:tr>
                </w:tbl>
                <w:p w:rsidR="002D20DB" w:rsidRPr="00C47725" w:rsidRDefault="002D20DB" w:rsidP="002B5125">
                  <w:pPr>
                    <w:spacing w:before="20" w:after="20"/>
                    <w:ind w:right="-13"/>
                    <w:jc w:val="left"/>
                    <w:rPr>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Fonts w:cs="Arial"/>
                            <w:color w:val="000000"/>
                            <w:sz w:val="16"/>
                            <w:szCs w:val="16"/>
                            <w:lang w:val="de-DE"/>
                          </w:rPr>
                          <w:t>Phalaenopsis</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lang w:val="de-DE"/>
                    </w:rPr>
                  </w:pPr>
                  <w:r w:rsidRPr="00C47725">
                    <w:rPr>
                      <w:rFonts w:cs="Arial"/>
                      <w:color w:val="000000"/>
                      <w:sz w:val="16"/>
                      <w:szCs w:val="16"/>
                      <w:lang w:val="de-DE"/>
                    </w:rPr>
                    <w:t>Phalaenopsis</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lang w:val="de-DE"/>
                    </w:rPr>
                  </w:pPr>
                  <w:r w:rsidRPr="00C47725">
                    <w:rPr>
                      <w:rFonts w:cs="Arial"/>
                      <w:color w:val="000000"/>
                      <w:sz w:val="16"/>
                      <w:szCs w:val="16"/>
                      <w:lang w:val="de-DE"/>
                    </w:rPr>
                    <w:t>Phalaenopsis</w:t>
                  </w: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lang w:val="de-DE"/>
                    </w:rPr>
                  </w:pPr>
                  <w:r w:rsidRPr="00C47725">
                    <w:rPr>
                      <w:rFonts w:cs="Arial"/>
                      <w:color w:val="000000"/>
                      <w:sz w:val="16"/>
                      <w:szCs w:val="16"/>
                      <w:lang w:val="de-DE"/>
                    </w:rPr>
                    <w:t>Phalaenopsis</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spacing w:before="20" w:after="20"/>
                          <w:jc w:val="left"/>
                          <w:rPr>
                            <w:rFonts w:cs="Arial"/>
                            <w:color w:val="000000"/>
                            <w:sz w:val="16"/>
                            <w:szCs w:val="16"/>
                            <w:lang w:val="de-DE"/>
                          </w:rPr>
                        </w:pPr>
                        <w:r w:rsidRPr="00C47725">
                          <w:rPr>
                            <w:rStyle w:val="Emphasis"/>
                            <w:rFonts w:cs="Arial"/>
                            <w:color w:val="000000"/>
                            <w:sz w:val="16"/>
                            <w:szCs w:val="16"/>
                            <w:lang w:val="de-DE"/>
                          </w:rPr>
                          <w:t>Phalaenopsis</w:t>
                        </w:r>
                        <w:r w:rsidRPr="00C47725">
                          <w:rPr>
                            <w:rFonts w:cs="Arial"/>
                            <w:color w:val="000000"/>
                            <w:sz w:val="16"/>
                            <w:szCs w:val="16"/>
                            <w:lang w:val="de-DE"/>
                          </w:rPr>
                          <w:t> Blume</w:t>
                        </w:r>
                      </w:p>
                      <w:p w:rsidR="002D20DB" w:rsidRPr="00C47725" w:rsidRDefault="002D20DB" w:rsidP="002B5125">
                        <w:pPr>
                          <w:spacing w:before="20" w:after="20"/>
                          <w:jc w:val="left"/>
                          <w:rPr>
                            <w:lang w:val="de-DE"/>
                          </w:rPr>
                        </w:pPr>
                      </w:p>
                    </w:tc>
                  </w:tr>
                </w:tbl>
                <w:p w:rsidR="002D20DB" w:rsidRPr="00C47725" w:rsidRDefault="002D20DB" w:rsidP="002B5125">
                  <w:pPr>
                    <w:spacing w:before="20" w:after="20"/>
                    <w:jc w:val="left"/>
                    <w:rPr>
                      <w:lang w:val="de-DE"/>
                    </w:rPr>
                  </w:pPr>
                </w:p>
              </w:tc>
            </w:tr>
          </w:tbl>
          <w:p w:rsidR="002D20DB" w:rsidRPr="00C47725" w:rsidRDefault="002D20DB" w:rsidP="002B5125">
            <w:pPr>
              <w:rPr>
                <w:lang w:val="de-DE"/>
              </w:rPr>
            </w:pPr>
          </w:p>
          <w:p w:rsidR="002D20DB" w:rsidRPr="00C47725" w:rsidRDefault="002D20DB" w:rsidP="002B5125">
            <w:pPr>
              <w:rPr>
                <w:lang w:val="de-DE"/>
              </w:rPr>
            </w:pPr>
          </w:p>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727"/>
              <w:gridCol w:w="1434"/>
              <w:gridCol w:w="1545"/>
              <w:gridCol w:w="1230"/>
              <w:gridCol w:w="1560"/>
              <w:gridCol w:w="1320"/>
              <w:gridCol w:w="1545"/>
            </w:tblGrid>
            <w:tr w:rsidR="002D20DB" w:rsidRPr="00C47725" w:rsidTr="002B5125">
              <w:tc>
                <w:tcPr>
                  <w:tcW w:w="53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2D20DB" w:rsidRPr="00C47725" w:rsidRDefault="002D20DB" w:rsidP="002B5125">
                  <w:pPr>
                    <w:jc w:val="left"/>
                    <w:rPr>
                      <w:rFonts w:eastAsia="Arial"/>
                      <w:sz w:val="16"/>
                      <w:lang w:val="de-DE"/>
                    </w:rPr>
                  </w:pPr>
                  <w:r w:rsidRPr="00C47725">
                    <w:rPr>
                      <w:rFonts w:eastAsia="Arial"/>
                      <w:sz w:val="16"/>
                      <w:lang w:val="de-DE"/>
                    </w:rPr>
                    <w:t>**</w:t>
                  </w:r>
                </w:p>
              </w:tc>
              <w:tc>
                <w:tcPr>
                  <w:tcW w:w="7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2D20DB" w:rsidRPr="00C47725" w:rsidRDefault="002D20DB" w:rsidP="002B5125">
                  <w:pPr>
                    <w:jc w:val="left"/>
                    <w:rPr>
                      <w:rFonts w:eastAsia="Arial"/>
                      <w:sz w:val="16"/>
                      <w:lang w:val="de-DE"/>
                    </w:rPr>
                  </w:pPr>
                  <w:r w:rsidRPr="00C47725">
                    <w:rPr>
                      <w:rFonts w:eastAsia="Arial"/>
                      <w:sz w:val="16"/>
                      <w:lang w:val="de-DE"/>
                    </w:rPr>
                    <w:t>TWP</w:t>
                  </w:r>
                </w:p>
              </w:tc>
              <w:tc>
                <w:tcPr>
                  <w:tcW w:w="14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2D20DB" w:rsidRPr="00967481" w:rsidRDefault="002D20DB" w:rsidP="002B5125">
                  <w:pPr>
                    <w:jc w:val="left"/>
                    <w:rPr>
                      <w:rFonts w:eastAsia="Arial"/>
                      <w:sz w:val="16"/>
                    </w:rPr>
                  </w:pPr>
                  <w:r w:rsidRPr="004F1DFE">
                    <w:rPr>
                      <w:rFonts w:eastAsia="Arial"/>
                      <w:sz w:val="16"/>
                      <w:lang w:val="fr-CH"/>
                    </w:rPr>
                    <w:t xml:space="preserve">Document No. </w:t>
                  </w:r>
                  <w:r w:rsidRPr="004F1DFE">
                    <w:rPr>
                      <w:rFonts w:eastAsia="Arial"/>
                      <w:sz w:val="16"/>
                      <w:lang w:val="fr-CH"/>
                    </w:rPr>
                    <w:br/>
                    <w:t xml:space="preserve">No. du document </w:t>
                  </w:r>
                  <w:r w:rsidRPr="004F1DFE">
                    <w:rPr>
                      <w:rFonts w:eastAsia="Arial"/>
                      <w:sz w:val="16"/>
                      <w:lang w:val="fr-CH"/>
                    </w:rPr>
                    <w:br/>
                    <w:t xml:space="preserve">Dokument-Nr. </w:t>
                  </w:r>
                  <w:r w:rsidRPr="004F1DFE">
                    <w:rPr>
                      <w:rFonts w:eastAsia="Arial"/>
                      <w:sz w:val="16"/>
                      <w:lang w:val="fr-CH"/>
                    </w:rPr>
                    <w:br/>
                  </w:r>
                  <w:r w:rsidRPr="00967481">
                    <w:rPr>
                      <w:rFonts w:eastAsia="Arial"/>
                      <w:sz w:val="16"/>
                    </w:rPr>
                    <w:t>No del documento</w:t>
                  </w:r>
                  <w:r w:rsidRPr="00967481">
                    <w:rPr>
                      <w:rFonts w:eastAsia="Arial"/>
                      <w:sz w:val="16"/>
                    </w:rPr>
                    <w:br/>
                  </w:r>
                </w:p>
              </w:tc>
              <w:tc>
                <w:tcPr>
                  <w:tcW w:w="15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2D20DB" w:rsidRPr="00C47725" w:rsidRDefault="002D20DB" w:rsidP="002B5125">
                  <w:pPr>
                    <w:jc w:val="left"/>
                    <w:rPr>
                      <w:rFonts w:eastAsia="Arial"/>
                      <w:sz w:val="16"/>
                      <w:lang w:val="de-DE"/>
                    </w:rPr>
                  </w:pPr>
                  <w:r w:rsidRPr="00C47725">
                    <w:rPr>
                      <w:rFonts w:eastAsia="Arial"/>
                      <w:sz w:val="16"/>
                      <w:lang w:val="de-DE"/>
                    </w:rPr>
                    <w:t>English</w:t>
                  </w:r>
                </w:p>
              </w:tc>
              <w:tc>
                <w:tcPr>
                  <w:tcW w:w="12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2D20DB" w:rsidRPr="00C47725" w:rsidRDefault="002D20DB" w:rsidP="002B5125">
                  <w:pPr>
                    <w:jc w:val="left"/>
                    <w:rPr>
                      <w:rFonts w:eastAsia="Arial"/>
                      <w:sz w:val="16"/>
                      <w:lang w:val="de-DE"/>
                    </w:rPr>
                  </w:pPr>
                  <w:r w:rsidRPr="00C47725">
                    <w:rPr>
                      <w:rFonts w:eastAsia="Arial"/>
                      <w:sz w:val="16"/>
                      <w:lang w:val="de-DE"/>
                    </w:rPr>
                    <w:t>Français</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2D20DB" w:rsidRPr="00C47725" w:rsidRDefault="002D20DB" w:rsidP="002B5125">
                  <w:pPr>
                    <w:jc w:val="left"/>
                    <w:rPr>
                      <w:rFonts w:eastAsia="Arial"/>
                      <w:sz w:val="16"/>
                      <w:lang w:val="de-DE"/>
                    </w:rPr>
                  </w:pPr>
                  <w:r w:rsidRPr="00C47725">
                    <w:rPr>
                      <w:rFonts w:eastAsia="Arial"/>
                      <w:sz w:val="16"/>
                      <w:lang w:val="de-DE"/>
                    </w:rPr>
                    <w:t>Deutsch</w:t>
                  </w:r>
                </w:p>
              </w:tc>
              <w:tc>
                <w:tcPr>
                  <w:tcW w:w="132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2D20DB" w:rsidRPr="00C47725" w:rsidRDefault="002D20DB" w:rsidP="002B5125">
                  <w:pPr>
                    <w:jc w:val="left"/>
                    <w:rPr>
                      <w:rFonts w:eastAsia="Arial"/>
                      <w:sz w:val="16"/>
                      <w:lang w:val="de-DE"/>
                    </w:rPr>
                  </w:pPr>
                  <w:r w:rsidRPr="00C47725">
                    <w:rPr>
                      <w:rFonts w:eastAsia="Arial"/>
                      <w:sz w:val="16"/>
                      <w:lang w:val="de-DE"/>
                    </w:rPr>
                    <w:t>Español</w:t>
                  </w:r>
                </w:p>
              </w:tc>
              <w:tc>
                <w:tcPr>
                  <w:tcW w:w="15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2D20DB" w:rsidRPr="00967481" w:rsidRDefault="002D20DB" w:rsidP="002B5125">
                  <w:pPr>
                    <w:jc w:val="left"/>
                    <w:rPr>
                      <w:rFonts w:eastAsia="Arial"/>
                      <w:sz w:val="16"/>
                    </w:rPr>
                  </w:pPr>
                  <w:r w:rsidRPr="00967481">
                    <w:rPr>
                      <w:rFonts w:eastAsia="Arial"/>
                      <w:sz w:val="16"/>
                    </w:rPr>
                    <w:t>Botanical name</w:t>
                  </w:r>
                  <w:r w:rsidRPr="00967481">
                    <w:rPr>
                      <w:rFonts w:eastAsia="Arial"/>
                      <w:sz w:val="16"/>
                    </w:rPr>
                    <w:br/>
                    <w:t>Nom botanique</w:t>
                  </w:r>
                  <w:r w:rsidRPr="00967481">
                    <w:rPr>
                      <w:rFonts w:eastAsia="Arial"/>
                      <w:sz w:val="16"/>
                    </w:rPr>
                    <w:br/>
                    <w:t>Botanischer Name</w:t>
                  </w:r>
                  <w:r w:rsidRPr="00967481">
                    <w:rPr>
                      <w:rFonts w:eastAsia="Arial"/>
                      <w:sz w:val="16"/>
                    </w:rPr>
                    <w:br/>
                    <w:t>Nombre botánico</w:t>
                  </w:r>
                  <w:r w:rsidRPr="00967481">
                    <w:rPr>
                      <w:rFonts w:eastAsia="Arial"/>
                      <w:sz w:val="16"/>
                    </w:rPr>
                    <w:br/>
                  </w:r>
                </w:p>
              </w:tc>
            </w:tr>
            <w:tr w:rsidR="002D20DB" w:rsidRPr="000E6F70" w:rsidTr="002B5125">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keepNext/>
                    <w:keepLines/>
                    <w:spacing w:before="20" w:after="20"/>
                    <w:rPr>
                      <w:vanish/>
                      <w:lang w:val="de-DE"/>
                    </w:rPr>
                  </w:pPr>
                </w:p>
                <w:tbl>
                  <w:tblPr>
                    <w:tblW w:w="540" w:type="dxa"/>
                    <w:tblLayout w:type="fixed"/>
                    <w:tblCellMar>
                      <w:left w:w="0" w:type="dxa"/>
                      <w:right w:w="0" w:type="dxa"/>
                    </w:tblCellMar>
                    <w:tblLook w:val="01E0" w:firstRow="1" w:lastRow="1" w:firstColumn="1" w:lastColumn="1" w:noHBand="0" w:noVBand="0"/>
                  </w:tblPr>
                  <w:tblGrid>
                    <w:gridCol w:w="540"/>
                  </w:tblGrid>
                  <w:tr w:rsidR="002D20DB" w:rsidRPr="00C47725" w:rsidTr="002B5125">
                    <w:tc>
                      <w:tcPr>
                        <w:tcW w:w="540" w:type="dxa"/>
                        <w:tcMar>
                          <w:top w:w="0" w:type="dxa"/>
                          <w:left w:w="0" w:type="dxa"/>
                          <w:bottom w:w="0" w:type="dxa"/>
                          <w:right w:w="0" w:type="dxa"/>
                        </w:tcMar>
                      </w:tcPr>
                      <w:p w:rsidR="002D20DB" w:rsidRPr="00C47725" w:rsidRDefault="002D20DB" w:rsidP="002B5125">
                        <w:pPr>
                          <w:keepNext/>
                          <w:keepLines/>
                          <w:spacing w:before="20" w:after="20"/>
                          <w:rPr>
                            <w:rFonts w:cs="Arial"/>
                            <w:color w:val="000000"/>
                            <w:sz w:val="16"/>
                            <w:szCs w:val="16"/>
                            <w:lang w:val="de-DE"/>
                          </w:rPr>
                        </w:pPr>
                        <w:r w:rsidRPr="00C47725">
                          <w:rPr>
                            <w:rFonts w:cs="Arial"/>
                            <w:color w:val="000000"/>
                            <w:sz w:val="16"/>
                            <w:szCs w:val="16"/>
                            <w:lang w:val="de-DE"/>
                          </w:rPr>
                          <w:t>NL</w:t>
                        </w:r>
                      </w:p>
                      <w:p w:rsidR="002D20DB" w:rsidRPr="00C47725" w:rsidRDefault="002D20DB" w:rsidP="002B5125">
                        <w:pPr>
                          <w:keepNext/>
                          <w:keepLines/>
                          <w:spacing w:before="20" w:after="20"/>
                          <w:rPr>
                            <w:lang w:val="de-DE"/>
                          </w:rPr>
                        </w:pPr>
                      </w:p>
                    </w:tc>
                  </w:tr>
                </w:tbl>
                <w:p w:rsidR="002D20DB" w:rsidRPr="00C47725" w:rsidRDefault="002D20DB" w:rsidP="002B5125">
                  <w:pPr>
                    <w:keepNext/>
                    <w:keepLines/>
                    <w:spacing w:before="20" w:after="20"/>
                    <w:rPr>
                      <w:lang w:val="de-DE"/>
                    </w:rPr>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keepNext/>
                    <w:keepLines/>
                    <w:spacing w:before="20" w:after="20"/>
                    <w:jc w:val="left"/>
                    <w:rPr>
                      <w:vanish/>
                      <w:lang w:val="de-DE"/>
                    </w:rPr>
                  </w:pPr>
                </w:p>
                <w:tbl>
                  <w:tblPr>
                    <w:tblW w:w="975" w:type="dxa"/>
                    <w:tblLayout w:type="fixed"/>
                    <w:tblCellMar>
                      <w:left w:w="0" w:type="dxa"/>
                      <w:right w:w="0" w:type="dxa"/>
                    </w:tblCellMar>
                    <w:tblLook w:val="01E0" w:firstRow="1" w:lastRow="1" w:firstColumn="1" w:lastColumn="1" w:noHBand="0" w:noVBand="0"/>
                  </w:tblPr>
                  <w:tblGrid>
                    <w:gridCol w:w="975"/>
                  </w:tblGrid>
                  <w:tr w:rsidR="002D20DB" w:rsidRPr="00C47725" w:rsidTr="002B5125">
                    <w:tc>
                      <w:tcPr>
                        <w:tcW w:w="975" w:type="dxa"/>
                        <w:tcMar>
                          <w:top w:w="0" w:type="dxa"/>
                          <w:left w:w="0" w:type="dxa"/>
                          <w:bottom w:w="0" w:type="dxa"/>
                          <w:right w:w="0" w:type="dxa"/>
                        </w:tcMar>
                      </w:tcPr>
                      <w:p w:rsidR="002D20DB" w:rsidRPr="00C47725" w:rsidRDefault="002D20DB" w:rsidP="002B5125">
                        <w:pPr>
                          <w:keepNext/>
                          <w:keepLines/>
                          <w:spacing w:before="20" w:after="20"/>
                          <w:jc w:val="left"/>
                          <w:rPr>
                            <w:rFonts w:cs="Arial"/>
                            <w:color w:val="000000"/>
                            <w:sz w:val="16"/>
                            <w:szCs w:val="16"/>
                            <w:lang w:val="de-DE"/>
                          </w:rPr>
                        </w:pPr>
                        <w:r w:rsidRPr="00C47725">
                          <w:rPr>
                            <w:rFonts w:cs="Arial"/>
                            <w:color w:val="000000"/>
                            <w:sz w:val="16"/>
                            <w:szCs w:val="16"/>
                            <w:lang w:val="de-DE"/>
                          </w:rPr>
                          <w:t>TWV</w:t>
                        </w:r>
                      </w:p>
                      <w:p w:rsidR="002D20DB" w:rsidRPr="00C47725" w:rsidRDefault="002D20DB" w:rsidP="002B5125">
                        <w:pPr>
                          <w:keepNext/>
                          <w:keepLines/>
                          <w:spacing w:before="20" w:after="20"/>
                          <w:jc w:val="left"/>
                          <w:rPr>
                            <w:lang w:val="de-DE"/>
                          </w:rPr>
                        </w:pPr>
                      </w:p>
                    </w:tc>
                  </w:tr>
                </w:tbl>
                <w:p w:rsidR="002D20DB" w:rsidRPr="00C47725" w:rsidRDefault="002D20DB" w:rsidP="002B5125">
                  <w:pPr>
                    <w:keepNext/>
                    <w:keepLines/>
                    <w:spacing w:before="20" w:after="20"/>
                    <w:jc w:val="left"/>
                    <w:rPr>
                      <w:lang w:val="de-DE"/>
                    </w:rPr>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keepNext/>
                    <w:keepLines/>
                    <w:spacing w:before="20" w:after="20"/>
                    <w:ind w:right="-13"/>
                    <w:jc w:val="left"/>
                    <w:rPr>
                      <w:vanish/>
                      <w:lang w:val="de-DE"/>
                    </w:rPr>
                  </w:pPr>
                </w:p>
                <w:tbl>
                  <w:tblPr>
                    <w:tblW w:w="1413" w:type="dxa"/>
                    <w:tblLayout w:type="fixed"/>
                    <w:tblCellMar>
                      <w:left w:w="0" w:type="dxa"/>
                      <w:right w:w="0" w:type="dxa"/>
                    </w:tblCellMar>
                    <w:tblLook w:val="01E0" w:firstRow="1" w:lastRow="1" w:firstColumn="1" w:lastColumn="1" w:noHBand="0" w:noVBand="0"/>
                  </w:tblPr>
                  <w:tblGrid>
                    <w:gridCol w:w="1413"/>
                  </w:tblGrid>
                  <w:tr w:rsidR="002D20DB" w:rsidRPr="00C47725" w:rsidTr="002B5125">
                    <w:tc>
                      <w:tcPr>
                        <w:tcW w:w="1413" w:type="dxa"/>
                        <w:tcMar>
                          <w:top w:w="0" w:type="dxa"/>
                          <w:left w:w="0" w:type="dxa"/>
                          <w:bottom w:w="0" w:type="dxa"/>
                          <w:right w:w="0" w:type="dxa"/>
                        </w:tcMar>
                      </w:tcPr>
                      <w:p w:rsidR="002D20DB" w:rsidRPr="00C47725" w:rsidRDefault="002D20DB" w:rsidP="002B5125">
                        <w:pPr>
                          <w:keepNext/>
                          <w:keepLines/>
                          <w:spacing w:before="20" w:after="20"/>
                          <w:ind w:right="-13"/>
                          <w:jc w:val="left"/>
                          <w:rPr>
                            <w:rFonts w:cs="Arial"/>
                            <w:color w:val="000000"/>
                            <w:sz w:val="16"/>
                            <w:szCs w:val="16"/>
                            <w:lang w:val="de-DE"/>
                          </w:rPr>
                        </w:pPr>
                        <w:r w:rsidRPr="00C47725">
                          <w:rPr>
                            <w:rFonts w:cs="Arial"/>
                            <w:color w:val="000000"/>
                            <w:sz w:val="16"/>
                            <w:szCs w:val="16"/>
                            <w:lang w:val="de-DE"/>
                          </w:rPr>
                          <w:t>TG/294/1 Corr. Rev. 3 (proj.1)</w:t>
                        </w:r>
                      </w:p>
                      <w:p w:rsidR="002D20DB" w:rsidRPr="00C47725" w:rsidRDefault="002D20DB" w:rsidP="002B5125">
                        <w:pPr>
                          <w:keepNext/>
                          <w:keepLines/>
                          <w:spacing w:before="20" w:after="20"/>
                          <w:ind w:right="-13"/>
                          <w:jc w:val="left"/>
                          <w:rPr>
                            <w:lang w:val="de-DE"/>
                          </w:rPr>
                        </w:pPr>
                      </w:p>
                    </w:tc>
                  </w:tr>
                </w:tbl>
                <w:p w:rsidR="002D20DB" w:rsidRPr="00C47725" w:rsidRDefault="002D20DB" w:rsidP="002B5125">
                  <w:pPr>
                    <w:keepNext/>
                    <w:keepLines/>
                    <w:spacing w:before="20" w:after="20"/>
                    <w:ind w:right="-13"/>
                    <w:jc w:val="left"/>
                    <w:rPr>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keepNext/>
                    <w:keepLines/>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C47725" w:rsidTr="002B5125">
                    <w:tc>
                      <w:tcPr>
                        <w:tcW w:w="1545" w:type="dxa"/>
                        <w:tcMar>
                          <w:top w:w="0" w:type="dxa"/>
                          <w:left w:w="0" w:type="dxa"/>
                          <w:bottom w:w="0" w:type="dxa"/>
                          <w:right w:w="0" w:type="dxa"/>
                        </w:tcMar>
                      </w:tcPr>
                      <w:p w:rsidR="002D20DB" w:rsidRPr="00C47725" w:rsidRDefault="002D20DB" w:rsidP="002B5125">
                        <w:pPr>
                          <w:keepNext/>
                          <w:keepLines/>
                          <w:spacing w:before="20" w:after="20"/>
                          <w:jc w:val="left"/>
                          <w:rPr>
                            <w:rFonts w:cs="Arial"/>
                            <w:color w:val="000000"/>
                            <w:sz w:val="16"/>
                            <w:szCs w:val="16"/>
                            <w:lang w:val="de-DE"/>
                          </w:rPr>
                        </w:pPr>
                        <w:r w:rsidRPr="00C47725">
                          <w:rPr>
                            <w:rFonts w:cs="Arial"/>
                            <w:color w:val="000000"/>
                            <w:sz w:val="16"/>
                            <w:szCs w:val="16"/>
                            <w:lang w:val="de-DE"/>
                          </w:rPr>
                          <w:t>Tomato Rootstocks</w:t>
                        </w:r>
                      </w:p>
                      <w:p w:rsidR="002D20DB" w:rsidRPr="00C47725" w:rsidRDefault="002D20DB" w:rsidP="002B5125">
                        <w:pPr>
                          <w:keepNext/>
                          <w:keepLines/>
                          <w:spacing w:before="20" w:after="20"/>
                          <w:jc w:val="left"/>
                          <w:rPr>
                            <w:lang w:val="de-DE"/>
                          </w:rPr>
                        </w:pPr>
                      </w:p>
                    </w:tc>
                  </w:tr>
                </w:tbl>
                <w:p w:rsidR="002D20DB" w:rsidRPr="00C47725" w:rsidRDefault="002D20DB" w:rsidP="002B5125">
                  <w:pPr>
                    <w:keepNext/>
                    <w:keepLines/>
                    <w:spacing w:before="20" w:after="20"/>
                    <w:jc w:val="left"/>
                    <w:rPr>
                      <w:lang w:val="de-DE"/>
                    </w:rPr>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keepNext/>
                    <w:keepLines/>
                    <w:spacing w:before="20" w:after="20"/>
                    <w:jc w:val="left"/>
                    <w:rPr>
                      <w:rFonts w:cs="Arial"/>
                      <w:sz w:val="16"/>
                      <w:szCs w:val="16"/>
                      <w:lang w:val="de-DE"/>
                    </w:rPr>
                  </w:pPr>
                  <w:r w:rsidRPr="00C47725">
                    <w:rPr>
                      <w:rFonts w:cs="Arial"/>
                      <w:sz w:val="16"/>
                      <w:szCs w:val="16"/>
                      <w:lang w:val="de-DE"/>
                    </w:rPr>
                    <w:t>Porte-greffe de tomate</w:t>
                  </w:r>
                </w:p>
                <w:tbl>
                  <w:tblPr>
                    <w:tblW w:w="1230" w:type="dxa"/>
                    <w:tblLayout w:type="fixed"/>
                    <w:tblCellMar>
                      <w:left w:w="0" w:type="dxa"/>
                      <w:right w:w="0" w:type="dxa"/>
                    </w:tblCellMar>
                    <w:tblLook w:val="01E0" w:firstRow="1" w:lastRow="1" w:firstColumn="1" w:lastColumn="1" w:noHBand="0" w:noVBand="0"/>
                  </w:tblPr>
                  <w:tblGrid>
                    <w:gridCol w:w="1230"/>
                  </w:tblGrid>
                  <w:tr w:rsidR="002D20DB" w:rsidRPr="00C47725" w:rsidTr="002B5125">
                    <w:tc>
                      <w:tcPr>
                        <w:tcW w:w="1230" w:type="dxa"/>
                        <w:tcMar>
                          <w:top w:w="0" w:type="dxa"/>
                          <w:left w:w="0" w:type="dxa"/>
                          <w:bottom w:w="0" w:type="dxa"/>
                          <w:right w:w="0" w:type="dxa"/>
                        </w:tcMar>
                      </w:tcPr>
                      <w:p w:rsidR="002D20DB" w:rsidRPr="00C47725" w:rsidRDefault="002D20DB" w:rsidP="002B5125">
                        <w:pPr>
                          <w:keepNext/>
                          <w:keepLines/>
                          <w:spacing w:before="20" w:after="20"/>
                          <w:jc w:val="left"/>
                          <w:rPr>
                            <w:rFonts w:cs="Arial"/>
                            <w:sz w:val="16"/>
                            <w:szCs w:val="16"/>
                            <w:lang w:val="de-DE"/>
                          </w:rPr>
                        </w:pPr>
                      </w:p>
                    </w:tc>
                  </w:tr>
                </w:tbl>
                <w:p w:rsidR="002D20DB" w:rsidRPr="00C47725" w:rsidRDefault="002D20DB" w:rsidP="002B5125">
                  <w:pPr>
                    <w:keepNext/>
                    <w:keepLines/>
                    <w:spacing w:before="20" w:after="20"/>
                    <w:jc w:val="left"/>
                    <w:rPr>
                      <w:rFonts w:cs="Arial"/>
                      <w:sz w:val="16"/>
                      <w:szCs w:val="16"/>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keepNext/>
                    <w:keepLines/>
                    <w:spacing w:before="20" w:after="20"/>
                    <w:jc w:val="left"/>
                    <w:rPr>
                      <w:rFonts w:cs="Arial"/>
                      <w:sz w:val="16"/>
                      <w:szCs w:val="16"/>
                      <w:lang w:val="de-DE"/>
                    </w:rPr>
                  </w:pPr>
                  <w:r w:rsidRPr="00C47725">
                    <w:rPr>
                      <w:rFonts w:cs="Arial"/>
                      <w:sz w:val="16"/>
                      <w:szCs w:val="16"/>
                      <w:lang w:val="de-DE"/>
                    </w:rPr>
                    <w:t>Tomatenunterlagen</w:t>
                  </w:r>
                </w:p>
                <w:tbl>
                  <w:tblPr>
                    <w:tblW w:w="1560" w:type="dxa"/>
                    <w:tblLayout w:type="fixed"/>
                    <w:tblCellMar>
                      <w:left w:w="0" w:type="dxa"/>
                      <w:right w:w="0" w:type="dxa"/>
                    </w:tblCellMar>
                    <w:tblLook w:val="01E0" w:firstRow="1" w:lastRow="1" w:firstColumn="1" w:lastColumn="1" w:noHBand="0" w:noVBand="0"/>
                  </w:tblPr>
                  <w:tblGrid>
                    <w:gridCol w:w="1560"/>
                  </w:tblGrid>
                  <w:tr w:rsidR="002D20DB" w:rsidRPr="00C47725" w:rsidTr="002B5125">
                    <w:tc>
                      <w:tcPr>
                        <w:tcW w:w="1560" w:type="dxa"/>
                        <w:tcMar>
                          <w:top w:w="0" w:type="dxa"/>
                          <w:left w:w="0" w:type="dxa"/>
                          <w:bottom w:w="0" w:type="dxa"/>
                          <w:right w:w="0" w:type="dxa"/>
                        </w:tcMar>
                      </w:tcPr>
                      <w:p w:rsidR="002D20DB" w:rsidRPr="00C47725" w:rsidRDefault="002D20DB" w:rsidP="002B5125">
                        <w:pPr>
                          <w:keepNext/>
                          <w:keepLines/>
                          <w:spacing w:before="20" w:after="20"/>
                          <w:jc w:val="left"/>
                          <w:rPr>
                            <w:rFonts w:cs="Arial"/>
                            <w:sz w:val="16"/>
                            <w:szCs w:val="16"/>
                            <w:lang w:val="de-DE"/>
                          </w:rPr>
                        </w:pPr>
                      </w:p>
                    </w:tc>
                  </w:tr>
                </w:tbl>
                <w:p w:rsidR="002D20DB" w:rsidRPr="00C47725" w:rsidRDefault="002D20DB" w:rsidP="002B5125">
                  <w:pPr>
                    <w:keepNext/>
                    <w:keepLines/>
                    <w:spacing w:before="20" w:after="20"/>
                    <w:jc w:val="left"/>
                    <w:rPr>
                      <w:rFonts w:cs="Arial"/>
                      <w:sz w:val="16"/>
                      <w:szCs w:val="16"/>
                      <w:lang w:val="de-DE"/>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keepNext/>
                    <w:keepLines/>
                    <w:spacing w:before="20" w:after="20"/>
                    <w:jc w:val="left"/>
                    <w:rPr>
                      <w:rFonts w:cs="Arial"/>
                      <w:sz w:val="16"/>
                      <w:szCs w:val="16"/>
                      <w:lang w:val="de-DE"/>
                    </w:rPr>
                  </w:pPr>
                  <w:r w:rsidRPr="00C47725">
                    <w:rPr>
                      <w:rFonts w:cs="Arial"/>
                      <w:sz w:val="16"/>
                      <w:szCs w:val="16"/>
                      <w:lang w:val="de-DE"/>
                    </w:rPr>
                    <w:t>Portainjertos de tomate</w:t>
                  </w:r>
                </w:p>
                <w:tbl>
                  <w:tblPr>
                    <w:tblW w:w="1320" w:type="dxa"/>
                    <w:tblLayout w:type="fixed"/>
                    <w:tblCellMar>
                      <w:left w:w="0" w:type="dxa"/>
                      <w:right w:w="0" w:type="dxa"/>
                    </w:tblCellMar>
                    <w:tblLook w:val="01E0" w:firstRow="1" w:lastRow="1" w:firstColumn="1" w:lastColumn="1" w:noHBand="0" w:noVBand="0"/>
                  </w:tblPr>
                  <w:tblGrid>
                    <w:gridCol w:w="1320"/>
                  </w:tblGrid>
                  <w:tr w:rsidR="002D20DB" w:rsidRPr="00C47725" w:rsidTr="002B5125">
                    <w:tc>
                      <w:tcPr>
                        <w:tcW w:w="1320" w:type="dxa"/>
                        <w:tcMar>
                          <w:top w:w="0" w:type="dxa"/>
                          <w:left w:w="0" w:type="dxa"/>
                          <w:bottom w:w="0" w:type="dxa"/>
                          <w:right w:w="0" w:type="dxa"/>
                        </w:tcMar>
                      </w:tcPr>
                      <w:p w:rsidR="002D20DB" w:rsidRPr="00C47725" w:rsidRDefault="002D20DB" w:rsidP="002B5125">
                        <w:pPr>
                          <w:keepNext/>
                          <w:keepLines/>
                          <w:spacing w:before="20" w:after="20"/>
                          <w:jc w:val="left"/>
                          <w:rPr>
                            <w:rFonts w:cs="Arial"/>
                            <w:sz w:val="16"/>
                            <w:szCs w:val="16"/>
                            <w:lang w:val="de-DE"/>
                          </w:rPr>
                        </w:pPr>
                      </w:p>
                    </w:tc>
                  </w:tr>
                </w:tbl>
                <w:p w:rsidR="002D20DB" w:rsidRPr="00C47725" w:rsidRDefault="002D20DB" w:rsidP="002B5125">
                  <w:pPr>
                    <w:keepNext/>
                    <w:keepLines/>
                    <w:spacing w:before="20" w:after="20"/>
                    <w:jc w:val="left"/>
                    <w:rPr>
                      <w:rFonts w:cs="Arial"/>
                      <w:sz w:val="16"/>
                      <w:szCs w:val="16"/>
                      <w:lang w:val="de-DE"/>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D20DB" w:rsidRPr="00C47725" w:rsidRDefault="002D20DB" w:rsidP="002B5125">
                  <w:pPr>
                    <w:keepNext/>
                    <w:keepLines/>
                    <w:spacing w:before="20" w:after="20"/>
                    <w:jc w:val="left"/>
                    <w:rPr>
                      <w:vanish/>
                      <w:lang w:val="de-DE"/>
                    </w:rPr>
                  </w:pPr>
                </w:p>
                <w:tbl>
                  <w:tblPr>
                    <w:tblW w:w="1545" w:type="dxa"/>
                    <w:tblLayout w:type="fixed"/>
                    <w:tblCellMar>
                      <w:left w:w="0" w:type="dxa"/>
                      <w:right w:w="0" w:type="dxa"/>
                    </w:tblCellMar>
                    <w:tblLook w:val="01E0" w:firstRow="1" w:lastRow="1" w:firstColumn="1" w:lastColumn="1" w:noHBand="0" w:noVBand="0"/>
                  </w:tblPr>
                  <w:tblGrid>
                    <w:gridCol w:w="1545"/>
                  </w:tblGrid>
                  <w:tr w:rsidR="002D20DB" w:rsidRPr="000E6F70" w:rsidTr="002B5125">
                    <w:tc>
                      <w:tcPr>
                        <w:tcW w:w="1545" w:type="dxa"/>
                        <w:tcMar>
                          <w:top w:w="0" w:type="dxa"/>
                          <w:left w:w="0" w:type="dxa"/>
                          <w:bottom w:w="0" w:type="dxa"/>
                          <w:right w:w="0" w:type="dxa"/>
                        </w:tcMar>
                      </w:tcPr>
                      <w:p w:rsidR="002D20DB" w:rsidRPr="004F1DFE" w:rsidRDefault="002D20DB" w:rsidP="002B5125">
                        <w:pPr>
                          <w:keepNext/>
                          <w:keepLines/>
                          <w:spacing w:before="20" w:after="20"/>
                          <w:jc w:val="left"/>
                          <w:rPr>
                            <w:rFonts w:eastAsiaTheme="minorEastAsia" w:cs="Arial"/>
                            <w:color w:val="000000"/>
                            <w:sz w:val="16"/>
                            <w:szCs w:val="16"/>
                            <w:lang w:val="de-DE"/>
                          </w:rPr>
                        </w:pPr>
                        <w:r w:rsidRPr="004F1DFE">
                          <w:rPr>
                            <w:rFonts w:cs="Arial"/>
                            <w:i/>
                            <w:iCs/>
                            <w:color w:val="000000"/>
                            <w:sz w:val="16"/>
                            <w:szCs w:val="16"/>
                            <w:lang w:val="de-DE"/>
                          </w:rPr>
                          <w:t>Solanum lycopersicum</w:t>
                        </w:r>
                        <w:r w:rsidRPr="004F1DFE">
                          <w:rPr>
                            <w:rFonts w:cs="Arial"/>
                            <w:color w:val="000000"/>
                            <w:sz w:val="16"/>
                            <w:szCs w:val="16"/>
                            <w:lang w:val="de-DE"/>
                          </w:rPr>
                          <w:t xml:space="preserve"> L. x </w:t>
                        </w:r>
                        <w:r w:rsidRPr="004F1DFE">
                          <w:rPr>
                            <w:rFonts w:cs="Arial"/>
                            <w:i/>
                            <w:iCs/>
                            <w:color w:val="000000"/>
                            <w:sz w:val="16"/>
                            <w:szCs w:val="16"/>
                            <w:lang w:val="de-DE"/>
                          </w:rPr>
                          <w:t>S. cheesmaniae</w:t>
                        </w:r>
                        <w:r w:rsidRPr="004F1DFE">
                          <w:rPr>
                            <w:rFonts w:cs="Arial"/>
                            <w:color w:val="000000"/>
                            <w:sz w:val="16"/>
                            <w:szCs w:val="16"/>
                            <w:lang w:val="de-DE"/>
                          </w:rPr>
                          <w:t> </w:t>
                        </w:r>
                        <w:r w:rsidRPr="004F1DFE">
                          <w:rPr>
                            <w:rFonts w:cs="Arial"/>
                            <w:color w:val="000000"/>
                            <w:sz w:val="16"/>
                            <w:szCs w:val="16"/>
                            <w:lang w:val="de-DE"/>
                          </w:rPr>
                          <w:br/>
                          <w:t xml:space="preserve">(L. Ridley) Fosberg, </w:t>
                        </w:r>
                        <w:r w:rsidRPr="004F1DFE">
                          <w:rPr>
                            <w:rFonts w:cs="Arial"/>
                            <w:i/>
                            <w:iCs/>
                            <w:color w:val="000000"/>
                            <w:sz w:val="16"/>
                            <w:szCs w:val="16"/>
                            <w:lang w:val="de-DE"/>
                          </w:rPr>
                          <w:t>S. lycopersicum</w:t>
                        </w:r>
                        <w:r w:rsidRPr="004F1DFE">
                          <w:rPr>
                            <w:rFonts w:cs="Arial"/>
                            <w:color w:val="000000"/>
                            <w:sz w:val="16"/>
                            <w:szCs w:val="16"/>
                            <w:lang w:val="de-DE"/>
                          </w:rPr>
                          <w:t xml:space="preserve"> L. x </w:t>
                        </w:r>
                        <w:r w:rsidRPr="004F1DFE">
                          <w:rPr>
                            <w:rFonts w:cs="Arial"/>
                            <w:i/>
                            <w:iCs/>
                            <w:color w:val="000000"/>
                            <w:sz w:val="16"/>
                            <w:szCs w:val="16"/>
                            <w:lang w:val="de-DE"/>
                          </w:rPr>
                          <w:t>S. peruvianum</w:t>
                        </w:r>
                        <w:r w:rsidRPr="004F1DFE">
                          <w:rPr>
                            <w:rFonts w:cs="Arial"/>
                            <w:color w:val="000000"/>
                            <w:sz w:val="16"/>
                            <w:szCs w:val="16"/>
                            <w:lang w:val="de-DE"/>
                          </w:rPr>
                          <w:t> (L.) Mill., S.</w:t>
                        </w:r>
                        <w:r w:rsidRPr="004F1DFE">
                          <w:rPr>
                            <w:rStyle w:val="Emphasis"/>
                            <w:rFonts w:cs="Arial"/>
                            <w:color w:val="000000"/>
                            <w:sz w:val="16"/>
                            <w:szCs w:val="16"/>
                            <w:lang w:val="de-DE"/>
                          </w:rPr>
                          <w:t xml:space="preserve"> pimpinellifolium</w:t>
                        </w:r>
                        <w:r w:rsidRPr="004F1DFE">
                          <w:rPr>
                            <w:rFonts w:cs="Arial"/>
                            <w:color w:val="000000"/>
                            <w:sz w:val="16"/>
                            <w:szCs w:val="16"/>
                            <w:lang w:val="de-DE"/>
                          </w:rPr>
                          <w:t xml:space="preserve"> L. x </w:t>
                        </w:r>
                        <w:r w:rsidRPr="004F1DFE">
                          <w:rPr>
                            <w:rStyle w:val="Emphasis"/>
                            <w:rFonts w:cs="Arial"/>
                            <w:color w:val="000000"/>
                            <w:sz w:val="16"/>
                            <w:szCs w:val="16"/>
                            <w:lang w:val="de-DE"/>
                          </w:rPr>
                          <w:t>S. habrochaites</w:t>
                        </w:r>
                        <w:r w:rsidRPr="004F1DFE">
                          <w:rPr>
                            <w:rFonts w:cs="Arial"/>
                            <w:color w:val="000000"/>
                            <w:sz w:val="16"/>
                            <w:szCs w:val="16"/>
                            <w:lang w:val="de-DE"/>
                          </w:rPr>
                          <w:t> </w:t>
                        </w:r>
                        <w:r w:rsidRPr="004F1DFE">
                          <w:rPr>
                            <w:rFonts w:cs="Arial"/>
                            <w:color w:val="000000"/>
                            <w:sz w:val="16"/>
                            <w:szCs w:val="16"/>
                            <w:lang w:val="de-DE"/>
                          </w:rPr>
                          <w:br/>
                          <w:t>S. Knapp &amp; D.M. Spooner, </w:t>
                        </w:r>
                        <w:r w:rsidRPr="004F1DFE">
                          <w:rPr>
                            <w:rFonts w:cs="Arial"/>
                            <w:i/>
                            <w:iCs/>
                            <w:color w:val="000000"/>
                            <w:sz w:val="16"/>
                            <w:szCs w:val="16"/>
                            <w:lang w:val="de-DE"/>
                          </w:rPr>
                          <w:t>Solanum habrochaites</w:t>
                        </w:r>
                        <w:r w:rsidRPr="004F1DFE">
                          <w:rPr>
                            <w:rFonts w:cs="Arial"/>
                            <w:color w:val="000000"/>
                            <w:sz w:val="16"/>
                            <w:szCs w:val="16"/>
                            <w:lang w:val="de-DE"/>
                          </w:rPr>
                          <w:t> S. Knapp </w:t>
                        </w:r>
                        <w:r w:rsidRPr="004F1DFE">
                          <w:rPr>
                            <w:rFonts w:cs="Arial"/>
                            <w:i/>
                            <w:iCs/>
                            <w:color w:val="000000"/>
                            <w:sz w:val="16"/>
                            <w:szCs w:val="16"/>
                            <w:lang w:val="de-DE"/>
                          </w:rPr>
                          <w:t>&amp;</w:t>
                        </w:r>
                        <w:r w:rsidRPr="004F1DFE">
                          <w:rPr>
                            <w:rFonts w:cs="Arial"/>
                            <w:color w:val="000000"/>
                            <w:sz w:val="16"/>
                            <w:szCs w:val="16"/>
                            <w:lang w:val="de-DE"/>
                          </w:rPr>
                          <w:t xml:space="preserve"> D.M. Spooner, </w:t>
                        </w:r>
                        <w:r w:rsidRPr="004F1DFE">
                          <w:rPr>
                            <w:rFonts w:cs="Arial"/>
                            <w:i/>
                            <w:iCs/>
                            <w:color w:val="000000"/>
                            <w:sz w:val="16"/>
                            <w:szCs w:val="16"/>
                            <w:lang w:val="de-DE"/>
                          </w:rPr>
                          <w:t>S. lycopersicum</w:t>
                        </w:r>
                        <w:r w:rsidRPr="004F1DFE">
                          <w:rPr>
                            <w:rFonts w:cs="Arial"/>
                            <w:color w:val="000000"/>
                            <w:sz w:val="16"/>
                            <w:szCs w:val="16"/>
                            <w:lang w:val="de-DE"/>
                          </w:rPr>
                          <w:t> L. var. </w:t>
                        </w:r>
                        <w:r w:rsidRPr="004F1DFE">
                          <w:rPr>
                            <w:rFonts w:cs="Arial"/>
                            <w:i/>
                            <w:iCs/>
                            <w:color w:val="000000"/>
                            <w:sz w:val="16"/>
                            <w:szCs w:val="16"/>
                            <w:lang w:val="de-DE"/>
                          </w:rPr>
                          <w:t>lycopersicum</w:t>
                        </w:r>
                        <w:r w:rsidRPr="004F1DFE">
                          <w:rPr>
                            <w:rFonts w:cs="Arial"/>
                            <w:color w:val="000000"/>
                            <w:sz w:val="16"/>
                            <w:szCs w:val="16"/>
                            <w:lang w:val="de-DE"/>
                          </w:rPr>
                          <w:t xml:space="preserve"> x </w:t>
                        </w:r>
                        <w:r w:rsidRPr="004F1DFE">
                          <w:rPr>
                            <w:rFonts w:cs="Arial"/>
                            <w:i/>
                            <w:iCs/>
                            <w:color w:val="000000"/>
                            <w:sz w:val="16"/>
                            <w:szCs w:val="16"/>
                            <w:lang w:val="de-DE"/>
                          </w:rPr>
                          <w:t>S. habrochaites</w:t>
                        </w:r>
                        <w:r w:rsidRPr="004F1DFE">
                          <w:rPr>
                            <w:rFonts w:cs="Arial"/>
                            <w:color w:val="000000"/>
                            <w:sz w:val="16"/>
                            <w:szCs w:val="16"/>
                            <w:lang w:val="de-DE"/>
                          </w:rPr>
                          <w:t> S. Knapp &amp; D.M. Spooner</w:t>
                        </w:r>
                      </w:p>
                      <w:p w:rsidR="002D20DB" w:rsidRPr="004F1DFE" w:rsidRDefault="002D20DB" w:rsidP="002B5125">
                        <w:pPr>
                          <w:keepNext/>
                          <w:keepLines/>
                          <w:spacing w:before="20" w:after="20"/>
                          <w:jc w:val="left"/>
                          <w:rPr>
                            <w:lang w:val="de-DE"/>
                          </w:rPr>
                        </w:pPr>
                      </w:p>
                    </w:tc>
                  </w:tr>
                </w:tbl>
                <w:p w:rsidR="002D20DB" w:rsidRPr="004F1DFE" w:rsidRDefault="002D20DB" w:rsidP="002B5125">
                  <w:pPr>
                    <w:keepNext/>
                    <w:keepLines/>
                    <w:spacing w:before="20" w:after="20"/>
                    <w:jc w:val="left"/>
                    <w:rPr>
                      <w:lang w:val="de-DE"/>
                    </w:rPr>
                  </w:pPr>
                </w:p>
              </w:tc>
            </w:tr>
          </w:tbl>
          <w:p w:rsidR="002D20DB" w:rsidRPr="004F1DFE" w:rsidRDefault="002D20DB" w:rsidP="002B5125">
            <w:pPr>
              <w:rPr>
                <w:lang w:val="de-DE"/>
              </w:rPr>
            </w:pPr>
          </w:p>
        </w:tc>
      </w:tr>
    </w:tbl>
    <w:p w:rsidR="002D20DB" w:rsidRPr="004F1DFE" w:rsidRDefault="002D20DB" w:rsidP="002D20DB">
      <w:pPr>
        <w:rPr>
          <w:lang w:val="de-DE"/>
        </w:rPr>
      </w:pPr>
    </w:p>
    <w:p w:rsidR="002D20DB" w:rsidRPr="00C47725" w:rsidRDefault="002D20DB" w:rsidP="002D20DB">
      <w:pPr>
        <w:rPr>
          <w:lang w:val="de-DE"/>
        </w:rPr>
      </w:pPr>
      <w:r w:rsidRPr="005C6707">
        <w:rPr>
          <w:lang w:val="de-DE"/>
        </w:rPr>
        <w:fldChar w:fldCharType="begin"/>
      </w:r>
      <w:r w:rsidRPr="005C6707">
        <w:rPr>
          <w:lang w:val="de-DE"/>
        </w:rPr>
        <w:instrText xml:space="preserve"> AUTONUM  </w:instrText>
      </w:r>
      <w:r w:rsidRPr="005C6707">
        <w:rPr>
          <w:lang w:val="de-DE"/>
        </w:rPr>
        <w:fldChar w:fldCharType="end"/>
      </w:r>
      <w:r w:rsidRPr="00C47725">
        <w:rPr>
          <w:lang w:val="de-DE"/>
        </w:rPr>
        <w:tab/>
      </w:r>
      <w:r w:rsidRPr="00C47725">
        <w:rPr>
          <w:rFonts w:cs="Arial"/>
          <w:lang w:val="de-DE"/>
        </w:rPr>
        <w:t xml:space="preserve">Der TC-EDC vereinbarte, dass </w:t>
      </w:r>
      <w:r>
        <w:rPr>
          <w:rFonts w:cs="Arial"/>
          <w:lang w:val="de-DE"/>
        </w:rPr>
        <w:t>der</w:t>
      </w:r>
      <w:r w:rsidRPr="00C47725">
        <w:rPr>
          <w:lang w:val="de-DE"/>
        </w:rPr>
        <w:t xml:space="preserve"> Entw</w:t>
      </w:r>
      <w:r>
        <w:rPr>
          <w:lang w:val="de-DE"/>
        </w:rPr>
        <w:t>urf</w:t>
      </w:r>
      <w:r w:rsidRPr="00C47725">
        <w:rPr>
          <w:lang w:val="de-DE"/>
        </w:rPr>
        <w:t xml:space="preserve"> </w:t>
      </w:r>
      <w:r>
        <w:rPr>
          <w:lang w:val="de-DE"/>
        </w:rPr>
        <w:t>von</w:t>
      </w:r>
      <w:r w:rsidRPr="00C47725">
        <w:rPr>
          <w:lang w:val="de-DE"/>
        </w:rPr>
        <w:t xml:space="preserve"> Prüfungsrichtlinien für M</w:t>
      </w:r>
      <w:r>
        <w:rPr>
          <w:lang w:val="de-DE"/>
        </w:rPr>
        <w:t>ä</w:t>
      </w:r>
      <w:r w:rsidRPr="00C47725">
        <w:rPr>
          <w:lang w:val="de-DE"/>
        </w:rPr>
        <w:t xml:space="preserve">dchenauge (Dokument TG/COREO(proj.3)) zur Klärung technischer Fragen an die TWO zurückverwiesen werden sollen, wie in Anlage II dieses Berichts dargelegt. </w:t>
      </w:r>
    </w:p>
    <w:p w:rsidR="002D20DB" w:rsidRPr="00C47725" w:rsidRDefault="002D20DB" w:rsidP="002D20DB">
      <w:pPr>
        <w:rPr>
          <w:lang w:val="de-DE"/>
        </w:rPr>
      </w:pPr>
    </w:p>
    <w:p w:rsidR="002D20DB" w:rsidRPr="00C47725" w:rsidRDefault="002D20DB" w:rsidP="002D20DB">
      <w:pPr>
        <w:rPr>
          <w:lang w:val="de-DE"/>
        </w:rPr>
      </w:pPr>
      <w:r w:rsidRPr="005C6707">
        <w:rPr>
          <w:lang w:val="de-DE"/>
        </w:rPr>
        <w:fldChar w:fldCharType="begin"/>
      </w:r>
      <w:r w:rsidRPr="005C6707">
        <w:rPr>
          <w:lang w:val="de-DE"/>
        </w:rPr>
        <w:instrText xml:space="preserve"> AUTONUM  </w:instrText>
      </w:r>
      <w:r w:rsidRPr="005C6707">
        <w:rPr>
          <w:lang w:val="de-DE"/>
        </w:rPr>
        <w:fldChar w:fldCharType="end"/>
      </w:r>
      <w:r w:rsidRPr="00C47725">
        <w:rPr>
          <w:lang w:val="de-DE"/>
        </w:rPr>
        <w:tab/>
        <w:t xml:space="preserve">Der TC-EDC vereinbarte, dass redaktionelle Klarstellungen zu dem </w:t>
      </w:r>
      <w:r>
        <w:rPr>
          <w:lang w:val="de-DE"/>
        </w:rPr>
        <w:t>Entwurf von Prüfungsrichtlinien</w:t>
      </w:r>
      <w:r w:rsidRPr="00C47725">
        <w:rPr>
          <w:lang w:val="de-DE"/>
        </w:rPr>
        <w:t xml:space="preserve"> für Portulak (Dokument TG/242/4(proj.2)) erforderlich </w:t>
      </w:r>
      <w:r>
        <w:rPr>
          <w:lang w:val="de-DE"/>
        </w:rPr>
        <w:t>seien,</w:t>
      </w:r>
      <w:r w:rsidRPr="00C47725">
        <w:rPr>
          <w:lang w:val="de-DE"/>
        </w:rPr>
        <w:t xml:space="preserve"> und vereinbarte, den </w:t>
      </w:r>
      <w:r>
        <w:rPr>
          <w:lang w:val="de-DE"/>
        </w:rPr>
        <w:t>Entwurf von Prüfungsrichtlinien</w:t>
      </w:r>
      <w:r w:rsidRPr="00C47725">
        <w:rPr>
          <w:lang w:val="de-DE"/>
        </w:rPr>
        <w:t xml:space="preserve"> in seiner Sitzung im März 2020 </w:t>
      </w:r>
      <w:r>
        <w:rPr>
          <w:lang w:val="de-DE"/>
        </w:rPr>
        <w:t xml:space="preserve">erneut </w:t>
      </w:r>
      <w:r w:rsidRPr="00C47725">
        <w:rPr>
          <w:lang w:val="de-DE"/>
        </w:rPr>
        <w:t xml:space="preserve">zu prüfen. </w:t>
      </w:r>
    </w:p>
    <w:p w:rsidR="002D20DB" w:rsidRPr="00C47725" w:rsidRDefault="002D20DB" w:rsidP="002D20DB">
      <w:pPr>
        <w:keepNext/>
        <w:rPr>
          <w:lang w:val="de-DE"/>
        </w:rPr>
      </w:pPr>
    </w:p>
    <w:p w:rsidR="002D20DB" w:rsidRPr="00C47725" w:rsidRDefault="002D20DB" w:rsidP="002D20DB">
      <w:pPr>
        <w:pStyle w:val="Heading3"/>
      </w:pPr>
      <w:r w:rsidRPr="00C47725">
        <w:t>Berichtigungen von Prüfungsrichtlinien</w:t>
      </w:r>
    </w:p>
    <w:p w:rsidR="002D20DB" w:rsidRPr="00C47725" w:rsidRDefault="002D20DB" w:rsidP="002D20DB">
      <w:pPr>
        <w:keepNext/>
        <w:rPr>
          <w:lang w:val="de-DE"/>
        </w:rPr>
      </w:pPr>
    </w:p>
    <w:p w:rsidR="002D20DB" w:rsidRPr="00C47725" w:rsidRDefault="002D20DB" w:rsidP="002D20DB">
      <w:pPr>
        <w:keepNext/>
        <w:rPr>
          <w:lang w:val="de-DE"/>
        </w:rPr>
      </w:pPr>
      <w:r w:rsidRPr="005C6707">
        <w:rPr>
          <w:lang w:val="de-DE"/>
        </w:rPr>
        <w:fldChar w:fldCharType="begin"/>
      </w:r>
      <w:r w:rsidRPr="005C6707">
        <w:rPr>
          <w:lang w:val="de-DE"/>
        </w:rPr>
        <w:instrText xml:space="preserve"> AUTONUM  </w:instrText>
      </w:r>
      <w:r w:rsidRPr="005C6707">
        <w:rPr>
          <w:lang w:val="de-DE"/>
        </w:rPr>
        <w:fldChar w:fldCharType="end"/>
      </w:r>
      <w:r w:rsidRPr="00C47725">
        <w:rPr>
          <w:lang w:val="de-DE"/>
        </w:rPr>
        <w:tab/>
        <w:t>Der TC nahm die folgenden Berichtigungen der angenommenen Prüfungsrichtlinien für Lobelie, Gurke und Palisadengras zur Kenntnis:</w:t>
      </w:r>
    </w:p>
    <w:p w:rsidR="002D20DB" w:rsidRPr="00C47725" w:rsidRDefault="002D20DB" w:rsidP="002D20DB">
      <w:pPr>
        <w:keepNext/>
        <w:rPr>
          <w:lang w:val="de-DE"/>
        </w:rPr>
      </w:pPr>
    </w:p>
    <w:p w:rsidR="002D20DB" w:rsidRPr="00C47725" w:rsidRDefault="002D20DB" w:rsidP="002D20DB">
      <w:pPr>
        <w:pStyle w:val="ListParagraph"/>
        <w:keepNext/>
        <w:numPr>
          <w:ilvl w:val="0"/>
          <w:numId w:val="9"/>
        </w:numPr>
        <w:rPr>
          <w:rFonts w:cs="Arial"/>
          <w:lang w:val="de-DE"/>
        </w:rPr>
      </w:pPr>
      <w:r w:rsidRPr="00C47725">
        <w:rPr>
          <w:rFonts w:cs="Arial"/>
          <w:lang w:val="de-DE"/>
        </w:rPr>
        <w:t>Prüfungsrichtlinien für Lobelie (Dokument TG/293/1 Corr.)</w:t>
      </w:r>
    </w:p>
    <w:p w:rsidR="002D20DB" w:rsidRPr="00C47725" w:rsidRDefault="002D20DB" w:rsidP="002D20DB">
      <w:pPr>
        <w:pStyle w:val="ListParagraph"/>
        <w:ind w:left="1440"/>
        <w:rPr>
          <w:rFonts w:cs="Arial"/>
          <w:lang w:val="de-DE"/>
        </w:rPr>
      </w:pPr>
      <w:r w:rsidRPr="00C47725">
        <w:rPr>
          <w:rFonts w:cs="Arial"/>
          <w:lang w:val="de-DE"/>
        </w:rPr>
        <w:t>Streichung von Noten</w:t>
      </w:r>
      <w:r>
        <w:rPr>
          <w:rFonts w:cs="Arial"/>
          <w:lang w:val="de-DE"/>
        </w:rPr>
        <w:t xml:space="preserve"> „</w:t>
      </w:r>
      <w:r w:rsidRPr="00C47725">
        <w:rPr>
          <w:rFonts w:cs="Arial"/>
          <w:lang w:val="de-DE"/>
        </w:rPr>
        <w:t>1</w:t>
      </w:r>
      <w:r>
        <w:rPr>
          <w:rFonts w:cs="Arial"/>
          <w:lang w:val="de-DE"/>
        </w:rPr>
        <w:t>“</w:t>
      </w:r>
      <w:r w:rsidRPr="00C47725">
        <w:rPr>
          <w:rFonts w:cs="Arial"/>
          <w:lang w:val="de-DE"/>
        </w:rPr>
        <w:t xml:space="preserve"> und</w:t>
      </w:r>
      <w:r>
        <w:rPr>
          <w:rFonts w:cs="Arial"/>
          <w:lang w:val="de-DE"/>
        </w:rPr>
        <w:t xml:space="preserve"> „</w:t>
      </w:r>
      <w:r w:rsidRPr="00C47725">
        <w:rPr>
          <w:rFonts w:cs="Arial"/>
          <w:lang w:val="de-DE"/>
        </w:rPr>
        <w:t>2</w:t>
      </w:r>
      <w:r>
        <w:rPr>
          <w:rFonts w:cs="Arial"/>
          <w:lang w:val="de-DE"/>
        </w:rPr>
        <w:t>“</w:t>
      </w:r>
      <w:r w:rsidRPr="00C47725">
        <w:rPr>
          <w:rFonts w:cs="Arial"/>
          <w:lang w:val="de-DE"/>
        </w:rPr>
        <w:t xml:space="preserve"> aus der Erläuterung Zu 27</w:t>
      </w:r>
      <w:r>
        <w:rPr>
          <w:rFonts w:cs="Arial"/>
          <w:lang w:val="de-DE"/>
        </w:rPr>
        <w:t xml:space="preserve"> „</w:t>
      </w:r>
      <w:r w:rsidRPr="00C47725">
        <w:rPr>
          <w:rFonts w:cs="Arial"/>
          <w:lang w:val="de-DE"/>
        </w:rPr>
        <w:t>Unterlippe: weiße Zone auf der Oberseite</w:t>
      </w:r>
      <w:r>
        <w:rPr>
          <w:rFonts w:cs="Arial"/>
          <w:lang w:val="de-DE"/>
        </w:rPr>
        <w:t>“</w:t>
      </w:r>
      <w:r w:rsidRPr="00C47725">
        <w:rPr>
          <w:rFonts w:cs="Arial"/>
          <w:lang w:val="de-DE"/>
        </w:rPr>
        <w:t>.</w:t>
      </w:r>
    </w:p>
    <w:p w:rsidR="002D20DB" w:rsidRPr="00C47725" w:rsidRDefault="002D20DB" w:rsidP="002D20DB">
      <w:pPr>
        <w:rPr>
          <w:rFonts w:cs="Arial"/>
          <w:lang w:val="de-DE"/>
        </w:rPr>
      </w:pPr>
    </w:p>
    <w:p w:rsidR="002D20DB" w:rsidRPr="00C47725" w:rsidRDefault="002D20DB" w:rsidP="002D20DB">
      <w:pPr>
        <w:pStyle w:val="ListParagraph"/>
        <w:numPr>
          <w:ilvl w:val="0"/>
          <w:numId w:val="9"/>
        </w:numPr>
        <w:jc w:val="left"/>
        <w:rPr>
          <w:rFonts w:cs="Arial"/>
          <w:lang w:val="de-DE"/>
        </w:rPr>
      </w:pPr>
      <w:r w:rsidRPr="00C47725">
        <w:rPr>
          <w:rFonts w:cs="Arial"/>
          <w:lang w:val="de-DE"/>
        </w:rPr>
        <w:t>Prüfungsrichtlinien für Gurke (Dokument</w:t>
      </w:r>
      <w:r>
        <w:rPr>
          <w:rFonts w:cs="Arial"/>
          <w:lang w:val="de-DE"/>
        </w:rPr>
        <w:t>e</w:t>
      </w:r>
      <w:r w:rsidRPr="00C47725">
        <w:rPr>
          <w:rFonts w:cs="Arial"/>
          <w:lang w:val="de-DE"/>
        </w:rPr>
        <w:t xml:space="preserve"> TG/61/7 Rev. 2 Corr. 2 (EN, DE) und TG/61/7 Rev. 2 Corr. 3 (FR, ES))</w:t>
      </w:r>
    </w:p>
    <w:p w:rsidR="002D20DB" w:rsidRPr="00C47725" w:rsidRDefault="002D20DB" w:rsidP="002D20DB">
      <w:pPr>
        <w:pStyle w:val="ListParagraph"/>
        <w:ind w:left="1440"/>
        <w:rPr>
          <w:rFonts w:cs="Arial"/>
          <w:lang w:val="de-DE"/>
        </w:rPr>
      </w:pPr>
      <w:r>
        <w:rPr>
          <w:rFonts w:cs="Arial"/>
          <w:lang w:val="de-DE"/>
        </w:rPr>
        <w:t>Berichtigung</w:t>
      </w:r>
      <w:r w:rsidRPr="00C47725">
        <w:rPr>
          <w:rFonts w:cs="Arial"/>
          <w:lang w:val="de-DE"/>
        </w:rPr>
        <w:t xml:space="preserve"> des Ausprägungstyps von Merkmal 47</w:t>
      </w:r>
      <w:r>
        <w:rPr>
          <w:rFonts w:cs="Arial"/>
          <w:lang w:val="de-DE"/>
        </w:rPr>
        <w:t xml:space="preserve"> „</w:t>
      </w:r>
      <w:r w:rsidRPr="00C47725">
        <w:rPr>
          <w:rFonts w:cs="Arial"/>
          <w:lang w:val="de-DE"/>
        </w:rPr>
        <w:t>Resistenz gegen Falschen Mehltau (</w:t>
      </w:r>
      <w:r w:rsidRPr="00C47725">
        <w:rPr>
          <w:rFonts w:cs="Arial"/>
          <w:i/>
          <w:iCs/>
          <w:lang w:val="de-DE"/>
        </w:rPr>
        <w:t>Pseudoperonospora cubensis</w:t>
      </w:r>
      <w:r w:rsidRPr="00C47725">
        <w:rPr>
          <w:rFonts w:cs="Arial"/>
          <w:lang w:val="de-DE"/>
        </w:rPr>
        <w:t>) (Pcu)</w:t>
      </w:r>
      <w:r>
        <w:rPr>
          <w:rFonts w:cs="Arial"/>
          <w:lang w:val="de-DE"/>
        </w:rPr>
        <w:t>“</w:t>
      </w:r>
      <w:r w:rsidRPr="00C47725">
        <w:rPr>
          <w:rFonts w:cs="Arial"/>
          <w:lang w:val="de-DE"/>
        </w:rPr>
        <w:t>, das als QL anstelle von QN anzugeben ist.</w:t>
      </w:r>
    </w:p>
    <w:p w:rsidR="002D20DB" w:rsidRPr="00C47725" w:rsidRDefault="002D20DB" w:rsidP="002D20DB">
      <w:pPr>
        <w:rPr>
          <w:rFonts w:cs="Arial"/>
          <w:lang w:val="de-DE"/>
        </w:rPr>
      </w:pPr>
    </w:p>
    <w:p w:rsidR="002D20DB" w:rsidRPr="00C47725" w:rsidRDefault="002D20DB" w:rsidP="002D20DB">
      <w:pPr>
        <w:pStyle w:val="ListParagraph"/>
        <w:keepNext/>
        <w:numPr>
          <w:ilvl w:val="0"/>
          <w:numId w:val="9"/>
        </w:numPr>
        <w:rPr>
          <w:rFonts w:cs="Arial"/>
          <w:lang w:val="de-DE"/>
        </w:rPr>
      </w:pPr>
      <w:r w:rsidRPr="00C47725">
        <w:rPr>
          <w:rFonts w:cs="Arial"/>
          <w:lang w:val="de-DE"/>
        </w:rPr>
        <w:t>Prüfungsrichtlinien für Palisadengras (Dokument TG/32</w:t>
      </w:r>
      <w:r w:rsidR="000E6F70">
        <w:rPr>
          <w:rFonts w:cs="Arial"/>
          <w:lang w:val="de-DE"/>
        </w:rPr>
        <w:t>2</w:t>
      </w:r>
      <w:r w:rsidRPr="00C47725">
        <w:rPr>
          <w:rFonts w:cs="Arial"/>
          <w:lang w:val="de-DE"/>
        </w:rPr>
        <w:t>/1 Corr.)</w:t>
      </w:r>
    </w:p>
    <w:p w:rsidR="002D20DB" w:rsidRPr="00C47725" w:rsidRDefault="002D20DB" w:rsidP="002D20DB">
      <w:pPr>
        <w:ind w:left="1418"/>
        <w:rPr>
          <w:lang w:val="de-DE"/>
        </w:rPr>
      </w:pPr>
      <w:r>
        <w:rPr>
          <w:rFonts w:cs="Arial"/>
          <w:lang w:val="de-DE"/>
        </w:rPr>
        <w:t>Berichtigung</w:t>
      </w:r>
      <w:r w:rsidRPr="00C47725">
        <w:rPr>
          <w:rFonts w:cs="Arial"/>
          <w:lang w:val="de-DE"/>
        </w:rPr>
        <w:t xml:space="preserve"> der Anzahl von Merkmalen in der Erläuterung Zu 14, 16, 17 (</w:t>
      </w:r>
      <w:r>
        <w:rPr>
          <w:rFonts w:cs="Arial"/>
          <w:lang w:val="de-DE"/>
        </w:rPr>
        <w:t>„</w:t>
      </w:r>
      <w:r w:rsidRPr="00C47725">
        <w:rPr>
          <w:rFonts w:cs="Arial"/>
          <w:lang w:val="de-DE"/>
        </w:rPr>
        <w:t>Blütenstand: Länge der Spindeln</w:t>
      </w:r>
      <w:r>
        <w:rPr>
          <w:rFonts w:cs="Arial"/>
          <w:lang w:val="de-DE"/>
        </w:rPr>
        <w:t>“</w:t>
      </w:r>
      <w:r w:rsidRPr="00C47725">
        <w:rPr>
          <w:rFonts w:cs="Arial"/>
          <w:lang w:val="de-DE"/>
        </w:rPr>
        <w:t>,</w:t>
      </w:r>
      <w:r>
        <w:rPr>
          <w:rFonts w:cs="Arial"/>
          <w:lang w:val="de-DE"/>
        </w:rPr>
        <w:t xml:space="preserve"> „</w:t>
      </w:r>
      <w:r w:rsidRPr="00C47725">
        <w:rPr>
          <w:rFonts w:cs="Arial"/>
          <w:lang w:val="de-DE"/>
        </w:rPr>
        <w:t>Blütenstand: Länge der basalen Blütentrauben</w:t>
      </w:r>
      <w:r>
        <w:rPr>
          <w:rFonts w:cs="Arial"/>
          <w:lang w:val="de-DE"/>
        </w:rPr>
        <w:t>“</w:t>
      </w:r>
      <w:r w:rsidRPr="00C47725">
        <w:rPr>
          <w:rFonts w:cs="Arial"/>
          <w:lang w:val="de-DE"/>
        </w:rPr>
        <w:t>,</w:t>
      </w:r>
      <w:r>
        <w:rPr>
          <w:rFonts w:cs="Arial"/>
          <w:lang w:val="de-DE"/>
        </w:rPr>
        <w:t xml:space="preserve"> „</w:t>
      </w:r>
      <w:r w:rsidRPr="00C47725">
        <w:rPr>
          <w:rFonts w:cs="Arial"/>
          <w:lang w:val="de-DE"/>
        </w:rPr>
        <w:t>Blütenstand: Länge des Blütenstiels</w:t>
      </w:r>
      <w:r>
        <w:rPr>
          <w:rFonts w:cs="Arial"/>
          <w:lang w:val="de-DE"/>
        </w:rPr>
        <w:t>“</w:t>
      </w:r>
      <w:r w:rsidRPr="00C47725">
        <w:rPr>
          <w:rFonts w:cs="Arial"/>
          <w:lang w:val="de-DE"/>
        </w:rPr>
        <w:t>), um auf die richtigen Pflanzenteile zu verweisen.</w:t>
      </w:r>
    </w:p>
    <w:p w:rsidR="002D20DB" w:rsidRPr="00C47725" w:rsidRDefault="002D20DB" w:rsidP="002D20DB">
      <w:pPr>
        <w:rPr>
          <w:lang w:val="de-DE"/>
        </w:rPr>
      </w:pPr>
    </w:p>
    <w:p w:rsidR="002D20DB" w:rsidRPr="00C47725" w:rsidRDefault="002D20DB" w:rsidP="002D20DB">
      <w:pPr>
        <w:pStyle w:val="Heading3"/>
      </w:pPr>
      <w:bookmarkStart w:id="59" w:name="_Toc527574751"/>
      <w:r w:rsidRPr="00C47725">
        <w:t xml:space="preserve">Von den TWP </w:t>
      </w:r>
      <w:bookmarkEnd w:id="59"/>
      <w:r w:rsidRPr="00C47725">
        <w:t>im Jahr 2019 behandelte</w:t>
      </w:r>
      <w:r>
        <w:t xml:space="preserve"> </w:t>
      </w:r>
      <w:r w:rsidRPr="00C47725">
        <w:t>Entwürfe von Prüfungsrichtlinien</w:t>
      </w:r>
    </w:p>
    <w:p w:rsidR="002D20DB" w:rsidRPr="00C47725" w:rsidRDefault="002D20DB" w:rsidP="002D20DB">
      <w:pPr>
        <w:rPr>
          <w:lang w:val="de-DE"/>
        </w:rPr>
      </w:pPr>
    </w:p>
    <w:p w:rsidR="002D20DB" w:rsidRPr="00C47725" w:rsidRDefault="002D20DB" w:rsidP="002D20DB">
      <w:pPr>
        <w:rPr>
          <w:lang w:val="de-DE"/>
        </w:rPr>
      </w:pPr>
      <w:r w:rsidRPr="005C6707">
        <w:rPr>
          <w:lang w:val="de-DE"/>
        </w:rPr>
        <w:fldChar w:fldCharType="begin"/>
      </w:r>
      <w:r w:rsidRPr="005C6707">
        <w:rPr>
          <w:lang w:val="de-DE"/>
        </w:rPr>
        <w:instrText xml:space="preserve"> AUTONUM  </w:instrText>
      </w:r>
      <w:r w:rsidRPr="005C6707">
        <w:rPr>
          <w:lang w:val="de-DE"/>
        </w:rPr>
        <w:fldChar w:fldCharType="end"/>
      </w:r>
      <w:r w:rsidRPr="00C47725">
        <w:rPr>
          <w:lang w:val="de-DE"/>
        </w:rPr>
        <w:tab/>
        <w:t>Der TC nahm die von de</w:t>
      </w:r>
      <w:r>
        <w:rPr>
          <w:lang w:val="de-DE"/>
        </w:rPr>
        <w:t>r</w:t>
      </w:r>
      <w:r w:rsidRPr="00C47725">
        <w:rPr>
          <w:lang w:val="de-DE"/>
        </w:rPr>
        <w:t xml:space="preserve"> TWF auf ihren Tagungen im Jahr 2018 und den TWP auf ihren Tagungen im Jahr 2019 behandelten Entwürfe von Prüfungsrichtlinien zur Kenntnis, wie in Dokument TC/55/2, Anlage III aufgeführt.</w:t>
      </w:r>
    </w:p>
    <w:p w:rsidR="002D20DB" w:rsidRPr="00C47725" w:rsidRDefault="002D20DB" w:rsidP="002D20DB">
      <w:pPr>
        <w:rPr>
          <w:lang w:val="de-DE"/>
        </w:rPr>
      </w:pPr>
    </w:p>
    <w:p w:rsidR="002D20DB" w:rsidRPr="00C47725" w:rsidRDefault="002D20DB" w:rsidP="002D20DB">
      <w:pPr>
        <w:pStyle w:val="Heading3"/>
      </w:pPr>
      <w:bookmarkStart w:id="60" w:name="_Toc443394707"/>
      <w:bookmarkStart w:id="61" w:name="_Toc527574752"/>
      <w:r w:rsidRPr="00C47725">
        <w:t xml:space="preserve">Von den TWP </w:t>
      </w:r>
      <w:bookmarkEnd w:id="60"/>
      <w:bookmarkEnd w:id="61"/>
      <w:r w:rsidRPr="00C47725">
        <w:t xml:space="preserve">im Jahr 2020 </w:t>
      </w:r>
      <w:r>
        <w:t>zu behandelnde</w:t>
      </w:r>
      <w:r w:rsidRPr="00C47725">
        <w:t xml:space="preserve"> Entwürfe von Prüfungsrichtlinien</w:t>
      </w:r>
    </w:p>
    <w:p w:rsidR="002D20DB" w:rsidRPr="00C47725" w:rsidRDefault="002D20DB" w:rsidP="002D20DB">
      <w:pPr>
        <w:keepNext/>
        <w:rPr>
          <w:lang w:val="de-DE"/>
        </w:rPr>
      </w:pPr>
    </w:p>
    <w:p w:rsidR="002D20DB" w:rsidRPr="00C47725" w:rsidRDefault="002D20DB" w:rsidP="002D20DB">
      <w:pPr>
        <w:keepNext/>
        <w:rPr>
          <w:lang w:val="de-DE"/>
        </w:rPr>
      </w:pPr>
      <w:r w:rsidRPr="005C6707">
        <w:rPr>
          <w:lang w:val="de-DE"/>
        </w:rPr>
        <w:fldChar w:fldCharType="begin"/>
      </w:r>
      <w:r w:rsidRPr="005C6707">
        <w:rPr>
          <w:lang w:val="de-DE"/>
        </w:rPr>
        <w:instrText xml:space="preserve"> AUTONUM  </w:instrText>
      </w:r>
      <w:r w:rsidRPr="005C6707">
        <w:rPr>
          <w:lang w:val="de-DE"/>
        </w:rPr>
        <w:fldChar w:fldCharType="end"/>
      </w:r>
      <w:r w:rsidRPr="00C47725">
        <w:rPr>
          <w:lang w:val="de-DE"/>
        </w:rPr>
        <w:tab/>
        <w:t xml:space="preserve">Der TC vereinbarte das Programm zur Erstellung neuer Prüfungsrichtlinien und zur Überarbeitung von angenommenen Prüfungsrichtlinien, wie in Dokument TC/55/2, Anlage IV dargelegt, mit den folgenden Änderungen: </w:t>
      </w:r>
    </w:p>
    <w:p w:rsidR="002D20DB" w:rsidRPr="00C47725" w:rsidRDefault="002D20DB" w:rsidP="002D20DB">
      <w:pPr>
        <w:rPr>
          <w:lang w:val="de-DE"/>
        </w:rPr>
      </w:pPr>
    </w:p>
    <w:p w:rsidR="002D20DB" w:rsidRPr="00C47725" w:rsidRDefault="002D20DB" w:rsidP="002D20DB">
      <w:pPr>
        <w:pStyle w:val="Heading4"/>
        <w:rPr>
          <w:lang w:val="de-DE"/>
        </w:rPr>
      </w:pPr>
      <w:bookmarkStart w:id="62" w:name="_Toc21019259"/>
      <w:r w:rsidRPr="00C47725">
        <w:rPr>
          <w:lang w:val="de-DE"/>
        </w:rPr>
        <w:t xml:space="preserve">Teilüberarbeitung der Prüfungsrichtlinien für </w:t>
      </w:r>
      <w:bookmarkEnd w:id="62"/>
      <w:r w:rsidRPr="00C47725">
        <w:rPr>
          <w:lang w:val="de-DE"/>
        </w:rPr>
        <w:t>Chrysantheme</w:t>
      </w:r>
    </w:p>
    <w:p w:rsidR="002D20DB" w:rsidRPr="00C47725" w:rsidRDefault="002D20DB" w:rsidP="002D20DB">
      <w:pPr>
        <w:keepNext/>
        <w:jc w:val="left"/>
        <w:rPr>
          <w:lang w:val="de-DE"/>
        </w:rPr>
      </w:pPr>
    </w:p>
    <w:p w:rsidR="002D20DB" w:rsidRPr="00C47725" w:rsidRDefault="002D20DB" w:rsidP="002D20DB">
      <w:pPr>
        <w:keepNext/>
        <w:rPr>
          <w:lang w:val="de-DE"/>
        </w:rPr>
      </w:pPr>
      <w:r w:rsidRPr="00EE32BA">
        <w:rPr>
          <w:lang w:val="de-DE"/>
        </w:rPr>
        <w:fldChar w:fldCharType="begin"/>
      </w:r>
      <w:r w:rsidRPr="00EE32BA">
        <w:rPr>
          <w:lang w:val="de-DE"/>
        </w:rPr>
        <w:instrText xml:space="preserve"> AUTONUM  </w:instrText>
      </w:r>
      <w:r w:rsidRPr="00EE32BA">
        <w:rPr>
          <w:lang w:val="de-DE"/>
        </w:rPr>
        <w:fldChar w:fldCharType="end"/>
      </w:r>
      <w:r w:rsidRPr="00C47725">
        <w:rPr>
          <w:lang w:val="de-DE"/>
        </w:rPr>
        <w:tab/>
        <w:t>Der TC vereinbarte, um eine Teilüberarbeitung der Prüfungsrichtlinien für</w:t>
      </w:r>
      <w:r>
        <w:rPr>
          <w:lang w:val="de-DE"/>
        </w:rPr>
        <w:t xml:space="preserve"> „</w:t>
      </w:r>
      <w:r w:rsidRPr="00C47725">
        <w:rPr>
          <w:lang w:val="de-DE"/>
        </w:rPr>
        <w:t>Chrysanthem</w:t>
      </w:r>
      <w:r>
        <w:rPr>
          <w:lang w:val="de-DE"/>
        </w:rPr>
        <w:t>e“</w:t>
      </w:r>
      <w:r w:rsidRPr="00C47725">
        <w:rPr>
          <w:lang w:val="de-DE"/>
        </w:rPr>
        <w:t xml:space="preserve"> (Dokument TG/26/5 Corr. 2) zu ersuchen, um die Erfassung</w:t>
      </w:r>
      <w:r>
        <w:rPr>
          <w:lang w:val="de-DE"/>
        </w:rPr>
        <w:t xml:space="preserve"> </w:t>
      </w:r>
      <w:r w:rsidRPr="00C47725">
        <w:rPr>
          <w:lang w:val="de-DE"/>
        </w:rPr>
        <w:t xml:space="preserve">auf alle Sorten von </w:t>
      </w:r>
      <w:r w:rsidRPr="00C47725">
        <w:rPr>
          <w:i/>
          <w:lang w:val="de-DE"/>
        </w:rPr>
        <w:t>Chrysanthemum</w:t>
      </w:r>
      <w:r w:rsidRPr="00C47725">
        <w:rPr>
          <w:lang w:val="de-DE"/>
        </w:rPr>
        <w:t xml:space="preserve"> L. zu erweitern.</w:t>
      </w:r>
    </w:p>
    <w:p w:rsidR="002D20DB" w:rsidRPr="00C47725" w:rsidRDefault="002D20DB" w:rsidP="002D20DB">
      <w:pPr>
        <w:rPr>
          <w:lang w:val="de-DE"/>
        </w:rPr>
      </w:pPr>
    </w:p>
    <w:p w:rsidR="002D20DB" w:rsidRPr="00C47725" w:rsidRDefault="002D20DB" w:rsidP="002D20DB">
      <w:pPr>
        <w:pStyle w:val="Heading4"/>
        <w:rPr>
          <w:lang w:val="de-DE"/>
        </w:rPr>
      </w:pPr>
      <w:r w:rsidRPr="00C47725">
        <w:rPr>
          <w:lang w:val="de-DE"/>
        </w:rPr>
        <w:t>Teilüberarbeitung der Prüfungsrichtlinien für Calibrachoa</w:t>
      </w:r>
    </w:p>
    <w:p w:rsidR="002D20DB" w:rsidRPr="00C47725" w:rsidRDefault="002D20DB" w:rsidP="002D20DB">
      <w:pPr>
        <w:keepNext/>
        <w:jc w:val="left"/>
        <w:rPr>
          <w:lang w:val="de-DE"/>
        </w:rPr>
      </w:pPr>
    </w:p>
    <w:p w:rsidR="002D20DB" w:rsidRPr="00C47725" w:rsidRDefault="002D20DB" w:rsidP="002D20DB">
      <w:pPr>
        <w:keepNext/>
        <w:rPr>
          <w:lang w:val="de-DE"/>
        </w:rPr>
      </w:pPr>
      <w:r w:rsidRPr="00EE32BA">
        <w:rPr>
          <w:lang w:val="de-DE"/>
        </w:rPr>
        <w:fldChar w:fldCharType="begin"/>
      </w:r>
      <w:r w:rsidRPr="00EE32BA">
        <w:rPr>
          <w:lang w:val="de-DE"/>
        </w:rPr>
        <w:instrText xml:space="preserve"> AUTONUM  </w:instrText>
      </w:r>
      <w:r w:rsidRPr="00EE32BA">
        <w:rPr>
          <w:lang w:val="de-DE"/>
        </w:rPr>
        <w:fldChar w:fldCharType="end"/>
      </w:r>
      <w:r w:rsidRPr="00C47725">
        <w:rPr>
          <w:lang w:val="de-DE"/>
        </w:rPr>
        <w:tab/>
        <w:t>Der TC nahm den Vorschlag Japans zur Kenntnis und vereinbarte, um die Teilüberarbeitung der Prüfungsrichtlinien für</w:t>
      </w:r>
      <w:r>
        <w:rPr>
          <w:lang w:val="de-DE"/>
        </w:rPr>
        <w:t xml:space="preserve"> „</w:t>
      </w:r>
      <w:r w:rsidRPr="00C47725">
        <w:rPr>
          <w:lang w:val="de-DE"/>
        </w:rPr>
        <w:t>Calibrachoa</w:t>
      </w:r>
      <w:r>
        <w:rPr>
          <w:lang w:val="de-DE"/>
        </w:rPr>
        <w:t>“</w:t>
      </w:r>
      <w:r w:rsidRPr="00C47725">
        <w:rPr>
          <w:lang w:val="de-DE"/>
        </w:rPr>
        <w:t xml:space="preserve"> (Dokument TG/207/2)</w:t>
      </w:r>
      <w:r>
        <w:rPr>
          <w:lang w:val="de-DE"/>
        </w:rPr>
        <w:t xml:space="preserve"> </w:t>
      </w:r>
      <w:r w:rsidRPr="00C47725">
        <w:rPr>
          <w:lang w:val="de-DE"/>
        </w:rPr>
        <w:t>zu ersuchen, Merkmale 16 bis 20 und 28 und 29, um die Beschränkung der Erfassung nur für bestimmte Sorten</w:t>
      </w:r>
      <w:r>
        <w:rPr>
          <w:lang w:val="de-DE"/>
        </w:rPr>
        <w:t>typen</w:t>
      </w:r>
      <w:r w:rsidRPr="00C47725">
        <w:rPr>
          <w:lang w:val="de-DE"/>
        </w:rPr>
        <w:t xml:space="preserve"> </w:t>
      </w:r>
      <w:r>
        <w:rPr>
          <w:lang w:val="de-DE"/>
        </w:rPr>
        <w:t>aufzuheben</w:t>
      </w:r>
      <w:r w:rsidRPr="00C47725">
        <w:rPr>
          <w:lang w:val="de-DE"/>
        </w:rPr>
        <w:t>.</w:t>
      </w:r>
    </w:p>
    <w:p w:rsidR="002D20DB" w:rsidRPr="00C47725" w:rsidRDefault="002D20DB" w:rsidP="002D20DB">
      <w:pPr>
        <w:rPr>
          <w:lang w:val="de-DE"/>
        </w:rPr>
      </w:pPr>
    </w:p>
    <w:p w:rsidR="002D20DB" w:rsidRPr="00C47725" w:rsidRDefault="002D20DB" w:rsidP="002D20DB">
      <w:pPr>
        <w:pStyle w:val="Heading3"/>
      </w:pPr>
      <w:r w:rsidRPr="00C47725">
        <w:t>Stand der bestehenden Prüfungsrichtlinien oder Entwürfe von Prüfungsrichtlinien</w:t>
      </w:r>
    </w:p>
    <w:p w:rsidR="002D20DB" w:rsidRPr="00C47725" w:rsidRDefault="002D20DB" w:rsidP="002D20DB">
      <w:pPr>
        <w:keepNext/>
        <w:rPr>
          <w:lang w:val="de-DE"/>
        </w:rPr>
      </w:pPr>
    </w:p>
    <w:p w:rsidR="002D20DB" w:rsidRPr="00C47725" w:rsidRDefault="002D20DB" w:rsidP="002D20DB">
      <w:pPr>
        <w:keepNext/>
        <w:rPr>
          <w:lang w:val="de-DE"/>
        </w:rPr>
      </w:pPr>
      <w:r w:rsidRPr="00EE32BA">
        <w:rPr>
          <w:lang w:val="de-DE"/>
        </w:rPr>
        <w:fldChar w:fldCharType="begin"/>
      </w:r>
      <w:r w:rsidRPr="00EE32BA">
        <w:rPr>
          <w:lang w:val="de-DE"/>
        </w:rPr>
        <w:instrText xml:space="preserve"> AUTONUM  </w:instrText>
      </w:r>
      <w:r w:rsidRPr="00EE32BA">
        <w:rPr>
          <w:lang w:val="de-DE"/>
        </w:rPr>
        <w:fldChar w:fldCharType="end"/>
      </w:r>
      <w:r w:rsidRPr="00C47725">
        <w:rPr>
          <w:lang w:val="de-DE"/>
        </w:rPr>
        <w:tab/>
        <w:t>Der TC nahm den Stand der bestehenden Prüfungsrichtlinien oder Entwürfe von Prüfungsrichtlinien zur Kenntnis, wie in Dokument TC/55/2, Anlage V</w:t>
      </w:r>
      <w:r>
        <w:rPr>
          <w:lang w:val="de-DE"/>
        </w:rPr>
        <w:t>,</w:t>
      </w:r>
      <w:r w:rsidRPr="00C47725">
        <w:rPr>
          <w:lang w:val="de-DE"/>
        </w:rPr>
        <w:t xml:space="preserve"> aufgeführt.</w:t>
      </w:r>
    </w:p>
    <w:p w:rsidR="002D20DB" w:rsidRPr="00C47725" w:rsidRDefault="002D20DB" w:rsidP="002D20DB">
      <w:pPr>
        <w:rPr>
          <w:lang w:val="de-DE"/>
        </w:rPr>
      </w:pPr>
    </w:p>
    <w:p w:rsidR="002D20DB" w:rsidRPr="00C47725" w:rsidRDefault="002D20DB" w:rsidP="002D20DB">
      <w:pPr>
        <w:pStyle w:val="Heading3"/>
      </w:pPr>
      <w:r w:rsidRPr="00C47725">
        <w:t>Ersetzte Prüfungsrichtlinien</w:t>
      </w:r>
    </w:p>
    <w:p w:rsidR="002D20DB" w:rsidRPr="00C47725" w:rsidRDefault="002D20DB" w:rsidP="002D20DB">
      <w:pPr>
        <w:keepNext/>
        <w:rPr>
          <w:lang w:val="de-DE"/>
        </w:rPr>
      </w:pPr>
    </w:p>
    <w:p w:rsidR="002D20DB" w:rsidRPr="00C47725" w:rsidRDefault="002D20DB" w:rsidP="002D20DB">
      <w:pPr>
        <w:keepNext/>
        <w:rPr>
          <w:lang w:val="de-DE"/>
        </w:rPr>
      </w:pPr>
      <w:r w:rsidRPr="00EE32BA">
        <w:rPr>
          <w:lang w:val="de-DE"/>
        </w:rPr>
        <w:fldChar w:fldCharType="begin"/>
      </w:r>
      <w:r w:rsidRPr="00EE32BA">
        <w:rPr>
          <w:lang w:val="de-DE"/>
        </w:rPr>
        <w:instrText xml:space="preserve"> AUTONUM  </w:instrText>
      </w:r>
      <w:r w:rsidRPr="00EE32BA">
        <w:rPr>
          <w:lang w:val="de-DE"/>
        </w:rPr>
        <w:fldChar w:fldCharType="end"/>
      </w:r>
      <w:r w:rsidRPr="00C47725">
        <w:rPr>
          <w:lang w:val="de-DE"/>
        </w:rPr>
        <w:tab/>
        <w:t>Der TC nahm die Liste ersetzter Prüfungsrichtlinien, wie in Dokument TC/55/2, Anlage VI, dargelegt, zur Kenntnis.</w:t>
      </w:r>
    </w:p>
    <w:p w:rsidR="002D20DB" w:rsidRPr="00C47725" w:rsidRDefault="002D20DB" w:rsidP="002D20DB">
      <w:pPr>
        <w:rPr>
          <w:lang w:val="de-DE"/>
        </w:rPr>
      </w:pPr>
    </w:p>
    <w:p w:rsidR="002D20DB" w:rsidRPr="00C47725" w:rsidRDefault="002D20DB" w:rsidP="002D20DB">
      <w:pPr>
        <w:rPr>
          <w:lang w:val="de-DE"/>
        </w:rPr>
      </w:pPr>
      <w:r w:rsidRPr="00EE32BA">
        <w:rPr>
          <w:lang w:val="de-DE"/>
        </w:rPr>
        <w:fldChar w:fldCharType="begin"/>
      </w:r>
      <w:r w:rsidRPr="00EE32BA">
        <w:rPr>
          <w:lang w:val="de-DE"/>
        </w:rPr>
        <w:instrText xml:space="preserve"> AUTONUM  </w:instrText>
      </w:r>
      <w:r w:rsidRPr="00EE32BA">
        <w:rPr>
          <w:lang w:val="de-DE"/>
        </w:rPr>
        <w:fldChar w:fldCharType="end"/>
      </w:r>
      <w:r w:rsidRPr="00C47725">
        <w:rPr>
          <w:lang w:val="de-DE"/>
        </w:rPr>
        <w:tab/>
        <w:t>Der TC nahm zur Kenntnis, dass die ersetzten Fassungen von Prüfungsrichtlinien auf der Seite der Prüfungsrichtlinien auf der UPOV-Website verfügbar sind.</w:t>
      </w:r>
    </w:p>
    <w:p w:rsidR="002D20DB" w:rsidRPr="00C47725" w:rsidRDefault="002D20DB" w:rsidP="002D20DB">
      <w:pPr>
        <w:rPr>
          <w:lang w:val="de-DE"/>
        </w:rPr>
      </w:pPr>
    </w:p>
    <w:p w:rsidR="002D20DB" w:rsidRPr="00C47725" w:rsidRDefault="002D20DB" w:rsidP="002D20DB">
      <w:pPr>
        <w:pStyle w:val="Heading3"/>
      </w:pPr>
      <w:r w:rsidRPr="00C47725">
        <w:lastRenderedPageBreak/>
        <w:t>Zusätzliche Merkmale</w:t>
      </w:r>
    </w:p>
    <w:p w:rsidR="002D20DB" w:rsidRPr="00C47725" w:rsidRDefault="002D20DB" w:rsidP="002D20DB">
      <w:pPr>
        <w:keepNext/>
        <w:rPr>
          <w:lang w:val="de-DE"/>
        </w:rPr>
      </w:pPr>
    </w:p>
    <w:p w:rsidR="002D20DB" w:rsidRPr="00C47725" w:rsidRDefault="002D20DB" w:rsidP="002D20DB">
      <w:pPr>
        <w:keepNext/>
        <w:rPr>
          <w:lang w:val="de-DE"/>
        </w:rPr>
      </w:pPr>
      <w:r w:rsidRPr="00EE32BA">
        <w:rPr>
          <w:lang w:val="de-DE"/>
        </w:rPr>
        <w:fldChar w:fldCharType="begin"/>
      </w:r>
      <w:r w:rsidRPr="00EE32BA">
        <w:rPr>
          <w:lang w:val="de-DE"/>
        </w:rPr>
        <w:instrText xml:space="preserve"> AUTONUM  </w:instrText>
      </w:r>
      <w:r w:rsidRPr="00EE32BA">
        <w:rPr>
          <w:lang w:val="de-DE"/>
        </w:rPr>
        <w:fldChar w:fldCharType="end"/>
      </w:r>
      <w:r w:rsidRPr="00C47725">
        <w:rPr>
          <w:lang w:val="de-DE"/>
        </w:rPr>
        <w:tab/>
        <w:t>Der TC nahm die folgenden zusätzliche Merkmale und Ausprägungsstufen zur Kenntnis, die dem Verbandsbüro seit der vierundfünfzigsten Tagung des TC mitgeteilt wurden (vergleiche Dokument TC/55/2, Anlagen VII und VIII):</w:t>
      </w:r>
    </w:p>
    <w:p w:rsidR="002D20DB" w:rsidRPr="00C47725" w:rsidRDefault="002D20DB" w:rsidP="002D20DB">
      <w:pPr>
        <w:rPr>
          <w:lang w:val="de-DE"/>
        </w:rPr>
      </w:pPr>
    </w:p>
    <w:p w:rsidR="002D20DB" w:rsidRPr="00C47725" w:rsidRDefault="002D20DB" w:rsidP="002D20DB">
      <w:pPr>
        <w:pStyle w:val="Heading4"/>
        <w:rPr>
          <w:lang w:val="de-DE"/>
        </w:rPr>
      </w:pPr>
      <w:r w:rsidRPr="00C47725">
        <w:rPr>
          <w:lang w:val="de-DE"/>
        </w:rPr>
        <w:t>Landwirtschaf</w:t>
      </w:r>
      <w:r>
        <w:rPr>
          <w:lang w:val="de-DE"/>
        </w:rPr>
        <w:t>tl</w:t>
      </w:r>
      <w:r w:rsidRPr="00C47725">
        <w:rPr>
          <w:lang w:val="de-DE"/>
        </w:rPr>
        <w:t>iche Arten</w:t>
      </w:r>
    </w:p>
    <w:p w:rsidR="002D20DB" w:rsidRPr="00C47725" w:rsidRDefault="002D20DB" w:rsidP="002D20DB">
      <w:pPr>
        <w:rPr>
          <w:lang w:val="de-DE"/>
        </w:rPr>
      </w:pPr>
    </w:p>
    <w:p w:rsidR="002D20DB" w:rsidRPr="00C47725" w:rsidRDefault="002D20DB" w:rsidP="002D20DB">
      <w:pPr>
        <w:pStyle w:val="Heading5"/>
        <w:rPr>
          <w:lang w:val="de-DE"/>
        </w:rPr>
      </w:pPr>
      <w:r w:rsidRPr="00C47725">
        <w:rPr>
          <w:lang w:val="de-DE"/>
        </w:rPr>
        <w:t>Zusätzliche Merkmale</w:t>
      </w:r>
    </w:p>
    <w:p w:rsidR="002D20DB" w:rsidRPr="00C47725" w:rsidRDefault="002D20DB" w:rsidP="002D20DB">
      <w:pPr>
        <w:pStyle w:val="ListParagraph"/>
        <w:numPr>
          <w:ilvl w:val="0"/>
          <w:numId w:val="10"/>
        </w:numPr>
        <w:ind w:left="1134" w:hanging="567"/>
        <w:rPr>
          <w:lang w:val="de-DE"/>
        </w:rPr>
      </w:pPr>
      <w:r w:rsidRPr="00C47725">
        <w:rPr>
          <w:i/>
          <w:lang w:val="de-DE"/>
        </w:rPr>
        <w:t>Dactylis glomerata</w:t>
      </w:r>
      <w:r w:rsidRPr="00C47725">
        <w:rPr>
          <w:lang w:val="de-DE"/>
        </w:rPr>
        <w:t xml:space="preserve"> L.: Vergleiche Anlage VII (nur auf Englisch)</w:t>
      </w:r>
    </w:p>
    <w:p w:rsidR="002D20DB" w:rsidRPr="00C47725" w:rsidRDefault="002D20DB" w:rsidP="002D20DB">
      <w:pPr>
        <w:pStyle w:val="ListParagraph"/>
        <w:numPr>
          <w:ilvl w:val="1"/>
          <w:numId w:val="10"/>
        </w:numPr>
        <w:ind w:left="1701" w:hanging="567"/>
        <w:rPr>
          <w:lang w:val="de-DE"/>
        </w:rPr>
      </w:pPr>
      <w:r>
        <w:rPr>
          <w:lang w:val="de-DE"/>
        </w:rPr>
        <w:t>„</w:t>
      </w:r>
      <w:r w:rsidRPr="00C47725">
        <w:rPr>
          <w:lang w:val="de-DE"/>
        </w:rPr>
        <w:t xml:space="preserve">Pflanze: </w:t>
      </w:r>
      <w:r>
        <w:rPr>
          <w:lang w:val="de-DE"/>
        </w:rPr>
        <w:t>natürliche</w:t>
      </w:r>
      <w:r w:rsidRPr="00C47725">
        <w:rPr>
          <w:lang w:val="de-DE"/>
        </w:rPr>
        <w:t xml:space="preserve"> Höhe i</w:t>
      </w:r>
      <w:r>
        <w:rPr>
          <w:lang w:val="de-DE"/>
        </w:rPr>
        <w:t>m Herbst</w:t>
      </w:r>
      <w:r w:rsidRPr="00C47725">
        <w:rPr>
          <w:lang w:val="de-DE"/>
        </w:rPr>
        <w:t xml:space="preserve"> (</w:t>
      </w:r>
      <w:r>
        <w:rPr>
          <w:lang w:val="de-DE"/>
        </w:rPr>
        <w:t>ohne Vernalisation</w:t>
      </w:r>
      <w:r w:rsidRPr="00C47725">
        <w:rPr>
          <w:lang w:val="de-DE"/>
        </w:rPr>
        <w:t>)</w:t>
      </w:r>
      <w:r>
        <w:rPr>
          <w:lang w:val="de-DE"/>
        </w:rPr>
        <w:t>“</w:t>
      </w:r>
    </w:p>
    <w:p w:rsidR="002D20DB" w:rsidRPr="00C47725" w:rsidRDefault="002D20DB" w:rsidP="002D20DB">
      <w:pPr>
        <w:pStyle w:val="ListParagraph"/>
        <w:numPr>
          <w:ilvl w:val="0"/>
          <w:numId w:val="10"/>
        </w:numPr>
        <w:ind w:left="1134" w:hanging="567"/>
        <w:rPr>
          <w:lang w:val="de-DE"/>
        </w:rPr>
      </w:pPr>
      <w:r w:rsidRPr="00C47725">
        <w:rPr>
          <w:i/>
          <w:lang w:val="de-DE"/>
        </w:rPr>
        <w:t>Lolium multiflorum</w:t>
      </w:r>
      <w:r w:rsidRPr="00C47725">
        <w:rPr>
          <w:lang w:val="de-DE"/>
        </w:rPr>
        <w:t xml:space="preserve"> L.: Vergleiche Anlage VII (nur auf Englisch)</w:t>
      </w:r>
    </w:p>
    <w:p w:rsidR="002D20DB" w:rsidRPr="00C47725" w:rsidRDefault="002D20DB" w:rsidP="002D20DB">
      <w:pPr>
        <w:pStyle w:val="ListParagraph"/>
        <w:numPr>
          <w:ilvl w:val="1"/>
          <w:numId w:val="10"/>
        </w:numPr>
        <w:ind w:left="1701" w:hanging="567"/>
        <w:rPr>
          <w:lang w:val="de-DE"/>
        </w:rPr>
      </w:pPr>
      <w:r>
        <w:rPr>
          <w:lang w:val="de-DE"/>
        </w:rPr>
        <w:t>„</w:t>
      </w:r>
      <w:r w:rsidRPr="00C47725">
        <w:rPr>
          <w:lang w:val="de-DE"/>
        </w:rPr>
        <w:t>Pflanze: Länge im Herbst des Aussaatjahres</w:t>
      </w:r>
      <w:r>
        <w:rPr>
          <w:lang w:val="de-DE"/>
        </w:rPr>
        <w:t>“</w:t>
      </w:r>
    </w:p>
    <w:p w:rsidR="002D20DB" w:rsidRPr="00C47725" w:rsidRDefault="002D20DB" w:rsidP="002D20DB">
      <w:pPr>
        <w:pStyle w:val="ListParagraph"/>
        <w:numPr>
          <w:ilvl w:val="1"/>
          <w:numId w:val="10"/>
        </w:numPr>
        <w:ind w:left="1701" w:hanging="567"/>
        <w:rPr>
          <w:lang w:val="de-DE"/>
        </w:rPr>
      </w:pPr>
      <w:r>
        <w:rPr>
          <w:lang w:val="de-DE"/>
        </w:rPr>
        <w:t>„</w:t>
      </w:r>
      <w:r w:rsidRPr="00C47725">
        <w:rPr>
          <w:lang w:val="de-DE"/>
        </w:rPr>
        <w:t>Blatt: Länge (im vegetativen Stadium)</w:t>
      </w:r>
      <w:r>
        <w:rPr>
          <w:lang w:val="de-DE"/>
        </w:rPr>
        <w:t>“</w:t>
      </w:r>
    </w:p>
    <w:p w:rsidR="002D20DB" w:rsidRPr="00C47725" w:rsidRDefault="002D20DB" w:rsidP="002D20DB">
      <w:pPr>
        <w:pStyle w:val="ListParagraph"/>
        <w:ind w:left="1440"/>
        <w:rPr>
          <w:lang w:val="de-DE"/>
        </w:rPr>
      </w:pPr>
    </w:p>
    <w:p w:rsidR="002D20DB" w:rsidRPr="00C47725" w:rsidRDefault="002D20DB" w:rsidP="002D20DB">
      <w:pPr>
        <w:pStyle w:val="Heading4"/>
        <w:rPr>
          <w:lang w:val="de-DE"/>
        </w:rPr>
      </w:pPr>
      <w:r w:rsidRPr="00C47725">
        <w:rPr>
          <w:lang w:val="de-DE"/>
        </w:rPr>
        <w:t>Zierpflanzen</w:t>
      </w:r>
    </w:p>
    <w:p w:rsidR="002D20DB" w:rsidRPr="00C47725" w:rsidRDefault="002D20DB" w:rsidP="002D20DB">
      <w:pPr>
        <w:rPr>
          <w:lang w:val="de-DE"/>
        </w:rPr>
      </w:pPr>
    </w:p>
    <w:p w:rsidR="002D20DB" w:rsidRPr="00C47725" w:rsidRDefault="002D20DB" w:rsidP="002D20DB">
      <w:pPr>
        <w:pStyle w:val="Heading5"/>
        <w:rPr>
          <w:lang w:val="de-DE"/>
        </w:rPr>
      </w:pPr>
      <w:bookmarkStart w:id="63" w:name="_Toc21019269"/>
      <w:r w:rsidRPr="00C47725">
        <w:rPr>
          <w:lang w:val="de-DE"/>
        </w:rPr>
        <w:t>Neue Ausprägungsstufe</w:t>
      </w:r>
      <w:bookmarkEnd w:id="63"/>
    </w:p>
    <w:p w:rsidR="002D20DB" w:rsidRPr="00C47725" w:rsidRDefault="000E6F70" w:rsidP="002D20DB">
      <w:pPr>
        <w:pStyle w:val="ListParagraph"/>
        <w:numPr>
          <w:ilvl w:val="0"/>
          <w:numId w:val="11"/>
        </w:numPr>
        <w:ind w:left="1134" w:hanging="567"/>
        <w:rPr>
          <w:lang w:val="de-DE"/>
        </w:rPr>
      </w:pPr>
      <w:r>
        <w:rPr>
          <w:i/>
          <w:lang w:val="de-DE"/>
        </w:rPr>
        <w:t>Lava</w:t>
      </w:r>
      <w:r w:rsidR="002D20DB" w:rsidRPr="00C47725">
        <w:rPr>
          <w:i/>
          <w:lang w:val="de-DE"/>
        </w:rPr>
        <w:t>ndula</w:t>
      </w:r>
      <w:r w:rsidR="002D20DB" w:rsidRPr="00C47725">
        <w:rPr>
          <w:lang w:val="de-DE"/>
        </w:rPr>
        <w:t xml:space="preserve"> L.: Vergleiche Anlage VIII</w:t>
      </w:r>
    </w:p>
    <w:p w:rsidR="002D20DB" w:rsidRPr="00C47725" w:rsidRDefault="002D20DB" w:rsidP="002D20DB">
      <w:pPr>
        <w:pStyle w:val="ListParagraph"/>
        <w:numPr>
          <w:ilvl w:val="1"/>
          <w:numId w:val="11"/>
        </w:numPr>
        <w:ind w:left="1701" w:hanging="567"/>
        <w:rPr>
          <w:lang w:val="de-DE"/>
        </w:rPr>
      </w:pPr>
      <w:r w:rsidRPr="00C47725">
        <w:rPr>
          <w:lang w:val="de-DE"/>
        </w:rPr>
        <w:t>Ähre: Form:</w:t>
      </w:r>
      <w:r>
        <w:rPr>
          <w:lang w:val="de-DE"/>
        </w:rPr>
        <w:t xml:space="preserve"> „</w:t>
      </w:r>
      <w:r w:rsidRPr="00C47725">
        <w:rPr>
          <w:u w:val="single"/>
          <w:lang w:val="de-DE"/>
        </w:rPr>
        <w:t>konisch und zylindrisch (50%-50%)</w:t>
      </w:r>
      <w:r>
        <w:rPr>
          <w:lang w:val="de-DE"/>
        </w:rPr>
        <w:t>“</w:t>
      </w:r>
    </w:p>
    <w:p w:rsidR="002D20DB" w:rsidRPr="00C47725" w:rsidRDefault="002D20DB" w:rsidP="002D20DB">
      <w:pPr>
        <w:rPr>
          <w:lang w:val="de-DE"/>
        </w:rPr>
      </w:pPr>
    </w:p>
    <w:p w:rsidR="002D20DB" w:rsidRPr="00C47725" w:rsidRDefault="002D20DB" w:rsidP="002D20DB">
      <w:pPr>
        <w:rPr>
          <w:lang w:val="de-DE"/>
        </w:rPr>
      </w:pPr>
      <w:r w:rsidRPr="00C47725">
        <w:rPr>
          <w:lang w:val="de-DE"/>
        </w:rPr>
        <w:fldChar w:fldCharType="begin"/>
      </w:r>
      <w:r w:rsidRPr="00C47725">
        <w:rPr>
          <w:lang w:val="de-DE"/>
        </w:rPr>
        <w:instrText xml:space="preserve"> AUTONUM  </w:instrText>
      </w:r>
      <w:r w:rsidRPr="00C47725">
        <w:rPr>
          <w:lang w:val="de-DE"/>
        </w:rPr>
        <w:fldChar w:fldCharType="end"/>
      </w:r>
      <w:r w:rsidRPr="00C47725">
        <w:rPr>
          <w:lang w:val="de-DE"/>
        </w:rPr>
        <w:tab/>
        <w:t xml:space="preserve">Der TC nahm zur Kenntnis, dass die </w:t>
      </w:r>
      <w:r>
        <w:rPr>
          <w:lang w:val="de-DE"/>
        </w:rPr>
        <w:t xml:space="preserve">mitgeteilten </w:t>
      </w:r>
      <w:r w:rsidRPr="00C47725">
        <w:rPr>
          <w:lang w:val="de-DE"/>
        </w:rPr>
        <w:t>zusätzlichen Merkmale oder Ausprägungsstufen</w:t>
      </w:r>
      <w:r>
        <w:rPr>
          <w:lang w:val="de-DE"/>
        </w:rPr>
        <w:t xml:space="preserve"> der</w:t>
      </w:r>
      <w:r w:rsidRPr="00C47725">
        <w:rPr>
          <w:lang w:val="de-DE"/>
        </w:rPr>
        <w:t xml:space="preserve"> TWA </w:t>
      </w:r>
      <w:r>
        <w:rPr>
          <w:lang w:val="de-DE"/>
        </w:rPr>
        <w:t>bzw.</w:t>
      </w:r>
      <w:r w:rsidRPr="00C47725">
        <w:rPr>
          <w:lang w:val="de-DE"/>
        </w:rPr>
        <w:t xml:space="preserve"> TWO </w:t>
      </w:r>
      <w:r>
        <w:rPr>
          <w:lang w:val="de-DE"/>
        </w:rPr>
        <w:t>auf ihren</w:t>
      </w:r>
      <w:r w:rsidRPr="00C47725">
        <w:rPr>
          <w:lang w:val="de-DE"/>
        </w:rPr>
        <w:t xml:space="preserve"> Sitzungen im Jahr 2020</w:t>
      </w:r>
      <w:r>
        <w:rPr>
          <w:lang w:val="de-DE"/>
        </w:rPr>
        <w:t xml:space="preserve"> zur Prüfung, </w:t>
      </w:r>
      <w:r w:rsidRPr="00C47725">
        <w:rPr>
          <w:lang w:val="de-DE"/>
        </w:rPr>
        <w:t xml:space="preserve">ob sie auf der </w:t>
      </w:r>
      <w:r>
        <w:rPr>
          <w:lang w:val="de-DE"/>
        </w:rPr>
        <w:t>Seite</w:t>
      </w:r>
      <w:r w:rsidRPr="00C47725">
        <w:rPr>
          <w:lang w:val="de-DE"/>
        </w:rPr>
        <w:t xml:space="preserve"> für Verfasser von Prüfungsrichtlinien auf der UPOV-Webseite veröffentlicht werden sollten und/oder ob eine Überarbeitung der Teilüberarbeitung der betreffenden Prüfungsrichtlinien eingeleitet werden sollte</w:t>
      </w:r>
      <w:r>
        <w:rPr>
          <w:lang w:val="de-DE"/>
        </w:rPr>
        <w:t>, vorgelegt werden würden</w:t>
      </w:r>
      <w:r w:rsidRPr="00C47725">
        <w:rPr>
          <w:lang w:val="de-DE"/>
        </w:rPr>
        <w:t>.</w:t>
      </w:r>
    </w:p>
    <w:p w:rsidR="002D20DB" w:rsidRPr="00C47725" w:rsidRDefault="002D20DB" w:rsidP="002D20DB">
      <w:pPr>
        <w:jc w:val="left"/>
        <w:rPr>
          <w:u w:val="single"/>
          <w:lang w:val="de-DE"/>
        </w:rPr>
      </w:pPr>
    </w:p>
    <w:p w:rsidR="002D20DB" w:rsidRPr="00C47725" w:rsidRDefault="002D20DB" w:rsidP="002D20DB">
      <w:pPr>
        <w:pStyle w:val="Heading2"/>
        <w:rPr>
          <w:lang w:val="de-DE"/>
        </w:rPr>
      </w:pPr>
      <w:r w:rsidRPr="00C47725">
        <w:rPr>
          <w:lang w:val="de-DE"/>
        </w:rPr>
        <w:t>Fragen zur Information</w:t>
      </w:r>
    </w:p>
    <w:p w:rsidR="002D20DB" w:rsidRPr="00C47725" w:rsidRDefault="002D20DB" w:rsidP="002D20DB">
      <w:pPr>
        <w:rPr>
          <w:lang w:val="de-DE"/>
        </w:rPr>
      </w:pPr>
    </w:p>
    <w:p w:rsidR="002D20DB" w:rsidRPr="00C47725" w:rsidRDefault="002D20DB" w:rsidP="002D20DB">
      <w:pPr>
        <w:rPr>
          <w:rFonts w:cs="Arial"/>
          <w:lang w:val="de-DE"/>
        </w:rPr>
      </w:pPr>
      <w:r w:rsidRPr="00911643">
        <w:rPr>
          <w:rFonts w:cs="Arial"/>
          <w:lang w:val="de-DE"/>
        </w:rPr>
        <w:fldChar w:fldCharType="begin"/>
      </w:r>
      <w:r w:rsidRPr="00911643">
        <w:rPr>
          <w:rFonts w:cs="Arial"/>
          <w:lang w:val="de-DE"/>
        </w:rPr>
        <w:instrText xml:space="preserve"> AUTONUM  </w:instrText>
      </w:r>
      <w:r w:rsidRPr="00911643">
        <w:rPr>
          <w:rFonts w:cs="Arial"/>
          <w:lang w:val="de-DE"/>
        </w:rPr>
        <w:fldChar w:fldCharType="end"/>
      </w:r>
      <w:r w:rsidRPr="00C47725">
        <w:rPr>
          <w:rFonts w:cs="Arial"/>
          <w:lang w:val="de-DE"/>
        </w:rPr>
        <w:tab/>
        <w:t xml:space="preserve">Der TC nahm zur Kenntnis, dass neben der Entscheidung des Rates, nur eine jährliche Tagung der UPOV-Organe in Genf zu organisieren, eine Reihe von Maßnahmen </w:t>
      </w:r>
      <w:r>
        <w:rPr>
          <w:rFonts w:cs="Arial"/>
          <w:lang w:val="de-DE"/>
        </w:rPr>
        <w:t>angenommen</w:t>
      </w:r>
      <w:r w:rsidRPr="00C47725">
        <w:rPr>
          <w:rFonts w:cs="Arial"/>
          <w:lang w:val="de-DE"/>
        </w:rPr>
        <w:t xml:space="preserve"> </w:t>
      </w:r>
      <w:r>
        <w:rPr>
          <w:rFonts w:cs="Arial"/>
          <w:lang w:val="de-DE"/>
        </w:rPr>
        <w:t>worden war</w:t>
      </w:r>
      <w:r w:rsidRPr="00C47725">
        <w:rPr>
          <w:rFonts w:cs="Arial"/>
          <w:lang w:val="de-DE"/>
        </w:rPr>
        <w:t>, um die Tagungen so effizient wie möglich zu gestalten, einschließlich der Aufteilung von Dokumenten in zwei Arten: Dokumente mit Angelegenheiten, bezüglich derer eine Entscheidung von dem betreffenden Organ erforderlich ist (‚Entscheidungsdokumente‘);</w:t>
      </w:r>
      <w:r>
        <w:rPr>
          <w:rFonts w:cs="Arial"/>
          <w:lang w:val="de-DE"/>
        </w:rPr>
        <w:t xml:space="preserve"> und</w:t>
      </w:r>
      <w:r w:rsidRPr="00C47725">
        <w:rPr>
          <w:rFonts w:cs="Arial"/>
          <w:lang w:val="de-DE"/>
        </w:rPr>
        <w:t xml:space="preserve"> Dokumente nur zu Informationszwecken.</w:t>
      </w:r>
    </w:p>
    <w:p w:rsidR="002D20DB" w:rsidRPr="00C47725" w:rsidRDefault="002D20DB" w:rsidP="002D20DB">
      <w:pPr>
        <w:rPr>
          <w:rFonts w:cs="Arial"/>
          <w:lang w:val="de-DE"/>
        </w:rPr>
      </w:pPr>
    </w:p>
    <w:p w:rsidR="002D20DB" w:rsidRPr="00C47725" w:rsidRDefault="002D20DB" w:rsidP="002D20DB">
      <w:pPr>
        <w:rPr>
          <w:rFonts w:cs="Arial"/>
          <w:lang w:val="de-DE"/>
        </w:rPr>
      </w:pPr>
      <w:r w:rsidRPr="00911643">
        <w:rPr>
          <w:rFonts w:cs="Arial"/>
          <w:lang w:val="de-DE"/>
        </w:rPr>
        <w:fldChar w:fldCharType="begin"/>
      </w:r>
      <w:r w:rsidRPr="00911643">
        <w:rPr>
          <w:rFonts w:cs="Arial"/>
          <w:lang w:val="de-DE"/>
        </w:rPr>
        <w:instrText xml:space="preserve"> AUTONUM  </w:instrText>
      </w:r>
      <w:r w:rsidRPr="00911643">
        <w:rPr>
          <w:rFonts w:cs="Arial"/>
          <w:lang w:val="de-DE"/>
        </w:rPr>
        <w:fldChar w:fldCharType="end"/>
      </w:r>
      <w:r w:rsidRPr="00C47725">
        <w:rPr>
          <w:rFonts w:cs="Arial"/>
          <w:lang w:val="de-DE"/>
        </w:rPr>
        <w:tab/>
        <w:t>Der TC nahm zur Kenntnis, dass Dokumente nur zu Informationszwecken in einem separaten Abschnitt der Website des betreffenden Organs (‚Informationsabschnitt‘) bereitgestellt w</w:t>
      </w:r>
      <w:r>
        <w:rPr>
          <w:rFonts w:cs="Arial"/>
          <w:lang w:val="de-DE"/>
        </w:rPr>
        <w:t>u</w:t>
      </w:r>
      <w:r w:rsidRPr="00C47725">
        <w:rPr>
          <w:rFonts w:cs="Arial"/>
          <w:lang w:val="de-DE"/>
        </w:rPr>
        <w:t>rden, ohne einzeln geprüft zu werden. </w:t>
      </w:r>
    </w:p>
    <w:p w:rsidR="002D20DB" w:rsidRPr="00C47725" w:rsidRDefault="002D20DB" w:rsidP="002D20DB">
      <w:pPr>
        <w:rPr>
          <w:rFonts w:cs="Arial"/>
          <w:lang w:val="de-DE"/>
        </w:rPr>
      </w:pPr>
    </w:p>
    <w:p w:rsidR="002D20DB" w:rsidRPr="00C47725" w:rsidRDefault="002D20DB" w:rsidP="002D20DB">
      <w:pPr>
        <w:rPr>
          <w:lang w:val="de-DE"/>
        </w:rPr>
      </w:pPr>
      <w:r w:rsidRPr="00911643">
        <w:rPr>
          <w:lang w:val="de-DE"/>
        </w:rPr>
        <w:fldChar w:fldCharType="begin"/>
      </w:r>
      <w:r w:rsidRPr="00911643">
        <w:rPr>
          <w:lang w:val="de-DE"/>
        </w:rPr>
        <w:instrText xml:space="preserve"> AUTONUM  </w:instrText>
      </w:r>
      <w:r w:rsidRPr="00911643">
        <w:rPr>
          <w:lang w:val="de-DE"/>
        </w:rPr>
        <w:fldChar w:fldCharType="end"/>
      </w:r>
      <w:r w:rsidRPr="00C47725">
        <w:rPr>
          <w:lang w:val="de-DE"/>
        </w:rPr>
        <w:tab/>
        <w:t>Der TC nahm zur Kenntnis, dass die folgenden Dokumente als Dokumente zu Informationszwecken auf der TC/55-Webseite veröffentlicht wurden:</w:t>
      </w:r>
    </w:p>
    <w:p w:rsidR="002D20DB" w:rsidRPr="00C47725" w:rsidRDefault="002D20DB" w:rsidP="002D20DB">
      <w:pPr>
        <w:keepNext/>
        <w:rPr>
          <w:lang w:val="de-DE"/>
        </w:rPr>
      </w:pPr>
    </w:p>
    <w:p w:rsidR="002D20DB" w:rsidRPr="00C47725" w:rsidRDefault="002D20DB" w:rsidP="002D20DB">
      <w:pPr>
        <w:ind w:left="1134" w:hanging="567"/>
        <w:jc w:val="left"/>
        <w:rPr>
          <w:rFonts w:cs="Arial"/>
          <w:snapToGrid w:val="0"/>
          <w:lang w:val="de-DE"/>
        </w:rPr>
      </w:pPr>
      <w:r w:rsidRPr="00C47725">
        <w:rPr>
          <w:rFonts w:cs="Arial"/>
          <w:snapToGrid w:val="0"/>
          <w:lang w:val="de-DE"/>
        </w:rPr>
        <w:t>a)</w:t>
      </w:r>
      <w:r w:rsidRPr="00C47725">
        <w:rPr>
          <w:rFonts w:cs="Arial"/>
          <w:snapToGrid w:val="0"/>
          <w:lang w:val="de-DE"/>
        </w:rPr>
        <w:tab/>
        <w:t xml:space="preserve">Liste der Gattungen und Arten, für die die Behörden über praktische Erfahrung bei der Prüfung der Unterscheidbarkeit, Homogenität und Beständigkeit verfügen </w:t>
      </w:r>
      <w:r w:rsidRPr="00C47725">
        <w:rPr>
          <w:rFonts w:cs="Arial"/>
          <w:lang w:val="de-DE"/>
        </w:rPr>
        <w:t>(Dokument TC/55/INF/4)</w:t>
      </w:r>
    </w:p>
    <w:p w:rsidR="002D20DB" w:rsidRPr="00C47725" w:rsidRDefault="002D20DB" w:rsidP="002D20DB">
      <w:pPr>
        <w:ind w:left="1134" w:hanging="567"/>
        <w:jc w:val="left"/>
        <w:rPr>
          <w:lang w:val="de-DE"/>
        </w:rPr>
      </w:pPr>
      <w:r w:rsidRPr="00C47725">
        <w:rPr>
          <w:rFonts w:cs="Arial"/>
          <w:snapToGrid w:val="0"/>
          <w:lang w:val="de-DE"/>
        </w:rPr>
        <w:t>b)</w:t>
      </w:r>
      <w:r w:rsidRPr="00C47725">
        <w:rPr>
          <w:rFonts w:cs="Arial"/>
          <w:snapToGrid w:val="0"/>
          <w:lang w:val="de-DE"/>
        </w:rPr>
        <w:tab/>
        <w:t xml:space="preserve">UPOV-Informationsdatenbanken </w:t>
      </w:r>
      <w:r w:rsidRPr="00C47725">
        <w:rPr>
          <w:rFonts w:cs="Arial"/>
          <w:lang w:val="de-DE"/>
        </w:rPr>
        <w:t>(Dokument TC/55/INF/2)</w:t>
      </w:r>
    </w:p>
    <w:p w:rsidR="002D20DB" w:rsidRPr="00C47725" w:rsidRDefault="002D20DB" w:rsidP="002D20DB">
      <w:pPr>
        <w:tabs>
          <w:tab w:val="left" w:pos="5812"/>
        </w:tabs>
        <w:ind w:left="1134" w:hanging="567"/>
        <w:jc w:val="left"/>
        <w:rPr>
          <w:lang w:val="de-DE"/>
        </w:rPr>
      </w:pPr>
      <w:r w:rsidRPr="00C47725">
        <w:rPr>
          <w:rFonts w:cs="Arial"/>
          <w:snapToGrid w:val="0"/>
          <w:lang w:val="de-DE"/>
        </w:rPr>
        <w:t>c)</w:t>
      </w:r>
      <w:r w:rsidRPr="00C47725">
        <w:rPr>
          <w:rFonts w:cs="Arial"/>
          <w:snapToGrid w:val="0"/>
          <w:lang w:val="de-DE"/>
        </w:rPr>
        <w:tab/>
        <w:t xml:space="preserve">Datenbanken für Sortenbeschreibungen </w:t>
      </w:r>
      <w:r w:rsidRPr="00C47725">
        <w:rPr>
          <w:rFonts w:cs="Arial"/>
          <w:lang w:val="de-DE"/>
        </w:rPr>
        <w:t>(Dokument TC/55/INF/3)</w:t>
      </w:r>
    </w:p>
    <w:p w:rsidR="002D20DB" w:rsidRPr="00C47725" w:rsidRDefault="002D20DB" w:rsidP="002D20DB">
      <w:pPr>
        <w:tabs>
          <w:tab w:val="left" w:pos="5812"/>
        </w:tabs>
        <w:ind w:left="1134" w:hanging="567"/>
        <w:jc w:val="left"/>
        <w:rPr>
          <w:lang w:val="de-DE"/>
        </w:rPr>
      </w:pPr>
      <w:r w:rsidRPr="00C47725">
        <w:rPr>
          <w:rFonts w:cs="Arial"/>
          <w:snapToGrid w:val="0"/>
          <w:lang w:val="de-DE"/>
        </w:rPr>
        <w:t>d)</w:t>
      </w:r>
      <w:r w:rsidRPr="00C47725">
        <w:rPr>
          <w:rFonts w:cs="Arial"/>
          <w:snapToGrid w:val="0"/>
          <w:lang w:val="de-DE"/>
        </w:rPr>
        <w:tab/>
        <w:t xml:space="preserve">UPOV PRISMA </w:t>
      </w:r>
      <w:r w:rsidRPr="00C47725">
        <w:rPr>
          <w:rFonts w:cs="Arial"/>
          <w:lang w:val="de-DE"/>
        </w:rPr>
        <w:t>(Dokument TC/55/INF/5)</w:t>
      </w:r>
    </w:p>
    <w:p w:rsidR="002D20DB" w:rsidRPr="00C47725" w:rsidRDefault="002D20DB" w:rsidP="002D20DB">
      <w:pPr>
        <w:keepNext/>
        <w:tabs>
          <w:tab w:val="left" w:pos="5812"/>
        </w:tabs>
        <w:ind w:left="1134" w:hanging="567"/>
        <w:jc w:val="left"/>
        <w:rPr>
          <w:lang w:val="de-DE"/>
        </w:rPr>
      </w:pPr>
      <w:r w:rsidRPr="00C47725">
        <w:rPr>
          <w:rFonts w:cs="Arial"/>
          <w:snapToGrid w:val="0"/>
          <w:lang w:val="de-DE"/>
        </w:rPr>
        <w:t>e)</w:t>
      </w:r>
      <w:r w:rsidRPr="00C47725">
        <w:rPr>
          <w:rFonts w:cs="Arial"/>
          <w:snapToGrid w:val="0"/>
          <w:lang w:val="de-DE"/>
        </w:rPr>
        <w:tab/>
        <w:t xml:space="preserve">Molekulare Verfahren </w:t>
      </w:r>
      <w:r w:rsidRPr="00C47725">
        <w:rPr>
          <w:rFonts w:cs="Arial"/>
          <w:lang w:val="de-DE"/>
        </w:rPr>
        <w:t>(Dokument TC/55/INF/6)</w:t>
      </w:r>
    </w:p>
    <w:p w:rsidR="002D20DB" w:rsidRPr="00C47725" w:rsidRDefault="002D20DB" w:rsidP="002D20DB">
      <w:pPr>
        <w:keepNext/>
        <w:tabs>
          <w:tab w:val="left" w:pos="5812"/>
        </w:tabs>
        <w:ind w:left="1134" w:hanging="567"/>
        <w:jc w:val="left"/>
        <w:rPr>
          <w:lang w:val="de-DE"/>
        </w:rPr>
      </w:pPr>
      <w:r w:rsidRPr="00C47725">
        <w:rPr>
          <w:lang w:val="de-DE"/>
        </w:rPr>
        <w:t>f)</w:t>
      </w:r>
      <w:r w:rsidRPr="00C47725">
        <w:rPr>
          <w:lang w:val="de-DE"/>
        </w:rPr>
        <w:tab/>
      </w:r>
      <w:r w:rsidRPr="00C47725">
        <w:rPr>
          <w:rFonts w:cs="Arial"/>
          <w:snapToGrid w:val="0"/>
          <w:lang w:val="de-DE"/>
        </w:rPr>
        <w:t xml:space="preserve">Sortenbezeichnungen </w:t>
      </w:r>
      <w:r w:rsidRPr="00C47725">
        <w:rPr>
          <w:rFonts w:cs="Arial"/>
          <w:lang w:val="de-DE"/>
        </w:rPr>
        <w:t>(Dokument TC/55/INF/7)</w:t>
      </w:r>
    </w:p>
    <w:p w:rsidR="002D20DB" w:rsidRPr="00C47725" w:rsidRDefault="002D20DB" w:rsidP="002D20DB">
      <w:pPr>
        <w:keepNext/>
        <w:tabs>
          <w:tab w:val="left" w:pos="5812"/>
        </w:tabs>
        <w:ind w:left="1134" w:hanging="567"/>
        <w:jc w:val="left"/>
        <w:rPr>
          <w:rFonts w:cs="Arial"/>
          <w:snapToGrid w:val="0"/>
          <w:lang w:val="de-DE"/>
        </w:rPr>
      </w:pPr>
      <w:r w:rsidRPr="00C47725">
        <w:rPr>
          <w:kern w:val="28"/>
          <w:lang w:val="de-DE"/>
        </w:rPr>
        <w:t>g)</w:t>
      </w:r>
      <w:r w:rsidRPr="00C47725">
        <w:rPr>
          <w:kern w:val="28"/>
          <w:lang w:val="de-DE"/>
        </w:rPr>
        <w:tab/>
      </w:r>
      <w:r w:rsidRPr="00C47725">
        <w:rPr>
          <w:rFonts w:cs="Arial"/>
          <w:lang w:val="de-DE"/>
        </w:rPr>
        <w:t xml:space="preserve">Unterschiede in den Noten für die Prüfung der Unterscheidbarkeit (Dokument TC/55/INF/9) </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rPr>
          <w:lang w:val="de-DE"/>
        </w:rPr>
      </w:pPr>
      <w:r w:rsidRPr="00C47725">
        <w:rPr>
          <w:lang w:val="de-DE"/>
        </w:rPr>
        <w:t>Programm für die sechsundfünfzigste Tagung</w:t>
      </w:r>
    </w:p>
    <w:p w:rsidR="002D20DB" w:rsidRPr="00C47725" w:rsidRDefault="002D20DB" w:rsidP="002D20DB">
      <w:pPr>
        <w:keepNext/>
        <w:jc w:val="left"/>
        <w:rPr>
          <w:lang w:val="de-DE"/>
        </w:rPr>
      </w:pPr>
    </w:p>
    <w:p w:rsidR="002D20DB" w:rsidRPr="00C47725" w:rsidRDefault="002D20DB" w:rsidP="002D20DB">
      <w:pPr>
        <w:pStyle w:val="ListParagraph"/>
        <w:keepNext/>
        <w:numPr>
          <w:ilvl w:val="0"/>
          <w:numId w:val="1"/>
        </w:numPr>
        <w:tabs>
          <w:tab w:val="left" w:pos="1134"/>
        </w:tabs>
        <w:rPr>
          <w:lang w:val="de-DE"/>
        </w:rPr>
      </w:pPr>
      <w:r w:rsidRPr="00C47725">
        <w:rPr>
          <w:lang w:val="de-DE"/>
        </w:rPr>
        <w:t>Eröffnung der Tagung</w:t>
      </w:r>
    </w:p>
    <w:p w:rsidR="002D20DB" w:rsidRPr="00C47725" w:rsidRDefault="002D20DB" w:rsidP="002D20DB">
      <w:pPr>
        <w:pStyle w:val="ListParagraph"/>
        <w:numPr>
          <w:ilvl w:val="0"/>
          <w:numId w:val="1"/>
        </w:numPr>
        <w:tabs>
          <w:tab w:val="left" w:pos="1134"/>
        </w:tabs>
        <w:rPr>
          <w:lang w:val="de-DE"/>
        </w:rPr>
      </w:pPr>
      <w:r w:rsidRPr="00C47725">
        <w:rPr>
          <w:lang w:val="de-DE"/>
        </w:rPr>
        <w:t>Annahme der Tagesordnung</w:t>
      </w:r>
    </w:p>
    <w:p w:rsidR="002D20DB" w:rsidRPr="00C47725" w:rsidRDefault="002D20DB" w:rsidP="002D20DB">
      <w:pPr>
        <w:pStyle w:val="ListParagraph"/>
        <w:numPr>
          <w:ilvl w:val="0"/>
          <w:numId w:val="1"/>
        </w:numPr>
        <w:tabs>
          <w:tab w:val="left" w:pos="1134"/>
        </w:tabs>
        <w:rPr>
          <w:lang w:val="de-DE"/>
        </w:rPr>
      </w:pPr>
      <w:r w:rsidRPr="00C47725">
        <w:rPr>
          <w:lang w:val="de-DE"/>
        </w:rPr>
        <w:t>Bericht über Entwicklungen in der UOPV</w:t>
      </w:r>
    </w:p>
    <w:p w:rsidR="002D20DB" w:rsidRPr="00C47725" w:rsidRDefault="002D20DB" w:rsidP="002D20DB">
      <w:pPr>
        <w:pStyle w:val="ListParagraph"/>
        <w:numPr>
          <w:ilvl w:val="0"/>
          <w:numId w:val="1"/>
        </w:numPr>
        <w:tabs>
          <w:tab w:val="left" w:pos="1134"/>
        </w:tabs>
        <w:rPr>
          <w:lang w:val="de-DE"/>
        </w:rPr>
      </w:pPr>
      <w:r w:rsidRPr="00C47725">
        <w:rPr>
          <w:lang w:val="de-DE"/>
        </w:rPr>
        <w:t xml:space="preserve">Bericht über den Fortschritt der Arbeiten der Technischen Arbeitsgruppen, einschließlich der Arbeitsgruppe für biochemische und molekulare Verfahren und insbesondere für DNS-Profilierungsverfahren (BMT) </w:t>
      </w:r>
    </w:p>
    <w:p w:rsidR="002D20DB" w:rsidRPr="00C47725" w:rsidRDefault="002D20DB" w:rsidP="002D20DB">
      <w:pPr>
        <w:pStyle w:val="ListParagraph"/>
        <w:numPr>
          <w:ilvl w:val="0"/>
          <w:numId w:val="1"/>
        </w:numPr>
        <w:tabs>
          <w:tab w:val="left" w:pos="1134"/>
        </w:tabs>
        <w:rPr>
          <w:lang w:val="de-DE"/>
        </w:rPr>
      </w:pPr>
      <w:r w:rsidRPr="00C47725">
        <w:rPr>
          <w:lang w:val="de-DE"/>
        </w:rPr>
        <w:t xml:space="preserve">Fragen, die von den technischen Arbeitsgruppen aufgeworfen wurden </w:t>
      </w:r>
    </w:p>
    <w:p w:rsidR="002D20DB" w:rsidRPr="00C47725" w:rsidRDefault="002D20DB" w:rsidP="002D20DB">
      <w:pPr>
        <w:pStyle w:val="ListParagraph"/>
        <w:numPr>
          <w:ilvl w:val="0"/>
          <w:numId w:val="1"/>
        </w:numPr>
        <w:tabs>
          <w:tab w:val="left" w:pos="1134"/>
        </w:tabs>
        <w:rPr>
          <w:lang w:val="de-DE"/>
        </w:rPr>
      </w:pPr>
      <w:r w:rsidRPr="00C47725">
        <w:rPr>
          <w:lang w:val="de-DE"/>
        </w:rPr>
        <w:t xml:space="preserve">TGP-Dokumente </w:t>
      </w:r>
    </w:p>
    <w:p w:rsidR="002D20DB" w:rsidRPr="00C47725" w:rsidRDefault="002D20DB" w:rsidP="002D20DB">
      <w:pPr>
        <w:pStyle w:val="ListParagraph"/>
        <w:numPr>
          <w:ilvl w:val="0"/>
          <w:numId w:val="1"/>
        </w:numPr>
        <w:tabs>
          <w:tab w:val="left" w:pos="1134"/>
        </w:tabs>
        <w:rPr>
          <w:lang w:val="de-DE"/>
        </w:rPr>
      </w:pPr>
      <w:r w:rsidRPr="00C47725">
        <w:rPr>
          <w:lang w:val="de-DE"/>
        </w:rPr>
        <w:t xml:space="preserve">Molekulare Verfahren </w:t>
      </w:r>
    </w:p>
    <w:p w:rsidR="002D20DB" w:rsidRPr="00C47725" w:rsidRDefault="002D20DB" w:rsidP="002D20DB">
      <w:pPr>
        <w:pStyle w:val="ListParagraph"/>
        <w:numPr>
          <w:ilvl w:val="0"/>
          <w:numId w:val="1"/>
        </w:numPr>
        <w:tabs>
          <w:tab w:val="left" w:pos="1134"/>
        </w:tabs>
        <w:rPr>
          <w:lang w:val="de-DE"/>
        </w:rPr>
      </w:pPr>
      <w:r w:rsidRPr="00C47725">
        <w:rPr>
          <w:lang w:val="de-DE"/>
        </w:rPr>
        <w:lastRenderedPageBreak/>
        <w:t>Möglicher Zusammenschluss von BMT und TWC</w:t>
      </w:r>
    </w:p>
    <w:p w:rsidR="002D20DB" w:rsidRPr="00C47725" w:rsidRDefault="002D20DB" w:rsidP="002D20DB">
      <w:pPr>
        <w:pStyle w:val="ListParagraph"/>
        <w:numPr>
          <w:ilvl w:val="0"/>
          <w:numId w:val="1"/>
        </w:numPr>
        <w:tabs>
          <w:tab w:val="left" w:pos="1134"/>
        </w:tabs>
        <w:rPr>
          <w:lang w:val="de-DE"/>
        </w:rPr>
      </w:pPr>
      <w:r w:rsidRPr="00C47725">
        <w:rPr>
          <w:lang w:val="de-DE"/>
        </w:rPr>
        <w:t>Strategie für die Zusammenarbeit bei der Prüfung</w:t>
      </w:r>
    </w:p>
    <w:p w:rsidR="002D20DB" w:rsidRPr="00A821AB" w:rsidRDefault="002D20DB" w:rsidP="002D20DB">
      <w:pPr>
        <w:pStyle w:val="ListParagraph"/>
        <w:numPr>
          <w:ilvl w:val="0"/>
          <w:numId w:val="1"/>
        </w:numPr>
        <w:tabs>
          <w:tab w:val="left" w:pos="1134"/>
        </w:tabs>
        <w:rPr>
          <w:lang w:val="de-DE"/>
        </w:rPr>
      </w:pPr>
      <w:r w:rsidRPr="00A821AB">
        <w:rPr>
          <w:lang w:val="de-DE"/>
        </w:rPr>
        <w:t>Verbesserung der Beteiligung neuer Verbandsmitglieder an der Arbeit des TC und der TWP</w:t>
      </w:r>
    </w:p>
    <w:p w:rsidR="002D20DB" w:rsidRPr="00C47725" w:rsidRDefault="002D20DB" w:rsidP="002D20DB">
      <w:pPr>
        <w:pStyle w:val="ListParagraph"/>
        <w:keepNext/>
        <w:numPr>
          <w:ilvl w:val="0"/>
          <w:numId w:val="1"/>
        </w:numPr>
        <w:tabs>
          <w:tab w:val="left" w:pos="1134"/>
        </w:tabs>
        <w:rPr>
          <w:lang w:val="de-DE"/>
        </w:rPr>
      </w:pPr>
      <w:r w:rsidRPr="00C47725">
        <w:rPr>
          <w:lang w:val="de-DE"/>
        </w:rPr>
        <w:t>Informationen und Datenbanken</w:t>
      </w:r>
    </w:p>
    <w:p w:rsidR="002D20DB" w:rsidRPr="00C47725" w:rsidRDefault="002D20DB" w:rsidP="002D20DB">
      <w:pPr>
        <w:pStyle w:val="ListParagraph"/>
        <w:keepNext/>
        <w:numPr>
          <w:ilvl w:val="1"/>
          <w:numId w:val="1"/>
        </w:numPr>
        <w:tabs>
          <w:tab w:val="left" w:pos="1134"/>
          <w:tab w:val="left" w:pos="1701"/>
        </w:tabs>
        <w:rPr>
          <w:lang w:val="de-DE"/>
        </w:rPr>
      </w:pPr>
      <w:r w:rsidRPr="00C47725">
        <w:rPr>
          <w:lang w:val="de-DE"/>
        </w:rPr>
        <w:t xml:space="preserve">UPOV-Informationsdatenbanken </w:t>
      </w:r>
    </w:p>
    <w:p w:rsidR="002D20DB" w:rsidRPr="00C47725" w:rsidRDefault="002D20DB" w:rsidP="002D20DB">
      <w:pPr>
        <w:pStyle w:val="ListParagraph"/>
        <w:numPr>
          <w:ilvl w:val="1"/>
          <w:numId w:val="1"/>
        </w:numPr>
        <w:tabs>
          <w:tab w:val="left" w:pos="1134"/>
          <w:tab w:val="left" w:pos="1701"/>
        </w:tabs>
        <w:rPr>
          <w:lang w:val="de-DE"/>
        </w:rPr>
      </w:pPr>
      <w:r w:rsidRPr="00C47725">
        <w:rPr>
          <w:lang w:val="de-DE"/>
        </w:rPr>
        <w:t xml:space="preserve">UPOV PRISMA </w:t>
      </w:r>
    </w:p>
    <w:p w:rsidR="002D20DB" w:rsidRPr="00C47725" w:rsidRDefault="002D20DB" w:rsidP="002D20DB">
      <w:pPr>
        <w:pStyle w:val="ListParagraph"/>
        <w:numPr>
          <w:ilvl w:val="1"/>
          <w:numId w:val="1"/>
        </w:numPr>
        <w:tabs>
          <w:tab w:val="left" w:pos="1134"/>
          <w:tab w:val="left" w:pos="1701"/>
        </w:tabs>
        <w:rPr>
          <w:lang w:val="de-DE"/>
        </w:rPr>
      </w:pPr>
      <w:r w:rsidRPr="00C47725">
        <w:rPr>
          <w:lang w:val="de-DE"/>
        </w:rPr>
        <w:t xml:space="preserve">Austausch und Verwendung von Software und Ausrüstung </w:t>
      </w:r>
    </w:p>
    <w:p w:rsidR="002D20DB" w:rsidRPr="00C47725" w:rsidRDefault="002D20DB" w:rsidP="002D20DB">
      <w:pPr>
        <w:pStyle w:val="ListParagraph"/>
        <w:numPr>
          <w:ilvl w:val="1"/>
          <w:numId w:val="1"/>
        </w:numPr>
        <w:tabs>
          <w:tab w:val="left" w:pos="1134"/>
          <w:tab w:val="left" w:pos="1701"/>
        </w:tabs>
        <w:rPr>
          <w:lang w:val="de-DE"/>
        </w:rPr>
      </w:pPr>
      <w:r w:rsidRPr="00C47725">
        <w:rPr>
          <w:lang w:val="de-DE"/>
        </w:rPr>
        <w:t xml:space="preserve">Datenbanken für Sortenbeschreibungen </w:t>
      </w:r>
    </w:p>
    <w:p w:rsidR="002D20DB" w:rsidRPr="00C47725" w:rsidRDefault="002D20DB" w:rsidP="002D20DB">
      <w:pPr>
        <w:pStyle w:val="ListParagraph"/>
        <w:numPr>
          <w:ilvl w:val="0"/>
          <w:numId w:val="1"/>
        </w:numPr>
        <w:tabs>
          <w:tab w:val="left" w:pos="1134"/>
        </w:tabs>
        <w:rPr>
          <w:lang w:val="de-DE"/>
        </w:rPr>
      </w:pPr>
      <w:r w:rsidRPr="00C47725">
        <w:rPr>
          <w:lang w:val="de-DE"/>
        </w:rPr>
        <w:t>Vorbereitende Arbeiten</w:t>
      </w:r>
    </w:p>
    <w:p w:rsidR="002D20DB" w:rsidRPr="00C47725" w:rsidRDefault="002D20DB" w:rsidP="002D20DB">
      <w:pPr>
        <w:pStyle w:val="ListParagraph"/>
        <w:numPr>
          <w:ilvl w:val="0"/>
          <w:numId w:val="1"/>
        </w:numPr>
        <w:tabs>
          <w:tab w:val="left" w:pos="1134"/>
        </w:tabs>
        <w:rPr>
          <w:lang w:val="de-DE"/>
        </w:rPr>
      </w:pPr>
      <w:r w:rsidRPr="00C47725">
        <w:rPr>
          <w:lang w:val="de-DE"/>
        </w:rPr>
        <w:t xml:space="preserve">Sortenbezeichnungen </w:t>
      </w:r>
    </w:p>
    <w:p w:rsidR="002D20DB" w:rsidRPr="00C47725" w:rsidRDefault="002D20DB" w:rsidP="002D20DB">
      <w:pPr>
        <w:pStyle w:val="ListParagraph"/>
        <w:numPr>
          <w:ilvl w:val="0"/>
          <w:numId w:val="1"/>
        </w:numPr>
        <w:tabs>
          <w:tab w:val="left" w:pos="1134"/>
        </w:tabs>
        <w:rPr>
          <w:lang w:val="de-DE"/>
        </w:rPr>
      </w:pPr>
      <w:r w:rsidRPr="00C47725">
        <w:rPr>
          <w:lang w:val="de-DE"/>
        </w:rPr>
        <w:t>Diskussion über: Mindestabstände zwischen Sorten</w:t>
      </w:r>
    </w:p>
    <w:p w:rsidR="002D20DB" w:rsidRPr="00C47725" w:rsidRDefault="002D20DB" w:rsidP="002D20DB">
      <w:pPr>
        <w:pStyle w:val="ListParagraph"/>
        <w:numPr>
          <w:ilvl w:val="0"/>
          <w:numId w:val="1"/>
        </w:numPr>
        <w:tabs>
          <w:tab w:val="left" w:pos="1134"/>
        </w:tabs>
        <w:rPr>
          <w:lang w:val="de-DE"/>
        </w:rPr>
      </w:pPr>
      <w:r w:rsidRPr="00C47725">
        <w:rPr>
          <w:lang w:val="de-DE"/>
        </w:rPr>
        <w:t>Austausch und Verwendung von Software und Ausrüstung</w:t>
      </w:r>
    </w:p>
    <w:p w:rsidR="002D20DB" w:rsidRPr="00C47725" w:rsidRDefault="002D20DB" w:rsidP="002D20DB">
      <w:pPr>
        <w:pStyle w:val="ListParagraph"/>
        <w:numPr>
          <w:ilvl w:val="0"/>
          <w:numId w:val="1"/>
        </w:numPr>
        <w:tabs>
          <w:tab w:val="left" w:pos="1134"/>
        </w:tabs>
        <w:rPr>
          <w:lang w:val="de-DE"/>
        </w:rPr>
      </w:pPr>
      <w:r w:rsidRPr="00C47725">
        <w:rPr>
          <w:lang w:val="de-DE"/>
        </w:rPr>
        <w:t>Liste der Gattungen und Arten, für die die Behörden über praktische Erfahrung bei der Prüfung der Unterscheidbarkeit, Homogenität und Beständigkeit</w:t>
      </w:r>
      <w:r>
        <w:rPr>
          <w:lang w:val="de-DE"/>
        </w:rPr>
        <w:t xml:space="preserve"> verfügen</w:t>
      </w:r>
    </w:p>
    <w:p w:rsidR="002D20DB" w:rsidRPr="00C47725" w:rsidRDefault="002D20DB" w:rsidP="002D20DB">
      <w:pPr>
        <w:pStyle w:val="ListParagraph"/>
        <w:numPr>
          <w:ilvl w:val="0"/>
          <w:numId w:val="1"/>
        </w:numPr>
        <w:tabs>
          <w:tab w:val="left" w:pos="1134"/>
        </w:tabs>
        <w:rPr>
          <w:lang w:val="de-DE"/>
        </w:rPr>
      </w:pPr>
      <w:r w:rsidRPr="00C47725">
        <w:rPr>
          <w:lang w:val="de-DE"/>
        </w:rPr>
        <w:t>Prüfungsrich</w:t>
      </w:r>
      <w:r>
        <w:rPr>
          <w:lang w:val="de-DE"/>
        </w:rPr>
        <w:t>t</w:t>
      </w:r>
      <w:r w:rsidRPr="00C47725">
        <w:rPr>
          <w:lang w:val="de-DE"/>
        </w:rPr>
        <w:t>linien</w:t>
      </w:r>
    </w:p>
    <w:p w:rsidR="002D20DB" w:rsidRPr="00C47725" w:rsidRDefault="002D20DB" w:rsidP="002D20DB">
      <w:pPr>
        <w:pStyle w:val="ListParagraph"/>
        <w:numPr>
          <w:ilvl w:val="0"/>
          <w:numId w:val="1"/>
        </w:numPr>
        <w:tabs>
          <w:tab w:val="left" w:pos="1134"/>
        </w:tabs>
        <w:rPr>
          <w:lang w:val="de-DE"/>
        </w:rPr>
      </w:pPr>
      <w:r w:rsidRPr="00C47725">
        <w:rPr>
          <w:lang w:val="de-DE"/>
        </w:rPr>
        <w:t xml:space="preserve">Programm für die siebenundfünfzigste Tagung </w:t>
      </w:r>
    </w:p>
    <w:p w:rsidR="002D20DB" w:rsidRPr="00C47725" w:rsidRDefault="002D20DB" w:rsidP="002D20DB">
      <w:pPr>
        <w:pStyle w:val="ListParagraph"/>
        <w:numPr>
          <w:ilvl w:val="0"/>
          <w:numId w:val="1"/>
        </w:numPr>
        <w:tabs>
          <w:tab w:val="left" w:pos="1134"/>
        </w:tabs>
        <w:rPr>
          <w:lang w:val="de-DE"/>
        </w:rPr>
      </w:pPr>
      <w:r w:rsidRPr="00C47725">
        <w:rPr>
          <w:lang w:val="de-DE"/>
        </w:rPr>
        <w:t>Annahme des Berichts (wenn zeitlich möglich)</w:t>
      </w:r>
    </w:p>
    <w:p w:rsidR="002D20DB" w:rsidRPr="00C47725" w:rsidRDefault="002D20DB" w:rsidP="002D20DB">
      <w:pPr>
        <w:pStyle w:val="ListParagraph"/>
        <w:numPr>
          <w:ilvl w:val="0"/>
          <w:numId w:val="1"/>
        </w:numPr>
        <w:tabs>
          <w:tab w:val="left" w:pos="1134"/>
        </w:tabs>
        <w:rPr>
          <w:lang w:val="de-DE"/>
        </w:rPr>
      </w:pPr>
      <w:r w:rsidRPr="00C47725">
        <w:rPr>
          <w:lang w:val="de-DE"/>
        </w:rPr>
        <w:t>Schließung der Tagung</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keepLines/>
        <w:rPr>
          <w:lang w:val="de-DE"/>
        </w:rPr>
      </w:pPr>
      <w:r w:rsidRPr="00C47725">
        <w:rPr>
          <w:lang w:val="de-DE"/>
        </w:rPr>
        <w:t xml:space="preserve">Vorsitzender und stellvertretende Vorsitzende </w:t>
      </w:r>
    </w:p>
    <w:p w:rsidR="002D20DB" w:rsidRPr="00C47725" w:rsidRDefault="002D20DB" w:rsidP="002D20DB">
      <w:pPr>
        <w:keepNext/>
        <w:keepLines/>
        <w:rPr>
          <w:lang w:val="de-DE"/>
        </w:rPr>
      </w:pPr>
    </w:p>
    <w:p w:rsidR="002D20DB" w:rsidRPr="00C47725" w:rsidRDefault="002D20DB" w:rsidP="002D20DB">
      <w:pPr>
        <w:keepNext/>
        <w:keepLines/>
        <w:rPr>
          <w:lang w:val="de-DE"/>
        </w:rPr>
      </w:pPr>
      <w:r w:rsidRPr="00911643">
        <w:rPr>
          <w:lang w:val="de-DE"/>
        </w:rPr>
        <w:fldChar w:fldCharType="begin"/>
      </w:r>
      <w:r w:rsidRPr="00911643">
        <w:rPr>
          <w:lang w:val="de-DE"/>
        </w:rPr>
        <w:instrText xml:space="preserve"> AUTONUM  </w:instrText>
      </w:r>
      <w:r w:rsidRPr="00911643">
        <w:rPr>
          <w:lang w:val="de-DE"/>
        </w:rPr>
        <w:fldChar w:fldCharType="end"/>
      </w:r>
      <w:r w:rsidRPr="00C47725">
        <w:rPr>
          <w:lang w:val="de-DE"/>
        </w:rPr>
        <w:tab/>
        <w:t xml:space="preserve">Der TC nahm zur Kenntnis, dass die Amtszeit von Herrn Kees van Ettekoven (Niederlande) mit dem Abschluss der bevorstehenden ordentlichen Tagung des Rates enden </w:t>
      </w:r>
      <w:r>
        <w:rPr>
          <w:lang w:val="de-DE"/>
        </w:rPr>
        <w:t>würde</w:t>
      </w:r>
      <w:r w:rsidRPr="00C47725">
        <w:rPr>
          <w:lang w:val="de-DE"/>
        </w:rPr>
        <w:t>. Er schlug dem Rat vor, Herrn Nik Hulse (Australien) zum neuen Vorsitzenden und Frau Beate Ruecker (Deutschland) zur neuen stellvertretenden Vorsitzenden des TC für die kommende dreijährige Amtszeit zu wählen.</w:t>
      </w:r>
    </w:p>
    <w:p w:rsidR="002D20DB" w:rsidRPr="00C47725" w:rsidRDefault="002D20DB" w:rsidP="002D20DB">
      <w:pPr>
        <w:rPr>
          <w:lang w:val="de-DE"/>
        </w:rPr>
      </w:pPr>
    </w:p>
    <w:p w:rsidR="002D20DB" w:rsidRPr="00C47725" w:rsidRDefault="002D20DB" w:rsidP="002D20DB">
      <w:pPr>
        <w:rPr>
          <w:lang w:val="de-DE"/>
        </w:rPr>
      </w:pPr>
    </w:p>
    <w:p w:rsidR="002D20DB" w:rsidRPr="00C47725" w:rsidRDefault="002D20DB" w:rsidP="002D20DB">
      <w:pPr>
        <w:pStyle w:val="Heading2"/>
        <w:rPr>
          <w:lang w:val="de-DE"/>
        </w:rPr>
      </w:pPr>
      <w:r w:rsidRPr="00C47725">
        <w:rPr>
          <w:lang w:val="de-DE"/>
        </w:rPr>
        <w:t>UPOV-Medaille</w:t>
      </w:r>
    </w:p>
    <w:p w:rsidR="002D20DB" w:rsidRPr="00C47725" w:rsidRDefault="002D20DB" w:rsidP="002D20DB">
      <w:pPr>
        <w:keepNext/>
        <w:rPr>
          <w:lang w:val="de-DE"/>
        </w:rPr>
      </w:pPr>
    </w:p>
    <w:p w:rsidR="002D20DB" w:rsidRPr="00C47725" w:rsidRDefault="002D20DB" w:rsidP="002D20DB">
      <w:pPr>
        <w:keepNext/>
        <w:rPr>
          <w:rFonts w:cstheme="minorBidi"/>
          <w:lang w:val="de-DE"/>
        </w:rPr>
      </w:pPr>
      <w:r w:rsidRPr="00911643">
        <w:rPr>
          <w:rFonts w:cs="Arial"/>
          <w:lang w:val="de-DE"/>
        </w:rPr>
        <w:fldChar w:fldCharType="begin"/>
      </w:r>
      <w:r w:rsidRPr="00911643">
        <w:rPr>
          <w:rFonts w:cs="Arial"/>
          <w:lang w:val="de-DE"/>
        </w:rPr>
        <w:instrText xml:space="preserve"> AUTONUM  </w:instrText>
      </w:r>
      <w:r w:rsidRPr="00911643">
        <w:rPr>
          <w:rFonts w:cs="Arial"/>
          <w:lang w:val="de-DE"/>
        </w:rPr>
        <w:fldChar w:fldCharType="end"/>
      </w:r>
      <w:r w:rsidRPr="00C47725">
        <w:rPr>
          <w:rFonts w:cs="Arial"/>
          <w:lang w:val="de-DE"/>
        </w:rPr>
        <w:tab/>
        <w:t xml:space="preserve">Am Ende der Tagung wurde Herrn </w:t>
      </w:r>
      <w:r w:rsidRPr="00C47725">
        <w:rPr>
          <w:lang w:val="de-DE"/>
        </w:rPr>
        <w:t xml:space="preserve">Kees van Ettekoven </w:t>
      </w:r>
      <w:r w:rsidRPr="00C47725">
        <w:rPr>
          <w:rFonts w:cs="Arial"/>
          <w:lang w:val="de-DE"/>
        </w:rPr>
        <w:t>(Niederlande) nach Abschluss seiner Amtszeit als Vorsitzender des TC von 2017 bis 2019 vom</w:t>
      </w:r>
      <w:r w:rsidR="005505D8">
        <w:rPr>
          <w:rFonts w:cs="Arial"/>
          <w:lang w:val="de-DE"/>
        </w:rPr>
        <w:t xml:space="preserve"> Stellvertretenden Generalsekretär</w:t>
      </w:r>
      <w:r w:rsidRPr="00C47725">
        <w:rPr>
          <w:rFonts w:cs="Arial"/>
          <w:lang w:val="de-DE"/>
        </w:rPr>
        <w:t xml:space="preserve"> eine UPOV-Silbermedaille verliehen. Bei der Verleihung der Medaille erinnerte der</w:t>
      </w:r>
      <w:r w:rsidR="005505D8">
        <w:rPr>
          <w:rFonts w:cs="Arial"/>
          <w:lang w:val="de-DE"/>
        </w:rPr>
        <w:t xml:space="preserve"> Stellvertretende Generalsekretär</w:t>
      </w:r>
      <w:r w:rsidR="009437FB">
        <w:rPr>
          <w:rFonts w:cs="Arial"/>
          <w:lang w:val="de-DE"/>
        </w:rPr>
        <w:t xml:space="preserve"> daran, dass Herr van </w:t>
      </w:r>
      <w:r w:rsidRPr="00C47725">
        <w:rPr>
          <w:rFonts w:cs="Arial"/>
          <w:lang w:val="de-DE"/>
        </w:rPr>
        <w:t xml:space="preserve">Ettekoven zuvor die folgenden Positionen bei </w:t>
      </w:r>
      <w:r>
        <w:rPr>
          <w:rFonts w:cs="Arial"/>
          <w:lang w:val="de-DE"/>
        </w:rPr>
        <w:t xml:space="preserve">der </w:t>
      </w:r>
      <w:r w:rsidRPr="00C47725">
        <w:rPr>
          <w:rFonts w:cs="Arial"/>
          <w:lang w:val="de-DE"/>
        </w:rPr>
        <w:t xml:space="preserve">UPOV bekleidet hatte: Vorsitzender der Arbeitsgruppe für biochemische und molekulare Verfahren und insbesondere für DNS Profilierungsverfahren (BMT) von 2015 bis 2017; stellvertretender Vorsitzender des Technischen Ausschusses (TC) von 2014 bis 2016 und Vorsitzender der Technischen Arbeitsgruppe </w:t>
      </w:r>
      <w:r>
        <w:rPr>
          <w:rFonts w:cs="Arial"/>
          <w:lang w:val="de-DE"/>
        </w:rPr>
        <w:t>für Gemüsearten</w:t>
      </w:r>
      <w:r w:rsidRPr="00C47725">
        <w:rPr>
          <w:rFonts w:cs="Arial"/>
          <w:lang w:val="de-DE"/>
        </w:rPr>
        <w:t xml:space="preserve"> (TWV) von 2003 bis 2005. Herr van Ettekoven war auch als Referent und Ausbilder bei mehreren UPOV-Kapazitätsaufbautätigkeiten in verschiedenen Regionen tätig und war weltweit bekannt und hoch angesehen.</w:t>
      </w:r>
    </w:p>
    <w:p w:rsidR="002D20DB" w:rsidRPr="00C47725" w:rsidRDefault="002D20DB" w:rsidP="002D20DB">
      <w:pPr>
        <w:rPr>
          <w:rFonts w:cstheme="minorBidi"/>
          <w:lang w:val="de-DE"/>
        </w:rPr>
      </w:pPr>
    </w:p>
    <w:p w:rsidR="002D20DB" w:rsidRPr="00C47725" w:rsidRDefault="002D20DB" w:rsidP="002D20DB">
      <w:pPr>
        <w:rPr>
          <w:rFonts w:cstheme="minorBidi"/>
          <w:lang w:val="de-DE"/>
        </w:rPr>
      </w:pPr>
      <w:r w:rsidRPr="00911643">
        <w:rPr>
          <w:rFonts w:cs="Arial"/>
          <w:lang w:val="de-DE"/>
        </w:rPr>
        <w:fldChar w:fldCharType="begin"/>
      </w:r>
      <w:r w:rsidRPr="00911643">
        <w:rPr>
          <w:rFonts w:cs="Arial"/>
          <w:lang w:val="de-DE"/>
        </w:rPr>
        <w:instrText xml:space="preserve"> AUTONUM  </w:instrText>
      </w:r>
      <w:r w:rsidRPr="00911643">
        <w:rPr>
          <w:rFonts w:cs="Arial"/>
          <w:lang w:val="de-DE"/>
        </w:rPr>
        <w:fldChar w:fldCharType="end"/>
      </w:r>
      <w:r w:rsidRPr="00C47725">
        <w:rPr>
          <w:rFonts w:cs="Arial"/>
          <w:lang w:val="de-DE"/>
        </w:rPr>
        <w:tab/>
      </w:r>
      <w:r>
        <w:rPr>
          <w:rFonts w:cs="Arial"/>
          <w:lang w:val="de-DE"/>
        </w:rPr>
        <w:t>I</w:t>
      </w:r>
      <w:r w:rsidRPr="00C47725">
        <w:rPr>
          <w:lang w:val="de-DE"/>
        </w:rPr>
        <w:t>m Hinblick auf die Leistungen des TC unter dem Vorsitz von Herrn van Ettekoven betonte der</w:t>
      </w:r>
      <w:r w:rsidR="005505D8">
        <w:rPr>
          <w:lang w:val="de-DE"/>
        </w:rPr>
        <w:t xml:space="preserve"> Stellvertretende Generalsekretär</w:t>
      </w:r>
      <w:r w:rsidRPr="00C47725">
        <w:rPr>
          <w:lang w:val="de-DE"/>
        </w:rPr>
        <w:t xml:space="preserve"> Folgendes: die Annahme 65 neuer oder überarbeiteter Prüfungsrichtlinien</w:t>
      </w:r>
      <w:r w:rsidRPr="00C47725">
        <w:rPr>
          <w:rFonts w:cstheme="minorBidi"/>
          <w:lang w:val="de-DE"/>
        </w:rPr>
        <w:t xml:space="preserve">; die Initiative, die Sitzungen der BMT und TWC in derselben Woche und an demselben Ort zusammenzufassen; die Umstrukturierung der TC-Tagungen, </w:t>
      </w:r>
      <w:r>
        <w:rPr>
          <w:rFonts w:cstheme="minorBidi"/>
          <w:lang w:val="de-DE"/>
        </w:rPr>
        <w:t>um</w:t>
      </w:r>
      <w:r w:rsidRPr="00C47725">
        <w:rPr>
          <w:rFonts w:cstheme="minorBidi"/>
          <w:lang w:val="de-DE"/>
        </w:rPr>
        <w:t xml:space="preserve"> zusammen mit dem Rat </w:t>
      </w:r>
      <w:r>
        <w:rPr>
          <w:rFonts w:cstheme="minorBidi"/>
          <w:lang w:val="de-DE"/>
        </w:rPr>
        <w:t>ab</w:t>
      </w:r>
      <w:r w:rsidRPr="00C47725">
        <w:rPr>
          <w:rFonts w:cstheme="minorBidi"/>
          <w:lang w:val="de-DE"/>
        </w:rPr>
        <w:t xml:space="preserve">gehalten und auf 2 Tage verkürzt </w:t>
      </w:r>
      <w:r>
        <w:rPr>
          <w:rFonts w:cstheme="minorBidi"/>
          <w:lang w:val="de-DE"/>
        </w:rPr>
        <w:t xml:space="preserve">zu </w:t>
      </w:r>
      <w:r w:rsidRPr="00C47725">
        <w:rPr>
          <w:rFonts w:cstheme="minorBidi"/>
          <w:lang w:val="de-DE"/>
        </w:rPr>
        <w:t>werden; die Einführung eines Verfahrens zur Annahme von Prüfungsrichtlinien auf dem Schriftweg; die Überprüfung der vorbereitende</w:t>
      </w:r>
      <w:r>
        <w:rPr>
          <w:rFonts w:cstheme="minorBidi"/>
          <w:lang w:val="de-DE"/>
        </w:rPr>
        <w:t>n</w:t>
      </w:r>
      <w:r w:rsidRPr="00C47725">
        <w:rPr>
          <w:rFonts w:cstheme="minorBidi"/>
          <w:lang w:val="de-DE"/>
        </w:rPr>
        <w:t xml:space="preserve"> Arbeitstagungen; Zusammenarbeit mit ISTA und OECD bei der Verwendung von DNS-basierten Informationen für ihre jeweiligen Zwecke; die Initiative, nach Möglichkeiten zur Verbesserung der internationalen Zusammenarbeit bei der DUS-Prüfung zu suchen; und die Überarbeitung folgender Dokumente</w:t>
      </w:r>
      <w:r w:rsidRPr="00C47725">
        <w:rPr>
          <w:lang w:val="de-DE"/>
        </w:rPr>
        <w:t>: TGP/5</w:t>
      </w:r>
      <w:r>
        <w:rPr>
          <w:lang w:val="de-DE"/>
        </w:rPr>
        <w:t xml:space="preserve"> „</w:t>
      </w:r>
      <w:r w:rsidRPr="00A12FA4">
        <w:rPr>
          <w:lang w:val="de-DE"/>
        </w:rPr>
        <w:t>Erfahrung und Zusammenarbeit bei der DUS-Prüfung</w:t>
      </w:r>
      <w:r>
        <w:rPr>
          <w:lang w:val="de-DE"/>
        </w:rPr>
        <w:t>“</w:t>
      </w:r>
      <w:r w:rsidRPr="00C47725">
        <w:rPr>
          <w:lang w:val="de-DE"/>
        </w:rPr>
        <w:t>, TGP/7</w:t>
      </w:r>
      <w:r>
        <w:rPr>
          <w:lang w:val="de-DE"/>
        </w:rPr>
        <w:t xml:space="preserve"> „</w:t>
      </w:r>
      <w:r w:rsidRPr="00C47725">
        <w:rPr>
          <w:lang w:val="de-DE"/>
        </w:rPr>
        <w:t>Erstellung von Prüfungsrichtlinien</w:t>
      </w:r>
      <w:r>
        <w:rPr>
          <w:lang w:val="de-DE"/>
        </w:rPr>
        <w:t>“</w:t>
      </w:r>
      <w:r w:rsidRPr="00C47725">
        <w:rPr>
          <w:lang w:val="de-DE"/>
        </w:rPr>
        <w:t>, TGP/8</w:t>
      </w:r>
      <w:r>
        <w:rPr>
          <w:lang w:val="de-DE"/>
        </w:rPr>
        <w:t xml:space="preserve"> „</w:t>
      </w:r>
      <w:r w:rsidRPr="00C47725">
        <w:rPr>
          <w:lang w:val="de-DE"/>
        </w:rPr>
        <w:t>Prüfungsanlage und Verfahren für die Prüfung der Unterscheidbarkeit, der Homogenität und der Beständigkeit</w:t>
      </w:r>
      <w:r>
        <w:rPr>
          <w:lang w:val="de-DE"/>
        </w:rPr>
        <w:t>“</w:t>
      </w:r>
      <w:r w:rsidRPr="00C47725">
        <w:rPr>
          <w:lang w:val="de-DE"/>
        </w:rPr>
        <w:t>, TGP/10</w:t>
      </w:r>
      <w:r>
        <w:rPr>
          <w:lang w:val="de-DE"/>
        </w:rPr>
        <w:t xml:space="preserve"> „</w:t>
      </w:r>
      <w:r w:rsidRPr="00C47725">
        <w:rPr>
          <w:lang w:val="de-DE"/>
        </w:rPr>
        <w:t>Prüfung der Homogenität</w:t>
      </w:r>
      <w:r>
        <w:rPr>
          <w:lang w:val="de-DE"/>
        </w:rPr>
        <w:t>“</w:t>
      </w:r>
      <w:r w:rsidRPr="00C47725">
        <w:rPr>
          <w:lang w:val="de-DE"/>
        </w:rPr>
        <w:t>; TGP/14 Glossar der in den UPOV-Dokumenten verwendeten Begriffe</w:t>
      </w:r>
      <w:r>
        <w:rPr>
          <w:lang w:val="de-DE"/>
        </w:rPr>
        <w:t>“</w:t>
      </w:r>
      <w:r w:rsidRPr="00C47725">
        <w:rPr>
          <w:lang w:val="de-DE"/>
        </w:rPr>
        <w:t>; und TGP/15</w:t>
      </w:r>
      <w:r>
        <w:rPr>
          <w:lang w:val="de-DE"/>
        </w:rPr>
        <w:t xml:space="preserve"> „</w:t>
      </w:r>
      <w:r w:rsidRPr="00C47725">
        <w:rPr>
          <w:lang w:val="de-DE"/>
        </w:rPr>
        <w:t xml:space="preserve">Anleitung zur Verwendung </w:t>
      </w:r>
      <w:r>
        <w:rPr>
          <w:lang w:val="de-DE"/>
        </w:rPr>
        <w:t>biochemischer und molekularer Marker</w:t>
      </w:r>
      <w:r w:rsidRPr="00C47725">
        <w:rPr>
          <w:lang w:val="de-DE"/>
        </w:rPr>
        <w:t xml:space="preserve"> bei der Prüfung der Unterscheidbarkeit, der Homogenität und der Beständigkeit (DUS)</w:t>
      </w:r>
      <w:r>
        <w:rPr>
          <w:lang w:val="de-DE"/>
        </w:rPr>
        <w:t>“</w:t>
      </w:r>
      <w:r w:rsidRPr="00C47725">
        <w:rPr>
          <w:lang w:val="de-DE"/>
        </w:rPr>
        <w:t>.</w:t>
      </w:r>
    </w:p>
    <w:p w:rsidR="002D20DB" w:rsidRPr="00C47725" w:rsidRDefault="002D20DB" w:rsidP="002D20DB">
      <w:pPr>
        <w:rPr>
          <w:lang w:val="de-DE"/>
        </w:rPr>
      </w:pPr>
    </w:p>
    <w:p w:rsidR="002D20DB" w:rsidRPr="000E6F70" w:rsidRDefault="002D20DB" w:rsidP="002D20DB">
      <w:pPr>
        <w:pStyle w:val="DecisionParagraphs"/>
        <w:rPr>
          <w:lang w:val="fr-CH"/>
        </w:rPr>
      </w:pPr>
      <w:r w:rsidRPr="00C47725">
        <w:rPr>
          <w:lang w:val="de-DE"/>
        </w:rPr>
        <w:fldChar w:fldCharType="begin"/>
      </w:r>
      <w:r w:rsidRPr="00C47725">
        <w:rPr>
          <w:lang w:val="de-DE"/>
        </w:rPr>
        <w:instrText xml:space="preserve"> AUTONUM  </w:instrText>
      </w:r>
      <w:r w:rsidRPr="00C47725">
        <w:rPr>
          <w:lang w:val="de-DE"/>
        </w:rPr>
        <w:fldChar w:fldCharType="end"/>
      </w:r>
      <w:r w:rsidRPr="00C47725">
        <w:rPr>
          <w:lang w:val="de-DE"/>
        </w:rPr>
        <w:tab/>
        <w:t xml:space="preserve">Der TC nahm diesen Bericht am Schluss seiner Tagung am 29. </w:t>
      </w:r>
      <w:r w:rsidRPr="000E6F70">
        <w:rPr>
          <w:lang w:val="fr-CH"/>
        </w:rPr>
        <w:t>Oktober 2019 an.</w:t>
      </w:r>
    </w:p>
    <w:p w:rsidR="002D20DB" w:rsidRPr="000E6F70" w:rsidRDefault="002D20DB" w:rsidP="002D20DB">
      <w:pPr>
        <w:rPr>
          <w:lang w:val="fr-CH"/>
        </w:rPr>
      </w:pPr>
    </w:p>
    <w:p w:rsidR="002D20DB" w:rsidRPr="000E6F70" w:rsidRDefault="002D20DB" w:rsidP="002D20DB">
      <w:pPr>
        <w:rPr>
          <w:lang w:val="fr-CH"/>
        </w:rPr>
      </w:pPr>
    </w:p>
    <w:p w:rsidR="002D20DB" w:rsidRPr="000E6F70" w:rsidRDefault="002D20DB" w:rsidP="002D20DB">
      <w:pPr>
        <w:rPr>
          <w:lang w:val="fr-CH"/>
        </w:rPr>
      </w:pPr>
    </w:p>
    <w:p w:rsidR="002D20DB" w:rsidRPr="000E6F70" w:rsidRDefault="002D20DB" w:rsidP="002D20DB">
      <w:pPr>
        <w:jc w:val="right"/>
        <w:rPr>
          <w:lang w:val="fr-CH"/>
        </w:rPr>
      </w:pPr>
      <w:r w:rsidRPr="000E6F70">
        <w:rPr>
          <w:lang w:val="fr-CH"/>
        </w:rPr>
        <w:t xml:space="preserve"> [Anlage I folgt]</w:t>
      </w:r>
    </w:p>
    <w:p w:rsidR="002D20DB" w:rsidRPr="000E6F70" w:rsidRDefault="002D20DB" w:rsidP="002D20DB">
      <w:pPr>
        <w:jc w:val="left"/>
        <w:rPr>
          <w:lang w:val="fr-CH"/>
        </w:rPr>
        <w:sectPr w:rsidR="002D20DB" w:rsidRPr="000E6F70" w:rsidSect="002B5125">
          <w:type w:val="continuous"/>
          <w:pgSz w:w="11907" w:h="16840" w:code="9"/>
          <w:pgMar w:top="510" w:right="1134" w:bottom="1134" w:left="1134" w:header="510" w:footer="680" w:gutter="0"/>
          <w:cols w:space="720"/>
          <w:titlePg/>
        </w:sectPr>
      </w:pPr>
    </w:p>
    <w:p w:rsidR="009437FB" w:rsidRPr="009437FB" w:rsidRDefault="009437FB" w:rsidP="009437FB">
      <w:pPr>
        <w:jc w:val="center"/>
        <w:rPr>
          <w:lang w:val="fr-CH"/>
        </w:rPr>
      </w:pPr>
      <w:r w:rsidRPr="009437FB">
        <w:rPr>
          <w:lang w:val="fr-CH"/>
        </w:rPr>
        <w:lastRenderedPageBreak/>
        <w:t xml:space="preserve">LISTE DES PARTICIPANTS / LIST OF PARTICIPANTS / </w:t>
      </w:r>
      <w:r w:rsidRPr="009437FB">
        <w:rPr>
          <w:lang w:val="fr-CH"/>
        </w:rPr>
        <w:br/>
        <w:t>TEILNEHMERLISTE / LISTA DE PARTICIPANTES</w:t>
      </w:r>
    </w:p>
    <w:p w:rsidR="009437FB" w:rsidRPr="009437FB" w:rsidRDefault="009437FB" w:rsidP="009437FB">
      <w:pPr>
        <w:jc w:val="center"/>
        <w:rPr>
          <w:lang w:val="fr-CH"/>
        </w:rPr>
      </w:pPr>
    </w:p>
    <w:p w:rsidR="009437FB" w:rsidRPr="009437FB" w:rsidRDefault="009437FB" w:rsidP="009437FB">
      <w:pPr>
        <w:jc w:val="center"/>
        <w:rPr>
          <w:lang w:val="fr-CH"/>
        </w:rPr>
      </w:pPr>
      <w:r w:rsidRPr="009437FB">
        <w:rPr>
          <w:lang w:val="fr-CH"/>
        </w:rPr>
        <w:t>(dans l’ordre alphabétique des noms français des membres /</w:t>
      </w:r>
      <w:r w:rsidRPr="009437FB">
        <w:rPr>
          <w:lang w:val="fr-CH"/>
        </w:rPr>
        <w:br/>
        <w:t>in the alphabetical order of the French names of the Members /</w:t>
      </w:r>
      <w:r w:rsidRPr="009437FB">
        <w:rPr>
          <w:lang w:val="fr-CH"/>
        </w:rPr>
        <w:br/>
        <w:t>in alphabetischer Reihenfolge der französischen Namen der Mitglieder /</w:t>
      </w:r>
      <w:r w:rsidRPr="009437FB">
        <w:rPr>
          <w:lang w:val="fr-CH"/>
        </w:rPr>
        <w:br/>
        <w:t>por orden alfabético de los nombres en francés de los miembros)</w:t>
      </w:r>
    </w:p>
    <w:p w:rsidR="009437FB" w:rsidRPr="009437FB" w:rsidRDefault="009437FB" w:rsidP="009437FB">
      <w:pPr>
        <w:keepNext/>
        <w:spacing w:before="480" w:after="120"/>
        <w:jc w:val="center"/>
        <w:rPr>
          <w:caps/>
          <w:snapToGrid w:val="0"/>
          <w:u w:val="single"/>
          <w:lang w:val="fr-CH"/>
        </w:rPr>
      </w:pPr>
      <w:r w:rsidRPr="009437FB">
        <w:rPr>
          <w:caps/>
          <w:snapToGrid w:val="0"/>
          <w:u w:val="single"/>
          <w:lang w:val="fr-CH"/>
        </w:rPr>
        <w:t>I. MEMBRES / MEMBERS / VERBANDSMITGLIEDER / MIEMBROS</w:t>
      </w:r>
    </w:p>
    <w:p w:rsidR="009437FB" w:rsidRPr="009437FB" w:rsidRDefault="009437FB" w:rsidP="009437FB">
      <w:pPr>
        <w:keepNext/>
        <w:keepLines/>
        <w:spacing w:before="180" w:after="120"/>
        <w:jc w:val="left"/>
        <w:rPr>
          <w:caps/>
          <w:noProof/>
          <w:snapToGrid w:val="0"/>
          <w:u w:val="single"/>
          <w:lang w:val="fr-CH"/>
        </w:rPr>
      </w:pPr>
      <w:r w:rsidRPr="009437FB">
        <w:rPr>
          <w:caps/>
          <w:noProof/>
          <w:snapToGrid w:val="0"/>
          <w:u w:val="single"/>
          <w:lang w:val="fr-CH"/>
        </w:rPr>
        <w:t>AFRIQUE DU SUD / SOUTH AFRICA / SÜDAFRIKA / SUDÁFRICA</w:t>
      </w:r>
    </w:p>
    <w:p w:rsidR="009437FB" w:rsidRPr="009437FB" w:rsidRDefault="009437FB" w:rsidP="009437FB">
      <w:pPr>
        <w:keepLines/>
        <w:spacing w:before="60" w:after="60"/>
        <w:jc w:val="left"/>
        <w:rPr>
          <w:noProof/>
          <w:snapToGrid w:val="0"/>
          <w:lang w:val="fr-CH"/>
        </w:rPr>
      </w:pPr>
      <w:r w:rsidRPr="009437FB">
        <w:rPr>
          <w:noProof/>
          <w:snapToGrid w:val="0"/>
          <w:lang w:val="fr-CH"/>
        </w:rPr>
        <w:t xml:space="preserve">Noluthando NETNOU-NKOANA (Ms.), Director, Genetic Resources, Department of Agriculture, Forestry and Fisheries, Pretoria </w:t>
      </w:r>
      <w:r w:rsidRPr="009437FB">
        <w:rPr>
          <w:noProof/>
          <w:snapToGrid w:val="0"/>
          <w:lang w:val="fr-CH"/>
        </w:rPr>
        <w:br/>
        <w:t>(e-mail: noluthandon@daff.gov.za)</w:t>
      </w:r>
    </w:p>
    <w:p w:rsidR="009437FB" w:rsidRPr="009437FB" w:rsidRDefault="009437FB" w:rsidP="009437FB">
      <w:pPr>
        <w:keepNext/>
        <w:keepLines/>
        <w:spacing w:before="180" w:after="120"/>
        <w:jc w:val="left"/>
        <w:rPr>
          <w:caps/>
          <w:noProof/>
          <w:snapToGrid w:val="0"/>
          <w:u w:val="single"/>
          <w:lang w:val="de-DE"/>
        </w:rPr>
      </w:pPr>
      <w:r w:rsidRPr="009437FB">
        <w:rPr>
          <w:caps/>
          <w:noProof/>
          <w:snapToGrid w:val="0"/>
          <w:u w:val="single"/>
          <w:lang w:val="de-DE"/>
        </w:rPr>
        <w:t>ALLEMAGNE / GERMANY / DEUTSCHLAND / ALEMANIA</w:t>
      </w:r>
    </w:p>
    <w:p w:rsidR="009437FB" w:rsidRPr="009437FB" w:rsidRDefault="009437FB" w:rsidP="009437FB">
      <w:pPr>
        <w:keepLines/>
        <w:spacing w:before="60" w:after="60"/>
        <w:jc w:val="left"/>
        <w:rPr>
          <w:noProof/>
          <w:snapToGrid w:val="0"/>
          <w:lang w:val="de-DE"/>
        </w:rPr>
      </w:pPr>
      <w:r w:rsidRPr="009437FB">
        <w:rPr>
          <w:noProof/>
          <w:snapToGrid w:val="0"/>
          <w:lang w:val="de-DE"/>
        </w:rPr>
        <w:t xml:space="preserve">Beate RÜCKER (Ms.), Head of Departement, Bundessortenamt, Hanover </w:t>
      </w:r>
      <w:r w:rsidRPr="009437FB">
        <w:rPr>
          <w:noProof/>
          <w:snapToGrid w:val="0"/>
          <w:lang w:val="de-DE"/>
        </w:rPr>
        <w:br/>
        <w:t>(e-mail: beate.ruecker@bundessortenamt.de)</w:t>
      </w:r>
    </w:p>
    <w:p w:rsidR="009437FB" w:rsidRPr="009437FB" w:rsidRDefault="009437FB" w:rsidP="009437FB">
      <w:pPr>
        <w:keepNext/>
        <w:keepLines/>
        <w:spacing w:before="180" w:after="120"/>
        <w:jc w:val="left"/>
        <w:rPr>
          <w:caps/>
          <w:noProof/>
          <w:snapToGrid w:val="0"/>
          <w:u w:val="single"/>
          <w:lang w:val="es-ES"/>
        </w:rPr>
      </w:pPr>
      <w:r w:rsidRPr="009437FB">
        <w:rPr>
          <w:caps/>
          <w:noProof/>
          <w:snapToGrid w:val="0"/>
          <w:u w:val="single"/>
          <w:lang w:val="es-ES"/>
        </w:rPr>
        <w:t>ARGENTINE / ARGENTINA / ARGENTINIEN / ARGENTINA</w:t>
      </w:r>
    </w:p>
    <w:p w:rsidR="009437FB" w:rsidRPr="009437FB" w:rsidRDefault="009437FB" w:rsidP="009437FB">
      <w:pPr>
        <w:keepLines/>
        <w:spacing w:before="60" w:after="60"/>
        <w:jc w:val="left"/>
        <w:rPr>
          <w:noProof/>
          <w:snapToGrid w:val="0"/>
          <w:lang w:val="es-ES_tradnl"/>
        </w:rPr>
      </w:pPr>
      <w:r w:rsidRPr="009437FB">
        <w:rPr>
          <w:noProof/>
          <w:snapToGrid w:val="0"/>
          <w:lang w:val="es-ES_tradnl"/>
        </w:rPr>
        <w:t xml:space="preserve">Raimundo LAVIGNOLLE (Sr.), </w:t>
      </w:r>
      <w:r w:rsidRPr="009437FB">
        <w:rPr>
          <w:noProof/>
          <w:snapToGrid w:val="0"/>
          <w:lang w:val="es-ES"/>
        </w:rPr>
        <w:t>Presidente del Directorio, Instituto Nacional de Semillas (INASE), Secretaría de Agricultura, Ganadería, Pesca y Alimentación, Buenos Aires</w:t>
      </w:r>
      <w:r w:rsidRPr="009437FB">
        <w:rPr>
          <w:noProof/>
          <w:snapToGrid w:val="0"/>
          <w:lang w:val="es-ES_tradnl"/>
        </w:rPr>
        <w:t xml:space="preserve">  </w:t>
      </w:r>
      <w:r w:rsidRPr="009437FB">
        <w:rPr>
          <w:noProof/>
          <w:snapToGrid w:val="0"/>
          <w:lang w:val="es-ES_tradnl"/>
        </w:rPr>
        <w:br/>
        <w:t xml:space="preserve">(e-mail: rlavignolle@inase.gov.ar) </w:t>
      </w:r>
    </w:p>
    <w:p w:rsidR="009437FB" w:rsidRPr="009437FB" w:rsidRDefault="009437FB" w:rsidP="009437FB">
      <w:pPr>
        <w:keepLines/>
        <w:spacing w:before="60" w:after="60"/>
        <w:jc w:val="left"/>
        <w:rPr>
          <w:noProof/>
          <w:snapToGrid w:val="0"/>
          <w:lang w:val="es-ES_tradnl"/>
        </w:rPr>
      </w:pPr>
      <w:r w:rsidRPr="009437FB">
        <w:rPr>
          <w:noProof/>
          <w:snapToGrid w:val="0"/>
          <w:lang w:val="es-ES_tradnl"/>
        </w:rPr>
        <w:t xml:space="preserve">María Laura VILLAMAYOR (Sra.), </w:t>
      </w:r>
      <w:r w:rsidRPr="009437FB">
        <w:rPr>
          <w:noProof/>
          <w:snapToGrid w:val="0"/>
          <w:lang w:val="es-ES"/>
        </w:rPr>
        <w:t>Coordinadora de Propiedad Intelectual y Recursos Fitogenéticos, Secretaría de Agricultura, Ganadería, Pesca y Alimentación, Buenos Aires</w:t>
      </w:r>
      <w:r w:rsidRPr="009437FB">
        <w:rPr>
          <w:noProof/>
          <w:snapToGrid w:val="0"/>
          <w:lang w:val="es-ES_tradnl"/>
        </w:rPr>
        <w:t xml:space="preserve">  </w:t>
      </w:r>
      <w:r w:rsidRPr="009437FB">
        <w:rPr>
          <w:noProof/>
          <w:snapToGrid w:val="0"/>
          <w:lang w:val="es-ES_tradnl"/>
        </w:rPr>
        <w:br/>
        <w:t>(e-mail: mlvillamayor@inase.gov.ar)</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AUSTRALIE / AUSTRALIA / AUSTRALIEN / AUSTRALIA</w:t>
      </w:r>
    </w:p>
    <w:p w:rsidR="009437FB" w:rsidRPr="009437FB" w:rsidRDefault="009437FB" w:rsidP="009437FB">
      <w:pPr>
        <w:keepLines/>
        <w:spacing w:before="60" w:after="60"/>
        <w:jc w:val="left"/>
        <w:rPr>
          <w:noProof/>
          <w:snapToGrid w:val="0"/>
        </w:rPr>
      </w:pPr>
      <w:r w:rsidRPr="009437FB">
        <w:rPr>
          <w:noProof/>
          <w:snapToGrid w:val="0"/>
        </w:rPr>
        <w:t xml:space="preserve">Nik HULSE (Mr.), Chief of Plant Breeders' Rights, Plant Breeder's Rights Office, IP Australia, Woden </w:t>
      </w:r>
      <w:r w:rsidRPr="009437FB">
        <w:rPr>
          <w:noProof/>
          <w:snapToGrid w:val="0"/>
        </w:rPr>
        <w:br/>
        <w:t xml:space="preserve">(e-mail: nik.hulse@ipaustralia.gov.au) </w:t>
      </w:r>
    </w:p>
    <w:p w:rsidR="009437FB" w:rsidRPr="009437FB" w:rsidRDefault="009437FB" w:rsidP="009437FB">
      <w:pPr>
        <w:keepNext/>
        <w:keepLines/>
        <w:spacing w:before="180" w:after="120"/>
        <w:jc w:val="left"/>
        <w:rPr>
          <w:caps/>
          <w:noProof/>
          <w:snapToGrid w:val="0"/>
          <w:u w:val="single"/>
          <w:lang w:val="de-DE"/>
        </w:rPr>
      </w:pPr>
      <w:r w:rsidRPr="009437FB">
        <w:rPr>
          <w:caps/>
          <w:noProof/>
          <w:snapToGrid w:val="0"/>
          <w:u w:val="single"/>
          <w:lang w:val="de-DE"/>
        </w:rPr>
        <w:t>AUTRICHE / AUSTRIA / ÖSTERREICH / AUSTRIA</w:t>
      </w:r>
    </w:p>
    <w:p w:rsidR="009437FB" w:rsidRPr="009437FB" w:rsidRDefault="009437FB" w:rsidP="009437FB">
      <w:pPr>
        <w:keepLines/>
        <w:spacing w:before="60" w:after="60"/>
        <w:jc w:val="left"/>
        <w:rPr>
          <w:noProof/>
          <w:snapToGrid w:val="0"/>
          <w:lang w:val="de-DE"/>
        </w:rPr>
      </w:pPr>
      <w:r w:rsidRPr="009437FB">
        <w:rPr>
          <w:noProof/>
          <w:snapToGrid w:val="0"/>
          <w:lang w:val="de-DE"/>
        </w:rPr>
        <w:t>Barbara FÜRNWEGER (Frau), Leiterin, Abteilung Sortenschutz und Registerprüfung, Institut für Saat- und Pflanzgut, Pflanzenschutzdienst und Bienen, Österreichische Agentur für Gesundheit und Ernährungssicherheit GmbH, Wien</w:t>
      </w:r>
      <w:r w:rsidRPr="009437FB">
        <w:rPr>
          <w:noProof/>
          <w:snapToGrid w:val="0"/>
          <w:lang w:val="de-DE"/>
        </w:rPr>
        <w:br/>
        <w:t xml:space="preserve">(e-mail: barbara.fuernweger@ages.at) </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BÉLARUS / BELARUS / BELARUS / BELARÚS</w:t>
      </w:r>
    </w:p>
    <w:p w:rsidR="009437FB" w:rsidRPr="009437FB" w:rsidRDefault="009437FB" w:rsidP="009437FB">
      <w:pPr>
        <w:keepLines/>
        <w:spacing w:before="60" w:after="60"/>
        <w:jc w:val="left"/>
        <w:rPr>
          <w:noProof/>
          <w:snapToGrid w:val="0"/>
        </w:rPr>
      </w:pPr>
      <w:r w:rsidRPr="009437FB">
        <w:rPr>
          <w:noProof/>
          <w:snapToGrid w:val="0"/>
        </w:rPr>
        <w:t xml:space="preserve">Vladzimir HRAKUN (Mr.), Deputy Minister, Ministry of Agriculture and Food Production, Minsk </w:t>
      </w:r>
      <w:r w:rsidRPr="009437FB">
        <w:rPr>
          <w:noProof/>
          <w:snapToGrid w:val="0"/>
        </w:rPr>
        <w:br/>
        <w:t>(e-mail: belsort@sorttest.by)</w:t>
      </w:r>
    </w:p>
    <w:p w:rsidR="009437FB" w:rsidRPr="009437FB" w:rsidRDefault="009437FB" w:rsidP="009437FB">
      <w:pPr>
        <w:keepLines/>
        <w:spacing w:before="60" w:after="60"/>
        <w:jc w:val="left"/>
        <w:rPr>
          <w:noProof/>
          <w:snapToGrid w:val="0"/>
        </w:rPr>
      </w:pPr>
      <w:r w:rsidRPr="009437FB">
        <w:rPr>
          <w:noProof/>
          <w:snapToGrid w:val="0"/>
        </w:rPr>
        <w:t xml:space="preserve">Uladzimir BEINIA (Mr.), Director, State Inspection for Testing and Protection of Plant Varieties, Minsk </w:t>
      </w:r>
      <w:r w:rsidRPr="009437FB">
        <w:rPr>
          <w:noProof/>
          <w:snapToGrid w:val="0"/>
        </w:rPr>
        <w:br/>
        <w:t xml:space="preserve">(e-mail: belsort@sorttest.by) </w:t>
      </w:r>
    </w:p>
    <w:p w:rsidR="009437FB" w:rsidRPr="009437FB" w:rsidRDefault="009437FB" w:rsidP="009437FB">
      <w:pPr>
        <w:keepLines/>
        <w:spacing w:before="60" w:after="60"/>
        <w:jc w:val="left"/>
        <w:rPr>
          <w:noProof/>
          <w:snapToGrid w:val="0"/>
        </w:rPr>
      </w:pPr>
      <w:r w:rsidRPr="009437FB">
        <w:rPr>
          <w:noProof/>
          <w:snapToGrid w:val="0"/>
        </w:rPr>
        <w:t xml:space="preserve">Tatsiana SIAMASHKA (Ms.), Deputy Director of DUS Testing, State Inspection for Testing and Protection of Plant Varieties, Minsk  </w:t>
      </w:r>
      <w:r w:rsidRPr="009437FB">
        <w:rPr>
          <w:noProof/>
          <w:snapToGrid w:val="0"/>
        </w:rPr>
        <w:br/>
        <w:t xml:space="preserve">(e-mail: tatianasortr@mail.ru) </w:t>
      </w:r>
    </w:p>
    <w:p w:rsidR="009437FB" w:rsidRPr="009437FB" w:rsidRDefault="009437FB" w:rsidP="009437FB">
      <w:pPr>
        <w:keepLines/>
        <w:spacing w:before="60" w:after="60"/>
        <w:jc w:val="left"/>
        <w:rPr>
          <w:noProof/>
          <w:snapToGrid w:val="0"/>
        </w:rPr>
      </w:pPr>
      <w:r w:rsidRPr="009437FB">
        <w:rPr>
          <w:noProof/>
          <w:snapToGrid w:val="0"/>
        </w:rPr>
        <w:t xml:space="preserve">Maryna SALADUKHA (Ms.), Deputy Head, International Cooperation Department, State Inspection for Testing and Protection of Plant Varieties, Minsk </w:t>
      </w:r>
      <w:r w:rsidRPr="009437FB">
        <w:rPr>
          <w:noProof/>
          <w:snapToGrid w:val="0"/>
        </w:rPr>
        <w:br/>
        <w:t>(e-mail: belsort@mail.ru)</w:t>
      </w:r>
    </w:p>
    <w:p w:rsidR="009437FB" w:rsidRPr="009437FB" w:rsidRDefault="009437FB" w:rsidP="009437FB">
      <w:pPr>
        <w:keepNext/>
        <w:spacing w:before="180" w:after="120"/>
        <w:jc w:val="left"/>
        <w:rPr>
          <w:caps/>
          <w:noProof/>
          <w:snapToGrid w:val="0"/>
          <w:u w:val="single"/>
          <w:lang w:val="es-ES_tradnl"/>
        </w:rPr>
      </w:pPr>
      <w:r w:rsidRPr="009437FB">
        <w:rPr>
          <w:caps/>
          <w:noProof/>
          <w:snapToGrid w:val="0"/>
          <w:u w:val="single"/>
          <w:lang w:val="es-ES_tradnl"/>
        </w:rPr>
        <w:lastRenderedPageBreak/>
        <w:t xml:space="preserve">BOLIVIE (ÉTAT PLURINATIONAL DE) / BOLIVIA (PLURINATIONAL STATE OF) / </w:t>
      </w:r>
      <w:r w:rsidRPr="009437FB">
        <w:rPr>
          <w:caps/>
          <w:noProof/>
          <w:snapToGrid w:val="0"/>
          <w:u w:val="single"/>
          <w:lang w:val="es-ES_tradnl"/>
        </w:rPr>
        <w:br/>
        <w:t>BOLIVIEN (PLURINATIONALER STAAT) / BOLIVIA (ESTADO PLURINACIONAL DE)</w:t>
      </w:r>
    </w:p>
    <w:p w:rsidR="009437FB" w:rsidRPr="009437FB" w:rsidRDefault="009437FB" w:rsidP="009437FB">
      <w:pPr>
        <w:keepNext/>
        <w:spacing w:before="60" w:after="60"/>
        <w:jc w:val="left"/>
        <w:rPr>
          <w:noProof/>
          <w:snapToGrid w:val="0"/>
          <w:lang w:val="es-ES"/>
        </w:rPr>
      </w:pPr>
      <w:r w:rsidRPr="009437FB">
        <w:rPr>
          <w:noProof/>
          <w:snapToGrid w:val="0"/>
          <w:lang w:val="es-ES"/>
        </w:rPr>
        <w:t xml:space="preserve">Sergio Rider ANDRADE CÁCERES (Sr.), Director Nacional de Semillas, Instituto Nacional de Innovación Agropecuaria y Forestal (INIAF), La Paz </w:t>
      </w:r>
      <w:r w:rsidRPr="009437FB">
        <w:rPr>
          <w:noProof/>
          <w:snapToGrid w:val="0"/>
          <w:lang w:val="es-ES"/>
        </w:rPr>
        <w:br/>
        <w:t>(e-mail: rideran@yahoo.es)</w:t>
      </w:r>
    </w:p>
    <w:p w:rsidR="009437FB" w:rsidRPr="009437FB" w:rsidRDefault="009437FB" w:rsidP="009437FB">
      <w:pPr>
        <w:keepNext/>
        <w:keepLines/>
        <w:spacing w:before="60" w:after="60"/>
        <w:jc w:val="left"/>
        <w:rPr>
          <w:noProof/>
          <w:snapToGrid w:val="0"/>
          <w:lang w:val="es-ES"/>
        </w:rPr>
      </w:pPr>
      <w:r w:rsidRPr="009437FB">
        <w:rPr>
          <w:noProof/>
          <w:snapToGrid w:val="0"/>
          <w:lang w:val="es-ES"/>
        </w:rPr>
        <w:t xml:space="preserve">Freddy CABALLERO LEDEZMA (Sr.), Responsable de la Unidad de Fiscalización y Registro de Semillas, Registros y protección de Variedades Vegetales, Instituto Nacional de Innovación Agropecuaria y Forestal (INIAF), La Paz </w:t>
      </w:r>
      <w:r w:rsidRPr="009437FB">
        <w:rPr>
          <w:noProof/>
          <w:snapToGrid w:val="0"/>
          <w:lang w:val="es-ES"/>
        </w:rPr>
        <w:br/>
        <w:t>(e-mail: calefred@yahoo.es)</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BULGARIE / BULGARIA / BULGARIEN / BULGARIA</w:t>
      </w:r>
    </w:p>
    <w:p w:rsidR="009437FB" w:rsidRPr="009437FB" w:rsidRDefault="009437FB" w:rsidP="009437FB">
      <w:pPr>
        <w:keepLines/>
        <w:spacing w:before="60" w:after="60"/>
        <w:jc w:val="left"/>
        <w:rPr>
          <w:noProof/>
          <w:snapToGrid w:val="0"/>
        </w:rPr>
      </w:pPr>
      <w:r w:rsidRPr="009437FB">
        <w:rPr>
          <w:noProof/>
          <w:snapToGrid w:val="0"/>
        </w:rPr>
        <w:t xml:space="preserve">Bistra PAVLOVSKA (Ms.), Executive Director, Executive Agency for Variety Testing, Field Inspection and Seed Control (EAVTFISC), Sofia </w:t>
      </w:r>
      <w:r w:rsidRPr="009437FB">
        <w:rPr>
          <w:noProof/>
          <w:snapToGrid w:val="0"/>
        </w:rPr>
        <w:br/>
        <w:t>(e-mail: bistra.pavlovska@iasas.government.bg)</w:t>
      </w:r>
    </w:p>
    <w:p w:rsidR="009437FB" w:rsidRPr="009437FB" w:rsidRDefault="009437FB" w:rsidP="009437FB">
      <w:pPr>
        <w:keepNext/>
        <w:keepLines/>
        <w:spacing w:before="180" w:after="120"/>
        <w:jc w:val="left"/>
        <w:rPr>
          <w:caps/>
          <w:noProof/>
          <w:snapToGrid w:val="0"/>
          <w:u w:val="single"/>
          <w:lang w:val="pt-BR"/>
        </w:rPr>
      </w:pPr>
      <w:r w:rsidRPr="009437FB">
        <w:rPr>
          <w:caps/>
          <w:noProof/>
          <w:snapToGrid w:val="0"/>
          <w:u w:val="single"/>
          <w:lang w:val="pt-BR"/>
        </w:rPr>
        <w:t>CANADA / CANADA / KANADA / CANADÁ</w:t>
      </w:r>
    </w:p>
    <w:p w:rsidR="009437FB" w:rsidRPr="009437FB" w:rsidRDefault="009437FB" w:rsidP="009437FB">
      <w:pPr>
        <w:spacing w:before="60" w:after="60"/>
        <w:jc w:val="left"/>
        <w:rPr>
          <w:noProof/>
          <w:snapToGrid w:val="0"/>
          <w:lang w:val="pt-BR"/>
        </w:rPr>
      </w:pPr>
      <w:r w:rsidRPr="009437FB">
        <w:rPr>
          <w:noProof/>
          <w:snapToGrid w:val="0"/>
          <w:lang w:val="pt-BR"/>
        </w:rPr>
        <w:t xml:space="preserve">Anthony PARKER (Mr.), Commissioner, Plant Breeders' Rights Office, Canadian Food Inspection Agency (CFIA), Ottawa </w:t>
      </w:r>
      <w:r w:rsidRPr="009437FB">
        <w:rPr>
          <w:noProof/>
          <w:snapToGrid w:val="0"/>
          <w:lang w:val="pt-BR"/>
        </w:rPr>
        <w:br/>
        <w:t xml:space="preserve">(e-mail: </w:t>
      </w:r>
      <w:r w:rsidRPr="009437FB">
        <w:rPr>
          <w:noProof/>
          <w:snapToGrid w:val="0"/>
        </w:rPr>
        <w:t>anthony.parker@canada.ca</w:t>
      </w:r>
      <w:r w:rsidRPr="009437FB">
        <w:rPr>
          <w:noProof/>
          <w:snapToGrid w:val="0"/>
          <w:lang w:val="pt-BR"/>
        </w:rPr>
        <w:t xml:space="preserve">) </w:t>
      </w:r>
    </w:p>
    <w:p w:rsidR="009437FB" w:rsidRPr="009437FB" w:rsidRDefault="009437FB" w:rsidP="009437FB">
      <w:pPr>
        <w:keepLines/>
        <w:spacing w:before="60" w:after="60"/>
        <w:jc w:val="left"/>
        <w:rPr>
          <w:noProof/>
          <w:snapToGrid w:val="0"/>
          <w:lang w:val="pt-BR"/>
        </w:rPr>
      </w:pPr>
      <w:r w:rsidRPr="009437FB">
        <w:rPr>
          <w:noProof/>
          <w:snapToGrid w:val="0"/>
          <w:lang w:val="pt-BR"/>
        </w:rPr>
        <w:t xml:space="preserve">Ashley BALCHIN (Ms.), Examiner, Plant Breeders' Rights Office, Canadian Food Inspection Agency (CFIA), Ottawa </w:t>
      </w:r>
      <w:r w:rsidRPr="009437FB">
        <w:rPr>
          <w:noProof/>
          <w:snapToGrid w:val="0"/>
          <w:lang w:val="pt-BR"/>
        </w:rPr>
        <w:br/>
        <w:t xml:space="preserve">(e-mail: </w:t>
      </w:r>
      <w:r w:rsidRPr="009437FB">
        <w:rPr>
          <w:noProof/>
          <w:snapToGrid w:val="0"/>
        </w:rPr>
        <w:t>ashley.balchin@canada.ca</w:t>
      </w:r>
      <w:r w:rsidRPr="009437FB">
        <w:rPr>
          <w:noProof/>
          <w:snapToGrid w:val="0"/>
          <w:lang w:val="pt-BR"/>
        </w:rPr>
        <w:t xml:space="preserve">) </w:t>
      </w:r>
    </w:p>
    <w:p w:rsidR="009437FB" w:rsidRPr="009437FB" w:rsidRDefault="009437FB" w:rsidP="009437FB">
      <w:pPr>
        <w:keepNext/>
        <w:keepLines/>
        <w:spacing w:before="180" w:after="120"/>
        <w:jc w:val="left"/>
        <w:rPr>
          <w:caps/>
          <w:noProof/>
          <w:snapToGrid w:val="0"/>
          <w:u w:val="single"/>
          <w:lang w:val="pt-BR"/>
        </w:rPr>
      </w:pPr>
      <w:r w:rsidRPr="009437FB">
        <w:rPr>
          <w:caps/>
          <w:noProof/>
          <w:snapToGrid w:val="0"/>
          <w:u w:val="single"/>
          <w:lang w:val="pt-BR"/>
        </w:rPr>
        <w:t>CHILI / CHILE / CHILE / CHILE</w:t>
      </w:r>
    </w:p>
    <w:p w:rsidR="009437FB" w:rsidRPr="009437FB" w:rsidRDefault="009437FB" w:rsidP="009437FB">
      <w:pPr>
        <w:keepLines/>
        <w:spacing w:before="60" w:after="60"/>
        <w:jc w:val="left"/>
        <w:rPr>
          <w:noProof/>
          <w:snapToGrid w:val="0"/>
          <w:lang w:val="es-ES"/>
        </w:rPr>
      </w:pPr>
      <w:r w:rsidRPr="009437FB">
        <w:rPr>
          <w:noProof/>
          <w:snapToGrid w:val="0"/>
          <w:lang w:val="pt-BR"/>
        </w:rPr>
        <w:t xml:space="preserve">Manuel Antonio TORO UGALDE (Sr.), Jefe Departamento, Registro de Variedades Protegidas, </w:t>
      </w:r>
      <w:r w:rsidRPr="009437FB">
        <w:rPr>
          <w:noProof/>
          <w:snapToGrid w:val="0"/>
          <w:lang w:val="pt-BR"/>
        </w:rPr>
        <w:br/>
      </w:r>
      <w:r w:rsidRPr="009437FB">
        <w:rPr>
          <w:noProof/>
          <w:snapToGrid w:val="0"/>
          <w:lang w:val="es-ES"/>
        </w:rPr>
        <w:t xml:space="preserve">División Semillas, Servicio Agrícola y Ganadero (SAG), Santiago de Chile </w:t>
      </w:r>
      <w:r w:rsidRPr="009437FB">
        <w:rPr>
          <w:noProof/>
          <w:snapToGrid w:val="0"/>
          <w:lang w:val="es-ES"/>
        </w:rPr>
        <w:br/>
        <w:t xml:space="preserve">(e-mail: manuel.toro@sag.gob.cl) </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CHINE / CHINA / CHINA / CHINA</w:t>
      </w:r>
    </w:p>
    <w:p w:rsidR="009437FB" w:rsidRPr="009437FB" w:rsidRDefault="009437FB" w:rsidP="009437FB">
      <w:pPr>
        <w:keepLines/>
        <w:spacing w:before="60" w:after="60"/>
        <w:jc w:val="left"/>
        <w:rPr>
          <w:noProof/>
          <w:snapToGrid w:val="0"/>
        </w:rPr>
      </w:pPr>
      <w:r w:rsidRPr="009437FB">
        <w:rPr>
          <w:noProof/>
          <w:snapToGrid w:val="0"/>
        </w:rPr>
        <w:t xml:space="preserve">Yehan CUI (Mr.), Division Director, Division of Plant Variety Protection, Development Center of Science &amp; Technology (DCST), MARA, Beijing </w:t>
      </w:r>
      <w:r w:rsidRPr="009437FB">
        <w:rPr>
          <w:noProof/>
          <w:snapToGrid w:val="0"/>
        </w:rPr>
        <w:br/>
        <w:t>(e-mail: cuiyehan@agri.gov.cn)</w:t>
      </w:r>
    </w:p>
    <w:p w:rsidR="009437FB" w:rsidRPr="009437FB" w:rsidRDefault="009437FB" w:rsidP="009437FB">
      <w:pPr>
        <w:keepLines/>
        <w:spacing w:before="60" w:after="60"/>
        <w:jc w:val="left"/>
        <w:rPr>
          <w:noProof/>
          <w:snapToGrid w:val="0"/>
        </w:rPr>
      </w:pPr>
      <w:r w:rsidRPr="009437FB">
        <w:rPr>
          <w:noProof/>
          <w:snapToGrid w:val="0"/>
        </w:rPr>
        <w:t xml:space="preserve">Zhiqiang MA (Mr.), Director, Division of Variety Management, Department of Seed Industry Management, Beijing </w:t>
      </w:r>
      <w:r w:rsidRPr="009437FB">
        <w:rPr>
          <w:noProof/>
          <w:snapToGrid w:val="0"/>
        </w:rPr>
        <w:br/>
        <w:t>(e-mail: zyspzc@agri.gov.cn)</w:t>
      </w:r>
    </w:p>
    <w:p w:rsidR="009437FB" w:rsidRPr="009437FB" w:rsidRDefault="009437FB" w:rsidP="009437FB">
      <w:pPr>
        <w:keepLines/>
        <w:spacing w:before="60" w:after="60"/>
        <w:jc w:val="left"/>
        <w:rPr>
          <w:noProof/>
          <w:snapToGrid w:val="0"/>
        </w:rPr>
      </w:pPr>
      <w:r w:rsidRPr="009437FB">
        <w:rPr>
          <w:noProof/>
          <w:snapToGrid w:val="0"/>
        </w:rPr>
        <w:t xml:space="preserve">Sanqun LONG (Mr.), Deputy Director General, PVP Office, National Forestry and Grassland Administration, Beijing </w:t>
      </w:r>
      <w:r w:rsidRPr="009437FB">
        <w:rPr>
          <w:noProof/>
          <w:snapToGrid w:val="0"/>
        </w:rPr>
        <w:br/>
        <w:t>(e-mail: LSQ9106@126.com)</w:t>
      </w:r>
    </w:p>
    <w:p w:rsidR="009437FB" w:rsidRPr="009437FB" w:rsidRDefault="009437FB" w:rsidP="009437FB">
      <w:pPr>
        <w:keepLines/>
        <w:spacing w:before="60" w:after="60"/>
        <w:jc w:val="left"/>
        <w:rPr>
          <w:noProof/>
          <w:snapToGrid w:val="0"/>
        </w:rPr>
      </w:pPr>
      <w:r w:rsidRPr="009437FB">
        <w:rPr>
          <w:noProof/>
          <w:snapToGrid w:val="0"/>
        </w:rPr>
        <w:t xml:space="preserve">Yongqi ZHENG (Mr.), Director, Laboratory for Molecular Testing of New Plant Varieties, Office of Protection of New Varieties of Plants, National Forestry and Grassland Administration, Beijing </w:t>
      </w:r>
      <w:r w:rsidRPr="009437FB">
        <w:rPr>
          <w:noProof/>
          <w:snapToGrid w:val="0"/>
        </w:rPr>
        <w:br/>
        <w:t>(e-mail: zhengyq@caf.ac.cn)</w:t>
      </w:r>
    </w:p>
    <w:p w:rsidR="009437FB" w:rsidRPr="009437FB" w:rsidRDefault="009437FB" w:rsidP="009437FB">
      <w:pPr>
        <w:keepLines/>
        <w:spacing w:before="60" w:after="60"/>
        <w:jc w:val="left"/>
        <w:rPr>
          <w:noProof/>
          <w:snapToGrid w:val="0"/>
        </w:rPr>
      </w:pPr>
      <w:r w:rsidRPr="009437FB">
        <w:rPr>
          <w:noProof/>
          <w:snapToGrid w:val="0"/>
        </w:rPr>
        <w:t xml:space="preserve">Wu BOXUAN (Mr.), Principal Staff, China National Intellectual Property Administration, Beijing </w:t>
      </w:r>
      <w:r w:rsidRPr="009437FB">
        <w:rPr>
          <w:noProof/>
          <w:snapToGrid w:val="0"/>
        </w:rPr>
        <w:br/>
        <w:t>(e-mail: wuboxuan@cnipa.gov.cn)</w:t>
      </w:r>
    </w:p>
    <w:p w:rsidR="009437FB" w:rsidRPr="009437FB" w:rsidRDefault="009437FB" w:rsidP="009437FB">
      <w:pPr>
        <w:keepNext/>
        <w:keepLines/>
        <w:spacing w:before="180" w:after="120"/>
        <w:jc w:val="left"/>
        <w:rPr>
          <w:caps/>
          <w:noProof/>
          <w:snapToGrid w:val="0"/>
          <w:u w:val="single"/>
          <w:lang w:val="de-DE"/>
        </w:rPr>
      </w:pPr>
      <w:r w:rsidRPr="009437FB">
        <w:rPr>
          <w:caps/>
          <w:noProof/>
          <w:snapToGrid w:val="0"/>
          <w:u w:val="single"/>
          <w:lang w:val="de-DE"/>
        </w:rPr>
        <w:t>DANEMARK / DENMARK / DÄNEMARK / DINAMARCA</w:t>
      </w:r>
    </w:p>
    <w:p w:rsidR="009437FB" w:rsidRPr="009437FB" w:rsidRDefault="009437FB" w:rsidP="009437FB">
      <w:pPr>
        <w:keepLines/>
        <w:spacing w:before="60" w:after="60"/>
        <w:jc w:val="left"/>
        <w:rPr>
          <w:noProof/>
          <w:snapToGrid w:val="0"/>
          <w:lang w:val="de-DE"/>
        </w:rPr>
      </w:pPr>
      <w:r w:rsidRPr="009437FB">
        <w:rPr>
          <w:noProof/>
          <w:snapToGrid w:val="0"/>
          <w:lang w:val="de-DE"/>
        </w:rPr>
        <w:t xml:space="preserve">Gerhard DENEKEN, Director, Tystofte Foundation, Skaelskoer </w:t>
      </w:r>
      <w:r w:rsidRPr="009437FB">
        <w:rPr>
          <w:noProof/>
          <w:snapToGrid w:val="0"/>
          <w:lang w:val="de-DE"/>
        </w:rPr>
        <w:br/>
        <w:t>(e-mail: gde@tystofte.dk)</w:t>
      </w:r>
    </w:p>
    <w:p w:rsidR="009437FB" w:rsidRPr="009437FB" w:rsidRDefault="009437FB" w:rsidP="009437FB">
      <w:pPr>
        <w:keepNext/>
        <w:keepLines/>
        <w:spacing w:before="180" w:after="120"/>
        <w:jc w:val="left"/>
        <w:rPr>
          <w:caps/>
          <w:noProof/>
          <w:snapToGrid w:val="0"/>
          <w:u w:val="single"/>
          <w:lang w:val="es-ES_tradnl"/>
        </w:rPr>
      </w:pPr>
      <w:r w:rsidRPr="009437FB">
        <w:rPr>
          <w:caps/>
          <w:noProof/>
          <w:snapToGrid w:val="0"/>
          <w:u w:val="single"/>
          <w:lang w:val="es-ES_tradnl"/>
        </w:rPr>
        <w:t>ÉQUATEUR / ECUADOR / ECUADOR / ECUADOR</w:t>
      </w:r>
    </w:p>
    <w:p w:rsidR="009437FB" w:rsidRPr="009437FB" w:rsidRDefault="009437FB" w:rsidP="009437FB">
      <w:pPr>
        <w:keepLines/>
        <w:spacing w:before="60" w:after="60"/>
        <w:jc w:val="left"/>
        <w:rPr>
          <w:noProof/>
          <w:snapToGrid w:val="0"/>
          <w:lang w:val="es-ES_tradnl"/>
        </w:rPr>
      </w:pPr>
      <w:r w:rsidRPr="009437FB">
        <w:rPr>
          <w:noProof/>
          <w:snapToGrid w:val="0"/>
          <w:lang w:val="es-ES_tradnl"/>
        </w:rPr>
        <w:t>Heidi VÁSCONES (Sra.), Tercer Secretario, Misión Permanente de la República del Ecuador ante la OMC, Ginebra</w:t>
      </w:r>
      <w:r w:rsidRPr="009437FB">
        <w:rPr>
          <w:noProof/>
          <w:snapToGrid w:val="0"/>
          <w:lang w:val="es-ES_tradnl"/>
        </w:rPr>
        <w:br/>
        <w:t>(e-mail: t.hvascones@cancilleria.gob.ec)</w:t>
      </w:r>
    </w:p>
    <w:p w:rsidR="009437FB" w:rsidRPr="009437FB" w:rsidRDefault="009437FB" w:rsidP="009437FB">
      <w:pPr>
        <w:keepNext/>
        <w:keepLines/>
        <w:spacing w:before="180" w:after="120"/>
        <w:jc w:val="left"/>
        <w:rPr>
          <w:caps/>
          <w:noProof/>
          <w:snapToGrid w:val="0"/>
          <w:u w:val="single"/>
          <w:lang w:val="es-ES_tradnl"/>
        </w:rPr>
      </w:pPr>
      <w:r w:rsidRPr="009437FB">
        <w:rPr>
          <w:caps/>
          <w:noProof/>
          <w:snapToGrid w:val="0"/>
          <w:u w:val="single"/>
          <w:lang w:val="es-ES_tradnl"/>
        </w:rPr>
        <w:t>ESPAGNE / SPAIN / SPANIEN / ESPAÑA</w:t>
      </w:r>
    </w:p>
    <w:p w:rsidR="009437FB" w:rsidRPr="009437FB" w:rsidRDefault="009437FB" w:rsidP="009437FB">
      <w:pPr>
        <w:keepLines/>
        <w:spacing w:before="60" w:after="60"/>
        <w:jc w:val="left"/>
        <w:rPr>
          <w:noProof/>
          <w:snapToGrid w:val="0"/>
          <w:lang w:val="es-ES_tradnl"/>
        </w:rPr>
      </w:pPr>
      <w:r w:rsidRPr="009437FB">
        <w:rPr>
          <w:noProof/>
          <w:snapToGrid w:val="0"/>
          <w:lang w:val="es-ES"/>
        </w:rPr>
        <w:t xml:space="preserve">Nuria URQUÍA FERNÁNDEZ (Sra.), Jefe de Área de registro de variedades, Oficina Española de Variedades Vegetales (OEVV), Ministerio de Agricultura, Pesca y Alimentación (MAPA), Madrid </w:t>
      </w:r>
      <w:r w:rsidRPr="009437FB">
        <w:rPr>
          <w:noProof/>
          <w:snapToGrid w:val="0"/>
          <w:lang w:val="es-ES"/>
        </w:rPr>
        <w:br/>
        <w:t>(e-mail: nurquia@mapa.es)</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lastRenderedPageBreak/>
        <w:t>ESTONIE / ESTONIA / ESTLAND / ESTONIA</w:t>
      </w:r>
    </w:p>
    <w:p w:rsidR="009437FB" w:rsidRPr="009437FB" w:rsidRDefault="009437FB" w:rsidP="009437FB">
      <w:pPr>
        <w:keepLines/>
        <w:spacing w:before="60" w:after="60"/>
        <w:jc w:val="left"/>
        <w:rPr>
          <w:noProof/>
          <w:snapToGrid w:val="0"/>
        </w:rPr>
      </w:pPr>
      <w:r w:rsidRPr="009437FB">
        <w:rPr>
          <w:noProof/>
          <w:snapToGrid w:val="0"/>
        </w:rPr>
        <w:t xml:space="preserve">Kristiina DIGRYTE (Ms.), Adviser, Plant Health Department, Tallinn </w:t>
      </w:r>
      <w:r w:rsidRPr="009437FB">
        <w:rPr>
          <w:noProof/>
          <w:snapToGrid w:val="0"/>
        </w:rPr>
        <w:br/>
        <w:t>(e-mail: kristiina.digryte@agri.ee)</w:t>
      </w:r>
    </w:p>
    <w:p w:rsidR="009437FB" w:rsidRPr="009437FB" w:rsidRDefault="009437FB" w:rsidP="009437FB">
      <w:pPr>
        <w:keepLines/>
        <w:spacing w:before="60" w:after="60"/>
        <w:jc w:val="left"/>
        <w:rPr>
          <w:noProof/>
          <w:snapToGrid w:val="0"/>
        </w:rPr>
      </w:pPr>
      <w:r w:rsidRPr="009437FB">
        <w:rPr>
          <w:noProof/>
          <w:snapToGrid w:val="0"/>
        </w:rPr>
        <w:t xml:space="preserve">Laima PUUR (Ms.), Councellor, Estonian Agricultural Board, Viljandi </w:t>
      </w:r>
      <w:r w:rsidRPr="009437FB">
        <w:rPr>
          <w:noProof/>
          <w:snapToGrid w:val="0"/>
        </w:rPr>
        <w:br/>
        <w:t>(e-mail: laima.puur@pma.agri.ee)</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 xml:space="preserve">ÉTATS-UNIS D'AMÉRIQUE / UNITED STATES OF AMERICA / VEREINIGTE STAATEN VON AMERIKA / </w:t>
      </w:r>
      <w:r w:rsidRPr="009437FB">
        <w:rPr>
          <w:caps/>
          <w:noProof/>
          <w:snapToGrid w:val="0"/>
          <w:u w:val="single"/>
        </w:rPr>
        <w:br/>
        <w:t>ESTADOS UNIDOS DE AMÉRICA</w:t>
      </w:r>
    </w:p>
    <w:p w:rsidR="009437FB" w:rsidRPr="009437FB" w:rsidRDefault="009437FB" w:rsidP="009437FB">
      <w:pPr>
        <w:keepLines/>
        <w:spacing w:before="60" w:after="60"/>
        <w:jc w:val="left"/>
        <w:rPr>
          <w:noProof/>
          <w:snapToGrid w:val="0"/>
        </w:rPr>
      </w:pPr>
      <w:r w:rsidRPr="009437FB">
        <w:rPr>
          <w:noProof/>
          <w:snapToGrid w:val="0"/>
        </w:rPr>
        <w:t xml:space="preserve">Elaine WU (Ms.), Senior Counsel, Office of Policy and International Affairs, United States Patent and Trademark Office, United States Department of Commerce, Alexandria </w:t>
      </w:r>
      <w:r w:rsidRPr="009437FB">
        <w:rPr>
          <w:noProof/>
          <w:snapToGrid w:val="0"/>
        </w:rPr>
        <w:br/>
        <w:t>(e-mail: elaine.wu@uspto.gov)</w:t>
      </w:r>
    </w:p>
    <w:p w:rsidR="009437FB" w:rsidRPr="009437FB" w:rsidRDefault="009437FB" w:rsidP="009437FB">
      <w:pPr>
        <w:keepLines/>
        <w:spacing w:before="60" w:after="60"/>
        <w:jc w:val="left"/>
        <w:rPr>
          <w:noProof/>
          <w:snapToGrid w:val="0"/>
        </w:rPr>
      </w:pPr>
      <w:r w:rsidRPr="009437FB">
        <w:rPr>
          <w:noProof/>
          <w:snapToGrid w:val="0"/>
        </w:rPr>
        <w:t xml:space="preserve">Ruihong GUO (Ms.), Deputy Administrator, AMS, Science &amp; Technology Program, United States Department of Agriculture (USDA), Washington D.C. </w:t>
      </w:r>
      <w:r w:rsidRPr="009437FB">
        <w:rPr>
          <w:noProof/>
          <w:snapToGrid w:val="0"/>
        </w:rPr>
        <w:br/>
        <w:t>(e-mail: ruihong.guo@ams.usda.gov)</w:t>
      </w:r>
    </w:p>
    <w:p w:rsidR="009437FB" w:rsidRPr="009437FB" w:rsidRDefault="009437FB" w:rsidP="009437FB">
      <w:pPr>
        <w:keepLines/>
        <w:spacing w:before="60" w:after="60"/>
        <w:jc w:val="left"/>
        <w:rPr>
          <w:noProof/>
          <w:snapToGrid w:val="0"/>
        </w:rPr>
      </w:pPr>
      <w:r w:rsidRPr="009437FB">
        <w:rPr>
          <w:noProof/>
          <w:snapToGrid w:val="0"/>
        </w:rPr>
        <w:t xml:space="preserve">Brian IKENBERRY (Mr.), Plant Variety Protection Examiner, Plant Variety Protection Office, United States Department of Agriculture (USDA), Washington D.C. </w:t>
      </w:r>
      <w:r w:rsidRPr="009437FB">
        <w:rPr>
          <w:noProof/>
          <w:snapToGrid w:val="0"/>
        </w:rPr>
        <w:br/>
        <w:t>(e-mail: brian.ikenberry@usda.gov)</w:t>
      </w:r>
    </w:p>
    <w:p w:rsidR="009437FB" w:rsidRPr="009437FB" w:rsidRDefault="009437FB" w:rsidP="009437FB">
      <w:pPr>
        <w:keepLines/>
        <w:spacing w:before="60" w:after="60"/>
        <w:jc w:val="left"/>
        <w:rPr>
          <w:noProof/>
          <w:snapToGrid w:val="0"/>
          <w:highlight w:val="yellow"/>
        </w:rPr>
      </w:pPr>
      <w:r w:rsidRPr="009437FB">
        <w:rPr>
          <w:noProof/>
          <w:snapToGrid w:val="0"/>
        </w:rPr>
        <w:t xml:space="preserve">Yasmine Nicole FULENA (Ms.), Intellectual Property Adviser, Permanent Mission, Chambésy </w:t>
      </w:r>
      <w:r w:rsidRPr="009437FB">
        <w:rPr>
          <w:noProof/>
          <w:snapToGrid w:val="0"/>
        </w:rPr>
        <w:br/>
        <w:t>(e-mail: fulenayn@state.gov)</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 xml:space="preserve">FÉDÉRATION DE RUSSIE / RUSSIAN FEDERATION / RUSSISCHE FÖDERATION / </w:t>
      </w:r>
      <w:r w:rsidRPr="009437FB">
        <w:rPr>
          <w:caps/>
          <w:noProof/>
          <w:snapToGrid w:val="0"/>
          <w:u w:val="single"/>
        </w:rPr>
        <w:br/>
        <w:t>FEDERACIÓN DE RUSIA</w:t>
      </w:r>
    </w:p>
    <w:p w:rsidR="009437FB" w:rsidRPr="009437FB" w:rsidRDefault="009437FB" w:rsidP="009437FB">
      <w:pPr>
        <w:keepLines/>
        <w:spacing w:before="60" w:after="60"/>
        <w:jc w:val="left"/>
        <w:rPr>
          <w:noProof/>
          <w:snapToGrid w:val="0"/>
        </w:rPr>
      </w:pPr>
      <w:r w:rsidRPr="009437FB">
        <w:rPr>
          <w:noProof/>
          <w:snapToGrid w:val="0"/>
        </w:rPr>
        <w:t xml:space="preserve">Olga LESNYKH (Ms.), Executive Chairman, State Commission of the Russian Federation for Selection Achievements Test and Protection, Moscow </w:t>
      </w:r>
      <w:r w:rsidRPr="009437FB">
        <w:rPr>
          <w:noProof/>
          <w:snapToGrid w:val="0"/>
        </w:rPr>
        <w:br/>
        <w:t>(e-mail: gossort.rf@yandex.ru)</w:t>
      </w:r>
    </w:p>
    <w:p w:rsidR="009437FB" w:rsidRPr="009437FB" w:rsidRDefault="009437FB" w:rsidP="009437FB">
      <w:pPr>
        <w:keepLines/>
        <w:spacing w:before="60" w:after="60"/>
        <w:jc w:val="left"/>
        <w:rPr>
          <w:noProof/>
          <w:snapToGrid w:val="0"/>
        </w:rPr>
      </w:pPr>
      <w:r w:rsidRPr="009437FB">
        <w:rPr>
          <w:noProof/>
          <w:snapToGrid w:val="0"/>
        </w:rPr>
        <w:t xml:space="preserve">Aleksey VAGIN (Mr.), Head, Department of Methodology and International Cooperation, State Commission of the Russian Federation for Selection Achievements Test and Protection, Moscow </w:t>
      </w:r>
      <w:r w:rsidRPr="009437FB">
        <w:rPr>
          <w:noProof/>
          <w:snapToGrid w:val="0"/>
        </w:rPr>
        <w:br/>
        <w:t>(e-mail: alexsky@yandex.ru)</w:t>
      </w:r>
    </w:p>
    <w:p w:rsidR="009437FB" w:rsidRPr="009437FB" w:rsidRDefault="009437FB" w:rsidP="009437FB">
      <w:pPr>
        <w:keepLines/>
        <w:spacing w:before="60" w:after="60"/>
        <w:jc w:val="left"/>
        <w:rPr>
          <w:noProof/>
          <w:snapToGrid w:val="0"/>
        </w:rPr>
      </w:pPr>
      <w:r w:rsidRPr="009437FB">
        <w:rPr>
          <w:noProof/>
          <w:snapToGrid w:val="0"/>
        </w:rPr>
        <w:t xml:space="preserve">Antonina TRETINNIKOVA (Ms.), Deputy Head, Methodology and International Cooperation Department, State Commission of the Russian Federation for Selection Achievements Test and Protection, Moscow </w:t>
      </w:r>
      <w:r w:rsidRPr="009437FB">
        <w:rPr>
          <w:noProof/>
          <w:snapToGrid w:val="0"/>
        </w:rPr>
        <w:br/>
        <w:t xml:space="preserve">(e-mail: tretinnikova@mail.ru) </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FINLANDE / FINLAND / FINNLAND / FINLANDIA</w:t>
      </w:r>
    </w:p>
    <w:p w:rsidR="009437FB" w:rsidRPr="009437FB" w:rsidRDefault="009437FB" w:rsidP="009437FB">
      <w:pPr>
        <w:keepLines/>
        <w:spacing w:before="60" w:after="60"/>
        <w:jc w:val="left"/>
        <w:rPr>
          <w:noProof/>
          <w:snapToGrid w:val="0"/>
        </w:rPr>
      </w:pPr>
      <w:r w:rsidRPr="009437FB">
        <w:rPr>
          <w:noProof/>
          <w:snapToGrid w:val="0"/>
        </w:rPr>
        <w:t xml:space="preserve">Tarja Päivikki HIETARANTA (Ms.), Senior Officer, Seed Certification, Finnish Food Authority, Loimaa </w:t>
      </w:r>
      <w:r w:rsidRPr="009437FB">
        <w:rPr>
          <w:noProof/>
          <w:snapToGrid w:val="0"/>
        </w:rPr>
        <w:br/>
        <w:t>(e-mail: tarja.hietaranta@evira.fi)</w:t>
      </w:r>
    </w:p>
    <w:p w:rsidR="009437FB" w:rsidRPr="009437FB" w:rsidRDefault="009437FB" w:rsidP="009437FB">
      <w:pPr>
        <w:keepLines/>
        <w:spacing w:before="60" w:after="60"/>
        <w:jc w:val="left"/>
        <w:rPr>
          <w:noProof/>
          <w:snapToGrid w:val="0"/>
        </w:rPr>
      </w:pPr>
      <w:r w:rsidRPr="009437FB">
        <w:rPr>
          <w:noProof/>
          <w:snapToGrid w:val="0"/>
        </w:rPr>
        <w:t xml:space="preserve">Kati LASSI (Ms.), Senior Specialist, Helsinki </w:t>
      </w:r>
      <w:r w:rsidRPr="009437FB">
        <w:rPr>
          <w:noProof/>
          <w:snapToGrid w:val="0"/>
        </w:rPr>
        <w:br/>
        <w:t>(e-mail: kati.lassi@mmm.fi)</w:t>
      </w:r>
    </w:p>
    <w:p w:rsidR="009437FB" w:rsidRPr="009437FB" w:rsidRDefault="009437FB" w:rsidP="009437FB">
      <w:pPr>
        <w:keepLines/>
        <w:spacing w:before="60" w:after="60"/>
        <w:jc w:val="left"/>
        <w:rPr>
          <w:noProof/>
          <w:snapToGrid w:val="0"/>
        </w:rPr>
      </w:pPr>
      <w:r w:rsidRPr="009437FB">
        <w:rPr>
          <w:noProof/>
          <w:snapToGrid w:val="0"/>
        </w:rPr>
        <w:t xml:space="preserve">Kirsi Marjatta HEINONEN (Ms.), Counsellor, Permanent Representation of Finland In European Union, Bruxelles </w:t>
      </w:r>
      <w:r w:rsidRPr="009437FB">
        <w:rPr>
          <w:noProof/>
          <w:snapToGrid w:val="0"/>
        </w:rPr>
        <w:br/>
        <w:t>(e-mail: Kirsi.heinonen@formin.fi)</w:t>
      </w:r>
    </w:p>
    <w:p w:rsidR="009437FB" w:rsidRPr="009437FB" w:rsidRDefault="009437FB" w:rsidP="009437FB">
      <w:pPr>
        <w:keepLines/>
        <w:spacing w:before="60" w:after="60"/>
        <w:jc w:val="left"/>
        <w:rPr>
          <w:noProof/>
          <w:snapToGrid w:val="0"/>
        </w:rPr>
      </w:pPr>
      <w:r w:rsidRPr="009437FB">
        <w:rPr>
          <w:noProof/>
          <w:snapToGrid w:val="0"/>
        </w:rPr>
        <w:t>Kaarina PAAVILAINEN (Ms.), Senior Officer, Seed Unit, Finnish Food Authority, Loimaa</w:t>
      </w:r>
      <w:r w:rsidRPr="009437FB">
        <w:rPr>
          <w:noProof/>
          <w:snapToGrid w:val="0"/>
        </w:rPr>
        <w:br/>
        <w:t>(e-mail: kaarina.paavilainen@ruokavirasto.fi)</w:t>
      </w:r>
    </w:p>
    <w:p w:rsidR="009437FB" w:rsidRPr="009437FB" w:rsidRDefault="009437FB" w:rsidP="009437FB">
      <w:pPr>
        <w:keepNext/>
        <w:keepLines/>
        <w:spacing w:before="180" w:after="120"/>
        <w:jc w:val="left"/>
        <w:rPr>
          <w:caps/>
          <w:noProof/>
          <w:snapToGrid w:val="0"/>
          <w:u w:val="single"/>
          <w:lang w:val="fr-CH"/>
        </w:rPr>
      </w:pPr>
      <w:r w:rsidRPr="009437FB">
        <w:rPr>
          <w:caps/>
          <w:noProof/>
          <w:snapToGrid w:val="0"/>
          <w:u w:val="single"/>
          <w:lang w:val="fr-CH"/>
        </w:rPr>
        <w:t>FRANCE / France / FRANKREICH / FRANCIA</w:t>
      </w:r>
    </w:p>
    <w:p w:rsidR="009437FB" w:rsidRPr="009437FB" w:rsidRDefault="009437FB" w:rsidP="009437FB">
      <w:pPr>
        <w:keepLines/>
        <w:spacing w:before="60" w:after="60"/>
        <w:jc w:val="left"/>
        <w:rPr>
          <w:noProof/>
          <w:snapToGrid w:val="0"/>
          <w:lang w:val="fr-CH"/>
        </w:rPr>
      </w:pPr>
      <w:r w:rsidRPr="009437FB">
        <w:rPr>
          <w:noProof/>
          <w:snapToGrid w:val="0"/>
          <w:lang w:val="fr-CH"/>
        </w:rPr>
        <w:t xml:space="preserve">Georges SICARD (M.), Directeur, Secteur Etude des variétés, Groupe d'étude et de contrôle des variétés et des semences (GEVES), Beaucouzé </w:t>
      </w:r>
      <w:r w:rsidRPr="009437FB">
        <w:rPr>
          <w:noProof/>
          <w:snapToGrid w:val="0"/>
          <w:lang w:val="fr-CH"/>
        </w:rPr>
        <w:br/>
        <w:t>(e-mail: georges.sicard@geves.fr)</w:t>
      </w:r>
    </w:p>
    <w:p w:rsidR="009437FB" w:rsidRPr="009437FB" w:rsidRDefault="009437FB" w:rsidP="009437FB">
      <w:pPr>
        <w:keepLines/>
        <w:spacing w:before="60" w:after="60"/>
        <w:jc w:val="left"/>
        <w:rPr>
          <w:noProof/>
          <w:snapToGrid w:val="0"/>
          <w:lang w:val="fr-CH"/>
        </w:rPr>
      </w:pPr>
      <w:r w:rsidRPr="009437FB">
        <w:rPr>
          <w:noProof/>
          <w:snapToGrid w:val="0"/>
          <w:lang w:val="fr-CH"/>
        </w:rPr>
        <w:t xml:space="preserve">Yvane MERESSE (Mme), Responsable INOV, Groupe d'Étude et de Contrôle des Variétés et des Semences (GEVES), Beaucouzé </w:t>
      </w:r>
      <w:r w:rsidRPr="009437FB">
        <w:rPr>
          <w:noProof/>
          <w:snapToGrid w:val="0"/>
          <w:lang w:val="fr-CH"/>
        </w:rPr>
        <w:br/>
        <w:t>(e-mail: yvane.meresse@geves.fr)</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HONGRIE / HUNGARY / UNGARN / HUNGRÍA</w:t>
      </w:r>
    </w:p>
    <w:p w:rsidR="009437FB" w:rsidRPr="009437FB" w:rsidRDefault="009437FB" w:rsidP="009437FB">
      <w:pPr>
        <w:keepLines/>
        <w:spacing w:before="60" w:after="60"/>
        <w:jc w:val="left"/>
        <w:rPr>
          <w:noProof/>
          <w:snapToGrid w:val="0"/>
        </w:rPr>
      </w:pPr>
      <w:r w:rsidRPr="009437FB">
        <w:rPr>
          <w:noProof/>
          <w:snapToGrid w:val="0"/>
        </w:rPr>
        <w:t xml:space="preserve">György PERNESZ (Mr.), Head, Variety Testing Dept. for Horticultural Crops, National Food Chain Safety Office (NÉBIH), Budapest </w:t>
      </w:r>
      <w:r w:rsidRPr="009437FB">
        <w:rPr>
          <w:noProof/>
          <w:snapToGrid w:val="0"/>
        </w:rPr>
        <w:br/>
        <w:t>(e-mail: perneszgy@nebih.gov.hu)</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lastRenderedPageBreak/>
        <w:t>ITALIE / ITALY / ITALIEN / ITALIA</w:t>
      </w:r>
    </w:p>
    <w:p w:rsidR="009437FB" w:rsidRPr="009437FB" w:rsidRDefault="009437FB" w:rsidP="009437FB">
      <w:pPr>
        <w:keepLines/>
        <w:spacing w:before="60" w:after="60"/>
        <w:jc w:val="left"/>
        <w:rPr>
          <w:noProof/>
          <w:snapToGrid w:val="0"/>
        </w:rPr>
      </w:pPr>
      <w:r w:rsidRPr="009437FB">
        <w:rPr>
          <w:noProof/>
          <w:snapToGrid w:val="0"/>
        </w:rPr>
        <w:t xml:space="preserve">Pier Giacomo BIANCHI (Mr.), Scientific Coordinator Seed Area, CREA-DC, Milano </w:t>
      </w:r>
      <w:r w:rsidRPr="009437FB">
        <w:rPr>
          <w:noProof/>
          <w:snapToGrid w:val="0"/>
        </w:rPr>
        <w:br/>
        <w:t>(e-mail: piergiacomo.bianchi@crea.gov.it)</w:t>
      </w:r>
    </w:p>
    <w:p w:rsidR="009437FB" w:rsidRPr="009437FB" w:rsidRDefault="009437FB" w:rsidP="009437FB">
      <w:pPr>
        <w:keepLines/>
        <w:spacing w:before="60" w:after="60"/>
        <w:jc w:val="left"/>
        <w:rPr>
          <w:noProof/>
          <w:snapToGrid w:val="0"/>
        </w:rPr>
      </w:pPr>
      <w:r w:rsidRPr="009437FB">
        <w:rPr>
          <w:noProof/>
          <w:snapToGrid w:val="0"/>
        </w:rPr>
        <w:t xml:space="preserve">Romana BRAVI (Mrs.), Vegetable DUS Testing, Agricultural Research Council and Economics Analysis - Plant Protection and Seed Certification (CREA - DC), Bologna </w:t>
      </w:r>
      <w:r w:rsidRPr="009437FB">
        <w:rPr>
          <w:noProof/>
          <w:snapToGrid w:val="0"/>
        </w:rPr>
        <w:br/>
        <w:t>(e-mail: romana.bravi@crea.gov.it)</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JAPON / JAPAN / JAPAN / JAPÓN</w:t>
      </w:r>
    </w:p>
    <w:p w:rsidR="009437FB" w:rsidRPr="009437FB" w:rsidRDefault="009437FB" w:rsidP="009437FB">
      <w:pPr>
        <w:keepLines/>
        <w:spacing w:before="60" w:after="60"/>
        <w:jc w:val="left"/>
        <w:rPr>
          <w:noProof/>
          <w:snapToGrid w:val="0"/>
        </w:rPr>
      </w:pPr>
      <w:r w:rsidRPr="009437FB">
        <w:rPr>
          <w:noProof/>
          <w:snapToGrid w:val="0"/>
        </w:rPr>
        <w:t xml:space="preserve">Atsuhiro MENO (Mr.), Senior Policy Advisor, Intellectual Property Division, Food Industry Affairs Bureau, Ministry of Agriculture, Forestry and Fisheries (MAFF), Tokyo </w:t>
      </w:r>
      <w:r w:rsidRPr="009437FB">
        <w:rPr>
          <w:noProof/>
          <w:snapToGrid w:val="0"/>
        </w:rPr>
        <w:br/>
        <w:t>(e-mail: atsuhiro_meno150@maff.go.jp)</w:t>
      </w:r>
    </w:p>
    <w:p w:rsidR="009437FB" w:rsidRPr="009437FB" w:rsidRDefault="009437FB" w:rsidP="009437FB">
      <w:pPr>
        <w:keepLines/>
        <w:spacing w:before="60" w:after="60"/>
        <w:jc w:val="left"/>
        <w:rPr>
          <w:noProof/>
          <w:snapToGrid w:val="0"/>
        </w:rPr>
      </w:pPr>
      <w:r w:rsidRPr="009437FB">
        <w:rPr>
          <w:noProof/>
          <w:snapToGrid w:val="0"/>
        </w:rPr>
        <w:t xml:space="preserve">Manabu SUZUKI (Mr.), Deputy Director for International Affairs, Intellectual Property Division, Food Industry Affairs Bureau, Ministry of Agriculture, Forestry and Fisheries (MAFF), Tokyo </w:t>
      </w:r>
      <w:r w:rsidRPr="009437FB">
        <w:rPr>
          <w:noProof/>
          <w:snapToGrid w:val="0"/>
        </w:rPr>
        <w:br/>
        <w:t>(e-mail: manabu_suzuki410@maff.go.jp)</w:t>
      </w:r>
    </w:p>
    <w:p w:rsidR="009437FB" w:rsidRPr="009437FB" w:rsidRDefault="009437FB" w:rsidP="009437FB">
      <w:pPr>
        <w:keepLines/>
        <w:spacing w:before="60" w:after="60"/>
        <w:jc w:val="left"/>
        <w:rPr>
          <w:noProof/>
          <w:snapToGrid w:val="0"/>
        </w:rPr>
      </w:pPr>
      <w:r w:rsidRPr="009437FB">
        <w:rPr>
          <w:noProof/>
          <w:snapToGrid w:val="0"/>
        </w:rPr>
        <w:t xml:space="preserve">Manabu OSAKI (Mr.), Senior Examiner, Plant Variety Protection Office, Intellectual Property Division, Food Industry Affairs Bureau, Ministry of Agriculture, Forestry and Fisheries (MAFF), Tokyo </w:t>
      </w:r>
      <w:r w:rsidRPr="009437FB">
        <w:rPr>
          <w:noProof/>
          <w:snapToGrid w:val="0"/>
        </w:rPr>
        <w:br/>
        <w:t>(e-mail: manabu_osaki190@maff.go.jp)</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KENYA / Kenya / KENIA / KENYA</w:t>
      </w:r>
    </w:p>
    <w:p w:rsidR="009437FB" w:rsidRPr="009437FB" w:rsidRDefault="009437FB" w:rsidP="009437FB">
      <w:pPr>
        <w:keepLines/>
        <w:spacing w:before="60" w:after="60"/>
        <w:jc w:val="left"/>
        <w:rPr>
          <w:noProof/>
          <w:snapToGrid w:val="0"/>
        </w:rPr>
      </w:pPr>
      <w:r w:rsidRPr="009437FB">
        <w:rPr>
          <w:noProof/>
          <w:snapToGrid w:val="0"/>
        </w:rPr>
        <w:t xml:space="preserve">George Ombaso MOGAKA (Mr.), Corporation Secretary and Head of Legal Affairs, Kenya Plant Health Inspectorate Service (KEPHIS), Nairobi </w:t>
      </w:r>
      <w:r w:rsidRPr="009437FB">
        <w:rPr>
          <w:noProof/>
          <w:snapToGrid w:val="0"/>
        </w:rPr>
        <w:br/>
        <w:t>(e-mail: gmogaka@kephis.org)</w:t>
      </w:r>
    </w:p>
    <w:p w:rsidR="009437FB" w:rsidRPr="009437FB" w:rsidRDefault="009437FB" w:rsidP="009437FB">
      <w:pPr>
        <w:keepLines/>
        <w:spacing w:before="60" w:after="60"/>
        <w:jc w:val="left"/>
        <w:rPr>
          <w:noProof/>
          <w:snapToGrid w:val="0"/>
        </w:rPr>
      </w:pPr>
      <w:r w:rsidRPr="009437FB">
        <w:rPr>
          <w:noProof/>
          <w:snapToGrid w:val="0"/>
        </w:rPr>
        <w:t xml:space="preserve">Gentrix Nasimiyu JUMA (Ms.), Chief Plant Examiner, Kenya Plant Health Inspectorate Service (KEPHIS), Nairobi </w:t>
      </w:r>
      <w:r w:rsidRPr="009437FB">
        <w:rPr>
          <w:noProof/>
          <w:snapToGrid w:val="0"/>
        </w:rPr>
        <w:br/>
        <w:t>(e-mail: gjuma@kephis.org)</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LETTONIE / LATVIA / LETTLAND / LETONIA</w:t>
      </w:r>
    </w:p>
    <w:p w:rsidR="009437FB" w:rsidRPr="009437FB" w:rsidRDefault="009437FB" w:rsidP="009437FB">
      <w:pPr>
        <w:keepLines/>
        <w:spacing w:before="60" w:after="60"/>
        <w:jc w:val="left"/>
        <w:rPr>
          <w:noProof/>
          <w:snapToGrid w:val="0"/>
        </w:rPr>
      </w:pPr>
      <w:r w:rsidRPr="009437FB">
        <w:rPr>
          <w:noProof/>
          <w:snapToGrid w:val="0"/>
        </w:rPr>
        <w:t xml:space="preserve">Inga OVSJANNIKA (Ms.), Senior Officer, Division of Seed Certification and Plant Variety Protection, Seed Control Department, State Plant Protection Service, Riga </w:t>
      </w:r>
      <w:r w:rsidRPr="009437FB">
        <w:rPr>
          <w:noProof/>
          <w:snapToGrid w:val="0"/>
        </w:rPr>
        <w:br/>
        <w:t>(e-mail: inga.ovsjannika@vaad.gov.lv)</w:t>
      </w:r>
    </w:p>
    <w:p w:rsidR="009437FB" w:rsidRPr="009437FB" w:rsidRDefault="009437FB" w:rsidP="009437FB">
      <w:pPr>
        <w:keepNext/>
        <w:keepLines/>
        <w:spacing w:before="180" w:after="120"/>
        <w:jc w:val="left"/>
        <w:rPr>
          <w:caps/>
          <w:noProof/>
          <w:snapToGrid w:val="0"/>
          <w:u w:val="single"/>
          <w:lang w:val="fr-CH"/>
        </w:rPr>
      </w:pPr>
      <w:r w:rsidRPr="009437FB">
        <w:rPr>
          <w:caps/>
          <w:noProof/>
          <w:snapToGrid w:val="0"/>
          <w:u w:val="single"/>
          <w:lang w:val="fr-CH"/>
        </w:rPr>
        <w:t>MAROC / MOROCCO / MAROKKO / MARRUECOS</w:t>
      </w:r>
    </w:p>
    <w:p w:rsidR="009437FB" w:rsidRPr="009437FB" w:rsidRDefault="009437FB" w:rsidP="009437FB">
      <w:pPr>
        <w:keepLines/>
        <w:spacing w:before="60" w:after="60"/>
        <w:jc w:val="left"/>
        <w:rPr>
          <w:noProof/>
          <w:snapToGrid w:val="0"/>
          <w:lang w:val="fr-CH"/>
        </w:rPr>
      </w:pPr>
      <w:r w:rsidRPr="009437FB">
        <w:rPr>
          <w:noProof/>
          <w:snapToGrid w:val="0"/>
          <w:lang w:val="fr-CH"/>
        </w:rPr>
        <w:t xml:space="preserve">Zoubida TAOUSSI (Mme), Chargée de la protection des obtentions végétales, Office National de Sécurité de Produits Alimentaires, Rabat  </w:t>
      </w:r>
      <w:r w:rsidRPr="009437FB">
        <w:rPr>
          <w:noProof/>
          <w:snapToGrid w:val="0"/>
          <w:lang w:val="fr-CH"/>
        </w:rPr>
        <w:br/>
        <w:t xml:space="preserve">(e-mail: ztaoussi67@gmail.com) </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NORVÈGE / NORWAY / NORWEGEN / NORUEGA</w:t>
      </w:r>
    </w:p>
    <w:p w:rsidR="009437FB" w:rsidRPr="009437FB" w:rsidRDefault="009437FB" w:rsidP="009437FB">
      <w:pPr>
        <w:keepLines/>
        <w:spacing w:before="60" w:after="60"/>
        <w:jc w:val="left"/>
        <w:rPr>
          <w:noProof/>
          <w:snapToGrid w:val="0"/>
        </w:rPr>
      </w:pPr>
      <w:r w:rsidRPr="009437FB">
        <w:rPr>
          <w:noProof/>
          <w:snapToGrid w:val="0"/>
        </w:rPr>
        <w:t xml:space="preserve">Pia BORG (Ms.), Senior Advisor, Norwegian Food Safety Authority, Brumunddal </w:t>
      </w:r>
      <w:r w:rsidRPr="009437FB">
        <w:rPr>
          <w:noProof/>
          <w:snapToGrid w:val="0"/>
        </w:rPr>
        <w:br/>
        <w:t>(e-mail: pia.borg@mattilsynet.no)</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NOUVELLE-ZÉLANDE / NEW ZEALAND / NEUSEELAND / NUEVA ZELANDIA</w:t>
      </w:r>
    </w:p>
    <w:p w:rsidR="009437FB" w:rsidRPr="009437FB" w:rsidRDefault="009437FB" w:rsidP="009437FB">
      <w:pPr>
        <w:keepLines/>
        <w:spacing w:before="60" w:after="60"/>
        <w:jc w:val="left"/>
        <w:rPr>
          <w:noProof/>
          <w:snapToGrid w:val="0"/>
        </w:rPr>
      </w:pPr>
      <w:r w:rsidRPr="009437FB">
        <w:rPr>
          <w:noProof/>
          <w:snapToGrid w:val="0"/>
        </w:rPr>
        <w:t xml:space="preserve">Christopher J. BARNABY (Mr.), PVP Manager / Assistant Commissioner, Plant Variety Rights Office, Intellectual Property Office of New Zealand, Ministry of Business, Innovation and Employment, Christchurch </w:t>
      </w:r>
      <w:r w:rsidRPr="009437FB">
        <w:rPr>
          <w:noProof/>
          <w:snapToGrid w:val="0"/>
        </w:rPr>
        <w:br/>
        <w:t>(e-mail: Chris.Barnaby@pvr.govt.nz)</w:t>
      </w:r>
    </w:p>
    <w:p w:rsidR="009437FB" w:rsidRPr="009437FB" w:rsidRDefault="009437FB" w:rsidP="009437FB">
      <w:pPr>
        <w:spacing w:before="180" w:after="120"/>
        <w:jc w:val="left"/>
        <w:rPr>
          <w:caps/>
          <w:noProof/>
          <w:snapToGrid w:val="0"/>
          <w:u w:val="single"/>
        </w:rPr>
      </w:pPr>
      <w:r w:rsidRPr="009437FB">
        <w:rPr>
          <w:caps/>
          <w:noProof/>
          <w:snapToGrid w:val="0"/>
          <w:u w:val="single"/>
        </w:rPr>
        <w:t xml:space="preserve">ORGANISATION AFRICAINE DE LA PROPRIÉTÉ INTELLECTUELLE / </w:t>
      </w:r>
      <w:r w:rsidRPr="009437FB">
        <w:rPr>
          <w:caps/>
          <w:noProof/>
          <w:snapToGrid w:val="0"/>
          <w:u w:val="single"/>
        </w:rPr>
        <w:br/>
        <w:t xml:space="preserve">AFRICAN INTELLECTUAL PROPERTY ORGANIZATION / </w:t>
      </w:r>
      <w:r w:rsidRPr="009437FB">
        <w:rPr>
          <w:caps/>
          <w:noProof/>
          <w:snapToGrid w:val="0"/>
          <w:u w:val="single"/>
        </w:rPr>
        <w:br/>
        <w:t xml:space="preserve">AFRIKANISCHE ORGANISATION FÜR GEISTIGES EIGENTUM / </w:t>
      </w:r>
      <w:r w:rsidRPr="009437FB">
        <w:rPr>
          <w:caps/>
          <w:noProof/>
          <w:snapToGrid w:val="0"/>
          <w:u w:val="single"/>
        </w:rPr>
        <w:br/>
        <w:t>ORGANIZACIÓN AFRICANA DE LA PROPIEDAD INTELECTUAL</w:t>
      </w:r>
    </w:p>
    <w:p w:rsidR="009437FB" w:rsidRPr="009437FB" w:rsidRDefault="009437FB" w:rsidP="009437FB">
      <w:pPr>
        <w:spacing w:before="60" w:after="60"/>
        <w:jc w:val="left"/>
        <w:rPr>
          <w:noProof/>
          <w:snapToGrid w:val="0"/>
          <w:lang w:val="fr-CH"/>
        </w:rPr>
      </w:pPr>
      <w:r w:rsidRPr="009437FB">
        <w:rPr>
          <w:noProof/>
          <w:snapToGrid w:val="0"/>
          <w:lang w:val="fr-CH"/>
        </w:rPr>
        <w:t xml:space="preserve">Jean-Baptiste Noël WAGO (M.), Directeur Général Adjoint, Organisation africaine de la propriété intellectuelle (OAPI), Yaoundé </w:t>
      </w:r>
      <w:r w:rsidRPr="009437FB">
        <w:rPr>
          <w:noProof/>
          <w:snapToGrid w:val="0"/>
          <w:lang w:val="fr-CH"/>
        </w:rPr>
        <w:br/>
        <w:t>(e-mail: jean-baptiste.Wago@oapi.int)</w:t>
      </w:r>
    </w:p>
    <w:p w:rsidR="009437FB" w:rsidRPr="009437FB" w:rsidRDefault="009437FB" w:rsidP="009437FB">
      <w:pPr>
        <w:spacing w:before="60" w:after="60"/>
        <w:jc w:val="left"/>
        <w:rPr>
          <w:noProof/>
          <w:snapToGrid w:val="0"/>
          <w:lang w:val="fr-CH"/>
        </w:rPr>
      </w:pPr>
      <w:r w:rsidRPr="009437FB">
        <w:rPr>
          <w:noProof/>
          <w:snapToGrid w:val="0"/>
          <w:lang w:val="fr-CH"/>
        </w:rPr>
        <w:t xml:space="preserve">Vladimir MEZUI (M.), Examinateur des Brevets, chargé des obtentions végétales, Organisation africaine de la propriété intellectuelle (OAPI), Yaoundé </w:t>
      </w:r>
      <w:r w:rsidRPr="009437FB">
        <w:rPr>
          <w:noProof/>
          <w:snapToGrid w:val="0"/>
          <w:lang w:val="fr-CH"/>
        </w:rPr>
        <w:br/>
        <w:t>(e-mail: vladimir.mezui@oapi.int)</w:t>
      </w:r>
    </w:p>
    <w:p w:rsidR="009437FB" w:rsidRPr="009437FB" w:rsidRDefault="009437FB" w:rsidP="009437FB">
      <w:pPr>
        <w:keepNext/>
        <w:keepLines/>
        <w:spacing w:before="180" w:after="120"/>
        <w:jc w:val="left"/>
        <w:rPr>
          <w:caps/>
          <w:noProof/>
          <w:snapToGrid w:val="0"/>
          <w:u w:val="single"/>
          <w:lang w:val="es-ES"/>
        </w:rPr>
      </w:pPr>
      <w:r w:rsidRPr="009437FB">
        <w:rPr>
          <w:caps/>
          <w:noProof/>
          <w:snapToGrid w:val="0"/>
          <w:u w:val="single"/>
          <w:lang w:val="es-ES"/>
        </w:rPr>
        <w:lastRenderedPageBreak/>
        <w:t>Paraguay / Paraguay / Paraguay / Paraguay</w:t>
      </w:r>
    </w:p>
    <w:p w:rsidR="009437FB" w:rsidRPr="009437FB" w:rsidRDefault="009437FB" w:rsidP="009437FB">
      <w:pPr>
        <w:keepLines/>
        <w:spacing w:before="60" w:after="60"/>
        <w:jc w:val="left"/>
        <w:rPr>
          <w:noProof/>
          <w:snapToGrid w:val="0"/>
          <w:lang w:val="es-ES"/>
        </w:rPr>
      </w:pPr>
      <w:r w:rsidRPr="009437FB">
        <w:rPr>
          <w:noProof/>
          <w:snapToGrid w:val="0"/>
          <w:lang w:val="es-ES"/>
        </w:rPr>
        <w:t xml:space="preserve">Jadiyi Concepcion TORALES SALINAS (Sra.), Directora, Dirección de Semillas (DISE), Servicio Nacional de Calidad y Sanidad Vegetal y de Semillas (SENAVE), San Lorenzo </w:t>
      </w:r>
      <w:r w:rsidRPr="009437FB">
        <w:rPr>
          <w:noProof/>
          <w:snapToGrid w:val="0"/>
          <w:lang w:val="es-ES"/>
        </w:rPr>
        <w:br/>
        <w:t>(e-mail: jadiyi.torales@senave.gov.py)</w:t>
      </w:r>
    </w:p>
    <w:p w:rsidR="009437FB" w:rsidRPr="009437FB" w:rsidRDefault="009437FB" w:rsidP="009437FB">
      <w:pPr>
        <w:keepLines/>
        <w:spacing w:before="60" w:after="60"/>
        <w:jc w:val="left"/>
        <w:rPr>
          <w:noProof/>
          <w:snapToGrid w:val="0"/>
          <w:lang w:val="es-ES"/>
        </w:rPr>
      </w:pPr>
      <w:r w:rsidRPr="009437FB">
        <w:rPr>
          <w:noProof/>
          <w:snapToGrid w:val="0"/>
          <w:lang w:val="es-ES"/>
        </w:rPr>
        <w:t>Dahiana María OVEJERO MALDONADO (Sra.), Jefe, Departamento de Protección y Uso de variedades, Direccion de Semillas, Servicio Nacional de Calidad y Sanidad Vegetal y de Semillas (SENAVE), San Lorenzo</w:t>
      </w:r>
      <w:r w:rsidRPr="009437FB">
        <w:rPr>
          <w:noProof/>
          <w:snapToGrid w:val="0"/>
          <w:lang w:val="es-ES"/>
        </w:rPr>
        <w:br/>
        <w:t>(e-mail: dahiana.ovejero@senave.gov.py)</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PAYS-BAS / NETHERLANDS / NIEDERLANDE / PAÍSES BAJOS</w:t>
      </w:r>
    </w:p>
    <w:p w:rsidR="009437FB" w:rsidRPr="009437FB" w:rsidRDefault="009437FB" w:rsidP="009437FB">
      <w:pPr>
        <w:keepLines/>
        <w:spacing w:before="60" w:after="60"/>
        <w:jc w:val="left"/>
        <w:rPr>
          <w:noProof/>
          <w:snapToGrid w:val="0"/>
        </w:rPr>
      </w:pPr>
      <w:r w:rsidRPr="009437FB">
        <w:rPr>
          <w:noProof/>
          <w:snapToGrid w:val="0"/>
        </w:rPr>
        <w:t xml:space="preserve">Marien VALSTAR (Mr.), Senior Policy Officer, Seeds and Plant Propagation Material, Ministry of Economic Affairs, DG AGRO &amp; NATURE, The Hague </w:t>
      </w:r>
      <w:r w:rsidRPr="009437FB">
        <w:rPr>
          <w:noProof/>
          <w:snapToGrid w:val="0"/>
        </w:rPr>
        <w:br/>
        <w:t xml:space="preserve">(e-mail: m.valstar@minlnv.nl) </w:t>
      </w:r>
    </w:p>
    <w:p w:rsidR="009437FB" w:rsidRPr="009437FB" w:rsidRDefault="009437FB" w:rsidP="009437FB">
      <w:pPr>
        <w:keepLines/>
        <w:spacing w:before="60" w:after="60"/>
        <w:jc w:val="left"/>
        <w:rPr>
          <w:noProof/>
          <w:snapToGrid w:val="0"/>
        </w:rPr>
      </w:pPr>
      <w:r w:rsidRPr="009437FB">
        <w:rPr>
          <w:noProof/>
          <w:snapToGrid w:val="0"/>
        </w:rPr>
        <w:t xml:space="preserve">Bert SCHOLTE (Mr.), Head Department Variety Testing, Naktuinbouw NL, Roelofarendsveen </w:t>
      </w:r>
      <w:r w:rsidRPr="009437FB">
        <w:rPr>
          <w:noProof/>
          <w:snapToGrid w:val="0"/>
        </w:rPr>
        <w:br/>
        <w:t>(e-mail: b.scholte@naktuinbouw.nl)</w:t>
      </w:r>
    </w:p>
    <w:p w:rsidR="009437FB" w:rsidRPr="009437FB" w:rsidRDefault="009437FB" w:rsidP="009437FB">
      <w:pPr>
        <w:keepLines/>
        <w:spacing w:before="60" w:after="60"/>
        <w:jc w:val="left"/>
        <w:rPr>
          <w:noProof/>
          <w:snapToGrid w:val="0"/>
        </w:rPr>
      </w:pPr>
      <w:r w:rsidRPr="009437FB">
        <w:rPr>
          <w:noProof/>
          <w:snapToGrid w:val="0"/>
        </w:rPr>
        <w:t xml:space="preserve">Kees VAN ETTEKOVEN (Mr.), Senior PVP Policy Advisor, Naktuinbouw NL, Roelofarendsveen </w:t>
      </w:r>
      <w:r w:rsidRPr="009437FB">
        <w:rPr>
          <w:noProof/>
          <w:snapToGrid w:val="0"/>
        </w:rPr>
        <w:br/>
        <w:t>(e-mail: c.v.ettekoven@naktuinbouw.nl)</w:t>
      </w:r>
    </w:p>
    <w:p w:rsidR="009437FB" w:rsidRPr="009437FB" w:rsidRDefault="009437FB" w:rsidP="009437FB">
      <w:pPr>
        <w:keepLines/>
        <w:spacing w:before="60" w:after="60"/>
        <w:jc w:val="left"/>
        <w:rPr>
          <w:noProof/>
          <w:snapToGrid w:val="0"/>
        </w:rPr>
      </w:pPr>
      <w:r w:rsidRPr="009437FB">
        <w:rPr>
          <w:noProof/>
          <w:snapToGrid w:val="0"/>
        </w:rPr>
        <w:t xml:space="preserve">Henk J. DE GREEF (Mr.), Specialist DUS testing ornamentals, Team DUS ornamental &amp; fruit crops, Naktuinbouw, Roelofarendsveen </w:t>
      </w:r>
      <w:r w:rsidRPr="009437FB">
        <w:rPr>
          <w:noProof/>
          <w:snapToGrid w:val="0"/>
        </w:rPr>
        <w:br/>
        <w:t>(e-mail: h.d.greef@naktuinbouw.nl)</w:t>
      </w:r>
    </w:p>
    <w:p w:rsidR="009437FB" w:rsidRPr="009437FB" w:rsidRDefault="009437FB" w:rsidP="009437FB">
      <w:pPr>
        <w:keepNext/>
        <w:keepLines/>
        <w:spacing w:before="180" w:after="120"/>
        <w:jc w:val="left"/>
        <w:rPr>
          <w:caps/>
          <w:noProof/>
          <w:snapToGrid w:val="0"/>
          <w:u w:val="single"/>
          <w:lang w:val="es-ES"/>
        </w:rPr>
      </w:pPr>
      <w:r w:rsidRPr="009437FB">
        <w:rPr>
          <w:caps/>
          <w:noProof/>
          <w:snapToGrid w:val="0"/>
          <w:u w:val="single"/>
          <w:lang w:val="es-ES"/>
        </w:rPr>
        <w:t>pérou / peru / peru / perú</w:t>
      </w:r>
    </w:p>
    <w:p w:rsidR="009437FB" w:rsidRPr="009437FB" w:rsidRDefault="009437FB" w:rsidP="009437FB">
      <w:pPr>
        <w:keepLines/>
        <w:spacing w:before="60" w:after="60"/>
        <w:jc w:val="left"/>
        <w:rPr>
          <w:noProof/>
          <w:snapToGrid w:val="0"/>
          <w:lang w:val="es-ES"/>
        </w:rPr>
      </w:pPr>
      <w:r w:rsidRPr="009437FB">
        <w:rPr>
          <w:noProof/>
          <w:snapToGrid w:val="0"/>
          <w:lang w:val="es-ES"/>
        </w:rPr>
        <w:t>Cristobal MELGAR (Mr.), Economic Affairs Official, Misión Permanente del Perú ante la Oficina de las Naciones Unidas en Ginebra, Ginebra</w:t>
      </w:r>
      <w:r w:rsidRPr="009437FB">
        <w:rPr>
          <w:noProof/>
          <w:snapToGrid w:val="0"/>
          <w:lang w:val="es-ES"/>
        </w:rPr>
        <w:br/>
        <w:t>(e-mail: cmelgar@onuperu.org)</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POLOGNE / POLAND / POLEN / POLONIA</w:t>
      </w:r>
    </w:p>
    <w:p w:rsidR="009437FB" w:rsidRPr="009437FB" w:rsidRDefault="009437FB" w:rsidP="009437FB">
      <w:pPr>
        <w:keepLines/>
        <w:spacing w:before="60" w:after="60"/>
        <w:jc w:val="left"/>
        <w:rPr>
          <w:noProof/>
          <w:snapToGrid w:val="0"/>
          <w:lang w:val="pt-BR"/>
        </w:rPr>
      </w:pPr>
      <w:r w:rsidRPr="009437FB">
        <w:rPr>
          <w:noProof/>
          <w:snapToGrid w:val="0"/>
        </w:rPr>
        <w:t xml:space="preserve">Marcin KRÓL (Mr.), Head, DUS Testing Department, Research Centre for Cultivar Testing (COBORU), Slupia Wielka </w:t>
      </w:r>
      <w:r w:rsidRPr="009437FB">
        <w:rPr>
          <w:noProof/>
          <w:snapToGrid w:val="0"/>
        </w:rPr>
        <w:br/>
        <w:t>(e-mail: m.krol@coboru.pl)</w:t>
      </w:r>
    </w:p>
    <w:p w:rsidR="009437FB" w:rsidRPr="009437FB" w:rsidRDefault="009437FB" w:rsidP="009437FB">
      <w:pPr>
        <w:keepNext/>
        <w:keepLines/>
        <w:spacing w:before="180" w:after="120"/>
        <w:jc w:val="left"/>
        <w:rPr>
          <w:caps/>
          <w:noProof/>
          <w:snapToGrid w:val="0"/>
          <w:u w:val="single"/>
          <w:lang w:val="pt-BR"/>
        </w:rPr>
      </w:pPr>
      <w:r w:rsidRPr="009437FB">
        <w:rPr>
          <w:caps/>
          <w:noProof/>
          <w:snapToGrid w:val="0"/>
          <w:u w:val="single"/>
          <w:lang w:val="pt-BR"/>
        </w:rPr>
        <w:t>RÉPUBLIQUE DE CORÉE / REPUBLIC OF KOREA / REPUBLIK KOREA / REPÚBLICA DE COREA</w:t>
      </w:r>
    </w:p>
    <w:p w:rsidR="009437FB" w:rsidRPr="009437FB" w:rsidRDefault="009437FB" w:rsidP="009437FB">
      <w:pPr>
        <w:keepLines/>
        <w:spacing w:before="60" w:after="60"/>
        <w:jc w:val="left"/>
        <w:rPr>
          <w:noProof/>
          <w:snapToGrid w:val="0"/>
        </w:rPr>
      </w:pPr>
      <w:r w:rsidRPr="009437FB">
        <w:rPr>
          <w:noProof/>
          <w:snapToGrid w:val="0"/>
        </w:rPr>
        <w:t xml:space="preserve">Keun-Jin CHOI (Mr.), Director, Korea Seed &amp; Variety Service (KSVS), Ministry of Agriculture, Food and Rural Affairs (MAF), Kangwon-do </w:t>
      </w:r>
      <w:r w:rsidRPr="009437FB">
        <w:rPr>
          <w:noProof/>
          <w:snapToGrid w:val="0"/>
        </w:rPr>
        <w:br/>
        <w:t>(e-mail: kjchoi1001@korea.kr)</w:t>
      </w:r>
    </w:p>
    <w:p w:rsidR="009437FB" w:rsidRPr="009437FB" w:rsidRDefault="009437FB" w:rsidP="009437FB">
      <w:pPr>
        <w:keepLines/>
        <w:spacing w:before="60" w:after="60"/>
        <w:jc w:val="left"/>
        <w:rPr>
          <w:noProof/>
          <w:snapToGrid w:val="0"/>
        </w:rPr>
      </w:pPr>
      <w:r w:rsidRPr="009437FB">
        <w:rPr>
          <w:noProof/>
          <w:snapToGrid w:val="0"/>
        </w:rPr>
        <w:t xml:space="preserve">Eunhee SOH (Ms.), Senior Examiner, Korea Seed and Variety Service (KSVS), Gyeonsangbok-do </w:t>
      </w:r>
      <w:r w:rsidRPr="009437FB">
        <w:rPr>
          <w:noProof/>
          <w:snapToGrid w:val="0"/>
        </w:rPr>
        <w:br/>
        <w:t>(e-mail: eunhee.soh@korea.kr)</w:t>
      </w:r>
    </w:p>
    <w:p w:rsidR="009437FB" w:rsidRPr="009437FB" w:rsidRDefault="009437FB" w:rsidP="009437FB">
      <w:pPr>
        <w:keepLines/>
        <w:spacing w:before="60" w:after="60"/>
        <w:jc w:val="left"/>
        <w:rPr>
          <w:noProof/>
          <w:snapToGrid w:val="0"/>
        </w:rPr>
      </w:pPr>
      <w:r w:rsidRPr="009437FB">
        <w:rPr>
          <w:noProof/>
          <w:snapToGrid w:val="0"/>
        </w:rPr>
        <w:t>Eun-Jung HEO (Ms.), Agricultural Researcher, Seobu Branch, Korea Seed and Variety Service (KSVS), Ministry of Agriculture, Food and Rural Affairs (MAFRA)</w:t>
      </w:r>
      <w:r w:rsidRPr="009437FB">
        <w:rPr>
          <w:noProof/>
          <w:snapToGrid w:val="0"/>
        </w:rPr>
        <w:br/>
        <w:t>(e-mail: heoej@korea.kr)</w:t>
      </w:r>
    </w:p>
    <w:p w:rsidR="009437FB" w:rsidRPr="009437FB" w:rsidRDefault="009437FB" w:rsidP="009437FB">
      <w:pPr>
        <w:keepNext/>
        <w:keepLines/>
        <w:spacing w:before="180" w:after="120"/>
        <w:jc w:val="left"/>
        <w:rPr>
          <w:caps/>
          <w:noProof/>
          <w:snapToGrid w:val="0"/>
          <w:u w:val="single"/>
          <w:lang w:val="pt-BR"/>
        </w:rPr>
      </w:pPr>
      <w:r w:rsidRPr="009437FB">
        <w:rPr>
          <w:caps/>
          <w:noProof/>
          <w:snapToGrid w:val="0"/>
          <w:u w:val="single"/>
          <w:lang w:val="pt-BR"/>
        </w:rPr>
        <w:t xml:space="preserve">RÉPUBLIQUE DE MOLDOVA / REPUBLIC OF MOLDOVA / REPUBLIK MOLDAU / </w:t>
      </w:r>
      <w:r w:rsidRPr="009437FB">
        <w:rPr>
          <w:caps/>
          <w:noProof/>
          <w:snapToGrid w:val="0"/>
          <w:u w:val="single"/>
          <w:lang w:val="pt-BR"/>
        </w:rPr>
        <w:br/>
        <w:t xml:space="preserve">REPÚBLICA DE MOLDOVA </w:t>
      </w:r>
    </w:p>
    <w:p w:rsidR="009437FB" w:rsidRPr="009437FB" w:rsidRDefault="009437FB" w:rsidP="009437FB">
      <w:pPr>
        <w:keepLines/>
        <w:spacing w:before="60" w:after="60"/>
        <w:jc w:val="left"/>
        <w:rPr>
          <w:noProof/>
          <w:snapToGrid w:val="0"/>
        </w:rPr>
      </w:pPr>
      <w:r w:rsidRPr="009437FB">
        <w:rPr>
          <w:noProof/>
          <w:snapToGrid w:val="0"/>
        </w:rPr>
        <w:t xml:space="preserve">Mihail MACHIDON (Mr.), Chairman, State Commission for Crops Variety Testing  (SCCVT), Chisinau  </w:t>
      </w:r>
      <w:r w:rsidRPr="009437FB">
        <w:rPr>
          <w:noProof/>
          <w:snapToGrid w:val="0"/>
        </w:rPr>
        <w:br/>
        <w:t xml:space="preserve">(e-mail: info@cstsp.md) </w:t>
      </w:r>
    </w:p>
    <w:p w:rsidR="009437FB" w:rsidRPr="009437FB" w:rsidRDefault="009437FB" w:rsidP="009437FB">
      <w:pPr>
        <w:keepLines/>
        <w:spacing w:before="60" w:after="60"/>
        <w:jc w:val="left"/>
        <w:rPr>
          <w:noProof/>
          <w:snapToGrid w:val="0"/>
        </w:rPr>
      </w:pPr>
      <w:r w:rsidRPr="009437FB">
        <w:rPr>
          <w:noProof/>
          <w:snapToGrid w:val="0"/>
        </w:rPr>
        <w:t xml:space="preserve">Ala GUSAN (Ms.), Deputy Head, Patents Division, Inventions and Plant Varieties Department, State Agency on Intellectual Property of the Republic of Moldova (AGEPI), Chisinau  </w:t>
      </w:r>
      <w:r w:rsidRPr="009437FB">
        <w:rPr>
          <w:noProof/>
          <w:snapToGrid w:val="0"/>
        </w:rPr>
        <w:br/>
        <w:t xml:space="preserve">(e-mail: ala.gusan@agepi.gov.md) </w:t>
      </w:r>
    </w:p>
    <w:p w:rsidR="009437FB" w:rsidRPr="009437FB" w:rsidRDefault="009437FB" w:rsidP="009437FB">
      <w:pPr>
        <w:keepNext/>
        <w:keepLines/>
        <w:spacing w:before="180" w:after="120"/>
        <w:jc w:val="left"/>
        <w:rPr>
          <w:caps/>
          <w:noProof/>
          <w:snapToGrid w:val="0"/>
          <w:u w:val="single"/>
          <w:lang w:val="es-ES"/>
        </w:rPr>
      </w:pPr>
      <w:r w:rsidRPr="009437FB">
        <w:rPr>
          <w:caps/>
          <w:noProof/>
          <w:snapToGrid w:val="0"/>
          <w:u w:val="single"/>
          <w:lang w:val="es-ES"/>
        </w:rPr>
        <w:t xml:space="preserve">RÉPUBLIQUE Dominicaine / dominican REPUBLIC / dominikanische REPUBLIK / </w:t>
      </w:r>
      <w:r w:rsidRPr="009437FB">
        <w:rPr>
          <w:caps/>
          <w:noProof/>
          <w:snapToGrid w:val="0"/>
          <w:u w:val="single"/>
          <w:lang w:val="es-ES"/>
        </w:rPr>
        <w:br/>
        <w:t>REPÚBLICA Dominicana</w:t>
      </w:r>
    </w:p>
    <w:p w:rsidR="009437FB" w:rsidRPr="009437FB" w:rsidRDefault="009437FB" w:rsidP="009437FB">
      <w:pPr>
        <w:keepLines/>
        <w:spacing w:before="60" w:after="60"/>
        <w:jc w:val="left"/>
        <w:rPr>
          <w:noProof/>
          <w:snapToGrid w:val="0"/>
          <w:lang w:val="es-ES"/>
        </w:rPr>
      </w:pPr>
      <w:r w:rsidRPr="009437FB">
        <w:rPr>
          <w:noProof/>
          <w:snapToGrid w:val="0"/>
          <w:lang w:val="es-ES"/>
        </w:rPr>
        <w:t xml:space="preserve">Maria Ayalivis GARCIA MEDRANO (Sra.), Directora, Oficina de Registros de Variedades y Proteccion de los Derechos de Obtentor (Orevado), Santo Domingo </w:t>
      </w:r>
      <w:r w:rsidRPr="009437FB">
        <w:rPr>
          <w:noProof/>
          <w:snapToGrid w:val="0"/>
          <w:lang w:val="es-ES"/>
        </w:rPr>
        <w:br/>
        <w:t>(e-mail: mgarcia@orevado.gob.do)</w:t>
      </w:r>
    </w:p>
    <w:p w:rsidR="009437FB" w:rsidRPr="009437FB" w:rsidRDefault="009437FB" w:rsidP="009437FB">
      <w:pPr>
        <w:keepNext/>
        <w:keepLines/>
        <w:spacing w:before="180" w:after="120"/>
        <w:jc w:val="left"/>
        <w:rPr>
          <w:caps/>
          <w:noProof/>
          <w:snapToGrid w:val="0"/>
          <w:u w:val="single"/>
          <w:lang w:val="es-ES"/>
        </w:rPr>
      </w:pPr>
      <w:r w:rsidRPr="009437FB">
        <w:rPr>
          <w:caps/>
          <w:noProof/>
          <w:snapToGrid w:val="0"/>
          <w:u w:val="single"/>
          <w:lang w:val="es-ES"/>
        </w:rPr>
        <w:lastRenderedPageBreak/>
        <w:t>RÉPUBLIQUE TCHÈQUE / CZECH REPUBLIC / TSCHECHISCHE REPUBLIK / REPÚBLICA CHECA</w:t>
      </w:r>
    </w:p>
    <w:p w:rsidR="009437FB" w:rsidRPr="009437FB" w:rsidRDefault="009437FB" w:rsidP="009437FB">
      <w:pPr>
        <w:keepLines/>
        <w:spacing w:before="60" w:after="60"/>
        <w:jc w:val="left"/>
        <w:rPr>
          <w:noProof/>
          <w:snapToGrid w:val="0"/>
        </w:rPr>
      </w:pPr>
      <w:r w:rsidRPr="009437FB">
        <w:rPr>
          <w:noProof/>
          <w:snapToGrid w:val="0"/>
        </w:rPr>
        <w:t xml:space="preserve">Radmila SAFAŘÍKOVÁ (Ms.), Senior Officer, National Plant Variety Office, Central Institute for Supervising and Testing in Agriculture (UKZUZ), Brno </w:t>
      </w:r>
      <w:r w:rsidRPr="009437FB">
        <w:rPr>
          <w:noProof/>
          <w:snapToGrid w:val="0"/>
        </w:rPr>
        <w:br/>
        <w:t xml:space="preserve">(e-mail: radmila.safarikova@ukzuz.cz) </w:t>
      </w:r>
    </w:p>
    <w:p w:rsidR="009437FB" w:rsidRPr="009437FB" w:rsidRDefault="009437FB" w:rsidP="009437FB">
      <w:pPr>
        <w:keepNext/>
        <w:keepLines/>
        <w:spacing w:before="180" w:after="120"/>
        <w:jc w:val="left"/>
        <w:rPr>
          <w:caps/>
          <w:noProof/>
          <w:snapToGrid w:val="0"/>
          <w:u w:val="single"/>
          <w:lang w:val="es-ES"/>
        </w:rPr>
      </w:pPr>
      <w:r w:rsidRPr="009437FB">
        <w:rPr>
          <w:caps/>
          <w:noProof/>
          <w:snapToGrid w:val="0"/>
          <w:u w:val="single"/>
          <w:lang w:val="es-ES"/>
        </w:rPr>
        <w:t xml:space="preserve">RÉPUBLIQUE-UNIE DE TANZANIE / UNITED REPUBLIC OF TANZANIA / </w:t>
      </w:r>
      <w:r w:rsidRPr="009437FB">
        <w:rPr>
          <w:caps/>
          <w:noProof/>
          <w:snapToGrid w:val="0"/>
          <w:u w:val="single"/>
          <w:lang w:val="es-ES"/>
        </w:rPr>
        <w:br/>
        <w:t>VEREINIGTE REPUBLIK TANSANIA / REPÚBLICA UNIDA DE TANZANÍA</w:t>
      </w:r>
    </w:p>
    <w:p w:rsidR="009437FB" w:rsidRPr="009437FB" w:rsidRDefault="009437FB" w:rsidP="009437FB">
      <w:pPr>
        <w:keepNext/>
        <w:keepLines/>
        <w:spacing w:before="60" w:after="60"/>
        <w:jc w:val="left"/>
        <w:rPr>
          <w:noProof/>
          <w:snapToGrid w:val="0"/>
        </w:rPr>
      </w:pPr>
      <w:r w:rsidRPr="009437FB">
        <w:rPr>
          <w:noProof/>
          <w:snapToGrid w:val="0"/>
        </w:rPr>
        <w:t xml:space="preserve">Patrick NGWEDIAGI (Mr.), Director General, Tanzania Official Seed Certification Institute (TOSCI), Morogoro </w:t>
      </w:r>
      <w:r w:rsidRPr="009437FB">
        <w:rPr>
          <w:noProof/>
          <w:snapToGrid w:val="0"/>
        </w:rPr>
        <w:br/>
        <w:t xml:space="preserve">(e-mail: ngwedi@yahoo.com) </w:t>
      </w:r>
    </w:p>
    <w:p w:rsidR="009437FB" w:rsidRPr="009437FB" w:rsidRDefault="009437FB" w:rsidP="009437FB">
      <w:pPr>
        <w:keepNext/>
        <w:keepLines/>
        <w:spacing w:before="60" w:after="60"/>
        <w:jc w:val="left"/>
        <w:rPr>
          <w:noProof/>
          <w:snapToGrid w:val="0"/>
        </w:rPr>
      </w:pPr>
      <w:r w:rsidRPr="009437FB">
        <w:rPr>
          <w:noProof/>
          <w:snapToGrid w:val="0"/>
        </w:rPr>
        <w:t xml:space="preserve">Twalib Mustafa NJOHOLE (Mr.), Registrar of Plant Breeders' Rights, Plant Breeders Rights' Office, Ministry of Agriculture (MoA), Dodoma </w:t>
      </w:r>
      <w:r w:rsidRPr="009437FB">
        <w:rPr>
          <w:noProof/>
          <w:snapToGrid w:val="0"/>
        </w:rPr>
        <w:br/>
        <w:t>(e-mail: twalib.njohole@kilimo.go.tz)</w:t>
      </w:r>
    </w:p>
    <w:p w:rsidR="009437FB" w:rsidRPr="009437FB" w:rsidRDefault="009437FB" w:rsidP="009437FB">
      <w:pPr>
        <w:keepLines/>
        <w:spacing w:before="60" w:after="60"/>
        <w:jc w:val="left"/>
        <w:rPr>
          <w:noProof/>
          <w:snapToGrid w:val="0"/>
        </w:rPr>
      </w:pPr>
      <w:r w:rsidRPr="009437FB">
        <w:rPr>
          <w:noProof/>
          <w:snapToGrid w:val="0"/>
        </w:rPr>
        <w:t xml:space="preserve">Asia Filfil THANI (Ms.), Registrar of Plant Breeders' Rights Zanzibar, Ministry of Agriculture and Natural Resources, Zanzibar </w:t>
      </w:r>
      <w:r w:rsidRPr="009437FB">
        <w:rPr>
          <w:noProof/>
          <w:snapToGrid w:val="0"/>
        </w:rPr>
        <w:br/>
        <w:t>(e-mail: asiathani@yahoo.com)</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ROUMANIE / ROMANIA / RUMÄNIEN / RUMANIA</w:t>
      </w:r>
    </w:p>
    <w:p w:rsidR="009437FB" w:rsidRPr="009437FB" w:rsidRDefault="009437FB" w:rsidP="009437FB">
      <w:pPr>
        <w:keepLines/>
        <w:spacing w:before="60" w:after="60"/>
        <w:jc w:val="left"/>
        <w:rPr>
          <w:noProof/>
          <w:snapToGrid w:val="0"/>
        </w:rPr>
      </w:pPr>
      <w:r w:rsidRPr="009437FB">
        <w:rPr>
          <w:noProof/>
          <w:snapToGrid w:val="0"/>
        </w:rPr>
        <w:t xml:space="preserve">Mihaela-Rodica CIORA (Ms.), Counsellor, State Institute for Variety Testing and Registration (ISTIS), Bucarest </w:t>
      </w:r>
      <w:r w:rsidRPr="009437FB">
        <w:rPr>
          <w:noProof/>
          <w:snapToGrid w:val="0"/>
        </w:rPr>
        <w:br/>
        <w:t>(e-mail: mihaela_ciora@istis.ro)</w:t>
      </w:r>
    </w:p>
    <w:p w:rsidR="009437FB" w:rsidRPr="009437FB" w:rsidRDefault="009437FB" w:rsidP="009437FB">
      <w:pPr>
        <w:keepLines/>
        <w:spacing w:before="60" w:after="60"/>
        <w:jc w:val="left"/>
        <w:rPr>
          <w:noProof/>
          <w:snapToGrid w:val="0"/>
        </w:rPr>
      </w:pPr>
      <w:r w:rsidRPr="009437FB">
        <w:rPr>
          <w:noProof/>
          <w:snapToGrid w:val="0"/>
        </w:rPr>
        <w:t>Teodor Dan ENESCU (Mr.), Counsellor, State Institute for Variety Testing and Registration (ISTIS), Bucarest</w:t>
      </w:r>
      <w:r w:rsidRPr="009437FB">
        <w:rPr>
          <w:noProof/>
          <w:snapToGrid w:val="0"/>
        </w:rPr>
        <w:br/>
        <w:t>(e-mail: teonscu@yahoo.com)</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ROYAUME-UNI / UNITED KINGDOM / VEREINIGTES KÖNIGREICH / REINO UNIDO</w:t>
      </w:r>
    </w:p>
    <w:p w:rsidR="009437FB" w:rsidRPr="009437FB" w:rsidRDefault="009437FB" w:rsidP="009437FB">
      <w:pPr>
        <w:keepLines/>
        <w:spacing w:before="60" w:after="60"/>
        <w:jc w:val="left"/>
        <w:rPr>
          <w:noProof/>
          <w:snapToGrid w:val="0"/>
        </w:rPr>
      </w:pPr>
      <w:r w:rsidRPr="009437FB">
        <w:rPr>
          <w:noProof/>
          <w:snapToGrid w:val="0"/>
        </w:rPr>
        <w:t xml:space="preserve">Robert WARLOW (Mr.), Team Leader, National Listing / Plant Breeders' Rights, Animal and Plant Health Agency (APHA), Cambridge </w:t>
      </w:r>
      <w:r w:rsidRPr="009437FB">
        <w:rPr>
          <w:noProof/>
          <w:snapToGrid w:val="0"/>
        </w:rPr>
        <w:br/>
        <w:t>(e-mail: rob.warlow@apha.gov.uk)</w:t>
      </w:r>
    </w:p>
    <w:p w:rsidR="009437FB" w:rsidRPr="009437FB" w:rsidRDefault="009437FB" w:rsidP="009437FB">
      <w:pPr>
        <w:keepLines/>
        <w:spacing w:before="60" w:after="60"/>
        <w:jc w:val="left"/>
        <w:rPr>
          <w:noProof/>
          <w:snapToGrid w:val="0"/>
        </w:rPr>
      </w:pPr>
      <w:r w:rsidRPr="009437FB">
        <w:rPr>
          <w:noProof/>
          <w:snapToGrid w:val="0"/>
        </w:rPr>
        <w:t xml:space="preserve">Eleanor GIBSON-FORTY (Ms.), Plant Varieties and Seeds Administrator, Animal and Plant Health Agency (APHA), Cambridge </w:t>
      </w:r>
      <w:r w:rsidRPr="009437FB">
        <w:rPr>
          <w:noProof/>
          <w:snapToGrid w:val="0"/>
        </w:rPr>
        <w:br/>
        <w:t>(e-mail: eleanor.gibson-forty@apha.gov.uk)</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SERBIE / SERBIA / SERBIEN / SERBIA</w:t>
      </w:r>
    </w:p>
    <w:p w:rsidR="009437FB" w:rsidRPr="009437FB" w:rsidRDefault="009437FB" w:rsidP="009437FB">
      <w:pPr>
        <w:keepLines/>
        <w:spacing w:before="60" w:after="60"/>
        <w:jc w:val="left"/>
        <w:rPr>
          <w:noProof/>
          <w:snapToGrid w:val="0"/>
        </w:rPr>
      </w:pPr>
      <w:r w:rsidRPr="009437FB">
        <w:rPr>
          <w:noProof/>
          <w:snapToGrid w:val="0"/>
        </w:rPr>
        <w:t xml:space="preserve">Gordana LONCAR (Ms.), Senior Adviser for Plant Variety protection, Plant Protection Directorate, Group for Plant Variety Protection and Biosafety, Ministry of Agriculture and Environmental protection, Belgrade </w:t>
      </w:r>
      <w:r w:rsidRPr="009437FB">
        <w:rPr>
          <w:noProof/>
          <w:snapToGrid w:val="0"/>
        </w:rPr>
        <w:br/>
        <w:t>(e-mail: gordana.loncar@minpolj.gov.rs)</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SLOVAQUIE / SLOVAKIA / SLOWAKEI / ESLOVAQUIA</w:t>
      </w:r>
    </w:p>
    <w:p w:rsidR="009437FB" w:rsidRPr="009437FB" w:rsidRDefault="009437FB" w:rsidP="009437FB">
      <w:pPr>
        <w:keepLines/>
        <w:spacing w:before="60" w:after="60"/>
        <w:jc w:val="left"/>
        <w:rPr>
          <w:noProof/>
          <w:snapToGrid w:val="0"/>
        </w:rPr>
      </w:pPr>
      <w:r w:rsidRPr="009437FB">
        <w:rPr>
          <w:noProof/>
          <w:snapToGrid w:val="0"/>
        </w:rPr>
        <w:t xml:space="preserve">Bronislava BÁTOROVÁ (Ms.), National Coordinator for the Cooperation of the Slovak Republic with UPOV/ Senior Officer, Department of Variety Testing, Central Controlling and Testing Institute in Agriculture (ÚKSÚP), Nitra  </w:t>
      </w:r>
      <w:r w:rsidRPr="009437FB">
        <w:rPr>
          <w:noProof/>
          <w:snapToGrid w:val="0"/>
        </w:rPr>
        <w:br/>
        <w:t xml:space="preserve">(e-mail: bronislava.batorova@uksup.sk) </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SUISSE / SWITZERLAND / SCHWEIZ / SUIZA</w:t>
      </w:r>
    </w:p>
    <w:p w:rsidR="009437FB" w:rsidRPr="009437FB" w:rsidRDefault="009437FB" w:rsidP="009437FB">
      <w:pPr>
        <w:keepLines/>
        <w:spacing w:before="60" w:after="60"/>
        <w:jc w:val="left"/>
        <w:rPr>
          <w:noProof/>
          <w:snapToGrid w:val="0"/>
        </w:rPr>
      </w:pPr>
      <w:r w:rsidRPr="009437FB">
        <w:rPr>
          <w:noProof/>
          <w:snapToGrid w:val="0"/>
        </w:rPr>
        <w:t xml:space="preserve">Manuela BRAND (Ms.), Plant Variety Rights Office, Plant Health and Varieties, Office fédéral de l'agriculture (OFAG), Bern  </w:t>
      </w:r>
      <w:r w:rsidRPr="009437FB">
        <w:rPr>
          <w:noProof/>
          <w:snapToGrid w:val="0"/>
        </w:rPr>
        <w:br/>
        <w:t xml:space="preserve">(e-mail: manuela.brand@blw.admin.ch) </w:t>
      </w:r>
    </w:p>
    <w:p w:rsidR="009437FB" w:rsidRPr="009437FB" w:rsidRDefault="009437FB" w:rsidP="009437FB">
      <w:pPr>
        <w:keepNext/>
        <w:keepLines/>
        <w:spacing w:before="180" w:after="120"/>
        <w:jc w:val="left"/>
        <w:rPr>
          <w:caps/>
          <w:noProof/>
          <w:snapToGrid w:val="0"/>
          <w:u w:val="single"/>
          <w:lang w:val="fr-CH"/>
        </w:rPr>
      </w:pPr>
      <w:r w:rsidRPr="009437FB">
        <w:rPr>
          <w:caps/>
          <w:noProof/>
          <w:snapToGrid w:val="0"/>
          <w:u w:val="single"/>
          <w:lang w:val="fr-CH"/>
        </w:rPr>
        <w:t>TUNISIE / TUNISIA / TUNESIEN / TÚNEZ</w:t>
      </w:r>
    </w:p>
    <w:p w:rsidR="009437FB" w:rsidRPr="009437FB" w:rsidRDefault="009437FB" w:rsidP="009437FB">
      <w:pPr>
        <w:keepLines/>
        <w:spacing w:before="60" w:after="60"/>
        <w:jc w:val="left"/>
        <w:rPr>
          <w:noProof/>
          <w:snapToGrid w:val="0"/>
          <w:lang w:val="fr-CH"/>
        </w:rPr>
      </w:pPr>
      <w:r w:rsidRPr="009437FB">
        <w:rPr>
          <w:noProof/>
          <w:snapToGrid w:val="0"/>
          <w:lang w:val="fr-CH"/>
        </w:rPr>
        <w:t xml:space="preserve">Omar BRAHMI (Mr.),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sidRPr="009437FB">
        <w:rPr>
          <w:noProof/>
          <w:snapToGrid w:val="0"/>
          <w:lang w:val="fr-CH"/>
        </w:rPr>
        <w:br/>
        <w:t>(e-mail: bo.dgpcqpa@iresa.agrinet.tn)</w:t>
      </w:r>
    </w:p>
    <w:p w:rsidR="009437FB" w:rsidRPr="009437FB" w:rsidRDefault="009437FB" w:rsidP="009437FB">
      <w:pPr>
        <w:keepNext/>
        <w:spacing w:before="180" w:after="120"/>
        <w:jc w:val="left"/>
        <w:rPr>
          <w:caps/>
          <w:noProof/>
          <w:snapToGrid w:val="0"/>
          <w:u w:val="single"/>
        </w:rPr>
      </w:pPr>
      <w:r w:rsidRPr="009437FB">
        <w:rPr>
          <w:caps/>
          <w:noProof/>
          <w:snapToGrid w:val="0"/>
          <w:u w:val="single"/>
        </w:rPr>
        <w:lastRenderedPageBreak/>
        <w:t>TURQUIE / TURKEY / TÜRKEI / TURQUÍA</w:t>
      </w:r>
    </w:p>
    <w:p w:rsidR="009437FB" w:rsidRPr="009437FB" w:rsidRDefault="009437FB" w:rsidP="009437FB">
      <w:pPr>
        <w:keepNext/>
        <w:spacing w:before="60" w:after="60"/>
        <w:jc w:val="left"/>
        <w:rPr>
          <w:noProof/>
          <w:snapToGrid w:val="0"/>
        </w:rPr>
      </w:pPr>
      <w:r w:rsidRPr="009437FB">
        <w:rPr>
          <w:noProof/>
          <w:snapToGrid w:val="0"/>
        </w:rPr>
        <w:t xml:space="preserve">Suat YILMAZ (Mr.), Deputy General Director, General Directorate of Plant Production, Ministry of Agriculture and Forestry, Ankara </w:t>
      </w:r>
    </w:p>
    <w:p w:rsidR="009437FB" w:rsidRPr="009437FB" w:rsidRDefault="009437FB" w:rsidP="009437FB">
      <w:pPr>
        <w:spacing w:before="60" w:after="60"/>
        <w:jc w:val="left"/>
        <w:rPr>
          <w:noProof/>
          <w:snapToGrid w:val="0"/>
        </w:rPr>
      </w:pPr>
      <w:r w:rsidRPr="009437FB">
        <w:rPr>
          <w:noProof/>
          <w:snapToGrid w:val="0"/>
        </w:rPr>
        <w:t xml:space="preserve">Mehmet CAKMAK (Mr.), PBR Expert, Seed Department, General Directorate of Plant Production, Ministry of Agriculture and Forestry, Ankara </w:t>
      </w:r>
      <w:r w:rsidRPr="009437FB">
        <w:rPr>
          <w:noProof/>
          <w:snapToGrid w:val="0"/>
        </w:rPr>
        <w:br/>
        <w:t>(e-mail: mehmet.cakmak@tarim.gov.tr)</w:t>
      </w:r>
    </w:p>
    <w:p w:rsidR="009437FB" w:rsidRPr="009437FB" w:rsidRDefault="009437FB" w:rsidP="009437FB">
      <w:pPr>
        <w:spacing w:before="60" w:after="60"/>
        <w:jc w:val="left"/>
        <w:rPr>
          <w:noProof/>
          <w:snapToGrid w:val="0"/>
        </w:rPr>
      </w:pPr>
      <w:r w:rsidRPr="009437FB">
        <w:rPr>
          <w:noProof/>
          <w:snapToGrid w:val="0"/>
        </w:rPr>
        <w:t xml:space="preserve">Sezgin KARADENIZ (Mr.), Head of Seed Depatment, General Directorate of Plant Production, Ministry of Agriculture and Forestry, Ankara </w:t>
      </w:r>
      <w:r w:rsidRPr="009437FB">
        <w:rPr>
          <w:noProof/>
          <w:snapToGrid w:val="0"/>
        </w:rPr>
        <w:br/>
        <w:t>(e-mail: sezgin.karadeniz@tarim.gov.tr)</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UNION EUROPÉENNE / EUROPEAN UNION / EUROPÄISCHE UNION / UNIÓN EUROPEA</w:t>
      </w:r>
    </w:p>
    <w:p w:rsidR="009437FB" w:rsidRPr="009437FB" w:rsidRDefault="009437FB" w:rsidP="009437FB">
      <w:pPr>
        <w:keepLines/>
        <w:spacing w:before="60" w:after="60"/>
        <w:jc w:val="left"/>
        <w:rPr>
          <w:noProof/>
          <w:snapToGrid w:val="0"/>
        </w:rPr>
      </w:pPr>
      <w:r w:rsidRPr="009437FB">
        <w:rPr>
          <w:noProof/>
          <w:snapToGrid w:val="0"/>
        </w:rPr>
        <w:t xml:space="preserve">Kirsi Marjatta HEINONEN (Ms.), Counsellor, Permanent Representation of Finland In European Union, Bruxelles </w:t>
      </w:r>
      <w:r w:rsidRPr="009437FB">
        <w:rPr>
          <w:noProof/>
          <w:snapToGrid w:val="0"/>
        </w:rPr>
        <w:br/>
        <w:t>(e-mail: Kirsi.heinonen@formin.fi)</w:t>
      </w:r>
    </w:p>
    <w:p w:rsidR="009437FB" w:rsidRPr="009437FB" w:rsidRDefault="009437FB" w:rsidP="009437FB">
      <w:pPr>
        <w:keepLines/>
        <w:spacing w:before="60" w:after="60"/>
        <w:jc w:val="left"/>
        <w:rPr>
          <w:noProof/>
          <w:snapToGrid w:val="0"/>
        </w:rPr>
      </w:pPr>
      <w:r w:rsidRPr="009437FB">
        <w:rPr>
          <w:noProof/>
          <w:snapToGrid w:val="0"/>
        </w:rPr>
        <w:t xml:space="preserve">Kati LASSI (Ms.), Senior Specialist, Helsinki </w:t>
      </w:r>
      <w:r w:rsidRPr="009437FB">
        <w:rPr>
          <w:noProof/>
          <w:snapToGrid w:val="0"/>
        </w:rPr>
        <w:br/>
        <w:t>(e-mail: kati.lassi@mmm.fi)</w:t>
      </w:r>
    </w:p>
    <w:p w:rsidR="009437FB" w:rsidRPr="009437FB" w:rsidRDefault="009437FB" w:rsidP="009437FB">
      <w:pPr>
        <w:keepLines/>
        <w:spacing w:before="60" w:after="60"/>
        <w:jc w:val="left"/>
        <w:rPr>
          <w:noProof/>
          <w:snapToGrid w:val="0"/>
        </w:rPr>
      </w:pPr>
      <w:r w:rsidRPr="009437FB">
        <w:rPr>
          <w:noProof/>
          <w:snapToGrid w:val="0"/>
        </w:rPr>
        <w:t xml:space="preserve">Tarja Päivikki HIETARANTA (Ms.), Senior Officer, Seed Certification, Finnish Food Authority, Loimaa </w:t>
      </w:r>
      <w:r w:rsidRPr="009437FB">
        <w:rPr>
          <w:noProof/>
          <w:snapToGrid w:val="0"/>
        </w:rPr>
        <w:br/>
        <w:t>(e-mail: tarja.hietaranta@evira.fi)</w:t>
      </w:r>
    </w:p>
    <w:p w:rsidR="009437FB" w:rsidRPr="009437FB" w:rsidRDefault="009437FB" w:rsidP="009437FB">
      <w:pPr>
        <w:keepLines/>
        <w:spacing w:before="60" w:after="60"/>
        <w:jc w:val="left"/>
        <w:rPr>
          <w:noProof/>
          <w:snapToGrid w:val="0"/>
        </w:rPr>
      </w:pPr>
      <w:r w:rsidRPr="009437FB">
        <w:rPr>
          <w:noProof/>
          <w:snapToGrid w:val="0"/>
        </w:rPr>
        <w:t xml:space="preserve">Päivi MANNERKORPI (Ms.), Team Leader - Plant Reproductive Material, Unit G1 Plant Health, Directorate General for Health and Food Safety (DG SANTE), European Commission, Bruxelles </w:t>
      </w:r>
      <w:r w:rsidRPr="009437FB">
        <w:rPr>
          <w:noProof/>
          <w:snapToGrid w:val="0"/>
        </w:rPr>
        <w:br/>
        <w:t>(e-mail: paivi.mannerkorpi@ec.europa.eu)</w:t>
      </w:r>
    </w:p>
    <w:p w:rsidR="009437FB" w:rsidRPr="009437FB" w:rsidRDefault="009437FB" w:rsidP="009437FB">
      <w:pPr>
        <w:keepLines/>
        <w:spacing w:before="60" w:after="60"/>
        <w:jc w:val="left"/>
        <w:rPr>
          <w:noProof/>
          <w:snapToGrid w:val="0"/>
        </w:rPr>
      </w:pPr>
      <w:r w:rsidRPr="009437FB">
        <w:rPr>
          <w:noProof/>
          <w:snapToGrid w:val="0"/>
        </w:rPr>
        <w:t xml:space="preserve">Dirk THEOBALD (Mr.), Senior Advisor, Community Plant Variety Office (CPVO), Angers </w:t>
      </w:r>
      <w:r w:rsidRPr="009437FB">
        <w:rPr>
          <w:noProof/>
          <w:snapToGrid w:val="0"/>
        </w:rPr>
        <w:br/>
        <w:t xml:space="preserve">(e-mail: theobald@cpvo.europa.eu) </w:t>
      </w:r>
    </w:p>
    <w:p w:rsidR="009437FB" w:rsidRPr="009437FB" w:rsidRDefault="009437FB" w:rsidP="009437FB">
      <w:pPr>
        <w:keepLines/>
        <w:spacing w:before="60" w:after="60"/>
        <w:jc w:val="left"/>
        <w:rPr>
          <w:noProof/>
          <w:snapToGrid w:val="0"/>
        </w:rPr>
      </w:pPr>
      <w:r w:rsidRPr="009437FB">
        <w:rPr>
          <w:noProof/>
          <w:snapToGrid w:val="0"/>
        </w:rPr>
        <w:t xml:space="preserve">Jean MAISON (Mr.), Deputy Head, Technical Unit, Community Plant Variety Office (CPVO), Angers </w:t>
      </w:r>
      <w:r w:rsidRPr="009437FB">
        <w:rPr>
          <w:noProof/>
          <w:snapToGrid w:val="0"/>
        </w:rPr>
        <w:br/>
        <w:t>(e-mail: maison@cpvo.europa.eu)</w:t>
      </w:r>
    </w:p>
    <w:p w:rsidR="009437FB" w:rsidRPr="009437FB" w:rsidRDefault="009437FB" w:rsidP="009437FB">
      <w:pPr>
        <w:keepNext/>
        <w:spacing w:before="480" w:after="120"/>
        <w:jc w:val="center"/>
        <w:rPr>
          <w:caps/>
          <w:snapToGrid w:val="0"/>
          <w:u w:val="single"/>
        </w:rPr>
      </w:pPr>
      <w:r w:rsidRPr="009437FB">
        <w:rPr>
          <w:caps/>
          <w:snapToGrid w:val="0"/>
          <w:u w:val="single"/>
        </w:rPr>
        <w:t>II. OBSERVATEURS / OBSERVERS / BEOBACHTER / OBSERVADORES</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ÉGYPTE / EGYPT / ÄGYPTEN / EGIPTO</w:t>
      </w:r>
    </w:p>
    <w:p w:rsidR="009437FB" w:rsidRPr="009437FB" w:rsidRDefault="009437FB" w:rsidP="009437FB">
      <w:pPr>
        <w:keepLines/>
        <w:spacing w:before="60" w:after="60"/>
        <w:jc w:val="left"/>
        <w:rPr>
          <w:noProof/>
          <w:snapToGrid w:val="0"/>
        </w:rPr>
      </w:pPr>
      <w:r w:rsidRPr="009437FB">
        <w:rPr>
          <w:noProof/>
          <w:snapToGrid w:val="0"/>
        </w:rPr>
        <w:t xml:space="preserve">Saad NASSAR (Mr.), Advisor to the Minister for Agriculture and Land Reclamation, Giza </w:t>
      </w:r>
      <w:r w:rsidRPr="009437FB">
        <w:rPr>
          <w:noProof/>
          <w:snapToGrid w:val="0"/>
        </w:rPr>
        <w:br/>
        <w:t>(e-mail: saad.nassar@yahoo.com)</w:t>
      </w:r>
    </w:p>
    <w:p w:rsidR="009437FB" w:rsidRPr="009437FB" w:rsidRDefault="009437FB" w:rsidP="009437FB">
      <w:pPr>
        <w:keepLines/>
        <w:spacing w:before="60" w:after="60"/>
        <w:jc w:val="left"/>
        <w:rPr>
          <w:noProof/>
          <w:snapToGrid w:val="0"/>
        </w:rPr>
      </w:pPr>
      <w:r w:rsidRPr="009437FB">
        <w:rPr>
          <w:noProof/>
          <w:snapToGrid w:val="0"/>
        </w:rPr>
        <w:t xml:space="preserve">Hassan EL BADRAWY (Mr.), Vice President, Court Cassation, Ministry of Justice, Cairo </w:t>
      </w:r>
      <w:r w:rsidRPr="009437FB">
        <w:rPr>
          <w:noProof/>
          <w:snapToGrid w:val="0"/>
        </w:rPr>
        <w:br/>
        <w:t>(e-mail: h_b49@hotmail.com)</w:t>
      </w:r>
    </w:p>
    <w:p w:rsidR="009437FB" w:rsidRPr="009437FB" w:rsidRDefault="009437FB" w:rsidP="009437FB">
      <w:pPr>
        <w:keepLines/>
        <w:spacing w:before="60" w:after="60"/>
        <w:jc w:val="left"/>
        <w:rPr>
          <w:noProof/>
          <w:snapToGrid w:val="0"/>
        </w:rPr>
      </w:pPr>
      <w:r w:rsidRPr="009437FB">
        <w:rPr>
          <w:noProof/>
          <w:snapToGrid w:val="0"/>
        </w:rPr>
        <w:t xml:space="preserve">Mahasen Fawaz Mohamed GAD (Ms.), General Manager, Plant Variety Protection Office, Central Administration for Seed Certification (CASC), Giza </w:t>
      </w:r>
      <w:r w:rsidRPr="009437FB">
        <w:rPr>
          <w:noProof/>
          <w:snapToGrid w:val="0"/>
        </w:rPr>
        <w:br/>
        <w:t>(e-mail: mahansen.f.gad@gmail.com)</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 xml:space="preserve">Émirats arabes unis / United Arab Emirates / Vereinigte Arabische Emirate / </w:t>
      </w:r>
      <w:r w:rsidRPr="009437FB">
        <w:rPr>
          <w:caps/>
          <w:noProof/>
          <w:snapToGrid w:val="0"/>
          <w:u w:val="single"/>
        </w:rPr>
        <w:br/>
        <w:t>Emiratos Árabes Unidos</w:t>
      </w:r>
    </w:p>
    <w:p w:rsidR="009437FB" w:rsidRPr="009437FB" w:rsidRDefault="009437FB" w:rsidP="009437FB">
      <w:pPr>
        <w:keepLines/>
        <w:spacing w:before="60" w:after="60"/>
        <w:jc w:val="left"/>
        <w:rPr>
          <w:noProof/>
          <w:snapToGrid w:val="0"/>
        </w:rPr>
      </w:pPr>
      <w:r w:rsidRPr="009437FB">
        <w:rPr>
          <w:noProof/>
          <w:snapToGrid w:val="0"/>
        </w:rPr>
        <w:t xml:space="preserve">Mohamed Ahmed HAMDAN AL DHANHANI (Mr.), Director, Agriculture Development and Health Department, Ministry of Climate Change and Environment, Dubai </w:t>
      </w:r>
      <w:r w:rsidRPr="009437FB">
        <w:rPr>
          <w:noProof/>
          <w:snapToGrid w:val="0"/>
        </w:rPr>
        <w:br/>
        <w:t>(e-mail: maaldhanhani@moccae.gov.ae)</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KAZAKHSTAN / KAZAKHSTAN / KASACHSTAN / KAZAJSTÁN</w:t>
      </w:r>
    </w:p>
    <w:p w:rsidR="009437FB" w:rsidRPr="009437FB" w:rsidRDefault="009437FB" w:rsidP="009437FB">
      <w:pPr>
        <w:keepLines/>
        <w:spacing w:before="60" w:after="60"/>
        <w:jc w:val="left"/>
        <w:rPr>
          <w:noProof/>
          <w:snapToGrid w:val="0"/>
        </w:rPr>
      </w:pPr>
      <w:r w:rsidRPr="009437FB">
        <w:rPr>
          <w:noProof/>
          <w:snapToGrid w:val="0"/>
        </w:rPr>
        <w:t xml:space="preserve">Talgat AZHGALIYEV (Mr.), Chairman, State Commission for Variety Testing of Crops, Astana </w:t>
      </w:r>
      <w:r w:rsidRPr="009437FB">
        <w:rPr>
          <w:noProof/>
          <w:snapToGrid w:val="0"/>
        </w:rPr>
        <w:br/>
        <w:t>(e-mail: goskomKZ@mail.ru)</w:t>
      </w:r>
    </w:p>
    <w:p w:rsidR="009437FB" w:rsidRPr="009437FB" w:rsidRDefault="009437FB" w:rsidP="009437FB">
      <w:pPr>
        <w:keepLines/>
        <w:spacing w:before="60" w:after="60"/>
        <w:jc w:val="left"/>
        <w:rPr>
          <w:noProof/>
          <w:snapToGrid w:val="0"/>
        </w:rPr>
      </w:pPr>
      <w:r w:rsidRPr="009437FB">
        <w:rPr>
          <w:noProof/>
          <w:snapToGrid w:val="0"/>
        </w:rPr>
        <w:t>Zulfira BASHIROVA (Ms.), Deputy Director, Ministry of Agriculture of the Republic of Kazakhstan, Nur-Sultan</w:t>
      </w:r>
      <w:r w:rsidRPr="009437FB">
        <w:rPr>
          <w:noProof/>
          <w:snapToGrid w:val="0"/>
        </w:rPr>
        <w:br/>
        <w:t>(e-mail: bashirova.z@minagri.gov.kz)</w:t>
      </w:r>
    </w:p>
    <w:p w:rsidR="009437FB" w:rsidRPr="009437FB" w:rsidRDefault="009437FB" w:rsidP="009437FB">
      <w:pPr>
        <w:keepLines/>
        <w:spacing w:before="60" w:after="60"/>
        <w:jc w:val="left"/>
        <w:rPr>
          <w:noProof/>
          <w:snapToGrid w:val="0"/>
        </w:rPr>
      </w:pPr>
      <w:r w:rsidRPr="009437FB">
        <w:rPr>
          <w:noProof/>
          <w:snapToGrid w:val="0"/>
        </w:rPr>
        <w:t xml:space="preserve">Gulferuz Mairambekovna SEITPENBETOVA (Ms.), Specialist, State Commission for Variety Testing for Crops, Nur-Sultan </w:t>
      </w:r>
      <w:r w:rsidRPr="009437FB">
        <w:rPr>
          <w:noProof/>
          <w:snapToGrid w:val="0"/>
        </w:rPr>
        <w:br/>
        <w:t>(e-mail: goskomkz@mail.ru)</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lastRenderedPageBreak/>
        <w:t>MONGOLIE / MONGOLIA / MONGOLEI / MONGOLIA</w:t>
      </w:r>
    </w:p>
    <w:p w:rsidR="009437FB" w:rsidRPr="009437FB" w:rsidRDefault="009437FB" w:rsidP="009437FB">
      <w:pPr>
        <w:keepNext/>
        <w:keepLines/>
        <w:spacing w:before="60" w:after="60"/>
        <w:jc w:val="left"/>
        <w:rPr>
          <w:noProof/>
          <w:snapToGrid w:val="0"/>
        </w:rPr>
      </w:pPr>
      <w:r w:rsidRPr="009437FB">
        <w:rPr>
          <w:noProof/>
          <w:snapToGrid w:val="0"/>
        </w:rPr>
        <w:t xml:space="preserve">Uranchimeg BAZARRAGCHAA (Ms.), Officer, Department of Policy and Planning, Ministry of Food, Agriculture and Light Industry, Ulaanbaatar </w:t>
      </w:r>
      <w:r w:rsidRPr="009437FB">
        <w:rPr>
          <w:noProof/>
          <w:snapToGrid w:val="0"/>
        </w:rPr>
        <w:br/>
        <w:t>(e-mail: bazarragchaau@yahoo.com)</w:t>
      </w:r>
    </w:p>
    <w:p w:rsidR="009437FB" w:rsidRPr="009437FB" w:rsidRDefault="009437FB" w:rsidP="009437FB">
      <w:pPr>
        <w:keepNext/>
        <w:keepLines/>
        <w:spacing w:before="60" w:after="60"/>
        <w:jc w:val="left"/>
        <w:rPr>
          <w:noProof/>
          <w:snapToGrid w:val="0"/>
        </w:rPr>
      </w:pPr>
      <w:r w:rsidRPr="009437FB">
        <w:rPr>
          <w:noProof/>
          <w:snapToGrid w:val="0"/>
        </w:rPr>
        <w:t xml:space="preserve">Altantsetseg BALGAN (Ms.), National Project Manager / Legal Expert, Food and Agriculture Organization of the United Nations (FAO), Ulaanbaatar, Mongolie </w:t>
      </w:r>
      <w:r w:rsidRPr="009437FB">
        <w:rPr>
          <w:noProof/>
          <w:snapToGrid w:val="0"/>
        </w:rPr>
        <w:br/>
        <w:t>(e-mail: altantsetseg.balcan@fao.org)</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MYANMAR / MYANMAR / MYANMAR / MYANMAR</w:t>
      </w:r>
    </w:p>
    <w:p w:rsidR="009437FB" w:rsidRPr="009437FB" w:rsidRDefault="009437FB" w:rsidP="009437FB">
      <w:pPr>
        <w:keepLines/>
        <w:spacing w:before="60" w:after="60"/>
        <w:jc w:val="left"/>
        <w:rPr>
          <w:noProof/>
          <w:snapToGrid w:val="0"/>
        </w:rPr>
      </w:pPr>
      <w:r w:rsidRPr="009437FB">
        <w:rPr>
          <w:noProof/>
          <w:snapToGrid w:val="0"/>
        </w:rPr>
        <w:t xml:space="preserve">Naing Kyi WIN (Mr.), Director General, Department of Agricultural Research (DAR), Ministry of Agriculture, Livestock and Irrigation (MOALI), Nay Pyi Taw </w:t>
      </w:r>
      <w:r w:rsidRPr="009437FB">
        <w:rPr>
          <w:noProof/>
          <w:snapToGrid w:val="0"/>
        </w:rPr>
        <w:br/>
        <w:t>(e-mail: dgdar.moai@gmail.com)</w:t>
      </w:r>
    </w:p>
    <w:p w:rsidR="009437FB" w:rsidRPr="009437FB" w:rsidRDefault="009437FB" w:rsidP="009437FB">
      <w:pPr>
        <w:keepLines/>
        <w:spacing w:before="60" w:after="60"/>
        <w:jc w:val="left"/>
        <w:rPr>
          <w:noProof/>
          <w:snapToGrid w:val="0"/>
        </w:rPr>
      </w:pPr>
      <w:r w:rsidRPr="009437FB">
        <w:rPr>
          <w:noProof/>
          <w:snapToGrid w:val="0"/>
        </w:rPr>
        <w:t xml:space="preserve">Pa Pa WIN (Ms.), Research Officer, Head of PVP Section, Department of Agricultural Research (DAR), Ministry of Agriculture, Livestock and Irrigation (MOALI), Nay Pyi Taw </w:t>
      </w:r>
      <w:r w:rsidRPr="009437FB">
        <w:rPr>
          <w:noProof/>
          <w:snapToGrid w:val="0"/>
        </w:rPr>
        <w:br/>
        <w:t>(e-mail: papawin08@gmail.com)</w:t>
      </w:r>
    </w:p>
    <w:p w:rsidR="009437FB" w:rsidRPr="009437FB" w:rsidRDefault="009437FB" w:rsidP="009437FB">
      <w:pPr>
        <w:keepLines/>
        <w:spacing w:before="60" w:after="60"/>
        <w:jc w:val="left"/>
        <w:rPr>
          <w:noProof/>
          <w:snapToGrid w:val="0"/>
        </w:rPr>
      </w:pPr>
      <w:r w:rsidRPr="009437FB">
        <w:rPr>
          <w:noProof/>
          <w:snapToGrid w:val="0"/>
        </w:rPr>
        <w:t xml:space="preserve">Minn San THEIN (Mr.), Assistant Research Officer, Seed Bank, Department of Agricultural Research (DAR), Ministry of Agriculture, Livestock and Irrigation (MOALI), Nay Pyi Taw </w:t>
      </w:r>
      <w:r w:rsidRPr="009437FB">
        <w:rPr>
          <w:noProof/>
          <w:snapToGrid w:val="0"/>
        </w:rPr>
        <w:br/>
        <w:t>(e-mail: minsanthein@gmail.com)</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THAÏLANDE / THAILAND / THAILAND / TAILANDIA</w:t>
      </w:r>
    </w:p>
    <w:p w:rsidR="009437FB" w:rsidRPr="009437FB" w:rsidRDefault="009437FB" w:rsidP="009437FB">
      <w:pPr>
        <w:keepLines/>
        <w:spacing w:before="60" w:after="60"/>
        <w:jc w:val="left"/>
        <w:rPr>
          <w:noProof/>
          <w:snapToGrid w:val="0"/>
        </w:rPr>
      </w:pPr>
      <w:r w:rsidRPr="009437FB">
        <w:rPr>
          <w:noProof/>
          <w:snapToGrid w:val="0"/>
        </w:rPr>
        <w:t xml:space="preserve">Thidakoon SAENUDOM (Ms.), Director of the Plant Variety Protection Research Group, Plant Variety Protection Office, Ministry of Agriculture and Cooperatives, Bangkok </w:t>
      </w:r>
      <w:r w:rsidRPr="009437FB">
        <w:rPr>
          <w:noProof/>
          <w:snapToGrid w:val="0"/>
        </w:rPr>
        <w:br/>
        <w:t>(e-mail: thidakuns@hotmail.com)</w:t>
      </w:r>
    </w:p>
    <w:p w:rsidR="009437FB" w:rsidRPr="009437FB" w:rsidRDefault="009437FB" w:rsidP="009437FB">
      <w:pPr>
        <w:keepNext/>
        <w:spacing w:before="480" w:after="120"/>
        <w:jc w:val="center"/>
        <w:rPr>
          <w:caps/>
          <w:snapToGrid w:val="0"/>
          <w:u w:val="single"/>
        </w:rPr>
      </w:pPr>
      <w:r w:rsidRPr="009437FB">
        <w:rPr>
          <w:caps/>
          <w:snapToGrid w:val="0"/>
          <w:u w:val="single"/>
        </w:rPr>
        <w:t>III. ORGANISATIONS / ORGANIZATIONS / ORGANISATIONEN / ORGANIZACIONES</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 xml:space="preserve">ORGANISATION DE COOPÉRATION ET DE DÉVELOPPEMENT ÉCONOMIQUES (OCDE) / ORGANISATION FOR ECONOMIC CO-OPERATION AND DEVELOPMENT (OECD) / </w:t>
      </w:r>
      <w:r w:rsidRPr="009437FB">
        <w:rPr>
          <w:caps/>
          <w:noProof/>
          <w:snapToGrid w:val="0"/>
          <w:u w:val="single"/>
        </w:rPr>
        <w:br/>
        <w:t xml:space="preserve">ORGANISATION FÜR WIRTSCHAFTLICHE ZUSAMMENARBEIT UND ENTWICKLUNG (OECD) / </w:t>
      </w:r>
      <w:r w:rsidRPr="009437FB">
        <w:rPr>
          <w:caps/>
          <w:noProof/>
          <w:snapToGrid w:val="0"/>
          <w:u w:val="single"/>
        </w:rPr>
        <w:br/>
        <w:t>ORGANIZACIÓN DE COOPERACIÓN Y DESARROLLO ECONÓMICo (OCDE)</w:t>
      </w:r>
    </w:p>
    <w:p w:rsidR="009437FB" w:rsidRPr="009437FB" w:rsidRDefault="009437FB" w:rsidP="009437FB">
      <w:pPr>
        <w:keepLines/>
        <w:spacing w:before="60" w:after="60"/>
        <w:jc w:val="left"/>
        <w:rPr>
          <w:noProof/>
          <w:snapToGrid w:val="0"/>
        </w:rPr>
      </w:pPr>
      <w:r w:rsidRPr="009437FB">
        <w:rPr>
          <w:noProof/>
          <w:snapToGrid w:val="0"/>
        </w:rPr>
        <w:t>Csaba GASPAR (Mr.), Programme Manager, OECD Seed Schemes &amp; OECD Forest Seed and Plant Scheme, Organisation for Economic Co-operation and Development (OECD), Paris</w:t>
      </w:r>
      <w:r w:rsidRPr="009437FB">
        <w:rPr>
          <w:noProof/>
          <w:snapToGrid w:val="0"/>
        </w:rPr>
        <w:br/>
        <w:t>(e-mail: csaba.gaspar@oecd.org)</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 xml:space="preserve">ORGANISATION RÉGIONALE AFRICAINE DE LA PROPRIÉTÉ INTELLECTUELLE (ARIPO) / </w:t>
      </w:r>
      <w:r w:rsidRPr="009437FB">
        <w:rPr>
          <w:caps/>
          <w:noProof/>
          <w:snapToGrid w:val="0"/>
          <w:u w:val="single"/>
        </w:rPr>
        <w:br/>
        <w:t xml:space="preserve">AFRICAN REGIONAL INTELLECTUAL PROPERTY ORGANIZATION (ARIPO) / </w:t>
      </w:r>
      <w:r w:rsidRPr="009437FB">
        <w:rPr>
          <w:caps/>
          <w:noProof/>
          <w:snapToGrid w:val="0"/>
          <w:u w:val="single"/>
        </w:rPr>
        <w:br/>
        <w:t xml:space="preserve">AFRIKANISCHE REGIONALORGANISATION ZUM SCHUTZ GEISTIGEN EIGENTUMS (ARIPO) / </w:t>
      </w:r>
      <w:r w:rsidRPr="009437FB">
        <w:rPr>
          <w:caps/>
          <w:noProof/>
          <w:snapToGrid w:val="0"/>
          <w:u w:val="single"/>
        </w:rPr>
        <w:br/>
        <w:t>ORGANIZACIÓN REGIONAL AFRICANA DE LA PROPIEDAD INTELECTUAL (ARIPO)</w:t>
      </w:r>
    </w:p>
    <w:p w:rsidR="009437FB" w:rsidRPr="009437FB" w:rsidRDefault="009437FB" w:rsidP="009437FB">
      <w:pPr>
        <w:keepNext/>
        <w:spacing w:before="180" w:after="120"/>
        <w:jc w:val="left"/>
        <w:rPr>
          <w:noProof/>
          <w:snapToGrid w:val="0"/>
        </w:rPr>
      </w:pPr>
      <w:r w:rsidRPr="009437FB">
        <w:rPr>
          <w:noProof/>
          <w:snapToGrid w:val="0"/>
        </w:rPr>
        <w:t xml:space="preserve">Flora Kokwihyukya MPANJU (Ms.), Head, Search and Substantive Examination, African Regional Intellectual Property Organization (ARIPO), Harare </w:t>
      </w:r>
      <w:r w:rsidRPr="009437FB">
        <w:rPr>
          <w:noProof/>
          <w:snapToGrid w:val="0"/>
        </w:rPr>
        <w:br/>
        <w:t>(e-mail: fmpanju@aripo.org)</w:t>
      </w:r>
    </w:p>
    <w:p w:rsidR="009437FB" w:rsidRPr="009437FB" w:rsidRDefault="009437FB" w:rsidP="009437FB">
      <w:pPr>
        <w:keepNext/>
        <w:keepLines/>
        <w:spacing w:before="180" w:after="120"/>
        <w:jc w:val="left"/>
        <w:rPr>
          <w:caps/>
          <w:noProof/>
          <w:snapToGrid w:val="0"/>
          <w:u w:val="single"/>
          <w:lang w:val="fr-CH"/>
        </w:rPr>
      </w:pPr>
      <w:r w:rsidRPr="009437FB">
        <w:rPr>
          <w:caps/>
          <w:noProof/>
          <w:snapToGrid w:val="0"/>
          <w:u w:val="single"/>
          <w:lang w:val="fr-CH"/>
        </w:rPr>
        <w:t>CROPLIFE INTERNATIONAL</w:t>
      </w:r>
    </w:p>
    <w:p w:rsidR="009437FB" w:rsidRPr="009437FB" w:rsidRDefault="009437FB" w:rsidP="009437FB">
      <w:pPr>
        <w:keepLines/>
        <w:spacing w:before="60" w:after="60"/>
        <w:jc w:val="left"/>
        <w:rPr>
          <w:noProof/>
          <w:snapToGrid w:val="0"/>
          <w:lang w:val="fr-CH"/>
        </w:rPr>
      </w:pPr>
      <w:r w:rsidRPr="009437FB">
        <w:rPr>
          <w:noProof/>
          <w:snapToGrid w:val="0"/>
          <w:lang w:val="fr-CH"/>
        </w:rPr>
        <w:t xml:space="preserve">Marcel BRUINS, Consultant, CropLife International, Bruxelles </w:t>
      </w:r>
      <w:r w:rsidRPr="009437FB">
        <w:rPr>
          <w:noProof/>
          <w:snapToGrid w:val="0"/>
          <w:lang w:val="fr-CH"/>
        </w:rPr>
        <w:br/>
        <w:t xml:space="preserve">(e-mail: mbruins1964@gmail.com) </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EUROSEEDS</w:t>
      </w:r>
    </w:p>
    <w:p w:rsidR="009437FB" w:rsidRPr="009437FB" w:rsidRDefault="009437FB" w:rsidP="009437FB">
      <w:pPr>
        <w:keepLines/>
        <w:spacing w:before="60" w:after="60"/>
        <w:jc w:val="left"/>
        <w:rPr>
          <w:noProof/>
          <w:snapToGrid w:val="0"/>
        </w:rPr>
      </w:pPr>
      <w:r w:rsidRPr="009437FB">
        <w:rPr>
          <w:noProof/>
          <w:snapToGrid w:val="0"/>
        </w:rPr>
        <w:t>Catherine Chepkurui LANGAT (Ms.), Technical Manager Plant Breeding and Variety Registration, Euroseeds, Bruxelles</w:t>
      </w:r>
      <w:r w:rsidRPr="009437FB">
        <w:rPr>
          <w:noProof/>
          <w:snapToGrid w:val="0"/>
        </w:rPr>
        <w:br/>
        <w:t>(e-mail: catherinelangat@euroseeds.eu)</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lastRenderedPageBreak/>
        <w:t>INTERNATIONAL SEED FEDERATION (ISF)</w:t>
      </w:r>
    </w:p>
    <w:p w:rsidR="009437FB" w:rsidRPr="009437FB" w:rsidRDefault="009437FB" w:rsidP="009437FB">
      <w:pPr>
        <w:keepNext/>
        <w:keepLines/>
        <w:spacing w:before="60" w:after="60"/>
        <w:jc w:val="left"/>
        <w:rPr>
          <w:noProof/>
          <w:snapToGrid w:val="0"/>
        </w:rPr>
      </w:pPr>
      <w:r w:rsidRPr="009437FB">
        <w:rPr>
          <w:noProof/>
          <w:snapToGrid w:val="0"/>
        </w:rPr>
        <w:t>Szabolcs RUTHNER (Mr.), Regulatory Affairs Manager, International Seed Federation (ISF), Nyon</w:t>
      </w:r>
      <w:r w:rsidRPr="009437FB">
        <w:rPr>
          <w:noProof/>
          <w:snapToGrid w:val="0"/>
        </w:rPr>
        <w:br/>
        <w:t>(e-mail: s.ruthner@worldseed.org)</w:t>
      </w:r>
    </w:p>
    <w:p w:rsidR="009437FB" w:rsidRPr="009437FB" w:rsidRDefault="009437FB" w:rsidP="009437FB">
      <w:pPr>
        <w:keepNext/>
        <w:keepLines/>
        <w:spacing w:before="60" w:after="60"/>
        <w:jc w:val="left"/>
        <w:rPr>
          <w:noProof/>
          <w:snapToGrid w:val="0"/>
        </w:rPr>
      </w:pPr>
      <w:r w:rsidRPr="009437FB">
        <w:rPr>
          <w:noProof/>
          <w:snapToGrid w:val="0"/>
        </w:rPr>
        <w:t>Stevan MADJARAC (Mr.), Germplasm IP Lead, American Seed Trade Association (ASTA), Alexandria</w:t>
      </w:r>
      <w:r w:rsidRPr="009437FB">
        <w:rPr>
          <w:noProof/>
          <w:snapToGrid w:val="0"/>
        </w:rPr>
        <w:br/>
        <w:t>(e-mail: s.madjarac@gmail.com)</w:t>
      </w:r>
    </w:p>
    <w:p w:rsidR="009437FB" w:rsidRPr="009437FB" w:rsidRDefault="009437FB" w:rsidP="009437FB">
      <w:pPr>
        <w:keepNext/>
        <w:keepLines/>
        <w:spacing w:before="180" w:after="120"/>
        <w:jc w:val="left"/>
        <w:rPr>
          <w:caps/>
          <w:noProof/>
          <w:snapToGrid w:val="0"/>
          <w:u w:val="single"/>
          <w:lang w:val="fr-CH"/>
        </w:rPr>
      </w:pPr>
      <w:r w:rsidRPr="009437FB">
        <w:rPr>
          <w:caps/>
          <w:noProof/>
          <w:snapToGrid w:val="0"/>
          <w:u w:val="single"/>
          <w:lang w:val="fr-CH"/>
        </w:rPr>
        <w:t xml:space="preserve">ASSOCIATION INTERNATIONALE DES PRODUCTEURS HORTICOLES (AIPH) / </w:t>
      </w:r>
      <w:r w:rsidRPr="009437FB">
        <w:rPr>
          <w:caps/>
          <w:noProof/>
          <w:snapToGrid w:val="0"/>
          <w:u w:val="single"/>
          <w:lang w:val="fr-CH"/>
        </w:rPr>
        <w:br/>
        <w:t xml:space="preserve">INTERNATIONAL ASSOCIATION OF HORTICULTURAL PRODUCERS (AIPH) / </w:t>
      </w:r>
      <w:r w:rsidRPr="009437FB">
        <w:rPr>
          <w:caps/>
          <w:noProof/>
          <w:snapToGrid w:val="0"/>
          <w:u w:val="single"/>
          <w:lang w:val="fr-CH"/>
        </w:rPr>
        <w:br/>
        <w:t xml:space="preserve">INTERNATIONALER VERBAND DES ERWERBSGARTENBAUES (AIPH) / </w:t>
      </w:r>
      <w:r w:rsidRPr="009437FB">
        <w:rPr>
          <w:caps/>
          <w:noProof/>
          <w:snapToGrid w:val="0"/>
          <w:u w:val="single"/>
          <w:lang w:val="fr-CH"/>
        </w:rPr>
        <w:br/>
        <w:t>ASOCIACIÓN INTERNACIONAL DE PRODUCTORES HORTÍCOLAS (AIPH)</w:t>
      </w:r>
    </w:p>
    <w:p w:rsidR="009437FB" w:rsidRPr="009437FB" w:rsidRDefault="009437FB" w:rsidP="009437FB">
      <w:pPr>
        <w:keepLines/>
        <w:spacing w:before="60" w:after="60"/>
        <w:jc w:val="left"/>
        <w:rPr>
          <w:noProof/>
          <w:snapToGrid w:val="0"/>
        </w:rPr>
      </w:pPr>
      <w:r w:rsidRPr="009437FB">
        <w:rPr>
          <w:noProof/>
          <w:snapToGrid w:val="0"/>
        </w:rPr>
        <w:t xml:space="preserve">Mia HOPPERUS BUMA (Ms.), Secretary, Committee for Novelty Protection, International Association of Horticultural Producers (AIPH), Oxfordshire </w:t>
      </w:r>
      <w:r w:rsidRPr="009437FB">
        <w:rPr>
          <w:noProof/>
          <w:snapToGrid w:val="0"/>
        </w:rPr>
        <w:br/>
        <w:t>(e-mail: info@miabuma.nl)</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 xml:space="preserve">COMMUNAUTÉ INTERNATIONALE DES OBTENTEURS DE PLANTES ORNEMENTALES ET FRUITIÈRES À REPRODUCTION ASEXUÉE (CIOPORA) / </w:t>
      </w:r>
      <w:r w:rsidRPr="009437FB">
        <w:rPr>
          <w:caps/>
          <w:noProof/>
          <w:snapToGrid w:val="0"/>
          <w:u w:val="single"/>
        </w:rPr>
        <w:br/>
        <w:t xml:space="preserve">INTERNATIONAL COMMUNITY OF BREEDERS OF ASEXUALLY REPRODUCED ORNAMENTAL AND FRUIT PLANTS (CIOPORA) / INTERNATIONALE GEMEINSCHAFT DER ZÜCHTER VEGETATIV VERMEHRBARER ZIERUND OBSTPFLANZEN (CIOPORA) / </w:t>
      </w:r>
      <w:r w:rsidRPr="009437FB">
        <w:rPr>
          <w:caps/>
          <w:noProof/>
          <w:snapToGrid w:val="0"/>
          <w:u w:val="single"/>
        </w:rPr>
        <w:br/>
        <w:t>COMUNIDAD INTERNACIONAL DE OBTENTORES DE VARIEDADES ORNAMENTALES Y FRUTALES DE REPRODUCCIÓN ASEXUADA (CIOPORA)</w:t>
      </w:r>
    </w:p>
    <w:p w:rsidR="009437FB" w:rsidRPr="009437FB" w:rsidRDefault="009437FB" w:rsidP="009437FB">
      <w:pPr>
        <w:keepLines/>
        <w:spacing w:before="60" w:after="60"/>
        <w:jc w:val="left"/>
        <w:rPr>
          <w:noProof/>
          <w:snapToGrid w:val="0"/>
        </w:rPr>
      </w:pPr>
      <w:r w:rsidRPr="009437FB">
        <w:rPr>
          <w:noProof/>
          <w:snapToGrid w:val="0"/>
        </w:rPr>
        <w:t>Edgar KRIEGER (Mr.), Secretary General, International Community of Breeders of Asexually Reproduced Ornamental and Fruit Plants (CIOPORA), Hamburg</w:t>
      </w:r>
      <w:r w:rsidRPr="009437FB">
        <w:rPr>
          <w:noProof/>
          <w:snapToGrid w:val="0"/>
        </w:rPr>
        <w:br/>
        <w:t>(e-mail: edgar.krieger@ciopora.org)</w:t>
      </w:r>
    </w:p>
    <w:p w:rsidR="009437FB" w:rsidRPr="009437FB" w:rsidRDefault="009437FB" w:rsidP="009437FB">
      <w:pPr>
        <w:keepLines/>
        <w:spacing w:before="60" w:after="60"/>
        <w:jc w:val="left"/>
        <w:rPr>
          <w:noProof/>
          <w:snapToGrid w:val="0"/>
        </w:rPr>
      </w:pPr>
      <w:r w:rsidRPr="009437FB">
        <w:rPr>
          <w:noProof/>
          <w:snapToGrid w:val="0"/>
        </w:rPr>
        <w:t>Dominique THÉVENON (Mme), Board member, Treasurer - CIOPORA, AIGN®, International Community of Breeders of Asexually Reproduced Ornamental and Fruit Plants (CIOPORA), Hamburg</w:t>
      </w:r>
      <w:r w:rsidRPr="009437FB">
        <w:rPr>
          <w:noProof/>
          <w:snapToGrid w:val="0"/>
        </w:rPr>
        <w:br/>
        <w:t>(e-mail: t.dominique4@orange.fr)</w:t>
      </w:r>
    </w:p>
    <w:p w:rsidR="009437FB" w:rsidRPr="009437FB" w:rsidRDefault="009437FB" w:rsidP="009437FB">
      <w:pPr>
        <w:keepLines/>
        <w:spacing w:before="60" w:after="60"/>
        <w:jc w:val="left"/>
        <w:rPr>
          <w:noProof/>
          <w:snapToGrid w:val="0"/>
          <w:lang w:val="fr-CH"/>
        </w:rPr>
      </w:pPr>
      <w:r w:rsidRPr="009437FB">
        <w:rPr>
          <w:noProof/>
          <w:snapToGrid w:val="0"/>
          <w:lang w:val="fr-CH"/>
        </w:rPr>
        <w:t xml:space="preserve">Hélène JOURDAN (Mme), Secrétaire générale, Association des Obtenteurs Horticoles Européens (AOHE), Responsible COV &amp; Marques, Meilland International S.A., Le Luc en Provence </w:t>
      </w:r>
      <w:r w:rsidRPr="009437FB">
        <w:rPr>
          <w:noProof/>
          <w:snapToGrid w:val="0"/>
          <w:lang w:val="fr-CH"/>
        </w:rPr>
        <w:br/>
        <w:t>(e-mail: licprot@meilland.com)</w:t>
      </w:r>
    </w:p>
    <w:p w:rsidR="009437FB" w:rsidRPr="009437FB" w:rsidRDefault="009437FB" w:rsidP="009437FB">
      <w:pPr>
        <w:keepLines/>
        <w:spacing w:before="60" w:after="60"/>
        <w:jc w:val="left"/>
        <w:rPr>
          <w:noProof/>
          <w:snapToGrid w:val="0"/>
          <w:lang w:val="fr-CH"/>
        </w:rPr>
      </w:pPr>
      <w:r w:rsidRPr="009437FB">
        <w:rPr>
          <w:noProof/>
          <w:snapToGrid w:val="0"/>
          <w:lang w:val="fr-CH"/>
        </w:rPr>
        <w:t xml:space="preserve">Maarten LEUNE (Mr.), Director, Royalty Administration International, 'S-Gravenzande </w:t>
      </w:r>
      <w:r w:rsidRPr="009437FB">
        <w:rPr>
          <w:noProof/>
          <w:snapToGrid w:val="0"/>
          <w:lang w:val="fr-CH"/>
        </w:rPr>
        <w:br/>
        <w:t>(e-mail: maarten@royalty-adm-int.nl)</w:t>
      </w:r>
    </w:p>
    <w:p w:rsidR="009437FB" w:rsidRPr="009437FB" w:rsidRDefault="009437FB" w:rsidP="009437FB">
      <w:pPr>
        <w:keepLines/>
        <w:spacing w:before="60" w:after="60"/>
        <w:jc w:val="left"/>
        <w:rPr>
          <w:noProof/>
          <w:snapToGrid w:val="0"/>
          <w:lang w:val="fr-CH"/>
        </w:rPr>
      </w:pPr>
      <w:r w:rsidRPr="009437FB">
        <w:rPr>
          <w:noProof/>
          <w:snapToGrid w:val="0"/>
          <w:lang w:val="fr-CH"/>
        </w:rPr>
        <w:t xml:space="preserve">Bruno ETAVARD (Mr.), Board Member, Meilland International, Le Luc en Provence </w:t>
      </w:r>
      <w:r w:rsidRPr="009437FB">
        <w:rPr>
          <w:noProof/>
          <w:snapToGrid w:val="0"/>
          <w:lang w:val="fr-CH"/>
        </w:rPr>
        <w:br/>
        <w:t>(e-mail: bruno@meilland.com)</w:t>
      </w:r>
    </w:p>
    <w:p w:rsidR="009437FB" w:rsidRPr="009437FB" w:rsidRDefault="009437FB" w:rsidP="009437FB">
      <w:pPr>
        <w:keepLines/>
        <w:spacing w:before="60" w:after="60"/>
        <w:jc w:val="left"/>
        <w:rPr>
          <w:noProof/>
          <w:snapToGrid w:val="0"/>
        </w:rPr>
      </w:pPr>
      <w:r w:rsidRPr="009437FB">
        <w:rPr>
          <w:noProof/>
          <w:snapToGrid w:val="0"/>
        </w:rPr>
        <w:t xml:space="preserve">Emma BROWN (Ms.), Business Development Manager, the New Zealand Institute for Plant &amp; Food Research Limited, Havelock North </w:t>
      </w:r>
      <w:r w:rsidRPr="009437FB">
        <w:rPr>
          <w:noProof/>
          <w:snapToGrid w:val="0"/>
        </w:rPr>
        <w:br/>
        <w:t>(e-mail: emma.brown@plantandfood.co.nz)</w:t>
      </w:r>
    </w:p>
    <w:p w:rsidR="009437FB" w:rsidRPr="009437FB" w:rsidRDefault="009437FB" w:rsidP="009437FB">
      <w:pPr>
        <w:keepLines/>
        <w:spacing w:before="60" w:after="60"/>
        <w:jc w:val="left"/>
        <w:rPr>
          <w:noProof/>
          <w:snapToGrid w:val="0"/>
        </w:rPr>
      </w:pPr>
      <w:r w:rsidRPr="009437FB">
        <w:rPr>
          <w:noProof/>
          <w:snapToGrid w:val="0"/>
        </w:rPr>
        <w:t xml:space="preserve">Roberto MANNO (Mr.), Partner, Weblegal.it, Barletta </w:t>
      </w:r>
      <w:r w:rsidRPr="009437FB">
        <w:rPr>
          <w:noProof/>
          <w:snapToGrid w:val="0"/>
        </w:rPr>
        <w:br/>
        <w:t>(e-mail: r.manno@weblegal.it)</w:t>
      </w:r>
    </w:p>
    <w:p w:rsidR="009437FB" w:rsidRPr="009437FB" w:rsidRDefault="009437FB" w:rsidP="009437FB">
      <w:pPr>
        <w:keepNext/>
        <w:keepLines/>
        <w:spacing w:before="180" w:after="120"/>
        <w:jc w:val="left"/>
        <w:rPr>
          <w:caps/>
          <w:noProof/>
          <w:snapToGrid w:val="0"/>
          <w:u w:val="single"/>
        </w:rPr>
      </w:pPr>
      <w:r w:rsidRPr="009437FB">
        <w:rPr>
          <w:caps/>
          <w:noProof/>
          <w:snapToGrid w:val="0"/>
          <w:u w:val="single"/>
        </w:rPr>
        <w:t xml:space="preserve">Association africaine du commerce des semences (AFSTA) / </w:t>
      </w:r>
      <w:r w:rsidRPr="009437FB">
        <w:rPr>
          <w:caps/>
          <w:noProof/>
          <w:snapToGrid w:val="0"/>
          <w:u w:val="single"/>
        </w:rPr>
        <w:br/>
        <w:t xml:space="preserve">AFRICAN SEED TRADE ASSOCIATION (AFSTA) / </w:t>
      </w:r>
      <w:r w:rsidRPr="009437FB">
        <w:rPr>
          <w:caps/>
          <w:noProof/>
          <w:snapToGrid w:val="0"/>
          <w:u w:val="single"/>
        </w:rPr>
        <w:br/>
        <w:t xml:space="preserve">Afrikanisches Saatguthandelsverband (AFSTA) / </w:t>
      </w:r>
      <w:r w:rsidRPr="009437FB">
        <w:rPr>
          <w:caps/>
          <w:noProof/>
          <w:snapToGrid w:val="0"/>
          <w:u w:val="single"/>
        </w:rPr>
        <w:br/>
        <w:t>Asociación Africana de Comercio de Semillas (AFSTA)</w:t>
      </w:r>
    </w:p>
    <w:p w:rsidR="009437FB" w:rsidRPr="009437FB" w:rsidRDefault="009437FB" w:rsidP="009437FB">
      <w:pPr>
        <w:keepLines/>
        <w:spacing w:before="60" w:after="60"/>
        <w:jc w:val="left"/>
        <w:rPr>
          <w:noProof/>
          <w:snapToGrid w:val="0"/>
        </w:rPr>
      </w:pPr>
      <w:r w:rsidRPr="009437FB">
        <w:rPr>
          <w:noProof/>
          <w:snapToGrid w:val="0"/>
        </w:rPr>
        <w:t>Grace GITU (Ms), Technical Officer, Africa Seed Trade Association (AFSTA), Nairobi</w:t>
      </w:r>
      <w:r w:rsidRPr="009437FB">
        <w:rPr>
          <w:noProof/>
          <w:snapToGrid w:val="0"/>
        </w:rPr>
        <w:br/>
        <w:t>(e-mail: gitu@afsta.org)</w:t>
      </w:r>
    </w:p>
    <w:p w:rsidR="009437FB" w:rsidRPr="009437FB" w:rsidRDefault="009437FB" w:rsidP="009437FB">
      <w:pPr>
        <w:keepNext/>
        <w:spacing w:before="480" w:after="120"/>
        <w:jc w:val="center"/>
        <w:rPr>
          <w:rFonts w:cs="Arial"/>
          <w:caps/>
          <w:snapToGrid w:val="0"/>
          <w:u w:val="single"/>
        </w:rPr>
      </w:pPr>
      <w:r w:rsidRPr="009437FB">
        <w:rPr>
          <w:rFonts w:cs="Arial"/>
          <w:caps/>
          <w:snapToGrid w:val="0"/>
          <w:u w:val="single"/>
        </w:rPr>
        <w:t>IV. BUREAU / OFFICER / VORSITZ / OFICINA</w:t>
      </w:r>
    </w:p>
    <w:p w:rsidR="009437FB" w:rsidRPr="009437FB" w:rsidRDefault="009437FB" w:rsidP="009437FB">
      <w:pPr>
        <w:keepLines/>
        <w:spacing w:before="60" w:after="60"/>
        <w:jc w:val="left"/>
        <w:rPr>
          <w:noProof/>
          <w:snapToGrid w:val="0"/>
        </w:rPr>
      </w:pPr>
      <w:r w:rsidRPr="009437FB">
        <w:rPr>
          <w:noProof/>
          <w:snapToGrid w:val="0"/>
        </w:rPr>
        <w:t>Kees VAN ETTEKOVEN, Chair</w:t>
      </w:r>
    </w:p>
    <w:p w:rsidR="009437FB" w:rsidRPr="009437FB" w:rsidRDefault="009437FB" w:rsidP="009437FB">
      <w:pPr>
        <w:keepLines/>
        <w:spacing w:before="60" w:after="60"/>
        <w:jc w:val="left"/>
        <w:rPr>
          <w:noProof/>
          <w:snapToGrid w:val="0"/>
        </w:rPr>
      </w:pPr>
      <w:r w:rsidRPr="009437FB">
        <w:rPr>
          <w:noProof/>
          <w:snapToGrid w:val="0"/>
        </w:rPr>
        <w:t>Nik HULSE, Vice-Chair</w:t>
      </w:r>
    </w:p>
    <w:p w:rsidR="009437FB" w:rsidRPr="009437FB" w:rsidRDefault="009437FB" w:rsidP="009437FB">
      <w:pPr>
        <w:keepNext/>
        <w:spacing w:before="480" w:after="120"/>
        <w:jc w:val="center"/>
        <w:rPr>
          <w:rFonts w:cs="Arial"/>
          <w:caps/>
          <w:snapToGrid w:val="0"/>
          <w:u w:val="single"/>
        </w:rPr>
      </w:pPr>
      <w:r w:rsidRPr="009437FB">
        <w:rPr>
          <w:rFonts w:cs="Arial"/>
          <w:caps/>
          <w:snapToGrid w:val="0"/>
          <w:u w:val="single"/>
        </w:rPr>
        <w:lastRenderedPageBreak/>
        <w:t>V. BUREAU DE L’UPOV / OFFICE OF UPOV / BÜRO DER UPOV / OFICINA DE LA UPOV</w:t>
      </w:r>
    </w:p>
    <w:p w:rsidR="009437FB" w:rsidRPr="009437FB" w:rsidRDefault="009437FB" w:rsidP="009437FB">
      <w:pPr>
        <w:keepNext/>
        <w:spacing w:before="60" w:after="60"/>
        <w:jc w:val="left"/>
        <w:rPr>
          <w:noProof/>
          <w:snapToGrid w:val="0"/>
        </w:rPr>
      </w:pPr>
      <w:r w:rsidRPr="009437FB">
        <w:rPr>
          <w:noProof/>
          <w:snapToGrid w:val="0"/>
        </w:rPr>
        <w:t>Peter BUTTON (Mr.), Vice Secretary-General</w:t>
      </w:r>
    </w:p>
    <w:p w:rsidR="009437FB" w:rsidRPr="009437FB" w:rsidRDefault="009437FB" w:rsidP="009437FB">
      <w:pPr>
        <w:keepNext/>
        <w:spacing w:before="60" w:after="60"/>
        <w:jc w:val="left"/>
        <w:rPr>
          <w:noProof/>
          <w:snapToGrid w:val="0"/>
        </w:rPr>
      </w:pPr>
      <w:r w:rsidRPr="009437FB">
        <w:rPr>
          <w:noProof/>
          <w:snapToGrid w:val="0"/>
        </w:rPr>
        <w:t>Yolanda HUERTA (Ms.), Legal Counsel and Director of Training and Assistance</w:t>
      </w:r>
    </w:p>
    <w:p w:rsidR="009437FB" w:rsidRPr="009437FB" w:rsidRDefault="009437FB" w:rsidP="009437FB">
      <w:pPr>
        <w:spacing w:before="60" w:after="60"/>
        <w:jc w:val="left"/>
        <w:rPr>
          <w:noProof/>
          <w:snapToGrid w:val="0"/>
        </w:rPr>
      </w:pPr>
      <w:r w:rsidRPr="009437FB">
        <w:rPr>
          <w:noProof/>
          <w:snapToGrid w:val="0"/>
        </w:rPr>
        <w:t>Ben RIVOIRE (Mr.), Head of Seed Sector Cooperation and Regional Development (Africa, Arab Countries)</w:t>
      </w:r>
    </w:p>
    <w:p w:rsidR="009437FB" w:rsidRPr="009437FB" w:rsidRDefault="009437FB" w:rsidP="009437FB">
      <w:pPr>
        <w:spacing w:before="60" w:after="60"/>
        <w:jc w:val="left"/>
        <w:rPr>
          <w:noProof/>
          <w:snapToGrid w:val="0"/>
        </w:rPr>
      </w:pPr>
      <w:r w:rsidRPr="009437FB">
        <w:rPr>
          <w:noProof/>
          <w:snapToGrid w:val="0"/>
        </w:rPr>
        <w:t>Leontino TAVEIRA (Mr.), Head of Technical Affairs and Regional Development (Latin America, Caribbean)</w:t>
      </w:r>
    </w:p>
    <w:p w:rsidR="009437FB" w:rsidRPr="009437FB" w:rsidRDefault="009437FB" w:rsidP="009437FB">
      <w:pPr>
        <w:spacing w:before="60" w:after="60"/>
        <w:jc w:val="left"/>
        <w:rPr>
          <w:noProof/>
          <w:snapToGrid w:val="0"/>
        </w:rPr>
      </w:pPr>
      <w:r w:rsidRPr="009437FB">
        <w:rPr>
          <w:noProof/>
          <w:snapToGrid w:val="0"/>
        </w:rPr>
        <w:t>Hend MADHOUR (Ms.), IT Officer</w:t>
      </w:r>
    </w:p>
    <w:p w:rsidR="009437FB" w:rsidRPr="009437FB" w:rsidRDefault="009437FB" w:rsidP="009437FB">
      <w:pPr>
        <w:spacing w:before="60" w:after="60"/>
        <w:jc w:val="left"/>
        <w:rPr>
          <w:noProof/>
          <w:snapToGrid w:val="0"/>
        </w:rPr>
      </w:pPr>
      <w:r w:rsidRPr="009437FB">
        <w:rPr>
          <w:noProof/>
          <w:snapToGrid w:val="0"/>
        </w:rPr>
        <w:t>Tomochika MOTOMURA (Mr.), Technical/Regional Officer (Asia)</w:t>
      </w:r>
    </w:p>
    <w:p w:rsidR="009437FB" w:rsidRPr="009437FB" w:rsidRDefault="009437FB" w:rsidP="009437FB">
      <w:pPr>
        <w:spacing w:before="60" w:after="60"/>
        <w:jc w:val="left"/>
        <w:rPr>
          <w:noProof/>
          <w:snapToGrid w:val="0"/>
        </w:rPr>
      </w:pPr>
      <w:r w:rsidRPr="009437FB">
        <w:rPr>
          <w:noProof/>
          <w:snapToGrid w:val="0"/>
        </w:rPr>
        <w:t>Romy OERTEL (Ms.), Secretary II</w:t>
      </w:r>
    </w:p>
    <w:p w:rsidR="009437FB" w:rsidRPr="009437FB" w:rsidRDefault="009437FB" w:rsidP="009437FB">
      <w:pPr>
        <w:spacing w:before="60" w:after="60"/>
        <w:jc w:val="left"/>
        <w:rPr>
          <w:noProof/>
          <w:snapToGrid w:val="0"/>
        </w:rPr>
      </w:pPr>
      <w:r w:rsidRPr="009437FB">
        <w:rPr>
          <w:noProof/>
          <w:snapToGrid w:val="0"/>
        </w:rPr>
        <w:t>Wen WEN (Ms.), Fellow</w:t>
      </w:r>
    </w:p>
    <w:p w:rsidR="009437FB" w:rsidRPr="009437FB" w:rsidRDefault="009437FB" w:rsidP="009437FB"/>
    <w:p w:rsidR="009437FB" w:rsidRPr="009437FB" w:rsidRDefault="009437FB" w:rsidP="009437FB"/>
    <w:p w:rsidR="009437FB" w:rsidRPr="009437FB" w:rsidRDefault="009437FB" w:rsidP="009437FB"/>
    <w:p w:rsidR="009437FB" w:rsidRPr="000E6F70" w:rsidRDefault="009437FB" w:rsidP="009437FB">
      <w:pPr>
        <w:jc w:val="right"/>
        <w:rPr>
          <w:lang w:val="de-DE"/>
        </w:rPr>
      </w:pPr>
      <w:r w:rsidRPr="000E6F70">
        <w:rPr>
          <w:rFonts w:cs="Arial"/>
          <w:lang w:val="de-DE"/>
        </w:rPr>
        <w:t>[L’annexe II suit /</w:t>
      </w:r>
      <w:r w:rsidRPr="000E6F70">
        <w:rPr>
          <w:rFonts w:cs="Arial"/>
          <w:lang w:val="de-DE"/>
        </w:rPr>
        <w:br/>
        <w:t>Annex II follows /</w:t>
      </w:r>
      <w:r w:rsidRPr="000E6F70">
        <w:rPr>
          <w:rFonts w:cs="Arial"/>
          <w:lang w:val="de-DE"/>
        </w:rPr>
        <w:br/>
        <w:t>Anlage II folgt /</w:t>
      </w:r>
      <w:r w:rsidRPr="000E6F70">
        <w:rPr>
          <w:rFonts w:cs="Arial"/>
          <w:lang w:val="de-DE"/>
        </w:rPr>
        <w:br/>
        <w:t>Sigue el Anexo II]</w:t>
      </w:r>
    </w:p>
    <w:p w:rsidR="009437FB" w:rsidRPr="000E6F70" w:rsidRDefault="009437FB" w:rsidP="009437FB">
      <w:pPr>
        <w:jc w:val="left"/>
        <w:rPr>
          <w:lang w:val="de-DE"/>
        </w:rPr>
      </w:pPr>
    </w:p>
    <w:p w:rsidR="002D20DB" w:rsidRPr="00C47725" w:rsidRDefault="002D20DB" w:rsidP="002D20DB">
      <w:pPr>
        <w:jc w:val="left"/>
        <w:rPr>
          <w:lang w:val="de-DE"/>
        </w:rPr>
      </w:pPr>
    </w:p>
    <w:p w:rsidR="002D20DB" w:rsidRPr="00C47725" w:rsidRDefault="002D20DB" w:rsidP="002D20DB">
      <w:pPr>
        <w:jc w:val="left"/>
        <w:rPr>
          <w:lang w:val="de-DE"/>
        </w:rPr>
      </w:pPr>
    </w:p>
    <w:p w:rsidR="002D20DB" w:rsidRPr="00C47725" w:rsidRDefault="002D20DB" w:rsidP="002D20DB">
      <w:pPr>
        <w:jc w:val="right"/>
        <w:rPr>
          <w:lang w:val="de-DE"/>
        </w:rPr>
        <w:sectPr w:rsidR="002D20DB" w:rsidRPr="00C47725" w:rsidSect="002B5125">
          <w:headerReference w:type="even" r:id="rId10"/>
          <w:headerReference w:type="default" r:id="rId11"/>
          <w:headerReference w:type="first" r:id="rId12"/>
          <w:pgSz w:w="11907" w:h="16840" w:code="9"/>
          <w:pgMar w:top="510" w:right="1134" w:bottom="1134" w:left="1134" w:header="510" w:footer="680" w:gutter="0"/>
          <w:pgNumType w:start="1"/>
          <w:cols w:space="720"/>
          <w:titlePg/>
        </w:sectPr>
      </w:pPr>
    </w:p>
    <w:p w:rsidR="002D20DB" w:rsidRPr="00C47725" w:rsidRDefault="002D20DB" w:rsidP="002D20DB">
      <w:pPr>
        <w:pStyle w:val="Heading1"/>
        <w:jc w:val="center"/>
        <w:rPr>
          <w:rFonts w:cs="Arial"/>
          <w:b/>
          <w:bCs/>
          <w:snapToGrid w:val="0"/>
          <w:lang w:val="de-DE"/>
        </w:rPr>
      </w:pPr>
      <w:r w:rsidRPr="00C47725">
        <w:rPr>
          <w:rFonts w:cs="Arial"/>
          <w:snapToGrid w:val="0"/>
          <w:lang w:val="de-DE"/>
        </w:rPr>
        <w:lastRenderedPageBreak/>
        <w:t xml:space="preserve">ÄNDERUNGEN </w:t>
      </w:r>
      <w:r>
        <w:rPr>
          <w:rFonts w:cs="Arial"/>
          <w:snapToGrid w:val="0"/>
          <w:lang w:val="de-DE"/>
        </w:rPr>
        <w:t>AN</w:t>
      </w:r>
      <w:r w:rsidRPr="00C47725">
        <w:rPr>
          <w:rFonts w:cs="Arial"/>
          <w:snapToGrid w:val="0"/>
          <w:lang w:val="de-DE"/>
        </w:rPr>
        <w:t xml:space="preserve"> DEN ENTWÜRFEN VON PRÜFUNGSRICHTLINIEN </w:t>
      </w:r>
      <w:r w:rsidRPr="00C47725">
        <w:rPr>
          <w:rFonts w:cs="Arial"/>
          <w:snapToGrid w:val="0"/>
          <w:lang w:val="de-DE"/>
        </w:rPr>
        <w:br/>
      </w:r>
    </w:p>
    <w:p w:rsidR="002D20DB" w:rsidRPr="00C47725" w:rsidRDefault="002D20DB" w:rsidP="002D20DB">
      <w:pPr>
        <w:pStyle w:val="Heading2"/>
        <w:rPr>
          <w:rFonts w:cs="Arial"/>
          <w:snapToGrid w:val="0"/>
          <w:lang w:val="de-DE"/>
        </w:rPr>
      </w:pPr>
      <w:r w:rsidRPr="00C47725">
        <w:rPr>
          <w:rFonts w:cs="Arial"/>
          <w:snapToGrid w:val="0"/>
          <w:lang w:val="de-DE"/>
        </w:rPr>
        <w:t>Auf dem Schriftweg angenommene Prüfungsrichtlinien</w:t>
      </w:r>
    </w:p>
    <w:p w:rsidR="002D20DB" w:rsidRPr="00C47725" w:rsidRDefault="002D20DB" w:rsidP="002D20DB">
      <w:pPr>
        <w:rPr>
          <w:rFonts w:cs="Arial"/>
          <w:snapToGrid w:val="0"/>
          <w:lang w:val="de-DE"/>
        </w:rPr>
      </w:pPr>
    </w:p>
    <w:p w:rsidR="002D20DB" w:rsidRPr="00C47725" w:rsidRDefault="002D20DB" w:rsidP="002D20DB">
      <w:pPr>
        <w:pStyle w:val="Heading3"/>
        <w:rPr>
          <w:rFonts w:cs="Arial"/>
          <w:snapToGrid w:val="0"/>
        </w:rPr>
      </w:pPr>
      <w:r w:rsidRPr="00C47725">
        <w:rPr>
          <w:rFonts w:cs="Arial"/>
          <w:snapToGrid w:val="0"/>
        </w:rPr>
        <w:t>Teilüberarbeitungen</w:t>
      </w:r>
    </w:p>
    <w:p w:rsidR="002D20DB" w:rsidRPr="00C47725" w:rsidRDefault="002D20DB" w:rsidP="002D20DB">
      <w:pPr>
        <w:rPr>
          <w:rFonts w:cs="Arial"/>
          <w:snapToGrid w:val="0"/>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t>TC-EDC/Mar19/2</w:t>
            </w:r>
            <w:r w:rsidRPr="00C47725">
              <w:rPr>
                <w:rFonts w:cs="Arial"/>
                <w:b/>
                <w:iCs/>
                <w:lang w:val="de-DE"/>
              </w:rPr>
              <w:tab/>
              <w:t>Teilüberarbeitung der Prüfungsrichtlinien für Mandel</w:t>
            </w:r>
          </w:p>
        </w:tc>
      </w:tr>
    </w:tbl>
    <w:p w:rsidR="002D20DB" w:rsidRPr="00C47725" w:rsidRDefault="002D20DB" w:rsidP="002D20DB">
      <w:pPr>
        <w:keepNext/>
        <w:jc w:val="center"/>
        <w:rPr>
          <w:rFonts w:cs="Arial"/>
          <w:b/>
          <w:bCs/>
          <w:snapToGrid w:val="0"/>
          <w:color w:val="000000"/>
          <w:lang w:val="de-DE"/>
        </w:rPr>
      </w:pPr>
    </w:p>
    <w:p w:rsidR="002D20DB" w:rsidRPr="00C47725" w:rsidRDefault="002D20DB" w:rsidP="002D20DB">
      <w:pPr>
        <w:keepNext/>
        <w:ind w:firstLine="567"/>
        <w:rPr>
          <w:rFonts w:cs="Arial"/>
          <w:lang w:val="de-DE"/>
        </w:rPr>
      </w:pPr>
      <w:r w:rsidRPr="00C47725">
        <w:rPr>
          <w:rFonts w:cs="Arial"/>
          <w:lang w:val="de-DE"/>
        </w:rPr>
        <w:t>Der TC-EDC prüfte auf seiner Sitzung vom 26. März 2019 in Genf Dokument </w:t>
      </w:r>
      <w:r w:rsidRPr="00C47725">
        <w:rPr>
          <w:rFonts w:cs="Arial"/>
          <w:caps/>
          <w:lang w:val="de-DE"/>
        </w:rPr>
        <w:t>TC</w:t>
      </w:r>
      <w:r w:rsidRPr="00C47725">
        <w:rPr>
          <w:rFonts w:cs="Arial"/>
          <w:caps/>
          <w:lang w:val="de-DE"/>
        </w:rPr>
        <w:noBreakHyphen/>
        <w:t>EDC/</w:t>
      </w:r>
      <w:r w:rsidRPr="00C47725">
        <w:rPr>
          <w:rFonts w:cs="Arial"/>
          <w:lang w:val="de-DE"/>
        </w:rPr>
        <w:t>Mar1</w:t>
      </w:r>
      <w:r w:rsidR="00A309DA">
        <w:rPr>
          <w:rFonts w:cs="Arial"/>
          <w:lang w:val="de-DE"/>
        </w:rPr>
        <w:t>9</w:t>
      </w:r>
      <w:r w:rsidRPr="00C47725">
        <w:rPr>
          <w:rFonts w:cs="Arial"/>
          <w:caps/>
          <w:lang w:val="de-DE"/>
        </w:rPr>
        <w:t>/2</w:t>
      </w:r>
      <w:r w:rsidRPr="00C47725">
        <w:rPr>
          <w:rFonts w:cs="Arial"/>
          <w:lang w:val="de-DE"/>
        </w:rPr>
        <w:t xml:space="preserve"> und gab die in der nachstehenden Tabelle aufgeführten Empfehlungen ab.</w:t>
      </w:r>
    </w:p>
    <w:p w:rsidR="002D20DB" w:rsidRPr="00C47725" w:rsidRDefault="002D20DB" w:rsidP="002D20DB">
      <w:pPr>
        <w:keepNext/>
        <w:autoSpaceDE w:val="0"/>
        <w:autoSpaceDN w:val="0"/>
        <w:adjustRightInd w:val="0"/>
        <w:ind w:firstLine="567"/>
        <w:rPr>
          <w:rFonts w:cs="Arial"/>
          <w:lang w:val="de-DE"/>
        </w:rPr>
      </w:pPr>
    </w:p>
    <w:p w:rsidR="002D20DB" w:rsidRPr="00C47725" w:rsidRDefault="002D20DB" w:rsidP="002D20DB">
      <w:pPr>
        <w:autoSpaceDE w:val="0"/>
        <w:autoSpaceDN w:val="0"/>
        <w:adjustRightInd w:val="0"/>
        <w:ind w:firstLine="567"/>
        <w:rPr>
          <w:rFonts w:cs="Arial"/>
          <w:lang w:val="de-DE"/>
        </w:rPr>
      </w:pPr>
      <w:bookmarkStart w:id="64" w:name="_Hlk24991307"/>
      <w:r w:rsidRPr="001323F6">
        <w:rPr>
          <w:rFonts w:cs="Arial"/>
          <w:lang w:val="de-DE"/>
        </w:rPr>
        <w:t>Der TC-EDC vereinbarte, da</w:t>
      </w:r>
      <w:r>
        <w:rPr>
          <w:rFonts w:cs="Arial"/>
          <w:lang w:val="de-DE"/>
        </w:rPr>
        <w:t>ss</w:t>
      </w:r>
      <w:r w:rsidRPr="001323F6">
        <w:rPr>
          <w:rFonts w:cs="Arial"/>
          <w:lang w:val="de-DE"/>
        </w:rPr>
        <w:t xml:space="preserve"> die </w:t>
      </w:r>
      <w:r w:rsidRPr="00C47725">
        <w:rPr>
          <w:rFonts w:cs="Arial"/>
          <w:lang w:val="de-DE"/>
        </w:rPr>
        <w:t>Teilüberarbeitung</w:t>
      </w:r>
      <w:r>
        <w:rPr>
          <w:rFonts w:cs="Arial"/>
          <w:lang w:val="de-DE"/>
        </w:rPr>
        <w:t xml:space="preserve"> der </w:t>
      </w:r>
      <w:r w:rsidRPr="001323F6">
        <w:rPr>
          <w:rFonts w:cs="Arial"/>
          <w:lang w:val="de-DE"/>
        </w:rPr>
        <w:t xml:space="preserve">Prüfungsrichtlinien für </w:t>
      </w:r>
      <w:r>
        <w:rPr>
          <w:rFonts w:cs="Arial"/>
          <w:lang w:val="de-DE"/>
        </w:rPr>
        <w:t xml:space="preserve">Mandel </w:t>
      </w:r>
      <w:r w:rsidRPr="001323F6">
        <w:rPr>
          <w:rFonts w:cs="Arial"/>
          <w:lang w:val="de-DE"/>
        </w:rPr>
        <w:t>vorbehaltlich der Zustimmung des führenden Sachverständigen bezüglich der vorgelegten Empfehlungen zur Annahme auf dem Schriftweg an den TC verbreitet werden soll.</w:t>
      </w:r>
      <w:bookmarkEnd w:id="64"/>
    </w:p>
    <w:p w:rsidR="002D20DB" w:rsidRPr="00C47725" w:rsidRDefault="002D20DB" w:rsidP="002D20DB">
      <w:pPr>
        <w:keepNext/>
        <w:jc w:val="center"/>
        <w:rPr>
          <w:rFonts w:cs="Arial"/>
          <w:b/>
          <w:bCs/>
          <w:snapToGrid w:val="0"/>
          <w:color w:val="000000"/>
          <w:lang w:val="de-DE"/>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9.</w:t>
            </w:r>
          </w:p>
        </w:tc>
        <w:tc>
          <w:tcPr>
            <w:tcW w:w="8086" w:type="dxa"/>
          </w:tcPr>
          <w:p w:rsidR="002D20DB" w:rsidRPr="00C47725" w:rsidRDefault="002D20DB" w:rsidP="002B5125">
            <w:pPr>
              <w:keepNext/>
              <w:rPr>
                <w:rFonts w:cs="Arial"/>
                <w:lang w:val="de-DE"/>
              </w:rPr>
            </w:pPr>
            <w:r w:rsidRPr="00C47725">
              <w:rPr>
                <w:rFonts w:cs="Arial"/>
                <w:lang w:val="de-DE"/>
              </w:rPr>
              <w:t xml:space="preserve">gemäß redaktionellem Standard </w:t>
            </w:r>
            <w:r>
              <w:rPr>
                <w:rFonts w:cs="Arial"/>
                <w:lang w:val="de-DE"/>
              </w:rPr>
              <w:t>überprüfen</w:t>
            </w:r>
          </w:p>
        </w:tc>
      </w:tr>
    </w:tbl>
    <w:p w:rsidR="002D20DB" w:rsidRPr="00C47725" w:rsidRDefault="002D20DB" w:rsidP="002D20DB">
      <w:pPr>
        <w:jc w:val="center"/>
        <w:rPr>
          <w:rFonts w:cs="Arial"/>
          <w:b/>
          <w:bCs/>
          <w:snapToGrid w:val="0"/>
          <w:lang w:val="de-DE"/>
        </w:rPr>
      </w:pPr>
    </w:p>
    <w:p w:rsidR="002D20DB" w:rsidRPr="00C47725" w:rsidRDefault="002D20DB" w:rsidP="002D20DB">
      <w:pPr>
        <w:jc w:val="center"/>
        <w:rPr>
          <w:rFonts w:cs="Arial"/>
          <w:b/>
          <w:bCs/>
          <w:snapToGrid w:val="0"/>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t>TC-EDC/Mar19/3</w:t>
            </w:r>
            <w:r w:rsidRPr="00C47725">
              <w:rPr>
                <w:rFonts w:cs="Arial"/>
                <w:b/>
                <w:iCs/>
                <w:lang w:val="de-DE"/>
              </w:rPr>
              <w:tab/>
              <w:t>Teilüberarbeitung der Prüfungsrichtlinien für Kokosnuss</w:t>
            </w:r>
          </w:p>
        </w:tc>
      </w:tr>
    </w:tbl>
    <w:p w:rsidR="002D20DB" w:rsidRPr="00C47725" w:rsidRDefault="002D20DB" w:rsidP="002D20DB">
      <w:pPr>
        <w:jc w:val="center"/>
        <w:rPr>
          <w:rFonts w:cs="Arial"/>
          <w:b/>
          <w:bCs/>
          <w:snapToGrid w:val="0"/>
          <w:lang w:val="de-DE"/>
        </w:rPr>
      </w:pPr>
    </w:p>
    <w:p w:rsidR="002D20DB" w:rsidRPr="00C47725" w:rsidRDefault="002D20DB" w:rsidP="002D20DB">
      <w:pPr>
        <w:autoSpaceDE w:val="0"/>
        <w:autoSpaceDN w:val="0"/>
        <w:adjustRightInd w:val="0"/>
        <w:ind w:firstLine="567"/>
        <w:rPr>
          <w:rFonts w:cs="Arial"/>
          <w:lang w:val="de-DE"/>
        </w:rPr>
      </w:pPr>
      <w:r w:rsidRPr="00C47725">
        <w:rPr>
          <w:rFonts w:cs="Arial"/>
          <w:lang w:val="de-DE"/>
        </w:rPr>
        <w:t>Der TC-EDC prüfte auf seiner Sitzung vom 26. März 2019 in Genf Dokument </w:t>
      </w:r>
      <w:r w:rsidRPr="00C47725">
        <w:rPr>
          <w:rFonts w:cs="Arial"/>
          <w:caps/>
          <w:lang w:val="de-DE"/>
        </w:rPr>
        <w:t>TC</w:t>
      </w:r>
      <w:r w:rsidRPr="00C47725">
        <w:rPr>
          <w:rFonts w:cs="Arial"/>
          <w:caps/>
          <w:lang w:val="de-DE"/>
        </w:rPr>
        <w:noBreakHyphen/>
        <w:t>EDC/M</w:t>
      </w:r>
      <w:r w:rsidRPr="00C47725">
        <w:rPr>
          <w:rFonts w:cs="Arial"/>
          <w:lang w:val="de-DE"/>
        </w:rPr>
        <w:t>ar</w:t>
      </w:r>
      <w:r w:rsidRPr="00C47725">
        <w:rPr>
          <w:rFonts w:cs="Arial"/>
          <w:caps/>
          <w:lang w:val="de-DE"/>
        </w:rPr>
        <w:t>1</w:t>
      </w:r>
      <w:r w:rsidR="00A309DA">
        <w:rPr>
          <w:rFonts w:cs="Arial"/>
          <w:caps/>
          <w:lang w:val="de-DE"/>
        </w:rPr>
        <w:t>9</w:t>
      </w:r>
      <w:r w:rsidRPr="00C47725">
        <w:rPr>
          <w:rFonts w:cs="Arial"/>
          <w:caps/>
          <w:lang w:val="de-DE"/>
        </w:rPr>
        <w:t>/3</w:t>
      </w:r>
      <w:r w:rsidRPr="00C47725">
        <w:rPr>
          <w:rFonts w:cs="Arial"/>
          <w:lang w:val="de-DE"/>
        </w:rPr>
        <w:t xml:space="preserve"> und vereinbarte, </w:t>
      </w:r>
      <w:bookmarkStart w:id="65" w:name="_Hlk24991337"/>
      <w:r w:rsidRPr="00C47725">
        <w:rPr>
          <w:rFonts w:cs="Arial"/>
          <w:lang w:val="de-DE"/>
        </w:rPr>
        <w:t xml:space="preserve">dass die Teilüberarbeitung der Prüfungsrichtlinien für Kokosnuss an den TC zur Annahme auf dem Schriftweg weitergeleitet </w:t>
      </w:r>
      <w:r>
        <w:rPr>
          <w:rFonts w:cs="Arial"/>
          <w:lang w:val="de-DE"/>
        </w:rPr>
        <w:t>werden soll</w:t>
      </w:r>
      <w:r w:rsidRPr="00C47725">
        <w:rPr>
          <w:rFonts w:cs="Arial"/>
          <w:lang w:val="de-DE"/>
        </w:rPr>
        <w:t>.</w:t>
      </w:r>
      <w:bookmarkEnd w:id="65"/>
      <w:r w:rsidRPr="00C47725">
        <w:rPr>
          <w:rFonts w:cs="Arial"/>
          <w:lang w:val="de-DE"/>
        </w:rPr>
        <w:t xml:space="preserve"> </w:t>
      </w:r>
    </w:p>
    <w:p w:rsidR="002D20DB" w:rsidRPr="00C47725" w:rsidRDefault="002D20DB" w:rsidP="002D20DB">
      <w:pPr>
        <w:jc w:val="center"/>
        <w:rPr>
          <w:rFonts w:cs="Arial"/>
          <w:b/>
          <w:bCs/>
          <w:snapToGrid w:val="0"/>
          <w:lang w:val="de-DE"/>
        </w:rPr>
      </w:pPr>
    </w:p>
    <w:p w:rsidR="002D20DB" w:rsidRPr="00C47725" w:rsidRDefault="002D20DB" w:rsidP="002D20DB">
      <w:pPr>
        <w:jc w:val="center"/>
        <w:rPr>
          <w:rFonts w:cs="Arial"/>
          <w:b/>
          <w:bCs/>
          <w:snapToGrid w:val="0"/>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t>TC-EDC/Mar19/4</w:t>
            </w:r>
            <w:r w:rsidRPr="00C47725">
              <w:rPr>
                <w:rFonts w:cs="Arial"/>
                <w:b/>
                <w:iCs/>
                <w:lang w:val="de-DE"/>
              </w:rPr>
              <w:tab/>
              <w:t>Teilüberarbeitung der Prüfungsrichtlinien für Actinidia</w:t>
            </w:r>
          </w:p>
        </w:tc>
      </w:tr>
    </w:tbl>
    <w:p w:rsidR="002D20DB" w:rsidRPr="00C47725" w:rsidRDefault="002D20DB" w:rsidP="002D20DB">
      <w:pPr>
        <w:keepNext/>
        <w:jc w:val="center"/>
        <w:rPr>
          <w:rFonts w:cs="Arial"/>
          <w:b/>
          <w:bCs/>
          <w:snapToGrid w:val="0"/>
          <w:color w:val="000000"/>
          <w:lang w:val="de-DE"/>
        </w:rPr>
      </w:pPr>
    </w:p>
    <w:p w:rsidR="002D20DB" w:rsidRPr="00C47725" w:rsidRDefault="002D20DB" w:rsidP="002D20DB">
      <w:pPr>
        <w:keepNext/>
        <w:ind w:firstLine="567"/>
        <w:rPr>
          <w:rFonts w:cs="Arial"/>
          <w:lang w:val="de-DE"/>
        </w:rPr>
      </w:pPr>
      <w:r w:rsidRPr="00C47725">
        <w:rPr>
          <w:rFonts w:cs="Arial"/>
          <w:lang w:val="de-DE"/>
        </w:rPr>
        <w:t>Der TC-EDC prüfte auf seiner Sitzung vom 26. März 2019 in Genf Dokument </w:t>
      </w:r>
      <w:r w:rsidRPr="00C47725">
        <w:rPr>
          <w:rFonts w:cs="Arial"/>
          <w:caps/>
          <w:lang w:val="de-DE"/>
        </w:rPr>
        <w:t>TC</w:t>
      </w:r>
      <w:r w:rsidRPr="00C47725">
        <w:rPr>
          <w:rFonts w:cs="Arial"/>
          <w:caps/>
          <w:lang w:val="de-DE"/>
        </w:rPr>
        <w:noBreakHyphen/>
        <w:t>EDC/</w:t>
      </w:r>
      <w:r w:rsidRPr="00C47725">
        <w:rPr>
          <w:rFonts w:cs="Arial"/>
          <w:lang w:val="de-DE"/>
        </w:rPr>
        <w:t>Mar1</w:t>
      </w:r>
      <w:r w:rsidR="00A309DA">
        <w:rPr>
          <w:rFonts w:cs="Arial"/>
          <w:lang w:val="de-DE"/>
        </w:rPr>
        <w:t>9</w:t>
      </w:r>
      <w:r w:rsidRPr="00C47725">
        <w:rPr>
          <w:rFonts w:cs="Arial"/>
          <w:caps/>
          <w:lang w:val="de-DE"/>
        </w:rPr>
        <w:t>/4</w:t>
      </w:r>
      <w:r w:rsidRPr="00C47725">
        <w:rPr>
          <w:rFonts w:cs="Arial"/>
          <w:lang w:val="de-DE"/>
        </w:rPr>
        <w:t xml:space="preserve"> und gab die in der nachstehenden Tabelle aufgeführten Empfehlungen ab.</w:t>
      </w:r>
    </w:p>
    <w:p w:rsidR="002D20DB" w:rsidRPr="00C47725" w:rsidRDefault="002D20DB" w:rsidP="002D20DB">
      <w:pPr>
        <w:keepNext/>
        <w:autoSpaceDE w:val="0"/>
        <w:autoSpaceDN w:val="0"/>
        <w:adjustRightInd w:val="0"/>
        <w:ind w:firstLine="567"/>
        <w:rPr>
          <w:rFonts w:cs="Arial"/>
          <w:lang w:val="de-DE"/>
        </w:rPr>
      </w:pPr>
    </w:p>
    <w:p w:rsidR="002D20DB" w:rsidRPr="00C47725" w:rsidRDefault="002D20DB" w:rsidP="002D20DB">
      <w:pPr>
        <w:autoSpaceDE w:val="0"/>
        <w:autoSpaceDN w:val="0"/>
        <w:adjustRightInd w:val="0"/>
        <w:ind w:firstLine="567"/>
        <w:rPr>
          <w:rFonts w:cs="Arial"/>
          <w:lang w:val="de-DE"/>
        </w:rPr>
      </w:pPr>
      <w:r w:rsidRPr="00C47725">
        <w:rPr>
          <w:rFonts w:cs="Arial"/>
          <w:lang w:val="de-DE"/>
        </w:rPr>
        <w:t>Der TC-EDC vereinbarte, dass die Teilüberarbeitun</w:t>
      </w:r>
      <w:r w:rsidR="000B19B7">
        <w:rPr>
          <w:rFonts w:cs="Arial"/>
          <w:lang w:val="de-DE"/>
        </w:rPr>
        <w:t>g der Prüfungsrichtlinien für A</w:t>
      </w:r>
      <w:r w:rsidRPr="00C47725">
        <w:rPr>
          <w:rFonts w:cs="Arial"/>
          <w:lang w:val="de-DE"/>
        </w:rPr>
        <w:t xml:space="preserve">ctinidia vorbehaltlich der Zustimmung des </w:t>
      </w:r>
      <w:r>
        <w:rPr>
          <w:rFonts w:cs="Arial"/>
          <w:lang w:val="de-DE"/>
        </w:rPr>
        <w:t>führenden Sachverständigen</w:t>
      </w:r>
      <w:r w:rsidRPr="00C47725">
        <w:rPr>
          <w:rFonts w:cs="Arial"/>
          <w:lang w:val="de-DE"/>
        </w:rPr>
        <w:t xml:space="preserve"> bezüglich der vorgelegten Empfehlungen zur Annahme auf dem Schriftweg an den TC weitergeleitet </w:t>
      </w:r>
      <w:r>
        <w:rPr>
          <w:rFonts w:cs="Arial"/>
          <w:lang w:val="de-DE"/>
        </w:rPr>
        <w:t>werden soll</w:t>
      </w:r>
      <w:r w:rsidRPr="00C47725">
        <w:rPr>
          <w:rFonts w:cs="Arial"/>
          <w:lang w:val="de-DE"/>
        </w:rPr>
        <w:t xml:space="preserve">. </w:t>
      </w:r>
    </w:p>
    <w:p w:rsidR="002D20DB" w:rsidRPr="00C47725" w:rsidRDefault="002D20DB" w:rsidP="002D20DB">
      <w:pPr>
        <w:keepNext/>
        <w:jc w:val="center"/>
        <w:rPr>
          <w:rFonts w:cs="Arial"/>
          <w:b/>
          <w:bCs/>
          <w:snapToGrid w:val="0"/>
          <w:color w:val="000000"/>
          <w:lang w:val="de-DE"/>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Neues Merkmal 29</w:t>
            </w:r>
          </w:p>
        </w:tc>
        <w:tc>
          <w:tcPr>
            <w:tcW w:w="8086" w:type="dxa"/>
          </w:tcPr>
          <w:p w:rsidR="002D20DB" w:rsidRPr="00C47725" w:rsidRDefault="002D20DB" w:rsidP="002B5125">
            <w:pPr>
              <w:keepNext/>
              <w:rPr>
                <w:rFonts w:cs="Arial"/>
                <w:lang w:val="de-DE"/>
              </w:rPr>
            </w:pPr>
            <w:r>
              <w:rPr>
                <w:rFonts w:cs="Arial"/>
                <w:lang w:val="de-DE"/>
              </w:rPr>
              <w:t>„</w:t>
            </w:r>
            <w:r w:rsidRPr="00C47725">
              <w:rPr>
                <w:rFonts w:cs="Arial"/>
                <w:lang w:val="de-DE"/>
              </w:rPr>
              <w:t>2)</w:t>
            </w:r>
            <w:r>
              <w:rPr>
                <w:rFonts w:cs="Arial"/>
                <w:lang w:val="de-DE"/>
              </w:rPr>
              <w:t>“</w:t>
            </w:r>
            <w:r w:rsidRPr="00C47725">
              <w:rPr>
                <w:rFonts w:cs="Arial"/>
                <w:lang w:val="de-DE"/>
              </w:rPr>
              <w:t xml:space="preserve"> streichen (vergleiche Beispielsorten, die von der TWF </w:t>
            </w:r>
            <w:r>
              <w:rPr>
                <w:rFonts w:cs="Arial"/>
                <w:lang w:val="de-DE"/>
              </w:rPr>
              <w:t>vereinbart</w:t>
            </w:r>
            <w:r w:rsidRPr="00C47725">
              <w:rPr>
                <w:rFonts w:cs="Arial"/>
                <w:lang w:val="de-DE"/>
              </w:rPr>
              <w:t xml:space="preserve"> wurden, Merkmal, das nicht nur für Merkmale der Gruppe B anwendbar ist.)</w:t>
            </w:r>
          </w:p>
        </w:tc>
      </w:tr>
    </w:tbl>
    <w:p w:rsidR="002D20DB" w:rsidRPr="00C47725" w:rsidRDefault="002D20DB" w:rsidP="002D20DB">
      <w:pPr>
        <w:jc w:val="center"/>
        <w:rPr>
          <w:rFonts w:cs="Arial"/>
          <w:b/>
          <w:bCs/>
          <w:snapToGrid w:val="0"/>
          <w:lang w:val="de-DE"/>
        </w:rPr>
      </w:pPr>
    </w:p>
    <w:p w:rsidR="002D20DB" w:rsidRPr="00C47725" w:rsidRDefault="002D20DB" w:rsidP="002D20DB">
      <w:pPr>
        <w:jc w:val="center"/>
        <w:rPr>
          <w:rFonts w:cs="Arial"/>
          <w:b/>
          <w:bCs/>
          <w:snapToGrid w:val="0"/>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t>TC-EDC/Mar19/5</w:t>
            </w:r>
            <w:r w:rsidRPr="00C47725">
              <w:rPr>
                <w:rFonts w:cs="Arial"/>
                <w:b/>
                <w:iCs/>
                <w:lang w:val="de-DE"/>
              </w:rPr>
              <w:tab/>
              <w:t>Teilüberarbeitung der Prüfungsrichtlinien für Salat</w:t>
            </w:r>
          </w:p>
        </w:tc>
      </w:tr>
    </w:tbl>
    <w:p w:rsidR="002D20DB" w:rsidRPr="00C47725" w:rsidRDefault="002D20DB" w:rsidP="002D20DB">
      <w:pPr>
        <w:keepNext/>
        <w:jc w:val="center"/>
        <w:rPr>
          <w:rFonts w:cs="Arial"/>
          <w:b/>
          <w:bCs/>
          <w:snapToGrid w:val="0"/>
          <w:color w:val="000000"/>
          <w:lang w:val="de-DE"/>
        </w:rPr>
      </w:pPr>
    </w:p>
    <w:p w:rsidR="002D20DB" w:rsidRPr="00C47725" w:rsidRDefault="002D20DB" w:rsidP="002D20DB">
      <w:pPr>
        <w:keepNext/>
        <w:ind w:firstLine="567"/>
        <w:rPr>
          <w:rFonts w:cs="Arial"/>
          <w:lang w:val="de-DE"/>
        </w:rPr>
      </w:pPr>
      <w:r w:rsidRPr="00C47725">
        <w:rPr>
          <w:rFonts w:cs="Arial"/>
          <w:lang w:val="de-DE"/>
        </w:rPr>
        <w:t>Der TC-EDC prüfte auf seiner Sitzung vom 26. März 2019 in Genf Dokument </w:t>
      </w:r>
      <w:r w:rsidRPr="00C47725">
        <w:rPr>
          <w:rFonts w:cs="Arial"/>
          <w:caps/>
          <w:lang w:val="de-DE"/>
        </w:rPr>
        <w:t>TC</w:t>
      </w:r>
      <w:r w:rsidRPr="00C47725">
        <w:rPr>
          <w:rFonts w:cs="Arial"/>
          <w:caps/>
          <w:lang w:val="de-DE"/>
        </w:rPr>
        <w:noBreakHyphen/>
        <w:t>EDC/</w:t>
      </w:r>
      <w:r w:rsidRPr="00C47725">
        <w:rPr>
          <w:rFonts w:cs="Arial"/>
          <w:lang w:val="de-DE"/>
        </w:rPr>
        <w:t>Mar1</w:t>
      </w:r>
      <w:r w:rsidR="00A309DA">
        <w:rPr>
          <w:rFonts w:cs="Arial"/>
          <w:lang w:val="de-DE"/>
        </w:rPr>
        <w:t>9</w:t>
      </w:r>
      <w:r w:rsidRPr="00C47725">
        <w:rPr>
          <w:rFonts w:cs="Arial"/>
          <w:caps/>
          <w:lang w:val="de-DE"/>
        </w:rPr>
        <w:t>/5</w:t>
      </w:r>
      <w:r w:rsidRPr="00C47725">
        <w:rPr>
          <w:rFonts w:cs="Arial"/>
          <w:lang w:val="de-DE"/>
        </w:rPr>
        <w:t xml:space="preserve"> und gab die in der nachstehenden Tabelle aufgeführten Empfehlungen ab.</w:t>
      </w:r>
    </w:p>
    <w:p w:rsidR="002D20DB" w:rsidRPr="00C47725" w:rsidRDefault="002D20DB" w:rsidP="002D20DB">
      <w:pPr>
        <w:keepNext/>
        <w:autoSpaceDE w:val="0"/>
        <w:autoSpaceDN w:val="0"/>
        <w:adjustRightInd w:val="0"/>
        <w:ind w:firstLine="567"/>
        <w:rPr>
          <w:rFonts w:cs="Arial"/>
          <w:lang w:val="de-DE"/>
        </w:rPr>
      </w:pPr>
    </w:p>
    <w:p w:rsidR="002D20DB" w:rsidRPr="00C47725" w:rsidRDefault="002D20DB" w:rsidP="002D20DB">
      <w:pPr>
        <w:autoSpaceDE w:val="0"/>
        <w:autoSpaceDN w:val="0"/>
        <w:adjustRightInd w:val="0"/>
        <w:ind w:firstLine="567"/>
        <w:rPr>
          <w:rFonts w:cs="Arial"/>
          <w:lang w:val="de-DE"/>
        </w:rPr>
      </w:pPr>
      <w:r w:rsidRPr="00C47725">
        <w:rPr>
          <w:rFonts w:cs="Arial"/>
          <w:lang w:val="de-DE"/>
        </w:rPr>
        <w:t>Der TC-EDC vereinbarte,</w:t>
      </w:r>
      <w:r>
        <w:rPr>
          <w:rFonts w:cs="Arial"/>
          <w:lang w:val="de-DE"/>
        </w:rPr>
        <w:t xml:space="preserve"> </w:t>
      </w:r>
      <w:r w:rsidRPr="00C47725">
        <w:rPr>
          <w:rFonts w:cs="Arial"/>
          <w:lang w:val="de-DE"/>
        </w:rPr>
        <w:t xml:space="preserve">dass die Teilüberarbeitung der Prüfungsrichtlinien für Salat vorbehaltlich der Zustimmung des </w:t>
      </w:r>
      <w:r>
        <w:rPr>
          <w:rFonts w:cs="Arial"/>
          <w:lang w:val="de-DE"/>
        </w:rPr>
        <w:t>führenden Sachverständigen</w:t>
      </w:r>
      <w:r w:rsidRPr="00C47725">
        <w:rPr>
          <w:rFonts w:cs="Arial"/>
          <w:lang w:val="de-DE"/>
        </w:rPr>
        <w:t xml:space="preserve"> bezüglich der vorgelegten Empfehlungen zur Annahme auf dem Schriftweg an den TC weitergeleitet </w:t>
      </w:r>
      <w:r>
        <w:rPr>
          <w:rFonts w:cs="Arial"/>
          <w:lang w:val="de-DE"/>
        </w:rPr>
        <w:t>werden soll</w:t>
      </w:r>
      <w:r w:rsidRPr="00C47725">
        <w:rPr>
          <w:rFonts w:cs="Arial"/>
          <w:lang w:val="de-DE"/>
        </w:rPr>
        <w:t xml:space="preserve">. </w:t>
      </w:r>
    </w:p>
    <w:p w:rsidR="002D20DB" w:rsidRPr="00C47725" w:rsidRDefault="002D20DB" w:rsidP="002D20DB">
      <w:pPr>
        <w:keepNext/>
        <w:jc w:val="center"/>
        <w:rPr>
          <w:rFonts w:cs="Arial"/>
          <w:b/>
          <w:bCs/>
          <w:snapToGrid w:val="0"/>
          <w:color w:val="000000"/>
          <w:lang w:val="de-DE"/>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38 bis 52, 8.2</w:t>
            </w:r>
          </w:p>
        </w:tc>
        <w:tc>
          <w:tcPr>
            <w:tcW w:w="8086" w:type="dxa"/>
          </w:tcPr>
          <w:p w:rsidR="002D20DB" w:rsidRPr="00C47725" w:rsidRDefault="002D20DB" w:rsidP="002B5125">
            <w:pPr>
              <w:keepNext/>
              <w:rPr>
                <w:rFonts w:cs="Arial"/>
                <w:lang w:val="de-DE"/>
              </w:rPr>
            </w:pPr>
            <w:r w:rsidRPr="00C47725">
              <w:rPr>
                <w:rFonts w:cs="Arial"/>
                <w:lang w:val="de-DE"/>
              </w:rPr>
              <w:t>sollte lauten</w:t>
            </w:r>
          </w:p>
          <w:p w:rsidR="002D20DB" w:rsidRPr="00C47725" w:rsidRDefault="002D20DB" w:rsidP="002B5125">
            <w:pPr>
              <w:keepNext/>
              <w:rPr>
                <w:rFonts w:cs="Arial"/>
                <w:lang w:val="de-DE"/>
              </w:rPr>
            </w:pPr>
            <w:r>
              <w:rPr>
                <w:rFonts w:cs="Arial"/>
                <w:lang w:val="de-DE"/>
              </w:rPr>
              <w:t>„</w:t>
            </w:r>
            <w:r w:rsidRPr="00C47725">
              <w:rPr>
                <w:rFonts w:cs="Arial"/>
                <w:lang w:val="de-DE"/>
              </w:rPr>
              <w:t>anfällige Sorte, z.B. Green Towers.</w:t>
            </w:r>
          </w:p>
          <w:p w:rsidR="002D20DB" w:rsidRPr="00C47725" w:rsidRDefault="002D20DB" w:rsidP="002B5125">
            <w:pPr>
              <w:keepNext/>
              <w:rPr>
                <w:rFonts w:cs="Arial"/>
                <w:lang w:val="de-DE"/>
              </w:rPr>
            </w:pPr>
            <w:r w:rsidRPr="00D500DD">
              <w:rPr>
                <w:rFonts w:cs="Arial"/>
                <w:highlight w:val="lightGray"/>
                <w:u w:val="single"/>
                <w:lang w:val="de-DE"/>
              </w:rPr>
              <w:t>F</w:t>
            </w:r>
            <w:r w:rsidRPr="00C47725">
              <w:rPr>
                <w:rFonts w:cs="Arial"/>
                <w:lang w:val="de-DE"/>
              </w:rPr>
              <w:t>ür höhere Isolate…</w:t>
            </w:r>
            <w:r>
              <w:rPr>
                <w:rFonts w:cs="Arial"/>
                <w:lang w:val="de-DE"/>
              </w:rPr>
              <w:t>“</w:t>
            </w:r>
          </w:p>
        </w:tc>
      </w:tr>
      <w:tr w:rsidR="002D20DB" w:rsidRPr="00C47725" w:rsidTr="002B5125">
        <w:trPr>
          <w:cantSplit/>
        </w:trPr>
        <w:tc>
          <w:tcPr>
            <w:tcW w:w="1573" w:type="dxa"/>
          </w:tcPr>
          <w:p w:rsidR="002D20DB" w:rsidRPr="00C47725" w:rsidRDefault="002D20DB" w:rsidP="002B5125">
            <w:pPr>
              <w:jc w:val="left"/>
              <w:rPr>
                <w:rFonts w:cs="Arial"/>
                <w:color w:val="000000"/>
                <w:lang w:val="de-DE"/>
              </w:rPr>
            </w:pPr>
            <w:r w:rsidRPr="00C47725">
              <w:rPr>
                <w:rFonts w:cs="Arial"/>
                <w:color w:val="000000"/>
                <w:lang w:val="de-DE"/>
              </w:rPr>
              <w:t>Zu 38 bis 52, 10.2</w:t>
            </w:r>
          </w:p>
        </w:tc>
        <w:tc>
          <w:tcPr>
            <w:tcW w:w="8086" w:type="dxa"/>
          </w:tcPr>
          <w:p w:rsidR="002D20DB" w:rsidRPr="00C47725" w:rsidRDefault="002D20DB" w:rsidP="002B5125">
            <w:pPr>
              <w:keepNext/>
              <w:rPr>
                <w:rFonts w:cs="Arial"/>
                <w:lang w:val="de-DE"/>
              </w:rPr>
            </w:pPr>
            <w:r w:rsidRPr="00C47725">
              <w:rPr>
                <w:rFonts w:cs="Arial"/>
                <w:lang w:val="de-DE"/>
              </w:rPr>
              <w:t>sollte lauten 3 x 10</w:t>
            </w:r>
            <w:r w:rsidRPr="00C47725">
              <w:rPr>
                <w:rFonts w:cs="Arial"/>
                <w:vertAlign w:val="superscript"/>
                <w:lang w:val="de-DE"/>
              </w:rPr>
              <w:t>4</w:t>
            </w:r>
            <w:r w:rsidRPr="00C47725">
              <w:rPr>
                <w:rFonts w:cs="Arial"/>
                <w:lang w:val="de-DE"/>
              </w:rPr>
              <w:t xml:space="preserve"> – 1 x 10</w:t>
            </w:r>
            <w:r w:rsidRPr="00C47725">
              <w:rPr>
                <w:rFonts w:cs="Arial"/>
                <w:vertAlign w:val="superscript"/>
                <w:lang w:val="de-DE"/>
              </w:rPr>
              <w:t>5</w:t>
            </w:r>
          </w:p>
          <w:p w:rsidR="002D20DB" w:rsidRPr="00C47725" w:rsidRDefault="002D20DB" w:rsidP="002B5125">
            <w:pPr>
              <w:keepNext/>
              <w:rPr>
                <w:rFonts w:cs="Arial"/>
                <w:lang w:val="de-DE"/>
              </w:rPr>
            </w:pP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38 bis 52, vergleiche</w:t>
            </w:r>
          </w:p>
        </w:tc>
        <w:tc>
          <w:tcPr>
            <w:tcW w:w="8086" w:type="dxa"/>
          </w:tcPr>
          <w:p w:rsidR="002D20DB" w:rsidRPr="00C47725" w:rsidRDefault="002D20DB" w:rsidP="002B5125">
            <w:pPr>
              <w:keepNext/>
              <w:rPr>
                <w:rFonts w:cs="Arial"/>
                <w:lang w:val="de-DE"/>
              </w:rPr>
            </w:pPr>
            <w:r w:rsidRPr="00C47725">
              <w:rPr>
                <w:rFonts w:cs="Arial"/>
                <w:lang w:val="de-DE"/>
              </w:rPr>
              <w:t>letzter Satz sollte lauten</w:t>
            </w:r>
            <w:r>
              <w:rPr>
                <w:rFonts w:cs="Arial"/>
                <w:lang w:val="de-DE"/>
              </w:rPr>
              <w:t xml:space="preserve"> „</w:t>
            </w:r>
            <w:r w:rsidRPr="00C47725">
              <w:rPr>
                <w:rFonts w:cs="Arial"/>
                <w:lang w:val="de-DE"/>
              </w:rPr>
              <w:t xml:space="preserve">Bilder für die Erfassungsskala </w:t>
            </w:r>
            <w:r>
              <w:rPr>
                <w:rFonts w:cs="Arial"/>
                <w:lang w:val="de-DE"/>
              </w:rPr>
              <w:t>werden auch bereitgestellt</w:t>
            </w:r>
            <w:r w:rsidRPr="00C47725">
              <w:rPr>
                <w:rFonts w:cs="Arial"/>
                <w:lang w:val="de-DE"/>
              </w:rPr>
              <w:t>.</w:t>
            </w:r>
            <w:r>
              <w:rPr>
                <w:rFonts w:cs="Arial"/>
                <w:lang w:val="de-DE"/>
              </w:rPr>
              <w:t>“</w:t>
            </w:r>
          </w:p>
        </w:tc>
      </w:tr>
    </w:tbl>
    <w:p w:rsidR="002D20DB" w:rsidRPr="00C47725" w:rsidRDefault="002D20DB" w:rsidP="002D20DB">
      <w:pPr>
        <w:rPr>
          <w:rFonts w:cs="Arial"/>
          <w:lang w:val="de-DE"/>
        </w:rPr>
      </w:pPr>
    </w:p>
    <w:p w:rsidR="002D20DB" w:rsidRPr="00C47725" w:rsidRDefault="002D20DB" w:rsidP="002D20DB">
      <w:pPr>
        <w:rPr>
          <w:rFonts w:cs="Arial"/>
          <w:lang w:val="de-DE"/>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5"/>
      </w:tblGrid>
      <w:tr w:rsidR="002D20DB" w:rsidRPr="000E6F70" w:rsidTr="002B5125">
        <w:trPr>
          <w:cantSplit/>
          <w:jc w:val="center"/>
        </w:trPr>
        <w:tc>
          <w:tcPr>
            <w:tcW w:w="9675" w:type="dxa"/>
            <w:shd w:val="clear" w:color="auto" w:fill="D9D9D9"/>
            <w:vAlign w:val="center"/>
          </w:tcPr>
          <w:p w:rsidR="002D20DB" w:rsidRPr="00C47725" w:rsidRDefault="002D20DB" w:rsidP="002B5125">
            <w:pPr>
              <w:pStyle w:val="BodyText"/>
              <w:tabs>
                <w:tab w:val="left" w:pos="1849"/>
              </w:tabs>
              <w:ind w:left="1803" w:hanging="1803"/>
              <w:jc w:val="left"/>
              <w:rPr>
                <w:rFonts w:cs="Arial"/>
                <w:b/>
                <w:iCs/>
                <w:lang w:val="de-DE"/>
              </w:rPr>
            </w:pPr>
            <w:r w:rsidRPr="00C47725">
              <w:rPr>
                <w:rFonts w:cs="Arial"/>
                <w:b/>
                <w:iCs/>
                <w:lang w:val="de-DE"/>
              </w:rPr>
              <w:t>TC-EDC/Mar19/6</w:t>
            </w:r>
            <w:r w:rsidRPr="00C47725">
              <w:rPr>
                <w:rFonts w:cs="Arial"/>
                <w:b/>
                <w:iCs/>
                <w:lang w:val="de-DE"/>
              </w:rPr>
              <w:tab/>
              <w:t>Teilüberarbeitung der Prüfungsrichtlinien für Erbse</w:t>
            </w:r>
          </w:p>
        </w:tc>
      </w:tr>
    </w:tbl>
    <w:p w:rsidR="002D20DB" w:rsidRPr="00C47725" w:rsidRDefault="002D20DB" w:rsidP="002D20DB">
      <w:pPr>
        <w:jc w:val="center"/>
        <w:rPr>
          <w:rFonts w:cs="Arial"/>
          <w:b/>
          <w:bCs/>
          <w:snapToGrid w:val="0"/>
          <w:lang w:val="de-DE"/>
        </w:rPr>
      </w:pPr>
    </w:p>
    <w:p w:rsidR="002D20DB" w:rsidRPr="00C47725" w:rsidRDefault="002D20DB" w:rsidP="002D20DB">
      <w:pPr>
        <w:autoSpaceDE w:val="0"/>
        <w:autoSpaceDN w:val="0"/>
        <w:adjustRightInd w:val="0"/>
        <w:ind w:firstLine="567"/>
        <w:rPr>
          <w:rFonts w:cs="Arial"/>
          <w:lang w:val="de-DE"/>
        </w:rPr>
      </w:pPr>
      <w:r w:rsidRPr="00C47725">
        <w:rPr>
          <w:rFonts w:cs="Arial"/>
          <w:lang w:val="de-DE"/>
        </w:rPr>
        <w:t>Der TC-EDC prüfte auf seiner Sitzung vom 26. März 2019 in Genf Dokument </w:t>
      </w:r>
      <w:r w:rsidRPr="00C47725">
        <w:rPr>
          <w:rFonts w:cs="Arial"/>
          <w:caps/>
          <w:lang w:val="de-DE"/>
        </w:rPr>
        <w:t>TC</w:t>
      </w:r>
      <w:r w:rsidRPr="00C47725">
        <w:rPr>
          <w:rFonts w:cs="Arial"/>
          <w:caps/>
          <w:lang w:val="de-DE"/>
        </w:rPr>
        <w:noBreakHyphen/>
        <w:t>EDC/M</w:t>
      </w:r>
      <w:r w:rsidRPr="00C47725">
        <w:rPr>
          <w:rFonts w:cs="Arial"/>
          <w:lang w:val="de-DE"/>
        </w:rPr>
        <w:t>ar</w:t>
      </w:r>
      <w:r w:rsidRPr="00C47725">
        <w:rPr>
          <w:rFonts w:cs="Arial"/>
          <w:caps/>
          <w:lang w:val="de-DE"/>
        </w:rPr>
        <w:t>1</w:t>
      </w:r>
      <w:r w:rsidR="00A309DA">
        <w:rPr>
          <w:rFonts w:cs="Arial"/>
          <w:caps/>
          <w:lang w:val="de-DE"/>
        </w:rPr>
        <w:t>9</w:t>
      </w:r>
      <w:r w:rsidRPr="00C47725">
        <w:rPr>
          <w:rFonts w:cs="Arial"/>
          <w:caps/>
          <w:lang w:val="de-DE"/>
        </w:rPr>
        <w:t>/6</w:t>
      </w:r>
      <w:r w:rsidRPr="00C47725">
        <w:rPr>
          <w:rFonts w:cs="Arial"/>
          <w:lang w:val="de-DE"/>
        </w:rPr>
        <w:t xml:space="preserve"> und vereinbarte, dass die Teilüberarbeitung der Prüfungsrichtlinien für Erbse an den TC zur Annahme auf dem Schriftweg weitergeleitet </w:t>
      </w:r>
      <w:r>
        <w:rPr>
          <w:rFonts w:cs="Arial"/>
          <w:lang w:val="de-DE"/>
        </w:rPr>
        <w:t>werden soll</w:t>
      </w:r>
      <w:r w:rsidRPr="00C47725">
        <w:rPr>
          <w:rFonts w:cs="Arial"/>
          <w:lang w:val="de-DE"/>
        </w:rPr>
        <w:t xml:space="preserve">. </w:t>
      </w:r>
    </w:p>
    <w:p w:rsidR="002D20DB" w:rsidRPr="00C47725" w:rsidRDefault="002D20DB" w:rsidP="002D20DB">
      <w:pPr>
        <w:jc w:val="center"/>
        <w:rPr>
          <w:rFonts w:cs="Arial"/>
          <w:b/>
          <w:bCs/>
          <w:snapToGrid w:val="0"/>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t>TC-EDC/Mar19/7</w:t>
            </w:r>
            <w:r w:rsidRPr="00C47725">
              <w:rPr>
                <w:rFonts w:cs="Arial"/>
                <w:b/>
                <w:iCs/>
                <w:lang w:val="de-DE"/>
              </w:rPr>
              <w:tab/>
              <w:t>Teilüberarbeitung der Prüfungsrichtlinien für Spinat</w:t>
            </w:r>
          </w:p>
        </w:tc>
      </w:tr>
    </w:tbl>
    <w:p w:rsidR="002D20DB" w:rsidRPr="00C47725" w:rsidRDefault="002D20DB" w:rsidP="002D20DB">
      <w:pPr>
        <w:keepNext/>
        <w:jc w:val="center"/>
        <w:rPr>
          <w:rFonts w:cs="Arial"/>
          <w:b/>
          <w:bCs/>
          <w:snapToGrid w:val="0"/>
          <w:color w:val="000000"/>
          <w:lang w:val="de-DE"/>
        </w:rPr>
      </w:pPr>
    </w:p>
    <w:p w:rsidR="002D20DB" w:rsidRPr="00C47725" w:rsidRDefault="002D20DB" w:rsidP="002D20DB">
      <w:pPr>
        <w:keepNext/>
        <w:ind w:firstLine="567"/>
        <w:rPr>
          <w:rFonts w:cs="Arial"/>
          <w:lang w:val="de-DE"/>
        </w:rPr>
      </w:pPr>
      <w:r w:rsidRPr="00C47725">
        <w:rPr>
          <w:rFonts w:cs="Arial"/>
          <w:lang w:val="de-DE"/>
        </w:rPr>
        <w:t>Der TC-EDC prüfte auf seiner Sitzung vom 26. März 2019 in Genf Dokument </w:t>
      </w:r>
      <w:r w:rsidRPr="00C47725">
        <w:rPr>
          <w:rFonts w:cs="Arial"/>
          <w:caps/>
          <w:lang w:val="de-DE"/>
        </w:rPr>
        <w:t>TC</w:t>
      </w:r>
      <w:r w:rsidRPr="00C47725">
        <w:rPr>
          <w:rFonts w:cs="Arial"/>
          <w:caps/>
          <w:lang w:val="de-DE"/>
        </w:rPr>
        <w:noBreakHyphen/>
        <w:t>EDC/</w:t>
      </w:r>
      <w:r w:rsidRPr="00C47725">
        <w:rPr>
          <w:rFonts w:cs="Arial"/>
          <w:lang w:val="de-DE"/>
        </w:rPr>
        <w:t>Mar1</w:t>
      </w:r>
      <w:r w:rsidR="00A309DA">
        <w:rPr>
          <w:rFonts w:cs="Arial"/>
          <w:lang w:val="de-DE"/>
        </w:rPr>
        <w:t>9</w:t>
      </w:r>
      <w:r w:rsidRPr="00C47725">
        <w:rPr>
          <w:rFonts w:cs="Arial"/>
          <w:caps/>
          <w:lang w:val="de-DE"/>
        </w:rPr>
        <w:t>/7</w:t>
      </w:r>
      <w:r w:rsidRPr="00C47725">
        <w:rPr>
          <w:rFonts w:cs="Arial"/>
          <w:lang w:val="de-DE"/>
        </w:rPr>
        <w:t xml:space="preserve"> und gab die in der nachstehenden Tabelle aufgeführten Empfehlungen ab.</w:t>
      </w:r>
    </w:p>
    <w:p w:rsidR="002D20DB" w:rsidRPr="00C47725" w:rsidRDefault="002D20DB" w:rsidP="002D20DB">
      <w:pPr>
        <w:keepNext/>
        <w:autoSpaceDE w:val="0"/>
        <w:autoSpaceDN w:val="0"/>
        <w:adjustRightInd w:val="0"/>
        <w:ind w:firstLine="567"/>
        <w:rPr>
          <w:rFonts w:cs="Arial"/>
          <w:lang w:val="de-DE"/>
        </w:rPr>
      </w:pPr>
    </w:p>
    <w:p w:rsidR="002D20DB" w:rsidRPr="00C47725" w:rsidRDefault="002D20DB" w:rsidP="002D20DB">
      <w:pPr>
        <w:autoSpaceDE w:val="0"/>
        <w:autoSpaceDN w:val="0"/>
        <w:adjustRightInd w:val="0"/>
        <w:ind w:firstLine="567"/>
        <w:rPr>
          <w:rFonts w:cs="Arial"/>
          <w:lang w:val="de-DE"/>
        </w:rPr>
      </w:pPr>
      <w:r w:rsidRPr="00C47725">
        <w:rPr>
          <w:rFonts w:cs="Arial"/>
          <w:lang w:val="de-DE"/>
        </w:rPr>
        <w:t xml:space="preserve">Der TC-EDC vereinbarte, dass die Teilüberarbeitung der Prüfungsrichtlinien für Spinat vorbehaltlich der Zustimmung des </w:t>
      </w:r>
      <w:r>
        <w:rPr>
          <w:rFonts w:cs="Arial"/>
          <w:lang w:val="de-DE"/>
        </w:rPr>
        <w:t>führenden Sachverständigen</w:t>
      </w:r>
      <w:r w:rsidRPr="00C47725">
        <w:rPr>
          <w:rFonts w:cs="Arial"/>
          <w:lang w:val="de-DE"/>
        </w:rPr>
        <w:t xml:space="preserve"> bezüglich der vorgelegten Empfehlungen zur Annahme auf dem Schriftweg an den TC weitergeleitet </w:t>
      </w:r>
      <w:r>
        <w:rPr>
          <w:rFonts w:cs="Arial"/>
          <w:lang w:val="de-DE"/>
        </w:rPr>
        <w:t>werden soll</w:t>
      </w:r>
      <w:r w:rsidRPr="00C47725">
        <w:rPr>
          <w:rFonts w:cs="Arial"/>
          <w:lang w:val="de-DE"/>
        </w:rPr>
        <w:t xml:space="preserve">. </w:t>
      </w:r>
    </w:p>
    <w:p w:rsidR="002D20DB" w:rsidRPr="00C47725" w:rsidRDefault="002D20DB" w:rsidP="002D20DB">
      <w:pPr>
        <w:keepNext/>
        <w:jc w:val="center"/>
        <w:rPr>
          <w:rFonts w:cs="Arial"/>
          <w:b/>
          <w:bCs/>
          <w:snapToGrid w:val="0"/>
          <w:color w:val="000000"/>
          <w:lang w:val="de-D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6"/>
      </w:tblGrid>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18, Auswertung der Infektion</w:t>
            </w:r>
          </w:p>
        </w:tc>
        <w:tc>
          <w:tcPr>
            <w:tcW w:w="8066" w:type="dxa"/>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 xml:space="preserve">Einige Sorten können ein etwas niedrigeres Resistenzniveau aufweisen, das sich z.B. in einer leichten Sporenbildung an der Spitze zeigt. In der Tabelle ist dies/sind diese Sorten durch </w:t>
            </w:r>
            <w:r>
              <w:rPr>
                <w:rFonts w:cs="Arial"/>
                <w:lang w:val="de-DE"/>
              </w:rPr>
              <w:t>(</w:t>
            </w:r>
            <w:r w:rsidRPr="00C47725">
              <w:rPr>
                <w:rFonts w:cs="Arial"/>
                <w:lang w:val="de-DE"/>
              </w:rPr>
              <w:t>R) gekennzeichnet.</w:t>
            </w:r>
            <w:r>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18</w:t>
            </w:r>
          </w:p>
        </w:tc>
        <w:tc>
          <w:tcPr>
            <w:tcW w:w="8066" w:type="dxa"/>
          </w:tcPr>
          <w:p w:rsidR="002D20DB" w:rsidRPr="00C47725" w:rsidRDefault="002D20DB" w:rsidP="002B5125">
            <w:pPr>
              <w:keepNext/>
              <w:rPr>
                <w:rFonts w:cs="Arial"/>
                <w:lang w:val="de-DE"/>
              </w:rPr>
            </w:pPr>
            <w:r w:rsidRPr="00C47725">
              <w:rPr>
                <w:rFonts w:cs="Arial"/>
                <w:lang w:val="de-DE"/>
              </w:rPr>
              <w:t>- Satz oberhalb der Tabelle sollte lauten</w:t>
            </w:r>
            <w:r>
              <w:rPr>
                <w:rFonts w:cs="Arial"/>
                <w:lang w:val="de-DE"/>
              </w:rPr>
              <w:t xml:space="preserve"> „</w:t>
            </w:r>
            <w:r w:rsidRPr="00C47725">
              <w:rPr>
                <w:rFonts w:cs="Arial"/>
                <w:lang w:val="de-DE"/>
              </w:rPr>
              <w:t>Vergleichssorten und Isolate sind verfügbar…</w:t>
            </w:r>
            <w:r>
              <w:rPr>
                <w:rFonts w:cs="Arial"/>
                <w:lang w:val="de-DE"/>
              </w:rPr>
              <w:t>“</w:t>
            </w:r>
          </w:p>
          <w:p w:rsidR="002D20DB" w:rsidRPr="00C47725" w:rsidRDefault="002D20DB" w:rsidP="002B5125">
            <w:pPr>
              <w:keepNext/>
              <w:rPr>
                <w:rFonts w:cs="Arial"/>
                <w:lang w:val="de-DE"/>
              </w:rPr>
            </w:pPr>
            <w:r w:rsidRPr="00C47725">
              <w:rPr>
                <w:rFonts w:cs="Arial"/>
                <w:lang w:val="de-DE"/>
              </w:rPr>
              <w:t>- Legende in der Tabelle mit Vergleichssorten und NIL sollte nur</w:t>
            </w:r>
            <w:r>
              <w:rPr>
                <w:rFonts w:cs="Arial"/>
                <w:lang w:val="de-DE"/>
              </w:rPr>
              <w:t xml:space="preserve"> „</w:t>
            </w:r>
            <w:r w:rsidRPr="00C47725">
              <w:rPr>
                <w:rFonts w:cs="Arial"/>
                <w:lang w:val="de-DE"/>
              </w:rPr>
              <w:t>Vergleichssorten</w:t>
            </w:r>
            <w:r>
              <w:rPr>
                <w:rFonts w:cs="Arial"/>
                <w:lang w:val="de-DE"/>
              </w:rPr>
              <w:t xml:space="preserve">“ </w:t>
            </w:r>
            <w:r w:rsidRPr="00C47725">
              <w:rPr>
                <w:rFonts w:cs="Arial"/>
                <w:lang w:val="de-DE"/>
              </w:rPr>
              <w:t xml:space="preserve">lauten </w:t>
            </w:r>
          </w:p>
          <w:p w:rsidR="002D20DB" w:rsidRPr="00C47725" w:rsidRDefault="002D20DB" w:rsidP="002B5125">
            <w:pPr>
              <w:keepNext/>
              <w:rPr>
                <w:rFonts w:cs="Arial"/>
                <w:lang w:val="de-DE"/>
              </w:rPr>
            </w:pPr>
            <w:r w:rsidRPr="00C47725">
              <w:rPr>
                <w:rFonts w:cs="Arial"/>
                <w:lang w:val="de-DE"/>
              </w:rPr>
              <w:t>- unterhalb der Tabelle angeben:</w:t>
            </w:r>
            <w:r>
              <w:rPr>
                <w:rFonts w:cs="Arial"/>
                <w:lang w:val="de-DE"/>
              </w:rPr>
              <w:t xml:space="preserve"> „</w:t>
            </w:r>
            <w:r w:rsidRPr="00C47725">
              <w:rPr>
                <w:rFonts w:cs="Arial"/>
                <w:lang w:val="de-DE"/>
              </w:rPr>
              <w:t>Mit freundlicher Genehmigung von ISF, Tabelle verfügbar unter…</w:t>
            </w:r>
            <w:r>
              <w:rPr>
                <w:rFonts w:cs="Arial"/>
                <w:lang w:val="de-DE"/>
              </w:rPr>
              <w:t>“</w:t>
            </w:r>
          </w:p>
        </w:tc>
      </w:tr>
    </w:tbl>
    <w:p w:rsidR="002D20DB" w:rsidRPr="00C47725" w:rsidRDefault="002D20DB" w:rsidP="002D20DB">
      <w:pPr>
        <w:keepNext/>
        <w:jc w:val="left"/>
        <w:rPr>
          <w:rFonts w:cs="Arial"/>
          <w:u w:val="single"/>
          <w:lang w:val="de-DE"/>
        </w:rPr>
      </w:pPr>
    </w:p>
    <w:p w:rsidR="002D20DB" w:rsidRPr="00C47725" w:rsidRDefault="002D20DB" w:rsidP="002D20DB">
      <w:pPr>
        <w:keepNext/>
        <w:jc w:val="left"/>
        <w:rPr>
          <w:rFonts w:cs="Arial"/>
          <w:u w:val="single"/>
          <w:lang w:val="de-DE"/>
        </w:rPr>
      </w:pPr>
    </w:p>
    <w:p w:rsidR="002D20DB" w:rsidRPr="00C47725" w:rsidRDefault="002D20DB" w:rsidP="002D20DB">
      <w:pPr>
        <w:pStyle w:val="Heading3"/>
        <w:rPr>
          <w:rFonts w:cs="Arial"/>
        </w:rPr>
      </w:pPr>
      <w:r w:rsidRPr="00C47725">
        <w:rPr>
          <w:rFonts w:cs="Arial"/>
        </w:rPr>
        <w:t>Überarbeitungen</w:t>
      </w:r>
    </w:p>
    <w:p w:rsidR="002D20DB" w:rsidRPr="00C47725" w:rsidRDefault="002D20DB" w:rsidP="002D20DB">
      <w:pPr>
        <w:keepNext/>
        <w:jc w:val="left"/>
        <w:rPr>
          <w:rFonts w:cs="Arial"/>
          <w:u w:val="single"/>
          <w:lang w:val="de-D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47"/>
        <w:gridCol w:w="2899"/>
        <w:gridCol w:w="2807"/>
        <w:gridCol w:w="736"/>
        <w:gridCol w:w="993"/>
      </w:tblGrid>
      <w:tr w:rsidR="002D20DB" w:rsidRPr="00C47725" w:rsidTr="002B5125">
        <w:trPr>
          <w:cantSplit/>
          <w:trHeight w:val="277"/>
          <w:jc w:val="center"/>
        </w:trPr>
        <w:tc>
          <w:tcPr>
            <w:tcW w:w="2547" w:type="dxa"/>
            <w:vMerge w:val="restart"/>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Heidelbeere</w:t>
            </w:r>
          </w:p>
        </w:tc>
        <w:tc>
          <w:tcPr>
            <w:tcW w:w="2899" w:type="dxa"/>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TG/137/5(proj.5)</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snapToGrid w:val="0"/>
                <w:color w:val="000000"/>
                <w:lang w:val="de-DE"/>
              </w:rPr>
              <w:t>Herr Nik Hulse (AU)</w:t>
            </w:r>
          </w:p>
        </w:tc>
        <w:tc>
          <w:tcPr>
            <w:tcW w:w="736" w:type="dxa"/>
            <w:vMerge w:val="restart"/>
            <w:shd w:val="clear" w:color="auto" w:fill="D9D9D9"/>
            <w:vAlign w:val="center"/>
          </w:tcPr>
          <w:p w:rsidR="002D20DB" w:rsidRPr="00C47725" w:rsidRDefault="002D20DB" w:rsidP="002B5125">
            <w:pPr>
              <w:keepNext/>
              <w:jc w:val="left"/>
              <w:rPr>
                <w:rFonts w:cs="Arial"/>
                <w:iCs/>
                <w:lang w:val="de-DE"/>
              </w:rPr>
            </w:pPr>
            <w:r w:rsidRPr="00C47725">
              <w:rPr>
                <w:rFonts w:cs="Arial"/>
                <w:iCs/>
                <w:lang w:val="de-DE"/>
              </w:rPr>
              <w:t>TWF</w:t>
            </w:r>
          </w:p>
        </w:tc>
        <w:tc>
          <w:tcPr>
            <w:tcW w:w="993" w:type="dxa"/>
            <w:vMerge w:val="restart"/>
            <w:shd w:val="clear" w:color="auto" w:fill="D9D9D9"/>
            <w:vAlign w:val="center"/>
          </w:tcPr>
          <w:p w:rsidR="002D20DB" w:rsidRPr="00C47725" w:rsidRDefault="002D20DB" w:rsidP="002B5125">
            <w:pPr>
              <w:pStyle w:val="BodyText"/>
              <w:keepNext/>
              <w:jc w:val="left"/>
              <w:rPr>
                <w:rFonts w:cs="Arial"/>
                <w:iCs/>
                <w:snapToGrid w:val="0"/>
                <w:lang w:val="de-DE"/>
              </w:rPr>
            </w:pPr>
            <w:r w:rsidRPr="00C47725">
              <w:rPr>
                <w:rFonts w:cs="Arial"/>
                <w:iCs/>
                <w:snapToGrid w:val="0"/>
                <w:lang w:val="de-DE"/>
              </w:rPr>
              <w:t>*</w:t>
            </w:r>
          </w:p>
        </w:tc>
      </w:tr>
      <w:tr w:rsidR="002D20DB" w:rsidRPr="000E6F70" w:rsidTr="002B5125">
        <w:trPr>
          <w:cantSplit/>
          <w:trHeight w:hRule="exact" w:val="987"/>
          <w:jc w:val="center"/>
        </w:trPr>
        <w:tc>
          <w:tcPr>
            <w:tcW w:w="2547" w:type="dxa"/>
            <w:vMerge/>
            <w:shd w:val="clear" w:color="auto" w:fill="D9D9D9"/>
            <w:vAlign w:val="center"/>
          </w:tcPr>
          <w:p w:rsidR="002D20DB" w:rsidRPr="00C47725" w:rsidRDefault="002D20DB" w:rsidP="002B5125">
            <w:pPr>
              <w:pStyle w:val="TitleofDoc"/>
              <w:keepNext/>
              <w:tabs>
                <w:tab w:val="left" w:pos="5245"/>
                <w:tab w:val="left" w:pos="7008"/>
              </w:tabs>
              <w:jc w:val="left"/>
              <w:rPr>
                <w:rFonts w:cs="Arial"/>
                <w:caps w:val="0"/>
                <w:lang w:val="de-DE"/>
              </w:rPr>
            </w:pPr>
          </w:p>
        </w:tc>
        <w:tc>
          <w:tcPr>
            <w:tcW w:w="2899" w:type="dxa"/>
            <w:shd w:val="clear" w:color="auto" w:fill="D9D9D9"/>
            <w:vAlign w:val="center"/>
          </w:tcPr>
          <w:p w:rsidR="002D20DB" w:rsidRPr="00C47725" w:rsidRDefault="002D20DB" w:rsidP="002B5125">
            <w:pPr>
              <w:pStyle w:val="BodyText"/>
              <w:keepNext/>
              <w:jc w:val="left"/>
              <w:rPr>
                <w:rFonts w:cs="Arial"/>
                <w:color w:val="000000"/>
                <w:lang w:val="de-DE"/>
              </w:rPr>
            </w:pPr>
            <w:r>
              <w:rPr>
                <w:rFonts w:cs="Arial"/>
                <w:color w:val="000000"/>
                <w:lang w:val="de-DE"/>
              </w:rPr>
              <w:t>Anzahl von Merkmalen</w:t>
            </w:r>
            <w:r w:rsidRPr="00C47725">
              <w:rPr>
                <w:rFonts w:cs="Arial"/>
                <w:color w:val="000000"/>
                <w:lang w:val="de-DE"/>
              </w:rPr>
              <w:t>: 38</w:t>
            </w:r>
            <w:r w:rsidRPr="00C47725">
              <w:rPr>
                <w:rFonts w:cs="Arial"/>
                <w:color w:val="000000"/>
                <w:lang w:val="de-DE"/>
              </w:rPr>
              <w:br/>
            </w:r>
            <w:r>
              <w:rPr>
                <w:rFonts w:cs="Arial"/>
                <w:color w:val="000000"/>
                <w:lang w:val="de-DE"/>
              </w:rPr>
              <w:t>Anzahl von (*) Merkmalen</w:t>
            </w:r>
            <w:r w:rsidRPr="00C47725">
              <w:rPr>
                <w:rFonts w:cs="Arial"/>
                <w:color w:val="000000"/>
                <w:lang w:val="de-DE"/>
              </w:rPr>
              <w:t>: 17</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iCs/>
                <w:snapToGrid w:val="0"/>
                <w:color w:val="000000"/>
                <w:lang w:val="de-DE"/>
              </w:rPr>
              <w:t xml:space="preserve">(Beteiligte Sachverständige: </w:t>
            </w:r>
            <w:r w:rsidRPr="00C47725">
              <w:rPr>
                <w:rFonts w:cs="Arial"/>
                <w:color w:val="000000"/>
                <w:lang w:val="de-DE"/>
              </w:rPr>
              <w:t>BR, CA, CZ, DE, IT, JP, KR, MX, NZ, PL, PT, QZ, RO, ZA, CIOPORA</w:t>
            </w:r>
            <w:r w:rsidRPr="00C47725">
              <w:rPr>
                <w:rFonts w:eastAsia="SimSun" w:cs="Arial"/>
                <w:lang w:val="de-DE" w:eastAsia="zh-CN"/>
              </w:rPr>
              <w:t>)</w:t>
            </w:r>
          </w:p>
        </w:tc>
        <w:tc>
          <w:tcPr>
            <w:tcW w:w="736" w:type="dxa"/>
            <w:vMerge/>
            <w:shd w:val="clear" w:color="auto" w:fill="D9D9D9"/>
            <w:vAlign w:val="center"/>
          </w:tcPr>
          <w:p w:rsidR="002D20DB" w:rsidRPr="00C47725" w:rsidRDefault="002D20DB" w:rsidP="002B5125">
            <w:pPr>
              <w:keepNext/>
              <w:jc w:val="left"/>
              <w:rPr>
                <w:rFonts w:cs="Arial"/>
                <w:iCs/>
                <w:lang w:val="de-DE"/>
              </w:rPr>
            </w:pPr>
          </w:p>
        </w:tc>
        <w:tc>
          <w:tcPr>
            <w:tcW w:w="993" w:type="dxa"/>
            <w:vMerge/>
            <w:shd w:val="clear" w:color="auto" w:fill="D9D9D9"/>
            <w:vAlign w:val="center"/>
          </w:tcPr>
          <w:p w:rsidR="002D20DB" w:rsidRPr="00C47725" w:rsidRDefault="002D20DB" w:rsidP="002B5125">
            <w:pPr>
              <w:pStyle w:val="BodyText"/>
              <w:keepNext/>
              <w:jc w:val="left"/>
              <w:rPr>
                <w:rFonts w:cs="Arial"/>
                <w:iCs/>
                <w:snapToGrid w:val="0"/>
                <w:lang w:val="de-DE"/>
              </w:rPr>
            </w:pPr>
          </w:p>
        </w:tc>
      </w:tr>
    </w:tbl>
    <w:p w:rsidR="002D20DB" w:rsidRPr="00C47725" w:rsidRDefault="002D20DB" w:rsidP="002D20DB">
      <w:pPr>
        <w:rPr>
          <w:rFonts w:cs="Arial"/>
          <w:lang w:val="de-DE"/>
        </w:rPr>
      </w:pPr>
    </w:p>
    <w:p w:rsidR="002D20DB" w:rsidRPr="00C47725" w:rsidRDefault="002D20DB" w:rsidP="002D20DB">
      <w:pPr>
        <w:keepNext/>
        <w:ind w:firstLine="567"/>
        <w:rPr>
          <w:rFonts w:cs="Arial"/>
          <w:lang w:val="de-DE"/>
        </w:rPr>
      </w:pPr>
      <w:r w:rsidRPr="00C47725">
        <w:rPr>
          <w:rFonts w:cs="Arial"/>
          <w:lang w:val="de-DE"/>
        </w:rPr>
        <w:t>Der TC-EDC prüfte auf seiner Sitzung vom 26. März 2019 in Genf Dokument TG/137/5(proj.5) und gab die in der nachstehenden Tabelle aufgeführten Empfehlungen ab.</w:t>
      </w:r>
    </w:p>
    <w:p w:rsidR="002D20DB" w:rsidRPr="00C47725" w:rsidRDefault="002D20DB" w:rsidP="002D20DB">
      <w:pPr>
        <w:keepNext/>
        <w:autoSpaceDE w:val="0"/>
        <w:autoSpaceDN w:val="0"/>
        <w:adjustRightInd w:val="0"/>
        <w:ind w:firstLine="567"/>
        <w:rPr>
          <w:rFonts w:cs="Arial"/>
          <w:lang w:val="de-DE"/>
        </w:rPr>
      </w:pPr>
    </w:p>
    <w:p w:rsidR="002D20DB" w:rsidRPr="00C47725" w:rsidRDefault="002D20DB" w:rsidP="002D20DB">
      <w:pPr>
        <w:autoSpaceDE w:val="0"/>
        <w:autoSpaceDN w:val="0"/>
        <w:adjustRightInd w:val="0"/>
        <w:ind w:firstLine="567"/>
        <w:rPr>
          <w:rFonts w:cs="Arial"/>
          <w:lang w:val="de-DE"/>
        </w:rPr>
      </w:pPr>
      <w:r w:rsidRPr="00C47725">
        <w:rPr>
          <w:rFonts w:cs="Arial"/>
          <w:lang w:val="de-DE"/>
        </w:rPr>
        <w:t xml:space="preserve">Der TC-EDC vereinbarte, dass die Prüfungsrichtlinien für Heidelbeere vorbehaltlich der Zustimmung des </w:t>
      </w:r>
      <w:r>
        <w:rPr>
          <w:rFonts w:cs="Arial"/>
          <w:lang w:val="de-DE"/>
        </w:rPr>
        <w:t>führenden Sachverständigen</w:t>
      </w:r>
      <w:r w:rsidRPr="00C47725">
        <w:rPr>
          <w:rFonts w:cs="Arial"/>
          <w:lang w:val="de-DE"/>
        </w:rPr>
        <w:t xml:space="preserve"> bezüglich der vorgelegten Empfehlungen zur Annahme auf dem Schriftweg an den TC weitergeleitet werden</w:t>
      </w:r>
      <w:r>
        <w:rPr>
          <w:rFonts w:cs="Arial"/>
          <w:lang w:val="de-DE"/>
        </w:rPr>
        <w:t xml:space="preserve"> soll</w:t>
      </w:r>
      <w:r w:rsidRPr="00C47725">
        <w:rPr>
          <w:rFonts w:cs="Arial"/>
          <w:lang w:val="de-DE"/>
        </w:rPr>
        <w:t xml:space="preserve">. </w:t>
      </w:r>
    </w:p>
    <w:p w:rsidR="002D20DB" w:rsidRPr="00C47725" w:rsidRDefault="002D20DB" w:rsidP="002D20DB">
      <w:pPr>
        <w:rPr>
          <w:rFonts w:cs="Arial"/>
          <w:lang w:val="de-DE"/>
        </w:rPr>
      </w:pP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26"/>
      </w:tblGrid>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1.</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w:t>
            </w:r>
            <w:r>
              <w:rPr>
                <w:rFonts w:cs="Arial"/>
                <w:lang w:val="de-DE"/>
              </w:rPr>
              <w:t xml:space="preserve"> „</w:t>
            </w:r>
            <w:r w:rsidRPr="00C47725">
              <w:rPr>
                <w:rFonts w:cs="Arial"/>
                <w:lang w:val="de-DE"/>
              </w:rPr>
              <w:t>und ihre Hybriden</w:t>
            </w:r>
            <w:r>
              <w:rPr>
                <w:rFonts w:cs="Arial"/>
                <w:lang w:val="de-DE"/>
              </w:rPr>
              <w:t>“</w:t>
            </w:r>
            <w:r w:rsidRPr="00C47725">
              <w:rPr>
                <w:rFonts w:cs="Arial"/>
                <w:lang w:val="de-DE"/>
              </w:rPr>
              <w:t xml:space="preserve"> streichen </w:t>
            </w:r>
          </w:p>
          <w:p w:rsidR="002D20DB" w:rsidRPr="00C47725" w:rsidRDefault="002D20DB" w:rsidP="002B5125">
            <w:pPr>
              <w:keepNext/>
              <w:rPr>
                <w:rFonts w:cs="Arial"/>
                <w:lang w:val="de-DE"/>
              </w:rPr>
            </w:pPr>
            <w:r w:rsidRPr="00C47725">
              <w:rPr>
                <w:rFonts w:cs="Arial"/>
                <w:lang w:val="de-DE"/>
              </w:rPr>
              <w:t>- GN3 aus TGP/7 hinzufügen:</w:t>
            </w:r>
            <w:r>
              <w:rPr>
                <w:rFonts w:cs="Arial"/>
                <w:lang w:val="de-DE"/>
              </w:rPr>
              <w:t xml:space="preserve"> „</w:t>
            </w:r>
            <w:r w:rsidRPr="00CA7495">
              <w:rPr>
                <w:rFonts w:cs="Arial"/>
                <w:i/>
                <w:lang w:val="de-DE"/>
              </w:rPr>
              <w:t>Anleitung zur Verwendung der Prüfungsrichtlinien für Arthybriden, die von den Prüfungsrichtlinien nicht ausdrücklich erfasst werden, ist in Dokument TGP/13 ‚Anleitung für neue Typen und Arten</w:t>
            </w:r>
            <w:r>
              <w:rPr>
                <w:rFonts w:cs="Arial"/>
                <w:i/>
                <w:lang w:val="de-DE"/>
              </w:rPr>
              <w:t>‘</w:t>
            </w:r>
            <w:r w:rsidRPr="00CA7495">
              <w:rPr>
                <w:rFonts w:cs="Arial"/>
                <w:i/>
                <w:lang w:val="de-DE"/>
              </w:rPr>
              <w:t xml:space="preserve"> dargelegt.</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Merkmal 1</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eine neue Stufe 1</w:t>
            </w:r>
            <w:r>
              <w:rPr>
                <w:rFonts w:cs="Arial"/>
                <w:lang w:val="de-DE"/>
              </w:rPr>
              <w:t xml:space="preserve"> „</w:t>
            </w:r>
            <w:r w:rsidRPr="00C47725">
              <w:rPr>
                <w:rFonts w:cs="Arial"/>
                <w:lang w:val="de-DE"/>
              </w:rPr>
              <w:t>sehr gering</w:t>
            </w:r>
            <w:r>
              <w:rPr>
                <w:rFonts w:cs="Arial"/>
                <w:lang w:val="de-DE"/>
              </w:rPr>
              <w:t>“</w:t>
            </w:r>
            <w:r w:rsidRPr="00C47725">
              <w:rPr>
                <w:rFonts w:cs="Arial"/>
                <w:lang w:val="de-DE"/>
              </w:rPr>
              <w:t xml:space="preserve"> hinzufügen </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Merkmal 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Pr>
                <w:rFonts w:cs="Arial"/>
                <w:lang w:val="de-DE"/>
              </w:rPr>
              <w:t>(*)</w:t>
            </w:r>
            <w:r w:rsidRPr="00C47725">
              <w:rPr>
                <w:rFonts w:cs="Arial"/>
                <w:lang w:val="de-DE"/>
              </w:rPr>
              <w:t xml:space="preserve"> hinzufügen (Gruppierungsmerkmal)</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Merkmal 4</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snapToGrid w:val="0"/>
                <w:color w:val="000000"/>
                <w:lang w:val="de-DE"/>
              </w:rPr>
              <w:t>Stufen 2 und 4 streichen</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lastRenderedPageBreak/>
              <w:t>Merkmal 7</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 als MG/VG (gemäß TWF-Bericht) angeben</w:t>
            </w:r>
          </w:p>
          <w:p w:rsidR="002D20DB" w:rsidRPr="00C47725" w:rsidRDefault="002D20DB" w:rsidP="002B5125">
            <w:pPr>
              <w:keepNext/>
              <w:rPr>
                <w:rFonts w:cs="Arial"/>
                <w:lang w:val="de-DE"/>
              </w:rPr>
            </w:pPr>
            <w:r w:rsidRPr="00C47725">
              <w:rPr>
                <w:rFonts w:cs="Arial"/>
                <w:lang w:val="de-DE"/>
              </w:rPr>
              <w:t>- die folgende Abbildung von kleine</w:t>
            </w:r>
            <w:r>
              <w:rPr>
                <w:rFonts w:cs="Arial"/>
                <w:lang w:val="de-DE"/>
              </w:rPr>
              <w:t>m</w:t>
            </w:r>
            <w:r w:rsidRPr="00C47725">
              <w:rPr>
                <w:rFonts w:cs="Arial"/>
                <w:lang w:val="de-DE"/>
              </w:rPr>
              <w:t xml:space="preserve"> und große</w:t>
            </w:r>
            <w:r>
              <w:rPr>
                <w:rFonts w:cs="Arial"/>
                <w:lang w:val="de-DE"/>
              </w:rPr>
              <w:t>m</w:t>
            </w:r>
            <w:r w:rsidRPr="00C47725">
              <w:rPr>
                <w:rFonts w:cs="Arial"/>
                <w:lang w:val="de-DE"/>
              </w:rPr>
              <w:t xml:space="preserve"> Verhältnis hinzufügen </w:t>
            </w:r>
          </w:p>
          <w:tbl>
            <w:tblPr>
              <w:tblW w:w="0" w:type="auto"/>
              <w:tblLayout w:type="fixed"/>
              <w:tblLook w:val="0000" w:firstRow="0" w:lastRow="0" w:firstColumn="0" w:lastColumn="0" w:noHBand="0" w:noVBand="0"/>
            </w:tblPr>
            <w:tblGrid>
              <w:gridCol w:w="3423"/>
              <w:gridCol w:w="3119"/>
            </w:tblGrid>
            <w:tr w:rsidR="002D20DB" w:rsidRPr="00C47725" w:rsidTr="002B5125">
              <w:tc>
                <w:tcPr>
                  <w:tcW w:w="3423" w:type="dxa"/>
                  <w:vAlign w:val="bottom"/>
                </w:tcPr>
                <w:p w:rsidR="002D20DB" w:rsidRPr="00C47725" w:rsidRDefault="002D20DB" w:rsidP="002B5125">
                  <w:pPr>
                    <w:keepNext/>
                    <w:jc w:val="center"/>
                    <w:rPr>
                      <w:rFonts w:cs="Arial"/>
                      <w:lang w:val="de-DE"/>
                    </w:rPr>
                  </w:pPr>
                  <w:r w:rsidRPr="00C47725">
                    <w:rPr>
                      <w:rFonts w:cs="Arial"/>
                      <w:noProof/>
                    </w:rPr>
                    <w:drawing>
                      <wp:inline distT="0" distB="0" distL="0" distR="0" wp14:anchorId="4B998165" wp14:editId="5B05D495">
                        <wp:extent cx="1177590" cy="1677725"/>
                        <wp:effectExtent l="0" t="0" r="3810" b="0"/>
                        <wp:docPr id="1" name="Picture 1" descr="ch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7_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6498" cy="1690417"/>
                                </a:xfrm>
                                <a:prstGeom prst="rect">
                                  <a:avLst/>
                                </a:prstGeom>
                                <a:noFill/>
                                <a:ln>
                                  <a:noFill/>
                                </a:ln>
                              </pic:spPr>
                            </pic:pic>
                          </a:graphicData>
                        </a:graphic>
                      </wp:inline>
                    </w:drawing>
                  </w:r>
                </w:p>
              </w:tc>
              <w:tc>
                <w:tcPr>
                  <w:tcW w:w="3119" w:type="dxa"/>
                  <w:vAlign w:val="bottom"/>
                </w:tcPr>
                <w:p w:rsidR="002D20DB" w:rsidRPr="00C47725" w:rsidRDefault="002D20DB" w:rsidP="002B5125">
                  <w:pPr>
                    <w:keepNext/>
                    <w:jc w:val="center"/>
                    <w:rPr>
                      <w:rFonts w:cs="Arial"/>
                      <w:lang w:val="de-DE"/>
                    </w:rPr>
                  </w:pPr>
                  <w:r w:rsidRPr="00C47725">
                    <w:rPr>
                      <w:rFonts w:cs="Arial"/>
                      <w:noProof/>
                    </w:rPr>
                    <w:drawing>
                      <wp:inline distT="0" distB="0" distL="0" distR="0" wp14:anchorId="09B9509E" wp14:editId="255673E0">
                        <wp:extent cx="1266795" cy="2798860"/>
                        <wp:effectExtent l="0" t="0" r="0" b="1905"/>
                        <wp:docPr id="2" name="Picture 2" descr="7_1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_1_HIGH"/>
                                <pic:cNvPicPr>
                                  <a:picLocks noChangeAspect="1" noChangeArrowheads="1"/>
                                </pic:cNvPicPr>
                              </pic:nvPicPr>
                              <pic:blipFill rotWithShape="1">
                                <a:blip r:embed="rId14">
                                  <a:extLst>
                                    <a:ext uri="{28A0092B-C50C-407E-A947-70E740481C1C}">
                                      <a14:useLocalDpi xmlns:a14="http://schemas.microsoft.com/office/drawing/2010/main" val="0"/>
                                    </a:ext>
                                  </a:extLst>
                                </a:blip>
                                <a:srcRect b="5519"/>
                                <a:stretch/>
                              </pic:blipFill>
                              <pic:spPr bwMode="auto">
                                <a:xfrm>
                                  <a:off x="0" y="0"/>
                                  <a:ext cx="1273425" cy="28135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D20DB" w:rsidRPr="00C47725" w:rsidTr="002B5125">
              <w:tc>
                <w:tcPr>
                  <w:tcW w:w="3423" w:type="dxa"/>
                </w:tcPr>
                <w:p w:rsidR="002D20DB" w:rsidRPr="00C47725" w:rsidRDefault="002D20DB" w:rsidP="002B5125">
                  <w:pPr>
                    <w:keepNext/>
                    <w:jc w:val="center"/>
                    <w:rPr>
                      <w:rFonts w:cs="Arial"/>
                      <w:lang w:val="de-DE"/>
                    </w:rPr>
                  </w:pPr>
                  <w:r w:rsidRPr="00C47725">
                    <w:rPr>
                      <w:rFonts w:cs="Arial"/>
                      <w:lang w:val="de-DE"/>
                    </w:rPr>
                    <w:t>3</w:t>
                  </w:r>
                </w:p>
              </w:tc>
              <w:tc>
                <w:tcPr>
                  <w:tcW w:w="3119" w:type="dxa"/>
                </w:tcPr>
                <w:p w:rsidR="002D20DB" w:rsidRPr="00C47725" w:rsidRDefault="002D20DB" w:rsidP="002B5125">
                  <w:pPr>
                    <w:keepNext/>
                    <w:jc w:val="center"/>
                    <w:rPr>
                      <w:rFonts w:cs="Arial"/>
                      <w:lang w:val="de-DE"/>
                    </w:rPr>
                  </w:pPr>
                  <w:r w:rsidRPr="00C47725">
                    <w:rPr>
                      <w:rFonts w:cs="Arial"/>
                      <w:lang w:val="de-DE"/>
                    </w:rPr>
                    <w:t>7</w:t>
                  </w:r>
                </w:p>
              </w:tc>
            </w:tr>
            <w:tr w:rsidR="002D20DB" w:rsidRPr="00C47725" w:rsidTr="002B5125">
              <w:tc>
                <w:tcPr>
                  <w:tcW w:w="3423" w:type="dxa"/>
                </w:tcPr>
                <w:p w:rsidR="002D20DB" w:rsidRPr="00C47725" w:rsidRDefault="002D20DB" w:rsidP="002B5125">
                  <w:pPr>
                    <w:keepNext/>
                    <w:jc w:val="center"/>
                    <w:rPr>
                      <w:rFonts w:cs="Arial"/>
                      <w:lang w:val="de-DE"/>
                    </w:rPr>
                  </w:pPr>
                  <w:r w:rsidRPr="00C47725">
                    <w:rPr>
                      <w:rFonts w:cs="Arial"/>
                      <w:lang w:val="de-DE"/>
                    </w:rPr>
                    <w:t>klein</w:t>
                  </w:r>
                </w:p>
              </w:tc>
              <w:tc>
                <w:tcPr>
                  <w:tcW w:w="3119" w:type="dxa"/>
                </w:tcPr>
                <w:p w:rsidR="002D20DB" w:rsidRPr="00C47725" w:rsidRDefault="002D20DB" w:rsidP="002B5125">
                  <w:pPr>
                    <w:keepNext/>
                    <w:jc w:val="center"/>
                    <w:rPr>
                      <w:rFonts w:cs="Arial"/>
                      <w:lang w:val="de-DE"/>
                    </w:rPr>
                  </w:pPr>
                  <w:r w:rsidRPr="00C47725">
                    <w:rPr>
                      <w:rFonts w:cs="Arial"/>
                      <w:lang w:val="de-DE"/>
                    </w:rPr>
                    <w:t>groß</w:t>
                  </w:r>
                </w:p>
              </w:tc>
            </w:tr>
          </w:tbl>
          <w:p w:rsidR="002D20DB" w:rsidRPr="00C47725" w:rsidRDefault="002D20DB" w:rsidP="002B5125">
            <w:pPr>
              <w:keepNext/>
              <w:rPr>
                <w:rFonts w:cs="Arial"/>
                <w:lang w:val="de-DE"/>
              </w:rPr>
            </w:pP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Merkmal 16</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Pr>
                <w:rFonts w:cs="Arial"/>
                <w:lang w:val="de-DE"/>
              </w:rPr>
              <w:t>(</w:t>
            </w:r>
            <w:r w:rsidRPr="00C47725">
              <w:rPr>
                <w:rFonts w:cs="Arial"/>
                <w:lang w:val="de-DE"/>
              </w:rPr>
              <w:t>c) hinzufügen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Merkmal 17</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Stufe 5</w:t>
            </w:r>
            <w:r>
              <w:rPr>
                <w:rFonts w:cs="Arial"/>
                <w:lang w:val="de-DE"/>
              </w:rPr>
              <w:t xml:space="preserve"> „</w:t>
            </w:r>
            <w:r w:rsidRPr="00C47725">
              <w:rPr>
                <w:rFonts w:cs="Arial"/>
                <w:lang w:val="de-DE"/>
              </w:rPr>
              <w:t>sehr stark</w:t>
            </w:r>
            <w:r>
              <w:rPr>
                <w:rFonts w:cs="Arial"/>
                <w:lang w:val="de-DE"/>
              </w:rPr>
              <w:t>“</w:t>
            </w:r>
            <w:r w:rsidRPr="00C47725">
              <w:rPr>
                <w:rFonts w:cs="Arial"/>
                <w:lang w:val="de-DE"/>
              </w:rPr>
              <w:t xml:space="preserve"> ohne Beispielsorte hinzufügen</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Merkmal 20</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Pr>
                <w:rFonts w:cs="Arial"/>
                <w:lang w:val="de-DE"/>
              </w:rPr>
              <w:t>(*)</w:t>
            </w:r>
            <w:r w:rsidRPr="00C47725">
              <w:rPr>
                <w:rFonts w:cs="Arial"/>
                <w:lang w:val="de-DE"/>
              </w:rPr>
              <w:t xml:space="preserve"> hinzufügen (Gruppierungsmerkmal)</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Del="00F41D6D" w:rsidRDefault="002D20DB" w:rsidP="002B5125">
            <w:pPr>
              <w:jc w:val="left"/>
              <w:rPr>
                <w:rFonts w:cs="Arial"/>
                <w:lang w:val="de-DE"/>
              </w:rPr>
            </w:pPr>
            <w:r w:rsidRPr="00C47725">
              <w:rPr>
                <w:rFonts w:cs="Arial"/>
                <w:lang w:val="de-DE"/>
              </w:rPr>
              <w:t>Merkmal 23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Del="00F41D6D" w:rsidRDefault="002D20DB" w:rsidP="002B5125">
            <w:pPr>
              <w:keepNext/>
              <w:rPr>
                <w:rFonts w:cs="Arial"/>
                <w:lang w:val="de-DE"/>
              </w:rPr>
            </w:pPr>
            <w:r w:rsidRPr="00C47725">
              <w:rPr>
                <w:rFonts w:cs="Arial"/>
                <w:lang w:val="de-DE"/>
              </w:rPr>
              <w:t>als QN angeben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Merkmal 24</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streichen</w:t>
            </w:r>
            <w:r>
              <w:rPr>
                <w:rFonts w:cs="Arial"/>
                <w:lang w:val="de-DE"/>
              </w:rPr>
              <w:t xml:space="preserve"> </w:t>
            </w:r>
            <w:r w:rsidRPr="00C47725">
              <w:rPr>
                <w:rFonts w:cs="Arial"/>
                <w:lang w:val="de-DE"/>
              </w:rPr>
              <w:t xml:space="preserve">(kein Unterschied zu Merkmal 23) </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Merkmal 25</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Frucht: Haltung der Kelchblätter</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Merkmal 30</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neue Stufe 1</w:t>
            </w:r>
            <w:r>
              <w:rPr>
                <w:rFonts w:cs="Arial"/>
                <w:lang w:val="de-DE"/>
              </w:rPr>
              <w:t xml:space="preserve"> „</w:t>
            </w:r>
            <w:r w:rsidRPr="00C47725">
              <w:rPr>
                <w:rFonts w:cs="Arial"/>
                <w:lang w:val="de-DE"/>
              </w:rPr>
              <w:t>sehr weich</w:t>
            </w:r>
            <w:r>
              <w:rPr>
                <w:rFonts w:cs="Arial"/>
                <w:lang w:val="de-DE"/>
              </w:rPr>
              <w:t>“</w:t>
            </w:r>
            <w:r w:rsidRPr="00C47725">
              <w:rPr>
                <w:rFonts w:cs="Arial"/>
                <w:lang w:val="de-DE"/>
              </w:rPr>
              <w:t xml:space="preserve"> hinzufügen</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Merkmal 33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Pr>
                <w:rFonts w:cs="Arial"/>
                <w:lang w:val="de-DE"/>
              </w:rPr>
              <w:t>(*)</w:t>
            </w:r>
            <w:r w:rsidRPr="00C47725">
              <w:rPr>
                <w:rFonts w:cs="Arial"/>
                <w:lang w:val="de-DE"/>
              </w:rPr>
              <w:t xml:space="preserve"> hinzufügen (Gruppierungsmerkmal)</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Merkmal 36</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unterstrichenen Wortlaut</w:t>
            </w:r>
            <w:r>
              <w:rPr>
                <w:rFonts w:cs="Arial"/>
                <w:lang w:val="de-DE"/>
              </w:rPr>
              <w:t xml:space="preserve"> „</w:t>
            </w:r>
            <w:r w:rsidRPr="00C47725">
              <w:rPr>
                <w:rFonts w:cs="Arial"/>
                <w:lang w:val="de-DE"/>
              </w:rPr>
              <w:t>Nur Sorten…</w:t>
            </w:r>
            <w:r>
              <w:rPr>
                <w:rFonts w:cs="Arial"/>
                <w:lang w:val="de-DE"/>
              </w:rPr>
              <w:t>“</w:t>
            </w:r>
            <w:r w:rsidRPr="00C47725">
              <w:rPr>
                <w:rFonts w:cs="Arial"/>
                <w:lang w:val="de-DE"/>
              </w:rPr>
              <w:t xml:space="preserve"> streichen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 xml:space="preserve">8.1 </w:t>
            </w:r>
            <w:r>
              <w:rPr>
                <w:rFonts w:cs="Arial"/>
                <w:lang w:val="de-DE"/>
              </w:rPr>
              <w:t>(</w:t>
            </w:r>
            <w:r w:rsidRPr="00C47725">
              <w:rPr>
                <w:rFonts w:cs="Arial"/>
                <w:lang w:val="de-DE"/>
              </w:rPr>
              <w:t xml:space="preserve">a) - </w:t>
            </w:r>
            <w:r>
              <w:rPr>
                <w:rFonts w:cs="Arial"/>
                <w:lang w:val="de-DE"/>
              </w:rPr>
              <w:t>(</w:t>
            </w:r>
            <w:r w:rsidRPr="00C47725">
              <w:rPr>
                <w:rFonts w:cs="Arial"/>
                <w:lang w:val="de-DE"/>
              </w:rPr>
              <w:t>f)</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Erfassungen sollten erfolgen…</w:t>
            </w:r>
            <w:r>
              <w:rPr>
                <w:rFonts w:cs="Arial"/>
                <w:lang w:val="de-DE"/>
              </w:rPr>
              <w:t>“</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 xml:space="preserve">8.1 </w:t>
            </w:r>
            <w:r>
              <w:rPr>
                <w:rFonts w:cs="Arial"/>
                <w:lang w:val="de-DE"/>
              </w:rPr>
              <w:t>(</w:t>
            </w:r>
            <w:r w:rsidRPr="00C47725">
              <w:rPr>
                <w:rFonts w:cs="Arial"/>
                <w:lang w:val="de-DE"/>
              </w:rPr>
              <w:t>c)</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…zum Blühbeginn</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 xml:space="preserve">8.1 </w:t>
            </w:r>
            <w:r>
              <w:rPr>
                <w:rFonts w:cs="Arial"/>
                <w:lang w:val="de-DE"/>
              </w:rPr>
              <w:t>(</w:t>
            </w:r>
            <w:r w:rsidRPr="00C47725">
              <w:rPr>
                <w:rFonts w:cs="Arial"/>
                <w:lang w:val="de-DE"/>
              </w:rPr>
              <w:t xml:space="preserve">e), </w:t>
            </w:r>
            <w:r>
              <w:rPr>
                <w:rFonts w:cs="Arial"/>
                <w:lang w:val="de-DE"/>
              </w:rPr>
              <w:t>(</w:t>
            </w:r>
            <w:r w:rsidRPr="00C47725">
              <w:rPr>
                <w:rFonts w:cs="Arial"/>
                <w:lang w:val="de-DE"/>
              </w:rPr>
              <w:t>f)</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 xml:space="preserve">sollte in Kapitel 8.2 verschoben werden </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Zu 13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 Angabe</w:t>
            </w:r>
            <w:r>
              <w:rPr>
                <w:rFonts w:cs="Arial"/>
                <w:lang w:val="de-DE"/>
              </w:rPr>
              <w:t xml:space="preserve"> „</w:t>
            </w:r>
            <w:r w:rsidRPr="00C47725">
              <w:rPr>
                <w:rFonts w:cs="Arial"/>
                <w:lang w:val="de-DE"/>
              </w:rPr>
              <w:t>a</w:t>
            </w:r>
            <w:r>
              <w:rPr>
                <w:rFonts w:cs="Arial"/>
                <w:lang w:val="de-DE"/>
              </w:rPr>
              <w:t>“</w:t>
            </w:r>
            <w:r w:rsidRPr="00C47725">
              <w:rPr>
                <w:rFonts w:cs="Arial"/>
                <w:lang w:val="de-DE"/>
              </w:rPr>
              <w:t xml:space="preserve"> für Trieb streichen</w:t>
            </w:r>
          </w:p>
          <w:p w:rsidR="002D20DB" w:rsidRPr="00C47725" w:rsidRDefault="002D20DB" w:rsidP="002B5125">
            <w:pPr>
              <w:keepNext/>
              <w:rPr>
                <w:rFonts w:cs="Arial"/>
                <w:lang w:val="de-DE"/>
              </w:rPr>
            </w:pPr>
            <w:r w:rsidRPr="00C47725">
              <w:rPr>
                <w:rFonts w:cs="Arial"/>
                <w:lang w:val="de-DE"/>
              </w:rPr>
              <w:t>-</w:t>
            </w:r>
            <w:r>
              <w:rPr>
                <w:rFonts w:cs="Arial"/>
                <w:lang w:val="de-DE"/>
              </w:rPr>
              <w:t xml:space="preserve"> „</w:t>
            </w:r>
            <w:r w:rsidRPr="00C47725">
              <w:rPr>
                <w:rFonts w:cs="Arial"/>
                <w:lang w:val="de-DE"/>
              </w:rPr>
              <w:t>b</w:t>
            </w:r>
            <w:r>
              <w:rPr>
                <w:rFonts w:cs="Arial"/>
                <w:lang w:val="de-DE"/>
              </w:rPr>
              <w:t>“</w:t>
            </w:r>
            <w:r w:rsidRPr="00C47725">
              <w:rPr>
                <w:rFonts w:cs="Arial"/>
                <w:lang w:val="de-DE"/>
              </w:rPr>
              <w:t xml:space="preserve"> streichen (nur Linien und Pfeile behalten)</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Zu 18</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 xml:space="preserve">- gepunktete Linie </w:t>
            </w:r>
            <w:r>
              <w:rPr>
                <w:rFonts w:cs="Arial"/>
                <w:lang w:val="de-DE"/>
              </w:rPr>
              <w:t>aus</w:t>
            </w:r>
            <w:r w:rsidRPr="00C47725">
              <w:rPr>
                <w:rFonts w:cs="Arial"/>
                <w:lang w:val="de-DE"/>
              </w:rPr>
              <w:t xml:space="preserve"> Foto streichen</w:t>
            </w:r>
          </w:p>
          <w:p w:rsidR="002D20DB" w:rsidRPr="00C47725" w:rsidRDefault="002D20DB" w:rsidP="002B5125">
            <w:pPr>
              <w:keepNext/>
              <w:rPr>
                <w:rFonts w:cs="Arial"/>
                <w:lang w:val="de-DE"/>
              </w:rPr>
            </w:pPr>
            <w:r w:rsidRPr="00C47725">
              <w:rPr>
                <w:rFonts w:cs="Arial"/>
                <w:lang w:val="de-DE"/>
              </w:rPr>
              <w:t>- Zeichnung streichen</w:t>
            </w:r>
          </w:p>
          <w:p w:rsidR="002D20DB" w:rsidRPr="00C47725" w:rsidRDefault="002D20DB" w:rsidP="002B5125">
            <w:pPr>
              <w:keepNext/>
              <w:rPr>
                <w:rFonts w:cs="Arial"/>
                <w:lang w:val="de-DE"/>
              </w:rPr>
            </w:pPr>
            <w:r w:rsidRPr="00C47725">
              <w:rPr>
                <w:rFonts w:cs="Arial"/>
                <w:lang w:val="de-DE"/>
              </w:rPr>
              <w:t>-</w:t>
            </w:r>
            <w:r>
              <w:rPr>
                <w:rFonts w:cs="Arial"/>
                <w:lang w:val="de-DE"/>
              </w:rPr>
              <w:t xml:space="preserve"> „</w:t>
            </w:r>
            <w:r w:rsidRPr="00C47725">
              <w:rPr>
                <w:rFonts w:cs="Arial"/>
                <w:lang w:val="de-DE"/>
              </w:rPr>
              <w:t>a</w:t>
            </w:r>
            <w:r>
              <w:rPr>
                <w:rFonts w:cs="Arial"/>
                <w:lang w:val="de-DE"/>
              </w:rPr>
              <w:t>“</w:t>
            </w:r>
            <w:r w:rsidRPr="00C47725">
              <w:rPr>
                <w:rFonts w:cs="Arial"/>
                <w:lang w:val="de-DE"/>
              </w:rPr>
              <w:t xml:space="preserve"> sollte lauten</w:t>
            </w:r>
            <w:r>
              <w:rPr>
                <w:rFonts w:cs="Arial"/>
                <w:lang w:val="de-DE"/>
              </w:rPr>
              <w:t xml:space="preserve"> „</w:t>
            </w:r>
            <w:r w:rsidRPr="00C47725">
              <w:rPr>
                <w:rFonts w:cs="Arial"/>
                <w:lang w:val="de-DE"/>
              </w:rPr>
              <w:t>Ringelung</w:t>
            </w:r>
            <w:r>
              <w:rPr>
                <w:rFonts w:cs="Arial"/>
                <w:lang w:val="de-DE"/>
              </w:rPr>
              <w:t>“</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Zu 29</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Pr>
                <w:rFonts w:cs="Arial"/>
                <w:lang w:val="de-DE"/>
              </w:rPr>
              <w:t>„</w:t>
            </w:r>
            <w:r w:rsidRPr="00C47725">
              <w:rPr>
                <w:rFonts w:cs="Arial"/>
                <w:lang w:val="de-DE"/>
              </w:rPr>
              <w:t>auf Fruchtfarbe</w:t>
            </w:r>
            <w:r>
              <w:rPr>
                <w:rFonts w:cs="Arial"/>
                <w:lang w:val="de-DE"/>
              </w:rPr>
              <w:t>“</w:t>
            </w:r>
            <w:r w:rsidRPr="00C47725">
              <w:rPr>
                <w:rFonts w:cs="Arial"/>
                <w:lang w:val="de-DE"/>
              </w:rPr>
              <w:t xml:space="preserve"> streichen</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Zu 32</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Pr>
                <w:rFonts w:cs="Arial"/>
                <w:lang w:val="de-DE"/>
              </w:rPr>
              <w:t>„</w:t>
            </w:r>
            <w:r w:rsidRPr="00C47725">
              <w:rPr>
                <w:rFonts w:cs="Arial"/>
                <w:lang w:val="de-DE"/>
              </w:rPr>
              <w:t>... durch Kosten.</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jc w:val="left"/>
              <w:rPr>
                <w:rFonts w:cs="Arial"/>
                <w:lang w:val="de-DE"/>
              </w:rPr>
            </w:pPr>
            <w:r w:rsidRPr="00C47725">
              <w:rPr>
                <w:rFonts w:cs="Arial"/>
                <w:lang w:val="de-DE"/>
              </w:rPr>
              <w:t>9.</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Ländercode des letzten Vergleichs sollte GB</w:t>
            </w:r>
            <w:r>
              <w:rPr>
                <w:rFonts w:cs="Arial"/>
                <w:lang w:val="de-DE"/>
              </w:rPr>
              <w:t xml:space="preserve"> </w:t>
            </w:r>
            <w:r w:rsidRPr="00C47725">
              <w:rPr>
                <w:rFonts w:cs="Arial"/>
                <w:lang w:val="de-DE"/>
              </w:rPr>
              <w:t xml:space="preserve">lauten </w:t>
            </w:r>
          </w:p>
        </w:tc>
      </w:tr>
    </w:tbl>
    <w:p w:rsidR="002D20DB" w:rsidRPr="00C47725" w:rsidRDefault="002D20DB" w:rsidP="002D20DB">
      <w:pPr>
        <w:rPr>
          <w:rFonts w:cs="Arial"/>
          <w:lang w:val="de-DE"/>
        </w:rPr>
      </w:pPr>
    </w:p>
    <w:p w:rsidR="002D20DB" w:rsidRPr="00C47725" w:rsidRDefault="002D20DB" w:rsidP="002D20DB">
      <w:pPr>
        <w:rPr>
          <w:rFonts w:cs="Arial"/>
          <w:lang w:val="de-DE"/>
        </w:rPr>
      </w:pPr>
    </w:p>
    <w:p w:rsidR="002D20DB" w:rsidRPr="00C47725" w:rsidRDefault="002D20DB" w:rsidP="002D20DB">
      <w:pPr>
        <w:pStyle w:val="Heading2"/>
        <w:rPr>
          <w:rFonts w:cs="Arial"/>
          <w:snapToGrid w:val="0"/>
          <w:lang w:val="de-DE"/>
        </w:rPr>
      </w:pPr>
      <w:r w:rsidRPr="00C47725">
        <w:rPr>
          <w:rFonts w:cs="Arial"/>
          <w:snapToGrid w:val="0"/>
          <w:lang w:val="de-DE"/>
        </w:rPr>
        <w:t>Vom Technischen Ausschuss auf seiner fünfundfünfzigste</w:t>
      </w:r>
      <w:r>
        <w:rPr>
          <w:rFonts w:cs="Arial"/>
          <w:snapToGrid w:val="0"/>
          <w:lang w:val="de-DE"/>
        </w:rPr>
        <w:t>n</w:t>
      </w:r>
      <w:r w:rsidRPr="00C47725">
        <w:rPr>
          <w:rFonts w:cs="Arial"/>
          <w:snapToGrid w:val="0"/>
          <w:lang w:val="de-DE"/>
        </w:rPr>
        <w:t xml:space="preserve"> Tagung angenommene Prüfungsrichtlinien</w:t>
      </w:r>
    </w:p>
    <w:p w:rsidR="002D20DB" w:rsidRPr="00C47725" w:rsidRDefault="002D20DB" w:rsidP="002D20DB">
      <w:pPr>
        <w:pStyle w:val="Heading3"/>
        <w:rPr>
          <w:rFonts w:cs="Arial"/>
          <w:snapToGrid w:val="0"/>
        </w:rPr>
      </w:pPr>
    </w:p>
    <w:p w:rsidR="002D20DB" w:rsidRPr="00C47725" w:rsidRDefault="002D20DB" w:rsidP="002D20DB">
      <w:pPr>
        <w:pStyle w:val="Heading3"/>
        <w:rPr>
          <w:rFonts w:cs="Arial"/>
          <w:snapToGrid w:val="0"/>
        </w:rPr>
      </w:pPr>
      <w:r w:rsidRPr="00C47725">
        <w:rPr>
          <w:rFonts w:cs="Arial"/>
          <w:snapToGrid w:val="0"/>
        </w:rPr>
        <w:t>Teilüberarbeitungen</w:t>
      </w:r>
    </w:p>
    <w:p w:rsidR="002D20DB" w:rsidRPr="00C47725" w:rsidRDefault="002D20DB" w:rsidP="002D20DB">
      <w:pPr>
        <w:rPr>
          <w:rFonts w:cs="Arial"/>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t>TC/55/16</w:t>
            </w:r>
            <w:r w:rsidRPr="00C47725">
              <w:rPr>
                <w:rFonts w:cs="Arial"/>
                <w:b/>
                <w:iCs/>
                <w:lang w:val="de-DE"/>
              </w:rPr>
              <w:tab/>
              <w:t>Teilüberarbeitung der Prüfungsrichtlinien für Melone</w:t>
            </w:r>
          </w:p>
        </w:tc>
      </w:tr>
    </w:tbl>
    <w:p w:rsidR="002D20DB" w:rsidRPr="00C47725" w:rsidRDefault="002D20DB" w:rsidP="002D20DB">
      <w:pPr>
        <w:keepNext/>
        <w:jc w:val="center"/>
        <w:rPr>
          <w:rFonts w:cs="Arial"/>
          <w:b/>
          <w:bCs/>
          <w:snapToGrid w:val="0"/>
          <w:color w:val="000000"/>
          <w:lang w:val="de-DE"/>
        </w:rPr>
      </w:pPr>
    </w:p>
    <w:p w:rsidR="002D20DB" w:rsidRPr="00C47725" w:rsidRDefault="002D20DB" w:rsidP="002D20DB">
      <w:pPr>
        <w:ind w:firstLine="567"/>
        <w:rPr>
          <w:rFonts w:cs="Arial"/>
          <w:lang w:val="de-DE"/>
        </w:rPr>
      </w:pPr>
      <w:r w:rsidRPr="00C47725">
        <w:rPr>
          <w:rFonts w:cs="Arial"/>
          <w:lang w:val="de-DE"/>
        </w:rPr>
        <w:t>Der TC-EDC prüfte auf seiner Sitzung im Oktober 2019 in Genf Dokument </w:t>
      </w:r>
      <w:r w:rsidRPr="00C47725">
        <w:rPr>
          <w:rFonts w:cs="Arial"/>
          <w:caps/>
          <w:lang w:val="de-DE"/>
        </w:rPr>
        <w:t>TC/55/16</w:t>
      </w:r>
      <w:r w:rsidRPr="00C47725">
        <w:rPr>
          <w:rFonts w:cs="Arial"/>
          <w:lang w:val="de-DE"/>
        </w:rPr>
        <w:t xml:space="preserve"> und gab die in der nachstehenden Tabelle aufgeführten Empfehlungen ab:</w:t>
      </w:r>
    </w:p>
    <w:p w:rsidR="002D20DB" w:rsidRPr="00C47725" w:rsidRDefault="002D20DB" w:rsidP="002D20DB">
      <w:pPr>
        <w:keepNext/>
        <w:jc w:val="center"/>
        <w:rPr>
          <w:rFonts w:cs="Arial"/>
          <w:b/>
          <w:bCs/>
          <w:snapToGrid w:val="0"/>
          <w:color w:val="000000"/>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75</w:t>
            </w:r>
          </w:p>
        </w:tc>
        <w:tc>
          <w:tcPr>
            <w:tcW w:w="8208" w:type="dxa"/>
          </w:tcPr>
          <w:p w:rsidR="002D20DB" w:rsidRPr="00C47725" w:rsidRDefault="002D20DB" w:rsidP="002B5125">
            <w:pPr>
              <w:keepNext/>
              <w:rPr>
                <w:rFonts w:cs="Arial"/>
                <w:lang w:val="de-DE"/>
              </w:rPr>
            </w:pPr>
            <w:r w:rsidRPr="00C47725">
              <w:rPr>
                <w:rFonts w:cs="Arial"/>
                <w:lang w:val="de-DE"/>
              </w:rPr>
              <w:t>spanische Übersetzung von</w:t>
            </w:r>
            <w:r>
              <w:rPr>
                <w:rFonts w:cs="Arial"/>
                <w:lang w:val="de-DE"/>
              </w:rPr>
              <w:t xml:space="preserve"> „strain“</w:t>
            </w:r>
            <w:r w:rsidRPr="00C47725">
              <w:rPr>
                <w:rFonts w:cs="Arial"/>
                <w:lang w:val="de-DE"/>
              </w:rPr>
              <w:t xml:space="preserve"> in</w:t>
            </w:r>
            <w:r>
              <w:rPr>
                <w:rFonts w:cs="Arial"/>
                <w:lang w:val="de-DE"/>
              </w:rPr>
              <w:t xml:space="preserve"> „</w:t>
            </w:r>
            <w:r w:rsidRPr="00C47725">
              <w:rPr>
                <w:rFonts w:cs="Arial"/>
                <w:lang w:val="de-DE"/>
              </w:rPr>
              <w:t>Cepa</w:t>
            </w:r>
            <w:r>
              <w:rPr>
                <w:rFonts w:cs="Arial"/>
                <w:lang w:val="de-DE"/>
              </w:rPr>
              <w:t>“</w:t>
            </w:r>
            <w:r w:rsidRPr="00C47725">
              <w:rPr>
                <w:rFonts w:cs="Arial"/>
                <w:lang w:val="de-DE"/>
              </w:rPr>
              <w:t xml:space="preserve"> </w:t>
            </w:r>
            <w:r>
              <w:rPr>
                <w:rFonts w:cs="Arial"/>
                <w:lang w:val="de-DE"/>
              </w:rPr>
              <w:t>berichtigen</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75</w:t>
            </w:r>
          </w:p>
        </w:tc>
        <w:tc>
          <w:tcPr>
            <w:tcW w:w="8208" w:type="dxa"/>
          </w:tcPr>
          <w:p w:rsidR="002D20DB" w:rsidRPr="00C47725" w:rsidRDefault="002D20DB" w:rsidP="002B5125">
            <w:pPr>
              <w:keepNext/>
              <w:rPr>
                <w:rFonts w:cs="Arial"/>
                <w:lang w:val="de-DE"/>
              </w:rPr>
            </w:pPr>
            <w:r>
              <w:rPr>
                <w:rFonts w:cs="Arial"/>
                <w:lang w:val="de-DE"/>
              </w:rPr>
              <w:t>nicht verpflichtende</w:t>
            </w:r>
            <w:r w:rsidRPr="00C47725">
              <w:rPr>
                <w:rFonts w:cs="Arial"/>
                <w:lang w:val="de-DE"/>
              </w:rPr>
              <w:t xml:space="preserve"> Elemente, für die keine Informationen zur Verfügung gestellt werden (z.B. 2., 8.4), streichen </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75, 13.</w:t>
            </w:r>
          </w:p>
        </w:tc>
        <w:tc>
          <w:tcPr>
            <w:tcW w:w="8208" w:type="dxa"/>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Identität de</w:t>
            </w:r>
            <w:r>
              <w:rPr>
                <w:rFonts w:cs="Arial"/>
                <w:lang w:val="de-DE"/>
              </w:rPr>
              <w:t>s Pathogens</w:t>
            </w:r>
            <w:r w:rsidRPr="00C47725">
              <w:rPr>
                <w:rFonts w:cs="Arial"/>
                <w:lang w:val="de-DE"/>
              </w:rPr>
              <w:t xml:space="preserve"> überprüfen, Virgos </w:t>
            </w:r>
            <w:r>
              <w:rPr>
                <w:rFonts w:cs="Arial"/>
                <w:lang w:val="de-DE"/>
              </w:rPr>
              <w:t xml:space="preserve">ist </w:t>
            </w:r>
            <w:r w:rsidRPr="00C47725">
              <w:rPr>
                <w:rFonts w:cs="Arial"/>
                <w:lang w:val="de-DE"/>
              </w:rPr>
              <w:t>resistent gegen MNSV</w:t>
            </w:r>
            <w:r>
              <w:rPr>
                <w:rFonts w:cs="Arial"/>
                <w:lang w:val="de-DE"/>
              </w:rPr>
              <w:t xml:space="preserve"> Pathogen</w:t>
            </w:r>
            <w:r w:rsidRPr="00C47725">
              <w:rPr>
                <w:rFonts w:cs="Arial"/>
                <w:lang w:val="de-DE"/>
              </w:rPr>
              <w:t xml:space="preserve"> 0 und anfällig </w:t>
            </w:r>
            <w:r>
              <w:rPr>
                <w:rFonts w:cs="Arial"/>
                <w:lang w:val="de-DE"/>
              </w:rPr>
              <w:t>für</w:t>
            </w:r>
            <w:r w:rsidRPr="00C47725">
              <w:rPr>
                <w:rFonts w:cs="Arial"/>
                <w:lang w:val="de-DE"/>
              </w:rPr>
              <w:t xml:space="preserve"> </w:t>
            </w:r>
            <w:r>
              <w:rPr>
                <w:rFonts w:cs="Arial"/>
                <w:lang w:val="de-DE"/>
              </w:rPr>
              <w:t xml:space="preserve">das </w:t>
            </w:r>
            <w:r w:rsidRPr="00C47725">
              <w:rPr>
                <w:rFonts w:cs="Arial"/>
                <w:lang w:val="de-DE"/>
              </w:rPr>
              <w:t>neue MNSV</w:t>
            </w:r>
            <w:r>
              <w:rPr>
                <w:rFonts w:cs="Arial"/>
                <w:lang w:val="de-DE"/>
              </w:rPr>
              <w:t xml:space="preserve"> Pathogen“</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lastRenderedPageBreak/>
              <w:t>TC/55/18</w:t>
            </w:r>
            <w:r w:rsidRPr="00C47725">
              <w:rPr>
                <w:rFonts w:cs="Arial"/>
                <w:b/>
                <w:iCs/>
                <w:lang w:val="de-DE"/>
              </w:rPr>
              <w:tab/>
              <w:t>Angelegenheiten, die bezüglich der vom Technischen Ausschuss</w:t>
            </w:r>
            <w:r>
              <w:rPr>
                <w:rFonts w:cs="Arial"/>
                <w:b/>
                <w:iCs/>
                <w:lang w:val="de-DE"/>
              </w:rPr>
              <w:t xml:space="preserve"> </w:t>
            </w:r>
            <w:r w:rsidRPr="00C47725">
              <w:rPr>
                <w:rFonts w:cs="Arial"/>
                <w:b/>
                <w:iCs/>
                <w:lang w:val="de-DE"/>
              </w:rPr>
              <w:t xml:space="preserve">zur </w:t>
            </w:r>
            <w:r>
              <w:rPr>
                <w:rFonts w:cs="Arial"/>
                <w:b/>
                <w:iCs/>
                <w:lang w:val="de-DE"/>
              </w:rPr>
              <w:t>Annahme</w:t>
            </w:r>
            <w:r w:rsidRPr="00C47725">
              <w:rPr>
                <w:rFonts w:cs="Arial"/>
                <w:b/>
                <w:iCs/>
                <w:lang w:val="de-DE"/>
              </w:rPr>
              <w:t xml:space="preserve"> vorgelegten Prüfungsrichtlinien zu bereinigen sind: Macadamia</w:t>
            </w:r>
          </w:p>
        </w:tc>
      </w:tr>
    </w:tbl>
    <w:p w:rsidR="002D20DB" w:rsidRPr="00C47725" w:rsidRDefault="002D20DB" w:rsidP="002D20DB">
      <w:pPr>
        <w:keepNext/>
        <w:jc w:val="center"/>
        <w:rPr>
          <w:rFonts w:cs="Arial"/>
          <w:b/>
          <w:bCs/>
          <w:snapToGrid w:val="0"/>
          <w:color w:val="000000"/>
          <w:lang w:val="de-DE"/>
        </w:rPr>
      </w:pPr>
    </w:p>
    <w:p w:rsidR="002D20DB" w:rsidRPr="00C47725" w:rsidRDefault="002D20DB" w:rsidP="002D20DB">
      <w:pPr>
        <w:ind w:firstLine="567"/>
        <w:rPr>
          <w:rFonts w:cs="Arial"/>
          <w:lang w:val="de-DE"/>
        </w:rPr>
      </w:pPr>
      <w:r w:rsidRPr="00C47725">
        <w:rPr>
          <w:rFonts w:cs="Arial"/>
          <w:lang w:val="de-DE"/>
        </w:rPr>
        <w:t>Der TC-EDC prüfte auf seiner Sitzung im Oktober 2019 in Genf Dokument </w:t>
      </w:r>
      <w:r w:rsidRPr="00C47725">
        <w:rPr>
          <w:rFonts w:cs="Arial"/>
          <w:caps/>
          <w:lang w:val="de-DE"/>
        </w:rPr>
        <w:t>TC/55/18</w:t>
      </w:r>
      <w:r w:rsidRPr="00C47725">
        <w:rPr>
          <w:rFonts w:cs="Arial"/>
          <w:lang w:val="de-DE"/>
        </w:rPr>
        <w:t xml:space="preserve"> und gab die in der nachstehenden Tabelle aufgeführten Empfehlungen ab:</w:t>
      </w:r>
    </w:p>
    <w:p w:rsidR="002D20DB" w:rsidRPr="00C47725" w:rsidRDefault="002D20DB" w:rsidP="002D20DB">
      <w:pPr>
        <w:keepNext/>
        <w:jc w:val="center"/>
        <w:rPr>
          <w:rFonts w:cs="Arial"/>
          <w:b/>
          <w:bCs/>
          <w:snapToGrid w:val="0"/>
          <w:color w:val="000000"/>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Beispielsorten</w:t>
            </w:r>
          </w:p>
        </w:tc>
        <w:tc>
          <w:tcPr>
            <w:tcW w:w="8208" w:type="dxa"/>
          </w:tcPr>
          <w:p w:rsidR="002D20DB" w:rsidRPr="00C47725" w:rsidRDefault="002D20DB" w:rsidP="002B5125">
            <w:pPr>
              <w:keepNext/>
              <w:rPr>
                <w:rFonts w:cs="Arial"/>
                <w:lang w:val="de-DE"/>
              </w:rPr>
            </w:pPr>
            <w:r w:rsidRPr="00C47725">
              <w:rPr>
                <w:rFonts w:cs="Arial"/>
                <w:lang w:val="de-DE"/>
              </w:rPr>
              <w:t>ein neues Kapitel 8.3</w:t>
            </w:r>
            <w:r>
              <w:rPr>
                <w:rFonts w:cs="Arial"/>
                <w:lang w:val="de-DE"/>
              </w:rPr>
              <w:t xml:space="preserve"> „</w:t>
            </w:r>
            <w:r w:rsidRPr="00C47725">
              <w:rPr>
                <w:rFonts w:cs="Arial"/>
                <w:lang w:val="de-DE"/>
              </w:rPr>
              <w:t>Beispielsorten und Synonyme</w:t>
            </w:r>
            <w:r>
              <w:rPr>
                <w:rFonts w:cs="Arial"/>
                <w:lang w:val="de-DE"/>
              </w:rPr>
              <w:t>“</w:t>
            </w:r>
            <w:r w:rsidRPr="00C47725">
              <w:rPr>
                <w:rFonts w:cs="Arial"/>
                <w:lang w:val="de-DE"/>
              </w:rPr>
              <w:t xml:space="preserve"> mit der Tabelle erstellen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68"/>
            </w:tblGrid>
            <w:tr w:rsidR="002D20DB" w:rsidRPr="00C47725" w:rsidTr="002B5125">
              <w:tc>
                <w:tcPr>
                  <w:tcW w:w="1716"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Beispielsorte</w:t>
                  </w:r>
                </w:p>
              </w:tc>
              <w:tc>
                <w:tcPr>
                  <w:tcW w:w="226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Synonym</w:t>
                  </w:r>
                </w:p>
              </w:tc>
            </w:tr>
            <w:tr w:rsidR="002D20DB" w:rsidRPr="00C47725" w:rsidTr="002B5125">
              <w:tc>
                <w:tcPr>
                  <w:tcW w:w="1716"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Keauhou</w:t>
                  </w:r>
                </w:p>
              </w:tc>
              <w:tc>
                <w:tcPr>
                  <w:tcW w:w="2268" w:type="dxa"/>
                  <w:tcBorders>
                    <w:top w:val="single" w:sz="4" w:space="0" w:color="auto"/>
                    <w:left w:val="single" w:sz="4" w:space="0" w:color="auto"/>
                    <w:bottom w:val="single" w:sz="4" w:space="0" w:color="auto"/>
                    <w:right w:val="single" w:sz="4" w:space="0" w:color="auto"/>
                  </w:tcBorders>
                  <w:hideMark/>
                </w:tcPr>
                <w:p w:rsidR="002D20DB" w:rsidRPr="00C47725" w:rsidRDefault="002D20DB" w:rsidP="002B5125">
                  <w:pPr>
                    <w:rPr>
                      <w:rFonts w:cs="Arial"/>
                      <w:lang w:val="de-DE"/>
                    </w:rPr>
                  </w:pPr>
                  <w:r w:rsidRPr="00C47725">
                    <w:rPr>
                      <w:rFonts w:cs="Arial"/>
                      <w:lang w:val="de-DE"/>
                    </w:rPr>
                    <w:t>HAES 246</w:t>
                  </w:r>
                </w:p>
              </w:tc>
            </w:tr>
            <w:tr w:rsidR="002D20DB" w:rsidRPr="00C47725" w:rsidTr="002B5125">
              <w:tc>
                <w:tcPr>
                  <w:tcW w:w="1716"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Ikaika</w:t>
                  </w:r>
                </w:p>
              </w:tc>
              <w:tc>
                <w:tcPr>
                  <w:tcW w:w="2268" w:type="dxa"/>
                  <w:tcBorders>
                    <w:top w:val="single" w:sz="4" w:space="0" w:color="auto"/>
                    <w:left w:val="single" w:sz="4" w:space="0" w:color="auto"/>
                    <w:bottom w:val="single" w:sz="4" w:space="0" w:color="auto"/>
                    <w:right w:val="single" w:sz="4" w:space="0" w:color="auto"/>
                  </w:tcBorders>
                  <w:hideMark/>
                </w:tcPr>
                <w:p w:rsidR="002D20DB" w:rsidRPr="00C47725" w:rsidRDefault="002D20DB" w:rsidP="002B5125">
                  <w:pPr>
                    <w:rPr>
                      <w:rFonts w:cs="Arial"/>
                      <w:lang w:val="de-DE"/>
                    </w:rPr>
                  </w:pPr>
                  <w:r w:rsidRPr="00C47725">
                    <w:rPr>
                      <w:rFonts w:cs="Arial"/>
                      <w:lang w:val="de-DE"/>
                    </w:rPr>
                    <w:t>HAES 333</w:t>
                  </w:r>
                </w:p>
              </w:tc>
            </w:tr>
            <w:tr w:rsidR="002D20DB" w:rsidRPr="00C47725" w:rsidTr="002B5125">
              <w:tc>
                <w:tcPr>
                  <w:tcW w:w="1716"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Keaau</w:t>
                  </w:r>
                </w:p>
              </w:tc>
              <w:tc>
                <w:tcPr>
                  <w:tcW w:w="2268" w:type="dxa"/>
                  <w:tcBorders>
                    <w:top w:val="single" w:sz="4" w:space="0" w:color="auto"/>
                    <w:left w:val="single" w:sz="4" w:space="0" w:color="auto"/>
                    <w:bottom w:val="single" w:sz="4" w:space="0" w:color="auto"/>
                    <w:right w:val="single" w:sz="4" w:space="0" w:color="auto"/>
                  </w:tcBorders>
                  <w:hideMark/>
                </w:tcPr>
                <w:p w:rsidR="002D20DB" w:rsidRPr="00C47725" w:rsidRDefault="002D20DB" w:rsidP="002B5125">
                  <w:pPr>
                    <w:rPr>
                      <w:rFonts w:cs="Arial"/>
                      <w:lang w:val="de-DE"/>
                    </w:rPr>
                  </w:pPr>
                  <w:r w:rsidRPr="00C47725">
                    <w:rPr>
                      <w:rFonts w:cs="Arial"/>
                      <w:lang w:val="de-DE"/>
                    </w:rPr>
                    <w:t>HAES 660</w:t>
                  </w:r>
                </w:p>
              </w:tc>
            </w:tr>
          </w:tbl>
          <w:p w:rsidR="002D20DB" w:rsidRPr="00C47725" w:rsidRDefault="002D20DB" w:rsidP="002B5125">
            <w:pPr>
              <w:keepNext/>
              <w:rPr>
                <w:rFonts w:cs="Arial"/>
                <w:lang w:val="de-DE"/>
              </w:rPr>
            </w:pP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t>TC/55/19</w:t>
            </w:r>
            <w:r w:rsidRPr="00C47725">
              <w:rPr>
                <w:rFonts w:cs="Arial"/>
                <w:b/>
                <w:iCs/>
                <w:lang w:val="de-DE"/>
              </w:rPr>
              <w:tab/>
              <w:t xml:space="preserve">Teilüberarbeitung der Prüfungsrichtlinien für </w:t>
            </w:r>
            <w:r w:rsidRPr="00C47725">
              <w:rPr>
                <w:rFonts w:cs="Arial"/>
                <w:b/>
                <w:lang w:val="de-DE"/>
              </w:rPr>
              <w:t>Orangen</w:t>
            </w:r>
            <w:r w:rsidRPr="00C47725">
              <w:rPr>
                <w:rStyle w:val="Fuentedeprrafopredeter"/>
                <w:rFonts w:cs="Arial"/>
                <w:b/>
                <w:i/>
                <w:lang w:val="de-DE"/>
              </w:rPr>
              <w:t xml:space="preserve"> </w:t>
            </w:r>
            <w:r w:rsidRPr="00C47725">
              <w:rPr>
                <w:rStyle w:val="Fuentedeprrafopredeter"/>
                <w:rFonts w:cs="Arial"/>
                <w:b/>
                <w:lang w:val="de-DE"/>
              </w:rPr>
              <w:t>(</w:t>
            </w:r>
            <w:r w:rsidRPr="00C47725">
              <w:rPr>
                <w:rStyle w:val="Fuentedeprrafopredeter"/>
                <w:rFonts w:cs="Arial"/>
                <w:b/>
                <w:i/>
                <w:lang w:val="de-DE"/>
              </w:rPr>
              <w:t>Citrus</w:t>
            </w:r>
            <w:r w:rsidRPr="00C47725">
              <w:rPr>
                <w:rFonts w:cs="Arial"/>
                <w:b/>
                <w:lang w:val="de-DE"/>
              </w:rPr>
              <w:t xml:space="preserve"> L. – Group 2)</w:t>
            </w:r>
          </w:p>
        </w:tc>
      </w:tr>
    </w:tbl>
    <w:p w:rsidR="002D20DB" w:rsidRPr="00C47725" w:rsidRDefault="002D20DB" w:rsidP="002D20DB">
      <w:pPr>
        <w:keepNext/>
        <w:jc w:val="center"/>
        <w:rPr>
          <w:rFonts w:cs="Arial"/>
          <w:b/>
          <w:bCs/>
          <w:snapToGrid w:val="0"/>
          <w:color w:val="000000"/>
          <w:lang w:val="de-DE"/>
        </w:rPr>
      </w:pPr>
    </w:p>
    <w:p w:rsidR="002D20DB" w:rsidRPr="00C47725" w:rsidRDefault="002D20DB" w:rsidP="002D20DB">
      <w:pPr>
        <w:ind w:firstLine="567"/>
        <w:rPr>
          <w:rFonts w:cs="Arial"/>
          <w:lang w:val="de-DE"/>
        </w:rPr>
      </w:pPr>
      <w:r w:rsidRPr="00C47725">
        <w:rPr>
          <w:rFonts w:cs="Arial"/>
          <w:lang w:val="de-DE"/>
        </w:rPr>
        <w:t>Der TC-EDC prüfte auf seiner Sitzung im Oktober 2019 in Genf Dokument </w:t>
      </w:r>
      <w:r w:rsidRPr="00C47725">
        <w:rPr>
          <w:rFonts w:cs="Arial"/>
          <w:caps/>
          <w:lang w:val="de-DE"/>
        </w:rPr>
        <w:t>TC/55/19</w:t>
      </w:r>
      <w:r w:rsidRPr="00C47725">
        <w:rPr>
          <w:rFonts w:cs="Arial"/>
          <w:lang w:val="de-DE"/>
        </w:rPr>
        <w:t xml:space="preserve"> und gab die in der nachstehenden Tabelle aufgeführten Empfehlungen ab:</w:t>
      </w:r>
    </w:p>
    <w:p w:rsidR="002D20DB" w:rsidRPr="00C47725" w:rsidRDefault="002D20DB" w:rsidP="002D20DB">
      <w:pPr>
        <w:keepNext/>
        <w:jc w:val="center"/>
        <w:rPr>
          <w:rFonts w:cs="Arial"/>
          <w:b/>
          <w:bCs/>
          <w:snapToGrid w:val="0"/>
          <w:color w:val="000000"/>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56</w:t>
            </w:r>
          </w:p>
        </w:tc>
        <w:tc>
          <w:tcPr>
            <w:tcW w:w="8208" w:type="dxa"/>
          </w:tcPr>
          <w:p w:rsidR="002D20DB" w:rsidRPr="00C47725" w:rsidRDefault="002D20DB" w:rsidP="002B5125">
            <w:pPr>
              <w:keepNext/>
              <w:rPr>
                <w:rFonts w:cs="Arial"/>
                <w:lang w:val="de-DE"/>
              </w:rPr>
            </w:pPr>
            <w:r w:rsidRPr="00C47725">
              <w:rPr>
                <w:rFonts w:cs="Arial"/>
                <w:lang w:val="de-DE"/>
              </w:rPr>
              <w:t>Streichung von</w:t>
            </w:r>
            <w:r>
              <w:rPr>
                <w:rFonts w:cs="Arial"/>
                <w:lang w:val="de-DE"/>
              </w:rPr>
              <w:t xml:space="preserve"> „an</w:t>
            </w:r>
            <w:r w:rsidRPr="00C47725">
              <w:rPr>
                <w:rFonts w:cs="Arial"/>
                <w:lang w:val="de-DE"/>
              </w:rPr>
              <w:t xml:space="preserve"> Öldrüsen</w:t>
            </w:r>
            <w:r>
              <w:rPr>
                <w:rFonts w:cs="Arial"/>
                <w:lang w:val="de-DE"/>
              </w:rPr>
              <w:t>“</w:t>
            </w:r>
            <w:r w:rsidRPr="00C47725">
              <w:rPr>
                <w:rFonts w:cs="Arial"/>
                <w:lang w:val="de-DE"/>
              </w:rPr>
              <w:t xml:space="preserve">, </w:t>
            </w:r>
            <w:r>
              <w:rPr>
                <w:rFonts w:cs="Arial"/>
                <w:lang w:val="de-DE"/>
              </w:rPr>
              <w:t>was</w:t>
            </w:r>
            <w:r w:rsidRPr="00C47725">
              <w:rPr>
                <w:rFonts w:cs="Arial"/>
                <w:lang w:val="de-DE"/>
              </w:rPr>
              <w:t xml:space="preserve"> auch in Merkmalen 58 und 59 wiederzugegeben ist. (wie in Merkmal 57) (Anlage </w:t>
            </w:r>
            <w:r>
              <w:rPr>
                <w:rFonts w:cs="Arial"/>
                <w:lang w:val="de-DE"/>
              </w:rPr>
              <w:t>„</w:t>
            </w:r>
            <w:r w:rsidRPr="00C47725">
              <w:rPr>
                <w:rFonts w:cs="Arial"/>
                <w:lang w:val="de-DE"/>
              </w:rPr>
              <w:t>Allgemeine Merkmalstabelle</w:t>
            </w:r>
            <w:r>
              <w:rPr>
                <w:rFonts w:cs="Arial"/>
                <w:lang w:val="de-DE"/>
              </w:rPr>
              <w:t>„</w:t>
            </w:r>
            <w:r w:rsidRPr="00C47725">
              <w:rPr>
                <w:rFonts w:cs="Arial"/>
                <w:lang w:val="de-DE"/>
              </w:rPr>
              <w:t xml:space="preserve"> müsste ebenfalls geändert werden). </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26</w:t>
            </w:r>
          </w:p>
        </w:tc>
        <w:tc>
          <w:tcPr>
            <w:tcW w:w="8208" w:type="dxa"/>
          </w:tcPr>
          <w:p w:rsidR="002D20DB" w:rsidRPr="00C47725" w:rsidRDefault="002D20DB" w:rsidP="002B5125">
            <w:pPr>
              <w:keepNext/>
              <w:rPr>
                <w:rFonts w:cs="Arial"/>
                <w:lang w:val="de-DE"/>
              </w:rPr>
            </w:pPr>
            <w:r w:rsidRPr="00C47725">
              <w:rPr>
                <w:rFonts w:cs="Arial"/>
                <w:lang w:val="de-DE"/>
              </w:rPr>
              <w:t xml:space="preserve">den letzten Satz in </w:t>
            </w:r>
            <w:r>
              <w:rPr>
                <w:rFonts w:cs="Arial"/>
                <w:lang w:val="de-DE"/>
              </w:rPr>
              <w:t>„</w:t>
            </w:r>
            <w:r w:rsidRPr="00C47725">
              <w:rPr>
                <w:rFonts w:cs="Arial"/>
                <w:lang w:val="de-DE"/>
              </w:rPr>
              <w:t>Literatur</w:t>
            </w:r>
            <w:r>
              <w:rPr>
                <w:rFonts w:cs="Arial"/>
                <w:lang w:val="de-DE"/>
              </w:rPr>
              <w:t>„</w:t>
            </w:r>
            <w:r w:rsidRPr="00C47725">
              <w:rPr>
                <w:rFonts w:cs="Arial"/>
                <w:lang w:val="de-DE"/>
              </w:rPr>
              <w:t xml:space="preserve"> verschieben (Verweis auf Brewbaker-</w:t>
            </w:r>
            <w:r>
              <w:rPr>
                <w:rFonts w:cs="Arial"/>
                <w:lang w:val="de-DE"/>
              </w:rPr>
              <w:t>Veröffentlichung</w:t>
            </w:r>
            <w:r w:rsidRPr="00C47725">
              <w:rPr>
                <w:rFonts w:cs="Arial"/>
                <w:lang w:val="de-DE"/>
              </w:rPr>
              <w:t>).</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t>TC/55/20</w:t>
            </w:r>
            <w:r w:rsidRPr="00C47725">
              <w:rPr>
                <w:rFonts w:cs="Arial"/>
                <w:b/>
                <w:iCs/>
                <w:lang w:val="de-DE"/>
              </w:rPr>
              <w:tab/>
              <w:t xml:space="preserve">Teilüberarbeitung der Prüfungsrichtlinien für </w:t>
            </w:r>
            <w:r w:rsidRPr="00C47725">
              <w:rPr>
                <w:rFonts w:cs="Arial"/>
                <w:b/>
                <w:lang w:val="de-DE"/>
              </w:rPr>
              <w:t>Pampelmuse (Grapefruit und) (</w:t>
            </w:r>
            <w:r w:rsidRPr="00C47725">
              <w:rPr>
                <w:rStyle w:val="Fuentedeprrafopredeter"/>
                <w:rFonts w:cs="Arial"/>
                <w:b/>
                <w:i/>
                <w:lang w:val="de-DE"/>
              </w:rPr>
              <w:t xml:space="preserve">Citrus </w:t>
            </w:r>
            <w:r w:rsidRPr="00C47725">
              <w:rPr>
                <w:rFonts w:cs="Arial"/>
                <w:b/>
                <w:lang w:val="de-DE"/>
              </w:rPr>
              <w:t>L. – Group 4)</w:t>
            </w:r>
          </w:p>
        </w:tc>
      </w:tr>
    </w:tbl>
    <w:p w:rsidR="002D20DB" w:rsidRPr="00C47725" w:rsidRDefault="002D20DB" w:rsidP="002D20DB">
      <w:pPr>
        <w:keepNext/>
        <w:jc w:val="center"/>
        <w:rPr>
          <w:rFonts w:cs="Arial"/>
          <w:b/>
          <w:bCs/>
          <w:snapToGrid w:val="0"/>
          <w:color w:val="000000"/>
          <w:lang w:val="de-DE"/>
        </w:rPr>
      </w:pPr>
    </w:p>
    <w:p w:rsidR="002D20DB" w:rsidRPr="00C47725" w:rsidRDefault="002D20DB" w:rsidP="002D20DB">
      <w:pPr>
        <w:ind w:firstLine="567"/>
        <w:rPr>
          <w:rFonts w:cs="Arial"/>
          <w:lang w:val="de-DE"/>
        </w:rPr>
      </w:pPr>
      <w:r w:rsidRPr="00C47725">
        <w:rPr>
          <w:rFonts w:cs="Arial"/>
          <w:lang w:val="de-DE"/>
        </w:rPr>
        <w:t>Der TC-EDC prüfte auf seiner Sitzung im Oktober 2019 in Genf Dokument </w:t>
      </w:r>
      <w:r w:rsidRPr="00C47725">
        <w:rPr>
          <w:rFonts w:cs="Arial"/>
          <w:caps/>
          <w:lang w:val="de-DE"/>
        </w:rPr>
        <w:t>TC/55/20</w:t>
      </w:r>
      <w:r w:rsidRPr="00C47725">
        <w:rPr>
          <w:rFonts w:cs="Arial"/>
          <w:lang w:val="de-DE"/>
        </w:rPr>
        <w:t xml:space="preserve"> und gab die in der nachstehenden Tabelle aufgeführten Empfehlungen ab:</w:t>
      </w:r>
    </w:p>
    <w:p w:rsidR="002D20DB" w:rsidRPr="00C47725" w:rsidRDefault="002D20DB" w:rsidP="002D20DB">
      <w:pPr>
        <w:keepNext/>
        <w:jc w:val="center"/>
        <w:rPr>
          <w:rFonts w:cs="Arial"/>
          <w:b/>
          <w:bCs/>
          <w:snapToGrid w:val="0"/>
          <w:color w:val="000000"/>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30</w:t>
            </w:r>
          </w:p>
        </w:tc>
        <w:tc>
          <w:tcPr>
            <w:tcW w:w="8208" w:type="dxa"/>
          </w:tcPr>
          <w:p w:rsidR="002D20DB" w:rsidRPr="00C47725" w:rsidRDefault="002D20DB" w:rsidP="002B5125">
            <w:pPr>
              <w:keepNext/>
              <w:rPr>
                <w:rFonts w:cs="Arial"/>
                <w:lang w:val="de-DE"/>
              </w:rPr>
            </w:pPr>
            <w:r w:rsidRPr="00C47725">
              <w:rPr>
                <w:rFonts w:cs="Arial"/>
                <w:lang w:val="de-DE"/>
              </w:rPr>
              <w:t xml:space="preserve">den letzten Satz in </w:t>
            </w:r>
            <w:r>
              <w:rPr>
                <w:rFonts w:cs="Arial"/>
                <w:lang w:val="de-DE"/>
              </w:rPr>
              <w:t>„</w:t>
            </w:r>
            <w:r w:rsidRPr="00C47725">
              <w:rPr>
                <w:rFonts w:cs="Arial"/>
                <w:lang w:val="de-DE"/>
              </w:rPr>
              <w:t>Literatur</w:t>
            </w:r>
            <w:r>
              <w:rPr>
                <w:rFonts w:cs="Arial"/>
                <w:lang w:val="de-DE"/>
              </w:rPr>
              <w:t>„</w:t>
            </w:r>
            <w:r w:rsidRPr="00C47725">
              <w:rPr>
                <w:rFonts w:cs="Arial"/>
                <w:lang w:val="de-DE"/>
              </w:rPr>
              <w:t xml:space="preserve"> verschieben (Verweis auf Brewbaker-</w:t>
            </w:r>
            <w:r>
              <w:rPr>
                <w:rFonts w:cs="Arial"/>
                <w:lang w:val="de-DE"/>
              </w:rPr>
              <w:t>Veröffentlichung</w:t>
            </w:r>
            <w:r w:rsidRPr="00C47725">
              <w:rPr>
                <w:rFonts w:cs="Arial"/>
                <w:lang w:val="de-DE"/>
              </w:rPr>
              <w:t>)</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t>TC/55/21</w:t>
            </w:r>
            <w:r w:rsidRPr="00C47725">
              <w:rPr>
                <w:rFonts w:cs="Arial"/>
                <w:b/>
                <w:iCs/>
                <w:lang w:val="de-DE"/>
              </w:rPr>
              <w:tab/>
              <w:t>Teilüberarbeitung der Prüfungsrichtlinien für Phalaenopsis</w:t>
            </w:r>
          </w:p>
        </w:tc>
      </w:tr>
    </w:tbl>
    <w:p w:rsidR="002D20DB" w:rsidRPr="00C47725" w:rsidRDefault="002D20DB" w:rsidP="002D20DB">
      <w:pPr>
        <w:keepNext/>
        <w:jc w:val="center"/>
        <w:rPr>
          <w:rFonts w:cs="Arial"/>
          <w:b/>
          <w:bCs/>
          <w:snapToGrid w:val="0"/>
          <w:color w:val="000000"/>
          <w:lang w:val="de-DE"/>
        </w:rPr>
      </w:pPr>
    </w:p>
    <w:p w:rsidR="002D20DB" w:rsidRPr="00C47725" w:rsidRDefault="002D20DB" w:rsidP="002D20DB">
      <w:pPr>
        <w:ind w:firstLine="567"/>
        <w:rPr>
          <w:rFonts w:cs="Arial"/>
          <w:lang w:val="de-DE"/>
        </w:rPr>
      </w:pPr>
      <w:r w:rsidRPr="00C47725">
        <w:rPr>
          <w:rFonts w:cs="Arial"/>
          <w:lang w:val="de-DE"/>
        </w:rPr>
        <w:t>Der TC-EDC prüfte auf seiner Sitzung im Oktober 2019 in Genf Dokument </w:t>
      </w:r>
      <w:r w:rsidRPr="00C47725">
        <w:rPr>
          <w:rFonts w:cs="Arial"/>
          <w:caps/>
          <w:lang w:val="de-DE"/>
        </w:rPr>
        <w:t>TC/55/21</w:t>
      </w:r>
      <w:r w:rsidRPr="00C47725">
        <w:rPr>
          <w:rFonts w:cs="Arial"/>
          <w:lang w:val="de-DE"/>
        </w:rPr>
        <w:t xml:space="preserve"> und gab die in der nachstehenden Tabelle aufgeführten Empfehlungen ab:</w:t>
      </w:r>
    </w:p>
    <w:p w:rsidR="002D20DB" w:rsidRPr="00C47725" w:rsidRDefault="002D20DB" w:rsidP="002D20DB">
      <w:pPr>
        <w:keepNext/>
        <w:jc w:val="center"/>
        <w:rPr>
          <w:rFonts w:cs="Arial"/>
          <w:b/>
          <w:bCs/>
          <w:snapToGrid w:val="0"/>
          <w:color w:val="000000"/>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NE</w:t>
            </w:r>
            <w:r>
              <w:rPr>
                <w:rFonts w:cs="Arial"/>
                <w:lang w:val="de-DE"/>
              </w:rPr>
              <w:t>U</w:t>
            </w:r>
            <w:r w:rsidR="00BD3FC0">
              <w:rPr>
                <w:rFonts w:cs="Arial"/>
                <w:lang w:val="de-DE"/>
              </w:rPr>
              <w:t> </w:t>
            </w:r>
            <w:r w:rsidRPr="00C47725">
              <w:rPr>
                <w:rFonts w:cs="Arial"/>
                <w:lang w:val="de-DE"/>
              </w:rPr>
              <w:t>1</w:t>
            </w:r>
          </w:p>
        </w:tc>
        <w:tc>
          <w:tcPr>
            <w:tcW w:w="8208" w:type="dxa"/>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Lippe: Verschmelzung der lateralen Lappen mit dem apikalen Lappen</w:t>
            </w:r>
            <w:r>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NE</w:t>
            </w:r>
            <w:r>
              <w:rPr>
                <w:rFonts w:cs="Arial"/>
                <w:lang w:val="de-DE"/>
              </w:rPr>
              <w:t>U</w:t>
            </w:r>
            <w:r w:rsidRPr="00C47725">
              <w:rPr>
                <w:rFonts w:cs="Arial"/>
                <w:lang w:val="de-DE"/>
              </w:rPr>
              <w:t xml:space="preserve"> 2</w:t>
            </w:r>
          </w:p>
        </w:tc>
        <w:tc>
          <w:tcPr>
            <w:tcW w:w="8208" w:type="dxa"/>
          </w:tcPr>
          <w:p w:rsidR="002D20DB" w:rsidRPr="00C47725" w:rsidRDefault="002D20DB" w:rsidP="002B5125">
            <w:pPr>
              <w:keepNext/>
              <w:rPr>
                <w:rFonts w:cs="Arial"/>
                <w:lang w:val="de-DE"/>
              </w:rPr>
            </w:pPr>
            <w:r w:rsidRPr="00C47725">
              <w:rPr>
                <w:rFonts w:cs="Arial"/>
                <w:lang w:val="de-DE"/>
              </w:rPr>
              <w:t>Wortlaut in Klammern unterhalb der Ausprägungsstufen streichen</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t>TC/55/22</w:t>
            </w:r>
            <w:r w:rsidRPr="00C47725">
              <w:rPr>
                <w:rFonts w:cs="Arial"/>
                <w:b/>
                <w:iCs/>
                <w:lang w:val="de-DE"/>
              </w:rPr>
              <w:tab/>
              <w:t>Teilüberarbeitung der Prüfungsrichtlinien für Tomate</w:t>
            </w:r>
          </w:p>
        </w:tc>
      </w:tr>
    </w:tbl>
    <w:p w:rsidR="002D20DB" w:rsidRPr="00C47725" w:rsidRDefault="002D20DB" w:rsidP="002D20DB">
      <w:pPr>
        <w:keepNext/>
        <w:jc w:val="center"/>
        <w:rPr>
          <w:rFonts w:cs="Arial"/>
          <w:b/>
          <w:bCs/>
          <w:snapToGrid w:val="0"/>
          <w:color w:val="000000"/>
          <w:lang w:val="de-DE"/>
        </w:rPr>
      </w:pPr>
    </w:p>
    <w:p w:rsidR="002D20DB" w:rsidRPr="00C47725" w:rsidRDefault="002D20DB" w:rsidP="002D20DB">
      <w:pPr>
        <w:keepNext/>
        <w:ind w:firstLine="567"/>
        <w:rPr>
          <w:rFonts w:cs="Arial"/>
          <w:lang w:val="de-DE"/>
        </w:rPr>
      </w:pPr>
      <w:r w:rsidRPr="00C47725">
        <w:rPr>
          <w:rFonts w:cs="Arial"/>
          <w:lang w:val="de-DE"/>
        </w:rPr>
        <w:t>Der TC-EDC prüfte auf seiner Sitzung im Oktober 2019 in Genf Dokument </w:t>
      </w:r>
      <w:r w:rsidRPr="00C47725">
        <w:rPr>
          <w:rFonts w:cs="Arial"/>
          <w:caps/>
          <w:lang w:val="de-DE"/>
        </w:rPr>
        <w:t>TC/55/22</w:t>
      </w:r>
      <w:r w:rsidRPr="00C47725">
        <w:rPr>
          <w:rFonts w:cs="Arial"/>
          <w:lang w:val="de-DE"/>
        </w:rPr>
        <w:t xml:space="preserve"> und gab die in der nachstehenden Tabelle aufgeführten Empfehlungen ab:</w:t>
      </w:r>
    </w:p>
    <w:p w:rsidR="002D20DB" w:rsidRPr="00C47725" w:rsidRDefault="002D20DB" w:rsidP="002D20DB">
      <w:pPr>
        <w:keepNext/>
        <w:jc w:val="center"/>
        <w:rPr>
          <w:rFonts w:cs="Arial"/>
          <w:b/>
          <w:bCs/>
          <w:snapToGrid w:val="0"/>
          <w:color w:val="000000"/>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keepNext/>
              <w:jc w:val="left"/>
              <w:rPr>
                <w:rFonts w:cs="Arial"/>
                <w:lang w:val="de-DE"/>
              </w:rPr>
            </w:pPr>
            <w:r w:rsidRPr="00C47725">
              <w:rPr>
                <w:rFonts w:cs="Arial"/>
                <w:lang w:val="de-DE"/>
              </w:rPr>
              <w:t>Merkmal 48/ Zu 48</w:t>
            </w:r>
          </w:p>
        </w:tc>
        <w:tc>
          <w:tcPr>
            <w:tcW w:w="8208" w:type="dxa"/>
          </w:tcPr>
          <w:p w:rsidR="002D20DB" w:rsidRPr="00C47725" w:rsidRDefault="002D20DB" w:rsidP="002B5125">
            <w:pPr>
              <w:keepNext/>
              <w:rPr>
                <w:rFonts w:cs="Arial"/>
                <w:lang w:val="de-DE"/>
              </w:rPr>
            </w:pPr>
            <w:r w:rsidRPr="00C47725">
              <w:rPr>
                <w:rFonts w:cs="Arial"/>
                <w:lang w:val="de-DE"/>
              </w:rPr>
              <w:t>die französische Übersetzung von</w:t>
            </w:r>
            <w:r>
              <w:rPr>
                <w:rFonts w:cs="Arial"/>
                <w:lang w:val="de-DE"/>
              </w:rPr>
              <w:t xml:space="preserve"> „</w:t>
            </w:r>
            <w:r w:rsidRPr="00C47725">
              <w:rPr>
                <w:rFonts w:cs="Arial"/>
                <w:lang w:val="de-DE"/>
              </w:rPr>
              <w:t>Race</w:t>
            </w:r>
            <w:r>
              <w:rPr>
                <w:rFonts w:cs="Arial"/>
                <w:lang w:val="de-DE"/>
              </w:rPr>
              <w:t>“</w:t>
            </w:r>
            <w:r w:rsidRPr="00C47725">
              <w:rPr>
                <w:rFonts w:cs="Arial"/>
                <w:lang w:val="de-DE"/>
              </w:rPr>
              <w:t xml:space="preserve"> durch</w:t>
            </w:r>
            <w:r>
              <w:rPr>
                <w:rFonts w:cs="Arial"/>
                <w:lang w:val="de-DE"/>
              </w:rPr>
              <w:t xml:space="preserve"> „</w:t>
            </w:r>
            <w:r w:rsidRPr="00C47725">
              <w:rPr>
                <w:rFonts w:cs="Arial"/>
                <w:lang w:val="de-DE"/>
              </w:rPr>
              <w:t>Race</w:t>
            </w:r>
            <w:r>
              <w:rPr>
                <w:rFonts w:cs="Arial"/>
                <w:lang w:val="de-DE"/>
              </w:rPr>
              <w:t>“</w:t>
            </w:r>
            <w:r w:rsidRPr="00C47725">
              <w:rPr>
                <w:rFonts w:cs="Arial"/>
                <w:lang w:val="de-DE"/>
              </w:rPr>
              <w:t xml:space="preserve"> (anstelle von</w:t>
            </w:r>
            <w:r>
              <w:rPr>
                <w:rFonts w:cs="Arial"/>
                <w:lang w:val="de-DE"/>
              </w:rPr>
              <w:t xml:space="preserve"> „</w:t>
            </w:r>
            <w:r w:rsidRPr="00C47725">
              <w:rPr>
                <w:rFonts w:cs="Arial"/>
                <w:lang w:val="de-DE"/>
              </w:rPr>
              <w:t>Pathotype</w:t>
            </w:r>
            <w:r>
              <w:rPr>
                <w:rFonts w:cs="Arial"/>
                <w:lang w:val="de-DE"/>
              </w:rPr>
              <w:t>“</w:t>
            </w:r>
            <w:r w:rsidRPr="00C47725">
              <w:rPr>
                <w:rFonts w:cs="Arial"/>
                <w:lang w:val="de-DE"/>
              </w:rPr>
              <w:t>) ersetzen.</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48, 6.</w:t>
            </w:r>
          </w:p>
        </w:tc>
        <w:tc>
          <w:tcPr>
            <w:tcW w:w="8208" w:type="dxa"/>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Verwendung von Vergleichssorten (vergleiche ISF-Website)</w:t>
            </w:r>
            <w:r>
              <w:rPr>
                <w:rFonts w:cs="Arial"/>
                <w:lang w:val="de-DE"/>
              </w:rPr>
              <w:t>“</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D20DB" w:rsidRPr="000E6F70" w:rsidTr="002B5125">
        <w:trPr>
          <w:cantSplit/>
          <w:jc w:val="center"/>
        </w:trPr>
        <w:tc>
          <w:tcPr>
            <w:tcW w:w="9670" w:type="dxa"/>
            <w:shd w:val="clear" w:color="auto" w:fill="D9D9D9"/>
            <w:vAlign w:val="center"/>
          </w:tcPr>
          <w:p w:rsidR="002D20DB" w:rsidRPr="00C47725" w:rsidRDefault="002D20DB" w:rsidP="002B5125">
            <w:pPr>
              <w:pStyle w:val="BodyText"/>
              <w:keepNext/>
              <w:tabs>
                <w:tab w:val="left" w:pos="1849"/>
              </w:tabs>
              <w:ind w:left="1803" w:hanging="1803"/>
              <w:jc w:val="left"/>
              <w:rPr>
                <w:rFonts w:cs="Arial"/>
                <w:b/>
                <w:iCs/>
                <w:lang w:val="de-DE"/>
              </w:rPr>
            </w:pPr>
            <w:r w:rsidRPr="00C47725">
              <w:rPr>
                <w:rFonts w:cs="Arial"/>
                <w:b/>
                <w:iCs/>
                <w:lang w:val="de-DE"/>
              </w:rPr>
              <w:t>TC/55/23</w:t>
            </w:r>
            <w:r w:rsidRPr="00C47725">
              <w:rPr>
                <w:rFonts w:cs="Arial"/>
                <w:b/>
                <w:iCs/>
                <w:lang w:val="de-DE"/>
              </w:rPr>
              <w:tab/>
              <w:t>Teilüberarbeitung der Prüfungsrichtlinien für Tomatenunterlagen</w:t>
            </w:r>
          </w:p>
        </w:tc>
      </w:tr>
    </w:tbl>
    <w:p w:rsidR="002D20DB" w:rsidRPr="00C47725" w:rsidRDefault="002D20DB" w:rsidP="002D20DB">
      <w:pPr>
        <w:keepNext/>
        <w:jc w:val="center"/>
        <w:rPr>
          <w:rFonts w:cs="Arial"/>
          <w:b/>
          <w:bCs/>
          <w:snapToGrid w:val="0"/>
          <w:color w:val="000000"/>
          <w:lang w:val="de-DE"/>
        </w:rPr>
      </w:pPr>
    </w:p>
    <w:p w:rsidR="002D20DB" w:rsidRPr="00C47725" w:rsidRDefault="002D20DB" w:rsidP="002D20DB">
      <w:pPr>
        <w:ind w:firstLine="567"/>
        <w:rPr>
          <w:rFonts w:cs="Arial"/>
          <w:b/>
          <w:bCs/>
          <w:snapToGrid w:val="0"/>
          <w:color w:val="000000"/>
          <w:lang w:val="de-DE"/>
        </w:rPr>
      </w:pPr>
      <w:r w:rsidRPr="00C47725">
        <w:rPr>
          <w:rFonts w:cs="Arial"/>
          <w:lang w:val="de-DE"/>
        </w:rPr>
        <w:t>Der TC-EDC prüfte auf seiner Sitzung im Oktober 2019 in Genf Dokument </w:t>
      </w:r>
      <w:r w:rsidRPr="00C47725">
        <w:rPr>
          <w:rFonts w:cs="Arial"/>
          <w:caps/>
          <w:lang w:val="de-DE"/>
        </w:rPr>
        <w:t>TC/55/23</w:t>
      </w:r>
      <w:r w:rsidRPr="00C47725">
        <w:rPr>
          <w:rFonts w:cs="Arial"/>
          <w:lang w:val="de-DE"/>
        </w:rPr>
        <w:t xml:space="preserve"> und gab die in der nachstehenden Tabelle aufgeführten Empfehlungen ab:</w:t>
      </w:r>
    </w:p>
    <w:p w:rsidR="002D20DB" w:rsidRPr="00C47725" w:rsidRDefault="002D20DB" w:rsidP="002D20DB">
      <w:pPr>
        <w:keepNext/>
        <w:jc w:val="center"/>
        <w:rPr>
          <w:rFonts w:cs="Arial"/>
          <w:b/>
          <w:bCs/>
          <w:snapToGrid w:val="0"/>
          <w:color w:val="000000"/>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Height w:val="250"/>
        </w:trPr>
        <w:tc>
          <w:tcPr>
            <w:tcW w:w="1573" w:type="dxa"/>
          </w:tcPr>
          <w:p w:rsidR="002D20DB" w:rsidRPr="00C47725" w:rsidRDefault="002D20DB" w:rsidP="002B5125">
            <w:pPr>
              <w:jc w:val="left"/>
              <w:rPr>
                <w:rFonts w:cs="Arial"/>
                <w:lang w:val="de-DE"/>
              </w:rPr>
            </w:pPr>
            <w:r w:rsidRPr="00C47725">
              <w:rPr>
                <w:rFonts w:cs="Arial"/>
                <w:lang w:val="de-DE"/>
              </w:rPr>
              <w:t>Merkmal 24/ Zu 24</w:t>
            </w:r>
          </w:p>
        </w:tc>
        <w:tc>
          <w:tcPr>
            <w:tcW w:w="8208" w:type="dxa"/>
          </w:tcPr>
          <w:p w:rsidR="002D20DB" w:rsidRPr="00C47725" w:rsidRDefault="002D20DB" w:rsidP="002B5125">
            <w:pPr>
              <w:keepNext/>
              <w:rPr>
                <w:rFonts w:cs="Arial"/>
                <w:lang w:val="de-DE"/>
              </w:rPr>
            </w:pPr>
            <w:r w:rsidRPr="00C47725">
              <w:rPr>
                <w:rFonts w:cs="Arial"/>
                <w:lang w:val="de-DE"/>
              </w:rPr>
              <w:t>die französische Übersetzung von</w:t>
            </w:r>
            <w:r>
              <w:rPr>
                <w:rFonts w:cs="Arial"/>
                <w:lang w:val="de-DE"/>
              </w:rPr>
              <w:t xml:space="preserve"> „</w:t>
            </w:r>
            <w:r w:rsidRPr="00C47725">
              <w:rPr>
                <w:rFonts w:cs="Arial"/>
                <w:lang w:val="de-DE"/>
              </w:rPr>
              <w:t>Race</w:t>
            </w:r>
            <w:r>
              <w:rPr>
                <w:rFonts w:cs="Arial"/>
                <w:lang w:val="de-DE"/>
              </w:rPr>
              <w:t>“</w:t>
            </w:r>
            <w:r w:rsidRPr="00C47725">
              <w:rPr>
                <w:rFonts w:cs="Arial"/>
                <w:lang w:val="de-DE"/>
              </w:rPr>
              <w:t xml:space="preserve"> durch</w:t>
            </w:r>
            <w:r>
              <w:rPr>
                <w:rFonts w:cs="Arial"/>
                <w:lang w:val="de-DE"/>
              </w:rPr>
              <w:t xml:space="preserve"> „</w:t>
            </w:r>
            <w:r w:rsidRPr="00C47725">
              <w:rPr>
                <w:rFonts w:cs="Arial"/>
                <w:lang w:val="de-DE"/>
              </w:rPr>
              <w:t>Race</w:t>
            </w:r>
            <w:r>
              <w:rPr>
                <w:rFonts w:cs="Arial"/>
                <w:lang w:val="de-DE"/>
              </w:rPr>
              <w:t>“</w:t>
            </w:r>
            <w:r w:rsidRPr="00C47725">
              <w:rPr>
                <w:rFonts w:cs="Arial"/>
                <w:lang w:val="de-DE"/>
              </w:rPr>
              <w:t xml:space="preserve"> (anstelle von</w:t>
            </w:r>
            <w:r>
              <w:rPr>
                <w:rFonts w:cs="Arial"/>
                <w:lang w:val="de-DE"/>
              </w:rPr>
              <w:t xml:space="preserve"> „</w:t>
            </w:r>
            <w:r w:rsidRPr="00C47725">
              <w:rPr>
                <w:rFonts w:cs="Arial"/>
                <w:lang w:val="de-DE"/>
              </w:rPr>
              <w:t>Pathotype</w:t>
            </w:r>
            <w:r>
              <w:rPr>
                <w:rFonts w:cs="Arial"/>
                <w:lang w:val="de-DE"/>
              </w:rPr>
              <w:t>“</w:t>
            </w:r>
            <w:r w:rsidRPr="00C47725">
              <w:rPr>
                <w:rFonts w:cs="Arial"/>
                <w:lang w:val="de-DE"/>
              </w:rPr>
              <w:t>) ersetzen.</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24, 6.</w:t>
            </w:r>
          </w:p>
        </w:tc>
        <w:tc>
          <w:tcPr>
            <w:tcW w:w="8208" w:type="dxa"/>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Verwendung von Vergleichssorten (vergleiche ISF-Website)</w:t>
            </w:r>
            <w:r>
              <w:rPr>
                <w:rFonts w:cs="Arial"/>
                <w:lang w:val="de-DE"/>
              </w:rPr>
              <w:t>“</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p w:rsidR="002D20DB" w:rsidRPr="00C47725" w:rsidRDefault="002D20DB" w:rsidP="002D20DB">
      <w:pPr>
        <w:pStyle w:val="Heading3"/>
        <w:rPr>
          <w:rFonts w:eastAsia="Arial" w:cs="Arial"/>
        </w:rPr>
      </w:pPr>
      <w:r w:rsidRPr="00C47725">
        <w:rPr>
          <w:rFonts w:eastAsia="Arial" w:cs="Arial"/>
        </w:rPr>
        <w:t>Neue Prüfungsrichtlinien</w:t>
      </w:r>
    </w:p>
    <w:p w:rsidR="002D20DB" w:rsidRPr="00C47725" w:rsidRDefault="002D20DB" w:rsidP="002D20DB">
      <w:pPr>
        <w:rPr>
          <w:rFonts w:eastAsia="Arial" w:cs="Arial"/>
          <w:color w:val="000000"/>
          <w:u w:val="single"/>
          <w:lang w:val="de-D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47"/>
        <w:gridCol w:w="2899"/>
        <w:gridCol w:w="2807"/>
        <w:gridCol w:w="736"/>
        <w:gridCol w:w="993"/>
      </w:tblGrid>
      <w:tr w:rsidR="002D20DB" w:rsidRPr="00C47725" w:rsidTr="002B5125">
        <w:trPr>
          <w:cantSplit/>
          <w:trHeight w:val="277"/>
          <w:jc w:val="center"/>
        </w:trPr>
        <w:tc>
          <w:tcPr>
            <w:tcW w:w="2547" w:type="dxa"/>
            <w:vMerge w:val="restart"/>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 xml:space="preserve">Ringelblume </w:t>
            </w:r>
            <w:r w:rsidRPr="00C47725">
              <w:rPr>
                <w:rFonts w:cs="Arial"/>
                <w:caps w:val="0"/>
                <w:lang w:val="de-DE"/>
              </w:rPr>
              <w:br/>
              <w:t>(</w:t>
            </w:r>
            <w:r w:rsidRPr="00C47725">
              <w:rPr>
                <w:rFonts w:cs="Arial"/>
                <w:i/>
                <w:caps w:val="0"/>
                <w:lang w:val="de-DE"/>
              </w:rPr>
              <w:t>Calendula</w:t>
            </w:r>
            <w:r w:rsidRPr="00C47725">
              <w:rPr>
                <w:rFonts w:cs="Arial"/>
                <w:caps w:val="0"/>
                <w:lang w:val="de-DE"/>
              </w:rPr>
              <w:t xml:space="preserve"> L.)</w:t>
            </w:r>
          </w:p>
        </w:tc>
        <w:tc>
          <w:tcPr>
            <w:tcW w:w="2899" w:type="dxa"/>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TG/CALEN(proj.4)</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lang w:val="de-DE"/>
              </w:rPr>
              <w:t>Herr Koji Nakanishi (JP)</w:t>
            </w:r>
          </w:p>
        </w:tc>
        <w:tc>
          <w:tcPr>
            <w:tcW w:w="736" w:type="dxa"/>
            <w:vMerge w:val="restart"/>
            <w:shd w:val="clear" w:color="auto" w:fill="D9D9D9"/>
            <w:vAlign w:val="center"/>
          </w:tcPr>
          <w:p w:rsidR="002D20DB" w:rsidRPr="00C47725" w:rsidRDefault="002D20DB" w:rsidP="002B5125">
            <w:pPr>
              <w:keepNext/>
              <w:jc w:val="left"/>
              <w:rPr>
                <w:rFonts w:cs="Arial"/>
                <w:iCs/>
                <w:lang w:val="de-DE"/>
              </w:rPr>
            </w:pPr>
            <w:r w:rsidRPr="00C47725">
              <w:rPr>
                <w:rFonts w:cs="Arial"/>
                <w:iCs/>
                <w:lang w:val="de-DE"/>
              </w:rPr>
              <w:t>TWO</w:t>
            </w:r>
          </w:p>
        </w:tc>
        <w:tc>
          <w:tcPr>
            <w:tcW w:w="993" w:type="dxa"/>
            <w:vMerge w:val="restart"/>
            <w:shd w:val="clear" w:color="auto" w:fill="D9D9D9"/>
            <w:vAlign w:val="center"/>
          </w:tcPr>
          <w:p w:rsidR="002D20DB" w:rsidRPr="00C47725" w:rsidRDefault="002D20DB" w:rsidP="002B5125">
            <w:pPr>
              <w:pStyle w:val="BodyText"/>
              <w:keepNext/>
              <w:jc w:val="left"/>
              <w:rPr>
                <w:rFonts w:cs="Arial"/>
                <w:iCs/>
                <w:snapToGrid w:val="0"/>
                <w:lang w:val="de-DE"/>
              </w:rPr>
            </w:pPr>
            <w:r w:rsidRPr="00C47725">
              <w:rPr>
                <w:rFonts w:cs="Arial"/>
                <w:iCs/>
                <w:snapToGrid w:val="0"/>
                <w:lang w:val="de-DE"/>
              </w:rPr>
              <w:t>*</w:t>
            </w:r>
          </w:p>
        </w:tc>
      </w:tr>
      <w:tr w:rsidR="002D20DB" w:rsidRPr="000E6F70" w:rsidTr="002B5125">
        <w:trPr>
          <w:cantSplit/>
          <w:trHeight w:hRule="exact" w:val="791"/>
          <w:jc w:val="center"/>
        </w:trPr>
        <w:tc>
          <w:tcPr>
            <w:tcW w:w="2547" w:type="dxa"/>
            <w:vMerge/>
            <w:shd w:val="clear" w:color="auto" w:fill="D9D9D9"/>
            <w:vAlign w:val="center"/>
          </w:tcPr>
          <w:p w:rsidR="002D20DB" w:rsidRPr="00C47725" w:rsidRDefault="002D20DB" w:rsidP="002B5125">
            <w:pPr>
              <w:pStyle w:val="TitleofDoc"/>
              <w:keepNext/>
              <w:tabs>
                <w:tab w:val="left" w:pos="5245"/>
                <w:tab w:val="left" w:pos="7008"/>
              </w:tabs>
              <w:jc w:val="left"/>
              <w:rPr>
                <w:rFonts w:cs="Arial"/>
                <w:caps w:val="0"/>
                <w:lang w:val="de-DE"/>
              </w:rPr>
            </w:pPr>
          </w:p>
        </w:tc>
        <w:tc>
          <w:tcPr>
            <w:tcW w:w="2899" w:type="dxa"/>
            <w:shd w:val="clear" w:color="auto" w:fill="D9D9D9"/>
            <w:vAlign w:val="center"/>
          </w:tcPr>
          <w:p w:rsidR="002D20DB" w:rsidRPr="00C47725" w:rsidRDefault="002D20DB" w:rsidP="002B5125">
            <w:pPr>
              <w:pStyle w:val="BodyText"/>
              <w:keepNext/>
              <w:jc w:val="left"/>
              <w:rPr>
                <w:rFonts w:cs="Arial"/>
                <w:color w:val="000000"/>
                <w:lang w:val="de-DE"/>
              </w:rPr>
            </w:pPr>
            <w:r>
              <w:rPr>
                <w:rFonts w:cs="Arial"/>
                <w:color w:val="000000"/>
                <w:lang w:val="de-DE"/>
              </w:rPr>
              <w:t>Anzahl von Merkmalen</w:t>
            </w:r>
            <w:r w:rsidRPr="00C47725">
              <w:rPr>
                <w:rFonts w:cs="Arial"/>
                <w:color w:val="000000"/>
                <w:lang w:val="de-DE"/>
              </w:rPr>
              <w:t>: 36</w:t>
            </w:r>
            <w:r w:rsidRPr="00C47725">
              <w:rPr>
                <w:rFonts w:cs="Arial"/>
                <w:color w:val="000000"/>
                <w:lang w:val="de-DE"/>
              </w:rPr>
              <w:br/>
            </w:r>
            <w:r>
              <w:rPr>
                <w:rFonts w:cs="Arial"/>
                <w:color w:val="000000"/>
                <w:lang w:val="de-DE"/>
              </w:rPr>
              <w:t>Anzahl</w:t>
            </w:r>
            <w:r w:rsidRPr="00C47725">
              <w:rPr>
                <w:rFonts w:cs="Arial"/>
                <w:color w:val="000000"/>
                <w:lang w:val="de-DE"/>
              </w:rPr>
              <w:t xml:space="preserve"> von </w:t>
            </w:r>
            <w:r>
              <w:rPr>
                <w:rFonts w:cs="Arial"/>
                <w:color w:val="000000"/>
                <w:lang w:val="de-DE"/>
              </w:rPr>
              <w:t>(*)</w:t>
            </w:r>
            <w:r w:rsidRPr="00C47725">
              <w:rPr>
                <w:rFonts w:cs="Arial"/>
                <w:color w:val="000000"/>
                <w:lang w:val="de-DE"/>
              </w:rPr>
              <w:t xml:space="preserve"> Merkmal</w:t>
            </w:r>
            <w:r>
              <w:rPr>
                <w:rFonts w:cs="Arial"/>
                <w:color w:val="000000"/>
                <w:lang w:val="de-DE"/>
              </w:rPr>
              <w:t>en</w:t>
            </w:r>
            <w:r w:rsidRPr="00C47725">
              <w:rPr>
                <w:rFonts w:cs="Arial"/>
                <w:color w:val="000000"/>
                <w:lang w:val="de-DE"/>
              </w:rPr>
              <w:t>: 22</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iCs/>
                <w:snapToGrid w:val="0"/>
                <w:color w:val="000000"/>
                <w:lang w:val="de-DE"/>
              </w:rPr>
              <w:t xml:space="preserve">(Beteiligte Sachverständige: </w:t>
            </w:r>
            <w:r w:rsidRPr="00C47725">
              <w:rPr>
                <w:rFonts w:cs="Arial"/>
                <w:lang w:val="de-DE"/>
              </w:rPr>
              <w:t>DE, GB, KR, MX, QZ, ZA</w:t>
            </w:r>
            <w:r w:rsidRPr="00C47725">
              <w:rPr>
                <w:rFonts w:eastAsia="SimSun" w:cs="Arial"/>
                <w:lang w:val="de-DE" w:eastAsia="zh-CN"/>
              </w:rPr>
              <w:t>)</w:t>
            </w:r>
          </w:p>
        </w:tc>
        <w:tc>
          <w:tcPr>
            <w:tcW w:w="736" w:type="dxa"/>
            <w:vMerge/>
            <w:shd w:val="clear" w:color="auto" w:fill="D9D9D9"/>
            <w:vAlign w:val="center"/>
          </w:tcPr>
          <w:p w:rsidR="002D20DB" w:rsidRPr="00C47725" w:rsidRDefault="002D20DB" w:rsidP="002B5125">
            <w:pPr>
              <w:keepNext/>
              <w:jc w:val="left"/>
              <w:rPr>
                <w:rFonts w:cs="Arial"/>
                <w:iCs/>
                <w:lang w:val="de-DE"/>
              </w:rPr>
            </w:pPr>
          </w:p>
        </w:tc>
        <w:tc>
          <w:tcPr>
            <w:tcW w:w="993" w:type="dxa"/>
            <w:vMerge/>
            <w:shd w:val="clear" w:color="auto" w:fill="D9D9D9"/>
            <w:vAlign w:val="center"/>
          </w:tcPr>
          <w:p w:rsidR="002D20DB" w:rsidRPr="00C47725" w:rsidRDefault="002D20DB" w:rsidP="002B5125">
            <w:pPr>
              <w:pStyle w:val="BodyText"/>
              <w:keepNext/>
              <w:jc w:val="left"/>
              <w:rPr>
                <w:rFonts w:cs="Arial"/>
                <w:iCs/>
                <w:snapToGrid w:val="0"/>
                <w:lang w:val="de-DE"/>
              </w:rPr>
            </w:pPr>
          </w:p>
        </w:tc>
      </w:tr>
    </w:tbl>
    <w:p w:rsidR="002D20DB" w:rsidRPr="00C47725" w:rsidRDefault="002D20DB" w:rsidP="002D20DB">
      <w:pPr>
        <w:keepNext/>
        <w:rPr>
          <w:rFonts w:eastAsia="Arial" w:cs="Arial"/>
          <w:color w:val="000000"/>
          <w:u w:val="single"/>
          <w:lang w:val="de-DE"/>
        </w:rPr>
      </w:pPr>
    </w:p>
    <w:p w:rsidR="002D20DB" w:rsidRPr="00C47725" w:rsidRDefault="002D20DB" w:rsidP="002D20DB">
      <w:pPr>
        <w:ind w:firstLine="567"/>
        <w:rPr>
          <w:rFonts w:cs="Arial"/>
          <w:snapToGrid w:val="0"/>
          <w:lang w:val="de-DE"/>
        </w:rPr>
      </w:pPr>
      <w:r w:rsidRPr="00C47725">
        <w:rPr>
          <w:rFonts w:cs="Arial"/>
          <w:snapToGrid w:val="0"/>
          <w:lang w:val="de-DE"/>
        </w:rPr>
        <w:t>Der TC-EDC prüfte auf seiner Sitzung im Oktober 2019 in Genf Dokument </w:t>
      </w:r>
      <w:r w:rsidRPr="00C47725">
        <w:rPr>
          <w:rFonts w:cs="Arial"/>
          <w:caps/>
          <w:lang w:val="de-DE"/>
        </w:rPr>
        <w:t>TG/CALEN(</w:t>
      </w:r>
      <w:r w:rsidRPr="00C47725">
        <w:rPr>
          <w:rFonts w:cs="Arial"/>
          <w:lang w:val="de-DE"/>
        </w:rPr>
        <w:t>proj</w:t>
      </w:r>
      <w:r w:rsidRPr="00C47725">
        <w:rPr>
          <w:rFonts w:cs="Arial"/>
          <w:caps/>
          <w:lang w:val="de-DE"/>
        </w:rPr>
        <w:t>.4)</w:t>
      </w:r>
      <w:r w:rsidRPr="00C47725">
        <w:rPr>
          <w:rFonts w:cs="Arial"/>
          <w:snapToGrid w:val="0"/>
          <w:lang w:val="de-DE"/>
        </w:rPr>
        <w:t xml:space="preserve"> und gab die in der nachstehenden Tabelle aufgeführten Empfehlungen ab:</w:t>
      </w:r>
    </w:p>
    <w:p w:rsidR="002D20DB" w:rsidRPr="00C47725" w:rsidRDefault="002D20DB" w:rsidP="002D20DB">
      <w:pPr>
        <w:keepNext/>
        <w:rPr>
          <w:rFonts w:eastAsia="Arial" w:cs="Arial"/>
          <w:color w:val="000000"/>
          <w:u w:val="single"/>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11</w:t>
            </w:r>
          </w:p>
        </w:tc>
        <w:tc>
          <w:tcPr>
            <w:tcW w:w="8208" w:type="dxa"/>
          </w:tcPr>
          <w:p w:rsidR="002D20DB" w:rsidRPr="00C47725" w:rsidRDefault="002D20DB" w:rsidP="002B5125">
            <w:pPr>
              <w:keepNext/>
              <w:rPr>
                <w:rFonts w:cs="Arial"/>
                <w:lang w:val="de-DE"/>
              </w:rPr>
            </w:pPr>
            <w:r>
              <w:rPr>
                <w:rFonts w:cs="Arial"/>
                <w:lang w:val="de-DE"/>
              </w:rPr>
              <w:t>ist</w:t>
            </w:r>
            <w:r w:rsidRPr="00C47725">
              <w:rPr>
                <w:rFonts w:cs="Arial"/>
                <w:lang w:val="de-DE"/>
              </w:rPr>
              <w:t xml:space="preserve"> zweimal</w:t>
            </w:r>
            <w:r>
              <w:rPr>
                <w:rFonts w:cs="Arial"/>
                <w:lang w:val="de-DE"/>
              </w:rPr>
              <w:t xml:space="preserve"> vorhanden</w:t>
            </w:r>
            <w:r w:rsidRPr="00C47725">
              <w:rPr>
                <w:rFonts w:cs="Arial"/>
                <w:lang w:val="de-DE"/>
              </w:rPr>
              <w:t>, einmal streichen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Zu 6</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Angabe von</w:t>
            </w:r>
            <w:r>
              <w:rPr>
                <w:rFonts w:cs="Arial"/>
                <w:lang w:val="de-DE"/>
              </w:rPr>
              <w:t xml:space="preserve"> „</w:t>
            </w:r>
            <w:r w:rsidRPr="00C47725">
              <w:rPr>
                <w:rFonts w:cs="Arial"/>
                <w:lang w:val="de-DE"/>
              </w:rPr>
              <w:t>B</w:t>
            </w:r>
            <w:r>
              <w:rPr>
                <w:rFonts w:cs="Arial"/>
                <w:lang w:val="de-DE"/>
              </w:rPr>
              <w:t>“</w:t>
            </w:r>
            <w:r w:rsidRPr="00C47725">
              <w:rPr>
                <w:rFonts w:cs="Arial"/>
                <w:lang w:val="de-DE"/>
              </w:rPr>
              <w:t xml:space="preserve"> verschieben (sollte das Blatt nicht bedecken)</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47"/>
        <w:gridCol w:w="2899"/>
        <w:gridCol w:w="2807"/>
        <w:gridCol w:w="736"/>
        <w:gridCol w:w="993"/>
      </w:tblGrid>
      <w:tr w:rsidR="002D20DB" w:rsidRPr="00C47725" w:rsidTr="002B5125">
        <w:trPr>
          <w:cantSplit/>
          <w:trHeight w:val="277"/>
          <w:jc w:val="center"/>
        </w:trPr>
        <w:tc>
          <w:tcPr>
            <w:tcW w:w="2547" w:type="dxa"/>
            <w:vMerge w:val="restart"/>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 xml:space="preserve">Mädchenauge </w:t>
            </w:r>
            <w:r w:rsidRPr="00C47725">
              <w:rPr>
                <w:rFonts w:cs="Arial"/>
                <w:caps w:val="0"/>
                <w:lang w:val="de-DE"/>
              </w:rPr>
              <w:br/>
              <w:t>(</w:t>
            </w:r>
            <w:r w:rsidRPr="00C47725">
              <w:rPr>
                <w:rFonts w:cs="Arial"/>
                <w:i/>
                <w:caps w:val="0"/>
                <w:lang w:val="de-DE"/>
              </w:rPr>
              <w:t>Coreopsis</w:t>
            </w:r>
            <w:r w:rsidRPr="00C47725">
              <w:rPr>
                <w:rFonts w:cs="Arial"/>
                <w:caps w:val="0"/>
                <w:lang w:val="de-DE"/>
              </w:rPr>
              <w:t xml:space="preserve"> L.)</w:t>
            </w:r>
          </w:p>
        </w:tc>
        <w:tc>
          <w:tcPr>
            <w:tcW w:w="2899" w:type="dxa"/>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TG/COREO(proj.3)</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lang w:val="de-DE"/>
              </w:rPr>
              <w:t>Herr Peter Baker (GB)</w:t>
            </w:r>
          </w:p>
        </w:tc>
        <w:tc>
          <w:tcPr>
            <w:tcW w:w="736" w:type="dxa"/>
            <w:vMerge w:val="restart"/>
            <w:shd w:val="clear" w:color="auto" w:fill="D9D9D9"/>
            <w:vAlign w:val="center"/>
          </w:tcPr>
          <w:p w:rsidR="002D20DB" w:rsidRPr="00C47725" w:rsidRDefault="002D20DB" w:rsidP="002B5125">
            <w:pPr>
              <w:keepNext/>
              <w:jc w:val="left"/>
              <w:rPr>
                <w:rFonts w:cs="Arial"/>
                <w:iCs/>
                <w:lang w:val="de-DE"/>
              </w:rPr>
            </w:pPr>
            <w:r w:rsidRPr="00C47725">
              <w:rPr>
                <w:rFonts w:cs="Arial"/>
                <w:iCs/>
                <w:lang w:val="de-DE"/>
              </w:rPr>
              <w:t>TWO</w:t>
            </w:r>
          </w:p>
        </w:tc>
        <w:tc>
          <w:tcPr>
            <w:tcW w:w="993" w:type="dxa"/>
            <w:vMerge w:val="restart"/>
            <w:shd w:val="clear" w:color="auto" w:fill="D9D9D9"/>
            <w:vAlign w:val="center"/>
          </w:tcPr>
          <w:p w:rsidR="002D20DB" w:rsidRPr="00C47725" w:rsidRDefault="002D20DB" w:rsidP="002B5125">
            <w:pPr>
              <w:pStyle w:val="BodyText"/>
              <w:keepNext/>
              <w:jc w:val="left"/>
              <w:rPr>
                <w:rFonts w:cs="Arial"/>
                <w:iCs/>
                <w:snapToGrid w:val="0"/>
                <w:lang w:val="de-DE"/>
              </w:rPr>
            </w:pPr>
            <w:r w:rsidRPr="00C47725">
              <w:rPr>
                <w:rFonts w:cs="Arial"/>
                <w:iCs/>
                <w:snapToGrid w:val="0"/>
                <w:lang w:val="de-DE"/>
              </w:rPr>
              <w:t>*</w:t>
            </w:r>
          </w:p>
        </w:tc>
      </w:tr>
      <w:tr w:rsidR="002D20DB" w:rsidRPr="000E6F70" w:rsidTr="002B5125">
        <w:trPr>
          <w:cantSplit/>
          <w:trHeight w:hRule="exact" w:val="953"/>
          <w:jc w:val="center"/>
        </w:trPr>
        <w:tc>
          <w:tcPr>
            <w:tcW w:w="2547" w:type="dxa"/>
            <w:vMerge/>
            <w:shd w:val="clear" w:color="auto" w:fill="D9D9D9"/>
            <w:vAlign w:val="center"/>
          </w:tcPr>
          <w:p w:rsidR="002D20DB" w:rsidRPr="00C47725" w:rsidRDefault="002D20DB" w:rsidP="002B5125">
            <w:pPr>
              <w:pStyle w:val="TitleofDoc"/>
              <w:keepNext/>
              <w:tabs>
                <w:tab w:val="left" w:pos="5245"/>
                <w:tab w:val="left" w:pos="7008"/>
              </w:tabs>
              <w:jc w:val="left"/>
              <w:rPr>
                <w:rFonts w:cs="Arial"/>
                <w:caps w:val="0"/>
                <w:lang w:val="de-DE"/>
              </w:rPr>
            </w:pPr>
          </w:p>
        </w:tc>
        <w:tc>
          <w:tcPr>
            <w:tcW w:w="2899" w:type="dxa"/>
            <w:shd w:val="clear" w:color="auto" w:fill="D9D9D9"/>
            <w:vAlign w:val="center"/>
          </w:tcPr>
          <w:p w:rsidR="002D20DB" w:rsidRPr="00C47725" w:rsidRDefault="002D20DB" w:rsidP="002B5125">
            <w:pPr>
              <w:pStyle w:val="BodyText"/>
              <w:keepNext/>
              <w:jc w:val="left"/>
              <w:rPr>
                <w:rFonts w:cs="Arial"/>
                <w:color w:val="000000"/>
                <w:lang w:val="de-DE"/>
              </w:rPr>
            </w:pPr>
            <w:r>
              <w:rPr>
                <w:rFonts w:cs="Arial"/>
                <w:color w:val="000000"/>
                <w:lang w:val="de-DE"/>
              </w:rPr>
              <w:t>Anzahl von Merkmalen</w:t>
            </w:r>
            <w:r w:rsidRPr="00C47725">
              <w:rPr>
                <w:rFonts w:cs="Arial"/>
                <w:color w:val="000000"/>
                <w:lang w:val="de-DE"/>
              </w:rPr>
              <w:t>: 44</w:t>
            </w:r>
            <w:r w:rsidRPr="00C47725">
              <w:rPr>
                <w:rFonts w:cs="Arial"/>
                <w:color w:val="000000"/>
                <w:lang w:val="de-DE"/>
              </w:rPr>
              <w:br/>
            </w:r>
            <w:r>
              <w:rPr>
                <w:rFonts w:cs="Arial"/>
                <w:color w:val="000000"/>
                <w:lang w:val="de-DE"/>
              </w:rPr>
              <w:t>Anzahl</w:t>
            </w:r>
            <w:r w:rsidRPr="00C47725">
              <w:rPr>
                <w:rFonts w:cs="Arial"/>
                <w:color w:val="000000"/>
                <w:lang w:val="de-DE"/>
              </w:rPr>
              <w:t xml:space="preserve"> von </w:t>
            </w:r>
            <w:r>
              <w:rPr>
                <w:rFonts w:cs="Arial"/>
                <w:color w:val="000000"/>
                <w:lang w:val="de-DE"/>
              </w:rPr>
              <w:t>(*)</w:t>
            </w:r>
            <w:r w:rsidRPr="00C47725">
              <w:rPr>
                <w:rFonts w:cs="Arial"/>
                <w:color w:val="000000"/>
                <w:lang w:val="de-DE"/>
              </w:rPr>
              <w:t xml:space="preserve"> Merkmal</w:t>
            </w:r>
            <w:r>
              <w:rPr>
                <w:rFonts w:cs="Arial"/>
                <w:color w:val="000000"/>
                <w:lang w:val="de-DE"/>
              </w:rPr>
              <w:t>en</w:t>
            </w:r>
            <w:r w:rsidRPr="00C47725">
              <w:rPr>
                <w:rFonts w:cs="Arial"/>
                <w:color w:val="000000"/>
                <w:lang w:val="de-DE"/>
              </w:rPr>
              <w:t>: 34</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iCs/>
                <w:snapToGrid w:val="0"/>
                <w:color w:val="000000"/>
                <w:lang w:val="de-DE"/>
              </w:rPr>
              <w:t xml:space="preserve">(Beteiligte Sachverständige: </w:t>
            </w:r>
            <w:r w:rsidRPr="00C47725">
              <w:rPr>
                <w:rFonts w:cs="Arial"/>
                <w:lang w:val="de-DE"/>
              </w:rPr>
              <w:t>AU, CA, DE, FR, JP, KR, MX, NZ, QZ</w:t>
            </w:r>
            <w:r w:rsidRPr="00C47725">
              <w:rPr>
                <w:rFonts w:eastAsia="SimSun" w:cs="Arial"/>
                <w:lang w:val="de-DE" w:eastAsia="zh-CN"/>
              </w:rPr>
              <w:t>)</w:t>
            </w:r>
          </w:p>
        </w:tc>
        <w:tc>
          <w:tcPr>
            <w:tcW w:w="736" w:type="dxa"/>
            <w:vMerge/>
            <w:shd w:val="clear" w:color="auto" w:fill="D9D9D9"/>
            <w:vAlign w:val="center"/>
          </w:tcPr>
          <w:p w:rsidR="002D20DB" w:rsidRPr="00C47725" w:rsidRDefault="002D20DB" w:rsidP="002B5125">
            <w:pPr>
              <w:keepNext/>
              <w:jc w:val="left"/>
              <w:rPr>
                <w:rFonts w:cs="Arial"/>
                <w:iCs/>
                <w:lang w:val="de-DE"/>
              </w:rPr>
            </w:pPr>
          </w:p>
        </w:tc>
        <w:tc>
          <w:tcPr>
            <w:tcW w:w="993" w:type="dxa"/>
            <w:vMerge/>
            <w:shd w:val="clear" w:color="auto" w:fill="D9D9D9"/>
            <w:vAlign w:val="center"/>
          </w:tcPr>
          <w:p w:rsidR="002D20DB" w:rsidRPr="00C47725" w:rsidRDefault="002D20DB" w:rsidP="002B5125">
            <w:pPr>
              <w:pStyle w:val="BodyText"/>
              <w:keepNext/>
              <w:jc w:val="left"/>
              <w:rPr>
                <w:rFonts w:cs="Arial"/>
                <w:iCs/>
                <w:snapToGrid w:val="0"/>
                <w:lang w:val="de-DE"/>
              </w:rPr>
            </w:pPr>
          </w:p>
        </w:tc>
      </w:tr>
    </w:tbl>
    <w:p w:rsidR="002D20DB" w:rsidRPr="00C47725" w:rsidRDefault="002D20DB" w:rsidP="002D20DB">
      <w:pPr>
        <w:keepNext/>
        <w:rPr>
          <w:rFonts w:eastAsia="Arial" w:cs="Arial"/>
          <w:color w:val="000000"/>
          <w:u w:val="single"/>
          <w:lang w:val="de-DE"/>
        </w:rPr>
      </w:pPr>
    </w:p>
    <w:p w:rsidR="002D20DB" w:rsidRPr="00C47725" w:rsidRDefault="002D20DB" w:rsidP="002D20DB">
      <w:pPr>
        <w:keepNext/>
        <w:ind w:firstLine="567"/>
        <w:rPr>
          <w:rFonts w:cs="Arial"/>
          <w:snapToGrid w:val="0"/>
          <w:lang w:val="de-DE"/>
        </w:rPr>
      </w:pPr>
      <w:r w:rsidRPr="00C47725">
        <w:rPr>
          <w:rFonts w:cs="Arial"/>
          <w:snapToGrid w:val="0"/>
          <w:lang w:val="de-DE"/>
        </w:rPr>
        <w:t>Der TC-EDC prüfte auf seiner Sitzung im Oktober 2019 in Genf Dokument </w:t>
      </w:r>
      <w:r w:rsidRPr="00C47725">
        <w:rPr>
          <w:rFonts w:cs="Arial"/>
          <w:caps/>
          <w:lang w:val="de-DE"/>
        </w:rPr>
        <w:t>TG/COREO(</w:t>
      </w:r>
      <w:r w:rsidRPr="00C47725">
        <w:rPr>
          <w:rFonts w:cs="Arial"/>
          <w:lang w:val="de-DE"/>
        </w:rPr>
        <w:t>proj</w:t>
      </w:r>
      <w:r w:rsidRPr="00C47725">
        <w:rPr>
          <w:rFonts w:cs="Arial"/>
          <w:caps/>
          <w:lang w:val="de-DE"/>
        </w:rPr>
        <w:t xml:space="preserve">.3) </w:t>
      </w:r>
      <w:r w:rsidRPr="00C47725">
        <w:rPr>
          <w:rFonts w:cs="Arial"/>
          <w:lang w:val="de-DE"/>
        </w:rPr>
        <w:t>und gab die in der nachstehenden Tabelle aufgeführten Empfehlungen ab</w:t>
      </w:r>
      <w:r w:rsidRPr="00C47725">
        <w:rPr>
          <w:rFonts w:cs="Arial"/>
          <w:snapToGrid w:val="0"/>
          <w:lang w:val="de-DE"/>
        </w:rPr>
        <w:t>.</w:t>
      </w:r>
    </w:p>
    <w:p w:rsidR="002D20DB" w:rsidRPr="00C47725" w:rsidRDefault="002D20DB" w:rsidP="002D20DB">
      <w:pPr>
        <w:keepNext/>
        <w:rPr>
          <w:rFonts w:eastAsia="Arial" w:cs="Arial"/>
          <w:color w:val="000000"/>
          <w:u w:val="single"/>
          <w:lang w:val="de-DE"/>
        </w:rPr>
      </w:pPr>
    </w:p>
    <w:p w:rsidR="002D20DB" w:rsidRPr="00C47725" w:rsidRDefault="002D20DB" w:rsidP="002D20DB">
      <w:pPr>
        <w:ind w:firstLine="567"/>
        <w:rPr>
          <w:rFonts w:cs="Arial"/>
          <w:lang w:val="de-DE"/>
        </w:rPr>
      </w:pPr>
      <w:r w:rsidRPr="00C47725">
        <w:rPr>
          <w:rFonts w:cs="Arial"/>
          <w:lang w:val="de-DE"/>
        </w:rPr>
        <w:t>Der TC-EDC vereinbarte, dass der Entwurf von Prüfungsrichtlinien für Mädchenauge an die TWO zurückverwiesen werden sollte, um die technischen Fragen zu klären, die nachstehend durch</w:t>
      </w:r>
      <w:r>
        <w:rPr>
          <w:rFonts w:cs="Arial"/>
          <w:lang w:val="de-DE"/>
        </w:rPr>
        <w:t xml:space="preserve"> „</w:t>
      </w:r>
      <w:r w:rsidR="00BD3FC0" w:rsidRPr="00C47725">
        <w:rPr>
          <w:rFonts w:cs="Arial"/>
          <w:snapToGrid w:val="0"/>
          <w:vertAlign w:val="superscript"/>
          <w:lang w:val="de-DE"/>
        </w:rPr>
        <w:t>#</w:t>
      </w:r>
      <w:r>
        <w:rPr>
          <w:rFonts w:cs="Arial"/>
          <w:lang w:val="de-DE"/>
        </w:rPr>
        <w:t>“</w:t>
      </w:r>
      <w:r w:rsidRPr="00C47725">
        <w:rPr>
          <w:rFonts w:cs="Arial"/>
          <w:lang w:val="de-DE"/>
        </w:rPr>
        <w:t xml:space="preserve"> gekennzeichnet sind.</w:t>
      </w:r>
    </w:p>
    <w:p w:rsidR="002D20DB" w:rsidRPr="00C47725" w:rsidRDefault="002D20DB" w:rsidP="002D20DB">
      <w:pPr>
        <w:rPr>
          <w:rFonts w:eastAsia="Arial" w:cs="Arial"/>
          <w:color w:val="000000"/>
          <w:u w:val="single"/>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snapToGrid w:val="0"/>
                <w:vertAlign w:val="superscript"/>
                <w:lang w:val="de-DE"/>
              </w:rPr>
              <w:t>#</w:t>
            </w:r>
            <w:r w:rsidRPr="00C47725">
              <w:rPr>
                <w:rFonts w:cs="Arial"/>
                <w:lang w:val="de-DE"/>
              </w:rPr>
              <w:t>Merkmale 1, 8, 17, 20, 24, 27, 39, 40, 41, 42</w:t>
            </w:r>
          </w:p>
        </w:tc>
        <w:tc>
          <w:tcPr>
            <w:tcW w:w="8208" w:type="dxa"/>
          </w:tcPr>
          <w:p w:rsidR="002D20DB" w:rsidRPr="00C47725" w:rsidRDefault="002D20DB" w:rsidP="002B5125">
            <w:pPr>
              <w:rPr>
                <w:rFonts w:eastAsia="Arial" w:cs="Arial"/>
                <w:color w:val="000000"/>
                <w:lang w:val="de-DE"/>
              </w:rPr>
            </w:pPr>
            <w:r w:rsidRPr="00C47725">
              <w:rPr>
                <w:rFonts w:eastAsia="Arial" w:cs="Arial"/>
                <w:color w:val="000000"/>
                <w:lang w:val="de-DE"/>
              </w:rPr>
              <w:t xml:space="preserve">Beispielsorten </w:t>
            </w:r>
            <w:r>
              <w:rPr>
                <w:rFonts w:eastAsia="Arial" w:cs="Arial"/>
                <w:color w:val="000000"/>
                <w:lang w:val="de-DE"/>
              </w:rPr>
              <w:t xml:space="preserve">hinzufügen </w:t>
            </w:r>
            <w:r w:rsidRPr="00C47725">
              <w:rPr>
                <w:rFonts w:eastAsia="Arial" w:cs="Arial"/>
                <w:color w:val="000000"/>
                <w:lang w:val="de-DE"/>
              </w:rPr>
              <w:t xml:space="preserve">(vergleiche Dokument TGP/7 (GN 28)) </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snapToGrid w:val="0"/>
                <w:vertAlign w:val="superscript"/>
                <w:lang w:val="de-DE"/>
              </w:rPr>
              <w:t>#</w:t>
            </w:r>
            <w:r w:rsidRPr="00C47725">
              <w:rPr>
                <w:rFonts w:cs="Arial"/>
                <w:lang w:val="de-DE"/>
              </w:rPr>
              <w:t xml:space="preserve">Merkmale 6 </w:t>
            </w:r>
            <w:r>
              <w:rPr>
                <w:rFonts w:cs="Arial"/>
                <w:lang w:val="de-DE"/>
              </w:rPr>
              <w:t>bis</w:t>
            </w:r>
            <w:r w:rsidRPr="00C47725">
              <w:rPr>
                <w:rFonts w:cs="Arial"/>
                <w:lang w:val="de-DE"/>
              </w:rPr>
              <w:t xml:space="preserve"> 11 und 15 bis 17</w:t>
            </w:r>
          </w:p>
        </w:tc>
        <w:tc>
          <w:tcPr>
            <w:tcW w:w="8208" w:type="dxa"/>
          </w:tcPr>
          <w:p w:rsidR="002D20DB" w:rsidRPr="00C47725" w:rsidRDefault="002D20DB" w:rsidP="002B5125">
            <w:pPr>
              <w:jc w:val="left"/>
              <w:rPr>
                <w:rFonts w:cs="Arial"/>
                <w:lang w:val="de-DE"/>
              </w:rPr>
            </w:pPr>
            <w:r w:rsidRPr="00C47725">
              <w:rPr>
                <w:rFonts w:cs="Arial"/>
                <w:lang w:val="de-DE"/>
              </w:rPr>
              <w:t xml:space="preserve">Gemäß Zu 5 können alle Sorten beide Blatttypen haben </w:t>
            </w:r>
          </w:p>
          <w:p w:rsidR="002D20DB" w:rsidRPr="00C47725" w:rsidRDefault="002D20DB" w:rsidP="002B5125">
            <w:pPr>
              <w:jc w:val="left"/>
              <w:rPr>
                <w:rFonts w:cs="Arial"/>
                <w:highlight w:val="yellow"/>
                <w:lang w:val="de-DE"/>
              </w:rPr>
            </w:pPr>
            <w:r w:rsidRPr="00C47725">
              <w:rPr>
                <w:rFonts w:cs="Arial"/>
                <w:lang w:val="de-DE"/>
              </w:rPr>
              <w:t>Klärung notwendig, ob alle Merkmale für Sorten mit Note 1, 2 und 3 in Merkmal 5 beschrieben werden soll</w:t>
            </w:r>
            <w:r>
              <w:rPr>
                <w:rFonts w:cs="Arial"/>
                <w:lang w:val="de-DE"/>
              </w:rPr>
              <w:t>t</w:t>
            </w:r>
            <w:r w:rsidRPr="00C47725">
              <w:rPr>
                <w:rFonts w:cs="Arial"/>
                <w:lang w:val="de-DE"/>
              </w:rPr>
              <w:t>en.</w:t>
            </w:r>
          </w:p>
        </w:tc>
      </w:tr>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Merkmale 12 bis 14</w:t>
            </w:r>
          </w:p>
        </w:tc>
        <w:tc>
          <w:tcPr>
            <w:tcW w:w="8208" w:type="dxa"/>
          </w:tcPr>
          <w:p w:rsidR="002D20DB" w:rsidRPr="00C47725" w:rsidRDefault="002D20DB" w:rsidP="002B5125">
            <w:pPr>
              <w:jc w:val="left"/>
              <w:rPr>
                <w:rFonts w:cs="Arial"/>
                <w:highlight w:val="yellow"/>
                <w:lang w:val="de-DE"/>
              </w:rPr>
            </w:pPr>
            <w:r w:rsidRPr="00C47725">
              <w:rPr>
                <w:rFonts w:cs="Arial"/>
                <w:lang w:val="de-DE"/>
              </w:rPr>
              <w:t>nach Merkmal 17</w:t>
            </w:r>
            <w:r>
              <w:rPr>
                <w:rFonts w:cs="Arial"/>
                <w:lang w:val="de-DE"/>
              </w:rPr>
              <w:t xml:space="preserve"> verschieben</w:t>
            </w:r>
          </w:p>
        </w:tc>
      </w:tr>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30</w:t>
            </w:r>
          </w:p>
        </w:tc>
        <w:tc>
          <w:tcPr>
            <w:tcW w:w="8208" w:type="dxa"/>
          </w:tcPr>
          <w:p w:rsidR="002D20DB" w:rsidRPr="00C47725" w:rsidRDefault="002D20DB" w:rsidP="002B5125">
            <w:pPr>
              <w:jc w:val="left"/>
              <w:rPr>
                <w:rFonts w:cs="Arial"/>
                <w:lang w:val="de-DE"/>
              </w:rPr>
            </w:pPr>
            <w:r>
              <w:rPr>
                <w:rFonts w:cs="Arial"/>
                <w:lang w:val="de-DE"/>
              </w:rPr>
              <w:t>„</w:t>
            </w:r>
            <w:r w:rsidRPr="00C47725">
              <w:rPr>
                <w:rFonts w:cs="Arial"/>
                <w:lang w:val="de-DE"/>
              </w:rPr>
              <w:t>durchgehend</w:t>
            </w:r>
            <w:r>
              <w:rPr>
                <w:rFonts w:cs="Arial"/>
                <w:lang w:val="de-DE"/>
              </w:rPr>
              <w:t>“</w:t>
            </w:r>
            <w:r w:rsidRPr="00C47725">
              <w:rPr>
                <w:rFonts w:cs="Arial"/>
                <w:lang w:val="de-DE"/>
              </w:rPr>
              <w:t xml:space="preserve"> sollte Note 15 sein</w:t>
            </w:r>
          </w:p>
        </w:tc>
      </w:tr>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 xml:space="preserve">Merkmal 32 </w:t>
            </w:r>
          </w:p>
        </w:tc>
        <w:tc>
          <w:tcPr>
            <w:tcW w:w="8208" w:type="dxa"/>
          </w:tcPr>
          <w:p w:rsidR="002D20DB" w:rsidRPr="00C47725" w:rsidRDefault="002D20DB" w:rsidP="002B5125">
            <w:pPr>
              <w:jc w:val="left"/>
              <w:rPr>
                <w:rFonts w:cs="Arial"/>
                <w:lang w:val="de-DE"/>
              </w:rPr>
            </w:pPr>
            <w:r w:rsidRPr="00C47725">
              <w:rPr>
                <w:rFonts w:cs="Arial"/>
                <w:lang w:val="de-DE"/>
              </w:rPr>
              <w:t>vor Merkmal 30</w:t>
            </w:r>
            <w:r>
              <w:rPr>
                <w:rFonts w:cs="Arial"/>
                <w:lang w:val="de-DE"/>
              </w:rPr>
              <w:t xml:space="preserve"> verschieben</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 xml:space="preserve">8.1 </w:t>
            </w:r>
            <w:r>
              <w:rPr>
                <w:rFonts w:cs="Arial"/>
                <w:lang w:val="de-DE"/>
              </w:rPr>
              <w:t>(</w:t>
            </w:r>
            <w:r w:rsidRPr="00C47725">
              <w:rPr>
                <w:rFonts w:cs="Arial"/>
                <w:lang w:val="de-DE"/>
              </w:rPr>
              <w:t>d)</w:t>
            </w:r>
          </w:p>
        </w:tc>
        <w:tc>
          <w:tcPr>
            <w:tcW w:w="8208" w:type="dxa"/>
          </w:tcPr>
          <w:p w:rsidR="002D20DB" w:rsidRPr="00C47725" w:rsidRDefault="002D20DB" w:rsidP="002B5125">
            <w:pPr>
              <w:keepNext/>
              <w:rPr>
                <w:rFonts w:cs="Arial"/>
                <w:lang w:val="de-DE"/>
              </w:rPr>
            </w:pPr>
            <w:r w:rsidRPr="00C47725">
              <w:rPr>
                <w:rFonts w:cs="Arial"/>
                <w:lang w:val="de-DE"/>
              </w:rPr>
              <w:t xml:space="preserve">erster </w:t>
            </w:r>
            <w:r w:rsidRPr="0060020D">
              <w:rPr>
                <w:rFonts w:cs="Arial"/>
                <w:lang w:val="de-DE"/>
              </w:rPr>
              <w:t>8.1</w:t>
            </w:r>
            <w:r>
              <w:rPr>
                <w:rFonts w:cs="Arial"/>
                <w:lang w:val="de-DE"/>
              </w:rPr>
              <w:t>(</w:t>
            </w:r>
            <w:r w:rsidRPr="0060020D">
              <w:rPr>
                <w:rFonts w:cs="Arial"/>
                <w:lang w:val="de-DE"/>
              </w:rPr>
              <w:t>d), in</w:t>
            </w:r>
            <w:r>
              <w:rPr>
                <w:rFonts w:cs="Arial"/>
                <w:lang w:val="de-DE"/>
              </w:rPr>
              <w:t xml:space="preserve"> „(</w:t>
            </w:r>
            <w:r w:rsidRPr="0060020D">
              <w:rPr>
                <w:rFonts w:cs="Arial"/>
                <w:lang w:val="de-DE"/>
              </w:rPr>
              <w:t>b)</w:t>
            </w:r>
            <w:r>
              <w:rPr>
                <w:rFonts w:cs="Arial"/>
                <w:lang w:val="de-DE"/>
              </w:rPr>
              <w:t>“</w:t>
            </w:r>
            <w:r w:rsidRPr="0060020D">
              <w:rPr>
                <w:rFonts w:cs="Arial"/>
                <w:lang w:val="de-DE"/>
              </w:rPr>
              <w:t xml:space="preserve"> (type-o) umbenennen </w:t>
            </w:r>
          </w:p>
        </w:tc>
      </w:tr>
      <w:tr w:rsidR="002D20DB" w:rsidRPr="000E6F70" w:rsidTr="002B5125">
        <w:trPr>
          <w:cantSplit/>
        </w:trPr>
        <w:tc>
          <w:tcPr>
            <w:tcW w:w="1573" w:type="dxa"/>
          </w:tcPr>
          <w:p w:rsidR="002D20DB" w:rsidRPr="00C47725" w:rsidRDefault="002D20DB" w:rsidP="002B5125">
            <w:pPr>
              <w:rPr>
                <w:rFonts w:cs="Arial"/>
                <w:lang w:val="de-DE"/>
              </w:rPr>
            </w:pPr>
            <w:r w:rsidRPr="00C47725">
              <w:rPr>
                <w:rFonts w:cs="Arial"/>
                <w:lang w:val="de-DE"/>
              </w:rPr>
              <w:t xml:space="preserve">8.1 </w:t>
            </w:r>
            <w:r>
              <w:rPr>
                <w:rFonts w:cs="Arial"/>
                <w:lang w:val="de-DE"/>
              </w:rPr>
              <w:t>(</w:t>
            </w:r>
            <w:r w:rsidRPr="00C47725">
              <w:rPr>
                <w:rFonts w:cs="Arial"/>
                <w:lang w:val="de-DE"/>
              </w:rPr>
              <w:t>e)</w:t>
            </w:r>
          </w:p>
        </w:tc>
        <w:tc>
          <w:tcPr>
            <w:tcW w:w="8208" w:type="dxa"/>
          </w:tcPr>
          <w:p w:rsidR="002D20DB" w:rsidRPr="00C47725" w:rsidRDefault="002D20DB" w:rsidP="002B5125">
            <w:pPr>
              <w:rPr>
                <w:rFonts w:cs="Arial"/>
                <w:lang w:val="de-DE"/>
              </w:rPr>
            </w:pPr>
            <w:r w:rsidRPr="00C47725">
              <w:rPr>
                <w:rFonts w:cs="Arial"/>
                <w:lang w:val="de-DE"/>
              </w:rPr>
              <w:t>durch den Standardwortlaut ersetzen (vergleiche Dokument TGP/14)</w:t>
            </w:r>
          </w:p>
        </w:tc>
      </w:tr>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5</w:t>
            </w:r>
          </w:p>
        </w:tc>
        <w:tc>
          <w:tcPr>
            <w:tcW w:w="8208" w:type="dxa"/>
          </w:tcPr>
          <w:p w:rsidR="002D20DB" w:rsidRPr="00C47725" w:rsidRDefault="002D20DB" w:rsidP="002B5125">
            <w:pPr>
              <w:jc w:val="left"/>
              <w:rPr>
                <w:rFonts w:cs="Arial"/>
                <w:lang w:val="de-DE"/>
              </w:rPr>
            </w:pPr>
            <w:r w:rsidRPr="00C47725">
              <w:rPr>
                <w:rFonts w:cs="Arial"/>
                <w:lang w:val="de-DE"/>
              </w:rPr>
              <w:t>sollte lauten</w:t>
            </w:r>
            <w:r>
              <w:rPr>
                <w:rFonts w:cs="Arial"/>
                <w:lang w:val="de-DE"/>
              </w:rPr>
              <w:t xml:space="preserve"> „</w:t>
            </w:r>
            <w:r w:rsidRPr="00C47725">
              <w:rPr>
                <w:rFonts w:cs="Arial"/>
                <w:lang w:val="de-DE"/>
              </w:rPr>
              <w:t>Einige Sorten haben beide Blatttypen. Der vorherrschende Blatttyp sollte erfasst werden. Die Stufe …</w:t>
            </w:r>
            <w:r>
              <w:rPr>
                <w:rFonts w:cs="Arial"/>
                <w:lang w:val="de-DE"/>
              </w:rPr>
              <w:t>“</w:t>
            </w:r>
          </w:p>
        </w:tc>
      </w:tr>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19</w:t>
            </w:r>
          </w:p>
        </w:tc>
        <w:tc>
          <w:tcPr>
            <w:tcW w:w="8208" w:type="dxa"/>
          </w:tcPr>
          <w:p w:rsidR="002D20DB" w:rsidRPr="00C47725" w:rsidRDefault="002D20DB" w:rsidP="002B5125">
            <w:pPr>
              <w:jc w:val="left"/>
              <w:rPr>
                <w:rFonts w:cs="Arial"/>
                <w:lang w:val="de-DE"/>
              </w:rPr>
            </w:pPr>
            <w:r w:rsidRPr="00C47725">
              <w:rPr>
                <w:rFonts w:cs="Arial"/>
                <w:lang w:val="de-DE"/>
              </w:rPr>
              <w:t>streichen</w:t>
            </w:r>
            <w:r>
              <w:rPr>
                <w:rFonts w:cs="Arial"/>
                <w:lang w:val="de-DE"/>
              </w:rPr>
              <w:t xml:space="preserve"> </w:t>
            </w:r>
            <w:r w:rsidRPr="00C47725">
              <w:rPr>
                <w:rFonts w:cs="Arial"/>
                <w:lang w:val="de-DE"/>
              </w:rPr>
              <w:t xml:space="preserve">(vergleiche VG) </w:t>
            </w:r>
          </w:p>
        </w:tc>
      </w:tr>
      <w:tr w:rsidR="002D20DB" w:rsidRPr="000E6F70" w:rsidTr="002B5125">
        <w:trPr>
          <w:cantSplit/>
        </w:trPr>
        <w:tc>
          <w:tcPr>
            <w:tcW w:w="1573" w:type="dxa"/>
          </w:tcPr>
          <w:p w:rsidR="002D20DB" w:rsidRPr="00C47725" w:rsidRDefault="002D20DB" w:rsidP="002B5125">
            <w:pPr>
              <w:keepNext/>
              <w:jc w:val="left"/>
              <w:rPr>
                <w:rFonts w:cs="Arial"/>
                <w:lang w:val="de-DE"/>
              </w:rPr>
            </w:pPr>
            <w:r w:rsidRPr="00C47725">
              <w:rPr>
                <w:rFonts w:cs="Arial"/>
                <w:lang w:val="de-DE"/>
              </w:rPr>
              <w:t>Zu 29</w:t>
            </w:r>
          </w:p>
        </w:tc>
        <w:tc>
          <w:tcPr>
            <w:tcW w:w="8208" w:type="dxa"/>
          </w:tcPr>
          <w:p w:rsidR="002D20DB" w:rsidRPr="00C47725" w:rsidRDefault="002D20DB" w:rsidP="002B5125">
            <w:pPr>
              <w:keepNext/>
              <w:jc w:val="left"/>
              <w:rPr>
                <w:rFonts w:cs="Arial"/>
                <w:lang w:val="de-DE"/>
              </w:rPr>
            </w:pPr>
            <w:r w:rsidRPr="00C47725">
              <w:rPr>
                <w:rFonts w:cs="Arial"/>
                <w:lang w:val="de-DE"/>
              </w:rPr>
              <w:t>Zeichnungen verbessern. Die Hauptfarbe sollte ganzflächig erscheinen, um Verwechslungen mit Zeichnungen für Merkmal 30 und 32 zu vermeiden.</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snapToGrid w:val="0"/>
                <w:vertAlign w:val="superscript"/>
                <w:lang w:val="de-DE"/>
              </w:rPr>
              <w:t>#</w:t>
            </w:r>
            <w:r w:rsidRPr="00C47725">
              <w:rPr>
                <w:rFonts w:cs="Arial"/>
                <w:lang w:val="de-DE"/>
              </w:rPr>
              <w:t>Zu 30</w:t>
            </w:r>
          </w:p>
        </w:tc>
        <w:tc>
          <w:tcPr>
            <w:tcW w:w="8208" w:type="dxa"/>
          </w:tcPr>
          <w:p w:rsidR="002D20DB" w:rsidRPr="00C47725" w:rsidRDefault="002D20DB" w:rsidP="002B5125">
            <w:pPr>
              <w:keepNext/>
              <w:jc w:val="left"/>
              <w:rPr>
                <w:rFonts w:cs="Arial"/>
                <w:lang w:val="de-DE"/>
              </w:rPr>
            </w:pPr>
            <w:r w:rsidRPr="00C47725">
              <w:rPr>
                <w:rFonts w:cs="Arial"/>
                <w:lang w:val="de-DE"/>
              </w:rPr>
              <w:t>- Erläuterung zur Klärung, wie die Sekundärfarbe mehr als 50% der Fläche bedecken kann, hinzufügen (überprüfen, ob es lauten sollte</w:t>
            </w:r>
            <w:r>
              <w:rPr>
                <w:rFonts w:cs="Arial"/>
                <w:lang w:val="de-DE"/>
              </w:rPr>
              <w:t xml:space="preserve"> „</w:t>
            </w:r>
            <w:r w:rsidRPr="00C47725">
              <w:rPr>
                <w:rFonts w:cs="Arial"/>
                <w:lang w:val="de-DE"/>
              </w:rPr>
              <w:t xml:space="preserve">Wenn die Sekundärfarbe </w:t>
            </w:r>
            <w:r>
              <w:rPr>
                <w:rFonts w:cs="Arial"/>
                <w:lang w:val="de-DE"/>
              </w:rPr>
              <w:t xml:space="preserve">nicht </w:t>
            </w:r>
            <w:r w:rsidRPr="00C47725">
              <w:rPr>
                <w:rFonts w:cs="Arial"/>
                <w:lang w:val="de-DE"/>
              </w:rPr>
              <w:t xml:space="preserve">ganzflächig ist, kann sie auf mehr als der Hälfte der Zungenblüte verteilt sein und die Gesamtfläche ist </w:t>
            </w:r>
            <w:r>
              <w:rPr>
                <w:rFonts w:cs="Arial"/>
                <w:lang w:val="de-DE"/>
              </w:rPr>
              <w:t xml:space="preserve">immer </w:t>
            </w:r>
            <w:r w:rsidRPr="00C47725">
              <w:rPr>
                <w:rFonts w:cs="Arial"/>
                <w:lang w:val="de-DE"/>
              </w:rPr>
              <w:t>noch kleiner als die Hauptfarbe.</w:t>
            </w:r>
            <w:r>
              <w:rPr>
                <w:rFonts w:cs="Arial"/>
                <w:lang w:val="de-DE"/>
              </w:rPr>
              <w:t>“</w:t>
            </w:r>
            <w:r w:rsidRPr="00C47725">
              <w:rPr>
                <w:rFonts w:cs="Arial"/>
                <w:lang w:val="de-DE"/>
              </w:rPr>
              <w:t>)</w:t>
            </w:r>
          </w:p>
          <w:p w:rsidR="002D20DB" w:rsidRPr="00C47725" w:rsidRDefault="002D20DB" w:rsidP="002B5125">
            <w:pPr>
              <w:keepNext/>
              <w:jc w:val="left"/>
              <w:rPr>
                <w:rFonts w:cs="Arial"/>
                <w:lang w:val="de-DE"/>
              </w:rPr>
            </w:pPr>
            <w:r w:rsidRPr="00C47725">
              <w:rPr>
                <w:rFonts w:cs="Arial"/>
                <w:lang w:val="de-DE"/>
              </w:rPr>
              <w:t xml:space="preserve">- Zeichnungen verbessern. Die Sekundärfarbe sollte für Stufe 6 bis 11 und 14 </w:t>
            </w:r>
            <w:r w:rsidRPr="00C47725">
              <w:rPr>
                <w:rFonts w:cs="Arial"/>
                <w:u w:val="single"/>
                <w:lang w:val="de-DE"/>
              </w:rPr>
              <w:t>nicht</w:t>
            </w:r>
            <w:r w:rsidRPr="00C47725">
              <w:rPr>
                <w:rFonts w:cs="Arial"/>
                <w:lang w:val="de-DE"/>
              </w:rPr>
              <w:t xml:space="preserve"> ganzflächig erscheinen, um Verwechslungen mit Zeichnungen für Merkmal 30 zu vermeiden.</w:t>
            </w:r>
          </w:p>
        </w:tc>
      </w:tr>
      <w:tr w:rsidR="002D20DB" w:rsidRPr="000E6F70" w:rsidTr="002B5125">
        <w:trPr>
          <w:cantSplit/>
        </w:trPr>
        <w:tc>
          <w:tcPr>
            <w:tcW w:w="1573" w:type="dxa"/>
          </w:tcPr>
          <w:p w:rsidR="002D20DB" w:rsidRPr="00C47725" w:rsidRDefault="002D20DB" w:rsidP="002B5125">
            <w:pPr>
              <w:pStyle w:val="BodyText"/>
              <w:jc w:val="left"/>
              <w:rPr>
                <w:rFonts w:cs="Arial"/>
                <w:snapToGrid w:val="0"/>
                <w:color w:val="000000"/>
                <w:lang w:val="de-DE"/>
              </w:rPr>
            </w:pPr>
            <w:r w:rsidRPr="00C47725">
              <w:rPr>
                <w:rFonts w:cs="Arial"/>
                <w:snapToGrid w:val="0"/>
                <w:vertAlign w:val="superscript"/>
                <w:lang w:val="de-DE"/>
              </w:rPr>
              <w:t>#</w:t>
            </w:r>
            <w:r w:rsidRPr="00C47725">
              <w:rPr>
                <w:rFonts w:cs="Arial"/>
                <w:snapToGrid w:val="0"/>
                <w:color w:val="000000"/>
                <w:lang w:val="de-DE"/>
              </w:rPr>
              <w:t>Zu 33</w:t>
            </w:r>
          </w:p>
        </w:tc>
        <w:tc>
          <w:tcPr>
            <w:tcW w:w="8208" w:type="dxa"/>
          </w:tcPr>
          <w:p w:rsidR="002D20DB" w:rsidRPr="00C47725" w:rsidRDefault="002D20DB" w:rsidP="002B5125">
            <w:pPr>
              <w:pStyle w:val="BodyText"/>
              <w:jc w:val="left"/>
              <w:rPr>
                <w:rFonts w:cs="Arial"/>
                <w:snapToGrid w:val="0"/>
                <w:color w:val="000000"/>
                <w:lang w:val="de-DE"/>
              </w:rPr>
            </w:pPr>
            <w:r w:rsidRPr="00C47725">
              <w:rPr>
                <w:rFonts w:cs="Arial"/>
                <w:snapToGrid w:val="0"/>
                <w:color w:val="000000"/>
                <w:lang w:val="de-DE"/>
              </w:rPr>
              <w:t xml:space="preserve">- </w:t>
            </w:r>
            <w:r w:rsidRPr="00C47725">
              <w:rPr>
                <w:rFonts w:cs="Arial"/>
                <w:lang w:val="de-DE"/>
              </w:rPr>
              <w:t>überprüfen, ob</w:t>
            </w:r>
            <w:r w:rsidRPr="00C47725">
              <w:rPr>
                <w:rFonts w:cs="Arial"/>
                <w:snapToGrid w:val="0"/>
                <w:color w:val="000000"/>
                <w:lang w:val="de-DE"/>
              </w:rPr>
              <w:t xml:space="preserve"> es lauten sollte</w:t>
            </w:r>
            <w:r>
              <w:rPr>
                <w:rFonts w:cs="Arial"/>
                <w:snapToGrid w:val="0"/>
                <w:color w:val="000000"/>
                <w:lang w:val="de-DE"/>
              </w:rPr>
              <w:t xml:space="preserve"> „</w:t>
            </w:r>
            <w:r w:rsidRPr="00C47725">
              <w:rPr>
                <w:rFonts w:cs="Arial"/>
                <w:snapToGrid w:val="0"/>
                <w:color w:val="000000"/>
                <w:lang w:val="de-DE"/>
              </w:rPr>
              <w:t xml:space="preserve">Wenn die Tertiärfarbe nicht ganzflächig ist, kann sie auf bis zu der Hälfte der </w:t>
            </w:r>
            <w:r w:rsidRPr="00C47725">
              <w:rPr>
                <w:rFonts w:cs="Arial"/>
                <w:lang w:val="de-DE"/>
              </w:rPr>
              <w:t xml:space="preserve">Zungenblüte </w:t>
            </w:r>
            <w:r w:rsidRPr="00C47725">
              <w:rPr>
                <w:rFonts w:cs="Arial"/>
                <w:snapToGrid w:val="0"/>
                <w:color w:val="000000"/>
                <w:lang w:val="de-DE"/>
              </w:rPr>
              <w:t xml:space="preserve">verteilt sein und die Gesamtfläche ist </w:t>
            </w:r>
            <w:r>
              <w:rPr>
                <w:rFonts w:cs="Arial"/>
                <w:snapToGrid w:val="0"/>
                <w:color w:val="000000"/>
                <w:lang w:val="de-DE"/>
              </w:rPr>
              <w:t xml:space="preserve">immer </w:t>
            </w:r>
            <w:r w:rsidRPr="00C47725">
              <w:rPr>
                <w:rFonts w:cs="Arial"/>
                <w:snapToGrid w:val="0"/>
                <w:color w:val="000000"/>
                <w:lang w:val="de-DE"/>
              </w:rPr>
              <w:t>noch kleiner als die Sekundärfarbe.</w:t>
            </w:r>
            <w:r>
              <w:rPr>
                <w:rFonts w:cs="Arial"/>
                <w:snapToGrid w:val="0"/>
                <w:color w:val="000000"/>
                <w:lang w:val="de-DE"/>
              </w:rPr>
              <w:t>“</w:t>
            </w:r>
            <w:r w:rsidRPr="00C47725">
              <w:rPr>
                <w:rFonts w:cs="Arial"/>
                <w:snapToGrid w:val="0"/>
                <w:color w:val="000000"/>
                <w:lang w:val="de-DE"/>
              </w:rPr>
              <w:t xml:space="preserve"> </w:t>
            </w:r>
          </w:p>
          <w:p w:rsidR="002D20DB" w:rsidRPr="00C47725" w:rsidRDefault="002D20DB" w:rsidP="002B5125">
            <w:pPr>
              <w:pStyle w:val="BodyText"/>
              <w:jc w:val="left"/>
              <w:rPr>
                <w:rFonts w:cs="Arial"/>
                <w:snapToGrid w:val="0"/>
                <w:color w:val="000000"/>
                <w:lang w:val="de-DE"/>
              </w:rPr>
            </w:pPr>
            <w:r w:rsidRPr="00C47725">
              <w:rPr>
                <w:rFonts w:cs="Arial"/>
                <w:snapToGrid w:val="0"/>
                <w:color w:val="000000"/>
                <w:lang w:val="de-DE"/>
              </w:rPr>
              <w:t xml:space="preserve">- </w:t>
            </w:r>
            <w:r w:rsidRPr="00C47725">
              <w:rPr>
                <w:rFonts w:cs="Arial"/>
                <w:lang w:val="de-DE"/>
              </w:rPr>
              <w:t xml:space="preserve">Zeichnungen </w:t>
            </w:r>
            <w:r>
              <w:rPr>
                <w:rFonts w:cs="Arial"/>
                <w:lang w:val="de-DE"/>
              </w:rPr>
              <w:t>v</w:t>
            </w:r>
            <w:r w:rsidRPr="00C47725">
              <w:rPr>
                <w:rFonts w:cs="Arial"/>
                <w:lang w:val="de-DE"/>
              </w:rPr>
              <w:t>erbessern</w:t>
            </w:r>
            <w:r w:rsidRPr="00C47725">
              <w:rPr>
                <w:rFonts w:cs="Arial"/>
                <w:snapToGrid w:val="0"/>
                <w:color w:val="000000"/>
                <w:lang w:val="de-DE"/>
              </w:rPr>
              <w:t xml:space="preserve">. </w:t>
            </w:r>
            <w:r w:rsidRPr="00C47725">
              <w:rPr>
                <w:rFonts w:cs="Arial"/>
                <w:lang w:val="de-DE"/>
              </w:rPr>
              <w:t>Sekundärfarbe</w:t>
            </w:r>
            <w:r w:rsidRPr="00C47725">
              <w:rPr>
                <w:rFonts w:cs="Arial"/>
                <w:snapToGrid w:val="0"/>
                <w:color w:val="000000"/>
                <w:lang w:val="de-DE"/>
              </w:rPr>
              <w:t xml:space="preserve"> sollte für Stufe 4 bis 8 </w:t>
            </w:r>
            <w:r w:rsidRPr="00C47725">
              <w:rPr>
                <w:rFonts w:cs="Arial"/>
                <w:snapToGrid w:val="0"/>
                <w:color w:val="000000"/>
                <w:u w:val="single"/>
                <w:lang w:val="de-DE"/>
              </w:rPr>
              <w:t>nicht</w:t>
            </w:r>
            <w:r w:rsidRPr="00C47725">
              <w:rPr>
                <w:rFonts w:cs="Arial"/>
                <w:snapToGrid w:val="0"/>
                <w:color w:val="000000"/>
                <w:lang w:val="de-DE"/>
              </w:rPr>
              <w:t xml:space="preserve"> ganzflächig erscheinen, </w:t>
            </w:r>
            <w:r w:rsidRPr="00C47725">
              <w:rPr>
                <w:rFonts w:cs="Arial"/>
                <w:lang w:val="de-DE"/>
              </w:rPr>
              <w:t>um Verwechslungen mit Zeichnungen für Merkmal</w:t>
            </w:r>
            <w:r>
              <w:rPr>
                <w:rFonts w:cs="Arial"/>
                <w:lang w:val="de-DE"/>
              </w:rPr>
              <w:t>e</w:t>
            </w:r>
            <w:r w:rsidRPr="00C47725">
              <w:rPr>
                <w:rFonts w:cs="Arial"/>
                <w:lang w:val="de-DE"/>
              </w:rPr>
              <w:t xml:space="preserve"> 30 und 32 zu vermeiden</w:t>
            </w:r>
            <w:r w:rsidRPr="00C47725">
              <w:rPr>
                <w:rFonts w:cs="Arial"/>
                <w:snapToGrid w:val="0"/>
                <w:color w:val="000000"/>
                <w:lang w:val="de-DE"/>
              </w:rPr>
              <w:t>.</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47"/>
        <w:gridCol w:w="2899"/>
        <w:gridCol w:w="2807"/>
        <w:gridCol w:w="736"/>
        <w:gridCol w:w="993"/>
      </w:tblGrid>
      <w:tr w:rsidR="002D20DB" w:rsidRPr="00C47725" w:rsidTr="002B5125">
        <w:trPr>
          <w:cantSplit/>
          <w:trHeight w:val="277"/>
          <w:jc w:val="center"/>
        </w:trPr>
        <w:tc>
          <w:tcPr>
            <w:tcW w:w="2547" w:type="dxa"/>
            <w:vMerge w:val="restart"/>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lastRenderedPageBreak/>
              <w:t xml:space="preserve">Gazania </w:t>
            </w:r>
            <w:r w:rsidRPr="00C47725">
              <w:rPr>
                <w:rFonts w:cs="Arial"/>
                <w:caps w:val="0"/>
                <w:lang w:val="de-DE"/>
              </w:rPr>
              <w:br/>
              <w:t>(</w:t>
            </w:r>
            <w:r w:rsidRPr="00C47725">
              <w:rPr>
                <w:rFonts w:cs="Arial"/>
                <w:i/>
                <w:caps w:val="0"/>
                <w:lang w:val="de-DE"/>
              </w:rPr>
              <w:t>Gazania</w:t>
            </w:r>
            <w:r w:rsidRPr="00C47725">
              <w:rPr>
                <w:rFonts w:cs="Arial"/>
                <w:caps w:val="0"/>
                <w:lang w:val="de-DE"/>
              </w:rPr>
              <w:t xml:space="preserve"> Gaertn.)</w:t>
            </w:r>
          </w:p>
        </w:tc>
        <w:tc>
          <w:tcPr>
            <w:tcW w:w="2899" w:type="dxa"/>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TG/GAZAN(proj.4)</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lang w:val="de-DE"/>
              </w:rPr>
              <w:t>Herr Adriaan de Villiers (ZA)</w:t>
            </w:r>
          </w:p>
        </w:tc>
        <w:tc>
          <w:tcPr>
            <w:tcW w:w="736" w:type="dxa"/>
            <w:vMerge w:val="restart"/>
            <w:shd w:val="clear" w:color="auto" w:fill="D9D9D9"/>
            <w:vAlign w:val="center"/>
          </w:tcPr>
          <w:p w:rsidR="002D20DB" w:rsidRPr="00C47725" w:rsidRDefault="002D20DB" w:rsidP="002B5125">
            <w:pPr>
              <w:keepNext/>
              <w:jc w:val="left"/>
              <w:rPr>
                <w:rFonts w:cs="Arial"/>
                <w:iCs/>
                <w:lang w:val="de-DE"/>
              </w:rPr>
            </w:pPr>
            <w:r w:rsidRPr="00C47725">
              <w:rPr>
                <w:rFonts w:cs="Arial"/>
                <w:iCs/>
                <w:lang w:val="de-DE"/>
              </w:rPr>
              <w:t>TWO</w:t>
            </w:r>
          </w:p>
        </w:tc>
        <w:tc>
          <w:tcPr>
            <w:tcW w:w="993" w:type="dxa"/>
            <w:vMerge w:val="restart"/>
            <w:shd w:val="clear" w:color="auto" w:fill="D9D9D9"/>
            <w:vAlign w:val="center"/>
          </w:tcPr>
          <w:p w:rsidR="002D20DB" w:rsidRPr="00C47725" w:rsidRDefault="002D20DB" w:rsidP="002B5125">
            <w:pPr>
              <w:pStyle w:val="BodyText"/>
              <w:keepNext/>
              <w:jc w:val="left"/>
              <w:rPr>
                <w:rFonts w:cs="Arial"/>
                <w:iCs/>
                <w:snapToGrid w:val="0"/>
                <w:lang w:val="de-DE"/>
              </w:rPr>
            </w:pPr>
            <w:r w:rsidRPr="00C47725">
              <w:rPr>
                <w:rFonts w:cs="Arial"/>
                <w:iCs/>
                <w:snapToGrid w:val="0"/>
                <w:lang w:val="de-DE"/>
              </w:rPr>
              <w:t>*</w:t>
            </w:r>
          </w:p>
        </w:tc>
      </w:tr>
      <w:tr w:rsidR="002D20DB" w:rsidRPr="000E6F70" w:rsidTr="002B5125">
        <w:trPr>
          <w:cantSplit/>
          <w:trHeight w:hRule="exact" w:val="953"/>
          <w:jc w:val="center"/>
        </w:trPr>
        <w:tc>
          <w:tcPr>
            <w:tcW w:w="2547" w:type="dxa"/>
            <w:vMerge/>
            <w:shd w:val="clear" w:color="auto" w:fill="D9D9D9"/>
            <w:vAlign w:val="center"/>
          </w:tcPr>
          <w:p w:rsidR="002D20DB" w:rsidRPr="00C47725" w:rsidRDefault="002D20DB" w:rsidP="002B5125">
            <w:pPr>
              <w:pStyle w:val="TitleofDoc"/>
              <w:keepNext/>
              <w:tabs>
                <w:tab w:val="left" w:pos="5245"/>
                <w:tab w:val="left" w:pos="7008"/>
              </w:tabs>
              <w:jc w:val="left"/>
              <w:rPr>
                <w:rFonts w:cs="Arial"/>
                <w:caps w:val="0"/>
                <w:lang w:val="de-DE"/>
              </w:rPr>
            </w:pPr>
          </w:p>
        </w:tc>
        <w:tc>
          <w:tcPr>
            <w:tcW w:w="2899" w:type="dxa"/>
            <w:shd w:val="clear" w:color="auto" w:fill="D9D9D9"/>
            <w:vAlign w:val="center"/>
          </w:tcPr>
          <w:p w:rsidR="002D20DB" w:rsidRPr="00C47725" w:rsidRDefault="002D20DB" w:rsidP="002B5125">
            <w:pPr>
              <w:pStyle w:val="BodyText"/>
              <w:keepNext/>
              <w:jc w:val="left"/>
              <w:rPr>
                <w:rFonts w:cs="Arial"/>
                <w:color w:val="000000"/>
                <w:lang w:val="de-DE"/>
              </w:rPr>
            </w:pPr>
            <w:r>
              <w:rPr>
                <w:rFonts w:cs="Arial"/>
                <w:color w:val="000000"/>
                <w:lang w:val="de-DE"/>
              </w:rPr>
              <w:t>Anzahl von Merkmalen</w:t>
            </w:r>
            <w:r w:rsidRPr="00C47725">
              <w:rPr>
                <w:rFonts w:cs="Arial"/>
                <w:color w:val="000000"/>
                <w:lang w:val="de-DE"/>
              </w:rPr>
              <w:t>: 35</w:t>
            </w:r>
            <w:r w:rsidRPr="00C47725">
              <w:rPr>
                <w:rFonts w:cs="Arial"/>
                <w:color w:val="000000"/>
                <w:lang w:val="de-DE"/>
              </w:rPr>
              <w:br/>
            </w:r>
            <w:r>
              <w:rPr>
                <w:rFonts w:cs="Arial"/>
                <w:color w:val="000000"/>
                <w:lang w:val="de-DE"/>
              </w:rPr>
              <w:t>Anzahl</w:t>
            </w:r>
            <w:r w:rsidRPr="00C47725">
              <w:rPr>
                <w:rFonts w:cs="Arial"/>
                <w:color w:val="000000"/>
                <w:lang w:val="de-DE"/>
              </w:rPr>
              <w:t xml:space="preserve"> von </w:t>
            </w:r>
            <w:r>
              <w:rPr>
                <w:rFonts w:cs="Arial"/>
                <w:color w:val="000000"/>
                <w:lang w:val="de-DE"/>
              </w:rPr>
              <w:t>(*)</w:t>
            </w:r>
            <w:r w:rsidRPr="00C47725">
              <w:rPr>
                <w:rFonts w:cs="Arial"/>
                <w:color w:val="000000"/>
                <w:lang w:val="de-DE"/>
              </w:rPr>
              <w:t xml:space="preserve"> Merkmal</w:t>
            </w:r>
            <w:r>
              <w:rPr>
                <w:rFonts w:cs="Arial"/>
                <w:color w:val="000000"/>
                <w:lang w:val="de-DE"/>
              </w:rPr>
              <w:t>en</w:t>
            </w:r>
            <w:r w:rsidRPr="00C47725">
              <w:rPr>
                <w:rFonts w:cs="Arial"/>
                <w:color w:val="000000"/>
                <w:lang w:val="de-DE"/>
              </w:rPr>
              <w:t>: 20</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iCs/>
                <w:snapToGrid w:val="0"/>
                <w:color w:val="000000"/>
                <w:lang w:val="de-DE"/>
              </w:rPr>
              <w:t xml:space="preserve">(Beteiligte Sachverständige: </w:t>
            </w:r>
            <w:r w:rsidRPr="00C47725">
              <w:rPr>
                <w:rFonts w:cs="Arial"/>
                <w:lang w:val="de-DE"/>
              </w:rPr>
              <w:t>AU, DE, GB, JP, KR, MX, NZ, QZ, CIOPORA</w:t>
            </w:r>
            <w:r w:rsidRPr="00C47725">
              <w:rPr>
                <w:rFonts w:eastAsia="SimSun" w:cs="Arial"/>
                <w:lang w:val="de-DE" w:eastAsia="zh-CN"/>
              </w:rPr>
              <w:t>)</w:t>
            </w:r>
          </w:p>
        </w:tc>
        <w:tc>
          <w:tcPr>
            <w:tcW w:w="736" w:type="dxa"/>
            <w:vMerge/>
            <w:shd w:val="clear" w:color="auto" w:fill="D9D9D9"/>
            <w:vAlign w:val="center"/>
          </w:tcPr>
          <w:p w:rsidR="002D20DB" w:rsidRPr="00C47725" w:rsidRDefault="002D20DB" w:rsidP="002B5125">
            <w:pPr>
              <w:keepNext/>
              <w:jc w:val="left"/>
              <w:rPr>
                <w:rFonts w:cs="Arial"/>
                <w:iCs/>
                <w:lang w:val="de-DE"/>
              </w:rPr>
            </w:pPr>
          </w:p>
        </w:tc>
        <w:tc>
          <w:tcPr>
            <w:tcW w:w="993" w:type="dxa"/>
            <w:vMerge/>
            <w:shd w:val="clear" w:color="auto" w:fill="D9D9D9"/>
            <w:vAlign w:val="center"/>
          </w:tcPr>
          <w:p w:rsidR="002D20DB" w:rsidRPr="00C47725" w:rsidRDefault="002D20DB" w:rsidP="002B5125">
            <w:pPr>
              <w:pStyle w:val="BodyText"/>
              <w:keepNext/>
              <w:jc w:val="left"/>
              <w:rPr>
                <w:rFonts w:cs="Arial"/>
                <w:iCs/>
                <w:snapToGrid w:val="0"/>
                <w:lang w:val="de-DE"/>
              </w:rPr>
            </w:pPr>
          </w:p>
        </w:tc>
      </w:tr>
    </w:tbl>
    <w:p w:rsidR="002D20DB" w:rsidRPr="00C47725" w:rsidRDefault="002D20DB" w:rsidP="002D20DB">
      <w:pPr>
        <w:keepNext/>
        <w:rPr>
          <w:rFonts w:eastAsia="Arial" w:cs="Arial"/>
          <w:color w:val="000000"/>
          <w:u w:val="single"/>
          <w:lang w:val="de-DE"/>
        </w:rPr>
      </w:pPr>
    </w:p>
    <w:p w:rsidR="002D20DB" w:rsidRPr="00C47725" w:rsidRDefault="002D20DB" w:rsidP="002D20DB">
      <w:pPr>
        <w:ind w:firstLine="567"/>
        <w:rPr>
          <w:rFonts w:cs="Arial"/>
          <w:snapToGrid w:val="0"/>
          <w:lang w:val="de-DE"/>
        </w:rPr>
      </w:pPr>
      <w:r w:rsidRPr="00C47725">
        <w:rPr>
          <w:rFonts w:cs="Arial"/>
          <w:snapToGrid w:val="0"/>
          <w:lang w:val="de-DE"/>
        </w:rPr>
        <w:t>Der TC-EDC prüfte auf seiner Sitzung im Oktober 2019 in Genf Dokument </w:t>
      </w:r>
      <w:r w:rsidRPr="00C47725">
        <w:rPr>
          <w:rFonts w:cs="Arial"/>
          <w:caps/>
          <w:lang w:val="de-DE"/>
        </w:rPr>
        <w:t>TG/GAZAN(</w:t>
      </w:r>
      <w:r w:rsidRPr="00C47725">
        <w:rPr>
          <w:rFonts w:cs="Arial"/>
          <w:lang w:val="de-DE"/>
        </w:rPr>
        <w:t>proj.</w:t>
      </w:r>
      <w:r w:rsidRPr="00C47725">
        <w:rPr>
          <w:rFonts w:cs="Arial"/>
          <w:caps/>
          <w:lang w:val="de-DE"/>
        </w:rPr>
        <w:t>4)</w:t>
      </w:r>
      <w:r w:rsidRPr="00C47725">
        <w:rPr>
          <w:rFonts w:cs="Arial"/>
          <w:snapToGrid w:val="0"/>
          <w:lang w:val="de-DE"/>
        </w:rPr>
        <w:t xml:space="preserve"> und gab die in der nachstehenden Tabelle aufgeführten Empfehlungen ab:</w:t>
      </w:r>
    </w:p>
    <w:p w:rsidR="002D20DB" w:rsidRPr="00C47725" w:rsidRDefault="002D20DB" w:rsidP="002D20DB">
      <w:pPr>
        <w:keepNext/>
        <w:rPr>
          <w:rFonts w:eastAsia="Arial" w:cs="Arial"/>
          <w:color w:val="000000"/>
          <w:u w:val="single"/>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keepNext/>
              <w:rPr>
                <w:rFonts w:cs="Arial"/>
                <w:lang w:val="de-DE"/>
              </w:rPr>
            </w:pPr>
            <w:r w:rsidRPr="00C47725">
              <w:rPr>
                <w:rFonts w:cs="Arial"/>
                <w:lang w:val="de-DE"/>
              </w:rPr>
              <w:t xml:space="preserve">5.3 </w:t>
            </w:r>
            <w:r>
              <w:rPr>
                <w:rFonts w:cs="Arial"/>
                <w:lang w:val="de-DE"/>
              </w:rPr>
              <w:t>(</w:t>
            </w:r>
            <w:r w:rsidRPr="00C47725">
              <w:rPr>
                <w:rFonts w:cs="Arial"/>
                <w:lang w:val="de-DE"/>
              </w:rPr>
              <w:t>e)</w:t>
            </w:r>
          </w:p>
        </w:tc>
        <w:tc>
          <w:tcPr>
            <w:tcW w:w="8208" w:type="dxa"/>
          </w:tcPr>
          <w:p w:rsidR="002D20DB" w:rsidRPr="00C47725" w:rsidRDefault="002D20DB" w:rsidP="004F1DFE">
            <w:pPr>
              <w:keepNext/>
              <w:rPr>
                <w:rFonts w:cs="Arial"/>
                <w:lang w:val="de-DE"/>
              </w:rPr>
            </w:pPr>
            <w:r w:rsidRPr="00C47725">
              <w:rPr>
                <w:rFonts w:cs="Arial"/>
                <w:lang w:val="de-DE"/>
              </w:rPr>
              <w:t>sollte lauten</w:t>
            </w:r>
            <w:r>
              <w:rPr>
                <w:rFonts w:cs="Arial"/>
                <w:lang w:val="de-DE"/>
              </w:rPr>
              <w:t xml:space="preserve"> „</w:t>
            </w:r>
            <w:r w:rsidRPr="00C47725">
              <w:rPr>
                <w:rFonts w:eastAsia="Arial" w:cs="Arial"/>
                <w:lang w:val="de-DE"/>
              </w:rPr>
              <w:t>Zungenblüte: Farbe mit d</w:t>
            </w:r>
            <w:r w:rsidR="004F1DFE">
              <w:rPr>
                <w:rFonts w:eastAsia="Arial" w:cs="Arial"/>
                <w:lang w:val="de-DE"/>
              </w:rPr>
              <w:t>er größten Fläche der Oberseite</w:t>
            </w:r>
            <w:r w:rsidRPr="00C47725">
              <w:rPr>
                <w:rFonts w:eastAsia="Arial" w:cs="Arial"/>
                <w:lang w:val="de-DE"/>
              </w:rPr>
              <w:t xml:space="preserve"> mit folgenden Gruppen:</w:t>
            </w:r>
            <w:r>
              <w:rPr>
                <w:rFonts w:eastAsia="Arial" w:cs="Arial"/>
                <w:lang w:val="de-DE"/>
              </w:rPr>
              <w:t>“</w:t>
            </w:r>
            <w:r w:rsidRPr="00C47725">
              <w:rPr>
                <w:rFonts w:eastAsia="Arial" w:cs="Arial"/>
                <w:lang w:val="de-DE"/>
              </w:rPr>
              <w:t xml:space="preserve"> </w:t>
            </w:r>
          </w:p>
        </w:tc>
      </w:tr>
      <w:tr w:rsidR="002D20DB" w:rsidRPr="00C47725" w:rsidTr="002B5125">
        <w:trPr>
          <w:cantSplit/>
        </w:trPr>
        <w:tc>
          <w:tcPr>
            <w:tcW w:w="1573" w:type="dxa"/>
          </w:tcPr>
          <w:p w:rsidR="002D20DB" w:rsidRPr="00C47725" w:rsidRDefault="002D20DB" w:rsidP="002B5125">
            <w:pPr>
              <w:keepNext/>
              <w:rPr>
                <w:rFonts w:cs="Arial"/>
                <w:lang w:val="de-DE"/>
              </w:rPr>
            </w:pPr>
            <w:r w:rsidRPr="00C47725">
              <w:rPr>
                <w:rFonts w:cs="Arial"/>
                <w:lang w:val="de-DE"/>
              </w:rPr>
              <w:t>Merkmal 7</w:t>
            </w:r>
          </w:p>
        </w:tc>
        <w:tc>
          <w:tcPr>
            <w:tcW w:w="8208" w:type="dxa"/>
          </w:tcPr>
          <w:p w:rsidR="002D20DB" w:rsidRPr="00C47725" w:rsidRDefault="002D20DB" w:rsidP="002B5125">
            <w:pPr>
              <w:keepNext/>
              <w:rPr>
                <w:rFonts w:cs="Arial"/>
                <w:lang w:val="de-DE"/>
              </w:rPr>
            </w:pPr>
            <w:r w:rsidRPr="00C47725">
              <w:rPr>
                <w:rFonts w:cs="Arial"/>
                <w:lang w:val="de-DE"/>
              </w:rPr>
              <w:t xml:space="preserve">- </w:t>
            </w:r>
            <w:r w:rsidRPr="00C47725">
              <w:rPr>
                <w:rFonts w:eastAsia="Arial" w:cs="Arial"/>
                <w:color w:val="000000"/>
                <w:lang w:val="de-DE"/>
              </w:rPr>
              <w:t>folgende Erläuterung hinzufügen</w:t>
            </w:r>
            <w:r>
              <w:rPr>
                <w:rFonts w:cs="Arial"/>
                <w:lang w:val="de-DE"/>
              </w:rPr>
              <w:t xml:space="preserve"> „</w:t>
            </w:r>
            <w:r w:rsidRPr="00C47725">
              <w:rPr>
                <w:rFonts w:cs="Arial"/>
                <w:lang w:val="de-DE"/>
              </w:rPr>
              <w:t xml:space="preserve">Erfassungen sollten </w:t>
            </w:r>
            <w:r w:rsidR="004F1DFE">
              <w:rPr>
                <w:rFonts w:cs="Arial"/>
                <w:lang w:val="de-DE"/>
              </w:rPr>
              <w:t xml:space="preserve">die </w:t>
            </w:r>
            <w:r w:rsidRPr="00C47725">
              <w:rPr>
                <w:rFonts w:cs="Arial"/>
                <w:lang w:val="de-DE"/>
              </w:rPr>
              <w:t xml:space="preserve">Panaschierung </w:t>
            </w:r>
            <w:r>
              <w:rPr>
                <w:rFonts w:cs="Arial"/>
                <w:lang w:val="de-DE"/>
              </w:rPr>
              <w:t>ausschließen</w:t>
            </w:r>
            <w:r w:rsidRPr="00C47725">
              <w:rPr>
                <w:rFonts w:cs="Arial"/>
                <w:lang w:val="de-DE"/>
              </w:rPr>
              <w:t>.</w:t>
            </w:r>
            <w:r>
              <w:rPr>
                <w:rFonts w:cs="Arial"/>
                <w:lang w:val="de-DE"/>
              </w:rPr>
              <w:t>“</w:t>
            </w:r>
          </w:p>
          <w:p w:rsidR="002D20DB" w:rsidRPr="00C47725" w:rsidRDefault="002D20DB" w:rsidP="002B5125">
            <w:pPr>
              <w:keepNext/>
              <w:rPr>
                <w:rFonts w:cs="Arial"/>
                <w:lang w:val="de-DE"/>
              </w:rPr>
            </w:pPr>
            <w:r w:rsidRPr="00C47725">
              <w:rPr>
                <w:rFonts w:cs="Arial"/>
                <w:lang w:val="de-DE"/>
              </w:rPr>
              <w:t xml:space="preserve">- </w:t>
            </w:r>
            <w:r>
              <w:rPr>
                <w:rFonts w:cs="Arial"/>
                <w:lang w:val="de-DE"/>
              </w:rPr>
              <w:t>(</w:t>
            </w:r>
            <w:r w:rsidRPr="00C47725">
              <w:rPr>
                <w:rFonts w:cs="Arial"/>
                <w:lang w:val="de-DE"/>
              </w:rPr>
              <w:t>b) streichen</w:t>
            </w:r>
          </w:p>
        </w:tc>
      </w:tr>
      <w:tr w:rsidR="002D20DB" w:rsidRPr="00C47725" w:rsidTr="002B5125">
        <w:trPr>
          <w:cantSplit/>
        </w:trPr>
        <w:tc>
          <w:tcPr>
            <w:tcW w:w="1573" w:type="dxa"/>
          </w:tcPr>
          <w:p w:rsidR="002D20DB" w:rsidRPr="00C47725" w:rsidRDefault="002D20DB" w:rsidP="002B5125">
            <w:pPr>
              <w:keepNext/>
              <w:rPr>
                <w:rFonts w:cs="Arial"/>
                <w:highlight w:val="yellow"/>
                <w:lang w:val="de-DE"/>
              </w:rPr>
            </w:pPr>
            <w:r w:rsidRPr="00C47725">
              <w:rPr>
                <w:rFonts w:cs="Arial"/>
                <w:lang w:val="de-DE"/>
              </w:rPr>
              <w:t>Merkmal 8</w:t>
            </w:r>
          </w:p>
        </w:tc>
        <w:tc>
          <w:tcPr>
            <w:tcW w:w="8208" w:type="dxa"/>
          </w:tcPr>
          <w:p w:rsidR="002D20DB" w:rsidRPr="00C47725" w:rsidRDefault="002D20DB" w:rsidP="002B5125">
            <w:pPr>
              <w:keepNext/>
              <w:rPr>
                <w:rFonts w:cs="Arial"/>
                <w:lang w:val="de-DE"/>
              </w:rPr>
            </w:pPr>
            <w:r w:rsidRPr="00C47725">
              <w:rPr>
                <w:rFonts w:cs="Arial"/>
                <w:lang w:val="de-DE"/>
              </w:rPr>
              <w:t>- sollte lauten</w:t>
            </w:r>
            <w:r>
              <w:rPr>
                <w:rFonts w:cs="Arial"/>
                <w:lang w:val="de-DE"/>
              </w:rPr>
              <w:t xml:space="preserve"> „</w:t>
            </w:r>
            <w:r w:rsidRPr="00C47725">
              <w:rPr>
                <w:rFonts w:cs="Arial"/>
                <w:lang w:val="de-DE"/>
              </w:rPr>
              <w:t>Blatt: Farbe der Panaschierung</w:t>
            </w:r>
            <w:r>
              <w:rPr>
                <w:rFonts w:cs="Arial"/>
                <w:lang w:val="de-DE"/>
              </w:rPr>
              <w:t>“</w:t>
            </w:r>
          </w:p>
          <w:p w:rsidR="002D20DB" w:rsidRPr="00C47725" w:rsidRDefault="002D20DB" w:rsidP="002B5125">
            <w:pPr>
              <w:keepNext/>
              <w:rPr>
                <w:rFonts w:cs="Arial"/>
                <w:lang w:val="de-DE"/>
              </w:rPr>
            </w:pPr>
            <w:r w:rsidRPr="00C47725">
              <w:rPr>
                <w:rFonts w:cs="Arial"/>
                <w:lang w:val="de-DE"/>
              </w:rPr>
              <w:t xml:space="preserve">- </w:t>
            </w:r>
            <w:r>
              <w:rPr>
                <w:rFonts w:cs="Arial"/>
                <w:lang w:val="de-DE"/>
              </w:rPr>
              <w:t>(</w:t>
            </w:r>
            <w:r w:rsidRPr="00C47725">
              <w:rPr>
                <w:rFonts w:cs="Arial"/>
                <w:lang w:val="de-DE"/>
              </w:rPr>
              <w:t>b) streichen</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jc w:val="left"/>
              <w:rPr>
                <w:rFonts w:cs="Arial"/>
                <w:lang w:val="de-DE"/>
              </w:rPr>
            </w:pPr>
            <w:r w:rsidRPr="00C47725">
              <w:rPr>
                <w:rFonts w:cs="Arial"/>
                <w:lang w:val="de-DE"/>
              </w:rPr>
              <w:t>Merkmal 10</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Stufen 2 und 4 streichen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jc w:val="left"/>
              <w:rPr>
                <w:rFonts w:cs="Arial"/>
                <w:lang w:val="de-DE"/>
              </w:rPr>
            </w:pPr>
            <w:r w:rsidRPr="00C47725">
              <w:rPr>
                <w:rFonts w:cs="Arial"/>
                <w:lang w:val="de-DE"/>
              </w:rPr>
              <w:t>Merkmal 24</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Stufe 19 sollte lauten</w:t>
            </w:r>
            <w:r>
              <w:rPr>
                <w:rFonts w:cs="Arial"/>
                <w:lang w:val="de-DE"/>
              </w:rPr>
              <w:t xml:space="preserve"> „</w:t>
            </w:r>
            <w:r w:rsidR="004F1DFE" w:rsidRPr="004F1DFE">
              <w:rPr>
                <w:rFonts w:cs="Arial"/>
                <w:lang w:val="de-DE"/>
              </w:rPr>
              <w:t>in der gesamten seitlichen Zone</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jc w:val="left"/>
              <w:rPr>
                <w:rFonts w:cs="Arial"/>
                <w:lang w:val="de-DE"/>
              </w:rPr>
            </w:pPr>
            <w:r w:rsidRPr="00C47725">
              <w:rPr>
                <w:rFonts w:cs="Arial"/>
                <w:lang w:val="de-DE"/>
              </w:rPr>
              <w:t>Merkmale 26, 28 und 30</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Stufe 20 sollte lauten</w:t>
            </w:r>
            <w:r>
              <w:rPr>
                <w:rFonts w:cs="Arial"/>
                <w:lang w:val="de-DE"/>
              </w:rPr>
              <w:t xml:space="preserve"> </w:t>
            </w:r>
            <w:r w:rsidR="004F1DFE">
              <w:rPr>
                <w:rFonts w:cs="Arial"/>
                <w:lang w:val="de-DE"/>
              </w:rPr>
              <w:t>„</w:t>
            </w:r>
            <w:r w:rsidR="004F1DFE" w:rsidRPr="004F1DFE">
              <w:rPr>
                <w:rFonts w:cs="Arial"/>
                <w:lang w:val="de-DE"/>
              </w:rPr>
              <w:t>in der gesamten seitlichen Zone</w:t>
            </w:r>
            <w:r w:rsidR="004F1DFE">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jc w:val="left"/>
              <w:rPr>
                <w:rFonts w:cs="Arial"/>
                <w:lang w:val="de-DE"/>
              </w:rPr>
            </w:pPr>
            <w:r w:rsidRPr="00C47725">
              <w:rPr>
                <w:rFonts w:cs="Arial"/>
                <w:lang w:val="de-DE"/>
              </w:rPr>
              <w:t>Merkmale 26, 28 und 30</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Stufe 1 sollte ans Ende der Skala verschoben werden, um eine bessere Harmonisierung mit Merkmal 24 zu erreichen.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Merkmal 35</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4F1DFE">
            <w:pPr>
              <w:rPr>
                <w:rFonts w:cs="Arial"/>
                <w:lang w:val="de-DE"/>
              </w:rPr>
            </w:pPr>
            <w:r w:rsidRPr="00C47725">
              <w:rPr>
                <w:rFonts w:cs="Arial"/>
                <w:lang w:val="de-DE"/>
              </w:rPr>
              <w:t xml:space="preserve">- </w:t>
            </w:r>
            <w:r>
              <w:rPr>
                <w:rFonts w:cs="Arial"/>
                <w:lang w:val="de-DE"/>
              </w:rPr>
              <w:t>(</w:t>
            </w:r>
            <w:r w:rsidRPr="00C47725">
              <w:rPr>
                <w:rFonts w:cs="Arial"/>
                <w:lang w:val="de-DE"/>
              </w:rPr>
              <w:t>b) streichen und durch eine Erklärung ersetzen, die sich auf einzelne Merkmale bezieht und die lauten sollte:</w:t>
            </w:r>
            <w:r>
              <w:rPr>
                <w:rFonts w:cs="Arial"/>
                <w:lang w:val="de-DE"/>
              </w:rPr>
              <w:t xml:space="preserve"> „</w:t>
            </w:r>
            <w:r w:rsidRPr="00C47725">
              <w:rPr>
                <w:rFonts w:cs="Arial"/>
                <w:lang w:val="de-DE"/>
              </w:rPr>
              <w:t xml:space="preserve">Die Hauptfarbe ist die Farbe mit der größten </w:t>
            </w:r>
            <w:r w:rsidR="004F1DFE">
              <w:rPr>
                <w:rFonts w:cs="Arial"/>
                <w:lang w:val="de-DE"/>
              </w:rPr>
              <w:t>F</w:t>
            </w:r>
            <w:r w:rsidRPr="00C47725">
              <w:rPr>
                <w:rFonts w:cs="Arial"/>
                <w:lang w:val="de-DE"/>
              </w:rPr>
              <w:t>läche</w:t>
            </w:r>
            <w:r>
              <w:rPr>
                <w:rFonts w:cs="Arial"/>
                <w:lang w:val="de-DE"/>
              </w:rPr>
              <w:t>“</w:t>
            </w:r>
            <w:r w:rsidRPr="00C47725">
              <w:rPr>
                <w:rFonts w:cs="Arial"/>
                <w:lang w:val="de-DE"/>
              </w:rPr>
              <w:t>.</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jc w:val="left"/>
              <w:rPr>
                <w:rFonts w:cs="Arial"/>
                <w:lang w:val="de-DE"/>
              </w:rPr>
            </w:pPr>
            <w:r w:rsidRPr="00C47725">
              <w:rPr>
                <w:rFonts w:cs="Arial"/>
                <w:lang w:val="de-DE"/>
              </w:rPr>
              <w:t xml:space="preserve">8.1 </w:t>
            </w:r>
            <w:r>
              <w:rPr>
                <w:rFonts w:cs="Arial"/>
                <w:lang w:val="de-DE"/>
              </w:rPr>
              <w:t>(</w:t>
            </w:r>
            <w:r w:rsidRPr="00C47725">
              <w:rPr>
                <w:rFonts w:cs="Arial"/>
                <w:lang w:val="de-DE"/>
              </w:rPr>
              <w:t>b)</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 xml:space="preserve">streichen </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 xml:space="preserve">8.1 </w:t>
            </w:r>
            <w:r>
              <w:rPr>
                <w:rFonts w:cs="Arial"/>
                <w:lang w:val="de-DE"/>
              </w:rPr>
              <w:t>(</w:t>
            </w:r>
            <w:r w:rsidRPr="00C47725">
              <w:rPr>
                <w:rFonts w:cs="Arial"/>
                <w:lang w:val="de-DE"/>
              </w:rPr>
              <w:t>d)</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keepNext/>
              <w:rPr>
                <w:rFonts w:cs="Arial"/>
                <w:lang w:val="de-DE"/>
              </w:rPr>
            </w:pPr>
            <w:r w:rsidRPr="00C47725">
              <w:rPr>
                <w:rFonts w:cs="Arial"/>
                <w:lang w:val="de-DE"/>
              </w:rPr>
              <w:t>Angabe sollte lauten</w:t>
            </w:r>
            <w:r>
              <w:rPr>
                <w:rFonts w:cs="Arial"/>
                <w:lang w:val="de-DE"/>
              </w:rPr>
              <w:t xml:space="preserve"> „</w:t>
            </w:r>
            <w:r w:rsidRPr="00C47725">
              <w:rPr>
                <w:rFonts w:cs="Arial"/>
                <w:lang w:val="de-DE"/>
              </w:rPr>
              <w:t>Basis</w:t>
            </w:r>
            <w:r>
              <w:rPr>
                <w:rFonts w:cs="Arial"/>
                <w:lang w:val="de-DE"/>
              </w:rPr>
              <w:t>“</w:t>
            </w:r>
            <w:r w:rsidRPr="00C47725">
              <w:rPr>
                <w:rFonts w:cs="Arial"/>
                <w:lang w:val="de-DE"/>
              </w:rPr>
              <w:t xml:space="preserve"> (nicht</w:t>
            </w:r>
            <w:r>
              <w:rPr>
                <w:rFonts w:cs="Arial"/>
                <w:lang w:val="de-DE"/>
              </w:rPr>
              <w:t xml:space="preserve"> „</w:t>
            </w:r>
            <w:r w:rsidRPr="00C47725">
              <w:rPr>
                <w:rFonts w:cs="Arial"/>
                <w:lang w:val="de-DE"/>
              </w:rPr>
              <w:t>An der Basis</w:t>
            </w:r>
            <w:r>
              <w:rPr>
                <w:rFonts w:cs="Arial"/>
                <w:lang w:val="de-DE"/>
              </w:rPr>
              <w:t>“</w:t>
            </w:r>
            <w:r w:rsidRPr="00C47725">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 xml:space="preserve">8.1 </w:t>
            </w:r>
            <w:r>
              <w:rPr>
                <w:rFonts w:cs="Arial"/>
                <w:lang w:val="de-DE"/>
              </w:rPr>
              <w:t>(</w:t>
            </w:r>
            <w:r w:rsidRPr="00C47725">
              <w:rPr>
                <w:rFonts w:cs="Arial"/>
                <w:lang w:val="de-DE"/>
              </w:rPr>
              <w:t>e)</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4F1DFE">
            <w:pPr>
              <w:keepNext/>
              <w:rPr>
                <w:rFonts w:cs="Arial"/>
                <w:lang w:val="de-DE"/>
              </w:rPr>
            </w:pPr>
            <w:r w:rsidRPr="00C47725">
              <w:rPr>
                <w:rFonts w:cs="Arial"/>
                <w:lang w:val="de-DE"/>
              </w:rPr>
              <w:t>sollte lauten</w:t>
            </w:r>
            <w:r>
              <w:rPr>
                <w:rFonts w:cs="Arial"/>
                <w:lang w:val="de-DE"/>
              </w:rPr>
              <w:t xml:space="preserve"> </w:t>
            </w:r>
            <w:r w:rsidRPr="004F1DFE">
              <w:rPr>
                <w:rFonts w:cs="Arial"/>
                <w:lang w:val="de-DE"/>
              </w:rPr>
              <w:t>„</w:t>
            </w:r>
            <w:r w:rsidR="004F1DFE" w:rsidRPr="004F1DFE">
              <w:rPr>
                <w:rFonts w:eastAsia="Arial" w:cs="Arial"/>
                <w:lang w:val="de-DE"/>
              </w:rPr>
              <w:t>Bei mehrfarbigen Sorten sollen bis zu vier Farben erfasst werden. Wenn mehr Farben vorkommen, sollten die Farben mit den kleinsten Flächen unberücksichtigt bleiben. Auch die Zeichnung des Basalpunktes ist auszuschließen. "Farbe eins", "Farbe zwei" usw. werden gemäß der Nummer in der RHS Farbkarte geordnet, d. h. Farbe eins ist die Farbe mit der niedrigsten Nummer, Farbe zwei mit der zweitniedrigsten Nummer und so weiter. Haben zwei Farben dieselbe Nummer, z. B. Grün 137A und Grün 137D, so wird 137A als niedrigere Farbnummer betrachtet. Mit diesem System ist die Reihenfolge unabhängig von der Fläche, so dass die Farbe, mit der größten Fläche, als Farbe drei oder vier eingestuft werden kann.</w:t>
            </w:r>
            <w:r w:rsidRPr="004F1DFE">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Erster Satz sollte lauten</w:t>
            </w:r>
            <w:r>
              <w:rPr>
                <w:rFonts w:cs="Arial"/>
                <w:lang w:val="de-DE"/>
              </w:rPr>
              <w:t xml:space="preserve"> „</w:t>
            </w:r>
            <w:r w:rsidRPr="00C47725">
              <w:rPr>
                <w:rFonts w:cs="Arial"/>
                <w:lang w:val="de-DE"/>
              </w:rPr>
              <w:t>Eine Pflanze kann sowohl gelappt</w:t>
            </w:r>
            <w:r>
              <w:rPr>
                <w:rFonts w:cs="Arial"/>
                <w:lang w:val="de-DE"/>
              </w:rPr>
              <w:t>e</w:t>
            </w:r>
            <w:r w:rsidRPr="00C47725">
              <w:rPr>
                <w:rFonts w:cs="Arial"/>
                <w:lang w:val="de-DE"/>
              </w:rPr>
              <w:t xml:space="preserve"> als auch ungelappt</w:t>
            </w:r>
            <w:r>
              <w:rPr>
                <w:rFonts w:cs="Arial"/>
                <w:lang w:val="de-DE"/>
              </w:rPr>
              <w:t>e</w:t>
            </w:r>
            <w:r w:rsidRPr="00C47725">
              <w:rPr>
                <w:rFonts w:cs="Arial"/>
                <w:lang w:val="de-DE"/>
              </w:rPr>
              <w:t xml:space="preserve"> Blätter haben.</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14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184BEB" w:rsidRDefault="002D20DB" w:rsidP="002B5125">
            <w:pPr>
              <w:keepNext/>
              <w:rPr>
                <w:rFonts w:cs="Arial"/>
                <w:lang w:val="de-DE"/>
              </w:rPr>
            </w:pPr>
            <w:r>
              <w:rPr>
                <w:rFonts w:cs="Arial"/>
                <w:lang w:val="de-DE"/>
              </w:rPr>
              <w:t xml:space="preserve"> „P</w:t>
            </w:r>
            <w:r w:rsidRPr="00184BEB">
              <w:rPr>
                <w:rFonts w:cs="Arial"/>
                <w:lang w:val="de-DE"/>
              </w:rPr>
              <w:t>etaloid</w:t>
            </w:r>
            <w:r>
              <w:rPr>
                <w:rFonts w:cs="Arial"/>
                <w:lang w:val="de-DE"/>
              </w:rPr>
              <w:t>“</w:t>
            </w:r>
            <w:r w:rsidRPr="00184BEB">
              <w:rPr>
                <w:rFonts w:cs="Arial"/>
                <w:lang w:val="de-DE"/>
              </w:rPr>
              <w:t xml:space="preserve"> in Stufe 2 streichen</w:t>
            </w:r>
            <w:r>
              <w:rPr>
                <w:rFonts w:cs="Arial"/>
                <w:lang w:val="de-DE"/>
              </w:rPr>
              <w:t xml:space="preserve"> </w:t>
            </w:r>
            <w:r w:rsidRPr="00184BEB">
              <w:rPr>
                <w:rFonts w:cs="Arial"/>
                <w:lang w:val="de-DE"/>
              </w:rPr>
              <w:t xml:space="preserve">(vergleiche Merkmal 34) </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D57C7A" w:rsidP="002B5125">
            <w:pPr>
              <w:rPr>
                <w:rFonts w:cs="Arial"/>
                <w:lang w:val="de-DE"/>
              </w:rPr>
            </w:pPr>
            <w:r>
              <w:rPr>
                <w:rFonts w:cs="Arial"/>
                <w:lang w:val="de-DE"/>
              </w:rPr>
              <w:t>Zu</w:t>
            </w:r>
            <w:r w:rsidR="002D20DB" w:rsidRPr="00C47725">
              <w:rPr>
                <w:rFonts w:cs="Arial"/>
                <w:lang w:val="de-DE"/>
              </w:rPr>
              <w:t>. 24, 26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184BEB" w:rsidRDefault="002D20DB" w:rsidP="002B5125">
            <w:pPr>
              <w:keepNext/>
              <w:rPr>
                <w:rFonts w:cs="Arial"/>
                <w:lang w:val="de-DE"/>
              </w:rPr>
            </w:pPr>
            <w:r w:rsidRPr="00184BEB">
              <w:rPr>
                <w:rFonts w:cs="Arial"/>
                <w:lang w:val="de-DE"/>
              </w:rPr>
              <w:t>die Größe des Bildes für Stufe 20 in der deutschen und spanischen Version übernehmen</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33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184BEB" w:rsidRDefault="002D20DB" w:rsidP="002B5125">
            <w:pPr>
              <w:keepNext/>
              <w:rPr>
                <w:rFonts w:cs="Arial"/>
                <w:lang w:val="de-DE"/>
              </w:rPr>
            </w:pPr>
            <w:r>
              <w:rPr>
                <w:rFonts w:cs="Arial"/>
                <w:lang w:val="de-DE"/>
              </w:rPr>
              <w:t>„P</w:t>
            </w:r>
            <w:r w:rsidRPr="00184BEB">
              <w:rPr>
                <w:rFonts w:cs="Arial"/>
                <w:lang w:val="de-DE"/>
              </w:rPr>
              <w:t>etaloid</w:t>
            </w:r>
            <w:r>
              <w:rPr>
                <w:rFonts w:cs="Arial"/>
                <w:lang w:val="de-DE"/>
              </w:rPr>
              <w:t>“</w:t>
            </w:r>
            <w:r w:rsidRPr="00184BEB">
              <w:rPr>
                <w:rFonts w:cs="Arial"/>
                <w:lang w:val="de-DE"/>
              </w:rPr>
              <w:t xml:space="preserve"> streichen (vergleiche Merkmal 34) </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TQ, 5.5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Zungenblüte: Farbe mit der größten Fläche der Oberseite</w:t>
            </w:r>
            <w:r>
              <w:rPr>
                <w:rFonts w:cs="Arial"/>
                <w:lang w:val="de-DE"/>
              </w:rPr>
              <w:t>“</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47"/>
        <w:gridCol w:w="2899"/>
        <w:gridCol w:w="2807"/>
        <w:gridCol w:w="736"/>
        <w:gridCol w:w="993"/>
      </w:tblGrid>
      <w:tr w:rsidR="002D20DB" w:rsidRPr="00C47725" w:rsidTr="00D57C7A">
        <w:trPr>
          <w:cantSplit/>
          <w:trHeight w:val="680"/>
          <w:jc w:val="center"/>
        </w:trPr>
        <w:tc>
          <w:tcPr>
            <w:tcW w:w="2547" w:type="dxa"/>
            <w:vMerge w:val="restart"/>
            <w:shd w:val="clear" w:color="auto" w:fill="D9D9D9"/>
            <w:vAlign w:val="center"/>
          </w:tcPr>
          <w:p w:rsidR="002D20DB" w:rsidRPr="00C47725" w:rsidRDefault="002D20DB" w:rsidP="00D57C7A">
            <w:pPr>
              <w:pStyle w:val="BodyText"/>
              <w:keepNext/>
              <w:jc w:val="left"/>
              <w:rPr>
                <w:rFonts w:cs="Arial"/>
                <w:caps/>
                <w:lang w:val="de-DE"/>
              </w:rPr>
            </w:pPr>
            <w:r w:rsidRPr="00D57C7A">
              <w:rPr>
                <w:rFonts w:cs="Arial"/>
                <w:color w:val="000000"/>
                <w:lang w:val="de-DE"/>
              </w:rPr>
              <w:t>Schwarznuss</w:t>
            </w:r>
          </w:p>
        </w:tc>
        <w:tc>
          <w:tcPr>
            <w:tcW w:w="2899" w:type="dxa"/>
            <w:shd w:val="clear" w:color="auto" w:fill="D9D9D9"/>
            <w:vAlign w:val="center"/>
          </w:tcPr>
          <w:p w:rsidR="002D20DB" w:rsidRPr="00D57C7A" w:rsidRDefault="002D20DB" w:rsidP="00D57C7A">
            <w:pPr>
              <w:pStyle w:val="BodyText"/>
              <w:keepNext/>
              <w:jc w:val="left"/>
              <w:rPr>
                <w:rFonts w:cs="Arial"/>
                <w:color w:val="000000"/>
                <w:lang w:val="de-DE"/>
              </w:rPr>
            </w:pPr>
            <w:r w:rsidRPr="00D57C7A">
              <w:rPr>
                <w:rFonts w:cs="Arial"/>
                <w:color w:val="000000"/>
                <w:lang w:val="de-DE"/>
              </w:rPr>
              <w:t>TG/JUGLA(proj.6)</w:t>
            </w:r>
          </w:p>
        </w:tc>
        <w:tc>
          <w:tcPr>
            <w:tcW w:w="2807" w:type="dxa"/>
            <w:shd w:val="clear" w:color="auto" w:fill="D9D9D9"/>
            <w:vAlign w:val="center"/>
          </w:tcPr>
          <w:p w:rsidR="002D20DB" w:rsidRPr="002B5125" w:rsidRDefault="002D20DB" w:rsidP="00D57C7A">
            <w:pPr>
              <w:pStyle w:val="BodyText"/>
              <w:keepNext/>
              <w:jc w:val="left"/>
              <w:rPr>
                <w:rFonts w:cs="Arial"/>
                <w:color w:val="000000"/>
                <w:lang w:val="es-ES"/>
              </w:rPr>
            </w:pPr>
            <w:r w:rsidRPr="002B5125">
              <w:rPr>
                <w:rFonts w:cs="Arial"/>
                <w:color w:val="000000"/>
                <w:lang w:val="es-ES"/>
              </w:rPr>
              <w:t>Frau Nuria Urquía Fernández (ES)</w:t>
            </w:r>
          </w:p>
        </w:tc>
        <w:tc>
          <w:tcPr>
            <w:tcW w:w="736" w:type="dxa"/>
            <w:vMerge w:val="restart"/>
            <w:shd w:val="clear" w:color="auto" w:fill="D9D9D9"/>
            <w:vAlign w:val="center"/>
          </w:tcPr>
          <w:p w:rsidR="002D20DB" w:rsidRPr="00C47725" w:rsidRDefault="002D20DB" w:rsidP="002B5125">
            <w:pPr>
              <w:keepNext/>
              <w:jc w:val="left"/>
              <w:rPr>
                <w:rFonts w:cs="Arial"/>
                <w:iCs/>
                <w:lang w:val="de-DE"/>
              </w:rPr>
            </w:pPr>
            <w:r w:rsidRPr="00C47725">
              <w:rPr>
                <w:rFonts w:cs="Arial"/>
                <w:iCs/>
                <w:lang w:val="de-DE"/>
              </w:rPr>
              <w:t>TWF</w:t>
            </w:r>
          </w:p>
        </w:tc>
        <w:tc>
          <w:tcPr>
            <w:tcW w:w="993" w:type="dxa"/>
            <w:vMerge w:val="restart"/>
            <w:shd w:val="clear" w:color="auto" w:fill="D9D9D9"/>
            <w:vAlign w:val="center"/>
          </w:tcPr>
          <w:p w:rsidR="002D20DB" w:rsidRPr="00C47725" w:rsidRDefault="002D20DB" w:rsidP="002B5125">
            <w:pPr>
              <w:pStyle w:val="BodyText"/>
              <w:keepNext/>
              <w:jc w:val="left"/>
              <w:rPr>
                <w:rFonts w:cs="Arial"/>
                <w:iCs/>
                <w:snapToGrid w:val="0"/>
                <w:lang w:val="de-DE"/>
              </w:rPr>
            </w:pPr>
          </w:p>
        </w:tc>
      </w:tr>
      <w:tr w:rsidR="002D20DB" w:rsidRPr="000E6F70" w:rsidTr="00D57C7A">
        <w:trPr>
          <w:cantSplit/>
          <w:trHeight w:hRule="exact" w:val="596"/>
          <w:jc w:val="center"/>
        </w:trPr>
        <w:tc>
          <w:tcPr>
            <w:tcW w:w="2547" w:type="dxa"/>
            <w:vMerge/>
            <w:shd w:val="clear" w:color="auto" w:fill="D9D9D9"/>
            <w:vAlign w:val="center"/>
          </w:tcPr>
          <w:p w:rsidR="002D20DB" w:rsidRPr="00C47725" w:rsidRDefault="002D20DB" w:rsidP="002B5125">
            <w:pPr>
              <w:pStyle w:val="TitleofDoc"/>
              <w:keepNext/>
              <w:tabs>
                <w:tab w:val="left" w:pos="5245"/>
                <w:tab w:val="left" w:pos="7008"/>
              </w:tabs>
              <w:jc w:val="left"/>
              <w:rPr>
                <w:rFonts w:cs="Arial"/>
                <w:caps w:val="0"/>
                <w:lang w:val="de-DE"/>
              </w:rPr>
            </w:pPr>
          </w:p>
        </w:tc>
        <w:tc>
          <w:tcPr>
            <w:tcW w:w="2899" w:type="dxa"/>
            <w:shd w:val="clear" w:color="auto" w:fill="D9D9D9"/>
            <w:vAlign w:val="center"/>
          </w:tcPr>
          <w:p w:rsidR="002D20DB" w:rsidRPr="00C47725" w:rsidRDefault="002D20DB" w:rsidP="002B5125">
            <w:pPr>
              <w:pStyle w:val="BodyText"/>
              <w:keepNext/>
              <w:jc w:val="left"/>
              <w:rPr>
                <w:rFonts w:cs="Arial"/>
                <w:color w:val="000000"/>
                <w:lang w:val="de-DE"/>
              </w:rPr>
            </w:pPr>
            <w:r>
              <w:rPr>
                <w:rFonts w:cs="Arial"/>
                <w:color w:val="000000"/>
                <w:lang w:val="de-DE"/>
              </w:rPr>
              <w:t>Anzahl von Merkmalen</w:t>
            </w:r>
            <w:r w:rsidRPr="00C47725">
              <w:rPr>
                <w:rFonts w:cs="Arial"/>
                <w:color w:val="000000"/>
                <w:lang w:val="de-DE"/>
              </w:rPr>
              <w:t>: 14</w:t>
            </w:r>
            <w:r w:rsidRPr="00C47725">
              <w:rPr>
                <w:rFonts w:cs="Arial"/>
                <w:color w:val="000000"/>
                <w:lang w:val="de-DE"/>
              </w:rPr>
              <w:br/>
            </w:r>
            <w:r>
              <w:rPr>
                <w:rFonts w:cs="Arial"/>
                <w:color w:val="000000"/>
                <w:lang w:val="de-DE"/>
              </w:rPr>
              <w:t>Anzahl</w:t>
            </w:r>
            <w:r w:rsidRPr="00C47725">
              <w:rPr>
                <w:rFonts w:cs="Arial"/>
                <w:color w:val="000000"/>
                <w:lang w:val="de-DE"/>
              </w:rPr>
              <w:t xml:space="preserve"> von </w:t>
            </w:r>
            <w:r>
              <w:rPr>
                <w:rFonts w:cs="Arial"/>
                <w:color w:val="000000"/>
                <w:lang w:val="de-DE"/>
              </w:rPr>
              <w:t>(*)</w:t>
            </w:r>
            <w:r w:rsidRPr="00C47725">
              <w:rPr>
                <w:rFonts w:cs="Arial"/>
                <w:color w:val="000000"/>
                <w:lang w:val="de-DE"/>
              </w:rPr>
              <w:t xml:space="preserve"> Merkmal</w:t>
            </w:r>
            <w:r>
              <w:rPr>
                <w:rFonts w:cs="Arial"/>
                <w:color w:val="000000"/>
                <w:lang w:val="de-DE"/>
              </w:rPr>
              <w:t>en</w:t>
            </w:r>
            <w:r w:rsidRPr="00C47725">
              <w:rPr>
                <w:rFonts w:cs="Arial"/>
                <w:color w:val="000000"/>
                <w:lang w:val="de-DE"/>
              </w:rPr>
              <w:t>: 20</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iCs/>
                <w:snapToGrid w:val="0"/>
                <w:color w:val="000000"/>
                <w:lang w:val="de-DE"/>
              </w:rPr>
              <w:t xml:space="preserve">(Beteiligte Sachverständige: </w:t>
            </w:r>
            <w:r w:rsidRPr="00C47725">
              <w:rPr>
                <w:rFonts w:cs="Arial"/>
                <w:lang w:val="de-DE"/>
              </w:rPr>
              <w:t>CN, KR, QZ, ZA</w:t>
            </w:r>
            <w:r w:rsidRPr="00C47725">
              <w:rPr>
                <w:rFonts w:eastAsia="SimSun" w:cs="Arial"/>
                <w:lang w:val="de-DE" w:eastAsia="zh-CN"/>
              </w:rPr>
              <w:t>)</w:t>
            </w:r>
          </w:p>
        </w:tc>
        <w:tc>
          <w:tcPr>
            <w:tcW w:w="736" w:type="dxa"/>
            <w:vMerge/>
            <w:shd w:val="clear" w:color="auto" w:fill="D9D9D9"/>
            <w:vAlign w:val="center"/>
          </w:tcPr>
          <w:p w:rsidR="002D20DB" w:rsidRPr="00C47725" w:rsidRDefault="002D20DB" w:rsidP="002B5125">
            <w:pPr>
              <w:keepNext/>
              <w:jc w:val="left"/>
              <w:rPr>
                <w:rFonts w:cs="Arial"/>
                <w:iCs/>
                <w:lang w:val="de-DE"/>
              </w:rPr>
            </w:pPr>
          </w:p>
        </w:tc>
        <w:tc>
          <w:tcPr>
            <w:tcW w:w="993" w:type="dxa"/>
            <w:vMerge/>
            <w:shd w:val="clear" w:color="auto" w:fill="D9D9D9"/>
            <w:vAlign w:val="center"/>
          </w:tcPr>
          <w:p w:rsidR="002D20DB" w:rsidRPr="00C47725" w:rsidRDefault="002D20DB" w:rsidP="002B5125">
            <w:pPr>
              <w:pStyle w:val="BodyText"/>
              <w:keepNext/>
              <w:jc w:val="left"/>
              <w:rPr>
                <w:rFonts w:cs="Arial"/>
                <w:iCs/>
                <w:snapToGrid w:val="0"/>
                <w:lang w:val="de-DE"/>
              </w:rPr>
            </w:pPr>
          </w:p>
        </w:tc>
      </w:tr>
    </w:tbl>
    <w:p w:rsidR="002D20DB" w:rsidRPr="00C47725" w:rsidRDefault="002D20DB" w:rsidP="00D57C7A">
      <w:pPr>
        <w:pStyle w:val="BodyText"/>
        <w:keepNext/>
        <w:jc w:val="left"/>
        <w:rPr>
          <w:rFonts w:eastAsia="Arial" w:cs="Arial"/>
          <w:color w:val="000000"/>
          <w:u w:val="single"/>
          <w:lang w:val="de-DE"/>
        </w:rPr>
      </w:pPr>
    </w:p>
    <w:p w:rsidR="002D20DB" w:rsidRPr="00C47725" w:rsidRDefault="002D20DB" w:rsidP="002D20DB">
      <w:pPr>
        <w:keepNext/>
        <w:ind w:firstLine="567"/>
        <w:rPr>
          <w:rFonts w:cs="Arial"/>
          <w:snapToGrid w:val="0"/>
          <w:lang w:val="de-DE"/>
        </w:rPr>
      </w:pPr>
      <w:r w:rsidRPr="00C47725">
        <w:rPr>
          <w:rFonts w:cs="Arial"/>
          <w:snapToGrid w:val="0"/>
          <w:lang w:val="de-DE"/>
        </w:rPr>
        <w:t>Der TC-EDC prüfte auf seiner Sitzung im Oktober 2019 in Genf Dokument </w:t>
      </w:r>
      <w:r w:rsidRPr="00C47725">
        <w:rPr>
          <w:rFonts w:cs="Arial"/>
          <w:caps/>
          <w:lang w:val="de-DE"/>
        </w:rPr>
        <w:t>TG/JUGLA(</w:t>
      </w:r>
      <w:r w:rsidRPr="00C47725">
        <w:rPr>
          <w:rFonts w:cs="Arial"/>
          <w:lang w:val="de-DE"/>
        </w:rPr>
        <w:t>proj</w:t>
      </w:r>
      <w:r w:rsidRPr="00C47725">
        <w:rPr>
          <w:rFonts w:cs="Arial"/>
          <w:caps/>
          <w:lang w:val="de-DE"/>
        </w:rPr>
        <w:t>.6)</w:t>
      </w:r>
      <w:r w:rsidRPr="00C47725">
        <w:rPr>
          <w:rFonts w:cs="Arial"/>
          <w:snapToGrid w:val="0"/>
          <w:lang w:val="de-DE"/>
        </w:rPr>
        <w:t xml:space="preserve"> und gab die in der nachstehenden Tabelle aufgeführten Empfehlungen ab:</w:t>
      </w:r>
    </w:p>
    <w:p w:rsidR="002D20DB" w:rsidRPr="00C47725" w:rsidRDefault="002D20DB" w:rsidP="002D20DB">
      <w:pPr>
        <w:keepNext/>
        <w:rPr>
          <w:rFonts w:eastAsia="Arial" w:cs="Arial"/>
          <w:color w:val="000000"/>
          <w:u w:val="single"/>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keepNext/>
              <w:jc w:val="left"/>
              <w:rPr>
                <w:rFonts w:cs="Arial"/>
                <w:lang w:val="de-DE"/>
              </w:rPr>
            </w:pPr>
            <w:r w:rsidRPr="00C47725">
              <w:rPr>
                <w:rFonts w:cs="Arial"/>
                <w:lang w:val="de-DE"/>
              </w:rPr>
              <w:t>4.2</w:t>
            </w:r>
          </w:p>
        </w:tc>
        <w:tc>
          <w:tcPr>
            <w:tcW w:w="8208" w:type="dxa"/>
          </w:tcPr>
          <w:p w:rsidR="002D20DB" w:rsidRPr="00184BEB" w:rsidRDefault="002D20DB" w:rsidP="002B5125">
            <w:pPr>
              <w:keepNext/>
              <w:rPr>
                <w:rFonts w:cs="Arial"/>
                <w:lang w:val="de-DE"/>
              </w:rPr>
            </w:pPr>
            <w:r w:rsidRPr="00184BEB">
              <w:rPr>
                <w:rFonts w:cs="Arial"/>
                <w:lang w:val="de-DE"/>
              </w:rPr>
              <w:t>den folgenden Absatz aus proj.4 wieder einfügen (versehentlich in proj.5 gestrichen):</w:t>
            </w:r>
          </w:p>
          <w:p w:rsidR="002D20DB" w:rsidRPr="00184BEB" w:rsidRDefault="002D20DB" w:rsidP="002B5125">
            <w:pPr>
              <w:rPr>
                <w:rFonts w:cs="Arial"/>
                <w:lang w:val="de-DE"/>
              </w:rPr>
            </w:pPr>
            <w:r>
              <w:rPr>
                <w:rFonts w:cs="Arial"/>
                <w:lang w:val="de-DE"/>
              </w:rPr>
              <w:t>„</w:t>
            </w:r>
            <w:r w:rsidRPr="00184BEB">
              <w:rPr>
                <w:rFonts w:cs="Arial"/>
                <w:lang w:val="de-DE"/>
              </w:rPr>
              <w:t>Für die Bestimmung der Homogenität von vegetativ vermehrten Sorten sollte ein Populationsstandard von 1 % mit einer Akzeptanzwahrscheinlichkeit von mindestens 95 % angewandt werden. Bei einer Probengröße von 5 Pflanzen ist die höchste zulässige Anzahl von Abweichern 0</w:t>
            </w:r>
            <w:r>
              <w:rPr>
                <w:rFonts w:eastAsia="Arial"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1.</w:t>
            </w:r>
          </w:p>
        </w:tc>
        <w:tc>
          <w:tcPr>
            <w:tcW w:w="8208" w:type="dxa"/>
          </w:tcPr>
          <w:p w:rsidR="002D20DB" w:rsidRPr="00184BEB" w:rsidRDefault="002D20DB" w:rsidP="002B5125">
            <w:pPr>
              <w:keepNext/>
              <w:rPr>
                <w:rFonts w:cs="Arial"/>
                <w:lang w:val="de-DE"/>
              </w:rPr>
            </w:pPr>
            <w:r w:rsidRPr="00184BEB">
              <w:rPr>
                <w:rFonts w:cs="Arial"/>
                <w:lang w:val="de-DE"/>
              </w:rPr>
              <w:t>für Hybride</w:t>
            </w:r>
            <w:r>
              <w:rPr>
                <w:rFonts w:cs="Arial"/>
                <w:lang w:val="de-DE"/>
              </w:rPr>
              <w:t xml:space="preserve"> „</w:t>
            </w:r>
            <w:r w:rsidRPr="00184BEB">
              <w:rPr>
                <w:rFonts w:cs="Arial"/>
                <w:lang w:val="de-DE"/>
              </w:rPr>
              <w:t>x</w:t>
            </w:r>
            <w:r>
              <w:rPr>
                <w:rFonts w:cs="Arial"/>
                <w:lang w:val="de-DE"/>
              </w:rPr>
              <w:t>“</w:t>
            </w:r>
            <w:r w:rsidRPr="00184BEB">
              <w:rPr>
                <w:rFonts w:cs="Arial"/>
                <w:lang w:val="de-DE"/>
              </w:rPr>
              <w:t xml:space="preserve"> durch das Multiplikationssymbol ersetzen</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2.2</w:t>
            </w:r>
          </w:p>
        </w:tc>
        <w:tc>
          <w:tcPr>
            <w:tcW w:w="8208" w:type="dxa"/>
          </w:tcPr>
          <w:p w:rsidR="002D20DB" w:rsidRPr="00184BEB" w:rsidRDefault="002D20DB" w:rsidP="002B5125">
            <w:pPr>
              <w:keepNext/>
              <w:rPr>
                <w:rFonts w:cs="Arial"/>
                <w:lang w:val="de-DE"/>
              </w:rPr>
            </w:pPr>
            <w:r w:rsidRPr="00184BEB">
              <w:rPr>
                <w:rFonts w:cs="Arial"/>
                <w:lang w:val="de-DE"/>
              </w:rPr>
              <w:t>sollte lauten</w:t>
            </w:r>
            <w:r>
              <w:rPr>
                <w:rFonts w:cs="Arial"/>
                <w:lang w:val="de-DE"/>
              </w:rPr>
              <w:t xml:space="preserve"> „</w:t>
            </w:r>
            <w:r w:rsidRPr="00184BEB">
              <w:rPr>
                <w:rFonts w:cs="Arial"/>
                <w:lang w:val="de-DE"/>
              </w:rPr>
              <w:t xml:space="preserve">…Veredelungen </w:t>
            </w:r>
            <w:r w:rsidRPr="009160EF">
              <w:rPr>
                <w:rFonts w:cs="Arial"/>
                <w:highlight w:val="lightGray"/>
                <w:u w:val="single"/>
                <w:lang w:val="de-DE"/>
              </w:rPr>
              <w:t>oder Sommerreiser</w:t>
            </w:r>
            <w:r>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2.3</w:t>
            </w:r>
          </w:p>
        </w:tc>
        <w:tc>
          <w:tcPr>
            <w:tcW w:w="8208" w:type="dxa"/>
          </w:tcPr>
          <w:p w:rsidR="002D20DB" w:rsidRPr="00184BEB" w:rsidRDefault="002D20DB" w:rsidP="002B5125">
            <w:pPr>
              <w:keepNext/>
              <w:rPr>
                <w:rFonts w:cs="Arial"/>
                <w:lang w:val="de-DE"/>
              </w:rPr>
            </w:pPr>
            <w:r w:rsidRPr="00184BEB">
              <w:rPr>
                <w:rFonts w:cs="Arial"/>
                <w:lang w:val="de-DE"/>
              </w:rPr>
              <w:t>sollte lauten</w:t>
            </w:r>
            <w:r>
              <w:rPr>
                <w:rFonts w:cs="Arial"/>
                <w:lang w:val="de-DE"/>
              </w:rPr>
              <w:t xml:space="preserve"> „</w:t>
            </w:r>
            <w:r w:rsidRPr="00184BEB">
              <w:rPr>
                <w:rFonts w:cs="Arial"/>
                <w:lang w:val="de-DE"/>
              </w:rPr>
              <w:t>5 Sommerreiser, ausreichend für die Vermehrung von 10 Bäumen</w:t>
            </w:r>
            <w:r>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3.1.2, 5.3, Merkmal 16</w:t>
            </w:r>
          </w:p>
        </w:tc>
        <w:tc>
          <w:tcPr>
            <w:tcW w:w="8208" w:type="dxa"/>
          </w:tcPr>
          <w:p w:rsidR="002D20DB" w:rsidRPr="00184BEB" w:rsidRDefault="002D20DB" w:rsidP="002B5125">
            <w:pPr>
              <w:keepNext/>
              <w:jc w:val="left"/>
              <w:rPr>
                <w:rFonts w:cs="Arial"/>
                <w:lang w:val="de-DE"/>
              </w:rPr>
            </w:pPr>
            <w:r>
              <w:rPr>
                <w:rFonts w:cs="Arial"/>
                <w:lang w:val="de-DE"/>
              </w:rPr>
              <w:t>„bud burst“</w:t>
            </w:r>
            <w:r w:rsidRPr="00184BEB">
              <w:rPr>
                <w:rFonts w:cs="Arial"/>
                <w:lang w:val="de-DE"/>
              </w:rPr>
              <w:t xml:space="preserve"> in zwei Wörter trennen (im gesamten Dokument)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lastRenderedPageBreak/>
              <w:t>Merkmal 7</w:t>
            </w:r>
          </w:p>
        </w:tc>
        <w:tc>
          <w:tcPr>
            <w:tcW w:w="8208" w:type="dxa"/>
          </w:tcPr>
          <w:p w:rsidR="002D20DB" w:rsidRPr="00184BEB" w:rsidRDefault="002D20DB" w:rsidP="002B5125">
            <w:pPr>
              <w:keepNext/>
              <w:jc w:val="left"/>
              <w:rPr>
                <w:rFonts w:cs="Arial"/>
                <w:lang w:val="de-DE"/>
              </w:rPr>
            </w:pPr>
            <w:r w:rsidRPr="00184BEB">
              <w:rPr>
                <w:rFonts w:cs="Arial"/>
                <w:lang w:val="de-DE"/>
              </w:rPr>
              <w:t>-</w:t>
            </w:r>
            <w:r>
              <w:rPr>
                <w:rFonts w:cs="Arial"/>
                <w:lang w:val="de-DE"/>
              </w:rPr>
              <w:t xml:space="preserve"> „</w:t>
            </w:r>
            <w:r w:rsidRPr="00184BEB">
              <w:rPr>
                <w:rFonts w:cs="Arial"/>
                <w:lang w:val="de-DE"/>
              </w:rPr>
              <w:t>in Gruppe von</w:t>
            </w:r>
            <w:r>
              <w:rPr>
                <w:rFonts w:cs="Arial"/>
                <w:lang w:val="de-DE"/>
              </w:rPr>
              <w:t>“</w:t>
            </w:r>
            <w:r w:rsidRPr="00184BEB">
              <w:rPr>
                <w:rFonts w:cs="Arial"/>
                <w:lang w:val="de-DE"/>
              </w:rPr>
              <w:t xml:space="preserve"> aus allen Stufen streichen</w:t>
            </w:r>
          </w:p>
          <w:p w:rsidR="002D20DB" w:rsidRPr="00184BEB" w:rsidRDefault="002D20DB" w:rsidP="002B5125">
            <w:pPr>
              <w:keepNext/>
              <w:jc w:val="left"/>
              <w:rPr>
                <w:rFonts w:cs="Arial"/>
                <w:lang w:val="de-DE"/>
              </w:rPr>
            </w:pPr>
            <w:r w:rsidRPr="00184BEB">
              <w:rPr>
                <w:rFonts w:cs="Arial"/>
                <w:lang w:val="de-DE"/>
              </w:rPr>
              <w:t>- sollte lauten</w:t>
            </w:r>
            <w:r>
              <w:rPr>
                <w:rFonts w:cs="Arial"/>
                <w:lang w:val="de-DE"/>
              </w:rPr>
              <w:t xml:space="preserve"> „</w:t>
            </w:r>
            <w:r w:rsidRPr="00184BEB">
              <w:rPr>
                <w:rFonts w:cs="Arial"/>
                <w:lang w:val="de-DE"/>
              </w:rPr>
              <w:t>Weibliche</w:t>
            </w:r>
            <w:r>
              <w:rPr>
                <w:rFonts w:cs="Arial"/>
                <w:lang w:val="de-DE"/>
              </w:rPr>
              <w:t>r</w:t>
            </w:r>
            <w:r w:rsidRPr="00184BEB">
              <w:rPr>
                <w:rFonts w:cs="Arial"/>
                <w:lang w:val="de-DE"/>
              </w:rPr>
              <w:t xml:space="preserve"> Blüte</w:t>
            </w:r>
            <w:r>
              <w:rPr>
                <w:rFonts w:cs="Arial"/>
                <w:lang w:val="de-DE"/>
              </w:rPr>
              <w:t>nstand</w:t>
            </w:r>
            <w:r w:rsidRPr="00184BEB">
              <w:rPr>
                <w:rFonts w:cs="Arial"/>
                <w:lang w:val="de-DE"/>
              </w:rPr>
              <w:t>: überwiegende Anzahl von Blüten</w:t>
            </w:r>
            <w:r>
              <w:rPr>
                <w:rFonts w:cs="Arial"/>
                <w:lang w:val="de-DE"/>
              </w:rPr>
              <w:t>“</w:t>
            </w:r>
            <w:r w:rsidRPr="00184BEB">
              <w:rPr>
                <w:rFonts w:cs="Arial"/>
                <w:lang w:val="de-DE"/>
              </w:rPr>
              <w:t xml:space="preserve"> und vor Merkmal 6 verschieben</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10</w:t>
            </w:r>
          </w:p>
        </w:tc>
        <w:tc>
          <w:tcPr>
            <w:tcW w:w="8208" w:type="dxa"/>
          </w:tcPr>
          <w:p w:rsidR="002D20DB" w:rsidRPr="00184BEB" w:rsidRDefault="002D20DB" w:rsidP="002B5125">
            <w:pPr>
              <w:keepNext/>
              <w:rPr>
                <w:rFonts w:cs="Arial"/>
                <w:lang w:val="de-DE"/>
              </w:rPr>
            </w:pPr>
            <w:r w:rsidRPr="00184BEB">
              <w:rPr>
                <w:rFonts w:cs="Arial"/>
                <w:lang w:val="de-DE"/>
              </w:rPr>
              <w:t>sollte lauten</w:t>
            </w:r>
            <w:r>
              <w:rPr>
                <w:rFonts w:cs="Arial"/>
                <w:lang w:val="de-DE"/>
              </w:rPr>
              <w:t xml:space="preserve"> „</w:t>
            </w:r>
            <w:r w:rsidRPr="00184BEB">
              <w:rPr>
                <w:rFonts w:cs="Arial"/>
                <w:lang w:val="de-DE"/>
              </w:rPr>
              <w:t>Weibliche Blüte: Typ/Art der Vernarbung</w:t>
            </w:r>
            <w:r>
              <w:rPr>
                <w:rFonts w:cs="Arial"/>
                <w:lang w:val="de-DE"/>
              </w:rPr>
              <w:t>“</w:t>
            </w:r>
            <w:r w:rsidRPr="00184BEB">
              <w:rPr>
                <w:rFonts w:cs="Arial"/>
                <w:lang w:val="de-DE"/>
              </w:rPr>
              <w:t xml:space="preserve"> </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11</w:t>
            </w:r>
          </w:p>
        </w:tc>
        <w:tc>
          <w:tcPr>
            <w:tcW w:w="8208" w:type="dxa"/>
          </w:tcPr>
          <w:p w:rsidR="002D20DB" w:rsidRPr="00184BEB" w:rsidRDefault="002D20DB" w:rsidP="002B5125">
            <w:pPr>
              <w:jc w:val="left"/>
              <w:rPr>
                <w:rFonts w:cs="Arial"/>
                <w:lang w:val="de-DE"/>
              </w:rPr>
            </w:pPr>
            <w:r w:rsidRPr="00184BEB">
              <w:rPr>
                <w:rFonts w:cs="Arial"/>
                <w:lang w:val="de-DE"/>
              </w:rPr>
              <w:t>sollte lauten:</w:t>
            </w:r>
            <w:r>
              <w:rPr>
                <w:rFonts w:cs="Arial"/>
                <w:lang w:val="de-DE"/>
              </w:rPr>
              <w:t xml:space="preserve"> „</w:t>
            </w:r>
            <w:r w:rsidRPr="00184BEB">
              <w:rPr>
                <w:rFonts w:cs="Arial"/>
                <w:lang w:val="de-DE"/>
              </w:rPr>
              <w:t>Pflanze: voll entwickelte Kätzchen</w:t>
            </w:r>
            <w:r>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12</w:t>
            </w:r>
          </w:p>
        </w:tc>
        <w:tc>
          <w:tcPr>
            <w:tcW w:w="8208" w:type="dxa"/>
          </w:tcPr>
          <w:p w:rsidR="002D20DB" w:rsidRPr="00184BEB" w:rsidRDefault="002D20DB" w:rsidP="002B5125">
            <w:pPr>
              <w:jc w:val="left"/>
              <w:rPr>
                <w:rFonts w:cs="Arial"/>
                <w:lang w:val="de-DE"/>
              </w:rPr>
            </w:pPr>
            <w:r w:rsidRPr="00184BEB">
              <w:rPr>
                <w:rFonts w:cs="Arial"/>
                <w:lang w:val="de-DE"/>
              </w:rPr>
              <w:t>sollte lauten</w:t>
            </w:r>
            <w:r>
              <w:rPr>
                <w:rFonts w:cs="Arial"/>
                <w:lang w:val="de-DE"/>
              </w:rPr>
              <w:t xml:space="preserve"> „</w:t>
            </w:r>
            <w:r w:rsidRPr="00184BEB">
              <w:rPr>
                <w:rFonts w:cs="Arial"/>
                <w:lang w:val="de-DE"/>
              </w:rPr>
              <w:t>Nur Sorten mit: Pflanze: voll entwickelte Kätzchen: vorhanden: Kätzchen: Form</w:t>
            </w:r>
            <w:r>
              <w:rPr>
                <w:rFonts w:cs="Arial"/>
                <w:lang w:val="de-DE"/>
              </w:rPr>
              <w:t>“</w:t>
            </w:r>
          </w:p>
        </w:tc>
      </w:tr>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13</w:t>
            </w:r>
          </w:p>
        </w:tc>
        <w:tc>
          <w:tcPr>
            <w:tcW w:w="8208" w:type="dxa"/>
          </w:tcPr>
          <w:p w:rsidR="002D20DB" w:rsidRPr="00184BEB" w:rsidRDefault="002D20DB" w:rsidP="002B5125">
            <w:pPr>
              <w:jc w:val="left"/>
              <w:rPr>
                <w:rFonts w:cs="Arial"/>
                <w:lang w:val="de-DE"/>
              </w:rPr>
            </w:pPr>
            <w:r w:rsidRPr="00184BEB">
              <w:rPr>
                <w:rFonts w:cs="Arial"/>
                <w:lang w:val="de-DE"/>
              </w:rPr>
              <w:t>sollte lauten</w:t>
            </w:r>
            <w:r>
              <w:rPr>
                <w:rFonts w:cs="Arial"/>
                <w:lang w:val="de-DE"/>
              </w:rPr>
              <w:t xml:space="preserve"> „</w:t>
            </w:r>
            <w:r w:rsidRPr="00184BEB">
              <w:rPr>
                <w:rFonts w:cs="Arial"/>
                <w:lang w:val="de-DE"/>
              </w:rPr>
              <w:t>Nuss: Form</w:t>
            </w:r>
            <w:r>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8.1</w:t>
            </w:r>
          </w:p>
        </w:tc>
        <w:tc>
          <w:tcPr>
            <w:tcW w:w="8208" w:type="dxa"/>
          </w:tcPr>
          <w:p w:rsidR="002D20DB" w:rsidRPr="00184BEB" w:rsidRDefault="002D20DB" w:rsidP="002B5125">
            <w:pPr>
              <w:keepNext/>
              <w:rPr>
                <w:rFonts w:cs="Arial"/>
                <w:lang w:val="de-DE"/>
              </w:rPr>
            </w:pPr>
            <w:r w:rsidRPr="00184BEB">
              <w:rPr>
                <w:rFonts w:cs="Arial"/>
                <w:lang w:val="de-DE"/>
              </w:rPr>
              <w:t xml:space="preserve">Erwähnung von Pflanzenteilen in </w:t>
            </w:r>
            <w:r>
              <w:rPr>
                <w:rFonts w:cs="Arial"/>
                <w:lang w:val="de-DE"/>
              </w:rPr>
              <w:t>(</w:t>
            </w:r>
            <w:r w:rsidRPr="00184BEB">
              <w:rPr>
                <w:rFonts w:cs="Arial"/>
                <w:lang w:val="de-DE"/>
              </w:rPr>
              <w:t xml:space="preserve">a) bis </w:t>
            </w:r>
            <w:r>
              <w:rPr>
                <w:rFonts w:cs="Arial"/>
                <w:lang w:val="de-DE"/>
              </w:rPr>
              <w:t>(</w:t>
            </w:r>
            <w:r w:rsidRPr="00184BEB">
              <w:rPr>
                <w:rFonts w:cs="Arial"/>
                <w:lang w:val="de-DE"/>
              </w:rPr>
              <w:t>d) streichen (</w:t>
            </w:r>
            <w:r>
              <w:rPr>
                <w:rFonts w:cs="Arial"/>
                <w:lang w:val="de-DE"/>
              </w:rPr>
              <w:t>„</w:t>
            </w:r>
            <w:r w:rsidRPr="00184BEB">
              <w:rPr>
                <w:rFonts w:cs="Arial"/>
                <w:lang w:val="de-DE"/>
              </w:rPr>
              <w:t>Erfassungen sollten erfolgen…</w:t>
            </w:r>
            <w:r>
              <w:rPr>
                <w:rFonts w:cs="Arial"/>
                <w:lang w:val="de-DE"/>
              </w:rPr>
              <w:t>“</w:t>
            </w:r>
            <w:r w:rsidRPr="00184BEB">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 xml:space="preserve">8.1 </w:t>
            </w:r>
            <w:r>
              <w:rPr>
                <w:rFonts w:cs="Arial"/>
                <w:lang w:val="de-DE"/>
              </w:rPr>
              <w:t>(</w:t>
            </w:r>
            <w:r w:rsidRPr="00C47725">
              <w:rPr>
                <w:rFonts w:cs="Arial"/>
                <w:lang w:val="de-DE"/>
              </w:rPr>
              <w:t>c)</w:t>
            </w:r>
          </w:p>
        </w:tc>
        <w:tc>
          <w:tcPr>
            <w:tcW w:w="8208" w:type="dxa"/>
          </w:tcPr>
          <w:p w:rsidR="002D20DB" w:rsidRPr="00C47725" w:rsidRDefault="002D20DB" w:rsidP="002B5125">
            <w:pPr>
              <w:jc w:val="left"/>
              <w:rPr>
                <w:rFonts w:cs="Arial"/>
                <w:lang w:val="de-DE"/>
              </w:rPr>
            </w:pPr>
            <w:r w:rsidRPr="00C47725">
              <w:rPr>
                <w:rFonts w:cs="Arial"/>
                <w:lang w:val="de-DE"/>
              </w:rPr>
              <w:t>sollte lauten</w:t>
            </w:r>
            <w:r>
              <w:rPr>
                <w:rFonts w:cs="Arial"/>
                <w:lang w:val="de-DE"/>
              </w:rPr>
              <w:t xml:space="preserve"> „</w:t>
            </w:r>
            <w:r w:rsidRPr="00C47725">
              <w:rPr>
                <w:rFonts w:cs="Arial"/>
                <w:lang w:val="de-DE"/>
              </w:rPr>
              <w:t xml:space="preserve">Erfassungen sollten bei Vollblüte von männlichen </w:t>
            </w:r>
            <w:r>
              <w:rPr>
                <w:rFonts w:cs="Arial"/>
                <w:lang w:val="de-DE"/>
              </w:rPr>
              <w:t>bzw.</w:t>
            </w:r>
            <w:r w:rsidRPr="00C47725">
              <w:rPr>
                <w:rFonts w:cs="Arial"/>
                <w:lang w:val="de-DE"/>
              </w:rPr>
              <w:t xml:space="preserve"> weiblichen Blüten erfolgen.</w:t>
            </w:r>
            <w:r>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 xml:space="preserve">8.1 </w:t>
            </w:r>
            <w:r>
              <w:rPr>
                <w:rFonts w:cs="Arial"/>
                <w:lang w:val="de-DE"/>
              </w:rPr>
              <w:t>(</w:t>
            </w:r>
            <w:r w:rsidRPr="00C47725">
              <w:rPr>
                <w:rFonts w:cs="Arial"/>
                <w:lang w:val="de-DE"/>
              </w:rPr>
              <w:t>d)</w:t>
            </w:r>
          </w:p>
        </w:tc>
        <w:tc>
          <w:tcPr>
            <w:tcW w:w="8208" w:type="dxa"/>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Erfassungen sollten an physiologisch reifen Nüssen ohne Perikarp der Naht zugewandt erfolgen</w:t>
            </w:r>
            <w:r>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3</w:t>
            </w:r>
          </w:p>
        </w:tc>
        <w:tc>
          <w:tcPr>
            <w:tcW w:w="8208" w:type="dxa"/>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weniger als 9; zwischen 9 und 13; zwischen 14 und 17; zwischen 18 und 21; 22 oder mehr</w:t>
            </w:r>
            <w:r>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6</w:t>
            </w:r>
          </w:p>
        </w:tc>
        <w:tc>
          <w:tcPr>
            <w:tcW w:w="8208" w:type="dxa"/>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Ausprägung fehlt</w:t>
            </w:r>
            <w:r>
              <w:rPr>
                <w:rFonts w:cs="Arial"/>
                <w:lang w:val="de-DE"/>
              </w:rPr>
              <w:t>,</w:t>
            </w:r>
            <w:r w:rsidRPr="00C47725">
              <w:rPr>
                <w:rFonts w:cs="Arial"/>
                <w:lang w:val="de-DE"/>
              </w:rPr>
              <w:t xml:space="preserve"> wenn …</w:t>
            </w:r>
            <w:r>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11</w:t>
            </w:r>
          </w:p>
        </w:tc>
        <w:tc>
          <w:tcPr>
            <w:tcW w:w="8208" w:type="dxa"/>
          </w:tcPr>
          <w:p w:rsidR="002D20DB" w:rsidRPr="00C47725" w:rsidRDefault="002D20DB" w:rsidP="002B5125">
            <w:pPr>
              <w:jc w:val="left"/>
              <w:rPr>
                <w:rFonts w:cs="Arial"/>
                <w:lang w:val="de-DE"/>
              </w:rPr>
            </w:pPr>
            <w:r w:rsidRPr="00C47725">
              <w:rPr>
                <w:rFonts w:cs="Arial"/>
                <w:lang w:val="de-DE"/>
              </w:rPr>
              <w:t>sollte lauten:</w:t>
            </w:r>
            <w:r>
              <w:rPr>
                <w:rFonts w:cs="Arial"/>
                <w:lang w:val="de-DE"/>
              </w:rPr>
              <w:t xml:space="preserve"> „</w:t>
            </w:r>
            <w:r w:rsidRPr="00C47725">
              <w:rPr>
                <w:rFonts w:cs="Arial"/>
                <w:lang w:val="de-DE"/>
              </w:rPr>
              <w:t>...die Pollenbeutel sind voll.</w:t>
            </w:r>
          </w:p>
        </w:tc>
      </w:tr>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Ads. 14, 15</w:t>
            </w:r>
          </w:p>
        </w:tc>
        <w:tc>
          <w:tcPr>
            <w:tcW w:w="8208" w:type="dxa"/>
          </w:tcPr>
          <w:p w:rsidR="002D20DB" w:rsidRPr="00C47725" w:rsidRDefault="002D20DB" w:rsidP="002B5125">
            <w:pPr>
              <w:jc w:val="left"/>
              <w:rPr>
                <w:rFonts w:cs="Arial"/>
                <w:lang w:val="de-DE"/>
              </w:rPr>
            </w:pPr>
            <w:r w:rsidRPr="00C47725">
              <w:rPr>
                <w:rFonts w:cs="Arial"/>
                <w:lang w:val="de-DE"/>
              </w:rPr>
              <w:t>Satz streichen</w:t>
            </w:r>
          </w:p>
        </w:tc>
      </w:tr>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16</w:t>
            </w:r>
          </w:p>
        </w:tc>
        <w:tc>
          <w:tcPr>
            <w:tcW w:w="8208" w:type="dxa"/>
          </w:tcPr>
          <w:p w:rsidR="002D20DB" w:rsidRPr="00C47725" w:rsidRDefault="002D20DB" w:rsidP="002B5125">
            <w:pPr>
              <w:jc w:val="left"/>
              <w:rPr>
                <w:rFonts w:cs="Arial"/>
                <w:lang w:val="de-DE"/>
              </w:rPr>
            </w:pPr>
            <w:r>
              <w:rPr>
                <w:rFonts w:cs="Arial"/>
                <w:lang w:val="de-DE"/>
              </w:rPr>
              <w:t>„</w:t>
            </w:r>
            <w:r w:rsidRPr="00C47725">
              <w:rPr>
                <w:rFonts w:cs="Arial"/>
                <w:lang w:val="de-DE"/>
              </w:rPr>
              <w:t>mehr als</w:t>
            </w:r>
            <w:r>
              <w:rPr>
                <w:rFonts w:cs="Arial"/>
                <w:lang w:val="de-DE"/>
              </w:rPr>
              <w:t>“</w:t>
            </w:r>
            <w:r w:rsidRPr="00C47725">
              <w:rPr>
                <w:rFonts w:cs="Arial"/>
                <w:lang w:val="de-DE"/>
              </w:rPr>
              <w:t xml:space="preserve"> streichen</w:t>
            </w:r>
          </w:p>
        </w:tc>
      </w:tr>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20</w:t>
            </w:r>
          </w:p>
        </w:tc>
        <w:tc>
          <w:tcPr>
            <w:tcW w:w="8208" w:type="dxa"/>
          </w:tcPr>
          <w:p w:rsidR="002D20DB" w:rsidRPr="00C47725" w:rsidRDefault="002D20DB" w:rsidP="002B5125">
            <w:pPr>
              <w:jc w:val="left"/>
              <w:rPr>
                <w:rFonts w:cs="Arial"/>
                <w:lang w:val="de-DE"/>
              </w:rPr>
            </w:pPr>
            <w:r>
              <w:rPr>
                <w:rFonts w:cs="Arial"/>
                <w:lang w:val="de-DE"/>
              </w:rPr>
              <w:t>„</w:t>
            </w:r>
            <w:r w:rsidRPr="00C47725">
              <w:rPr>
                <w:rFonts w:cs="Arial"/>
                <w:lang w:val="de-DE"/>
              </w:rPr>
              <w:t>über</w:t>
            </w:r>
            <w:r>
              <w:rPr>
                <w:rFonts w:cs="Arial"/>
                <w:lang w:val="de-DE"/>
              </w:rPr>
              <w:t>“</w:t>
            </w:r>
            <w:r w:rsidRPr="00C47725">
              <w:rPr>
                <w:rFonts w:cs="Arial"/>
                <w:lang w:val="de-DE"/>
              </w:rPr>
              <w:t xml:space="preserve"> streichen</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p w:rsidR="002D20DB" w:rsidRPr="00C47725" w:rsidRDefault="002D20DB" w:rsidP="002D20DB">
      <w:pPr>
        <w:pStyle w:val="Heading3"/>
        <w:rPr>
          <w:rFonts w:eastAsia="Arial" w:cs="Arial"/>
        </w:rPr>
      </w:pPr>
      <w:r w:rsidRPr="00C47725">
        <w:rPr>
          <w:rFonts w:eastAsia="Arial" w:cs="Arial"/>
        </w:rPr>
        <w:t>Überarbeitungen</w:t>
      </w:r>
    </w:p>
    <w:p w:rsidR="002D20DB" w:rsidRPr="00C47725" w:rsidRDefault="002D20DB" w:rsidP="002D20DB">
      <w:pPr>
        <w:keepNext/>
        <w:rPr>
          <w:rFonts w:eastAsia="Arial" w:cs="Arial"/>
          <w:color w:val="000000"/>
          <w:u w:val="single"/>
          <w:lang w:val="de-D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47"/>
        <w:gridCol w:w="2899"/>
        <w:gridCol w:w="2807"/>
        <w:gridCol w:w="736"/>
        <w:gridCol w:w="993"/>
      </w:tblGrid>
      <w:tr w:rsidR="002D20DB" w:rsidRPr="00C47725" w:rsidTr="002B5125">
        <w:trPr>
          <w:cantSplit/>
          <w:trHeight w:val="277"/>
          <w:jc w:val="center"/>
        </w:trPr>
        <w:tc>
          <w:tcPr>
            <w:tcW w:w="2547" w:type="dxa"/>
            <w:vMerge w:val="restart"/>
            <w:shd w:val="clear" w:color="auto" w:fill="D9D9D9"/>
            <w:vAlign w:val="center"/>
          </w:tcPr>
          <w:p w:rsidR="002D20DB" w:rsidRPr="000B19B7" w:rsidRDefault="002D20DB" w:rsidP="000B19B7">
            <w:pPr>
              <w:keepNext/>
              <w:jc w:val="left"/>
              <w:rPr>
                <w:rFonts w:cs="Arial"/>
                <w:lang w:val="de-DE"/>
              </w:rPr>
            </w:pPr>
            <w:r w:rsidRPr="00C47725">
              <w:rPr>
                <w:rFonts w:cs="Arial"/>
                <w:lang w:val="de-DE"/>
              </w:rPr>
              <w:t xml:space="preserve">Inkalilie </w:t>
            </w:r>
            <w:r w:rsidRPr="00C47725">
              <w:rPr>
                <w:rFonts w:cs="Arial"/>
                <w:lang w:val="de-DE"/>
              </w:rPr>
              <w:br/>
              <w:t>(</w:t>
            </w:r>
            <w:r w:rsidRPr="000B19B7">
              <w:rPr>
                <w:rFonts w:cs="Arial"/>
                <w:i/>
                <w:lang w:val="de-DE"/>
              </w:rPr>
              <w:t>Alstroemeria</w:t>
            </w:r>
            <w:r w:rsidRPr="00C47725">
              <w:rPr>
                <w:rFonts w:cs="Arial"/>
                <w:lang w:val="de-DE"/>
              </w:rPr>
              <w:t xml:space="preserve"> L.)</w:t>
            </w:r>
          </w:p>
        </w:tc>
        <w:tc>
          <w:tcPr>
            <w:tcW w:w="2899" w:type="dxa"/>
            <w:shd w:val="clear" w:color="auto" w:fill="D9D9D9"/>
            <w:vAlign w:val="center"/>
          </w:tcPr>
          <w:p w:rsidR="002D20DB" w:rsidRPr="000B19B7" w:rsidRDefault="002D20DB" w:rsidP="000B19B7">
            <w:pPr>
              <w:keepNext/>
              <w:jc w:val="left"/>
              <w:rPr>
                <w:rFonts w:cs="Arial"/>
                <w:lang w:val="de-DE"/>
              </w:rPr>
            </w:pPr>
            <w:r w:rsidRPr="00C47725">
              <w:rPr>
                <w:rFonts w:cs="Arial"/>
                <w:lang w:val="de-DE"/>
              </w:rPr>
              <w:t>TG/29/8(proj.4)</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lang w:val="de-DE"/>
              </w:rPr>
              <w:t>Herr Henk de Greef (NL)</w:t>
            </w:r>
          </w:p>
        </w:tc>
        <w:tc>
          <w:tcPr>
            <w:tcW w:w="736" w:type="dxa"/>
            <w:vMerge w:val="restart"/>
            <w:shd w:val="clear" w:color="auto" w:fill="D9D9D9"/>
            <w:vAlign w:val="center"/>
          </w:tcPr>
          <w:p w:rsidR="002D20DB" w:rsidRPr="00C47725" w:rsidRDefault="002D20DB" w:rsidP="002B5125">
            <w:pPr>
              <w:keepNext/>
              <w:jc w:val="left"/>
              <w:rPr>
                <w:rFonts w:cs="Arial"/>
                <w:iCs/>
                <w:lang w:val="de-DE"/>
              </w:rPr>
            </w:pPr>
            <w:r w:rsidRPr="00C47725">
              <w:rPr>
                <w:rFonts w:cs="Arial"/>
                <w:iCs/>
                <w:lang w:val="de-DE"/>
              </w:rPr>
              <w:t>TWO</w:t>
            </w:r>
          </w:p>
        </w:tc>
        <w:tc>
          <w:tcPr>
            <w:tcW w:w="993" w:type="dxa"/>
            <w:vMerge w:val="restart"/>
            <w:shd w:val="clear" w:color="auto" w:fill="D9D9D9"/>
            <w:vAlign w:val="center"/>
          </w:tcPr>
          <w:p w:rsidR="002D20DB" w:rsidRPr="00C47725" w:rsidRDefault="002D20DB" w:rsidP="002B5125">
            <w:pPr>
              <w:pStyle w:val="BodyText"/>
              <w:keepNext/>
              <w:jc w:val="left"/>
              <w:rPr>
                <w:rFonts w:cs="Arial"/>
                <w:iCs/>
                <w:snapToGrid w:val="0"/>
                <w:lang w:val="de-DE"/>
              </w:rPr>
            </w:pPr>
            <w:r w:rsidRPr="00C47725">
              <w:rPr>
                <w:rFonts w:cs="Arial"/>
                <w:iCs/>
                <w:snapToGrid w:val="0"/>
                <w:lang w:val="de-DE"/>
              </w:rPr>
              <w:t>*</w:t>
            </w:r>
          </w:p>
        </w:tc>
      </w:tr>
      <w:tr w:rsidR="002D20DB" w:rsidRPr="000E6F70" w:rsidTr="002B5125">
        <w:trPr>
          <w:cantSplit/>
          <w:trHeight w:hRule="exact" w:val="978"/>
          <w:jc w:val="center"/>
        </w:trPr>
        <w:tc>
          <w:tcPr>
            <w:tcW w:w="2547" w:type="dxa"/>
            <w:vMerge/>
            <w:shd w:val="clear" w:color="auto" w:fill="D9D9D9"/>
            <w:vAlign w:val="center"/>
          </w:tcPr>
          <w:p w:rsidR="002D20DB" w:rsidRPr="000B19B7" w:rsidRDefault="002D20DB" w:rsidP="000B19B7">
            <w:pPr>
              <w:keepNext/>
              <w:jc w:val="left"/>
              <w:rPr>
                <w:rFonts w:cs="Arial"/>
                <w:lang w:val="de-DE"/>
              </w:rPr>
            </w:pPr>
          </w:p>
        </w:tc>
        <w:tc>
          <w:tcPr>
            <w:tcW w:w="2899" w:type="dxa"/>
            <w:shd w:val="clear" w:color="auto" w:fill="D9D9D9"/>
            <w:vAlign w:val="center"/>
          </w:tcPr>
          <w:p w:rsidR="002D20DB" w:rsidRPr="000B19B7" w:rsidRDefault="002D20DB" w:rsidP="000B19B7">
            <w:pPr>
              <w:keepNext/>
              <w:jc w:val="left"/>
              <w:rPr>
                <w:rFonts w:cs="Arial"/>
                <w:lang w:val="de-DE"/>
              </w:rPr>
            </w:pPr>
            <w:r w:rsidRPr="000B19B7">
              <w:rPr>
                <w:rFonts w:cs="Arial"/>
                <w:lang w:val="de-DE"/>
              </w:rPr>
              <w:t>Anzahl von Merkmalen: 43</w:t>
            </w:r>
            <w:r w:rsidRPr="000B19B7">
              <w:rPr>
                <w:rFonts w:cs="Arial"/>
                <w:lang w:val="de-DE"/>
              </w:rPr>
              <w:br/>
              <w:t>Anzahl von (*) Merkmalen: 35</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iCs/>
                <w:snapToGrid w:val="0"/>
                <w:color w:val="000000"/>
                <w:lang w:val="de-DE"/>
              </w:rPr>
              <w:t xml:space="preserve">(Beteiligte Sachverständige: </w:t>
            </w:r>
            <w:r w:rsidRPr="00C47725">
              <w:rPr>
                <w:rFonts w:cs="Arial"/>
                <w:lang w:val="de-DE"/>
              </w:rPr>
              <w:t>AU, CA, KR, JP, MX, NZ, QZ, ZA</w:t>
            </w:r>
            <w:r w:rsidRPr="00C47725">
              <w:rPr>
                <w:rFonts w:eastAsia="SimSun" w:cs="Arial"/>
                <w:lang w:val="de-DE" w:eastAsia="zh-CN"/>
              </w:rPr>
              <w:t>)</w:t>
            </w:r>
          </w:p>
        </w:tc>
        <w:tc>
          <w:tcPr>
            <w:tcW w:w="736" w:type="dxa"/>
            <w:vMerge/>
            <w:shd w:val="clear" w:color="auto" w:fill="D9D9D9"/>
            <w:vAlign w:val="center"/>
          </w:tcPr>
          <w:p w:rsidR="002D20DB" w:rsidRPr="00C47725" w:rsidRDefault="002D20DB" w:rsidP="002B5125">
            <w:pPr>
              <w:keepNext/>
              <w:jc w:val="left"/>
              <w:rPr>
                <w:rFonts w:cs="Arial"/>
                <w:iCs/>
                <w:lang w:val="de-DE"/>
              </w:rPr>
            </w:pPr>
          </w:p>
        </w:tc>
        <w:tc>
          <w:tcPr>
            <w:tcW w:w="993" w:type="dxa"/>
            <w:vMerge/>
            <w:shd w:val="clear" w:color="auto" w:fill="D9D9D9"/>
            <w:vAlign w:val="center"/>
          </w:tcPr>
          <w:p w:rsidR="002D20DB" w:rsidRPr="00C47725" w:rsidRDefault="002D20DB" w:rsidP="002B5125">
            <w:pPr>
              <w:pStyle w:val="BodyText"/>
              <w:keepNext/>
              <w:jc w:val="left"/>
              <w:rPr>
                <w:rFonts w:cs="Arial"/>
                <w:iCs/>
                <w:snapToGrid w:val="0"/>
                <w:lang w:val="de-DE"/>
              </w:rPr>
            </w:pPr>
          </w:p>
        </w:tc>
      </w:tr>
    </w:tbl>
    <w:p w:rsidR="002D20DB" w:rsidRPr="00C47725" w:rsidRDefault="002D20DB" w:rsidP="002D20DB">
      <w:pPr>
        <w:keepNext/>
        <w:rPr>
          <w:rFonts w:eastAsia="Arial" w:cs="Arial"/>
          <w:color w:val="000000"/>
          <w:u w:val="single"/>
          <w:lang w:val="de-DE"/>
        </w:rPr>
      </w:pPr>
    </w:p>
    <w:p w:rsidR="002D20DB" w:rsidRPr="00C47725" w:rsidRDefault="002D20DB" w:rsidP="002D20DB">
      <w:pPr>
        <w:ind w:firstLine="567"/>
        <w:rPr>
          <w:rFonts w:cs="Arial"/>
          <w:snapToGrid w:val="0"/>
          <w:lang w:val="de-DE"/>
        </w:rPr>
      </w:pPr>
      <w:r w:rsidRPr="00C47725">
        <w:rPr>
          <w:rFonts w:cs="Arial"/>
          <w:snapToGrid w:val="0"/>
          <w:lang w:val="de-DE"/>
        </w:rPr>
        <w:t>Der TC-EDC prüfte auf seiner Sitzung im Oktober 2019 in Genf Dokument </w:t>
      </w:r>
      <w:r w:rsidRPr="00C47725">
        <w:rPr>
          <w:rFonts w:cs="Arial"/>
          <w:caps/>
          <w:lang w:val="de-DE"/>
        </w:rPr>
        <w:t>TG/29/8(</w:t>
      </w:r>
      <w:r w:rsidRPr="00C47725">
        <w:rPr>
          <w:rFonts w:cs="Arial"/>
          <w:lang w:val="de-DE"/>
        </w:rPr>
        <w:t>proj</w:t>
      </w:r>
      <w:r w:rsidRPr="00C47725">
        <w:rPr>
          <w:rFonts w:cs="Arial"/>
          <w:caps/>
          <w:lang w:val="de-DE"/>
        </w:rPr>
        <w:t>.4)</w:t>
      </w:r>
      <w:r w:rsidRPr="00C47725">
        <w:rPr>
          <w:rFonts w:cs="Arial"/>
          <w:snapToGrid w:val="0"/>
          <w:lang w:val="de-DE"/>
        </w:rPr>
        <w:t xml:space="preserve"> und gab die in der nachstehenden Tabelle aufgeführten Empfehlungen ab:</w:t>
      </w:r>
    </w:p>
    <w:p w:rsidR="002D20DB" w:rsidRPr="00C47725" w:rsidRDefault="002D20DB" w:rsidP="002D20DB">
      <w:pPr>
        <w:keepNext/>
        <w:rPr>
          <w:rFonts w:eastAsia="Arial" w:cs="Arial"/>
          <w:color w:val="000000"/>
          <w:u w:val="single"/>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Merkmal 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nach Merkmal 9</w:t>
            </w:r>
            <w:r>
              <w:rPr>
                <w:rFonts w:cs="Arial"/>
                <w:lang w:val="de-DE"/>
              </w:rPr>
              <w:t xml:space="preserve"> verschieben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Merkmal 10</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Dolde: Länge der Zungenblüten</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Merkmal 16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Blüte: Verhältnis Länge/Breite in Vorderansicht</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 xml:space="preserve">Merkmal 17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Blüte: Länge in Seitenansicht</w:t>
            </w:r>
            <w:r>
              <w:rPr>
                <w:rFonts w:cs="Arial"/>
                <w:lang w:val="de-DE"/>
              </w:rPr>
              <w:t>“</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Merkmal 21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 sollte lauten</w:t>
            </w:r>
            <w:r>
              <w:rPr>
                <w:rFonts w:cs="Arial"/>
                <w:lang w:val="de-DE"/>
              </w:rPr>
              <w:t xml:space="preserve"> „</w:t>
            </w:r>
            <w:r w:rsidRPr="00C47725">
              <w:rPr>
                <w:rFonts w:cs="Arial"/>
                <w:lang w:val="de-DE"/>
              </w:rPr>
              <w:t>Äußeres Tepalum: grüne Fläche der Außenseite</w:t>
            </w:r>
            <w:r>
              <w:rPr>
                <w:rFonts w:cs="Arial"/>
                <w:lang w:val="de-DE"/>
              </w:rPr>
              <w:t>“</w:t>
            </w:r>
          </w:p>
          <w:p w:rsidR="002D20DB" w:rsidRPr="00C47725" w:rsidRDefault="002D20DB" w:rsidP="002B5125">
            <w:pPr>
              <w:rPr>
                <w:rFonts w:cs="Arial"/>
                <w:lang w:val="de-DE"/>
              </w:rPr>
            </w:pPr>
            <w:r w:rsidRPr="00C47725">
              <w:rPr>
                <w:rFonts w:cs="Arial"/>
                <w:lang w:val="de-DE"/>
              </w:rPr>
              <w:t>- Stufe 5</w:t>
            </w:r>
            <w:r>
              <w:rPr>
                <w:rFonts w:cs="Arial"/>
                <w:lang w:val="de-DE"/>
              </w:rPr>
              <w:t xml:space="preserve"> „</w:t>
            </w:r>
            <w:r w:rsidRPr="00C47725">
              <w:rPr>
                <w:rFonts w:cs="Arial"/>
                <w:lang w:val="de-DE"/>
              </w:rPr>
              <w:t>sehr groß</w:t>
            </w:r>
            <w:r>
              <w:rPr>
                <w:rFonts w:cs="Arial"/>
                <w:lang w:val="de-DE"/>
              </w:rPr>
              <w:t>“</w:t>
            </w:r>
            <w:r w:rsidRPr="00C47725">
              <w:rPr>
                <w:rFonts w:cs="Arial"/>
                <w:lang w:val="de-DE"/>
              </w:rPr>
              <w:t xml:space="preserve"> hinzufügen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 xml:space="preserve">Merkmale 29 </w:t>
            </w:r>
            <w:r>
              <w:rPr>
                <w:rFonts w:cs="Arial"/>
                <w:lang w:val="de-DE"/>
              </w:rPr>
              <w:t>bis</w:t>
            </w:r>
            <w:r w:rsidRPr="00C47725">
              <w:rPr>
                <w:rFonts w:cs="Arial"/>
                <w:lang w:val="de-DE"/>
              </w:rPr>
              <w:t xml:space="preserve"> 38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Pr>
                <w:rFonts w:cs="Arial"/>
                <w:lang w:val="de-DE"/>
              </w:rPr>
              <w:t xml:space="preserve"> „</w:t>
            </w:r>
            <w:r w:rsidRPr="00C47725">
              <w:rPr>
                <w:rFonts w:cs="Arial"/>
                <w:lang w:val="de-DE"/>
              </w:rPr>
              <w:t>Innenseite</w:t>
            </w:r>
            <w:r>
              <w:rPr>
                <w:rFonts w:cs="Arial"/>
                <w:lang w:val="de-DE"/>
              </w:rPr>
              <w:t>“</w:t>
            </w:r>
            <w:r w:rsidRPr="00C47725">
              <w:rPr>
                <w:rFonts w:cs="Arial"/>
                <w:lang w:val="de-DE"/>
              </w:rPr>
              <w:t xml:space="preserve"> streichen und diese </w:t>
            </w:r>
            <w:r>
              <w:rPr>
                <w:rFonts w:cs="Arial"/>
                <w:lang w:val="de-DE"/>
              </w:rPr>
              <w:t>I</w:t>
            </w:r>
            <w:r w:rsidRPr="00C47725">
              <w:rPr>
                <w:rFonts w:cs="Arial"/>
                <w:lang w:val="de-DE"/>
              </w:rPr>
              <w:t>nformation in einer neuen Erläuterung in Kapitel 8.1 hinzufügen</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41</w:t>
            </w:r>
          </w:p>
        </w:tc>
        <w:tc>
          <w:tcPr>
            <w:tcW w:w="8208" w:type="dxa"/>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Staubfaden: Anzahl der Flecken</w:t>
            </w:r>
            <w:r>
              <w:rPr>
                <w:rFonts w:cs="Arial"/>
                <w:lang w:val="de-DE"/>
              </w:rPr>
              <w:t>“</w:t>
            </w:r>
          </w:p>
        </w:tc>
      </w:tr>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41</w:t>
            </w:r>
          </w:p>
        </w:tc>
        <w:tc>
          <w:tcPr>
            <w:tcW w:w="8208" w:type="dxa"/>
          </w:tcPr>
          <w:p w:rsidR="002D20DB" w:rsidRPr="00C47725" w:rsidRDefault="002D20DB" w:rsidP="002B5125">
            <w:pPr>
              <w:keepNext/>
              <w:rPr>
                <w:rFonts w:cs="Arial"/>
                <w:lang w:val="de-DE"/>
              </w:rPr>
            </w:pPr>
            <w:r>
              <w:rPr>
                <w:rFonts w:cs="Arial"/>
                <w:lang w:val="de-DE"/>
              </w:rPr>
              <w:t>(*)</w:t>
            </w:r>
            <w:r w:rsidRPr="00C47725">
              <w:rPr>
                <w:rFonts w:cs="Arial"/>
                <w:lang w:val="de-DE"/>
              </w:rPr>
              <w:t xml:space="preserve"> streichen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8.1 a)</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Erfassungen sollten am ersten voll entwickelten Stengel erfolgen, wenn 50% der Blüten offen sind.</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8.1 b)</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 xml:space="preserve">Erfassungen sollten an Blättern aus dem mittleren Drittel des </w:t>
            </w:r>
            <w:r>
              <w:rPr>
                <w:rFonts w:cs="Arial"/>
                <w:lang w:val="de-DE"/>
              </w:rPr>
              <w:t>Stengels</w:t>
            </w:r>
            <w:r w:rsidRPr="00C47725">
              <w:rPr>
                <w:rFonts w:cs="Arial"/>
                <w:lang w:val="de-DE"/>
              </w:rPr>
              <w:t xml:space="preserve"> erfolgen.</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8.1 c)</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Erfassungen sollten erfolgen, wenn der erste Staubbeutel der einzelnen Blüte offen ist.</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095B02" w:rsidRDefault="002D20DB" w:rsidP="002B5125">
            <w:pPr>
              <w:rPr>
                <w:rFonts w:cs="Arial"/>
                <w:lang w:val="de-DE"/>
              </w:rPr>
            </w:pPr>
            <w:r>
              <w:rPr>
                <w:rFonts w:cs="Arial"/>
                <w:lang w:val="de-DE"/>
              </w:rPr>
              <w:t>„</w:t>
            </w:r>
            <w:r w:rsidRPr="00095B02">
              <w:rPr>
                <w:rFonts w:cs="Arial"/>
                <w:lang w:val="de-DE"/>
              </w:rPr>
              <w:t>Die Dicke sollte im mittleren Drittel des Stiels erfasst werden.</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 Wortlaut sollte lauten</w:t>
            </w:r>
            <w:r>
              <w:rPr>
                <w:rFonts w:cs="Arial"/>
                <w:lang w:val="de-DE"/>
              </w:rPr>
              <w:t xml:space="preserve"> „</w:t>
            </w:r>
            <w:r w:rsidRPr="00C47725">
              <w:rPr>
                <w:rFonts w:cs="Arial"/>
                <w:lang w:val="de-DE"/>
              </w:rPr>
              <w:t xml:space="preserve">Die Oberseite des Blattes ist zu </w:t>
            </w:r>
            <w:r>
              <w:rPr>
                <w:rFonts w:cs="Arial"/>
                <w:lang w:val="de-DE"/>
              </w:rPr>
              <w:t>erfassen</w:t>
            </w:r>
            <w:r w:rsidRPr="00C47725">
              <w:rPr>
                <w:rFonts w:cs="Arial"/>
                <w:lang w:val="de-DE"/>
              </w:rPr>
              <w:t>. Der gräulich gefärbte Streifen der Mittelrippe wird nicht als Panaschierung angesehen.</w:t>
            </w:r>
            <w:r>
              <w:rPr>
                <w:rFonts w:cs="Arial"/>
                <w:lang w:val="de-DE"/>
              </w:rPr>
              <w:t>“</w:t>
            </w:r>
          </w:p>
          <w:p w:rsidR="002D20DB" w:rsidRPr="00C47725" w:rsidRDefault="002D20DB" w:rsidP="002B5125">
            <w:pPr>
              <w:rPr>
                <w:rFonts w:cs="Arial"/>
                <w:lang w:val="de-DE"/>
              </w:rPr>
            </w:pPr>
            <w:r w:rsidRPr="00C47725">
              <w:rPr>
                <w:rFonts w:cs="Arial"/>
                <w:lang w:val="de-DE"/>
              </w:rPr>
              <w:t>- Angabe</w:t>
            </w:r>
            <w:r>
              <w:rPr>
                <w:rFonts w:cs="Arial"/>
                <w:lang w:val="de-DE"/>
              </w:rPr>
              <w:t xml:space="preserve"> „</w:t>
            </w:r>
            <w:r w:rsidRPr="00C47725">
              <w:rPr>
                <w:rFonts w:cs="Arial"/>
                <w:lang w:val="de-DE"/>
              </w:rPr>
              <w:t>a</w:t>
            </w:r>
            <w:r>
              <w:rPr>
                <w:rFonts w:cs="Arial"/>
                <w:lang w:val="de-DE"/>
              </w:rPr>
              <w:t>“</w:t>
            </w:r>
            <w:r w:rsidRPr="00C47725">
              <w:rPr>
                <w:rFonts w:cs="Arial"/>
                <w:lang w:val="de-DE"/>
              </w:rPr>
              <w:t xml:space="preserve"> auf dem oberen Foto sollte lauten</w:t>
            </w:r>
            <w:r>
              <w:rPr>
                <w:rFonts w:cs="Arial"/>
                <w:lang w:val="de-DE"/>
              </w:rPr>
              <w:t xml:space="preserve"> „</w:t>
            </w:r>
            <w:r w:rsidRPr="00C47725">
              <w:rPr>
                <w:rFonts w:cs="Arial"/>
                <w:lang w:val="de-DE"/>
              </w:rPr>
              <w:t>Oberseite</w:t>
            </w:r>
            <w:r>
              <w:rPr>
                <w:rFonts w:cs="Arial"/>
                <w:lang w:val="de-DE"/>
              </w:rPr>
              <w:t>“</w:t>
            </w:r>
            <w:r w:rsidRPr="00C47725">
              <w:rPr>
                <w:rFonts w:cs="Arial"/>
                <w:lang w:val="de-DE"/>
              </w:rPr>
              <w:t>.</w:t>
            </w:r>
          </w:p>
          <w:p w:rsidR="002D20DB" w:rsidRPr="00C47725" w:rsidRDefault="002D20DB" w:rsidP="002B5125">
            <w:pPr>
              <w:rPr>
                <w:rFonts w:cs="Arial"/>
                <w:lang w:val="de-DE"/>
              </w:rPr>
            </w:pPr>
            <w:r w:rsidRPr="00C47725">
              <w:rPr>
                <w:rFonts w:cs="Arial"/>
                <w:lang w:val="de-DE"/>
              </w:rPr>
              <w:t>- das zweite Foto für Stufe 1 löschen, das den gräulich gefärbten Streifen zeigt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Del="00901081" w:rsidRDefault="002D20DB" w:rsidP="002B5125">
            <w:pPr>
              <w:rPr>
                <w:rFonts w:cs="Arial"/>
                <w:lang w:val="de-DE"/>
              </w:rPr>
            </w:pPr>
            <w:r w:rsidRPr="00C47725">
              <w:rPr>
                <w:rFonts w:cs="Arial"/>
                <w:lang w:val="de-DE"/>
              </w:rPr>
              <w:t>das aktuelle Foto von Stufe 9 durch ein Foto mit Angabe eines gräulichen Streifens wie in Zu 8 ersetzen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10</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eastAsia="Arial" w:cs="Arial"/>
                <w:color w:val="000000"/>
                <w:lang w:val="de-DE"/>
              </w:rPr>
            </w:pPr>
            <w:r>
              <w:rPr>
                <w:rFonts w:eastAsia="Arial" w:cs="Arial"/>
                <w:color w:val="000000"/>
                <w:lang w:val="de-DE"/>
              </w:rPr>
              <w:t xml:space="preserve"> „</w:t>
            </w:r>
            <w:r w:rsidRPr="00C47725">
              <w:rPr>
                <w:rFonts w:eastAsia="Arial" w:cs="Arial"/>
                <w:color w:val="000000"/>
                <w:lang w:val="de-DE"/>
              </w:rPr>
              <w:t>Erfassungen sollten vom Zeitpunkt de</w:t>
            </w:r>
            <w:r>
              <w:rPr>
                <w:rFonts w:eastAsia="Arial" w:cs="Arial"/>
                <w:color w:val="000000"/>
                <w:lang w:val="de-DE"/>
              </w:rPr>
              <w:t>r</w:t>
            </w:r>
            <w:r w:rsidRPr="00C47725">
              <w:rPr>
                <w:rFonts w:eastAsia="Arial" w:cs="Arial"/>
                <w:color w:val="000000"/>
                <w:lang w:val="de-DE"/>
              </w:rPr>
              <w:t xml:space="preserve"> Ein</w:t>
            </w:r>
            <w:r>
              <w:rPr>
                <w:rFonts w:eastAsia="Arial" w:cs="Arial"/>
                <w:color w:val="000000"/>
                <w:lang w:val="de-DE"/>
              </w:rPr>
              <w:t>fügung</w:t>
            </w:r>
            <w:r w:rsidRPr="00C47725">
              <w:rPr>
                <w:rFonts w:eastAsia="Arial" w:cs="Arial"/>
                <w:color w:val="000000"/>
                <w:lang w:val="de-DE"/>
              </w:rPr>
              <w:t xml:space="preserve"> bis zur Basis der oberen Blütenknospe </w:t>
            </w:r>
            <w:r>
              <w:rPr>
                <w:rFonts w:eastAsia="Arial" w:cs="Arial"/>
                <w:color w:val="000000"/>
                <w:lang w:val="de-DE"/>
              </w:rPr>
              <w:t>erfolgen</w:t>
            </w:r>
            <w:r w:rsidRPr="00C47725">
              <w:rPr>
                <w:rFonts w:eastAsia="Arial" w:cs="Arial"/>
                <w:color w:val="000000"/>
                <w:lang w:val="de-DE"/>
              </w:rPr>
              <w:t>.</w:t>
            </w:r>
            <w:r>
              <w:rPr>
                <w:rFonts w:eastAsia="Arial" w:cs="Arial"/>
                <w:color w:val="000000"/>
                <w:lang w:val="de-DE"/>
              </w:rPr>
              <w:t>“</w:t>
            </w:r>
            <w:r w:rsidRPr="00C47725">
              <w:rPr>
                <w:rFonts w:eastAsia="Arial" w:cs="Arial"/>
                <w:color w:val="000000"/>
                <w:lang w:val="de-DE"/>
              </w:rPr>
              <w:t xml:space="preserve"> hinzufügen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Ads. 14,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eastAsia="Arial" w:cs="Arial"/>
                <w:color w:val="000000"/>
                <w:lang w:val="de-DE"/>
              </w:rPr>
            </w:pPr>
            <w:r w:rsidRPr="00C47725">
              <w:rPr>
                <w:rFonts w:eastAsia="Arial" w:cs="Arial"/>
                <w:color w:val="000000"/>
                <w:lang w:val="de-DE"/>
              </w:rPr>
              <w:t xml:space="preserve">nur eine Abbildung, die sowohl Länge als auch Breite angibt </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18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eastAsia="Arial" w:cs="Arial"/>
                <w:color w:val="000000"/>
                <w:lang w:val="de-DE"/>
              </w:rPr>
            </w:pPr>
            <w:r w:rsidRPr="00C47725">
              <w:rPr>
                <w:rFonts w:eastAsia="Arial" w:cs="Arial"/>
                <w:color w:val="000000"/>
                <w:lang w:val="de-DE"/>
              </w:rPr>
              <w:t>die Abbildungen von Stufe 2 und 4 umkehren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lastRenderedPageBreak/>
              <w:t>Zu 34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eastAsia="Arial" w:cs="Arial"/>
                <w:color w:val="000000"/>
                <w:lang w:val="de-DE"/>
              </w:rPr>
            </w:pPr>
            <w:r w:rsidRPr="00C47725">
              <w:rPr>
                <w:rFonts w:eastAsia="Arial" w:cs="Arial"/>
                <w:color w:val="000000"/>
                <w:lang w:val="de-DE"/>
              </w:rPr>
              <w:t>sollte lauten</w:t>
            </w:r>
            <w:r>
              <w:rPr>
                <w:rFonts w:eastAsia="Arial" w:cs="Arial"/>
                <w:color w:val="000000"/>
                <w:lang w:val="de-DE"/>
              </w:rPr>
              <w:t xml:space="preserve"> „</w:t>
            </w:r>
            <w:r w:rsidRPr="00C47725">
              <w:rPr>
                <w:rFonts w:eastAsia="Arial" w:cs="Arial"/>
                <w:color w:val="000000"/>
                <w:lang w:val="de-DE"/>
              </w:rPr>
              <w:t>Die längsten Streifen sollten erfasste werden, mit Ausnahme des Streifens an der Hauptader</w:t>
            </w:r>
            <w:r>
              <w:rPr>
                <w:rFonts w:eastAsia="Arial" w:cs="Arial"/>
                <w:color w:val="000000"/>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35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eastAsia="Arial" w:cs="Arial"/>
                <w:color w:val="000000"/>
                <w:lang w:val="de-DE"/>
              </w:rPr>
            </w:pPr>
            <w:r w:rsidRPr="00C47725">
              <w:rPr>
                <w:rFonts w:eastAsia="Arial" w:cs="Arial"/>
                <w:color w:val="000000"/>
                <w:lang w:val="de-DE"/>
              </w:rPr>
              <w:t>- sollte lauten</w:t>
            </w:r>
            <w:r>
              <w:rPr>
                <w:rFonts w:eastAsia="Arial" w:cs="Arial"/>
                <w:color w:val="000000"/>
                <w:lang w:val="de-DE"/>
              </w:rPr>
              <w:t xml:space="preserve"> „</w:t>
            </w:r>
            <w:r w:rsidRPr="00C47725">
              <w:rPr>
                <w:rFonts w:eastAsia="Arial" w:cs="Arial"/>
                <w:color w:val="000000"/>
                <w:lang w:val="de-DE"/>
              </w:rPr>
              <w:t>Die breitesten Streifen sollten erfasst werden, mit Ausnahme des Streifens an der Hauptader</w:t>
            </w:r>
            <w:r>
              <w:rPr>
                <w:rFonts w:eastAsia="Arial" w:cs="Arial"/>
                <w:color w:val="000000"/>
                <w:lang w:val="de-DE"/>
              </w:rPr>
              <w:t>“</w:t>
            </w:r>
          </w:p>
          <w:p w:rsidR="002D20DB" w:rsidRPr="00C47725" w:rsidRDefault="002D20DB" w:rsidP="002B5125">
            <w:pPr>
              <w:rPr>
                <w:rFonts w:eastAsia="Arial" w:cs="Arial"/>
                <w:color w:val="000000"/>
                <w:lang w:val="de-DE"/>
              </w:rPr>
            </w:pPr>
            <w:r w:rsidRPr="00C47725">
              <w:rPr>
                <w:rFonts w:eastAsia="Arial" w:cs="Arial"/>
                <w:color w:val="000000"/>
                <w:lang w:val="de-DE"/>
              </w:rPr>
              <w:t>- alle Perigonb</w:t>
            </w:r>
            <w:r>
              <w:rPr>
                <w:rFonts w:eastAsia="Arial" w:cs="Arial"/>
                <w:color w:val="000000"/>
                <w:lang w:val="de-DE"/>
              </w:rPr>
              <w:t>l</w:t>
            </w:r>
            <w:r w:rsidRPr="00C47725">
              <w:rPr>
                <w:rFonts w:eastAsia="Arial" w:cs="Arial"/>
                <w:color w:val="000000"/>
                <w:lang w:val="de-DE"/>
              </w:rPr>
              <w:t>ätter auf allen Fotos sollten die gleiche Größe haben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41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eastAsia="Arial" w:cs="Arial"/>
                <w:color w:val="000000"/>
                <w:lang w:val="de-DE"/>
              </w:rPr>
            </w:pPr>
            <w:r w:rsidRPr="00C47725">
              <w:rPr>
                <w:rFonts w:eastAsia="Arial" w:cs="Arial"/>
                <w:color w:val="000000"/>
                <w:lang w:val="de-DE"/>
              </w:rPr>
              <w:t>die derzeitige Abbildung von Stufe 4 zu Stufe 5 verschieben und leere Spalten für S</w:t>
            </w:r>
            <w:r>
              <w:rPr>
                <w:rFonts w:eastAsia="Arial" w:cs="Arial"/>
                <w:color w:val="000000"/>
                <w:lang w:val="de-DE"/>
              </w:rPr>
              <w:t>t</w:t>
            </w:r>
            <w:r w:rsidRPr="00C47725">
              <w:rPr>
                <w:rFonts w:eastAsia="Arial" w:cs="Arial"/>
                <w:color w:val="000000"/>
                <w:lang w:val="de-DE"/>
              </w:rPr>
              <w:t xml:space="preserve">ufen 2 und 4 </w:t>
            </w:r>
            <w:r>
              <w:rPr>
                <w:rFonts w:eastAsia="Arial" w:cs="Arial"/>
                <w:color w:val="000000"/>
                <w:lang w:val="de-DE"/>
              </w:rPr>
              <w:t>löschen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42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eastAsia="Arial" w:cs="Arial"/>
                <w:color w:val="000000"/>
                <w:lang w:val="de-DE"/>
              </w:rPr>
            </w:pPr>
            <w:r w:rsidRPr="00C47725">
              <w:rPr>
                <w:rFonts w:eastAsia="Arial" w:cs="Arial"/>
                <w:color w:val="000000"/>
                <w:lang w:val="de-DE"/>
              </w:rPr>
              <w:t>Foto von Stufe 1 streichen, Angabe von Stufen 1 und 9 streichen und Angabe von Punkten dem Foto von Stufe 9 hinzufügen</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89"/>
        <w:gridCol w:w="2757"/>
        <w:gridCol w:w="2807"/>
        <w:gridCol w:w="736"/>
        <w:gridCol w:w="993"/>
      </w:tblGrid>
      <w:tr w:rsidR="002D20DB" w:rsidRPr="00C47725" w:rsidTr="002B5125">
        <w:trPr>
          <w:cantSplit/>
          <w:trHeight w:val="277"/>
          <w:jc w:val="center"/>
        </w:trPr>
        <w:tc>
          <w:tcPr>
            <w:tcW w:w="2689" w:type="dxa"/>
            <w:vMerge w:val="restart"/>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 xml:space="preserve">Mangold </w:t>
            </w:r>
            <w:r w:rsidRPr="00C47725">
              <w:rPr>
                <w:rFonts w:cs="Arial"/>
                <w:caps w:val="0"/>
                <w:lang w:val="de-DE"/>
              </w:rPr>
              <w:br/>
              <w:t>(</w:t>
            </w:r>
            <w:r w:rsidRPr="00C47725">
              <w:rPr>
                <w:rFonts w:cs="Arial"/>
                <w:i/>
                <w:caps w:val="0"/>
                <w:lang w:val="de-DE"/>
              </w:rPr>
              <w:t>Beta vulgaris</w:t>
            </w:r>
            <w:r w:rsidRPr="00C47725">
              <w:rPr>
                <w:rFonts w:cs="Arial"/>
                <w:caps w:val="0"/>
                <w:lang w:val="de-DE"/>
              </w:rPr>
              <w:t xml:space="preserve"> L. ssp. </w:t>
            </w:r>
            <w:r w:rsidRPr="00C47725">
              <w:rPr>
                <w:rFonts w:cs="Arial"/>
                <w:i/>
                <w:caps w:val="0"/>
                <w:lang w:val="de-DE"/>
              </w:rPr>
              <w:t>vulgaris</w:t>
            </w:r>
            <w:r w:rsidRPr="00C47725">
              <w:rPr>
                <w:rFonts w:cs="Arial"/>
                <w:caps w:val="0"/>
                <w:lang w:val="de-DE"/>
              </w:rPr>
              <w:t xml:space="preserve"> var. </w:t>
            </w:r>
            <w:r w:rsidRPr="00C47725">
              <w:rPr>
                <w:rFonts w:cs="Arial"/>
                <w:i/>
                <w:caps w:val="0"/>
                <w:lang w:val="de-DE"/>
              </w:rPr>
              <w:t>flavescens</w:t>
            </w:r>
            <w:r w:rsidRPr="00C47725">
              <w:rPr>
                <w:rFonts w:cs="Arial"/>
                <w:caps w:val="0"/>
                <w:lang w:val="de-DE"/>
              </w:rPr>
              <w:t xml:space="preserve"> DC.)</w:t>
            </w:r>
          </w:p>
        </w:tc>
        <w:tc>
          <w:tcPr>
            <w:tcW w:w="2757" w:type="dxa"/>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TG/106/5(proj.4)</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lang w:val="de-DE"/>
              </w:rPr>
              <w:t>Frau Chrystelle Jouy (FR)</w:t>
            </w:r>
          </w:p>
        </w:tc>
        <w:tc>
          <w:tcPr>
            <w:tcW w:w="736" w:type="dxa"/>
            <w:vMerge w:val="restart"/>
            <w:shd w:val="clear" w:color="auto" w:fill="D9D9D9"/>
            <w:vAlign w:val="center"/>
          </w:tcPr>
          <w:p w:rsidR="002D20DB" w:rsidRPr="00C47725" w:rsidRDefault="002D20DB" w:rsidP="002B5125">
            <w:pPr>
              <w:keepNext/>
              <w:jc w:val="left"/>
              <w:rPr>
                <w:rFonts w:cs="Arial"/>
                <w:iCs/>
                <w:lang w:val="de-DE"/>
              </w:rPr>
            </w:pPr>
            <w:r w:rsidRPr="00C47725">
              <w:rPr>
                <w:rFonts w:cs="Arial"/>
                <w:iCs/>
                <w:lang w:val="de-DE"/>
              </w:rPr>
              <w:t>TWV</w:t>
            </w:r>
          </w:p>
        </w:tc>
        <w:tc>
          <w:tcPr>
            <w:tcW w:w="993" w:type="dxa"/>
            <w:vMerge w:val="restart"/>
            <w:shd w:val="clear" w:color="auto" w:fill="D9D9D9"/>
            <w:vAlign w:val="center"/>
          </w:tcPr>
          <w:p w:rsidR="002D20DB" w:rsidRPr="00C47725" w:rsidRDefault="002D20DB" w:rsidP="002B5125">
            <w:pPr>
              <w:pStyle w:val="BodyText"/>
              <w:keepNext/>
              <w:jc w:val="left"/>
              <w:rPr>
                <w:rFonts w:cs="Arial"/>
                <w:iCs/>
                <w:snapToGrid w:val="0"/>
                <w:lang w:val="de-DE"/>
              </w:rPr>
            </w:pPr>
            <w:r w:rsidRPr="00C47725">
              <w:rPr>
                <w:rFonts w:cs="Arial"/>
                <w:iCs/>
                <w:snapToGrid w:val="0"/>
                <w:lang w:val="de-DE"/>
              </w:rPr>
              <w:t>*</w:t>
            </w:r>
          </w:p>
        </w:tc>
      </w:tr>
      <w:tr w:rsidR="002D20DB" w:rsidRPr="000E6F70" w:rsidTr="002B5125">
        <w:trPr>
          <w:cantSplit/>
          <w:trHeight w:hRule="exact" w:val="901"/>
          <w:jc w:val="center"/>
        </w:trPr>
        <w:tc>
          <w:tcPr>
            <w:tcW w:w="2689" w:type="dxa"/>
            <w:vMerge/>
            <w:shd w:val="clear" w:color="auto" w:fill="D9D9D9"/>
            <w:vAlign w:val="center"/>
          </w:tcPr>
          <w:p w:rsidR="002D20DB" w:rsidRPr="00C47725" w:rsidRDefault="002D20DB" w:rsidP="002B5125">
            <w:pPr>
              <w:pStyle w:val="TitleofDoc"/>
              <w:keepNext/>
              <w:tabs>
                <w:tab w:val="left" w:pos="5245"/>
                <w:tab w:val="left" w:pos="7008"/>
              </w:tabs>
              <w:jc w:val="left"/>
              <w:rPr>
                <w:rFonts w:cs="Arial"/>
                <w:caps w:val="0"/>
                <w:lang w:val="de-DE"/>
              </w:rPr>
            </w:pPr>
          </w:p>
        </w:tc>
        <w:tc>
          <w:tcPr>
            <w:tcW w:w="2757" w:type="dxa"/>
            <w:shd w:val="clear" w:color="auto" w:fill="D9D9D9"/>
            <w:vAlign w:val="center"/>
          </w:tcPr>
          <w:p w:rsidR="002D20DB" w:rsidRPr="00C47725" w:rsidRDefault="002D20DB" w:rsidP="002B5125">
            <w:pPr>
              <w:pStyle w:val="BodyText"/>
              <w:keepNext/>
              <w:jc w:val="left"/>
              <w:rPr>
                <w:rFonts w:cs="Arial"/>
                <w:color w:val="000000"/>
                <w:lang w:val="de-DE"/>
              </w:rPr>
            </w:pPr>
            <w:r>
              <w:rPr>
                <w:rFonts w:cs="Arial"/>
                <w:color w:val="000000"/>
                <w:lang w:val="de-DE"/>
              </w:rPr>
              <w:t>Anzahl von Merkmalen</w:t>
            </w:r>
            <w:r w:rsidRPr="00C47725">
              <w:rPr>
                <w:rFonts w:cs="Arial"/>
                <w:color w:val="000000"/>
                <w:lang w:val="de-DE"/>
              </w:rPr>
              <w:t>: 18</w:t>
            </w:r>
            <w:r w:rsidRPr="00C47725">
              <w:rPr>
                <w:rFonts w:cs="Arial"/>
                <w:color w:val="000000"/>
                <w:lang w:val="de-DE"/>
              </w:rPr>
              <w:br/>
            </w:r>
            <w:r>
              <w:rPr>
                <w:rFonts w:cs="Arial"/>
                <w:color w:val="000000"/>
                <w:lang w:val="de-DE"/>
              </w:rPr>
              <w:t>Anzahl</w:t>
            </w:r>
            <w:r w:rsidRPr="00C47725">
              <w:rPr>
                <w:rFonts w:cs="Arial"/>
                <w:color w:val="000000"/>
                <w:lang w:val="de-DE"/>
              </w:rPr>
              <w:t xml:space="preserve"> von </w:t>
            </w:r>
            <w:r>
              <w:rPr>
                <w:rFonts w:cs="Arial"/>
                <w:color w:val="000000"/>
                <w:lang w:val="de-DE"/>
              </w:rPr>
              <w:t>(*)</w:t>
            </w:r>
            <w:r w:rsidRPr="00C47725">
              <w:rPr>
                <w:rFonts w:cs="Arial"/>
                <w:color w:val="000000"/>
                <w:lang w:val="de-DE"/>
              </w:rPr>
              <w:t xml:space="preserve"> Merkmal</w:t>
            </w:r>
            <w:r>
              <w:rPr>
                <w:rFonts w:cs="Arial"/>
                <w:color w:val="000000"/>
                <w:lang w:val="de-DE"/>
              </w:rPr>
              <w:t>en</w:t>
            </w:r>
            <w:r w:rsidRPr="00C47725">
              <w:rPr>
                <w:rFonts w:cs="Arial"/>
                <w:color w:val="000000"/>
                <w:lang w:val="de-DE"/>
              </w:rPr>
              <w:t>: 11</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iCs/>
                <w:snapToGrid w:val="0"/>
                <w:color w:val="000000"/>
                <w:lang w:val="de-DE"/>
              </w:rPr>
              <w:t xml:space="preserve">(Beteiligte Sachverständige: </w:t>
            </w:r>
            <w:r w:rsidRPr="00C47725">
              <w:rPr>
                <w:rFonts w:cs="Arial"/>
                <w:lang w:val="de-DE"/>
              </w:rPr>
              <w:t>CZ, DE, ES, GB, JP, KR, NL, QZ, CLI, ESA, ISF</w:t>
            </w:r>
            <w:r w:rsidRPr="00C47725">
              <w:rPr>
                <w:rFonts w:eastAsia="SimSun" w:cs="Arial"/>
                <w:lang w:val="de-DE" w:eastAsia="zh-CN"/>
              </w:rPr>
              <w:t>)</w:t>
            </w:r>
          </w:p>
        </w:tc>
        <w:tc>
          <w:tcPr>
            <w:tcW w:w="736" w:type="dxa"/>
            <w:vMerge/>
            <w:shd w:val="clear" w:color="auto" w:fill="D9D9D9"/>
            <w:vAlign w:val="center"/>
          </w:tcPr>
          <w:p w:rsidR="002D20DB" w:rsidRPr="00C47725" w:rsidRDefault="002D20DB" w:rsidP="002B5125">
            <w:pPr>
              <w:keepNext/>
              <w:jc w:val="left"/>
              <w:rPr>
                <w:rFonts w:cs="Arial"/>
                <w:iCs/>
                <w:lang w:val="de-DE"/>
              </w:rPr>
            </w:pPr>
          </w:p>
        </w:tc>
        <w:tc>
          <w:tcPr>
            <w:tcW w:w="993" w:type="dxa"/>
            <w:vMerge/>
            <w:shd w:val="clear" w:color="auto" w:fill="D9D9D9"/>
            <w:vAlign w:val="center"/>
          </w:tcPr>
          <w:p w:rsidR="002D20DB" w:rsidRPr="00C47725" w:rsidRDefault="002D20DB" w:rsidP="002B5125">
            <w:pPr>
              <w:pStyle w:val="BodyText"/>
              <w:keepNext/>
              <w:jc w:val="left"/>
              <w:rPr>
                <w:rFonts w:cs="Arial"/>
                <w:iCs/>
                <w:snapToGrid w:val="0"/>
                <w:lang w:val="de-DE"/>
              </w:rPr>
            </w:pPr>
          </w:p>
        </w:tc>
      </w:tr>
    </w:tbl>
    <w:p w:rsidR="002D20DB" w:rsidRPr="00C47725" w:rsidRDefault="002D20DB" w:rsidP="002D20DB">
      <w:pPr>
        <w:keepNext/>
        <w:rPr>
          <w:rFonts w:eastAsia="Arial" w:cs="Arial"/>
          <w:color w:val="000000"/>
          <w:u w:val="single"/>
          <w:lang w:val="de-DE"/>
        </w:rPr>
      </w:pPr>
    </w:p>
    <w:p w:rsidR="002D20DB" w:rsidRPr="00C47725" w:rsidRDefault="002D20DB" w:rsidP="002D20DB">
      <w:pPr>
        <w:ind w:firstLine="567"/>
        <w:rPr>
          <w:rFonts w:cs="Arial"/>
          <w:snapToGrid w:val="0"/>
          <w:lang w:val="de-DE"/>
        </w:rPr>
      </w:pPr>
      <w:r w:rsidRPr="00C47725">
        <w:rPr>
          <w:rFonts w:cs="Arial"/>
          <w:snapToGrid w:val="0"/>
          <w:lang w:val="de-DE"/>
        </w:rPr>
        <w:t>Der TC-EDC prüfte auf seiner Sitzung im Oktober 2019 in Genf Dokument </w:t>
      </w:r>
      <w:r w:rsidRPr="00C47725">
        <w:rPr>
          <w:rFonts w:cs="Arial"/>
          <w:caps/>
          <w:lang w:val="de-DE"/>
        </w:rPr>
        <w:t>TG/106/5(</w:t>
      </w:r>
      <w:r w:rsidRPr="00C47725">
        <w:rPr>
          <w:rFonts w:cs="Arial"/>
          <w:lang w:val="de-DE"/>
        </w:rPr>
        <w:t>proj</w:t>
      </w:r>
      <w:r w:rsidRPr="00C47725">
        <w:rPr>
          <w:rFonts w:cs="Arial"/>
          <w:caps/>
          <w:lang w:val="de-DE"/>
        </w:rPr>
        <w:t>.4)</w:t>
      </w:r>
      <w:r w:rsidRPr="00C47725">
        <w:rPr>
          <w:rFonts w:cs="Arial"/>
          <w:snapToGrid w:val="0"/>
          <w:lang w:val="de-DE"/>
        </w:rPr>
        <w:t xml:space="preserve"> und gab die in der nachstehenden Tabelle aufgeführten Empfehlungen ab:</w:t>
      </w:r>
    </w:p>
    <w:p w:rsidR="002D20DB" w:rsidRPr="00C47725" w:rsidRDefault="002D20DB" w:rsidP="002D20DB">
      <w:pPr>
        <w:keepNext/>
        <w:rPr>
          <w:rFonts w:eastAsia="Arial" w:cs="Arial"/>
          <w:color w:val="000000"/>
          <w:u w:val="single"/>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keepNext/>
              <w:jc w:val="left"/>
              <w:rPr>
                <w:rFonts w:cs="Arial"/>
                <w:lang w:val="de-DE"/>
              </w:rPr>
            </w:pPr>
            <w:r w:rsidRPr="00C47725">
              <w:rPr>
                <w:rFonts w:cs="Arial"/>
                <w:lang w:val="de-DE"/>
              </w:rPr>
              <w:t>Deckblatt</w:t>
            </w:r>
          </w:p>
        </w:tc>
        <w:tc>
          <w:tcPr>
            <w:tcW w:w="8208" w:type="dxa"/>
          </w:tcPr>
          <w:p w:rsidR="002D20DB" w:rsidRPr="00C47725" w:rsidRDefault="002D20DB" w:rsidP="002B5125">
            <w:pPr>
              <w:keepNext/>
              <w:rPr>
                <w:rFonts w:cs="Arial"/>
                <w:lang w:val="de-DE"/>
              </w:rPr>
            </w:pPr>
            <w:r>
              <w:rPr>
                <w:rFonts w:cs="Arial"/>
                <w:lang w:val="de-DE"/>
              </w:rPr>
              <w:t>„</w:t>
            </w:r>
            <w:r w:rsidRPr="00C47725">
              <w:rPr>
                <w:rFonts w:cs="Arial"/>
                <w:lang w:val="de-DE"/>
              </w:rPr>
              <w:t>Andere verbundene Dokumente</w:t>
            </w:r>
            <w:r>
              <w:rPr>
                <w:rFonts w:cs="Arial"/>
                <w:lang w:val="de-DE"/>
              </w:rPr>
              <w:t>“</w:t>
            </w:r>
            <w:r w:rsidRPr="00C47725">
              <w:rPr>
                <w:rFonts w:cs="Arial"/>
                <w:lang w:val="de-DE"/>
              </w:rPr>
              <w:t xml:space="preserve"> sollte lauten</w:t>
            </w:r>
            <w:r>
              <w:rPr>
                <w:rFonts w:cs="Arial"/>
                <w:lang w:val="de-DE"/>
              </w:rPr>
              <w:t xml:space="preserve"> „</w:t>
            </w:r>
            <w:r w:rsidRPr="00C47725">
              <w:rPr>
                <w:rFonts w:cs="Arial"/>
                <w:lang w:val="de-DE"/>
              </w:rPr>
              <w:t>TG/60 Rote Beete</w:t>
            </w:r>
            <w:r>
              <w:rPr>
                <w:rFonts w:cs="Arial"/>
                <w:lang w:val="de-DE"/>
              </w:rPr>
              <w:t>“</w:t>
            </w:r>
          </w:p>
        </w:tc>
      </w:tr>
      <w:tr w:rsidR="002D20DB" w:rsidRPr="000E6F70" w:rsidTr="002B5125">
        <w:trPr>
          <w:cantSplit/>
        </w:trPr>
        <w:tc>
          <w:tcPr>
            <w:tcW w:w="1573" w:type="dxa"/>
          </w:tcPr>
          <w:p w:rsidR="002D20DB" w:rsidRPr="00C47725" w:rsidRDefault="002D20DB" w:rsidP="002B5125">
            <w:pPr>
              <w:keepNext/>
              <w:jc w:val="left"/>
              <w:rPr>
                <w:rFonts w:cs="Arial"/>
                <w:lang w:val="de-DE"/>
              </w:rPr>
            </w:pPr>
            <w:r w:rsidRPr="00C47725">
              <w:rPr>
                <w:rFonts w:cs="Arial"/>
                <w:lang w:val="de-DE"/>
              </w:rPr>
              <w:t>2.2</w:t>
            </w:r>
          </w:p>
        </w:tc>
        <w:tc>
          <w:tcPr>
            <w:tcW w:w="8208" w:type="dxa"/>
          </w:tcPr>
          <w:p w:rsidR="002D20DB" w:rsidRPr="00C47725" w:rsidRDefault="002D20DB" w:rsidP="002B5125">
            <w:pPr>
              <w:keepNext/>
              <w:rPr>
                <w:rFonts w:cs="Arial"/>
                <w:lang w:val="de-DE"/>
              </w:rPr>
            </w:pPr>
            <w:r w:rsidRPr="00C47725">
              <w:rPr>
                <w:rFonts w:eastAsia="Arial" w:cs="Arial"/>
                <w:color w:val="000000"/>
                <w:lang w:val="de-DE"/>
              </w:rPr>
              <w:t>sollte lauten</w:t>
            </w:r>
            <w:r>
              <w:rPr>
                <w:rFonts w:eastAsia="Arial" w:cs="Arial"/>
                <w:color w:val="000000"/>
                <w:lang w:val="de-DE"/>
              </w:rPr>
              <w:t xml:space="preserve"> „</w:t>
            </w:r>
            <w:r w:rsidRPr="00C47725">
              <w:rPr>
                <w:rFonts w:eastAsia="Arial" w:cs="Arial"/>
                <w:color w:val="000000"/>
                <w:lang w:val="de-DE"/>
              </w:rPr>
              <w:t>…in Form von Samen oder Samenknäulen</w:t>
            </w:r>
            <w:r>
              <w:rPr>
                <w:rFonts w:eastAsia="Arial" w:cs="Arial"/>
                <w:color w:val="000000"/>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2.3</w:t>
            </w:r>
          </w:p>
        </w:tc>
        <w:tc>
          <w:tcPr>
            <w:tcW w:w="8208" w:type="dxa"/>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eastAsia="Arial" w:cs="Arial"/>
                <w:color w:val="000000"/>
                <w:lang w:val="de-DE"/>
              </w:rPr>
              <w:t>100g Saatgut oder 6</w:t>
            </w:r>
            <w:r>
              <w:rPr>
                <w:rFonts w:eastAsia="Arial" w:cs="Arial"/>
                <w:color w:val="000000"/>
                <w:lang w:val="de-DE"/>
              </w:rPr>
              <w:t xml:space="preserve"> </w:t>
            </w:r>
            <w:r w:rsidRPr="00C47725">
              <w:rPr>
                <w:rFonts w:eastAsia="Arial" w:cs="Arial"/>
                <w:color w:val="000000"/>
                <w:lang w:val="de-DE"/>
              </w:rPr>
              <w:t>000 Samenknäule</w:t>
            </w:r>
            <w:r>
              <w:rPr>
                <w:rFonts w:eastAsia="Arial" w:cs="Arial"/>
                <w:color w:val="000000"/>
                <w:lang w:val="de-DE"/>
              </w:rPr>
              <w:t xml:space="preserve">“ </w:t>
            </w:r>
          </w:p>
        </w:tc>
      </w:tr>
      <w:tr w:rsidR="002D20DB" w:rsidRPr="00C47725" w:rsidTr="002B5125">
        <w:trPr>
          <w:cantSplit/>
        </w:trPr>
        <w:tc>
          <w:tcPr>
            <w:tcW w:w="1573" w:type="dxa"/>
          </w:tcPr>
          <w:p w:rsidR="002D20DB" w:rsidRPr="00C47725" w:rsidRDefault="002D20DB" w:rsidP="002B5125">
            <w:pPr>
              <w:keepNext/>
              <w:rPr>
                <w:rFonts w:eastAsia="Arial" w:cs="Arial"/>
                <w:color w:val="000000"/>
                <w:lang w:val="de-DE"/>
              </w:rPr>
            </w:pPr>
            <w:r w:rsidRPr="00C47725">
              <w:rPr>
                <w:rFonts w:eastAsia="Arial" w:cs="Arial"/>
                <w:color w:val="000000"/>
                <w:lang w:val="de-DE"/>
              </w:rPr>
              <w:t>4.2.4</w:t>
            </w:r>
          </w:p>
        </w:tc>
        <w:tc>
          <w:tcPr>
            <w:tcW w:w="8208" w:type="dxa"/>
          </w:tcPr>
          <w:p w:rsidR="002D20DB" w:rsidRPr="00C47725" w:rsidRDefault="002D20DB" w:rsidP="002B5125">
            <w:pPr>
              <w:keepNext/>
              <w:rPr>
                <w:rFonts w:eastAsia="Arial" w:cs="Arial"/>
                <w:color w:val="000000"/>
                <w:lang w:val="de-DE"/>
              </w:rPr>
            </w:pPr>
            <w:r w:rsidRPr="00C47725">
              <w:rPr>
                <w:rFonts w:eastAsia="Arial" w:cs="Arial"/>
                <w:color w:val="000000"/>
                <w:lang w:val="de-DE"/>
              </w:rPr>
              <w:t>streichen</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8</w:t>
            </w:r>
          </w:p>
        </w:tc>
        <w:tc>
          <w:tcPr>
            <w:tcW w:w="8208" w:type="dxa"/>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u w:val="single"/>
                <w:lang w:val="de-DE"/>
              </w:rPr>
              <w:t>Nur Sorten mit Blattspreite: Farbe: grün</w:t>
            </w:r>
            <w:r w:rsidRPr="00C47725">
              <w:rPr>
                <w:rFonts w:cs="Arial"/>
                <w:lang w:val="de-DE"/>
              </w:rPr>
              <w:t>: Blattspreite: Intensität von purpurner Deckfarbe</w:t>
            </w:r>
            <w:r>
              <w:rPr>
                <w:rFonts w:cs="Arial"/>
                <w:lang w:val="de-DE"/>
              </w:rPr>
              <w:t>“</w:t>
            </w:r>
          </w:p>
        </w:tc>
      </w:tr>
      <w:tr w:rsidR="002D20DB" w:rsidRPr="00C47725"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10</w:t>
            </w:r>
          </w:p>
        </w:tc>
        <w:tc>
          <w:tcPr>
            <w:tcW w:w="8208" w:type="dxa"/>
          </w:tcPr>
          <w:p w:rsidR="002D20DB" w:rsidRPr="00C47725" w:rsidRDefault="002D20DB" w:rsidP="002B5125">
            <w:pPr>
              <w:keepNext/>
              <w:rPr>
                <w:rFonts w:cs="Arial"/>
                <w:lang w:val="de-DE"/>
              </w:rPr>
            </w:pPr>
            <w:r w:rsidRPr="00C47725">
              <w:rPr>
                <w:rFonts w:cs="Arial"/>
                <w:lang w:val="de-DE"/>
              </w:rPr>
              <w:t>sollte lauten</w:t>
            </w:r>
            <w:r>
              <w:rPr>
                <w:rFonts w:cs="Arial"/>
                <w:lang w:val="de-DE"/>
              </w:rPr>
              <w:t xml:space="preserve"> „</w:t>
            </w:r>
            <w:r w:rsidRPr="00C47725">
              <w:rPr>
                <w:rFonts w:cs="Arial"/>
                <w:lang w:val="de-DE"/>
              </w:rPr>
              <w:t>Blattspreite: Randbiegung</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Merkmal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Blattstiel: Biegung im Querschnitt</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Zu 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Erfassungen sollten nach dem Erscheinen des zweiten echten Blattes erfolgen</w:t>
            </w:r>
            <w:r>
              <w:rPr>
                <w:rFonts w:cs="Arial"/>
                <w:lang w:val="de-DE"/>
              </w:rPr>
              <w:t>“</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Zu 8</w:t>
            </w:r>
          </w:p>
        </w:tc>
        <w:tc>
          <w:tcPr>
            <w:tcW w:w="8208" w:type="dxa"/>
          </w:tcPr>
          <w:p w:rsidR="002D20DB" w:rsidRPr="00C47725" w:rsidRDefault="002D20DB" w:rsidP="002B5125">
            <w:pPr>
              <w:rPr>
                <w:rFonts w:cs="Arial"/>
                <w:lang w:val="de-DE"/>
              </w:rPr>
            </w:pPr>
            <w:r w:rsidRPr="00C47725">
              <w:rPr>
                <w:rFonts w:cs="Arial"/>
                <w:lang w:val="de-DE"/>
              </w:rPr>
              <w:t>derzeitiger Wortlaut durch</w:t>
            </w:r>
            <w:r>
              <w:rPr>
                <w:rFonts w:cs="Arial"/>
                <w:lang w:val="de-DE"/>
              </w:rPr>
              <w:t xml:space="preserve"> „</w:t>
            </w:r>
            <w:r w:rsidRPr="00C47725">
              <w:rPr>
                <w:rFonts w:cs="Arial"/>
                <w:lang w:val="de-DE"/>
              </w:rPr>
              <w:t>Die purpurne Deckfarbe entwickelt sich mit der Zeit zu einer Flammung</w:t>
            </w:r>
            <w:r>
              <w:rPr>
                <w:rFonts w:cs="Arial"/>
                <w:lang w:val="de-DE"/>
              </w:rPr>
              <w:t>“</w:t>
            </w:r>
            <w:r w:rsidRPr="00C47725">
              <w:rPr>
                <w:rFonts w:cs="Arial"/>
                <w:lang w:val="de-DE"/>
              </w:rPr>
              <w:t xml:space="preserve"> ersetzen</w:t>
            </w:r>
          </w:p>
        </w:tc>
      </w:tr>
      <w:tr w:rsidR="002D20DB" w:rsidRPr="000E6F70" w:rsidTr="002B5125">
        <w:trPr>
          <w:cantSplit/>
        </w:trPr>
        <w:tc>
          <w:tcPr>
            <w:tcW w:w="1573" w:type="dxa"/>
          </w:tcPr>
          <w:p w:rsidR="002D20DB" w:rsidRPr="00C47725" w:rsidRDefault="002D20DB" w:rsidP="002B5125">
            <w:pPr>
              <w:rPr>
                <w:rFonts w:cs="Arial"/>
                <w:lang w:val="de-DE"/>
              </w:rPr>
            </w:pPr>
            <w:r w:rsidRPr="00C47725">
              <w:rPr>
                <w:rFonts w:cs="Arial"/>
                <w:lang w:val="de-DE"/>
              </w:rPr>
              <w:t>TQ 4.1.1</w:t>
            </w:r>
          </w:p>
        </w:tc>
        <w:tc>
          <w:tcPr>
            <w:tcW w:w="8208" w:type="dxa"/>
          </w:tcPr>
          <w:p w:rsidR="002D20DB" w:rsidRPr="00C47725" w:rsidRDefault="002D20DB" w:rsidP="002B5125">
            <w:pPr>
              <w:rPr>
                <w:rFonts w:cs="Arial"/>
                <w:lang w:val="de-DE"/>
              </w:rPr>
            </w:pPr>
            <w:r>
              <w:rPr>
                <w:rFonts w:cs="Arial"/>
                <w:lang w:val="de-DE"/>
              </w:rPr>
              <w:t>„</w:t>
            </w:r>
            <w:r w:rsidRPr="00C47725">
              <w:rPr>
                <w:rFonts w:cs="Arial"/>
                <w:lang w:val="de-DE"/>
              </w:rPr>
              <w:t>(bitte bekannte Elternsorte(n) angeben)</w:t>
            </w:r>
            <w:r>
              <w:rPr>
                <w:rFonts w:cs="Arial"/>
                <w:lang w:val="de-DE"/>
              </w:rPr>
              <w:t>“</w:t>
            </w:r>
            <w:r w:rsidRPr="00C47725">
              <w:rPr>
                <w:rFonts w:cs="Arial"/>
                <w:lang w:val="de-DE"/>
              </w:rPr>
              <w:t xml:space="preserve"> aus</w:t>
            </w:r>
            <w:r>
              <w:rPr>
                <w:rFonts w:cs="Arial"/>
                <w:lang w:val="de-DE"/>
              </w:rPr>
              <w:t xml:space="preserve"> „</w:t>
            </w:r>
            <w:r w:rsidRPr="00C47725">
              <w:rPr>
                <w:rFonts w:cs="Arial"/>
                <w:lang w:val="de-DE"/>
              </w:rPr>
              <w:t>teilweise bekannte Kreuzung</w:t>
            </w:r>
            <w:r>
              <w:rPr>
                <w:rFonts w:cs="Arial"/>
                <w:lang w:val="de-DE"/>
              </w:rPr>
              <w:t>“</w:t>
            </w:r>
            <w:r w:rsidRPr="00C47725">
              <w:rPr>
                <w:rFonts w:cs="Arial"/>
                <w:lang w:val="de-DE"/>
              </w:rPr>
              <w:t xml:space="preserve"> streichen</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47"/>
        <w:gridCol w:w="2899"/>
        <w:gridCol w:w="2807"/>
        <w:gridCol w:w="736"/>
        <w:gridCol w:w="993"/>
      </w:tblGrid>
      <w:tr w:rsidR="002D20DB" w:rsidRPr="00C47725" w:rsidTr="002B5125">
        <w:trPr>
          <w:cantSplit/>
          <w:trHeight w:val="277"/>
          <w:jc w:val="center"/>
        </w:trPr>
        <w:tc>
          <w:tcPr>
            <w:tcW w:w="2547" w:type="dxa"/>
            <w:vMerge w:val="restart"/>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4F1DFE">
              <w:rPr>
                <w:rFonts w:cs="Arial"/>
                <w:caps w:val="0"/>
                <w:lang w:val="es-ES_tradnl"/>
              </w:rPr>
              <w:t>Känguruhblume</w:t>
            </w:r>
            <w:r w:rsidRPr="004F1DFE">
              <w:rPr>
                <w:rFonts w:cs="Arial"/>
                <w:caps w:val="0"/>
                <w:lang w:val="es-ES_tradnl"/>
              </w:rPr>
              <w:br/>
              <w:t>(</w:t>
            </w:r>
            <w:r w:rsidRPr="004F1DFE">
              <w:rPr>
                <w:rFonts w:cs="Arial"/>
                <w:i/>
                <w:caps w:val="0"/>
                <w:lang w:val="es-ES_tradnl"/>
              </w:rPr>
              <w:t>Anigozanthos</w:t>
            </w:r>
            <w:r w:rsidRPr="004F1DFE">
              <w:rPr>
                <w:rFonts w:cs="Arial"/>
                <w:caps w:val="0"/>
                <w:lang w:val="es-ES_tradnl"/>
              </w:rPr>
              <w:t xml:space="preserve"> Labill.; </w:t>
            </w:r>
            <w:r w:rsidRPr="004F1DFE">
              <w:rPr>
                <w:rFonts w:cs="Arial"/>
                <w:i/>
                <w:caps w:val="0"/>
                <w:lang w:val="es-ES_tradnl"/>
              </w:rPr>
              <w:t>Macropidia fuliginosa</w:t>
            </w:r>
            <w:r w:rsidRPr="004F1DFE">
              <w:rPr>
                <w:rFonts w:cs="Arial"/>
                <w:caps w:val="0"/>
                <w:lang w:val="es-ES_tradnl"/>
              </w:rPr>
              <w:t xml:space="preserve"> (Hook.) </w:t>
            </w:r>
            <w:r w:rsidRPr="00C47725">
              <w:rPr>
                <w:rFonts w:cs="Arial"/>
                <w:caps w:val="0"/>
                <w:lang w:val="de-DE"/>
              </w:rPr>
              <w:t>Druce)</w:t>
            </w:r>
          </w:p>
        </w:tc>
        <w:tc>
          <w:tcPr>
            <w:tcW w:w="2899" w:type="dxa"/>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TG/175/4(proj.3)</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lang w:val="de-DE"/>
              </w:rPr>
              <w:t>Herr Nik Hulse (AU)</w:t>
            </w:r>
          </w:p>
        </w:tc>
        <w:tc>
          <w:tcPr>
            <w:tcW w:w="736" w:type="dxa"/>
            <w:vMerge w:val="restart"/>
            <w:shd w:val="clear" w:color="auto" w:fill="D9D9D9"/>
            <w:vAlign w:val="center"/>
          </w:tcPr>
          <w:p w:rsidR="002D20DB" w:rsidRPr="00C47725" w:rsidRDefault="002D20DB" w:rsidP="002B5125">
            <w:pPr>
              <w:keepNext/>
              <w:jc w:val="left"/>
              <w:rPr>
                <w:rFonts w:cs="Arial"/>
                <w:iCs/>
                <w:lang w:val="de-DE"/>
              </w:rPr>
            </w:pPr>
            <w:r w:rsidRPr="00C47725">
              <w:rPr>
                <w:rFonts w:cs="Arial"/>
                <w:iCs/>
                <w:lang w:val="de-DE"/>
              </w:rPr>
              <w:t>TWO</w:t>
            </w:r>
          </w:p>
        </w:tc>
        <w:tc>
          <w:tcPr>
            <w:tcW w:w="993" w:type="dxa"/>
            <w:vMerge w:val="restart"/>
            <w:shd w:val="clear" w:color="auto" w:fill="D9D9D9"/>
            <w:vAlign w:val="center"/>
          </w:tcPr>
          <w:p w:rsidR="002D20DB" w:rsidRPr="00C47725" w:rsidRDefault="002D20DB" w:rsidP="002B5125">
            <w:pPr>
              <w:pStyle w:val="BodyText"/>
              <w:keepNext/>
              <w:jc w:val="left"/>
              <w:rPr>
                <w:rFonts w:cs="Arial"/>
                <w:iCs/>
                <w:snapToGrid w:val="0"/>
                <w:lang w:val="de-DE"/>
              </w:rPr>
            </w:pPr>
            <w:r w:rsidRPr="00C47725">
              <w:rPr>
                <w:rFonts w:cs="Arial"/>
                <w:iCs/>
                <w:snapToGrid w:val="0"/>
                <w:lang w:val="de-DE"/>
              </w:rPr>
              <w:t>*</w:t>
            </w:r>
          </w:p>
        </w:tc>
      </w:tr>
      <w:tr w:rsidR="002D20DB" w:rsidRPr="000E6F70" w:rsidTr="002B5125">
        <w:trPr>
          <w:cantSplit/>
          <w:trHeight w:hRule="exact" w:val="959"/>
          <w:jc w:val="center"/>
        </w:trPr>
        <w:tc>
          <w:tcPr>
            <w:tcW w:w="2547" w:type="dxa"/>
            <w:vMerge/>
            <w:shd w:val="clear" w:color="auto" w:fill="D9D9D9"/>
            <w:vAlign w:val="center"/>
          </w:tcPr>
          <w:p w:rsidR="002D20DB" w:rsidRPr="00C47725" w:rsidRDefault="002D20DB" w:rsidP="002B5125">
            <w:pPr>
              <w:pStyle w:val="TitleofDoc"/>
              <w:keepNext/>
              <w:tabs>
                <w:tab w:val="left" w:pos="5245"/>
                <w:tab w:val="left" w:pos="7008"/>
              </w:tabs>
              <w:jc w:val="left"/>
              <w:rPr>
                <w:rFonts w:cs="Arial"/>
                <w:caps w:val="0"/>
                <w:lang w:val="de-DE"/>
              </w:rPr>
            </w:pPr>
          </w:p>
        </w:tc>
        <w:tc>
          <w:tcPr>
            <w:tcW w:w="2899" w:type="dxa"/>
            <w:shd w:val="clear" w:color="auto" w:fill="D9D9D9"/>
            <w:vAlign w:val="center"/>
          </w:tcPr>
          <w:p w:rsidR="002D20DB" w:rsidRPr="00C47725" w:rsidRDefault="002D20DB" w:rsidP="002B5125">
            <w:pPr>
              <w:pStyle w:val="BodyText"/>
              <w:keepNext/>
              <w:jc w:val="left"/>
              <w:rPr>
                <w:rFonts w:cs="Arial"/>
                <w:color w:val="000000"/>
                <w:lang w:val="de-DE"/>
              </w:rPr>
            </w:pPr>
            <w:r>
              <w:rPr>
                <w:rFonts w:cs="Arial"/>
                <w:color w:val="000000"/>
                <w:lang w:val="de-DE"/>
              </w:rPr>
              <w:t>Anzahl von Merkmalen</w:t>
            </w:r>
            <w:r w:rsidRPr="00C47725">
              <w:rPr>
                <w:rFonts w:cs="Arial"/>
                <w:color w:val="000000"/>
                <w:lang w:val="de-DE"/>
              </w:rPr>
              <w:t>: 24</w:t>
            </w:r>
            <w:r w:rsidRPr="00C47725">
              <w:rPr>
                <w:rFonts w:cs="Arial"/>
                <w:color w:val="000000"/>
                <w:lang w:val="de-DE"/>
              </w:rPr>
              <w:br/>
            </w:r>
            <w:r>
              <w:rPr>
                <w:rFonts w:cs="Arial"/>
                <w:color w:val="000000"/>
                <w:lang w:val="de-DE"/>
              </w:rPr>
              <w:t>Anzahl</w:t>
            </w:r>
            <w:r w:rsidRPr="00C47725">
              <w:rPr>
                <w:rFonts w:cs="Arial"/>
                <w:color w:val="000000"/>
                <w:lang w:val="de-DE"/>
              </w:rPr>
              <w:t xml:space="preserve"> von </w:t>
            </w:r>
            <w:r>
              <w:rPr>
                <w:rFonts w:cs="Arial"/>
                <w:color w:val="000000"/>
                <w:lang w:val="de-DE"/>
              </w:rPr>
              <w:t>(*)</w:t>
            </w:r>
            <w:r w:rsidRPr="00C47725">
              <w:rPr>
                <w:rFonts w:cs="Arial"/>
                <w:color w:val="000000"/>
                <w:lang w:val="de-DE"/>
              </w:rPr>
              <w:t xml:space="preserve"> Merkmal</w:t>
            </w:r>
            <w:r>
              <w:rPr>
                <w:rFonts w:cs="Arial"/>
                <w:color w:val="000000"/>
                <w:lang w:val="de-DE"/>
              </w:rPr>
              <w:t>en</w:t>
            </w:r>
            <w:r w:rsidRPr="00C47725">
              <w:rPr>
                <w:rFonts w:cs="Arial"/>
                <w:color w:val="000000"/>
                <w:lang w:val="de-DE"/>
              </w:rPr>
              <w:t>: 11</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iCs/>
                <w:snapToGrid w:val="0"/>
                <w:color w:val="000000"/>
                <w:lang w:val="de-DE"/>
              </w:rPr>
              <w:t xml:space="preserve">(Beteiligte Sachverständige: </w:t>
            </w:r>
            <w:r w:rsidRPr="00C47725">
              <w:rPr>
                <w:rFonts w:cs="Arial"/>
                <w:lang w:val="de-DE"/>
              </w:rPr>
              <w:t>DE, GB, JP, KR, NZ, QZ</w:t>
            </w:r>
            <w:r w:rsidRPr="00C47725">
              <w:rPr>
                <w:rFonts w:eastAsia="SimSun" w:cs="Arial"/>
                <w:lang w:val="de-DE" w:eastAsia="zh-CN"/>
              </w:rPr>
              <w:t>)</w:t>
            </w:r>
          </w:p>
        </w:tc>
        <w:tc>
          <w:tcPr>
            <w:tcW w:w="736" w:type="dxa"/>
            <w:vMerge/>
            <w:shd w:val="clear" w:color="auto" w:fill="D9D9D9"/>
            <w:vAlign w:val="center"/>
          </w:tcPr>
          <w:p w:rsidR="002D20DB" w:rsidRPr="00C47725" w:rsidRDefault="002D20DB" w:rsidP="002B5125">
            <w:pPr>
              <w:keepNext/>
              <w:jc w:val="left"/>
              <w:rPr>
                <w:rFonts w:cs="Arial"/>
                <w:iCs/>
                <w:lang w:val="de-DE"/>
              </w:rPr>
            </w:pPr>
          </w:p>
        </w:tc>
        <w:tc>
          <w:tcPr>
            <w:tcW w:w="993" w:type="dxa"/>
            <w:vMerge/>
            <w:shd w:val="clear" w:color="auto" w:fill="D9D9D9"/>
            <w:vAlign w:val="center"/>
          </w:tcPr>
          <w:p w:rsidR="002D20DB" w:rsidRPr="00C47725" w:rsidRDefault="002D20DB" w:rsidP="002B5125">
            <w:pPr>
              <w:pStyle w:val="BodyText"/>
              <w:keepNext/>
              <w:jc w:val="left"/>
              <w:rPr>
                <w:rFonts w:cs="Arial"/>
                <w:iCs/>
                <w:snapToGrid w:val="0"/>
                <w:lang w:val="de-DE"/>
              </w:rPr>
            </w:pPr>
          </w:p>
        </w:tc>
      </w:tr>
    </w:tbl>
    <w:p w:rsidR="002D20DB" w:rsidRPr="00C47725" w:rsidRDefault="002D20DB" w:rsidP="002D20DB">
      <w:pPr>
        <w:keepNext/>
        <w:rPr>
          <w:rFonts w:eastAsia="Arial" w:cs="Arial"/>
          <w:color w:val="000000"/>
          <w:u w:val="single"/>
          <w:lang w:val="de-DE"/>
        </w:rPr>
      </w:pPr>
    </w:p>
    <w:p w:rsidR="002D20DB" w:rsidRPr="00C47725" w:rsidRDefault="002D20DB" w:rsidP="002D20DB">
      <w:pPr>
        <w:ind w:firstLine="567"/>
        <w:rPr>
          <w:rFonts w:cs="Arial"/>
          <w:snapToGrid w:val="0"/>
          <w:lang w:val="de-DE"/>
        </w:rPr>
      </w:pPr>
      <w:r w:rsidRPr="00C47725">
        <w:rPr>
          <w:rFonts w:cs="Arial"/>
          <w:snapToGrid w:val="0"/>
          <w:lang w:val="de-DE"/>
        </w:rPr>
        <w:t>Der TC-EDC prüfte auf seiner Sitzung im Oktober 2019 in Genf Dokument </w:t>
      </w:r>
      <w:r w:rsidRPr="00C47725">
        <w:rPr>
          <w:rFonts w:cs="Arial"/>
          <w:caps/>
          <w:lang w:val="de-DE"/>
        </w:rPr>
        <w:t>TG/175/4(</w:t>
      </w:r>
      <w:r w:rsidRPr="00C47725">
        <w:rPr>
          <w:rFonts w:cs="Arial"/>
          <w:lang w:val="de-DE"/>
        </w:rPr>
        <w:t>proj</w:t>
      </w:r>
      <w:r w:rsidRPr="00C47725">
        <w:rPr>
          <w:rFonts w:cs="Arial"/>
          <w:caps/>
          <w:lang w:val="de-DE"/>
        </w:rPr>
        <w:t>.3)</w:t>
      </w:r>
      <w:r w:rsidRPr="00C47725">
        <w:rPr>
          <w:rFonts w:cs="Arial"/>
          <w:snapToGrid w:val="0"/>
          <w:lang w:val="de-DE"/>
        </w:rPr>
        <w:t xml:space="preserve"> und gab die in der nachstehenden Tabelle aufgeführten Empfehlungen ab:</w:t>
      </w:r>
    </w:p>
    <w:p w:rsidR="002D20DB" w:rsidRPr="00C47725" w:rsidRDefault="002D20DB" w:rsidP="002D20DB">
      <w:pPr>
        <w:keepNext/>
        <w:rPr>
          <w:rFonts w:eastAsia="Arial" w:cs="Arial"/>
          <w:color w:val="000000"/>
          <w:u w:val="single"/>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rPr>
                <w:rFonts w:eastAsia="Arial" w:cs="Arial"/>
                <w:lang w:val="de-DE"/>
              </w:rPr>
            </w:pPr>
            <w:r w:rsidRPr="00C47725">
              <w:rPr>
                <w:rFonts w:eastAsia="Arial" w:cs="Arial"/>
                <w:lang w:val="de-DE"/>
              </w:rPr>
              <w:t>8.1 (a)</w:t>
            </w:r>
          </w:p>
        </w:tc>
        <w:tc>
          <w:tcPr>
            <w:tcW w:w="8208" w:type="dxa"/>
          </w:tcPr>
          <w:p w:rsidR="002D20DB" w:rsidRPr="00C47725" w:rsidRDefault="002D20DB" w:rsidP="002B5125">
            <w:pPr>
              <w:rPr>
                <w:rFonts w:eastAsia="Arial" w:cs="Arial"/>
                <w:lang w:val="de-DE"/>
              </w:rPr>
            </w:pPr>
            <w:r w:rsidRPr="00C47725">
              <w:rPr>
                <w:rFonts w:eastAsia="Arial" w:cs="Arial"/>
                <w:lang w:val="de-DE"/>
              </w:rPr>
              <w:t>sollte lauten</w:t>
            </w:r>
            <w:r>
              <w:rPr>
                <w:rFonts w:eastAsia="Arial" w:cs="Arial"/>
                <w:lang w:val="de-DE"/>
              </w:rPr>
              <w:t xml:space="preserve"> „</w:t>
            </w:r>
            <w:r w:rsidRPr="00C47725">
              <w:rPr>
                <w:rFonts w:eastAsia="Arial" w:cs="Arial"/>
                <w:lang w:val="de-DE"/>
              </w:rPr>
              <w:t xml:space="preserve">Erfassungen sollten an einem voll </w:t>
            </w:r>
            <w:r w:rsidRPr="00EB443A">
              <w:rPr>
                <w:rFonts w:eastAsia="Arial" w:cs="Arial"/>
                <w:lang w:val="de-DE"/>
              </w:rPr>
              <w:t>entwickelten</w:t>
            </w:r>
            <w:r>
              <w:rPr>
                <w:rFonts w:eastAsia="Arial" w:cs="Arial"/>
                <w:lang w:val="de-DE"/>
              </w:rPr>
              <w:t xml:space="preserve"> </w:t>
            </w:r>
            <w:r w:rsidRPr="00C47725">
              <w:rPr>
                <w:rFonts w:eastAsia="Arial" w:cs="Arial"/>
                <w:lang w:val="de-DE"/>
              </w:rPr>
              <w:t>Blatt aus dem mittleren Drittel der Rosette erfolgen.</w:t>
            </w:r>
            <w:r>
              <w:rPr>
                <w:rFonts w:eastAsia="Arial" w:cs="Arial"/>
                <w:lang w:val="de-DE"/>
              </w:rPr>
              <w:t>“</w:t>
            </w:r>
          </w:p>
        </w:tc>
      </w:tr>
      <w:tr w:rsidR="002D20DB" w:rsidRPr="000E6F70" w:rsidTr="002B5125">
        <w:trPr>
          <w:cantSplit/>
        </w:trPr>
        <w:tc>
          <w:tcPr>
            <w:tcW w:w="1573" w:type="dxa"/>
          </w:tcPr>
          <w:p w:rsidR="002D20DB" w:rsidRPr="00C47725" w:rsidRDefault="002D20DB" w:rsidP="002B5125">
            <w:pPr>
              <w:rPr>
                <w:rFonts w:eastAsia="Arial" w:cs="Arial"/>
                <w:lang w:val="de-DE"/>
              </w:rPr>
            </w:pPr>
            <w:r w:rsidRPr="00C47725">
              <w:rPr>
                <w:rFonts w:eastAsia="Arial" w:cs="Arial"/>
                <w:lang w:val="de-DE"/>
              </w:rPr>
              <w:t>Zu 12</w:t>
            </w:r>
          </w:p>
        </w:tc>
        <w:tc>
          <w:tcPr>
            <w:tcW w:w="8208" w:type="dxa"/>
          </w:tcPr>
          <w:p w:rsidR="002D20DB" w:rsidRPr="00C47725" w:rsidRDefault="002D20DB" w:rsidP="002B5125">
            <w:pPr>
              <w:rPr>
                <w:rFonts w:eastAsia="Arial" w:cs="Arial"/>
                <w:lang w:val="de-DE"/>
              </w:rPr>
            </w:pPr>
            <w:r w:rsidRPr="00C47725">
              <w:rPr>
                <w:rFonts w:eastAsia="Arial" w:cs="Arial"/>
                <w:lang w:val="de-DE"/>
              </w:rPr>
              <w:t>sollte lauten</w:t>
            </w:r>
            <w:r>
              <w:rPr>
                <w:rFonts w:eastAsia="Arial" w:cs="Arial"/>
                <w:lang w:val="de-DE"/>
              </w:rPr>
              <w:t xml:space="preserve"> „</w:t>
            </w:r>
            <w:r w:rsidRPr="00C47725">
              <w:rPr>
                <w:rFonts w:eastAsia="Arial" w:cs="Arial"/>
                <w:lang w:val="de-DE"/>
              </w:rPr>
              <w:t>Der Abstand von der Basis der Perianthröhre zur Basis des obersten Perianthlappens sollte erfasst werden.</w:t>
            </w:r>
            <w:r>
              <w:rPr>
                <w:rFonts w:eastAsia="Arial" w:cs="Arial"/>
                <w:lang w:val="de-DE"/>
              </w:rPr>
              <w:t>“</w:t>
            </w:r>
          </w:p>
        </w:tc>
      </w:tr>
      <w:tr w:rsidR="002D20DB" w:rsidRPr="000E6F70" w:rsidTr="002B5125">
        <w:trPr>
          <w:cantSplit/>
        </w:trPr>
        <w:tc>
          <w:tcPr>
            <w:tcW w:w="1573" w:type="dxa"/>
          </w:tcPr>
          <w:p w:rsidR="002D20DB" w:rsidRPr="00C47725" w:rsidRDefault="002D20DB" w:rsidP="002B5125">
            <w:pPr>
              <w:rPr>
                <w:rFonts w:eastAsia="Arial" w:cs="Arial"/>
                <w:lang w:val="de-DE"/>
              </w:rPr>
            </w:pPr>
            <w:r w:rsidRPr="00C47725">
              <w:rPr>
                <w:rFonts w:eastAsia="Arial" w:cs="Arial"/>
                <w:lang w:val="de-DE"/>
              </w:rPr>
              <w:t>Zu 19</w:t>
            </w:r>
          </w:p>
        </w:tc>
        <w:tc>
          <w:tcPr>
            <w:tcW w:w="8208" w:type="dxa"/>
          </w:tcPr>
          <w:p w:rsidR="002D20DB" w:rsidRPr="00C47725" w:rsidRDefault="002D20DB" w:rsidP="002B5125">
            <w:pPr>
              <w:rPr>
                <w:rFonts w:eastAsia="Arial" w:cs="Arial"/>
                <w:lang w:val="de-DE"/>
              </w:rPr>
            </w:pPr>
            <w:r w:rsidRPr="00C47725">
              <w:rPr>
                <w:rFonts w:eastAsia="Arial" w:cs="Arial"/>
                <w:lang w:val="de-DE"/>
              </w:rPr>
              <w:t>sollte lauten</w:t>
            </w:r>
            <w:r>
              <w:rPr>
                <w:rFonts w:eastAsia="Arial" w:cs="Arial"/>
                <w:lang w:val="de-DE"/>
              </w:rPr>
              <w:t xml:space="preserve"> „</w:t>
            </w:r>
            <w:r w:rsidRPr="00C47725">
              <w:rPr>
                <w:rFonts w:eastAsia="Arial" w:cs="Arial"/>
                <w:lang w:val="de-DE"/>
              </w:rPr>
              <w:t>Der längste Lappen sollte erfasst werden.</w:t>
            </w:r>
            <w:r>
              <w:rPr>
                <w:rFonts w:eastAsia="Arial" w:cs="Arial"/>
                <w:lang w:val="de-DE"/>
              </w:rPr>
              <w:t>“</w:t>
            </w:r>
          </w:p>
        </w:tc>
      </w:tr>
      <w:tr w:rsidR="002D20DB" w:rsidRPr="000E6F70" w:rsidTr="002B5125">
        <w:trPr>
          <w:cantSplit/>
        </w:trPr>
        <w:tc>
          <w:tcPr>
            <w:tcW w:w="1573" w:type="dxa"/>
          </w:tcPr>
          <w:p w:rsidR="002D20DB" w:rsidRPr="00C47725" w:rsidRDefault="002D20DB" w:rsidP="002B5125">
            <w:pPr>
              <w:rPr>
                <w:rFonts w:eastAsia="Arial" w:cs="Arial"/>
                <w:lang w:val="de-DE"/>
              </w:rPr>
            </w:pPr>
            <w:r w:rsidRPr="00C47725">
              <w:rPr>
                <w:rFonts w:eastAsia="Arial" w:cs="Arial"/>
                <w:lang w:val="de-DE"/>
              </w:rPr>
              <w:t>Zu 24</w:t>
            </w:r>
          </w:p>
        </w:tc>
        <w:tc>
          <w:tcPr>
            <w:tcW w:w="8208" w:type="dxa"/>
          </w:tcPr>
          <w:p w:rsidR="002D20DB" w:rsidRPr="00C47725" w:rsidRDefault="002D20DB" w:rsidP="002B5125">
            <w:pPr>
              <w:rPr>
                <w:rFonts w:eastAsia="Arial" w:cs="Arial"/>
                <w:lang w:val="de-DE"/>
              </w:rPr>
            </w:pPr>
            <w:r w:rsidRPr="00C47725">
              <w:rPr>
                <w:rFonts w:eastAsia="Arial" w:cs="Arial"/>
                <w:lang w:val="de-DE"/>
              </w:rPr>
              <w:t>sollte lauten</w:t>
            </w:r>
            <w:r>
              <w:rPr>
                <w:rFonts w:eastAsia="Arial" w:cs="Arial"/>
                <w:lang w:val="de-DE"/>
              </w:rPr>
              <w:t xml:space="preserve"> „</w:t>
            </w:r>
            <w:r w:rsidRPr="00C47725">
              <w:rPr>
                <w:rFonts w:eastAsia="Arial" w:cs="Arial"/>
                <w:lang w:val="de-DE"/>
              </w:rPr>
              <w:t>Der Zeitpunkt des Blühbeginns ist erreicht, wenn 4 von 10 Pflanzen mindestens eine geöffnete Blüte haben.</w:t>
            </w:r>
            <w:r>
              <w:rPr>
                <w:rFonts w:eastAsia="Arial" w:cs="Arial"/>
                <w:lang w:val="de-DE"/>
              </w:rPr>
              <w:t>“</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47"/>
        <w:gridCol w:w="2899"/>
        <w:gridCol w:w="2807"/>
        <w:gridCol w:w="736"/>
        <w:gridCol w:w="993"/>
      </w:tblGrid>
      <w:tr w:rsidR="002D20DB" w:rsidRPr="00C47725" w:rsidTr="002B5125">
        <w:trPr>
          <w:cantSplit/>
          <w:trHeight w:val="277"/>
          <w:jc w:val="center"/>
        </w:trPr>
        <w:tc>
          <w:tcPr>
            <w:tcW w:w="2547" w:type="dxa"/>
            <w:vMerge w:val="restart"/>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lastRenderedPageBreak/>
              <w:t xml:space="preserve">Fenchel </w:t>
            </w:r>
            <w:r w:rsidRPr="00C47725">
              <w:rPr>
                <w:rFonts w:cs="Arial"/>
                <w:caps w:val="0"/>
                <w:lang w:val="de-DE"/>
              </w:rPr>
              <w:br/>
              <w:t>(</w:t>
            </w:r>
            <w:r w:rsidRPr="00C47725">
              <w:rPr>
                <w:rFonts w:cs="Arial"/>
                <w:i/>
                <w:caps w:val="0"/>
                <w:lang w:val="de-DE"/>
              </w:rPr>
              <w:t>Foeniculum vulgare</w:t>
            </w:r>
            <w:r w:rsidRPr="00C47725">
              <w:rPr>
                <w:rFonts w:cs="Arial"/>
                <w:caps w:val="0"/>
                <w:lang w:val="de-DE"/>
              </w:rPr>
              <w:t xml:space="preserve"> Mill.)</w:t>
            </w:r>
          </w:p>
        </w:tc>
        <w:tc>
          <w:tcPr>
            <w:tcW w:w="2899" w:type="dxa"/>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TG/183/4(proj.3)</w:t>
            </w:r>
          </w:p>
        </w:tc>
        <w:tc>
          <w:tcPr>
            <w:tcW w:w="2807" w:type="dxa"/>
            <w:shd w:val="clear" w:color="auto" w:fill="D9D9D9"/>
            <w:vAlign w:val="center"/>
          </w:tcPr>
          <w:p w:rsidR="002D20DB" w:rsidRPr="004F1DFE" w:rsidRDefault="002D20DB" w:rsidP="002B5125">
            <w:pPr>
              <w:keepNext/>
              <w:jc w:val="left"/>
              <w:rPr>
                <w:rFonts w:cs="Arial"/>
                <w:iCs/>
                <w:snapToGrid w:val="0"/>
                <w:color w:val="000000"/>
                <w:lang w:val="es-ES_tradnl"/>
              </w:rPr>
            </w:pPr>
            <w:r w:rsidRPr="004F1DFE">
              <w:rPr>
                <w:rFonts w:cs="Arial"/>
                <w:lang w:val="es-ES_tradnl"/>
              </w:rPr>
              <w:t>Frau Marian van Leeuwen (NL)</w:t>
            </w:r>
          </w:p>
        </w:tc>
        <w:tc>
          <w:tcPr>
            <w:tcW w:w="736" w:type="dxa"/>
            <w:vMerge w:val="restart"/>
            <w:shd w:val="clear" w:color="auto" w:fill="D9D9D9"/>
            <w:vAlign w:val="center"/>
          </w:tcPr>
          <w:p w:rsidR="002D20DB" w:rsidRPr="00C47725" w:rsidRDefault="002D20DB" w:rsidP="002B5125">
            <w:pPr>
              <w:keepNext/>
              <w:jc w:val="left"/>
              <w:rPr>
                <w:rFonts w:cs="Arial"/>
                <w:iCs/>
                <w:lang w:val="de-DE"/>
              </w:rPr>
            </w:pPr>
            <w:r w:rsidRPr="00C47725">
              <w:rPr>
                <w:rFonts w:cs="Arial"/>
                <w:iCs/>
                <w:lang w:val="de-DE"/>
              </w:rPr>
              <w:t>TWV</w:t>
            </w:r>
          </w:p>
        </w:tc>
        <w:tc>
          <w:tcPr>
            <w:tcW w:w="993" w:type="dxa"/>
            <w:vMerge w:val="restart"/>
            <w:shd w:val="clear" w:color="auto" w:fill="D9D9D9"/>
            <w:vAlign w:val="center"/>
          </w:tcPr>
          <w:p w:rsidR="002D20DB" w:rsidRPr="00C47725" w:rsidRDefault="002D20DB" w:rsidP="002B5125">
            <w:pPr>
              <w:pStyle w:val="BodyText"/>
              <w:keepNext/>
              <w:jc w:val="left"/>
              <w:rPr>
                <w:rFonts w:cs="Arial"/>
                <w:iCs/>
                <w:snapToGrid w:val="0"/>
                <w:lang w:val="de-DE"/>
              </w:rPr>
            </w:pPr>
            <w:r w:rsidRPr="00C47725">
              <w:rPr>
                <w:rFonts w:cs="Arial"/>
                <w:iCs/>
                <w:snapToGrid w:val="0"/>
                <w:lang w:val="de-DE"/>
              </w:rPr>
              <w:t>*</w:t>
            </w:r>
          </w:p>
        </w:tc>
      </w:tr>
      <w:tr w:rsidR="002D20DB" w:rsidRPr="000E6F70" w:rsidTr="002B5125">
        <w:trPr>
          <w:cantSplit/>
          <w:trHeight w:hRule="exact" w:val="1029"/>
          <w:jc w:val="center"/>
        </w:trPr>
        <w:tc>
          <w:tcPr>
            <w:tcW w:w="2547" w:type="dxa"/>
            <w:vMerge/>
            <w:shd w:val="clear" w:color="auto" w:fill="D9D9D9"/>
            <w:vAlign w:val="center"/>
          </w:tcPr>
          <w:p w:rsidR="002D20DB" w:rsidRPr="00C47725" w:rsidRDefault="002D20DB" w:rsidP="002B5125">
            <w:pPr>
              <w:pStyle w:val="TitleofDoc"/>
              <w:keepNext/>
              <w:tabs>
                <w:tab w:val="left" w:pos="5245"/>
                <w:tab w:val="left" w:pos="7008"/>
              </w:tabs>
              <w:jc w:val="left"/>
              <w:rPr>
                <w:rFonts w:cs="Arial"/>
                <w:caps w:val="0"/>
                <w:lang w:val="de-DE"/>
              </w:rPr>
            </w:pPr>
          </w:p>
        </w:tc>
        <w:tc>
          <w:tcPr>
            <w:tcW w:w="2899" w:type="dxa"/>
            <w:shd w:val="clear" w:color="auto" w:fill="D9D9D9"/>
            <w:vAlign w:val="center"/>
          </w:tcPr>
          <w:p w:rsidR="002D20DB" w:rsidRPr="00C47725" w:rsidRDefault="002D20DB" w:rsidP="002B5125">
            <w:pPr>
              <w:pStyle w:val="BodyText"/>
              <w:keepNext/>
              <w:jc w:val="left"/>
              <w:rPr>
                <w:rFonts w:cs="Arial"/>
                <w:color w:val="000000"/>
                <w:lang w:val="de-DE"/>
              </w:rPr>
            </w:pPr>
            <w:r>
              <w:rPr>
                <w:rFonts w:cs="Arial"/>
                <w:color w:val="000000"/>
                <w:lang w:val="de-DE"/>
              </w:rPr>
              <w:t>Anzahl von Merkmalen</w:t>
            </w:r>
            <w:r w:rsidRPr="00C47725">
              <w:rPr>
                <w:rFonts w:cs="Arial"/>
                <w:color w:val="000000"/>
                <w:lang w:val="de-DE"/>
              </w:rPr>
              <w:t>: 26</w:t>
            </w:r>
            <w:r w:rsidRPr="00C47725">
              <w:rPr>
                <w:rFonts w:cs="Arial"/>
                <w:color w:val="000000"/>
                <w:lang w:val="de-DE"/>
              </w:rPr>
              <w:br/>
            </w:r>
            <w:r>
              <w:rPr>
                <w:rFonts w:cs="Arial"/>
                <w:color w:val="000000"/>
                <w:lang w:val="de-DE"/>
              </w:rPr>
              <w:t xml:space="preserve">Anzahl </w:t>
            </w:r>
            <w:r w:rsidRPr="00C47725">
              <w:rPr>
                <w:rFonts w:cs="Arial"/>
                <w:color w:val="000000"/>
                <w:lang w:val="de-DE"/>
              </w:rPr>
              <w:t xml:space="preserve">von </w:t>
            </w:r>
            <w:r>
              <w:rPr>
                <w:rFonts w:cs="Arial"/>
                <w:color w:val="000000"/>
                <w:lang w:val="de-DE"/>
              </w:rPr>
              <w:t>(*)</w:t>
            </w:r>
            <w:r w:rsidRPr="00C47725">
              <w:rPr>
                <w:rFonts w:cs="Arial"/>
                <w:color w:val="000000"/>
                <w:lang w:val="de-DE"/>
              </w:rPr>
              <w:t xml:space="preserve"> Merkmal</w:t>
            </w:r>
            <w:r>
              <w:rPr>
                <w:rFonts w:cs="Arial"/>
                <w:color w:val="000000"/>
                <w:lang w:val="de-DE"/>
              </w:rPr>
              <w:t>en</w:t>
            </w:r>
            <w:r w:rsidRPr="00C47725">
              <w:rPr>
                <w:rFonts w:cs="Arial"/>
                <w:color w:val="000000"/>
                <w:lang w:val="de-DE"/>
              </w:rPr>
              <w:t>: 10</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iCs/>
                <w:snapToGrid w:val="0"/>
                <w:color w:val="000000"/>
                <w:lang w:val="de-DE"/>
              </w:rPr>
              <w:t xml:space="preserve">(Beteiligte Sachverständige: </w:t>
            </w:r>
            <w:r w:rsidRPr="00C47725">
              <w:rPr>
                <w:rFonts w:cs="Arial"/>
                <w:lang w:val="de-DE"/>
              </w:rPr>
              <w:t>CZ, DE, FR, IT, QZ, CLI, ESA, ISF</w:t>
            </w:r>
            <w:r w:rsidRPr="00C47725">
              <w:rPr>
                <w:rFonts w:eastAsia="SimSun" w:cs="Arial"/>
                <w:lang w:val="de-DE" w:eastAsia="zh-CN"/>
              </w:rPr>
              <w:t>)</w:t>
            </w:r>
          </w:p>
        </w:tc>
        <w:tc>
          <w:tcPr>
            <w:tcW w:w="736" w:type="dxa"/>
            <w:vMerge/>
            <w:shd w:val="clear" w:color="auto" w:fill="D9D9D9"/>
            <w:vAlign w:val="center"/>
          </w:tcPr>
          <w:p w:rsidR="002D20DB" w:rsidRPr="00C47725" w:rsidRDefault="002D20DB" w:rsidP="002B5125">
            <w:pPr>
              <w:keepNext/>
              <w:jc w:val="left"/>
              <w:rPr>
                <w:rFonts w:cs="Arial"/>
                <w:iCs/>
                <w:lang w:val="de-DE"/>
              </w:rPr>
            </w:pPr>
          </w:p>
        </w:tc>
        <w:tc>
          <w:tcPr>
            <w:tcW w:w="993" w:type="dxa"/>
            <w:vMerge/>
            <w:shd w:val="clear" w:color="auto" w:fill="D9D9D9"/>
            <w:vAlign w:val="center"/>
          </w:tcPr>
          <w:p w:rsidR="002D20DB" w:rsidRPr="00C47725" w:rsidRDefault="002D20DB" w:rsidP="002B5125">
            <w:pPr>
              <w:pStyle w:val="BodyText"/>
              <w:keepNext/>
              <w:jc w:val="left"/>
              <w:rPr>
                <w:rFonts w:cs="Arial"/>
                <w:iCs/>
                <w:snapToGrid w:val="0"/>
                <w:lang w:val="de-DE"/>
              </w:rPr>
            </w:pPr>
          </w:p>
        </w:tc>
      </w:tr>
    </w:tbl>
    <w:p w:rsidR="002D20DB" w:rsidRPr="00C47725" w:rsidRDefault="002D20DB" w:rsidP="002D20DB">
      <w:pPr>
        <w:keepNext/>
        <w:rPr>
          <w:rFonts w:eastAsia="Arial" w:cs="Arial"/>
          <w:color w:val="000000"/>
          <w:u w:val="single"/>
          <w:lang w:val="de-DE"/>
        </w:rPr>
      </w:pPr>
    </w:p>
    <w:p w:rsidR="002D20DB" w:rsidRPr="00C47725" w:rsidRDefault="002D20DB" w:rsidP="002D20DB">
      <w:pPr>
        <w:ind w:firstLine="567"/>
        <w:rPr>
          <w:rFonts w:cs="Arial"/>
          <w:snapToGrid w:val="0"/>
          <w:lang w:val="de-DE"/>
        </w:rPr>
      </w:pPr>
      <w:r w:rsidRPr="00C47725">
        <w:rPr>
          <w:rFonts w:cs="Arial"/>
          <w:snapToGrid w:val="0"/>
          <w:lang w:val="de-DE"/>
        </w:rPr>
        <w:t>Der TC-EDC prüfte auf seiner Sitzung im Oktober 2019 in Genf Dokument </w:t>
      </w:r>
      <w:r w:rsidRPr="00C47725">
        <w:rPr>
          <w:rFonts w:cs="Arial"/>
          <w:caps/>
          <w:lang w:val="de-DE"/>
        </w:rPr>
        <w:t>TG/183/4(</w:t>
      </w:r>
      <w:r w:rsidRPr="00C47725">
        <w:rPr>
          <w:rFonts w:cs="Arial"/>
          <w:lang w:val="de-DE"/>
        </w:rPr>
        <w:t>proj</w:t>
      </w:r>
      <w:r w:rsidRPr="00C47725">
        <w:rPr>
          <w:rFonts w:cs="Arial"/>
          <w:caps/>
          <w:lang w:val="de-DE"/>
        </w:rPr>
        <w:t>.3)</w:t>
      </w:r>
      <w:r w:rsidRPr="00C47725">
        <w:rPr>
          <w:rFonts w:cs="Arial"/>
          <w:snapToGrid w:val="0"/>
          <w:lang w:val="de-DE"/>
        </w:rPr>
        <w:t xml:space="preserve"> und gab die in der nachstehenden Tabelle aufgeführten Empfehlungen ab:</w:t>
      </w:r>
    </w:p>
    <w:p w:rsidR="002D20DB" w:rsidRPr="00C47725" w:rsidRDefault="002D20DB" w:rsidP="002D20DB">
      <w:pPr>
        <w:keepNext/>
        <w:rPr>
          <w:rFonts w:eastAsia="Arial" w:cs="Arial"/>
          <w:color w:val="000000"/>
          <w:u w:val="single"/>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0E6F70" w:rsidTr="002B5125">
        <w:trPr>
          <w:cantSplit/>
        </w:trPr>
        <w:tc>
          <w:tcPr>
            <w:tcW w:w="1573" w:type="dxa"/>
          </w:tcPr>
          <w:p w:rsidR="002D20DB" w:rsidRPr="00C47725" w:rsidRDefault="002D20DB" w:rsidP="002B5125">
            <w:pPr>
              <w:keepNext/>
              <w:jc w:val="left"/>
              <w:rPr>
                <w:rFonts w:cs="Arial"/>
                <w:lang w:val="de-DE"/>
              </w:rPr>
            </w:pPr>
            <w:r w:rsidRPr="00C47725">
              <w:rPr>
                <w:rFonts w:cs="Arial"/>
                <w:lang w:val="de-DE"/>
              </w:rPr>
              <w:t>3.1.2</w:t>
            </w:r>
          </w:p>
        </w:tc>
        <w:tc>
          <w:tcPr>
            <w:tcW w:w="8208" w:type="dxa"/>
          </w:tcPr>
          <w:p w:rsidR="002D20DB" w:rsidRPr="00C47725" w:rsidRDefault="002D20DB" w:rsidP="002B5125">
            <w:pPr>
              <w:keepNext/>
              <w:rPr>
                <w:rFonts w:eastAsia="Arial" w:cs="Arial"/>
                <w:color w:val="000000"/>
                <w:highlight w:val="cyan"/>
                <w:lang w:val="de-DE"/>
              </w:rPr>
            </w:pPr>
            <w:r w:rsidRPr="00C47725">
              <w:rPr>
                <w:rFonts w:eastAsia="Arial" w:cs="Arial"/>
                <w:color w:val="000000"/>
                <w:lang w:val="de-DE"/>
              </w:rPr>
              <w:t>streichen (nur für mehrjährige Pflanze</w:t>
            </w:r>
            <w:r>
              <w:rPr>
                <w:rFonts w:eastAsia="Arial" w:cs="Arial"/>
                <w:color w:val="000000"/>
                <w:lang w:val="de-DE"/>
              </w:rPr>
              <w:t>n</w:t>
            </w:r>
            <w:r w:rsidRPr="00C47725">
              <w:rPr>
                <w:rFonts w:eastAsia="Arial" w:cs="Arial"/>
                <w:color w:val="000000"/>
                <w:lang w:val="de-DE"/>
              </w:rPr>
              <w:t xml:space="preserve"> geeignet)</w:t>
            </w:r>
          </w:p>
        </w:tc>
      </w:tr>
      <w:tr w:rsidR="002D20DB" w:rsidRPr="000E6F70" w:rsidTr="002B5125">
        <w:trPr>
          <w:cantSplit/>
        </w:trPr>
        <w:tc>
          <w:tcPr>
            <w:tcW w:w="1573" w:type="dxa"/>
          </w:tcPr>
          <w:p w:rsidR="002D20DB" w:rsidRPr="00C47725" w:rsidRDefault="002D20DB" w:rsidP="002B5125">
            <w:pPr>
              <w:keepNext/>
              <w:jc w:val="left"/>
              <w:rPr>
                <w:rFonts w:cs="Arial"/>
                <w:lang w:val="de-DE"/>
              </w:rPr>
            </w:pPr>
            <w:r w:rsidRPr="00C47725">
              <w:rPr>
                <w:rFonts w:cs="Arial"/>
                <w:lang w:val="de-DE"/>
              </w:rPr>
              <w:t>Tabelle de</w:t>
            </w:r>
            <w:r>
              <w:rPr>
                <w:rFonts w:cs="Arial"/>
                <w:lang w:val="de-DE"/>
              </w:rPr>
              <w:t>r</w:t>
            </w:r>
            <w:r w:rsidRPr="00C47725">
              <w:rPr>
                <w:rFonts w:cs="Arial"/>
                <w:lang w:val="de-DE"/>
              </w:rPr>
              <w:t xml:space="preserve"> Merkmal</w:t>
            </w:r>
            <w:r>
              <w:rPr>
                <w:rFonts w:cs="Arial"/>
                <w:lang w:val="de-DE"/>
              </w:rPr>
              <w:t>e</w:t>
            </w:r>
          </w:p>
        </w:tc>
        <w:tc>
          <w:tcPr>
            <w:tcW w:w="8208" w:type="dxa"/>
          </w:tcPr>
          <w:p w:rsidR="002D20DB" w:rsidRPr="00C47725" w:rsidRDefault="002D20DB" w:rsidP="002B5125">
            <w:pPr>
              <w:keepNext/>
              <w:rPr>
                <w:rFonts w:cs="Arial"/>
                <w:lang w:val="de-DE"/>
              </w:rPr>
            </w:pPr>
            <w:r w:rsidRPr="00C47725">
              <w:rPr>
                <w:rFonts w:eastAsia="Arial" w:cs="Arial"/>
                <w:color w:val="000000"/>
                <w:lang w:val="de-DE"/>
              </w:rPr>
              <w:t>maßgebliche Merkmale sollten lauten</w:t>
            </w:r>
            <w:r>
              <w:rPr>
                <w:rFonts w:eastAsia="Arial" w:cs="Arial"/>
                <w:color w:val="000000"/>
                <w:lang w:val="de-DE"/>
              </w:rPr>
              <w:t xml:space="preserve"> „</w:t>
            </w:r>
            <w:r w:rsidRPr="00C47725">
              <w:rPr>
                <w:rFonts w:eastAsia="Arial" w:cs="Arial"/>
                <w:color w:val="000000"/>
                <w:u w:val="single"/>
                <w:lang w:val="de-DE"/>
              </w:rPr>
              <w:t xml:space="preserve">Nur Sorten mit </w:t>
            </w:r>
            <w:r>
              <w:rPr>
                <w:rFonts w:eastAsia="Arial" w:cs="Arial"/>
                <w:color w:val="000000"/>
                <w:u w:val="single"/>
                <w:lang w:val="de-DE"/>
              </w:rPr>
              <w:t>Knollenbildung</w:t>
            </w:r>
            <w:r w:rsidRPr="00C47725">
              <w:rPr>
                <w:rFonts w:eastAsia="Arial" w:cs="Arial"/>
                <w:color w:val="000000"/>
                <w:u w:val="single"/>
                <w:lang w:val="de-DE"/>
              </w:rPr>
              <w:t xml:space="preserve">: </w:t>
            </w:r>
            <w:r>
              <w:rPr>
                <w:rFonts w:eastAsia="Arial" w:cs="Arial"/>
                <w:color w:val="000000"/>
                <w:u w:val="single"/>
                <w:lang w:val="de-DE"/>
              </w:rPr>
              <w:t>fehlend</w:t>
            </w:r>
            <w:r w:rsidRPr="00C47725">
              <w:rPr>
                <w:rFonts w:eastAsia="Arial" w:cs="Arial"/>
                <w:color w:val="000000"/>
                <w:u w:val="single"/>
                <w:lang w:val="de-DE"/>
              </w:rPr>
              <w:t>:</w:t>
            </w:r>
            <w:r>
              <w:rPr>
                <w:rFonts w:eastAsia="Arial" w:cs="Arial"/>
                <w:color w:val="000000"/>
                <w:u w:val="single"/>
                <w:lang w:val="de-DE"/>
              </w:rPr>
              <w:t>“</w:t>
            </w:r>
            <w:r w:rsidRPr="00C47725">
              <w:rPr>
                <w:rFonts w:eastAsia="Arial" w:cs="Arial"/>
                <w:color w:val="000000"/>
                <w:u w:val="single"/>
                <w:lang w:val="de-DE"/>
              </w:rPr>
              <w:t xml:space="preserve"> oder</w:t>
            </w:r>
            <w:r>
              <w:rPr>
                <w:rFonts w:eastAsia="Arial" w:cs="Arial"/>
                <w:color w:val="000000"/>
                <w:u w:val="single"/>
                <w:lang w:val="de-DE"/>
              </w:rPr>
              <w:t xml:space="preserve"> „</w:t>
            </w:r>
            <w:r w:rsidRPr="00C47725">
              <w:rPr>
                <w:rFonts w:eastAsia="Arial" w:cs="Arial"/>
                <w:color w:val="000000"/>
                <w:u w:val="single"/>
                <w:lang w:val="de-DE"/>
              </w:rPr>
              <w:t xml:space="preserve">Nur Sorten mit </w:t>
            </w:r>
            <w:r>
              <w:rPr>
                <w:rFonts w:eastAsia="Arial" w:cs="Arial"/>
                <w:color w:val="000000"/>
                <w:u w:val="single"/>
                <w:lang w:val="de-DE"/>
              </w:rPr>
              <w:t>Knollenbildung</w:t>
            </w:r>
            <w:r w:rsidRPr="00C47725">
              <w:rPr>
                <w:rFonts w:eastAsia="Arial" w:cs="Arial"/>
                <w:color w:val="000000"/>
                <w:u w:val="single"/>
                <w:lang w:val="de-DE"/>
              </w:rPr>
              <w:t>: vorhanden:</w:t>
            </w:r>
            <w:r>
              <w:rPr>
                <w:rFonts w:eastAsia="Arial" w:cs="Arial"/>
                <w:color w:val="000000"/>
                <w:lang w:val="de-DE"/>
              </w:rPr>
              <w:t>“</w:t>
            </w:r>
          </w:p>
        </w:tc>
      </w:tr>
      <w:tr w:rsidR="002D20DB" w:rsidRPr="00C47725" w:rsidTr="002B5125">
        <w:trPr>
          <w:cantSplit/>
        </w:trPr>
        <w:tc>
          <w:tcPr>
            <w:tcW w:w="1573" w:type="dxa"/>
          </w:tcPr>
          <w:p w:rsidR="002D20DB" w:rsidRPr="00C47725" w:rsidRDefault="002D20DB" w:rsidP="002B5125">
            <w:pPr>
              <w:keepNext/>
              <w:rPr>
                <w:rFonts w:eastAsia="Arial" w:cs="Arial"/>
                <w:color w:val="000000"/>
                <w:lang w:val="de-DE"/>
              </w:rPr>
            </w:pPr>
            <w:r w:rsidRPr="00C47725">
              <w:rPr>
                <w:rFonts w:eastAsia="Arial" w:cs="Arial"/>
                <w:color w:val="000000"/>
                <w:lang w:val="de-DE"/>
              </w:rPr>
              <w:t>Merkmal 3</w:t>
            </w:r>
          </w:p>
        </w:tc>
        <w:tc>
          <w:tcPr>
            <w:tcW w:w="8208" w:type="dxa"/>
          </w:tcPr>
          <w:p w:rsidR="002D20DB" w:rsidRPr="00C47725" w:rsidRDefault="002D20DB" w:rsidP="002B5125">
            <w:pPr>
              <w:keepNext/>
              <w:rPr>
                <w:rFonts w:eastAsia="Arial" w:cs="Arial"/>
                <w:color w:val="000000"/>
                <w:lang w:val="de-DE"/>
              </w:rPr>
            </w:pPr>
            <w:r>
              <w:rPr>
                <w:rFonts w:eastAsia="Arial" w:cs="Arial"/>
                <w:color w:val="000000"/>
                <w:lang w:val="de-DE"/>
              </w:rPr>
              <w:t>(</w:t>
            </w:r>
            <w:r w:rsidRPr="00C47725">
              <w:rPr>
                <w:rFonts w:eastAsia="Arial" w:cs="Arial"/>
                <w:color w:val="000000"/>
                <w:lang w:val="de-DE"/>
              </w:rPr>
              <w:t>+) streichen</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lang w:val="de-DE"/>
              </w:rPr>
              <w:t>Merkmal 6</w:t>
            </w:r>
          </w:p>
        </w:tc>
        <w:tc>
          <w:tcPr>
            <w:tcW w:w="8208" w:type="dxa"/>
          </w:tcPr>
          <w:p w:rsidR="002D20DB" w:rsidRPr="00C47725" w:rsidRDefault="002D20DB" w:rsidP="002B5125">
            <w:pPr>
              <w:keepNext/>
              <w:rPr>
                <w:rFonts w:cs="Arial"/>
                <w:lang w:val="de-DE"/>
              </w:rPr>
            </w:pPr>
            <w:r w:rsidRPr="00C47725">
              <w:rPr>
                <w:rFonts w:eastAsia="Arial" w:cs="Arial"/>
                <w:color w:val="000000"/>
                <w:lang w:val="de-DE"/>
              </w:rPr>
              <w:t>sollte lauten</w:t>
            </w:r>
            <w:r>
              <w:rPr>
                <w:rFonts w:eastAsia="Arial" w:cs="Arial"/>
                <w:color w:val="000000"/>
                <w:lang w:val="de-DE"/>
              </w:rPr>
              <w:t xml:space="preserve"> „</w:t>
            </w:r>
            <w:r w:rsidRPr="00C47725">
              <w:rPr>
                <w:rFonts w:eastAsia="Arial" w:cs="Arial"/>
                <w:color w:val="000000"/>
                <w:u w:val="single"/>
                <w:lang w:val="de-DE"/>
              </w:rPr>
              <w:t>Nur Sorten mit Laubfarbe: grün</w:t>
            </w:r>
            <w:r w:rsidRPr="00C47725">
              <w:rPr>
                <w:rFonts w:eastAsia="Arial" w:cs="Arial"/>
                <w:color w:val="000000"/>
                <w:lang w:val="de-DE"/>
              </w:rPr>
              <w:t>: …</w:t>
            </w:r>
            <w:r>
              <w:rPr>
                <w:rFonts w:eastAsia="Arial" w:cs="Arial"/>
                <w:color w:val="000000"/>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Merkmal 16</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eastAsia="Arial" w:cs="Arial"/>
                <w:color w:val="000000"/>
                <w:lang w:val="de-DE"/>
              </w:rPr>
            </w:pPr>
            <w:r w:rsidRPr="00C47725">
              <w:rPr>
                <w:rFonts w:eastAsia="Arial" w:cs="Arial"/>
                <w:color w:val="000000"/>
                <w:lang w:val="de-DE"/>
              </w:rPr>
              <w:t>Stufe 3 sollte lauten</w:t>
            </w:r>
            <w:r>
              <w:rPr>
                <w:rFonts w:eastAsia="Arial" w:cs="Arial"/>
                <w:color w:val="000000"/>
                <w:lang w:val="de-DE"/>
              </w:rPr>
              <w:t xml:space="preserve"> „</w:t>
            </w:r>
            <w:r w:rsidRPr="00C47725">
              <w:rPr>
                <w:rFonts w:eastAsia="Arial" w:cs="Arial"/>
                <w:color w:val="000000"/>
                <w:lang w:val="de-DE"/>
              </w:rPr>
              <w:t>schmal elliptisch</w:t>
            </w:r>
            <w:r>
              <w:rPr>
                <w:rFonts w:eastAsia="Arial" w:cs="Arial"/>
                <w:color w:val="000000"/>
                <w:lang w:val="de-DE"/>
              </w:rPr>
              <w:t>“</w:t>
            </w:r>
            <w:r w:rsidRPr="00C47725">
              <w:rPr>
                <w:rFonts w:eastAsia="Arial" w:cs="Arial"/>
                <w:color w:val="000000"/>
                <w:lang w:val="de-DE"/>
              </w:rPr>
              <w:t xml:space="preserve"> </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Merkmal 19</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eastAsia="Arial" w:cs="Arial"/>
                <w:color w:val="000000"/>
                <w:lang w:val="de-DE"/>
              </w:rPr>
            </w:pPr>
            <w:r w:rsidRPr="00C47725">
              <w:rPr>
                <w:rFonts w:eastAsia="Arial" w:cs="Arial"/>
                <w:color w:val="000000"/>
                <w:lang w:val="de-DE"/>
              </w:rPr>
              <w:t>sollte lauten</w:t>
            </w:r>
            <w:r>
              <w:rPr>
                <w:rFonts w:eastAsia="Arial" w:cs="Arial"/>
                <w:color w:val="000000"/>
                <w:lang w:val="de-DE"/>
              </w:rPr>
              <w:t xml:space="preserve"> „</w:t>
            </w:r>
            <w:r w:rsidRPr="00C47725">
              <w:rPr>
                <w:rFonts w:eastAsia="Arial" w:cs="Arial"/>
                <w:color w:val="000000"/>
                <w:lang w:val="de-DE"/>
              </w:rPr>
              <w:t>... Deckblatt: überlappend</w:t>
            </w:r>
            <w:r>
              <w:rPr>
                <w:rFonts w:eastAsia="Arial" w:cs="Arial"/>
                <w:color w:val="000000"/>
                <w:lang w:val="de-DE"/>
              </w:rPr>
              <w:t>“</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Merkmal 20</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eastAsia="Arial" w:cs="Arial"/>
                <w:color w:val="000000"/>
                <w:lang w:val="de-DE"/>
              </w:rPr>
            </w:pPr>
            <w:r w:rsidRPr="00C47725">
              <w:rPr>
                <w:rFonts w:eastAsia="Arial" w:cs="Arial"/>
                <w:color w:val="000000"/>
                <w:lang w:val="de-DE"/>
              </w:rPr>
              <w:t>folgende Erläuterung hinzufügen</w:t>
            </w:r>
            <w:r>
              <w:rPr>
                <w:rFonts w:eastAsia="Arial" w:cs="Arial"/>
                <w:color w:val="000000"/>
                <w:lang w:val="de-DE"/>
              </w:rPr>
              <w:t xml:space="preserve"> „</w:t>
            </w:r>
            <w:r w:rsidRPr="00C47725">
              <w:rPr>
                <w:rFonts w:eastAsia="Arial" w:cs="Arial"/>
                <w:color w:val="000000"/>
                <w:lang w:val="de-DE"/>
              </w:rPr>
              <w:t>Erfassungen sollten in einer speziellen Schossenprüfung erfolgen, in der ein Blütenstengel gebildet wird. Die Pflanzen sollten kalter Temperatur ausgesetzt werden, um mit dem Schossen zu beginnen. Es kann eine zusätzliche Prüfung unter Frühkulturbedingungen eingerichtet werden.</w:t>
            </w:r>
            <w:r>
              <w:rPr>
                <w:rFonts w:eastAsia="Arial" w:cs="Arial"/>
                <w:color w:val="000000"/>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Merkmal 22</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eastAsia="Arial" w:cs="Arial"/>
                <w:color w:val="000000"/>
                <w:lang w:val="de-DE"/>
              </w:rPr>
            </w:pPr>
            <w:r w:rsidRPr="00C47725">
              <w:rPr>
                <w:rFonts w:eastAsia="Arial" w:cs="Arial"/>
                <w:color w:val="000000"/>
                <w:lang w:val="de-DE"/>
              </w:rPr>
              <w:t>folgende Erläuterung hinzufügen</w:t>
            </w:r>
            <w:r>
              <w:rPr>
                <w:rFonts w:eastAsia="Arial" w:cs="Arial"/>
                <w:color w:val="000000"/>
                <w:lang w:val="de-DE"/>
              </w:rPr>
              <w:t xml:space="preserve"> „</w:t>
            </w:r>
            <w:r w:rsidRPr="00C47725">
              <w:rPr>
                <w:rFonts w:eastAsia="Arial" w:cs="Arial"/>
                <w:color w:val="000000"/>
                <w:lang w:val="de-DE"/>
              </w:rPr>
              <w:t>Der Zeitpunkt des Blü</w:t>
            </w:r>
            <w:r>
              <w:rPr>
                <w:rFonts w:eastAsia="Arial" w:cs="Arial"/>
                <w:color w:val="000000"/>
                <w:lang w:val="de-DE"/>
              </w:rPr>
              <w:t>h</w:t>
            </w:r>
            <w:r w:rsidRPr="00C47725">
              <w:rPr>
                <w:rFonts w:eastAsia="Arial" w:cs="Arial"/>
                <w:color w:val="000000"/>
                <w:lang w:val="de-DE"/>
              </w:rPr>
              <w:t>beginns ist erreicht, wenn die erste Dolde bei 50 % der Pflanzen mit der Blüte beginnt.</w:t>
            </w:r>
            <w:r>
              <w:rPr>
                <w:rFonts w:eastAsia="Arial" w:cs="Arial"/>
                <w:color w:val="000000"/>
                <w:lang w:val="de-DE"/>
              </w:rPr>
              <w:t>“</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Zu 3</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eastAsia="Arial" w:cs="Arial"/>
                <w:color w:val="000000"/>
                <w:lang w:val="de-DE"/>
              </w:rPr>
            </w:pPr>
            <w:r w:rsidRPr="00C47725">
              <w:rPr>
                <w:rFonts w:eastAsia="Arial" w:cs="Arial"/>
                <w:color w:val="000000"/>
                <w:lang w:val="de-DE"/>
              </w:rPr>
              <w:t>streichen</w:t>
            </w:r>
            <w:r>
              <w:rPr>
                <w:rFonts w:eastAsia="Arial" w:cs="Arial"/>
                <w:color w:val="000000"/>
                <w:lang w:val="de-DE"/>
              </w:rPr>
              <w:t xml:space="preserve"> </w:t>
            </w:r>
            <w:r w:rsidRPr="00C47725">
              <w:rPr>
                <w:rFonts w:eastAsia="Arial" w:cs="Arial"/>
                <w:color w:val="000000"/>
                <w:lang w:val="de-DE"/>
              </w:rPr>
              <w:t xml:space="preserve">(vergleiche </w:t>
            </w:r>
            <w:r>
              <w:rPr>
                <w:rFonts w:eastAsia="Arial" w:cs="Arial"/>
                <w:color w:val="000000"/>
                <w:lang w:val="de-DE"/>
              </w:rPr>
              <w:t>(</w:t>
            </w:r>
            <w:r w:rsidRPr="00C47725">
              <w:rPr>
                <w:rFonts w:eastAsia="Arial" w:cs="Arial"/>
                <w:color w:val="000000"/>
                <w:lang w:val="de-DE"/>
              </w:rPr>
              <w:t>a)</w:t>
            </w:r>
            <w:r>
              <w:rPr>
                <w:rFonts w:eastAsia="Arial" w:cs="Arial"/>
                <w:color w:val="000000"/>
                <w:lang w:val="de-DE"/>
              </w:rPr>
              <w:t>)</w:t>
            </w:r>
            <w:r w:rsidRPr="00C47725">
              <w:rPr>
                <w:rFonts w:eastAsia="Arial" w:cs="Arial"/>
                <w:color w:val="000000"/>
                <w:lang w:val="de-DE"/>
              </w:rPr>
              <w:t xml:space="preserve"> </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Zu 10</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eastAsia="Arial" w:cs="Arial"/>
                <w:color w:val="000000"/>
                <w:lang w:val="de-DE"/>
              </w:rPr>
            </w:pPr>
            <w:r w:rsidRPr="00C47725">
              <w:rPr>
                <w:rFonts w:eastAsia="Arial" w:cs="Arial"/>
                <w:color w:val="000000"/>
                <w:lang w:val="de-DE"/>
              </w:rPr>
              <w:t>streichen</w:t>
            </w:r>
          </w:p>
        </w:tc>
      </w:tr>
    </w:tbl>
    <w:p w:rsidR="002D20DB" w:rsidRPr="00C47725" w:rsidRDefault="002D20DB" w:rsidP="002D20DB">
      <w:pPr>
        <w:rPr>
          <w:rFonts w:eastAsia="Arial" w:cs="Arial"/>
          <w:color w:val="000000"/>
          <w:u w:val="single"/>
          <w:lang w:val="de-DE"/>
        </w:rPr>
      </w:pPr>
    </w:p>
    <w:p w:rsidR="002D20DB" w:rsidRPr="00C47725" w:rsidRDefault="002D20DB" w:rsidP="002D20DB">
      <w:pPr>
        <w:rPr>
          <w:rFonts w:eastAsia="Arial" w:cs="Arial"/>
          <w:color w:val="000000"/>
          <w:u w:val="single"/>
          <w:lang w:val="de-D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89"/>
        <w:gridCol w:w="2757"/>
        <w:gridCol w:w="2807"/>
        <w:gridCol w:w="736"/>
        <w:gridCol w:w="993"/>
      </w:tblGrid>
      <w:tr w:rsidR="002D20DB" w:rsidRPr="00C47725" w:rsidTr="002B5125">
        <w:trPr>
          <w:cantSplit/>
          <w:trHeight w:val="277"/>
          <w:jc w:val="center"/>
        </w:trPr>
        <w:tc>
          <w:tcPr>
            <w:tcW w:w="2689" w:type="dxa"/>
            <w:vMerge w:val="restart"/>
            <w:shd w:val="clear" w:color="auto" w:fill="D9D9D9"/>
            <w:vAlign w:val="center"/>
          </w:tcPr>
          <w:p w:rsidR="002D20DB" w:rsidRPr="004F1DFE" w:rsidRDefault="002D20DB" w:rsidP="000B19B7">
            <w:pPr>
              <w:pStyle w:val="TitleofDoc"/>
              <w:keepNext/>
              <w:tabs>
                <w:tab w:val="left" w:pos="5245"/>
                <w:tab w:val="left" w:pos="7008"/>
              </w:tabs>
              <w:spacing w:before="0"/>
              <w:jc w:val="left"/>
              <w:rPr>
                <w:rFonts w:cs="Arial"/>
                <w:caps w:val="0"/>
                <w:lang w:val="es-ES_tradnl"/>
              </w:rPr>
            </w:pPr>
            <w:r w:rsidRPr="004F1DFE">
              <w:rPr>
                <w:rFonts w:cs="Arial"/>
                <w:caps w:val="0"/>
                <w:lang w:val="es-ES_tradnl"/>
              </w:rPr>
              <w:t xml:space="preserve">Portulak </w:t>
            </w:r>
            <w:r w:rsidRPr="004F1DFE">
              <w:rPr>
                <w:rFonts w:cs="Arial"/>
                <w:caps w:val="0"/>
                <w:lang w:val="es-ES_tradnl"/>
              </w:rPr>
              <w:br/>
              <w:t>(</w:t>
            </w:r>
            <w:r w:rsidRPr="004F1DFE">
              <w:rPr>
                <w:rFonts w:cs="Arial"/>
                <w:i/>
                <w:caps w:val="0"/>
                <w:lang w:val="es-ES_tradnl"/>
              </w:rPr>
              <w:t>Portulaca grandiflora</w:t>
            </w:r>
            <w:r w:rsidRPr="004F1DFE">
              <w:rPr>
                <w:rFonts w:cs="Arial"/>
                <w:caps w:val="0"/>
                <w:lang w:val="es-ES_tradnl"/>
              </w:rPr>
              <w:t xml:space="preserve"> Hook.; </w:t>
            </w:r>
            <w:r w:rsidRPr="004F1DFE">
              <w:rPr>
                <w:rFonts w:cs="Arial"/>
                <w:i/>
                <w:caps w:val="0"/>
                <w:lang w:val="es-ES_tradnl"/>
              </w:rPr>
              <w:t>Portulaca oleracea</w:t>
            </w:r>
            <w:r w:rsidRPr="004F1DFE">
              <w:rPr>
                <w:rFonts w:cs="Arial"/>
                <w:caps w:val="0"/>
                <w:lang w:val="es-ES_tradnl"/>
              </w:rPr>
              <w:t xml:space="preserve"> L.; </w:t>
            </w:r>
            <w:r w:rsidRPr="004F1DFE">
              <w:rPr>
                <w:rFonts w:cs="Arial"/>
                <w:i/>
                <w:caps w:val="0"/>
                <w:lang w:val="es-ES_tradnl"/>
              </w:rPr>
              <w:t>Portulaca umbraticola</w:t>
            </w:r>
            <w:r w:rsidRPr="004F1DFE">
              <w:rPr>
                <w:rFonts w:cs="Arial"/>
                <w:caps w:val="0"/>
                <w:lang w:val="es-ES_tradnl"/>
              </w:rPr>
              <w:t xml:space="preserve"> Kunth)</w:t>
            </w:r>
          </w:p>
        </w:tc>
        <w:tc>
          <w:tcPr>
            <w:tcW w:w="2757" w:type="dxa"/>
            <w:shd w:val="clear" w:color="auto" w:fill="D9D9D9"/>
            <w:vAlign w:val="center"/>
          </w:tcPr>
          <w:p w:rsidR="002D20DB" w:rsidRPr="00C47725" w:rsidRDefault="002D20DB" w:rsidP="000B19B7">
            <w:pPr>
              <w:pStyle w:val="TitleofDoc"/>
              <w:keepNext/>
              <w:tabs>
                <w:tab w:val="left" w:pos="5245"/>
                <w:tab w:val="left" w:pos="7008"/>
              </w:tabs>
              <w:spacing w:before="0"/>
              <w:jc w:val="left"/>
              <w:rPr>
                <w:rFonts w:cs="Arial"/>
                <w:caps w:val="0"/>
                <w:lang w:val="de-DE"/>
              </w:rPr>
            </w:pPr>
            <w:r w:rsidRPr="00C47725">
              <w:rPr>
                <w:rFonts w:cs="Arial"/>
                <w:caps w:val="0"/>
                <w:lang w:val="de-DE"/>
              </w:rPr>
              <w:t>TG/242/4(proj.2)</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lang w:val="de-DE"/>
              </w:rPr>
              <w:t>Frau Andrea Menne (DE)</w:t>
            </w:r>
          </w:p>
        </w:tc>
        <w:tc>
          <w:tcPr>
            <w:tcW w:w="736" w:type="dxa"/>
            <w:vMerge w:val="restart"/>
            <w:shd w:val="clear" w:color="auto" w:fill="D9D9D9"/>
            <w:vAlign w:val="center"/>
          </w:tcPr>
          <w:p w:rsidR="002D20DB" w:rsidRPr="00C47725" w:rsidRDefault="002D20DB" w:rsidP="002B5125">
            <w:pPr>
              <w:keepNext/>
              <w:jc w:val="left"/>
              <w:rPr>
                <w:rFonts w:cs="Arial"/>
                <w:iCs/>
                <w:lang w:val="de-DE"/>
              </w:rPr>
            </w:pPr>
            <w:r w:rsidRPr="00C47725">
              <w:rPr>
                <w:rFonts w:cs="Arial"/>
                <w:iCs/>
                <w:lang w:val="de-DE"/>
              </w:rPr>
              <w:t>TWO</w:t>
            </w:r>
          </w:p>
        </w:tc>
        <w:tc>
          <w:tcPr>
            <w:tcW w:w="993" w:type="dxa"/>
            <w:vMerge w:val="restart"/>
            <w:shd w:val="clear" w:color="auto" w:fill="D9D9D9"/>
            <w:vAlign w:val="center"/>
          </w:tcPr>
          <w:p w:rsidR="002D20DB" w:rsidRPr="00C47725" w:rsidRDefault="002D20DB" w:rsidP="002B5125">
            <w:pPr>
              <w:pStyle w:val="BodyText"/>
              <w:keepNext/>
              <w:jc w:val="left"/>
              <w:rPr>
                <w:rFonts w:cs="Arial"/>
                <w:iCs/>
                <w:snapToGrid w:val="0"/>
                <w:lang w:val="de-DE"/>
              </w:rPr>
            </w:pPr>
          </w:p>
        </w:tc>
      </w:tr>
      <w:tr w:rsidR="002D20DB" w:rsidRPr="000E6F70" w:rsidTr="002B5125">
        <w:trPr>
          <w:cantSplit/>
          <w:trHeight w:hRule="exact" w:val="1103"/>
          <w:jc w:val="center"/>
        </w:trPr>
        <w:tc>
          <w:tcPr>
            <w:tcW w:w="2689" w:type="dxa"/>
            <w:vMerge/>
            <w:shd w:val="clear" w:color="auto" w:fill="D9D9D9"/>
            <w:vAlign w:val="center"/>
          </w:tcPr>
          <w:p w:rsidR="002D20DB" w:rsidRPr="00C47725" w:rsidRDefault="002D20DB" w:rsidP="002B5125">
            <w:pPr>
              <w:pStyle w:val="TitleofDoc"/>
              <w:keepNext/>
              <w:tabs>
                <w:tab w:val="left" w:pos="5245"/>
                <w:tab w:val="left" w:pos="7008"/>
              </w:tabs>
              <w:jc w:val="left"/>
              <w:rPr>
                <w:rFonts w:cs="Arial"/>
                <w:caps w:val="0"/>
                <w:lang w:val="de-DE"/>
              </w:rPr>
            </w:pPr>
          </w:p>
        </w:tc>
        <w:tc>
          <w:tcPr>
            <w:tcW w:w="2757" w:type="dxa"/>
            <w:shd w:val="clear" w:color="auto" w:fill="D9D9D9"/>
            <w:vAlign w:val="center"/>
          </w:tcPr>
          <w:p w:rsidR="002D20DB" w:rsidRPr="00C47725" w:rsidRDefault="002D20DB" w:rsidP="002B5125">
            <w:pPr>
              <w:pStyle w:val="BodyText"/>
              <w:keepNext/>
              <w:jc w:val="left"/>
              <w:rPr>
                <w:rFonts w:cs="Arial"/>
                <w:color w:val="000000"/>
                <w:lang w:val="de-DE"/>
              </w:rPr>
            </w:pPr>
            <w:r>
              <w:rPr>
                <w:rFonts w:cs="Arial"/>
                <w:color w:val="000000"/>
                <w:lang w:val="de-DE"/>
              </w:rPr>
              <w:t>Anzahl von Merkmalen</w:t>
            </w:r>
            <w:r w:rsidRPr="00C47725">
              <w:rPr>
                <w:rFonts w:cs="Arial"/>
                <w:color w:val="000000"/>
                <w:lang w:val="de-DE"/>
              </w:rPr>
              <w:t>: 25</w:t>
            </w:r>
            <w:r w:rsidRPr="00C47725">
              <w:rPr>
                <w:rFonts w:cs="Arial"/>
                <w:color w:val="000000"/>
                <w:lang w:val="de-DE"/>
              </w:rPr>
              <w:br/>
            </w:r>
            <w:r>
              <w:rPr>
                <w:rFonts w:cs="Arial"/>
                <w:color w:val="000000"/>
                <w:lang w:val="de-DE"/>
              </w:rPr>
              <w:t>Anzahl</w:t>
            </w:r>
            <w:r w:rsidRPr="00C47725">
              <w:rPr>
                <w:rFonts w:cs="Arial"/>
                <w:color w:val="000000"/>
                <w:lang w:val="de-DE"/>
              </w:rPr>
              <w:t xml:space="preserve"> von </w:t>
            </w:r>
            <w:r>
              <w:rPr>
                <w:rFonts w:cs="Arial"/>
                <w:color w:val="000000"/>
                <w:lang w:val="de-DE"/>
              </w:rPr>
              <w:t>(*)</w:t>
            </w:r>
            <w:r w:rsidRPr="00C47725">
              <w:rPr>
                <w:rFonts w:cs="Arial"/>
                <w:color w:val="000000"/>
                <w:lang w:val="de-DE"/>
              </w:rPr>
              <w:t xml:space="preserve"> Merkmal</w:t>
            </w:r>
            <w:r>
              <w:rPr>
                <w:rFonts w:cs="Arial"/>
                <w:color w:val="000000"/>
                <w:lang w:val="de-DE"/>
              </w:rPr>
              <w:t>en</w:t>
            </w:r>
            <w:r w:rsidRPr="00C47725">
              <w:rPr>
                <w:rFonts w:cs="Arial"/>
                <w:color w:val="000000"/>
                <w:lang w:val="de-DE"/>
              </w:rPr>
              <w:t>: 14</w:t>
            </w:r>
          </w:p>
        </w:tc>
        <w:tc>
          <w:tcPr>
            <w:tcW w:w="2807" w:type="dxa"/>
            <w:shd w:val="clear" w:color="auto" w:fill="D9D9D9"/>
            <w:vAlign w:val="center"/>
          </w:tcPr>
          <w:p w:rsidR="002D20DB" w:rsidRPr="00C47725" w:rsidRDefault="002D20DB" w:rsidP="002B5125">
            <w:pPr>
              <w:keepNext/>
              <w:jc w:val="left"/>
              <w:rPr>
                <w:rFonts w:cs="Arial"/>
                <w:iCs/>
                <w:snapToGrid w:val="0"/>
                <w:color w:val="000000"/>
                <w:lang w:val="de-DE"/>
              </w:rPr>
            </w:pPr>
            <w:r w:rsidRPr="00C47725">
              <w:rPr>
                <w:rFonts w:cs="Arial"/>
                <w:iCs/>
                <w:snapToGrid w:val="0"/>
                <w:color w:val="000000"/>
                <w:lang w:val="de-DE"/>
              </w:rPr>
              <w:t xml:space="preserve">(Beteiligte Sachverständige: </w:t>
            </w:r>
            <w:r w:rsidRPr="00C47725">
              <w:rPr>
                <w:rFonts w:cs="Arial"/>
                <w:lang w:val="de-DE"/>
              </w:rPr>
              <w:t>JP, MX, NL, QZ</w:t>
            </w:r>
            <w:r w:rsidRPr="00C47725">
              <w:rPr>
                <w:rFonts w:eastAsia="SimSun" w:cs="Arial"/>
                <w:lang w:val="de-DE" w:eastAsia="zh-CN"/>
              </w:rPr>
              <w:t>)</w:t>
            </w:r>
          </w:p>
        </w:tc>
        <w:tc>
          <w:tcPr>
            <w:tcW w:w="736" w:type="dxa"/>
            <w:vMerge/>
            <w:shd w:val="clear" w:color="auto" w:fill="D9D9D9"/>
            <w:vAlign w:val="center"/>
          </w:tcPr>
          <w:p w:rsidR="002D20DB" w:rsidRPr="00C47725" w:rsidRDefault="002D20DB" w:rsidP="002B5125">
            <w:pPr>
              <w:keepNext/>
              <w:jc w:val="left"/>
              <w:rPr>
                <w:rFonts w:cs="Arial"/>
                <w:iCs/>
                <w:lang w:val="de-DE"/>
              </w:rPr>
            </w:pPr>
          </w:p>
        </w:tc>
        <w:tc>
          <w:tcPr>
            <w:tcW w:w="993" w:type="dxa"/>
            <w:vMerge/>
            <w:shd w:val="clear" w:color="auto" w:fill="D9D9D9"/>
            <w:vAlign w:val="center"/>
          </w:tcPr>
          <w:p w:rsidR="002D20DB" w:rsidRPr="00C47725" w:rsidRDefault="002D20DB" w:rsidP="002B5125">
            <w:pPr>
              <w:pStyle w:val="BodyText"/>
              <w:keepNext/>
              <w:jc w:val="left"/>
              <w:rPr>
                <w:rFonts w:cs="Arial"/>
                <w:iCs/>
                <w:snapToGrid w:val="0"/>
                <w:lang w:val="de-DE"/>
              </w:rPr>
            </w:pPr>
          </w:p>
        </w:tc>
      </w:tr>
    </w:tbl>
    <w:p w:rsidR="002D20DB" w:rsidRPr="00C47725" w:rsidRDefault="002D20DB" w:rsidP="002D20DB">
      <w:pPr>
        <w:keepNext/>
        <w:rPr>
          <w:rFonts w:eastAsia="Arial" w:cs="Arial"/>
          <w:color w:val="000000"/>
          <w:u w:val="single"/>
          <w:lang w:val="de-DE"/>
        </w:rPr>
      </w:pPr>
    </w:p>
    <w:p w:rsidR="002D20DB" w:rsidRPr="00C47725" w:rsidRDefault="002D20DB" w:rsidP="002D20DB">
      <w:pPr>
        <w:keepNext/>
        <w:ind w:firstLine="567"/>
        <w:rPr>
          <w:rFonts w:cs="Arial"/>
          <w:snapToGrid w:val="0"/>
          <w:lang w:val="de-DE"/>
        </w:rPr>
      </w:pPr>
      <w:r w:rsidRPr="00C47725">
        <w:rPr>
          <w:rFonts w:cs="Arial"/>
          <w:snapToGrid w:val="0"/>
          <w:lang w:val="de-DE"/>
        </w:rPr>
        <w:t>Der TC-EDC prüfte auf seiner Sitzung im Oktober 2019 in Genf Dokument </w:t>
      </w:r>
      <w:r w:rsidRPr="00C47725">
        <w:rPr>
          <w:rFonts w:cs="Arial"/>
          <w:caps/>
          <w:lang w:val="de-DE"/>
        </w:rPr>
        <w:t>TG/242/4(</w:t>
      </w:r>
      <w:r w:rsidRPr="00C47725">
        <w:rPr>
          <w:rFonts w:cs="Arial"/>
          <w:lang w:val="de-DE"/>
        </w:rPr>
        <w:t>proj</w:t>
      </w:r>
      <w:r w:rsidRPr="00C47725">
        <w:rPr>
          <w:rFonts w:cs="Arial"/>
          <w:caps/>
          <w:lang w:val="de-DE"/>
        </w:rPr>
        <w:t xml:space="preserve">.2) </w:t>
      </w:r>
      <w:r w:rsidRPr="00C47725">
        <w:rPr>
          <w:rFonts w:cs="Arial"/>
          <w:lang w:val="de-DE"/>
        </w:rPr>
        <w:t>und gab die in der nachstehenden Tabelle aufgeführten Empfehlungen ab</w:t>
      </w:r>
      <w:r w:rsidRPr="00C47725">
        <w:rPr>
          <w:rFonts w:cs="Arial"/>
          <w:snapToGrid w:val="0"/>
          <w:lang w:val="de-DE"/>
        </w:rPr>
        <w:t>.</w:t>
      </w:r>
    </w:p>
    <w:p w:rsidR="002D20DB" w:rsidRPr="00C47725" w:rsidRDefault="002D20DB" w:rsidP="002D20DB">
      <w:pPr>
        <w:keepNext/>
        <w:ind w:firstLine="567"/>
        <w:rPr>
          <w:rFonts w:cs="Arial"/>
          <w:lang w:val="de-DE"/>
        </w:rPr>
      </w:pPr>
    </w:p>
    <w:p w:rsidR="002D20DB" w:rsidRPr="00C47725" w:rsidRDefault="002D20DB" w:rsidP="002D20DB">
      <w:pPr>
        <w:keepNext/>
        <w:rPr>
          <w:rFonts w:cs="Arial"/>
          <w:lang w:val="de-DE"/>
        </w:rPr>
      </w:pPr>
      <w:r w:rsidRPr="00C47725">
        <w:rPr>
          <w:rFonts w:cs="Arial"/>
          <w:lang w:val="de-DE"/>
        </w:rPr>
        <w:tab/>
        <w:t xml:space="preserve">Der TC-EDC vereinbarte, dass es redaktionelle Klarstellungen </w:t>
      </w:r>
      <w:r>
        <w:rPr>
          <w:rFonts w:cs="Arial"/>
          <w:lang w:val="de-DE"/>
        </w:rPr>
        <w:t xml:space="preserve">gebe, die </w:t>
      </w:r>
      <w:r w:rsidRPr="00C47725">
        <w:rPr>
          <w:rFonts w:cs="Arial"/>
          <w:lang w:val="de-DE"/>
        </w:rPr>
        <w:t>EDC</w:t>
      </w:r>
      <w:r>
        <w:rPr>
          <w:rFonts w:cs="Arial"/>
          <w:lang w:val="de-DE"/>
        </w:rPr>
        <w:t xml:space="preserve"> erforderten</w:t>
      </w:r>
      <w:r w:rsidRPr="00C47725">
        <w:rPr>
          <w:rFonts w:cs="Arial"/>
          <w:lang w:val="de-DE"/>
        </w:rPr>
        <w:t xml:space="preserve"> (nach</w:t>
      </w:r>
      <w:r>
        <w:rPr>
          <w:rFonts w:cs="Arial"/>
          <w:lang w:val="de-DE"/>
        </w:rPr>
        <w:t>stehend</w:t>
      </w:r>
      <w:r w:rsidRPr="00C47725">
        <w:rPr>
          <w:rFonts w:cs="Arial"/>
          <w:lang w:val="de-DE"/>
        </w:rPr>
        <w:t xml:space="preserve"> mit</w:t>
      </w:r>
      <w:r>
        <w:rPr>
          <w:rFonts w:cs="Arial"/>
          <w:lang w:val="de-DE"/>
        </w:rPr>
        <w:t xml:space="preserve"> „</w:t>
      </w:r>
      <w:r w:rsidRPr="000B19B7">
        <w:rPr>
          <w:rFonts w:cs="Arial"/>
          <w:vertAlign w:val="superscript"/>
          <w:lang w:val="de-DE"/>
        </w:rPr>
        <w:t>#</w:t>
      </w:r>
      <w:r>
        <w:rPr>
          <w:rFonts w:cs="Arial"/>
          <w:lang w:val="de-DE"/>
        </w:rPr>
        <w:t>“</w:t>
      </w:r>
      <w:r w:rsidRPr="00C47725">
        <w:rPr>
          <w:rFonts w:cs="Arial"/>
          <w:lang w:val="de-DE"/>
        </w:rPr>
        <w:t xml:space="preserve"> gekennzeichnet) zu dem </w:t>
      </w:r>
      <w:r>
        <w:rPr>
          <w:rFonts w:cs="Arial"/>
          <w:lang w:val="de-DE"/>
        </w:rPr>
        <w:t>Entwurf von Prüfungsrichtlinien</w:t>
      </w:r>
      <w:r w:rsidRPr="00C47725">
        <w:rPr>
          <w:rFonts w:cs="Arial"/>
          <w:lang w:val="de-DE"/>
        </w:rPr>
        <w:t xml:space="preserve"> für Portul</w:t>
      </w:r>
      <w:r>
        <w:rPr>
          <w:rFonts w:cs="Arial"/>
          <w:lang w:val="de-DE"/>
        </w:rPr>
        <w:t>ak</w:t>
      </w:r>
      <w:r w:rsidR="000B19B7">
        <w:rPr>
          <w:rFonts w:cs="Arial"/>
          <w:lang w:val="de-DE"/>
        </w:rPr>
        <w:t xml:space="preserve"> (Dokument </w:t>
      </w:r>
      <w:r w:rsidRPr="00C47725">
        <w:rPr>
          <w:rFonts w:cs="Arial"/>
          <w:lang w:val="de-DE"/>
        </w:rPr>
        <w:t xml:space="preserve">TG/242/4(proj.2)), und vereinbarte, den </w:t>
      </w:r>
      <w:r>
        <w:rPr>
          <w:rFonts w:cs="Arial"/>
          <w:lang w:val="de-DE"/>
        </w:rPr>
        <w:t>Entwurf von Prüfungsrichtlinien</w:t>
      </w:r>
      <w:r w:rsidRPr="00C47725">
        <w:rPr>
          <w:rFonts w:cs="Arial"/>
          <w:lang w:val="de-DE"/>
        </w:rPr>
        <w:t xml:space="preserve"> auf seiner Sitzung im März 2020 zu überprüfen. </w:t>
      </w:r>
    </w:p>
    <w:p w:rsidR="002D20DB" w:rsidRPr="00C47725" w:rsidRDefault="002D20DB" w:rsidP="002D20DB">
      <w:pPr>
        <w:keepNext/>
        <w:rPr>
          <w:rFonts w:eastAsia="Arial" w:cs="Arial"/>
          <w:color w:val="000000"/>
          <w:u w:val="single"/>
          <w:lang w:val="de-D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D20DB" w:rsidRPr="00C47725" w:rsidTr="002B5125">
        <w:trPr>
          <w:cantSplit/>
        </w:trPr>
        <w:tc>
          <w:tcPr>
            <w:tcW w:w="1573" w:type="dxa"/>
          </w:tcPr>
          <w:p w:rsidR="002D20DB" w:rsidRPr="00C47725" w:rsidRDefault="002D20DB" w:rsidP="002B5125">
            <w:pPr>
              <w:keepNext/>
              <w:jc w:val="left"/>
              <w:rPr>
                <w:rFonts w:cs="Arial"/>
                <w:lang w:val="de-DE"/>
              </w:rPr>
            </w:pPr>
            <w:r w:rsidRPr="00C47725">
              <w:rPr>
                <w:rFonts w:cs="Arial"/>
                <w:lang w:val="de-DE"/>
              </w:rPr>
              <w:t>Merkmal 12</w:t>
            </w:r>
          </w:p>
        </w:tc>
        <w:tc>
          <w:tcPr>
            <w:tcW w:w="8208" w:type="dxa"/>
          </w:tcPr>
          <w:p w:rsidR="002D20DB" w:rsidRPr="00C47725" w:rsidRDefault="002D20DB" w:rsidP="002B5125">
            <w:pPr>
              <w:keepNext/>
              <w:jc w:val="left"/>
              <w:rPr>
                <w:rFonts w:cs="Arial"/>
                <w:lang w:val="de-DE"/>
              </w:rPr>
            </w:pPr>
            <w:r>
              <w:rPr>
                <w:rFonts w:cs="Arial"/>
                <w:lang w:val="de-DE"/>
              </w:rPr>
              <w:t>(</w:t>
            </w:r>
            <w:r w:rsidRPr="00C47725">
              <w:rPr>
                <w:rFonts w:cs="Arial"/>
                <w:lang w:val="de-DE"/>
              </w:rPr>
              <w:t>b) streichen</w:t>
            </w:r>
          </w:p>
        </w:tc>
      </w:tr>
      <w:tr w:rsidR="002D20DB" w:rsidRPr="000E6F70" w:rsidTr="002B5125">
        <w:trPr>
          <w:cantSplit/>
        </w:trPr>
        <w:tc>
          <w:tcPr>
            <w:tcW w:w="1573" w:type="dxa"/>
          </w:tcPr>
          <w:p w:rsidR="002D20DB" w:rsidRPr="00C47725" w:rsidRDefault="002D20DB" w:rsidP="002B5125">
            <w:pPr>
              <w:jc w:val="left"/>
              <w:rPr>
                <w:rFonts w:cs="Arial"/>
                <w:lang w:val="de-DE"/>
              </w:rPr>
            </w:pPr>
            <w:r w:rsidRPr="00C47725">
              <w:rPr>
                <w:rFonts w:cs="Arial"/>
                <w:snapToGrid w:val="0"/>
                <w:vertAlign w:val="superscript"/>
                <w:lang w:val="de-DE"/>
              </w:rPr>
              <w:t>#</w:t>
            </w:r>
            <w:r w:rsidRPr="00C47725">
              <w:rPr>
                <w:rFonts w:cs="Arial"/>
                <w:lang w:val="de-DE"/>
              </w:rPr>
              <w:t>Merkmale 9, 14, 23</w:t>
            </w:r>
          </w:p>
        </w:tc>
        <w:tc>
          <w:tcPr>
            <w:tcW w:w="8208" w:type="dxa"/>
          </w:tcPr>
          <w:p w:rsidR="002D20DB" w:rsidRPr="00C47725" w:rsidRDefault="002D20DB" w:rsidP="002B5125">
            <w:pPr>
              <w:keepNext/>
              <w:rPr>
                <w:rFonts w:cs="Arial"/>
                <w:lang w:val="de-DE"/>
              </w:rPr>
            </w:pPr>
            <w:r w:rsidRPr="00C47725">
              <w:rPr>
                <w:rFonts w:cs="Arial"/>
                <w:lang w:val="de-DE"/>
              </w:rPr>
              <w:t xml:space="preserve">Beispielsorten für Merkmale 9, 14 und 23) hinzufügen </w:t>
            </w:r>
            <w:r w:rsidR="00AA05CE">
              <w:rPr>
                <w:rFonts w:eastAsia="Arial" w:cs="Arial"/>
                <w:color w:val="000000"/>
                <w:lang w:val="de-DE"/>
              </w:rPr>
              <w:t>(vergleiche Dokument TGP/7 (GN </w:t>
            </w:r>
            <w:r w:rsidRPr="00C47725">
              <w:rPr>
                <w:rFonts w:eastAsia="Arial" w:cs="Arial"/>
                <w:color w:val="000000"/>
                <w:lang w:val="de-DE"/>
              </w:rPr>
              <w:t>28))</w:t>
            </w:r>
            <w:r w:rsidRPr="00C47725">
              <w:rPr>
                <w:rFonts w:cs="Arial"/>
                <w:lang w:val="de-DE"/>
              </w:rPr>
              <w:t xml:space="preserve"> (für Merkmale 9 und 14 könn</w:t>
            </w:r>
            <w:r>
              <w:rPr>
                <w:rFonts w:cs="Arial"/>
                <w:lang w:val="de-DE"/>
              </w:rPr>
              <w:t>t</w:t>
            </w:r>
            <w:r w:rsidRPr="00C47725">
              <w:rPr>
                <w:rFonts w:cs="Arial"/>
                <w:lang w:val="de-DE"/>
              </w:rPr>
              <w:t>en die Stufen in Zu 9 und 14 verwendet werden)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Merkmal 24</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Pr>
                <w:rFonts w:cs="Arial"/>
                <w:lang w:val="de-DE"/>
              </w:rPr>
              <w:t>„</w:t>
            </w:r>
            <w:r w:rsidRPr="00C47725">
              <w:rPr>
                <w:rFonts w:cs="Arial"/>
                <w:lang w:val="de-DE"/>
              </w:rPr>
              <w:t>Nur Sorten mit ...</w:t>
            </w:r>
            <w:r>
              <w:rPr>
                <w:rFonts w:cs="Arial"/>
                <w:lang w:val="de-DE"/>
              </w:rPr>
              <w:t>“</w:t>
            </w:r>
            <w:r w:rsidRPr="00C47725">
              <w:rPr>
                <w:rFonts w:cs="Arial"/>
                <w:lang w:val="de-DE"/>
              </w:rPr>
              <w:t xml:space="preserve"> kann gestrichen werden (es ist offensichtlich, dass nicht existierende</w:t>
            </w:r>
            <w:r>
              <w:rPr>
                <w:rFonts w:cs="Arial"/>
                <w:lang w:val="de-DE"/>
              </w:rPr>
              <w:t xml:space="preserve"> </w:t>
            </w:r>
            <w:r w:rsidRPr="00C47725">
              <w:rPr>
                <w:rFonts w:cs="Arial"/>
                <w:lang w:val="de-DE"/>
              </w:rPr>
              <w:t>Dinge nicht beschrieben werden können).</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8.1 (a)</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 xml:space="preserve">Erfassungen sollten an der Oberseite vollständig </w:t>
            </w:r>
            <w:r w:rsidRPr="00EB443A">
              <w:rPr>
                <w:rFonts w:cs="Arial"/>
                <w:lang w:val="de-DE"/>
              </w:rPr>
              <w:t>entwickelter</w:t>
            </w:r>
            <w:r w:rsidRPr="00C47725">
              <w:rPr>
                <w:rFonts w:cs="Arial"/>
                <w:lang w:val="de-DE"/>
              </w:rPr>
              <w:t xml:space="preserve"> Blätter aus dem Mittelteil der Pflanze erfolgen.</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8.1 (b)</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Erfassungen sollten an der Innenseite einer vollständig geöffneten Blüte erfolgen.</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8.1 (c)</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sollte lauten</w:t>
            </w:r>
            <w:r>
              <w:rPr>
                <w:rFonts w:cs="Arial"/>
                <w:lang w:val="de-DE"/>
              </w:rPr>
              <w:t xml:space="preserve"> „</w:t>
            </w:r>
            <w:r w:rsidRPr="00C47725">
              <w:rPr>
                <w:rFonts w:cs="Arial"/>
                <w:lang w:val="de-DE"/>
              </w:rPr>
              <w:t xml:space="preserve">Erfassungen sollten an der Innenseite erfolgen. Sofern nicht anders angegeben, sollten Erfassungen am Blütenblatt von gefüllten Blüten </w:t>
            </w:r>
            <w:r>
              <w:rPr>
                <w:rFonts w:cs="Arial"/>
                <w:lang w:val="de-DE"/>
              </w:rPr>
              <w:t>an</w:t>
            </w:r>
            <w:r w:rsidRPr="00C47725">
              <w:rPr>
                <w:rFonts w:cs="Arial"/>
                <w:lang w:val="de-DE"/>
              </w:rPr>
              <w:t xml:space="preserve"> dem äußersten Quirl der Blütenblätter </w:t>
            </w:r>
            <w:r>
              <w:rPr>
                <w:rFonts w:cs="Arial"/>
                <w:lang w:val="de-DE"/>
              </w:rPr>
              <w:t>erfolgen</w:t>
            </w:r>
            <w:r w:rsidRPr="00C47725">
              <w:rPr>
                <w:rFonts w:cs="Arial"/>
                <w:lang w:val="de-DE"/>
              </w:rPr>
              <w:t>.</w:t>
            </w:r>
            <w:r>
              <w:rPr>
                <w:rFonts w:cs="Arial"/>
                <w:lang w:val="de-DE"/>
              </w:rPr>
              <w:t>“</w:t>
            </w:r>
          </w:p>
        </w:tc>
      </w:tr>
      <w:tr w:rsidR="002D20DB" w:rsidRPr="00C47725"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Zu 19</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Pr>
                <w:rFonts w:cs="Arial"/>
                <w:lang w:val="de-DE"/>
              </w:rPr>
              <w:t>„Bei</w:t>
            </w:r>
            <w:r w:rsidRPr="00C47725">
              <w:rPr>
                <w:rFonts w:cs="Arial"/>
                <w:lang w:val="de-DE"/>
              </w:rPr>
              <w:t xml:space="preserve"> Sorten mit …</w:t>
            </w:r>
            <w:r>
              <w:rPr>
                <w:rFonts w:cs="Arial"/>
                <w:lang w:val="de-DE"/>
              </w:rPr>
              <w:t>“</w:t>
            </w:r>
          </w:p>
        </w:tc>
      </w:tr>
      <w:tr w:rsidR="002D20DB" w:rsidRPr="000E6F70" w:rsidTr="002B5125">
        <w:trPr>
          <w:cantSplit/>
        </w:trPr>
        <w:tc>
          <w:tcPr>
            <w:tcW w:w="1573"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TQ</w:t>
            </w:r>
          </w:p>
        </w:tc>
        <w:tc>
          <w:tcPr>
            <w:tcW w:w="8208" w:type="dxa"/>
            <w:tcBorders>
              <w:top w:val="single" w:sz="4" w:space="0" w:color="auto"/>
              <w:left w:val="single" w:sz="4" w:space="0" w:color="auto"/>
              <w:bottom w:val="single" w:sz="4" w:space="0" w:color="auto"/>
              <w:right w:val="single" w:sz="4" w:space="0" w:color="auto"/>
            </w:tcBorders>
          </w:tcPr>
          <w:p w:rsidR="002D20DB" w:rsidRPr="00C47725" w:rsidRDefault="002D20DB" w:rsidP="002B5125">
            <w:pPr>
              <w:rPr>
                <w:rFonts w:cs="Arial"/>
                <w:lang w:val="de-DE"/>
              </w:rPr>
            </w:pPr>
            <w:r w:rsidRPr="00C47725">
              <w:rPr>
                <w:rFonts w:cs="Arial"/>
                <w:lang w:val="de-DE"/>
              </w:rPr>
              <w:t xml:space="preserve">1.4.1 und 1.4.2 mit leeren </w:t>
            </w:r>
            <w:r>
              <w:rPr>
                <w:rFonts w:cs="Arial"/>
                <w:lang w:val="de-DE"/>
              </w:rPr>
              <w:t>Feldern</w:t>
            </w:r>
            <w:r w:rsidRPr="00C47725">
              <w:rPr>
                <w:rFonts w:cs="Arial"/>
                <w:lang w:val="de-DE"/>
              </w:rPr>
              <w:t xml:space="preserve"> hinzufügen (z.B. zur Angabe von </w:t>
            </w:r>
            <w:r>
              <w:rPr>
                <w:rFonts w:cs="Arial"/>
                <w:lang w:val="de-DE"/>
              </w:rPr>
              <w:t>Arthybriden</w:t>
            </w:r>
            <w:r w:rsidRPr="00C47725">
              <w:rPr>
                <w:rFonts w:cs="Arial"/>
                <w:lang w:val="de-DE"/>
              </w:rPr>
              <w:t>)</w:t>
            </w:r>
          </w:p>
        </w:tc>
      </w:tr>
    </w:tbl>
    <w:p w:rsidR="002D20DB" w:rsidRPr="00C47725" w:rsidRDefault="002D20DB" w:rsidP="002D20DB">
      <w:pPr>
        <w:rPr>
          <w:rFonts w:cs="Arial"/>
          <w:lang w:val="de-DE"/>
        </w:rPr>
      </w:pPr>
    </w:p>
    <w:p w:rsidR="002D20DB" w:rsidRPr="00C47725" w:rsidRDefault="002D20DB" w:rsidP="002D20DB">
      <w:pPr>
        <w:jc w:val="left"/>
        <w:rPr>
          <w:lang w:val="de-DE"/>
        </w:rPr>
      </w:pPr>
    </w:p>
    <w:p w:rsidR="002D20DB" w:rsidRPr="00C47725" w:rsidRDefault="002D20DB" w:rsidP="002D20DB">
      <w:pPr>
        <w:jc w:val="left"/>
        <w:rPr>
          <w:lang w:val="de-DE"/>
        </w:rPr>
      </w:pPr>
    </w:p>
    <w:p w:rsidR="002D20DB" w:rsidRPr="00C47725" w:rsidRDefault="002D20DB" w:rsidP="000B19B7">
      <w:pPr>
        <w:jc w:val="right"/>
        <w:rPr>
          <w:lang w:val="de-DE"/>
        </w:rPr>
      </w:pPr>
      <w:r w:rsidRPr="00C47725">
        <w:rPr>
          <w:rFonts w:cs="Arial"/>
          <w:lang w:val="de-DE"/>
        </w:rPr>
        <w:t xml:space="preserve">[Ende </w:t>
      </w:r>
      <w:bookmarkStart w:id="66" w:name="_GoBack"/>
      <w:bookmarkEnd w:id="66"/>
      <w:r w:rsidRPr="00C47725">
        <w:rPr>
          <w:rFonts w:cs="Arial"/>
          <w:lang w:val="de-DE"/>
        </w:rPr>
        <w:t>der Anlage II und des Dokuments]</w:t>
      </w:r>
    </w:p>
    <w:p w:rsidR="002D20DB" w:rsidRPr="002D20DB" w:rsidRDefault="002D20DB">
      <w:pPr>
        <w:rPr>
          <w:lang w:val="de-DE"/>
        </w:rPr>
      </w:pPr>
    </w:p>
    <w:sectPr w:rsidR="002D20DB" w:rsidRPr="002D20DB" w:rsidSect="002B5125">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0EF" w:rsidRDefault="009160EF" w:rsidP="002D20DB">
      <w:r>
        <w:separator/>
      </w:r>
    </w:p>
  </w:endnote>
  <w:endnote w:type="continuationSeparator" w:id="0">
    <w:p w:rsidR="009160EF" w:rsidRDefault="009160EF" w:rsidP="002D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EF" w:rsidRDefault="009160EF" w:rsidP="002B5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EF" w:rsidRDefault="0091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EF" w:rsidRDefault="0091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0EF" w:rsidRDefault="009160EF" w:rsidP="002D20DB">
      <w:r>
        <w:separator/>
      </w:r>
    </w:p>
  </w:footnote>
  <w:footnote w:type="continuationSeparator" w:id="0">
    <w:p w:rsidR="009160EF" w:rsidRDefault="009160EF" w:rsidP="002D20DB">
      <w:r>
        <w:continuationSeparator/>
      </w:r>
    </w:p>
  </w:footnote>
  <w:footnote w:id="1">
    <w:p w:rsidR="009160EF" w:rsidRDefault="009160EF" w:rsidP="002D20DB">
      <w:pPr>
        <w:pStyle w:val="FootnoteText"/>
      </w:pPr>
      <w:r>
        <w:rPr>
          <w:rStyle w:val="FootnoteReference"/>
        </w:rPr>
        <w:footnoteRef/>
      </w:r>
      <w:r>
        <w:t xml:space="preserve"> Tag der Züchter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EF" w:rsidRPr="007273D4" w:rsidRDefault="009160EF" w:rsidP="002B5125">
    <w:pPr>
      <w:pStyle w:val="Header"/>
      <w:rPr>
        <w:rStyle w:val="PageNumber"/>
        <w:lang w:val="fr-CH"/>
      </w:rPr>
    </w:pPr>
    <w:r w:rsidRPr="007273D4">
      <w:rPr>
        <w:rStyle w:val="PageNumber"/>
        <w:lang w:val="fr-CH"/>
      </w:rPr>
      <w:t xml:space="preserve">TC/55/25 </w:t>
    </w:r>
  </w:p>
  <w:p w:rsidR="009160EF" w:rsidRPr="007273D4" w:rsidRDefault="009160EF" w:rsidP="002B5125">
    <w:pPr>
      <w:pStyle w:val="Header"/>
      <w:rPr>
        <w:lang w:val="fr-CH"/>
      </w:rPr>
    </w:pPr>
    <w:r>
      <w:rPr>
        <w:lang w:val="fr-CH"/>
      </w:rPr>
      <w:t>Seite</w:t>
    </w:r>
    <w:r w:rsidRPr="007273D4">
      <w:rPr>
        <w:lang w:val="fr-CH"/>
      </w:rPr>
      <w:t xml:space="preserve"> </w:t>
    </w:r>
    <w:r w:rsidRPr="00C5280D">
      <w:rPr>
        <w:rStyle w:val="PageNumber"/>
      </w:rPr>
      <w:fldChar w:fldCharType="begin"/>
    </w:r>
    <w:r w:rsidRPr="007273D4">
      <w:rPr>
        <w:rStyle w:val="PageNumber"/>
        <w:lang w:val="fr-CH"/>
      </w:rPr>
      <w:instrText xml:space="preserve"> PAGE </w:instrText>
    </w:r>
    <w:r w:rsidRPr="00C5280D">
      <w:rPr>
        <w:rStyle w:val="PageNumber"/>
      </w:rPr>
      <w:fldChar w:fldCharType="separate"/>
    </w:r>
    <w:r>
      <w:rPr>
        <w:rStyle w:val="PageNumber"/>
        <w:noProof/>
        <w:lang w:val="fr-CH"/>
      </w:rPr>
      <w:t>32</w:t>
    </w:r>
    <w:r w:rsidRPr="00C5280D">
      <w:rPr>
        <w:rStyle w:val="PageNumber"/>
      </w:rPr>
      <w:fldChar w:fldCharType="end"/>
    </w:r>
  </w:p>
  <w:p w:rsidR="009160EF" w:rsidRPr="007273D4" w:rsidRDefault="009160EF" w:rsidP="002B5125">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EF" w:rsidRPr="007273D4" w:rsidRDefault="009160EF" w:rsidP="002B5125">
    <w:pPr>
      <w:pStyle w:val="Header"/>
      <w:rPr>
        <w:rStyle w:val="PageNumber"/>
        <w:lang w:val="fr-CH"/>
      </w:rPr>
    </w:pPr>
    <w:r w:rsidRPr="007273D4">
      <w:rPr>
        <w:rStyle w:val="PageNumber"/>
        <w:lang w:val="fr-CH"/>
      </w:rPr>
      <w:t xml:space="preserve">TC/55/25 </w:t>
    </w:r>
  </w:p>
  <w:p w:rsidR="009160EF" w:rsidRPr="007273D4" w:rsidRDefault="009160EF" w:rsidP="002B5125">
    <w:pPr>
      <w:pStyle w:val="Header"/>
      <w:rPr>
        <w:lang w:val="fr-CH"/>
      </w:rPr>
    </w:pPr>
    <w:r>
      <w:rPr>
        <w:lang w:val="fr-CH"/>
      </w:rPr>
      <w:t>Seite</w:t>
    </w:r>
    <w:r w:rsidRPr="007273D4">
      <w:rPr>
        <w:lang w:val="fr-CH"/>
      </w:rPr>
      <w:t xml:space="preserve"> </w:t>
    </w:r>
    <w:r w:rsidRPr="00C5280D">
      <w:rPr>
        <w:rStyle w:val="PageNumber"/>
      </w:rPr>
      <w:fldChar w:fldCharType="begin"/>
    </w:r>
    <w:r w:rsidRPr="007273D4">
      <w:rPr>
        <w:rStyle w:val="PageNumber"/>
        <w:lang w:val="fr-CH"/>
      </w:rPr>
      <w:instrText xml:space="preserve"> PAGE </w:instrText>
    </w:r>
    <w:r w:rsidRPr="00C5280D">
      <w:rPr>
        <w:rStyle w:val="PageNumber"/>
      </w:rPr>
      <w:fldChar w:fldCharType="separate"/>
    </w:r>
    <w:r w:rsidR="00AA05CE">
      <w:rPr>
        <w:rStyle w:val="PageNumber"/>
        <w:noProof/>
        <w:lang w:val="fr-CH"/>
      </w:rPr>
      <w:t>35</w:t>
    </w:r>
    <w:r w:rsidRPr="00C5280D">
      <w:rPr>
        <w:rStyle w:val="PageNumber"/>
      </w:rPr>
      <w:fldChar w:fldCharType="end"/>
    </w:r>
  </w:p>
  <w:p w:rsidR="009160EF" w:rsidRPr="007273D4" w:rsidRDefault="009160EF" w:rsidP="002B5125">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EF" w:rsidRPr="00816DBD" w:rsidRDefault="009160EF" w:rsidP="002B5125">
    <w:pPr>
      <w:jc w:val="center"/>
      <w:rPr>
        <w:rFonts w:cs="Arial"/>
      </w:rPr>
    </w:pPr>
    <w:r w:rsidRPr="00816DBD">
      <w:rPr>
        <w:rFonts w:cs="Arial"/>
      </w:rPr>
      <w:t>TC/55/25</w:t>
    </w:r>
  </w:p>
  <w:p w:rsidR="009160EF" w:rsidRPr="00816DBD" w:rsidRDefault="009160EF" w:rsidP="002B5125">
    <w:pPr>
      <w:pStyle w:val="Header"/>
      <w:rPr>
        <w:lang w:val="en-US"/>
      </w:rPr>
    </w:pPr>
    <w:r w:rsidRPr="00816DBD">
      <w:rPr>
        <w:lang w:val="en-US"/>
      </w:rPr>
      <w:t>Annexe I / Annex I / Anlage I / Anexo I</w:t>
    </w:r>
  </w:p>
  <w:p w:rsidR="009160EF" w:rsidRDefault="009160EF" w:rsidP="002B5125">
    <w:pPr>
      <w:jc w:val="center"/>
      <w:rPr>
        <w:rFonts w:cs="Arial"/>
      </w:rPr>
    </w:pPr>
    <w:r w:rsidRPr="00816DBD">
      <w:rPr>
        <w:rFonts w:cs="Arial"/>
      </w:rPr>
      <w:t xml:space="preserve">page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Pr>
        <w:rStyle w:val="PageNumber"/>
        <w:rFonts w:cs="Arial"/>
        <w:noProof/>
      </w:rPr>
      <w:t>10</w:t>
    </w:r>
    <w:r w:rsidRPr="00816DBD">
      <w:rPr>
        <w:rStyle w:val="PageNumber"/>
        <w:rFonts w:cs="Arial"/>
      </w:rPr>
      <w:fldChar w:fldCharType="end"/>
    </w:r>
    <w:r w:rsidRPr="00816DBD">
      <w:rPr>
        <w:rStyle w:val="PageNumber"/>
        <w:rFonts w:cs="Arial"/>
      </w:rPr>
      <w:t xml:space="preserve"> </w:t>
    </w:r>
    <w:r w:rsidRPr="00816DBD">
      <w:rPr>
        <w:rFonts w:cs="Arial"/>
      </w:rPr>
      <w:t xml:space="preserve">/ Seite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Pr>
        <w:rStyle w:val="PageNumber"/>
        <w:rFonts w:cs="Arial"/>
        <w:noProof/>
      </w:rPr>
      <w:t>10</w:t>
    </w:r>
    <w:r w:rsidRPr="00816DBD">
      <w:rPr>
        <w:rStyle w:val="PageNumber"/>
        <w:rFonts w:cs="Arial"/>
      </w:rPr>
      <w:fldChar w:fldCharType="end"/>
    </w:r>
    <w:r w:rsidRPr="00816DBD">
      <w:rPr>
        <w:rStyle w:val="PageNumber"/>
        <w:rFonts w:cs="Arial"/>
      </w:rPr>
      <w:t xml:space="preserve"> </w:t>
    </w:r>
    <w:r w:rsidRPr="00816DBD">
      <w:rPr>
        <w:rFonts w:cs="Arial"/>
      </w:rPr>
      <w:t xml:space="preserve">/ página </w:t>
    </w:r>
    <w:r w:rsidRPr="00816DBD">
      <w:rPr>
        <w:rFonts w:cs="Arial"/>
      </w:rPr>
      <w:fldChar w:fldCharType="begin"/>
    </w:r>
    <w:r w:rsidRPr="00816DBD">
      <w:rPr>
        <w:rFonts w:cs="Arial"/>
      </w:rPr>
      <w:instrText xml:space="preserve"> PAGE  \* MERGEFORMAT </w:instrText>
    </w:r>
    <w:r w:rsidRPr="00816DBD">
      <w:rPr>
        <w:rFonts w:cs="Arial"/>
      </w:rPr>
      <w:fldChar w:fldCharType="separate"/>
    </w:r>
    <w:r>
      <w:rPr>
        <w:rFonts w:cs="Arial"/>
        <w:noProof/>
      </w:rPr>
      <w:t>10</w:t>
    </w:r>
    <w:r w:rsidRPr="00816DBD">
      <w:rPr>
        <w:rFonts w:cs="Arial"/>
      </w:rPr>
      <w:fldChar w:fldCharType="end"/>
    </w:r>
  </w:p>
  <w:p w:rsidR="009160EF" w:rsidRPr="007273D4" w:rsidRDefault="009160EF" w:rsidP="002B5125">
    <w:pPr>
      <w:jc w:val="cent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EF" w:rsidRPr="00816DBD" w:rsidRDefault="009160EF" w:rsidP="002B5125">
    <w:pPr>
      <w:jc w:val="center"/>
      <w:rPr>
        <w:rFonts w:cs="Arial"/>
      </w:rPr>
    </w:pPr>
    <w:r w:rsidRPr="00816DBD">
      <w:rPr>
        <w:rFonts w:cs="Arial"/>
      </w:rPr>
      <w:t>TC/55/25</w:t>
    </w:r>
  </w:p>
  <w:p w:rsidR="009160EF" w:rsidRPr="00816DBD" w:rsidRDefault="009160EF" w:rsidP="002B5125">
    <w:pPr>
      <w:pStyle w:val="Header"/>
      <w:rPr>
        <w:lang w:val="en-US"/>
      </w:rPr>
    </w:pPr>
    <w:r w:rsidRPr="00816DBD">
      <w:rPr>
        <w:lang w:val="en-US"/>
      </w:rPr>
      <w:t>Annexe I / Annex I / Anlage I / Anexo I</w:t>
    </w:r>
  </w:p>
  <w:p w:rsidR="009160EF" w:rsidRDefault="009160EF" w:rsidP="002B5125">
    <w:pPr>
      <w:jc w:val="center"/>
      <w:rPr>
        <w:rFonts w:cs="Arial"/>
      </w:rPr>
    </w:pPr>
    <w:r w:rsidRPr="00816DBD">
      <w:rPr>
        <w:rFonts w:cs="Arial"/>
      </w:rPr>
      <w:t xml:space="preserve">page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AA05CE">
      <w:rPr>
        <w:rStyle w:val="PageNumber"/>
        <w:rFonts w:cs="Arial"/>
        <w:noProof/>
      </w:rPr>
      <w:t>10</w:t>
    </w:r>
    <w:r w:rsidRPr="00816DBD">
      <w:rPr>
        <w:rStyle w:val="PageNumber"/>
        <w:rFonts w:cs="Arial"/>
      </w:rPr>
      <w:fldChar w:fldCharType="end"/>
    </w:r>
    <w:r w:rsidRPr="00816DBD">
      <w:rPr>
        <w:rStyle w:val="PageNumber"/>
        <w:rFonts w:cs="Arial"/>
      </w:rPr>
      <w:t xml:space="preserve"> </w:t>
    </w:r>
    <w:r w:rsidRPr="00816DBD">
      <w:rPr>
        <w:rFonts w:cs="Arial"/>
      </w:rPr>
      <w:t xml:space="preserve">/ Seite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AA05CE">
      <w:rPr>
        <w:rStyle w:val="PageNumber"/>
        <w:rFonts w:cs="Arial"/>
        <w:noProof/>
      </w:rPr>
      <w:t>10</w:t>
    </w:r>
    <w:r w:rsidRPr="00816DBD">
      <w:rPr>
        <w:rStyle w:val="PageNumber"/>
        <w:rFonts w:cs="Arial"/>
      </w:rPr>
      <w:fldChar w:fldCharType="end"/>
    </w:r>
    <w:r w:rsidRPr="00816DBD">
      <w:rPr>
        <w:rStyle w:val="PageNumber"/>
        <w:rFonts w:cs="Arial"/>
      </w:rPr>
      <w:t xml:space="preserve"> </w:t>
    </w:r>
    <w:r w:rsidRPr="00816DBD">
      <w:rPr>
        <w:rFonts w:cs="Arial"/>
      </w:rPr>
      <w:t xml:space="preserve">/ página </w:t>
    </w:r>
    <w:r w:rsidRPr="00816DBD">
      <w:rPr>
        <w:rFonts w:cs="Arial"/>
      </w:rPr>
      <w:fldChar w:fldCharType="begin"/>
    </w:r>
    <w:r w:rsidRPr="00816DBD">
      <w:rPr>
        <w:rFonts w:cs="Arial"/>
      </w:rPr>
      <w:instrText xml:space="preserve"> PAGE  \* MERGEFORMAT </w:instrText>
    </w:r>
    <w:r w:rsidRPr="00816DBD">
      <w:rPr>
        <w:rFonts w:cs="Arial"/>
      </w:rPr>
      <w:fldChar w:fldCharType="separate"/>
    </w:r>
    <w:r w:rsidR="00AA05CE">
      <w:rPr>
        <w:rFonts w:cs="Arial"/>
        <w:noProof/>
      </w:rPr>
      <w:t>10</w:t>
    </w:r>
    <w:r w:rsidRPr="00816DBD">
      <w:rPr>
        <w:rFonts w:cs="Arial"/>
      </w:rPr>
      <w:fldChar w:fldCharType="end"/>
    </w:r>
  </w:p>
  <w:p w:rsidR="009160EF" w:rsidRPr="007273D4" w:rsidRDefault="009160EF" w:rsidP="002B5125">
    <w:pPr>
      <w:jc w:val="cent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EF" w:rsidRPr="00954150" w:rsidRDefault="009160EF" w:rsidP="002B5125">
    <w:pPr>
      <w:pStyle w:val="Header"/>
      <w:rPr>
        <w:lang w:val="en-US"/>
      </w:rPr>
    </w:pPr>
    <w:r w:rsidRPr="00816DBD">
      <w:rPr>
        <w:lang w:val="en-US"/>
      </w:rPr>
      <w:t>TC/55/25</w:t>
    </w:r>
  </w:p>
  <w:p w:rsidR="009160EF" w:rsidRPr="00954150" w:rsidRDefault="009160EF" w:rsidP="002B5125">
    <w:pPr>
      <w:pStyle w:val="Header"/>
      <w:rPr>
        <w:lang w:val="en-US"/>
      </w:rPr>
    </w:pPr>
  </w:p>
  <w:p w:rsidR="009160EF" w:rsidRDefault="009160EF" w:rsidP="002B5125">
    <w:pPr>
      <w:pStyle w:val="Header"/>
      <w:rPr>
        <w:lang w:val="en-US"/>
      </w:rPr>
    </w:pPr>
    <w:r w:rsidRPr="002742B2">
      <w:rPr>
        <w:lang w:val="en-US"/>
      </w:rPr>
      <w:t>ANNEXE I / ANNEX I / ANLAGE I / ANEXO I</w:t>
    </w:r>
  </w:p>
  <w:p w:rsidR="009160EF" w:rsidRPr="00F03375" w:rsidRDefault="009160EF" w:rsidP="002B5125">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EF" w:rsidRDefault="009160EF" w:rsidP="002B5125">
    <w:pPr>
      <w:pStyle w:val="Header"/>
      <w:rPr>
        <w:rStyle w:val="PageNumber"/>
        <w:lang w:val="fr-CH"/>
      </w:rPr>
    </w:pPr>
    <w:r w:rsidRPr="007273D4">
      <w:rPr>
        <w:rStyle w:val="PageNumber"/>
        <w:lang w:val="fr-CH"/>
      </w:rPr>
      <w:t xml:space="preserve">TC/55/25 </w:t>
    </w:r>
  </w:p>
  <w:p w:rsidR="009160EF" w:rsidRPr="007273D4" w:rsidRDefault="009160EF" w:rsidP="002B5125">
    <w:pPr>
      <w:pStyle w:val="Header"/>
      <w:rPr>
        <w:lang w:val="fr-CH"/>
      </w:rPr>
    </w:pPr>
    <w:r>
      <w:rPr>
        <w:lang w:val="fr-CH"/>
      </w:rPr>
      <w:t>Anlage II, Seite</w:t>
    </w:r>
    <w:r w:rsidRPr="007273D4">
      <w:rPr>
        <w:lang w:val="fr-CH"/>
      </w:rPr>
      <w:t xml:space="preserve"> </w:t>
    </w:r>
    <w:r w:rsidRPr="00C5280D">
      <w:rPr>
        <w:rStyle w:val="PageNumber"/>
      </w:rPr>
      <w:fldChar w:fldCharType="begin"/>
    </w:r>
    <w:r w:rsidRPr="007273D4">
      <w:rPr>
        <w:rStyle w:val="PageNumber"/>
        <w:lang w:val="fr-CH"/>
      </w:rPr>
      <w:instrText xml:space="preserve"> PAGE </w:instrText>
    </w:r>
    <w:r w:rsidRPr="00C5280D">
      <w:rPr>
        <w:rStyle w:val="PageNumber"/>
      </w:rPr>
      <w:fldChar w:fldCharType="separate"/>
    </w:r>
    <w:r>
      <w:rPr>
        <w:rStyle w:val="PageNumber"/>
        <w:noProof/>
        <w:lang w:val="fr-CH"/>
      </w:rPr>
      <w:t>8</w:t>
    </w:r>
    <w:r w:rsidRPr="00C5280D">
      <w:rPr>
        <w:rStyle w:val="PageNumber"/>
      </w:rPr>
      <w:fldChar w:fldCharType="end"/>
    </w:r>
  </w:p>
  <w:p w:rsidR="009160EF" w:rsidRPr="007273D4" w:rsidRDefault="009160EF" w:rsidP="002B5125">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EF" w:rsidRDefault="009160EF" w:rsidP="002B5125">
    <w:pPr>
      <w:pStyle w:val="Header"/>
      <w:rPr>
        <w:rStyle w:val="PageNumber"/>
        <w:lang w:val="fr-CH"/>
      </w:rPr>
    </w:pPr>
    <w:r w:rsidRPr="007273D4">
      <w:rPr>
        <w:rStyle w:val="PageNumber"/>
        <w:lang w:val="fr-CH"/>
      </w:rPr>
      <w:t xml:space="preserve">TC/55/25 </w:t>
    </w:r>
  </w:p>
  <w:p w:rsidR="009160EF" w:rsidRPr="007273D4" w:rsidRDefault="009160EF" w:rsidP="002B5125">
    <w:pPr>
      <w:pStyle w:val="Header"/>
      <w:rPr>
        <w:lang w:val="fr-CH"/>
      </w:rPr>
    </w:pPr>
    <w:r>
      <w:rPr>
        <w:lang w:val="fr-CH"/>
      </w:rPr>
      <w:t>Anlage II, Seite</w:t>
    </w:r>
    <w:r w:rsidRPr="007273D4">
      <w:rPr>
        <w:lang w:val="fr-CH"/>
      </w:rPr>
      <w:t xml:space="preserve"> </w:t>
    </w:r>
    <w:r w:rsidRPr="00C5280D">
      <w:rPr>
        <w:rStyle w:val="PageNumber"/>
      </w:rPr>
      <w:fldChar w:fldCharType="begin"/>
    </w:r>
    <w:r w:rsidRPr="007273D4">
      <w:rPr>
        <w:rStyle w:val="PageNumber"/>
        <w:lang w:val="fr-CH"/>
      </w:rPr>
      <w:instrText xml:space="preserve"> PAGE </w:instrText>
    </w:r>
    <w:r w:rsidRPr="00C5280D">
      <w:rPr>
        <w:rStyle w:val="PageNumber"/>
      </w:rPr>
      <w:fldChar w:fldCharType="separate"/>
    </w:r>
    <w:r w:rsidR="00AA05CE">
      <w:rPr>
        <w:rStyle w:val="PageNumber"/>
        <w:noProof/>
        <w:lang w:val="fr-CH"/>
      </w:rPr>
      <w:t>8</w:t>
    </w:r>
    <w:r w:rsidRPr="00C5280D">
      <w:rPr>
        <w:rStyle w:val="PageNumber"/>
      </w:rPr>
      <w:fldChar w:fldCharType="end"/>
    </w:r>
  </w:p>
  <w:p w:rsidR="009160EF" w:rsidRPr="007273D4" w:rsidRDefault="009160EF" w:rsidP="002B5125">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EF" w:rsidRDefault="009160EF">
    <w:pPr>
      <w:pStyle w:val="Header"/>
      <w:rPr>
        <w:lang w:val="fr-CH"/>
      </w:rPr>
    </w:pPr>
    <w:r>
      <w:rPr>
        <w:lang w:val="fr-CH"/>
      </w:rPr>
      <w:t xml:space="preserve">TC/55/25 </w:t>
    </w:r>
  </w:p>
  <w:p w:rsidR="009160EF" w:rsidRDefault="009160EF">
    <w:pPr>
      <w:pStyle w:val="Header"/>
      <w:rPr>
        <w:lang w:val="fr-CH"/>
      </w:rPr>
    </w:pPr>
  </w:p>
  <w:p w:rsidR="009160EF" w:rsidRDefault="009160EF">
    <w:pPr>
      <w:pStyle w:val="Header"/>
      <w:rPr>
        <w:lang w:val="fr-CH"/>
      </w:rPr>
    </w:pPr>
    <w:r>
      <w:rPr>
        <w:lang w:val="fr-CH"/>
      </w:rPr>
      <w:t>ANLAGE II</w:t>
    </w:r>
  </w:p>
  <w:p w:rsidR="009160EF" w:rsidRPr="000C3495" w:rsidRDefault="009160E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DE7"/>
    <w:multiLevelType w:val="hybridMultilevel"/>
    <w:tmpl w:val="BDEA3952"/>
    <w:lvl w:ilvl="0" w:tplc="66FC4678">
      <w:start w:val="1"/>
      <w:numFmt w:val="decimal"/>
      <w:lvlText w:val="%1."/>
      <w:lvlJc w:val="left"/>
      <w:pPr>
        <w:tabs>
          <w:tab w:val="num" w:pos="1137"/>
        </w:tabs>
        <w:ind w:left="1137" w:hanging="570"/>
      </w:pPr>
    </w:lvl>
    <w:lvl w:ilvl="1" w:tplc="04090019">
      <w:start w:val="1"/>
      <w:numFmt w:val="lowerLetter"/>
      <w:lvlText w:val="%2."/>
      <w:lvlJc w:val="left"/>
      <w:pPr>
        <w:tabs>
          <w:tab w:val="num" w:pos="1353"/>
        </w:tabs>
        <w:ind w:left="1353" w:hanging="360"/>
      </w:pPr>
    </w:lvl>
    <w:lvl w:ilvl="2" w:tplc="18B05CE6">
      <w:start w:val="1"/>
      <w:numFmt w:val="low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383318"/>
    <w:multiLevelType w:val="hybridMultilevel"/>
    <w:tmpl w:val="B72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83625"/>
    <w:multiLevelType w:val="hybridMultilevel"/>
    <w:tmpl w:val="DCFC472A"/>
    <w:lvl w:ilvl="0" w:tplc="45B471E6">
      <w:numFmt w:val="bullet"/>
      <w:lvlText w:val="-"/>
      <w:lvlJc w:val="left"/>
      <w:pPr>
        <w:ind w:left="720" w:hanging="360"/>
      </w:pPr>
      <w:rPr>
        <w:rFonts w:ascii="ArialMT" w:eastAsia="Cambria"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F66DB3"/>
    <w:multiLevelType w:val="hybridMultilevel"/>
    <w:tmpl w:val="A75CE24A"/>
    <w:lvl w:ilvl="0" w:tplc="0407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124EA"/>
    <w:multiLevelType w:val="hybridMultilevel"/>
    <w:tmpl w:val="FA96E1D6"/>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04070017">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5"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30D00"/>
    <w:multiLevelType w:val="hybridMultilevel"/>
    <w:tmpl w:val="B9347DD6"/>
    <w:lvl w:ilvl="0" w:tplc="0407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52A2F"/>
    <w:multiLevelType w:val="singleLevel"/>
    <w:tmpl w:val="04070017"/>
    <w:lvl w:ilvl="0">
      <w:start w:val="1"/>
      <w:numFmt w:val="lowerLetter"/>
      <w:lvlText w:val="%1)"/>
      <w:lvlJc w:val="left"/>
      <w:pPr>
        <w:ind w:left="360" w:hanging="360"/>
      </w:pPr>
    </w:lvl>
  </w:abstractNum>
  <w:abstractNum w:abstractNumId="8" w15:restartNumberingAfterBreak="0">
    <w:nsid w:val="2ECC1293"/>
    <w:multiLevelType w:val="hybridMultilevel"/>
    <w:tmpl w:val="E9806364"/>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F2348"/>
    <w:multiLevelType w:val="hybridMultilevel"/>
    <w:tmpl w:val="1B2832DC"/>
    <w:lvl w:ilvl="0" w:tplc="25E2ADC0">
      <w:start w:val="8"/>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FBF35DC"/>
    <w:multiLevelType w:val="hybridMultilevel"/>
    <w:tmpl w:val="D56AF982"/>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B5140"/>
    <w:multiLevelType w:val="hybridMultilevel"/>
    <w:tmpl w:val="C2E423EA"/>
    <w:lvl w:ilvl="0" w:tplc="0407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0192D"/>
    <w:multiLevelType w:val="hybridMultilevel"/>
    <w:tmpl w:val="A7C84CC2"/>
    <w:lvl w:ilvl="0" w:tplc="0407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13515"/>
    <w:multiLevelType w:val="hybridMultilevel"/>
    <w:tmpl w:val="5E00A10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C7E68"/>
    <w:multiLevelType w:val="hybridMultilevel"/>
    <w:tmpl w:val="485C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5972CEA"/>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3" w15:restartNumberingAfterBreak="0">
    <w:nsid w:val="699D0B31"/>
    <w:multiLevelType w:val="hybridMultilevel"/>
    <w:tmpl w:val="9C969FA8"/>
    <w:lvl w:ilvl="0" w:tplc="04070017">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5" w15:restartNumberingAfterBreak="0">
    <w:nsid w:val="793C3CAA"/>
    <w:multiLevelType w:val="hybridMultilevel"/>
    <w:tmpl w:val="593A715E"/>
    <w:lvl w:ilvl="0" w:tplc="22687514">
      <w:start w:val="1"/>
      <w:numFmt w:val="decimal"/>
      <w:lvlText w:val="%1."/>
      <w:lvlJc w:val="left"/>
      <w:pPr>
        <w:ind w:left="1137" w:hanging="570"/>
      </w:pPr>
      <w:rPr>
        <w:rFonts w:hint="default"/>
      </w:rPr>
    </w:lvl>
    <w:lvl w:ilvl="1" w:tplc="04070017">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16206"/>
    <w:multiLevelType w:val="hybridMultilevel"/>
    <w:tmpl w:val="B3D6A38C"/>
    <w:lvl w:ilvl="0" w:tplc="04090001">
      <w:start w:val="1"/>
      <w:numFmt w:val="bullet"/>
      <w:lvlText w:val=""/>
      <w:lvlJc w:val="left"/>
      <w:pPr>
        <w:ind w:left="3141" w:hanging="360"/>
      </w:pPr>
      <w:rPr>
        <w:rFonts w:ascii="Symbol" w:hAnsi="Symbol" w:hint="default"/>
      </w:rPr>
    </w:lvl>
    <w:lvl w:ilvl="1" w:tplc="04090003" w:tentative="1">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num w:numId="1">
    <w:abstractNumId w:val="25"/>
  </w:num>
  <w:num w:numId="2">
    <w:abstractNumId w:val="24"/>
  </w:num>
  <w:num w:numId="3">
    <w:abstractNumId w:val="0"/>
  </w:num>
  <w:num w:numId="4">
    <w:abstractNumId w:val="4"/>
  </w:num>
  <w:num w:numId="5">
    <w:abstractNumId w:val="22"/>
  </w:num>
  <w:num w:numId="6">
    <w:abstractNumId w:val="23"/>
  </w:num>
  <w:num w:numId="7">
    <w:abstractNumId w:val="13"/>
  </w:num>
  <w:num w:numId="8">
    <w:abstractNumId w:val="8"/>
  </w:num>
  <w:num w:numId="9">
    <w:abstractNumId w:val="5"/>
  </w:num>
  <w:num w:numId="10">
    <w:abstractNumId w:val="14"/>
  </w:num>
  <w:num w:numId="11">
    <w:abstractNumId w:val="20"/>
  </w:num>
  <w:num w:numId="12">
    <w:abstractNumId w:val="17"/>
  </w:num>
  <w:num w:numId="13">
    <w:abstractNumId w:val="1"/>
  </w:num>
  <w:num w:numId="14">
    <w:abstractNumId w:val="2"/>
  </w:num>
  <w:num w:numId="15">
    <w:abstractNumId w:val="27"/>
  </w:num>
  <w:num w:numId="16">
    <w:abstractNumId w:val="15"/>
  </w:num>
  <w:num w:numId="17">
    <w:abstractNumId w:val="21"/>
  </w:num>
  <w:num w:numId="18">
    <w:abstractNumId w:val="11"/>
    <w:lvlOverride w:ilvl="0">
      <w:startOverride w:val="1"/>
    </w:lvlOverride>
  </w:num>
  <w:num w:numId="19">
    <w:abstractNumId w:val="7"/>
  </w:num>
  <w:num w:numId="20">
    <w:abstractNumId w:val="19"/>
  </w:num>
  <w:num w:numId="21">
    <w:abstractNumId w:val="3"/>
  </w:num>
  <w:num w:numId="22">
    <w:abstractNumId w:val="10"/>
  </w:num>
  <w:num w:numId="23">
    <w:abstractNumId w:val="16"/>
  </w:num>
  <w:num w:numId="24">
    <w:abstractNumId w:val="6"/>
  </w:num>
  <w:num w:numId="25">
    <w:abstractNumId w:val="18"/>
  </w:num>
  <w:num w:numId="26">
    <w:abstractNumId w:val="12"/>
  </w:num>
  <w:num w:numId="27">
    <w:abstractNumId w:val="2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B"/>
    <w:rsid w:val="00023BCF"/>
    <w:rsid w:val="00027DFB"/>
    <w:rsid w:val="00080892"/>
    <w:rsid w:val="00083964"/>
    <w:rsid w:val="000B0029"/>
    <w:rsid w:val="000B19B7"/>
    <w:rsid w:val="000D3ACC"/>
    <w:rsid w:val="000E6F70"/>
    <w:rsid w:val="00193D69"/>
    <w:rsid w:val="001A37B4"/>
    <w:rsid w:val="001B280F"/>
    <w:rsid w:val="002B5125"/>
    <w:rsid w:val="002B71A2"/>
    <w:rsid w:val="002C7A9A"/>
    <w:rsid w:val="002D20DB"/>
    <w:rsid w:val="002D49FB"/>
    <w:rsid w:val="00303B94"/>
    <w:rsid w:val="00312933"/>
    <w:rsid w:val="0032060F"/>
    <w:rsid w:val="003B414A"/>
    <w:rsid w:val="003C6CDA"/>
    <w:rsid w:val="003F068C"/>
    <w:rsid w:val="00415FDE"/>
    <w:rsid w:val="00474090"/>
    <w:rsid w:val="004F1DFE"/>
    <w:rsid w:val="00546490"/>
    <w:rsid w:val="005505D8"/>
    <w:rsid w:val="00764E2A"/>
    <w:rsid w:val="007E62D1"/>
    <w:rsid w:val="008A3FA2"/>
    <w:rsid w:val="009160EF"/>
    <w:rsid w:val="009437FB"/>
    <w:rsid w:val="00957385"/>
    <w:rsid w:val="00964901"/>
    <w:rsid w:val="0099281D"/>
    <w:rsid w:val="0099717F"/>
    <w:rsid w:val="009D40FF"/>
    <w:rsid w:val="00A140BC"/>
    <w:rsid w:val="00A309DA"/>
    <w:rsid w:val="00A3168F"/>
    <w:rsid w:val="00A34EE0"/>
    <w:rsid w:val="00A422ED"/>
    <w:rsid w:val="00A807BF"/>
    <w:rsid w:val="00AA05CE"/>
    <w:rsid w:val="00AE1A19"/>
    <w:rsid w:val="00B760B5"/>
    <w:rsid w:val="00BC358F"/>
    <w:rsid w:val="00BD3FC0"/>
    <w:rsid w:val="00C46D82"/>
    <w:rsid w:val="00C555C2"/>
    <w:rsid w:val="00C87F0F"/>
    <w:rsid w:val="00CD01F3"/>
    <w:rsid w:val="00D26816"/>
    <w:rsid w:val="00D500DD"/>
    <w:rsid w:val="00D57C7A"/>
    <w:rsid w:val="00DA2449"/>
    <w:rsid w:val="00DB1F66"/>
    <w:rsid w:val="00E10082"/>
    <w:rsid w:val="00E31ACB"/>
    <w:rsid w:val="00E51015"/>
    <w:rsid w:val="00EB29CE"/>
    <w:rsid w:val="00EB3F2D"/>
    <w:rsid w:val="00EE027D"/>
    <w:rsid w:val="00F42D54"/>
    <w:rsid w:val="00FA5FF0"/>
    <w:rsid w:val="00FE7A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BF70"/>
  <w15:chartTrackingRefBased/>
  <w15:docId w15:val="{7D144D6E-C180-4B65-B56E-2DF73B17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0DB"/>
    <w:pPr>
      <w:spacing w:after="0"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2D20DB"/>
    <w:pPr>
      <w:keepNext/>
      <w:spacing w:after="0" w:line="240" w:lineRule="auto"/>
      <w:jc w:val="both"/>
      <w:outlineLvl w:val="0"/>
    </w:pPr>
    <w:rPr>
      <w:rFonts w:ascii="Arial" w:eastAsia="Times New Roman" w:hAnsi="Arial" w:cs="Times New Roman"/>
      <w:caps/>
      <w:sz w:val="20"/>
      <w:szCs w:val="20"/>
      <w:lang w:val="en-US"/>
    </w:rPr>
  </w:style>
  <w:style w:type="paragraph" w:styleId="Heading2">
    <w:name w:val="heading 2"/>
    <w:aliases w:val="VARIETY,variety"/>
    <w:next w:val="Normal"/>
    <w:link w:val="Heading2Char"/>
    <w:autoRedefine/>
    <w:qFormat/>
    <w:rsid w:val="002D20DB"/>
    <w:pPr>
      <w:keepNext/>
      <w:spacing w:after="0" w:line="240" w:lineRule="auto"/>
      <w:jc w:val="both"/>
      <w:outlineLvl w:val="1"/>
    </w:pPr>
    <w:rPr>
      <w:rFonts w:ascii="Arial" w:eastAsia="Times New Roman" w:hAnsi="Arial" w:cs="Times New Roman"/>
      <w:sz w:val="20"/>
      <w:szCs w:val="20"/>
      <w:u w:val="single"/>
      <w:lang w:val="en-US"/>
    </w:rPr>
  </w:style>
  <w:style w:type="paragraph" w:styleId="Heading3">
    <w:name w:val="heading 3"/>
    <w:next w:val="Normal"/>
    <w:link w:val="Heading3Char"/>
    <w:autoRedefine/>
    <w:qFormat/>
    <w:rsid w:val="009D40FF"/>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2D20DB"/>
    <w:pPr>
      <w:keepNext/>
      <w:spacing w:after="0" w:line="240" w:lineRule="auto"/>
      <w:ind w:left="567"/>
      <w:jc w:val="both"/>
      <w:outlineLvl w:val="3"/>
    </w:pPr>
    <w:rPr>
      <w:rFonts w:ascii="Arial" w:eastAsia="Times New Roman" w:hAnsi="Arial" w:cs="Times New Roman"/>
      <w:sz w:val="20"/>
      <w:szCs w:val="20"/>
      <w:u w:val="single"/>
      <w:lang w:val="fr-FR"/>
    </w:rPr>
  </w:style>
  <w:style w:type="paragraph" w:styleId="Heading5">
    <w:name w:val="heading 5"/>
    <w:next w:val="Normal"/>
    <w:link w:val="Heading5Char"/>
    <w:autoRedefine/>
    <w:qFormat/>
    <w:rsid w:val="002D20DB"/>
    <w:pPr>
      <w:keepNext/>
      <w:spacing w:after="0" w:line="240" w:lineRule="auto"/>
      <w:ind w:left="1134" w:hanging="567"/>
      <w:jc w:val="both"/>
      <w:outlineLvl w:val="4"/>
    </w:pPr>
    <w:rPr>
      <w:rFonts w:ascii="Arial" w:eastAsia="Times New Roman" w:hAnsi="Arial" w:cs="Times New Roman"/>
      <w:i/>
      <w:sz w:val="20"/>
      <w:szCs w:val="20"/>
      <w:lang w:val="en-US"/>
    </w:rPr>
  </w:style>
  <w:style w:type="paragraph" w:styleId="Heading6">
    <w:name w:val="heading 6"/>
    <w:basedOn w:val="Normal"/>
    <w:next w:val="Normal"/>
    <w:link w:val="Heading6Char"/>
    <w:qFormat/>
    <w:rsid w:val="002D20DB"/>
    <w:pPr>
      <w:outlineLvl w:val="5"/>
    </w:pPr>
    <w:rPr>
      <w:lang w:val="es-ES_tradnl"/>
    </w:rPr>
  </w:style>
  <w:style w:type="paragraph" w:styleId="Heading7">
    <w:name w:val="heading 7"/>
    <w:basedOn w:val="Normal"/>
    <w:next w:val="Normal"/>
    <w:link w:val="Heading7Char"/>
    <w:qFormat/>
    <w:rsid w:val="002D20DB"/>
    <w:pPr>
      <w:spacing w:before="240" w:after="60"/>
      <w:outlineLvl w:val="6"/>
    </w:pPr>
    <w:rPr>
      <w:szCs w:val="24"/>
    </w:rPr>
  </w:style>
  <w:style w:type="paragraph" w:styleId="Heading8">
    <w:name w:val="heading 8"/>
    <w:basedOn w:val="Normal"/>
    <w:next w:val="Normal"/>
    <w:link w:val="Heading8Char"/>
    <w:qFormat/>
    <w:rsid w:val="002D20DB"/>
    <w:pPr>
      <w:keepNext/>
      <w:jc w:val="center"/>
      <w:outlineLvl w:val="7"/>
    </w:pPr>
    <w:rPr>
      <w:u w:val="single"/>
    </w:rPr>
  </w:style>
  <w:style w:type="paragraph" w:styleId="Heading9">
    <w:name w:val="heading 9"/>
    <w:basedOn w:val="Normal"/>
    <w:next w:val="Normal"/>
    <w:link w:val="Heading9Char"/>
    <w:qFormat/>
    <w:rsid w:val="002D20D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DB"/>
    <w:rPr>
      <w:rFonts w:ascii="Arial" w:eastAsia="Times New Roman" w:hAnsi="Arial" w:cs="Times New Roman"/>
      <w:caps/>
      <w:sz w:val="20"/>
      <w:szCs w:val="20"/>
      <w:lang w:val="en-US"/>
    </w:rPr>
  </w:style>
  <w:style w:type="character" w:customStyle="1" w:styleId="Heading2Char">
    <w:name w:val="Heading 2 Char"/>
    <w:aliases w:val="VARIETY Char,variety Char"/>
    <w:basedOn w:val="DefaultParagraphFont"/>
    <w:link w:val="Heading2"/>
    <w:rsid w:val="002D20DB"/>
    <w:rPr>
      <w:rFonts w:ascii="Arial" w:eastAsia="Times New Roman" w:hAnsi="Arial" w:cs="Times New Roman"/>
      <w:sz w:val="20"/>
      <w:szCs w:val="20"/>
      <w:u w:val="single"/>
      <w:lang w:val="en-US"/>
    </w:rPr>
  </w:style>
  <w:style w:type="character" w:customStyle="1" w:styleId="Heading3Char">
    <w:name w:val="Heading 3 Char"/>
    <w:basedOn w:val="DefaultParagraphFont"/>
    <w:link w:val="Heading3"/>
    <w:rsid w:val="009D40FF"/>
    <w:rPr>
      <w:rFonts w:ascii="Arial" w:eastAsia="Times New Roman" w:hAnsi="Arial" w:cs="Times New Roman"/>
      <w:i/>
      <w:sz w:val="20"/>
      <w:szCs w:val="20"/>
    </w:rPr>
  </w:style>
  <w:style w:type="character" w:customStyle="1" w:styleId="Heading4Char">
    <w:name w:val="Heading 4 Char"/>
    <w:basedOn w:val="DefaultParagraphFont"/>
    <w:link w:val="Heading4"/>
    <w:rsid w:val="002D20DB"/>
    <w:rPr>
      <w:rFonts w:ascii="Arial" w:eastAsia="Times New Roman" w:hAnsi="Arial" w:cs="Times New Roman"/>
      <w:sz w:val="20"/>
      <w:szCs w:val="20"/>
      <w:u w:val="single"/>
      <w:lang w:val="fr-FR"/>
    </w:rPr>
  </w:style>
  <w:style w:type="character" w:customStyle="1" w:styleId="Heading5Char">
    <w:name w:val="Heading 5 Char"/>
    <w:basedOn w:val="DefaultParagraphFont"/>
    <w:link w:val="Heading5"/>
    <w:rsid w:val="002D20DB"/>
    <w:rPr>
      <w:rFonts w:ascii="Arial" w:eastAsia="Times New Roman" w:hAnsi="Arial" w:cs="Times New Roman"/>
      <w:i/>
      <w:sz w:val="20"/>
      <w:szCs w:val="20"/>
      <w:lang w:val="en-US"/>
    </w:rPr>
  </w:style>
  <w:style w:type="character" w:customStyle="1" w:styleId="Heading6Char">
    <w:name w:val="Heading 6 Char"/>
    <w:basedOn w:val="DefaultParagraphFont"/>
    <w:link w:val="Heading6"/>
    <w:rsid w:val="002D20DB"/>
    <w:rPr>
      <w:rFonts w:ascii="Arial" w:eastAsia="Times New Roman" w:hAnsi="Arial" w:cs="Times New Roman"/>
      <w:sz w:val="20"/>
      <w:szCs w:val="20"/>
      <w:lang w:val="es-ES_tradnl"/>
    </w:rPr>
  </w:style>
  <w:style w:type="character" w:customStyle="1" w:styleId="Heading7Char">
    <w:name w:val="Heading 7 Char"/>
    <w:basedOn w:val="DefaultParagraphFont"/>
    <w:link w:val="Heading7"/>
    <w:rsid w:val="002D20DB"/>
    <w:rPr>
      <w:rFonts w:ascii="Arial" w:eastAsia="Times New Roman" w:hAnsi="Arial" w:cs="Times New Roman"/>
      <w:sz w:val="20"/>
      <w:szCs w:val="24"/>
      <w:lang w:val="en-US"/>
    </w:rPr>
  </w:style>
  <w:style w:type="character" w:customStyle="1" w:styleId="Heading8Char">
    <w:name w:val="Heading 8 Char"/>
    <w:basedOn w:val="DefaultParagraphFont"/>
    <w:link w:val="Heading8"/>
    <w:rsid w:val="002D20DB"/>
    <w:rPr>
      <w:rFonts w:ascii="Arial" w:eastAsia="Times New Roman" w:hAnsi="Arial" w:cs="Times New Roman"/>
      <w:sz w:val="20"/>
      <w:szCs w:val="20"/>
      <w:u w:val="single"/>
      <w:lang w:val="en-US"/>
    </w:rPr>
  </w:style>
  <w:style w:type="character" w:customStyle="1" w:styleId="Heading9Char">
    <w:name w:val="Heading 9 Char"/>
    <w:basedOn w:val="DefaultParagraphFont"/>
    <w:link w:val="Heading9"/>
    <w:rsid w:val="002D20DB"/>
    <w:rPr>
      <w:rFonts w:ascii="Arial" w:eastAsia="Times New Roman" w:hAnsi="Arial" w:cs="Times New Roman"/>
      <w:i/>
      <w:sz w:val="18"/>
      <w:szCs w:val="20"/>
      <w:lang w:val="en-US"/>
    </w:rPr>
  </w:style>
  <w:style w:type="paragraph" w:styleId="Header">
    <w:name w:val="header"/>
    <w:link w:val="HeaderChar"/>
    <w:uiPriority w:val="99"/>
    <w:rsid w:val="002D20DB"/>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uiPriority w:val="99"/>
    <w:rsid w:val="002D20DB"/>
    <w:rPr>
      <w:rFonts w:ascii="Arial" w:eastAsia="Times New Roman" w:hAnsi="Arial" w:cs="Times New Roman"/>
      <w:sz w:val="20"/>
      <w:szCs w:val="20"/>
      <w:lang w:val="fr-FR"/>
    </w:rPr>
  </w:style>
  <w:style w:type="paragraph" w:styleId="Footer">
    <w:name w:val="footer"/>
    <w:aliases w:val="doc_path_name"/>
    <w:link w:val="FooterChar"/>
    <w:autoRedefine/>
    <w:rsid w:val="002D20DB"/>
    <w:pPr>
      <w:spacing w:after="0" w:line="240" w:lineRule="auto"/>
      <w:jc w:val="both"/>
    </w:pPr>
    <w:rPr>
      <w:rFonts w:ascii="Arial" w:eastAsia="Times New Roman" w:hAnsi="Arial" w:cs="Times New Roman"/>
      <w:sz w:val="14"/>
      <w:szCs w:val="20"/>
      <w:lang w:val="en-US"/>
    </w:rPr>
  </w:style>
  <w:style w:type="character" w:customStyle="1" w:styleId="FooterChar">
    <w:name w:val="Footer Char"/>
    <w:aliases w:val="doc_path_name Char"/>
    <w:basedOn w:val="DefaultParagraphFont"/>
    <w:link w:val="Footer"/>
    <w:rsid w:val="002D20DB"/>
    <w:rPr>
      <w:rFonts w:ascii="Arial" w:eastAsia="Times New Roman" w:hAnsi="Arial" w:cs="Times New Roman"/>
      <w:sz w:val="14"/>
      <w:szCs w:val="20"/>
      <w:lang w:val="en-US"/>
    </w:rPr>
  </w:style>
  <w:style w:type="character" w:styleId="PageNumber">
    <w:name w:val="page number"/>
    <w:basedOn w:val="DefaultParagraphFont"/>
    <w:rsid w:val="002D20DB"/>
    <w:rPr>
      <w:rFonts w:ascii="Arial" w:hAnsi="Arial"/>
      <w:sz w:val="20"/>
    </w:rPr>
  </w:style>
  <w:style w:type="paragraph" w:styleId="Title">
    <w:name w:val="Title"/>
    <w:basedOn w:val="Normal"/>
    <w:link w:val="TitleChar"/>
    <w:qFormat/>
    <w:rsid w:val="002D20DB"/>
    <w:pPr>
      <w:spacing w:after="300"/>
      <w:jc w:val="center"/>
    </w:pPr>
    <w:rPr>
      <w:b/>
      <w:caps/>
      <w:kern w:val="28"/>
      <w:sz w:val="30"/>
    </w:rPr>
  </w:style>
  <w:style w:type="character" w:customStyle="1" w:styleId="TitleChar">
    <w:name w:val="Title Char"/>
    <w:basedOn w:val="DefaultParagraphFont"/>
    <w:link w:val="Title"/>
    <w:rsid w:val="002D20DB"/>
    <w:rPr>
      <w:rFonts w:ascii="Arial" w:eastAsia="Times New Roman" w:hAnsi="Arial" w:cs="Times New Roman"/>
      <w:b/>
      <w:caps/>
      <w:kern w:val="28"/>
      <w:sz w:val="30"/>
      <w:szCs w:val="20"/>
      <w:lang w:val="en-US"/>
    </w:rPr>
  </w:style>
  <w:style w:type="paragraph" w:customStyle="1" w:styleId="preparedby">
    <w:name w:val="preparedby"/>
    <w:basedOn w:val="Normal"/>
    <w:next w:val="Normal"/>
    <w:rsid w:val="002D20DB"/>
    <w:pPr>
      <w:spacing w:after="600"/>
      <w:jc w:val="center"/>
    </w:pPr>
    <w:rPr>
      <w:i/>
    </w:rPr>
  </w:style>
  <w:style w:type="paragraph" w:customStyle="1" w:styleId="Docoriginal">
    <w:name w:val="Doc_original"/>
    <w:basedOn w:val="Code"/>
    <w:link w:val="DocoriginalChar"/>
    <w:rsid w:val="002D20DB"/>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D20DB"/>
    <w:pPr>
      <w:tabs>
        <w:tab w:val="left" w:pos="5387"/>
      </w:tabs>
      <w:ind w:left="4820"/>
    </w:pPr>
    <w:rPr>
      <w:i/>
    </w:rPr>
  </w:style>
  <w:style w:type="paragraph" w:styleId="FootnoteText">
    <w:name w:val="footnote text"/>
    <w:link w:val="FootnoteTextChar"/>
    <w:autoRedefine/>
    <w:rsid w:val="002D20DB"/>
    <w:pPr>
      <w:spacing w:before="60" w:after="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rsid w:val="002D20DB"/>
    <w:rPr>
      <w:rFonts w:ascii="Arial" w:eastAsia="Times New Roman" w:hAnsi="Arial" w:cs="Times New Roman"/>
      <w:sz w:val="16"/>
      <w:szCs w:val="20"/>
      <w:lang w:val="en-US"/>
    </w:rPr>
  </w:style>
  <w:style w:type="character" w:styleId="FootnoteReference">
    <w:name w:val="footnote reference"/>
    <w:basedOn w:val="DefaultParagraphFont"/>
    <w:rsid w:val="002D20DB"/>
    <w:rPr>
      <w:vertAlign w:val="superscript"/>
    </w:rPr>
  </w:style>
  <w:style w:type="paragraph" w:styleId="Closing">
    <w:name w:val="Closing"/>
    <w:basedOn w:val="Normal"/>
    <w:link w:val="ClosingChar"/>
    <w:rsid w:val="002D20DB"/>
    <w:pPr>
      <w:ind w:left="4536"/>
      <w:jc w:val="center"/>
    </w:pPr>
  </w:style>
  <w:style w:type="character" w:customStyle="1" w:styleId="ClosingChar">
    <w:name w:val="Closing Char"/>
    <w:basedOn w:val="DefaultParagraphFont"/>
    <w:link w:val="Closing"/>
    <w:rsid w:val="002D20DB"/>
    <w:rPr>
      <w:rFonts w:ascii="Arial" w:eastAsia="Times New Roman" w:hAnsi="Arial" w:cs="Times New Roman"/>
      <w:sz w:val="20"/>
      <w:szCs w:val="20"/>
      <w:lang w:val="en-US"/>
    </w:rPr>
  </w:style>
  <w:style w:type="paragraph" w:styleId="Index1">
    <w:name w:val="index 1"/>
    <w:basedOn w:val="Normal"/>
    <w:next w:val="Normal"/>
    <w:semiHidden/>
    <w:rsid w:val="002D20DB"/>
    <w:pPr>
      <w:tabs>
        <w:tab w:val="right" w:leader="dot" w:pos="9071"/>
      </w:tabs>
      <w:ind w:left="284" w:hanging="284"/>
    </w:pPr>
    <w:rPr>
      <w:sz w:val="24"/>
    </w:rPr>
  </w:style>
  <w:style w:type="paragraph" w:styleId="Index2">
    <w:name w:val="index 2"/>
    <w:basedOn w:val="Normal"/>
    <w:next w:val="Normal"/>
    <w:semiHidden/>
    <w:rsid w:val="002D20DB"/>
    <w:pPr>
      <w:tabs>
        <w:tab w:val="right" w:leader="dot" w:pos="9071"/>
      </w:tabs>
      <w:ind w:left="568" w:hanging="284"/>
    </w:pPr>
    <w:rPr>
      <w:sz w:val="24"/>
    </w:rPr>
  </w:style>
  <w:style w:type="paragraph" w:styleId="Index3">
    <w:name w:val="index 3"/>
    <w:basedOn w:val="Normal"/>
    <w:next w:val="Normal"/>
    <w:semiHidden/>
    <w:rsid w:val="002D20DB"/>
    <w:pPr>
      <w:tabs>
        <w:tab w:val="right" w:leader="dot" w:pos="9071"/>
      </w:tabs>
      <w:ind w:left="851" w:hanging="284"/>
    </w:pPr>
    <w:rPr>
      <w:sz w:val="24"/>
    </w:rPr>
  </w:style>
  <w:style w:type="paragraph" w:styleId="MacroText">
    <w:name w:val="macro"/>
    <w:link w:val="MacroTextChar"/>
    <w:semiHidden/>
    <w:rsid w:val="002D20D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rPr>
  </w:style>
  <w:style w:type="character" w:customStyle="1" w:styleId="MacroTextChar">
    <w:name w:val="Macro Text Char"/>
    <w:basedOn w:val="DefaultParagraphFont"/>
    <w:link w:val="MacroText"/>
    <w:semiHidden/>
    <w:rsid w:val="002D20DB"/>
    <w:rPr>
      <w:rFonts w:ascii="Courier New" w:eastAsia="Times New Roman" w:hAnsi="Courier New" w:cs="Times New Roman"/>
      <w:sz w:val="16"/>
      <w:szCs w:val="20"/>
      <w:lang w:val="en-US"/>
    </w:rPr>
  </w:style>
  <w:style w:type="paragraph" w:styleId="Signature">
    <w:name w:val="Signature"/>
    <w:basedOn w:val="Normal"/>
    <w:link w:val="SignatureChar"/>
    <w:rsid w:val="002D20DB"/>
    <w:pPr>
      <w:ind w:left="4536"/>
      <w:jc w:val="center"/>
    </w:pPr>
  </w:style>
  <w:style w:type="character" w:customStyle="1" w:styleId="SignatureChar">
    <w:name w:val="Signature Char"/>
    <w:basedOn w:val="DefaultParagraphFont"/>
    <w:link w:val="Signature"/>
    <w:rsid w:val="002D20DB"/>
    <w:rPr>
      <w:rFonts w:ascii="Arial" w:eastAsia="Times New Roman" w:hAnsi="Arial" w:cs="Times New Roman"/>
      <w:sz w:val="20"/>
      <w:szCs w:val="20"/>
      <w:lang w:val="en-US"/>
    </w:rPr>
  </w:style>
  <w:style w:type="character" w:customStyle="1" w:styleId="Doclang">
    <w:name w:val="Doc_lang"/>
    <w:basedOn w:val="DefaultParagraphFont"/>
    <w:rsid w:val="002D20DB"/>
    <w:rPr>
      <w:rFonts w:ascii="Arial" w:hAnsi="Arial"/>
      <w:sz w:val="20"/>
      <w:lang w:val="en-US"/>
    </w:rPr>
  </w:style>
  <w:style w:type="paragraph" w:customStyle="1" w:styleId="Session">
    <w:name w:val="Session"/>
    <w:basedOn w:val="Normal"/>
    <w:rsid w:val="002D20DB"/>
    <w:pPr>
      <w:spacing w:before="60"/>
      <w:jc w:val="center"/>
    </w:pPr>
    <w:rPr>
      <w:b/>
    </w:rPr>
  </w:style>
  <w:style w:type="paragraph" w:customStyle="1" w:styleId="Organizer">
    <w:name w:val="Organizer"/>
    <w:basedOn w:val="Normal"/>
    <w:rsid w:val="002D20DB"/>
    <w:pPr>
      <w:spacing w:after="600"/>
      <w:ind w:left="-993" w:right="-994"/>
      <w:jc w:val="center"/>
    </w:pPr>
    <w:rPr>
      <w:b/>
      <w:caps/>
      <w:kern w:val="26"/>
      <w:sz w:val="26"/>
    </w:rPr>
  </w:style>
  <w:style w:type="paragraph" w:styleId="BodyText">
    <w:name w:val="Body Text"/>
    <w:basedOn w:val="Normal"/>
    <w:link w:val="BodyTextChar"/>
    <w:rsid w:val="002D20DB"/>
  </w:style>
  <w:style w:type="character" w:customStyle="1" w:styleId="BodyTextChar">
    <w:name w:val="Body Text Char"/>
    <w:basedOn w:val="DefaultParagraphFont"/>
    <w:link w:val="BodyText"/>
    <w:rsid w:val="002D20DB"/>
    <w:rPr>
      <w:rFonts w:ascii="Arial" w:eastAsia="Times New Roman" w:hAnsi="Arial" w:cs="Times New Roman"/>
      <w:sz w:val="20"/>
      <w:szCs w:val="20"/>
      <w:lang w:val="en-US"/>
    </w:rPr>
  </w:style>
  <w:style w:type="paragraph" w:customStyle="1" w:styleId="Disclaimer">
    <w:name w:val="Disclaimer"/>
    <w:next w:val="Normal"/>
    <w:qFormat/>
    <w:rsid w:val="002D20DB"/>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2D20DB"/>
    <w:pPr>
      <w:spacing w:before="120"/>
    </w:pPr>
    <w:rPr>
      <w:sz w:val="16"/>
    </w:rPr>
  </w:style>
  <w:style w:type="paragraph" w:customStyle="1" w:styleId="TitleofDoc">
    <w:name w:val="Title of Doc"/>
    <w:basedOn w:val="Normal"/>
    <w:rsid w:val="002D20DB"/>
    <w:pPr>
      <w:spacing w:before="1200"/>
      <w:jc w:val="center"/>
    </w:pPr>
    <w:rPr>
      <w:caps/>
    </w:rPr>
  </w:style>
  <w:style w:type="paragraph" w:customStyle="1" w:styleId="preparedby0">
    <w:name w:val="prepared by"/>
    <w:basedOn w:val="Normal"/>
    <w:semiHidden/>
    <w:rsid w:val="002D20DB"/>
    <w:pPr>
      <w:spacing w:before="600" w:after="600"/>
      <w:jc w:val="center"/>
    </w:pPr>
    <w:rPr>
      <w:i/>
    </w:rPr>
  </w:style>
  <w:style w:type="paragraph" w:customStyle="1" w:styleId="PlaceAndDate">
    <w:name w:val="PlaceAndDate"/>
    <w:basedOn w:val="Session"/>
    <w:rsid w:val="002D20DB"/>
  </w:style>
  <w:style w:type="paragraph" w:styleId="EndnoteText">
    <w:name w:val="endnote text"/>
    <w:basedOn w:val="Normal"/>
    <w:link w:val="EndnoteTextChar"/>
    <w:rsid w:val="002D20DB"/>
  </w:style>
  <w:style w:type="character" w:customStyle="1" w:styleId="EndnoteTextChar">
    <w:name w:val="Endnote Text Char"/>
    <w:basedOn w:val="DefaultParagraphFont"/>
    <w:link w:val="EndnoteText"/>
    <w:rsid w:val="002D20DB"/>
    <w:rPr>
      <w:rFonts w:ascii="Arial" w:eastAsia="Times New Roman" w:hAnsi="Arial" w:cs="Times New Roman"/>
      <w:sz w:val="20"/>
      <w:szCs w:val="20"/>
      <w:lang w:val="en-US"/>
    </w:rPr>
  </w:style>
  <w:style w:type="character" w:styleId="EndnoteReference">
    <w:name w:val="endnote reference"/>
    <w:basedOn w:val="DefaultParagraphFont"/>
    <w:rsid w:val="002D20DB"/>
    <w:rPr>
      <w:vertAlign w:val="superscript"/>
    </w:rPr>
  </w:style>
  <w:style w:type="paragraph" w:customStyle="1" w:styleId="SessionMeetingPlace">
    <w:name w:val="Session_MeetingPlace"/>
    <w:basedOn w:val="Normal"/>
    <w:semiHidden/>
    <w:rsid w:val="002D20DB"/>
    <w:pPr>
      <w:spacing w:before="480"/>
      <w:jc w:val="center"/>
    </w:pPr>
    <w:rPr>
      <w:b/>
      <w:bCs/>
      <w:kern w:val="28"/>
      <w:sz w:val="24"/>
    </w:rPr>
  </w:style>
  <w:style w:type="paragraph" w:customStyle="1" w:styleId="Original">
    <w:name w:val="Original"/>
    <w:basedOn w:val="Normal"/>
    <w:rsid w:val="002D20DB"/>
    <w:pPr>
      <w:spacing w:before="60"/>
      <w:ind w:left="1276"/>
    </w:pPr>
    <w:rPr>
      <w:b/>
      <w:sz w:val="22"/>
    </w:rPr>
  </w:style>
  <w:style w:type="paragraph" w:styleId="Date">
    <w:name w:val="Date"/>
    <w:basedOn w:val="Normal"/>
    <w:link w:val="DateChar"/>
    <w:rsid w:val="002D20DB"/>
    <w:pPr>
      <w:spacing w:line="340" w:lineRule="exact"/>
      <w:ind w:left="1276"/>
    </w:pPr>
    <w:rPr>
      <w:b/>
      <w:sz w:val="22"/>
    </w:rPr>
  </w:style>
  <w:style w:type="character" w:customStyle="1" w:styleId="DateChar">
    <w:name w:val="Date Char"/>
    <w:basedOn w:val="DefaultParagraphFont"/>
    <w:link w:val="Date"/>
    <w:rsid w:val="002D20DB"/>
    <w:rPr>
      <w:rFonts w:ascii="Arial" w:eastAsia="Times New Roman" w:hAnsi="Arial" w:cs="Times New Roman"/>
      <w:b/>
      <w:szCs w:val="20"/>
      <w:lang w:val="en-US"/>
    </w:rPr>
  </w:style>
  <w:style w:type="paragraph" w:customStyle="1" w:styleId="Code">
    <w:name w:val="Code"/>
    <w:basedOn w:val="Normal"/>
    <w:link w:val="CodeChar"/>
    <w:semiHidden/>
    <w:rsid w:val="002D20DB"/>
    <w:pPr>
      <w:spacing w:line="340" w:lineRule="atLeast"/>
      <w:ind w:left="1276"/>
    </w:pPr>
    <w:rPr>
      <w:b/>
      <w:bCs/>
      <w:spacing w:val="10"/>
    </w:rPr>
  </w:style>
  <w:style w:type="paragraph" w:customStyle="1" w:styleId="Country">
    <w:name w:val="Country"/>
    <w:basedOn w:val="Normal"/>
    <w:semiHidden/>
    <w:rsid w:val="002D20DB"/>
    <w:pPr>
      <w:spacing w:before="60" w:after="480"/>
      <w:jc w:val="center"/>
    </w:pPr>
  </w:style>
  <w:style w:type="paragraph" w:customStyle="1" w:styleId="Lettrine">
    <w:name w:val="Lettrine"/>
    <w:basedOn w:val="Normal"/>
    <w:rsid w:val="002D20DB"/>
    <w:pPr>
      <w:spacing w:line="340" w:lineRule="atLeast"/>
      <w:jc w:val="right"/>
    </w:pPr>
    <w:rPr>
      <w:b/>
      <w:bCs/>
      <w:sz w:val="36"/>
    </w:rPr>
  </w:style>
  <w:style w:type="paragraph" w:customStyle="1" w:styleId="LogoUPOV">
    <w:name w:val="LogoUPOV"/>
    <w:basedOn w:val="Normal"/>
    <w:rsid w:val="002D20DB"/>
    <w:pPr>
      <w:spacing w:before="600" w:after="80"/>
      <w:jc w:val="center"/>
    </w:pPr>
    <w:rPr>
      <w:snapToGrid w:val="0"/>
    </w:rPr>
  </w:style>
  <w:style w:type="paragraph" w:customStyle="1" w:styleId="Sessiontc">
    <w:name w:val="Session_tc"/>
    <w:basedOn w:val="StyleSessionAllcaps"/>
    <w:rsid w:val="002D20DB"/>
    <w:pPr>
      <w:spacing w:before="0" w:line="280" w:lineRule="exact"/>
      <w:jc w:val="left"/>
    </w:pPr>
    <w:rPr>
      <w:caps w:val="0"/>
      <w:sz w:val="20"/>
    </w:rPr>
  </w:style>
  <w:style w:type="paragraph" w:customStyle="1" w:styleId="TitreUpov">
    <w:name w:val="TitreUpov"/>
    <w:basedOn w:val="Normal"/>
    <w:semiHidden/>
    <w:rsid w:val="002D20DB"/>
    <w:pPr>
      <w:spacing w:before="60"/>
      <w:jc w:val="center"/>
    </w:pPr>
    <w:rPr>
      <w:b/>
      <w:sz w:val="24"/>
    </w:rPr>
  </w:style>
  <w:style w:type="paragraph" w:customStyle="1" w:styleId="StyleSessionAllcaps">
    <w:name w:val="Style Session + All caps"/>
    <w:basedOn w:val="Session"/>
    <w:semiHidden/>
    <w:rsid w:val="002D20DB"/>
    <w:pPr>
      <w:spacing w:before="480"/>
    </w:pPr>
    <w:rPr>
      <w:bCs/>
      <w:caps/>
      <w:kern w:val="28"/>
      <w:sz w:val="24"/>
    </w:rPr>
  </w:style>
  <w:style w:type="paragraph" w:customStyle="1" w:styleId="plcountry">
    <w:name w:val="plcountry"/>
    <w:basedOn w:val="Normal"/>
    <w:link w:val="plcountryChar"/>
    <w:rsid w:val="002D20DB"/>
    <w:pPr>
      <w:keepNext/>
      <w:keepLines/>
      <w:spacing w:before="180" w:after="120"/>
      <w:jc w:val="left"/>
    </w:pPr>
    <w:rPr>
      <w:caps/>
      <w:noProof/>
      <w:snapToGrid w:val="0"/>
      <w:u w:val="single"/>
    </w:rPr>
  </w:style>
  <w:style w:type="paragraph" w:customStyle="1" w:styleId="pldetails">
    <w:name w:val="pldetails"/>
    <w:basedOn w:val="Normal"/>
    <w:link w:val="pldetailsChar"/>
    <w:rsid w:val="002D20DB"/>
    <w:pPr>
      <w:keepLines/>
      <w:spacing w:before="60" w:after="60"/>
      <w:jc w:val="left"/>
    </w:pPr>
    <w:rPr>
      <w:noProof/>
      <w:snapToGrid w:val="0"/>
    </w:rPr>
  </w:style>
  <w:style w:type="paragraph" w:customStyle="1" w:styleId="plheading">
    <w:name w:val="plheading"/>
    <w:basedOn w:val="Normal"/>
    <w:rsid w:val="002D20DB"/>
    <w:pPr>
      <w:keepNext/>
      <w:spacing w:before="480" w:after="120"/>
      <w:jc w:val="center"/>
    </w:pPr>
    <w:rPr>
      <w:caps/>
      <w:snapToGrid w:val="0"/>
      <w:u w:val="single"/>
    </w:rPr>
  </w:style>
  <w:style w:type="paragraph" w:customStyle="1" w:styleId="Sessiontcplacedate">
    <w:name w:val="Session_tc_place_date"/>
    <w:basedOn w:val="SessionMeetingPlace"/>
    <w:rsid w:val="002D20DB"/>
    <w:pPr>
      <w:spacing w:before="240"/>
      <w:contextualSpacing/>
      <w:jc w:val="left"/>
    </w:pPr>
    <w:rPr>
      <w:sz w:val="20"/>
    </w:rPr>
  </w:style>
  <w:style w:type="paragraph" w:customStyle="1" w:styleId="Titleofdoc0">
    <w:name w:val="Title_of_doc"/>
    <w:basedOn w:val="TitleofDoc"/>
    <w:rsid w:val="002D20DB"/>
    <w:pPr>
      <w:spacing w:before="600" w:after="240"/>
      <w:jc w:val="left"/>
    </w:pPr>
    <w:rPr>
      <w:b/>
    </w:rPr>
  </w:style>
  <w:style w:type="paragraph" w:customStyle="1" w:styleId="preparedby1">
    <w:name w:val="prepared_by"/>
    <w:basedOn w:val="preparedby0"/>
    <w:rsid w:val="002D20DB"/>
    <w:pPr>
      <w:spacing w:before="0" w:after="240"/>
    </w:pPr>
    <w:rPr>
      <w:iCs/>
    </w:rPr>
  </w:style>
  <w:style w:type="character" w:customStyle="1" w:styleId="CodeChar">
    <w:name w:val="Code Char"/>
    <w:basedOn w:val="DefaultParagraphFont"/>
    <w:link w:val="Code"/>
    <w:semiHidden/>
    <w:rsid w:val="002D20DB"/>
    <w:rPr>
      <w:rFonts w:ascii="Arial" w:eastAsia="Times New Roman" w:hAnsi="Arial" w:cs="Times New Roman"/>
      <w:b/>
      <w:bCs/>
      <w:spacing w:val="10"/>
      <w:sz w:val="20"/>
      <w:szCs w:val="20"/>
      <w:lang w:val="en-US"/>
    </w:rPr>
  </w:style>
  <w:style w:type="paragraph" w:customStyle="1" w:styleId="endofdoc">
    <w:name w:val="end_of_doc"/>
    <w:next w:val="Header"/>
    <w:autoRedefine/>
    <w:rsid w:val="002D20DB"/>
    <w:pPr>
      <w:spacing w:before="480" w:after="0" w:line="240" w:lineRule="auto"/>
      <w:ind w:left="567" w:hanging="567"/>
      <w:jc w:val="right"/>
    </w:pPr>
    <w:rPr>
      <w:rFonts w:ascii="Arial" w:eastAsia="Times New Roman" w:hAnsi="Arial" w:cs="Times New Roman"/>
      <w:sz w:val="20"/>
      <w:szCs w:val="20"/>
      <w:lang w:val="en-US"/>
    </w:rPr>
  </w:style>
  <w:style w:type="character" w:customStyle="1" w:styleId="DocoriginalChar">
    <w:name w:val="Doc_original Char"/>
    <w:basedOn w:val="CodeChar"/>
    <w:link w:val="Docoriginal"/>
    <w:rsid w:val="002D20DB"/>
    <w:rPr>
      <w:rFonts w:ascii="Arial" w:eastAsia="Times New Roman" w:hAnsi="Arial" w:cs="Times New Roman"/>
      <w:b/>
      <w:bCs/>
      <w:spacing w:val="10"/>
      <w:sz w:val="18"/>
      <w:szCs w:val="20"/>
      <w:lang w:val="en-US"/>
    </w:rPr>
  </w:style>
  <w:style w:type="paragraph" w:styleId="TOC2">
    <w:name w:val="toc 2"/>
    <w:next w:val="Normal"/>
    <w:autoRedefine/>
    <w:uiPriority w:val="39"/>
    <w:qFormat/>
    <w:rsid w:val="002D20DB"/>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rPr>
  </w:style>
  <w:style w:type="paragraph" w:styleId="TOC3">
    <w:name w:val="toc 3"/>
    <w:next w:val="Normal"/>
    <w:autoRedefine/>
    <w:uiPriority w:val="39"/>
    <w:qFormat/>
    <w:rsid w:val="002D20DB"/>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rPr>
  </w:style>
  <w:style w:type="character" w:styleId="Hyperlink">
    <w:name w:val="Hyperlink"/>
    <w:basedOn w:val="DefaultParagraphFont"/>
    <w:uiPriority w:val="99"/>
    <w:rsid w:val="002D20DB"/>
    <w:rPr>
      <w:rFonts w:ascii="Arial" w:hAnsi="Arial"/>
      <w:color w:val="0000FF"/>
      <w:u w:val="single"/>
    </w:rPr>
  </w:style>
  <w:style w:type="paragraph" w:styleId="TOC4">
    <w:name w:val="toc 4"/>
    <w:next w:val="Normal"/>
    <w:autoRedefine/>
    <w:rsid w:val="002D20DB"/>
    <w:pPr>
      <w:tabs>
        <w:tab w:val="right" w:leader="dot" w:pos="9639"/>
      </w:tabs>
      <w:spacing w:before="120" w:after="0" w:line="240" w:lineRule="auto"/>
      <w:ind w:left="738" w:right="851" w:hanging="284"/>
    </w:pPr>
    <w:rPr>
      <w:rFonts w:ascii="Arial" w:eastAsia="Times New Roman" w:hAnsi="Arial" w:cs="Times New Roman"/>
      <w:i/>
      <w:sz w:val="18"/>
      <w:szCs w:val="20"/>
      <w:lang w:val="fr-FR"/>
    </w:rPr>
  </w:style>
  <w:style w:type="paragraph" w:styleId="TOC1">
    <w:name w:val="toc 1"/>
    <w:next w:val="Normal"/>
    <w:autoRedefine/>
    <w:uiPriority w:val="39"/>
    <w:qFormat/>
    <w:rsid w:val="002D20DB"/>
    <w:pPr>
      <w:tabs>
        <w:tab w:val="right" w:leader="dot" w:pos="9639"/>
      </w:tabs>
      <w:spacing w:after="0" w:line="240" w:lineRule="auto"/>
      <w:contextualSpacing/>
      <w:jc w:val="center"/>
    </w:pPr>
    <w:rPr>
      <w:rFonts w:ascii="Arial" w:eastAsia="Times New Roman" w:hAnsi="Arial" w:cs="Times New Roman"/>
      <w:caps/>
      <w:sz w:val="20"/>
      <w:szCs w:val="20"/>
      <w:lang w:val="en-US"/>
    </w:rPr>
  </w:style>
  <w:style w:type="paragraph" w:styleId="TOC5">
    <w:name w:val="toc 5"/>
    <w:next w:val="Normal"/>
    <w:autoRedefine/>
    <w:rsid w:val="002D20DB"/>
    <w:pPr>
      <w:tabs>
        <w:tab w:val="right" w:leader="dot" w:pos="9639"/>
      </w:tabs>
      <w:spacing w:after="0" w:line="240" w:lineRule="auto"/>
      <w:ind w:left="567" w:right="851" w:firstLine="284"/>
      <w:jc w:val="both"/>
    </w:pPr>
    <w:rPr>
      <w:rFonts w:ascii="Arial" w:eastAsia="Times New Roman" w:hAnsi="Arial" w:cs="Times New Roman"/>
      <w:sz w:val="16"/>
      <w:szCs w:val="20"/>
      <w:lang w:val="fr-FR"/>
    </w:rPr>
  </w:style>
  <w:style w:type="paragraph" w:styleId="BalloonText">
    <w:name w:val="Balloon Text"/>
    <w:basedOn w:val="Normal"/>
    <w:link w:val="BalloonTextChar"/>
    <w:rsid w:val="002D20DB"/>
    <w:rPr>
      <w:rFonts w:ascii="Tahoma" w:hAnsi="Tahoma" w:cs="Tahoma"/>
      <w:sz w:val="16"/>
      <w:szCs w:val="16"/>
    </w:rPr>
  </w:style>
  <w:style w:type="character" w:customStyle="1" w:styleId="BalloonTextChar">
    <w:name w:val="Balloon Text Char"/>
    <w:basedOn w:val="DefaultParagraphFont"/>
    <w:link w:val="BalloonText"/>
    <w:rsid w:val="002D20DB"/>
    <w:rPr>
      <w:rFonts w:ascii="Tahoma" w:eastAsia="Times New Roman" w:hAnsi="Tahoma" w:cs="Tahoma"/>
      <w:sz w:val="16"/>
      <w:szCs w:val="16"/>
      <w:lang w:val="en-US"/>
    </w:rPr>
  </w:style>
  <w:style w:type="paragraph" w:customStyle="1" w:styleId="Doccode">
    <w:name w:val="Doc_code"/>
    <w:qFormat/>
    <w:rsid w:val="002D20DB"/>
    <w:pPr>
      <w:spacing w:after="0" w:line="240" w:lineRule="auto"/>
    </w:pPr>
    <w:rPr>
      <w:rFonts w:ascii="Arial" w:eastAsia="Times New Roman" w:hAnsi="Arial" w:cs="Times New Roman"/>
      <w:b/>
      <w:bCs/>
      <w:spacing w:val="10"/>
      <w:sz w:val="18"/>
      <w:szCs w:val="20"/>
      <w:lang w:val="en-US"/>
    </w:rPr>
  </w:style>
  <w:style w:type="paragraph" w:styleId="ListParagraph">
    <w:name w:val="List Paragraph"/>
    <w:basedOn w:val="Normal"/>
    <w:uiPriority w:val="34"/>
    <w:qFormat/>
    <w:rsid w:val="002D20DB"/>
    <w:pPr>
      <w:ind w:left="720"/>
      <w:contextualSpacing/>
    </w:pPr>
  </w:style>
  <w:style w:type="character" w:customStyle="1" w:styleId="DecisionParagraphsChar">
    <w:name w:val="DecisionParagraphs Char"/>
    <w:basedOn w:val="DefaultParagraphFont"/>
    <w:link w:val="DecisionParagraphs"/>
    <w:rsid w:val="002D20DB"/>
    <w:rPr>
      <w:rFonts w:ascii="Arial" w:eastAsia="Times New Roman" w:hAnsi="Arial" w:cs="Times New Roman"/>
      <w:i/>
      <w:sz w:val="20"/>
      <w:szCs w:val="20"/>
      <w:lang w:val="en-US"/>
    </w:rPr>
  </w:style>
  <w:style w:type="paragraph" w:customStyle="1" w:styleId="Heading60">
    <w:name w:val="Heading6"/>
    <w:basedOn w:val="Normal"/>
    <w:link w:val="Heading6Char0"/>
    <w:qFormat/>
    <w:rsid w:val="002D20DB"/>
    <w:pPr>
      <w:ind w:left="567" w:firstLine="567"/>
    </w:pPr>
    <w:rPr>
      <w:i/>
      <w:lang w:eastAsia="ja-JP"/>
    </w:rPr>
  </w:style>
  <w:style w:type="table" w:styleId="TableGrid">
    <w:name w:val="Table Grid"/>
    <w:basedOn w:val="TableNormal"/>
    <w:rsid w:val="002D20DB"/>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0">
    <w:name w:val="Heading6 Char"/>
    <w:basedOn w:val="DefaultParagraphFont"/>
    <w:link w:val="Heading60"/>
    <w:rsid w:val="002D20DB"/>
    <w:rPr>
      <w:rFonts w:ascii="Arial" w:eastAsia="Times New Roman" w:hAnsi="Arial" w:cs="Times New Roman"/>
      <w:i/>
      <w:sz w:val="20"/>
      <w:szCs w:val="20"/>
      <w:lang w:val="en-US" w:eastAsia="ja-JP"/>
    </w:rPr>
  </w:style>
  <w:style w:type="table" w:customStyle="1" w:styleId="TableGrid3">
    <w:name w:val="Table Grid3"/>
    <w:basedOn w:val="TableNormal"/>
    <w:next w:val="TableGrid"/>
    <w:rsid w:val="002D20D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D20DB"/>
    <w:rPr>
      <w:i/>
      <w:iCs/>
    </w:rPr>
  </w:style>
  <w:style w:type="paragraph" w:styleId="NormalWeb">
    <w:name w:val="Normal (Web)"/>
    <w:basedOn w:val="Normal"/>
    <w:unhideWhenUsed/>
    <w:rsid w:val="002D20DB"/>
    <w:pPr>
      <w:spacing w:before="100" w:beforeAutospacing="1" w:after="100" w:afterAutospacing="1"/>
      <w:jc w:val="left"/>
    </w:pPr>
    <w:rPr>
      <w:rFonts w:ascii="Times New Roman" w:eastAsiaTheme="minorEastAsia" w:hAnsi="Times New Roman"/>
      <w:sz w:val="24"/>
      <w:szCs w:val="24"/>
    </w:rPr>
  </w:style>
  <w:style w:type="paragraph" w:customStyle="1" w:styleId="pdflink">
    <w:name w:val="pdflink"/>
    <w:basedOn w:val="Normal"/>
    <w:next w:val="Normal"/>
    <w:rsid w:val="002D20DB"/>
    <w:rPr>
      <w:color w:val="800000"/>
      <w:u w:val="words"/>
    </w:rPr>
  </w:style>
  <w:style w:type="paragraph" w:customStyle="1" w:styleId="Draft">
    <w:name w:val="Draft"/>
    <w:basedOn w:val="Normal"/>
    <w:next w:val="preparedby"/>
    <w:rsid w:val="002D20DB"/>
    <w:pPr>
      <w:spacing w:before="720" w:after="480"/>
      <w:jc w:val="center"/>
    </w:pPr>
    <w:rPr>
      <w:caps/>
      <w:sz w:val="28"/>
    </w:rPr>
  </w:style>
  <w:style w:type="paragraph" w:customStyle="1" w:styleId="quote1">
    <w:name w:val="quote1"/>
    <w:basedOn w:val="Normal"/>
    <w:semiHidden/>
    <w:rsid w:val="002D20DB"/>
    <w:pPr>
      <w:ind w:left="567" w:right="565" w:firstLine="567"/>
    </w:pPr>
    <w:rPr>
      <w:snapToGrid w:val="0"/>
      <w:sz w:val="22"/>
      <w:szCs w:val="22"/>
    </w:rPr>
  </w:style>
  <w:style w:type="paragraph" w:customStyle="1" w:styleId="tqparabox">
    <w:name w:val="tqparabox"/>
    <w:basedOn w:val="Normal"/>
    <w:rsid w:val="002D20DB"/>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2D20DB"/>
    <w:pPr>
      <w:ind w:left="1200"/>
    </w:pPr>
  </w:style>
  <w:style w:type="paragraph" w:styleId="BodyTextIndent">
    <w:name w:val="Body Text Indent"/>
    <w:basedOn w:val="Normal"/>
    <w:link w:val="BodyTextIndentChar"/>
    <w:rsid w:val="002D20DB"/>
    <w:pPr>
      <w:ind w:left="567"/>
    </w:pPr>
    <w:rPr>
      <w:lang w:val="es-ES_tradnl"/>
    </w:rPr>
  </w:style>
  <w:style w:type="character" w:customStyle="1" w:styleId="BodyTextIndentChar">
    <w:name w:val="Body Text Indent Char"/>
    <w:basedOn w:val="DefaultParagraphFont"/>
    <w:link w:val="BodyTextIndent"/>
    <w:rsid w:val="002D20DB"/>
    <w:rPr>
      <w:rFonts w:ascii="Arial" w:eastAsia="Times New Roman" w:hAnsi="Arial" w:cs="Times New Roman"/>
      <w:sz w:val="20"/>
      <w:szCs w:val="20"/>
      <w:lang w:val="es-ES_tradnl"/>
    </w:rPr>
  </w:style>
  <w:style w:type="paragraph" w:customStyle="1" w:styleId="twpcheck">
    <w:name w:val="twpcheck"/>
    <w:basedOn w:val="Normal"/>
    <w:rsid w:val="002D20DB"/>
    <w:pPr>
      <w:spacing w:before="80" w:after="80"/>
      <w:jc w:val="left"/>
    </w:pPr>
    <w:rPr>
      <w:snapToGrid w:val="0"/>
      <w:sz w:val="16"/>
      <w:szCs w:val="16"/>
    </w:rPr>
  </w:style>
  <w:style w:type="paragraph" w:customStyle="1" w:styleId="DecisionInvitingPara">
    <w:name w:val="Decision Inviting Para."/>
    <w:basedOn w:val="Normal"/>
    <w:rsid w:val="002D20DB"/>
    <w:pPr>
      <w:ind w:left="4536"/>
    </w:pPr>
    <w:rPr>
      <w:i/>
      <w:lang w:val="es-ES_tradnl"/>
    </w:rPr>
  </w:style>
  <w:style w:type="paragraph" w:customStyle="1" w:styleId="Enttepair">
    <w:name w:val="Entête_pair"/>
    <w:basedOn w:val="Normal"/>
    <w:next w:val="Normal"/>
    <w:rsid w:val="002D20DB"/>
    <w:pPr>
      <w:pBdr>
        <w:bottom w:val="single" w:sz="4" w:space="1" w:color="auto"/>
      </w:pBdr>
      <w:jc w:val="left"/>
    </w:pPr>
    <w:rPr>
      <w:szCs w:val="24"/>
    </w:rPr>
  </w:style>
  <w:style w:type="paragraph" w:customStyle="1" w:styleId="Entteimpair">
    <w:name w:val="Entête_impair"/>
    <w:basedOn w:val="Normal"/>
    <w:next w:val="Normal"/>
    <w:rsid w:val="002D20DB"/>
    <w:pPr>
      <w:pBdr>
        <w:bottom w:val="single" w:sz="4" w:space="1" w:color="auto"/>
      </w:pBdr>
      <w:jc w:val="right"/>
    </w:pPr>
  </w:style>
  <w:style w:type="paragraph" w:styleId="E-mailSignature">
    <w:name w:val="E-mail Signature"/>
    <w:basedOn w:val="Normal"/>
    <w:link w:val="E-mailSignatureChar"/>
    <w:semiHidden/>
    <w:rsid w:val="002D20DB"/>
  </w:style>
  <w:style w:type="character" w:customStyle="1" w:styleId="E-mailSignatureChar">
    <w:name w:val="E-mail Signature Char"/>
    <w:basedOn w:val="DefaultParagraphFont"/>
    <w:link w:val="E-mailSignature"/>
    <w:semiHidden/>
    <w:rsid w:val="002D20DB"/>
    <w:rPr>
      <w:rFonts w:ascii="Arial" w:eastAsia="Times New Roman" w:hAnsi="Arial" w:cs="Times New Roman"/>
      <w:sz w:val="20"/>
      <w:szCs w:val="20"/>
      <w:lang w:val="en-US"/>
    </w:rPr>
  </w:style>
  <w:style w:type="paragraph" w:styleId="EnvelopeAddress">
    <w:name w:val="envelope address"/>
    <w:basedOn w:val="Normal"/>
    <w:semiHidden/>
    <w:rsid w:val="002D20DB"/>
    <w:pPr>
      <w:framePr w:w="7920" w:h="1980" w:hRule="exact" w:hSpace="180" w:wrap="auto" w:hAnchor="page" w:xAlign="center" w:yAlign="bottom"/>
      <w:ind w:left="2880"/>
    </w:pPr>
    <w:rPr>
      <w:szCs w:val="24"/>
    </w:rPr>
  </w:style>
  <w:style w:type="paragraph" w:styleId="EnvelopeReturn">
    <w:name w:val="envelope return"/>
    <w:basedOn w:val="Normal"/>
    <w:semiHidden/>
    <w:rsid w:val="002D20DB"/>
  </w:style>
  <w:style w:type="character" w:styleId="HTMLAcronym">
    <w:name w:val="HTML Acronym"/>
    <w:basedOn w:val="DefaultParagraphFont"/>
    <w:semiHidden/>
    <w:rsid w:val="002D20DB"/>
  </w:style>
  <w:style w:type="paragraph" w:styleId="HTMLAddress">
    <w:name w:val="HTML Address"/>
    <w:basedOn w:val="Normal"/>
    <w:link w:val="HTMLAddressChar"/>
    <w:semiHidden/>
    <w:rsid w:val="002D20DB"/>
    <w:rPr>
      <w:i/>
      <w:iCs/>
    </w:rPr>
  </w:style>
  <w:style w:type="character" w:customStyle="1" w:styleId="HTMLAddressChar">
    <w:name w:val="HTML Address Char"/>
    <w:basedOn w:val="DefaultParagraphFont"/>
    <w:link w:val="HTMLAddress"/>
    <w:semiHidden/>
    <w:rsid w:val="002D20DB"/>
    <w:rPr>
      <w:rFonts w:ascii="Arial" w:eastAsia="Times New Roman" w:hAnsi="Arial" w:cs="Times New Roman"/>
      <w:i/>
      <w:iCs/>
      <w:sz w:val="20"/>
      <w:szCs w:val="20"/>
      <w:lang w:val="en-US"/>
    </w:rPr>
  </w:style>
  <w:style w:type="character" w:styleId="HTMLCite">
    <w:name w:val="HTML Cite"/>
    <w:basedOn w:val="DefaultParagraphFont"/>
    <w:semiHidden/>
    <w:rsid w:val="002D20DB"/>
    <w:rPr>
      <w:i/>
      <w:iCs/>
    </w:rPr>
  </w:style>
  <w:style w:type="character" w:styleId="HTMLCode">
    <w:name w:val="HTML Code"/>
    <w:basedOn w:val="DefaultParagraphFont"/>
    <w:semiHidden/>
    <w:rsid w:val="002D20DB"/>
    <w:rPr>
      <w:rFonts w:ascii="Courier New" w:hAnsi="Courier New" w:cs="Courier New"/>
      <w:sz w:val="20"/>
      <w:szCs w:val="20"/>
    </w:rPr>
  </w:style>
  <w:style w:type="character" w:styleId="HTMLDefinition">
    <w:name w:val="HTML Definition"/>
    <w:basedOn w:val="DefaultParagraphFont"/>
    <w:semiHidden/>
    <w:rsid w:val="002D20DB"/>
    <w:rPr>
      <w:i/>
      <w:iCs/>
    </w:rPr>
  </w:style>
  <w:style w:type="character" w:styleId="HTMLKeyboard">
    <w:name w:val="HTML Keyboard"/>
    <w:basedOn w:val="DefaultParagraphFont"/>
    <w:semiHidden/>
    <w:rsid w:val="002D20DB"/>
    <w:rPr>
      <w:rFonts w:ascii="Courier New" w:hAnsi="Courier New" w:cs="Courier New"/>
      <w:sz w:val="20"/>
      <w:szCs w:val="20"/>
    </w:rPr>
  </w:style>
  <w:style w:type="paragraph" w:styleId="HTMLPreformatted">
    <w:name w:val="HTML Preformatted"/>
    <w:basedOn w:val="Normal"/>
    <w:link w:val="HTMLPreformattedChar"/>
    <w:semiHidden/>
    <w:rsid w:val="002D20DB"/>
    <w:rPr>
      <w:rFonts w:ascii="Courier New" w:hAnsi="Courier New" w:cs="Courier New"/>
    </w:rPr>
  </w:style>
  <w:style w:type="character" w:customStyle="1" w:styleId="HTMLPreformattedChar">
    <w:name w:val="HTML Preformatted Char"/>
    <w:basedOn w:val="DefaultParagraphFont"/>
    <w:link w:val="HTMLPreformatted"/>
    <w:semiHidden/>
    <w:rsid w:val="002D20DB"/>
    <w:rPr>
      <w:rFonts w:ascii="Courier New" w:eastAsia="Times New Roman" w:hAnsi="Courier New" w:cs="Courier New"/>
      <w:sz w:val="20"/>
      <w:szCs w:val="20"/>
      <w:lang w:val="en-US"/>
    </w:rPr>
  </w:style>
  <w:style w:type="character" w:styleId="HTMLSample">
    <w:name w:val="HTML Sample"/>
    <w:basedOn w:val="DefaultParagraphFont"/>
    <w:semiHidden/>
    <w:rsid w:val="002D20DB"/>
    <w:rPr>
      <w:rFonts w:ascii="Courier New" w:hAnsi="Courier New" w:cs="Courier New"/>
    </w:rPr>
  </w:style>
  <w:style w:type="character" w:styleId="HTMLTypewriter">
    <w:name w:val="HTML Typewriter"/>
    <w:basedOn w:val="DefaultParagraphFont"/>
    <w:semiHidden/>
    <w:rsid w:val="002D20DB"/>
    <w:rPr>
      <w:rFonts w:ascii="Courier New" w:hAnsi="Courier New" w:cs="Courier New"/>
      <w:sz w:val="20"/>
      <w:szCs w:val="20"/>
    </w:rPr>
  </w:style>
  <w:style w:type="character" w:styleId="HTMLVariable">
    <w:name w:val="HTML Variable"/>
    <w:basedOn w:val="DefaultParagraphFont"/>
    <w:semiHidden/>
    <w:rsid w:val="002D20DB"/>
    <w:rPr>
      <w:i/>
      <w:iCs/>
    </w:rPr>
  </w:style>
  <w:style w:type="character" w:styleId="LineNumber">
    <w:name w:val="line number"/>
    <w:basedOn w:val="DefaultParagraphFont"/>
    <w:semiHidden/>
    <w:rsid w:val="002D20DB"/>
  </w:style>
  <w:style w:type="paragraph" w:styleId="List">
    <w:name w:val="List"/>
    <w:basedOn w:val="Normal"/>
    <w:semiHidden/>
    <w:rsid w:val="002D20DB"/>
    <w:pPr>
      <w:ind w:left="360" w:hanging="360"/>
    </w:pPr>
  </w:style>
  <w:style w:type="paragraph" w:styleId="List2">
    <w:name w:val="List 2"/>
    <w:basedOn w:val="Normal"/>
    <w:semiHidden/>
    <w:rsid w:val="002D20DB"/>
    <w:pPr>
      <w:ind w:left="720" w:hanging="360"/>
    </w:pPr>
  </w:style>
  <w:style w:type="paragraph" w:styleId="List3">
    <w:name w:val="List 3"/>
    <w:basedOn w:val="Normal"/>
    <w:semiHidden/>
    <w:rsid w:val="002D20DB"/>
    <w:pPr>
      <w:ind w:left="1080" w:hanging="360"/>
    </w:pPr>
  </w:style>
  <w:style w:type="paragraph" w:styleId="List4">
    <w:name w:val="List 4"/>
    <w:basedOn w:val="Normal"/>
    <w:rsid w:val="002D20DB"/>
    <w:pPr>
      <w:ind w:left="1440" w:hanging="360"/>
    </w:pPr>
  </w:style>
  <w:style w:type="paragraph" w:styleId="List5">
    <w:name w:val="List 5"/>
    <w:basedOn w:val="Normal"/>
    <w:rsid w:val="002D20DB"/>
    <w:pPr>
      <w:ind w:left="1800" w:hanging="360"/>
    </w:pPr>
  </w:style>
  <w:style w:type="paragraph" w:styleId="ListBullet">
    <w:name w:val="List Bullet"/>
    <w:basedOn w:val="Normal"/>
    <w:autoRedefine/>
    <w:rsid w:val="002D20DB"/>
    <w:pPr>
      <w:tabs>
        <w:tab w:val="num" w:pos="360"/>
      </w:tabs>
      <w:ind w:left="360" w:hanging="360"/>
    </w:pPr>
    <w:rPr>
      <w:bCs/>
      <w:szCs w:val="24"/>
      <w:lang w:val="es-ES" w:eastAsia="zh-CN"/>
    </w:rPr>
  </w:style>
  <w:style w:type="paragraph" w:styleId="ListBullet2">
    <w:name w:val="List Bullet 2"/>
    <w:basedOn w:val="Normal"/>
    <w:semiHidden/>
    <w:rsid w:val="002D20DB"/>
    <w:pPr>
      <w:tabs>
        <w:tab w:val="num" w:pos="720"/>
      </w:tabs>
      <w:ind w:left="720" w:hanging="360"/>
    </w:pPr>
  </w:style>
  <w:style w:type="paragraph" w:styleId="ListBullet3">
    <w:name w:val="List Bullet 3"/>
    <w:basedOn w:val="Normal"/>
    <w:semiHidden/>
    <w:rsid w:val="002D20DB"/>
    <w:pPr>
      <w:tabs>
        <w:tab w:val="num" w:pos="1080"/>
      </w:tabs>
      <w:ind w:left="1080" w:hanging="360"/>
    </w:pPr>
  </w:style>
  <w:style w:type="paragraph" w:styleId="ListBullet4">
    <w:name w:val="List Bullet 4"/>
    <w:basedOn w:val="Normal"/>
    <w:semiHidden/>
    <w:rsid w:val="002D20DB"/>
    <w:pPr>
      <w:tabs>
        <w:tab w:val="num" w:pos="1440"/>
      </w:tabs>
      <w:ind w:left="1440" w:hanging="360"/>
    </w:pPr>
  </w:style>
  <w:style w:type="paragraph" w:styleId="ListBullet5">
    <w:name w:val="List Bullet 5"/>
    <w:basedOn w:val="Normal"/>
    <w:semiHidden/>
    <w:rsid w:val="002D20DB"/>
    <w:pPr>
      <w:tabs>
        <w:tab w:val="num" w:pos="1800"/>
      </w:tabs>
      <w:ind w:left="1800" w:hanging="360"/>
    </w:pPr>
  </w:style>
  <w:style w:type="paragraph" w:styleId="ListContinue">
    <w:name w:val="List Continue"/>
    <w:basedOn w:val="Normal"/>
    <w:semiHidden/>
    <w:rsid w:val="002D20DB"/>
    <w:pPr>
      <w:spacing w:after="120"/>
      <w:ind w:left="360"/>
    </w:pPr>
  </w:style>
  <w:style w:type="paragraph" w:styleId="ListContinue2">
    <w:name w:val="List Continue 2"/>
    <w:basedOn w:val="Normal"/>
    <w:semiHidden/>
    <w:rsid w:val="002D20DB"/>
    <w:pPr>
      <w:spacing w:after="120"/>
      <w:ind w:left="720"/>
    </w:pPr>
  </w:style>
  <w:style w:type="paragraph" w:styleId="ListContinue3">
    <w:name w:val="List Continue 3"/>
    <w:basedOn w:val="Normal"/>
    <w:semiHidden/>
    <w:rsid w:val="002D20DB"/>
    <w:pPr>
      <w:spacing w:after="120"/>
      <w:ind w:left="1080"/>
    </w:pPr>
  </w:style>
  <w:style w:type="paragraph" w:styleId="ListContinue4">
    <w:name w:val="List Continue 4"/>
    <w:basedOn w:val="Normal"/>
    <w:semiHidden/>
    <w:rsid w:val="002D20DB"/>
    <w:pPr>
      <w:spacing w:after="120"/>
      <w:ind w:left="1440"/>
    </w:pPr>
  </w:style>
  <w:style w:type="paragraph" w:styleId="ListContinue5">
    <w:name w:val="List Continue 5"/>
    <w:basedOn w:val="Normal"/>
    <w:semiHidden/>
    <w:rsid w:val="002D20DB"/>
    <w:pPr>
      <w:spacing w:after="120"/>
      <w:ind w:left="1800"/>
    </w:pPr>
  </w:style>
  <w:style w:type="paragraph" w:styleId="ListNumber">
    <w:name w:val="List Number"/>
    <w:basedOn w:val="Normal"/>
    <w:rsid w:val="002D20DB"/>
    <w:pPr>
      <w:tabs>
        <w:tab w:val="num" w:pos="360"/>
      </w:tabs>
      <w:ind w:left="360" w:hanging="360"/>
    </w:pPr>
  </w:style>
  <w:style w:type="paragraph" w:styleId="ListNumber2">
    <w:name w:val="List Number 2"/>
    <w:basedOn w:val="Normal"/>
    <w:semiHidden/>
    <w:rsid w:val="002D20DB"/>
    <w:pPr>
      <w:tabs>
        <w:tab w:val="num" w:pos="720"/>
      </w:tabs>
      <w:ind w:left="720" w:hanging="360"/>
    </w:pPr>
  </w:style>
  <w:style w:type="paragraph" w:styleId="ListNumber3">
    <w:name w:val="List Number 3"/>
    <w:basedOn w:val="Normal"/>
    <w:semiHidden/>
    <w:rsid w:val="002D20DB"/>
    <w:pPr>
      <w:tabs>
        <w:tab w:val="num" w:pos="1080"/>
      </w:tabs>
      <w:ind w:left="1080" w:hanging="360"/>
    </w:pPr>
  </w:style>
  <w:style w:type="paragraph" w:styleId="ListNumber4">
    <w:name w:val="List Number 4"/>
    <w:basedOn w:val="Normal"/>
    <w:semiHidden/>
    <w:rsid w:val="002D20DB"/>
    <w:pPr>
      <w:tabs>
        <w:tab w:val="num" w:pos="1440"/>
      </w:tabs>
      <w:ind w:left="1440" w:hanging="360"/>
    </w:pPr>
  </w:style>
  <w:style w:type="paragraph" w:styleId="ListNumber5">
    <w:name w:val="List Number 5"/>
    <w:basedOn w:val="Normal"/>
    <w:semiHidden/>
    <w:rsid w:val="002D20DB"/>
    <w:pPr>
      <w:tabs>
        <w:tab w:val="num" w:pos="1800"/>
      </w:tabs>
      <w:ind w:left="1800" w:hanging="360"/>
    </w:pPr>
  </w:style>
  <w:style w:type="paragraph" w:styleId="MessageHeader">
    <w:name w:val="Message Header"/>
    <w:basedOn w:val="Normal"/>
    <w:link w:val="MessageHeaderChar"/>
    <w:semiHidden/>
    <w:rsid w:val="002D20DB"/>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2D20DB"/>
    <w:rPr>
      <w:rFonts w:ascii="Arial" w:eastAsia="Times New Roman" w:hAnsi="Arial" w:cs="Times New Roman"/>
      <w:sz w:val="20"/>
      <w:szCs w:val="24"/>
      <w:shd w:val="pct20" w:color="auto" w:fill="auto"/>
      <w:lang w:val="en-US"/>
    </w:rPr>
  </w:style>
  <w:style w:type="paragraph" w:styleId="NoteHeading">
    <w:name w:val="Note Heading"/>
    <w:basedOn w:val="Normal"/>
    <w:next w:val="Normal"/>
    <w:link w:val="NoteHeadingChar"/>
    <w:semiHidden/>
    <w:rsid w:val="002D20DB"/>
  </w:style>
  <w:style w:type="character" w:customStyle="1" w:styleId="NoteHeadingChar">
    <w:name w:val="Note Heading Char"/>
    <w:basedOn w:val="DefaultParagraphFont"/>
    <w:link w:val="NoteHeading"/>
    <w:semiHidden/>
    <w:rsid w:val="002D20DB"/>
    <w:rPr>
      <w:rFonts w:ascii="Arial" w:eastAsia="Times New Roman" w:hAnsi="Arial" w:cs="Times New Roman"/>
      <w:sz w:val="20"/>
      <w:szCs w:val="20"/>
      <w:lang w:val="en-US"/>
    </w:rPr>
  </w:style>
  <w:style w:type="paragraph" w:styleId="Salutation">
    <w:name w:val="Salutation"/>
    <w:basedOn w:val="Normal"/>
    <w:next w:val="Normal"/>
    <w:link w:val="SalutationChar"/>
    <w:rsid w:val="002D20DB"/>
  </w:style>
  <w:style w:type="character" w:customStyle="1" w:styleId="SalutationChar">
    <w:name w:val="Salutation Char"/>
    <w:basedOn w:val="DefaultParagraphFont"/>
    <w:link w:val="Salutation"/>
    <w:rsid w:val="002D20DB"/>
    <w:rPr>
      <w:rFonts w:ascii="Arial" w:eastAsia="Times New Roman" w:hAnsi="Arial" w:cs="Times New Roman"/>
      <w:sz w:val="20"/>
      <w:szCs w:val="20"/>
      <w:lang w:val="en-US"/>
    </w:rPr>
  </w:style>
  <w:style w:type="character" w:styleId="Strong">
    <w:name w:val="Strong"/>
    <w:basedOn w:val="DefaultParagraphFont"/>
    <w:qFormat/>
    <w:rsid w:val="002D20DB"/>
    <w:rPr>
      <w:b/>
      <w:bCs/>
    </w:rPr>
  </w:style>
  <w:style w:type="paragraph" w:styleId="Subtitle">
    <w:name w:val="Subtitle"/>
    <w:basedOn w:val="Normal"/>
    <w:link w:val="SubtitleChar"/>
    <w:qFormat/>
    <w:rsid w:val="002D20DB"/>
    <w:pPr>
      <w:spacing w:after="60"/>
      <w:jc w:val="center"/>
      <w:outlineLvl w:val="1"/>
    </w:pPr>
    <w:rPr>
      <w:szCs w:val="24"/>
    </w:rPr>
  </w:style>
  <w:style w:type="character" w:customStyle="1" w:styleId="SubtitleChar">
    <w:name w:val="Subtitle Char"/>
    <w:basedOn w:val="DefaultParagraphFont"/>
    <w:link w:val="Subtitle"/>
    <w:rsid w:val="002D20DB"/>
    <w:rPr>
      <w:rFonts w:ascii="Arial" w:eastAsia="Times New Roman" w:hAnsi="Arial" w:cs="Times New Roman"/>
      <w:sz w:val="20"/>
      <w:szCs w:val="24"/>
      <w:lang w:val="en-US"/>
    </w:rPr>
  </w:style>
  <w:style w:type="table" w:styleId="Table3Deffects1">
    <w:name w:val="Table 3D effects 1"/>
    <w:basedOn w:val="TableNormal"/>
    <w:semiHidden/>
    <w:rsid w:val="002D20DB"/>
    <w:pPr>
      <w:spacing w:after="0" w:line="240" w:lineRule="auto"/>
      <w:jc w:val="both"/>
    </w:pPr>
    <w:rPr>
      <w:rFonts w:ascii="Arial" w:eastAsia="Times New Roman" w:hAnsi="Arial"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0DB"/>
    <w:pPr>
      <w:spacing w:after="0" w:line="240" w:lineRule="auto"/>
      <w:jc w:val="both"/>
    </w:pPr>
    <w:rPr>
      <w:rFonts w:ascii="Arial" w:eastAsia="Times New Roman" w:hAnsi="Arial"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0DB"/>
    <w:pPr>
      <w:spacing w:after="0" w:line="240" w:lineRule="auto"/>
      <w:jc w:val="both"/>
    </w:pPr>
    <w:rPr>
      <w:rFonts w:ascii="Arial" w:eastAsia="Times New Roman" w:hAnsi="Arial"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0DB"/>
    <w:pPr>
      <w:spacing w:after="0" w:line="240" w:lineRule="auto"/>
      <w:jc w:val="both"/>
    </w:pPr>
    <w:rPr>
      <w:rFonts w:ascii="Arial" w:eastAsia="Times New Roman" w:hAnsi="Arial"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D20DB"/>
    <w:pPr>
      <w:spacing w:after="0" w:line="240" w:lineRule="auto"/>
      <w:jc w:val="both"/>
    </w:pPr>
    <w:rPr>
      <w:rFonts w:ascii="Arial" w:eastAsia="Times New Roman" w:hAnsi="Arial"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0DB"/>
    <w:pPr>
      <w:spacing w:after="0" w:line="240" w:lineRule="auto"/>
      <w:jc w:val="both"/>
    </w:pPr>
    <w:rPr>
      <w:rFonts w:ascii="Arial" w:eastAsia="Times New Roman" w:hAnsi="Arial"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D20DB"/>
    <w:pPr>
      <w:spacing w:after="0" w:line="240" w:lineRule="auto"/>
      <w:jc w:val="both"/>
    </w:pPr>
    <w:rPr>
      <w:rFonts w:ascii="Arial" w:eastAsia="Times New Roman" w:hAnsi="Arial"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0DB"/>
    <w:pPr>
      <w:spacing w:after="0" w:line="240" w:lineRule="auto"/>
      <w:jc w:val="both"/>
    </w:pPr>
    <w:rPr>
      <w:rFonts w:ascii="Arial" w:eastAsia="Times New Roman" w:hAnsi="Arial"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0DB"/>
    <w:pPr>
      <w:spacing w:after="0" w:line="240" w:lineRule="auto"/>
      <w:jc w:val="both"/>
    </w:pPr>
    <w:rPr>
      <w:rFonts w:ascii="Arial" w:eastAsia="Times New Roman" w:hAnsi="Arial"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0DB"/>
    <w:pPr>
      <w:spacing w:after="0" w:line="240" w:lineRule="auto"/>
      <w:jc w:val="both"/>
    </w:pPr>
    <w:rPr>
      <w:rFonts w:ascii="Arial" w:eastAsia="Times New Roman" w:hAnsi="Arial"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0DB"/>
    <w:pPr>
      <w:spacing w:after="0" w:line="240" w:lineRule="auto"/>
      <w:jc w:val="both"/>
    </w:pPr>
    <w:rPr>
      <w:rFonts w:ascii="Arial" w:eastAsia="Times New Roman" w:hAnsi="Arial"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D20DB"/>
    <w:pPr>
      <w:spacing w:after="0" w:line="240" w:lineRule="auto"/>
      <w:jc w:val="both"/>
    </w:pPr>
    <w:rPr>
      <w:rFonts w:ascii="Arial" w:eastAsia="Times New Roman" w:hAnsi="Arial"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D20DB"/>
    <w:pPr>
      <w:spacing w:after="0" w:line="240" w:lineRule="auto"/>
      <w:jc w:val="both"/>
    </w:pPr>
    <w:rPr>
      <w:rFonts w:ascii="Arial" w:eastAsia="Times New Roman" w:hAnsi="Arial"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0DB"/>
    <w:pPr>
      <w:spacing w:after="0" w:line="240" w:lineRule="auto"/>
      <w:jc w:val="both"/>
    </w:pPr>
    <w:rPr>
      <w:rFonts w:ascii="Arial" w:eastAsia="Times New Roman" w:hAnsi="Arial"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0DB"/>
    <w:pPr>
      <w:spacing w:after="0" w:line="240" w:lineRule="auto"/>
      <w:jc w:val="both"/>
    </w:pPr>
    <w:rPr>
      <w:rFonts w:ascii="Arial" w:eastAsia="Times New Roman" w:hAnsi="Arial"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0DB"/>
    <w:pPr>
      <w:spacing w:after="0" w:line="240" w:lineRule="auto"/>
      <w:jc w:val="both"/>
    </w:pPr>
    <w:rPr>
      <w:rFonts w:ascii="Arial" w:eastAsia="Times New Roman" w:hAnsi="Arial"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D20DB"/>
    <w:pPr>
      <w:spacing w:after="0" w:line="240" w:lineRule="auto"/>
      <w:jc w:val="both"/>
    </w:pPr>
    <w:rPr>
      <w:rFonts w:ascii="Arial" w:eastAsia="Times New Roman" w:hAnsi="Arial"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0DB"/>
    <w:pPr>
      <w:spacing w:after="0" w:line="240" w:lineRule="auto"/>
      <w:jc w:val="both"/>
    </w:pPr>
    <w:rPr>
      <w:rFonts w:ascii="Arial" w:eastAsia="Times New Roman" w:hAnsi="Arial"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0DB"/>
    <w:pPr>
      <w:spacing w:after="0" w:line="240" w:lineRule="auto"/>
      <w:jc w:val="both"/>
    </w:pPr>
    <w:rPr>
      <w:rFonts w:ascii="Arial" w:eastAsia="Times New Roman" w:hAnsi="Arial"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0DB"/>
    <w:pPr>
      <w:spacing w:after="0" w:line="240" w:lineRule="auto"/>
      <w:jc w:val="both"/>
    </w:pPr>
    <w:rPr>
      <w:rFonts w:ascii="Arial" w:eastAsia="Times New Roman" w:hAnsi="Arial"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0DB"/>
    <w:pPr>
      <w:spacing w:after="0" w:line="240" w:lineRule="auto"/>
      <w:jc w:val="both"/>
    </w:pPr>
    <w:rPr>
      <w:rFonts w:ascii="Arial" w:eastAsia="Times New Roman" w:hAnsi="Arial"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0DB"/>
    <w:pPr>
      <w:spacing w:after="0" w:line="240" w:lineRule="auto"/>
      <w:jc w:val="both"/>
    </w:pPr>
    <w:rPr>
      <w:rFonts w:ascii="Arial" w:eastAsia="Times New Roman" w:hAnsi="Arial"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D20DB"/>
    <w:pPr>
      <w:spacing w:after="0" w:line="240" w:lineRule="auto"/>
      <w:jc w:val="both"/>
    </w:pPr>
    <w:rPr>
      <w:rFonts w:ascii="Arial" w:eastAsia="Times New Roman" w:hAnsi="Arial"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0DB"/>
    <w:pPr>
      <w:spacing w:after="0" w:line="240" w:lineRule="auto"/>
      <w:jc w:val="both"/>
    </w:pPr>
    <w:rPr>
      <w:rFonts w:ascii="Arial" w:eastAsia="Times New Roman" w:hAnsi="Arial"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D20DB"/>
    <w:pPr>
      <w:spacing w:after="0" w:line="240" w:lineRule="auto"/>
      <w:jc w:val="both"/>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D20DB"/>
    <w:pPr>
      <w:spacing w:after="0" w:line="240" w:lineRule="auto"/>
      <w:jc w:val="both"/>
    </w:pPr>
    <w:rPr>
      <w:rFonts w:ascii="Arial" w:eastAsia="Times New Roman" w:hAnsi="Arial"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0DB"/>
    <w:pPr>
      <w:spacing w:after="0" w:line="240" w:lineRule="auto"/>
      <w:jc w:val="both"/>
    </w:pPr>
    <w:rPr>
      <w:rFonts w:ascii="Arial" w:eastAsia="Times New Roman" w:hAnsi="Arial"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0DB"/>
    <w:pPr>
      <w:spacing w:after="0" w:line="240" w:lineRule="auto"/>
      <w:jc w:val="both"/>
    </w:pPr>
    <w:rPr>
      <w:rFonts w:ascii="Arial" w:eastAsia="Times New Roman" w:hAnsi="Arial"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2D20DB"/>
    <w:pPr>
      <w:ind w:left="1440"/>
    </w:pPr>
  </w:style>
  <w:style w:type="paragraph" w:styleId="TOC8">
    <w:name w:val="toc 8"/>
    <w:basedOn w:val="Normal"/>
    <w:next w:val="Normal"/>
    <w:autoRedefine/>
    <w:semiHidden/>
    <w:rsid w:val="002D20DB"/>
    <w:pPr>
      <w:ind w:left="1680"/>
    </w:pPr>
  </w:style>
  <w:style w:type="paragraph" w:styleId="TOC9">
    <w:name w:val="toc 9"/>
    <w:basedOn w:val="Normal"/>
    <w:next w:val="Normal"/>
    <w:autoRedefine/>
    <w:semiHidden/>
    <w:rsid w:val="002D20DB"/>
    <w:pPr>
      <w:ind w:left="1920"/>
    </w:pPr>
  </w:style>
  <w:style w:type="character" w:styleId="FollowedHyperlink">
    <w:name w:val="FollowedHyperlink"/>
    <w:basedOn w:val="DefaultParagraphFont"/>
    <w:rsid w:val="002D20DB"/>
    <w:rPr>
      <w:color w:val="606420"/>
      <w:u w:val="single"/>
    </w:rPr>
  </w:style>
  <w:style w:type="paragraph" w:styleId="BlockText">
    <w:name w:val="Block Text"/>
    <w:basedOn w:val="Normal"/>
    <w:rsid w:val="002D20DB"/>
    <w:pPr>
      <w:ind w:left="567" w:right="566"/>
    </w:pPr>
    <w:rPr>
      <w:sz w:val="22"/>
    </w:rPr>
  </w:style>
  <w:style w:type="paragraph" w:styleId="Caption">
    <w:name w:val="caption"/>
    <w:basedOn w:val="Normal"/>
    <w:next w:val="Normal"/>
    <w:qFormat/>
    <w:rsid w:val="002D20DB"/>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2D20DB"/>
    <w:rPr>
      <w:sz w:val="22"/>
      <w:lang w:val="es-ES_tradnl"/>
    </w:rPr>
  </w:style>
  <w:style w:type="character" w:customStyle="1" w:styleId="CommentTextChar">
    <w:name w:val="Comment Text Char"/>
    <w:basedOn w:val="DefaultParagraphFont"/>
    <w:link w:val="CommentText"/>
    <w:semiHidden/>
    <w:rsid w:val="002D20DB"/>
    <w:rPr>
      <w:rFonts w:ascii="Arial" w:eastAsia="Times New Roman" w:hAnsi="Arial" w:cs="Times New Roman"/>
      <w:szCs w:val="20"/>
      <w:lang w:val="es-ES_tradnl"/>
    </w:rPr>
  </w:style>
  <w:style w:type="paragraph" w:customStyle="1" w:styleId="Committee">
    <w:name w:val="Committee"/>
    <w:basedOn w:val="Title"/>
    <w:rsid w:val="002D20DB"/>
    <w:rPr>
      <w:caps w:val="0"/>
      <w:lang w:val="es-ES_tradnl"/>
    </w:rPr>
  </w:style>
  <w:style w:type="paragraph" w:customStyle="1" w:styleId="n">
    <w:name w:val="n"/>
    <w:basedOn w:val="Header"/>
    <w:rsid w:val="002D20DB"/>
  </w:style>
  <w:style w:type="paragraph" w:customStyle="1" w:styleId="TitleofSection">
    <w:name w:val="Title of Section"/>
    <w:basedOn w:val="TitleofDoc"/>
    <w:rsid w:val="002D20DB"/>
    <w:pPr>
      <w:spacing w:before="120" w:after="120"/>
    </w:pPr>
    <w:rPr>
      <w:b/>
      <w:caps w:val="0"/>
      <w:lang w:val="es-ES_tradnl" w:eastAsia="de-DE"/>
    </w:rPr>
  </w:style>
  <w:style w:type="paragraph" w:customStyle="1" w:styleId="TOCAnnex">
    <w:name w:val="TOC Annex"/>
    <w:basedOn w:val="Normal"/>
    <w:rsid w:val="002D20DB"/>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2D20DB"/>
    <w:pPr>
      <w:jc w:val="center"/>
    </w:pPr>
    <w:rPr>
      <w:b/>
      <w:caps/>
      <w:szCs w:val="24"/>
    </w:rPr>
  </w:style>
  <w:style w:type="paragraph" w:customStyle="1" w:styleId="Notetoarticle">
    <w:name w:val="Note to article"/>
    <w:basedOn w:val="Normal"/>
    <w:semiHidden/>
    <w:rsid w:val="002D20DB"/>
  </w:style>
  <w:style w:type="paragraph" w:styleId="PlainText">
    <w:name w:val="Plain Text"/>
    <w:basedOn w:val="Normal"/>
    <w:link w:val="PlainTextChar"/>
    <w:rsid w:val="002D20DB"/>
    <w:rPr>
      <w:rFonts w:ascii="Courier New" w:hAnsi="Courier New" w:cs="Courier New"/>
      <w:lang w:eastAsia="fr-FR"/>
    </w:rPr>
  </w:style>
  <w:style w:type="character" w:customStyle="1" w:styleId="PlainTextChar">
    <w:name w:val="Plain Text Char"/>
    <w:basedOn w:val="DefaultParagraphFont"/>
    <w:link w:val="PlainText"/>
    <w:rsid w:val="002D20DB"/>
    <w:rPr>
      <w:rFonts w:ascii="Courier New" w:eastAsia="Times New Roman" w:hAnsi="Courier New" w:cs="Courier New"/>
      <w:sz w:val="20"/>
      <w:szCs w:val="20"/>
      <w:lang w:val="en-US" w:eastAsia="fr-FR"/>
    </w:rPr>
  </w:style>
  <w:style w:type="character" w:customStyle="1" w:styleId="plcountryChar">
    <w:name w:val="plcountry Char"/>
    <w:basedOn w:val="DefaultParagraphFont"/>
    <w:link w:val="plcountry"/>
    <w:rsid w:val="002D20DB"/>
    <w:rPr>
      <w:rFonts w:ascii="Arial" w:eastAsia="Times New Roman" w:hAnsi="Arial" w:cs="Times New Roman"/>
      <w:caps/>
      <w:noProof/>
      <w:snapToGrid w:val="0"/>
      <w:sz w:val="20"/>
      <w:szCs w:val="20"/>
      <w:u w:val="single"/>
      <w:lang w:val="en-US"/>
    </w:rPr>
  </w:style>
  <w:style w:type="character" w:customStyle="1" w:styleId="pldetailsChar">
    <w:name w:val="pldetails Char"/>
    <w:link w:val="pldetails"/>
    <w:locked/>
    <w:rsid w:val="002D20DB"/>
    <w:rPr>
      <w:rFonts w:ascii="Arial" w:eastAsia="Times New Roman" w:hAnsi="Arial" w:cs="Times New Roman"/>
      <w:noProof/>
      <w:snapToGrid w:val="0"/>
      <w:sz w:val="20"/>
      <w:szCs w:val="20"/>
      <w:lang w:val="en-US"/>
    </w:rPr>
  </w:style>
  <w:style w:type="paragraph" w:customStyle="1" w:styleId="Inf6Titre4">
    <w:name w:val="Inf6_Titre4"/>
    <w:basedOn w:val="Normal"/>
    <w:next w:val="Normal"/>
    <w:rsid w:val="002D20DB"/>
    <w:pPr>
      <w:spacing w:after="360"/>
      <w:jc w:val="center"/>
    </w:pPr>
    <w:rPr>
      <w:rFonts w:cs="Arial"/>
      <w:caps/>
    </w:rPr>
  </w:style>
  <w:style w:type="paragraph" w:customStyle="1" w:styleId="Inf6Titre1">
    <w:name w:val="Inf6_Titre1"/>
    <w:basedOn w:val="Heading1"/>
    <w:next w:val="Normal"/>
    <w:rsid w:val="002D20DB"/>
    <w:pPr>
      <w:ind w:firstLine="284"/>
      <w:jc w:val="center"/>
    </w:pPr>
    <w:rPr>
      <w:b/>
    </w:rPr>
  </w:style>
  <w:style w:type="paragraph" w:customStyle="1" w:styleId="Inf6Titre2">
    <w:name w:val="Inf6_Titre2"/>
    <w:basedOn w:val="Inf6Titre1"/>
    <w:next w:val="Normal"/>
    <w:rsid w:val="002D20DB"/>
    <w:pPr>
      <w:spacing w:after="360" w:line="360" w:lineRule="auto"/>
      <w:ind w:firstLine="0"/>
    </w:pPr>
    <w:rPr>
      <w:rFonts w:cs="Arial"/>
      <w:b w:val="0"/>
    </w:rPr>
  </w:style>
  <w:style w:type="paragraph" w:customStyle="1" w:styleId="Inf6Titre3">
    <w:name w:val="Inf6_Titre3"/>
    <w:basedOn w:val="Inf6Titre2"/>
    <w:next w:val="Normal"/>
    <w:rsid w:val="002D20DB"/>
    <w:pPr>
      <w:keepNext w:val="0"/>
      <w:spacing w:after="240" w:line="240" w:lineRule="auto"/>
    </w:pPr>
    <w:rPr>
      <w:b/>
      <w:caps w:val="0"/>
    </w:rPr>
  </w:style>
  <w:style w:type="character" w:customStyle="1" w:styleId="Fuentedeprrafopredeter">
    <w:name w:val="Fuente de párrafo predeter."/>
    <w:rsid w:val="002D20DB"/>
  </w:style>
  <w:style w:type="paragraph" w:styleId="BodyTextFirstIndent2">
    <w:name w:val="Body Text First Indent 2"/>
    <w:basedOn w:val="BodyTextIndent"/>
    <w:link w:val="BodyTextFirstIndent2Char"/>
    <w:semiHidden/>
    <w:unhideWhenUsed/>
    <w:rsid w:val="002D20DB"/>
    <w:pPr>
      <w:ind w:left="360" w:firstLine="360"/>
    </w:pPr>
    <w:rPr>
      <w:lang w:val="en-US"/>
    </w:rPr>
  </w:style>
  <w:style w:type="character" w:customStyle="1" w:styleId="BodyTextFirstIndent2Char">
    <w:name w:val="Body Text First Indent 2 Char"/>
    <w:basedOn w:val="BodyTextIndentChar"/>
    <w:link w:val="BodyTextFirstIndent2"/>
    <w:semiHidden/>
    <w:rsid w:val="002D20DB"/>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25236</Words>
  <Characters>143847</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MAY Jessica</cp:lastModifiedBy>
  <cp:revision>60</cp:revision>
  <dcterms:created xsi:type="dcterms:W3CDTF">2019-11-28T15:25:00Z</dcterms:created>
  <dcterms:modified xsi:type="dcterms:W3CDTF">2019-12-19T08:44:00Z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f2962d00-823b-4ada-8142-640f28f8969d</vt:lpwstr>
  </property>
</Properties>
</file>