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 xml:space="preserve">Technischer </w:t>
            </w:r>
            <w:r w:rsidR="00395AD3">
              <w:t>Ausschuss</w:t>
            </w:r>
          </w:p>
          <w:p w:rsidR="00EB4E9C" w:rsidRPr="00DC3802" w:rsidRDefault="00EB4E9C" w:rsidP="006D7435">
            <w:pPr>
              <w:pStyle w:val="Sessiontcplacedate"/>
              <w:rPr>
                <w:sz w:val="22"/>
              </w:rPr>
            </w:pPr>
            <w:r>
              <w:t>Fünfundfünfzigste Tagung</w:t>
            </w:r>
            <w:r>
              <w:br/>
              <w:t>Genf, 28. und 29. Oktober 2019</w:t>
            </w:r>
          </w:p>
        </w:tc>
        <w:tc>
          <w:tcPr>
            <w:tcW w:w="3127" w:type="dxa"/>
          </w:tcPr>
          <w:p w:rsidR="00EB4E9C" w:rsidRPr="003C7FBE" w:rsidRDefault="006D7435" w:rsidP="003C7FBE">
            <w:pPr>
              <w:pStyle w:val="Doccode"/>
            </w:pPr>
            <w:r>
              <w:t>TC/55/15 Add. 2</w:t>
            </w:r>
          </w:p>
          <w:p w:rsidR="00EB4E9C" w:rsidRPr="003C7FBE" w:rsidRDefault="00EB4E9C" w:rsidP="003C7FBE">
            <w:pPr>
              <w:pStyle w:val="Docoriginal"/>
            </w:pPr>
            <w:r>
              <w:t>Original:</w:t>
            </w:r>
            <w:r>
              <w:rPr>
                <w:b w:val="0"/>
              </w:rPr>
              <w:t xml:space="preserve">  Englisch</w:t>
            </w:r>
          </w:p>
          <w:p w:rsidR="00EB4E9C" w:rsidRPr="007C1D92" w:rsidRDefault="00EB4E9C" w:rsidP="00395AD3">
            <w:pPr>
              <w:pStyle w:val="Docoriginal"/>
            </w:pPr>
            <w:r>
              <w:t>Datum:</w:t>
            </w:r>
            <w:r>
              <w:rPr>
                <w:b w:val="0"/>
              </w:rPr>
              <w:t xml:space="preserve">  </w:t>
            </w:r>
            <w:r w:rsidRPr="00395AD3">
              <w:rPr>
                <w:b w:val="0"/>
              </w:rPr>
              <w:t>2</w:t>
            </w:r>
            <w:r w:rsidR="00395AD3" w:rsidRPr="00395AD3">
              <w:rPr>
                <w:b w:val="0"/>
              </w:rPr>
              <w:t>1</w:t>
            </w:r>
            <w:r w:rsidRPr="00395AD3">
              <w:rPr>
                <w:b w:val="0"/>
              </w:rPr>
              <w:t>. Oktober 2019</w:t>
            </w:r>
          </w:p>
        </w:tc>
      </w:tr>
    </w:tbl>
    <w:p w:rsidR="00E32F56" w:rsidRPr="00B41AC5" w:rsidRDefault="00562FD4" w:rsidP="00E32F56">
      <w:pPr>
        <w:pStyle w:val="Titleofdoc0"/>
      </w:pPr>
      <w:bookmarkStart w:id="1" w:name="TitleOfDoc"/>
      <w:bookmarkEnd w:id="1"/>
      <w:r>
        <w:t xml:space="preserve">Zweite Ergänzung zum merkmalsspezifischen Marker mit unvollständigen Informationen über die Ausprägungsstufe </w:t>
      </w:r>
    </w:p>
    <w:p w:rsidR="006A644A" w:rsidRPr="006A644A" w:rsidRDefault="00AE0EF1" w:rsidP="006A644A">
      <w:pPr>
        <w:pStyle w:val="preparedby1"/>
        <w:jc w:val="left"/>
      </w:pPr>
      <w:bookmarkStart w:id="2" w:name="Prepared"/>
      <w:bookmarkEnd w:id="2"/>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2006F" w:rsidRPr="00FA628E" w:rsidRDefault="00FF7502" w:rsidP="0022006F">
      <w:pPr>
        <w:rPr>
          <w:snapToGrid w:val="0"/>
        </w:rPr>
      </w:pPr>
      <w:r>
        <w:rPr>
          <w:snapToGrid w:val="0"/>
        </w:rPr>
        <w:fldChar w:fldCharType="begin"/>
      </w:r>
      <w:r w:rsidR="0022006F">
        <w:rPr>
          <w:snapToGrid w:val="0"/>
        </w:rPr>
        <w:instrText xml:space="preserve"> AUTONUM  </w:instrText>
      </w:r>
      <w:r>
        <w:rPr>
          <w:snapToGrid w:val="0"/>
        </w:rPr>
        <w:fldChar w:fldCharType="end"/>
      </w:r>
      <w:r w:rsidR="0022006F">
        <w:rPr>
          <w:snapToGrid w:val="0"/>
        </w:rPr>
        <w:tab/>
        <w:t xml:space="preserve">Zweck dieser zweiten Ergänzung ist es, </w:t>
      </w:r>
      <w:r w:rsidR="0022006F">
        <w:t>auf der siebenunddreißigsten Tagung der Technischen Arbeitsgruppe für Automatisierung und Computerprogramme (TWC) und der achtzehnten Tagung der Arbeitsgruppe für biochemische und molekulare Verfahren und insbesondere für DNS-Profilierungsverfahren (BMT) über die Entwicklungen hinsichtlich des Vorschlags zu berichten, in Dokument TGP/15 ein neues Beispiel mit dem Ziel aufzunehmen, eine Situation zu veranschaulichen, in der der merkmalsspezifische Marker keine vollständigen Informationen über die Ausprägungsstufe eines Merkmals liefert</w:t>
      </w:r>
      <w:r w:rsidR="0022006F">
        <w:rPr>
          <w:snapToGrid w:val="0"/>
        </w:rPr>
        <w:t>.</w:t>
      </w:r>
    </w:p>
    <w:p w:rsidR="00E32F56" w:rsidRDefault="00E32F56" w:rsidP="0022006F"/>
    <w:p w:rsidR="00E32F56" w:rsidRPr="00B210BD" w:rsidRDefault="00FF7502" w:rsidP="00E32F56">
      <w:pPr>
        <w:keepNext/>
      </w:pPr>
      <w:r w:rsidRPr="00B210BD">
        <w:fldChar w:fldCharType="begin"/>
      </w:r>
      <w:r w:rsidR="00E32F56" w:rsidRPr="00B210BD">
        <w:instrText xml:space="preserve"> AUTONUM  </w:instrText>
      </w:r>
      <w:r w:rsidRPr="00B210BD">
        <w:fldChar w:fldCharType="end"/>
      </w:r>
      <w:r w:rsidR="00E32F56">
        <w:tab/>
        <w:t>Die TWC nahm auf ihrer siebenunddreißigsten Tagung vom 14. bis 16. Oktober 2019 in Hangzhou, China, das Dokument TWP/3/12 „Merkmalsspezifische Marker mit unvollständigen Informationen über die Ausprägungsstufe“ (vergleiche Dokument TWC/37/12 „Bericht“, Absatz 36) zur Kenntnis.</w:t>
      </w:r>
    </w:p>
    <w:p w:rsidR="00E32F56" w:rsidRDefault="00E32F56" w:rsidP="00E32F56"/>
    <w:p w:rsidR="00180AC9" w:rsidRPr="00B210BD" w:rsidRDefault="00FF7502" w:rsidP="00180AC9">
      <w:pPr>
        <w:keepNext/>
      </w:pPr>
      <w:r w:rsidRPr="00B210BD">
        <w:fldChar w:fldCharType="begin"/>
      </w:r>
      <w:r w:rsidR="00180AC9" w:rsidRPr="00B210BD">
        <w:instrText xml:space="preserve"> AUTONUM  </w:instrText>
      </w:r>
      <w:r w:rsidRPr="00B210BD">
        <w:fldChar w:fldCharType="end"/>
      </w:r>
      <w:r w:rsidR="00180AC9">
        <w:tab/>
        <w:t>Die BMT prüfte auf ihrer achtzehnten Tagung vom 16. bis 18. Oktober 2019 in Hangzhou, China, das Dokument TWP/3/12 „Merkmalsspezifische Marker mit unvollständigen Informationen über die Ausprägungsstuf</w:t>
      </w:r>
      <w:r w:rsidR="00395AD3">
        <w:t>e“ (vergleiche Dokument BMT/18/</w:t>
      </w:r>
      <w:r w:rsidR="00180AC9">
        <w:t>2</w:t>
      </w:r>
      <w:r w:rsidR="00395AD3">
        <w:t>1</w:t>
      </w:r>
      <w:r w:rsidR="00180AC9">
        <w:t xml:space="preserve"> „Bericht“, Absatz 21).</w:t>
      </w:r>
    </w:p>
    <w:p w:rsidR="00CD4481" w:rsidRDefault="00CD4481" w:rsidP="00CD4481"/>
    <w:p w:rsidR="00CD4481" w:rsidRPr="005E7BA2" w:rsidRDefault="00FF7502" w:rsidP="00CD4481">
      <w:r w:rsidRPr="005E7BA2">
        <w:fldChar w:fldCharType="begin"/>
      </w:r>
      <w:r w:rsidR="00CD4481" w:rsidRPr="005E7BA2">
        <w:instrText xml:space="preserve"> AUTONUM  </w:instrText>
      </w:r>
      <w:r w:rsidRPr="005E7BA2">
        <w:fldChar w:fldCharType="end"/>
      </w:r>
      <w:r w:rsidR="00CD4481">
        <w:tab/>
        <w:t>Die BMT stimmte dem Vorschlag zu, in das Dokument TGP/15 ein neues Beispiel mit dem Ziel aufzunehmen, eine Situation zu veranschaulichen, in der der merkmalsspezifische Marker keine vollständigen Informationen über die Ausprägungsstufe eines Merkmals liefert, wie in der Anlage II des Dokuments BMT/18/7 dargelegt, jedoch mit folgenden Änderungen:</w:t>
      </w:r>
    </w:p>
    <w:p w:rsidR="00CD4481" w:rsidRDefault="00CD4481" w:rsidP="00CD4481"/>
    <w:p w:rsidR="00CD4481" w:rsidRDefault="00CD4481" w:rsidP="00CD4481">
      <w:r>
        <w:t xml:space="preserve">     a)</w:t>
      </w:r>
      <w:r>
        <w:tab/>
        <w:t>Absatz 2 des vorgeschlagenen Beispiels wird so geändert, dass er lautet wie folgt:</w:t>
      </w:r>
    </w:p>
    <w:p w:rsidR="00CD4481" w:rsidRDefault="00CD4481" w:rsidP="00CD4481"/>
    <w:p w:rsidR="002703B2" w:rsidRDefault="00CD4481" w:rsidP="00CD4481">
      <w:pPr>
        <w:autoSpaceDE w:val="0"/>
        <w:autoSpaceDN w:val="0"/>
        <w:adjustRightInd w:val="0"/>
        <w:ind w:left="426" w:right="425"/>
        <w:rPr>
          <w:strike/>
          <w:sz w:val="18"/>
          <w:szCs w:val="18"/>
        </w:rPr>
      </w:pPr>
      <w:r>
        <w:rPr>
          <w:sz w:val="18"/>
          <w:szCs w:val="18"/>
        </w:rPr>
        <w:t>„2.</w:t>
      </w:r>
      <w:r>
        <w:rPr>
          <w:sz w:val="18"/>
          <w:szCs w:val="18"/>
        </w:rPr>
        <w:tab/>
      </w:r>
      <w:r w:rsidRPr="002703B2">
        <w:rPr>
          <w:strike/>
          <w:sz w:val="18"/>
          <w:szCs w:val="18"/>
        </w:rPr>
        <w:t xml:space="preserve">Die Resistenz gegen ToMV Pathotyp 0 wird durch das Vorhandensein von einem oder mehreren Genen, einschließlich </w:t>
      </w:r>
      <w:r w:rsidR="002703B2">
        <w:rPr>
          <w:i/>
          <w:strike/>
          <w:sz w:val="18"/>
          <w:szCs w:val="18"/>
        </w:rPr>
        <w:t xml:space="preserve">Tm1; </w:t>
      </w:r>
      <w:r w:rsidR="002703B2" w:rsidRPr="002703B2">
        <w:rPr>
          <w:i/>
          <w:strike/>
          <w:sz w:val="18"/>
          <w:szCs w:val="18"/>
        </w:rPr>
        <w:t>Tm2</w:t>
      </w:r>
      <w:r w:rsidR="002703B2">
        <w:rPr>
          <w:i/>
          <w:strike/>
          <w:sz w:val="18"/>
          <w:szCs w:val="18"/>
        </w:rPr>
        <w:t>;</w:t>
      </w:r>
      <w:r w:rsidR="002703B2" w:rsidRPr="002703B2">
        <w:rPr>
          <w:i/>
          <w:strike/>
          <w:sz w:val="18"/>
          <w:szCs w:val="18"/>
        </w:rPr>
        <w:t xml:space="preserve"> </w:t>
      </w:r>
      <w:r w:rsidRPr="002703B2">
        <w:rPr>
          <w:strike/>
          <w:sz w:val="18"/>
          <w:szCs w:val="18"/>
        </w:rPr>
        <w:t xml:space="preserve">und </w:t>
      </w:r>
      <w:r w:rsidRPr="002703B2">
        <w:rPr>
          <w:i/>
          <w:strike/>
          <w:sz w:val="18"/>
          <w:szCs w:val="18"/>
        </w:rPr>
        <w:t>Tm2</w:t>
      </w:r>
      <w:r w:rsidRPr="002703B2">
        <w:rPr>
          <w:i/>
          <w:strike/>
          <w:sz w:val="18"/>
          <w:szCs w:val="18"/>
          <w:vertAlign w:val="superscript"/>
        </w:rPr>
        <w:t xml:space="preserve">2 </w:t>
      </w:r>
      <w:r w:rsidRPr="002703B2">
        <w:rPr>
          <w:strike/>
          <w:sz w:val="18"/>
          <w:szCs w:val="18"/>
        </w:rPr>
        <w:t>vermittelt.</w:t>
      </w:r>
    </w:p>
    <w:p w:rsidR="00CD4481" w:rsidRPr="002703B2" w:rsidRDefault="002703B2" w:rsidP="00CD4481">
      <w:pPr>
        <w:autoSpaceDE w:val="0"/>
        <w:autoSpaceDN w:val="0"/>
        <w:adjustRightInd w:val="0"/>
        <w:ind w:left="426" w:right="425"/>
        <w:rPr>
          <w:sz w:val="18"/>
          <w:szCs w:val="18"/>
          <w:shd w:val="pct15" w:color="auto" w:fill="FFFFFF"/>
        </w:rPr>
      </w:pPr>
      <w:r>
        <w:rPr>
          <w:sz w:val="18"/>
          <w:szCs w:val="18"/>
        </w:rPr>
        <w:tab/>
      </w:r>
      <w:r>
        <w:rPr>
          <w:sz w:val="18"/>
          <w:szCs w:val="18"/>
        </w:rPr>
        <w:tab/>
      </w:r>
      <w:r w:rsidR="00CD4481">
        <w:rPr>
          <w:sz w:val="18"/>
          <w:szCs w:val="18"/>
          <w:shd w:val="pct15" w:color="auto" w:fill="FFFFFF"/>
        </w:rPr>
        <w:t>Die Resistenz gegen ToMV Pathotyp 0 wird durch das Vorhandensein der Allele</w:t>
      </w:r>
      <w:r w:rsidR="00CD4481" w:rsidRPr="002703B2">
        <w:rPr>
          <w:sz w:val="18"/>
          <w:szCs w:val="18"/>
          <w:shd w:val="pct15" w:color="auto" w:fill="FFFFFF"/>
        </w:rPr>
        <w:t xml:space="preserve"> </w:t>
      </w:r>
      <w:r w:rsidR="00CD4481" w:rsidRPr="002703B2">
        <w:rPr>
          <w:i/>
          <w:sz w:val="18"/>
          <w:szCs w:val="18"/>
          <w:shd w:val="pct15" w:color="auto" w:fill="FFFFFF"/>
        </w:rPr>
        <w:t>Tm1, Tm2 und Tm2</w:t>
      </w:r>
      <w:r w:rsidR="00CD4481" w:rsidRPr="002703B2">
        <w:rPr>
          <w:i/>
          <w:sz w:val="18"/>
          <w:szCs w:val="18"/>
          <w:shd w:val="pct15" w:color="auto" w:fill="FFFFFF"/>
          <w:vertAlign w:val="superscript"/>
        </w:rPr>
        <w:t>2</w:t>
      </w:r>
      <w:r w:rsidR="00CD4481" w:rsidRPr="002703B2">
        <w:rPr>
          <w:sz w:val="18"/>
          <w:szCs w:val="18"/>
          <w:shd w:val="pct15" w:color="auto" w:fill="FFFFFF"/>
        </w:rPr>
        <w:t xml:space="preserve"> der Gene Tm1 und Tm2 vermittelt.”</w:t>
      </w:r>
    </w:p>
    <w:p w:rsidR="00CD4481" w:rsidRPr="002703B2" w:rsidRDefault="00CD4481" w:rsidP="00CD4481">
      <w:pPr>
        <w:rPr>
          <w:sz w:val="18"/>
          <w:szCs w:val="18"/>
          <w:shd w:val="pct15" w:color="auto" w:fill="FFFFFF"/>
        </w:rPr>
      </w:pPr>
    </w:p>
    <w:p w:rsidR="00CD4481" w:rsidRDefault="00CD4481" w:rsidP="00CD4481">
      <w:pPr>
        <w:keepNext/>
      </w:pPr>
      <w:r>
        <w:t xml:space="preserve">     b)</w:t>
      </w:r>
      <w:r>
        <w:tab/>
        <w:t>Am Schluß von Absatz 6 des vorgeschlagenen Beispiels wird folgender Text hinzugefügt:</w:t>
      </w:r>
    </w:p>
    <w:p w:rsidR="00CD4481" w:rsidRDefault="00CD4481" w:rsidP="00CD4481">
      <w:pPr>
        <w:keepNext/>
      </w:pPr>
    </w:p>
    <w:p w:rsidR="00CD4481" w:rsidRPr="00AC451F" w:rsidRDefault="00CD4481" w:rsidP="00CD4481">
      <w:pPr>
        <w:keepNext/>
        <w:autoSpaceDE w:val="0"/>
        <w:autoSpaceDN w:val="0"/>
        <w:adjustRightInd w:val="0"/>
        <w:ind w:left="426" w:right="425"/>
        <w:rPr>
          <w:rFonts w:eastAsia="Calibri" w:cs="Arial"/>
          <w:sz w:val="18"/>
          <w:szCs w:val="18"/>
        </w:rPr>
      </w:pPr>
      <w:r>
        <w:rPr>
          <w:sz w:val="18"/>
          <w:szCs w:val="18"/>
        </w:rPr>
        <w:t>„Wenn eine Sorte als anfällig gegen ToMV Pathotyp 0 gilt, sollte ein Biotest durchgeführt werden, um hierüber Gewi</w:t>
      </w:r>
      <w:r w:rsidR="00851CDE">
        <w:rPr>
          <w:sz w:val="18"/>
          <w:szCs w:val="18"/>
        </w:rPr>
        <w:t>ß</w:t>
      </w:r>
      <w:r>
        <w:rPr>
          <w:sz w:val="18"/>
          <w:szCs w:val="18"/>
        </w:rPr>
        <w:t>heit zu erhalten.</w:t>
      </w:r>
      <w:r w:rsidR="002703B2">
        <w:rPr>
          <w:sz w:val="18"/>
          <w:szCs w:val="18"/>
        </w:rPr>
        <w:t>“</w:t>
      </w:r>
    </w:p>
    <w:p w:rsidR="00E13F2B" w:rsidRDefault="00E13F2B" w:rsidP="00E32F56"/>
    <w:p w:rsidR="00E13F2B" w:rsidRDefault="00E13F2B" w:rsidP="00E32F56"/>
    <w:p w:rsidR="00E13F2B" w:rsidRDefault="00E13F2B" w:rsidP="00E32F56"/>
    <w:p w:rsidR="00E13F2B" w:rsidRDefault="00E13F2B" w:rsidP="00E13F2B">
      <w:pPr>
        <w:jc w:val="right"/>
      </w:pPr>
      <w:r>
        <w:t>[Ende des Dokuments]</w:t>
      </w:r>
    </w:p>
    <w:sectPr w:rsidR="00E13F2B"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12" w:rsidRDefault="00447712" w:rsidP="006655D3">
      <w:r>
        <w:separator/>
      </w:r>
    </w:p>
    <w:p w:rsidR="00447712" w:rsidRDefault="00447712" w:rsidP="006655D3"/>
    <w:p w:rsidR="00447712" w:rsidRDefault="00447712" w:rsidP="006655D3"/>
  </w:endnote>
  <w:endnote w:type="continuationSeparator" w:id="0">
    <w:p w:rsidR="00447712" w:rsidRDefault="00447712" w:rsidP="006655D3">
      <w:r>
        <w:separator/>
      </w:r>
    </w:p>
    <w:p w:rsidR="00447712" w:rsidRPr="00294751" w:rsidRDefault="00447712">
      <w:pPr>
        <w:pStyle w:val="Footer"/>
        <w:spacing w:after="60"/>
        <w:rPr>
          <w:sz w:val="18"/>
          <w:lang w:val="fr-FR"/>
        </w:rPr>
      </w:pPr>
      <w:r w:rsidRPr="00294751">
        <w:rPr>
          <w:sz w:val="18"/>
          <w:lang w:val="fr-FR"/>
        </w:rPr>
        <w:t>[Suite de la note de la page précédente]</w:t>
      </w:r>
    </w:p>
    <w:p w:rsidR="00447712" w:rsidRPr="00294751" w:rsidRDefault="00447712" w:rsidP="006655D3">
      <w:pPr>
        <w:rPr>
          <w:lang w:val="fr-FR"/>
        </w:rPr>
      </w:pPr>
    </w:p>
    <w:p w:rsidR="00447712" w:rsidRPr="00294751" w:rsidRDefault="00447712" w:rsidP="006655D3">
      <w:pPr>
        <w:rPr>
          <w:lang w:val="fr-FR"/>
        </w:rPr>
      </w:pPr>
    </w:p>
  </w:endnote>
  <w:endnote w:type="continuationNotice" w:id="1">
    <w:p w:rsidR="00447712" w:rsidRPr="00294751" w:rsidRDefault="00447712" w:rsidP="006655D3">
      <w:pPr>
        <w:rPr>
          <w:lang w:val="fr-FR"/>
        </w:rPr>
      </w:pPr>
      <w:r w:rsidRPr="00294751">
        <w:rPr>
          <w:lang w:val="fr-FR"/>
        </w:rPr>
        <w:t>[Suite de la note page suivante]</w:t>
      </w:r>
    </w:p>
    <w:p w:rsidR="00447712" w:rsidRPr="00294751" w:rsidRDefault="00447712" w:rsidP="006655D3">
      <w:pPr>
        <w:rPr>
          <w:lang w:val="fr-FR"/>
        </w:rPr>
      </w:pPr>
    </w:p>
    <w:p w:rsidR="00447712" w:rsidRPr="00294751" w:rsidRDefault="004477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12" w:rsidRDefault="00447712" w:rsidP="006655D3">
      <w:r>
        <w:separator/>
      </w:r>
    </w:p>
  </w:footnote>
  <w:footnote w:type="continuationSeparator" w:id="0">
    <w:p w:rsidR="00447712" w:rsidRDefault="00447712" w:rsidP="006655D3">
      <w:r>
        <w:separator/>
      </w:r>
    </w:p>
  </w:footnote>
  <w:footnote w:type="continuationNotice" w:id="1">
    <w:p w:rsidR="00447712" w:rsidRPr="00AB530F" w:rsidRDefault="0044771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w:t>
    </w:r>
  </w:p>
  <w:p w:rsidR="00182B99" w:rsidRPr="00C5280D" w:rsidRDefault="00182B99" w:rsidP="00EB048E">
    <w:pPr>
      <w:pStyle w:val="Header"/>
    </w:pPr>
    <w:r>
      <w:t xml:space="preserve">Seite </w:t>
    </w:r>
    <w:r w:rsidR="00FF7502" w:rsidRPr="00C5280D">
      <w:rPr>
        <w:rStyle w:val="PageNumber"/>
      </w:rPr>
      <w:fldChar w:fldCharType="begin"/>
    </w:r>
    <w:r w:rsidRPr="00C5280D">
      <w:rPr>
        <w:rStyle w:val="PageNumber"/>
      </w:rPr>
      <w:instrText xml:space="preserve"> PAGE </w:instrText>
    </w:r>
    <w:r w:rsidR="00FF7502" w:rsidRPr="00C5280D">
      <w:rPr>
        <w:rStyle w:val="PageNumber"/>
      </w:rPr>
      <w:fldChar w:fldCharType="separate"/>
    </w:r>
    <w:r w:rsidR="00CD4481">
      <w:rPr>
        <w:rStyle w:val="PageNumber"/>
      </w:rPr>
      <w:t>2</w:t>
    </w:r>
    <w:r w:rsidR="00FF7502"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ED"/>
    <w:rsid w:val="00010780"/>
    <w:rsid w:val="00010CF3"/>
    <w:rsid w:val="00011E27"/>
    <w:rsid w:val="000148BC"/>
    <w:rsid w:val="00024AB8"/>
    <w:rsid w:val="00030854"/>
    <w:rsid w:val="00036028"/>
    <w:rsid w:val="00044642"/>
    <w:rsid w:val="000446B9"/>
    <w:rsid w:val="00047E21"/>
    <w:rsid w:val="00050E16"/>
    <w:rsid w:val="00085505"/>
    <w:rsid w:val="000A11C1"/>
    <w:rsid w:val="000C4E25"/>
    <w:rsid w:val="000C7021"/>
    <w:rsid w:val="000D6BBC"/>
    <w:rsid w:val="000D7780"/>
    <w:rsid w:val="000E636A"/>
    <w:rsid w:val="000F2F11"/>
    <w:rsid w:val="00105929"/>
    <w:rsid w:val="00110C36"/>
    <w:rsid w:val="001131D5"/>
    <w:rsid w:val="00141DB8"/>
    <w:rsid w:val="00154A56"/>
    <w:rsid w:val="00172084"/>
    <w:rsid w:val="0017474A"/>
    <w:rsid w:val="001758C6"/>
    <w:rsid w:val="00180AC9"/>
    <w:rsid w:val="00182B99"/>
    <w:rsid w:val="0021332C"/>
    <w:rsid w:val="00213982"/>
    <w:rsid w:val="0022006F"/>
    <w:rsid w:val="0024416D"/>
    <w:rsid w:val="002703B2"/>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95AD3"/>
    <w:rsid w:val="003B1FBF"/>
    <w:rsid w:val="003C7FBE"/>
    <w:rsid w:val="003D227C"/>
    <w:rsid w:val="003D2B4D"/>
    <w:rsid w:val="00444A88"/>
    <w:rsid w:val="00447712"/>
    <w:rsid w:val="00474DA4"/>
    <w:rsid w:val="00476B4D"/>
    <w:rsid w:val="004805FA"/>
    <w:rsid w:val="004935D2"/>
    <w:rsid w:val="004B1215"/>
    <w:rsid w:val="004D047D"/>
    <w:rsid w:val="004D40B5"/>
    <w:rsid w:val="004F0D1F"/>
    <w:rsid w:val="004F1E9E"/>
    <w:rsid w:val="004F305A"/>
    <w:rsid w:val="0050166A"/>
    <w:rsid w:val="00512164"/>
    <w:rsid w:val="00520297"/>
    <w:rsid w:val="005338F9"/>
    <w:rsid w:val="0054281C"/>
    <w:rsid w:val="00544581"/>
    <w:rsid w:val="0055268D"/>
    <w:rsid w:val="00562FD4"/>
    <w:rsid w:val="00576BE4"/>
    <w:rsid w:val="005A400A"/>
    <w:rsid w:val="005F7B92"/>
    <w:rsid w:val="0060043E"/>
    <w:rsid w:val="0060758F"/>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435"/>
    <w:rsid w:val="006D780A"/>
    <w:rsid w:val="006E2E8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1CDE"/>
    <w:rsid w:val="00867AC1"/>
    <w:rsid w:val="00890DF8"/>
    <w:rsid w:val="008A743F"/>
    <w:rsid w:val="008B6E60"/>
    <w:rsid w:val="008C0970"/>
    <w:rsid w:val="008D0BC5"/>
    <w:rsid w:val="008D2CF7"/>
    <w:rsid w:val="008D7E86"/>
    <w:rsid w:val="00900C26"/>
    <w:rsid w:val="0090197F"/>
    <w:rsid w:val="00904486"/>
    <w:rsid w:val="00906DDC"/>
    <w:rsid w:val="009272AF"/>
    <w:rsid w:val="00934E09"/>
    <w:rsid w:val="00936253"/>
    <w:rsid w:val="00940D46"/>
    <w:rsid w:val="00952DD4"/>
    <w:rsid w:val="00965AE7"/>
    <w:rsid w:val="00970FED"/>
    <w:rsid w:val="00971603"/>
    <w:rsid w:val="00992D82"/>
    <w:rsid w:val="00997029"/>
    <w:rsid w:val="009A7339"/>
    <w:rsid w:val="009B440E"/>
    <w:rsid w:val="009D690D"/>
    <w:rsid w:val="009E65B6"/>
    <w:rsid w:val="00A160ED"/>
    <w:rsid w:val="00A24C10"/>
    <w:rsid w:val="00A255CC"/>
    <w:rsid w:val="00A37C2B"/>
    <w:rsid w:val="00A42AC3"/>
    <w:rsid w:val="00A430CF"/>
    <w:rsid w:val="00A54309"/>
    <w:rsid w:val="00AB2B93"/>
    <w:rsid w:val="00AB530F"/>
    <w:rsid w:val="00AB7E5B"/>
    <w:rsid w:val="00AC2883"/>
    <w:rsid w:val="00AE0EF1"/>
    <w:rsid w:val="00AE2937"/>
    <w:rsid w:val="00AF053B"/>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482A"/>
    <w:rsid w:val="00C5791C"/>
    <w:rsid w:val="00C66290"/>
    <w:rsid w:val="00C72B7A"/>
    <w:rsid w:val="00C973F2"/>
    <w:rsid w:val="00CA304C"/>
    <w:rsid w:val="00CA774A"/>
    <w:rsid w:val="00CC11B0"/>
    <w:rsid w:val="00CC2841"/>
    <w:rsid w:val="00CD448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13F2B"/>
    <w:rsid w:val="00E32F56"/>
    <w:rsid w:val="00E32F7E"/>
    <w:rsid w:val="00E5267B"/>
    <w:rsid w:val="00E63C0E"/>
    <w:rsid w:val="00E72D49"/>
    <w:rsid w:val="00E7593C"/>
    <w:rsid w:val="00E7678A"/>
    <w:rsid w:val="00E935F1"/>
    <w:rsid w:val="00E94A81"/>
    <w:rsid w:val="00EA1FFB"/>
    <w:rsid w:val="00EB048E"/>
    <w:rsid w:val="00EB0787"/>
    <w:rsid w:val="00EB4E9C"/>
    <w:rsid w:val="00EE34DF"/>
    <w:rsid w:val="00EF2F89"/>
    <w:rsid w:val="00F03E98"/>
    <w:rsid w:val="00F1237A"/>
    <w:rsid w:val="00F22CBD"/>
    <w:rsid w:val="00F272F1"/>
    <w:rsid w:val="00F45372"/>
    <w:rsid w:val="00F560F7"/>
    <w:rsid w:val="00F6334D"/>
    <w:rsid w:val="00FA49AB"/>
    <w:rsid w:val="00FE39C7"/>
    <w:rsid w:val="00FF4D07"/>
    <w:rsid w:val="00FF75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567FC68-BD1C-402D-8251-821BCD28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39"/>
    <w:rsid w:val="00501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1</Pages>
  <Words>338</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MAY Jessica</cp:lastModifiedBy>
  <cp:revision>2</cp:revision>
  <cp:lastPrinted>2016-11-22T15:41:00Z</cp:lastPrinted>
  <dcterms:created xsi:type="dcterms:W3CDTF">2019-10-28T15:51:00Z</dcterms:created>
  <dcterms:modified xsi:type="dcterms:W3CDTF">2019-10-28T15:51:00Z</dcterms:modified>
</cp:coreProperties>
</file>