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F03D7">
        <w:tc>
          <w:tcPr>
            <w:tcW w:w="6522" w:type="dxa"/>
          </w:tcPr>
          <w:p w:rsidR="000F03D7" w:rsidRDefault="002C4DAC">
            <w:pPr>
              <w:rPr>
                <w:szCs w:val="24"/>
                <w:lang w:val="de-DE"/>
              </w:rPr>
            </w:pPr>
            <w:r>
              <w:rPr>
                <w:noProof/>
                <w:szCs w:val="24"/>
                <w:lang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0F03D7" w:rsidRDefault="000F03D7">
            <w:pPr>
              <w:pStyle w:val="Lettrine"/>
              <w:rPr>
                <w:bCs w:val="0"/>
                <w:szCs w:val="24"/>
                <w:lang w:val="de-DE"/>
              </w:rPr>
            </w:pPr>
            <w:r>
              <w:rPr>
                <w:bCs w:val="0"/>
                <w:noProof/>
                <w:szCs w:val="24"/>
                <w:lang w:val="de-DE"/>
              </w:rPr>
              <w:t>G</w:t>
            </w:r>
          </w:p>
        </w:tc>
      </w:tr>
      <w:tr w:rsidR="000F03D7" w:rsidRPr="0084358D">
        <w:trPr>
          <w:trHeight w:val="219"/>
        </w:trPr>
        <w:tc>
          <w:tcPr>
            <w:tcW w:w="6522" w:type="dxa"/>
          </w:tcPr>
          <w:p w:rsidR="000F03D7" w:rsidRDefault="000F03D7">
            <w:pPr>
              <w:pStyle w:val="upove"/>
              <w:rPr>
                <w:szCs w:val="24"/>
                <w:lang w:val="de-CH"/>
              </w:rPr>
            </w:pPr>
            <w:r>
              <w:rPr>
                <w:szCs w:val="24"/>
                <w:lang w:val="de-CH"/>
              </w:rPr>
              <w:t>Internationaler Verband zum Schutz von Pflanzenzüchtungen</w:t>
            </w:r>
          </w:p>
        </w:tc>
        <w:tc>
          <w:tcPr>
            <w:tcW w:w="3117" w:type="dxa"/>
          </w:tcPr>
          <w:p w:rsidR="000F03D7" w:rsidRDefault="000F03D7">
            <w:pPr>
              <w:rPr>
                <w:szCs w:val="24"/>
                <w:lang w:val="de-DE"/>
              </w:rPr>
            </w:pPr>
          </w:p>
        </w:tc>
      </w:tr>
    </w:tbl>
    <w:p w:rsidR="000F03D7" w:rsidRDefault="000F03D7">
      <w:pPr>
        <w:rPr>
          <w:szCs w:val="24"/>
          <w:lang w:val="de-DE"/>
        </w:rPr>
      </w:pPr>
    </w:p>
    <w:p w:rsidR="000F03D7" w:rsidRDefault="000F03D7">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F03D7" w:rsidRPr="0084358D">
        <w:tc>
          <w:tcPr>
            <w:tcW w:w="6512" w:type="dxa"/>
            <w:tcBorders>
              <w:bottom w:val="single" w:sz="4" w:space="0" w:color="auto"/>
            </w:tcBorders>
          </w:tcPr>
          <w:p w:rsidR="000F03D7" w:rsidRDefault="000F03D7">
            <w:pPr>
              <w:pStyle w:val="Sessiontc"/>
              <w:spacing w:line="240" w:lineRule="auto"/>
              <w:rPr>
                <w:bCs w:val="0"/>
                <w:szCs w:val="24"/>
                <w:lang w:val="de-DE"/>
              </w:rPr>
            </w:pPr>
            <w:r>
              <w:rPr>
                <w:bCs w:val="0"/>
                <w:szCs w:val="24"/>
                <w:lang w:val="de-CH"/>
              </w:rPr>
              <w:t>Technischer Ausschuß</w:t>
            </w:r>
          </w:p>
          <w:p w:rsidR="000F03D7" w:rsidRDefault="000F03D7">
            <w:pPr>
              <w:pStyle w:val="Sessiontcplacedate"/>
              <w:rPr>
                <w:bCs w:val="0"/>
                <w:szCs w:val="24"/>
              </w:rPr>
            </w:pPr>
            <w:r>
              <w:rPr>
                <w:bCs w:val="0"/>
                <w:szCs w:val="24"/>
                <w:lang w:val="de-CH"/>
              </w:rPr>
              <w:t>Fünfundfünfzigste Tagung</w:t>
            </w:r>
            <w:r>
              <w:rPr>
                <w:bCs w:val="0"/>
                <w:szCs w:val="24"/>
                <w:lang w:val="de-CH"/>
              </w:rPr>
              <w:br/>
              <w:t>Genf, 28. und 29. Oktober 2019</w:t>
            </w:r>
          </w:p>
        </w:tc>
        <w:tc>
          <w:tcPr>
            <w:tcW w:w="3127" w:type="dxa"/>
            <w:tcBorders>
              <w:bottom w:val="single" w:sz="4" w:space="0" w:color="auto"/>
            </w:tcBorders>
          </w:tcPr>
          <w:p w:rsidR="000F03D7" w:rsidRPr="008F3CB6" w:rsidRDefault="000F03D7">
            <w:pPr>
              <w:pStyle w:val="Doccode"/>
              <w:rPr>
                <w:bCs w:val="0"/>
                <w:szCs w:val="24"/>
                <w:lang w:val="de-CH"/>
              </w:rPr>
            </w:pPr>
            <w:r w:rsidRPr="008F3CB6">
              <w:rPr>
                <w:bCs w:val="0"/>
                <w:szCs w:val="24"/>
                <w:lang w:val="de-CH"/>
              </w:rPr>
              <w:t>TC/55/15</w:t>
            </w:r>
          </w:p>
          <w:p w:rsidR="000F03D7" w:rsidRPr="008F3CB6" w:rsidRDefault="000F03D7">
            <w:pPr>
              <w:pStyle w:val="Docoriginal"/>
              <w:rPr>
                <w:bCs w:val="0"/>
                <w:szCs w:val="24"/>
                <w:lang w:val="de-CH"/>
              </w:rPr>
            </w:pPr>
            <w:r w:rsidRPr="008F3CB6">
              <w:rPr>
                <w:bCs w:val="0"/>
                <w:szCs w:val="24"/>
                <w:lang w:val="de-CH"/>
              </w:rPr>
              <w:t>Original:</w:t>
            </w:r>
            <w:r w:rsidRPr="008F3CB6">
              <w:rPr>
                <w:b w:val="0"/>
                <w:bCs w:val="0"/>
                <w:spacing w:val="0"/>
                <w:szCs w:val="24"/>
                <w:lang w:val="de-CH"/>
              </w:rPr>
              <w:t xml:space="preserve">  Englisch</w:t>
            </w:r>
          </w:p>
          <w:p w:rsidR="000F03D7" w:rsidRDefault="000F03D7">
            <w:pPr>
              <w:pStyle w:val="Docoriginal"/>
              <w:rPr>
                <w:bCs w:val="0"/>
                <w:szCs w:val="24"/>
                <w:lang w:val="de-CH"/>
              </w:rPr>
            </w:pPr>
            <w:r>
              <w:rPr>
                <w:bCs w:val="0"/>
                <w:szCs w:val="24"/>
                <w:lang w:val="de-CH"/>
              </w:rPr>
              <w:t>Datum:</w:t>
            </w:r>
            <w:r>
              <w:rPr>
                <w:b w:val="0"/>
                <w:bCs w:val="0"/>
                <w:spacing w:val="0"/>
                <w:szCs w:val="24"/>
                <w:lang w:val="de-DE"/>
              </w:rPr>
              <w:t xml:space="preserve">  </w:t>
            </w:r>
            <w:r>
              <w:rPr>
                <w:b w:val="0"/>
                <w:bCs w:val="0"/>
                <w:spacing w:val="0"/>
                <w:szCs w:val="24"/>
                <w:lang w:val="de-CH"/>
              </w:rPr>
              <w:t>21. August 2019</w:t>
            </w:r>
          </w:p>
        </w:tc>
      </w:tr>
    </w:tbl>
    <w:p w:rsidR="000F03D7" w:rsidRDefault="000F03D7" w:rsidP="002F6C44">
      <w:pPr>
        <w:pStyle w:val="Titleofdoc0"/>
        <w:rPr>
          <w:lang w:val="de-DE"/>
        </w:rPr>
      </w:pPr>
      <w:bookmarkStart w:id="0" w:name="Prepared"/>
      <w:bookmarkStart w:id="1" w:name="TitleOfDoc"/>
      <w:r>
        <w:rPr>
          <w:lang w:val="de-CH"/>
        </w:rPr>
        <w:t>merkmalsspezifischeR Marker MIT UNvollständigen Informationen über die Ausprägungsstufe</w:t>
      </w:r>
    </w:p>
    <w:bookmarkEnd w:id="0"/>
    <w:bookmarkEnd w:id="1"/>
    <w:p w:rsidR="000F03D7" w:rsidRPr="0084358D" w:rsidRDefault="000F03D7" w:rsidP="002F6C44">
      <w:pPr>
        <w:pStyle w:val="preparedby1"/>
        <w:jc w:val="left"/>
        <w:rPr>
          <w:lang w:val="de-DE"/>
        </w:rPr>
      </w:pPr>
      <w:r w:rsidRPr="0084358D">
        <w:rPr>
          <w:lang w:val="de-DE"/>
        </w:rPr>
        <w:t>Vom Verbandsbüro erstelltes Dokument</w:t>
      </w:r>
    </w:p>
    <w:p w:rsidR="000F03D7" w:rsidRPr="0076719B" w:rsidRDefault="000F03D7" w:rsidP="002F6C44">
      <w:pPr>
        <w:pStyle w:val="Disclaimer"/>
        <w:rPr>
          <w:lang w:val="de-CH"/>
        </w:rPr>
      </w:pPr>
      <w:r w:rsidRPr="0076719B">
        <w:rPr>
          <w:lang w:val="de-CH"/>
        </w:rPr>
        <w:t>Haftungsausschluß:  dieses Dokument gibt nicht die Grundsätze oder eine Anleitung der UPOV wieder</w:t>
      </w:r>
    </w:p>
    <w:p w:rsidR="000F03D7" w:rsidRDefault="000F03D7" w:rsidP="002F6C44">
      <w:pPr>
        <w:pStyle w:val="Heading1"/>
        <w:rPr>
          <w:lang w:val="de-DE"/>
        </w:rPr>
      </w:pPr>
      <w:bookmarkStart w:id="2" w:name="_Toc18310425"/>
      <w:r>
        <w:rPr>
          <w:lang w:val="de-CH"/>
        </w:rPr>
        <w:t>Zusammenfassung</w:t>
      </w:r>
      <w:bookmarkEnd w:id="2"/>
    </w:p>
    <w:p w:rsidR="000F03D7" w:rsidRDefault="000F03D7">
      <w:pPr>
        <w:rPr>
          <w:szCs w:val="24"/>
          <w:lang w:val="de-DE"/>
        </w:rPr>
      </w:pPr>
    </w:p>
    <w:p w:rsidR="000F03D7" w:rsidRDefault="000F03D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Zweck dieses Dokuments ist es, einen Vorschlag für eine Überarbeitung von Dokument TGP/15 „Anleitung zur Verwendung biochemischer und molekularer Marker bei der Prüfung der Unterscheidbarkeit, der Homogenität und der Beständigkeit (DUS)“ vorzulegen, um ein neues Beispiel für Modell 1) „Merkmalsspezifischer molekularer Marker“ aufzunehmen.</w:t>
      </w:r>
    </w:p>
    <w:p w:rsidR="000F03D7" w:rsidRDefault="000F03D7">
      <w:pPr>
        <w:rPr>
          <w:szCs w:val="24"/>
          <w:lang w:val="de-DE"/>
        </w:rPr>
      </w:pPr>
    </w:p>
    <w:p w:rsidR="000F03D7" w:rsidRDefault="000F03D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Der TC wird ersucht, den Vorschlag für ein neues Beispiel, das in Dokument TGP/15 aufgenommen werden soll, um eine Situation zu veranschaulichen, in der der merkmalsspezifische Marker keine vollständigen Informationen über die Ausprägungsstufe eines Merkmals liefert, wie </w:t>
      </w:r>
      <w:r w:rsidRPr="0084358D">
        <w:rPr>
          <w:szCs w:val="24"/>
          <w:lang w:val="de-CH"/>
        </w:rPr>
        <w:t>in der Anlage dieses</w:t>
      </w:r>
      <w:bookmarkStart w:id="3" w:name="_GoBack"/>
      <w:bookmarkEnd w:id="3"/>
      <w:r>
        <w:rPr>
          <w:szCs w:val="24"/>
          <w:lang w:val="de-CH"/>
        </w:rPr>
        <w:t xml:space="preserve"> Dokuments dargelegt, in Verbindung mit den Kommentaren der TWA, TWC und BMT zu prüfen.</w:t>
      </w:r>
    </w:p>
    <w:p w:rsidR="000F03D7" w:rsidRDefault="000F03D7">
      <w:pPr>
        <w:rPr>
          <w:szCs w:val="24"/>
          <w:lang w:val="de-DE"/>
        </w:rPr>
      </w:pPr>
    </w:p>
    <w:p w:rsidR="000F03D7" w:rsidRDefault="000F03D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Aufbau dieses Dokuments ist nachstehend zusammengefasst:</w:t>
      </w:r>
    </w:p>
    <w:p w:rsidR="00524461" w:rsidRDefault="000F03D7">
      <w:pPr>
        <w:pStyle w:val="TOC1"/>
        <w:rPr>
          <w:rFonts w:ascii="Times New Roman" w:hAnsi="Times New Roman"/>
          <w:caps w:val="0"/>
          <w:noProof/>
          <w:snapToGrid/>
          <w:sz w:val="24"/>
          <w:szCs w:val="24"/>
          <w:lang w:val="fr-FR"/>
        </w:rPr>
      </w:pPr>
      <w:r>
        <w:rPr>
          <w:b/>
          <w:szCs w:val="24"/>
          <w:lang w:val="de-DE"/>
        </w:rPr>
        <w:fldChar w:fldCharType="begin"/>
      </w:r>
      <w:r>
        <w:rPr>
          <w:b/>
          <w:szCs w:val="24"/>
          <w:lang w:val="de-DE"/>
        </w:rPr>
        <w:instrText xml:space="preserve"> TOC \o "1-3" \h \z \u </w:instrText>
      </w:r>
      <w:r>
        <w:rPr>
          <w:b/>
          <w:szCs w:val="24"/>
          <w:lang w:val="de-DE"/>
        </w:rPr>
        <w:fldChar w:fldCharType="separate"/>
      </w:r>
      <w:hyperlink w:anchor="_Toc18310425" w:history="1">
        <w:r w:rsidR="00524461" w:rsidRPr="00676D25">
          <w:rPr>
            <w:rStyle w:val="Hyperlink"/>
            <w:noProof/>
            <w:lang w:val="de-CH"/>
          </w:rPr>
          <w:t>Zusammenfassung</w:t>
        </w:r>
        <w:r w:rsidR="00524461">
          <w:rPr>
            <w:noProof/>
            <w:webHidden/>
          </w:rPr>
          <w:tab/>
        </w:r>
        <w:r w:rsidR="00524461">
          <w:rPr>
            <w:noProof/>
            <w:webHidden/>
          </w:rPr>
          <w:fldChar w:fldCharType="begin"/>
        </w:r>
        <w:r w:rsidR="00524461">
          <w:rPr>
            <w:noProof/>
            <w:webHidden/>
          </w:rPr>
          <w:instrText xml:space="preserve"> PAGEREF _Toc18310425 \h </w:instrText>
        </w:r>
        <w:r w:rsidR="00524461">
          <w:rPr>
            <w:noProof/>
            <w:webHidden/>
          </w:rPr>
        </w:r>
        <w:r w:rsidR="00524461">
          <w:rPr>
            <w:noProof/>
            <w:webHidden/>
          </w:rPr>
          <w:fldChar w:fldCharType="separate"/>
        </w:r>
        <w:r w:rsidR="00297325">
          <w:rPr>
            <w:noProof/>
            <w:webHidden/>
          </w:rPr>
          <w:t>1</w:t>
        </w:r>
        <w:r w:rsidR="00524461">
          <w:rPr>
            <w:noProof/>
            <w:webHidden/>
          </w:rPr>
          <w:fldChar w:fldCharType="end"/>
        </w:r>
      </w:hyperlink>
    </w:p>
    <w:p w:rsidR="00524461" w:rsidRDefault="0084358D">
      <w:pPr>
        <w:pStyle w:val="TOC1"/>
        <w:rPr>
          <w:rFonts w:ascii="Times New Roman" w:hAnsi="Times New Roman"/>
          <w:caps w:val="0"/>
          <w:noProof/>
          <w:snapToGrid/>
          <w:sz w:val="24"/>
          <w:szCs w:val="24"/>
          <w:lang w:val="fr-FR"/>
        </w:rPr>
      </w:pPr>
      <w:hyperlink w:anchor="_Toc18310426" w:history="1">
        <w:r w:rsidR="00524461" w:rsidRPr="00676D25">
          <w:rPr>
            <w:rStyle w:val="Hyperlink"/>
            <w:noProof/>
            <w:lang w:val="en-GB"/>
          </w:rPr>
          <w:t>Hintergrund</w:t>
        </w:r>
        <w:r w:rsidR="00524461">
          <w:rPr>
            <w:noProof/>
            <w:webHidden/>
          </w:rPr>
          <w:tab/>
        </w:r>
        <w:r w:rsidR="00524461">
          <w:rPr>
            <w:noProof/>
            <w:webHidden/>
          </w:rPr>
          <w:fldChar w:fldCharType="begin"/>
        </w:r>
        <w:r w:rsidR="00524461">
          <w:rPr>
            <w:noProof/>
            <w:webHidden/>
          </w:rPr>
          <w:instrText xml:space="preserve"> PAGEREF _Toc18310426 \h </w:instrText>
        </w:r>
        <w:r w:rsidR="00524461">
          <w:rPr>
            <w:noProof/>
            <w:webHidden/>
          </w:rPr>
        </w:r>
        <w:r w:rsidR="00524461">
          <w:rPr>
            <w:noProof/>
            <w:webHidden/>
          </w:rPr>
          <w:fldChar w:fldCharType="separate"/>
        </w:r>
        <w:r w:rsidR="00297325">
          <w:rPr>
            <w:noProof/>
            <w:webHidden/>
          </w:rPr>
          <w:t>1</w:t>
        </w:r>
        <w:r w:rsidR="00524461">
          <w:rPr>
            <w:noProof/>
            <w:webHidden/>
          </w:rPr>
          <w:fldChar w:fldCharType="end"/>
        </w:r>
      </w:hyperlink>
    </w:p>
    <w:p w:rsidR="00524461" w:rsidRDefault="0084358D">
      <w:pPr>
        <w:pStyle w:val="TOC1"/>
        <w:rPr>
          <w:rFonts w:ascii="Times New Roman" w:hAnsi="Times New Roman"/>
          <w:caps w:val="0"/>
          <w:noProof/>
          <w:snapToGrid/>
          <w:sz w:val="24"/>
          <w:szCs w:val="24"/>
          <w:lang w:val="fr-FR"/>
        </w:rPr>
      </w:pPr>
      <w:hyperlink w:anchor="_Toc18310427" w:history="1">
        <w:r w:rsidR="00524461" w:rsidRPr="00676D25">
          <w:rPr>
            <w:rStyle w:val="Hyperlink"/>
            <w:noProof/>
            <w:lang w:val="de-CH"/>
          </w:rPr>
          <w:t>entwicklungen in den Technischen Arbeitsgruppen</w:t>
        </w:r>
        <w:r w:rsidR="00524461">
          <w:rPr>
            <w:noProof/>
            <w:webHidden/>
          </w:rPr>
          <w:tab/>
        </w:r>
        <w:r w:rsidR="00524461">
          <w:rPr>
            <w:noProof/>
            <w:webHidden/>
          </w:rPr>
          <w:fldChar w:fldCharType="begin"/>
        </w:r>
        <w:r w:rsidR="00524461">
          <w:rPr>
            <w:noProof/>
            <w:webHidden/>
          </w:rPr>
          <w:instrText xml:space="preserve"> PAGEREF _Toc18310427 \h </w:instrText>
        </w:r>
        <w:r w:rsidR="00524461">
          <w:rPr>
            <w:noProof/>
            <w:webHidden/>
          </w:rPr>
        </w:r>
        <w:r w:rsidR="00524461">
          <w:rPr>
            <w:noProof/>
            <w:webHidden/>
          </w:rPr>
          <w:fldChar w:fldCharType="separate"/>
        </w:r>
        <w:r w:rsidR="00297325">
          <w:rPr>
            <w:noProof/>
            <w:webHidden/>
          </w:rPr>
          <w:t>2</w:t>
        </w:r>
        <w:r w:rsidR="00524461">
          <w:rPr>
            <w:noProof/>
            <w:webHidden/>
          </w:rPr>
          <w:fldChar w:fldCharType="end"/>
        </w:r>
      </w:hyperlink>
    </w:p>
    <w:p w:rsidR="00524461" w:rsidRDefault="0084358D">
      <w:pPr>
        <w:pStyle w:val="TOC1"/>
        <w:rPr>
          <w:rFonts w:ascii="Times New Roman" w:hAnsi="Times New Roman"/>
          <w:caps w:val="0"/>
          <w:noProof/>
          <w:snapToGrid/>
          <w:sz w:val="24"/>
          <w:szCs w:val="24"/>
          <w:lang w:val="fr-FR"/>
        </w:rPr>
      </w:pPr>
      <w:hyperlink w:anchor="_Toc18310428" w:history="1">
        <w:r w:rsidR="00524461" w:rsidRPr="00676D25">
          <w:rPr>
            <w:rStyle w:val="Hyperlink"/>
            <w:noProof/>
            <w:lang w:val="de-CH"/>
          </w:rPr>
          <w:t>Vorschlag</w:t>
        </w:r>
        <w:r w:rsidR="00524461">
          <w:rPr>
            <w:noProof/>
            <w:webHidden/>
          </w:rPr>
          <w:tab/>
        </w:r>
        <w:r w:rsidR="00524461">
          <w:rPr>
            <w:noProof/>
            <w:webHidden/>
          </w:rPr>
          <w:fldChar w:fldCharType="begin"/>
        </w:r>
        <w:r w:rsidR="00524461">
          <w:rPr>
            <w:noProof/>
            <w:webHidden/>
          </w:rPr>
          <w:instrText xml:space="preserve"> PAGEREF _Toc18310428 \h </w:instrText>
        </w:r>
        <w:r w:rsidR="00524461">
          <w:rPr>
            <w:noProof/>
            <w:webHidden/>
          </w:rPr>
        </w:r>
        <w:r w:rsidR="00524461">
          <w:rPr>
            <w:noProof/>
            <w:webHidden/>
          </w:rPr>
          <w:fldChar w:fldCharType="separate"/>
        </w:r>
        <w:r w:rsidR="00297325">
          <w:rPr>
            <w:noProof/>
            <w:webHidden/>
          </w:rPr>
          <w:t>2</w:t>
        </w:r>
        <w:r w:rsidR="00524461">
          <w:rPr>
            <w:noProof/>
            <w:webHidden/>
          </w:rPr>
          <w:fldChar w:fldCharType="end"/>
        </w:r>
      </w:hyperlink>
    </w:p>
    <w:p w:rsidR="000F03D7" w:rsidRPr="00524461" w:rsidRDefault="000F03D7">
      <w:pPr>
        <w:rPr>
          <w:sz w:val="18"/>
          <w:szCs w:val="24"/>
          <w:lang w:val="de-CH"/>
        </w:rPr>
      </w:pPr>
      <w:r>
        <w:rPr>
          <w:b/>
          <w:szCs w:val="24"/>
          <w:lang w:val="de-DE"/>
        </w:rPr>
        <w:fldChar w:fldCharType="end"/>
      </w:r>
      <w:r w:rsidRPr="00524461">
        <w:rPr>
          <w:noProof/>
          <w:sz w:val="18"/>
          <w:szCs w:val="24"/>
          <w:lang w:val="de-CH"/>
        </w:rPr>
        <w:t>AN</w:t>
      </w:r>
      <w:r w:rsidR="00524461" w:rsidRPr="00524461">
        <w:rPr>
          <w:noProof/>
          <w:sz w:val="18"/>
          <w:szCs w:val="24"/>
          <w:lang w:val="de-CH"/>
        </w:rPr>
        <w:t>LAGE</w:t>
      </w:r>
      <w:r w:rsidRPr="00524461">
        <w:rPr>
          <w:sz w:val="18"/>
          <w:szCs w:val="24"/>
          <w:lang w:val="de-CH"/>
        </w:rPr>
        <w:tab/>
      </w:r>
      <w:r w:rsidRPr="00524461">
        <w:rPr>
          <w:noProof/>
          <w:sz w:val="18"/>
          <w:szCs w:val="24"/>
          <w:lang w:val="de-CH"/>
        </w:rPr>
        <w:t>Gen</w:t>
      </w:r>
      <w:r w:rsidR="00524461" w:rsidRPr="00524461">
        <w:rPr>
          <w:noProof/>
          <w:sz w:val="18"/>
          <w:szCs w:val="24"/>
          <w:lang w:val="de-CH"/>
        </w:rPr>
        <w:t>spezifische Marker für Krankheitsresistenz in Tomate</w:t>
      </w:r>
    </w:p>
    <w:p w:rsidR="000F03D7" w:rsidRPr="00524461" w:rsidRDefault="000F03D7">
      <w:pPr>
        <w:jc w:val="left"/>
        <w:rPr>
          <w:sz w:val="18"/>
          <w:szCs w:val="24"/>
          <w:lang w:val="de-CH"/>
        </w:rPr>
      </w:pPr>
    </w:p>
    <w:p w:rsidR="000F03D7" w:rsidRDefault="000F03D7">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In diesem Dokument werden folgende Abkürzungen verwendet:</w:t>
      </w:r>
    </w:p>
    <w:p w:rsidR="000F03D7" w:rsidRDefault="000F03D7">
      <w:pPr>
        <w:rPr>
          <w:szCs w:val="24"/>
          <w:lang w:val="de-DE"/>
        </w:rPr>
      </w:pPr>
    </w:p>
    <w:p w:rsidR="000F03D7" w:rsidRDefault="000F03D7">
      <w:pPr>
        <w:tabs>
          <w:tab w:val="left" w:pos="567"/>
        </w:tabs>
        <w:ind w:left="1701" w:hanging="1134"/>
        <w:rPr>
          <w:szCs w:val="24"/>
          <w:lang w:val="de-DE"/>
        </w:rPr>
      </w:pPr>
      <w:r>
        <w:rPr>
          <w:szCs w:val="24"/>
          <w:lang w:val="de-CH"/>
        </w:rPr>
        <w:t>BMT:</w:t>
      </w:r>
      <w:r>
        <w:rPr>
          <w:szCs w:val="24"/>
          <w:lang w:val="de-CH"/>
        </w:rPr>
        <w:tab/>
        <w:t>Arbeitsgruppe für biochemische und molekulare Verfahren und insbesondere für DNS-Profilierungsverfahren</w:t>
      </w:r>
      <w:r>
        <w:rPr>
          <w:szCs w:val="24"/>
          <w:lang w:val="de-DE"/>
        </w:rPr>
        <w:t xml:space="preserve"> </w:t>
      </w:r>
    </w:p>
    <w:p w:rsidR="000F03D7" w:rsidRDefault="000F03D7">
      <w:pPr>
        <w:tabs>
          <w:tab w:val="left" w:pos="567"/>
        </w:tabs>
        <w:ind w:left="1701" w:hanging="1134"/>
        <w:rPr>
          <w:szCs w:val="24"/>
          <w:lang w:val="de-DE"/>
        </w:rPr>
      </w:pPr>
      <w:r>
        <w:rPr>
          <w:szCs w:val="24"/>
          <w:lang w:val="de-CH"/>
        </w:rPr>
        <w:t>TC:</w:t>
      </w:r>
      <w:r>
        <w:rPr>
          <w:szCs w:val="24"/>
          <w:lang w:val="de-DE"/>
        </w:rPr>
        <w:tab/>
      </w:r>
      <w:r>
        <w:rPr>
          <w:szCs w:val="24"/>
          <w:lang w:val="de-CH"/>
        </w:rPr>
        <w:t>Technischer Ausschuß</w:t>
      </w:r>
    </w:p>
    <w:p w:rsidR="000F03D7" w:rsidRDefault="000F03D7">
      <w:pPr>
        <w:ind w:left="1701" w:hanging="1134"/>
        <w:rPr>
          <w:szCs w:val="24"/>
          <w:lang w:val="de-DE"/>
        </w:rPr>
      </w:pPr>
      <w:r>
        <w:rPr>
          <w:szCs w:val="24"/>
          <w:lang w:val="de-CH"/>
        </w:rPr>
        <w:t>TWA:</w:t>
      </w:r>
      <w:r>
        <w:rPr>
          <w:szCs w:val="24"/>
          <w:lang w:val="de-DE"/>
        </w:rPr>
        <w:tab/>
      </w:r>
      <w:r>
        <w:rPr>
          <w:szCs w:val="24"/>
          <w:lang w:val="de-CH"/>
        </w:rPr>
        <w:t>Technische Arbeitsgruppe für landwirtschaftliche Arten</w:t>
      </w:r>
    </w:p>
    <w:p w:rsidR="000F03D7" w:rsidRDefault="000F03D7">
      <w:pPr>
        <w:ind w:left="1701" w:hanging="1134"/>
        <w:rPr>
          <w:szCs w:val="24"/>
          <w:lang w:val="de-DE"/>
        </w:rPr>
      </w:pPr>
      <w:r>
        <w:rPr>
          <w:szCs w:val="24"/>
          <w:lang w:val="de-CH"/>
        </w:rPr>
        <w:t>TWC:</w:t>
      </w:r>
      <w:r>
        <w:rPr>
          <w:szCs w:val="24"/>
          <w:lang w:val="de-DE"/>
        </w:rPr>
        <w:tab/>
      </w:r>
      <w:r>
        <w:rPr>
          <w:szCs w:val="24"/>
          <w:lang w:val="de-CH"/>
        </w:rPr>
        <w:t>Technische Arbeitsgruppe für Automatisierung und Computerprogramme</w:t>
      </w:r>
    </w:p>
    <w:p w:rsidR="000F03D7" w:rsidRDefault="000F03D7">
      <w:pPr>
        <w:ind w:left="1701" w:hanging="1134"/>
        <w:rPr>
          <w:szCs w:val="24"/>
          <w:lang w:val="de-DE"/>
        </w:rPr>
      </w:pPr>
      <w:r>
        <w:rPr>
          <w:szCs w:val="24"/>
          <w:lang w:val="de-CH"/>
        </w:rPr>
        <w:t>TWF:</w:t>
      </w:r>
      <w:r>
        <w:rPr>
          <w:szCs w:val="24"/>
          <w:lang w:val="de-DE"/>
        </w:rPr>
        <w:tab/>
      </w:r>
      <w:r>
        <w:rPr>
          <w:szCs w:val="24"/>
          <w:lang w:val="de-CH"/>
        </w:rPr>
        <w:t>Technische Arbeitsgruppe für Obstarten</w:t>
      </w:r>
    </w:p>
    <w:p w:rsidR="000F03D7" w:rsidRDefault="000F03D7">
      <w:pPr>
        <w:ind w:left="1701" w:hanging="1134"/>
        <w:rPr>
          <w:szCs w:val="24"/>
          <w:lang w:val="de-DE"/>
        </w:rPr>
      </w:pPr>
      <w:r>
        <w:rPr>
          <w:szCs w:val="24"/>
          <w:lang w:val="de-CH"/>
        </w:rPr>
        <w:t>TWO:</w:t>
      </w:r>
      <w:r>
        <w:rPr>
          <w:szCs w:val="24"/>
          <w:lang w:val="de-DE"/>
        </w:rPr>
        <w:tab/>
      </w:r>
      <w:r>
        <w:rPr>
          <w:szCs w:val="24"/>
          <w:lang w:val="de-CH"/>
        </w:rPr>
        <w:t>Technische Arbeitsgruppe für Zierpflanzen und forstliche Baumarten</w:t>
      </w:r>
    </w:p>
    <w:p w:rsidR="000F03D7" w:rsidRDefault="000F03D7">
      <w:pPr>
        <w:ind w:left="1701" w:hanging="1134"/>
        <w:rPr>
          <w:szCs w:val="24"/>
          <w:lang w:val="de-DE"/>
        </w:rPr>
      </w:pPr>
      <w:r>
        <w:rPr>
          <w:szCs w:val="24"/>
          <w:lang w:val="de-CH"/>
        </w:rPr>
        <w:t>TWP:</w:t>
      </w:r>
      <w:r>
        <w:rPr>
          <w:szCs w:val="24"/>
          <w:lang w:val="de-DE"/>
        </w:rPr>
        <w:tab/>
      </w:r>
      <w:r>
        <w:rPr>
          <w:szCs w:val="24"/>
          <w:lang w:val="de-CH"/>
        </w:rPr>
        <w:t>Technische Arbeitsgruppen</w:t>
      </w:r>
    </w:p>
    <w:p w:rsidR="000F03D7" w:rsidRDefault="000F03D7">
      <w:pPr>
        <w:ind w:left="1701" w:hanging="1134"/>
        <w:rPr>
          <w:szCs w:val="24"/>
          <w:lang w:val="de-DE"/>
        </w:rPr>
      </w:pPr>
      <w:r>
        <w:rPr>
          <w:szCs w:val="24"/>
          <w:lang w:val="de-CH"/>
        </w:rPr>
        <w:t>TWV:</w:t>
      </w:r>
      <w:r>
        <w:rPr>
          <w:szCs w:val="24"/>
          <w:lang w:val="de-DE"/>
        </w:rPr>
        <w:tab/>
      </w:r>
      <w:r>
        <w:rPr>
          <w:szCs w:val="24"/>
          <w:lang w:val="de-CH"/>
        </w:rPr>
        <w:t>Technische Arbeitsgruppe für Gemüsearten</w:t>
      </w:r>
    </w:p>
    <w:p w:rsidR="000F03D7" w:rsidRDefault="000F03D7">
      <w:pPr>
        <w:rPr>
          <w:szCs w:val="24"/>
          <w:lang w:val="de-DE"/>
        </w:rPr>
      </w:pPr>
    </w:p>
    <w:p w:rsidR="000F03D7" w:rsidRDefault="000F03D7">
      <w:pPr>
        <w:rPr>
          <w:szCs w:val="24"/>
          <w:lang w:val="de-DE"/>
        </w:rPr>
      </w:pPr>
    </w:p>
    <w:p w:rsidR="000F03D7" w:rsidRPr="0084358D" w:rsidRDefault="000F03D7">
      <w:pPr>
        <w:keepNext/>
        <w:outlineLvl w:val="0"/>
        <w:rPr>
          <w:caps/>
          <w:szCs w:val="24"/>
          <w:lang w:val="de-DE"/>
        </w:rPr>
      </w:pPr>
      <w:bookmarkStart w:id="4" w:name="_Toc18310426"/>
      <w:r w:rsidRPr="0084358D">
        <w:rPr>
          <w:caps/>
          <w:szCs w:val="24"/>
          <w:lang w:val="de-DE"/>
        </w:rPr>
        <w:t>Hintergrund</w:t>
      </w:r>
      <w:bookmarkEnd w:id="4"/>
    </w:p>
    <w:p w:rsidR="000F03D7" w:rsidRPr="0084358D" w:rsidRDefault="000F03D7">
      <w:pPr>
        <w:rPr>
          <w:szCs w:val="24"/>
          <w:lang w:val="de-DE"/>
        </w:rPr>
      </w:pPr>
    </w:p>
    <w:p w:rsidR="000F03D7" w:rsidRPr="00297325" w:rsidRDefault="000F03D7">
      <w:pPr>
        <w:rPr>
          <w:szCs w:val="24"/>
          <w:lang w:val="de-DE"/>
        </w:rPr>
      </w:pPr>
      <w:r>
        <w:rPr>
          <w:szCs w:val="24"/>
          <w:lang w:val="en-GB"/>
        </w:rPr>
        <w:fldChar w:fldCharType="begin"/>
      </w:r>
      <w:r w:rsidRPr="008F3CB6">
        <w:rPr>
          <w:szCs w:val="24"/>
          <w:lang w:val="de-CH"/>
        </w:rPr>
        <w:instrText xml:space="preserve"> AUTONUM  </w:instrText>
      </w:r>
      <w:r>
        <w:rPr>
          <w:szCs w:val="24"/>
          <w:lang w:val="en-GB"/>
        </w:rPr>
        <w:fldChar w:fldCharType="end"/>
      </w:r>
      <w:r w:rsidRPr="008F3CB6">
        <w:rPr>
          <w:szCs w:val="24"/>
          <w:lang w:val="de-CH"/>
        </w:rPr>
        <w:tab/>
        <w:t xml:space="preserve">Der TC </w:t>
      </w:r>
      <w:r w:rsidRPr="00297325">
        <w:rPr>
          <w:szCs w:val="24"/>
          <w:lang w:val="de-CH"/>
        </w:rPr>
        <w:t>nahm auf seiner vierundfünfzigsten Tagung vom 29. und 30. Oktober 2018 in Genf zur Kenntnis, daß die BMT auf ihrer siebzehnten Tagung das Dokument BMT/17/21 „</w:t>
      </w:r>
      <w:r w:rsidRPr="00297325">
        <w:rPr>
          <w:i/>
          <w:szCs w:val="24"/>
          <w:lang w:val="de-CH"/>
        </w:rPr>
        <w:t>Do resistance markers for tomato fulfil the requirements of TGP/15?</w:t>
      </w:r>
      <w:r w:rsidRPr="00297325">
        <w:rPr>
          <w:szCs w:val="24"/>
          <w:lang w:val="de-CH"/>
        </w:rPr>
        <w:t>“ geprüft habe und hörte ein Referat von Frau Amanda van Dijk-Veldhuizen (Niederlande). Ein Exemplar des Referats wurde als Dokument BMT/17/21 Add. bereitgestellt (vergleiche Dokument TC/54/31 „Bericht“, Absätze 274 und 275).</w:t>
      </w:r>
    </w:p>
    <w:p w:rsidR="000F03D7" w:rsidRPr="00297325" w:rsidRDefault="000F03D7">
      <w:pPr>
        <w:rPr>
          <w:szCs w:val="24"/>
          <w:lang w:val="de-DE"/>
        </w:rPr>
      </w:pPr>
    </w:p>
    <w:p w:rsidR="00D84527" w:rsidRDefault="00D84527" w:rsidP="00D84527">
      <w:pPr>
        <w:rPr>
          <w:szCs w:val="24"/>
          <w:lang w:val="de-DE"/>
        </w:rPr>
      </w:pPr>
      <w:r w:rsidRPr="00297325">
        <w:rPr>
          <w:szCs w:val="24"/>
          <w:lang w:val="de-DE"/>
        </w:rPr>
        <w:fldChar w:fldCharType="begin"/>
      </w:r>
      <w:r w:rsidRPr="00297325">
        <w:rPr>
          <w:szCs w:val="24"/>
          <w:lang w:val="de-DE"/>
        </w:rPr>
        <w:instrText xml:space="preserve"> AUTONUM  </w:instrText>
      </w:r>
      <w:r w:rsidRPr="00297325">
        <w:rPr>
          <w:szCs w:val="24"/>
          <w:lang w:val="de-DE"/>
        </w:rPr>
        <w:fldChar w:fldCharType="end"/>
      </w:r>
      <w:r w:rsidRPr="00297325">
        <w:rPr>
          <w:szCs w:val="24"/>
          <w:lang w:val="de-DE"/>
        </w:rPr>
        <w:tab/>
      </w:r>
      <w:r w:rsidRPr="00297325">
        <w:rPr>
          <w:szCs w:val="24"/>
          <w:lang w:val="de-CH"/>
        </w:rPr>
        <w:t>Der TC stimmte dem Vorschlag der BMT zu, daß</w:t>
      </w:r>
      <w:r w:rsidRPr="00D84527">
        <w:rPr>
          <w:szCs w:val="24"/>
          <w:lang w:val="de-CH"/>
        </w:rPr>
        <w:t xml:space="preserve"> auf der Grundlage des Vorschlags der Niederlande, der in Dokument BMT/17/21 dargelegt ist, ein neues Beispiel in Dokument TGP/15 aufgenommen werden sollte, um eine Situation zu veranschaulichen, in der der merkmalsspezifische Marker keine vollständigen Informationen über die Ausprägungsstufe eines Merkmals liefert.</w:t>
      </w:r>
      <w:r>
        <w:rPr>
          <w:szCs w:val="24"/>
          <w:lang w:val="de-CH"/>
        </w:rPr>
        <w:t xml:space="preserve"> Der TC vereinbarte, die Sachverständigen </w:t>
      </w:r>
      <w:r>
        <w:rPr>
          <w:szCs w:val="24"/>
          <w:lang w:val="de-CH"/>
        </w:rPr>
        <w:lastRenderedPageBreak/>
        <w:t>aus den Niederlanden zu ersuchen, einen Vorschlag auszuarbeiten, der den TWP und der BMT vorgelegt werden soll, und daß der sich daraus ergebende Vorschlag dem TC auf dessen fünfundfünfzigster Tagung vorgelegt werden soll.</w:t>
      </w:r>
    </w:p>
    <w:p w:rsidR="000F03D7" w:rsidRDefault="000F03D7">
      <w:pPr>
        <w:rPr>
          <w:szCs w:val="24"/>
          <w:lang w:val="de-DE"/>
        </w:rPr>
      </w:pPr>
    </w:p>
    <w:p w:rsidR="002F6C44" w:rsidRDefault="002F6C44">
      <w:pPr>
        <w:rPr>
          <w:szCs w:val="24"/>
          <w:lang w:val="de-DE"/>
        </w:rPr>
      </w:pPr>
    </w:p>
    <w:p w:rsidR="000F03D7" w:rsidRPr="008F3CB6" w:rsidRDefault="000F03D7">
      <w:pPr>
        <w:pStyle w:val="Heading1"/>
        <w:rPr>
          <w:szCs w:val="24"/>
          <w:lang w:val="de-CH"/>
        </w:rPr>
      </w:pPr>
      <w:bookmarkStart w:id="5" w:name="_Toc18310427"/>
      <w:r w:rsidRPr="008F3CB6">
        <w:rPr>
          <w:szCs w:val="24"/>
          <w:lang w:val="de-CH"/>
        </w:rPr>
        <w:t>entwicklungen in den Technischen Arbeitsgruppen</w:t>
      </w:r>
      <w:bookmarkEnd w:id="5"/>
    </w:p>
    <w:p w:rsidR="000F03D7" w:rsidRPr="008F3CB6" w:rsidRDefault="000F03D7">
      <w:pPr>
        <w:rPr>
          <w:szCs w:val="24"/>
          <w:lang w:val="de-CH"/>
        </w:rPr>
      </w:pPr>
    </w:p>
    <w:p w:rsidR="000F03D7" w:rsidRPr="00297325" w:rsidRDefault="000F03D7">
      <w:pPr>
        <w:rPr>
          <w:szCs w:val="24"/>
          <w:lang w:val="de-DE"/>
        </w:rPr>
      </w:pPr>
      <w:r>
        <w:rPr>
          <w:szCs w:val="24"/>
          <w:lang w:val="en-GB"/>
        </w:rPr>
        <w:fldChar w:fldCharType="begin"/>
      </w:r>
      <w:r w:rsidRPr="008F3CB6">
        <w:rPr>
          <w:szCs w:val="24"/>
          <w:lang w:val="de-CH"/>
        </w:rPr>
        <w:instrText xml:space="preserve"> AUTONUM  </w:instrText>
      </w:r>
      <w:r>
        <w:rPr>
          <w:szCs w:val="24"/>
          <w:lang w:val="en-GB"/>
        </w:rPr>
        <w:fldChar w:fldCharType="end"/>
      </w:r>
      <w:r w:rsidRPr="008F3CB6">
        <w:rPr>
          <w:szCs w:val="24"/>
          <w:lang w:val="de-CH"/>
        </w:rPr>
        <w:tab/>
        <w:t xml:space="preserve">Die TWO auf ihrer einundfünfzigsten Tagung vom 18. bis 22. </w:t>
      </w:r>
      <w:r>
        <w:rPr>
          <w:szCs w:val="24"/>
          <w:lang w:val="de-CH"/>
        </w:rPr>
        <w:t xml:space="preserve">Februar 2019 in Christchurch, Neuseeland, die TWV auf ihrer dreiundfünfzigsten Tagung vom 20. bis 24. Mai 2019 in Seoul, Republik Korea, und die TWF auf ihrer fünfzigsten Tagung vom 24. bis 28. Juni 2019 in Budapest, Ungarn, prüften Dokument TWP/3/12 „Merkmalsspezifische Marker mit unvollständigen Informationen über die Ausprägungsstufe“ (vergleiche Dokumente TWO/51/12 </w:t>
      </w:r>
      <w:r>
        <w:rPr>
          <w:i/>
          <w:szCs w:val="24"/>
          <w:lang w:val="de-CH"/>
        </w:rPr>
        <w:t>„Report“</w:t>
      </w:r>
      <w:r>
        <w:rPr>
          <w:szCs w:val="24"/>
          <w:lang w:val="de-CH"/>
        </w:rPr>
        <w:t xml:space="preserve">, Absätze 33 bis 35, TWV/53/14 </w:t>
      </w:r>
      <w:r>
        <w:rPr>
          <w:i/>
          <w:szCs w:val="24"/>
          <w:lang w:val="de-CH"/>
        </w:rPr>
        <w:t>„Report“</w:t>
      </w:r>
      <w:r>
        <w:rPr>
          <w:szCs w:val="24"/>
          <w:lang w:val="de-CH"/>
        </w:rPr>
        <w:t xml:space="preserve">, Absätze 28 bis 30 und TWF/50/13 </w:t>
      </w:r>
      <w:r>
        <w:rPr>
          <w:i/>
          <w:szCs w:val="24"/>
          <w:lang w:val="de-CH"/>
        </w:rPr>
        <w:t>„Report“,</w:t>
      </w:r>
      <w:r>
        <w:rPr>
          <w:szCs w:val="24"/>
          <w:lang w:val="de-CH"/>
        </w:rPr>
        <w:t xml:space="preserve"> Absätze </w:t>
      </w:r>
      <w:r w:rsidRPr="00297325">
        <w:rPr>
          <w:szCs w:val="24"/>
          <w:lang w:val="de-CH"/>
        </w:rPr>
        <w:t>28 und 29).</w:t>
      </w:r>
    </w:p>
    <w:p w:rsidR="000F03D7" w:rsidRPr="00297325" w:rsidRDefault="000F03D7">
      <w:pPr>
        <w:rPr>
          <w:szCs w:val="24"/>
          <w:lang w:val="de-DE"/>
        </w:rPr>
      </w:pPr>
    </w:p>
    <w:p w:rsidR="00D84527" w:rsidRPr="00D84527" w:rsidRDefault="00D84527" w:rsidP="00D84527">
      <w:pPr>
        <w:rPr>
          <w:szCs w:val="24"/>
          <w:lang w:val="de-CH"/>
        </w:rPr>
      </w:pPr>
      <w:r w:rsidRPr="00297325">
        <w:rPr>
          <w:szCs w:val="24"/>
          <w:lang w:val="de-DE"/>
        </w:rPr>
        <w:fldChar w:fldCharType="begin"/>
      </w:r>
      <w:r w:rsidRPr="00297325">
        <w:rPr>
          <w:szCs w:val="24"/>
          <w:lang w:val="de-DE"/>
        </w:rPr>
        <w:instrText xml:space="preserve"> AUTONUM  </w:instrText>
      </w:r>
      <w:r w:rsidRPr="00297325">
        <w:rPr>
          <w:szCs w:val="24"/>
          <w:lang w:val="de-DE"/>
        </w:rPr>
        <w:fldChar w:fldCharType="end"/>
      </w:r>
      <w:r w:rsidRPr="00297325">
        <w:rPr>
          <w:szCs w:val="24"/>
          <w:lang w:val="de-DE"/>
        </w:rPr>
        <w:tab/>
      </w:r>
      <w:r w:rsidRPr="00297325">
        <w:rPr>
          <w:szCs w:val="24"/>
          <w:lang w:val="de-CH"/>
        </w:rPr>
        <w:t>Die TWO, TWV und TWF stimmten dem Vorschlag für ein neues Beispiel zu, das in Dokument TGP/15 aufgenommen werden sollte, um eine Situation zu veranschaulichen, in der der merkmalsspezifische Marker keine vollständigen Informationen über die Ausprägungsstufe</w:t>
      </w:r>
      <w:r w:rsidRPr="00D84527">
        <w:rPr>
          <w:szCs w:val="24"/>
          <w:lang w:val="de-CH"/>
        </w:rPr>
        <w:t xml:space="preserve"> eines Merkmals liefert, wie in der Anlage dieses Dokuments dargelegt.</w:t>
      </w:r>
    </w:p>
    <w:p w:rsidR="000F03D7" w:rsidRDefault="000F03D7">
      <w:pPr>
        <w:rPr>
          <w:szCs w:val="24"/>
          <w:lang w:val="de-DE"/>
        </w:rPr>
      </w:pPr>
    </w:p>
    <w:p w:rsidR="000F03D7" w:rsidRDefault="000F03D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TWO nahm zur Kenntnis, daß Krankheitsresistenzmerkmale bei Zierpflanzen nicht häuft verwendet werden.</w:t>
      </w:r>
    </w:p>
    <w:p w:rsidR="000F03D7" w:rsidRDefault="000F03D7">
      <w:pPr>
        <w:rPr>
          <w:szCs w:val="24"/>
          <w:lang w:val="de-DE"/>
        </w:rPr>
      </w:pPr>
    </w:p>
    <w:p w:rsidR="000F03D7" w:rsidRDefault="000F03D7">
      <w:pPr>
        <w:rPr>
          <w:sz w:val="18"/>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TWV vereinbarte, daß ein neuer Satz in Dokument TGP/15 aufgenommen werden sollte, daß für den Fall, daß eine Sorte vom Antragsteller im TQ als resistent angegeben wird, der Markertest jedoch negativ ausfällt, ein Biotest durchgeführt werden sollte, der endgültig ist.</w:t>
      </w:r>
    </w:p>
    <w:p w:rsidR="000F03D7" w:rsidRDefault="000F03D7">
      <w:pPr>
        <w:rPr>
          <w:szCs w:val="24"/>
          <w:lang w:val="de-DE"/>
        </w:rPr>
      </w:pPr>
    </w:p>
    <w:p w:rsidR="000F03D7" w:rsidRDefault="000F03D7">
      <w:pPr>
        <w:rPr>
          <w:szCs w:val="24"/>
          <w:lang w:val="de-DE"/>
        </w:rPr>
      </w:pPr>
      <w:r>
        <w:rPr>
          <w:szCs w:val="24"/>
          <w:lang w:val="en-GB"/>
        </w:rPr>
        <w:fldChar w:fldCharType="begin"/>
      </w:r>
      <w:r w:rsidRPr="008F3CB6">
        <w:rPr>
          <w:szCs w:val="24"/>
          <w:lang w:val="de-CH"/>
        </w:rPr>
        <w:instrText xml:space="preserve"> AUTONUM  </w:instrText>
      </w:r>
      <w:r>
        <w:rPr>
          <w:szCs w:val="24"/>
          <w:lang w:val="en-GB"/>
        </w:rPr>
        <w:fldChar w:fldCharType="end"/>
      </w:r>
      <w:r w:rsidRPr="008F3CB6">
        <w:rPr>
          <w:szCs w:val="24"/>
          <w:lang w:val="de-CH"/>
        </w:rPr>
        <w:tab/>
        <w:t xml:space="preserve">Die Kommentare der TWA auf ihrer achtundvierzigsten Tagung vom 16. bis 20. </w:t>
      </w:r>
      <w:r>
        <w:rPr>
          <w:szCs w:val="24"/>
          <w:lang w:val="de-CH"/>
        </w:rPr>
        <w:t xml:space="preserve">Oktober 2019 in Montevideo, Uruguay, der TWC auf ihrer siebenunddreißigsten Tagung vom 14. bis 16. Oktober 2019 in Hangzhou, China, und der BMT auf ihrer achtzehnten Tagung vom 16. bis 18. Oktober 2019 in Hangzhou, China, werden als Ergänzung zu diesem Dokument vorgelegt werden. </w:t>
      </w:r>
    </w:p>
    <w:p w:rsidR="000F03D7" w:rsidRDefault="000F03D7">
      <w:pPr>
        <w:rPr>
          <w:szCs w:val="24"/>
          <w:lang w:val="de-DE"/>
        </w:rPr>
      </w:pPr>
    </w:p>
    <w:p w:rsidR="000F03D7" w:rsidRDefault="000F03D7">
      <w:pPr>
        <w:rPr>
          <w:szCs w:val="24"/>
          <w:lang w:val="de-DE"/>
        </w:rPr>
      </w:pPr>
    </w:p>
    <w:p w:rsidR="000F03D7" w:rsidRDefault="000F03D7">
      <w:pPr>
        <w:keepNext/>
        <w:outlineLvl w:val="0"/>
        <w:rPr>
          <w:caps/>
          <w:szCs w:val="24"/>
          <w:lang w:val="de-DE"/>
        </w:rPr>
      </w:pPr>
      <w:bookmarkStart w:id="6" w:name="_Toc18310428"/>
      <w:r>
        <w:rPr>
          <w:caps/>
          <w:szCs w:val="24"/>
          <w:lang w:val="de-CH"/>
        </w:rPr>
        <w:t>Vorschlag</w:t>
      </w:r>
      <w:bookmarkEnd w:id="6"/>
    </w:p>
    <w:p w:rsidR="000F03D7" w:rsidRDefault="000F03D7">
      <w:pPr>
        <w:jc w:val="left"/>
        <w:rPr>
          <w:szCs w:val="24"/>
          <w:lang w:val="de-DE"/>
        </w:rPr>
      </w:pPr>
    </w:p>
    <w:p w:rsidR="000F03D7" w:rsidRDefault="000F03D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Anlage dieses Dokuments enthält einen von Sachverständigen aus den Niederlanden erarbeiteten Vorschlag für ein neues Beispiel, das in Dokument TGP/15, Modell „Merkmalsspezifische modulare Marker“ aufgenommen werden soll, um eine Situation zu veranschaulichen, in der der merkmalsspezifische Marker keine vollständigen Informationen über die Ausprägungsstufe eines Merkmals liefert.</w:t>
      </w:r>
    </w:p>
    <w:p w:rsidR="000F03D7" w:rsidRDefault="000F03D7">
      <w:pPr>
        <w:rPr>
          <w:szCs w:val="24"/>
          <w:lang w:val="de-DE"/>
        </w:rPr>
      </w:pPr>
    </w:p>
    <w:p w:rsidR="000F03D7" w:rsidRDefault="000F03D7">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Der TC könnte prüfen, ob das Ersuchen der TWV </w:t>
      </w:r>
      <w:r w:rsidRPr="001245E2">
        <w:rPr>
          <w:szCs w:val="24"/>
          <w:lang w:val="de-CH"/>
        </w:rPr>
        <w:t>in Absatz 10</w:t>
      </w:r>
      <w:r>
        <w:rPr>
          <w:szCs w:val="24"/>
          <w:lang w:val="de-CH"/>
        </w:rPr>
        <w:t xml:space="preserve"> im Entwurf einer Anleitung durch folgende</w:t>
      </w:r>
      <w:r w:rsidR="0097372E">
        <w:rPr>
          <w:szCs w:val="24"/>
          <w:lang w:val="de-CH"/>
        </w:rPr>
        <w:t>n</w:t>
      </w:r>
      <w:r>
        <w:rPr>
          <w:szCs w:val="24"/>
          <w:lang w:val="de-CH"/>
        </w:rPr>
        <w:t xml:space="preserve"> Satz </w:t>
      </w:r>
      <w:r w:rsidR="0097372E">
        <w:rPr>
          <w:szCs w:val="24"/>
          <w:lang w:val="de-CH"/>
        </w:rPr>
        <w:t xml:space="preserve">behandelt </w:t>
      </w:r>
      <w:r>
        <w:rPr>
          <w:szCs w:val="24"/>
          <w:lang w:val="de-CH"/>
        </w:rPr>
        <w:t>wird:</w:t>
      </w:r>
    </w:p>
    <w:p w:rsidR="000F03D7" w:rsidRDefault="000F03D7">
      <w:pPr>
        <w:autoSpaceDE w:val="0"/>
        <w:autoSpaceDN w:val="0"/>
        <w:adjustRightInd w:val="0"/>
        <w:rPr>
          <w:szCs w:val="24"/>
          <w:lang w:val="de-DE"/>
        </w:rPr>
      </w:pPr>
    </w:p>
    <w:p w:rsidR="000F03D7" w:rsidRDefault="0076719B">
      <w:pPr>
        <w:autoSpaceDE w:val="0"/>
        <w:autoSpaceDN w:val="0"/>
        <w:adjustRightInd w:val="0"/>
        <w:ind w:left="567" w:right="567"/>
        <w:rPr>
          <w:sz w:val="18"/>
          <w:szCs w:val="24"/>
          <w:lang w:val="de-DE"/>
        </w:rPr>
      </w:pPr>
      <w:r w:rsidRPr="0076719B">
        <w:rPr>
          <w:sz w:val="18"/>
          <w:szCs w:val="18"/>
          <w:lang w:val="de-CH"/>
        </w:rPr>
        <w:t>„</w:t>
      </w:r>
      <w:r w:rsidR="000F03D7">
        <w:rPr>
          <w:sz w:val="18"/>
          <w:szCs w:val="24"/>
          <w:lang w:val="de-DE"/>
        </w:rPr>
        <w:t>6.</w:t>
      </w:r>
      <w:r w:rsidR="000F03D7">
        <w:rPr>
          <w:sz w:val="18"/>
          <w:szCs w:val="24"/>
          <w:lang w:val="de-DE"/>
        </w:rPr>
        <w:tab/>
      </w:r>
      <w:r w:rsidR="000F03D7">
        <w:rPr>
          <w:sz w:val="18"/>
          <w:szCs w:val="24"/>
          <w:lang w:val="de-CH"/>
        </w:rPr>
        <w:t>Falls eine Sorte als resistent gegen ToMV Pathotyp 0 gilt und das DNS-Marker-Testergebnis tm2/tm2 (homozygot anfällig) ist, muss ein Biotest durchgeführt werden, um zu bestimmen, ob die Sorte auf Grundlage eines anderen Gens, wie beispielsweise TM1, resistent ist.</w:t>
      </w:r>
      <w:r w:rsidRPr="0076719B">
        <w:rPr>
          <w:sz w:val="18"/>
          <w:szCs w:val="18"/>
          <w:lang w:val="de-CH"/>
        </w:rPr>
        <w:t>“</w:t>
      </w:r>
    </w:p>
    <w:p w:rsidR="000F03D7" w:rsidRDefault="000F03D7">
      <w:pPr>
        <w:jc w:val="left"/>
        <w:rPr>
          <w:szCs w:val="24"/>
          <w:lang w:val="de-DE"/>
        </w:rPr>
      </w:pPr>
    </w:p>
    <w:p w:rsidR="000F03D7" w:rsidRDefault="000F03D7">
      <w:pPr>
        <w:pStyle w:val="DecisionParagraph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wird ersucht, den Vorschlag für ein neues Beispiel, das in Dokument TGP/15 aufgenommen werden soll, um eine Situation zu veranschaulichen, in der der merkmalsspezifische Marker keine vollständigen Informationen über die Ausprägungsstufe eines Merkmals liefert, wie in der Anlage dieses Dokuments dargelegt, in Verbindung mit den Kommentaren der TWA, TWC und BMT zu prüfen.</w:t>
      </w:r>
      <w:r>
        <w:rPr>
          <w:szCs w:val="24"/>
          <w:lang w:val="de-DE"/>
        </w:rPr>
        <w:t xml:space="preserve"> </w:t>
      </w:r>
    </w:p>
    <w:p w:rsidR="000F03D7" w:rsidRDefault="000F03D7">
      <w:pPr>
        <w:tabs>
          <w:tab w:val="left" w:pos="5954"/>
        </w:tabs>
        <w:ind w:left="4820" w:firstLine="570"/>
        <w:rPr>
          <w:i/>
          <w:szCs w:val="24"/>
          <w:lang w:val="de-DE"/>
        </w:rPr>
      </w:pPr>
    </w:p>
    <w:p w:rsidR="000F03D7" w:rsidRDefault="000F03D7">
      <w:pPr>
        <w:rPr>
          <w:szCs w:val="24"/>
          <w:lang w:val="de-DE"/>
        </w:rPr>
      </w:pPr>
    </w:p>
    <w:p w:rsidR="000F03D7" w:rsidRDefault="000F03D7">
      <w:pPr>
        <w:rPr>
          <w:szCs w:val="24"/>
          <w:lang w:val="de-DE"/>
        </w:rPr>
      </w:pPr>
    </w:p>
    <w:p w:rsidR="000F03D7" w:rsidRDefault="000F03D7">
      <w:pPr>
        <w:jc w:val="right"/>
        <w:rPr>
          <w:sz w:val="18"/>
          <w:szCs w:val="24"/>
          <w:lang w:val="de-DE"/>
        </w:rPr>
      </w:pPr>
      <w:r>
        <w:rPr>
          <w:szCs w:val="24"/>
          <w:lang w:val="de-CH"/>
        </w:rPr>
        <w:t>[Anlage folgt]</w:t>
      </w:r>
    </w:p>
    <w:p w:rsidR="000F03D7" w:rsidRDefault="000F03D7">
      <w:pPr>
        <w:jc w:val="left"/>
        <w:rPr>
          <w:sz w:val="18"/>
          <w:szCs w:val="24"/>
          <w:lang w:val="de-DE"/>
        </w:rPr>
      </w:pPr>
    </w:p>
    <w:p w:rsidR="000F03D7" w:rsidRDefault="000F03D7">
      <w:pPr>
        <w:jc w:val="left"/>
        <w:rPr>
          <w:szCs w:val="24"/>
          <w:lang w:val="de-DE"/>
        </w:rPr>
        <w:sectPr w:rsidR="000F03D7">
          <w:headerReference w:type="default" r:id="rId8"/>
          <w:pgSz w:w="11907" w:h="16840" w:code="9"/>
          <w:pgMar w:top="510" w:right="1134" w:bottom="1134" w:left="1134" w:header="510" w:footer="680" w:gutter="0"/>
          <w:cols w:space="720"/>
          <w:titlePg/>
        </w:sectPr>
      </w:pPr>
    </w:p>
    <w:p w:rsidR="000F03D7" w:rsidRDefault="000F03D7">
      <w:pPr>
        <w:jc w:val="left"/>
        <w:rPr>
          <w:szCs w:val="24"/>
          <w:lang w:val="de-DE"/>
        </w:rPr>
      </w:pPr>
    </w:p>
    <w:p w:rsidR="000F03D7" w:rsidRDefault="000F03D7">
      <w:pPr>
        <w:rPr>
          <w:szCs w:val="24"/>
          <w:lang w:val="de-DE"/>
        </w:rPr>
      </w:pPr>
    </w:p>
    <w:p w:rsidR="000F03D7" w:rsidRDefault="000F03D7">
      <w:pPr>
        <w:spacing w:after="160" w:line="260" w:lineRule="auto"/>
        <w:jc w:val="center"/>
        <w:rPr>
          <w:szCs w:val="24"/>
          <w:lang w:val="de-DE"/>
        </w:rPr>
      </w:pPr>
      <w:r>
        <w:rPr>
          <w:szCs w:val="24"/>
          <w:lang w:val="de-CH"/>
        </w:rPr>
        <w:t>BEISPIEL 2:</w:t>
      </w:r>
      <w:r>
        <w:rPr>
          <w:szCs w:val="24"/>
          <w:lang w:val="de-DE"/>
        </w:rPr>
        <w:t xml:space="preserve">  </w:t>
      </w:r>
      <w:r>
        <w:rPr>
          <w:szCs w:val="24"/>
          <w:lang w:val="de-CH"/>
        </w:rPr>
        <w:t>GENSPEZIFISCHE MARKER FÜR KRANKHEITSRESISTENZ IN TOMATE</w:t>
      </w:r>
    </w:p>
    <w:p w:rsidR="000F03D7" w:rsidRDefault="000F03D7">
      <w:pPr>
        <w:spacing w:after="160" w:line="260" w:lineRule="auto"/>
        <w:jc w:val="center"/>
        <w:rPr>
          <w:i/>
          <w:szCs w:val="24"/>
          <w:lang w:val="de-DE"/>
        </w:rPr>
      </w:pPr>
      <w:r>
        <w:rPr>
          <w:i/>
          <w:szCs w:val="24"/>
          <w:lang w:val="de-CH"/>
        </w:rPr>
        <w:t>erstellt von Sachverständigen aus den Niederlanden</w:t>
      </w:r>
    </w:p>
    <w:p w:rsidR="000F03D7" w:rsidRDefault="000F03D7">
      <w:pPr>
        <w:autoSpaceDE w:val="0"/>
        <w:autoSpaceDN w:val="0"/>
        <w:adjustRightInd w:val="0"/>
        <w:rPr>
          <w:szCs w:val="24"/>
          <w:lang w:val="de-DE"/>
        </w:rPr>
      </w:pPr>
    </w:p>
    <w:p w:rsidR="000F03D7" w:rsidRDefault="000F03D7">
      <w:pPr>
        <w:autoSpaceDE w:val="0"/>
        <w:autoSpaceDN w:val="0"/>
        <w:adjustRightInd w:val="0"/>
        <w:rPr>
          <w:szCs w:val="24"/>
          <w:lang w:val="de-DE"/>
        </w:rPr>
      </w:pPr>
      <w:r>
        <w:rPr>
          <w:szCs w:val="24"/>
          <w:lang w:val="de-CH"/>
        </w:rPr>
        <w:t>Beispiel</w:t>
      </w:r>
    </w:p>
    <w:p w:rsidR="000F03D7" w:rsidRDefault="000F03D7">
      <w:pPr>
        <w:autoSpaceDE w:val="0"/>
        <w:autoSpaceDN w:val="0"/>
        <w:adjustRightInd w:val="0"/>
        <w:rPr>
          <w:szCs w:val="24"/>
          <w:lang w:val="de-DE"/>
        </w:rPr>
      </w:pPr>
    </w:p>
    <w:p w:rsidR="000F03D7" w:rsidRDefault="000F03D7">
      <w:pPr>
        <w:autoSpaceDE w:val="0"/>
        <w:autoSpaceDN w:val="0"/>
        <w:adjustRightInd w:val="0"/>
        <w:rPr>
          <w:szCs w:val="24"/>
          <w:lang w:val="de-DE"/>
        </w:rPr>
      </w:pPr>
      <w:r>
        <w:rPr>
          <w:szCs w:val="24"/>
          <w:lang w:val="de-DE"/>
        </w:rPr>
        <w:t>1.</w:t>
      </w:r>
      <w:r>
        <w:rPr>
          <w:szCs w:val="24"/>
          <w:lang w:val="de-DE"/>
        </w:rPr>
        <w:tab/>
      </w:r>
      <w:r>
        <w:rPr>
          <w:szCs w:val="24"/>
          <w:lang w:val="de-CH"/>
        </w:rPr>
        <w:t>Resistenz gegen das Tomatenmosaikvirus (ToMV) ist in den Prüfungsrichtlinien für Tomate enthalten.</w:t>
      </w:r>
    </w:p>
    <w:p w:rsidR="000F03D7" w:rsidRDefault="000F03D7">
      <w:pPr>
        <w:autoSpaceDE w:val="0"/>
        <w:autoSpaceDN w:val="0"/>
        <w:adjustRightInd w:val="0"/>
        <w:rPr>
          <w:szCs w:val="24"/>
          <w:lang w:val="de-DE"/>
        </w:rPr>
      </w:pPr>
    </w:p>
    <w:p w:rsidR="000F03D7" w:rsidRDefault="000F03D7">
      <w:pPr>
        <w:autoSpaceDE w:val="0"/>
        <w:autoSpaceDN w:val="0"/>
        <w:adjustRightInd w:val="0"/>
        <w:rPr>
          <w:szCs w:val="24"/>
          <w:lang w:val="de-DE"/>
        </w:rPr>
      </w:pPr>
      <w:r>
        <w:rPr>
          <w:szCs w:val="24"/>
          <w:lang w:val="de-DE"/>
        </w:rPr>
        <w:t>2.</w:t>
      </w:r>
      <w:r>
        <w:rPr>
          <w:szCs w:val="24"/>
          <w:lang w:val="de-DE"/>
        </w:rPr>
        <w:tab/>
      </w:r>
      <w:r>
        <w:rPr>
          <w:szCs w:val="24"/>
          <w:lang w:val="de-CH"/>
        </w:rPr>
        <w:t>Die Resistenz gegen ToMV Pathotyp 0 wird durch das Vorhandensein von einem oder mehrerer Gene, einschließlich Tm1; Tm2 und Tm2</w:t>
      </w:r>
      <w:r>
        <w:rPr>
          <w:szCs w:val="24"/>
          <w:vertAlign w:val="superscript"/>
          <w:lang w:val="de-CH"/>
        </w:rPr>
        <w:t>2</w:t>
      </w:r>
      <w:r>
        <w:rPr>
          <w:szCs w:val="24"/>
          <w:lang w:val="de-CH"/>
        </w:rPr>
        <w:t xml:space="preserve"> vermittelt.</w:t>
      </w:r>
    </w:p>
    <w:p w:rsidR="000F03D7" w:rsidRDefault="000F03D7">
      <w:pPr>
        <w:autoSpaceDE w:val="0"/>
        <w:autoSpaceDN w:val="0"/>
        <w:adjustRightInd w:val="0"/>
        <w:rPr>
          <w:szCs w:val="24"/>
          <w:lang w:val="de-DE"/>
        </w:rPr>
      </w:pPr>
    </w:p>
    <w:p w:rsidR="000F03D7" w:rsidRDefault="000F03D7">
      <w:pPr>
        <w:autoSpaceDE w:val="0"/>
        <w:autoSpaceDN w:val="0"/>
        <w:adjustRightInd w:val="0"/>
        <w:rPr>
          <w:szCs w:val="24"/>
          <w:lang w:val="de-DE"/>
        </w:rPr>
      </w:pPr>
      <w:r>
        <w:rPr>
          <w:szCs w:val="24"/>
          <w:lang w:val="de-CH"/>
        </w:rPr>
        <w:t>Tabelle 1:</w:t>
      </w:r>
      <w:r>
        <w:rPr>
          <w:szCs w:val="24"/>
          <w:lang w:val="de-DE"/>
        </w:rPr>
        <w:t xml:space="preserve"> </w:t>
      </w:r>
      <w:r>
        <w:rPr>
          <w:szCs w:val="24"/>
          <w:lang w:val="de-CH"/>
        </w:rPr>
        <w:t>Schematischer Überblick über die Resistenz gegen das Tomatenmosaikvirus und Resistenzallelen:</w:t>
      </w:r>
    </w:p>
    <w:p w:rsidR="000F03D7" w:rsidRDefault="000F03D7">
      <w:pPr>
        <w:autoSpaceDE w:val="0"/>
        <w:autoSpaceDN w:val="0"/>
        <w:adjustRightInd w:val="0"/>
        <w:rPr>
          <w:sz w:val="19"/>
          <w:szCs w:val="24"/>
          <w:lang w:val="de-D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842"/>
        <w:gridCol w:w="1985"/>
        <w:gridCol w:w="1843"/>
        <w:gridCol w:w="1842"/>
      </w:tblGrid>
      <w:tr w:rsidR="000F03D7" w:rsidRPr="0084358D">
        <w:tc>
          <w:tcPr>
            <w:tcW w:w="2122" w:type="dxa"/>
            <w:vAlign w:val="center"/>
          </w:tcPr>
          <w:p w:rsidR="000F03D7" w:rsidRDefault="000F03D7">
            <w:pPr>
              <w:autoSpaceDE w:val="0"/>
              <w:autoSpaceDN w:val="0"/>
              <w:adjustRightInd w:val="0"/>
              <w:jc w:val="left"/>
              <w:rPr>
                <w:szCs w:val="24"/>
              </w:rPr>
            </w:pPr>
            <w:r>
              <w:rPr>
                <w:sz w:val="19"/>
                <w:szCs w:val="24"/>
                <w:lang w:val="de-CH"/>
              </w:rPr>
              <w:t>Genetischer Hintergrund</w:t>
            </w:r>
          </w:p>
        </w:tc>
        <w:tc>
          <w:tcPr>
            <w:tcW w:w="1842" w:type="dxa"/>
            <w:vAlign w:val="center"/>
          </w:tcPr>
          <w:p w:rsidR="000F03D7" w:rsidRDefault="000F03D7">
            <w:pPr>
              <w:autoSpaceDE w:val="0"/>
              <w:autoSpaceDN w:val="0"/>
              <w:adjustRightInd w:val="0"/>
              <w:jc w:val="left"/>
              <w:rPr>
                <w:szCs w:val="24"/>
              </w:rPr>
            </w:pPr>
            <w:r>
              <w:rPr>
                <w:sz w:val="19"/>
                <w:szCs w:val="24"/>
              </w:rPr>
              <w:t xml:space="preserve">tm2/tm2 </w:t>
            </w:r>
          </w:p>
          <w:p w:rsidR="000F03D7" w:rsidRDefault="000F03D7">
            <w:pPr>
              <w:autoSpaceDE w:val="0"/>
              <w:autoSpaceDN w:val="0"/>
              <w:adjustRightInd w:val="0"/>
              <w:jc w:val="left"/>
              <w:rPr>
                <w:sz w:val="19"/>
                <w:szCs w:val="24"/>
              </w:rPr>
            </w:pPr>
          </w:p>
          <w:p w:rsidR="000F03D7" w:rsidRDefault="000F03D7">
            <w:pPr>
              <w:autoSpaceDE w:val="0"/>
              <w:autoSpaceDN w:val="0"/>
              <w:adjustRightInd w:val="0"/>
              <w:jc w:val="left"/>
              <w:rPr>
                <w:szCs w:val="24"/>
              </w:rPr>
            </w:pPr>
            <w:r>
              <w:rPr>
                <w:sz w:val="19"/>
                <w:szCs w:val="24"/>
              </w:rPr>
              <w:t xml:space="preserve">und </w:t>
            </w:r>
          </w:p>
          <w:p w:rsidR="000F03D7" w:rsidRDefault="000F03D7">
            <w:pPr>
              <w:autoSpaceDE w:val="0"/>
              <w:autoSpaceDN w:val="0"/>
              <w:adjustRightInd w:val="0"/>
              <w:jc w:val="left"/>
              <w:rPr>
                <w:sz w:val="19"/>
                <w:szCs w:val="24"/>
              </w:rPr>
            </w:pPr>
          </w:p>
          <w:p w:rsidR="000F03D7" w:rsidRDefault="000F03D7">
            <w:pPr>
              <w:autoSpaceDE w:val="0"/>
              <w:autoSpaceDN w:val="0"/>
              <w:adjustRightInd w:val="0"/>
              <w:jc w:val="left"/>
              <w:rPr>
                <w:sz w:val="19"/>
                <w:szCs w:val="24"/>
                <w:lang w:val="de-DE"/>
              </w:rPr>
            </w:pPr>
            <w:r>
              <w:rPr>
                <w:sz w:val="19"/>
                <w:szCs w:val="24"/>
                <w:lang w:val="de-CH"/>
              </w:rPr>
              <w:t>tm1/tm1</w:t>
            </w:r>
          </w:p>
          <w:p w:rsidR="000F03D7" w:rsidRDefault="000F03D7">
            <w:pPr>
              <w:autoSpaceDE w:val="0"/>
              <w:autoSpaceDN w:val="0"/>
              <w:adjustRightInd w:val="0"/>
              <w:jc w:val="left"/>
              <w:rPr>
                <w:sz w:val="19"/>
                <w:szCs w:val="24"/>
                <w:lang w:val="de-DE"/>
              </w:rPr>
            </w:pPr>
          </w:p>
        </w:tc>
        <w:tc>
          <w:tcPr>
            <w:tcW w:w="1985" w:type="dxa"/>
            <w:vAlign w:val="center"/>
          </w:tcPr>
          <w:p w:rsidR="000F03D7" w:rsidRDefault="000F03D7">
            <w:pPr>
              <w:autoSpaceDE w:val="0"/>
              <w:autoSpaceDN w:val="0"/>
              <w:adjustRightInd w:val="0"/>
              <w:spacing w:before="60"/>
              <w:jc w:val="left"/>
              <w:rPr>
                <w:szCs w:val="24"/>
                <w:lang w:val="de-DE"/>
              </w:rPr>
            </w:pPr>
            <w:r>
              <w:rPr>
                <w:sz w:val="19"/>
                <w:szCs w:val="24"/>
                <w:lang w:val="de-CH"/>
              </w:rPr>
              <w:t>Tm2/Tm2 oder Tm2/tm2</w:t>
            </w:r>
            <w:r>
              <w:rPr>
                <w:sz w:val="19"/>
                <w:szCs w:val="24"/>
                <w:lang w:val="de-DE"/>
              </w:rPr>
              <w:t xml:space="preserve"> </w:t>
            </w:r>
          </w:p>
          <w:p w:rsidR="000F03D7" w:rsidRDefault="000F03D7">
            <w:pPr>
              <w:autoSpaceDE w:val="0"/>
              <w:autoSpaceDN w:val="0"/>
              <w:adjustRightInd w:val="0"/>
              <w:jc w:val="left"/>
              <w:rPr>
                <w:sz w:val="19"/>
                <w:szCs w:val="24"/>
                <w:lang w:val="de-DE"/>
              </w:rPr>
            </w:pPr>
          </w:p>
          <w:p w:rsidR="000F03D7" w:rsidRDefault="000F03D7">
            <w:pPr>
              <w:autoSpaceDE w:val="0"/>
              <w:autoSpaceDN w:val="0"/>
              <w:adjustRightInd w:val="0"/>
              <w:jc w:val="left"/>
              <w:rPr>
                <w:szCs w:val="24"/>
                <w:lang w:val="de-DE"/>
              </w:rPr>
            </w:pPr>
            <w:r>
              <w:rPr>
                <w:sz w:val="19"/>
                <w:szCs w:val="24"/>
                <w:lang w:val="de-CH"/>
              </w:rPr>
              <w:t>und</w:t>
            </w:r>
            <w:r>
              <w:rPr>
                <w:sz w:val="19"/>
                <w:szCs w:val="24"/>
                <w:lang w:val="de-DE"/>
              </w:rPr>
              <w:t xml:space="preserve"> </w:t>
            </w:r>
          </w:p>
          <w:p w:rsidR="000F03D7" w:rsidRDefault="000F03D7">
            <w:pPr>
              <w:autoSpaceDE w:val="0"/>
              <w:autoSpaceDN w:val="0"/>
              <w:adjustRightInd w:val="0"/>
              <w:jc w:val="left"/>
              <w:rPr>
                <w:sz w:val="19"/>
                <w:szCs w:val="24"/>
                <w:lang w:val="de-DE"/>
              </w:rPr>
            </w:pPr>
          </w:p>
          <w:p w:rsidR="000F03D7" w:rsidRDefault="000F03D7">
            <w:pPr>
              <w:autoSpaceDE w:val="0"/>
              <w:autoSpaceDN w:val="0"/>
              <w:adjustRightInd w:val="0"/>
              <w:spacing w:before="60"/>
              <w:jc w:val="left"/>
              <w:rPr>
                <w:szCs w:val="24"/>
                <w:lang w:val="de-DE"/>
              </w:rPr>
            </w:pPr>
            <w:r>
              <w:rPr>
                <w:sz w:val="19"/>
                <w:szCs w:val="24"/>
                <w:lang w:val="de-CH"/>
              </w:rPr>
              <w:t>Tm1/Tm1 oder Tm1/tm1 oder tm1/tm1</w:t>
            </w:r>
          </w:p>
        </w:tc>
        <w:tc>
          <w:tcPr>
            <w:tcW w:w="1843" w:type="dxa"/>
            <w:vAlign w:val="center"/>
          </w:tcPr>
          <w:p w:rsidR="000F03D7" w:rsidRDefault="000F03D7">
            <w:pPr>
              <w:autoSpaceDE w:val="0"/>
              <w:autoSpaceDN w:val="0"/>
              <w:adjustRightInd w:val="0"/>
              <w:jc w:val="left"/>
              <w:rPr>
                <w:sz w:val="19"/>
                <w:szCs w:val="24"/>
                <w:lang w:val="de-DE"/>
              </w:rPr>
            </w:pPr>
          </w:p>
          <w:p w:rsidR="000F03D7" w:rsidRDefault="000F03D7">
            <w:pPr>
              <w:autoSpaceDE w:val="0"/>
              <w:autoSpaceDN w:val="0"/>
              <w:adjustRightInd w:val="0"/>
              <w:spacing w:before="60"/>
              <w:jc w:val="left"/>
              <w:rPr>
                <w:sz w:val="19"/>
                <w:szCs w:val="24"/>
                <w:lang w:val="de-DE"/>
              </w:rPr>
            </w:pPr>
            <w:r>
              <w:rPr>
                <w:sz w:val="19"/>
                <w:szCs w:val="24"/>
                <w:lang w:val="de-CH"/>
              </w:rPr>
              <w:t>Tm2</w:t>
            </w:r>
            <w:r>
              <w:rPr>
                <w:sz w:val="19"/>
                <w:szCs w:val="24"/>
                <w:vertAlign w:val="superscript"/>
                <w:lang w:val="de-CH"/>
              </w:rPr>
              <w:t>2</w:t>
            </w:r>
            <w:r>
              <w:rPr>
                <w:sz w:val="19"/>
                <w:szCs w:val="24"/>
                <w:lang w:val="de-CH"/>
              </w:rPr>
              <w:t>/Tm2</w:t>
            </w:r>
            <w:r>
              <w:rPr>
                <w:sz w:val="19"/>
                <w:szCs w:val="24"/>
                <w:vertAlign w:val="superscript"/>
                <w:lang w:val="de-CH"/>
              </w:rPr>
              <w:t>2</w:t>
            </w:r>
            <w:r>
              <w:rPr>
                <w:sz w:val="19"/>
                <w:szCs w:val="24"/>
                <w:lang w:val="de-CH"/>
              </w:rPr>
              <w:t xml:space="preserve"> oder Tm2</w:t>
            </w:r>
            <w:r>
              <w:rPr>
                <w:sz w:val="19"/>
                <w:szCs w:val="24"/>
                <w:vertAlign w:val="superscript"/>
                <w:lang w:val="de-CH"/>
              </w:rPr>
              <w:t>2</w:t>
            </w:r>
            <w:r>
              <w:rPr>
                <w:sz w:val="19"/>
                <w:szCs w:val="24"/>
                <w:lang w:val="de-CH"/>
              </w:rPr>
              <w:t>/Tm2 oder       Tm2</w:t>
            </w:r>
            <w:r>
              <w:rPr>
                <w:sz w:val="19"/>
                <w:szCs w:val="24"/>
                <w:vertAlign w:val="superscript"/>
                <w:lang w:val="de-CH"/>
              </w:rPr>
              <w:t>2</w:t>
            </w:r>
            <w:r>
              <w:rPr>
                <w:sz w:val="19"/>
                <w:szCs w:val="24"/>
                <w:lang w:val="de-CH"/>
              </w:rPr>
              <w:t>/tm2</w:t>
            </w:r>
          </w:p>
          <w:p w:rsidR="000F03D7" w:rsidRDefault="000F03D7">
            <w:pPr>
              <w:autoSpaceDE w:val="0"/>
              <w:autoSpaceDN w:val="0"/>
              <w:adjustRightInd w:val="0"/>
              <w:jc w:val="left"/>
              <w:rPr>
                <w:sz w:val="19"/>
                <w:szCs w:val="24"/>
                <w:lang w:val="de-DE"/>
              </w:rPr>
            </w:pPr>
          </w:p>
          <w:p w:rsidR="000F03D7" w:rsidRDefault="000F03D7">
            <w:pPr>
              <w:autoSpaceDE w:val="0"/>
              <w:autoSpaceDN w:val="0"/>
              <w:adjustRightInd w:val="0"/>
              <w:jc w:val="left"/>
              <w:rPr>
                <w:szCs w:val="24"/>
                <w:lang w:val="de-DE"/>
              </w:rPr>
            </w:pPr>
            <w:r>
              <w:rPr>
                <w:sz w:val="19"/>
                <w:szCs w:val="24"/>
                <w:lang w:val="de-CH"/>
              </w:rPr>
              <w:t>und</w:t>
            </w:r>
            <w:r>
              <w:rPr>
                <w:sz w:val="19"/>
                <w:szCs w:val="24"/>
                <w:lang w:val="de-DE"/>
              </w:rPr>
              <w:t xml:space="preserve"> </w:t>
            </w:r>
          </w:p>
          <w:p w:rsidR="000F03D7" w:rsidRDefault="000F03D7">
            <w:pPr>
              <w:autoSpaceDE w:val="0"/>
              <w:autoSpaceDN w:val="0"/>
              <w:adjustRightInd w:val="0"/>
              <w:jc w:val="left"/>
              <w:rPr>
                <w:sz w:val="19"/>
                <w:szCs w:val="24"/>
                <w:lang w:val="de-DE"/>
              </w:rPr>
            </w:pPr>
          </w:p>
          <w:p w:rsidR="000F03D7" w:rsidRDefault="000F03D7">
            <w:pPr>
              <w:autoSpaceDE w:val="0"/>
              <w:autoSpaceDN w:val="0"/>
              <w:adjustRightInd w:val="0"/>
              <w:jc w:val="left"/>
              <w:rPr>
                <w:szCs w:val="24"/>
                <w:lang w:val="de-DE"/>
              </w:rPr>
            </w:pPr>
            <w:r>
              <w:rPr>
                <w:sz w:val="19"/>
                <w:szCs w:val="24"/>
                <w:lang w:val="de-CH"/>
              </w:rPr>
              <w:t>Tm1/Tm1 oder Tm1/tm1 oder</w:t>
            </w:r>
            <w:r>
              <w:rPr>
                <w:sz w:val="19"/>
                <w:szCs w:val="24"/>
                <w:lang w:val="de-DE"/>
              </w:rPr>
              <w:t xml:space="preserve"> </w:t>
            </w:r>
          </w:p>
          <w:p w:rsidR="000F03D7" w:rsidRDefault="000F03D7">
            <w:pPr>
              <w:autoSpaceDE w:val="0"/>
              <w:autoSpaceDN w:val="0"/>
              <w:adjustRightInd w:val="0"/>
              <w:jc w:val="left"/>
              <w:rPr>
                <w:sz w:val="19"/>
                <w:szCs w:val="24"/>
                <w:lang w:val="de-DE"/>
              </w:rPr>
            </w:pPr>
            <w:r>
              <w:rPr>
                <w:sz w:val="19"/>
                <w:szCs w:val="24"/>
                <w:lang w:val="de-CH"/>
              </w:rPr>
              <w:t>tm1/tm1</w:t>
            </w:r>
          </w:p>
          <w:p w:rsidR="000F03D7" w:rsidRDefault="000F03D7">
            <w:pPr>
              <w:autoSpaceDE w:val="0"/>
              <w:autoSpaceDN w:val="0"/>
              <w:adjustRightInd w:val="0"/>
              <w:jc w:val="left"/>
              <w:rPr>
                <w:sz w:val="19"/>
                <w:szCs w:val="24"/>
                <w:lang w:val="de-DE"/>
              </w:rPr>
            </w:pPr>
          </w:p>
        </w:tc>
        <w:tc>
          <w:tcPr>
            <w:tcW w:w="1842" w:type="dxa"/>
            <w:vAlign w:val="center"/>
          </w:tcPr>
          <w:p w:rsidR="000F03D7" w:rsidRDefault="000F03D7">
            <w:pPr>
              <w:autoSpaceDE w:val="0"/>
              <w:autoSpaceDN w:val="0"/>
              <w:adjustRightInd w:val="0"/>
              <w:jc w:val="left"/>
              <w:rPr>
                <w:szCs w:val="24"/>
                <w:lang w:val="de-DE"/>
              </w:rPr>
            </w:pPr>
            <w:r>
              <w:rPr>
                <w:sz w:val="19"/>
                <w:szCs w:val="24"/>
                <w:lang w:val="de-CH"/>
              </w:rPr>
              <w:t>tm2tm2</w:t>
            </w:r>
            <w:r>
              <w:rPr>
                <w:sz w:val="19"/>
                <w:szCs w:val="24"/>
                <w:lang w:val="de-DE"/>
              </w:rPr>
              <w:t xml:space="preserve"> </w:t>
            </w:r>
          </w:p>
          <w:p w:rsidR="000F03D7" w:rsidRDefault="000F03D7">
            <w:pPr>
              <w:autoSpaceDE w:val="0"/>
              <w:autoSpaceDN w:val="0"/>
              <w:adjustRightInd w:val="0"/>
              <w:jc w:val="left"/>
              <w:rPr>
                <w:sz w:val="19"/>
                <w:szCs w:val="24"/>
                <w:lang w:val="de-DE"/>
              </w:rPr>
            </w:pPr>
          </w:p>
          <w:p w:rsidR="000F03D7" w:rsidRDefault="000F03D7">
            <w:pPr>
              <w:autoSpaceDE w:val="0"/>
              <w:autoSpaceDN w:val="0"/>
              <w:adjustRightInd w:val="0"/>
              <w:jc w:val="left"/>
              <w:rPr>
                <w:sz w:val="19"/>
                <w:szCs w:val="24"/>
                <w:lang w:val="de-DE"/>
              </w:rPr>
            </w:pPr>
            <w:r>
              <w:rPr>
                <w:sz w:val="19"/>
                <w:szCs w:val="24"/>
                <w:lang w:val="de-CH"/>
              </w:rPr>
              <w:t>und</w:t>
            </w:r>
          </w:p>
          <w:p w:rsidR="000F03D7" w:rsidRDefault="000F03D7">
            <w:pPr>
              <w:autoSpaceDE w:val="0"/>
              <w:autoSpaceDN w:val="0"/>
              <w:adjustRightInd w:val="0"/>
              <w:jc w:val="left"/>
              <w:rPr>
                <w:sz w:val="19"/>
                <w:szCs w:val="24"/>
                <w:lang w:val="de-DE"/>
              </w:rPr>
            </w:pPr>
          </w:p>
          <w:p w:rsidR="000F03D7" w:rsidRDefault="000F03D7">
            <w:pPr>
              <w:autoSpaceDE w:val="0"/>
              <w:autoSpaceDN w:val="0"/>
              <w:adjustRightInd w:val="0"/>
              <w:jc w:val="left"/>
              <w:rPr>
                <w:szCs w:val="24"/>
                <w:lang w:val="de-DE"/>
              </w:rPr>
            </w:pPr>
            <w:r>
              <w:rPr>
                <w:sz w:val="19"/>
                <w:szCs w:val="24"/>
                <w:lang w:val="de-CH"/>
              </w:rPr>
              <w:t>Tm1/Tm1 oder</w:t>
            </w:r>
            <w:r>
              <w:rPr>
                <w:sz w:val="19"/>
                <w:szCs w:val="24"/>
                <w:lang w:val="de-DE"/>
              </w:rPr>
              <w:t xml:space="preserve"> </w:t>
            </w:r>
          </w:p>
          <w:p w:rsidR="000F03D7" w:rsidRPr="008F3CB6" w:rsidRDefault="000F03D7">
            <w:pPr>
              <w:autoSpaceDE w:val="0"/>
              <w:autoSpaceDN w:val="0"/>
              <w:adjustRightInd w:val="0"/>
              <w:jc w:val="left"/>
              <w:rPr>
                <w:szCs w:val="24"/>
                <w:lang w:val="de-CH"/>
              </w:rPr>
            </w:pPr>
            <w:r>
              <w:rPr>
                <w:sz w:val="19"/>
                <w:szCs w:val="24"/>
                <w:lang w:val="de-CH"/>
              </w:rPr>
              <w:t>Tm1/tm1</w:t>
            </w:r>
            <w:r>
              <w:rPr>
                <w:sz w:val="19"/>
                <w:szCs w:val="24"/>
                <w:lang w:val="de-DE"/>
              </w:rPr>
              <w:t xml:space="preserve"> </w:t>
            </w:r>
          </w:p>
        </w:tc>
      </w:tr>
      <w:tr w:rsidR="000F03D7">
        <w:trPr>
          <w:trHeight w:val="606"/>
        </w:trPr>
        <w:tc>
          <w:tcPr>
            <w:tcW w:w="2122" w:type="dxa"/>
            <w:vAlign w:val="center"/>
          </w:tcPr>
          <w:p w:rsidR="000F03D7" w:rsidRDefault="000F03D7">
            <w:pPr>
              <w:autoSpaceDE w:val="0"/>
              <w:autoSpaceDN w:val="0"/>
              <w:adjustRightInd w:val="0"/>
              <w:jc w:val="left"/>
              <w:rPr>
                <w:szCs w:val="24"/>
              </w:rPr>
            </w:pPr>
            <w:r>
              <w:rPr>
                <w:sz w:val="19"/>
                <w:szCs w:val="24"/>
                <w:lang w:val="de-CH"/>
              </w:rPr>
              <w:t>Marker Tm2/2</w:t>
            </w:r>
            <w:r>
              <w:rPr>
                <w:sz w:val="19"/>
                <w:szCs w:val="24"/>
                <w:vertAlign w:val="superscript"/>
                <w:lang w:val="de-CH"/>
              </w:rPr>
              <w:t>2</w:t>
            </w:r>
          </w:p>
        </w:tc>
        <w:tc>
          <w:tcPr>
            <w:tcW w:w="1842" w:type="dxa"/>
            <w:vAlign w:val="center"/>
          </w:tcPr>
          <w:p w:rsidR="000F03D7" w:rsidRDefault="000F03D7">
            <w:pPr>
              <w:autoSpaceDE w:val="0"/>
              <w:autoSpaceDN w:val="0"/>
              <w:adjustRightInd w:val="0"/>
              <w:jc w:val="left"/>
              <w:rPr>
                <w:szCs w:val="24"/>
                <w:lang w:val="de-CH"/>
              </w:rPr>
            </w:pPr>
            <w:r>
              <w:rPr>
                <w:sz w:val="19"/>
                <w:szCs w:val="24"/>
                <w:lang w:val="de-CH"/>
              </w:rPr>
              <w:t>Allelen für Anfälligkeit</w:t>
            </w:r>
          </w:p>
        </w:tc>
        <w:tc>
          <w:tcPr>
            <w:tcW w:w="1985" w:type="dxa"/>
            <w:vAlign w:val="center"/>
          </w:tcPr>
          <w:p w:rsidR="000F03D7" w:rsidRDefault="000F03D7">
            <w:pPr>
              <w:autoSpaceDE w:val="0"/>
              <w:autoSpaceDN w:val="0"/>
              <w:adjustRightInd w:val="0"/>
              <w:jc w:val="left"/>
              <w:rPr>
                <w:szCs w:val="24"/>
                <w:lang w:val="de-CH"/>
              </w:rPr>
            </w:pPr>
            <w:r>
              <w:rPr>
                <w:sz w:val="19"/>
                <w:szCs w:val="24"/>
                <w:lang w:val="de-CH"/>
              </w:rPr>
              <w:t>Allelen für Resistenz</w:t>
            </w:r>
          </w:p>
        </w:tc>
        <w:tc>
          <w:tcPr>
            <w:tcW w:w="1843" w:type="dxa"/>
            <w:vAlign w:val="center"/>
          </w:tcPr>
          <w:p w:rsidR="000F03D7" w:rsidRDefault="000F03D7">
            <w:pPr>
              <w:autoSpaceDE w:val="0"/>
              <w:autoSpaceDN w:val="0"/>
              <w:adjustRightInd w:val="0"/>
              <w:jc w:val="left"/>
              <w:rPr>
                <w:szCs w:val="24"/>
                <w:lang w:val="de-CH"/>
              </w:rPr>
            </w:pPr>
            <w:r>
              <w:rPr>
                <w:sz w:val="19"/>
                <w:szCs w:val="24"/>
                <w:lang w:val="de-CH"/>
              </w:rPr>
              <w:t>Allelen für Resistenz</w:t>
            </w:r>
          </w:p>
        </w:tc>
        <w:tc>
          <w:tcPr>
            <w:tcW w:w="1842" w:type="dxa"/>
            <w:vAlign w:val="center"/>
          </w:tcPr>
          <w:p w:rsidR="000F03D7" w:rsidRDefault="000F03D7">
            <w:pPr>
              <w:autoSpaceDE w:val="0"/>
              <w:autoSpaceDN w:val="0"/>
              <w:adjustRightInd w:val="0"/>
              <w:jc w:val="left"/>
              <w:rPr>
                <w:szCs w:val="24"/>
                <w:lang w:val="de-CH"/>
              </w:rPr>
            </w:pPr>
            <w:r>
              <w:rPr>
                <w:sz w:val="19"/>
                <w:szCs w:val="24"/>
                <w:lang w:val="de-CH"/>
              </w:rPr>
              <w:t>Allelen für Anfälligkeit</w:t>
            </w:r>
          </w:p>
        </w:tc>
      </w:tr>
      <w:tr w:rsidR="000F03D7">
        <w:trPr>
          <w:trHeight w:val="558"/>
        </w:trPr>
        <w:tc>
          <w:tcPr>
            <w:tcW w:w="2122" w:type="dxa"/>
            <w:vAlign w:val="center"/>
          </w:tcPr>
          <w:p w:rsidR="000F03D7" w:rsidRDefault="000F03D7">
            <w:pPr>
              <w:autoSpaceDE w:val="0"/>
              <w:autoSpaceDN w:val="0"/>
              <w:adjustRightInd w:val="0"/>
              <w:spacing w:before="120" w:after="120"/>
              <w:jc w:val="left"/>
              <w:rPr>
                <w:szCs w:val="24"/>
              </w:rPr>
            </w:pPr>
            <w:r>
              <w:rPr>
                <w:sz w:val="19"/>
                <w:szCs w:val="24"/>
                <w:lang w:val="de-CH"/>
              </w:rPr>
              <w:t>Res</w:t>
            </w:r>
            <w:r w:rsidR="0076719B">
              <w:rPr>
                <w:sz w:val="19"/>
                <w:szCs w:val="24"/>
                <w:lang w:val="de-CH"/>
              </w:rPr>
              <w:t>istenz</w:t>
            </w:r>
            <w:r>
              <w:rPr>
                <w:sz w:val="19"/>
                <w:szCs w:val="24"/>
                <w:lang w:val="de-CH"/>
              </w:rPr>
              <w:t xml:space="preserve"> gegen ToMV - Pathotyp 0</w:t>
            </w:r>
          </w:p>
        </w:tc>
        <w:tc>
          <w:tcPr>
            <w:tcW w:w="1842" w:type="dxa"/>
            <w:vAlign w:val="center"/>
          </w:tcPr>
          <w:p w:rsidR="000F03D7" w:rsidRDefault="000F03D7">
            <w:pPr>
              <w:autoSpaceDE w:val="0"/>
              <w:autoSpaceDN w:val="0"/>
              <w:adjustRightInd w:val="0"/>
              <w:jc w:val="left"/>
              <w:rPr>
                <w:szCs w:val="24"/>
              </w:rPr>
            </w:pPr>
            <w:r>
              <w:rPr>
                <w:sz w:val="19"/>
                <w:szCs w:val="24"/>
                <w:lang w:val="de-CH"/>
              </w:rPr>
              <w:t>fehlend</w:t>
            </w:r>
          </w:p>
        </w:tc>
        <w:tc>
          <w:tcPr>
            <w:tcW w:w="1985" w:type="dxa"/>
            <w:vAlign w:val="center"/>
          </w:tcPr>
          <w:p w:rsidR="000F03D7" w:rsidRDefault="000F03D7">
            <w:pPr>
              <w:autoSpaceDE w:val="0"/>
              <w:autoSpaceDN w:val="0"/>
              <w:adjustRightInd w:val="0"/>
              <w:jc w:val="left"/>
              <w:rPr>
                <w:szCs w:val="24"/>
              </w:rPr>
            </w:pPr>
            <w:r>
              <w:rPr>
                <w:sz w:val="19"/>
                <w:szCs w:val="24"/>
                <w:lang w:val="de-CH"/>
              </w:rPr>
              <w:t>vorhanden</w:t>
            </w:r>
          </w:p>
        </w:tc>
        <w:tc>
          <w:tcPr>
            <w:tcW w:w="1843" w:type="dxa"/>
            <w:vAlign w:val="center"/>
          </w:tcPr>
          <w:p w:rsidR="000F03D7" w:rsidRDefault="000F03D7">
            <w:pPr>
              <w:autoSpaceDE w:val="0"/>
              <w:autoSpaceDN w:val="0"/>
              <w:adjustRightInd w:val="0"/>
              <w:jc w:val="left"/>
              <w:rPr>
                <w:szCs w:val="24"/>
              </w:rPr>
            </w:pPr>
            <w:r>
              <w:rPr>
                <w:sz w:val="19"/>
                <w:szCs w:val="24"/>
                <w:lang w:val="de-CH"/>
              </w:rPr>
              <w:t>vorhanden</w:t>
            </w:r>
          </w:p>
        </w:tc>
        <w:tc>
          <w:tcPr>
            <w:tcW w:w="1842" w:type="dxa"/>
            <w:vAlign w:val="center"/>
          </w:tcPr>
          <w:p w:rsidR="000F03D7" w:rsidRDefault="000F03D7">
            <w:pPr>
              <w:autoSpaceDE w:val="0"/>
              <w:autoSpaceDN w:val="0"/>
              <w:adjustRightInd w:val="0"/>
              <w:jc w:val="left"/>
              <w:rPr>
                <w:szCs w:val="24"/>
              </w:rPr>
            </w:pPr>
            <w:r>
              <w:rPr>
                <w:sz w:val="19"/>
                <w:szCs w:val="24"/>
                <w:lang w:val="de-CH"/>
              </w:rPr>
              <w:t>vorhanden</w:t>
            </w:r>
          </w:p>
        </w:tc>
      </w:tr>
    </w:tbl>
    <w:p w:rsidR="000F03D7" w:rsidRDefault="000F03D7">
      <w:pPr>
        <w:autoSpaceDE w:val="0"/>
        <w:autoSpaceDN w:val="0"/>
        <w:adjustRightInd w:val="0"/>
        <w:jc w:val="left"/>
        <w:rPr>
          <w:sz w:val="19"/>
          <w:szCs w:val="24"/>
          <w:lang w:val="de-DE"/>
        </w:rPr>
      </w:pPr>
    </w:p>
    <w:p w:rsidR="000F03D7" w:rsidRDefault="000F03D7">
      <w:pPr>
        <w:autoSpaceDE w:val="0"/>
        <w:autoSpaceDN w:val="0"/>
        <w:adjustRightInd w:val="0"/>
        <w:rPr>
          <w:szCs w:val="24"/>
          <w:lang w:val="de-DE"/>
        </w:rPr>
      </w:pPr>
      <w:r>
        <w:rPr>
          <w:szCs w:val="24"/>
          <w:lang w:val="de-DE"/>
        </w:rPr>
        <w:t>3.</w:t>
      </w:r>
      <w:r>
        <w:rPr>
          <w:szCs w:val="24"/>
          <w:lang w:val="de-DE"/>
        </w:rPr>
        <w:tab/>
      </w:r>
      <w:r>
        <w:rPr>
          <w:szCs w:val="24"/>
          <w:lang w:val="de-CH"/>
        </w:rPr>
        <w:t>Ein Marker identifiziert das Vorhandensein von Resistenzallelen Tm2 und Tm2</w:t>
      </w:r>
      <w:r>
        <w:rPr>
          <w:szCs w:val="24"/>
          <w:vertAlign w:val="superscript"/>
          <w:lang w:val="de-CH"/>
        </w:rPr>
        <w:t>2</w:t>
      </w:r>
      <w:r>
        <w:rPr>
          <w:szCs w:val="24"/>
          <w:lang w:val="de-CH"/>
        </w:rPr>
        <w:t xml:space="preserve"> und dem Anfälligkeitsallel tm2.</w:t>
      </w:r>
      <w:r w:rsidR="008F3CB6">
        <w:rPr>
          <w:szCs w:val="24"/>
          <w:lang w:val="de-DE"/>
        </w:rPr>
        <w:t xml:space="preserve"> </w:t>
      </w:r>
      <w:r>
        <w:rPr>
          <w:szCs w:val="24"/>
          <w:lang w:val="de-CH"/>
        </w:rPr>
        <w:t>Der Marker Tm2/2</w:t>
      </w:r>
      <w:r>
        <w:rPr>
          <w:szCs w:val="24"/>
          <w:vertAlign w:val="superscript"/>
          <w:lang w:val="de-CH"/>
        </w:rPr>
        <w:t>2</w:t>
      </w:r>
      <w:r>
        <w:rPr>
          <w:szCs w:val="24"/>
          <w:lang w:val="de-CH"/>
        </w:rPr>
        <w:t xml:space="preserve"> liegt in der Protein kodierenden Sequenz.</w:t>
      </w:r>
    </w:p>
    <w:p w:rsidR="000F03D7" w:rsidRDefault="000F03D7">
      <w:pPr>
        <w:autoSpaceDE w:val="0"/>
        <w:autoSpaceDN w:val="0"/>
        <w:adjustRightInd w:val="0"/>
        <w:rPr>
          <w:szCs w:val="24"/>
          <w:lang w:val="de-DE"/>
        </w:rPr>
      </w:pPr>
    </w:p>
    <w:p w:rsidR="000F03D7" w:rsidRDefault="000F03D7">
      <w:pPr>
        <w:autoSpaceDE w:val="0"/>
        <w:autoSpaceDN w:val="0"/>
        <w:adjustRightInd w:val="0"/>
        <w:rPr>
          <w:szCs w:val="24"/>
          <w:lang w:val="de-DE"/>
        </w:rPr>
      </w:pPr>
      <w:r>
        <w:rPr>
          <w:szCs w:val="24"/>
          <w:lang w:val="de-DE"/>
        </w:rPr>
        <w:t>4.</w:t>
      </w:r>
      <w:r>
        <w:rPr>
          <w:szCs w:val="24"/>
          <w:lang w:val="de-DE"/>
        </w:rPr>
        <w:tab/>
      </w:r>
      <w:r>
        <w:rPr>
          <w:szCs w:val="24"/>
          <w:lang w:val="de-CH"/>
        </w:rPr>
        <w:t>Eine Sorte ist resistent gegen ToMV Pathogen 0, wenn das Resistenzallel Tm2 oder das Resistenzallel Tm2</w:t>
      </w:r>
      <w:r>
        <w:rPr>
          <w:szCs w:val="24"/>
          <w:vertAlign w:val="superscript"/>
          <w:lang w:val="de-CH"/>
        </w:rPr>
        <w:t>2</w:t>
      </w:r>
      <w:r>
        <w:rPr>
          <w:szCs w:val="24"/>
          <w:lang w:val="de-CH"/>
        </w:rPr>
        <w:t xml:space="preserve"> vorhanden ist.</w:t>
      </w:r>
      <w:r w:rsidR="008F3CB6">
        <w:rPr>
          <w:szCs w:val="24"/>
          <w:lang w:val="de-DE"/>
        </w:rPr>
        <w:t xml:space="preserve"> </w:t>
      </w:r>
      <w:r>
        <w:rPr>
          <w:szCs w:val="24"/>
          <w:lang w:val="de-CH"/>
        </w:rPr>
        <w:t>Ist dies der Fall, könnte der traditionelle Biotest durch den DNS-Marker-Test ersetzt werden, um die Resistenz gegen ToMV Pathotyp 0 zu beurteilen.</w:t>
      </w:r>
    </w:p>
    <w:p w:rsidR="000F03D7" w:rsidRDefault="000F03D7">
      <w:pPr>
        <w:autoSpaceDE w:val="0"/>
        <w:autoSpaceDN w:val="0"/>
        <w:adjustRightInd w:val="0"/>
        <w:rPr>
          <w:szCs w:val="24"/>
          <w:lang w:val="de-DE"/>
        </w:rPr>
      </w:pPr>
    </w:p>
    <w:p w:rsidR="000F03D7" w:rsidRDefault="000F03D7">
      <w:pPr>
        <w:autoSpaceDE w:val="0"/>
        <w:autoSpaceDN w:val="0"/>
        <w:adjustRightInd w:val="0"/>
        <w:rPr>
          <w:szCs w:val="24"/>
          <w:lang w:val="de-DE"/>
        </w:rPr>
      </w:pPr>
      <w:r>
        <w:rPr>
          <w:szCs w:val="24"/>
          <w:lang w:val="de-DE"/>
        </w:rPr>
        <w:t>5.</w:t>
      </w:r>
      <w:r>
        <w:rPr>
          <w:szCs w:val="24"/>
          <w:lang w:val="de-DE"/>
        </w:rPr>
        <w:tab/>
      </w:r>
      <w:r>
        <w:rPr>
          <w:szCs w:val="24"/>
          <w:lang w:val="de-CH"/>
        </w:rPr>
        <w:t>Eine Sorte mit homozygotem Allel tm2 wird anfällig gegen ToMV Pathogen 0 sein, es sei denn, die Resistenz ist durch das Resistenzallel Tm1 codiert.</w:t>
      </w:r>
      <w:r w:rsidR="008F3CB6">
        <w:rPr>
          <w:szCs w:val="24"/>
          <w:lang w:val="de-DE"/>
        </w:rPr>
        <w:t xml:space="preserve"> </w:t>
      </w:r>
      <w:r>
        <w:rPr>
          <w:szCs w:val="24"/>
          <w:lang w:val="de-CH"/>
        </w:rPr>
        <w:t>I</w:t>
      </w:r>
      <w:r w:rsidR="0076719B">
        <w:rPr>
          <w:szCs w:val="24"/>
          <w:lang w:val="de-CH"/>
        </w:rPr>
        <w:t>n</w:t>
      </w:r>
      <w:r>
        <w:rPr>
          <w:szCs w:val="24"/>
          <w:lang w:val="de-CH"/>
        </w:rPr>
        <w:t xml:space="preserve"> diesem Fall kann die Resistenz gegen ToMV Pathotyp 0 nicht durch einen DNS-Marker-Test beurteilt werden, da es keinen zuverlässigen Marker für das Gen Tm1 gibt.</w:t>
      </w:r>
    </w:p>
    <w:p w:rsidR="000F03D7" w:rsidRDefault="000F03D7">
      <w:pPr>
        <w:autoSpaceDE w:val="0"/>
        <w:autoSpaceDN w:val="0"/>
        <w:adjustRightInd w:val="0"/>
        <w:rPr>
          <w:szCs w:val="24"/>
          <w:lang w:val="de-DE"/>
        </w:rPr>
      </w:pPr>
    </w:p>
    <w:p w:rsidR="000F03D7" w:rsidRDefault="000F03D7">
      <w:pPr>
        <w:autoSpaceDE w:val="0"/>
        <w:autoSpaceDN w:val="0"/>
        <w:adjustRightInd w:val="0"/>
        <w:rPr>
          <w:szCs w:val="24"/>
          <w:lang w:val="de-DE"/>
        </w:rPr>
      </w:pPr>
      <w:r>
        <w:rPr>
          <w:szCs w:val="24"/>
          <w:lang w:val="de-DE"/>
        </w:rPr>
        <w:t>6.</w:t>
      </w:r>
      <w:r>
        <w:rPr>
          <w:szCs w:val="24"/>
          <w:lang w:val="de-DE"/>
        </w:rPr>
        <w:tab/>
      </w:r>
      <w:r>
        <w:rPr>
          <w:szCs w:val="24"/>
          <w:lang w:val="de-CH"/>
        </w:rPr>
        <w:t xml:space="preserve">Falls eine Sorte als resistent gegen ToMV Pathotyp 0 gilt und das DNS-Marker-Testergebnis tm2/tm2 (homozygot anfällig) ist, muss ein Biotest durchgeführt werden, um zu bestimmen, ob die Sorte auf Grundlage eines anderen Gens, wie beispielsweise </w:t>
      </w:r>
      <w:r w:rsidR="0076719B">
        <w:rPr>
          <w:szCs w:val="24"/>
          <w:lang w:val="de-CH"/>
        </w:rPr>
        <w:t>Tm</w:t>
      </w:r>
      <w:r>
        <w:rPr>
          <w:szCs w:val="24"/>
          <w:lang w:val="de-CH"/>
        </w:rPr>
        <w:t>1, resistent ist.</w:t>
      </w:r>
      <w:r w:rsidR="008F3CB6">
        <w:rPr>
          <w:szCs w:val="24"/>
          <w:lang w:val="de-DE"/>
        </w:rPr>
        <w:t xml:space="preserve"> </w:t>
      </w:r>
      <w:r>
        <w:rPr>
          <w:szCs w:val="24"/>
          <w:highlight w:val="lightGray"/>
          <w:u w:val="single"/>
          <w:lang w:val="de-CH"/>
        </w:rPr>
        <w:t>Wenn eine Sorte als anfällig gegen ToMV Pathogen 0 gilt, sollte ein Biotest durchgeführt werden, um zu bestimmen, ob die Sorte resistent ist.</w:t>
      </w:r>
      <w:r>
        <w:rPr>
          <w:szCs w:val="24"/>
          <w:lang w:val="de-DE"/>
        </w:rPr>
        <w:t xml:space="preserve"> </w:t>
      </w:r>
    </w:p>
    <w:p w:rsidR="000F03D7" w:rsidRDefault="000F03D7">
      <w:pPr>
        <w:autoSpaceDE w:val="0"/>
        <w:autoSpaceDN w:val="0"/>
        <w:adjustRightInd w:val="0"/>
        <w:rPr>
          <w:szCs w:val="24"/>
          <w:lang w:val="de-DE"/>
        </w:rPr>
      </w:pPr>
    </w:p>
    <w:p w:rsidR="000F03D7" w:rsidRDefault="000F03D7">
      <w:pPr>
        <w:rPr>
          <w:szCs w:val="24"/>
          <w:lang w:val="de-DE"/>
        </w:rPr>
      </w:pPr>
    </w:p>
    <w:p w:rsidR="000F03D7" w:rsidRDefault="000F03D7">
      <w:pPr>
        <w:rPr>
          <w:szCs w:val="24"/>
          <w:lang w:val="de-DE"/>
        </w:rPr>
      </w:pPr>
    </w:p>
    <w:p w:rsidR="000F03D7" w:rsidRDefault="000F03D7">
      <w:pPr>
        <w:jc w:val="right"/>
        <w:rPr>
          <w:szCs w:val="24"/>
          <w:lang w:val="de-DE"/>
        </w:rPr>
      </w:pPr>
      <w:r>
        <w:rPr>
          <w:szCs w:val="24"/>
          <w:lang w:val="de-CH"/>
        </w:rPr>
        <w:t>[Ende der Anlage und des Dokuments]</w:t>
      </w:r>
    </w:p>
    <w:sectPr w:rsidR="000F03D7">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5F0" w:rsidRDefault="006C45F0">
      <w:pPr>
        <w:rPr>
          <w:szCs w:val="24"/>
        </w:rPr>
      </w:pPr>
      <w:r>
        <w:rPr>
          <w:szCs w:val="24"/>
        </w:rPr>
        <w:separator/>
      </w:r>
    </w:p>
    <w:p w:rsidR="006C45F0" w:rsidRDefault="006C45F0">
      <w:pPr>
        <w:rPr>
          <w:szCs w:val="24"/>
        </w:rPr>
      </w:pPr>
    </w:p>
    <w:p w:rsidR="006C45F0" w:rsidRDefault="006C45F0">
      <w:pPr>
        <w:rPr>
          <w:szCs w:val="24"/>
        </w:rPr>
      </w:pPr>
    </w:p>
  </w:endnote>
  <w:endnote w:type="continuationSeparator" w:id="0">
    <w:p w:rsidR="006C45F0" w:rsidRDefault="006C45F0">
      <w:pPr>
        <w:rPr>
          <w:szCs w:val="24"/>
        </w:rPr>
      </w:pPr>
      <w:r>
        <w:rPr>
          <w:szCs w:val="24"/>
        </w:rPr>
        <w:separator/>
      </w:r>
    </w:p>
    <w:p w:rsidR="006C45F0" w:rsidRDefault="006C45F0">
      <w:pPr>
        <w:pStyle w:val="Footer"/>
        <w:spacing w:after="60"/>
        <w:rPr>
          <w:sz w:val="18"/>
          <w:szCs w:val="24"/>
          <w:lang w:val="fr-FR"/>
        </w:rPr>
      </w:pPr>
      <w:r>
        <w:rPr>
          <w:noProof/>
          <w:sz w:val="18"/>
          <w:szCs w:val="24"/>
          <w:lang w:val="fr-FR"/>
        </w:rPr>
        <w:t>[Suite de la note de la page précédente]</w:t>
      </w:r>
    </w:p>
    <w:p w:rsidR="006C45F0" w:rsidRDefault="006C45F0">
      <w:pPr>
        <w:rPr>
          <w:szCs w:val="24"/>
          <w:lang w:val="fr-FR"/>
        </w:rPr>
      </w:pPr>
    </w:p>
    <w:p w:rsidR="006C45F0" w:rsidRDefault="006C45F0">
      <w:pPr>
        <w:rPr>
          <w:szCs w:val="24"/>
          <w:lang w:val="fr-FR"/>
        </w:rPr>
      </w:pPr>
    </w:p>
  </w:endnote>
  <w:endnote w:type="continuationNotice" w:id="1">
    <w:p w:rsidR="006C45F0" w:rsidRDefault="006C45F0">
      <w:pPr>
        <w:rPr>
          <w:szCs w:val="24"/>
          <w:lang w:val="fr-FR"/>
        </w:rPr>
      </w:pPr>
      <w:r>
        <w:rPr>
          <w:noProof/>
          <w:szCs w:val="24"/>
          <w:lang w:val="fr-FR"/>
        </w:rPr>
        <w:t>[Suite de la note page suivante]</w:t>
      </w:r>
    </w:p>
    <w:p w:rsidR="006C45F0" w:rsidRDefault="006C45F0">
      <w:pPr>
        <w:rPr>
          <w:szCs w:val="24"/>
          <w:lang w:val="fr-FR"/>
        </w:rPr>
      </w:pPr>
    </w:p>
    <w:p w:rsidR="006C45F0" w:rsidRDefault="006C45F0">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D7" w:rsidRDefault="000F03D7">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D7" w:rsidRDefault="000F03D7">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D7" w:rsidRDefault="000F03D7">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5F0" w:rsidRDefault="006C45F0">
      <w:pPr>
        <w:rPr>
          <w:szCs w:val="24"/>
        </w:rPr>
      </w:pPr>
      <w:r>
        <w:rPr>
          <w:szCs w:val="24"/>
        </w:rPr>
        <w:separator/>
      </w:r>
    </w:p>
  </w:footnote>
  <w:footnote w:type="continuationSeparator" w:id="0">
    <w:p w:rsidR="006C45F0" w:rsidRDefault="006C45F0">
      <w:pPr>
        <w:rPr>
          <w:szCs w:val="24"/>
        </w:rPr>
      </w:pPr>
      <w:r>
        <w:rPr>
          <w:szCs w:val="24"/>
        </w:rPr>
        <w:separator/>
      </w:r>
    </w:p>
  </w:footnote>
  <w:footnote w:type="continuationNotice" w:id="1">
    <w:p w:rsidR="006C45F0" w:rsidRDefault="006C45F0">
      <w:pPr>
        <w:pStyle w:val="Foote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D7" w:rsidRDefault="000F03D7">
    <w:pPr>
      <w:pStyle w:val="Header"/>
      <w:rPr>
        <w:rStyle w:val="PageNumber"/>
        <w:szCs w:val="24"/>
        <w:lang w:val="en-US"/>
      </w:rPr>
    </w:pPr>
    <w:r>
      <w:rPr>
        <w:noProof/>
        <w:szCs w:val="24"/>
      </w:rPr>
      <w:t>TC/55/15</w:t>
    </w:r>
  </w:p>
  <w:p w:rsidR="000F03D7" w:rsidRDefault="008F3CB6">
    <w:pPr>
      <w:pStyle w:val="Header"/>
      <w:rPr>
        <w:szCs w:val="24"/>
        <w:lang w:val="en-US"/>
      </w:rPr>
    </w:pPr>
    <w:proofErr w:type="spellStart"/>
    <w:r>
      <w:rPr>
        <w:szCs w:val="24"/>
        <w:lang w:val="en-US"/>
      </w:rPr>
      <w:t>Seite</w:t>
    </w:r>
    <w:proofErr w:type="spellEnd"/>
    <w:r w:rsidR="000F03D7">
      <w:rPr>
        <w:szCs w:val="24"/>
        <w:lang w:val="en-US"/>
      </w:rPr>
      <w:t xml:space="preserve"> </w:t>
    </w:r>
    <w:r w:rsidR="000F03D7">
      <w:rPr>
        <w:rStyle w:val="PageNumber"/>
        <w:szCs w:val="24"/>
        <w:lang w:val="en-US"/>
      </w:rPr>
      <w:fldChar w:fldCharType="begin"/>
    </w:r>
    <w:r w:rsidR="000F03D7">
      <w:rPr>
        <w:rStyle w:val="PageNumber"/>
        <w:szCs w:val="24"/>
        <w:lang w:val="en-US"/>
      </w:rPr>
      <w:instrText xml:space="preserve"> PAGE </w:instrText>
    </w:r>
    <w:r w:rsidR="000F03D7">
      <w:rPr>
        <w:rStyle w:val="PageNumber"/>
        <w:szCs w:val="24"/>
        <w:lang w:val="en-US"/>
      </w:rPr>
      <w:fldChar w:fldCharType="separate"/>
    </w:r>
    <w:r w:rsidR="0084358D">
      <w:rPr>
        <w:rStyle w:val="PageNumber"/>
        <w:noProof/>
        <w:szCs w:val="24"/>
        <w:lang w:val="en-US"/>
      </w:rPr>
      <w:t>2</w:t>
    </w:r>
    <w:r w:rsidR="000F03D7">
      <w:rPr>
        <w:rStyle w:val="PageNumber"/>
        <w:szCs w:val="24"/>
        <w:lang w:val="en-US"/>
      </w:rPr>
      <w:fldChar w:fldCharType="end"/>
    </w:r>
  </w:p>
  <w:p w:rsidR="000F03D7" w:rsidRDefault="000F03D7">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D7" w:rsidRDefault="000F03D7">
    <w:pPr>
      <w:pStyle w:val="Header"/>
      <w:rPr>
        <w:szCs w:val="24"/>
      </w:rPr>
    </w:pPr>
  </w:p>
  <w:p w:rsidR="000F03D7" w:rsidRDefault="000F03D7">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D7" w:rsidRDefault="000F03D7">
    <w:pPr>
      <w:pStyle w:val="Header"/>
      <w:rPr>
        <w:rStyle w:val="PageNumber"/>
        <w:szCs w:val="24"/>
        <w:lang w:val="en-US"/>
      </w:rPr>
    </w:pPr>
    <w:r>
      <w:rPr>
        <w:rStyle w:val="PageNumber"/>
        <w:noProof/>
        <w:szCs w:val="24"/>
        <w:lang w:val="en-US"/>
      </w:rPr>
      <w:t>TC/55/15</w:t>
    </w:r>
  </w:p>
  <w:p w:rsidR="000F03D7" w:rsidRDefault="000F03D7">
    <w:pPr>
      <w:pStyle w:val="Header"/>
      <w:rPr>
        <w:szCs w:val="24"/>
        <w:lang w:val="en-US"/>
      </w:rPr>
    </w:pPr>
    <w:proofErr w:type="gramStart"/>
    <w:r>
      <w:rPr>
        <w:szCs w:val="24"/>
        <w:lang w:val="en-US"/>
      </w:rPr>
      <w:t>page</w:t>
    </w:r>
    <w:proofErr w:type="gram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rPr>
      <w:t>6</w:t>
    </w:r>
    <w:r>
      <w:rPr>
        <w:rStyle w:val="PageNumber"/>
        <w:szCs w:val="24"/>
        <w:lang w:val="en-US"/>
      </w:rPr>
      <w:fldChar w:fldCharType="end"/>
    </w:r>
  </w:p>
  <w:p w:rsidR="000F03D7" w:rsidRDefault="000F03D7">
    <w:pPr>
      <w:rPr>
        <w:szCs w:val="24"/>
      </w:rPr>
    </w:pPr>
  </w:p>
  <w:p w:rsidR="000F03D7" w:rsidRDefault="000F03D7">
    <w:pP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3D7" w:rsidRDefault="000F03D7">
    <w:pPr>
      <w:pStyle w:val="Header"/>
      <w:rPr>
        <w:szCs w:val="24"/>
      </w:rPr>
    </w:pPr>
    <w:r>
      <w:rPr>
        <w:noProof/>
        <w:szCs w:val="24"/>
      </w:rPr>
      <w:t>TC/55/15</w:t>
    </w:r>
  </w:p>
  <w:p w:rsidR="000F03D7" w:rsidRDefault="000F03D7">
    <w:pPr>
      <w:pStyle w:val="Header"/>
      <w:rPr>
        <w:szCs w:val="24"/>
      </w:rPr>
    </w:pPr>
  </w:p>
  <w:p w:rsidR="000F03D7" w:rsidRDefault="000F03D7">
    <w:pPr>
      <w:pStyle w:val="Header"/>
      <w:rPr>
        <w:szCs w:val="24"/>
      </w:rPr>
    </w:pPr>
    <w:r>
      <w:rPr>
        <w:noProof/>
        <w:szCs w:val="24"/>
      </w:rPr>
      <w:t>AN</w:t>
    </w:r>
    <w:r w:rsidR="008F3CB6">
      <w:rPr>
        <w:noProof/>
        <w:szCs w:val="24"/>
      </w:rPr>
      <w:t>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10D99"/>
    <w:multiLevelType w:val="hybridMultilevel"/>
    <w:tmpl w:val="41CEC9F2"/>
    <w:lvl w:ilvl="0" w:tplc="6B7860B4">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rPr>
        <w:rFonts w:cs="Times New Roman"/>
      </w:rPr>
    </w:lvl>
    <w:lvl w:ilvl="2" w:tplc="0409001B" w:tentative="1">
      <w:start w:val="1"/>
      <w:numFmt w:val="lowerRoman"/>
      <w:lvlText w:val="%3."/>
      <w:lvlJc w:val="right"/>
      <w:pPr>
        <w:ind w:left="7190" w:hanging="180"/>
      </w:pPr>
      <w:rPr>
        <w:rFonts w:cs="Times New Roman"/>
      </w:rPr>
    </w:lvl>
    <w:lvl w:ilvl="3" w:tplc="0409000F" w:tentative="1">
      <w:start w:val="1"/>
      <w:numFmt w:val="decimal"/>
      <w:lvlText w:val="%4."/>
      <w:lvlJc w:val="left"/>
      <w:pPr>
        <w:ind w:left="7910" w:hanging="360"/>
      </w:pPr>
      <w:rPr>
        <w:rFonts w:cs="Times New Roman"/>
      </w:rPr>
    </w:lvl>
    <w:lvl w:ilvl="4" w:tplc="04090019" w:tentative="1">
      <w:start w:val="1"/>
      <w:numFmt w:val="lowerLetter"/>
      <w:lvlText w:val="%5."/>
      <w:lvlJc w:val="left"/>
      <w:pPr>
        <w:ind w:left="8630" w:hanging="360"/>
      </w:pPr>
      <w:rPr>
        <w:rFonts w:cs="Times New Roman"/>
      </w:rPr>
    </w:lvl>
    <w:lvl w:ilvl="5" w:tplc="0409001B" w:tentative="1">
      <w:start w:val="1"/>
      <w:numFmt w:val="lowerRoman"/>
      <w:lvlText w:val="%6."/>
      <w:lvlJc w:val="right"/>
      <w:pPr>
        <w:ind w:left="9350" w:hanging="180"/>
      </w:pPr>
      <w:rPr>
        <w:rFonts w:cs="Times New Roman"/>
      </w:rPr>
    </w:lvl>
    <w:lvl w:ilvl="6" w:tplc="0409000F" w:tentative="1">
      <w:start w:val="1"/>
      <w:numFmt w:val="decimal"/>
      <w:lvlText w:val="%7."/>
      <w:lvlJc w:val="left"/>
      <w:pPr>
        <w:ind w:left="10070" w:hanging="360"/>
      </w:pPr>
      <w:rPr>
        <w:rFonts w:cs="Times New Roman"/>
      </w:rPr>
    </w:lvl>
    <w:lvl w:ilvl="7" w:tplc="04090019" w:tentative="1">
      <w:start w:val="1"/>
      <w:numFmt w:val="lowerLetter"/>
      <w:lvlText w:val="%8."/>
      <w:lvlJc w:val="left"/>
      <w:pPr>
        <w:ind w:left="10790" w:hanging="360"/>
      </w:pPr>
      <w:rPr>
        <w:rFonts w:cs="Times New Roman"/>
      </w:rPr>
    </w:lvl>
    <w:lvl w:ilvl="8" w:tplc="0409001B" w:tentative="1">
      <w:start w:val="1"/>
      <w:numFmt w:val="lowerRoman"/>
      <w:lvlText w:val="%9."/>
      <w:lvlJc w:val="right"/>
      <w:pPr>
        <w:ind w:left="11510" w:hanging="180"/>
      </w:pPr>
      <w:rPr>
        <w:rFonts w:cs="Times New Roman"/>
      </w:rPr>
    </w:lvl>
  </w:abstractNum>
  <w:abstractNum w:abstractNumId="1" w15:restartNumberingAfterBreak="0">
    <w:nsid w:val="245754D9"/>
    <w:multiLevelType w:val="hybridMultilevel"/>
    <w:tmpl w:val="41CEC9F2"/>
    <w:lvl w:ilvl="0" w:tplc="6B7860B4">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rPr>
        <w:rFonts w:cs="Times New Roman"/>
      </w:rPr>
    </w:lvl>
    <w:lvl w:ilvl="2" w:tplc="0409001B" w:tentative="1">
      <w:start w:val="1"/>
      <w:numFmt w:val="lowerRoman"/>
      <w:lvlText w:val="%3."/>
      <w:lvlJc w:val="right"/>
      <w:pPr>
        <w:ind w:left="7190" w:hanging="180"/>
      </w:pPr>
      <w:rPr>
        <w:rFonts w:cs="Times New Roman"/>
      </w:rPr>
    </w:lvl>
    <w:lvl w:ilvl="3" w:tplc="0409000F" w:tentative="1">
      <w:start w:val="1"/>
      <w:numFmt w:val="decimal"/>
      <w:lvlText w:val="%4."/>
      <w:lvlJc w:val="left"/>
      <w:pPr>
        <w:ind w:left="7910" w:hanging="360"/>
      </w:pPr>
      <w:rPr>
        <w:rFonts w:cs="Times New Roman"/>
      </w:rPr>
    </w:lvl>
    <w:lvl w:ilvl="4" w:tplc="04090019" w:tentative="1">
      <w:start w:val="1"/>
      <w:numFmt w:val="lowerLetter"/>
      <w:lvlText w:val="%5."/>
      <w:lvlJc w:val="left"/>
      <w:pPr>
        <w:ind w:left="8630" w:hanging="360"/>
      </w:pPr>
      <w:rPr>
        <w:rFonts w:cs="Times New Roman"/>
      </w:rPr>
    </w:lvl>
    <w:lvl w:ilvl="5" w:tplc="0409001B" w:tentative="1">
      <w:start w:val="1"/>
      <w:numFmt w:val="lowerRoman"/>
      <w:lvlText w:val="%6."/>
      <w:lvlJc w:val="right"/>
      <w:pPr>
        <w:ind w:left="9350" w:hanging="180"/>
      </w:pPr>
      <w:rPr>
        <w:rFonts w:cs="Times New Roman"/>
      </w:rPr>
    </w:lvl>
    <w:lvl w:ilvl="6" w:tplc="0409000F" w:tentative="1">
      <w:start w:val="1"/>
      <w:numFmt w:val="decimal"/>
      <w:lvlText w:val="%7."/>
      <w:lvlJc w:val="left"/>
      <w:pPr>
        <w:ind w:left="10070" w:hanging="360"/>
      </w:pPr>
      <w:rPr>
        <w:rFonts w:cs="Times New Roman"/>
      </w:rPr>
    </w:lvl>
    <w:lvl w:ilvl="7" w:tplc="04090019" w:tentative="1">
      <w:start w:val="1"/>
      <w:numFmt w:val="lowerLetter"/>
      <w:lvlText w:val="%8."/>
      <w:lvlJc w:val="left"/>
      <w:pPr>
        <w:ind w:left="10790" w:hanging="360"/>
      </w:pPr>
      <w:rPr>
        <w:rFonts w:cs="Times New Roman"/>
      </w:rPr>
    </w:lvl>
    <w:lvl w:ilvl="8" w:tplc="0409001B" w:tentative="1">
      <w:start w:val="1"/>
      <w:numFmt w:val="lowerRoman"/>
      <w:lvlText w:val="%9."/>
      <w:lvlJc w:val="right"/>
      <w:pPr>
        <w:ind w:left="1151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27D8B"/>
    <w:rsid w:val="00030854"/>
    <w:rsid w:val="00036028"/>
    <w:rsid w:val="00044642"/>
    <w:rsid w:val="000446B9"/>
    <w:rsid w:val="00047E21"/>
    <w:rsid w:val="00050E16"/>
    <w:rsid w:val="000724B0"/>
    <w:rsid w:val="00085505"/>
    <w:rsid w:val="000C4E25"/>
    <w:rsid w:val="000C7021"/>
    <w:rsid w:val="000D6BBC"/>
    <w:rsid w:val="000D7780"/>
    <w:rsid w:val="000E636A"/>
    <w:rsid w:val="000E7A30"/>
    <w:rsid w:val="000F03D7"/>
    <w:rsid w:val="000F2F11"/>
    <w:rsid w:val="001043B3"/>
    <w:rsid w:val="00105929"/>
    <w:rsid w:val="001077EC"/>
    <w:rsid w:val="00110C36"/>
    <w:rsid w:val="001131D5"/>
    <w:rsid w:val="001245E2"/>
    <w:rsid w:val="00141DB8"/>
    <w:rsid w:val="00143A2B"/>
    <w:rsid w:val="0014426F"/>
    <w:rsid w:val="001548C8"/>
    <w:rsid w:val="00172084"/>
    <w:rsid w:val="0017474A"/>
    <w:rsid w:val="001758C6"/>
    <w:rsid w:val="00182B99"/>
    <w:rsid w:val="00183D24"/>
    <w:rsid w:val="001929DA"/>
    <w:rsid w:val="001A473A"/>
    <w:rsid w:val="001D36AC"/>
    <w:rsid w:val="0021332C"/>
    <w:rsid w:val="00213982"/>
    <w:rsid w:val="002368AA"/>
    <w:rsid w:val="0024416D"/>
    <w:rsid w:val="00271911"/>
    <w:rsid w:val="002767CA"/>
    <w:rsid w:val="002800A0"/>
    <w:rsid w:val="002801B3"/>
    <w:rsid w:val="00281060"/>
    <w:rsid w:val="002940E8"/>
    <w:rsid w:val="00294751"/>
    <w:rsid w:val="00297325"/>
    <w:rsid w:val="002A6E50"/>
    <w:rsid w:val="002B4298"/>
    <w:rsid w:val="002C256A"/>
    <w:rsid w:val="002C4DAC"/>
    <w:rsid w:val="002E188F"/>
    <w:rsid w:val="002F4D19"/>
    <w:rsid w:val="002F6C44"/>
    <w:rsid w:val="00304827"/>
    <w:rsid w:val="00305A7F"/>
    <w:rsid w:val="003152FE"/>
    <w:rsid w:val="00315619"/>
    <w:rsid w:val="00321EB4"/>
    <w:rsid w:val="00321EDE"/>
    <w:rsid w:val="00327436"/>
    <w:rsid w:val="003418E6"/>
    <w:rsid w:val="00344BD6"/>
    <w:rsid w:val="00352B9A"/>
    <w:rsid w:val="0035528D"/>
    <w:rsid w:val="00361821"/>
    <w:rsid w:val="00361E9E"/>
    <w:rsid w:val="00365DC1"/>
    <w:rsid w:val="00382007"/>
    <w:rsid w:val="00384702"/>
    <w:rsid w:val="00392EA2"/>
    <w:rsid w:val="003C7FBE"/>
    <w:rsid w:val="003D227C"/>
    <w:rsid w:val="003D2B4D"/>
    <w:rsid w:val="003D41CD"/>
    <w:rsid w:val="003E646B"/>
    <w:rsid w:val="003F57DE"/>
    <w:rsid w:val="004308D2"/>
    <w:rsid w:val="00440683"/>
    <w:rsid w:val="00444A88"/>
    <w:rsid w:val="0045516B"/>
    <w:rsid w:val="00474DA4"/>
    <w:rsid w:val="00476B4D"/>
    <w:rsid w:val="004805FA"/>
    <w:rsid w:val="004935D2"/>
    <w:rsid w:val="004A6CF8"/>
    <w:rsid w:val="004B1215"/>
    <w:rsid w:val="004B5CF9"/>
    <w:rsid w:val="004D047D"/>
    <w:rsid w:val="004F1E9E"/>
    <w:rsid w:val="004F305A"/>
    <w:rsid w:val="004F6F55"/>
    <w:rsid w:val="00512164"/>
    <w:rsid w:val="00520297"/>
    <w:rsid w:val="00524461"/>
    <w:rsid w:val="005338F9"/>
    <w:rsid w:val="00536FFD"/>
    <w:rsid w:val="0054281C"/>
    <w:rsid w:val="00543967"/>
    <w:rsid w:val="00544581"/>
    <w:rsid w:val="0055268D"/>
    <w:rsid w:val="005556E8"/>
    <w:rsid w:val="00576BE4"/>
    <w:rsid w:val="0059768F"/>
    <w:rsid w:val="005A400A"/>
    <w:rsid w:val="005B46E9"/>
    <w:rsid w:val="005F640E"/>
    <w:rsid w:val="005F69D1"/>
    <w:rsid w:val="005F7B92"/>
    <w:rsid w:val="00612379"/>
    <w:rsid w:val="006153B6"/>
    <w:rsid w:val="0061555F"/>
    <w:rsid w:val="00636CA6"/>
    <w:rsid w:val="00641200"/>
    <w:rsid w:val="00645CA8"/>
    <w:rsid w:val="006655D3"/>
    <w:rsid w:val="00667404"/>
    <w:rsid w:val="00687EB4"/>
    <w:rsid w:val="00695C56"/>
    <w:rsid w:val="006A4CD3"/>
    <w:rsid w:val="006A5CDE"/>
    <w:rsid w:val="006A644A"/>
    <w:rsid w:val="006B17D2"/>
    <w:rsid w:val="006C224E"/>
    <w:rsid w:val="006C3EFD"/>
    <w:rsid w:val="006C45F0"/>
    <w:rsid w:val="006D7435"/>
    <w:rsid w:val="006D780A"/>
    <w:rsid w:val="0071271E"/>
    <w:rsid w:val="00732DEC"/>
    <w:rsid w:val="00735BD5"/>
    <w:rsid w:val="00751613"/>
    <w:rsid w:val="007556F6"/>
    <w:rsid w:val="00760EEF"/>
    <w:rsid w:val="0076719B"/>
    <w:rsid w:val="00777EE5"/>
    <w:rsid w:val="00784836"/>
    <w:rsid w:val="0079023E"/>
    <w:rsid w:val="007A2854"/>
    <w:rsid w:val="007C1D92"/>
    <w:rsid w:val="007C4CB9"/>
    <w:rsid w:val="007D0B9D"/>
    <w:rsid w:val="007D19B0"/>
    <w:rsid w:val="007F498F"/>
    <w:rsid w:val="0080679D"/>
    <w:rsid w:val="008108B0"/>
    <w:rsid w:val="00811B20"/>
    <w:rsid w:val="00815738"/>
    <w:rsid w:val="00820097"/>
    <w:rsid w:val="008211B5"/>
    <w:rsid w:val="0082296E"/>
    <w:rsid w:val="00824099"/>
    <w:rsid w:val="0084358D"/>
    <w:rsid w:val="00846D7C"/>
    <w:rsid w:val="00867AC1"/>
    <w:rsid w:val="00890DF8"/>
    <w:rsid w:val="008A31C9"/>
    <w:rsid w:val="008A743F"/>
    <w:rsid w:val="008B6E60"/>
    <w:rsid w:val="008C0970"/>
    <w:rsid w:val="008D0BC5"/>
    <w:rsid w:val="008D20E0"/>
    <w:rsid w:val="008D2CF7"/>
    <w:rsid w:val="008D7E86"/>
    <w:rsid w:val="008F223E"/>
    <w:rsid w:val="008F3CB6"/>
    <w:rsid w:val="00900C26"/>
    <w:rsid w:val="00900C6F"/>
    <w:rsid w:val="0090197F"/>
    <w:rsid w:val="00906DDC"/>
    <w:rsid w:val="00934E09"/>
    <w:rsid w:val="00936253"/>
    <w:rsid w:val="00940D46"/>
    <w:rsid w:val="00952DD4"/>
    <w:rsid w:val="00965AE7"/>
    <w:rsid w:val="00970FED"/>
    <w:rsid w:val="0097372E"/>
    <w:rsid w:val="00983ED6"/>
    <w:rsid w:val="00992D82"/>
    <w:rsid w:val="00997029"/>
    <w:rsid w:val="009A7339"/>
    <w:rsid w:val="009B440E"/>
    <w:rsid w:val="009D083B"/>
    <w:rsid w:val="009D690D"/>
    <w:rsid w:val="009E65B6"/>
    <w:rsid w:val="009F5253"/>
    <w:rsid w:val="00A0132D"/>
    <w:rsid w:val="00A04A26"/>
    <w:rsid w:val="00A24C10"/>
    <w:rsid w:val="00A25888"/>
    <w:rsid w:val="00A37713"/>
    <w:rsid w:val="00A37C2B"/>
    <w:rsid w:val="00A42AC3"/>
    <w:rsid w:val="00A430CF"/>
    <w:rsid w:val="00A54309"/>
    <w:rsid w:val="00AB2B93"/>
    <w:rsid w:val="00AB530F"/>
    <w:rsid w:val="00AB7E5B"/>
    <w:rsid w:val="00AC2491"/>
    <w:rsid w:val="00AC2883"/>
    <w:rsid w:val="00AE0EF1"/>
    <w:rsid w:val="00AE2937"/>
    <w:rsid w:val="00B07301"/>
    <w:rsid w:val="00B11F3E"/>
    <w:rsid w:val="00B15B96"/>
    <w:rsid w:val="00B224DE"/>
    <w:rsid w:val="00B324D4"/>
    <w:rsid w:val="00B41AC5"/>
    <w:rsid w:val="00B46575"/>
    <w:rsid w:val="00B61777"/>
    <w:rsid w:val="00B65691"/>
    <w:rsid w:val="00B74056"/>
    <w:rsid w:val="00B84BBD"/>
    <w:rsid w:val="00B90D32"/>
    <w:rsid w:val="00B91C9D"/>
    <w:rsid w:val="00BA43FB"/>
    <w:rsid w:val="00BC127D"/>
    <w:rsid w:val="00BC1FE6"/>
    <w:rsid w:val="00BF0D44"/>
    <w:rsid w:val="00BF11ED"/>
    <w:rsid w:val="00C05D5C"/>
    <w:rsid w:val="00C061B6"/>
    <w:rsid w:val="00C2446C"/>
    <w:rsid w:val="00C36AE5"/>
    <w:rsid w:val="00C41F17"/>
    <w:rsid w:val="00C527FA"/>
    <w:rsid w:val="00C5280D"/>
    <w:rsid w:val="00C53134"/>
    <w:rsid w:val="00C53EB3"/>
    <w:rsid w:val="00C57194"/>
    <w:rsid w:val="00C5791C"/>
    <w:rsid w:val="00C66290"/>
    <w:rsid w:val="00C72B7A"/>
    <w:rsid w:val="00C973F2"/>
    <w:rsid w:val="00C97512"/>
    <w:rsid w:val="00CA248A"/>
    <w:rsid w:val="00CA304C"/>
    <w:rsid w:val="00CA774A"/>
    <w:rsid w:val="00CB5DAA"/>
    <w:rsid w:val="00CB6AEA"/>
    <w:rsid w:val="00CC11B0"/>
    <w:rsid w:val="00CC2841"/>
    <w:rsid w:val="00CF1330"/>
    <w:rsid w:val="00CF507E"/>
    <w:rsid w:val="00CF7E36"/>
    <w:rsid w:val="00D10B10"/>
    <w:rsid w:val="00D1514A"/>
    <w:rsid w:val="00D326F9"/>
    <w:rsid w:val="00D3708D"/>
    <w:rsid w:val="00D40426"/>
    <w:rsid w:val="00D57C96"/>
    <w:rsid w:val="00D57D18"/>
    <w:rsid w:val="00D84527"/>
    <w:rsid w:val="00D8568A"/>
    <w:rsid w:val="00D91203"/>
    <w:rsid w:val="00D95174"/>
    <w:rsid w:val="00DA4973"/>
    <w:rsid w:val="00DA6F36"/>
    <w:rsid w:val="00DB596E"/>
    <w:rsid w:val="00DB7773"/>
    <w:rsid w:val="00DC00EA"/>
    <w:rsid w:val="00DC3802"/>
    <w:rsid w:val="00DF67C6"/>
    <w:rsid w:val="00E07D87"/>
    <w:rsid w:val="00E2109F"/>
    <w:rsid w:val="00E32F7E"/>
    <w:rsid w:val="00E5267B"/>
    <w:rsid w:val="00E63C0E"/>
    <w:rsid w:val="00E72D49"/>
    <w:rsid w:val="00E7593C"/>
    <w:rsid w:val="00E7678A"/>
    <w:rsid w:val="00E935F1"/>
    <w:rsid w:val="00E94A81"/>
    <w:rsid w:val="00EA06CE"/>
    <w:rsid w:val="00EA1FFB"/>
    <w:rsid w:val="00EB048E"/>
    <w:rsid w:val="00EB4E9C"/>
    <w:rsid w:val="00EB59BF"/>
    <w:rsid w:val="00EE1141"/>
    <w:rsid w:val="00EE34DF"/>
    <w:rsid w:val="00EF2F89"/>
    <w:rsid w:val="00F03E98"/>
    <w:rsid w:val="00F1237A"/>
    <w:rsid w:val="00F22CBD"/>
    <w:rsid w:val="00F269E6"/>
    <w:rsid w:val="00F272F1"/>
    <w:rsid w:val="00F45372"/>
    <w:rsid w:val="00F51AF8"/>
    <w:rsid w:val="00F524E3"/>
    <w:rsid w:val="00F560F7"/>
    <w:rsid w:val="00F6334D"/>
    <w:rsid w:val="00FA49AB"/>
    <w:rsid w:val="00FB6BDA"/>
    <w:rsid w:val="00FC18B5"/>
    <w:rsid w:val="00FD5123"/>
    <w:rsid w:val="00FE39C7"/>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581F92-BF8A-4C59-BA23-361D73A7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semiHidden/>
    <w:pPr>
      <w:tabs>
        <w:tab w:val="right" w:leader="dot" w:pos="9639"/>
      </w:tabs>
      <w:spacing w:before="120"/>
      <w:ind w:left="454" w:right="851" w:hanging="284"/>
      <w:contextualSpacing/>
      <w:jc w:val="left"/>
    </w:pPr>
    <w:rPr>
      <w:smallCaps/>
    </w:rPr>
  </w:style>
  <w:style w:type="paragraph" w:styleId="TOC3">
    <w:name w:val="toc 3"/>
    <w:basedOn w:val="Normal"/>
    <w:next w:val="Normal"/>
    <w:autoRedefine/>
    <w:semiHidden/>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1">
    <w:name w:val="toc 1"/>
    <w:basedOn w:val="Normal"/>
    <w:next w:val="Normal"/>
    <w:autoRedefine/>
    <w:pPr>
      <w:tabs>
        <w:tab w:val="right" w:leader="dot" w:pos="9639"/>
      </w:tabs>
      <w:spacing w:before="60"/>
      <w:ind w:right="1418"/>
      <w:contextualSpacing/>
      <w:jc w:val="center"/>
    </w:pPr>
    <w:rPr>
      <w:caps/>
      <w:sz w:val="18"/>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table" w:styleId="TableGrid">
    <w:name w:val="Table Grid"/>
    <w:basedOn w:val="TableNormal"/>
    <w:rPr>
      <w:rFonts w:ascii="Calibri" w:hAnsi="Calibri"/>
      <w:snapToGrid w:val="0"/>
      <w:sz w:val="22"/>
      <w:szCs w:val="22"/>
      <w:lang w:val="nl-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TC_55_EN.dotx</Template>
  <TotalTime>0</TotalTime>
  <Pages>3</Pages>
  <Words>1104</Words>
  <Characters>7320</Characters>
  <Application>Microsoft Office Word</Application>
  <DocSecurity>0</DocSecurity>
  <Lines>61</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TC/55/16</vt:lpstr>
      <vt:lpstr>TC/55/16</vt:lpstr>
    </vt:vector>
  </TitlesOfParts>
  <Company>UPOV</Company>
  <LinksUpToDate>false</LinksUpToDate>
  <CharactersWithSpaces>8408</CharactersWithSpaces>
  <SharedDoc>false</SharedDoc>
  <HLinks>
    <vt:vector size="24" baseType="variant">
      <vt:variant>
        <vt:i4>1179696</vt:i4>
      </vt:variant>
      <vt:variant>
        <vt:i4>26</vt:i4>
      </vt:variant>
      <vt:variant>
        <vt:i4>0</vt:i4>
      </vt:variant>
      <vt:variant>
        <vt:i4>5</vt:i4>
      </vt:variant>
      <vt:variant>
        <vt:lpwstr/>
      </vt:variant>
      <vt:variant>
        <vt:lpwstr>_Toc18310428</vt:lpwstr>
      </vt:variant>
      <vt:variant>
        <vt:i4>1900592</vt:i4>
      </vt:variant>
      <vt:variant>
        <vt:i4>20</vt:i4>
      </vt:variant>
      <vt:variant>
        <vt:i4>0</vt:i4>
      </vt:variant>
      <vt:variant>
        <vt:i4>5</vt:i4>
      </vt:variant>
      <vt:variant>
        <vt:lpwstr/>
      </vt:variant>
      <vt:variant>
        <vt:lpwstr>_Toc18310427</vt:lpwstr>
      </vt:variant>
      <vt:variant>
        <vt:i4>1835056</vt:i4>
      </vt:variant>
      <vt:variant>
        <vt:i4>14</vt:i4>
      </vt:variant>
      <vt:variant>
        <vt:i4>0</vt:i4>
      </vt:variant>
      <vt:variant>
        <vt:i4>5</vt:i4>
      </vt:variant>
      <vt:variant>
        <vt:lpwstr/>
      </vt:variant>
      <vt:variant>
        <vt:lpwstr>_Toc18310426</vt:lpwstr>
      </vt:variant>
      <vt:variant>
        <vt:i4>2031664</vt:i4>
      </vt:variant>
      <vt:variant>
        <vt:i4>8</vt:i4>
      </vt:variant>
      <vt:variant>
        <vt:i4>0</vt:i4>
      </vt:variant>
      <vt:variant>
        <vt:i4>5</vt:i4>
      </vt:variant>
      <vt:variant>
        <vt:lpwstr/>
      </vt:variant>
      <vt:variant>
        <vt:lpwstr>_Toc18310425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TC/55/16</dc:title>
  <dc:subject/>
  <dc:creator>SANCHEZ VIZCAINO GOMEZ Rosa Maria</dc:creator>
  <cp:keywords/>
  <dc:description/>
  <cp:lastModifiedBy>SANTOS Carla Marina</cp:lastModifiedBy>
  <cp:revision>5</cp:revision>
  <cp:lastPrinted>2019-09-03T10:11:00Z</cp:lastPrinted>
  <dcterms:created xsi:type="dcterms:W3CDTF">2019-09-04T12:44:00Z</dcterms:created>
  <dcterms:modified xsi:type="dcterms:W3CDTF">2019-09-06T17:58:00Z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18393a14-2c3e-4186-bde2-2a603eb67b53</vt:lpwstr>
  </property>
</Properties>
</file>