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t>Technischer Ausschuss</w:t>
            </w:r>
          </w:p>
          <w:p w:rsidR="00EB4E9C" w:rsidRPr="00DC3802" w:rsidRDefault="00EB4E9C" w:rsidP="006D7435">
            <w:pPr>
              <w:pStyle w:val="Sessiontcplacedate"/>
              <w:rPr>
                <w:sz w:val="22"/>
              </w:rPr>
            </w:pPr>
            <w:r>
              <w:t>Fünfundfünfzigste Tagung</w:t>
            </w:r>
            <w:r>
              <w:br/>
              <w:t>Genf, 28. und 29. Oktober 2019</w:t>
            </w:r>
          </w:p>
        </w:tc>
        <w:tc>
          <w:tcPr>
            <w:tcW w:w="3127" w:type="dxa"/>
          </w:tcPr>
          <w:p w:rsidR="00EB4E9C" w:rsidRPr="003C7FBE" w:rsidRDefault="006D7435" w:rsidP="003C7FBE">
            <w:pPr>
              <w:pStyle w:val="Doccode"/>
            </w:pPr>
            <w:r>
              <w:t>TC/55/13 Add.</w:t>
            </w:r>
          </w:p>
          <w:p w:rsidR="00EB4E9C" w:rsidRPr="003C7FBE" w:rsidRDefault="00EB4E9C" w:rsidP="003C7FBE">
            <w:pPr>
              <w:pStyle w:val="Docoriginal"/>
            </w:pPr>
            <w:r>
              <w:t>Original:</w:t>
            </w:r>
            <w:r>
              <w:rPr>
                <w:b w:val="0"/>
              </w:rPr>
              <w:t xml:space="preserve">  englisch</w:t>
            </w:r>
          </w:p>
          <w:p w:rsidR="00EB4E9C" w:rsidRPr="007C1D92" w:rsidRDefault="00EB4E9C" w:rsidP="00BA2066">
            <w:pPr>
              <w:pStyle w:val="Docoriginal"/>
            </w:pPr>
            <w:r>
              <w:t>Datum:</w:t>
            </w:r>
            <w:r w:rsidR="00BA2066">
              <w:rPr>
                <w:b w:val="0"/>
              </w:rPr>
              <w:t xml:space="preserve">  </w:t>
            </w:r>
            <w:r w:rsidRPr="00BA2066">
              <w:rPr>
                <w:b w:val="0"/>
              </w:rPr>
              <w:t>2</w:t>
            </w:r>
            <w:r w:rsidR="00BA2066" w:rsidRPr="00BA2066">
              <w:rPr>
                <w:b w:val="0"/>
              </w:rPr>
              <w:t>1</w:t>
            </w:r>
            <w:r w:rsidRPr="00BA2066">
              <w:rPr>
                <w:b w:val="0"/>
              </w:rPr>
              <w:t>. Oktober</w:t>
            </w:r>
            <w:r>
              <w:rPr>
                <w:b w:val="0"/>
              </w:rPr>
              <w:t xml:space="preserve"> 2019</w:t>
            </w:r>
          </w:p>
        </w:tc>
      </w:tr>
    </w:tbl>
    <w:p w:rsidR="000D7780" w:rsidRPr="006A644A" w:rsidRDefault="00A354F0" w:rsidP="006A644A">
      <w:pPr>
        <w:pStyle w:val="Titleofdoc0"/>
      </w:pPr>
      <w:bookmarkStart w:id="0" w:name="TitleOfDoc"/>
      <w:bookmarkEnd w:id="0"/>
      <w:r>
        <w:t>Ergänzung zu Datenverarbeitung für die Prüfung der Unterscheidbarkeit und die Erstellung von Sortenbeschreibungen</w:t>
      </w:r>
    </w:p>
    <w:p w:rsidR="006A644A" w:rsidRPr="006A644A" w:rsidRDefault="00AE0EF1" w:rsidP="006A644A">
      <w:pPr>
        <w:pStyle w:val="preparedby1"/>
        <w:jc w:val="left"/>
      </w:pPr>
      <w:bookmarkStart w:id="1" w:name="Prepared"/>
      <w:bookmarkEnd w:id="1"/>
      <w:r>
        <w:t>vom Verbandsbüro erstelltes Dokument</w:t>
      </w:r>
    </w:p>
    <w:p w:rsidR="00050E16" w:rsidRPr="006A644A" w:rsidRDefault="00050E16" w:rsidP="006A644A">
      <w:pPr>
        <w:pStyle w:val="Disclaimer"/>
      </w:pPr>
      <w:r>
        <w:t>Haftungsausschluss:  dieses Dokument gibt nicht die Grundsätze oder eine Anleitung der UPOV wieder</w:t>
      </w:r>
    </w:p>
    <w:p w:rsidR="00C050DC" w:rsidRPr="00C050DC" w:rsidRDefault="00C050DC" w:rsidP="00C050DC">
      <w:pPr>
        <w:keepNext/>
        <w:outlineLvl w:val="0"/>
        <w:rPr>
          <w:caps/>
        </w:rPr>
      </w:pPr>
      <w:bookmarkStart w:id="2" w:name="_Toc475955714"/>
      <w:bookmarkStart w:id="3" w:name="_Toc17894057"/>
      <w:r>
        <w:rPr>
          <w:caps/>
        </w:rPr>
        <w:t>ZUSAMMENFASSUNG</w:t>
      </w:r>
      <w:bookmarkEnd w:id="2"/>
      <w:bookmarkEnd w:id="3"/>
    </w:p>
    <w:p w:rsidR="00C050DC" w:rsidRPr="00C050DC" w:rsidRDefault="00C050DC" w:rsidP="00C050DC">
      <w:pPr>
        <w:rPr>
          <w:snapToGrid w:val="0"/>
        </w:rPr>
      </w:pPr>
    </w:p>
    <w:p w:rsidR="00C050DC" w:rsidRDefault="00C050DC" w:rsidP="00C050DC">
      <w:pPr>
        <w:rPr>
          <w:rFonts w:cs="Arial"/>
        </w:rPr>
      </w:pPr>
      <w:r w:rsidRPr="00C050DC">
        <w:fldChar w:fldCharType="begin"/>
      </w:r>
      <w:r w:rsidRPr="00C050DC">
        <w:instrText xml:space="preserve"> AUTONUM  </w:instrText>
      </w:r>
      <w:r w:rsidRPr="00C050DC">
        <w:fldChar w:fldCharType="end"/>
      </w:r>
      <w:r>
        <w:tab/>
        <w:t xml:space="preserve">Zweck dieser Ergänzung ist es, </w:t>
      </w:r>
      <w:r>
        <w:rPr>
          <w:snapToGrid w:val="0"/>
        </w:rPr>
        <w:t>über Entwicklungen auf der siebenunddreißigsten Tagung der Technische</w:t>
      </w:r>
      <w:r w:rsidR="001C68F8">
        <w:rPr>
          <w:snapToGrid w:val="0"/>
        </w:rPr>
        <w:t>n</w:t>
      </w:r>
      <w:r>
        <w:rPr>
          <w:snapToGrid w:val="0"/>
        </w:rPr>
        <w:t xml:space="preserve"> Arbeitsgruppe für Automatisierung und Computerprogramme (TWC) </w:t>
      </w:r>
      <w:r>
        <w:t xml:space="preserve">betreffend eine etwaige neue Anleitung für Verfahren zur Umsetzung von Erfassungen in Noten für die Erstellung von Sortenbeschreibungen für gemessene quantitative Merkmale zur Aufnahme in Dokument TGP/8 über „Datenverarbeitung für die Prüfung der Unterscheidbarkeit und die Erstellung von Sortenbeschreibungen“ zu berichten. </w:t>
      </w:r>
    </w:p>
    <w:p w:rsidR="00A354F0" w:rsidRDefault="00A354F0" w:rsidP="00C050DC">
      <w:pPr>
        <w:rPr>
          <w:rFonts w:cs="Arial"/>
        </w:rPr>
      </w:pPr>
    </w:p>
    <w:p w:rsidR="00A354F0" w:rsidRPr="005C6665" w:rsidRDefault="00A354F0" w:rsidP="00A354F0">
      <w:pPr>
        <w:keepNext/>
        <w:rPr>
          <w:lang w:val="en-US"/>
        </w:rPr>
      </w:pPr>
      <w:r w:rsidRPr="00464B9C">
        <w:fldChar w:fldCharType="begin"/>
      </w:r>
      <w:r w:rsidRPr="00D20F00">
        <w:rPr>
          <w:lang w:val="en-US"/>
        </w:rPr>
        <w:instrText xml:space="preserve"> AUTONUM  </w:instrText>
      </w:r>
      <w:r w:rsidRPr="00464B9C">
        <w:fldChar w:fldCharType="end"/>
      </w:r>
      <w:r w:rsidRPr="00D20F00">
        <w:rPr>
          <w:lang w:val="en-US"/>
        </w:rPr>
        <w:tab/>
        <w:t xml:space="preserve">Die TWC </w:t>
      </w:r>
      <w:proofErr w:type="spellStart"/>
      <w:r w:rsidRPr="00D20F00">
        <w:rPr>
          <w:lang w:val="en-US"/>
        </w:rPr>
        <w:t>prüfte</w:t>
      </w:r>
      <w:proofErr w:type="spellEnd"/>
      <w:r w:rsidRPr="00D20F00">
        <w:rPr>
          <w:lang w:val="en-US"/>
        </w:rPr>
        <w:t xml:space="preserve"> </w:t>
      </w:r>
      <w:r w:rsidR="00D20F00">
        <w:rPr>
          <w:lang w:val="en-US"/>
        </w:rPr>
        <w:t xml:space="preserve">das </w:t>
      </w:r>
      <w:proofErr w:type="spellStart"/>
      <w:r w:rsidR="00D20F00" w:rsidRPr="00D20F00">
        <w:rPr>
          <w:lang w:val="en-US"/>
        </w:rPr>
        <w:t>Dokument</w:t>
      </w:r>
      <w:proofErr w:type="spellEnd"/>
      <w:r w:rsidRPr="00D20F00">
        <w:rPr>
          <w:lang w:val="en-US"/>
        </w:rPr>
        <w:t xml:space="preserve"> TWP/3/10 „</w:t>
      </w:r>
      <w:r w:rsidRPr="00D20F00">
        <w:rPr>
          <w:i/>
          <w:iCs/>
          <w:lang w:val="en-US"/>
        </w:rPr>
        <w:t>Data processing for the assessment of distinctness and for producing variety descriptions</w:t>
      </w:r>
      <w:r w:rsidRPr="00D20F00">
        <w:rPr>
          <w:lang w:val="en-US"/>
        </w:rPr>
        <w:t>” (</w:t>
      </w:r>
      <w:proofErr w:type="spellStart"/>
      <w:r w:rsidRPr="005C6665">
        <w:rPr>
          <w:lang w:val="en-US"/>
        </w:rPr>
        <w:t>vergleiche</w:t>
      </w:r>
      <w:proofErr w:type="spellEnd"/>
      <w:r w:rsidRPr="005C6665">
        <w:rPr>
          <w:lang w:val="en-US"/>
        </w:rPr>
        <w:t xml:space="preserve"> </w:t>
      </w:r>
      <w:proofErr w:type="spellStart"/>
      <w:r w:rsidRPr="005C6665">
        <w:rPr>
          <w:lang w:val="en-US"/>
        </w:rPr>
        <w:t>Dokument</w:t>
      </w:r>
      <w:proofErr w:type="spellEnd"/>
      <w:r w:rsidRPr="005C6665">
        <w:rPr>
          <w:lang w:val="en-US"/>
        </w:rPr>
        <w:t xml:space="preserve"> TWC/37/12 „</w:t>
      </w:r>
      <w:r w:rsidRPr="005C6665">
        <w:rPr>
          <w:i/>
          <w:iCs/>
          <w:lang w:val="en-US"/>
        </w:rPr>
        <w:t>Report</w:t>
      </w:r>
      <w:r w:rsidRPr="005C6665">
        <w:rPr>
          <w:lang w:val="en-US"/>
        </w:rPr>
        <w:t xml:space="preserve">”, </w:t>
      </w:r>
      <w:proofErr w:type="spellStart"/>
      <w:r w:rsidRPr="005C6665">
        <w:rPr>
          <w:lang w:val="en-US"/>
        </w:rPr>
        <w:t>Absätze</w:t>
      </w:r>
      <w:proofErr w:type="spellEnd"/>
      <w:r w:rsidRPr="005C6665">
        <w:rPr>
          <w:lang w:val="en-US"/>
        </w:rPr>
        <w:t xml:space="preserve"> 26 </w:t>
      </w:r>
      <w:proofErr w:type="spellStart"/>
      <w:r w:rsidRPr="005C6665">
        <w:rPr>
          <w:lang w:val="en-US"/>
        </w:rPr>
        <w:t>bis</w:t>
      </w:r>
      <w:proofErr w:type="spellEnd"/>
      <w:r w:rsidRPr="005C6665">
        <w:rPr>
          <w:lang w:val="en-US"/>
        </w:rPr>
        <w:t xml:space="preserve"> 34). </w:t>
      </w:r>
    </w:p>
    <w:p w:rsidR="00A354F0" w:rsidRPr="00D20F00" w:rsidRDefault="00A354F0" w:rsidP="00A354F0">
      <w:pPr>
        <w:rPr>
          <w:lang w:val="en-US"/>
        </w:rPr>
      </w:pPr>
    </w:p>
    <w:p w:rsidR="00A354F0" w:rsidRPr="00464B9C" w:rsidRDefault="00A354F0" w:rsidP="00A354F0">
      <w:r w:rsidRPr="00464B9C">
        <w:fldChar w:fldCharType="begin"/>
      </w:r>
      <w:r w:rsidRPr="00464B9C">
        <w:instrText xml:space="preserve"> AUTONUM  </w:instrText>
      </w:r>
      <w:r w:rsidRPr="00464B9C">
        <w:fldChar w:fldCharType="end"/>
      </w:r>
      <w:r>
        <w:tab/>
        <w:t>Die TWC prüfte die Zusammenfassung der verschiedenen Ansätze, die von den Verbandsmitgliedern verwendet werden, um Erfassungen von gemessenen Merkmalen zur Erstellung von Sortenbeschreibungen in Noten umzusetzen, wie in Dokument TWP/3/10, Anlage II dargelegt</w:t>
      </w:r>
      <w:r w:rsidR="00D20F00">
        <w:t xml:space="preserve">. </w:t>
      </w:r>
    </w:p>
    <w:p w:rsidR="00A354F0" w:rsidRPr="00464B9C" w:rsidRDefault="00A354F0" w:rsidP="00A354F0">
      <w:pPr>
        <w:keepNext/>
      </w:pPr>
    </w:p>
    <w:p w:rsidR="00A354F0" w:rsidRPr="00464B9C" w:rsidRDefault="00A354F0" w:rsidP="00A354F0">
      <w:pPr>
        <w:keepNext/>
      </w:pPr>
      <w:r w:rsidRPr="00464B9C">
        <w:fldChar w:fldCharType="begin"/>
      </w:r>
      <w:r w:rsidRPr="00464B9C">
        <w:instrText xml:space="preserve"> AUTONUM  </w:instrText>
      </w:r>
      <w:r w:rsidRPr="00464B9C">
        <w:fldChar w:fldCharType="end"/>
      </w:r>
      <w:r>
        <w:tab/>
        <w:t xml:space="preserve">Die TWC nahm zur Kenntnis, </w:t>
      </w:r>
      <w:proofErr w:type="spellStart"/>
      <w:r>
        <w:t>daß</w:t>
      </w:r>
      <w:proofErr w:type="spellEnd"/>
      <w:r>
        <w:t xml:space="preserve"> die in dem Dokument beschriebenen verschiedenen Ansätze zur Erstellung von Sortenbeschreibungen verwendet würden und die Prüfung der Un</w:t>
      </w:r>
      <w:r w:rsidR="005C6665">
        <w:t>terscheidbarkeit nicht erwähnen</w:t>
      </w:r>
      <w:r w:rsidR="001C68F8">
        <w:t xml:space="preserve"> würde</w:t>
      </w:r>
      <w:r w:rsidR="005C6665">
        <w:t>n</w:t>
      </w:r>
      <w:r w:rsidR="00D20F00">
        <w:t xml:space="preserve">. </w:t>
      </w:r>
      <w:r>
        <w:t>Die TWC vereinbarte</w:t>
      </w:r>
      <w:r w:rsidR="001C68F8">
        <w:t>,</w:t>
      </w:r>
      <w:r>
        <w:t xml:space="preserve"> die Änderung des Titels des Dokuments vorzuschlagen, damit er laute „Datenverarbeitung für </w:t>
      </w:r>
      <w:r>
        <w:rPr>
          <w:strike/>
          <w:highlight w:val="lightGray"/>
        </w:rPr>
        <w:t>Prüfung der Unterscheidbarkeit und die Erstellung</w:t>
      </w:r>
      <w:r>
        <w:t xml:space="preserve"> die </w:t>
      </w:r>
      <w:r>
        <w:rPr>
          <w:highlight w:val="lightGray"/>
          <w:u w:val="single"/>
        </w:rPr>
        <w:t>Erstellung von</w:t>
      </w:r>
      <w:r>
        <w:t xml:space="preserve"> Sortenbeschreibungen für gemessene quantitative Merkmale“.</w:t>
      </w:r>
    </w:p>
    <w:p w:rsidR="00A354F0" w:rsidRPr="00464B9C" w:rsidRDefault="00A354F0" w:rsidP="00A354F0"/>
    <w:p w:rsidR="00A354F0" w:rsidRPr="00464B9C" w:rsidRDefault="00A354F0" w:rsidP="00A354F0">
      <w:r w:rsidRPr="00464B9C">
        <w:fldChar w:fldCharType="begin"/>
      </w:r>
      <w:r w:rsidRPr="00464B9C">
        <w:instrText xml:space="preserve"> AUTONUM  </w:instrText>
      </w:r>
      <w:r w:rsidRPr="00464B9C">
        <w:fldChar w:fldCharType="end"/>
      </w:r>
      <w:r>
        <w:tab/>
        <w:t xml:space="preserve">Die TWC nahm das Ersuchen des TC zur Kenntnis, </w:t>
      </w:r>
      <w:proofErr w:type="spellStart"/>
      <w:r>
        <w:t>daß</w:t>
      </w:r>
      <w:proofErr w:type="spellEnd"/>
      <w:r>
        <w:t xml:space="preserve"> die Sachverständigen aus Frankreich, Deutschland, Japan und dem Vereinigten Königreich Informationen über die Umstände, unter denen ihre Verfahren geeignet wären, einschließlich des Verfahrens der Vermehrung der Sorte und anderer Faktoren, die bei der Entscheidung für die Verwendung des Verfahrens berücksichtigt werden, zur Verfügung stellen sollten.</w:t>
      </w:r>
    </w:p>
    <w:p w:rsidR="00A354F0" w:rsidRPr="00464B9C" w:rsidRDefault="00A354F0" w:rsidP="00A354F0"/>
    <w:p w:rsidR="00A354F0" w:rsidRPr="00464B9C" w:rsidRDefault="00A354F0" w:rsidP="00A354F0">
      <w:r w:rsidRPr="00464B9C">
        <w:fldChar w:fldCharType="begin"/>
      </w:r>
      <w:r w:rsidRPr="00464B9C">
        <w:instrText xml:space="preserve"> AUTONUM  </w:instrText>
      </w:r>
      <w:r w:rsidRPr="00464B9C">
        <w:fldChar w:fldCharType="end"/>
      </w:r>
      <w:r>
        <w:tab/>
        <w:t xml:space="preserve">Die TWC nahm zur Kenntnis, </w:t>
      </w:r>
      <w:proofErr w:type="spellStart"/>
      <w:r>
        <w:t>daß</w:t>
      </w:r>
      <w:proofErr w:type="spellEnd"/>
      <w:r>
        <w:t xml:space="preserve"> die Beschreibungen der Verfahren </w:t>
      </w:r>
      <w:r w:rsidR="00D20F00">
        <w:t xml:space="preserve">und die Situationen, in denen die Verfahren geeignet wären oder nicht, </w:t>
      </w:r>
      <w:r>
        <w:t>für die Anwendung nicht ausreichend seien.</w:t>
      </w:r>
    </w:p>
    <w:p w:rsidR="00A354F0" w:rsidRPr="00464B9C" w:rsidRDefault="00A354F0" w:rsidP="00A354F0"/>
    <w:p w:rsidR="00A354F0" w:rsidRPr="00464B9C" w:rsidRDefault="00A354F0" w:rsidP="00A354F0">
      <w:r w:rsidRPr="00464B9C">
        <w:fldChar w:fldCharType="begin"/>
      </w:r>
      <w:r w:rsidRPr="00464B9C">
        <w:instrText xml:space="preserve"> AUTONUM  </w:instrText>
      </w:r>
      <w:r w:rsidRPr="00464B9C">
        <w:fldChar w:fldCharType="end"/>
      </w:r>
      <w:r>
        <w:tab/>
        <w:t xml:space="preserve">Die TWC vereinbarte, </w:t>
      </w:r>
      <w:proofErr w:type="spellStart"/>
      <w:r>
        <w:t>daß</w:t>
      </w:r>
      <w:proofErr w:type="spellEnd"/>
      <w:r>
        <w:t xml:space="preserve"> die Sachverständigen aus Frankreich, Deutschland, Italien und Japan ersucht werden sollten, dem Sachverständigen aus dem Vereinigten Königreich die von der TC angeforderten Informationen zur Verfügung zu stellen. </w:t>
      </w:r>
    </w:p>
    <w:p w:rsidR="00A354F0" w:rsidRPr="00464B9C" w:rsidRDefault="00A354F0" w:rsidP="00A354F0"/>
    <w:p w:rsidR="00A354F0" w:rsidRPr="00464B9C" w:rsidRDefault="00A354F0" w:rsidP="00A354F0">
      <w:r w:rsidRPr="00464B9C">
        <w:fldChar w:fldCharType="begin"/>
      </w:r>
      <w:r w:rsidRPr="00464B9C">
        <w:instrText xml:space="preserve"> AUTONUM  </w:instrText>
      </w:r>
      <w:r w:rsidRPr="00464B9C">
        <w:fldChar w:fldCharType="end"/>
      </w:r>
      <w:r>
        <w:tab/>
        <w:t>Die TWC prüfte den Vorschlag zur Erstellu</w:t>
      </w:r>
      <w:r w:rsidR="005C6665">
        <w:t>ng eines Entscheidungsbaums zu</w:t>
      </w:r>
      <w:r>
        <w:t xml:space="preserve"> Anforderungen und Situationen für die Verwendung der verschiedenen beschriebenen Ansätze</w:t>
      </w:r>
      <w:r w:rsidR="00D20F00">
        <w:t xml:space="preserve">. </w:t>
      </w:r>
      <w:r>
        <w:t>Die TWC vereinbarte, die Sachverständigen aus Frankreich, Deutschland, Italien, Japan und dem Vereinigten Königreich zu ersuchen, gegebenenfalls die folgenden Informationen als Ausgangspunkt für die Beschreibung der Anforderungen jedes Ansatzes zu prüfen:</w:t>
      </w:r>
    </w:p>
    <w:p w:rsidR="00A354F0" w:rsidRPr="00464B9C" w:rsidRDefault="00A354F0" w:rsidP="00A354F0"/>
    <w:p w:rsidR="00A354F0" w:rsidRPr="00464B9C" w:rsidRDefault="00A354F0" w:rsidP="00A354F0">
      <w:pPr>
        <w:pStyle w:val="ListParagraph"/>
        <w:numPr>
          <w:ilvl w:val="0"/>
          <w:numId w:val="11"/>
        </w:numPr>
      </w:pPr>
      <w:r>
        <w:t>Land</w:t>
      </w:r>
    </w:p>
    <w:p w:rsidR="00A354F0" w:rsidRPr="00464B9C" w:rsidRDefault="00A354F0" w:rsidP="00A354F0">
      <w:pPr>
        <w:pStyle w:val="ListParagraph"/>
        <w:numPr>
          <w:ilvl w:val="0"/>
          <w:numId w:val="11"/>
        </w:numPr>
      </w:pPr>
      <w:r>
        <w:t>Verfahren</w:t>
      </w:r>
    </w:p>
    <w:p w:rsidR="00A354F0" w:rsidRPr="00464B9C" w:rsidRDefault="00A354F0" w:rsidP="00A354F0">
      <w:pPr>
        <w:pStyle w:val="ListParagraph"/>
        <w:numPr>
          <w:ilvl w:val="0"/>
          <w:numId w:val="11"/>
        </w:numPr>
      </w:pPr>
      <w:r>
        <w:t>Ist ein vollständiger Satz von Beispielsorten erforderlich? [„ja“, „nein“ oder „nicht anwendbar“]</w:t>
      </w:r>
    </w:p>
    <w:p w:rsidR="00A354F0" w:rsidRPr="00464B9C" w:rsidRDefault="00A354F0" w:rsidP="00A354F0">
      <w:pPr>
        <w:pStyle w:val="ListParagraph"/>
        <w:numPr>
          <w:ilvl w:val="0"/>
          <w:numId w:val="11"/>
        </w:numPr>
      </w:pPr>
      <w:r>
        <w:t>Ist ein Teil eines Satzes von Beispielssorten erforderlich? [„ja“, „nein“ oder „nicht anwendbar“]</w:t>
      </w:r>
    </w:p>
    <w:p w:rsidR="00A354F0" w:rsidRPr="00464B9C" w:rsidRDefault="00A354F0" w:rsidP="00A354F0">
      <w:pPr>
        <w:pStyle w:val="ListParagraph"/>
        <w:numPr>
          <w:ilvl w:val="0"/>
          <w:numId w:val="11"/>
        </w:numPr>
      </w:pPr>
      <w:r>
        <w:lastRenderedPageBreak/>
        <w:t>Sorten x Jahre Freiheitsgrad &gt; 15? [„ja“, „nein“ oder „nicht anwendbar“]</w:t>
      </w:r>
    </w:p>
    <w:p w:rsidR="00A354F0" w:rsidRPr="00464B9C" w:rsidRDefault="00A354F0" w:rsidP="00A354F0">
      <w:pPr>
        <w:pStyle w:val="ListParagraph"/>
        <w:numPr>
          <w:ilvl w:val="0"/>
          <w:numId w:val="11"/>
        </w:numPr>
      </w:pPr>
      <w:r>
        <w:t>Sind eingrenzende Sorten erforderlich? [„ja“, „nein“ oder „nicht anwendbar“]</w:t>
      </w:r>
    </w:p>
    <w:p w:rsidR="00A354F0" w:rsidRPr="00464B9C" w:rsidRDefault="00A354F0" w:rsidP="00A354F0">
      <w:pPr>
        <w:pStyle w:val="ListParagraph"/>
        <w:numPr>
          <w:ilvl w:val="0"/>
          <w:numId w:val="11"/>
        </w:numPr>
      </w:pPr>
      <w:r>
        <w:t>Ist eine Beurteilung durch einen Pflanzensachverständigen erforderlich? [„ja“, „nein“ oder „nicht anwendbar“]</w:t>
      </w:r>
    </w:p>
    <w:p w:rsidR="00A354F0" w:rsidRPr="00464B9C" w:rsidRDefault="00A354F0" w:rsidP="00A354F0">
      <w:pPr>
        <w:pStyle w:val="ListParagraph"/>
        <w:numPr>
          <w:ilvl w:val="0"/>
          <w:numId w:val="11"/>
        </w:numPr>
      </w:pPr>
      <w:r>
        <w:t>Ist die gesamte Ausprägungsbreite im Anbauversuch erforderlich? [„ja“, „nein“ oder „nicht anwendbar“]</w:t>
      </w:r>
    </w:p>
    <w:p w:rsidR="00A354F0" w:rsidRPr="00464B9C" w:rsidRDefault="00A354F0" w:rsidP="00A354F0">
      <w:pPr>
        <w:pStyle w:val="ListParagraph"/>
        <w:numPr>
          <w:ilvl w:val="0"/>
          <w:numId w:val="11"/>
        </w:numPr>
      </w:pPr>
      <w:r>
        <w:t>Kann das Verfahren bei zyklischem Anbau angewendet werden? [„ja“, „nein“ oder „nicht anwendbar“]</w:t>
      </w:r>
    </w:p>
    <w:p w:rsidR="00A354F0" w:rsidRPr="00464B9C" w:rsidRDefault="00A354F0" w:rsidP="00A354F0">
      <w:pPr>
        <w:pStyle w:val="ListParagraph"/>
        <w:numPr>
          <w:ilvl w:val="0"/>
          <w:numId w:val="11"/>
        </w:numPr>
      </w:pPr>
      <w:r>
        <w:t>Ist ein kontinuierlicher Ausprägungsbereich erforderlich? [„ja“, „nein“ oder „nicht anwendbar“]</w:t>
      </w:r>
    </w:p>
    <w:p w:rsidR="00A354F0" w:rsidRPr="00464B9C" w:rsidRDefault="00A354F0" w:rsidP="00A354F0">
      <w:pPr>
        <w:pStyle w:val="ListParagraph"/>
      </w:pPr>
    </w:p>
    <w:p w:rsidR="00A354F0" w:rsidRPr="00464B9C" w:rsidRDefault="00A354F0" w:rsidP="00A354F0">
      <w:pPr>
        <w:keepNext/>
        <w:keepLines/>
      </w:pPr>
      <w:r w:rsidRPr="00464B9C">
        <w:fldChar w:fldCharType="begin"/>
      </w:r>
      <w:r w:rsidRPr="00464B9C">
        <w:instrText xml:space="preserve"> AUTONUM  </w:instrText>
      </w:r>
      <w:r w:rsidRPr="00464B9C">
        <w:fldChar w:fldCharType="end"/>
      </w:r>
      <w:r>
        <w:tab/>
        <w:t>Die TWC vereinba</w:t>
      </w:r>
      <w:bookmarkStart w:id="4" w:name="_GoBack"/>
      <w:bookmarkEnd w:id="4"/>
      <w:r>
        <w:t xml:space="preserve">rte, </w:t>
      </w:r>
      <w:proofErr w:type="spellStart"/>
      <w:r>
        <w:t>daß</w:t>
      </w:r>
      <w:proofErr w:type="spellEnd"/>
      <w:r>
        <w:t xml:space="preserve"> die bereitgestellten Informationen wie folgt in Form einer Tabelle dargestellt werden könnten:</w:t>
      </w:r>
    </w:p>
    <w:p w:rsidR="00CE38FE" w:rsidRDefault="00CE38FE" w:rsidP="00A354F0">
      <w:pPr>
        <w:keepNext/>
        <w:keepLines/>
      </w:pPr>
    </w:p>
    <w:p w:rsidR="00CE38FE" w:rsidRDefault="00CE38FE" w:rsidP="00A354F0">
      <w:pPr>
        <w:keepNext/>
        <w:keepLines/>
      </w:pPr>
      <w:r>
        <w:rPr>
          <w:color w:val="000000"/>
        </w:rPr>
        <w:t>Verfahren, die für quantitative Merkmale geeignet sind</w:t>
      </w:r>
    </w:p>
    <w:tbl>
      <w:tblPr>
        <w:tblW w:w="9865" w:type="dxa"/>
        <w:tblInd w:w="-10" w:type="dxa"/>
        <w:tblLayout w:type="fixed"/>
        <w:tblLook w:val="04A0" w:firstRow="1" w:lastRow="0" w:firstColumn="1" w:lastColumn="0" w:noHBand="0" w:noVBand="1"/>
      </w:tblPr>
      <w:tblGrid>
        <w:gridCol w:w="685"/>
        <w:gridCol w:w="851"/>
        <w:gridCol w:w="806"/>
        <w:gridCol w:w="977"/>
        <w:gridCol w:w="871"/>
        <w:gridCol w:w="909"/>
        <w:gridCol w:w="1533"/>
        <w:gridCol w:w="1159"/>
        <w:gridCol w:w="974"/>
        <w:gridCol w:w="1100"/>
      </w:tblGrid>
      <w:tr w:rsidR="00CE38FE" w:rsidRPr="00CE38FE" w:rsidTr="00D20F00">
        <w:trPr>
          <w:trHeight w:val="1160"/>
        </w:trPr>
        <w:tc>
          <w:tcPr>
            <w:tcW w:w="685" w:type="dxa"/>
            <w:tcBorders>
              <w:top w:val="single" w:sz="8" w:space="0" w:color="auto"/>
              <w:left w:val="single" w:sz="8" w:space="0" w:color="auto"/>
              <w:bottom w:val="single" w:sz="8" w:space="0" w:color="auto"/>
              <w:right w:val="single" w:sz="8" w:space="0" w:color="000000"/>
            </w:tcBorders>
            <w:shd w:val="clear" w:color="000000" w:fill="F2F2F2"/>
            <w:vAlign w:val="center"/>
            <w:hideMark/>
          </w:tcPr>
          <w:p w:rsidR="00CE38FE" w:rsidRPr="00CE38FE" w:rsidRDefault="00CE38FE" w:rsidP="00CE38FE">
            <w:pPr>
              <w:jc w:val="center"/>
              <w:rPr>
                <w:rFonts w:cs="Arial"/>
                <w:color w:val="000000"/>
                <w:sz w:val="16"/>
                <w:szCs w:val="18"/>
              </w:rPr>
            </w:pPr>
            <w:r>
              <w:rPr>
                <w:color w:val="000000"/>
                <w:sz w:val="16"/>
                <w:szCs w:val="18"/>
              </w:rPr>
              <w:t>LAND</w:t>
            </w:r>
          </w:p>
        </w:tc>
        <w:tc>
          <w:tcPr>
            <w:tcW w:w="851" w:type="dxa"/>
            <w:tcBorders>
              <w:top w:val="single" w:sz="8" w:space="0" w:color="auto"/>
              <w:left w:val="nil"/>
              <w:bottom w:val="single" w:sz="8" w:space="0" w:color="auto"/>
              <w:right w:val="single" w:sz="8" w:space="0" w:color="auto"/>
            </w:tcBorders>
            <w:shd w:val="clear" w:color="000000" w:fill="F2F2F2"/>
            <w:noWrap/>
            <w:vAlign w:val="center"/>
            <w:hideMark/>
          </w:tcPr>
          <w:p w:rsidR="00CE38FE" w:rsidRPr="00CE38FE" w:rsidRDefault="00CE38FE" w:rsidP="00CE38FE">
            <w:pPr>
              <w:jc w:val="center"/>
              <w:rPr>
                <w:rFonts w:cs="Arial"/>
                <w:color w:val="000000"/>
                <w:sz w:val="16"/>
                <w:szCs w:val="18"/>
              </w:rPr>
            </w:pPr>
            <w:proofErr w:type="spellStart"/>
            <w:r>
              <w:rPr>
                <w:color w:val="000000"/>
                <w:sz w:val="16"/>
                <w:szCs w:val="18"/>
              </w:rPr>
              <w:t>Verfah</w:t>
            </w:r>
            <w:r w:rsidR="00D20F00">
              <w:rPr>
                <w:color w:val="000000"/>
                <w:sz w:val="16"/>
                <w:szCs w:val="18"/>
              </w:rPr>
              <w:t>-</w:t>
            </w:r>
            <w:r>
              <w:rPr>
                <w:color w:val="000000"/>
                <w:sz w:val="16"/>
                <w:szCs w:val="18"/>
              </w:rPr>
              <w:t>ren</w:t>
            </w:r>
            <w:proofErr w:type="spellEnd"/>
            <w:r>
              <w:rPr>
                <w:color w:val="000000"/>
                <w:sz w:val="16"/>
                <w:szCs w:val="18"/>
              </w:rPr>
              <w:t xml:space="preserve">: </w:t>
            </w:r>
            <w:proofErr w:type="spellStart"/>
            <w:r>
              <w:rPr>
                <w:color w:val="000000"/>
                <w:sz w:val="16"/>
                <w:szCs w:val="18"/>
              </w:rPr>
              <w:t>Be</w:t>
            </w:r>
            <w:proofErr w:type="spellEnd"/>
            <w:r w:rsidR="00D20F00">
              <w:rPr>
                <w:color w:val="000000"/>
                <w:sz w:val="16"/>
                <w:szCs w:val="18"/>
              </w:rPr>
              <w:t>-</w:t>
            </w:r>
            <w:r>
              <w:rPr>
                <w:color w:val="000000"/>
                <w:sz w:val="16"/>
                <w:szCs w:val="18"/>
              </w:rPr>
              <w:t>schrei</w:t>
            </w:r>
            <w:r w:rsidR="00D20F00">
              <w:rPr>
                <w:color w:val="000000"/>
                <w:sz w:val="16"/>
                <w:szCs w:val="18"/>
              </w:rPr>
              <w:t>-</w:t>
            </w:r>
            <w:proofErr w:type="spellStart"/>
            <w:r>
              <w:rPr>
                <w:color w:val="000000"/>
                <w:sz w:val="16"/>
                <w:szCs w:val="18"/>
              </w:rPr>
              <w:t>bung</w:t>
            </w:r>
            <w:proofErr w:type="spellEnd"/>
          </w:p>
        </w:tc>
        <w:tc>
          <w:tcPr>
            <w:tcW w:w="806" w:type="dxa"/>
            <w:tcBorders>
              <w:top w:val="single" w:sz="8" w:space="0" w:color="auto"/>
              <w:left w:val="nil"/>
              <w:bottom w:val="single" w:sz="8" w:space="0" w:color="auto"/>
              <w:right w:val="single" w:sz="8" w:space="0" w:color="auto"/>
            </w:tcBorders>
            <w:shd w:val="clear" w:color="000000" w:fill="F2F2F2"/>
            <w:vAlign w:val="center"/>
            <w:hideMark/>
          </w:tcPr>
          <w:p w:rsidR="00CE38FE" w:rsidRPr="00CE38FE" w:rsidRDefault="00CE38FE" w:rsidP="00CE38FE">
            <w:pPr>
              <w:jc w:val="center"/>
              <w:rPr>
                <w:rFonts w:cs="Arial"/>
                <w:color w:val="000000"/>
                <w:sz w:val="16"/>
                <w:szCs w:val="18"/>
              </w:rPr>
            </w:pPr>
            <w:r>
              <w:rPr>
                <w:color w:val="000000"/>
                <w:sz w:val="16"/>
                <w:szCs w:val="18"/>
              </w:rPr>
              <w:t>Voll</w:t>
            </w:r>
            <w:r w:rsidR="00D20F00">
              <w:rPr>
                <w:color w:val="000000"/>
                <w:sz w:val="16"/>
                <w:szCs w:val="18"/>
              </w:rPr>
              <w:t>-</w:t>
            </w:r>
            <w:proofErr w:type="spellStart"/>
            <w:r>
              <w:rPr>
                <w:color w:val="000000"/>
                <w:sz w:val="16"/>
                <w:szCs w:val="18"/>
              </w:rPr>
              <w:t>stän</w:t>
            </w:r>
            <w:proofErr w:type="spellEnd"/>
            <w:r w:rsidR="00D20F00">
              <w:rPr>
                <w:color w:val="000000"/>
                <w:sz w:val="16"/>
                <w:szCs w:val="18"/>
              </w:rPr>
              <w:t>-</w:t>
            </w:r>
            <w:proofErr w:type="spellStart"/>
            <w:r>
              <w:rPr>
                <w:color w:val="000000"/>
                <w:sz w:val="16"/>
                <w:szCs w:val="18"/>
              </w:rPr>
              <w:t>diger</w:t>
            </w:r>
            <w:proofErr w:type="spellEnd"/>
            <w:r>
              <w:rPr>
                <w:color w:val="000000"/>
                <w:sz w:val="16"/>
                <w:szCs w:val="18"/>
              </w:rPr>
              <w:t xml:space="preserve"> Satz von Bei</w:t>
            </w:r>
            <w:r w:rsidR="00D20F00">
              <w:rPr>
                <w:color w:val="000000"/>
                <w:sz w:val="16"/>
                <w:szCs w:val="18"/>
              </w:rPr>
              <w:t>-</w:t>
            </w:r>
            <w:r>
              <w:rPr>
                <w:color w:val="000000"/>
                <w:sz w:val="16"/>
                <w:szCs w:val="18"/>
              </w:rPr>
              <w:t>spiels</w:t>
            </w:r>
            <w:r w:rsidR="00D20F00">
              <w:rPr>
                <w:color w:val="000000"/>
                <w:sz w:val="16"/>
                <w:szCs w:val="18"/>
              </w:rPr>
              <w:t>-s</w:t>
            </w:r>
            <w:r>
              <w:rPr>
                <w:color w:val="000000"/>
                <w:sz w:val="16"/>
                <w:szCs w:val="18"/>
              </w:rPr>
              <w:t>orten</w:t>
            </w:r>
          </w:p>
        </w:tc>
        <w:tc>
          <w:tcPr>
            <w:tcW w:w="977" w:type="dxa"/>
            <w:tcBorders>
              <w:top w:val="single" w:sz="8" w:space="0" w:color="auto"/>
              <w:left w:val="nil"/>
              <w:bottom w:val="single" w:sz="8" w:space="0" w:color="auto"/>
              <w:right w:val="single" w:sz="8" w:space="0" w:color="auto"/>
            </w:tcBorders>
            <w:shd w:val="clear" w:color="000000" w:fill="F2F2F2"/>
            <w:vAlign w:val="center"/>
            <w:hideMark/>
          </w:tcPr>
          <w:p w:rsidR="00CE38FE" w:rsidRPr="00CE38FE" w:rsidRDefault="00CE38FE" w:rsidP="00CE38FE">
            <w:pPr>
              <w:jc w:val="center"/>
              <w:rPr>
                <w:rFonts w:cs="Arial"/>
                <w:color w:val="000000"/>
                <w:sz w:val="16"/>
                <w:szCs w:val="18"/>
              </w:rPr>
            </w:pPr>
            <w:r>
              <w:rPr>
                <w:color w:val="000000"/>
                <w:sz w:val="16"/>
                <w:szCs w:val="18"/>
              </w:rPr>
              <w:t>Teil eines Satzes von Beispiels</w:t>
            </w:r>
            <w:r w:rsidR="00D20F00">
              <w:rPr>
                <w:color w:val="000000"/>
                <w:sz w:val="16"/>
                <w:szCs w:val="18"/>
              </w:rPr>
              <w:t>-</w:t>
            </w:r>
            <w:r>
              <w:rPr>
                <w:color w:val="000000"/>
                <w:sz w:val="16"/>
                <w:szCs w:val="18"/>
              </w:rPr>
              <w:t>sorten</w:t>
            </w:r>
          </w:p>
        </w:tc>
        <w:tc>
          <w:tcPr>
            <w:tcW w:w="871" w:type="dxa"/>
            <w:tcBorders>
              <w:top w:val="single" w:sz="8" w:space="0" w:color="auto"/>
              <w:left w:val="nil"/>
              <w:bottom w:val="single" w:sz="8" w:space="0" w:color="auto"/>
              <w:right w:val="single" w:sz="8" w:space="0" w:color="auto"/>
            </w:tcBorders>
            <w:shd w:val="clear" w:color="000000" w:fill="F2F2F2"/>
            <w:vAlign w:val="center"/>
            <w:hideMark/>
          </w:tcPr>
          <w:p w:rsidR="00CE38FE" w:rsidRPr="00CE38FE" w:rsidRDefault="00CE38FE" w:rsidP="00CE38FE">
            <w:pPr>
              <w:jc w:val="center"/>
              <w:rPr>
                <w:rFonts w:cs="Arial"/>
                <w:color w:val="000000"/>
                <w:sz w:val="16"/>
                <w:szCs w:val="18"/>
              </w:rPr>
            </w:pPr>
            <w:r>
              <w:rPr>
                <w:color w:val="000000"/>
                <w:sz w:val="16"/>
                <w:szCs w:val="18"/>
              </w:rPr>
              <w:t>Sorten x Jahre Frei</w:t>
            </w:r>
            <w:r w:rsidR="00D20F00">
              <w:rPr>
                <w:color w:val="000000"/>
                <w:sz w:val="16"/>
                <w:szCs w:val="18"/>
              </w:rPr>
              <w:t>-</w:t>
            </w:r>
            <w:proofErr w:type="spellStart"/>
            <w:r>
              <w:rPr>
                <w:color w:val="000000"/>
                <w:sz w:val="16"/>
                <w:szCs w:val="18"/>
              </w:rPr>
              <w:t>heits</w:t>
            </w:r>
            <w:proofErr w:type="spellEnd"/>
            <w:r w:rsidR="00D20F00">
              <w:rPr>
                <w:color w:val="000000"/>
                <w:sz w:val="16"/>
                <w:szCs w:val="18"/>
              </w:rPr>
              <w:t>-</w:t>
            </w:r>
            <w:r>
              <w:rPr>
                <w:color w:val="000000"/>
                <w:sz w:val="16"/>
                <w:szCs w:val="18"/>
              </w:rPr>
              <w:t>grad &gt; 15</w:t>
            </w:r>
          </w:p>
        </w:tc>
        <w:tc>
          <w:tcPr>
            <w:tcW w:w="909" w:type="dxa"/>
            <w:tcBorders>
              <w:top w:val="single" w:sz="8" w:space="0" w:color="auto"/>
              <w:left w:val="nil"/>
              <w:bottom w:val="single" w:sz="8" w:space="0" w:color="auto"/>
              <w:right w:val="single" w:sz="8" w:space="0" w:color="auto"/>
            </w:tcBorders>
            <w:shd w:val="clear" w:color="000000" w:fill="F2F2F2"/>
            <w:vAlign w:val="center"/>
            <w:hideMark/>
          </w:tcPr>
          <w:p w:rsidR="00CE38FE" w:rsidRPr="00CE38FE" w:rsidRDefault="00CE38FE" w:rsidP="00CE38FE">
            <w:pPr>
              <w:jc w:val="center"/>
              <w:rPr>
                <w:rFonts w:cs="Arial"/>
                <w:color w:val="000000"/>
                <w:sz w:val="16"/>
                <w:szCs w:val="18"/>
              </w:rPr>
            </w:pPr>
            <w:proofErr w:type="spellStart"/>
            <w:r>
              <w:rPr>
                <w:color w:val="000000"/>
                <w:sz w:val="16"/>
                <w:szCs w:val="18"/>
              </w:rPr>
              <w:t>Eingren</w:t>
            </w:r>
            <w:r w:rsidR="00D20F00">
              <w:rPr>
                <w:color w:val="000000"/>
                <w:sz w:val="16"/>
                <w:szCs w:val="18"/>
              </w:rPr>
              <w:t>-</w:t>
            </w:r>
            <w:r>
              <w:rPr>
                <w:color w:val="000000"/>
                <w:sz w:val="16"/>
                <w:szCs w:val="18"/>
              </w:rPr>
              <w:t>zende</w:t>
            </w:r>
            <w:proofErr w:type="spellEnd"/>
            <w:r>
              <w:rPr>
                <w:color w:val="000000"/>
                <w:sz w:val="16"/>
                <w:szCs w:val="18"/>
              </w:rPr>
              <w:t xml:space="preserve"> Sorten</w:t>
            </w:r>
          </w:p>
        </w:tc>
        <w:tc>
          <w:tcPr>
            <w:tcW w:w="1533" w:type="dxa"/>
            <w:tcBorders>
              <w:top w:val="single" w:sz="8" w:space="0" w:color="auto"/>
              <w:left w:val="nil"/>
              <w:bottom w:val="single" w:sz="8" w:space="0" w:color="auto"/>
              <w:right w:val="single" w:sz="8" w:space="0" w:color="auto"/>
            </w:tcBorders>
            <w:shd w:val="clear" w:color="000000" w:fill="F2F2F2"/>
            <w:vAlign w:val="center"/>
            <w:hideMark/>
          </w:tcPr>
          <w:p w:rsidR="00CE38FE" w:rsidRPr="00CE38FE" w:rsidRDefault="00CE38FE" w:rsidP="00CE38FE">
            <w:pPr>
              <w:jc w:val="center"/>
              <w:rPr>
                <w:rFonts w:cs="Arial"/>
                <w:color w:val="000000"/>
                <w:sz w:val="16"/>
                <w:szCs w:val="18"/>
              </w:rPr>
            </w:pPr>
            <w:r>
              <w:rPr>
                <w:color w:val="000000"/>
                <w:sz w:val="16"/>
                <w:szCs w:val="18"/>
              </w:rPr>
              <w:t xml:space="preserve">Beurteilung durch einen </w:t>
            </w:r>
            <w:proofErr w:type="spellStart"/>
            <w:r>
              <w:rPr>
                <w:color w:val="000000"/>
                <w:sz w:val="16"/>
                <w:szCs w:val="18"/>
              </w:rPr>
              <w:t>Pflanzensachver</w:t>
            </w:r>
            <w:proofErr w:type="spellEnd"/>
            <w:r w:rsidR="00D20F00">
              <w:rPr>
                <w:color w:val="000000"/>
                <w:sz w:val="16"/>
                <w:szCs w:val="18"/>
              </w:rPr>
              <w:t>-</w:t>
            </w:r>
            <w:r>
              <w:rPr>
                <w:color w:val="000000"/>
                <w:sz w:val="16"/>
                <w:szCs w:val="18"/>
              </w:rPr>
              <w:t xml:space="preserve">ständigen </w:t>
            </w:r>
          </w:p>
        </w:tc>
        <w:tc>
          <w:tcPr>
            <w:tcW w:w="1159" w:type="dxa"/>
            <w:tcBorders>
              <w:top w:val="single" w:sz="8" w:space="0" w:color="auto"/>
              <w:left w:val="nil"/>
              <w:bottom w:val="single" w:sz="8" w:space="0" w:color="auto"/>
              <w:right w:val="single" w:sz="8" w:space="0" w:color="auto"/>
            </w:tcBorders>
            <w:shd w:val="clear" w:color="000000" w:fill="F2F2F2"/>
            <w:vAlign w:val="center"/>
            <w:hideMark/>
          </w:tcPr>
          <w:p w:rsidR="00CE38FE" w:rsidRPr="00CE38FE" w:rsidRDefault="00CE38FE" w:rsidP="00CE38FE">
            <w:pPr>
              <w:jc w:val="center"/>
              <w:rPr>
                <w:rFonts w:cs="Arial"/>
                <w:color w:val="000000"/>
                <w:sz w:val="16"/>
                <w:szCs w:val="18"/>
              </w:rPr>
            </w:pPr>
            <w:r>
              <w:rPr>
                <w:color w:val="000000"/>
                <w:sz w:val="16"/>
                <w:szCs w:val="18"/>
              </w:rPr>
              <w:t>Gesamte Ausprä</w:t>
            </w:r>
            <w:r w:rsidR="00D20F00">
              <w:rPr>
                <w:color w:val="000000"/>
                <w:sz w:val="16"/>
                <w:szCs w:val="18"/>
              </w:rPr>
              <w:t>-</w:t>
            </w:r>
            <w:proofErr w:type="spellStart"/>
            <w:r>
              <w:rPr>
                <w:color w:val="000000"/>
                <w:sz w:val="16"/>
                <w:szCs w:val="18"/>
              </w:rPr>
              <w:t>gungsbreite</w:t>
            </w:r>
            <w:proofErr w:type="spellEnd"/>
            <w:r>
              <w:rPr>
                <w:color w:val="000000"/>
                <w:sz w:val="16"/>
                <w:szCs w:val="18"/>
              </w:rPr>
              <w:t xml:space="preserve"> im </w:t>
            </w:r>
            <w:proofErr w:type="spellStart"/>
            <w:r>
              <w:rPr>
                <w:color w:val="000000"/>
                <w:sz w:val="16"/>
                <w:szCs w:val="18"/>
              </w:rPr>
              <w:t>Anbauver</w:t>
            </w:r>
            <w:proofErr w:type="spellEnd"/>
            <w:r w:rsidR="00D20F00">
              <w:rPr>
                <w:color w:val="000000"/>
                <w:sz w:val="16"/>
                <w:szCs w:val="18"/>
              </w:rPr>
              <w:t>-</w:t>
            </w:r>
            <w:r>
              <w:rPr>
                <w:color w:val="000000"/>
                <w:sz w:val="16"/>
                <w:szCs w:val="18"/>
              </w:rPr>
              <w:t>such</w:t>
            </w:r>
          </w:p>
        </w:tc>
        <w:tc>
          <w:tcPr>
            <w:tcW w:w="974" w:type="dxa"/>
            <w:tcBorders>
              <w:top w:val="single" w:sz="8" w:space="0" w:color="auto"/>
              <w:left w:val="nil"/>
              <w:bottom w:val="single" w:sz="8" w:space="0" w:color="auto"/>
              <w:right w:val="single" w:sz="8" w:space="0" w:color="auto"/>
            </w:tcBorders>
            <w:shd w:val="clear" w:color="000000" w:fill="F2F2F2"/>
            <w:vAlign w:val="center"/>
            <w:hideMark/>
          </w:tcPr>
          <w:p w:rsidR="00CE38FE" w:rsidRPr="00CE38FE" w:rsidRDefault="00CE38FE" w:rsidP="00CE38FE">
            <w:pPr>
              <w:jc w:val="center"/>
              <w:rPr>
                <w:rFonts w:cs="Arial"/>
                <w:color w:val="000000"/>
                <w:sz w:val="16"/>
                <w:szCs w:val="18"/>
              </w:rPr>
            </w:pPr>
            <w:r>
              <w:rPr>
                <w:color w:val="000000"/>
                <w:sz w:val="16"/>
                <w:szCs w:val="18"/>
              </w:rPr>
              <w:t xml:space="preserve">kann bei </w:t>
            </w:r>
            <w:proofErr w:type="spellStart"/>
            <w:r>
              <w:rPr>
                <w:color w:val="000000"/>
                <w:sz w:val="16"/>
                <w:szCs w:val="18"/>
              </w:rPr>
              <w:t>zykli</w:t>
            </w:r>
            <w:r w:rsidR="00D20F00">
              <w:rPr>
                <w:color w:val="000000"/>
                <w:sz w:val="16"/>
                <w:szCs w:val="18"/>
              </w:rPr>
              <w:t>-</w:t>
            </w:r>
            <w:r>
              <w:rPr>
                <w:color w:val="000000"/>
                <w:sz w:val="16"/>
                <w:szCs w:val="18"/>
              </w:rPr>
              <w:t>schem</w:t>
            </w:r>
            <w:proofErr w:type="spellEnd"/>
            <w:r>
              <w:rPr>
                <w:color w:val="000000"/>
                <w:sz w:val="16"/>
                <w:szCs w:val="18"/>
              </w:rPr>
              <w:t xml:space="preserve"> Anbau </w:t>
            </w:r>
            <w:proofErr w:type="spellStart"/>
            <w:r>
              <w:rPr>
                <w:color w:val="000000"/>
                <w:sz w:val="16"/>
                <w:szCs w:val="18"/>
              </w:rPr>
              <w:t>angewen</w:t>
            </w:r>
            <w:r w:rsidR="00D20F00">
              <w:rPr>
                <w:color w:val="000000"/>
                <w:sz w:val="16"/>
                <w:szCs w:val="18"/>
              </w:rPr>
              <w:t>-</w:t>
            </w:r>
            <w:r>
              <w:rPr>
                <w:color w:val="000000"/>
                <w:sz w:val="16"/>
                <w:szCs w:val="18"/>
              </w:rPr>
              <w:t>det</w:t>
            </w:r>
            <w:proofErr w:type="spellEnd"/>
            <w:r>
              <w:rPr>
                <w:color w:val="000000"/>
                <w:sz w:val="16"/>
                <w:szCs w:val="18"/>
              </w:rPr>
              <w:t xml:space="preserve"> werden</w:t>
            </w:r>
          </w:p>
        </w:tc>
        <w:tc>
          <w:tcPr>
            <w:tcW w:w="1100" w:type="dxa"/>
            <w:tcBorders>
              <w:top w:val="single" w:sz="8" w:space="0" w:color="auto"/>
              <w:left w:val="nil"/>
              <w:bottom w:val="single" w:sz="8" w:space="0" w:color="auto"/>
              <w:right w:val="single" w:sz="8" w:space="0" w:color="auto"/>
            </w:tcBorders>
            <w:shd w:val="clear" w:color="000000" w:fill="F2F2F2"/>
            <w:vAlign w:val="center"/>
            <w:hideMark/>
          </w:tcPr>
          <w:p w:rsidR="00CE38FE" w:rsidRPr="00CE38FE" w:rsidRDefault="00D20F00" w:rsidP="00CE38FE">
            <w:pPr>
              <w:jc w:val="center"/>
              <w:rPr>
                <w:rFonts w:cs="Arial"/>
                <w:color w:val="000000"/>
                <w:sz w:val="16"/>
                <w:szCs w:val="18"/>
              </w:rPr>
            </w:pPr>
            <w:proofErr w:type="spellStart"/>
            <w:r>
              <w:rPr>
                <w:color w:val="000000"/>
                <w:sz w:val="16"/>
                <w:szCs w:val="18"/>
              </w:rPr>
              <w:t>K</w:t>
            </w:r>
            <w:r w:rsidR="00CE38FE">
              <w:rPr>
                <w:color w:val="000000"/>
                <w:sz w:val="16"/>
                <w:szCs w:val="18"/>
              </w:rPr>
              <w:t>ontinuier</w:t>
            </w:r>
            <w:r>
              <w:rPr>
                <w:color w:val="000000"/>
                <w:sz w:val="16"/>
                <w:szCs w:val="18"/>
              </w:rPr>
              <w:t>-</w:t>
            </w:r>
            <w:r w:rsidR="00CE38FE">
              <w:rPr>
                <w:color w:val="000000"/>
                <w:sz w:val="16"/>
                <w:szCs w:val="18"/>
              </w:rPr>
              <w:t>licher</w:t>
            </w:r>
            <w:proofErr w:type="spellEnd"/>
            <w:r w:rsidR="00CE38FE">
              <w:rPr>
                <w:color w:val="000000"/>
                <w:sz w:val="16"/>
                <w:szCs w:val="18"/>
              </w:rPr>
              <w:t xml:space="preserve"> Ausprä</w:t>
            </w:r>
            <w:r w:rsidR="004D6188">
              <w:rPr>
                <w:color w:val="000000"/>
                <w:sz w:val="16"/>
                <w:szCs w:val="18"/>
              </w:rPr>
              <w:t>-</w:t>
            </w:r>
            <w:proofErr w:type="spellStart"/>
            <w:r w:rsidR="00CE38FE">
              <w:rPr>
                <w:color w:val="000000"/>
                <w:sz w:val="16"/>
                <w:szCs w:val="18"/>
              </w:rPr>
              <w:t>gungs</w:t>
            </w:r>
            <w:proofErr w:type="spellEnd"/>
            <w:r w:rsidR="004D6188">
              <w:rPr>
                <w:color w:val="000000"/>
                <w:sz w:val="16"/>
                <w:szCs w:val="18"/>
              </w:rPr>
              <w:t>-</w:t>
            </w:r>
            <w:r w:rsidR="00CE38FE">
              <w:rPr>
                <w:color w:val="000000"/>
                <w:sz w:val="16"/>
                <w:szCs w:val="18"/>
              </w:rPr>
              <w:t>bereich</w:t>
            </w:r>
          </w:p>
        </w:tc>
      </w:tr>
    </w:tbl>
    <w:p w:rsidR="00A354F0" w:rsidRPr="00464B9C" w:rsidRDefault="00A354F0" w:rsidP="00A354F0">
      <w:pPr>
        <w:pStyle w:val="ListParagraph"/>
      </w:pPr>
    </w:p>
    <w:p w:rsidR="00A354F0" w:rsidRDefault="00A354F0" w:rsidP="00A354F0">
      <w:r w:rsidRPr="00464B9C">
        <w:fldChar w:fldCharType="begin"/>
      </w:r>
      <w:r w:rsidRPr="00464B9C">
        <w:instrText xml:space="preserve"> AUTONUM  </w:instrText>
      </w:r>
      <w:r w:rsidRPr="00464B9C">
        <w:fldChar w:fldCharType="end"/>
      </w:r>
      <w:r>
        <w:tab/>
        <w:t xml:space="preserve">Die TWC vereinbarte, </w:t>
      </w:r>
      <w:proofErr w:type="spellStart"/>
      <w:r>
        <w:t>daß</w:t>
      </w:r>
      <w:proofErr w:type="spellEnd"/>
      <w:r>
        <w:t xml:space="preserve"> gegebenenfalls weitere Kriterien oder Anforderungen von den Sachverständigen, die Informationen zur Verfügung stellen, hinzugefügt werden können.</w:t>
      </w:r>
    </w:p>
    <w:p w:rsidR="00A354F0" w:rsidRDefault="00A354F0" w:rsidP="00A354F0"/>
    <w:p w:rsidR="00A354F0" w:rsidRDefault="00A354F0" w:rsidP="00C050DC">
      <w:pPr>
        <w:rPr>
          <w:lang w:eastAsia="ja-JP"/>
        </w:rPr>
      </w:pPr>
    </w:p>
    <w:p w:rsidR="00CE38FE" w:rsidRDefault="00CE38FE" w:rsidP="00C050DC">
      <w:pPr>
        <w:rPr>
          <w:lang w:eastAsia="ja-JP"/>
        </w:rPr>
      </w:pPr>
    </w:p>
    <w:p w:rsidR="00CE38FE" w:rsidRPr="00C050DC" w:rsidRDefault="00CE38FE" w:rsidP="00CE38FE">
      <w:pPr>
        <w:jc w:val="right"/>
      </w:pPr>
      <w:r>
        <w:t>[Ende des Dokuments]</w:t>
      </w:r>
    </w:p>
    <w:sectPr w:rsidR="00CE38FE" w:rsidRPr="00C050DC" w:rsidSect="00A354F0">
      <w:headerReference w:type="default" r:id="rId8"/>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436" w:rsidRDefault="00D14436" w:rsidP="006655D3">
      <w:r>
        <w:separator/>
      </w:r>
    </w:p>
    <w:p w:rsidR="00D14436" w:rsidRDefault="00D14436" w:rsidP="006655D3"/>
    <w:p w:rsidR="00D14436" w:rsidRDefault="00D14436" w:rsidP="006655D3"/>
  </w:endnote>
  <w:endnote w:type="continuationSeparator" w:id="0">
    <w:p w:rsidR="00D14436" w:rsidRDefault="00D14436" w:rsidP="006655D3">
      <w:r>
        <w:separator/>
      </w:r>
    </w:p>
    <w:p w:rsidR="00D14436" w:rsidRPr="00294751" w:rsidRDefault="00D14436">
      <w:pPr>
        <w:pStyle w:val="Footer"/>
        <w:spacing w:after="60"/>
        <w:rPr>
          <w:sz w:val="18"/>
          <w:lang w:val="fr-FR"/>
        </w:rPr>
      </w:pPr>
      <w:r w:rsidRPr="00294751">
        <w:rPr>
          <w:sz w:val="18"/>
          <w:lang w:val="fr-FR"/>
        </w:rPr>
        <w:t>[Suite de la note de la page précédente]</w:t>
      </w:r>
    </w:p>
    <w:p w:rsidR="00D14436" w:rsidRPr="00294751" w:rsidRDefault="00D14436" w:rsidP="006655D3">
      <w:pPr>
        <w:rPr>
          <w:lang w:val="fr-FR"/>
        </w:rPr>
      </w:pPr>
    </w:p>
    <w:p w:rsidR="00D14436" w:rsidRPr="00294751" w:rsidRDefault="00D14436" w:rsidP="006655D3">
      <w:pPr>
        <w:rPr>
          <w:lang w:val="fr-FR"/>
        </w:rPr>
      </w:pPr>
    </w:p>
  </w:endnote>
  <w:endnote w:type="continuationNotice" w:id="1">
    <w:p w:rsidR="00D14436" w:rsidRPr="00294751" w:rsidRDefault="00D14436" w:rsidP="006655D3">
      <w:pPr>
        <w:rPr>
          <w:lang w:val="fr-FR"/>
        </w:rPr>
      </w:pPr>
      <w:r w:rsidRPr="00294751">
        <w:rPr>
          <w:lang w:val="fr-FR"/>
        </w:rPr>
        <w:t>[Suite de la note page suivante]</w:t>
      </w:r>
    </w:p>
    <w:p w:rsidR="00D14436" w:rsidRPr="00294751" w:rsidRDefault="00D14436" w:rsidP="006655D3">
      <w:pPr>
        <w:rPr>
          <w:lang w:val="fr-FR"/>
        </w:rPr>
      </w:pPr>
    </w:p>
    <w:p w:rsidR="00D14436" w:rsidRPr="00294751" w:rsidRDefault="00D1443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436" w:rsidRDefault="00D14436" w:rsidP="006655D3">
      <w:r>
        <w:separator/>
      </w:r>
    </w:p>
  </w:footnote>
  <w:footnote w:type="continuationSeparator" w:id="0">
    <w:p w:rsidR="00D14436" w:rsidRDefault="00D14436" w:rsidP="006655D3">
      <w:r>
        <w:separator/>
      </w:r>
    </w:p>
  </w:footnote>
  <w:footnote w:type="continuationNotice" w:id="1">
    <w:p w:rsidR="00D14436" w:rsidRPr="00AB530F" w:rsidRDefault="00D1443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F8" w:rsidRDefault="001C68F8" w:rsidP="00CE2882">
    <w:pPr>
      <w:pStyle w:val="Header"/>
    </w:pPr>
    <w:r>
      <w:t>TC/55/13 Add.</w:t>
    </w:r>
  </w:p>
  <w:p w:rsidR="001C68F8" w:rsidRDefault="001C68F8" w:rsidP="00CE2882">
    <w:pPr>
      <w:pStyle w:val="Header"/>
      <w:rPr>
        <w:rStyle w:val="PageNumber"/>
      </w:rPr>
    </w:pPr>
    <w:r>
      <w:t xml:space="preserve">Seite </w:t>
    </w:r>
    <w:r>
      <w:rPr>
        <w:rStyle w:val="PageNumber"/>
      </w:rPr>
      <w:fldChar w:fldCharType="begin"/>
    </w:r>
    <w:r>
      <w:rPr>
        <w:rStyle w:val="PageNumber"/>
      </w:rPr>
      <w:instrText xml:space="preserve"> PAGE </w:instrText>
    </w:r>
    <w:r>
      <w:rPr>
        <w:rStyle w:val="PageNumber"/>
      </w:rPr>
      <w:fldChar w:fldCharType="separate"/>
    </w:r>
    <w:r w:rsidR="00BA2066">
      <w:rPr>
        <w:rStyle w:val="PageNumber"/>
        <w:noProof/>
      </w:rPr>
      <w:t>2</w:t>
    </w:r>
    <w:r>
      <w:rPr>
        <w:rStyle w:val="PageNumber"/>
      </w:rPr>
      <w:fldChar w:fldCharType="end"/>
    </w:r>
  </w:p>
  <w:p w:rsidR="001C68F8" w:rsidRDefault="001C68F8" w:rsidP="00CE2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112D"/>
    <w:multiLevelType w:val="hybridMultilevel"/>
    <w:tmpl w:val="3AA66A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8719E4"/>
    <w:multiLevelType w:val="hybridMultilevel"/>
    <w:tmpl w:val="DB0E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D371D"/>
    <w:multiLevelType w:val="hybridMultilevel"/>
    <w:tmpl w:val="46A23394"/>
    <w:lvl w:ilvl="0" w:tplc="C4FCA116">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47E5580D"/>
    <w:multiLevelType w:val="hybridMultilevel"/>
    <w:tmpl w:val="3A426774"/>
    <w:lvl w:ilvl="0" w:tplc="5082E596">
      <w:start w:val="1"/>
      <w:numFmt w:val="decimal"/>
      <w:lvlText w:val="%1."/>
      <w:lvlJc w:val="left"/>
      <w:pPr>
        <w:ind w:left="930" w:hanging="57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B537A14"/>
    <w:multiLevelType w:val="hybridMultilevel"/>
    <w:tmpl w:val="46A23394"/>
    <w:lvl w:ilvl="0" w:tplc="C4FCA116">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6" w15:restartNumberingAfterBreak="0">
    <w:nsid w:val="4CE064B1"/>
    <w:multiLevelType w:val="hybridMultilevel"/>
    <w:tmpl w:val="425A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F41F8"/>
    <w:multiLevelType w:val="hybridMultilevel"/>
    <w:tmpl w:val="29E0C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5B7040"/>
    <w:multiLevelType w:val="hybridMultilevel"/>
    <w:tmpl w:val="08DC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1762A"/>
    <w:multiLevelType w:val="hybridMultilevel"/>
    <w:tmpl w:val="FDB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F13B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8"/>
  </w:num>
  <w:num w:numId="3">
    <w:abstractNumId w:val="0"/>
  </w:num>
  <w:num w:numId="4">
    <w:abstractNumId w:val="10"/>
    <w:lvlOverride w:ilvl="0">
      <w:startOverride w:val="1"/>
    </w:lvlOverride>
  </w:num>
  <w:num w:numId="5">
    <w:abstractNumId w:val="4"/>
  </w:num>
  <w:num w:numId="6">
    <w:abstractNumId w:val="6"/>
  </w:num>
  <w:num w:numId="7">
    <w:abstractNumId w:val="7"/>
  </w:num>
  <w:num w:numId="8">
    <w:abstractNumId w:val="3"/>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30854"/>
    <w:rsid w:val="00036028"/>
    <w:rsid w:val="00041734"/>
    <w:rsid w:val="00044642"/>
    <w:rsid w:val="000446B9"/>
    <w:rsid w:val="00047E21"/>
    <w:rsid w:val="00050E16"/>
    <w:rsid w:val="000825EA"/>
    <w:rsid w:val="00085505"/>
    <w:rsid w:val="000A0684"/>
    <w:rsid w:val="000A60D0"/>
    <w:rsid w:val="000C4E25"/>
    <w:rsid w:val="000C7021"/>
    <w:rsid w:val="000D6BBC"/>
    <w:rsid w:val="000D7780"/>
    <w:rsid w:val="000E0CA2"/>
    <w:rsid w:val="000E636A"/>
    <w:rsid w:val="000F2F11"/>
    <w:rsid w:val="00105929"/>
    <w:rsid w:val="00110C36"/>
    <w:rsid w:val="001131D5"/>
    <w:rsid w:val="00141DB8"/>
    <w:rsid w:val="00143790"/>
    <w:rsid w:val="001548C8"/>
    <w:rsid w:val="00172084"/>
    <w:rsid w:val="0017474A"/>
    <w:rsid w:val="001758C6"/>
    <w:rsid w:val="00182B99"/>
    <w:rsid w:val="0019030A"/>
    <w:rsid w:val="00192965"/>
    <w:rsid w:val="001A0FDD"/>
    <w:rsid w:val="001A473A"/>
    <w:rsid w:val="001C22DC"/>
    <w:rsid w:val="001C68F8"/>
    <w:rsid w:val="001D36AC"/>
    <w:rsid w:val="001D5E1F"/>
    <w:rsid w:val="0021332C"/>
    <w:rsid w:val="00213982"/>
    <w:rsid w:val="0022039E"/>
    <w:rsid w:val="00222DBE"/>
    <w:rsid w:val="00225F77"/>
    <w:rsid w:val="0024416D"/>
    <w:rsid w:val="00271911"/>
    <w:rsid w:val="002800A0"/>
    <w:rsid w:val="002801B3"/>
    <w:rsid w:val="00281060"/>
    <w:rsid w:val="002940E8"/>
    <w:rsid w:val="00294751"/>
    <w:rsid w:val="002A6E50"/>
    <w:rsid w:val="002B4298"/>
    <w:rsid w:val="002C256A"/>
    <w:rsid w:val="002E1984"/>
    <w:rsid w:val="00304827"/>
    <w:rsid w:val="00305A7F"/>
    <w:rsid w:val="00306679"/>
    <w:rsid w:val="00314AC9"/>
    <w:rsid w:val="003152FE"/>
    <w:rsid w:val="00321EDE"/>
    <w:rsid w:val="00327436"/>
    <w:rsid w:val="003418E6"/>
    <w:rsid w:val="00344BD6"/>
    <w:rsid w:val="0035528D"/>
    <w:rsid w:val="00361821"/>
    <w:rsid w:val="00361E9E"/>
    <w:rsid w:val="00364E4C"/>
    <w:rsid w:val="00382007"/>
    <w:rsid w:val="003C7FBE"/>
    <w:rsid w:val="003D0E3B"/>
    <w:rsid w:val="003D227C"/>
    <w:rsid w:val="003D2B4D"/>
    <w:rsid w:val="003D3DAB"/>
    <w:rsid w:val="003D41CD"/>
    <w:rsid w:val="003E646B"/>
    <w:rsid w:val="003F311F"/>
    <w:rsid w:val="00407992"/>
    <w:rsid w:val="0041732A"/>
    <w:rsid w:val="00433EF2"/>
    <w:rsid w:val="00444A88"/>
    <w:rsid w:val="0045778D"/>
    <w:rsid w:val="00474DA4"/>
    <w:rsid w:val="00476B4D"/>
    <w:rsid w:val="004805FA"/>
    <w:rsid w:val="004935D2"/>
    <w:rsid w:val="004A5600"/>
    <w:rsid w:val="004A7555"/>
    <w:rsid w:val="004B1215"/>
    <w:rsid w:val="004D047D"/>
    <w:rsid w:val="004D6188"/>
    <w:rsid w:val="004E45BD"/>
    <w:rsid w:val="004F1E9E"/>
    <w:rsid w:val="004F305A"/>
    <w:rsid w:val="00512164"/>
    <w:rsid w:val="00520297"/>
    <w:rsid w:val="00521DA9"/>
    <w:rsid w:val="005338F9"/>
    <w:rsid w:val="00533DA5"/>
    <w:rsid w:val="00536FFD"/>
    <w:rsid w:val="0054281C"/>
    <w:rsid w:val="00544581"/>
    <w:rsid w:val="0055268D"/>
    <w:rsid w:val="005548B2"/>
    <w:rsid w:val="00576BE4"/>
    <w:rsid w:val="005A3301"/>
    <w:rsid w:val="005A400A"/>
    <w:rsid w:val="005B46E9"/>
    <w:rsid w:val="005C6665"/>
    <w:rsid w:val="005F4329"/>
    <w:rsid w:val="005F7B92"/>
    <w:rsid w:val="00612379"/>
    <w:rsid w:val="006153B6"/>
    <w:rsid w:val="0061555F"/>
    <w:rsid w:val="00615C48"/>
    <w:rsid w:val="00636CA6"/>
    <w:rsid w:val="00641200"/>
    <w:rsid w:val="00645CA8"/>
    <w:rsid w:val="006655D3"/>
    <w:rsid w:val="00667404"/>
    <w:rsid w:val="00687EB4"/>
    <w:rsid w:val="00695C56"/>
    <w:rsid w:val="006A5CDE"/>
    <w:rsid w:val="006A644A"/>
    <w:rsid w:val="006B17D2"/>
    <w:rsid w:val="006C224E"/>
    <w:rsid w:val="006C4F54"/>
    <w:rsid w:val="006D5F8D"/>
    <w:rsid w:val="006D7435"/>
    <w:rsid w:val="006D780A"/>
    <w:rsid w:val="006E40FD"/>
    <w:rsid w:val="006F4340"/>
    <w:rsid w:val="0071271E"/>
    <w:rsid w:val="00732DEC"/>
    <w:rsid w:val="00735BD5"/>
    <w:rsid w:val="0074592B"/>
    <w:rsid w:val="00751613"/>
    <w:rsid w:val="007556F6"/>
    <w:rsid w:val="00757C95"/>
    <w:rsid w:val="00760EEF"/>
    <w:rsid w:val="00777EE5"/>
    <w:rsid w:val="00784836"/>
    <w:rsid w:val="0079023E"/>
    <w:rsid w:val="007A2854"/>
    <w:rsid w:val="007C11F4"/>
    <w:rsid w:val="007C1D92"/>
    <w:rsid w:val="007C4CB9"/>
    <w:rsid w:val="007D0B9D"/>
    <w:rsid w:val="007D19B0"/>
    <w:rsid w:val="007F498F"/>
    <w:rsid w:val="00800995"/>
    <w:rsid w:val="0080679D"/>
    <w:rsid w:val="008108B0"/>
    <w:rsid w:val="00811B20"/>
    <w:rsid w:val="00811C22"/>
    <w:rsid w:val="008211B5"/>
    <w:rsid w:val="0082296E"/>
    <w:rsid w:val="00824099"/>
    <w:rsid w:val="00846D7C"/>
    <w:rsid w:val="008562D7"/>
    <w:rsid w:val="00867AC1"/>
    <w:rsid w:val="00876047"/>
    <w:rsid w:val="00885122"/>
    <w:rsid w:val="00890DF8"/>
    <w:rsid w:val="008A31C9"/>
    <w:rsid w:val="008A743F"/>
    <w:rsid w:val="008B3523"/>
    <w:rsid w:val="008B6E60"/>
    <w:rsid w:val="008C0970"/>
    <w:rsid w:val="008D0BC5"/>
    <w:rsid w:val="008D2CF7"/>
    <w:rsid w:val="008D7E86"/>
    <w:rsid w:val="00900C26"/>
    <w:rsid w:val="00900C6F"/>
    <w:rsid w:val="0090197F"/>
    <w:rsid w:val="00906172"/>
    <w:rsid w:val="00906DDC"/>
    <w:rsid w:val="00934E09"/>
    <w:rsid w:val="00936253"/>
    <w:rsid w:val="00940D46"/>
    <w:rsid w:val="00952DD4"/>
    <w:rsid w:val="009603AF"/>
    <w:rsid w:val="00965AE7"/>
    <w:rsid w:val="00970FED"/>
    <w:rsid w:val="00983ED6"/>
    <w:rsid w:val="00992D82"/>
    <w:rsid w:val="00997029"/>
    <w:rsid w:val="009A7339"/>
    <w:rsid w:val="009A78EE"/>
    <w:rsid w:val="009A7E44"/>
    <w:rsid w:val="009B440E"/>
    <w:rsid w:val="009B4462"/>
    <w:rsid w:val="009C0B25"/>
    <w:rsid w:val="009D083B"/>
    <w:rsid w:val="009D690D"/>
    <w:rsid w:val="009E31DB"/>
    <w:rsid w:val="009E65B6"/>
    <w:rsid w:val="00A00C17"/>
    <w:rsid w:val="00A04A26"/>
    <w:rsid w:val="00A1578C"/>
    <w:rsid w:val="00A1617A"/>
    <w:rsid w:val="00A24C10"/>
    <w:rsid w:val="00A27419"/>
    <w:rsid w:val="00A354F0"/>
    <w:rsid w:val="00A37C2B"/>
    <w:rsid w:val="00A42AC3"/>
    <w:rsid w:val="00A430CF"/>
    <w:rsid w:val="00A54309"/>
    <w:rsid w:val="00A61AAD"/>
    <w:rsid w:val="00AA2581"/>
    <w:rsid w:val="00AB2B93"/>
    <w:rsid w:val="00AB530F"/>
    <w:rsid w:val="00AB7E5B"/>
    <w:rsid w:val="00AC2491"/>
    <w:rsid w:val="00AC2883"/>
    <w:rsid w:val="00AE0EF1"/>
    <w:rsid w:val="00AE2937"/>
    <w:rsid w:val="00AF22DD"/>
    <w:rsid w:val="00B01EAC"/>
    <w:rsid w:val="00B07301"/>
    <w:rsid w:val="00B11F3E"/>
    <w:rsid w:val="00B224DE"/>
    <w:rsid w:val="00B324D4"/>
    <w:rsid w:val="00B4007F"/>
    <w:rsid w:val="00B46575"/>
    <w:rsid w:val="00B528F7"/>
    <w:rsid w:val="00B61777"/>
    <w:rsid w:val="00B65691"/>
    <w:rsid w:val="00B74056"/>
    <w:rsid w:val="00B84BBD"/>
    <w:rsid w:val="00B91C9D"/>
    <w:rsid w:val="00BA2066"/>
    <w:rsid w:val="00BA2833"/>
    <w:rsid w:val="00BA43FB"/>
    <w:rsid w:val="00BA671D"/>
    <w:rsid w:val="00BC127D"/>
    <w:rsid w:val="00BC1FE6"/>
    <w:rsid w:val="00BE670C"/>
    <w:rsid w:val="00BE6C8E"/>
    <w:rsid w:val="00BF11ED"/>
    <w:rsid w:val="00C050DC"/>
    <w:rsid w:val="00C061B6"/>
    <w:rsid w:val="00C2446C"/>
    <w:rsid w:val="00C24E56"/>
    <w:rsid w:val="00C36AE5"/>
    <w:rsid w:val="00C41F17"/>
    <w:rsid w:val="00C527FA"/>
    <w:rsid w:val="00C5280D"/>
    <w:rsid w:val="00C53EB3"/>
    <w:rsid w:val="00C5791C"/>
    <w:rsid w:val="00C60FD2"/>
    <w:rsid w:val="00C66290"/>
    <w:rsid w:val="00C71068"/>
    <w:rsid w:val="00C72B7A"/>
    <w:rsid w:val="00C973F2"/>
    <w:rsid w:val="00CA304C"/>
    <w:rsid w:val="00CA774A"/>
    <w:rsid w:val="00CA7FFA"/>
    <w:rsid w:val="00CC11B0"/>
    <w:rsid w:val="00CC2841"/>
    <w:rsid w:val="00CE2882"/>
    <w:rsid w:val="00CE38FE"/>
    <w:rsid w:val="00CF1330"/>
    <w:rsid w:val="00CF7E36"/>
    <w:rsid w:val="00D07A28"/>
    <w:rsid w:val="00D14436"/>
    <w:rsid w:val="00D20F00"/>
    <w:rsid w:val="00D30D7F"/>
    <w:rsid w:val="00D326F9"/>
    <w:rsid w:val="00D3708D"/>
    <w:rsid w:val="00D40426"/>
    <w:rsid w:val="00D57C96"/>
    <w:rsid w:val="00D57D18"/>
    <w:rsid w:val="00D91203"/>
    <w:rsid w:val="00D95174"/>
    <w:rsid w:val="00DA4973"/>
    <w:rsid w:val="00DA6F36"/>
    <w:rsid w:val="00DB596E"/>
    <w:rsid w:val="00DB7773"/>
    <w:rsid w:val="00DC00EA"/>
    <w:rsid w:val="00DC3802"/>
    <w:rsid w:val="00DE02F2"/>
    <w:rsid w:val="00DF28F9"/>
    <w:rsid w:val="00DF67C6"/>
    <w:rsid w:val="00E05CE3"/>
    <w:rsid w:val="00E07D87"/>
    <w:rsid w:val="00E116E1"/>
    <w:rsid w:val="00E138E9"/>
    <w:rsid w:val="00E2109F"/>
    <w:rsid w:val="00E32F7E"/>
    <w:rsid w:val="00E5267B"/>
    <w:rsid w:val="00E63C0E"/>
    <w:rsid w:val="00E725EA"/>
    <w:rsid w:val="00E72D49"/>
    <w:rsid w:val="00E7593C"/>
    <w:rsid w:val="00E7678A"/>
    <w:rsid w:val="00E935F1"/>
    <w:rsid w:val="00E94A81"/>
    <w:rsid w:val="00EA1FFB"/>
    <w:rsid w:val="00EB048E"/>
    <w:rsid w:val="00EB4E9C"/>
    <w:rsid w:val="00EE34DF"/>
    <w:rsid w:val="00EF2F89"/>
    <w:rsid w:val="00EF4A4C"/>
    <w:rsid w:val="00F03E98"/>
    <w:rsid w:val="00F1237A"/>
    <w:rsid w:val="00F12865"/>
    <w:rsid w:val="00F17349"/>
    <w:rsid w:val="00F22CBD"/>
    <w:rsid w:val="00F272F1"/>
    <w:rsid w:val="00F34E69"/>
    <w:rsid w:val="00F45372"/>
    <w:rsid w:val="00F524E3"/>
    <w:rsid w:val="00F560F7"/>
    <w:rsid w:val="00F6334D"/>
    <w:rsid w:val="00F67D7A"/>
    <w:rsid w:val="00F937B9"/>
    <w:rsid w:val="00FA49AB"/>
    <w:rsid w:val="00FB6BDA"/>
    <w:rsid w:val="00FC20CA"/>
    <w:rsid w:val="00FC3439"/>
    <w:rsid w:val="00FE39C7"/>
    <w:rsid w:val="00FE64CD"/>
    <w:rsid w:val="00FF360A"/>
    <w:rsid w:val="00FF4D07"/>
    <w:rsid w:val="00FF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DEDFF3"/>
  <w15:docId w15:val="{80BE821A-BA46-4E8E-A32F-6FCFB36D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A1578C"/>
    <w:pPr>
      <w:tabs>
        <w:tab w:val="right" w:leader="dot" w:pos="9639"/>
      </w:tabs>
      <w:spacing w:before="60"/>
      <w:ind w:right="1418"/>
      <w:contextualSpacing/>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C050DC"/>
    <w:rPr>
      <w:rFonts w:ascii="Arial" w:hAnsi="Arial"/>
      <w:lang w:val="de-DE"/>
    </w:rPr>
  </w:style>
  <w:style w:type="table" w:styleId="TableGrid">
    <w:name w:val="Table Grid"/>
    <w:basedOn w:val="TableNormal"/>
    <w:uiPriority w:val="59"/>
    <w:rsid w:val="00C050D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F8D"/>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67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TC_55_EN</Template>
  <TotalTime>0</TotalTime>
  <Pages>2</Pages>
  <Words>581</Words>
  <Characters>4147</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TC/55/13</vt:lpstr>
      <vt:lpstr>TC/55/13</vt:lpstr>
    </vt:vector>
  </TitlesOfParts>
  <Company>UPOV</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TC/55/13</dc:title>
  <dc:creator>SANCHEZ VIZCAINO GOMEZ Rosa Maria</dc:creator>
  <cp:lastModifiedBy>MAY Jessica</cp:lastModifiedBy>
  <cp:revision>3</cp:revision>
  <cp:lastPrinted>2019-10-23T08:05:00Z</cp:lastPrinted>
  <dcterms:created xsi:type="dcterms:W3CDTF">2019-10-28T15:38:00Z</dcterms:created>
  <dcterms:modified xsi:type="dcterms:W3CDTF">2019-10-28T15:39:00Z</dcterms:modified>
</cp:coreProperties>
</file>