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42374" w:rsidRPr="000A4DC7" w14:paraId="706CFA51" w14:textId="77777777" w:rsidTr="004535B3">
        <w:tc>
          <w:tcPr>
            <w:tcW w:w="6522" w:type="dxa"/>
          </w:tcPr>
          <w:p w14:paraId="6BE940DA" w14:textId="77777777" w:rsidR="00F42374" w:rsidRPr="000A4DC7" w:rsidRDefault="00F42374" w:rsidP="004535B3">
            <w:pPr>
              <w:rPr>
                <w:noProof/>
                <w:lang w:val="de-DE"/>
              </w:rPr>
            </w:pPr>
            <w:r w:rsidRPr="000A4DC7">
              <w:rPr>
                <w:noProof/>
              </w:rPr>
              <w:drawing>
                <wp:inline distT="0" distB="0" distL="0" distR="0" wp14:anchorId="3327C865" wp14:editId="183F8FD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E69EB18" w14:textId="77777777" w:rsidR="00F42374" w:rsidRPr="000A4DC7" w:rsidRDefault="00F42374" w:rsidP="004535B3">
            <w:pPr>
              <w:pStyle w:val="Lettrine"/>
              <w:rPr>
                <w:noProof/>
                <w:lang w:val="de-DE"/>
              </w:rPr>
            </w:pPr>
            <w:r>
              <w:rPr>
                <w:noProof/>
                <w:lang w:val="de-DE"/>
              </w:rPr>
              <w:t>G</w:t>
            </w:r>
          </w:p>
        </w:tc>
      </w:tr>
      <w:tr w:rsidR="00F42374" w:rsidRPr="006C1CCC" w14:paraId="6955C375" w14:textId="77777777" w:rsidTr="004535B3">
        <w:trPr>
          <w:trHeight w:val="219"/>
        </w:trPr>
        <w:tc>
          <w:tcPr>
            <w:tcW w:w="6522" w:type="dxa"/>
          </w:tcPr>
          <w:p w14:paraId="1FCBE658" w14:textId="77777777" w:rsidR="00F42374" w:rsidRPr="000A4DC7" w:rsidRDefault="00F42374" w:rsidP="004535B3">
            <w:pPr>
              <w:pStyle w:val="upove"/>
              <w:rPr>
                <w:noProof/>
                <w:lang w:val="de-DE"/>
              </w:rPr>
            </w:pPr>
            <w:r w:rsidRPr="000A4DC7">
              <w:rPr>
                <w:noProof/>
                <w:lang w:val="de-DE"/>
              </w:rPr>
              <w:t>Internationaler Verband zum Schutz von Pflanzenzüchtungen</w:t>
            </w:r>
          </w:p>
        </w:tc>
        <w:tc>
          <w:tcPr>
            <w:tcW w:w="3117" w:type="dxa"/>
          </w:tcPr>
          <w:p w14:paraId="6C508D9D" w14:textId="77777777" w:rsidR="00F42374" w:rsidRPr="000A4DC7" w:rsidRDefault="00F42374" w:rsidP="004535B3">
            <w:pPr>
              <w:rPr>
                <w:noProof/>
                <w:lang w:val="de-DE"/>
              </w:rPr>
            </w:pPr>
          </w:p>
        </w:tc>
      </w:tr>
    </w:tbl>
    <w:p w14:paraId="1A38506C" w14:textId="77777777" w:rsidR="00F42374" w:rsidRPr="000A4DC7" w:rsidRDefault="00F42374" w:rsidP="00F42374">
      <w:pPr>
        <w:rPr>
          <w:noProof/>
          <w:lang w:val="de-DE"/>
        </w:rPr>
      </w:pPr>
    </w:p>
    <w:p w14:paraId="7D720ECE" w14:textId="77777777" w:rsidR="00F42374" w:rsidRPr="000A4DC7" w:rsidRDefault="00F42374" w:rsidP="00F42374">
      <w:pPr>
        <w:rPr>
          <w:noProof/>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42374" w:rsidRPr="006C1CCC" w14:paraId="73BBED4E" w14:textId="77777777" w:rsidTr="004535B3">
        <w:tc>
          <w:tcPr>
            <w:tcW w:w="6512" w:type="dxa"/>
          </w:tcPr>
          <w:p w14:paraId="1BAEF14B" w14:textId="77777777" w:rsidR="00F42374" w:rsidRPr="000A4DC7" w:rsidRDefault="00F42374" w:rsidP="004535B3">
            <w:pPr>
              <w:pStyle w:val="Sessiontc"/>
              <w:spacing w:line="240" w:lineRule="auto"/>
              <w:rPr>
                <w:noProof/>
                <w:lang w:val="de-DE"/>
              </w:rPr>
            </w:pPr>
            <w:r w:rsidRPr="000A4DC7">
              <w:rPr>
                <w:noProof/>
                <w:lang w:val="de-DE"/>
              </w:rPr>
              <w:t>Technischer Ausschuss</w:t>
            </w:r>
          </w:p>
          <w:p w14:paraId="216B98D9" w14:textId="77777777" w:rsidR="00F42374" w:rsidRPr="000A4DC7" w:rsidRDefault="00F42374" w:rsidP="004535B3">
            <w:pPr>
              <w:pStyle w:val="Sessiontcplacedate"/>
              <w:rPr>
                <w:noProof/>
                <w:sz w:val="22"/>
                <w:lang w:val="de-DE"/>
              </w:rPr>
            </w:pPr>
            <w:r w:rsidRPr="000A4DC7">
              <w:rPr>
                <w:noProof/>
                <w:lang w:val="de-DE"/>
              </w:rPr>
              <w:t>Fünfundfünfzigste Tagung</w:t>
            </w:r>
            <w:r w:rsidRPr="000A4DC7">
              <w:rPr>
                <w:noProof/>
                <w:lang w:val="de-DE"/>
              </w:rPr>
              <w:br/>
              <w:t>Genf, 28 und 29. Oktober 2019</w:t>
            </w:r>
          </w:p>
        </w:tc>
        <w:tc>
          <w:tcPr>
            <w:tcW w:w="3127" w:type="dxa"/>
          </w:tcPr>
          <w:p w14:paraId="37D38510" w14:textId="77777777" w:rsidR="00F42374" w:rsidRPr="00007468" w:rsidRDefault="00F42374" w:rsidP="004535B3">
            <w:pPr>
              <w:pStyle w:val="Doccode"/>
              <w:rPr>
                <w:noProof/>
              </w:rPr>
            </w:pPr>
            <w:r w:rsidRPr="00007468">
              <w:rPr>
                <w:noProof/>
              </w:rPr>
              <w:t>TC/55/12 Add.</w:t>
            </w:r>
          </w:p>
          <w:p w14:paraId="48A4948C" w14:textId="77777777" w:rsidR="00F42374" w:rsidRPr="00007468" w:rsidRDefault="00F42374" w:rsidP="004535B3">
            <w:pPr>
              <w:pStyle w:val="Docoriginal"/>
              <w:rPr>
                <w:noProof/>
              </w:rPr>
            </w:pPr>
            <w:r w:rsidRPr="00007468">
              <w:rPr>
                <w:noProof/>
              </w:rPr>
              <w:t>Original:</w:t>
            </w:r>
            <w:r w:rsidRPr="00007468">
              <w:rPr>
                <w:b w:val="0"/>
                <w:noProof/>
                <w:spacing w:val="0"/>
              </w:rPr>
              <w:t xml:space="preserve">  englisch</w:t>
            </w:r>
          </w:p>
          <w:p w14:paraId="6CE3A19D" w14:textId="70A96442" w:rsidR="00F42374" w:rsidRPr="000A4DC7" w:rsidRDefault="00F42374" w:rsidP="004535B3">
            <w:pPr>
              <w:pStyle w:val="Docoriginal"/>
              <w:rPr>
                <w:noProof/>
                <w:lang w:val="de-DE"/>
              </w:rPr>
            </w:pPr>
            <w:r w:rsidRPr="006C1CCC">
              <w:rPr>
                <w:noProof/>
              </w:rPr>
              <w:t>Date:</w:t>
            </w:r>
            <w:r w:rsidRPr="006C1CCC">
              <w:rPr>
                <w:b w:val="0"/>
                <w:noProof/>
                <w:spacing w:val="0"/>
              </w:rPr>
              <w:t xml:space="preserve">  </w:t>
            </w:r>
            <w:r w:rsidR="006C1CCC" w:rsidRPr="006C1CCC">
              <w:rPr>
                <w:b w:val="0"/>
                <w:noProof/>
                <w:spacing w:val="0"/>
              </w:rPr>
              <w:t>3</w:t>
            </w:r>
            <w:r w:rsidRPr="006C1CCC">
              <w:rPr>
                <w:b w:val="0"/>
                <w:noProof/>
                <w:spacing w:val="0"/>
              </w:rPr>
              <w:t xml:space="preserve">. </w:t>
            </w:r>
            <w:r w:rsidRPr="006C1CCC">
              <w:rPr>
                <w:b w:val="0"/>
                <w:noProof/>
                <w:spacing w:val="0"/>
                <w:lang w:val="de-DE"/>
              </w:rPr>
              <w:t>Oktober 2019</w:t>
            </w:r>
          </w:p>
        </w:tc>
      </w:tr>
    </w:tbl>
    <w:p w14:paraId="0B8BD17C" w14:textId="77777777" w:rsidR="00F42374" w:rsidRPr="000A4DC7" w:rsidRDefault="00F42374" w:rsidP="00F42374">
      <w:pPr>
        <w:pStyle w:val="Titleofdoc"/>
        <w:rPr>
          <w:noProof/>
          <w:lang w:val="de-DE"/>
        </w:rPr>
      </w:pPr>
      <w:bookmarkStart w:id="0" w:name="TitleOfDoc"/>
      <w:bookmarkEnd w:id="0"/>
      <w:r>
        <w:rPr>
          <w:noProof/>
          <w:lang w:val="de-DE"/>
        </w:rPr>
        <w:t>Ergänzung zu</w:t>
      </w:r>
      <w:r w:rsidRPr="000A4DC7">
        <w:rPr>
          <w:noProof/>
          <w:lang w:val="de-DE"/>
        </w:rPr>
        <w:t xml:space="preserve"> </w:t>
      </w:r>
      <w:r w:rsidRPr="002C620F">
        <w:rPr>
          <w:noProof/>
          <w:lang w:val="de-DE"/>
        </w:rPr>
        <w:t>Merkmale</w:t>
      </w:r>
      <w:r>
        <w:rPr>
          <w:noProof/>
          <w:lang w:val="de-DE"/>
        </w:rPr>
        <w:t>n</w:t>
      </w:r>
      <w:r w:rsidRPr="002C620F">
        <w:rPr>
          <w:noProof/>
          <w:lang w:val="de-DE"/>
        </w:rPr>
        <w:t>, die nur für bestimmte Sorten gelte</w:t>
      </w:r>
      <w:r>
        <w:rPr>
          <w:noProof/>
          <w:lang w:val="de-DE"/>
        </w:rPr>
        <w:t>n</w:t>
      </w:r>
    </w:p>
    <w:p w14:paraId="0DF0372D" w14:textId="77777777" w:rsidR="00F42374" w:rsidRPr="000A4DC7" w:rsidRDefault="00F42374" w:rsidP="00F42374">
      <w:pPr>
        <w:pStyle w:val="preparedby"/>
        <w:jc w:val="left"/>
        <w:rPr>
          <w:noProof/>
          <w:lang w:val="de-DE"/>
        </w:rPr>
      </w:pPr>
      <w:bookmarkStart w:id="1" w:name="Prepared"/>
      <w:bookmarkEnd w:id="1"/>
      <w:r w:rsidRPr="002C620F">
        <w:rPr>
          <w:noProof/>
          <w:lang w:val="de-DE"/>
        </w:rPr>
        <w:t>vom Verbandsbüro erstelltes Dokume</w:t>
      </w:r>
      <w:r w:rsidRPr="000A4DC7">
        <w:rPr>
          <w:noProof/>
          <w:lang w:val="de-DE"/>
        </w:rPr>
        <w:t>n</w:t>
      </w:r>
      <w:r>
        <w:rPr>
          <w:noProof/>
          <w:lang w:val="de-DE"/>
        </w:rPr>
        <w:t>t</w:t>
      </w:r>
    </w:p>
    <w:p w14:paraId="53816481" w14:textId="77777777" w:rsidR="00F42374" w:rsidRPr="000A4DC7" w:rsidRDefault="00F42374" w:rsidP="00F42374">
      <w:pPr>
        <w:pStyle w:val="Disclaimer"/>
        <w:rPr>
          <w:noProof/>
          <w:lang w:val="de-DE"/>
        </w:rPr>
      </w:pPr>
      <w:r w:rsidRPr="002C620F">
        <w:rPr>
          <w:noProof/>
          <w:lang w:val="de-DE"/>
        </w:rPr>
        <w:t>Haftungsausschluß:  dieses Dokument gibt nicht die Grundsätze oder eine Anleitung der UPOV wiede</w:t>
      </w:r>
      <w:r>
        <w:rPr>
          <w:noProof/>
          <w:lang w:val="de-DE"/>
        </w:rPr>
        <w:t>r</w:t>
      </w:r>
    </w:p>
    <w:p w14:paraId="25F99AAE" w14:textId="77777777" w:rsidR="00F42374" w:rsidRPr="000A4DC7" w:rsidRDefault="00F42374" w:rsidP="00F42374">
      <w:pPr>
        <w:pStyle w:val="Heading1"/>
        <w:rPr>
          <w:noProof/>
          <w:snapToGrid w:val="0"/>
          <w:lang w:val="de-DE"/>
        </w:rPr>
      </w:pPr>
      <w:bookmarkStart w:id="2" w:name="_Toc21603974"/>
      <w:r>
        <w:rPr>
          <w:noProof/>
          <w:snapToGrid w:val="0"/>
          <w:lang w:val="de-DE"/>
        </w:rPr>
        <w:t>ZUSAMMENFASSUNG</w:t>
      </w:r>
      <w:bookmarkEnd w:id="2"/>
    </w:p>
    <w:p w14:paraId="73AFDBAD" w14:textId="77777777" w:rsidR="00F42374" w:rsidRPr="000A4DC7" w:rsidRDefault="00F42374" w:rsidP="00F42374">
      <w:pPr>
        <w:rPr>
          <w:noProof/>
          <w:snapToGrid w:val="0"/>
          <w:lang w:val="de-DE"/>
        </w:rPr>
      </w:pPr>
    </w:p>
    <w:p w14:paraId="3C8B6D37" w14:textId="77777777" w:rsidR="00F42374" w:rsidRPr="000A4DC7" w:rsidRDefault="00F42374" w:rsidP="00F42374">
      <w:pPr>
        <w:rPr>
          <w:snapToGrid w:val="0"/>
          <w:lang w:val="de-DE"/>
        </w:rPr>
      </w:pPr>
      <w:r w:rsidRPr="000A4DC7">
        <w:rPr>
          <w:noProof/>
          <w:snapToGrid w:val="0"/>
          <w:lang w:val="de-DE"/>
        </w:rPr>
        <w:fldChar w:fldCharType="begin"/>
      </w:r>
      <w:r w:rsidRPr="000A4DC7">
        <w:rPr>
          <w:noProof/>
          <w:snapToGrid w:val="0"/>
          <w:lang w:val="de-DE"/>
        </w:rPr>
        <w:instrText xml:space="preserve"> AUTONUM  </w:instrText>
      </w:r>
      <w:r w:rsidRPr="000A4DC7">
        <w:rPr>
          <w:noProof/>
          <w:snapToGrid w:val="0"/>
          <w:lang w:val="de-DE"/>
        </w:rPr>
        <w:fldChar w:fldCharType="end"/>
      </w:r>
      <w:r w:rsidRPr="000A4DC7">
        <w:rPr>
          <w:noProof/>
          <w:snapToGrid w:val="0"/>
          <w:lang w:val="de-DE"/>
        </w:rPr>
        <w:tab/>
      </w:r>
      <w:r w:rsidRPr="00BE297E">
        <w:rPr>
          <w:snapToGrid w:val="0"/>
          <w:lang w:val="de-DE"/>
        </w:rPr>
        <w:t>Der Zweck dieser Ergänzung ist es, über die Entwicklungen auf der achtundvierzigsten Tagung der Technischen Arbeitsgruppe für landwirtschaftliche Arten (TWA)</w:t>
      </w:r>
      <w:r>
        <w:rPr>
          <w:snapToGrid w:val="0"/>
          <w:lang w:val="de-DE"/>
        </w:rPr>
        <w:t xml:space="preserve"> zu berichten und </w:t>
      </w:r>
      <w:r w:rsidRPr="002C620F">
        <w:rPr>
          <w:snapToGrid w:val="0"/>
          <w:lang w:val="de-DE"/>
        </w:rPr>
        <w:t xml:space="preserve">einen </w:t>
      </w:r>
      <w:r>
        <w:rPr>
          <w:snapToGrid w:val="0"/>
          <w:lang w:val="de-DE"/>
        </w:rPr>
        <w:t xml:space="preserve">überarbeiteten </w:t>
      </w:r>
      <w:r w:rsidRPr="002C620F">
        <w:rPr>
          <w:snapToGrid w:val="0"/>
          <w:lang w:val="de-DE"/>
        </w:rPr>
        <w:t>Vorschlag zur Änderung der derzeitigen Anleitung in Dokument TGP/7 „Erstellung von Prüfungsrichtlinien“ vorzulegen, um den Ausschluß der Erfassung eines Merkmals aufgrund einer Ausprägungsstufe eines vorhergehenden quantitativen oder pseudo-qualitativen Merkmals zuzulassen.</w:t>
      </w:r>
    </w:p>
    <w:p w14:paraId="4BE9AA13" w14:textId="77777777" w:rsidR="00F42374" w:rsidRPr="000A4DC7" w:rsidRDefault="00F42374" w:rsidP="00F42374">
      <w:pPr>
        <w:rPr>
          <w:noProof/>
          <w:snapToGrid w:val="0"/>
          <w:lang w:val="de-DE"/>
        </w:rPr>
      </w:pPr>
    </w:p>
    <w:p w14:paraId="5E2E8599" w14:textId="77777777" w:rsidR="00F42374" w:rsidRPr="000A4DC7" w:rsidRDefault="00F42374" w:rsidP="00F42374">
      <w:pPr>
        <w:rPr>
          <w:rFonts w:cs="Arial"/>
          <w:bCs/>
          <w:noProof/>
          <w:snapToGrid w:val="0"/>
          <w:lang w:val="de-DE"/>
        </w:rPr>
      </w:pPr>
      <w:r w:rsidRPr="000A4DC7">
        <w:rPr>
          <w:rFonts w:cs="Arial"/>
          <w:bCs/>
          <w:noProof/>
          <w:snapToGrid w:val="0"/>
          <w:lang w:val="de-DE"/>
        </w:rPr>
        <w:fldChar w:fldCharType="begin"/>
      </w:r>
      <w:r w:rsidRPr="000A4DC7">
        <w:rPr>
          <w:rFonts w:cs="Arial"/>
          <w:bCs/>
          <w:noProof/>
          <w:snapToGrid w:val="0"/>
          <w:lang w:val="de-DE"/>
        </w:rPr>
        <w:instrText xml:space="preserve"> AUTONUM  </w:instrText>
      </w:r>
      <w:r w:rsidRPr="000A4DC7">
        <w:rPr>
          <w:rFonts w:cs="Arial"/>
          <w:bCs/>
          <w:noProof/>
          <w:snapToGrid w:val="0"/>
          <w:lang w:val="de-DE"/>
        </w:rPr>
        <w:fldChar w:fldCharType="end"/>
      </w:r>
      <w:r w:rsidRPr="000A4DC7">
        <w:rPr>
          <w:rFonts w:cs="Arial"/>
          <w:bCs/>
          <w:noProof/>
          <w:snapToGrid w:val="0"/>
          <w:lang w:val="de-DE"/>
        </w:rPr>
        <w:tab/>
      </w:r>
      <w:r w:rsidRPr="002C620F">
        <w:rPr>
          <w:rFonts w:cs="Arial"/>
          <w:bCs/>
          <w:noProof/>
          <w:snapToGrid w:val="0"/>
          <w:lang w:val="de-DE"/>
        </w:rPr>
        <w:t>Der TC wird ersucht, zu prüfen:</w:t>
      </w:r>
    </w:p>
    <w:p w14:paraId="39C83199" w14:textId="77777777" w:rsidR="00F42374" w:rsidRPr="000A4DC7" w:rsidRDefault="00F42374" w:rsidP="00F42374">
      <w:pPr>
        <w:rPr>
          <w:rFonts w:cs="Arial"/>
          <w:bCs/>
          <w:noProof/>
          <w:snapToGrid w:val="0"/>
          <w:lang w:val="de-DE"/>
        </w:rPr>
      </w:pPr>
    </w:p>
    <w:p w14:paraId="50238D74" w14:textId="77777777" w:rsidR="00F42374" w:rsidRDefault="00F42374" w:rsidP="00F42374">
      <w:pPr>
        <w:pStyle w:val="ListParagraph"/>
        <w:numPr>
          <w:ilvl w:val="0"/>
          <w:numId w:val="1"/>
        </w:numPr>
        <w:rPr>
          <w:rFonts w:cs="Arial"/>
          <w:bCs/>
          <w:snapToGrid w:val="0"/>
          <w:lang w:val="de-DE"/>
        </w:rPr>
      </w:pPr>
      <w:bookmarkStart w:id="3" w:name="_Hlk21456888"/>
      <w:r w:rsidRPr="00950BFC">
        <w:rPr>
          <w:rFonts w:cs="Arial"/>
          <w:bCs/>
          <w:snapToGrid w:val="0"/>
          <w:lang w:val="de-DE"/>
        </w:rPr>
        <w:t xml:space="preserve">die Beispiele </w:t>
      </w:r>
      <w:r>
        <w:rPr>
          <w:rFonts w:cs="Arial"/>
          <w:bCs/>
          <w:snapToGrid w:val="0"/>
          <w:lang w:val="de-DE"/>
        </w:rPr>
        <w:t>für</w:t>
      </w:r>
      <w:r w:rsidRPr="00950BFC">
        <w:rPr>
          <w:rFonts w:cs="Arial"/>
          <w:bCs/>
          <w:snapToGrid w:val="0"/>
          <w:lang w:val="de-DE"/>
        </w:rPr>
        <w:t xml:space="preserve"> quantitative und pseudo</w:t>
      </w:r>
      <w:r w:rsidRPr="00950BFC">
        <w:rPr>
          <w:rFonts w:cs="Arial"/>
          <w:bCs/>
          <w:snapToGrid w:val="0"/>
          <w:lang w:val="de-DE"/>
        </w:rPr>
        <w:noBreakHyphen/>
        <w:t xml:space="preserve">qualitative Merkmale, </w:t>
      </w:r>
      <w:r>
        <w:rPr>
          <w:rFonts w:cs="Arial"/>
          <w:bCs/>
          <w:snapToGrid w:val="0"/>
          <w:lang w:val="de-DE"/>
        </w:rPr>
        <w:t xml:space="preserve">die </w:t>
      </w:r>
      <w:r w:rsidRPr="00950BFC">
        <w:rPr>
          <w:rFonts w:cs="Arial"/>
          <w:bCs/>
          <w:snapToGrid w:val="0"/>
          <w:lang w:val="de-DE"/>
        </w:rPr>
        <w:t>von den TWP auf ihre</w:t>
      </w:r>
      <w:r>
        <w:rPr>
          <w:rFonts w:cs="Arial"/>
          <w:bCs/>
          <w:snapToGrid w:val="0"/>
          <w:lang w:val="de-DE"/>
        </w:rPr>
        <w:t>n</w:t>
      </w:r>
      <w:r w:rsidRPr="00950BFC">
        <w:rPr>
          <w:rFonts w:cs="Arial"/>
          <w:bCs/>
          <w:snapToGrid w:val="0"/>
          <w:lang w:val="de-DE"/>
        </w:rPr>
        <w:t xml:space="preserve"> Tagung</w:t>
      </w:r>
      <w:r>
        <w:rPr>
          <w:rFonts w:cs="Arial"/>
          <w:bCs/>
          <w:snapToGrid w:val="0"/>
          <w:lang w:val="de-DE"/>
        </w:rPr>
        <w:t>en</w:t>
      </w:r>
      <w:r w:rsidRPr="00950BFC">
        <w:rPr>
          <w:rFonts w:cs="Arial"/>
          <w:bCs/>
          <w:snapToGrid w:val="0"/>
          <w:lang w:val="de-DE"/>
        </w:rPr>
        <w:t xml:space="preserve"> im Jahr 2019 dargelegt</w:t>
      </w:r>
      <w:r>
        <w:rPr>
          <w:rFonts w:cs="Arial"/>
          <w:bCs/>
          <w:snapToGrid w:val="0"/>
          <w:lang w:val="de-DE"/>
        </w:rPr>
        <w:t xml:space="preserve"> wurden</w:t>
      </w:r>
      <w:r w:rsidRPr="00950BFC">
        <w:rPr>
          <w:rFonts w:cs="Arial"/>
          <w:bCs/>
          <w:snapToGrid w:val="0"/>
          <w:lang w:val="de-DE"/>
        </w:rPr>
        <w:t>, um aufzuzeigen, wie der vorgeschlagene Ansatz so verwendet werden kann, daß keine Risiken für Entscheidungen über die Unterscheidbarkeit entstehen,</w:t>
      </w:r>
      <w:r w:rsidRPr="00950BFC">
        <w:rPr>
          <w:lang w:val="de-DE"/>
        </w:rPr>
        <w:t xml:space="preserve"> </w:t>
      </w:r>
      <w:r w:rsidRPr="00950BFC">
        <w:rPr>
          <w:rFonts w:cs="Arial"/>
          <w:bCs/>
          <w:snapToGrid w:val="0"/>
          <w:lang w:val="de-DE"/>
        </w:rPr>
        <w:t>wie</w:t>
      </w:r>
      <w:r w:rsidRPr="001C1BED">
        <w:rPr>
          <w:rFonts w:cs="Arial"/>
          <w:bCs/>
          <w:snapToGrid w:val="0"/>
          <w:lang w:val="de-DE"/>
        </w:rPr>
        <w:t xml:space="preserve"> in </w:t>
      </w:r>
      <w:r w:rsidRPr="006C1CCC">
        <w:rPr>
          <w:rFonts w:cs="Arial"/>
          <w:bCs/>
          <w:snapToGrid w:val="0"/>
          <w:lang w:val="de-DE"/>
        </w:rPr>
        <w:t>Absatz 13 dieses</w:t>
      </w:r>
      <w:r w:rsidRPr="001C1BED">
        <w:rPr>
          <w:rFonts w:cs="Arial"/>
          <w:bCs/>
          <w:snapToGrid w:val="0"/>
          <w:lang w:val="de-DE"/>
        </w:rPr>
        <w:t xml:space="preserve"> </w:t>
      </w:r>
      <w:r>
        <w:rPr>
          <w:rFonts w:cs="Arial"/>
          <w:bCs/>
          <w:snapToGrid w:val="0"/>
          <w:lang w:val="de-DE"/>
        </w:rPr>
        <w:t>Dokuments</w:t>
      </w:r>
      <w:r w:rsidRPr="001C1BED">
        <w:rPr>
          <w:rFonts w:cs="Arial"/>
          <w:bCs/>
          <w:snapToGrid w:val="0"/>
          <w:lang w:val="de-DE"/>
        </w:rPr>
        <w:t xml:space="preserve"> dargelegt; und</w:t>
      </w:r>
    </w:p>
    <w:bookmarkEnd w:id="3"/>
    <w:p w14:paraId="7EF670EE" w14:textId="77777777" w:rsidR="00F42374" w:rsidRDefault="00F42374" w:rsidP="00F42374">
      <w:pPr>
        <w:pStyle w:val="ListParagraph"/>
        <w:ind w:left="1140"/>
        <w:rPr>
          <w:rFonts w:cs="Arial"/>
          <w:bCs/>
          <w:snapToGrid w:val="0"/>
          <w:lang w:val="de-DE"/>
        </w:rPr>
      </w:pPr>
    </w:p>
    <w:p w14:paraId="4F5759D7" w14:textId="77777777" w:rsidR="00F42374" w:rsidRPr="007358CC" w:rsidRDefault="00F42374" w:rsidP="00F42374">
      <w:pPr>
        <w:pStyle w:val="ListParagraph"/>
        <w:numPr>
          <w:ilvl w:val="0"/>
          <w:numId w:val="1"/>
        </w:numPr>
        <w:rPr>
          <w:rFonts w:cs="Arial"/>
          <w:bCs/>
          <w:snapToGrid w:val="0"/>
          <w:lang w:val="de-DE"/>
        </w:rPr>
      </w:pPr>
      <w:bookmarkStart w:id="4" w:name="_Hlk21456910"/>
      <w:r>
        <w:rPr>
          <w:rFonts w:cs="Arial"/>
          <w:bCs/>
          <w:snapToGrid w:val="0"/>
          <w:lang w:val="de-DE"/>
        </w:rPr>
        <w:t xml:space="preserve">den </w:t>
      </w:r>
      <w:r w:rsidRPr="00950BFC">
        <w:rPr>
          <w:rFonts w:cs="Arial"/>
          <w:bCs/>
          <w:snapToGrid w:val="0"/>
          <w:lang w:val="de-DE"/>
        </w:rPr>
        <w:t>Vorschlag zur Änderung der Anleitung in Dokument TGP/7, Erläuterung 18 (GN 18), um den Ausschluß eines Merkmals von der Erfassung aufgrund einer Ausprägungsstufe eines vorhergehenden pseudo-qualitativen oder quantitativen Merkmals</w:t>
      </w:r>
      <w:r>
        <w:rPr>
          <w:rFonts w:cs="Arial"/>
          <w:bCs/>
          <w:snapToGrid w:val="0"/>
          <w:lang w:val="de-DE"/>
        </w:rPr>
        <w:t xml:space="preserve"> zuzulassen</w:t>
      </w:r>
      <w:r w:rsidRPr="00950BFC">
        <w:rPr>
          <w:rFonts w:cs="Arial"/>
          <w:bCs/>
          <w:snapToGrid w:val="0"/>
          <w:lang w:val="de-DE"/>
        </w:rPr>
        <w:t>, w</w:t>
      </w:r>
      <w:r w:rsidRPr="001C1BED">
        <w:rPr>
          <w:rFonts w:cs="Arial"/>
          <w:bCs/>
          <w:snapToGrid w:val="0"/>
          <w:lang w:val="de-DE"/>
        </w:rPr>
        <w:t xml:space="preserve">ie </w:t>
      </w:r>
      <w:r w:rsidRPr="006C1CCC">
        <w:rPr>
          <w:rFonts w:cs="Arial"/>
          <w:bCs/>
          <w:snapToGrid w:val="0"/>
          <w:lang w:val="de-DE"/>
        </w:rPr>
        <w:t>in Absatz 14</w:t>
      </w:r>
      <w:r w:rsidRPr="001C1BED">
        <w:rPr>
          <w:rFonts w:cs="Arial"/>
          <w:bCs/>
          <w:snapToGrid w:val="0"/>
          <w:lang w:val="de-DE"/>
        </w:rPr>
        <w:t xml:space="preserve"> dieses </w:t>
      </w:r>
      <w:r>
        <w:rPr>
          <w:rFonts w:cs="Arial"/>
          <w:bCs/>
          <w:snapToGrid w:val="0"/>
          <w:lang w:val="de-DE"/>
        </w:rPr>
        <w:t>Dokuments</w:t>
      </w:r>
      <w:r w:rsidRPr="001C1BED">
        <w:rPr>
          <w:rFonts w:cs="Arial"/>
          <w:bCs/>
          <w:snapToGrid w:val="0"/>
          <w:lang w:val="de-DE"/>
        </w:rPr>
        <w:t xml:space="preserve"> dargelegt</w:t>
      </w:r>
      <w:r>
        <w:rPr>
          <w:rFonts w:cs="Arial"/>
          <w:bCs/>
          <w:snapToGrid w:val="0"/>
          <w:lang w:val="de-DE"/>
        </w:rPr>
        <w:t>.</w:t>
      </w:r>
    </w:p>
    <w:bookmarkEnd w:id="4"/>
    <w:p w14:paraId="651E5EDA" w14:textId="77777777" w:rsidR="00F42374" w:rsidRPr="002C620F" w:rsidRDefault="00F42374" w:rsidP="00F42374">
      <w:pPr>
        <w:pStyle w:val="ListParagraph"/>
        <w:ind w:left="1140"/>
        <w:rPr>
          <w:noProof/>
          <w:snapToGrid w:val="0"/>
          <w:lang w:val="de-DE"/>
        </w:rPr>
      </w:pPr>
    </w:p>
    <w:p w14:paraId="5929B18D" w14:textId="77777777" w:rsidR="00F42374" w:rsidRPr="000A4DC7" w:rsidRDefault="00F42374" w:rsidP="00F42374">
      <w:pPr>
        <w:jc w:val="left"/>
        <w:rPr>
          <w:rFonts w:cs="Arial"/>
          <w:noProof/>
          <w:color w:val="000000"/>
          <w:lang w:val="de-DE"/>
        </w:rPr>
      </w:pPr>
      <w:r w:rsidRPr="000A4DC7">
        <w:rPr>
          <w:rFonts w:cs="Arial"/>
          <w:noProof/>
          <w:color w:val="000000"/>
          <w:lang w:val="de-DE"/>
        </w:rPr>
        <w:fldChar w:fldCharType="begin"/>
      </w:r>
      <w:r w:rsidRPr="000A4DC7">
        <w:rPr>
          <w:rFonts w:cs="Arial"/>
          <w:noProof/>
          <w:color w:val="000000"/>
          <w:lang w:val="de-DE"/>
        </w:rPr>
        <w:instrText xml:space="preserve"> AUTONUM  </w:instrText>
      </w:r>
      <w:r w:rsidRPr="000A4DC7">
        <w:rPr>
          <w:rFonts w:cs="Arial"/>
          <w:noProof/>
          <w:color w:val="000000"/>
          <w:lang w:val="de-DE"/>
        </w:rPr>
        <w:fldChar w:fldCharType="end"/>
      </w:r>
      <w:r w:rsidRPr="000A4DC7">
        <w:rPr>
          <w:rFonts w:cs="Arial"/>
          <w:noProof/>
          <w:color w:val="000000"/>
          <w:lang w:val="de-DE"/>
        </w:rPr>
        <w:tab/>
      </w:r>
      <w:r w:rsidRPr="002C620F">
        <w:rPr>
          <w:rFonts w:cs="Arial"/>
          <w:noProof/>
          <w:color w:val="000000"/>
          <w:lang w:val="de-DE"/>
        </w:rPr>
        <w:t>In diesem Dokument werden folgende Abkürzungen verwende</w:t>
      </w:r>
      <w:r w:rsidRPr="000A4DC7">
        <w:rPr>
          <w:rFonts w:cs="Arial"/>
          <w:noProof/>
          <w:color w:val="000000"/>
          <w:lang w:val="de-DE"/>
        </w:rPr>
        <w:t>t:</w:t>
      </w:r>
    </w:p>
    <w:p w14:paraId="2F8D5EB1" w14:textId="77777777" w:rsidR="00F42374" w:rsidRPr="000A4DC7" w:rsidRDefault="00F42374" w:rsidP="00F42374">
      <w:pPr>
        <w:jc w:val="left"/>
        <w:rPr>
          <w:rFonts w:cs="Arial"/>
          <w:noProof/>
          <w:color w:val="000000"/>
          <w:lang w:val="de-DE"/>
        </w:rPr>
      </w:pPr>
    </w:p>
    <w:p w14:paraId="5D76786D" w14:textId="77777777" w:rsidR="00F42374" w:rsidRPr="00007468" w:rsidRDefault="00F42374" w:rsidP="00F42374">
      <w:pPr>
        <w:tabs>
          <w:tab w:val="left" w:pos="567"/>
          <w:tab w:val="left" w:pos="1134"/>
        </w:tabs>
        <w:rPr>
          <w:rFonts w:cs="Arial"/>
          <w:noProof/>
          <w:color w:val="000000"/>
          <w:lang w:val="de-DE"/>
        </w:rPr>
      </w:pPr>
      <w:r w:rsidRPr="00007468">
        <w:rPr>
          <w:rFonts w:cs="Arial"/>
          <w:noProof/>
          <w:color w:val="000000"/>
          <w:lang w:val="de-DE"/>
        </w:rPr>
        <w:t xml:space="preserve">TC:  </w:t>
      </w:r>
      <w:r w:rsidRPr="00007468">
        <w:rPr>
          <w:rFonts w:cs="Arial"/>
          <w:noProof/>
          <w:color w:val="000000"/>
          <w:lang w:val="de-DE"/>
        </w:rPr>
        <w:tab/>
      </w:r>
      <w:r w:rsidRPr="00007468">
        <w:rPr>
          <w:rFonts w:cs="Arial"/>
          <w:noProof/>
          <w:color w:val="000000"/>
          <w:lang w:val="de-DE"/>
        </w:rPr>
        <w:tab/>
        <w:t>Technischer Ausschuß</w:t>
      </w:r>
    </w:p>
    <w:p w14:paraId="24F6DC6B" w14:textId="77777777" w:rsidR="00F42374" w:rsidRPr="00007468" w:rsidRDefault="00F42374" w:rsidP="00F42374">
      <w:pPr>
        <w:tabs>
          <w:tab w:val="left" w:pos="567"/>
          <w:tab w:val="left" w:pos="1134"/>
        </w:tabs>
        <w:rPr>
          <w:rFonts w:cs="Arial"/>
          <w:noProof/>
          <w:color w:val="000000"/>
          <w:lang w:val="de-DE"/>
        </w:rPr>
      </w:pPr>
      <w:r w:rsidRPr="00007468">
        <w:rPr>
          <w:rFonts w:cs="Arial"/>
          <w:noProof/>
          <w:color w:val="000000"/>
          <w:lang w:val="de-DE"/>
        </w:rPr>
        <w:t xml:space="preserve">TC-EDC:  </w:t>
      </w:r>
      <w:r w:rsidRPr="00007468">
        <w:rPr>
          <w:rFonts w:cs="Arial"/>
          <w:noProof/>
          <w:color w:val="000000"/>
          <w:lang w:val="de-DE"/>
        </w:rPr>
        <w:tab/>
        <w:t>Erweiterter Redaktionsausschuß</w:t>
      </w:r>
    </w:p>
    <w:p w14:paraId="2D72C126" w14:textId="77777777" w:rsidR="00F42374" w:rsidRPr="00007468" w:rsidRDefault="00F42374" w:rsidP="00F42374">
      <w:pPr>
        <w:tabs>
          <w:tab w:val="left" w:pos="567"/>
          <w:tab w:val="left" w:pos="1134"/>
        </w:tabs>
        <w:rPr>
          <w:rFonts w:cs="Arial"/>
          <w:noProof/>
          <w:color w:val="000000"/>
          <w:lang w:val="de-DE"/>
        </w:rPr>
      </w:pPr>
      <w:r w:rsidRPr="00007468">
        <w:rPr>
          <w:rFonts w:cs="Arial"/>
          <w:noProof/>
          <w:color w:val="000000"/>
          <w:lang w:val="de-DE"/>
        </w:rPr>
        <w:t xml:space="preserve">TWA:  </w:t>
      </w:r>
      <w:r w:rsidRPr="00007468">
        <w:rPr>
          <w:rFonts w:cs="Arial"/>
          <w:noProof/>
          <w:color w:val="000000"/>
          <w:lang w:val="de-DE"/>
        </w:rPr>
        <w:tab/>
        <w:t>Technische Arbeitsgruppe für landwirtschaftliche Arten</w:t>
      </w:r>
    </w:p>
    <w:p w14:paraId="2668A533" w14:textId="77777777" w:rsidR="00F42374" w:rsidRPr="00007468" w:rsidRDefault="00F42374" w:rsidP="00F42374">
      <w:pPr>
        <w:tabs>
          <w:tab w:val="left" w:pos="567"/>
          <w:tab w:val="left" w:pos="1134"/>
        </w:tabs>
        <w:rPr>
          <w:rFonts w:cs="Arial"/>
          <w:noProof/>
          <w:color w:val="000000"/>
          <w:lang w:val="de-DE"/>
        </w:rPr>
      </w:pPr>
      <w:r w:rsidRPr="00007468">
        <w:rPr>
          <w:rFonts w:cs="Arial"/>
          <w:noProof/>
          <w:color w:val="000000"/>
          <w:lang w:val="de-DE"/>
        </w:rPr>
        <w:t xml:space="preserve">TWC:  </w:t>
      </w:r>
      <w:r w:rsidRPr="00007468">
        <w:rPr>
          <w:rFonts w:cs="Arial"/>
          <w:noProof/>
          <w:color w:val="000000"/>
          <w:lang w:val="de-DE"/>
        </w:rPr>
        <w:tab/>
        <w:t>Technische Arbeitsgruppe für Automatisierung und Computerprogramme</w:t>
      </w:r>
    </w:p>
    <w:p w14:paraId="17965991" w14:textId="77777777" w:rsidR="00F42374" w:rsidRPr="00007468" w:rsidRDefault="00F42374" w:rsidP="00F42374">
      <w:pPr>
        <w:tabs>
          <w:tab w:val="left" w:pos="567"/>
          <w:tab w:val="left" w:pos="1134"/>
        </w:tabs>
        <w:rPr>
          <w:rFonts w:cs="Arial"/>
          <w:noProof/>
          <w:color w:val="000000"/>
          <w:lang w:val="de-DE"/>
        </w:rPr>
      </w:pPr>
      <w:r w:rsidRPr="00007468">
        <w:rPr>
          <w:rFonts w:cs="Arial"/>
          <w:noProof/>
          <w:color w:val="000000"/>
          <w:lang w:val="de-DE"/>
        </w:rPr>
        <w:t xml:space="preserve">TWF:  </w:t>
      </w:r>
      <w:r w:rsidRPr="00007468">
        <w:rPr>
          <w:rFonts w:cs="Arial"/>
          <w:noProof/>
          <w:color w:val="000000"/>
          <w:lang w:val="de-DE"/>
        </w:rPr>
        <w:tab/>
        <w:t>Technische Arbeitsgruppe für Obstarten</w:t>
      </w:r>
    </w:p>
    <w:p w14:paraId="7DF6C073" w14:textId="77777777" w:rsidR="00F42374" w:rsidRPr="00007468" w:rsidRDefault="00F42374" w:rsidP="00F42374">
      <w:pPr>
        <w:tabs>
          <w:tab w:val="left" w:pos="567"/>
          <w:tab w:val="left" w:pos="1134"/>
        </w:tabs>
        <w:rPr>
          <w:rFonts w:cs="Arial"/>
          <w:noProof/>
          <w:color w:val="000000"/>
          <w:lang w:val="de-DE"/>
        </w:rPr>
      </w:pPr>
      <w:r w:rsidRPr="00007468">
        <w:rPr>
          <w:rFonts w:cs="Arial"/>
          <w:noProof/>
          <w:color w:val="000000"/>
          <w:lang w:val="de-DE"/>
        </w:rPr>
        <w:t xml:space="preserve">TWO:  </w:t>
      </w:r>
      <w:r w:rsidRPr="00007468">
        <w:rPr>
          <w:rFonts w:cs="Arial"/>
          <w:noProof/>
          <w:color w:val="000000"/>
          <w:lang w:val="de-DE"/>
        </w:rPr>
        <w:tab/>
        <w:t>Technische Arbeitsgruppe für Zierpflanzen und forstliche Baumarten</w:t>
      </w:r>
    </w:p>
    <w:p w14:paraId="7E42057E" w14:textId="77777777" w:rsidR="00F42374" w:rsidRPr="00007468" w:rsidRDefault="00F42374" w:rsidP="00F42374">
      <w:pPr>
        <w:tabs>
          <w:tab w:val="left" w:pos="567"/>
          <w:tab w:val="left" w:pos="1134"/>
        </w:tabs>
        <w:rPr>
          <w:rFonts w:cs="Arial"/>
          <w:noProof/>
          <w:color w:val="000000"/>
          <w:lang w:val="de-DE"/>
        </w:rPr>
      </w:pPr>
      <w:r w:rsidRPr="00007468">
        <w:rPr>
          <w:rFonts w:cs="Arial"/>
          <w:noProof/>
          <w:color w:val="000000"/>
          <w:lang w:val="de-DE"/>
        </w:rPr>
        <w:t xml:space="preserve">TWV:  </w:t>
      </w:r>
      <w:r w:rsidRPr="00007468">
        <w:rPr>
          <w:rFonts w:cs="Arial"/>
          <w:noProof/>
          <w:color w:val="000000"/>
          <w:lang w:val="de-DE"/>
        </w:rPr>
        <w:tab/>
        <w:t>Technische Arbeitsgruppe für Gemüsearten</w:t>
      </w:r>
    </w:p>
    <w:p w14:paraId="45D9AD95" w14:textId="77777777" w:rsidR="00F42374" w:rsidRPr="00007468" w:rsidRDefault="00F42374" w:rsidP="00F42374">
      <w:pPr>
        <w:tabs>
          <w:tab w:val="left" w:pos="567"/>
          <w:tab w:val="left" w:pos="1134"/>
        </w:tabs>
        <w:rPr>
          <w:rFonts w:cs="Arial"/>
          <w:noProof/>
          <w:color w:val="000000"/>
          <w:lang w:val="de-DE"/>
        </w:rPr>
      </w:pPr>
      <w:r w:rsidRPr="00007468">
        <w:rPr>
          <w:rFonts w:cs="Arial"/>
          <w:noProof/>
          <w:color w:val="000000"/>
          <w:lang w:val="de-DE"/>
        </w:rPr>
        <w:t xml:space="preserve">TWP:  </w:t>
      </w:r>
      <w:r w:rsidRPr="00007468">
        <w:rPr>
          <w:rFonts w:cs="Arial"/>
          <w:noProof/>
          <w:color w:val="000000"/>
          <w:lang w:val="de-DE"/>
        </w:rPr>
        <w:tab/>
        <w:t>Technische Arbeitsgruppen</w:t>
      </w:r>
    </w:p>
    <w:p w14:paraId="4AE4FBE1" w14:textId="77777777" w:rsidR="00F42374" w:rsidRPr="000A4DC7" w:rsidRDefault="00F42374" w:rsidP="00F42374">
      <w:pPr>
        <w:tabs>
          <w:tab w:val="left" w:pos="567"/>
          <w:tab w:val="left" w:pos="1134"/>
        </w:tabs>
        <w:rPr>
          <w:noProof/>
          <w:snapToGrid w:val="0"/>
          <w:highlight w:val="yellow"/>
          <w:lang w:val="de-DE"/>
        </w:rPr>
      </w:pPr>
    </w:p>
    <w:p w14:paraId="4D9FBCE8" w14:textId="77777777" w:rsidR="00F42374" w:rsidRPr="000A4DC7" w:rsidRDefault="00F42374" w:rsidP="00F42374">
      <w:pPr>
        <w:rPr>
          <w:noProof/>
          <w:lang w:val="de-DE" w:eastAsia="ja-JP"/>
        </w:rPr>
      </w:pPr>
      <w:r w:rsidRPr="000A4DC7">
        <w:rPr>
          <w:noProof/>
          <w:lang w:val="de-DE"/>
        </w:rPr>
        <w:fldChar w:fldCharType="begin"/>
      </w:r>
      <w:r w:rsidRPr="000A4DC7">
        <w:rPr>
          <w:noProof/>
          <w:lang w:val="de-DE"/>
        </w:rPr>
        <w:instrText xml:space="preserve"> AUTONUM  </w:instrText>
      </w:r>
      <w:r w:rsidRPr="000A4DC7">
        <w:rPr>
          <w:noProof/>
          <w:lang w:val="de-DE"/>
        </w:rPr>
        <w:fldChar w:fldCharType="end"/>
      </w:r>
      <w:r w:rsidRPr="000A4DC7">
        <w:rPr>
          <w:noProof/>
          <w:lang w:val="de-DE"/>
        </w:rPr>
        <w:tab/>
      </w:r>
      <w:r w:rsidRPr="002C620F">
        <w:rPr>
          <w:noProof/>
          <w:lang w:val="de-DE" w:eastAsia="ja-JP"/>
        </w:rPr>
        <w:t>Der Aufbau des Dokuments ist nachstehend zusammengefaßt</w:t>
      </w:r>
      <w:r w:rsidRPr="000A4DC7">
        <w:rPr>
          <w:noProof/>
          <w:lang w:val="de-DE" w:eastAsia="ja-JP"/>
        </w:rPr>
        <w:t>:</w:t>
      </w:r>
    </w:p>
    <w:p w14:paraId="041EE5C7" w14:textId="77777777" w:rsidR="00F42374" w:rsidRPr="000A4DC7" w:rsidRDefault="00F42374" w:rsidP="00F42374">
      <w:pPr>
        <w:rPr>
          <w:noProof/>
          <w:lang w:val="de-DE" w:eastAsia="ja-JP"/>
        </w:rPr>
      </w:pPr>
    </w:p>
    <w:p w14:paraId="3061C070" w14:textId="77777777" w:rsidR="0001511E" w:rsidRDefault="00F42374">
      <w:pPr>
        <w:pStyle w:val="TOC1"/>
        <w:rPr>
          <w:rFonts w:asciiTheme="minorHAnsi" w:eastAsiaTheme="minorEastAsia" w:hAnsiTheme="minorHAnsi" w:cstheme="minorBidi"/>
          <w:caps w:val="0"/>
          <w:noProof/>
          <w:sz w:val="22"/>
          <w:szCs w:val="22"/>
          <w:lang w:val="de-DE" w:eastAsia="de-DE"/>
        </w:rPr>
      </w:pPr>
      <w:r w:rsidRPr="000A4DC7">
        <w:rPr>
          <w:b/>
          <w:bCs/>
          <w:noProof/>
          <w:sz w:val="20"/>
          <w:highlight w:val="yellow"/>
          <w:lang w:val="de-DE"/>
        </w:rPr>
        <w:fldChar w:fldCharType="begin"/>
      </w:r>
      <w:r w:rsidRPr="000A4DC7">
        <w:rPr>
          <w:rFonts w:cs="Arial"/>
          <w:b/>
          <w:bCs/>
          <w:noProof/>
          <w:highlight w:val="yellow"/>
          <w:lang w:val="de-DE"/>
        </w:rPr>
        <w:instrText xml:space="preserve"> TOC \o "1-3" \h \z \u </w:instrText>
      </w:r>
      <w:r w:rsidRPr="000A4DC7">
        <w:rPr>
          <w:b/>
          <w:bCs/>
          <w:noProof/>
          <w:sz w:val="20"/>
          <w:highlight w:val="yellow"/>
          <w:lang w:val="de-DE"/>
        </w:rPr>
        <w:fldChar w:fldCharType="separate"/>
      </w:r>
      <w:hyperlink w:anchor="_Toc21603974" w:history="1">
        <w:r w:rsidR="0001511E" w:rsidRPr="00361B8D">
          <w:rPr>
            <w:rStyle w:val="Hyperlink"/>
            <w:noProof/>
            <w:snapToGrid w:val="0"/>
            <w:lang w:val="de-DE"/>
          </w:rPr>
          <w:t>ZUSAMMENFASSUNG</w:t>
        </w:r>
        <w:r w:rsidR="0001511E">
          <w:rPr>
            <w:noProof/>
            <w:webHidden/>
          </w:rPr>
          <w:tab/>
        </w:r>
        <w:r w:rsidR="0001511E">
          <w:rPr>
            <w:noProof/>
            <w:webHidden/>
          </w:rPr>
          <w:fldChar w:fldCharType="begin"/>
        </w:r>
        <w:r w:rsidR="0001511E">
          <w:rPr>
            <w:noProof/>
            <w:webHidden/>
          </w:rPr>
          <w:instrText xml:space="preserve"> PAGEREF _Toc21603974 \h </w:instrText>
        </w:r>
        <w:r w:rsidR="0001511E">
          <w:rPr>
            <w:noProof/>
            <w:webHidden/>
          </w:rPr>
        </w:r>
        <w:r w:rsidR="0001511E">
          <w:rPr>
            <w:noProof/>
            <w:webHidden/>
          </w:rPr>
          <w:fldChar w:fldCharType="separate"/>
        </w:r>
        <w:r w:rsidR="0001511E">
          <w:rPr>
            <w:noProof/>
            <w:webHidden/>
          </w:rPr>
          <w:t>1</w:t>
        </w:r>
        <w:r w:rsidR="0001511E">
          <w:rPr>
            <w:noProof/>
            <w:webHidden/>
          </w:rPr>
          <w:fldChar w:fldCharType="end"/>
        </w:r>
      </w:hyperlink>
    </w:p>
    <w:p w14:paraId="3120448E" w14:textId="77777777" w:rsidR="0001511E" w:rsidRDefault="006C1CCC">
      <w:pPr>
        <w:pStyle w:val="TOC1"/>
        <w:rPr>
          <w:rFonts w:asciiTheme="minorHAnsi" w:eastAsiaTheme="minorEastAsia" w:hAnsiTheme="minorHAnsi" w:cstheme="minorBidi"/>
          <w:caps w:val="0"/>
          <w:noProof/>
          <w:sz w:val="22"/>
          <w:szCs w:val="22"/>
          <w:lang w:val="de-DE" w:eastAsia="de-DE"/>
        </w:rPr>
      </w:pPr>
      <w:hyperlink w:anchor="_Toc21603975" w:history="1">
        <w:r w:rsidR="0001511E" w:rsidRPr="00361B8D">
          <w:rPr>
            <w:rStyle w:val="Hyperlink"/>
            <w:noProof/>
            <w:snapToGrid w:val="0"/>
            <w:lang w:val="de-DE"/>
          </w:rPr>
          <w:t>Entwicklungen bei der Technischen Arbeitsgruppe für landwirtschaftliche Arten</w:t>
        </w:r>
        <w:r w:rsidR="0001511E">
          <w:rPr>
            <w:noProof/>
            <w:webHidden/>
          </w:rPr>
          <w:tab/>
        </w:r>
        <w:r w:rsidR="0001511E">
          <w:rPr>
            <w:noProof/>
            <w:webHidden/>
          </w:rPr>
          <w:fldChar w:fldCharType="begin"/>
        </w:r>
        <w:r w:rsidR="0001511E">
          <w:rPr>
            <w:noProof/>
            <w:webHidden/>
          </w:rPr>
          <w:instrText xml:space="preserve"> PAGEREF _Toc21603975 \h </w:instrText>
        </w:r>
        <w:r w:rsidR="0001511E">
          <w:rPr>
            <w:noProof/>
            <w:webHidden/>
          </w:rPr>
        </w:r>
        <w:r w:rsidR="0001511E">
          <w:rPr>
            <w:noProof/>
            <w:webHidden/>
          </w:rPr>
          <w:fldChar w:fldCharType="separate"/>
        </w:r>
        <w:r w:rsidR="0001511E">
          <w:rPr>
            <w:noProof/>
            <w:webHidden/>
          </w:rPr>
          <w:t>1</w:t>
        </w:r>
        <w:r w:rsidR="0001511E">
          <w:rPr>
            <w:noProof/>
            <w:webHidden/>
          </w:rPr>
          <w:fldChar w:fldCharType="end"/>
        </w:r>
      </w:hyperlink>
    </w:p>
    <w:p w14:paraId="3DF2DA72" w14:textId="77777777" w:rsidR="0001511E" w:rsidRDefault="006C1CCC">
      <w:pPr>
        <w:pStyle w:val="TOC1"/>
        <w:rPr>
          <w:rFonts w:asciiTheme="minorHAnsi" w:eastAsiaTheme="minorEastAsia" w:hAnsiTheme="minorHAnsi" w:cstheme="minorBidi"/>
          <w:caps w:val="0"/>
          <w:noProof/>
          <w:sz w:val="22"/>
          <w:szCs w:val="22"/>
          <w:lang w:val="de-DE" w:eastAsia="de-DE"/>
        </w:rPr>
      </w:pPr>
      <w:hyperlink w:anchor="_Toc21603976" w:history="1">
        <w:r w:rsidR="0001511E" w:rsidRPr="00361B8D">
          <w:rPr>
            <w:rStyle w:val="Hyperlink"/>
            <w:noProof/>
            <w:lang w:val="de-DE"/>
          </w:rPr>
          <w:t>VORSCHLAG</w:t>
        </w:r>
        <w:r w:rsidR="0001511E">
          <w:rPr>
            <w:noProof/>
            <w:webHidden/>
          </w:rPr>
          <w:tab/>
        </w:r>
        <w:r w:rsidR="0001511E">
          <w:rPr>
            <w:noProof/>
            <w:webHidden/>
          </w:rPr>
          <w:fldChar w:fldCharType="begin"/>
        </w:r>
        <w:r w:rsidR="0001511E">
          <w:rPr>
            <w:noProof/>
            <w:webHidden/>
          </w:rPr>
          <w:instrText xml:space="preserve"> PAGEREF _Toc21603976 \h </w:instrText>
        </w:r>
        <w:r w:rsidR="0001511E">
          <w:rPr>
            <w:noProof/>
            <w:webHidden/>
          </w:rPr>
        </w:r>
        <w:r w:rsidR="0001511E">
          <w:rPr>
            <w:noProof/>
            <w:webHidden/>
          </w:rPr>
          <w:fldChar w:fldCharType="separate"/>
        </w:r>
        <w:r w:rsidR="0001511E">
          <w:rPr>
            <w:noProof/>
            <w:webHidden/>
          </w:rPr>
          <w:t>2</w:t>
        </w:r>
        <w:r w:rsidR="0001511E">
          <w:rPr>
            <w:noProof/>
            <w:webHidden/>
          </w:rPr>
          <w:fldChar w:fldCharType="end"/>
        </w:r>
      </w:hyperlink>
    </w:p>
    <w:p w14:paraId="28B31F9B" w14:textId="77777777" w:rsidR="00F42374" w:rsidRPr="000A4DC7" w:rsidRDefault="00F42374" w:rsidP="00F42374">
      <w:pPr>
        <w:rPr>
          <w:noProof/>
          <w:sz w:val="18"/>
          <w:szCs w:val="18"/>
          <w:lang w:val="de-DE"/>
        </w:rPr>
      </w:pPr>
      <w:r w:rsidRPr="000A4DC7">
        <w:rPr>
          <w:noProof/>
          <w:sz w:val="18"/>
          <w:szCs w:val="18"/>
          <w:highlight w:val="yellow"/>
          <w:lang w:val="de-DE"/>
        </w:rPr>
        <w:fldChar w:fldCharType="end"/>
      </w:r>
    </w:p>
    <w:p w14:paraId="7AD04F21" w14:textId="77777777" w:rsidR="00F42374" w:rsidRPr="000A4DC7" w:rsidRDefault="00F42374" w:rsidP="00F42374">
      <w:pPr>
        <w:rPr>
          <w:noProof/>
          <w:sz w:val="18"/>
          <w:szCs w:val="18"/>
          <w:lang w:val="de-DE"/>
        </w:rPr>
      </w:pPr>
    </w:p>
    <w:p w14:paraId="24788C51" w14:textId="77777777" w:rsidR="00F42374" w:rsidRPr="00007468" w:rsidRDefault="00F42374" w:rsidP="00F42374">
      <w:pPr>
        <w:pStyle w:val="Heading1"/>
        <w:rPr>
          <w:noProof/>
          <w:snapToGrid w:val="0"/>
          <w:lang w:val="de-DE"/>
        </w:rPr>
      </w:pPr>
      <w:bookmarkStart w:id="5" w:name="_Toc21603975"/>
      <w:r w:rsidRPr="00007468">
        <w:rPr>
          <w:snapToGrid w:val="0"/>
          <w:lang w:val="de-DE"/>
        </w:rPr>
        <w:t>Entwicklungen bei der Technischen Arbeitsgruppe für landwirtschaftliche Arten</w:t>
      </w:r>
      <w:bookmarkEnd w:id="5"/>
    </w:p>
    <w:p w14:paraId="3FABC57C" w14:textId="77777777" w:rsidR="00F42374" w:rsidRPr="00007468" w:rsidRDefault="00F42374" w:rsidP="00F42374">
      <w:pPr>
        <w:rPr>
          <w:noProof/>
          <w:snapToGrid w:val="0"/>
          <w:lang w:val="de-DE"/>
        </w:rPr>
      </w:pPr>
    </w:p>
    <w:p w14:paraId="3BC3F984" w14:textId="77777777" w:rsidR="00F42374" w:rsidRPr="00007468" w:rsidRDefault="00F42374" w:rsidP="00F42374">
      <w:pPr>
        <w:rPr>
          <w:noProof/>
        </w:rPr>
      </w:pPr>
      <w:r w:rsidRPr="00007468">
        <w:rPr>
          <w:noProof/>
          <w:snapToGrid w:val="0"/>
          <w:lang w:val="de-DE"/>
        </w:rPr>
        <w:fldChar w:fldCharType="begin"/>
      </w:r>
      <w:r w:rsidRPr="00007468">
        <w:rPr>
          <w:noProof/>
          <w:snapToGrid w:val="0"/>
          <w:lang w:val="de-DE"/>
        </w:rPr>
        <w:instrText xml:space="preserve"> AUTONUM  </w:instrText>
      </w:r>
      <w:r w:rsidRPr="00007468">
        <w:rPr>
          <w:noProof/>
          <w:snapToGrid w:val="0"/>
          <w:lang w:val="de-DE"/>
        </w:rPr>
        <w:fldChar w:fldCharType="end"/>
      </w:r>
      <w:r w:rsidRPr="00007468">
        <w:rPr>
          <w:noProof/>
          <w:snapToGrid w:val="0"/>
          <w:lang w:val="de-DE"/>
        </w:rPr>
        <w:tab/>
        <w:t xml:space="preserve">Die TWA prüfte auf ihrer achtundvierzigsten Tagung vom 16. bis 20. </w:t>
      </w:r>
      <w:r w:rsidRPr="00007468">
        <w:rPr>
          <w:noProof/>
          <w:snapToGrid w:val="0"/>
          <w:lang w:val="en-GB"/>
        </w:rPr>
        <w:t>September 2019 in Montevideo, Uruguay,</w:t>
      </w:r>
      <w:r w:rsidRPr="00007468">
        <w:rPr>
          <w:noProof/>
        </w:rPr>
        <w:t xml:space="preserve"> Dokument TWP/3/9 </w:t>
      </w:r>
      <w:r w:rsidRPr="006C1CCC">
        <w:rPr>
          <w:i/>
          <w:noProof/>
        </w:rPr>
        <w:t>„Characteristics which only apply to certain varieties“</w:t>
      </w:r>
      <w:r w:rsidRPr="00007468">
        <w:rPr>
          <w:noProof/>
        </w:rPr>
        <w:t xml:space="preserve"> (vergleiche Dokument TWA/48/9 </w:t>
      </w:r>
      <w:r w:rsidRPr="006C1CCC">
        <w:rPr>
          <w:i/>
          <w:noProof/>
        </w:rPr>
        <w:t>„Report“</w:t>
      </w:r>
      <w:r w:rsidRPr="00007468">
        <w:rPr>
          <w:noProof/>
        </w:rPr>
        <w:t>, Absätze 10 bis 17).</w:t>
      </w:r>
    </w:p>
    <w:p w14:paraId="68482421" w14:textId="77777777" w:rsidR="00F42374" w:rsidRPr="00007468" w:rsidRDefault="00F42374" w:rsidP="00F42374">
      <w:pPr>
        <w:rPr>
          <w:noProof/>
        </w:rPr>
      </w:pPr>
    </w:p>
    <w:p w14:paraId="329EE466" w14:textId="77777777" w:rsidR="00F42374" w:rsidRPr="00007468" w:rsidRDefault="00F42374" w:rsidP="00F42374">
      <w:pPr>
        <w:rPr>
          <w:snapToGrid w:val="0"/>
          <w:lang w:val="de-DE"/>
        </w:rPr>
      </w:pPr>
      <w:r w:rsidRPr="00007468">
        <w:rPr>
          <w:noProof/>
          <w:lang w:val="de-DE"/>
        </w:rPr>
        <w:lastRenderedPageBreak/>
        <w:fldChar w:fldCharType="begin"/>
      </w:r>
      <w:r w:rsidRPr="00007468">
        <w:rPr>
          <w:noProof/>
          <w:lang w:val="de-DE"/>
        </w:rPr>
        <w:instrText xml:space="preserve"> AUTONUM  </w:instrText>
      </w:r>
      <w:r w:rsidRPr="00007468">
        <w:rPr>
          <w:noProof/>
          <w:lang w:val="de-DE"/>
        </w:rPr>
        <w:fldChar w:fldCharType="end"/>
      </w:r>
      <w:r w:rsidRPr="00007468">
        <w:rPr>
          <w:noProof/>
          <w:lang w:val="de-DE"/>
        </w:rPr>
        <w:tab/>
      </w:r>
      <w:r w:rsidRPr="00007468">
        <w:rPr>
          <w:lang w:val="de-DE"/>
        </w:rPr>
        <w:t>Die TWA prüfte das Gesuch, geeignete Beispiele</w:t>
      </w:r>
      <w:r w:rsidRPr="00007468">
        <w:rPr>
          <w:snapToGrid w:val="0"/>
          <w:lang w:val="de-DE"/>
        </w:rPr>
        <w:t xml:space="preserve"> von einem quantitativen und von einem pseudo</w:t>
      </w:r>
      <w:r w:rsidRPr="00007468">
        <w:rPr>
          <w:snapToGrid w:val="0"/>
          <w:lang w:val="de-DE"/>
        </w:rPr>
        <w:noBreakHyphen/>
        <w:t>qualitativen Merkmal darzulegen, um aufzuzeigen, wie der vorgeschlagene Ansatz so verwendet werden kann, daß keine Risiken für Entscheidungen über die Unterscheidbarkeit entstehen.</w:t>
      </w:r>
    </w:p>
    <w:p w14:paraId="14ACF1CD" w14:textId="77777777" w:rsidR="00F42374" w:rsidRPr="00007468" w:rsidRDefault="00F42374" w:rsidP="00F42374">
      <w:pPr>
        <w:rPr>
          <w:noProof/>
          <w:lang w:val="de-DE"/>
        </w:rPr>
      </w:pPr>
    </w:p>
    <w:p w14:paraId="49C509A8" w14:textId="1144FA31" w:rsidR="00F42374" w:rsidRPr="00007468" w:rsidRDefault="00F42374" w:rsidP="00F42374">
      <w:pPr>
        <w:rPr>
          <w:noProof/>
          <w:snapToGrid w:val="0"/>
          <w:lang w:val="de-DE"/>
        </w:rPr>
      </w:pPr>
      <w:r w:rsidRPr="00007468">
        <w:rPr>
          <w:noProof/>
          <w:lang w:val="de-DE"/>
        </w:rPr>
        <w:fldChar w:fldCharType="begin"/>
      </w:r>
      <w:r w:rsidRPr="00007468">
        <w:rPr>
          <w:noProof/>
          <w:lang w:val="de-DE"/>
        </w:rPr>
        <w:instrText xml:space="preserve"> AUTONUM  </w:instrText>
      </w:r>
      <w:r w:rsidRPr="00007468">
        <w:rPr>
          <w:noProof/>
          <w:lang w:val="de-DE"/>
        </w:rPr>
        <w:fldChar w:fldCharType="end"/>
      </w:r>
      <w:r w:rsidRPr="00007468">
        <w:rPr>
          <w:noProof/>
          <w:lang w:val="de-DE"/>
        </w:rPr>
        <w:tab/>
        <w:t xml:space="preserve">Die TWA stimmte der TWO zu, daß wenn eine Struktur an einem Pflanzenteil „fehlend oder sehr gering“ sei, die Erfassung weiterer Merkmale an dieser Struktur schwierig oder nicht durchführbar sein könnte. </w:t>
      </w:r>
      <w:r w:rsidRPr="00007468">
        <w:rPr>
          <w:noProof/>
          <w:snapToGrid w:val="0"/>
          <w:lang w:val="de-DE"/>
        </w:rPr>
        <w:t xml:space="preserve"> Die TWA vereinbarte, daß das folgende von der TWO vorgelegte Beispiel geeignet sei, um aufzuzeigen, wie der vorgeschlagene Ansatz so verwendet werden könnte, daß keine Risiken für Entscheidungen über die Unterscheidbarkeit entstehen:</w:t>
      </w:r>
    </w:p>
    <w:p w14:paraId="2710571D" w14:textId="77777777" w:rsidR="00F42374" w:rsidRPr="00007468" w:rsidRDefault="00F42374" w:rsidP="00F42374">
      <w:pPr>
        <w:rPr>
          <w:noProof/>
          <w:snapToGrid w:val="0"/>
          <w:lang w:val="de-DE"/>
        </w:rPr>
      </w:pPr>
    </w:p>
    <w:p w14:paraId="38EAA849" w14:textId="77777777" w:rsidR="00F42374" w:rsidRPr="00007468" w:rsidRDefault="00F42374" w:rsidP="00F42374">
      <w:pPr>
        <w:ind w:left="567"/>
        <w:rPr>
          <w:noProof/>
          <w:snapToGrid w:val="0"/>
          <w:lang w:val="de-DE"/>
        </w:rPr>
      </w:pPr>
      <w:r w:rsidRPr="00007468">
        <w:rPr>
          <w:noProof/>
          <w:snapToGrid w:val="0"/>
          <w:lang w:val="de-DE"/>
        </w:rPr>
        <w:t>(QN) „Vorhandensein von Haaren: fehlend oder sehr gering.“</w:t>
      </w:r>
    </w:p>
    <w:p w14:paraId="1D46CD91" w14:textId="77777777" w:rsidR="00F42374" w:rsidRPr="00007468" w:rsidRDefault="00F42374" w:rsidP="00F42374">
      <w:pPr>
        <w:ind w:left="567"/>
        <w:rPr>
          <w:noProof/>
          <w:snapToGrid w:val="0"/>
          <w:lang w:val="de-DE"/>
        </w:rPr>
      </w:pPr>
      <w:r w:rsidRPr="00007468">
        <w:rPr>
          <w:noProof/>
          <w:snapToGrid w:val="0"/>
          <w:lang w:val="de-DE"/>
        </w:rPr>
        <w:t>(PQ) „Haare: Farbe“</w:t>
      </w:r>
    </w:p>
    <w:p w14:paraId="4048ED5F" w14:textId="77777777" w:rsidR="00F42374" w:rsidRPr="00007468" w:rsidRDefault="00F42374" w:rsidP="00F42374">
      <w:pPr>
        <w:rPr>
          <w:noProof/>
          <w:lang w:val="de-DE"/>
        </w:rPr>
      </w:pPr>
    </w:p>
    <w:p w14:paraId="48C72A1B" w14:textId="77777777" w:rsidR="00F42374" w:rsidRPr="00007468" w:rsidRDefault="00F42374" w:rsidP="00F42374">
      <w:pPr>
        <w:rPr>
          <w:noProof/>
          <w:lang w:val="de-DE"/>
        </w:rPr>
      </w:pPr>
      <w:r w:rsidRPr="00007468">
        <w:rPr>
          <w:noProof/>
          <w:lang w:val="de-DE"/>
        </w:rPr>
        <w:fldChar w:fldCharType="begin"/>
      </w:r>
      <w:r w:rsidRPr="00007468">
        <w:rPr>
          <w:noProof/>
          <w:lang w:val="de-DE"/>
        </w:rPr>
        <w:instrText xml:space="preserve"> AUTONUM  </w:instrText>
      </w:r>
      <w:r w:rsidRPr="00007468">
        <w:rPr>
          <w:noProof/>
          <w:lang w:val="de-DE"/>
        </w:rPr>
        <w:fldChar w:fldCharType="end"/>
      </w:r>
      <w:r w:rsidRPr="00007468">
        <w:rPr>
          <w:noProof/>
          <w:lang w:val="de-DE"/>
        </w:rPr>
        <w:tab/>
        <w:t>Die  TWA nahm zur Kenntnis, daß das folgende von der TWF vorgelegte Beispiel ein qualitatives Merkmal enthalte</w:t>
      </w:r>
      <w:r w:rsidR="0001511E">
        <w:rPr>
          <w:noProof/>
          <w:lang w:val="de-DE"/>
        </w:rPr>
        <w:t>,</w:t>
      </w:r>
      <w:r w:rsidRPr="00007468">
        <w:rPr>
          <w:noProof/>
          <w:lang w:val="de-DE"/>
        </w:rPr>
        <w:t xml:space="preserve"> und vereinbarte, daß es kein geeignetes Beispiel dafür sein könne, um aufzuzeigen, wie der vorgeschlagene Ansatz ohne weitere Informationen über das Merkmal verwendet werden kann.</w:t>
      </w:r>
    </w:p>
    <w:p w14:paraId="1BA72A6C" w14:textId="77777777" w:rsidR="00F42374" w:rsidRPr="00007468" w:rsidRDefault="00F42374" w:rsidP="00F42374">
      <w:pPr>
        <w:keepNext/>
        <w:ind w:left="1276" w:hanging="567"/>
        <w:rPr>
          <w:noProof/>
          <w:lang w:val="de-DE"/>
        </w:rPr>
      </w:pPr>
    </w:p>
    <w:p w14:paraId="77133830" w14:textId="77777777" w:rsidR="00F42374" w:rsidRPr="00007468" w:rsidRDefault="00F42374" w:rsidP="0001511E">
      <w:pPr>
        <w:keepNext/>
        <w:ind w:left="1134" w:hanging="426"/>
        <w:rPr>
          <w:lang w:val="de-DE"/>
        </w:rPr>
      </w:pPr>
      <w:r w:rsidRPr="00007468">
        <w:rPr>
          <w:lang w:val="de-DE"/>
        </w:rPr>
        <w:t>Merkmal 17 (QN): „Blatt: vorwiegender Typ: ungelappt (1); dreilappig (2); fünflappig (3)</w:t>
      </w:r>
    </w:p>
    <w:p w14:paraId="375F8A2A" w14:textId="77777777" w:rsidR="00F42374" w:rsidRPr="00007468" w:rsidRDefault="00F42374" w:rsidP="00F42374">
      <w:pPr>
        <w:rPr>
          <w:lang w:val="de-DE"/>
        </w:rPr>
      </w:pPr>
      <w:r w:rsidRPr="00007468">
        <w:rPr>
          <w:lang w:val="de-DE"/>
        </w:rPr>
        <w:tab/>
        <w:t>Merkmal 18: „</w:t>
      </w:r>
      <w:r w:rsidRPr="00007468">
        <w:rPr>
          <w:u w:val="single"/>
          <w:lang w:val="de-DE"/>
        </w:rPr>
        <w:t>Nur Sorten mit Blatt: vorwiegender Typ: ungelappt:</w:t>
      </w:r>
      <w:r w:rsidRPr="00007468">
        <w:rPr>
          <w:lang w:val="de-DE"/>
        </w:rPr>
        <w:t xml:space="preserve"> Blatt: Form…“</w:t>
      </w:r>
    </w:p>
    <w:p w14:paraId="6744497E" w14:textId="77777777" w:rsidR="00F42374" w:rsidRPr="00007468" w:rsidRDefault="00F42374" w:rsidP="00F42374">
      <w:pPr>
        <w:rPr>
          <w:noProof/>
          <w:lang w:val="de-DE"/>
        </w:rPr>
      </w:pPr>
    </w:p>
    <w:p w14:paraId="41C4579E" w14:textId="7A38B100" w:rsidR="00F42374" w:rsidRPr="00007468" w:rsidRDefault="00F42374" w:rsidP="00F42374">
      <w:pPr>
        <w:rPr>
          <w:noProof/>
          <w:lang w:val="de-DE"/>
        </w:rPr>
      </w:pPr>
      <w:r w:rsidRPr="00007468">
        <w:rPr>
          <w:noProof/>
          <w:lang w:val="de-DE"/>
        </w:rPr>
        <w:fldChar w:fldCharType="begin"/>
      </w:r>
      <w:r w:rsidRPr="00007468">
        <w:rPr>
          <w:noProof/>
          <w:lang w:val="de-DE"/>
        </w:rPr>
        <w:instrText xml:space="preserve"> AUTONUM  </w:instrText>
      </w:r>
      <w:r w:rsidRPr="00007468">
        <w:rPr>
          <w:noProof/>
          <w:lang w:val="de-DE"/>
        </w:rPr>
        <w:fldChar w:fldCharType="end"/>
      </w:r>
      <w:r w:rsidRPr="00007468">
        <w:rPr>
          <w:noProof/>
          <w:lang w:val="de-DE"/>
        </w:rPr>
        <w:tab/>
        <w:t xml:space="preserve">Die TWA prüfte das Gesuch, geeignete Beispiele für ungeeignete Fälle vorzulegen, um die Risiken </w:t>
      </w:r>
      <w:r w:rsidRPr="00007468">
        <w:rPr>
          <w:snapToGrid w:val="0"/>
          <w:lang w:val="de-DE"/>
        </w:rPr>
        <w:t>für Entscheidungen über die Unterscheidbarkeit des Aus</w:t>
      </w:r>
      <w:r w:rsidR="0074103E">
        <w:rPr>
          <w:snapToGrid w:val="0"/>
          <w:lang w:val="de-DE"/>
        </w:rPr>
        <w:t>s</w:t>
      </w:r>
      <w:r w:rsidRPr="00007468">
        <w:rPr>
          <w:snapToGrid w:val="0"/>
          <w:lang w:val="de-DE"/>
        </w:rPr>
        <w:t xml:space="preserve">chlusses von </w:t>
      </w:r>
      <w:r w:rsidRPr="00007468">
        <w:rPr>
          <w:noProof/>
          <w:lang w:val="de-DE"/>
        </w:rPr>
        <w:t xml:space="preserve">Sorten von der Erfassung aufgrund eines </w:t>
      </w:r>
      <w:r w:rsidRPr="00007468">
        <w:rPr>
          <w:snapToGrid w:val="0"/>
          <w:lang w:val="de-DE"/>
        </w:rPr>
        <w:t>vorhergehenden quantitativen oder pseudo-qualitativen Merkmals aufzuzeigen</w:t>
      </w:r>
      <w:r w:rsidRPr="00007468">
        <w:rPr>
          <w:noProof/>
          <w:lang w:val="de-DE"/>
        </w:rPr>
        <w:t xml:space="preserve">.  </w:t>
      </w:r>
    </w:p>
    <w:p w14:paraId="24621102" w14:textId="77777777" w:rsidR="00F42374" w:rsidRPr="00007468" w:rsidRDefault="00F42374" w:rsidP="00F42374">
      <w:pPr>
        <w:rPr>
          <w:noProof/>
          <w:lang w:val="de-DE"/>
        </w:rPr>
      </w:pPr>
    </w:p>
    <w:p w14:paraId="61332D93" w14:textId="77777777" w:rsidR="00F42374" w:rsidRPr="00007468" w:rsidRDefault="00F42374" w:rsidP="00F42374">
      <w:pPr>
        <w:rPr>
          <w:noProof/>
          <w:lang w:val="de-DE"/>
        </w:rPr>
      </w:pPr>
      <w:r w:rsidRPr="00007468">
        <w:rPr>
          <w:noProof/>
          <w:lang w:val="de-DE"/>
        </w:rPr>
        <w:fldChar w:fldCharType="begin"/>
      </w:r>
      <w:r w:rsidRPr="00007468">
        <w:rPr>
          <w:noProof/>
          <w:lang w:val="de-DE"/>
        </w:rPr>
        <w:instrText xml:space="preserve"> AUTONUM  </w:instrText>
      </w:r>
      <w:r w:rsidRPr="00007468">
        <w:rPr>
          <w:noProof/>
          <w:lang w:val="de-DE"/>
        </w:rPr>
        <w:fldChar w:fldCharType="end"/>
      </w:r>
      <w:r w:rsidRPr="00007468">
        <w:rPr>
          <w:noProof/>
          <w:lang w:val="de-DE"/>
        </w:rPr>
        <w:tab/>
        <w:t>Die TWA vereinbarte, daß das Risiko für die Unterscheidbarkeit aufgrund des vorgeschlagenen Ansatzes niedrig sei, da eine Sorte aufgrund fehlender Informationen über ein Merkmal nicht als von einer anderen unterscheidbar angesehen werden würde und die Sorten für einen Seite-an-Seite-Vergleich angebaut werden müssten.</w:t>
      </w:r>
    </w:p>
    <w:p w14:paraId="036854EB" w14:textId="77777777" w:rsidR="00F42374" w:rsidRPr="00007468" w:rsidRDefault="00F42374" w:rsidP="00F42374">
      <w:pPr>
        <w:rPr>
          <w:noProof/>
          <w:lang w:val="de-DE"/>
        </w:rPr>
      </w:pPr>
    </w:p>
    <w:p w14:paraId="548E8028" w14:textId="77777777" w:rsidR="00F42374" w:rsidRPr="00007468" w:rsidRDefault="00F42374" w:rsidP="00F42374">
      <w:pPr>
        <w:rPr>
          <w:noProof/>
          <w:lang w:val="de-DE"/>
        </w:rPr>
      </w:pPr>
      <w:r w:rsidRPr="00007468">
        <w:rPr>
          <w:noProof/>
          <w:lang w:val="de-DE"/>
        </w:rPr>
        <w:fldChar w:fldCharType="begin"/>
      </w:r>
      <w:r w:rsidRPr="00007468">
        <w:rPr>
          <w:noProof/>
          <w:lang w:val="de-DE"/>
        </w:rPr>
        <w:instrText xml:space="preserve"> AUTONUM  </w:instrText>
      </w:r>
      <w:r w:rsidRPr="00007468">
        <w:rPr>
          <w:noProof/>
          <w:lang w:val="de-DE"/>
        </w:rPr>
        <w:fldChar w:fldCharType="end"/>
      </w:r>
      <w:r w:rsidRPr="00007468">
        <w:rPr>
          <w:noProof/>
          <w:lang w:val="de-DE"/>
        </w:rPr>
        <w:tab/>
        <w:t>Die TWA vereinbarte, daß der vorgeschlagene Ansatz die Schwierigkeit erhöhen könnte, Sorten zum Vergleich auszuschließen und die Größe der Anbauprüfungen zu erhöhen, was jedoch voraussichtlich keine bedeutenden Auswirkungen hätte.</w:t>
      </w:r>
    </w:p>
    <w:p w14:paraId="79D74EA0" w14:textId="77777777" w:rsidR="00F42374" w:rsidRPr="00007468" w:rsidRDefault="00F42374" w:rsidP="00F42374">
      <w:pPr>
        <w:rPr>
          <w:noProof/>
          <w:lang w:val="de-DE"/>
        </w:rPr>
      </w:pPr>
    </w:p>
    <w:p w14:paraId="53F056FF" w14:textId="77777777" w:rsidR="00F42374" w:rsidRPr="00007468" w:rsidRDefault="00F42374" w:rsidP="00F42374">
      <w:pPr>
        <w:rPr>
          <w:noProof/>
          <w:lang w:val="de-DE"/>
        </w:rPr>
      </w:pPr>
      <w:r w:rsidRPr="00007468">
        <w:rPr>
          <w:noProof/>
          <w:lang w:val="de-DE"/>
        </w:rPr>
        <w:fldChar w:fldCharType="begin"/>
      </w:r>
      <w:r w:rsidRPr="00007468">
        <w:rPr>
          <w:noProof/>
          <w:lang w:val="de-DE"/>
        </w:rPr>
        <w:instrText xml:space="preserve"> AUTONUM  </w:instrText>
      </w:r>
      <w:r w:rsidRPr="00007468">
        <w:rPr>
          <w:noProof/>
          <w:lang w:val="de-DE"/>
        </w:rPr>
        <w:fldChar w:fldCharType="end"/>
      </w:r>
      <w:r w:rsidRPr="00007468">
        <w:rPr>
          <w:noProof/>
          <w:lang w:val="de-DE"/>
        </w:rPr>
        <w:tab/>
        <w:t>Die TWA vereinbarte, daß das Risiko bestehen könnte, daß zwei Prüfer unterschiedliche Entscheidungen treffen, aber die Wahrscheinlichkeit, daß sich der vorgeschlagene Ansatz auf die endgültigen Entscheidungen über die Unterscheidbarkeit auswirkt, gering sei.</w:t>
      </w:r>
    </w:p>
    <w:p w14:paraId="46464CAD" w14:textId="77777777" w:rsidR="00F42374" w:rsidRPr="00007468" w:rsidRDefault="00F42374" w:rsidP="00F42374">
      <w:pPr>
        <w:jc w:val="left"/>
        <w:rPr>
          <w:noProof/>
          <w:lang w:val="de-DE"/>
        </w:rPr>
      </w:pPr>
    </w:p>
    <w:p w14:paraId="11F87319" w14:textId="77777777" w:rsidR="00F42374" w:rsidRPr="00007468" w:rsidRDefault="00F42374" w:rsidP="00F42374">
      <w:pPr>
        <w:jc w:val="left"/>
        <w:rPr>
          <w:noProof/>
          <w:lang w:val="de-DE"/>
        </w:rPr>
      </w:pPr>
    </w:p>
    <w:p w14:paraId="03644F4A" w14:textId="77777777" w:rsidR="00F42374" w:rsidRPr="00007468" w:rsidRDefault="00F42374" w:rsidP="00F42374">
      <w:pPr>
        <w:pStyle w:val="Heading1"/>
        <w:rPr>
          <w:noProof/>
          <w:lang w:val="de-DE"/>
        </w:rPr>
      </w:pPr>
      <w:bookmarkStart w:id="6" w:name="_Toc21603976"/>
      <w:r w:rsidRPr="00007468">
        <w:rPr>
          <w:noProof/>
          <w:lang w:val="de-DE"/>
        </w:rPr>
        <w:t>VORSCHLAG</w:t>
      </w:r>
      <w:bookmarkEnd w:id="6"/>
    </w:p>
    <w:p w14:paraId="3A428F1E" w14:textId="77777777" w:rsidR="00F42374" w:rsidRPr="00007468" w:rsidRDefault="00F42374" w:rsidP="00F42374">
      <w:pPr>
        <w:keepNext/>
        <w:rPr>
          <w:noProof/>
          <w:lang w:val="de-DE"/>
        </w:rPr>
      </w:pPr>
    </w:p>
    <w:p w14:paraId="26794572" w14:textId="77777777" w:rsidR="00F42374" w:rsidRPr="00007468" w:rsidRDefault="00F42374" w:rsidP="00F42374">
      <w:pPr>
        <w:rPr>
          <w:noProof/>
          <w:lang w:val="de-DE"/>
        </w:rPr>
      </w:pPr>
      <w:r w:rsidRPr="00007468">
        <w:rPr>
          <w:noProof/>
          <w:lang w:val="de-DE"/>
        </w:rPr>
        <w:fldChar w:fldCharType="begin"/>
      </w:r>
      <w:r w:rsidRPr="00007468">
        <w:rPr>
          <w:noProof/>
          <w:lang w:val="de-DE"/>
        </w:rPr>
        <w:instrText xml:space="preserve"> AUTONUM  </w:instrText>
      </w:r>
      <w:r w:rsidRPr="00007468">
        <w:rPr>
          <w:noProof/>
          <w:lang w:val="de-DE"/>
        </w:rPr>
        <w:fldChar w:fldCharType="end"/>
      </w:r>
      <w:r w:rsidRPr="00007468">
        <w:rPr>
          <w:noProof/>
          <w:lang w:val="de-DE"/>
        </w:rPr>
        <w:tab/>
        <w:t>Auf der Grundlage der Bemerkungen der TWP auf ihren Tagungen im Jahr 2019, wird der TC ersucht, die folgenden Merkmalen als Beispiele für quantitative und pseudo-qualitative Merkmale zu prüfen, um aufzuzeigen, wie der Ansatz so verwendet werden kann, daß keine Risiken für Entscheidungen über die Unterscheidbarkeit entstehen:</w:t>
      </w:r>
    </w:p>
    <w:p w14:paraId="1569EE33" w14:textId="77777777" w:rsidR="00F42374" w:rsidRPr="00007468" w:rsidRDefault="00F42374" w:rsidP="00F42374">
      <w:pPr>
        <w:rPr>
          <w:noProof/>
          <w:lang w:val="de-DE"/>
        </w:rPr>
      </w:pPr>
    </w:p>
    <w:p w14:paraId="1BE3CE75" w14:textId="77777777" w:rsidR="00F42374" w:rsidRPr="00007468" w:rsidRDefault="00F42374" w:rsidP="00F42374">
      <w:pPr>
        <w:keepNext/>
        <w:keepLines/>
        <w:ind w:left="1276" w:hanging="567"/>
        <w:rPr>
          <w:i/>
          <w:snapToGrid w:val="0"/>
          <w:lang w:val="de-DE"/>
        </w:rPr>
      </w:pPr>
      <w:r w:rsidRPr="00007468">
        <w:rPr>
          <w:i/>
          <w:lang w:val="de-DE"/>
        </w:rPr>
        <w:t>Prüfungsrichtlinien für Dahlia (TG/226/1):</w:t>
      </w:r>
    </w:p>
    <w:p w14:paraId="0D740D43" w14:textId="77777777" w:rsidR="00F42374" w:rsidRPr="00007468" w:rsidRDefault="00F42374" w:rsidP="00F42374">
      <w:pPr>
        <w:keepNext/>
        <w:keepLines/>
        <w:ind w:left="1276" w:hanging="567"/>
        <w:rPr>
          <w:snapToGrid w:val="0"/>
          <w:lang w:val="de-DE"/>
        </w:rPr>
      </w:pPr>
    </w:p>
    <w:p w14:paraId="382D8401" w14:textId="77777777" w:rsidR="00F42374" w:rsidRPr="00007468" w:rsidRDefault="00F42374" w:rsidP="00F42374">
      <w:pPr>
        <w:keepNext/>
        <w:keepLines/>
        <w:ind w:left="1276" w:hanging="567"/>
        <w:rPr>
          <w:snapToGrid w:val="0"/>
          <w:lang w:val="de-DE"/>
        </w:rPr>
      </w:pPr>
      <w:bookmarkStart w:id="7" w:name="_Hlk18451697"/>
      <w:r w:rsidRPr="00007468">
        <w:rPr>
          <w:snapToGrid w:val="0"/>
          <w:lang w:val="de-DE"/>
        </w:rPr>
        <w:t>(PQ) Merkmal 21: Blume: Typ einfach (1); halbgefüllt (2); gefüllt margeritenförmig (3); gefüllt (4)</w:t>
      </w:r>
    </w:p>
    <w:p w14:paraId="452DEAD6" w14:textId="77777777" w:rsidR="00F42374" w:rsidRPr="00007468" w:rsidRDefault="00F42374" w:rsidP="00F42374">
      <w:pPr>
        <w:keepNext/>
        <w:keepLines/>
        <w:ind w:left="1276" w:hanging="567"/>
        <w:rPr>
          <w:lang w:val="de-DE"/>
        </w:rPr>
      </w:pPr>
      <w:r w:rsidRPr="00007468">
        <w:rPr>
          <w:snapToGrid w:val="0"/>
          <w:lang w:val="de-DE"/>
        </w:rPr>
        <w:t xml:space="preserve">(QN) Merkmal 26: </w:t>
      </w:r>
      <w:r w:rsidRPr="00007468">
        <w:rPr>
          <w:u w:val="single"/>
          <w:lang w:val="de-DE"/>
        </w:rPr>
        <w:t>Nur gefüllte und gefüllt margeritenförmige Sorten</w:t>
      </w:r>
      <w:r w:rsidRPr="00007468">
        <w:rPr>
          <w:lang w:val="de-DE"/>
        </w:rPr>
        <w:t xml:space="preserve">: Blume: Höhe: niedrig (3); </w:t>
      </w:r>
    </w:p>
    <w:p w14:paraId="0D96F0BB" w14:textId="77777777" w:rsidR="00F42374" w:rsidRPr="00007468" w:rsidRDefault="00F42374" w:rsidP="00F42374">
      <w:pPr>
        <w:keepNext/>
        <w:keepLines/>
        <w:ind w:left="1276" w:hanging="567"/>
        <w:rPr>
          <w:snapToGrid w:val="0"/>
          <w:lang w:val="de-DE"/>
        </w:rPr>
      </w:pPr>
      <w:r w:rsidRPr="00007468">
        <w:rPr>
          <w:lang w:val="de-DE"/>
        </w:rPr>
        <w:tab/>
        <w:t>mittel (5); hoch (7)</w:t>
      </w:r>
    </w:p>
    <w:bookmarkEnd w:id="7"/>
    <w:p w14:paraId="729DF95E" w14:textId="77777777" w:rsidR="00F42374" w:rsidRPr="00007468" w:rsidRDefault="00F42374" w:rsidP="00F42374">
      <w:pPr>
        <w:ind w:left="1276" w:hanging="567"/>
        <w:rPr>
          <w:lang w:val="de-DE"/>
        </w:rPr>
      </w:pPr>
    </w:p>
    <w:p w14:paraId="31747745" w14:textId="77777777" w:rsidR="00F42374" w:rsidRPr="00007468" w:rsidRDefault="00F42374" w:rsidP="00F42374">
      <w:pPr>
        <w:keepNext/>
        <w:ind w:left="1276" w:hanging="567"/>
        <w:rPr>
          <w:i/>
          <w:lang w:val="de-DE"/>
        </w:rPr>
      </w:pPr>
      <w:r w:rsidRPr="00007468">
        <w:rPr>
          <w:i/>
          <w:lang w:val="de-DE"/>
        </w:rPr>
        <w:t>Prüfungsrichtlinien für Blattzichorie  (TG/154/4):</w:t>
      </w:r>
    </w:p>
    <w:p w14:paraId="5C10701A" w14:textId="77777777" w:rsidR="00F42374" w:rsidRPr="00007468" w:rsidRDefault="00F42374" w:rsidP="00F42374">
      <w:pPr>
        <w:keepNext/>
        <w:ind w:left="1276" w:hanging="567"/>
        <w:rPr>
          <w:lang w:val="de-DE"/>
        </w:rPr>
      </w:pPr>
    </w:p>
    <w:p w14:paraId="7DA96DB5" w14:textId="77777777" w:rsidR="00F42374" w:rsidRPr="00007468" w:rsidRDefault="00F42374" w:rsidP="00F42374">
      <w:pPr>
        <w:keepNext/>
        <w:ind w:left="1276" w:hanging="567"/>
        <w:rPr>
          <w:lang w:val="de-DE"/>
        </w:rPr>
      </w:pPr>
      <w:bookmarkStart w:id="8" w:name="_Hlk18451719"/>
      <w:r w:rsidRPr="00007468">
        <w:rPr>
          <w:lang w:val="de-DE"/>
        </w:rPr>
        <w:t>(PQ) Merkmal 16: „Pflanze: Kopfbildung: fehlend (1); offen (2); geschlossen (3)</w:t>
      </w:r>
    </w:p>
    <w:p w14:paraId="67E2B7E8" w14:textId="77777777" w:rsidR="00F42374" w:rsidRPr="00007468" w:rsidRDefault="00F42374" w:rsidP="00F42374">
      <w:pPr>
        <w:keepNext/>
        <w:ind w:left="1276" w:hanging="567"/>
        <w:rPr>
          <w:lang w:val="de-DE"/>
        </w:rPr>
      </w:pPr>
      <w:r w:rsidRPr="00007468">
        <w:rPr>
          <w:lang w:val="de-DE"/>
        </w:rPr>
        <w:t>(QN) Merkmal 17: „</w:t>
      </w:r>
      <w:r w:rsidRPr="00007468">
        <w:rPr>
          <w:u w:val="single"/>
          <w:lang w:val="de-DE"/>
        </w:rPr>
        <w:t>Nur Sorten mit Kopfbildung</w:t>
      </w:r>
      <w:r w:rsidRPr="00007468">
        <w:rPr>
          <w:lang w:val="de-DE"/>
        </w:rPr>
        <w:t xml:space="preserve">: Zeitpunkt der Kopfbildung: sehr früh (1); früh (3); </w:t>
      </w:r>
    </w:p>
    <w:p w14:paraId="7FB6228F" w14:textId="77777777" w:rsidR="00F42374" w:rsidRPr="00007468" w:rsidRDefault="00F42374" w:rsidP="00F42374">
      <w:pPr>
        <w:keepNext/>
        <w:ind w:left="1276" w:hanging="567"/>
        <w:rPr>
          <w:lang w:val="de-DE"/>
        </w:rPr>
      </w:pPr>
      <w:r w:rsidRPr="00007468">
        <w:rPr>
          <w:lang w:val="de-DE"/>
        </w:rPr>
        <w:tab/>
        <w:t>mittel (5); spät (7); sehr spät (9)“</w:t>
      </w:r>
    </w:p>
    <w:bookmarkEnd w:id="8"/>
    <w:p w14:paraId="0958BBA4" w14:textId="77777777" w:rsidR="00F42374" w:rsidRPr="00007468" w:rsidRDefault="00F42374" w:rsidP="00F42374">
      <w:pPr>
        <w:ind w:left="1276" w:hanging="567"/>
        <w:rPr>
          <w:lang w:val="de-DE"/>
        </w:rPr>
      </w:pPr>
    </w:p>
    <w:p w14:paraId="2C234770" w14:textId="77777777" w:rsidR="00F42374" w:rsidRPr="00007468" w:rsidRDefault="00F42374" w:rsidP="00F42374">
      <w:pPr>
        <w:ind w:left="1276" w:hanging="567"/>
        <w:rPr>
          <w:i/>
          <w:lang w:val="de-DE"/>
        </w:rPr>
      </w:pPr>
      <w:r w:rsidRPr="00007468">
        <w:rPr>
          <w:i/>
          <w:lang w:val="de-DE"/>
        </w:rPr>
        <w:t>Prüfungsrichtlinien für Feige (TG/265/1):</w:t>
      </w:r>
    </w:p>
    <w:p w14:paraId="60786AC1" w14:textId="77777777" w:rsidR="00F42374" w:rsidRPr="00007468" w:rsidRDefault="00F42374" w:rsidP="00F42374">
      <w:pPr>
        <w:ind w:left="1276" w:hanging="567"/>
        <w:rPr>
          <w:lang w:val="de-DE"/>
        </w:rPr>
      </w:pPr>
    </w:p>
    <w:p w14:paraId="06A44A81" w14:textId="77777777" w:rsidR="00F42374" w:rsidRPr="00007468" w:rsidRDefault="00F42374" w:rsidP="00F42374">
      <w:pPr>
        <w:ind w:left="1276" w:hanging="567"/>
        <w:rPr>
          <w:lang w:val="de-DE"/>
        </w:rPr>
      </w:pPr>
      <w:r w:rsidRPr="00007468">
        <w:rPr>
          <w:lang w:val="de-DE"/>
        </w:rPr>
        <w:t>(QN) Merkmal 17: „Blatt: vorwiegender Typ: ungelappt (1); dreilappig (2); fünflappig (3)</w:t>
      </w:r>
    </w:p>
    <w:p w14:paraId="67CAE8EA" w14:textId="77777777" w:rsidR="00F42374" w:rsidRPr="00007468" w:rsidRDefault="00F42374" w:rsidP="00F42374">
      <w:pPr>
        <w:ind w:left="1276" w:hanging="567"/>
        <w:rPr>
          <w:lang w:val="de-DE"/>
        </w:rPr>
      </w:pPr>
      <w:r w:rsidRPr="00007468">
        <w:rPr>
          <w:lang w:val="de-DE"/>
        </w:rPr>
        <w:t>(PQ) Merkmal 18: „</w:t>
      </w:r>
      <w:r w:rsidRPr="00007468">
        <w:rPr>
          <w:u w:val="single"/>
          <w:lang w:val="de-DE"/>
        </w:rPr>
        <w:t>Nur Sorten mit Blatt: vorwiegender Typ: ungelappt</w:t>
      </w:r>
      <w:r w:rsidRPr="00007468">
        <w:rPr>
          <w:lang w:val="de-DE"/>
        </w:rPr>
        <w:t>: Blatt: Form: herzförmig (1); dreieckig (2); lanzettlich (3); elliptisch (4)“</w:t>
      </w:r>
    </w:p>
    <w:p w14:paraId="6E563FBB" w14:textId="77777777" w:rsidR="00F42374" w:rsidRPr="00007468" w:rsidRDefault="00F42374" w:rsidP="00F42374">
      <w:pPr>
        <w:ind w:left="709"/>
        <w:rPr>
          <w:noProof/>
          <w:snapToGrid w:val="0"/>
          <w:lang w:val="de-DE"/>
        </w:rPr>
      </w:pPr>
    </w:p>
    <w:p w14:paraId="7DD7EA42" w14:textId="77777777" w:rsidR="00F42374" w:rsidRPr="00007468" w:rsidRDefault="00F42374" w:rsidP="00F42374">
      <w:pPr>
        <w:ind w:left="709"/>
        <w:rPr>
          <w:i/>
          <w:noProof/>
          <w:snapToGrid w:val="0"/>
          <w:lang w:val="de-DE"/>
        </w:rPr>
      </w:pPr>
      <w:r w:rsidRPr="00007468">
        <w:rPr>
          <w:i/>
          <w:noProof/>
          <w:snapToGrid w:val="0"/>
          <w:lang w:val="de-DE"/>
        </w:rPr>
        <w:lastRenderedPageBreak/>
        <w:t>Hypothetisches Beispiel:</w:t>
      </w:r>
    </w:p>
    <w:p w14:paraId="5F42D398" w14:textId="77777777" w:rsidR="00F42374" w:rsidRPr="00007468" w:rsidRDefault="00F42374" w:rsidP="00F42374">
      <w:pPr>
        <w:ind w:left="709"/>
        <w:rPr>
          <w:noProof/>
          <w:snapToGrid w:val="0"/>
          <w:lang w:val="de-DE"/>
        </w:rPr>
      </w:pPr>
    </w:p>
    <w:p w14:paraId="21BC6488" w14:textId="77777777" w:rsidR="00F42374" w:rsidRPr="00007468" w:rsidRDefault="00F42374" w:rsidP="00F42374">
      <w:pPr>
        <w:ind w:left="709"/>
        <w:rPr>
          <w:noProof/>
          <w:snapToGrid w:val="0"/>
          <w:lang w:val="de-DE"/>
        </w:rPr>
      </w:pPr>
      <w:r w:rsidRPr="00007468">
        <w:rPr>
          <w:noProof/>
          <w:snapToGrid w:val="0"/>
          <w:lang w:val="de-DE"/>
        </w:rPr>
        <w:t>(QN) „Vorhandensein von Haaren: fehlend oder sehr gering.“</w:t>
      </w:r>
    </w:p>
    <w:p w14:paraId="536987FA" w14:textId="77777777" w:rsidR="00F42374" w:rsidRPr="000A4DC7" w:rsidRDefault="00F42374" w:rsidP="00F42374">
      <w:pPr>
        <w:ind w:left="709"/>
        <w:rPr>
          <w:noProof/>
          <w:snapToGrid w:val="0"/>
          <w:lang w:val="de-DE"/>
        </w:rPr>
      </w:pPr>
      <w:r w:rsidRPr="00007468">
        <w:rPr>
          <w:noProof/>
          <w:snapToGrid w:val="0"/>
          <w:lang w:val="de-DE"/>
        </w:rPr>
        <w:t>(PQ) „Haare: Farbe“</w:t>
      </w:r>
    </w:p>
    <w:p w14:paraId="1292621B" w14:textId="77777777" w:rsidR="00F42374" w:rsidRPr="000A4DC7" w:rsidRDefault="00F42374" w:rsidP="00F42374">
      <w:pPr>
        <w:rPr>
          <w:noProof/>
          <w:lang w:val="de-DE"/>
        </w:rPr>
      </w:pPr>
    </w:p>
    <w:p w14:paraId="14CA68F3" w14:textId="77777777" w:rsidR="00F42374" w:rsidRPr="00950BFC" w:rsidRDefault="00F42374" w:rsidP="00F42374">
      <w:pPr>
        <w:rPr>
          <w:lang w:val="de-DE"/>
        </w:rPr>
      </w:pPr>
      <w:r w:rsidRPr="000A4DC7">
        <w:rPr>
          <w:noProof/>
          <w:lang w:val="de-DE"/>
        </w:rPr>
        <w:fldChar w:fldCharType="begin"/>
      </w:r>
      <w:r w:rsidRPr="000A4DC7">
        <w:rPr>
          <w:noProof/>
          <w:lang w:val="de-DE"/>
        </w:rPr>
        <w:instrText xml:space="preserve"> AUTONUM  </w:instrText>
      </w:r>
      <w:r w:rsidRPr="000A4DC7">
        <w:rPr>
          <w:noProof/>
          <w:lang w:val="de-DE"/>
        </w:rPr>
        <w:fldChar w:fldCharType="end"/>
      </w:r>
      <w:r w:rsidRPr="000A4DC7">
        <w:rPr>
          <w:noProof/>
          <w:lang w:val="de-DE"/>
        </w:rPr>
        <w:tab/>
      </w:r>
      <w:r w:rsidRPr="00950BFC">
        <w:rPr>
          <w:lang w:val="de-DE"/>
        </w:rPr>
        <w:t>Auf der Grundlage der Bemerkungen der TWP auf ihre</w:t>
      </w:r>
      <w:r>
        <w:rPr>
          <w:lang w:val="de-DE"/>
        </w:rPr>
        <w:t>n</w:t>
      </w:r>
      <w:r w:rsidRPr="00950BFC">
        <w:rPr>
          <w:lang w:val="de-DE"/>
        </w:rPr>
        <w:t xml:space="preserve"> Tagung</w:t>
      </w:r>
      <w:r>
        <w:rPr>
          <w:lang w:val="de-DE"/>
        </w:rPr>
        <w:t>en</w:t>
      </w:r>
      <w:r w:rsidRPr="00950BFC">
        <w:rPr>
          <w:lang w:val="de-DE"/>
        </w:rPr>
        <w:t xml:space="preserve"> im Jahr 2019, wird der TC ersucht, den Vorschlag zur Änderung der Anleitung in Dokument TGP/7, Erläuterung 18 (GN 18)</w:t>
      </w:r>
      <w:r>
        <w:rPr>
          <w:lang w:val="de-DE"/>
        </w:rPr>
        <w:t>,</w:t>
      </w:r>
      <w:r w:rsidRPr="00950BFC">
        <w:rPr>
          <w:lang w:val="de-DE"/>
        </w:rPr>
        <w:t xml:space="preserve"> zu prüfen, um den Ausschluß eines Merkmals von der Erfassung aufgrund einer Ausprägungsstufe eines vorhergehenden pseudo-qualitativen oder quantitativen Merkmals wie folgt zuzulassen (vorgeschlagene Streichung</w:t>
      </w:r>
      <w:r>
        <w:rPr>
          <w:lang w:val="de-DE"/>
        </w:rPr>
        <w:t>en</w:t>
      </w:r>
      <w:r w:rsidRPr="00950BFC">
        <w:rPr>
          <w:lang w:val="de-DE"/>
        </w:rPr>
        <w:t xml:space="preserve"> von Wortlaut </w:t>
      </w:r>
      <w:r>
        <w:rPr>
          <w:lang w:val="de-DE"/>
        </w:rPr>
        <w:t>werden</w:t>
      </w:r>
      <w:r w:rsidRPr="00950BFC">
        <w:rPr>
          <w:lang w:val="de-DE"/>
        </w:rPr>
        <w:t xml:space="preserve"> durch </w:t>
      </w:r>
      <w:r w:rsidRPr="00C76350">
        <w:rPr>
          <w:strike/>
          <w:highlight w:val="lightGray"/>
          <w:lang w:val="de-DE"/>
        </w:rPr>
        <w:t>Hervorheben und Durchstreichen</w:t>
      </w:r>
      <w:r w:rsidRPr="00950BFC">
        <w:rPr>
          <w:lang w:val="de-DE"/>
        </w:rPr>
        <w:t xml:space="preserve"> </w:t>
      </w:r>
      <w:r>
        <w:rPr>
          <w:lang w:val="de-DE"/>
        </w:rPr>
        <w:t xml:space="preserve">und </w:t>
      </w:r>
      <w:r w:rsidRPr="00007468">
        <w:rPr>
          <w:lang w:val="de-DE"/>
        </w:rPr>
        <w:t>Ein</w:t>
      </w:r>
      <w:r w:rsidRPr="00DE3399">
        <w:rPr>
          <w:lang w:val="de-DE"/>
        </w:rPr>
        <w:t>fügungen</w:t>
      </w:r>
      <w:r>
        <w:rPr>
          <w:lang w:val="de-DE"/>
        </w:rPr>
        <w:t xml:space="preserve"> werden durch </w:t>
      </w:r>
      <w:r w:rsidRPr="00007468">
        <w:rPr>
          <w:highlight w:val="lightGray"/>
          <w:u w:val="single"/>
          <w:lang w:val="de-DE"/>
        </w:rPr>
        <w:t>Hervorheben und Unterstreichen</w:t>
      </w:r>
      <w:r w:rsidRPr="00DE3399">
        <w:rPr>
          <w:lang w:val="de-DE"/>
        </w:rPr>
        <w:t xml:space="preserve"> </w:t>
      </w:r>
      <w:r w:rsidRPr="00950BFC">
        <w:rPr>
          <w:lang w:val="de-DE"/>
        </w:rPr>
        <w:t>angezeigt):</w:t>
      </w:r>
    </w:p>
    <w:p w14:paraId="3428DC2A" w14:textId="77777777" w:rsidR="00F42374" w:rsidRPr="000A4DC7" w:rsidRDefault="00F42374" w:rsidP="00F42374">
      <w:pPr>
        <w:rPr>
          <w:noProof/>
          <w:lang w:val="de-DE"/>
        </w:rPr>
      </w:pPr>
    </w:p>
    <w:p w14:paraId="1E92FF57" w14:textId="77777777" w:rsidR="00F42374" w:rsidRPr="00950BFC" w:rsidRDefault="00F42374" w:rsidP="00F42374">
      <w:pPr>
        <w:ind w:left="567" w:right="565"/>
        <w:rPr>
          <w:rFonts w:cs="Arial"/>
          <w:bCs/>
          <w:i/>
          <w:snapToGrid w:val="0"/>
          <w:sz w:val="18"/>
          <w:lang w:val="de-DE"/>
        </w:rPr>
      </w:pPr>
      <w:r w:rsidRPr="00950BFC">
        <w:rPr>
          <w:rFonts w:cs="Arial"/>
          <w:bCs/>
          <w:i/>
          <w:snapToGrid w:val="0"/>
          <w:sz w:val="18"/>
          <w:lang w:val="de-DE"/>
        </w:rPr>
        <w:t>3. Merkmale, die nur für bestimmte Sorten gelten</w:t>
      </w:r>
    </w:p>
    <w:p w14:paraId="085A7C68" w14:textId="77777777" w:rsidR="00F42374" w:rsidRPr="00950BFC" w:rsidRDefault="00F42374" w:rsidP="00F42374">
      <w:pPr>
        <w:ind w:left="567" w:right="565"/>
        <w:rPr>
          <w:rFonts w:cs="Arial"/>
          <w:bCs/>
          <w:snapToGrid w:val="0"/>
          <w:sz w:val="18"/>
          <w:lang w:val="de-DE"/>
        </w:rPr>
      </w:pPr>
    </w:p>
    <w:p w14:paraId="1263666B" w14:textId="77777777" w:rsidR="00F42374" w:rsidRPr="000A4DC7" w:rsidRDefault="00F42374" w:rsidP="00F42374">
      <w:pPr>
        <w:ind w:left="567" w:right="565"/>
        <w:rPr>
          <w:rFonts w:cs="Arial"/>
          <w:bCs/>
          <w:noProof/>
          <w:snapToGrid w:val="0"/>
          <w:sz w:val="18"/>
          <w:lang w:val="de-DE"/>
        </w:rPr>
      </w:pPr>
      <w:r w:rsidRPr="00950BFC">
        <w:rPr>
          <w:rFonts w:cs="Arial"/>
          <w:bCs/>
          <w:snapToGrid w:val="0"/>
          <w:sz w:val="18"/>
          <w:lang w:val="de-DE"/>
        </w:rPr>
        <w:t xml:space="preserve">In einigen Fällen bestimmt die Ausprägungsstufe eines vorhergehenden </w:t>
      </w:r>
      <w:r w:rsidRPr="00C76350">
        <w:rPr>
          <w:rFonts w:cs="Arial"/>
          <w:bCs/>
          <w:strike/>
          <w:snapToGrid w:val="0"/>
          <w:sz w:val="18"/>
          <w:highlight w:val="lightGray"/>
          <w:lang w:val="de-DE"/>
        </w:rPr>
        <w:t>qualitativen</w:t>
      </w:r>
      <w:r w:rsidRPr="00950BFC">
        <w:rPr>
          <w:rFonts w:cs="Arial"/>
          <w:bCs/>
          <w:snapToGrid w:val="0"/>
          <w:sz w:val="18"/>
          <w:lang w:val="de-DE"/>
        </w:rPr>
        <w:t xml:space="preserve"> Merkmals, daß ein bestimmtes nachfolgendes Merkmal nicht anwendbar ist; z.B. wäre es nicht möglich, die Form der Blattlappen für eine Sorte zu beschreiben, die keine Blattlappen hat</w:t>
      </w:r>
      <w:r w:rsidRPr="000A4DC7">
        <w:rPr>
          <w:rFonts w:cs="Arial"/>
          <w:bCs/>
          <w:noProof/>
          <w:snapToGrid w:val="0"/>
          <w:sz w:val="18"/>
          <w:lang w:val="de-DE"/>
        </w:rPr>
        <w:t xml:space="preserve">. </w:t>
      </w:r>
    </w:p>
    <w:p w14:paraId="0A5CD909" w14:textId="77777777" w:rsidR="00F42374" w:rsidRPr="000A4DC7" w:rsidRDefault="00F42374" w:rsidP="00F42374">
      <w:pPr>
        <w:ind w:left="567" w:right="565"/>
        <w:rPr>
          <w:rFonts w:cs="Arial"/>
          <w:bCs/>
          <w:noProof/>
          <w:snapToGrid w:val="0"/>
          <w:sz w:val="18"/>
          <w:szCs w:val="18"/>
          <w:highlight w:val="lightGray"/>
          <w:u w:val="single"/>
          <w:lang w:val="de-DE"/>
        </w:rPr>
      </w:pPr>
    </w:p>
    <w:p w14:paraId="26FEF0A8" w14:textId="77777777" w:rsidR="00F42374" w:rsidRPr="000A4DC7" w:rsidRDefault="00F42374" w:rsidP="00F42374">
      <w:pPr>
        <w:ind w:left="567" w:right="565"/>
        <w:rPr>
          <w:rFonts w:cs="Arial"/>
          <w:bCs/>
          <w:noProof/>
          <w:snapToGrid w:val="0"/>
          <w:sz w:val="18"/>
          <w:lang w:val="de-DE"/>
        </w:rPr>
      </w:pPr>
      <w:r w:rsidRPr="000660BA">
        <w:rPr>
          <w:rFonts w:cs="Arial"/>
          <w:bCs/>
          <w:noProof/>
          <w:snapToGrid w:val="0"/>
          <w:sz w:val="18"/>
          <w:lang w:val="de-DE"/>
        </w:rPr>
        <w:t>In Fällen, in denen dies nicht offensichtlich ist oder die Merkmale in der Merkmalstabelle getrennt sind, geht der Bezeichnung des nachfolgenden Merkmals ein unterstrichener Hinweis auf die Sortentypen aufgrund des vorhergehenden Merkmals voraus</w:t>
      </w:r>
      <w:r w:rsidRPr="000A4DC7">
        <w:rPr>
          <w:rFonts w:cs="Arial"/>
          <w:bCs/>
          <w:noProof/>
          <w:snapToGrid w:val="0"/>
          <w:sz w:val="18"/>
          <w:lang w:val="de-DE"/>
        </w:rPr>
        <w:t>.</w:t>
      </w:r>
    </w:p>
    <w:p w14:paraId="1D633453" w14:textId="77777777" w:rsidR="00F42374" w:rsidRPr="000A4DC7" w:rsidRDefault="00F42374" w:rsidP="00F42374">
      <w:pPr>
        <w:ind w:left="567" w:right="565"/>
        <w:rPr>
          <w:rFonts w:cs="Arial"/>
          <w:bCs/>
          <w:noProof/>
          <w:snapToGrid w:val="0"/>
          <w:sz w:val="18"/>
          <w:lang w:val="de-DE"/>
        </w:rPr>
      </w:pPr>
    </w:p>
    <w:p w14:paraId="01DB1F16" w14:textId="77777777" w:rsidR="00F42374" w:rsidRDefault="00F42374" w:rsidP="00F42374">
      <w:pPr>
        <w:ind w:left="567" w:right="565"/>
        <w:rPr>
          <w:noProof/>
          <w:sz w:val="18"/>
          <w:szCs w:val="18"/>
          <w:u w:val="single"/>
          <w:lang w:val="de-DE"/>
        </w:rPr>
      </w:pPr>
      <w:r>
        <w:rPr>
          <w:noProof/>
          <w:sz w:val="18"/>
          <w:szCs w:val="18"/>
          <w:highlight w:val="lightGray"/>
          <w:u w:val="single"/>
          <w:lang w:val="de-DE"/>
        </w:rPr>
        <w:t>Die</w:t>
      </w:r>
      <w:r w:rsidRPr="000660BA">
        <w:rPr>
          <w:noProof/>
          <w:sz w:val="18"/>
          <w:szCs w:val="18"/>
          <w:highlight w:val="lightGray"/>
          <w:u w:val="single"/>
          <w:lang w:val="de-DE"/>
        </w:rPr>
        <w:t xml:space="preserve"> folgenden Beispiele zeigen auf, wie der vorgeschlagene Ansatz für QL-, PQ- und QN-Merkmale so verwendet werden kann, daß keine Risiken für Entscheidungen über die Unterscheidbarkeit entstehen.</w:t>
      </w:r>
    </w:p>
    <w:p w14:paraId="4E4434AE" w14:textId="77777777" w:rsidR="00F42374" w:rsidRPr="000A4DC7" w:rsidRDefault="00F42374" w:rsidP="00F42374">
      <w:pPr>
        <w:ind w:left="567" w:right="565"/>
        <w:rPr>
          <w:rFonts w:cs="Arial"/>
          <w:bCs/>
          <w:noProof/>
          <w:snapToGrid w:val="0"/>
          <w:sz w:val="18"/>
          <w:lang w:val="de-DE"/>
        </w:rPr>
      </w:pPr>
    </w:p>
    <w:p w14:paraId="29A5DF11" w14:textId="77777777" w:rsidR="00F42374" w:rsidRPr="000A4DC7" w:rsidRDefault="00F42374" w:rsidP="00F42374">
      <w:pPr>
        <w:ind w:left="1134" w:right="565"/>
        <w:rPr>
          <w:rFonts w:cs="Arial"/>
          <w:bCs/>
          <w:snapToGrid w:val="0"/>
          <w:sz w:val="18"/>
          <w:lang w:val="de-DE"/>
        </w:rPr>
      </w:pPr>
      <w:r w:rsidRPr="000A4DC7">
        <w:rPr>
          <w:rFonts w:cs="Arial"/>
          <w:bCs/>
          <w:noProof/>
          <w:snapToGrid w:val="0"/>
          <w:sz w:val="18"/>
          <w:highlight w:val="lightGray"/>
          <w:u w:val="single"/>
          <w:lang w:val="de-DE"/>
        </w:rPr>
        <w:t>(QL)</w:t>
      </w:r>
      <w:r w:rsidRPr="000A4DC7">
        <w:rPr>
          <w:rFonts w:cs="Arial"/>
          <w:bCs/>
          <w:noProof/>
          <w:snapToGrid w:val="0"/>
          <w:sz w:val="18"/>
          <w:u w:val="single"/>
          <w:lang w:val="de-DE"/>
        </w:rPr>
        <w:t xml:space="preserve"> </w:t>
      </w:r>
      <w:r w:rsidRPr="00950BFC">
        <w:rPr>
          <w:rFonts w:cs="Arial"/>
          <w:bCs/>
          <w:snapToGrid w:val="0"/>
          <w:sz w:val="18"/>
          <w:u w:val="single"/>
          <w:lang w:val="de-DE"/>
        </w:rPr>
        <w:t>Nur Sorten mit Blüte: Typ: einfach:</w:t>
      </w:r>
      <w:r w:rsidRPr="00950BFC">
        <w:rPr>
          <w:rFonts w:cs="Arial"/>
          <w:bCs/>
          <w:snapToGrid w:val="0"/>
          <w:sz w:val="18"/>
          <w:lang w:val="de-DE"/>
        </w:rPr>
        <w:t xml:space="preserve"> Blüte: Form</w:t>
      </w:r>
    </w:p>
    <w:p w14:paraId="5B6B5036" w14:textId="77777777" w:rsidR="00F42374" w:rsidRPr="000A4DC7" w:rsidRDefault="00F42374" w:rsidP="00F42374">
      <w:pPr>
        <w:ind w:left="567" w:right="565"/>
        <w:rPr>
          <w:rFonts w:cs="Arial"/>
          <w:bCs/>
          <w:noProof/>
          <w:snapToGrid w:val="0"/>
          <w:sz w:val="18"/>
          <w:szCs w:val="18"/>
          <w:highlight w:val="lightGray"/>
          <w:u w:val="single"/>
          <w:lang w:val="de-DE"/>
        </w:rPr>
      </w:pPr>
    </w:p>
    <w:p w14:paraId="3EF11AEF" w14:textId="77777777" w:rsidR="00F42374" w:rsidRPr="000A4DC7" w:rsidRDefault="00F42374" w:rsidP="00F42374">
      <w:pPr>
        <w:ind w:left="567" w:right="565" w:firstLine="567"/>
        <w:rPr>
          <w:rFonts w:cs="Arial"/>
          <w:bCs/>
          <w:noProof/>
          <w:snapToGrid w:val="0"/>
          <w:sz w:val="18"/>
          <w:szCs w:val="18"/>
          <w:u w:val="single"/>
          <w:lang w:val="de-DE"/>
        </w:rPr>
      </w:pPr>
      <w:r w:rsidRPr="006C1CCC">
        <w:rPr>
          <w:rFonts w:cs="Arial"/>
          <w:bCs/>
          <w:noProof/>
          <w:snapToGrid w:val="0"/>
          <w:sz w:val="18"/>
          <w:szCs w:val="18"/>
          <w:highlight w:val="lightGray"/>
          <w:u w:val="single"/>
          <w:lang w:val="de-DE"/>
        </w:rPr>
        <w:t xml:space="preserve">[zu ergänzen mit </w:t>
      </w:r>
      <w:r>
        <w:rPr>
          <w:rFonts w:cs="Arial"/>
          <w:bCs/>
          <w:noProof/>
          <w:snapToGrid w:val="0"/>
          <w:sz w:val="18"/>
          <w:szCs w:val="18"/>
          <w:highlight w:val="lightGray"/>
          <w:u w:val="single"/>
          <w:lang w:val="de-DE"/>
        </w:rPr>
        <w:t>Beispielen</w:t>
      </w:r>
      <w:r w:rsidRPr="000A4DC7">
        <w:rPr>
          <w:rFonts w:cs="Arial"/>
          <w:bCs/>
          <w:noProof/>
          <w:snapToGrid w:val="0"/>
          <w:sz w:val="18"/>
          <w:szCs w:val="18"/>
          <w:highlight w:val="lightGray"/>
          <w:u w:val="single"/>
          <w:lang w:val="de-DE"/>
        </w:rPr>
        <w:t xml:space="preserve"> </w:t>
      </w:r>
      <w:r>
        <w:rPr>
          <w:rFonts w:cs="Arial"/>
          <w:bCs/>
          <w:noProof/>
          <w:snapToGrid w:val="0"/>
          <w:sz w:val="18"/>
          <w:szCs w:val="18"/>
          <w:highlight w:val="lightGray"/>
          <w:u w:val="single"/>
          <w:lang w:val="de-DE"/>
        </w:rPr>
        <w:t>für</w:t>
      </w:r>
      <w:r w:rsidRPr="000A4DC7">
        <w:rPr>
          <w:rFonts w:cs="Arial"/>
          <w:bCs/>
          <w:noProof/>
          <w:snapToGrid w:val="0"/>
          <w:sz w:val="18"/>
          <w:szCs w:val="18"/>
          <w:highlight w:val="lightGray"/>
          <w:u w:val="single"/>
          <w:lang w:val="de-DE"/>
        </w:rPr>
        <w:t xml:space="preserve"> QN</w:t>
      </w:r>
      <w:r w:rsidR="0001511E">
        <w:rPr>
          <w:rFonts w:cs="Arial"/>
          <w:bCs/>
          <w:noProof/>
          <w:snapToGrid w:val="0"/>
          <w:sz w:val="18"/>
          <w:szCs w:val="18"/>
          <w:highlight w:val="lightGray"/>
          <w:u w:val="single"/>
          <w:lang w:val="de-DE"/>
        </w:rPr>
        <w:t>-</w:t>
      </w:r>
      <w:r w:rsidRPr="000A4DC7">
        <w:rPr>
          <w:rFonts w:cs="Arial"/>
          <w:bCs/>
          <w:noProof/>
          <w:snapToGrid w:val="0"/>
          <w:sz w:val="18"/>
          <w:szCs w:val="18"/>
          <w:highlight w:val="lightGray"/>
          <w:u w:val="single"/>
          <w:lang w:val="de-DE"/>
        </w:rPr>
        <w:t xml:space="preserve"> </w:t>
      </w:r>
      <w:r>
        <w:rPr>
          <w:rFonts w:cs="Arial"/>
          <w:bCs/>
          <w:noProof/>
          <w:snapToGrid w:val="0"/>
          <w:sz w:val="18"/>
          <w:szCs w:val="18"/>
          <w:highlight w:val="lightGray"/>
          <w:u w:val="single"/>
          <w:lang w:val="de-DE"/>
        </w:rPr>
        <w:t>u</w:t>
      </w:r>
      <w:r w:rsidRPr="000A4DC7">
        <w:rPr>
          <w:rFonts w:cs="Arial"/>
          <w:bCs/>
          <w:noProof/>
          <w:snapToGrid w:val="0"/>
          <w:sz w:val="18"/>
          <w:szCs w:val="18"/>
          <w:highlight w:val="lightGray"/>
          <w:u w:val="single"/>
          <w:lang w:val="de-DE"/>
        </w:rPr>
        <w:t>nd PQ</w:t>
      </w:r>
      <w:r w:rsidR="0001511E">
        <w:rPr>
          <w:rFonts w:cs="Arial"/>
          <w:bCs/>
          <w:noProof/>
          <w:snapToGrid w:val="0"/>
          <w:sz w:val="18"/>
          <w:szCs w:val="18"/>
          <w:highlight w:val="lightGray"/>
          <w:u w:val="single"/>
          <w:lang w:val="de-DE"/>
        </w:rPr>
        <w:t>-</w:t>
      </w:r>
      <w:r>
        <w:rPr>
          <w:rFonts w:cs="Arial"/>
          <w:bCs/>
          <w:noProof/>
          <w:snapToGrid w:val="0"/>
          <w:sz w:val="18"/>
          <w:szCs w:val="18"/>
          <w:highlight w:val="lightGray"/>
          <w:u w:val="single"/>
          <w:lang w:val="de-DE"/>
        </w:rPr>
        <w:t>Merkmale</w:t>
      </w:r>
      <w:r w:rsidRPr="000A4DC7">
        <w:rPr>
          <w:rFonts w:cs="Arial"/>
          <w:bCs/>
          <w:noProof/>
          <w:snapToGrid w:val="0"/>
          <w:sz w:val="18"/>
          <w:szCs w:val="18"/>
          <w:highlight w:val="lightGray"/>
          <w:u w:val="single"/>
          <w:lang w:val="de-DE"/>
        </w:rPr>
        <w:t>]</w:t>
      </w:r>
    </w:p>
    <w:p w14:paraId="42A30B35" w14:textId="77777777" w:rsidR="00F42374" w:rsidRPr="000A4DC7" w:rsidRDefault="00F42374" w:rsidP="00F42374">
      <w:pPr>
        <w:ind w:left="567" w:right="565"/>
        <w:rPr>
          <w:rFonts w:cs="Arial"/>
          <w:bCs/>
          <w:noProof/>
          <w:snapToGrid w:val="0"/>
          <w:sz w:val="18"/>
          <w:szCs w:val="18"/>
          <w:highlight w:val="lightGray"/>
          <w:u w:val="single"/>
          <w:lang w:val="de-DE"/>
        </w:rPr>
      </w:pPr>
    </w:p>
    <w:p w14:paraId="03F1B591" w14:textId="77777777" w:rsidR="00F42374" w:rsidRPr="000A4DC7" w:rsidRDefault="00F42374" w:rsidP="00F42374">
      <w:pPr>
        <w:ind w:left="567" w:right="565"/>
        <w:rPr>
          <w:rFonts w:cs="Arial"/>
          <w:bCs/>
          <w:noProof/>
          <w:snapToGrid w:val="0"/>
          <w:sz w:val="18"/>
          <w:u w:val="single"/>
          <w:lang w:val="de-DE"/>
        </w:rPr>
      </w:pPr>
      <w:r>
        <w:rPr>
          <w:noProof/>
          <w:sz w:val="18"/>
          <w:highlight w:val="lightGray"/>
          <w:u w:val="single"/>
          <w:lang w:val="de-DE"/>
        </w:rPr>
        <w:t>Der</w:t>
      </w:r>
      <w:r w:rsidRPr="004D632A">
        <w:rPr>
          <w:noProof/>
          <w:sz w:val="18"/>
          <w:highlight w:val="lightGray"/>
          <w:u w:val="single"/>
          <w:lang w:val="de-DE"/>
        </w:rPr>
        <w:t xml:space="preserve"> Ausschluß von Merkmalen von der Erfassung aufgrund eines vorhergehenden pseudo-qualitativen </w:t>
      </w:r>
      <w:r>
        <w:rPr>
          <w:noProof/>
          <w:sz w:val="18"/>
          <w:highlight w:val="lightGray"/>
          <w:u w:val="single"/>
          <w:lang w:val="de-DE"/>
        </w:rPr>
        <w:t>(</w:t>
      </w:r>
      <w:r w:rsidRPr="000A4DC7">
        <w:rPr>
          <w:rFonts w:cs="Arial"/>
          <w:bCs/>
          <w:noProof/>
          <w:snapToGrid w:val="0"/>
          <w:sz w:val="18"/>
          <w:szCs w:val="18"/>
          <w:highlight w:val="lightGray"/>
          <w:u w:val="single"/>
          <w:lang w:val="de-DE"/>
        </w:rPr>
        <w:t>PQ</w:t>
      </w:r>
      <w:r>
        <w:rPr>
          <w:rFonts w:cs="Arial"/>
          <w:bCs/>
          <w:noProof/>
          <w:snapToGrid w:val="0"/>
          <w:sz w:val="18"/>
          <w:szCs w:val="18"/>
          <w:highlight w:val="lightGray"/>
          <w:u w:val="single"/>
          <w:lang w:val="de-DE"/>
        </w:rPr>
        <w:t xml:space="preserve">) </w:t>
      </w:r>
      <w:r w:rsidRPr="004D632A">
        <w:rPr>
          <w:noProof/>
          <w:sz w:val="18"/>
          <w:highlight w:val="lightGray"/>
          <w:u w:val="single"/>
          <w:lang w:val="de-DE"/>
        </w:rPr>
        <w:t xml:space="preserve">oder quantitativen Merkmals </w:t>
      </w:r>
      <w:r w:rsidRPr="00007468">
        <w:rPr>
          <w:bCs/>
          <w:noProof/>
          <w:sz w:val="18"/>
          <w:highlight w:val="lightGray"/>
          <w:u w:val="single"/>
          <w:lang w:val="de-DE"/>
        </w:rPr>
        <w:t xml:space="preserve">(QN) </w:t>
      </w:r>
      <w:r w:rsidRPr="004D632A">
        <w:rPr>
          <w:noProof/>
          <w:sz w:val="18"/>
          <w:highlight w:val="lightGray"/>
          <w:u w:val="single"/>
          <w:lang w:val="de-DE"/>
        </w:rPr>
        <w:t>sollte unter Berücksichtigung der Konsequenzen für die Prüfung der Unterscheidbarkeit mit Vorsicht verwendet werden</w:t>
      </w:r>
      <w:r w:rsidRPr="004D632A">
        <w:rPr>
          <w:rFonts w:cs="Arial"/>
          <w:bCs/>
          <w:noProof/>
          <w:snapToGrid w:val="0"/>
          <w:sz w:val="18"/>
          <w:highlight w:val="lightGray"/>
          <w:u w:val="single"/>
          <w:lang w:val="de-DE"/>
        </w:rPr>
        <w:t>.</w:t>
      </w:r>
    </w:p>
    <w:p w14:paraId="6ACF2FD3" w14:textId="77777777" w:rsidR="00F42374" w:rsidRPr="000A4DC7" w:rsidRDefault="00F42374" w:rsidP="00F42374">
      <w:pPr>
        <w:rPr>
          <w:noProof/>
          <w:lang w:val="de-DE"/>
        </w:rPr>
      </w:pPr>
    </w:p>
    <w:p w14:paraId="296A9BAD" w14:textId="77777777" w:rsidR="00F42374" w:rsidRPr="000A4DC7" w:rsidRDefault="00F42374" w:rsidP="00F42374">
      <w:pPr>
        <w:rPr>
          <w:noProof/>
          <w:lang w:val="de-DE"/>
        </w:rPr>
      </w:pPr>
    </w:p>
    <w:p w14:paraId="79E31695" w14:textId="77777777" w:rsidR="00F42374" w:rsidRPr="000A4DC7" w:rsidRDefault="00F42374" w:rsidP="00F42374">
      <w:pPr>
        <w:pStyle w:val="DecisionParagraphs"/>
        <w:rPr>
          <w:noProof/>
          <w:snapToGrid w:val="0"/>
          <w:lang w:val="de-DE"/>
        </w:rPr>
      </w:pPr>
      <w:r w:rsidRPr="000A4DC7">
        <w:rPr>
          <w:noProof/>
          <w:snapToGrid w:val="0"/>
          <w:lang w:val="de-DE"/>
        </w:rPr>
        <w:fldChar w:fldCharType="begin"/>
      </w:r>
      <w:r w:rsidRPr="000A4DC7">
        <w:rPr>
          <w:noProof/>
          <w:snapToGrid w:val="0"/>
          <w:lang w:val="de-DE"/>
        </w:rPr>
        <w:instrText xml:space="preserve"> AUTONUM  </w:instrText>
      </w:r>
      <w:r w:rsidRPr="000A4DC7">
        <w:rPr>
          <w:noProof/>
          <w:snapToGrid w:val="0"/>
          <w:lang w:val="de-DE"/>
        </w:rPr>
        <w:fldChar w:fldCharType="end"/>
      </w:r>
      <w:r w:rsidRPr="000A4DC7">
        <w:rPr>
          <w:noProof/>
          <w:snapToGrid w:val="0"/>
          <w:lang w:val="de-DE"/>
        </w:rPr>
        <w:tab/>
      </w:r>
      <w:r w:rsidRPr="004D632A">
        <w:rPr>
          <w:noProof/>
          <w:snapToGrid w:val="0"/>
          <w:lang w:val="de-DE"/>
        </w:rPr>
        <w:t>Der TC wird ersucht zu prüfen</w:t>
      </w:r>
      <w:r w:rsidRPr="000A4DC7">
        <w:rPr>
          <w:noProof/>
          <w:snapToGrid w:val="0"/>
          <w:lang w:val="de-DE"/>
        </w:rPr>
        <w:t>:</w:t>
      </w:r>
    </w:p>
    <w:p w14:paraId="17E6510F" w14:textId="77777777" w:rsidR="00F42374" w:rsidRPr="000A4DC7" w:rsidRDefault="00F42374" w:rsidP="00F42374">
      <w:pPr>
        <w:pStyle w:val="DecisionParagraphs"/>
        <w:rPr>
          <w:noProof/>
          <w:snapToGrid w:val="0"/>
          <w:lang w:val="de-DE"/>
        </w:rPr>
      </w:pPr>
    </w:p>
    <w:p w14:paraId="79C07AE5" w14:textId="77777777" w:rsidR="00F42374" w:rsidRPr="006C1CCC" w:rsidRDefault="00F42374" w:rsidP="00F42374">
      <w:pPr>
        <w:pStyle w:val="DecisionParagraphs"/>
        <w:tabs>
          <w:tab w:val="left" w:pos="5954"/>
        </w:tabs>
        <w:rPr>
          <w:noProof/>
          <w:snapToGrid w:val="0"/>
          <w:lang w:val="de-DE"/>
        </w:rPr>
      </w:pPr>
      <w:r w:rsidRPr="00007468">
        <w:rPr>
          <w:noProof/>
          <w:snapToGrid w:val="0"/>
          <w:lang w:val="de-DE"/>
        </w:rPr>
        <w:tab/>
        <w:t>a)</w:t>
      </w:r>
      <w:r w:rsidRPr="00007468">
        <w:rPr>
          <w:noProof/>
          <w:snapToGrid w:val="0"/>
          <w:lang w:val="de-DE"/>
        </w:rPr>
        <w:tab/>
      </w:r>
      <w:r w:rsidRPr="004D632A">
        <w:rPr>
          <w:noProof/>
          <w:snapToGrid w:val="0"/>
          <w:lang w:val="de-DE"/>
        </w:rPr>
        <w:t xml:space="preserve">die Beispiele für quantitative und pseudo-qualitative Merkmale, die von den TWP auf ihren Tagungen im Jahr 2019 dargelegt wurden, um aufzuzeigen, wie der vorgeschlagene Ansatz so verwendet werden kann, daß keine Risiken für Entscheidungen über die Unterscheidbarkeit entstehen;  wie in </w:t>
      </w:r>
      <w:r w:rsidRPr="006C1CCC">
        <w:rPr>
          <w:noProof/>
          <w:snapToGrid w:val="0"/>
          <w:lang w:val="de-DE"/>
        </w:rPr>
        <w:t>Absatz 13 dieses Dokuments dargelegt; und</w:t>
      </w:r>
    </w:p>
    <w:p w14:paraId="6837AA36" w14:textId="77777777" w:rsidR="00F42374" w:rsidRPr="006C1CCC" w:rsidRDefault="00F42374" w:rsidP="00F42374">
      <w:pPr>
        <w:pStyle w:val="DecisionParagraphs"/>
        <w:rPr>
          <w:noProof/>
          <w:snapToGrid w:val="0"/>
          <w:lang w:val="de-DE"/>
        </w:rPr>
      </w:pPr>
    </w:p>
    <w:p w14:paraId="3A89BFBF" w14:textId="77777777" w:rsidR="00F42374" w:rsidRPr="000A4DC7" w:rsidRDefault="00F42374" w:rsidP="00F42374">
      <w:pPr>
        <w:pStyle w:val="DecisionParagraphs"/>
        <w:tabs>
          <w:tab w:val="left" w:pos="5954"/>
        </w:tabs>
        <w:rPr>
          <w:noProof/>
          <w:snapToGrid w:val="0"/>
          <w:lang w:val="de-DE"/>
        </w:rPr>
      </w:pPr>
      <w:r w:rsidRPr="006C1CCC">
        <w:rPr>
          <w:noProof/>
          <w:snapToGrid w:val="0"/>
          <w:lang w:val="de-DE"/>
        </w:rPr>
        <w:tab/>
        <w:t>b)</w:t>
      </w:r>
      <w:r w:rsidRPr="006C1CCC">
        <w:rPr>
          <w:noProof/>
          <w:snapToGrid w:val="0"/>
          <w:lang w:val="de-DE"/>
        </w:rPr>
        <w:tab/>
      </w:r>
      <w:bookmarkStart w:id="9" w:name="_Hlk21466609"/>
      <w:r w:rsidRPr="006C1CCC">
        <w:rPr>
          <w:noProof/>
          <w:snapToGrid w:val="0"/>
          <w:lang w:val="de-DE"/>
        </w:rPr>
        <w:t>den Vorschlag zur Änderung der Anleitung in Dokument TGP/7, Erläuterung 18 (GN 18), um den Ausschluß eines Merkmals von der Erfassung aufgrund einer Ausprägungsstufe eines vorhergehenden pseudo-qualitativen oder quantitativen Merkmals zuzulassen, wie in Absatz 14 dieses Dokuments dargeleg</w:t>
      </w:r>
      <w:bookmarkEnd w:id="9"/>
      <w:r w:rsidRPr="006C1CCC">
        <w:rPr>
          <w:noProof/>
          <w:snapToGrid w:val="0"/>
          <w:lang w:val="de-DE"/>
        </w:rPr>
        <w:t>t.</w:t>
      </w:r>
      <w:bookmarkStart w:id="10" w:name="_GoBack"/>
      <w:bookmarkEnd w:id="10"/>
    </w:p>
    <w:p w14:paraId="518DCBF7" w14:textId="77777777" w:rsidR="00F42374" w:rsidRPr="000A4DC7" w:rsidRDefault="00F42374" w:rsidP="00F42374">
      <w:pPr>
        <w:rPr>
          <w:noProof/>
          <w:lang w:val="de-DE"/>
        </w:rPr>
      </w:pPr>
    </w:p>
    <w:p w14:paraId="47D6AACE" w14:textId="77777777" w:rsidR="00F42374" w:rsidRPr="000A4DC7" w:rsidRDefault="00F42374" w:rsidP="00F42374">
      <w:pPr>
        <w:rPr>
          <w:noProof/>
          <w:lang w:val="de-DE"/>
        </w:rPr>
      </w:pPr>
    </w:p>
    <w:p w14:paraId="11638624" w14:textId="77777777" w:rsidR="00F42374" w:rsidRPr="000A4DC7" w:rsidRDefault="00F42374" w:rsidP="00F42374">
      <w:pPr>
        <w:rPr>
          <w:noProof/>
          <w:lang w:val="de-DE"/>
        </w:rPr>
      </w:pPr>
    </w:p>
    <w:p w14:paraId="321DDCBC" w14:textId="77777777" w:rsidR="00F42374" w:rsidRPr="000A4DC7" w:rsidRDefault="00F42374" w:rsidP="00F42374">
      <w:pPr>
        <w:jc w:val="right"/>
        <w:rPr>
          <w:noProof/>
          <w:lang w:val="de-DE"/>
        </w:rPr>
      </w:pPr>
      <w:r w:rsidRPr="000A4DC7">
        <w:rPr>
          <w:noProof/>
          <w:lang w:val="de-DE"/>
        </w:rPr>
        <w:t xml:space="preserve"> [</w:t>
      </w:r>
      <w:r>
        <w:rPr>
          <w:noProof/>
          <w:lang w:val="de-DE"/>
        </w:rPr>
        <w:t>Ende des Dokuments</w:t>
      </w:r>
      <w:r w:rsidRPr="000A4DC7">
        <w:rPr>
          <w:noProof/>
          <w:lang w:val="de-DE"/>
        </w:rPr>
        <w:t>]</w:t>
      </w:r>
    </w:p>
    <w:p w14:paraId="3EA9E0FA" w14:textId="77777777" w:rsidR="00F42374" w:rsidRPr="000A4DC7" w:rsidRDefault="00F42374" w:rsidP="00F42374">
      <w:pPr>
        <w:jc w:val="left"/>
        <w:rPr>
          <w:noProof/>
          <w:lang w:val="de-DE"/>
        </w:rPr>
      </w:pPr>
    </w:p>
    <w:p w14:paraId="1628B801" w14:textId="77777777" w:rsidR="00F42374" w:rsidRDefault="00F42374"/>
    <w:sectPr w:rsidR="00F42374"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0DCAB" w14:textId="77777777" w:rsidR="00525E3D" w:rsidRDefault="00525E3D" w:rsidP="0001511E">
      <w:r>
        <w:separator/>
      </w:r>
    </w:p>
  </w:endnote>
  <w:endnote w:type="continuationSeparator" w:id="0">
    <w:p w14:paraId="03FF9901" w14:textId="77777777" w:rsidR="00525E3D" w:rsidRDefault="00525E3D" w:rsidP="0001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A556F" w14:textId="77777777" w:rsidR="00525E3D" w:rsidRDefault="00525E3D" w:rsidP="0001511E">
      <w:r>
        <w:separator/>
      </w:r>
    </w:p>
  </w:footnote>
  <w:footnote w:type="continuationSeparator" w:id="0">
    <w:p w14:paraId="78F3F987" w14:textId="77777777" w:rsidR="00525E3D" w:rsidRDefault="00525E3D" w:rsidP="00015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F1F70" w14:textId="77777777" w:rsidR="00182B99" w:rsidRPr="00C5280D" w:rsidRDefault="00EE63BE" w:rsidP="00EB048E">
    <w:pPr>
      <w:pStyle w:val="Header"/>
      <w:rPr>
        <w:rStyle w:val="PageNumber"/>
        <w:lang w:val="en-US"/>
      </w:rPr>
    </w:pPr>
    <w:r>
      <w:rPr>
        <w:rStyle w:val="PageNumber"/>
        <w:lang w:val="en-US"/>
      </w:rPr>
      <w:t>TC/55/12 Add.</w:t>
    </w:r>
  </w:p>
  <w:p w14:paraId="2C560333" w14:textId="790012F7" w:rsidR="00182B99" w:rsidRPr="00C5280D" w:rsidRDefault="0001511E" w:rsidP="00EB048E">
    <w:pPr>
      <w:pStyle w:val="Header"/>
      <w:rPr>
        <w:lang w:val="en-US"/>
      </w:rPr>
    </w:pPr>
    <w:proofErr w:type="spellStart"/>
    <w:r>
      <w:rPr>
        <w:lang w:val="en-US"/>
      </w:rPr>
      <w:t>Seite</w:t>
    </w:r>
    <w:proofErr w:type="spellEnd"/>
    <w:r w:rsidR="00EE63BE" w:rsidRPr="00C5280D">
      <w:rPr>
        <w:lang w:val="en-US"/>
      </w:rPr>
      <w:t xml:space="preserve"> </w:t>
    </w:r>
    <w:r w:rsidR="00EE63BE" w:rsidRPr="00C5280D">
      <w:rPr>
        <w:rStyle w:val="PageNumber"/>
        <w:lang w:val="en-US"/>
      </w:rPr>
      <w:fldChar w:fldCharType="begin"/>
    </w:r>
    <w:r w:rsidR="00EE63BE" w:rsidRPr="00C5280D">
      <w:rPr>
        <w:rStyle w:val="PageNumber"/>
        <w:lang w:val="en-US"/>
      </w:rPr>
      <w:instrText xml:space="preserve"> PAGE </w:instrText>
    </w:r>
    <w:r w:rsidR="00EE63BE" w:rsidRPr="00C5280D">
      <w:rPr>
        <w:rStyle w:val="PageNumber"/>
        <w:lang w:val="en-US"/>
      </w:rPr>
      <w:fldChar w:fldCharType="separate"/>
    </w:r>
    <w:r w:rsidR="006C1CCC">
      <w:rPr>
        <w:rStyle w:val="PageNumber"/>
        <w:noProof/>
        <w:lang w:val="en-US"/>
      </w:rPr>
      <w:t>2</w:t>
    </w:r>
    <w:r w:rsidR="00EE63BE" w:rsidRPr="00C5280D">
      <w:rPr>
        <w:rStyle w:val="PageNumber"/>
        <w:lang w:val="en-US"/>
      </w:rPr>
      <w:fldChar w:fldCharType="end"/>
    </w:r>
  </w:p>
  <w:p w14:paraId="7AC58A93" w14:textId="77777777" w:rsidR="00182B99" w:rsidRPr="00C5280D" w:rsidRDefault="006C1CCC"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F6A48"/>
    <w:multiLevelType w:val="hybridMultilevel"/>
    <w:tmpl w:val="F7FE7A74"/>
    <w:lvl w:ilvl="0" w:tplc="5B705B60">
      <w:start w:val="1"/>
      <w:numFmt w:val="lowerLetter"/>
      <w:lvlText w:val="%1)"/>
      <w:lvlJc w:val="left"/>
      <w:pPr>
        <w:ind w:left="1140" w:hanging="576"/>
      </w:pPr>
      <w:rPr>
        <w:rFonts w:hint="default"/>
      </w:rPr>
    </w:lvl>
    <w:lvl w:ilvl="1" w:tplc="04070019" w:tentative="1">
      <w:start w:val="1"/>
      <w:numFmt w:val="lowerLetter"/>
      <w:lvlText w:val="%2."/>
      <w:lvlJc w:val="left"/>
      <w:pPr>
        <w:ind w:left="1644" w:hanging="360"/>
      </w:pPr>
    </w:lvl>
    <w:lvl w:ilvl="2" w:tplc="0407001B" w:tentative="1">
      <w:start w:val="1"/>
      <w:numFmt w:val="lowerRoman"/>
      <w:lvlText w:val="%3."/>
      <w:lvlJc w:val="right"/>
      <w:pPr>
        <w:ind w:left="2364" w:hanging="180"/>
      </w:pPr>
    </w:lvl>
    <w:lvl w:ilvl="3" w:tplc="0407000F" w:tentative="1">
      <w:start w:val="1"/>
      <w:numFmt w:val="decimal"/>
      <w:lvlText w:val="%4."/>
      <w:lvlJc w:val="left"/>
      <w:pPr>
        <w:ind w:left="3084" w:hanging="360"/>
      </w:pPr>
    </w:lvl>
    <w:lvl w:ilvl="4" w:tplc="04070019" w:tentative="1">
      <w:start w:val="1"/>
      <w:numFmt w:val="lowerLetter"/>
      <w:lvlText w:val="%5."/>
      <w:lvlJc w:val="left"/>
      <w:pPr>
        <w:ind w:left="3804" w:hanging="360"/>
      </w:pPr>
    </w:lvl>
    <w:lvl w:ilvl="5" w:tplc="0407001B" w:tentative="1">
      <w:start w:val="1"/>
      <w:numFmt w:val="lowerRoman"/>
      <w:lvlText w:val="%6."/>
      <w:lvlJc w:val="right"/>
      <w:pPr>
        <w:ind w:left="4524" w:hanging="180"/>
      </w:pPr>
    </w:lvl>
    <w:lvl w:ilvl="6" w:tplc="0407000F" w:tentative="1">
      <w:start w:val="1"/>
      <w:numFmt w:val="decimal"/>
      <w:lvlText w:val="%7."/>
      <w:lvlJc w:val="left"/>
      <w:pPr>
        <w:ind w:left="5244" w:hanging="360"/>
      </w:pPr>
    </w:lvl>
    <w:lvl w:ilvl="7" w:tplc="04070019" w:tentative="1">
      <w:start w:val="1"/>
      <w:numFmt w:val="lowerLetter"/>
      <w:lvlText w:val="%8."/>
      <w:lvlJc w:val="left"/>
      <w:pPr>
        <w:ind w:left="5964" w:hanging="360"/>
      </w:pPr>
    </w:lvl>
    <w:lvl w:ilvl="8" w:tplc="0407001B" w:tentative="1">
      <w:start w:val="1"/>
      <w:numFmt w:val="lowerRoman"/>
      <w:lvlText w:val="%9."/>
      <w:lvlJc w:val="right"/>
      <w:pPr>
        <w:ind w:left="66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74"/>
    <w:rsid w:val="0001511E"/>
    <w:rsid w:val="00525E3D"/>
    <w:rsid w:val="006C1CCC"/>
    <w:rsid w:val="0074103E"/>
    <w:rsid w:val="00B31E4F"/>
    <w:rsid w:val="00EE63BE"/>
    <w:rsid w:val="00F423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FC116"/>
  <w15:chartTrackingRefBased/>
  <w15:docId w15:val="{A95A3ABA-C4B8-4586-B9C0-664DB657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374"/>
    <w:pPr>
      <w:spacing w:after="0" w:line="240" w:lineRule="auto"/>
      <w:jc w:val="both"/>
    </w:pPr>
    <w:rPr>
      <w:rFonts w:ascii="Arial" w:eastAsia="Times New Roman" w:hAnsi="Arial" w:cs="Times New Roman"/>
      <w:sz w:val="20"/>
      <w:szCs w:val="20"/>
      <w:lang w:val="en-US"/>
    </w:rPr>
  </w:style>
  <w:style w:type="paragraph" w:styleId="Heading1">
    <w:name w:val="heading 1"/>
    <w:next w:val="Normal"/>
    <w:link w:val="Heading1Char"/>
    <w:autoRedefine/>
    <w:qFormat/>
    <w:rsid w:val="00F42374"/>
    <w:pPr>
      <w:keepNext/>
      <w:spacing w:after="0" w:line="240" w:lineRule="auto"/>
      <w:jc w:val="both"/>
      <w:outlineLvl w:val="0"/>
    </w:pPr>
    <w:rPr>
      <w:rFonts w:ascii="Arial" w:eastAsia="Times New Roman" w:hAnsi="Arial" w:cs="Times New Roman"/>
      <w:cap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374"/>
    <w:rPr>
      <w:rFonts w:ascii="Arial" w:eastAsia="Times New Roman" w:hAnsi="Arial" w:cs="Times New Roman"/>
      <w:caps/>
      <w:sz w:val="20"/>
      <w:szCs w:val="20"/>
      <w:lang w:val="en-US"/>
    </w:rPr>
  </w:style>
  <w:style w:type="paragraph" w:styleId="Header">
    <w:name w:val="header"/>
    <w:link w:val="HeaderChar"/>
    <w:rsid w:val="00F42374"/>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rsid w:val="00F42374"/>
    <w:rPr>
      <w:rFonts w:ascii="Arial" w:eastAsia="Times New Roman" w:hAnsi="Arial" w:cs="Times New Roman"/>
      <w:sz w:val="20"/>
      <w:szCs w:val="20"/>
      <w:lang w:val="fr-FR"/>
    </w:rPr>
  </w:style>
  <w:style w:type="character" w:styleId="PageNumber">
    <w:name w:val="page number"/>
    <w:basedOn w:val="DefaultParagraphFont"/>
    <w:rsid w:val="00F42374"/>
    <w:rPr>
      <w:rFonts w:ascii="Arial" w:hAnsi="Arial"/>
      <w:sz w:val="20"/>
    </w:rPr>
  </w:style>
  <w:style w:type="paragraph" w:customStyle="1" w:styleId="Docoriginal">
    <w:name w:val="Doc_original"/>
    <w:basedOn w:val="Normal"/>
    <w:link w:val="DocoriginalChar"/>
    <w:rsid w:val="00F42374"/>
    <w:pPr>
      <w:spacing w:before="240" w:line="240" w:lineRule="exact"/>
      <w:contextualSpacing/>
      <w:jc w:val="left"/>
    </w:pPr>
    <w:rPr>
      <w:b/>
      <w:bCs/>
      <w:spacing w:val="10"/>
      <w:sz w:val="18"/>
    </w:rPr>
  </w:style>
  <w:style w:type="paragraph" w:customStyle="1" w:styleId="DecisionParagraphs">
    <w:name w:val="DecisionParagraphs"/>
    <w:basedOn w:val="Normal"/>
    <w:rsid w:val="00F42374"/>
    <w:pPr>
      <w:tabs>
        <w:tab w:val="left" w:pos="5387"/>
      </w:tabs>
      <w:ind w:left="4820"/>
    </w:pPr>
    <w:rPr>
      <w:i/>
    </w:rPr>
  </w:style>
  <w:style w:type="paragraph" w:customStyle="1" w:styleId="Disclaimer">
    <w:name w:val="Disclaimer"/>
    <w:next w:val="Normal"/>
    <w:qFormat/>
    <w:rsid w:val="00F42374"/>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F42374"/>
    <w:pPr>
      <w:spacing w:before="120"/>
    </w:pPr>
    <w:rPr>
      <w:sz w:val="16"/>
    </w:rPr>
  </w:style>
  <w:style w:type="paragraph" w:customStyle="1" w:styleId="Lettrine">
    <w:name w:val="Lettrine"/>
    <w:basedOn w:val="Normal"/>
    <w:rsid w:val="00F42374"/>
    <w:pPr>
      <w:spacing w:line="340" w:lineRule="atLeast"/>
      <w:jc w:val="right"/>
    </w:pPr>
    <w:rPr>
      <w:b/>
      <w:bCs/>
      <w:sz w:val="36"/>
    </w:rPr>
  </w:style>
  <w:style w:type="paragraph" w:customStyle="1" w:styleId="Sessiontc">
    <w:name w:val="Session_tc"/>
    <w:basedOn w:val="Normal"/>
    <w:rsid w:val="00F42374"/>
    <w:pPr>
      <w:spacing w:line="280" w:lineRule="exact"/>
      <w:jc w:val="left"/>
    </w:pPr>
    <w:rPr>
      <w:b/>
      <w:bCs/>
      <w:kern w:val="28"/>
    </w:rPr>
  </w:style>
  <w:style w:type="paragraph" w:customStyle="1" w:styleId="Sessiontcplacedate">
    <w:name w:val="Session_tc_place_date"/>
    <w:basedOn w:val="Normal"/>
    <w:rsid w:val="00F42374"/>
    <w:pPr>
      <w:spacing w:before="240"/>
      <w:contextualSpacing/>
      <w:jc w:val="left"/>
    </w:pPr>
    <w:rPr>
      <w:b/>
      <w:bCs/>
      <w:kern w:val="28"/>
    </w:rPr>
  </w:style>
  <w:style w:type="paragraph" w:customStyle="1" w:styleId="Titleofdoc">
    <w:name w:val="Title_of_doc"/>
    <w:basedOn w:val="Normal"/>
    <w:rsid w:val="00F42374"/>
    <w:pPr>
      <w:spacing w:before="600" w:after="240"/>
      <w:jc w:val="left"/>
    </w:pPr>
    <w:rPr>
      <w:b/>
      <w:caps/>
    </w:rPr>
  </w:style>
  <w:style w:type="paragraph" w:customStyle="1" w:styleId="preparedby">
    <w:name w:val="prepared_by"/>
    <w:basedOn w:val="Normal"/>
    <w:rsid w:val="00F42374"/>
    <w:pPr>
      <w:spacing w:after="240"/>
      <w:jc w:val="center"/>
    </w:pPr>
    <w:rPr>
      <w:i/>
      <w:iCs/>
    </w:rPr>
  </w:style>
  <w:style w:type="character" w:customStyle="1" w:styleId="DocoriginalChar">
    <w:name w:val="Doc_original Char"/>
    <w:basedOn w:val="DefaultParagraphFont"/>
    <w:link w:val="Docoriginal"/>
    <w:rsid w:val="00F42374"/>
    <w:rPr>
      <w:rFonts w:ascii="Arial" w:eastAsia="Times New Roman" w:hAnsi="Arial" w:cs="Times New Roman"/>
      <w:b/>
      <w:bCs/>
      <w:spacing w:val="10"/>
      <w:sz w:val="18"/>
      <w:szCs w:val="20"/>
      <w:lang w:val="en-US"/>
    </w:rPr>
  </w:style>
  <w:style w:type="character" w:styleId="Hyperlink">
    <w:name w:val="Hyperlink"/>
    <w:basedOn w:val="DefaultParagraphFont"/>
    <w:uiPriority w:val="99"/>
    <w:rsid w:val="00F42374"/>
    <w:rPr>
      <w:rFonts w:ascii="Arial" w:hAnsi="Arial"/>
      <w:color w:val="0000FF"/>
      <w:u w:val="single"/>
    </w:rPr>
  </w:style>
  <w:style w:type="paragraph" w:styleId="TOC1">
    <w:name w:val="toc 1"/>
    <w:basedOn w:val="Normal"/>
    <w:next w:val="Normal"/>
    <w:autoRedefine/>
    <w:uiPriority w:val="39"/>
    <w:rsid w:val="00F42374"/>
    <w:pPr>
      <w:tabs>
        <w:tab w:val="right" w:leader="dot" w:pos="9639"/>
      </w:tabs>
      <w:spacing w:before="60"/>
      <w:ind w:right="1418"/>
      <w:contextualSpacing/>
      <w:jc w:val="left"/>
    </w:pPr>
    <w:rPr>
      <w:caps/>
      <w:sz w:val="18"/>
    </w:rPr>
  </w:style>
  <w:style w:type="paragraph" w:customStyle="1" w:styleId="Doccode">
    <w:name w:val="Doc_code"/>
    <w:qFormat/>
    <w:rsid w:val="00F42374"/>
    <w:pPr>
      <w:spacing w:after="0" w:line="240" w:lineRule="auto"/>
    </w:pPr>
    <w:rPr>
      <w:rFonts w:ascii="Arial" w:eastAsia="Times New Roman" w:hAnsi="Arial" w:cs="Times New Roman"/>
      <w:b/>
      <w:bCs/>
      <w:spacing w:val="10"/>
      <w:sz w:val="18"/>
      <w:szCs w:val="20"/>
      <w:lang w:val="en-US"/>
    </w:rPr>
  </w:style>
  <w:style w:type="paragraph" w:styleId="ListParagraph">
    <w:name w:val="List Paragraph"/>
    <w:basedOn w:val="Normal"/>
    <w:uiPriority w:val="34"/>
    <w:qFormat/>
    <w:rsid w:val="00F42374"/>
    <w:pPr>
      <w:ind w:left="720"/>
      <w:contextualSpacing/>
    </w:pPr>
  </w:style>
  <w:style w:type="paragraph" w:styleId="Footer">
    <w:name w:val="footer"/>
    <w:basedOn w:val="Normal"/>
    <w:link w:val="FooterChar"/>
    <w:uiPriority w:val="99"/>
    <w:unhideWhenUsed/>
    <w:rsid w:val="0001511E"/>
    <w:pPr>
      <w:tabs>
        <w:tab w:val="center" w:pos="4536"/>
        <w:tab w:val="right" w:pos="9072"/>
      </w:tabs>
    </w:pPr>
  </w:style>
  <w:style w:type="character" w:customStyle="1" w:styleId="FooterChar">
    <w:name w:val="Footer Char"/>
    <w:basedOn w:val="DefaultParagraphFont"/>
    <w:link w:val="Footer"/>
    <w:uiPriority w:val="99"/>
    <w:rsid w:val="0001511E"/>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1319</Words>
  <Characters>7521</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MAY Jessica</cp:lastModifiedBy>
  <cp:revision>3</cp:revision>
  <cp:lastPrinted>2019-10-10T10:44:00Z</cp:lastPrinted>
  <dcterms:created xsi:type="dcterms:W3CDTF">2019-10-15T09:26:00Z</dcterms:created>
  <dcterms:modified xsi:type="dcterms:W3CDTF">2019-10-15T09:32:00Z</dcterms:modified>
</cp:coreProperties>
</file>