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27AE7" w:rsidTr="00EB4E9C">
        <w:tc>
          <w:tcPr>
            <w:tcW w:w="6522" w:type="dxa"/>
          </w:tcPr>
          <w:p w:rsidR="00DC3802" w:rsidRPr="00C27AE7"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27AE7" w:rsidRDefault="001E52BB" w:rsidP="001E52BB">
            <w:pPr>
              <w:pStyle w:val="Lettrine"/>
            </w:pPr>
            <w:r>
              <w:t>G</w:t>
            </w:r>
          </w:p>
        </w:tc>
      </w:tr>
      <w:tr w:rsidR="00DC3802" w:rsidRPr="001E52BB" w:rsidTr="00645CA8">
        <w:trPr>
          <w:trHeight w:val="219"/>
        </w:trPr>
        <w:tc>
          <w:tcPr>
            <w:tcW w:w="6522" w:type="dxa"/>
          </w:tcPr>
          <w:p w:rsidR="00DC3802" w:rsidRPr="001E52BB" w:rsidRDefault="001E52BB" w:rsidP="001E52BB">
            <w:pPr>
              <w:pStyle w:val="upove"/>
            </w:pPr>
            <w:r>
              <w:t>Internationaler Verband zum Schutz von Pflanzenzüchtungen</w:t>
            </w:r>
          </w:p>
        </w:tc>
        <w:tc>
          <w:tcPr>
            <w:tcW w:w="3117" w:type="dxa"/>
          </w:tcPr>
          <w:p w:rsidR="00DC3802" w:rsidRPr="00E723E1" w:rsidRDefault="00DC3802" w:rsidP="00DA4973"/>
        </w:tc>
      </w:tr>
    </w:tbl>
    <w:p w:rsidR="001E52BB" w:rsidRPr="00E723E1" w:rsidRDefault="001E52BB" w:rsidP="00DC3802"/>
    <w:p w:rsidR="00DA4973" w:rsidRPr="00E723E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27AE7" w:rsidTr="00EB4E9C">
        <w:tc>
          <w:tcPr>
            <w:tcW w:w="6512" w:type="dxa"/>
          </w:tcPr>
          <w:p w:rsidR="001E52BB" w:rsidRPr="001E52BB" w:rsidRDefault="00E06928" w:rsidP="001E52BB">
            <w:pPr>
              <w:pStyle w:val="Sessiontc"/>
              <w:spacing w:line="240" w:lineRule="auto"/>
            </w:pPr>
            <w:r>
              <w:t>Technischer Ausschuss</w:t>
            </w:r>
          </w:p>
          <w:p w:rsidR="00EB4E9C" w:rsidRPr="00C27AE7" w:rsidRDefault="001E52BB" w:rsidP="001E52BB">
            <w:pPr>
              <w:pStyle w:val="Sessiontcplacedate"/>
              <w:rPr>
                <w:sz w:val="22"/>
              </w:rPr>
            </w:pPr>
            <w:r>
              <w:t xml:space="preserve">Vierundfünfzigste Tagung </w:t>
            </w:r>
            <w:r>
              <w:br/>
              <w:t>Genf, 29. und 30. Oktober 2018</w:t>
            </w:r>
          </w:p>
        </w:tc>
        <w:tc>
          <w:tcPr>
            <w:tcW w:w="3127" w:type="dxa"/>
          </w:tcPr>
          <w:p w:rsidR="001E52BB" w:rsidRDefault="001E52BB" w:rsidP="001E52BB">
            <w:pPr>
              <w:pStyle w:val="Doccode"/>
            </w:pPr>
            <w:r>
              <w:t>TC/54/3</w:t>
            </w:r>
          </w:p>
          <w:p w:rsidR="001E52BB" w:rsidRDefault="001E52BB" w:rsidP="001E52BB">
            <w:pPr>
              <w:pStyle w:val="Docoriginal"/>
            </w:pPr>
            <w:r>
              <w:t xml:space="preserve">Original:  </w:t>
            </w:r>
            <w:r>
              <w:rPr>
                <w:b w:val="0"/>
              </w:rPr>
              <w:t>englisch</w:t>
            </w:r>
          </w:p>
          <w:p w:rsidR="00EB4E9C" w:rsidRPr="00C27AE7" w:rsidRDefault="001E52BB" w:rsidP="001E52BB">
            <w:pPr>
              <w:pStyle w:val="Docoriginal"/>
            </w:pPr>
            <w:r>
              <w:t>Datum:</w:t>
            </w:r>
            <w:r>
              <w:rPr>
                <w:b w:val="0"/>
              </w:rPr>
              <w:t xml:space="preserve"> </w:t>
            </w:r>
            <w:r w:rsidRPr="007F6187">
              <w:rPr>
                <w:b w:val="0"/>
              </w:rPr>
              <w:t>15. Oktober 2018</w:t>
            </w:r>
          </w:p>
        </w:tc>
      </w:tr>
    </w:tbl>
    <w:p w:rsidR="001E52BB" w:rsidRPr="007F6187" w:rsidRDefault="001E52BB" w:rsidP="001E52BB">
      <w:pPr>
        <w:pStyle w:val="Titleofdoc0"/>
        <w:rPr>
          <w:rFonts w:cs="Arial"/>
          <w:snapToGrid w:val="0"/>
          <w:lang w:val="en-US"/>
        </w:rPr>
      </w:pPr>
      <w:bookmarkStart w:id="0" w:name="TitleOfDoc"/>
      <w:bookmarkEnd w:id="0"/>
      <w:r w:rsidRPr="007F6187">
        <w:rPr>
          <w:rFonts w:cs="Arial"/>
          <w:snapToGrid w:val="0"/>
          <w:lang w:val="en-US"/>
        </w:rPr>
        <w:t>Fragen, die von den technischen Arbeitsgruppen aufgeworfen wurden</w:t>
      </w:r>
    </w:p>
    <w:p w:rsidR="001E52BB" w:rsidRDefault="001E52BB" w:rsidP="001E52BB">
      <w:pPr>
        <w:pStyle w:val="preparedby1"/>
        <w:jc w:val="left"/>
      </w:pPr>
      <w:bookmarkStart w:id="1" w:name="Prepared"/>
      <w:bookmarkEnd w:id="1"/>
      <w:r>
        <w:t>vom Verbandsbüro erstelltes Dokument</w:t>
      </w:r>
    </w:p>
    <w:p w:rsidR="001E52BB" w:rsidRDefault="001E52BB" w:rsidP="001E52BB">
      <w:pPr>
        <w:pStyle w:val="Disclaimer"/>
      </w:pPr>
      <w:r>
        <w:t>Haftungsausschluss: dieses Dokument gibt nicht die Grundsätze oder eine Anleitung der UPOV wieder</w:t>
      </w:r>
    </w:p>
    <w:p w:rsidR="001E52BB" w:rsidRDefault="001E52BB" w:rsidP="001E52BB">
      <w:pPr>
        <w:pStyle w:val="Heading1"/>
      </w:pPr>
      <w:bookmarkStart w:id="2" w:name="_Toc527980853"/>
      <w:r>
        <w:t>ZUSAMMENFASSUNG</w:t>
      </w:r>
      <w:bookmarkEnd w:id="2"/>
    </w:p>
    <w:p w:rsidR="001E52BB" w:rsidRDefault="001E52BB" w:rsidP="00606D31">
      <w:pPr>
        <w:rPr>
          <w:color w:val="000000"/>
        </w:rPr>
      </w:pPr>
    </w:p>
    <w:p w:rsidR="001E52BB" w:rsidRDefault="00606D31" w:rsidP="001E52BB">
      <w:r w:rsidRPr="00C27AE7">
        <w:rPr>
          <w:color w:val="000000"/>
        </w:rPr>
        <w:fldChar w:fldCharType="begin"/>
      </w:r>
      <w:r w:rsidRPr="00C27AE7">
        <w:rPr>
          <w:color w:val="000000"/>
        </w:rPr>
        <w:instrText xml:space="preserve"> AUTONUM  </w:instrText>
      </w:r>
      <w:r w:rsidRPr="00C27AE7">
        <w:rPr>
          <w:color w:val="000000"/>
        </w:rPr>
        <w:fldChar w:fldCharType="end"/>
      </w:r>
      <w:r>
        <w:rPr>
          <w:color w:val="000000"/>
        </w:rPr>
        <w:tab/>
      </w:r>
      <w:r w:rsidR="00DE519C">
        <w:rPr>
          <w:color w:val="000000"/>
        </w:rPr>
        <w:t xml:space="preserve">Dieses Dokument </w:t>
      </w:r>
      <w:proofErr w:type="spellStart"/>
      <w:r w:rsidR="00DE519C">
        <w:rPr>
          <w:color w:val="000000"/>
        </w:rPr>
        <w:t>faß</w:t>
      </w:r>
      <w:r>
        <w:rPr>
          <w:color w:val="000000"/>
        </w:rPr>
        <w:t>t</w:t>
      </w:r>
      <w:proofErr w:type="spellEnd"/>
      <w:r>
        <w:rPr>
          <w:color w:val="000000"/>
        </w:rPr>
        <w:t xml:space="preserve"> die Fragen zusammen, die von den Technischen Arbeitsgruppen (TWP) auf ihren Tagungen in den Jahren 2017 und 2018 aufgeworfen wurden und nicht ausdrücklich durch spezifische Tagesordnungspunkte abgedeckt werden</w:t>
      </w:r>
      <w:r w:rsidR="00E723E1">
        <w:rPr>
          <w:color w:val="000000"/>
        </w:rPr>
        <w:t xml:space="preserve">. </w:t>
      </w:r>
      <w:r>
        <w:rPr>
          <w:color w:val="000000"/>
        </w:rPr>
        <w:t>Die Fragen sind in zwei Abschnitte unterteilt</w:t>
      </w:r>
      <w:r w:rsidR="00E723E1">
        <w:rPr>
          <w:color w:val="000000"/>
        </w:rPr>
        <w:t xml:space="preserve">. </w:t>
      </w:r>
      <w:r>
        <w:rPr>
          <w:color w:val="000000"/>
        </w:rPr>
        <w:t xml:space="preserve">Der erste Abschnitt, „Fragen zur Information und für eine vom Technischen </w:t>
      </w:r>
      <w:proofErr w:type="spellStart"/>
      <w:r>
        <w:rPr>
          <w:color w:val="000000"/>
        </w:rPr>
        <w:t>Ausschuß</w:t>
      </w:r>
      <w:proofErr w:type="spellEnd"/>
      <w:r>
        <w:rPr>
          <w:color w:val="000000"/>
        </w:rPr>
        <w:t xml:space="preserve"> (TC) gegebenenfalls zu treffende Entscheidung“, stellt die von den TWP aufgeworfenen Angelegenheiten fest, die einer Entscheidung des TC bedürfen könnten. Das Verbandsbüro (Büro) hob die Aspekte hervor, für die der TC eine Entscheidung treffen könnte, indem es einen Absatz über die vorgeschlagenen Entscheidungen einführte</w:t>
      </w:r>
      <w:r w:rsidR="00E723E1">
        <w:rPr>
          <w:color w:val="000000"/>
        </w:rPr>
        <w:t xml:space="preserve">. </w:t>
      </w:r>
      <w:r>
        <w:rPr>
          <w:color w:val="000000"/>
        </w:rPr>
        <w:t>Der zweite Abschnitt, „Fragen zur Information“, dient dem TC zur Information, bedarf jedoch in diesem Stadium keiner Entscheidung.</w:t>
      </w:r>
    </w:p>
    <w:p w:rsidR="001E52BB" w:rsidRDefault="001E52BB" w:rsidP="00606D31">
      <w:pPr>
        <w:tabs>
          <w:tab w:val="left" w:pos="567"/>
          <w:tab w:val="left" w:pos="1701"/>
        </w:tabs>
        <w:ind w:left="1695" w:hanging="1695"/>
        <w:rPr>
          <w:rFonts w:eastAsia="PMingLiU"/>
          <w:szCs w:val="24"/>
        </w:rPr>
      </w:pPr>
    </w:p>
    <w:p w:rsidR="001E52BB" w:rsidRDefault="00606D31" w:rsidP="001E52BB">
      <w:pPr>
        <w:tabs>
          <w:tab w:val="left" w:pos="567"/>
          <w:tab w:val="left" w:pos="1134"/>
        </w:tabs>
      </w:pPr>
      <w:r w:rsidRPr="00C27AE7">
        <w:fldChar w:fldCharType="begin"/>
      </w:r>
      <w:r w:rsidRPr="00C27AE7">
        <w:instrText xml:space="preserve"> AUTONUM  </w:instrText>
      </w:r>
      <w:r w:rsidRPr="00C27AE7">
        <w:fldChar w:fldCharType="end"/>
      </w:r>
      <w:r>
        <w:tab/>
        <w:t>Der TC wird ersucht:</w:t>
      </w:r>
    </w:p>
    <w:p w:rsidR="001E52BB" w:rsidRDefault="001E52BB" w:rsidP="00606D31">
      <w:pPr>
        <w:tabs>
          <w:tab w:val="left" w:pos="567"/>
          <w:tab w:val="left" w:pos="1134"/>
        </w:tabs>
      </w:pPr>
    </w:p>
    <w:p w:rsidR="001E52BB" w:rsidRPr="00DE519C" w:rsidRDefault="002A4B70" w:rsidP="002A4B70">
      <w:pPr>
        <w:pStyle w:val="ListParagraph"/>
        <w:numPr>
          <w:ilvl w:val="0"/>
          <w:numId w:val="10"/>
        </w:numPr>
        <w:tabs>
          <w:tab w:val="left" w:pos="567"/>
          <w:tab w:val="left" w:pos="1134"/>
        </w:tabs>
      </w:pPr>
      <w:r w:rsidRPr="00DE519C">
        <w:t xml:space="preserve">die Vorschläge der TWP auf ihren Tagungen im Jahr 2017 zur Verbesserung der Beteiligung neuer Verbandsmitglieder an der Arbeit des TC und der TWP zu prüfen; </w:t>
      </w:r>
    </w:p>
    <w:p w:rsidR="001E52BB" w:rsidRPr="00DE519C" w:rsidRDefault="001E52BB" w:rsidP="002A4B70">
      <w:pPr>
        <w:pStyle w:val="ListParagraph"/>
        <w:tabs>
          <w:tab w:val="left" w:pos="567"/>
          <w:tab w:val="left" w:pos="1134"/>
        </w:tabs>
        <w:ind w:left="1137"/>
      </w:pPr>
    </w:p>
    <w:p w:rsidR="001E52BB" w:rsidRPr="00EE5B13" w:rsidRDefault="00576305" w:rsidP="002A4B70">
      <w:pPr>
        <w:pStyle w:val="ListParagraph"/>
        <w:numPr>
          <w:ilvl w:val="0"/>
          <w:numId w:val="10"/>
        </w:numPr>
        <w:tabs>
          <w:tab w:val="left" w:pos="567"/>
          <w:tab w:val="left" w:pos="1134"/>
        </w:tabs>
      </w:pPr>
      <w:r w:rsidRPr="00DE519C">
        <w:t xml:space="preserve">abzuwägen, ob das Verfahren für Teilüberarbeitungen von Prüfungsrichtlinien auf der Grundlage des </w:t>
      </w:r>
      <w:r w:rsidRPr="00EE5B13">
        <w:t xml:space="preserve">in Absatz 25 dieses Dokuments dargelegten Vorschlags überprüft werden soll; </w:t>
      </w:r>
    </w:p>
    <w:p w:rsidR="001E52BB" w:rsidRPr="00EE5B13" w:rsidRDefault="001E52BB" w:rsidP="00727503">
      <w:pPr>
        <w:pStyle w:val="ListParagraph"/>
      </w:pPr>
    </w:p>
    <w:p w:rsidR="001E52BB" w:rsidRPr="00EE5B13" w:rsidRDefault="00E723E1" w:rsidP="00890F52">
      <w:pPr>
        <w:pStyle w:val="ListParagraph"/>
        <w:numPr>
          <w:ilvl w:val="0"/>
          <w:numId w:val="10"/>
        </w:numPr>
      </w:pPr>
      <w:r w:rsidRPr="00EE5B13">
        <w:t>Erörterungen</w:t>
      </w:r>
      <w:r w:rsidR="00710F23" w:rsidRPr="00EE5B13">
        <w:t xml:space="preserve"> zu Mindestabständen zwischen Sorten, die von den TWP auf ihren Tagungen in den Jahren 2017 und 2018 geführt wurden, wie in den Absätzen 26 bis 41 dieses Dokuments dargelegt, zu prüfen;</w:t>
      </w:r>
    </w:p>
    <w:p w:rsidR="001E52BB" w:rsidRPr="00EE5B13" w:rsidRDefault="001E52BB" w:rsidP="00727503">
      <w:pPr>
        <w:pStyle w:val="ListParagraph"/>
      </w:pPr>
    </w:p>
    <w:p w:rsidR="001E52BB" w:rsidRPr="00DE519C" w:rsidRDefault="00710F23" w:rsidP="00890F52">
      <w:pPr>
        <w:pStyle w:val="ListParagraph"/>
        <w:numPr>
          <w:ilvl w:val="0"/>
          <w:numId w:val="10"/>
        </w:numPr>
      </w:pPr>
      <w:r w:rsidRPr="00EE5B13">
        <w:t>Erörterungen über Krankheitsresistenzmerkmale bei der DUS-Prüfung auf den Tagungen der TWP in den Jahren 2017 und 2018 zu prüfen, wie in den Absätzen 43 bis 55 dieses</w:t>
      </w:r>
      <w:r w:rsidRPr="00DE519C">
        <w:t xml:space="preserve"> Dokuments dargelegt; und</w:t>
      </w:r>
    </w:p>
    <w:p w:rsidR="001E52BB" w:rsidRPr="00DE519C" w:rsidRDefault="001E52BB" w:rsidP="002A4B70">
      <w:pPr>
        <w:pStyle w:val="ListParagraph"/>
      </w:pPr>
    </w:p>
    <w:p w:rsidR="001E52BB" w:rsidRPr="00DE519C" w:rsidRDefault="001E52BB" w:rsidP="001E52BB">
      <w:pPr>
        <w:pStyle w:val="ListParagraph"/>
        <w:numPr>
          <w:ilvl w:val="0"/>
          <w:numId w:val="10"/>
        </w:numPr>
        <w:tabs>
          <w:tab w:val="left" w:pos="567"/>
          <w:tab w:val="left" w:pos="1134"/>
        </w:tabs>
      </w:pPr>
      <w:r w:rsidRPr="00DE519C">
        <w:t>Entwicklungen in den TWP zur Kenntnis zu nehmen betreffend:</w:t>
      </w:r>
    </w:p>
    <w:p w:rsidR="001E52BB" w:rsidRPr="00DE519C" w:rsidRDefault="001E52BB" w:rsidP="00606D31">
      <w:pPr>
        <w:tabs>
          <w:tab w:val="left" w:pos="1134"/>
          <w:tab w:val="left" w:pos="1701"/>
        </w:tabs>
        <w:ind w:left="567"/>
      </w:pPr>
    </w:p>
    <w:p w:rsidR="001E52BB" w:rsidRPr="00DE519C" w:rsidRDefault="00DE519C" w:rsidP="001E52BB">
      <w:pPr>
        <w:tabs>
          <w:tab w:val="left" w:pos="1701"/>
          <w:tab w:val="left" w:pos="2268"/>
        </w:tabs>
        <w:ind w:left="1701" w:hanging="567"/>
      </w:pPr>
      <w:r>
        <w:t>i)</w:t>
      </w:r>
      <w:r w:rsidR="001E52BB" w:rsidRPr="00DE519C">
        <w:tab/>
        <w:t>Erfahrungen mit neuen Typen und Arten</w:t>
      </w:r>
    </w:p>
    <w:p w:rsidR="001E52BB" w:rsidRPr="00DE519C" w:rsidRDefault="00DE519C" w:rsidP="001E52BB">
      <w:pPr>
        <w:tabs>
          <w:tab w:val="left" w:pos="1701"/>
          <w:tab w:val="left" w:pos="2268"/>
        </w:tabs>
        <w:ind w:left="1701" w:hanging="567"/>
      </w:pPr>
      <w:r>
        <w:t>ii</w:t>
      </w:r>
      <w:r w:rsidR="001E52BB" w:rsidRPr="00DE519C">
        <w:t>)</w:t>
      </w:r>
      <w:r w:rsidR="001E52BB" w:rsidRPr="00DE519C">
        <w:tab/>
        <w:t>Verwaltung von Vergleichssammlungen</w:t>
      </w:r>
    </w:p>
    <w:p w:rsidR="001E52BB" w:rsidRPr="00DE519C" w:rsidRDefault="00606D31" w:rsidP="00263B3E">
      <w:pPr>
        <w:tabs>
          <w:tab w:val="left" w:pos="1701"/>
          <w:tab w:val="left" w:pos="2268"/>
        </w:tabs>
        <w:ind w:left="1701" w:hanging="567"/>
      </w:pPr>
      <w:r w:rsidRPr="00DE519C">
        <w:t>iii)</w:t>
      </w:r>
      <w:r w:rsidRPr="00DE519C">
        <w:tab/>
        <w:t xml:space="preserve">Erfahrung mit der Verwaltung von </w:t>
      </w:r>
      <w:proofErr w:type="spellStart"/>
      <w:r w:rsidRPr="00DE519C">
        <w:t>Vergleichssamlungen</w:t>
      </w:r>
      <w:proofErr w:type="spellEnd"/>
      <w:r w:rsidRPr="00DE519C">
        <w:t xml:space="preserve"> mit der „SELECT“-Methode</w:t>
      </w:r>
    </w:p>
    <w:p w:rsidR="001E52BB" w:rsidRPr="00DE519C" w:rsidRDefault="002A4B70" w:rsidP="00263B3E">
      <w:pPr>
        <w:tabs>
          <w:tab w:val="left" w:pos="1701"/>
          <w:tab w:val="left" w:pos="2268"/>
        </w:tabs>
        <w:ind w:left="1701" w:hanging="567"/>
      </w:pPr>
      <w:r w:rsidRPr="00DE519C">
        <w:t>iv)</w:t>
      </w:r>
      <w:r w:rsidRPr="00DE519C">
        <w:tab/>
        <w:t xml:space="preserve">Regionale Serie von Beispielssorten bei Weizen für Südamerika </w:t>
      </w:r>
    </w:p>
    <w:p w:rsidR="001E52BB" w:rsidRPr="00DE519C" w:rsidRDefault="002A4B70" w:rsidP="00263B3E">
      <w:pPr>
        <w:tabs>
          <w:tab w:val="left" w:pos="1701"/>
          <w:tab w:val="left" w:pos="2268"/>
        </w:tabs>
        <w:ind w:left="1701" w:hanging="567"/>
      </w:pPr>
      <w:r w:rsidRPr="00DE519C">
        <w:t>v)</w:t>
      </w:r>
      <w:r w:rsidRPr="00DE519C">
        <w:tab/>
        <w:t>Auswirkung von Überarbeitungen von Ausprägungsstufen bestehender Merkmale bei der Überarbeitung von Prüfungsrichtlinien</w:t>
      </w:r>
    </w:p>
    <w:p w:rsidR="001E52BB" w:rsidRPr="00DE519C" w:rsidRDefault="002A4B70" w:rsidP="00263B3E">
      <w:pPr>
        <w:tabs>
          <w:tab w:val="left" w:pos="1701"/>
          <w:tab w:val="left" w:pos="2268"/>
        </w:tabs>
        <w:ind w:left="1701" w:hanging="567"/>
      </w:pPr>
      <w:r w:rsidRPr="00DE519C">
        <w:t>vi)</w:t>
      </w:r>
      <w:r w:rsidRPr="00DE519C">
        <w:tab/>
        <w:t>Erfahrung mit der Verwendung von zwei Standorten für ein Jahr für DUS-Entscheidungen</w:t>
      </w:r>
    </w:p>
    <w:p w:rsidR="001E52BB" w:rsidRPr="00DE519C" w:rsidRDefault="002A4B70" w:rsidP="00263B3E">
      <w:pPr>
        <w:tabs>
          <w:tab w:val="left" w:pos="1701"/>
          <w:tab w:val="left" w:pos="2268"/>
        </w:tabs>
        <w:ind w:left="1701" w:hanging="567"/>
      </w:pPr>
      <w:r w:rsidRPr="00DE519C">
        <w:t>vii)</w:t>
      </w:r>
      <w:r w:rsidRPr="00DE519C">
        <w:tab/>
      </w:r>
      <w:r w:rsidRPr="00DE519C">
        <w:rPr>
          <w:snapToGrid w:val="0"/>
        </w:rPr>
        <w:t xml:space="preserve">Merkmalsausprägung zwischen Jahren oder Umgebungen für Ziersorten </w:t>
      </w:r>
    </w:p>
    <w:p w:rsidR="001E52BB" w:rsidRDefault="002A4B70" w:rsidP="00263B3E">
      <w:pPr>
        <w:tabs>
          <w:tab w:val="left" w:pos="1701"/>
          <w:tab w:val="left" w:pos="2268"/>
        </w:tabs>
        <w:ind w:left="1701" w:hanging="567"/>
      </w:pPr>
      <w:r w:rsidRPr="00DE519C">
        <w:t>viii)</w:t>
      </w:r>
      <w:r w:rsidRPr="00DE519C">
        <w:tab/>
        <w:t>Benennung neuer Pflanzenschädlingsarten</w:t>
      </w:r>
    </w:p>
    <w:p w:rsidR="001E52BB" w:rsidRDefault="00DE519C" w:rsidP="001E52BB">
      <w:pPr>
        <w:tabs>
          <w:tab w:val="left" w:pos="1701"/>
          <w:tab w:val="left" w:pos="2268"/>
        </w:tabs>
        <w:ind w:left="1701" w:hanging="567"/>
      </w:pPr>
      <w:r>
        <w:t>ix)</w:t>
      </w:r>
      <w:r>
        <w:tab/>
      </w:r>
      <w:r w:rsidR="001E52BB">
        <w:t>Auswirkungen von Endophyten auf DUS-Merkmale bei Gräsern;</w:t>
      </w:r>
    </w:p>
    <w:p w:rsidR="001E52BB" w:rsidRDefault="00DE519C" w:rsidP="001E52BB">
      <w:pPr>
        <w:tabs>
          <w:tab w:val="left" w:pos="1701"/>
          <w:tab w:val="left" w:pos="2268"/>
        </w:tabs>
        <w:ind w:left="1701" w:hanging="567"/>
      </w:pPr>
      <w:r>
        <w:t>x)</w:t>
      </w:r>
      <w:r>
        <w:tab/>
      </w:r>
      <w:r w:rsidR="001E52BB">
        <w:t xml:space="preserve">DUS-Prüfung von </w:t>
      </w:r>
      <w:proofErr w:type="spellStart"/>
      <w:r w:rsidR="001E52BB">
        <w:t>Mutantensorten</w:t>
      </w:r>
      <w:proofErr w:type="spellEnd"/>
      <w:r w:rsidR="001E52BB">
        <w:t xml:space="preserve"> bei Apfel</w:t>
      </w:r>
    </w:p>
    <w:p w:rsidR="001E52BB" w:rsidRDefault="00DE519C" w:rsidP="001E52BB">
      <w:pPr>
        <w:tabs>
          <w:tab w:val="left" w:pos="1701"/>
          <w:tab w:val="left" w:pos="2268"/>
        </w:tabs>
        <w:ind w:left="1701" w:hanging="567"/>
      </w:pPr>
      <w:r>
        <w:t>xi)</w:t>
      </w:r>
      <w:r>
        <w:tab/>
      </w:r>
      <w:r w:rsidR="001E52BB">
        <w:t>Kalibrierungshandbuch für eine harmonisierte Sortenbeschreibung bei Apfel</w:t>
      </w:r>
    </w:p>
    <w:p w:rsidR="001E52BB" w:rsidRDefault="00DE519C" w:rsidP="001E52BB">
      <w:pPr>
        <w:tabs>
          <w:tab w:val="left" w:pos="1701"/>
          <w:tab w:val="left" w:pos="2268"/>
        </w:tabs>
        <w:ind w:left="1701" w:hanging="567"/>
      </w:pPr>
      <w:r>
        <w:t>xii)</w:t>
      </w:r>
      <w:r>
        <w:tab/>
      </w:r>
      <w:r w:rsidR="001E52BB">
        <w:t>Erfahrung mit der RHS-Farbkarte und etwaige künftige Hinzufügung von Farben</w:t>
      </w:r>
    </w:p>
    <w:p w:rsidR="001E52BB" w:rsidRDefault="00DE519C" w:rsidP="001E52BB">
      <w:pPr>
        <w:tabs>
          <w:tab w:val="left" w:pos="1701"/>
          <w:tab w:val="left" w:pos="2268"/>
        </w:tabs>
        <w:ind w:left="1701" w:hanging="567"/>
      </w:pPr>
      <w:r>
        <w:t>xiii)</w:t>
      </w:r>
      <w:r>
        <w:tab/>
      </w:r>
      <w:r w:rsidR="001E52BB">
        <w:t>Erwägung einer möglichen Umstrukturierung von TGP/8</w:t>
      </w:r>
    </w:p>
    <w:p w:rsidR="001E52BB" w:rsidRDefault="00DE519C" w:rsidP="001E52BB">
      <w:pPr>
        <w:tabs>
          <w:tab w:val="left" w:pos="1701"/>
          <w:tab w:val="left" w:pos="2268"/>
        </w:tabs>
        <w:ind w:left="1701" w:hanging="567"/>
      </w:pPr>
      <w:r>
        <w:t>xiv)</w:t>
      </w:r>
      <w:r>
        <w:tab/>
      </w:r>
      <w:r w:rsidR="001E52BB">
        <w:t>Ausschließung allgemein bekannter Sorten von der zweiten Wachstumsperiode</w:t>
      </w:r>
    </w:p>
    <w:p w:rsidR="001E52BB" w:rsidRPr="00DE519C" w:rsidRDefault="002A4B70" w:rsidP="00263B3E">
      <w:pPr>
        <w:tabs>
          <w:tab w:val="left" w:pos="1701"/>
          <w:tab w:val="left" w:pos="2268"/>
        </w:tabs>
        <w:ind w:left="1701" w:hanging="567"/>
      </w:pPr>
      <w:r>
        <w:t>xv)</w:t>
      </w:r>
      <w:r>
        <w:tab/>
      </w:r>
      <w:r w:rsidRPr="00DE519C">
        <w:t>Implementierung eines Dokumentenverwaltungssystems für Sortenakten</w:t>
      </w:r>
    </w:p>
    <w:p w:rsidR="001E52BB" w:rsidRPr="00DE519C" w:rsidRDefault="00263B3E" w:rsidP="00263B3E">
      <w:pPr>
        <w:tabs>
          <w:tab w:val="left" w:pos="1701"/>
          <w:tab w:val="left" w:pos="2268"/>
        </w:tabs>
        <w:ind w:left="1701" w:hanging="567"/>
      </w:pPr>
      <w:r w:rsidRPr="00DE519C">
        <w:lastRenderedPageBreak/>
        <w:t>xvi)</w:t>
      </w:r>
      <w:r w:rsidRPr="00DE519C">
        <w:tab/>
        <w:t>Software für die statistische Analyse</w:t>
      </w:r>
    </w:p>
    <w:p w:rsidR="001E52BB" w:rsidRPr="00DE519C" w:rsidRDefault="00DE519C" w:rsidP="001E52BB">
      <w:pPr>
        <w:tabs>
          <w:tab w:val="left" w:pos="1701"/>
          <w:tab w:val="left" w:pos="2268"/>
        </w:tabs>
        <w:ind w:left="1701" w:hanging="567"/>
      </w:pPr>
      <w:r w:rsidRPr="00DE519C">
        <w:t>xvii)</w:t>
      </w:r>
      <w:r w:rsidRPr="00DE519C">
        <w:tab/>
      </w:r>
      <w:r w:rsidR="001E52BB" w:rsidRPr="00DE519C">
        <w:t>Ein einziges Instrument für das DUS-Berechnungsverfahren</w:t>
      </w:r>
    </w:p>
    <w:p w:rsidR="001E52BB" w:rsidRPr="00DE519C" w:rsidRDefault="00DE519C" w:rsidP="001E52BB">
      <w:pPr>
        <w:tabs>
          <w:tab w:val="left" w:pos="1701"/>
          <w:tab w:val="left" w:pos="2268"/>
        </w:tabs>
        <w:ind w:left="1701" w:hanging="567"/>
      </w:pPr>
      <w:r w:rsidRPr="00DE519C">
        <w:t>xviii)</w:t>
      </w:r>
      <w:r w:rsidRPr="00DE519C">
        <w:tab/>
      </w:r>
      <w:r w:rsidR="001E52BB" w:rsidRPr="00DE519C">
        <w:t>Verwaltung von Datenbanken</w:t>
      </w:r>
    </w:p>
    <w:p w:rsidR="001E52BB" w:rsidRDefault="00263B3E" w:rsidP="00263B3E">
      <w:pPr>
        <w:tabs>
          <w:tab w:val="left" w:pos="1701"/>
          <w:tab w:val="left" w:pos="2268"/>
        </w:tabs>
        <w:ind w:left="1701" w:hanging="567"/>
        <w:rPr>
          <w:rFonts w:eastAsia="MS Mincho"/>
        </w:rPr>
      </w:pPr>
      <w:r w:rsidRPr="00DE519C">
        <w:t>xix)</w:t>
      </w:r>
      <w:r w:rsidRPr="00DE519C">
        <w:tab/>
        <w:t>Webdienste, die von UPOV und Verbandsmitgliedern bereitgestellt werden</w:t>
      </w:r>
    </w:p>
    <w:p w:rsidR="001E52BB" w:rsidRDefault="00263B3E" w:rsidP="00263B3E">
      <w:pPr>
        <w:tabs>
          <w:tab w:val="left" w:pos="1701"/>
          <w:tab w:val="left" w:pos="2268"/>
        </w:tabs>
        <w:ind w:left="1701" w:hanging="567"/>
        <w:rPr>
          <w:rFonts w:eastAsia="MS Mincho"/>
        </w:rPr>
      </w:pPr>
      <w:r>
        <w:t>xx)</w:t>
      </w:r>
      <w:r>
        <w:tab/>
        <w:t>Bildanalyse</w:t>
      </w:r>
    </w:p>
    <w:p w:rsidR="001E52BB" w:rsidRDefault="00263B3E" w:rsidP="00263B3E">
      <w:pPr>
        <w:tabs>
          <w:tab w:val="left" w:pos="1701"/>
          <w:tab w:val="left" w:pos="2268"/>
        </w:tabs>
        <w:ind w:left="1701" w:hanging="567"/>
      </w:pPr>
      <w:r>
        <w:t>xxi)</w:t>
      </w:r>
      <w:r>
        <w:tab/>
      </w:r>
      <w:r>
        <w:rPr>
          <w:snapToGrid w:val="0"/>
        </w:rPr>
        <w:t>Bericht über Gerichtsverfahren betreffend technische Angelegenheiten</w:t>
      </w:r>
    </w:p>
    <w:p w:rsidR="001E52BB" w:rsidRDefault="001E52BB" w:rsidP="00606D31">
      <w:pPr>
        <w:tabs>
          <w:tab w:val="left" w:pos="1701"/>
        </w:tabs>
        <w:ind w:left="1134"/>
      </w:pPr>
    </w:p>
    <w:p w:rsidR="001E52BB" w:rsidRDefault="001E52BB" w:rsidP="00606D31">
      <w:pPr>
        <w:tabs>
          <w:tab w:val="left" w:pos="1701"/>
        </w:tabs>
        <w:ind w:left="1134"/>
      </w:pPr>
    </w:p>
    <w:p w:rsidR="001E52BB" w:rsidRDefault="00606D31" w:rsidP="001E52BB">
      <w:pPr>
        <w:keepNext/>
        <w:rPr>
          <w:color w:val="000000"/>
        </w:rPr>
      </w:pPr>
      <w:r w:rsidRPr="00C27AE7">
        <w:rPr>
          <w:color w:val="000000"/>
        </w:rPr>
        <w:fldChar w:fldCharType="begin"/>
      </w:r>
      <w:r w:rsidRPr="00C27AE7">
        <w:rPr>
          <w:color w:val="000000"/>
        </w:rPr>
        <w:instrText xml:space="preserve"> AUTONUM  </w:instrText>
      </w:r>
      <w:r w:rsidRPr="00C27AE7">
        <w:rPr>
          <w:color w:val="000000"/>
        </w:rPr>
        <w:fldChar w:fldCharType="end"/>
      </w:r>
      <w:r>
        <w:rPr>
          <w:color w:val="000000"/>
        </w:rPr>
        <w:tab/>
        <w:t>In diesem Dokument werden folgende Abkürzungen verwendet:</w:t>
      </w:r>
    </w:p>
    <w:p w:rsidR="001E52BB" w:rsidRDefault="001E52BB" w:rsidP="00606D31">
      <w:pPr>
        <w:keepNext/>
        <w:ind w:left="1692" w:hanging="1125"/>
        <w:jc w:val="left"/>
        <w:rPr>
          <w:color w:val="000000"/>
        </w:rPr>
      </w:pPr>
    </w:p>
    <w:p w:rsidR="001E52BB" w:rsidRDefault="00606D31" w:rsidP="001E52BB">
      <w:pPr>
        <w:keepNext/>
        <w:tabs>
          <w:tab w:val="left" w:pos="567"/>
          <w:tab w:val="left" w:pos="1701"/>
        </w:tabs>
      </w:pPr>
      <w:r>
        <w:tab/>
        <w:t xml:space="preserve">CAJ:  </w:t>
      </w:r>
      <w:r>
        <w:tab/>
        <w:t xml:space="preserve">Verwaltungs- und </w:t>
      </w:r>
      <w:proofErr w:type="spellStart"/>
      <w:r>
        <w:t>Rechtsausschuß</w:t>
      </w:r>
      <w:proofErr w:type="spellEnd"/>
      <w:r>
        <w:t xml:space="preserve"> </w:t>
      </w:r>
    </w:p>
    <w:p w:rsidR="001E52BB" w:rsidRDefault="00606D31" w:rsidP="001E52BB">
      <w:pPr>
        <w:keepNext/>
        <w:tabs>
          <w:tab w:val="left" w:pos="567"/>
          <w:tab w:val="left" w:pos="1701"/>
        </w:tabs>
      </w:pPr>
      <w:r>
        <w:tab/>
        <w:t xml:space="preserve">TC:  </w:t>
      </w:r>
      <w:r>
        <w:tab/>
        <w:t xml:space="preserve">Technischer </w:t>
      </w:r>
      <w:proofErr w:type="spellStart"/>
      <w:r>
        <w:t>Ausschuß</w:t>
      </w:r>
      <w:proofErr w:type="spellEnd"/>
    </w:p>
    <w:p w:rsidR="001E52BB" w:rsidRDefault="00606D31" w:rsidP="001E52BB">
      <w:pPr>
        <w:keepNext/>
        <w:tabs>
          <w:tab w:val="left" w:pos="567"/>
          <w:tab w:val="left" w:pos="1701"/>
        </w:tabs>
        <w:rPr>
          <w:rFonts w:eastAsia="PMingLiU"/>
          <w:szCs w:val="24"/>
        </w:rPr>
      </w:pPr>
      <w:r>
        <w:tab/>
        <w:t xml:space="preserve">TC-EDC: </w:t>
      </w:r>
      <w:r>
        <w:tab/>
        <w:t xml:space="preserve">Erweiterter </w:t>
      </w:r>
      <w:proofErr w:type="spellStart"/>
      <w:r>
        <w:t>Redaktionsausschuß</w:t>
      </w:r>
      <w:proofErr w:type="spellEnd"/>
    </w:p>
    <w:p w:rsidR="001E52BB" w:rsidRDefault="00606D31" w:rsidP="001E52BB">
      <w:pPr>
        <w:keepNext/>
        <w:tabs>
          <w:tab w:val="left" w:pos="567"/>
          <w:tab w:val="left" w:pos="1701"/>
        </w:tabs>
        <w:rPr>
          <w:rFonts w:eastAsia="PMingLiU"/>
          <w:szCs w:val="24"/>
        </w:rPr>
      </w:pPr>
      <w:r>
        <w:tab/>
        <w:t xml:space="preserve">TWA:  </w:t>
      </w:r>
      <w:r>
        <w:tab/>
        <w:t>Technische Arbeitsgruppe für landwirtschaftliche Arten</w:t>
      </w:r>
    </w:p>
    <w:p w:rsidR="001E52BB" w:rsidRDefault="00606D31" w:rsidP="001E52BB">
      <w:pPr>
        <w:keepNext/>
        <w:tabs>
          <w:tab w:val="left" w:pos="567"/>
          <w:tab w:val="left" w:pos="1701"/>
        </w:tabs>
        <w:rPr>
          <w:rFonts w:eastAsia="PMingLiU"/>
          <w:szCs w:val="24"/>
        </w:rPr>
      </w:pPr>
      <w:r>
        <w:tab/>
        <w:t xml:space="preserve">TWC: </w:t>
      </w:r>
      <w:r>
        <w:tab/>
        <w:t>Technische Arbeitsgruppe für Automatisierung und Computerprogramme</w:t>
      </w:r>
    </w:p>
    <w:p w:rsidR="001E52BB" w:rsidRDefault="00606D31" w:rsidP="001E52BB">
      <w:pPr>
        <w:keepNext/>
        <w:tabs>
          <w:tab w:val="left" w:pos="567"/>
          <w:tab w:val="left" w:pos="1701"/>
        </w:tabs>
        <w:rPr>
          <w:rFonts w:eastAsia="PMingLiU"/>
          <w:szCs w:val="24"/>
        </w:rPr>
      </w:pPr>
      <w:r>
        <w:tab/>
        <w:t xml:space="preserve">TWF:  </w:t>
      </w:r>
      <w:r>
        <w:tab/>
        <w:t>Technische Arbeitsgruppe für Obstarten</w:t>
      </w:r>
    </w:p>
    <w:p w:rsidR="001E52BB" w:rsidRDefault="00606D31" w:rsidP="001E52BB">
      <w:pPr>
        <w:keepNext/>
        <w:tabs>
          <w:tab w:val="left" w:pos="567"/>
          <w:tab w:val="left" w:pos="1701"/>
        </w:tabs>
        <w:rPr>
          <w:rFonts w:eastAsia="PMingLiU"/>
          <w:szCs w:val="24"/>
        </w:rPr>
      </w:pPr>
      <w:r>
        <w:tab/>
        <w:t xml:space="preserve">TWO: </w:t>
      </w:r>
      <w:r>
        <w:tab/>
        <w:t>Technische Arbeitsgruppe für Zierpflanzen und forstliche Baumarten</w:t>
      </w:r>
    </w:p>
    <w:p w:rsidR="001E52BB" w:rsidRDefault="00606D31" w:rsidP="001E52BB">
      <w:pPr>
        <w:keepNext/>
        <w:tabs>
          <w:tab w:val="left" w:pos="567"/>
          <w:tab w:val="left" w:pos="1701"/>
        </w:tabs>
        <w:rPr>
          <w:rFonts w:eastAsia="PMingLiU"/>
          <w:szCs w:val="24"/>
        </w:rPr>
      </w:pPr>
      <w:r>
        <w:tab/>
        <w:t>TWP:</w:t>
      </w:r>
      <w:r>
        <w:tab/>
        <w:t>Technische Arbeitsgruppen</w:t>
      </w:r>
    </w:p>
    <w:p w:rsidR="001E52BB" w:rsidRDefault="00606D31" w:rsidP="001E52BB">
      <w:pPr>
        <w:keepNext/>
        <w:tabs>
          <w:tab w:val="left" w:pos="567"/>
          <w:tab w:val="left" w:pos="1701"/>
        </w:tabs>
        <w:rPr>
          <w:rFonts w:eastAsia="PMingLiU"/>
          <w:szCs w:val="24"/>
        </w:rPr>
      </w:pPr>
      <w:r>
        <w:tab/>
        <w:t xml:space="preserve">TWV:  </w:t>
      </w:r>
      <w:r>
        <w:tab/>
        <w:t>Technische Arbeitsgruppe für Gemüsearten</w:t>
      </w:r>
    </w:p>
    <w:p w:rsidR="001E52BB" w:rsidRDefault="001E52BB" w:rsidP="00606D31">
      <w:pPr>
        <w:rPr>
          <w:highlight w:val="cyan"/>
        </w:rPr>
      </w:pPr>
    </w:p>
    <w:p w:rsidR="001E52BB" w:rsidRDefault="001E52BB" w:rsidP="00606D31">
      <w:pPr>
        <w:rPr>
          <w:highlight w:val="cyan"/>
        </w:rPr>
      </w:pPr>
    </w:p>
    <w:p w:rsidR="001E52BB" w:rsidRPr="00585F65" w:rsidRDefault="00606D31" w:rsidP="001E52BB">
      <w:r w:rsidRPr="00C27AE7">
        <w:rPr>
          <w:color w:val="000000"/>
        </w:rPr>
        <w:fldChar w:fldCharType="begin"/>
      </w:r>
      <w:r w:rsidRPr="00585F65">
        <w:rPr>
          <w:color w:val="000000"/>
        </w:rPr>
        <w:instrText xml:space="preserve"> AUTONUM  </w:instrText>
      </w:r>
      <w:r w:rsidRPr="00C27AE7">
        <w:rPr>
          <w:color w:val="000000"/>
        </w:rPr>
        <w:fldChar w:fldCharType="end"/>
      </w:r>
      <w:r>
        <w:rPr>
          <w:color w:val="000000"/>
        </w:rPr>
        <w:tab/>
        <w:t>Der Aufbau dieses Dokuments ist nachstehend zusammengefasst:</w:t>
      </w:r>
    </w:p>
    <w:p w:rsidR="001E52BB" w:rsidRPr="00585F65" w:rsidRDefault="001E52BB" w:rsidP="00606D31"/>
    <w:p w:rsidR="00E723E1" w:rsidRPr="006A7173" w:rsidRDefault="00606D31">
      <w:pPr>
        <w:pStyle w:val="TOC1"/>
        <w:rPr>
          <w:rFonts w:asciiTheme="minorHAnsi" w:eastAsiaTheme="minorEastAsia" w:hAnsiTheme="minorHAnsi" w:cstheme="minorBidi"/>
          <w:caps w:val="0"/>
          <w:noProof/>
          <w:sz w:val="22"/>
          <w:szCs w:val="22"/>
          <w:lang w:eastAsia="de-DE"/>
        </w:rPr>
      </w:pPr>
      <w:r w:rsidRPr="006A7173">
        <w:fldChar w:fldCharType="begin"/>
      </w:r>
      <w:r w:rsidRPr="006A7173">
        <w:instrText xml:space="preserve"> TOC \o "1-3" \h \z \u </w:instrText>
      </w:r>
      <w:r w:rsidRPr="006A7173">
        <w:fldChar w:fldCharType="separate"/>
      </w:r>
      <w:hyperlink w:anchor="_Toc527980853" w:history="1">
        <w:r w:rsidR="00E723E1" w:rsidRPr="006A7173">
          <w:rPr>
            <w:rStyle w:val="Hyperlink"/>
            <w:noProof/>
          </w:rPr>
          <w:t>ZUSAMMENFASSUNG</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_Toc527980853 \h </w:instrText>
        </w:r>
        <w:r w:rsidR="00E723E1" w:rsidRPr="006A7173">
          <w:rPr>
            <w:noProof/>
            <w:webHidden/>
          </w:rPr>
        </w:r>
        <w:r w:rsidR="00E723E1" w:rsidRPr="006A7173">
          <w:rPr>
            <w:noProof/>
            <w:webHidden/>
          </w:rPr>
          <w:fldChar w:fldCharType="separate"/>
        </w:r>
        <w:r w:rsidR="00DE519C" w:rsidRPr="006A7173">
          <w:rPr>
            <w:noProof/>
            <w:webHidden/>
          </w:rPr>
          <w:t>1</w:t>
        </w:r>
        <w:r w:rsidR="00E723E1" w:rsidRPr="006A7173">
          <w:rPr>
            <w:noProof/>
            <w:webHidden/>
          </w:rPr>
          <w:fldChar w:fldCharType="end"/>
        </w:r>
      </w:hyperlink>
    </w:p>
    <w:p w:rsidR="00E723E1" w:rsidRPr="006A7173" w:rsidRDefault="00282926">
      <w:pPr>
        <w:pStyle w:val="TOC1"/>
        <w:rPr>
          <w:rFonts w:asciiTheme="minorHAnsi" w:eastAsiaTheme="minorEastAsia" w:hAnsiTheme="minorHAnsi" w:cstheme="minorBidi"/>
          <w:caps w:val="0"/>
          <w:noProof/>
          <w:sz w:val="22"/>
          <w:szCs w:val="22"/>
          <w:lang w:eastAsia="de-DE"/>
        </w:rPr>
      </w:pPr>
      <w:hyperlink w:anchor="_Toc527980854" w:history="1">
        <w:r w:rsidR="00E723E1" w:rsidRPr="006A7173">
          <w:rPr>
            <w:rStyle w:val="Hyperlink"/>
            <w:noProof/>
          </w:rPr>
          <w:t>FRAGEN ZUR INFORMATION UND FÜR EINE VOM TECHNISCHEN AUSSCHUSS (TC) GEGEBENENFALLS ZU TREFFENDE ENTSCHEIDUNG</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_Toc527980854 \h </w:instrText>
        </w:r>
        <w:r w:rsidR="00E723E1" w:rsidRPr="006A7173">
          <w:rPr>
            <w:noProof/>
            <w:webHidden/>
          </w:rPr>
        </w:r>
        <w:r w:rsidR="00E723E1" w:rsidRPr="006A7173">
          <w:rPr>
            <w:noProof/>
            <w:webHidden/>
          </w:rPr>
          <w:fldChar w:fldCharType="separate"/>
        </w:r>
        <w:r w:rsidR="00DE519C" w:rsidRPr="006A7173">
          <w:rPr>
            <w:noProof/>
            <w:webHidden/>
          </w:rPr>
          <w:t>3</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55" w:history="1">
        <w:r w:rsidR="00E723E1" w:rsidRPr="006A7173">
          <w:rPr>
            <w:rStyle w:val="Hyperlink"/>
            <w:noProof/>
          </w:rPr>
          <w:t>Verbesserung der Beteiligung neuer Verbandsmitglieder an der Arbeit des TC und der TWP</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_Toc527980855 \h </w:instrText>
        </w:r>
        <w:r w:rsidR="00E723E1" w:rsidRPr="006A7173">
          <w:rPr>
            <w:noProof/>
            <w:webHidden/>
          </w:rPr>
        </w:r>
        <w:r w:rsidR="00E723E1" w:rsidRPr="006A7173">
          <w:rPr>
            <w:noProof/>
            <w:webHidden/>
          </w:rPr>
          <w:fldChar w:fldCharType="separate"/>
        </w:r>
        <w:r w:rsidR="00DE519C" w:rsidRPr="006A7173">
          <w:rPr>
            <w:noProof/>
            <w:webHidden/>
          </w:rPr>
          <w:t>3</w:t>
        </w:r>
        <w:r w:rsidR="00E723E1" w:rsidRPr="006A7173">
          <w:rPr>
            <w:noProof/>
            <w:webHidden/>
          </w:rPr>
          <w:fldChar w:fldCharType="end"/>
        </w:r>
      </w:hyperlink>
    </w:p>
    <w:p w:rsidR="00E723E1" w:rsidRPr="006A7173" w:rsidRDefault="00282926">
      <w:pPr>
        <w:pStyle w:val="TOC3"/>
        <w:rPr>
          <w:rFonts w:asciiTheme="minorHAnsi" w:eastAsiaTheme="minorEastAsia" w:hAnsiTheme="minorHAnsi" w:cstheme="minorBidi"/>
          <w:i w:val="0"/>
          <w:noProof/>
          <w:sz w:val="22"/>
          <w:szCs w:val="22"/>
          <w:lang w:eastAsia="de-DE"/>
        </w:rPr>
      </w:pPr>
      <w:hyperlink w:anchor="_Toc527980856" w:history="1">
        <w:r w:rsidR="00E723E1" w:rsidRPr="006A7173">
          <w:rPr>
            <w:rStyle w:val="Hyperlink"/>
            <w:noProof/>
            <w:snapToGrid w:val="0"/>
          </w:rPr>
          <w:t>Hintergrund</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_Toc527980856 \h </w:instrText>
        </w:r>
        <w:r w:rsidR="00E723E1" w:rsidRPr="006A7173">
          <w:rPr>
            <w:noProof/>
            <w:webHidden/>
          </w:rPr>
        </w:r>
        <w:r w:rsidR="00E723E1" w:rsidRPr="006A7173">
          <w:rPr>
            <w:noProof/>
            <w:webHidden/>
          </w:rPr>
          <w:fldChar w:fldCharType="separate"/>
        </w:r>
        <w:r w:rsidR="00DE519C" w:rsidRPr="006A7173">
          <w:rPr>
            <w:noProof/>
            <w:webHidden/>
          </w:rPr>
          <w:t>3</w:t>
        </w:r>
        <w:r w:rsidR="00E723E1" w:rsidRPr="006A7173">
          <w:rPr>
            <w:noProof/>
            <w:webHidden/>
          </w:rPr>
          <w:fldChar w:fldCharType="end"/>
        </w:r>
      </w:hyperlink>
    </w:p>
    <w:p w:rsidR="00E723E1" w:rsidRPr="006A7173" w:rsidRDefault="00282926">
      <w:pPr>
        <w:pStyle w:val="TOC3"/>
        <w:rPr>
          <w:rFonts w:asciiTheme="minorHAnsi" w:eastAsiaTheme="minorEastAsia" w:hAnsiTheme="minorHAnsi" w:cstheme="minorBidi"/>
          <w:i w:val="0"/>
          <w:noProof/>
          <w:sz w:val="22"/>
          <w:szCs w:val="22"/>
          <w:lang w:eastAsia="de-DE"/>
        </w:rPr>
      </w:pPr>
      <w:hyperlink w:anchor="_Toc527980857" w:history="1">
        <w:r w:rsidR="00E723E1" w:rsidRPr="006A7173">
          <w:rPr>
            <w:rStyle w:val="Hyperlink"/>
            <w:noProof/>
          </w:rPr>
          <w:t>Prüfung durch die technischen Arbeitsgruppen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_Toc527980857 \h </w:instrText>
        </w:r>
        <w:r w:rsidR="00E723E1" w:rsidRPr="006A7173">
          <w:rPr>
            <w:noProof/>
            <w:webHidden/>
          </w:rPr>
        </w:r>
        <w:r w:rsidR="00E723E1" w:rsidRPr="006A7173">
          <w:rPr>
            <w:noProof/>
            <w:webHidden/>
          </w:rPr>
          <w:fldChar w:fldCharType="separate"/>
        </w:r>
        <w:r w:rsidR="00DE519C" w:rsidRPr="006A7173">
          <w:rPr>
            <w:noProof/>
            <w:webHidden/>
          </w:rPr>
          <w:t>3</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58" w:history="1">
        <w:r w:rsidR="00E723E1" w:rsidRPr="006A7173">
          <w:rPr>
            <w:rStyle w:val="Hyperlink"/>
            <w:noProof/>
          </w:rPr>
          <w:t>Verfahren für eine Teilüberarbeitung von UPOV-Prüfungsrichtlinien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_Toc527980858 \h </w:instrText>
        </w:r>
        <w:r w:rsidR="00E723E1" w:rsidRPr="006A7173">
          <w:rPr>
            <w:noProof/>
            <w:webHidden/>
          </w:rPr>
        </w:r>
        <w:r w:rsidR="00E723E1" w:rsidRPr="006A7173">
          <w:rPr>
            <w:noProof/>
            <w:webHidden/>
          </w:rPr>
          <w:fldChar w:fldCharType="separate"/>
        </w:r>
        <w:r w:rsidR="00DE519C" w:rsidRPr="006A7173">
          <w:rPr>
            <w:noProof/>
            <w:webHidden/>
          </w:rPr>
          <w:t>5</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59" w:history="1">
        <w:r w:rsidR="00E723E1" w:rsidRPr="006A7173">
          <w:rPr>
            <w:rStyle w:val="Hyperlink"/>
            <w:noProof/>
          </w:rPr>
          <w:t>Mindestabstand zwischen Sorten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_Toc527980859 \h </w:instrText>
        </w:r>
        <w:r w:rsidR="00E723E1" w:rsidRPr="006A7173">
          <w:rPr>
            <w:noProof/>
            <w:webHidden/>
          </w:rPr>
        </w:r>
        <w:r w:rsidR="00E723E1" w:rsidRPr="006A7173">
          <w:rPr>
            <w:noProof/>
            <w:webHidden/>
          </w:rPr>
          <w:fldChar w:fldCharType="separate"/>
        </w:r>
        <w:r w:rsidR="00DE519C" w:rsidRPr="006A7173">
          <w:rPr>
            <w:noProof/>
            <w:webHidden/>
          </w:rPr>
          <w:t>6</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60" w:history="1">
        <w:r w:rsidR="00E723E1" w:rsidRPr="006A7173">
          <w:rPr>
            <w:rStyle w:val="Hyperlink"/>
            <w:noProof/>
          </w:rPr>
          <w:t>Verwendung von Krankheits- und Insektenresistenzmerkmalen bei der DUS-Prüfung;</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_Toc527980860 \h </w:instrText>
        </w:r>
        <w:r w:rsidR="00E723E1" w:rsidRPr="006A7173">
          <w:rPr>
            <w:noProof/>
            <w:webHidden/>
          </w:rPr>
        </w:r>
        <w:r w:rsidR="00E723E1" w:rsidRPr="006A7173">
          <w:rPr>
            <w:noProof/>
            <w:webHidden/>
          </w:rPr>
          <w:fldChar w:fldCharType="separate"/>
        </w:r>
        <w:r w:rsidR="00DE519C" w:rsidRPr="006A7173">
          <w:rPr>
            <w:noProof/>
            <w:webHidden/>
          </w:rPr>
          <w:t>7</w:t>
        </w:r>
        <w:r w:rsidR="00E723E1" w:rsidRPr="006A7173">
          <w:rPr>
            <w:noProof/>
            <w:webHidden/>
          </w:rPr>
          <w:fldChar w:fldCharType="end"/>
        </w:r>
      </w:hyperlink>
    </w:p>
    <w:p w:rsidR="00E723E1" w:rsidRPr="006A7173" w:rsidRDefault="00282926">
      <w:pPr>
        <w:pStyle w:val="TOC1"/>
        <w:rPr>
          <w:rFonts w:asciiTheme="minorHAnsi" w:eastAsiaTheme="minorEastAsia" w:hAnsiTheme="minorHAnsi" w:cstheme="minorBidi"/>
          <w:caps w:val="0"/>
          <w:noProof/>
          <w:sz w:val="22"/>
          <w:szCs w:val="22"/>
          <w:lang w:eastAsia="de-DE"/>
        </w:rPr>
      </w:pPr>
      <w:hyperlink w:anchor="_Toc527980861" w:history="1">
        <w:r w:rsidR="00E723E1" w:rsidRPr="006A7173">
          <w:rPr>
            <w:rStyle w:val="Hyperlink"/>
            <w:noProof/>
          </w:rPr>
          <w:t>Angelegenheiten zur Information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_Toc527980861 \h </w:instrText>
        </w:r>
        <w:r w:rsidR="00E723E1" w:rsidRPr="006A7173">
          <w:rPr>
            <w:noProof/>
            <w:webHidden/>
          </w:rPr>
        </w:r>
        <w:r w:rsidR="00E723E1" w:rsidRPr="006A7173">
          <w:rPr>
            <w:noProof/>
            <w:webHidden/>
          </w:rPr>
          <w:fldChar w:fldCharType="separate"/>
        </w:r>
        <w:r w:rsidR="00DE519C" w:rsidRPr="006A7173">
          <w:rPr>
            <w:noProof/>
            <w:webHidden/>
          </w:rPr>
          <w:t>9</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62" w:history="1">
        <w:r w:rsidR="00E723E1" w:rsidRPr="006A7173">
          <w:rPr>
            <w:rStyle w:val="Hyperlink"/>
            <w:noProof/>
          </w:rPr>
          <w:t>Erfahrungen mit neuen Typen und Arten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_Toc527980862 \h </w:instrText>
        </w:r>
        <w:r w:rsidR="00E723E1" w:rsidRPr="006A7173">
          <w:rPr>
            <w:noProof/>
            <w:webHidden/>
          </w:rPr>
        </w:r>
        <w:r w:rsidR="00E723E1" w:rsidRPr="006A7173">
          <w:rPr>
            <w:noProof/>
            <w:webHidden/>
          </w:rPr>
          <w:fldChar w:fldCharType="separate"/>
        </w:r>
        <w:r w:rsidR="00DE519C" w:rsidRPr="006A7173">
          <w:rPr>
            <w:noProof/>
            <w:webHidden/>
          </w:rPr>
          <w:t>9</w:t>
        </w:r>
        <w:r w:rsidR="00E723E1" w:rsidRPr="006A7173">
          <w:rPr>
            <w:noProof/>
            <w:webHidden/>
          </w:rPr>
          <w:fldChar w:fldCharType="end"/>
        </w:r>
      </w:hyperlink>
    </w:p>
    <w:p w:rsidR="00E723E1" w:rsidRPr="006A7173" w:rsidRDefault="00282926">
      <w:pPr>
        <w:pStyle w:val="TOC3"/>
        <w:rPr>
          <w:rFonts w:asciiTheme="minorHAnsi" w:eastAsiaTheme="minorEastAsia" w:hAnsiTheme="minorHAnsi" w:cstheme="minorBidi"/>
          <w:i w:val="0"/>
          <w:noProof/>
          <w:sz w:val="22"/>
          <w:szCs w:val="22"/>
          <w:lang w:eastAsia="de-DE"/>
        </w:rPr>
      </w:pPr>
      <w:hyperlink w:anchor="_Toc527980863" w:history="1">
        <w:r w:rsidR="00E723E1" w:rsidRPr="006A7173">
          <w:rPr>
            <w:rStyle w:val="Hyperlink"/>
            <w:noProof/>
          </w:rPr>
          <w:t>Technische Arbeitsgruppe für Zierpflanzen und forstliche Baumarten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_Toc527980863 \h </w:instrText>
        </w:r>
        <w:r w:rsidR="00E723E1" w:rsidRPr="006A7173">
          <w:rPr>
            <w:noProof/>
            <w:webHidden/>
          </w:rPr>
        </w:r>
        <w:r w:rsidR="00E723E1" w:rsidRPr="006A7173">
          <w:rPr>
            <w:noProof/>
            <w:webHidden/>
          </w:rPr>
          <w:fldChar w:fldCharType="separate"/>
        </w:r>
        <w:r w:rsidR="00DE519C" w:rsidRPr="006A7173">
          <w:rPr>
            <w:noProof/>
            <w:webHidden/>
          </w:rPr>
          <w:t>9</w:t>
        </w:r>
        <w:r w:rsidR="00E723E1" w:rsidRPr="006A7173">
          <w:rPr>
            <w:noProof/>
            <w:webHidden/>
          </w:rPr>
          <w:fldChar w:fldCharType="end"/>
        </w:r>
      </w:hyperlink>
    </w:p>
    <w:p w:rsidR="00E723E1" w:rsidRPr="006A7173" w:rsidRDefault="00282926">
      <w:pPr>
        <w:pStyle w:val="TOC3"/>
        <w:rPr>
          <w:rFonts w:asciiTheme="minorHAnsi" w:eastAsiaTheme="minorEastAsia" w:hAnsiTheme="minorHAnsi" w:cstheme="minorBidi"/>
          <w:i w:val="0"/>
          <w:noProof/>
          <w:sz w:val="22"/>
          <w:szCs w:val="22"/>
          <w:lang w:eastAsia="de-DE"/>
        </w:rPr>
      </w:pPr>
      <w:hyperlink w:anchor="_Toc527980864" w:history="1">
        <w:r w:rsidR="00E723E1" w:rsidRPr="006A7173">
          <w:rPr>
            <w:rStyle w:val="Hyperlink"/>
            <w:noProof/>
          </w:rPr>
          <w:t>Technische Arbeitsgruppe für Obstarten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_Toc527980864 \h </w:instrText>
        </w:r>
        <w:r w:rsidR="00E723E1" w:rsidRPr="006A7173">
          <w:rPr>
            <w:noProof/>
            <w:webHidden/>
          </w:rPr>
        </w:r>
        <w:r w:rsidR="00E723E1" w:rsidRPr="006A7173">
          <w:rPr>
            <w:noProof/>
            <w:webHidden/>
          </w:rPr>
          <w:fldChar w:fldCharType="separate"/>
        </w:r>
        <w:r w:rsidR="00DE519C" w:rsidRPr="006A7173">
          <w:rPr>
            <w:noProof/>
            <w:webHidden/>
          </w:rPr>
          <w:t>9</w:t>
        </w:r>
        <w:r w:rsidR="00E723E1" w:rsidRPr="006A7173">
          <w:rPr>
            <w:noProof/>
            <w:webHidden/>
          </w:rPr>
          <w:fldChar w:fldCharType="end"/>
        </w:r>
      </w:hyperlink>
    </w:p>
    <w:p w:rsidR="00E723E1" w:rsidRPr="006A7173" w:rsidRDefault="00282926">
      <w:pPr>
        <w:pStyle w:val="TOC3"/>
        <w:rPr>
          <w:rFonts w:asciiTheme="minorHAnsi" w:eastAsiaTheme="minorEastAsia" w:hAnsiTheme="minorHAnsi" w:cstheme="minorBidi"/>
          <w:i w:val="0"/>
          <w:noProof/>
          <w:sz w:val="22"/>
          <w:szCs w:val="22"/>
          <w:lang w:eastAsia="de-DE"/>
        </w:rPr>
      </w:pPr>
      <w:hyperlink w:anchor="_Toc527980865" w:history="1">
        <w:r w:rsidR="00E723E1" w:rsidRPr="006A7173">
          <w:rPr>
            <w:rStyle w:val="Hyperlink"/>
            <w:noProof/>
          </w:rPr>
          <w:t>Technische Arbeitsgruppe für landwirtschaftliche Arten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_Toc527980865 \h </w:instrText>
        </w:r>
        <w:r w:rsidR="00E723E1" w:rsidRPr="006A7173">
          <w:rPr>
            <w:noProof/>
            <w:webHidden/>
          </w:rPr>
        </w:r>
        <w:r w:rsidR="00E723E1" w:rsidRPr="006A7173">
          <w:rPr>
            <w:noProof/>
            <w:webHidden/>
          </w:rPr>
          <w:fldChar w:fldCharType="separate"/>
        </w:r>
        <w:r w:rsidR="00DE519C" w:rsidRPr="006A7173">
          <w:rPr>
            <w:noProof/>
            <w:webHidden/>
          </w:rPr>
          <w:t>9</w:t>
        </w:r>
        <w:r w:rsidR="00E723E1" w:rsidRPr="006A7173">
          <w:rPr>
            <w:noProof/>
            <w:webHidden/>
          </w:rPr>
          <w:fldChar w:fldCharType="end"/>
        </w:r>
      </w:hyperlink>
    </w:p>
    <w:p w:rsidR="00E723E1" w:rsidRPr="006A7173" w:rsidRDefault="00282926">
      <w:pPr>
        <w:pStyle w:val="TOC3"/>
        <w:rPr>
          <w:rFonts w:asciiTheme="minorHAnsi" w:eastAsiaTheme="minorEastAsia" w:hAnsiTheme="minorHAnsi" w:cstheme="minorBidi"/>
          <w:i w:val="0"/>
          <w:noProof/>
          <w:sz w:val="22"/>
          <w:szCs w:val="22"/>
          <w:lang w:eastAsia="de-DE"/>
        </w:rPr>
      </w:pPr>
      <w:hyperlink w:anchor="_Toc527980866" w:history="1">
        <w:r w:rsidR="00E723E1" w:rsidRPr="006A7173">
          <w:rPr>
            <w:rStyle w:val="Hyperlink"/>
            <w:noProof/>
          </w:rPr>
          <w:t>Technische Arbeitsgruppe für Gemüsearten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_Toc527980866 \h </w:instrText>
        </w:r>
        <w:r w:rsidR="00E723E1" w:rsidRPr="006A7173">
          <w:rPr>
            <w:noProof/>
            <w:webHidden/>
          </w:rPr>
        </w:r>
        <w:r w:rsidR="00E723E1" w:rsidRPr="006A7173">
          <w:rPr>
            <w:noProof/>
            <w:webHidden/>
          </w:rPr>
          <w:fldChar w:fldCharType="separate"/>
        </w:r>
        <w:r w:rsidR="00DE519C" w:rsidRPr="006A7173">
          <w:rPr>
            <w:noProof/>
            <w:webHidden/>
          </w:rPr>
          <w:t>9</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67" w:history="1">
        <w:r w:rsidR="00E723E1" w:rsidRPr="006A7173">
          <w:rPr>
            <w:rStyle w:val="Hyperlink"/>
            <w:noProof/>
          </w:rPr>
          <w:t>Verwaltung von Sortensammlungen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_Toc527980867 \h </w:instrText>
        </w:r>
        <w:r w:rsidR="00E723E1" w:rsidRPr="006A7173">
          <w:rPr>
            <w:noProof/>
            <w:webHidden/>
          </w:rPr>
        </w:r>
        <w:r w:rsidR="00E723E1" w:rsidRPr="006A7173">
          <w:rPr>
            <w:noProof/>
            <w:webHidden/>
          </w:rPr>
          <w:fldChar w:fldCharType="separate"/>
        </w:r>
        <w:r w:rsidR="00DE519C" w:rsidRPr="006A7173">
          <w:rPr>
            <w:noProof/>
            <w:webHidden/>
          </w:rPr>
          <w:t>10</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68" w:history="1">
        <w:r w:rsidR="00E723E1" w:rsidRPr="006A7173">
          <w:rPr>
            <w:rStyle w:val="Hyperlink"/>
            <w:noProof/>
          </w:rPr>
          <w:t>Erfahrung mit der Verwaltung von Vergleichssamlungen mit der „SELECT“-Methode</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_Toc527980868 \h </w:instrText>
        </w:r>
        <w:r w:rsidR="00E723E1" w:rsidRPr="006A7173">
          <w:rPr>
            <w:noProof/>
            <w:webHidden/>
          </w:rPr>
        </w:r>
        <w:r w:rsidR="00E723E1" w:rsidRPr="006A7173">
          <w:rPr>
            <w:noProof/>
            <w:webHidden/>
          </w:rPr>
          <w:fldChar w:fldCharType="separate"/>
        </w:r>
        <w:r w:rsidR="00DE519C" w:rsidRPr="006A7173">
          <w:rPr>
            <w:noProof/>
            <w:webHidden/>
          </w:rPr>
          <w:t>10</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69" w:history="1">
        <w:r w:rsidR="00E723E1" w:rsidRPr="006A7173">
          <w:rPr>
            <w:rStyle w:val="Hyperlink"/>
            <w:noProof/>
          </w:rPr>
          <w:t>Regionaler Satz von Beispielssorten bei Weizen für Südamerika</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_Toc527980869 \h </w:instrText>
        </w:r>
        <w:r w:rsidR="00E723E1" w:rsidRPr="006A7173">
          <w:rPr>
            <w:noProof/>
            <w:webHidden/>
          </w:rPr>
        </w:r>
        <w:r w:rsidR="00E723E1" w:rsidRPr="006A7173">
          <w:rPr>
            <w:noProof/>
            <w:webHidden/>
          </w:rPr>
          <w:fldChar w:fldCharType="separate"/>
        </w:r>
        <w:r w:rsidR="00DE519C" w:rsidRPr="006A7173">
          <w:rPr>
            <w:noProof/>
            <w:webHidden/>
          </w:rPr>
          <w:t>10</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70" w:history="1">
        <w:r w:rsidR="00E723E1" w:rsidRPr="006A7173">
          <w:rPr>
            <w:rStyle w:val="Hyperlink"/>
            <w:noProof/>
          </w:rPr>
          <w:t>Auswirkung von Überarbeitungen von Ausprägungsstufen bestehender Merkmale bei der Überarbeitung von Prüfungsrichtlinien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_Toc527980870 \h </w:instrText>
        </w:r>
        <w:r w:rsidR="00E723E1" w:rsidRPr="006A7173">
          <w:rPr>
            <w:noProof/>
            <w:webHidden/>
          </w:rPr>
        </w:r>
        <w:r w:rsidR="00E723E1" w:rsidRPr="006A7173">
          <w:rPr>
            <w:noProof/>
            <w:webHidden/>
          </w:rPr>
          <w:fldChar w:fldCharType="separate"/>
        </w:r>
        <w:r w:rsidR="00DE519C" w:rsidRPr="006A7173">
          <w:rPr>
            <w:noProof/>
            <w:webHidden/>
          </w:rPr>
          <w:t>10</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71" w:history="1">
        <w:r w:rsidR="00E723E1" w:rsidRPr="006A7173">
          <w:rPr>
            <w:rStyle w:val="Hyperlink"/>
            <w:noProof/>
          </w:rPr>
          <w:t>Erfahrungen mit der Verwendung von zwei Standorten für ein Jahr für DUS-Entscheidungen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_Toc527980871 \h </w:instrText>
        </w:r>
        <w:r w:rsidR="00E723E1" w:rsidRPr="006A7173">
          <w:rPr>
            <w:noProof/>
            <w:webHidden/>
          </w:rPr>
        </w:r>
        <w:r w:rsidR="00E723E1" w:rsidRPr="006A7173">
          <w:rPr>
            <w:noProof/>
            <w:webHidden/>
          </w:rPr>
          <w:fldChar w:fldCharType="separate"/>
        </w:r>
        <w:r w:rsidR="00DE519C" w:rsidRPr="006A7173">
          <w:rPr>
            <w:noProof/>
            <w:webHidden/>
          </w:rPr>
          <w:t>10</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72" w:history="1">
        <w:r w:rsidR="00E723E1" w:rsidRPr="006A7173">
          <w:rPr>
            <w:rStyle w:val="Hyperlink"/>
            <w:noProof/>
            <w:snapToGrid w:val="0"/>
          </w:rPr>
          <w:t>Merkmalsausprägung zwischen Jahren oder Umgebungen für Ziersorten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_Toc527980872 \h </w:instrText>
        </w:r>
        <w:r w:rsidR="00E723E1" w:rsidRPr="006A7173">
          <w:rPr>
            <w:noProof/>
            <w:webHidden/>
          </w:rPr>
        </w:r>
        <w:r w:rsidR="00E723E1" w:rsidRPr="006A7173">
          <w:rPr>
            <w:noProof/>
            <w:webHidden/>
          </w:rPr>
          <w:fldChar w:fldCharType="separate"/>
        </w:r>
        <w:r w:rsidR="00DE519C" w:rsidRPr="006A7173">
          <w:rPr>
            <w:noProof/>
            <w:webHidden/>
          </w:rPr>
          <w:t>11</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73" w:history="1">
        <w:r w:rsidR="00E723E1" w:rsidRPr="006A7173">
          <w:rPr>
            <w:rStyle w:val="Hyperlink"/>
            <w:noProof/>
          </w:rPr>
          <w:t>Benennung neuer Pflanzenschädlingsarten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_Toc527980873 \h </w:instrText>
        </w:r>
        <w:r w:rsidR="00E723E1" w:rsidRPr="006A7173">
          <w:rPr>
            <w:noProof/>
            <w:webHidden/>
          </w:rPr>
        </w:r>
        <w:r w:rsidR="00E723E1" w:rsidRPr="006A7173">
          <w:rPr>
            <w:noProof/>
            <w:webHidden/>
          </w:rPr>
          <w:fldChar w:fldCharType="separate"/>
        </w:r>
        <w:r w:rsidR="00DE519C" w:rsidRPr="006A7173">
          <w:rPr>
            <w:noProof/>
            <w:webHidden/>
          </w:rPr>
          <w:t>11</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74" w:history="1">
        <w:r w:rsidR="00E723E1" w:rsidRPr="006A7173">
          <w:rPr>
            <w:rStyle w:val="Hyperlink"/>
            <w:noProof/>
          </w:rPr>
          <w:t>Auswirkungen von Endophyten auf DUS-Merkmale bei Gräsern;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_Toc527980874 \h </w:instrText>
        </w:r>
        <w:r w:rsidR="00E723E1" w:rsidRPr="006A7173">
          <w:rPr>
            <w:noProof/>
            <w:webHidden/>
          </w:rPr>
        </w:r>
        <w:r w:rsidR="00E723E1" w:rsidRPr="006A7173">
          <w:rPr>
            <w:noProof/>
            <w:webHidden/>
          </w:rPr>
          <w:fldChar w:fldCharType="separate"/>
        </w:r>
        <w:r w:rsidR="00DE519C" w:rsidRPr="006A7173">
          <w:rPr>
            <w:noProof/>
            <w:webHidden/>
          </w:rPr>
          <w:t>11</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75" w:history="1">
        <w:r w:rsidR="00E723E1" w:rsidRPr="006A7173">
          <w:rPr>
            <w:rStyle w:val="Hyperlink"/>
            <w:noProof/>
          </w:rPr>
          <w:t>DUS-Prüfung von Mutantensorten bei Apfel</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_Toc527980875 \h </w:instrText>
        </w:r>
        <w:r w:rsidR="00E723E1" w:rsidRPr="006A7173">
          <w:rPr>
            <w:noProof/>
            <w:webHidden/>
          </w:rPr>
        </w:r>
        <w:r w:rsidR="00E723E1" w:rsidRPr="006A7173">
          <w:rPr>
            <w:noProof/>
            <w:webHidden/>
          </w:rPr>
          <w:fldChar w:fldCharType="separate"/>
        </w:r>
        <w:r w:rsidR="00DE519C" w:rsidRPr="006A7173">
          <w:rPr>
            <w:noProof/>
            <w:webHidden/>
          </w:rPr>
          <w:t>11</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76" w:history="1">
        <w:r w:rsidR="00E723E1" w:rsidRPr="006A7173">
          <w:rPr>
            <w:rStyle w:val="Hyperlink"/>
            <w:noProof/>
          </w:rPr>
          <w:t>Kalibrierungshandbuch für eine harmonisierte Sortenbeschreibung bei Apfel</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_Toc527980876 \h </w:instrText>
        </w:r>
        <w:r w:rsidR="00E723E1" w:rsidRPr="006A7173">
          <w:rPr>
            <w:noProof/>
            <w:webHidden/>
          </w:rPr>
        </w:r>
        <w:r w:rsidR="00E723E1" w:rsidRPr="006A7173">
          <w:rPr>
            <w:noProof/>
            <w:webHidden/>
          </w:rPr>
          <w:fldChar w:fldCharType="separate"/>
        </w:r>
        <w:r w:rsidR="00DE519C" w:rsidRPr="006A7173">
          <w:rPr>
            <w:noProof/>
            <w:webHidden/>
          </w:rPr>
          <w:t>12</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77" w:history="1">
        <w:r w:rsidR="00E723E1" w:rsidRPr="006A7173">
          <w:rPr>
            <w:rStyle w:val="Hyperlink"/>
            <w:noProof/>
            <w:snapToGrid w:val="0"/>
          </w:rPr>
          <w:t>Erfahrung mit der RHS-Farbkarte und etwaige künftige Hinzufügung von Farben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_Toc527980877 \h </w:instrText>
        </w:r>
        <w:r w:rsidR="00E723E1" w:rsidRPr="006A7173">
          <w:rPr>
            <w:noProof/>
            <w:webHidden/>
          </w:rPr>
        </w:r>
        <w:r w:rsidR="00E723E1" w:rsidRPr="006A7173">
          <w:rPr>
            <w:noProof/>
            <w:webHidden/>
          </w:rPr>
          <w:fldChar w:fldCharType="separate"/>
        </w:r>
        <w:r w:rsidR="00DE519C" w:rsidRPr="006A7173">
          <w:rPr>
            <w:noProof/>
            <w:webHidden/>
          </w:rPr>
          <w:t>12</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78" w:history="1">
        <w:r w:rsidR="00E723E1" w:rsidRPr="006A7173">
          <w:rPr>
            <w:rStyle w:val="Hyperlink"/>
            <w:noProof/>
          </w:rPr>
          <w:t>Erwägung einer möglichen Umstrukturierung von TGP/8</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_Toc527980878 \h </w:instrText>
        </w:r>
        <w:r w:rsidR="00E723E1" w:rsidRPr="006A7173">
          <w:rPr>
            <w:noProof/>
            <w:webHidden/>
          </w:rPr>
        </w:r>
        <w:r w:rsidR="00E723E1" w:rsidRPr="006A7173">
          <w:rPr>
            <w:noProof/>
            <w:webHidden/>
          </w:rPr>
          <w:fldChar w:fldCharType="separate"/>
        </w:r>
        <w:r w:rsidR="00DE519C" w:rsidRPr="006A7173">
          <w:rPr>
            <w:noProof/>
            <w:webHidden/>
          </w:rPr>
          <w:t>13</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79" w:history="1">
        <w:r w:rsidR="00E723E1" w:rsidRPr="006A7173">
          <w:rPr>
            <w:rStyle w:val="Hyperlink"/>
            <w:noProof/>
          </w:rPr>
          <w:t>Ausschließung allgemein bekannter Sorten von der zweiten Wachstumsperiode</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_Toc527980879 \h </w:instrText>
        </w:r>
        <w:r w:rsidR="00E723E1" w:rsidRPr="006A7173">
          <w:rPr>
            <w:noProof/>
            <w:webHidden/>
          </w:rPr>
        </w:r>
        <w:r w:rsidR="00E723E1" w:rsidRPr="006A7173">
          <w:rPr>
            <w:noProof/>
            <w:webHidden/>
          </w:rPr>
          <w:fldChar w:fldCharType="separate"/>
        </w:r>
        <w:r w:rsidR="00DE519C" w:rsidRPr="006A7173">
          <w:rPr>
            <w:noProof/>
            <w:webHidden/>
          </w:rPr>
          <w:t>13</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80" w:history="1">
        <w:r w:rsidR="00E723E1" w:rsidRPr="006A7173">
          <w:rPr>
            <w:rStyle w:val="Hyperlink"/>
            <w:noProof/>
          </w:rPr>
          <w:t>Implementierung eines Dokumentenverwaltungssystems für Sortenakten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_Toc527980880 \h </w:instrText>
        </w:r>
        <w:r w:rsidR="00E723E1" w:rsidRPr="006A7173">
          <w:rPr>
            <w:noProof/>
            <w:webHidden/>
          </w:rPr>
        </w:r>
        <w:r w:rsidR="00E723E1" w:rsidRPr="006A7173">
          <w:rPr>
            <w:noProof/>
            <w:webHidden/>
          </w:rPr>
          <w:fldChar w:fldCharType="separate"/>
        </w:r>
        <w:r w:rsidR="00DE519C" w:rsidRPr="006A7173">
          <w:rPr>
            <w:noProof/>
            <w:webHidden/>
          </w:rPr>
          <w:t>13</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81" w:history="1">
        <w:r w:rsidR="00E723E1" w:rsidRPr="006A7173">
          <w:rPr>
            <w:rStyle w:val="Hyperlink"/>
            <w:noProof/>
          </w:rPr>
          <w:t>Software für die statistische Analyse</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_Toc527980881 \h </w:instrText>
        </w:r>
        <w:r w:rsidR="00E723E1" w:rsidRPr="006A7173">
          <w:rPr>
            <w:noProof/>
            <w:webHidden/>
          </w:rPr>
        </w:r>
        <w:r w:rsidR="00E723E1" w:rsidRPr="006A7173">
          <w:rPr>
            <w:noProof/>
            <w:webHidden/>
          </w:rPr>
          <w:fldChar w:fldCharType="separate"/>
        </w:r>
        <w:r w:rsidR="00DE519C" w:rsidRPr="006A7173">
          <w:rPr>
            <w:noProof/>
            <w:webHidden/>
          </w:rPr>
          <w:t>13</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82" w:history="1">
        <w:r w:rsidR="00E723E1" w:rsidRPr="006A7173">
          <w:rPr>
            <w:rStyle w:val="Hyperlink"/>
            <w:noProof/>
          </w:rPr>
          <w:t>Ein einziges Instrument für das DUS-Berechnungsverfahren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_Toc527980882 \h </w:instrText>
        </w:r>
        <w:r w:rsidR="00E723E1" w:rsidRPr="006A7173">
          <w:rPr>
            <w:noProof/>
            <w:webHidden/>
          </w:rPr>
        </w:r>
        <w:r w:rsidR="00E723E1" w:rsidRPr="006A7173">
          <w:rPr>
            <w:noProof/>
            <w:webHidden/>
          </w:rPr>
          <w:fldChar w:fldCharType="separate"/>
        </w:r>
        <w:r w:rsidR="00DE519C" w:rsidRPr="006A7173">
          <w:rPr>
            <w:noProof/>
            <w:webHidden/>
          </w:rPr>
          <w:t>14</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83" w:history="1">
        <w:r w:rsidR="00E723E1" w:rsidRPr="006A7173">
          <w:rPr>
            <w:rStyle w:val="Hyperlink"/>
            <w:noProof/>
          </w:rPr>
          <w:t>Verwaltung von Datenbanken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_Toc527980883 \h </w:instrText>
        </w:r>
        <w:r w:rsidR="00E723E1" w:rsidRPr="006A7173">
          <w:rPr>
            <w:noProof/>
            <w:webHidden/>
          </w:rPr>
        </w:r>
        <w:r w:rsidR="00E723E1" w:rsidRPr="006A7173">
          <w:rPr>
            <w:noProof/>
            <w:webHidden/>
          </w:rPr>
          <w:fldChar w:fldCharType="separate"/>
        </w:r>
        <w:r w:rsidR="00DE519C" w:rsidRPr="006A7173">
          <w:rPr>
            <w:noProof/>
            <w:webHidden/>
          </w:rPr>
          <w:t>14</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84" w:history="1">
        <w:r w:rsidR="00E723E1" w:rsidRPr="006A7173">
          <w:rPr>
            <w:rStyle w:val="Hyperlink"/>
            <w:noProof/>
          </w:rPr>
          <w:t>Webdienste, die von UPOV und Verbandsmitgliedern bereitgestellt werden</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_Toc527980884 \h </w:instrText>
        </w:r>
        <w:r w:rsidR="00E723E1" w:rsidRPr="006A7173">
          <w:rPr>
            <w:noProof/>
            <w:webHidden/>
          </w:rPr>
        </w:r>
        <w:r w:rsidR="00E723E1" w:rsidRPr="006A7173">
          <w:rPr>
            <w:noProof/>
            <w:webHidden/>
          </w:rPr>
          <w:fldChar w:fldCharType="separate"/>
        </w:r>
        <w:r w:rsidR="00DE519C" w:rsidRPr="006A7173">
          <w:rPr>
            <w:noProof/>
            <w:webHidden/>
          </w:rPr>
          <w:t>14</w:t>
        </w:r>
        <w:r w:rsidR="00E723E1" w:rsidRPr="006A7173">
          <w:rPr>
            <w:noProof/>
            <w:webHidden/>
          </w:rPr>
          <w:fldChar w:fldCharType="end"/>
        </w:r>
      </w:hyperlink>
    </w:p>
    <w:p w:rsidR="00E723E1" w:rsidRPr="006A7173" w:rsidRDefault="00282926" w:rsidP="00EE5B13">
      <w:pPr>
        <w:pStyle w:val="TOC2"/>
        <w:rPr>
          <w:rFonts w:asciiTheme="minorHAnsi" w:eastAsiaTheme="minorEastAsia" w:hAnsiTheme="minorHAnsi" w:cstheme="minorBidi"/>
          <w:noProof/>
          <w:sz w:val="22"/>
          <w:szCs w:val="22"/>
          <w:lang w:eastAsia="de-DE"/>
        </w:rPr>
      </w:pPr>
      <w:hyperlink w:anchor="_Toc527980885" w:history="1">
        <w:r w:rsidR="00E723E1" w:rsidRPr="006A7173">
          <w:rPr>
            <w:rStyle w:val="Hyperlink"/>
            <w:noProof/>
          </w:rPr>
          <w:t>Bildanalyse</w:t>
        </w:r>
        <w:r w:rsidR="00E723E1" w:rsidRPr="006A7173">
          <w:rPr>
            <w:noProof/>
            <w:webHidden/>
          </w:rPr>
          <w:tab/>
        </w:r>
        <w:r w:rsidR="00E723E1" w:rsidRPr="006A7173">
          <w:rPr>
            <w:noProof/>
            <w:webHidden/>
          </w:rPr>
          <w:fldChar w:fldCharType="begin"/>
        </w:r>
        <w:r w:rsidR="00E723E1" w:rsidRPr="006A7173">
          <w:rPr>
            <w:noProof/>
            <w:webHidden/>
          </w:rPr>
          <w:instrText xml:space="preserve"> PAGEREF _Toc527980885 \h </w:instrText>
        </w:r>
        <w:r w:rsidR="00E723E1" w:rsidRPr="006A7173">
          <w:rPr>
            <w:noProof/>
            <w:webHidden/>
          </w:rPr>
        </w:r>
        <w:r w:rsidR="00E723E1" w:rsidRPr="006A7173">
          <w:rPr>
            <w:noProof/>
            <w:webHidden/>
          </w:rPr>
          <w:fldChar w:fldCharType="separate"/>
        </w:r>
        <w:r w:rsidR="00DE519C" w:rsidRPr="006A7173">
          <w:rPr>
            <w:noProof/>
            <w:webHidden/>
          </w:rPr>
          <w:t>14</w:t>
        </w:r>
        <w:r w:rsidR="00E723E1" w:rsidRPr="006A7173">
          <w:rPr>
            <w:noProof/>
            <w:webHidden/>
          </w:rPr>
          <w:fldChar w:fldCharType="end"/>
        </w:r>
      </w:hyperlink>
    </w:p>
    <w:p w:rsidR="001E52BB" w:rsidRDefault="00606D31" w:rsidP="00606D31">
      <w:r w:rsidRPr="006A7173">
        <w:fldChar w:fldCharType="end"/>
      </w:r>
    </w:p>
    <w:p w:rsidR="001E52BB" w:rsidRDefault="001E52BB" w:rsidP="00606D31"/>
    <w:p w:rsidR="001E52BB" w:rsidRDefault="000B0A66" w:rsidP="00606D31">
      <w:r>
        <w:br w:type="page"/>
      </w:r>
    </w:p>
    <w:p w:rsidR="001E52BB" w:rsidRDefault="001E52BB" w:rsidP="001E52BB">
      <w:pPr>
        <w:pStyle w:val="Heading1"/>
        <w:rPr>
          <w:rFonts w:eastAsia="PMingLiU"/>
          <w:szCs w:val="24"/>
        </w:rPr>
      </w:pPr>
      <w:bookmarkStart w:id="3" w:name="_Toc527980854"/>
      <w:r>
        <w:lastRenderedPageBreak/>
        <w:t>FRAGEN ZUR INFORMATION UND FÜR EINE VOM TECHNISCHEN AUSSCHUSS (TC) GEGEBENENFALLS ZU TREFFENDE ENTSCHEIDUNG</w:t>
      </w:r>
      <w:bookmarkEnd w:id="3"/>
    </w:p>
    <w:p w:rsidR="001E52BB" w:rsidRDefault="001E52BB" w:rsidP="00005331"/>
    <w:p w:rsidR="001E52BB" w:rsidRDefault="001E52BB" w:rsidP="001E52BB">
      <w:pPr>
        <w:pStyle w:val="Heading2"/>
      </w:pPr>
      <w:bookmarkStart w:id="4" w:name="_Toc527980855"/>
      <w:r>
        <w:t>Verbesserung der Beteiligung neuer Verbandsmitglieder an der Arbeit des TC und der TWP</w:t>
      </w:r>
      <w:bookmarkEnd w:id="4"/>
    </w:p>
    <w:p w:rsidR="001E52BB" w:rsidRDefault="001E52BB" w:rsidP="00005331">
      <w:pPr>
        <w:ind w:left="567" w:hanging="567"/>
        <w:rPr>
          <w:rFonts w:cs="Arial"/>
          <w:snapToGrid w:val="0"/>
        </w:rPr>
      </w:pPr>
    </w:p>
    <w:p w:rsidR="001E52BB" w:rsidRDefault="001E52BB" w:rsidP="001E52BB">
      <w:pPr>
        <w:pStyle w:val="Heading3"/>
        <w:rPr>
          <w:snapToGrid w:val="0"/>
        </w:rPr>
      </w:pPr>
      <w:bookmarkStart w:id="5" w:name="_Toc527980856"/>
      <w:r>
        <w:rPr>
          <w:snapToGrid w:val="0"/>
        </w:rPr>
        <w:t>Hintergrund</w:t>
      </w:r>
      <w:bookmarkEnd w:id="5"/>
    </w:p>
    <w:p w:rsidR="001E52BB" w:rsidRDefault="001E52BB" w:rsidP="00005331">
      <w:pPr>
        <w:ind w:left="567" w:hanging="567"/>
        <w:rPr>
          <w:rFonts w:cs="Arial"/>
          <w:snapToGrid w:val="0"/>
        </w:rPr>
      </w:pPr>
    </w:p>
    <w:p w:rsidR="001E52BB" w:rsidRDefault="00005331" w:rsidP="00005331">
      <w:pPr>
        <w:keepNext/>
      </w:pPr>
      <w:r w:rsidRPr="00C27AE7">
        <w:fldChar w:fldCharType="begin"/>
      </w:r>
      <w:r w:rsidRPr="00C27AE7">
        <w:instrText xml:space="preserve"> AUTONUM  </w:instrText>
      </w:r>
      <w:r w:rsidRPr="00C27AE7">
        <w:fldChar w:fldCharType="end"/>
      </w:r>
      <w:r>
        <w:tab/>
        <w:t xml:space="preserve">Der TC </w:t>
      </w:r>
      <w:r w:rsidR="005E498E">
        <w:t xml:space="preserve">hörte </w:t>
      </w:r>
      <w:r>
        <w:t>auf seiner dreiundfünfzigsten Tagung vom 3. bis 5. April 2017 in Genf folgende Referate über die Verbesserung der Beteiligung neuer Verbandsmitglieder an der Arbeit des TC und der TWP (in Reihenfolge der Referate) (vergleiche Dokument TC/53/31 „</w:t>
      </w:r>
      <w:r w:rsidR="006A7173">
        <w:rPr>
          <w:iCs/>
        </w:rPr>
        <w:t>Bericht</w:t>
      </w:r>
      <w:r>
        <w:rPr>
          <w:i/>
          <w:iCs/>
        </w:rPr>
        <w:t>“</w:t>
      </w:r>
      <w:r>
        <w:t>, Absätze 216 bis 218):</w:t>
      </w:r>
    </w:p>
    <w:p w:rsidR="00005331" w:rsidRPr="00C27AE7" w:rsidRDefault="00005331" w:rsidP="00005331"/>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005331" w:rsidRPr="00C27AE7" w:rsidTr="00005331">
        <w:tc>
          <w:tcPr>
            <w:tcW w:w="5670" w:type="dxa"/>
            <w:vAlign w:val="center"/>
          </w:tcPr>
          <w:p w:rsidR="00005331" w:rsidRPr="00C27AE7" w:rsidRDefault="00E723E1" w:rsidP="001E52BB">
            <w:pPr>
              <w:keepNext/>
              <w:rPr>
                <w:sz w:val="18"/>
              </w:rPr>
            </w:pPr>
            <w:r>
              <w:rPr>
                <w:sz w:val="18"/>
              </w:rPr>
              <w:t>UPOV – wie die Beteiligung neuer Mitglieder verbessert werden kann</w:t>
            </w:r>
          </w:p>
        </w:tc>
        <w:tc>
          <w:tcPr>
            <w:tcW w:w="4111" w:type="dxa"/>
          </w:tcPr>
          <w:p w:rsidR="00005331" w:rsidRPr="00C27AE7" w:rsidRDefault="001E52BB" w:rsidP="001E52BB">
            <w:pPr>
              <w:keepNext/>
              <w:jc w:val="left"/>
              <w:rPr>
                <w:sz w:val="18"/>
              </w:rPr>
            </w:pPr>
            <w:r>
              <w:rPr>
                <w:sz w:val="18"/>
              </w:rPr>
              <w:t>Niederlande (Herr Marien Valstar)</w:t>
            </w:r>
          </w:p>
        </w:tc>
      </w:tr>
      <w:tr w:rsidR="00005331" w:rsidRPr="00C27AE7" w:rsidTr="00005331">
        <w:tc>
          <w:tcPr>
            <w:tcW w:w="5670" w:type="dxa"/>
            <w:shd w:val="clear" w:color="auto" w:fill="auto"/>
            <w:vAlign w:val="center"/>
          </w:tcPr>
          <w:p w:rsidR="00005331" w:rsidRPr="00E723E1" w:rsidRDefault="001E52BB" w:rsidP="001E52BB">
            <w:pPr>
              <w:rPr>
                <w:sz w:val="18"/>
                <w:lang w:val="es-ES"/>
              </w:rPr>
            </w:pPr>
            <w:r w:rsidRPr="00E723E1">
              <w:rPr>
                <w:sz w:val="18"/>
                <w:lang w:val="es-ES"/>
              </w:rPr>
              <w:t>„</w:t>
            </w:r>
            <w:r w:rsidRPr="00E723E1">
              <w:rPr>
                <w:i/>
                <w:sz w:val="18"/>
                <w:lang w:val="es-ES"/>
              </w:rPr>
              <w:t>Intervención de Perú en la sesión del Comité Técnico de la UPOV</w:t>
            </w:r>
            <w:r w:rsidRPr="00E723E1">
              <w:rPr>
                <w:sz w:val="18"/>
                <w:lang w:val="es-ES"/>
              </w:rPr>
              <w:t>“</w:t>
            </w:r>
          </w:p>
        </w:tc>
        <w:tc>
          <w:tcPr>
            <w:tcW w:w="4111" w:type="dxa"/>
            <w:shd w:val="clear" w:color="auto" w:fill="auto"/>
          </w:tcPr>
          <w:p w:rsidR="00005331" w:rsidRPr="00C27AE7" w:rsidRDefault="001E52BB" w:rsidP="001E52BB">
            <w:pPr>
              <w:keepNext/>
              <w:jc w:val="left"/>
              <w:rPr>
                <w:sz w:val="18"/>
              </w:rPr>
            </w:pPr>
            <w:r>
              <w:rPr>
                <w:sz w:val="18"/>
              </w:rPr>
              <w:t xml:space="preserve">Peru (Herr Roger </w:t>
            </w:r>
            <w:proofErr w:type="spellStart"/>
            <w:r>
              <w:rPr>
                <w:sz w:val="18"/>
              </w:rPr>
              <w:t>Becerra</w:t>
            </w:r>
            <w:proofErr w:type="spellEnd"/>
            <w:r>
              <w:rPr>
                <w:sz w:val="18"/>
              </w:rPr>
              <w:t>)</w:t>
            </w:r>
          </w:p>
        </w:tc>
      </w:tr>
    </w:tbl>
    <w:p w:rsidR="001E52BB" w:rsidRDefault="001E52BB" w:rsidP="00005331"/>
    <w:p w:rsidR="001E52BB" w:rsidRDefault="00005331" w:rsidP="001E52BB">
      <w:r w:rsidRPr="00C27AE7">
        <w:fldChar w:fldCharType="begin"/>
      </w:r>
      <w:r w:rsidRPr="00C27AE7">
        <w:instrText xml:space="preserve"> AUTONUM  </w:instrText>
      </w:r>
      <w:r w:rsidRPr="00C27AE7">
        <w:fldChar w:fldCharType="end"/>
      </w:r>
      <w:r>
        <w:tab/>
        <w:t xml:space="preserve">Der TC vereinbarte, die Niederlande zu ersuchen, ein Dokument über die Verbesserung der Beteiligung neuer Verbandsmitglieder an der Arbeit des TC und der TWP unter Berücksichtigung der Befragung von UPOV-Mitgliedern, über die auf der fünfzigsten Tagung des TC berichtet worden war, zu verfassen (vergleiche Dokument TC/50/35: „Verbesserung der Effektivität des Technischen Ausschusses, der Technischen Arbeitsgruppen sowie der vorbereitenden Arbeitstagungen“, verfügbar unter: </w:t>
      </w:r>
      <w:hyperlink r:id="rId9" w:history="1">
        <w:r w:rsidR="00EE5B13" w:rsidRPr="009B6F94">
          <w:rPr>
            <w:rStyle w:val="Hyperlink"/>
          </w:rPr>
          <w:t>http://www.upov.int/edocs/mdocs/upov/de/tc_50/tc_50_35.pdf</w:t>
        </w:r>
      </w:hyperlink>
      <w:r>
        <w:t>.</w:t>
      </w:r>
    </w:p>
    <w:p w:rsidR="001E52BB" w:rsidRDefault="001E52BB" w:rsidP="00005331"/>
    <w:p w:rsidR="001E52BB" w:rsidRDefault="00005331" w:rsidP="001E52BB">
      <w:r w:rsidRPr="00C27AE7">
        <w:fldChar w:fldCharType="begin"/>
      </w:r>
      <w:r w:rsidRPr="00C27AE7">
        <w:instrText xml:space="preserve"> AUTONUM  </w:instrText>
      </w:r>
      <w:r w:rsidRPr="00C27AE7">
        <w:fldChar w:fldCharType="end"/>
      </w:r>
      <w:r>
        <w:tab/>
        <w:t xml:space="preserve">Der TC vereinbarte, </w:t>
      </w:r>
      <w:proofErr w:type="spellStart"/>
      <w:r>
        <w:t>daß</w:t>
      </w:r>
      <w:proofErr w:type="spellEnd"/>
      <w:r>
        <w:t xml:space="preserve"> das Programm der TWP auf deren Tagungen im Jahr 2017 einen Tagesordnungspunkt für Referate, die von neuen Verbandsmitgliedern gehalten werden</w:t>
      </w:r>
      <w:r w:rsidR="005E498E">
        <w:t>,</w:t>
      </w:r>
      <w:r w:rsidR="005E498E" w:rsidRPr="005E498E">
        <w:t xml:space="preserve"> </w:t>
      </w:r>
      <w:r w:rsidR="005E498E">
        <w:t>beinhalten sollte</w:t>
      </w:r>
      <w:r>
        <w:t>.</w:t>
      </w:r>
    </w:p>
    <w:p w:rsidR="001E52BB" w:rsidRDefault="001E52BB" w:rsidP="00005331"/>
    <w:p w:rsidR="001E52BB" w:rsidRDefault="001E52BB" w:rsidP="001E52BB">
      <w:pPr>
        <w:pStyle w:val="Heading3"/>
      </w:pPr>
      <w:bookmarkStart w:id="6" w:name="_Toc527980857"/>
      <w:r>
        <w:t>Prüfung durch die technischen Arbeitsgruppen</w:t>
      </w:r>
      <w:bookmarkEnd w:id="6"/>
    </w:p>
    <w:p w:rsidR="001E52BB" w:rsidRDefault="001E52BB" w:rsidP="00005331"/>
    <w:p w:rsidR="001E52BB" w:rsidRDefault="00005331" w:rsidP="00005331">
      <w:r w:rsidRPr="00C27AE7">
        <w:fldChar w:fldCharType="begin"/>
      </w:r>
      <w:r w:rsidRPr="00C27AE7">
        <w:instrText xml:space="preserve"> AUTONUM  </w:instrText>
      </w:r>
      <w:r w:rsidRPr="00C27AE7">
        <w:fldChar w:fldCharType="end"/>
      </w:r>
      <w:r>
        <w:tab/>
      </w:r>
      <w:r w:rsidRPr="005E498E">
        <w:t>Die TWA, TWV, TWO, TWF und TWC prüften auf ihren Tagungen im Jahr 2017 Dokument TWP/1/19 „Verbesserung der Beteiligung neuer Verbandsmitglieder an der technischen Arbeit der UPOV”</w:t>
      </w:r>
      <w:r w:rsidR="00E723E1" w:rsidRPr="005E498E">
        <w:t xml:space="preserve">. </w:t>
      </w:r>
      <w:r w:rsidRPr="005E498E">
        <w:t>Die TWA hörte ein Referat eines Sachverständigen aus den Niederlanden zum Thema „Verbesserung</w:t>
      </w:r>
      <w:r>
        <w:t xml:space="preserve"> der Beteiligung neuer Verbandsmitglieder an der Arbeit des TC und der TWP“, wovon eine Abschrift in der Anlage von Dokument TWP/1/19 wiedergegeben ist (vergleiche Dokument TWA/46/10 „</w:t>
      </w:r>
      <w:r>
        <w:rPr>
          <w:i/>
          <w:iCs/>
        </w:rPr>
        <w:t>Repor</w:t>
      </w:r>
      <w:r>
        <w:t>t”, Absatz 7; TWV/51/16 „</w:t>
      </w:r>
      <w:r>
        <w:rPr>
          <w:i/>
          <w:iCs/>
        </w:rPr>
        <w:t>Report</w:t>
      </w:r>
      <w:r>
        <w:t>”, Absätze 7 bis 10; TWO/50/14 „</w:t>
      </w:r>
      <w:r>
        <w:rPr>
          <w:i/>
          <w:iCs/>
        </w:rPr>
        <w:t>Report</w:t>
      </w:r>
      <w:r>
        <w:t>”, Absätze 7 und 8; TWF/48/13 „</w:t>
      </w:r>
      <w:r>
        <w:rPr>
          <w:i/>
          <w:iCs/>
        </w:rPr>
        <w:t>Report</w:t>
      </w:r>
      <w:r>
        <w:t>“, Absätze 7 bis 9 und TWC/35/21 „</w:t>
      </w:r>
      <w:r>
        <w:rPr>
          <w:i/>
          <w:iCs/>
        </w:rPr>
        <w:t>Report</w:t>
      </w:r>
      <w:r>
        <w:t>“, Absätze 5 und 6).</w:t>
      </w:r>
    </w:p>
    <w:p w:rsidR="001E52BB" w:rsidRDefault="001E52BB" w:rsidP="00005331"/>
    <w:p w:rsidR="001E52BB" w:rsidRPr="005E498E" w:rsidRDefault="00005331" w:rsidP="00005331">
      <w:r w:rsidRPr="00C27AE7">
        <w:fldChar w:fldCharType="begin"/>
      </w:r>
      <w:r w:rsidRPr="00C27AE7">
        <w:instrText xml:space="preserve"> AUTONUM  </w:instrText>
      </w:r>
      <w:r w:rsidRPr="00C27AE7">
        <w:fldChar w:fldCharType="end"/>
      </w:r>
      <w:r>
        <w:tab/>
      </w:r>
      <w:r w:rsidR="005E498E" w:rsidRPr="005E498E">
        <w:t>Die TWA nahm zur Kenntnis</w:t>
      </w:r>
      <w:r w:rsidRPr="005E498E">
        <w:t xml:space="preserve">, </w:t>
      </w:r>
      <w:proofErr w:type="spellStart"/>
      <w:r w:rsidRPr="005E498E">
        <w:t>daß</w:t>
      </w:r>
      <w:proofErr w:type="spellEnd"/>
      <w:r w:rsidRPr="005E498E">
        <w:t xml:space="preserve"> die Reisekosten ein limitierender Faktor für die Teilnahme an UPOV-Tagungen sowohl für neue als auch für bestehende Verbandsmitglieder seien</w:t>
      </w:r>
      <w:r w:rsidR="00E723E1" w:rsidRPr="005E498E">
        <w:t xml:space="preserve">. </w:t>
      </w:r>
      <w:r w:rsidRPr="005E498E">
        <w:t xml:space="preserve">Die TWA stimmte darin überein, </w:t>
      </w:r>
      <w:proofErr w:type="spellStart"/>
      <w:r w:rsidRPr="005E498E">
        <w:t>daß</w:t>
      </w:r>
      <w:proofErr w:type="spellEnd"/>
      <w:r w:rsidRPr="005E498E">
        <w:t xml:space="preserve"> die Bereitstellung von Maßnahmen zum Kapazitätsaufbau für neue Mitglieder die wahrgenommene hohe technische Schwelle auf TWP-Tagungen überwinden und ihre Beteiligung an der Arbeit der UPOV verbessern könnte.</w:t>
      </w:r>
    </w:p>
    <w:p w:rsidR="001E52BB" w:rsidRPr="005E498E" w:rsidRDefault="001E52BB" w:rsidP="00005331"/>
    <w:p w:rsidR="001E52BB" w:rsidRPr="005E498E" w:rsidRDefault="00005331" w:rsidP="00005331">
      <w:r w:rsidRPr="005E498E">
        <w:fldChar w:fldCharType="begin"/>
      </w:r>
      <w:r w:rsidRPr="005E498E">
        <w:instrText xml:space="preserve"> AUTONUM  </w:instrText>
      </w:r>
      <w:r w:rsidRPr="005E498E">
        <w:fldChar w:fldCharType="end"/>
      </w:r>
      <w:r w:rsidRPr="005E498E">
        <w:tab/>
        <w:t>Die TWV stimmte d</w:t>
      </w:r>
      <w:r w:rsidR="005E498E">
        <w:t xml:space="preserve">arin überein, </w:t>
      </w:r>
      <w:proofErr w:type="spellStart"/>
      <w:r w:rsidR="005E498E">
        <w:t>daß</w:t>
      </w:r>
      <w:proofErr w:type="spellEnd"/>
      <w:r w:rsidR="005E498E">
        <w:t xml:space="preserve"> es wichtig ist</w:t>
      </w:r>
      <w:r w:rsidRPr="005E498E">
        <w:t>, die Beteiligung an den TWP, und insbesondere an der TWV, zu verbessern, um Kenntnisse zwischen Verbandsmitgliedern und DUS-Prüfern auszutauschen und mehr und neue Erkenntnisse in die TWV einzubringen. Die TWV empfahl dem TC, die folgenden Ideen zu prüfen:</w:t>
      </w:r>
    </w:p>
    <w:p w:rsidR="001E52BB" w:rsidRPr="005E498E" w:rsidRDefault="001E52BB" w:rsidP="00005331"/>
    <w:p w:rsidR="001E52BB" w:rsidRPr="005E498E" w:rsidRDefault="00005331" w:rsidP="00005331">
      <w:pPr>
        <w:pStyle w:val="ListParagraph"/>
        <w:numPr>
          <w:ilvl w:val="0"/>
          <w:numId w:val="3"/>
        </w:numPr>
      </w:pPr>
      <w:r w:rsidRPr="005E498E">
        <w:t>mehr technische und praktische Probleme zu erörtern (z.B. praktische Übungen auf dem Feld oder „Blind“-Prüfungen mit gleichen Sorten, die an verschiedenen DUS-Prüfstellen angebaut werden), um die Teilnahme von Sachverständigen, die bereit wären, sich der TWV anzuschließen, um Probleme und Lösungen mit anderen Mitgliedern auszutauschen, zu fördern;</w:t>
      </w:r>
    </w:p>
    <w:p w:rsidR="001E52BB" w:rsidRPr="005E498E" w:rsidRDefault="00005331" w:rsidP="00005331">
      <w:pPr>
        <w:pStyle w:val="ListParagraph"/>
        <w:numPr>
          <w:ilvl w:val="0"/>
          <w:numId w:val="3"/>
        </w:numPr>
      </w:pPr>
      <w:r w:rsidRPr="005E498E">
        <w:t>die Anleitungen und die technische Dokumentation (z.B. TGP-Dokumente) zu kürzen, um sie für Neumitglieder verständlicher zu machen, und die TWP aufzufordern, die Erstellung einer „Light“-Version aller UPOV-Dokumente/Sammlungen (z.B. Zusammen</w:t>
      </w:r>
      <w:r w:rsidR="005E498E">
        <w:t>fassung) zu erwägen, die auf den</w:t>
      </w:r>
      <w:r w:rsidRPr="005E498E">
        <w:t xml:space="preserve"> vorbereitenden Arbeitstagungen vorgestellt werden könnte;</w:t>
      </w:r>
    </w:p>
    <w:p w:rsidR="001E52BB" w:rsidRPr="005E498E" w:rsidRDefault="00005331" w:rsidP="00005331">
      <w:pPr>
        <w:pStyle w:val="ListParagraph"/>
        <w:numPr>
          <w:ilvl w:val="0"/>
          <w:numId w:val="3"/>
        </w:numPr>
      </w:pPr>
      <w:r w:rsidRPr="005E498E">
        <w:t>das Mentoring zwischen erfahrenen Sachverständigen und Neumitgliedern zu fördern, um ihr Verständnis der bestehenden Anleitungen und des verwendeten Fachvokabulars zu erleichtern;</w:t>
      </w:r>
    </w:p>
    <w:p w:rsidR="001E52BB" w:rsidRPr="005E498E" w:rsidRDefault="00005331" w:rsidP="00005331">
      <w:pPr>
        <w:pStyle w:val="ListParagraph"/>
        <w:numPr>
          <w:ilvl w:val="0"/>
          <w:numId w:val="3"/>
        </w:numPr>
      </w:pPr>
      <w:r w:rsidRPr="005E498E">
        <w:t>so weit wie möglich TWP-Tagungen in Verbindung oder unmittelbar vor oder nach anderen internationalen Tagungen, wie etwa OECD oder ISTA, zu organisieren, da Sachverständige, die sich mit DUS-Fragen befassen, oft an anderen pflanzensortenspezifischen Fragen im Zusammenhang mit Saatgut beteiligt sind;</w:t>
      </w:r>
    </w:p>
    <w:p w:rsidR="001E52BB" w:rsidRPr="004569ED" w:rsidRDefault="00005331" w:rsidP="00005331">
      <w:pPr>
        <w:pStyle w:val="ListParagraph"/>
        <w:numPr>
          <w:ilvl w:val="0"/>
          <w:numId w:val="3"/>
        </w:numPr>
      </w:pPr>
      <w:r w:rsidRPr="004569ED">
        <w:t xml:space="preserve">Interessierte Sachverständige zu ermutigen, Unterstützungsprogramme zu prüfen, um ihre Teilnahme zu erleichtern (z.B. Ressourcenpartner, Fonds für internationale Zusammenarbeit, </w:t>
      </w:r>
      <w:proofErr w:type="gramStart"/>
      <w:r w:rsidRPr="004569ED">
        <w:t>Treuhandfonds....</w:t>
      </w:r>
      <w:proofErr w:type="gramEnd"/>
      <w:r w:rsidRPr="004569ED">
        <w:t>);</w:t>
      </w:r>
    </w:p>
    <w:p w:rsidR="001E52BB" w:rsidRPr="004569ED" w:rsidRDefault="00005331" w:rsidP="00005331">
      <w:pPr>
        <w:pStyle w:val="ListParagraph"/>
        <w:numPr>
          <w:ilvl w:val="0"/>
          <w:numId w:val="3"/>
        </w:numPr>
      </w:pPr>
      <w:r w:rsidRPr="004569ED">
        <w:lastRenderedPageBreak/>
        <w:t>auf anderen nationalen, regionalen oder internationalen Veranstaltungen, Schulungen oder Seminaren zu erläutern, was in den TWP erörtert wird, und auszuführen, weshalb es für Sachverständige auf der ganzen Welt von Interesse ist, sich den TWP anzuschließen (d.h. als Mitglieder oder Beobachter);</w:t>
      </w:r>
    </w:p>
    <w:p w:rsidR="001E52BB" w:rsidRPr="004569ED" w:rsidRDefault="00005331" w:rsidP="004D61FA">
      <w:pPr>
        <w:pStyle w:val="ListParagraph"/>
        <w:numPr>
          <w:ilvl w:val="0"/>
          <w:numId w:val="3"/>
        </w:numPr>
      </w:pPr>
      <w:r w:rsidRPr="004569ED">
        <w:t>Kommunikationsmittel zu entwickeln (PowerPoint oder Kurzvideofilme), die die Arbeit der TWP erklären, einschließlich Erfahrungsberichten von Sachverständigen, die an den TWP teilnehmen (Neulinge und erfahrene Experten), die im Schriftverkehr oder auf der UPOV-Website verwendet werden, um das Bewusstsein für die technische Arbeit der UPOV und deren Nutzen zu schärfen;</w:t>
      </w:r>
    </w:p>
    <w:p w:rsidR="001E52BB" w:rsidRPr="004569ED" w:rsidRDefault="006A7173" w:rsidP="00005331">
      <w:pPr>
        <w:pStyle w:val="ListParagraph"/>
        <w:numPr>
          <w:ilvl w:val="0"/>
          <w:numId w:val="3"/>
        </w:numPr>
      </w:pPr>
      <w:r>
        <w:t>e</w:t>
      </w:r>
      <w:r w:rsidR="00005331" w:rsidRPr="004569ED">
        <w:t>in Programm zur Beauftragung von DUS-Prüfern oder DUS-Prüfungsämtern anzuregen, um die Harmonisierung und Zusammenarbeit zu verbessern.</w:t>
      </w:r>
    </w:p>
    <w:p w:rsidR="001E52BB" w:rsidRDefault="001E52BB" w:rsidP="00005331"/>
    <w:p w:rsidR="001E52BB" w:rsidRPr="004569ED" w:rsidRDefault="00005331" w:rsidP="00005331">
      <w:r w:rsidRPr="00C27AE7">
        <w:fldChar w:fldCharType="begin"/>
      </w:r>
      <w:r w:rsidRPr="00C27AE7">
        <w:instrText xml:space="preserve"> AUTONUM  </w:instrText>
      </w:r>
      <w:r w:rsidRPr="00C27AE7">
        <w:fldChar w:fldCharType="end"/>
      </w:r>
      <w:r>
        <w:tab/>
      </w:r>
      <w:r w:rsidRPr="004569ED">
        <w:t xml:space="preserve">Die TWV prüfte einen Vorschlag zur Verbesserung der Teilnahme in den TWP über elektronische Mittel und war sich darin einig, </w:t>
      </w:r>
      <w:proofErr w:type="spellStart"/>
      <w:r w:rsidRPr="004569ED">
        <w:t>daß</w:t>
      </w:r>
      <w:proofErr w:type="spellEnd"/>
      <w:r w:rsidRPr="004569ED">
        <w:t xml:space="preserve"> sie eine vollständige Teilnahme auf elektronischem Wege nicht befürworte, da dies keine ausreichende Interaktion zwischen Sachverständigen ermöglichen und die Arbeit des Gastgebers erschweren würde. Die TWV sprach sich jedoch dafür aus, Sachverständigen in Ausnahmefällen zu erlauben, sich an einigen technischen Erörterungen über bestimmte Fragen, die zu klären oder zu behandeln sind, zu beteiligen, wenn die technischen Anforderungen dies zulassen.</w:t>
      </w:r>
    </w:p>
    <w:p w:rsidR="001E52BB" w:rsidRPr="004569ED" w:rsidRDefault="001E52BB" w:rsidP="00005331"/>
    <w:p w:rsidR="001E52BB" w:rsidRPr="004569ED" w:rsidRDefault="00005331" w:rsidP="00005331">
      <w:r w:rsidRPr="004569ED">
        <w:fldChar w:fldCharType="begin"/>
      </w:r>
      <w:r w:rsidRPr="004569ED">
        <w:instrText xml:space="preserve"> AUTONUM  </w:instrText>
      </w:r>
      <w:r w:rsidRPr="004569ED">
        <w:fldChar w:fldCharType="end"/>
      </w:r>
      <w:r w:rsidRPr="004569ED">
        <w:tab/>
        <w:t xml:space="preserve">Die TWV stellte fest, </w:t>
      </w:r>
      <w:proofErr w:type="spellStart"/>
      <w:r w:rsidRPr="004569ED">
        <w:t>daß</w:t>
      </w:r>
      <w:proofErr w:type="spellEnd"/>
      <w:r w:rsidRPr="004569ED">
        <w:t xml:space="preserve"> die Teilnahme nicht nur für neue Mitglieder, sondern auch für bestehende Mitglieder wichtig ist.</w:t>
      </w:r>
    </w:p>
    <w:p w:rsidR="001E52BB" w:rsidRPr="004569ED" w:rsidRDefault="001E52BB" w:rsidP="00005331"/>
    <w:p w:rsidR="001E52BB" w:rsidRDefault="00005331" w:rsidP="00005331">
      <w:r w:rsidRPr="004569ED">
        <w:fldChar w:fldCharType="begin"/>
      </w:r>
      <w:r w:rsidRPr="004569ED">
        <w:instrText xml:space="preserve"> AUTONUM  </w:instrText>
      </w:r>
      <w:r w:rsidRPr="004569ED">
        <w:fldChar w:fldCharType="end"/>
      </w:r>
      <w:r w:rsidRPr="004569ED">
        <w:tab/>
        <w:t xml:space="preserve">Die TWO kam darin überein, vorzuschlagen, </w:t>
      </w:r>
      <w:proofErr w:type="spellStart"/>
      <w:r w:rsidRPr="004569ED">
        <w:t>daß</w:t>
      </w:r>
      <w:proofErr w:type="spellEnd"/>
      <w:r w:rsidRPr="004569ED">
        <w:t xml:space="preserve"> der Technische </w:t>
      </w:r>
      <w:proofErr w:type="spellStart"/>
      <w:r w:rsidRPr="004569ED">
        <w:t>Ausschuß</w:t>
      </w:r>
      <w:proofErr w:type="spellEnd"/>
      <w:r w:rsidRPr="004569ED">
        <w:t xml:space="preserve"> (TC) Möglichkeiten zur Verbesserung der Kommunikation als Mittel zur Verbesserung der Beteiligung von Sachverständigen, die derzeit nicht an TWP-Tagungen teilnehmen, prüfen sollte, wie beispielsweise die Einrichtung von Videolinks für die Erörterung bestimmter Entwürfe von Prüfungsrichtlinien</w:t>
      </w:r>
      <w:r w:rsidR="00E723E1" w:rsidRPr="004569ED">
        <w:t xml:space="preserve">. </w:t>
      </w:r>
      <w:r w:rsidRPr="004569ED">
        <w:t>Die TWO vereinbarte, ein weiteres Seminar über die DUS-Prüfung, das in Genf abgehalten werden soll, vorzuschlagen, um die Teilnehmer, die normalerweise an anderen Tagungen von UPOV-Gremien teilnehmen, für die Arbeit des TC und der TWP zu sensibilisieren</w:t>
      </w:r>
      <w:r w:rsidR="00E723E1" w:rsidRPr="004569ED">
        <w:t xml:space="preserve">. </w:t>
      </w:r>
      <w:r w:rsidRPr="004569ED">
        <w:t>Die TWO kam auch darin überein, die Zuordnung eines erfahrenen Verbandsmitglieds vorzuschlagen, das als Mentor für neue Verbandsmitglieder fungiert.</w:t>
      </w:r>
    </w:p>
    <w:p w:rsidR="001E52BB" w:rsidRDefault="001E52BB" w:rsidP="00005331">
      <w:pPr>
        <w:pStyle w:val="style1"/>
        <w:spacing w:line="360" w:lineRule="auto"/>
        <w:jc w:val="both"/>
        <w:rPr>
          <w:sz w:val="20"/>
          <w:szCs w:val="20"/>
        </w:rPr>
      </w:pPr>
    </w:p>
    <w:p w:rsidR="001E52BB" w:rsidRPr="004569ED" w:rsidRDefault="00005331" w:rsidP="00005331">
      <w:r w:rsidRPr="004569ED">
        <w:fldChar w:fldCharType="begin"/>
      </w:r>
      <w:r w:rsidRPr="004569ED">
        <w:instrText xml:space="preserve"> AUTONUM  </w:instrText>
      </w:r>
      <w:r w:rsidRPr="004569ED">
        <w:fldChar w:fldCharType="end"/>
      </w:r>
      <w:r w:rsidRPr="004569ED">
        <w:tab/>
        <w:t xml:space="preserve">Die TWF stimmte auch darin überein, </w:t>
      </w:r>
      <w:proofErr w:type="spellStart"/>
      <w:r w:rsidRPr="004569ED">
        <w:t>daß</w:t>
      </w:r>
      <w:proofErr w:type="spellEnd"/>
      <w:r w:rsidRPr="004569ED">
        <w:t xml:space="preserve"> die Verbesserung der Teilnahme an den TWP für den Austausch von Kenntnissen zwischen Verbandsmitgliedern und DUS-Prüfern und für das Einbringen neuer Kenntnisse in die TWF wichtig ist. Die TWF empfahl dem TC, die Prüfung folgender Ideen in Betracht zu ziehen:</w:t>
      </w:r>
    </w:p>
    <w:p w:rsidR="001E52BB" w:rsidRPr="004569ED" w:rsidRDefault="001E52BB" w:rsidP="00005331"/>
    <w:p w:rsidR="001E52BB" w:rsidRPr="004569ED" w:rsidRDefault="00005331" w:rsidP="00005331">
      <w:pPr>
        <w:pStyle w:val="ListParagraph"/>
        <w:numPr>
          <w:ilvl w:val="0"/>
          <w:numId w:val="3"/>
        </w:numPr>
      </w:pPr>
      <w:r w:rsidRPr="004569ED">
        <w:t>das Bewusstsein auf hoher Ebene auf Ebene der Verbandsmitglieder für die von den Technischen Arbeitsgruppen (TWP) auf technischer Ebene geleistete Arbeit zu schärfen;</w:t>
      </w:r>
    </w:p>
    <w:p w:rsidR="001E52BB" w:rsidRPr="004569ED" w:rsidRDefault="00005331" w:rsidP="00005331">
      <w:pPr>
        <w:pStyle w:val="ListParagraph"/>
        <w:numPr>
          <w:ilvl w:val="0"/>
          <w:numId w:val="3"/>
        </w:numPr>
      </w:pPr>
      <w:r w:rsidRPr="004569ED">
        <w:t>in Genf ein Seminar über DUS zu organisieren, um die Bedeutung der Koordination und Zusammenarbeit zwischen DUS-Sachverständigen zu erklären und zu fördern;</w:t>
      </w:r>
    </w:p>
    <w:p w:rsidR="001E52BB" w:rsidRPr="004569ED" w:rsidRDefault="00005331" w:rsidP="00005331">
      <w:pPr>
        <w:pStyle w:val="ListParagraph"/>
        <w:numPr>
          <w:ilvl w:val="0"/>
          <w:numId w:val="3"/>
        </w:numPr>
      </w:pPr>
      <w:r w:rsidRPr="004569ED">
        <w:t>den Inhalt der vorbereitenden Arbeitstagung vor den TWP zu überprüfen, damit Neumitglieder alle verfügbaren UPOV-Anleitungen und -Materialien schneller verstehen können;</w:t>
      </w:r>
    </w:p>
    <w:p w:rsidR="001E52BB" w:rsidRPr="004569ED" w:rsidRDefault="00005331" w:rsidP="00005331">
      <w:pPr>
        <w:pStyle w:val="ListParagraph"/>
        <w:numPr>
          <w:ilvl w:val="0"/>
          <w:numId w:val="3"/>
        </w:numPr>
      </w:pPr>
      <w:r w:rsidRPr="004569ED">
        <w:t>TWP-Tagesordnungen mit einschlägigen technischen Fragen, die von der Gruppe zu erörtern und zu behandeln sind, festzulegen und einen allgemeinen Punkt „Fragen, die bei der DUS-Prüfung für den Obstsektor relevant sind“ hinzuzufügen, um eine offene Diskussion und M</w:t>
      </w:r>
      <w:r w:rsidR="00C81D13">
        <w:t>einungsaustausch zu ermöglichen.</w:t>
      </w:r>
    </w:p>
    <w:p w:rsidR="001E52BB" w:rsidRPr="004569ED" w:rsidRDefault="001E52BB" w:rsidP="00005331"/>
    <w:p w:rsidR="001E52BB" w:rsidRPr="004569ED" w:rsidRDefault="00005331" w:rsidP="00005331">
      <w:r w:rsidRPr="004569ED">
        <w:fldChar w:fldCharType="begin"/>
      </w:r>
      <w:r w:rsidRPr="004569ED">
        <w:instrText xml:space="preserve"> AUTONUM  </w:instrText>
      </w:r>
      <w:r w:rsidRPr="004569ED">
        <w:fldChar w:fldCharType="end"/>
      </w:r>
      <w:r w:rsidRPr="004569ED">
        <w:tab/>
        <w:t>Die TWF würdigte die Teilnahme neuer und bestehender Mitglieder an ihrer achtundvierzigsten Tagung und die interaktive technische Erörterung während der Tagung.</w:t>
      </w:r>
    </w:p>
    <w:p w:rsidR="001E52BB" w:rsidRPr="004569ED" w:rsidRDefault="001E52BB" w:rsidP="00005331">
      <w:pPr>
        <w:pStyle w:val="style1"/>
        <w:jc w:val="both"/>
        <w:rPr>
          <w:sz w:val="20"/>
          <w:szCs w:val="20"/>
        </w:rPr>
      </w:pPr>
    </w:p>
    <w:p w:rsidR="001E52BB" w:rsidRPr="004569ED" w:rsidRDefault="00005331" w:rsidP="00005331">
      <w:r w:rsidRPr="004569ED">
        <w:fldChar w:fldCharType="begin"/>
      </w:r>
      <w:r w:rsidRPr="004569ED">
        <w:instrText xml:space="preserve"> AUTONUM  </w:instrText>
      </w:r>
      <w:r w:rsidRPr="004569ED">
        <w:fldChar w:fldCharType="end"/>
      </w:r>
      <w:r w:rsidRPr="004569ED">
        <w:tab/>
        <w:t>Die TWC prüfte, wie die Beteiligung neuer Verbandsmitglieder an der Arbeit des TC und der TWP verbessert werden kann, und kam überein, die folgenden Fragen zur weiteren Prüfung vorzuschlagen:</w:t>
      </w:r>
    </w:p>
    <w:p w:rsidR="001E52BB" w:rsidRPr="004569ED" w:rsidRDefault="001E52BB" w:rsidP="00005331"/>
    <w:p w:rsidR="001E52BB" w:rsidRPr="004569ED" w:rsidRDefault="00005331" w:rsidP="004D61FA">
      <w:pPr>
        <w:pStyle w:val="ListParagraph"/>
        <w:numPr>
          <w:ilvl w:val="0"/>
          <w:numId w:val="7"/>
        </w:numPr>
        <w:ind w:left="1134" w:hanging="567"/>
        <w:contextualSpacing w:val="0"/>
      </w:pPr>
      <w:r w:rsidRPr="004569ED">
        <w:t>Kosten für die Teilnahme an Tagungen, Zeitpunkt während des Jahres und Veranstaltungsort (Feldprüfungen)</w:t>
      </w:r>
    </w:p>
    <w:p w:rsidR="004D61FA" w:rsidRPr="004569ED" w:rsidRDefault="00005331" w:rsidP="004D61FA">
      <w:pPr>
        <w:pStyle w:val="ListParagraph"/>
        <w:numPr>
          <w:ilvl w:val="0"/>
          <w:numId w:val="7"/>
        </w:numPr>
        <w:ind w:left="1134" w:hanging="567"/>
        <w:contextualSpacing w:val="0"/>
      </w:pPr>
      <w:r w:rsidRPr="004569ED">
        <w:t>Sprachliche Schwierigkeiten (in einigen F</w:t>
      </w:r>
      <w:r w:rsidR="006A7173">
        <w:t>ällen Simultanverdolmetschung)</w:t>
      </w:r>
    </w:p>
    <w:p w:rsidR="001E52BB" w:rsidRPr="004569ED" w:rsidRDefault="00005331" w:rsidP="004D61FA">
      <w:pPr>
        <w:pStyle w:val="ListParagraph"/>
        <w:numPr>
          <w:ilvl w:val="0"/>
          <w:numId w:val="7"/>
        </w:numPr>
        <w:ind w:left="1134" w:hanging="567"/>
        <w:contextualSpacing w:val="0"/>
      </w:pPr>
      <w:r w:rsidRPr="004569ED">
        <w:t>Verwendung klarer Terminologie auf den Tagungen (Abkürzungen, Technische Begriffe)</w:t>
      </w:r>
    </w:p>
    <w:p w:rsidR="001E52BB" w:rsidRPr="004569ED" w:rsidRDefault="00005331" w:rsidP="00005331">
      <w:pPr>
        <w:pStyle w:val="ListParagraph"/>
        <w:numPr>
          <w:ilvl w:val="0"/>
          <w:numId w:val="7"/>
        </w:numPr>
        <w:ind w:left="1134" w:hanging="567"/>
        <w:contextualSpacing w:val="0"/>
      </w:pPr>
      <w:r w:rsidRPr="004569ED">
        <w:t xml:space="preserve">Relevanz und Anzahl der Themen, die auf TWP-Tagungen zu erörtern sind </w:t>
      </w:r>
    </w:p>
    <w:p w:rsidR="001E52BB" w:rsidRPr="004569ED" w:rsidRDefault="00005331" w:rsidP="00005331">
      <w:pPr>
        <w:pStyle w:val="ListParagraph"/>
        <w:numPr>
          <w:ilvl w:val="0"/>
          <w:numId w:val="7"/>
        </w:numPr>
        <w:ind w:left="1134" w:hanging="567"/>
        <w:contextualSpacing w:val="0"/>
      </w:pPr>
      <w:r w:rsidRPr="004569ED">
        <w:t xml:space="preserve">Erleichterung der Durchführung von TWP-Tagungen durch neue Mitglieder </w:t>
      </w:r>
    </w:p>
    <w:p w:rsidR="001E52BB" w:rsidRPr="00912FBA" w:rsidRDefault="00005331" w:rsidP="00005331">
      <w:pPr>
        <w:pStyle w:val="ListParagraph"/>
        <w:numPr>
          <w:ilvl w:val="0"/>
          <w:numId w:val="7"/>
        </w:numPr>
        <w:ind w:left="1134" w:hanging="567"/>
        <w:contextualSpacing w:val="0"/>
      </w:pPr>
      <w:r w:rsidRPr="00912FBA">
        <w:t xml:space="preserve">Verfügbarkeit von Informationen über die Aufgabe und Bedeutung von TWP (Informationsaustausch über YouTube; Erstellung einer TWP </w:t>
      </w:r>
      <w:proofErr w:type="spellStart"/>
      <w:r w:rsidRPr="00912FBA">
        <w:t>Linkedin</w:t>
      </w:r>
      <w:proofErr w:type="spellEnd"/>
      <w:r w:rsidRPr="00912FBA">
        <w:t xml:space="preserve">-Seite) </w:t>
      </w:r>
    </w:p>
    <w:p w:rsidR="001E52BB" w:rsidRPr="00912FBA" w:rsidRDefault="00005331" w:rsidP="00005331">
      <w:pPr>
        <w:pStyle w:val="ListParagraph"/>
        <w:numPr>
          <w:ilvl w:val="0"/>
          <w:numId w:val="7"/>
        </w:numPr>
        <w:ind w:left="1134" w:hanging="567"/>
        <w:contextualSpacing w:val="0"/>
      </w:pPr>
      <w:r w:rsidRPr="00912FBA">
        <w:t>Verbesserung der zielgerichteten Ausrichtung der Einladungen zu Tagungen (Erreichen der richtigen Sachverständigen zusammen mit Informationen über die Relevanz der Arbeit der TWP).</w:t>
      </w:r>
    </w:p>
    <w:p w:rsidR="001E52BB" w:rsidRPr="00912FBA" w:rsidRDefault="001E52BB" w:rsidP="00606D31">
      <w:pPr>
        <w:rPr>
          <w:i/>
        </w:rPr>
      </w:pPr>
    </w:p>
    <w:p w:rsidR="001E52BB" w:rsidRDefault="00EA49A9" w:rsidP="00EA49A9">
      <w:pPr>
        <w:ind w:left="4820"/>
        <w:rPr>
          <w:i/>
        </w:rPr>
      </w:pPr>
      <w:r w:rsidRPr="00912FBA">
        <w:rPr>
          <w:i/>
        </w:rPr>
        <w:fldChar w:fldCharType="begin"/>
      </w:r>
      <w:r w:rsidRPr="00912FBA">
        <w:rPr>
          <w:i/>
        </w:rPr>
        <w:instrText xml:space="preserve"> AUTONUM  </w:instrText>
      </w:r>
      <w:r w:rsidRPr="00912FBA">
        <w:rPr>
          <w:i/>
        </w:rPr>
        <w:fldChar w:fldCharType="end"/>
      </w:r>
      <w:r w:rsidRPr="00912FBA">
        <w:rPr>
          <w:i/>
        </w:rPr>
        <w:tab/>
      </w:r>
      <w:r w:rsidRPr="00912FBA">
        <w:rPr>
          <w:i/>
        </w:rPr>
        <w:tab/>
        <w:t>Der TC</w:t>
      </w:r>
      <w:r w:rsidRPr="00912FBA">
        <w:t xml:space="preserve"> </w:t>
      </w:r>
      <w:r w:rsidRPr="00912FBA">
        <w:rPr>
          <w:i/>
          <w:iCs/>
        </w:rPr>
        <w:t>wird ersucht, die Vorschläge der TWP auf ihren Tagungen im Jahr 2017 zur Verbesserung der Beteiligung neuer Verbandsmitglieder an der Arbeit des TC und der TWP zu prüfen.</w:t>
      </w:r>
    </w:p>
    <w:p w:rsidR="001E52BB" w:rsidRDefault="001E52BB" w:rsidP="00F01D8E"/>
    <w:p w:rsidR="001E52BB" w:rsidRDefault="001E52BB" w:rsidP="001E52BB">
      <w:pPr>
        <w:pStyle w:val="Heading2"/>
      </w:pPr>
      <w:bookmarkStart w:id="7" w:name="_Toc527980858"/>
      <w:r>
        <w:t>Verfahren für eine Teilüberarbeitung von UPOV-Prüfungsrichtlinien</w:t>
      </w:r>
      <w:bookmarkEnd w:id="7"/>
    </w:p>
    <w:p w:rsidR="001E52BB" w:rsidRDefault="001E52BB" w:rsidP="00F01D8E">
      <w:pPr>
        <w:pStyle w:val="Heading2"/>
      </w:pPr>
    </w:p>
    <w:p w:rsidR="001E52BB" w:rsidRDefault="00F01D8E" w:rsidP="00F01D8E">
      <w:r w:rsidRPr="00C27AE7">
        <w:rPr>
          <w:snapToGrid w:val="0"/>
        </w:rPr>
        <w:fldChar w:fldCharType="begin"/>
      </w:r>
      <w:r w:rsidRPr="00C27AE7">
        <w:rPr>
          <w:snapToGrid w:val="0"/>
        </w:rPr>
        <w:instrText xml:space="preserve"> AUTONUM  </w:instrText>
      </w:r>
      <w:r w:rsidRPr="00C27AE7">
        <w:rPr>
          <w:snapToGrid w:val="0"/>
        </w:rPr>
        <w:fldChar w:fldCharType="end"/>
      </w:r>
      <w:r>
        <w:rPr>
          <w:snapToGrid w:val="0"/>
        </w:rPr>
        <w:tab/>
        <w:t xml:space="preserve">Die TWA, TWV, TWO und TWF prüften auf ihren Tagungen im Jahr 2017 Dokument </w:t>
      </w:r>
      <w:hyperlink r:id="rId10" w:history="1">
        <w:r>
          <w:rPr>
            <w:rStyle w:val="Hyperlink"/>
          </w:rPr>
          <w:t>TWP/1/20</w:t>
        </w:r>
      </w:hyperlink>
      <w:r>
        <w:rPr>
          <w:highlight w:val="yellow"/>
        </w:rPr>
        <w:t xml:space="preserve"> </w:t>
      </w:r>
      <w:r>
        <w:t>„Verfahren für eine Teilüberarbeitung von UPOV-Prüfungsrichtlinien“ (vergleiche Dokumente TWA/46/10 „</w:t>
      </w:r>
      <w:r w:rsidRPr="00E06928">
        <w:rPr>
          <w:i/>
        </w:rPr>
        <w:t>Report</w:t>
      </w:r>
      <w:r>
        <w:t>“, Absätze 58 bis 60; TWV/51/16 „</w:t>
      </w:r>
      <w:r w:rsidRPr="00E06928">
        <w:rPr>
          <w:i/>
        </w:rPr>
        <w:t>Report</w:t>
      </w:r>
      <w:r>
        <w:t xml:space="preserve">“, Absätze 62 bis 65; </w:t>
      </w:r>
      <w:r>
        <w:rPr>
          <w:snapToGrid w:val="0"/>
        </w:rPr>
        <w:t>TWO/50/14 „</w:t>
      </w:r>
      <w:r w:rsidRPr="00E06928">
        <w:rPr>
          <w:i/>
          <w:snapToGrid w:val="0"/>
        </w:rPr>
        <w:t>Report</w:t>
      </w:r>
      <w:r>
        <w:rPr>
          <w:snapToGrid w:val="0"/>
        </w:rPr>
        <w:t>“, Absätze 84 bis 87 und</w:t>
      </w:r>
      <w:r>
        <w:t xml:space="preserve"> TWF/48/13 „</w:t>
      </w:r>
      <w:r w:rsidRPr="00E06928">
        <w:rPr>
          <w:i/>
        </w:rPr>
        <w:t>Report</w:t>
      </w:r>
      <w:r>
        <w:t>“, Absätze 64 bis 68).</w:t>
      </w:r>
    </w:p>
    <w:p w:rsidR="001E52BB" w:rsidRDefault="001E52BB" w:rsidP="00F01D8E"/>
    <w:p w:rsidR="001E52BB" w:rsidRPr="00A72231" w:rsidRDefault="00F01D8E" w:rsidP="00F01D8E">
      <w:r w:rsidRPr="00A72231">
        <w:rPr>
          <w:snapToGrid w:val="0"/>
        </w:rPr>
        <w:fldChar w:fldCharType="begin"/>
      </w:r>
      <w:r w:rsidRPr="00A72231">
        <w:rPr>
          <w:snapToGrid w:val="0"/>
        </w:rPr>
        <w:instrText xml:space="preserve"> AUTONUM  </w:instrText>
      </w:r>
      <w:r w:rsidRPr="00A72231">
        <w:rPr>
          <w:snapToGrid w:val="0"/>
        </w:rPr>
        <w:fldChar w:fldCharType="end"/>
      </w:r>
      <w:r w:rsidRPr="00A72231">
        <w:rPr>
          <w:snapToGrid w:val="0"/>
        </w:rPr>
        <w:tab/>
        <w:t>Die TWA, TWV, TWO und TWF</w:t>
      </w:r>
      <w:r w:rsidRPr="00A72231">
        <w:t xml:space="preserve"> nahmen die Verfahren für die Mitteilung neuer Merkmale oder Ausprägungsstufen in Dokument TGP/5, Abschnitt 10 „Mitteilung weiterer Merkmale und Ausprägungsstufen“ zur Kenntnis.</w:t>
      </w:r>
    </w:p>
    <w:p w:rsidR="001E52BB" w:rsidRPr="00A72231" w:rsidRDefault="001E52BB" w:rsidP="00F01D8E"/>
    <w:p w:rsidR="001E52BB" w:rsidRPr="00A72231" w:rsidRDefault="00F01D8E" w:rsidP="00F01D8E">
      <w:r w:rsidRPr="00A72231">
        <w:fldChar w:fldCharType="begin"/>
      </w:r>
      <w:r w:rsidRPr="00A72231">
        <w:instrText xml:space="preserve"> AUTONUM  </w:instrText>
      </w:r>
      <w:r w:rsidRPr="00A72231">
        <w:fldChar w:fldCharType="end"/>
      </w:r>
      <w:r w:rsidRPr="00A72231">
        <w:tab/>
        <w:t xml:space="preserve">Die </w:t>
      </w:r>
      <w:r w:rsidRPr="00A72231">
        <w:rPr>
          <w:snapToGrid w:val="0"/>
        </w:rPr>
        <w:t>TWA, TWV, TWO und TWF</w:t>
      </w:r>
      <w:r w:rsidRPr="00A72231">
        <w:t xml:space="preserve"> nahmen zur Kenntnis </w:t>
      </w:r>
      <w:proofErr w:type="spellStart"/>
      <w:r w:rsidRPr="00A72231">
        <w:t>daß</w:t>
      </w:r>
      <w:proofErr w:type="spellEnd"/>
      <w:r w:rsidRPr="00A72231">
        <w:t xml:space="preserve"> der TC die Behörden ermutigt habe, die Verwendung neuer Merkmale oder Ausprägungsstufen unter Verwendung des in Dokument TGP/5, Abschnitt 10 festgelegten Verfahrens mitzuteilen. </w:t>
      </w:r>
    </w:p>
    <w:p w:rsidR="001E52BB" w:rsidRPr="00A72231" w:rsidRDefault="001E52BB" w:rsidP="00F01D8E"/>
    <w:p w:rsidR="001E52BB" w:rsidRPr="00A72231" w:rsidRDefault="00F01D8E" w:rsidP="00F01D8E">
      <w:r w:rsidRPr="00A72231">
        <w:fldChar w:fldCharType="begin"/>
      </w:r>
      <w:r w:rsidRPr="00A72231">
        <w:instrText xml:space="preserve"> AUTONUM  </w:instrText>
      </w:r>
      <w:r w:rsidRPr="00A72231">
        <w:fldChar w:fldCharType="end"/>
      </w:r>
      <w:r w:rsidRPr="00A72231">
        <w:tab/>
        <w:t xml:space="preserve">Die TWV und die TWF nahmen die Klarstellung durch den TC und die Flexibilität im Hinblick auf die Verwendung zusätzlicher Merkmale auf nationaler oder regionaler Ebene, bevor eine Überarbeitung der Prüfungsrichtlinien in Betracht gezogen wird, zur Kenntnis. </w:t>
      </w:r>
    </w:p>
    <w:p w:rsidR="001E52BB" w:rsidRPr="00A72231" w:rsidRDefault="001E52BB" w:rsidP="00F01D8E"/>
    <w:p w:rsidR="001E52BB" w:rsidRPr="00A72231" w:rsidRDefault="00F01D8E" w:rsidP="00F01D8E">
      <w:r w:rsidRPr="00A72231">
        <w:fldChar w:fldCharType="begin"/>
      </w:r>
      <w:r w:rsidRPr="00A72231">
        <w:instrText xml:space="preserve"> AUTONUM  </w:instrText>
      </w:r>
      <w:r w:rsidRPr="00A72231">
        <w:fldChar w:fldCharType="end"/>
      </w:r>
      <w:r w:rsidRPr="00A72231">
        <w:tab/>
        <w:t xml:space="preserve">Die TWV stimmte darin überein, </w:t>
      </w:r>
      <w:proofErr w:type="spellStart"/>
      <w:r w:rsidRPr="00A72231">
        <w:t>daß</w:t>
      </w:r>
      <w:proofErr w:type="spellEnd"/>
      <w:r w:rsidRPr="00A72231">
        <w:t xml:space="preserve"> es wichtig ist, die Verwendung neuer Merkmale unter Verwendung der im Anhang des Dokuments TWP/1/20 enthaltenen Vorlage allen Verbandsmitgliedern mitzuteilen. Die TWV äußerte jedoch einige Bedenken hinsichtlich einer möglichen mangelnden Harmonisierung auf internationaler Ebene aufgrund dieses Verfahrens.</w:t>
      </w:r>
    </w:p>
    <w:p w:rsidR="001E52BB" w:rsidRPr="00A72231" w:rsidRDefault="001E52BB" w:rsidP="00F01D8E">
      <w:pPr>
        <w:ind w:firstLine="567"/>
      </w:pPr>
    </w:p>
    <w:p w:rsidR="001E52BB" w:rsidRDefault="00F01D8E" w:rsidP="00F01D8E">
      <w:r w:rsidRPr="00A72231">
        <w:fldChar w:fldCharType="begin"/>
      </w:r>
      <w:r w:rsidRPr="00A72231">
        <w:instrText xml:space="preserve"> AUTONUM  </w:instrText>
      </w:r>
      <w:r w:rsidRPr="00A72231">
        <w:fldChar w:fldCharType="end"/>
      </w:r>
      <w:r w:rsidRPr="00A72231">
        <w:tab/>
        <w:t xml:space="preserve">Die TWO nahm die von der Europäischen Union geäußerte Besorgnis zur Kenntnis, </w:t>
      </w:r>
      <w:proofErr w:type="spellStart"/>
      <w:r w:rsidRPr="00A72231">
        <w:t>daß</w:t>
      </w:r>
      <w:proofErr w:type="spellEnd"/>
      <w:r w:rsidRPr="00A72231">
        <w:t xml:space="preserve"> die Mitteilung zusätzlicher Ausprägungsstufen durch verschiedene Behörden für dasselbe Merkmal zu inkonsistenten Sortenbeschreibungen führen könnte, falls eine identische Note verschiedenen Ausprägungsstufen zugeordnet wird</w:t>
      </w:r>
      <w:r w:rsidR="00E723E1" w:rsidRPr="00A72231">
        <w:t>.</w:t>
      </w:r>
      <w:r w:rsidR="00E723E1">
        <w:t xml:space="preserve"> </w:t>
      </w:r>
    </w:p>
    <w:p w:rsidR="001E52BB" w:rsidRDefault="001E52BB" w:rsidP="00F01D8E"/>
    <w:p w:rsidR="001E52BB" w:rsidRPr="00A72231" w:rsidRDefault="00F01D8E" w:rsidP="00F01D8E">
      <w:r w:rsidRPr="00A72231">
        <w:fldChar w:fldCharType="begin"/>
      </w:r>
      <w:r w:rsidRPr="00A72231">
        <w:instrText xml:space="preserve"> AUTONUM  </w:instrText>
      </w:r>
      <w:r w:rsidRPr="00A72231">
        <w:fldChar w:fldCharType="end"/>
      </w:r>
      <w:r w:rsidRPr="00A72231">
        <w:tab/>
        <w:t xml:space="preserve">Die TWF war sich darin einig, </w:t>
      </w:r>
      <w:proofErr w:type="spellStart"/>
      <w:r w:rsidRPr="00A72231">
        <w:t>daß</w:t>
      </w:r>
      <w:proofErr w:type="spellEnd"/>
      <w:r w:rsidRPr="00A72231">
        <w:t xml:space="preserve"> das derzeitige Verfahren für Teilüberarbeitungen:  Ankündigung einer Teilüberarbeitung auf einer TWP-Tagung bis zur Annahme durch den TC und Veröffentlichung auf der UPOV-Website, insbesondere bei geringfügigen Änderungen, verkürzt werden könnte (vergleiche Dokument „TGP/7/4 - Abschnitt 2: Verfahren zur Einführung und Überarbeitung von UPOV-Prüfungsrichtlinien”). Die TWF kam überein, dem TC die folgenden Vorschläge zu unterbreiten, um das Verfahren für </w:t>
      </w:r>
      <w:proofErr w:type="spellStart"/>
      <w:r w:rsidRPr="00A72231">
        <w:t>Teilüberareitungen</w:t>
      </w:r>
      <w:proofErr w:type="spellEnd"/>
      <w:r w:rsidRPr="00A72231">
        <w:t xml:space="preserve"> von Prüfungsrichtlinien zu vereinfachen und zu verkürzen:</w:t>
      </w:r>
    </w:p>
    <w:p w:rsidR="001E52BB" w:rsidRPr="00A72231" w:rsidRDefault="001E52BB" w:rsidP="00F01D8E"/>
    <w:p w:rsidR="001E52BB" w:rsidRPr="00A72231" w:rsidRDefault="00F01D8E" w:rsidP="00F01D8E">
      <w:pPr>
        <w:pStyle w:val="ListParagraph"/>
        <w:numPr>
          <w:ilvl w:val="0"/>
          <w:numId w:val="3"/>
        </w:numPr>
      </w:pPr>
      <w:r w:rsidRPr="00A72231">
        <w:t>jeden neuen Vorschlag für eine Teilüberarbeitung der Prüfungsrichtlinien im Laufe des Jahres zwischen zwei TWP-Sitzungen mit einer Frist von zwei Monaten vor der Sitzung schriftlich anzunehmen, um das Dokument vorzubereiten und an die Sachverständigen weiterzuleiten;</w:t>
      </w:r>
    </w:p>
    <w:p w:rsidR="001E52BB" w:rsidRPr="00A72231" w:rsidRDefault="00E723E1" w:rsidP="00F01D8E">
      <w:pPr>
        <w:pStyle w:val="ListParagraph"/>
        <w:numPr>
          <w:ilvl w:val="0"/>
          <w:numId w:val="3"/>
        </w:numPr>
      </w:pPr>
      <w:r w:rsidRPr="00A72231">
        <w:t>die Hinzufügung von Teilüberarbeitungen von Prüfungsrichtlinien auf dem Schriftweg zu genehmigen, wobei vier Wochen für Einwände gewährt werden;</w:t>
      </w:r>
    </w:p>
    <w:p w:rsidR="001E52BB" w:rsidRPr="00A72231" w:rsidRDefault="00F01D8E" w:rsidP="0075189A">
      <w:pPr>
        <w:pStyle w:val="ListParagraph"/>
        <w:numPr>
          <w:ilvl w:val="0"/>
          <w:numId w:val="3"/>
        </w:numPr>
      </w:pPr>
      <w:r w:rsidRPr="00A72231">
        <w:t>da die beteiligten Sachverständigen während der Annahme des Berichts unter dem Tagesordnungspunkt „Vorschläge für Teilüberarbeitungen von Prüfungsrichtlinien” nicht gelistet wurden, wird vorgeschlagen, das Dokument zur Einholung von Kommentaren an alle maßgeblichen TWP-Sachverständigen zu schicken;</w:t>
      </w:r>
    </w:p>
    <w:p w:rsidR="001E52BB" w:rsidRPr="00A72231" w:rsidRDefault="00F01D8E" w:rsidP="00F01D8E">
      <w:pPr>
        <w:pStyle w:val="ListParagraph"/>
        <w:numPr>
          <w:ilvl w:val="0"/>
          <w:numId w:val="3"/>
        </w:numPr>
      </w:pPr>
      <w:r w:rsidRPr="00A72231">
        <w:t>diese Regel ausschließlich auf Teilüberarbeitungen zu beschränken.</w:t>
      </w:r>
    </w:p>
    <w:p w:rsidR="001E52BB" w:rsidRPr="00A72231" w:rsidRDefault="001E52BB" w:rsidP="00606D31"/>
    <w:p w:rsidR="001E52BB" w:rsidRDefault="008D4F0D" w:rsidP="008D4F0D">
      <w:pPr>
        <w:ind w:left="4820"/>
        <w:rPr>
          <w:i/>
        </w:rPr>
      </w:pPr>
      <w:r w:rsidRPr="00A72231">
        <w:rPr>
          <w:i/>
        </w:rPr>
        <w:fldChar w:fldCharType="begin"/>
      </w:r>
      <w:r w:rsidRPr="00A72231">
        <w:rPr>
          <w:i/>
        </w:rPr>
        <w:instrText xml:space="preserve"> AUTONUM  </w:instrText>
      </w:r>
      <w:r w:rsidRPr="00A72231">
        <w:rPr>
          <w:i/>
        </w:rPr>
        <w:fldChar w:fldCharType="end"/>
      </w:r>
      <w:r w:rsidRPr="00A72231">
        <w:rPr>
          <w:i/>
        </w:rPr>
        <w:tab/>
      </w:r>
      <w:r w:rsidRPr="00A72231">
        <w:rPr>
          <w:i/>
        </w:rPr>
        <w:tab/>
        <w:t>Der TC</w:t>
      </w:r>
      <w:r>
        <w:t xml:space="preserve"> </w:t>
      </w:r>
      <w:r>
        <w:rPr>
          <w:i/>
          <w:iCs/>
        </w:rPr>
        <w:t xml:space="preserve">wird ersucht zu prüfen, ob das Verfahren für Teilüberarbeitungen von Prüfungsrichtlinien auf der Grundlage des </w:t>
      </w:r>
      <w:r w:rsidRPr="00666C9F">
        <w:rPr>
          <w:i/>
          <w:iCs/>
        </w:rPr>
        <w:t>in Absatz 24 dieses Dokuments dargelegten Vorschlags</w:t>
      </w:r>
      <w:r>
        <w:rPr>
          <w:i/>
          <w:iCs/>
        </w:rPr>
        <w:t xml:space="preserve"> überarbeitet werden soll.</w:t>
      </w:r>
    </w:p>
    <w:p w:rsidR="001E52BB" w:rsidRDefault="001E52BB" w:rsidP="007175FD"/>
    <w:p w:rsidR="001E52BB" w:rsidRDefault="001E52BB" w:rsidP="001E52BB">
      <w:pPr>
        <w:pStyle w:val="Heading2"/>
      </w:pPr>
      <w:bookmarkStart w:id="8" w:name="_Toc527980859"/>
      <w:r>
        <w:t>Mindestabstand zwischen Sorten</w:t>
      </w:r>
      <w:bookmarkEnd w:id="8"/>
    </w:p>
    <w:p w:rsidR="001E52BB" w:rsidRDefault="001E52BB" w:rsidP="007175FD"/>
    <w:p w:rsidR="001E52BB" w:rsidRPr="00B518D1" w:rsidRDefault="007175FD" w:rsidP="007175FD">
      <w:pPr>
        <w:rPr>
          <w:snapToGrid w:val="0"/>
        </w:rPr>
      </w:pPr>
      <w:r w:rsidRPr="00C27AE7">
        <w:rPr>
          <w:snapToGrid w:val="0"/>
        </w:rPr>
        <w:fldChar w:fldCharType="begin"/>
      </w:r>
      <w:r w:rsidRPr="00C27AE7">
        <w:rPr>
          <w:snapToGrid w:val="0"/>
        </w:rPr>
        <w:instrText xml:space="preserve"> AUTONUM  </w:instrText>
      </w:r>
      <w:r w:rsidRPr="00C27AE7">
        <w:rPr>
          <w:snapToGrid w:val="0"/>
        </w:rPr>
        <w:fldChar w:fldCharType="end"/>
      </w:r>
      <w:r>
        <w:rPr>
          <w:snapToGrid w:val="0"/>
        </w:rPr>
        <w:tab/>
      </w:r>
      <w:r w:rsidR="00E723E1" w:rsidRPr="00B518D1">
        <w:rPr>
          <w:snapToGrid w:val="0"/>
        </w:rPr>
        <w:t xml:space="preserve">Die TWA prüfte auf ihrer sechsundvierzigsten Tagung vom 19. bis 23. Juni 2017 in Hannover, Deutschland, das Dokument </w:t>
      </w:r>
      <w:hyperlink r:id="rId11" w:history="1">
        <w:r w:rsidR="00E723E1" w:rsidRPr="00B518D1">
          <w:rPr>
            <w:rStyle w:val="Hyperlink"/>
          </w:rPr>
          <w:t>TWA/46/6</w:t>
        </w:r>
      </w:hyperlink>
      <w:r w:rsidR="00E723E1" w:rsidRPr="00B518D1">
        <w:rPr>
          <w:snapToGrid w:val="0"/>
        </w:rPr>
        <w:t xml:space="preserve"> „Neues Verfahren zur Gewährleistung des Mindestabstandes </w:t>
      </w:r>
      <w:r w:rsidR="00E723E1" w:rsidRPr="00B518D1">
        <w:rPr>
          <w:snapToGrid w:val="0"/>
        </w:rPr>
        <w:lastRenderedPageBreak/>
        <w:t xml:space="preserve">zwischen Sorten bei gemessenen quantitativen Merkmalen für Unterscheidbarkeit und Harmonisierung zwischen Verbandsmitgliedern” und hörte ein Referat von einem Sachverständigen aus der Republik Korea, wie in Dokument </w:t>
      </w:r>
      <w:hyperlink r:id="rId12" w:history="1">
        <w:r w:rsidR="00E723E1" w:rsidRPr="00B518D1">
          <w:rPr>
            <w:rStyle w:val="Hyperlink"/>
          </w:rPr>
          <w:t>TWA/46/6 Add</w:t>
        </w:r>
      </w:hyperlink>
      <w:r w:rsidR="00E723E1" w:rsidRPr="00B518D1">
        <w:rPr>
          <w:rStyle w:val="Hyperlink"/>
        </w:rPr>
        <w:t>.</w:t>
      </w:r>
      <w:r w:rsidR="00E723E1" w:rsidRPr="00B518D1">
        <w:rPr>
          <w:snapToGrid w:val="0"/>
        </w:rPr>
        <w:t xml:space="preserve"> </w:t>
      </w:r>
      <w:r w:rsidR="00E723E1" w:rsidRPr="00B518D1">
        <w:t>wiedergegeben (vergleiche Dokument TWA/46/10 „</w:t>
      </w:r>
      <w:r w:rsidR="00E723E1" w:rsidRPr="00B518D1">
        <w:rPr>
          <w:i/>
          <w:iCs/>
        </w:rPr>
        <w:t>Report</w:t>
      </w:r>
      <w:r w:rsidR="00E723E1" w:rsidRPr="00B518D1">
        <w:t>“, Absätze 61 und 62).</w:t>
      </w:r>
      <w:r w:rsidR="00E723E1" w:rsidRPr="00B518D1">
        <w:rPr>
          <w:snapToGrid w:val="0"/>
        </w:rPr>
        <w:t xml:space="preserve"> </w:t>
      </w:r>
    </w:p>
    <w:p w:rsidR="001E52BB" w:rsidRPr="00B518D1" w:rsidRDefault="001E52BB" w:rsidP="007175FD">
      <w:pPr>
        <w:rPr>
          <w:snapToGrid w:val="0"/>
        </w:rPr>
      </w:pPr>
    </w:p>
    <w:p w:rsidR="001E52BB" w:rsidRPr="00B518D1" w:rsidRDefault="007175FD" w:rsidP="007175FD">
      <w:r w:rsidRPr="00B518D1">
        <w:rPr>
          <w:snapToGrid w:val="0"/>
        </w:rPr>
        <w:fldChar w:fldCharType="begin"/>
      </w:r>
      <w:r w:rsidRPr="00B518D1">
        <w:rPr>
          <w:snapToGrid w:val="0"/>
        </w:rPr>
        <w:instrText xml:space="preserve"> AUTONUM  </w:instrText>
      </w:r>
      <w:r w:rsidRPr="00B518D1">
        <w:rPr>
          <w:snapToGrid w:val="0"/>
        </w:rPr>
        <w:fldChar w:fldCharType="end"/>
      </w:r>
      <w:r w:rsidRPr="00B518D1">
        <w:rPr>
          <w:snapToGrid w:val="0"/>
        </w:rPr>
        <w:tab/>
        <w:t xml:space="preserve">Die TWA nahm auf ihrer sechsundvierzigsten Tagung zur Kenntnis, </w:t>
      </w:r>
      <w:proofErr w:type="spellStart"/>
      <w:r w:rsidRPr="00B518D1">
        <w:rPr>
          <w:snapToGrid w:val="0"/>
        </w:rPr>
        <w:t>daß</w:t>
      </w:r>
      <w:proofErr w:type="spellEnd"/>
      <w:r w:rsidRPr="00B518D1">
        <w:rPr>
          <w:snapToGrid w:val="0"/>
        </w:rPr>
        <w:t xml:space="preserve"> das neue Verfahren eine Form der Berechnung des Varianzkoeffizienten sei, und kam überein, vorzuschlagen, </w:t>
      </w:r>
      <w:proofErr w:type="spellStart"/>
      <w:r w:rsidRPr="00B518D1">
        <w:rPr>
          <w:snapToGrid w:val="0"/>
        </w:rPr>
        <w:t>daß</w:t>
      </w:r>
      <w:proofErr w:type="spellEnd"/>
      <w:r w:rsidRPr="00B518D1">
        <w:rPr>
          <w:snapToGrid w:val="0"/>
        </w:rPr>
        <w:t xml:space="preserve"> die TWC es weiter prüfen solle.</w:t>
      </w:r>
    </w:p>
    <w:p w:rsidR="001E52BB" w:rsidRPr="00B518D1" w:rsidRDefault="001E52BB" w:rsidP="007175FD">
      <w:pPr>
        <w:rPr>
          <w:rFonts w:eastAsiaTheme="minorEastAsia"/>
          <w:snapToGrid w:val="0"/>
          <w:lang w:eastAsia="ja-JP"/>
        </w:rPr>
      </w:pPr>
    </w:p>
    <w:p w:rsidR="001E52BB" w:rsidRPr="00B518D1" w:rsidRDefault="007175FD" w:rsidP="007175FD">
      <w:pPr>
        <w:rPr>
          <w:snapToGrid w:val="0"/>
        </w:rPr>
      </w:pPr>
      <w:r w:rsidRPr="00B518D1">
        <w:rPr>
          <w:snapToGrid w:val="0"/>
        </w:rPr>
        <w:fldChar w:fldCharType="begin"/>
      </w:r>
      <w:r w:rsidRPr="00B518D1">
        <w:rPr>
          <w:snapToGrid w:val="0"/>
        </w:rPr>
        <w:instrText xml:space="preserve"> AUTONUM  </w:instrText>
      </w:r>
      <w:r w:rsidRPr="00B518D1">
        <w:rPr>
          <w:snapToGrid w:val="0"/>
        </w:rPr>
        <w:fldChar w:fldCharType="end"/>
      </w:r>
      <w:r w:rsidRPr="00B518D1">
        <w:rPr>
          <w:snapToGrid w:val="0"/>
        </w:rPr>
        <w:tab/>
        <w:t>Die TWO prüfte auf ihrer fünfzigsten Tagung vom 11. bis 15. September 2017 in Victoria, Kanada, das Dokument TWO/50/8 „Fallstudie über Mindestabstände zwischen vegetativ vermehrten Zier- und Obstpflanzen“ und hörte ein Referat von einem Sachverständigen aus den Niederlanden (vergleiche Dokument TWO/50/14 „</w:t>
      </w:r>
      <w:r w:rsidRPr="00E06928">
        <w:rPr>
          <w:i/>
          <w:snapToGrid w:val="0"/>
        </w:rPr>
        <w:t>Report</w:t>
      </w:r>
      <w:r w:rsidRPr="00B518D1">
        <w:rPr>
          <w:snapToGrid w:val="0"/>
        </w:rPr>
        <w:t>“, Absätze 47 bis 51).</w:t>
      </w:r>
    </w:p>
    <w:p w:rsidR="001E52BB" w:rsidRPr="00B518D1" w:rsidRDefault="001E52BB" w:rsidP="007175FD"/>
    <w:p w:rsidR="001E52BB" w:rsidRDefault="007175FD" w:rsidP="001E52BB">
      <w:r w:rsidRPr="00B518D1">
        <w:fldChar w:fldCharType="begin"/>
      </w:r>
      <w:r w:rsidRPr="00B518D1">
        <w:instrText xml:space="preserve"> AUTONUM  </w:instrText>
      </w:r>
      <w:r w:rsidRPr="00B518D1">
        <w:fldChar w:fldCharType="end"/>
      </w:r>
      <w:r w:rsidRPr="00B518D1">
        <w:tab/>
        <w:t xml:space="preserve">Die TWF prüfte auf ihrer achtundvierzigsten Tagung vom 18. bis </w:t>
      </w:r>
      <w:r w:rsidR="006A7173">
        <w:t xml:space="preserve">22. September 2017 in </w:t>
      </w:r>
      <w:proofErr w:type="spellStart"/>
      <w:r w:rsidR="006A7173">
        <w:t>Kelowna</w:t>
      </w:r>
      <w:proofErr w:type="spellEnd"/>
      <w:r w:rsidR="006A7173">
        <w:t>, K</w:t>
      </w:r>
      <w:r w:rsidRPr="00B518D1">
        <w:t xml:space="preserve">anada, das Dokument </w:t>
      </w:r>
      <w:hyperlink r:id="rId13" w:history="1">
        <w:r w:rsidRPr="00B518D1">
          <w:rPr>
            <w:rStyle w:val="Hyperlink"/>
          </w:rPr>
          <w:t>TWF/48/11</w:t>
        </w:r>
      </w:hyperlink>
      <w:r w:rsidRPr="00B518D1">
        <w:t xml:space="preserve"> „Mindestabstand zwischen Sorten“ und hörte ein Referat über eine „Fallstudie über Mindestabstände zwischen vegetativ vermehrten Zier- und Obstpflanzen“ von einem Sachverständigen aus der Europäischen Union, von dem eine Kopie in der Anlage von Dokument TWF/48/11 enthalten ist, und ein Referat von einem Vertreter der Internationalen Gemeinschaft der Züchter vegetativ vermehrbarer Zier- und Obstpflanzen (CIOPORA), das in Kopie in Dokument TWF/48/11 Add. wiedergegeben ist (vergleiche Dokument TWF/48/13 „</w:t>
      </w:r>
      <w:r w:rsidRPr="00E06928">
        <w:rPr>
          <w:i/>
        </w:rPr>
        <w:t>Report</w:t>
      </w:r>
      <w:r w:rsidRPr="00B518D1">
        <w:t>“, Absätze 94 bis 100).</w:t>
      </w:r>
    </w:p>
    <w:p w:rsidR="001E52BB" w:rsidRDefault="001E52BB" w:rsidP="007175FD">
      <w:pPr>
        <w:rPr>
          <w:snapToGrid w:val="0"/>
        </w:rPr>
      </w:pPr>
    </w:p>
    <w:p w:rsidR="001E52BB" w:rsidRPr="00B518D1" w:rsidRDefault="007175FD" w:rsidP="007175FD">
      <w:pPr>
        <w:tabs>
          <w:tab w:val="num" w:pos="567"/>
        </w:tabs>
        <w:rPr>
          <w:rFonts w:eastAsiaTheme="minorEastAsia"/>
          <w:snapToGrid w:val="0"/>
        </w:rPr>
      </w:pPr>
      <w:r w:rsidRPr="00C27AE7">
        <w:rPr>
          <w:snapToGrid w:val="0"/>
        </w:rPr>
        <w:fldChar w:fldCharType="begin"/>
      </w:r>
      <w:r w:rsidRPr="00C27AE7">
        <w:rPr>
          <w:snapToGrid w:val="0"/>
        </w:rPr>
        <w:instrText xml:space="preserve"> AUTONUM  </w:instrText>
      </w:r>
      <w:r w:rsidRPr="00C27AE7">
        <w:rPr>
          <w:snapToGrid w:val="0"/>
        </w:rPr>
        <w:fldChar w:fldCharType="end"/>
      </w:r>
      <w:r>
        <w:rPr>
          <w:snapToGrid w:val="0"/>
        </w:rPr>
        <w:tab/>
      </w:r>
      <w:r w:rsidRPr="00B518D1">
        <w:rPr>
          <w:snapToGrid w:val="0"/>
        </w:rPr>
        <w:t xml:space="preserve">Die TWO nahm die in Dokument TWO/50/8 dargelegten Ergebnisse der Fallstudie zur Kenntnis und kam überein, </w:t>
      </w:r>
      <w:proofErr w:type="spellStart"/>
      <w:r w:rsidRPr="00B518D1">
        <w:rPr>
          <w:snapToGrid w:val="0"/>
        </w:rPr>
        <w:t>daß</w:t>
      </w:r>
      <w:proofErr w:type="spellEnd"/>
      <w:r w:rsidRPr="00B518D1">
        <w:rPr>
          <w:snapToGrid w:val="0"/>
        </w:rPr>
        <w:t xml:space="preserve"> weitere Erörterungen auf der Grundlage lebender Pflanzen und realer Fälle von möglichem Mangel an Unterscheidbarkeit zur Verbesserung des gegenseitigen Verständnisses erforderlich seien. </w:t>
      </w:r>
    </w:p>
    <w:p w:rsidR="001E52BB" w:rsidRPr="00B518D1" w:rsidRDefault="001E52BB" w:rsidP="007175FD">
      <w:pPr>
        <w:rPr>
          <w:snapToGrid w:val="0"/>
        </w:rPr>
      </w:pPr>
    </w:p>
    <w:p w:rsidR="001E52BB" w:rsidRPr="00B518D1" w:rsidRDefault="007175FD" w:rsidP="007175FD">
      <w:pPr>
        <w:spacing w:after="240"/>
        <w:rPr>
          <w:rFonts w:eastAsiaTheme="minorEastAsia"/>
          <w:snapToGrid w:val="0"/>
        </w:rPr>
      </w:pPr>
      <w:r w:rsidRPr="00B518D1">
        <w:rPr>
          <w:snapToGrid w:val="0"/>
        </w:rPr>
        <w:fldChar w:fldCharType="begin"/>
      </w:r>
      <w:r w:rsidRPr="00B518D1">
        <w:rPr>
          <w:snapToGrid w:val="0"/>
        </w:rPr>
        <w:instrText xml:space="preserve"> AUTONUM  </w:instrText>
      </w:r>
      <w:r w:rsidRPr="00B518D1">
        <w:rPr>
          <w:snapToGrid w:val="0"/>
        </w:rPr>
        <w:fldChar w:fldCharType="end"/>
      </w:r>
      <w:r w:rsidRPr="00B518D1">
        <w:rPr>
          <w:snapToGrid w:val="0"/>
        </w:rPr>
        <w:tab/>
        <w:t xml:space="preserve">Die TWO und die TWF stellten fest, </w:t>
      </w:r>
      <w:proofErr w:type="spellStart"/>
      <w:r w:rsidRPr="00B518D1">
        <w:rPr>
          <w:snapToGrid w:val="0"/>
        </w:rPr>
        <w:t>daß</w:t>
      </w:r>
      <w:proofErr w:type="spellEnd"/>
      <w:r w:rsidRPr="00B518D1">
        <w:rPr>
          <w:snapToGrid w:val="0"/>
        </w:rPr>
        <w:t xml:space="preserve"> eines der Ergebnisse der Fallstudie eine Aufforderung zur Klärung der Frage sei, ob die für die Homogenität und Beständigkeit verwendeten Merkmale von denen abweichen könnten, die für Unterscheidbarkeit verwendet werden.</w:t>
      </w:r>
    </w:p>
    <w:p w:rsidR="001E52BB" w:rsidRPr="00B518D1" w:rsidRDefault="007175FD" w:rsidP="007175FD">
      <w:pPr>
        <w:rPr>
          <w:snapToGrid w:val="0"/>
        </w:rPr>
      </w:pPr>
      <w:r w:rsidRPr="00B518D1">
        <w:rPr>
          <w:snapToGrid w:val="0"/>
        </w:rPr>
        <w:fldChar w:fldCharType="begin"/>
      </w:r>
      <w:r w:rsidRPr="00B518D1">
        <w:rPr>
          <w:snapToGrid w:val="0"/>
        </w:rPr>
        <w:instrText xml:space="preserve"> AUTONUM  </w:instrText>
      </w:r>
      <w:r w:rsidRPr="00B518D1">
        <w:rPr>
          <w:snapToGrid w:val="0"/>
        </w:rPr>
        <w:fldChar w:fldCharType="end"/>
      </w:r>
      <w:r w:rsidRPr="00B518D1">
        <w:rPr>
          <w:snapToGrid w:val="0"/>
        </w:rPr>
        <w:tab/>
        <w:t xml:space="preserve">Die TWO und TWF waren sich darin einig, </w:t>
      </w:r>
      <w:proofErr w:type="spellStart"/>
      <w:r w:rsidRPr="00B518D1">
        <w:rPr>
          <w:snapToGrid w:val="0"/>
        </w:rPr>
        <w:t>daß</w:t>
      </w:r>
      <w:proofErr w:type="spellEnd"/>
      <w:r w:rsidRPr="00B518D1">
        <w:rPr>
          <w:snapToGrid w:val="0"/>
        </w:rPr>
        <w:t xml:space="preserve"> Züchterorganisationen eine stärkere Einbeziehung von Züchtern in Erörterungen über das Verfassen und Überarbeiten von Prüfungsrichtlinien sicherstellen sollten und nahmen zur Kenntnis, </w:t>
      </w:r>
      <w:proofErr w:type="spellStart"/>
      <w:r w:rsidRPr="00B518D1">
        <w:rPr>
          <w:snapToGrid w:val="0"/>
        </w:rPr>
        <w:t>daß</w:t>
      </w:r>
      <w:proofErr w:type="spellEnd"/>
      <w:r w:rsidRPr="00B518D1">
        <w:rPr>
          <w:snapToGrid w:val="0"/>
        </w:rPr>
        <w:t xml:space="preserve"> die Ergebnisse dem TC auf seiner vierundfünfzigsten Tagung berichtet würden.</w:t>
      </w:r>
    </w:p>
    <w:p w:rsidR="001E52BB" w:rsidRPr="00B518D1" w:rsidRDefault="001E52BB" w:rsidP="007175FD">
      <w:pPr>
        <w:rPr>
          <w:snapToGrid w:val="0"/>
        </w:rPr>
      </w:pPr>
    </w:p>
    <w:p w:rsidR="001E52BB" w:rsidRPr="00B518D1" w:rsidRDefault="007175FD" w:rsidP="007175FD">
      <w:pPr>
        <w:rPr>
          <w:snapToGrid w:val="0"/>
        </w:rPr>
      </w:pPr>
      <w:r w:rsidRPr="00B518D1">
        <w:rPr>
          <w:snapToGrid w:val="0"/>
        </w:rPr>
        <w:fldChar w:fldCharType="begin"/>
      </w:r>
      <w:r w:rsidRPr="00B518D1">
        <w:rPr>
          <w:snapToGrid w:val="0"/>
        </w:rPr>
        <w:instrText xml:space="preserve"> AUTONUM  </w:instrText>
      </w:r>
      <w:r w:rsidRPr="00B518D1">
        <w:rPr>
          <w:snapToGrid w:val="0"/>
        </w:rPr>
        <w:fldChar w:fldCharType="end"/>
      </w:r>
      <w:r w:rsidRPr="00B518D1">
        <w:rPr>
          <w:snapToGrid w:val="0"/>
        </w:rPr>
        <w:tab/>
        <w:t xml:space="preserve">Die TWO vereinbarte, um Referate auf ihrer nächsten Tagung vom 18. bis 22. Februar 2019 in Christchurch, Neuseeland, zu ersuchen, um den von Züchtern vegetativ vermehrter Ziersorten verwendeten Ansatz für die Festlegung der Bedeutung eines Merkmals, das bei der Prüfung der Unterscheidbarkeit verwendet werden soll, auszuführen. </w:t>
      </w:r>
    </w:p>
    <w:p w:rsidR="001E52BB" w:rsidRPr="00B518D1" w:rsidRDefault="001E52BB" w:rsidP="007175FD"/>
    <w:p w:rsidR="001E52BB" w:rsidRPr="00B518D1" w:rsidRDefault="007175FD" w:rsidP="007175FD">
      <w:pPr>
        <w:tabs>
          <w:tab w:val="num" w:pos="567"/>
        </w:tabs>
        <w:rPr>
          <w:rFonts w:eastAsiaTheme="minorEastAsia"/>
          <w:snapToGrid w:val="0"/>
        </w:rPr>
      </w:pPr>
      <w:r w:rsidRPr="00B518D1">
        <w:rPr>
          <w:snapToGrid w:val="0"/>
        </w:rPr>
        <w:fldChar w:fldCharType="begin"/>
      </w:r>
      <w:r w:rsidRPr="00B518D1">
        <w:rPr>
          <w:snapToGrid w:val="0"/>
        </w:rPr>
        <w:instrText xml:space="preserve"> AUTONUM  </w:instrText>
      </w:r>
      <w:r w:rsidRPr="00B518D1">
        <w:rPr>
          <w:snapToGrid w:val="0"/>
        </w:rPr>
        <w:fldChar w:fldCharType="end"/>
      </w:r>
      <w:r w:rsidRPr="00B518D1">
        <w:rPr>
          <w:snapToGrid w:val="0"/>
        </w:rPr>
        <w:tab/>
        <w:t xml:space="preserve">Die TWF nahm zur Kenntnis, </w:t>
      </w:r>
      <w:proofErr w:type="spellStart"/>
      <w:r w:rsidRPr="00B518D1">
        <w:rPr>
          <w:snapToGrid w:val="0"/>
        </w:rPr>
        <w:t>daß</w:t>
      </w:r>
      <w:proofErr w:type="spellEnd"/>
      <w:r w:rsidRPr="00B518D1">
        <w:rPr>
          <w:snapToGrid w:val="0"/>
        </w:rPr>
        <w:t xml:space="preserve"> die Ergebnisse der in Dokument TWF/48/11 dargelegten Fallstudie auch auf der fünfzigsten Tagung der TWO vorgestellt und in Dokument TWO/50/8 wiedergegeben wurden. </w:t>
      </w:r>
    </w:p>
    <w:p w:rsidR="001E52BB" w:rsidRPr="00B518D1" w:rsidRDefault="001E52BB" w:rsidP="007175FD">
      <w:pPr>
        <w:rPr>
          <w:rFonts w:eastAsiaTheme="minorEastAsia"/>
          <w:snapToGrid w:val="0"/>
          <w:lang w:eastAsia="ja-JP"/>
        </w:rPr>
      </w:pPr>
    </w:p>
    <w:p w:rsidR="001E52BB" w:rsidRPr="00B518D1" w:rsidRDefault="007175FD" w:rsidP="007175FD">
      <w:pPr>
        <w:rPr>
          <w:snapToGrid w:val="0"/>
        </w:rPr>
      </w:pPr>
      <w:r w:rsidRPr="00B518D1">
        <w:rPr>
          <w:snapToGrid w:val="0"/>
        </w:rPr>
        <w:fldChar w:fldCharType="begin"/>
      </w:r>
      <w:r w:rsidRPr="00B518D1">
        <w:rPr>
          <w:snapToGrid w:val="0"/>
        </w:rPr>
        <w:instrText xml:space="preserve"> AUTONUM  </w:instrText>
      </w:r>
      <w:r w:rsidRPr="00B518D1">
        <w:rPr>
          <w:snapToGrid w:val="0"/>
        </w:rPr>
        <w:fldChar w:fldCharType="end"/>
      </w:r>
      <w:r w:rsidRPr="00B518D1">
        <w:rPr>
          <w:snapToGrid w:val="0"/>
        </w:rPr>
        <w:tab/>
        <w:t xml:space="preserve">Die TWF nahm zur Kenntnis, </w:t>
      </w:r>
      <w:proofErr w:type="spellStart"/>
      <w:r w:rsidRPr="00B518D1">
        <w:rPr>
          <w:snapToGrid w:val="0"/>
        </w:rPr>
        <w:t>daß</w:t>
      </w:r>
      <w:proofErr w:type="spellEnd"/>
      <w:r w:rsidRPr="00B518D1">
        <w:rPr>
          <w:snapToGrid w:val="0"/>
        </w:rPr>
        <w:t xml:space="preserve"> die Züchter im Obstsektor di</w:t>
      </w:r>
      <w:r w:rsidR="00991487">
        <w:rPr>
          <w:snapToGrid w:val="0"/>
        </w:rPr>
        <w:t>e Bedeutung eines Merkmals über</w:t>
      </w:r>
      <w:r w:rsidRPr="00B518D1">
        <w:rPr>
          <w:snapToGrid w:val="0"/>
        </w:rPr>
        <w:t xml:space="preserve"> den Handelswert, den das Merkmal ausdrücken könnte, definieren. Sie nahm ferner zur Kenntnis, </w:t>
      </w:r>
      <w:proofErr w:type="spellStart"/>
      <w:r w:rsidRPr="00B518D1">
        <w:rPr>
          <w:snapToGrid w:val="0"/>
        </w:rPr>
        <w:t>daß</w:t>
      </w:r>
      <w:proofErr w:type="spellEnd"/>
      <w:r w:rsidRPr="00B518D1">
        <w:rPr>
          <w:snapToGrid w:val="0"/>
        </w:rPr>
        <w:t xml:space="preserve"> einige Züchter (z. B. Blumen und Obst) größere Unterschiede zwischen Sorten anstreben (</w:t>
      </w:r>
      <w:r w:rsidR="00E723E1" w:rsidRPr="00B518D1">
        <w:rPr>
          <w:snapToGrid w:val="0"/>
        </w:rPr>
        <w:t>z. B.</w:t>
      </w:r>
      <w:r w:rsidRPr="00B518D1">
        <w:rPr>
          <w:snapToGrid w:val="0"/>
        </w:rPr>
        <w:t xml:space="preserve"> großer Abstand), wohingegen Züchter anderer Pflanzen (</w:t>
      </w:r>
      <w:r w:rsidR="00E723E1" w:rsidRPr="00B518D1">
        <w:rPr>
          <w:snapToGrid w:val="0"/>
        </w:rPr>
        <w:t>z. B.</w:t>
      </w:r>
      <w:r w:rsidRPr="00B518D1">
        <w:rPr>
          <w:snapToGrid w:val="0"/>
        </w:rPr>
        <w:t xml:space="preserve"> landwirtschaftliche</w:t>
      </w:r>
      <w:r w:rsidR="00991487">
        <w:rPr>
          <w:snapToGrid w:val="0"/>
        </w:rPr>
        <w:t xml:space="preserve"> Arten</w:t>
      </w:r>
      <w:r w:rsidRPr="00B518D1">
        <w:rPr>
          <w:snapToGrid w:val="0"/>
        </w:rPr>
        <w:t xml:space="preserve"> oder Gemüsearten) kleinere Unterschiede (</w:t>
      </w:r>
      <w:r w:rsidR="00E723E1" w:rsidRPr="00B518D1">
        <w:rPr>
          <w:snapToGrid w:val="0"/>
        </w:rPr>
        <w:t>d. h.</w:t>
      </w:r>
      <w:r w:rsidRPr="00B518D1">
        <w:rPr>
          <w:snapToGrid w:val="0"/>
        </w:rPr>
        <w:t xml:space="preserve"> kleiner Abstand) anstreben. Die TWF erinnerte daran, </w:t>
      </w:r>
      <w:proofErr w:type="spellStart"/>
      <w:r w:rsidRPr="00B518D1">
        <w:rPr>
          <w:snapToGrid w:val="0"/>
        </w:rPr>
        <w:t>daß</w:t>
      </w:r>
      <w:proofErr w:type="spellEnd"/>
      <w:r w:rsidRPr="00B518D1">
        <w:rPr>
          <w:snapToGrid w:val="0"/>
        </w:rPr>
        <w:t xml:space="preserve"> in der Allgemeinen Einführung festgestellt wurde, </w:t>
      </w:r>
      <w:proofErr w:type="spellStart"/>
      <w:r w:rsidRPr="00B518D1">
        <w:rPr>
          <w:snapToGrid w:val="0"/>
        </w:rPr>
        <w:t>daß</w:t>
      </w:r>
      <w:proofErr w:type="spellEnd"/>
      <w:r w:rsidRPr="00B518D1">
        <w:rPr>
          <w:snapToGrid w:val="0"/>
        </w:rPr>
        <w:t xml:space="preserve"> die für die DUS-Prüfung verwendeten Merkmale eine hinreichende Variation zwischen den Sorten aufweisen sollten, um die Unterscheidbarkeit begründen zu können</w:t>
      </w:r>
      <w:r w:rsidR="00E723E1" w:rsidRPr="00B518D1">
        <w:rPr>
          <w:snapToGrid w:val="0"/>
        </w:rPr>
        <w:t xml:space="preserve">. </w:t>
      </w:r>
      <w:r w:rsidRPr="00B518D1">
        <w:rPr>
          <w:snapToGrid w:val="0"/>
        </w:rPr>
        <w:t xml:space="preserve">Die TWF stimmte darin überein, </w:t>
      </w:r>
      <w:proofErr w:type="spellStart"/>
      <w:r w:rsidRPr="00B518D1">
        <w:rPr>
          <w:snapToGrid w:val="0"/>
        </w:rPr>
        <w:t>daß</w:t>
      </w:r>
      <w:proofErr w:type="spellEnd"/>
      <w:r w:rsidRPr="00B518D1">
        <w:rPr>
          <w:snapToGrid w:val="0"/>
        </w:rPr>
        <w:t xml:space="preserve"> ein solcher Ansatz Auswirkungen auf die Verwendung der Allgemeinen Einführung haben könnte.</w:t>
      </w:r>
    </w:p>
    <w:p w:rsidR="001E52BB" w:rsidRPr="00B518D1" w:rsidRDefault="001E52BB" w:rsidP="007175FD">
      <w:pPr>
        <w:rPr>
          <w:snapToGrid w:val="0"/>
        </w:rPr>
      </w:pPr>
    </w:p>
    <w:p w:rsidR="001E52BB" w:rsidRPr="00991487" w:rsidRDefault="007175FD" w:rsidP="007175FD">
      <w:pPr>
        <w:rPr>
          <w:snapToGrid w:val="0"/>
        </w:rPr>
      </w:pPr>
      <w:r w:rsidRPr="00B518D1">
        <w:rPr>
          <w:snapToGrid w:val="0"/>
        </w:rPr>
        <w:fldChar w:fldCharType="begin"/>
      </w:r>
      <w:r w:rsidRPr="00B518D1">
        <w:rPr>
          <w:snapToGrid w:val="0"/>
        </w:rPr>
        <w:instrText xml:space="preserve"> AUTONUM  </w:instrText>
      </w:r>
      <w:r w:rsidRPr="00B518D1">
        <w:rPr>
          <w:snapToGrid w:val="0"/>
        </w:rPr>
        <w:fldChar w:fldCharType="end"/>
      </w:r>
      <w:r w:rsidRPr="00B518D1">
        <w:rPr>
          <w:snapToGrid w:val="0"/>
        </w:rPr>
        <w:tab/>
      </w:r>
      <w:r w:rsidRPr="00991487">
        <w:rPr>
          <w:snapToGrid w:val="0"/>
        </w:rPr>
        <w:t xml:space="preserve">Die TWF vereinbarte, </w:t>
      </w:r>
      <w:proofErr w:type="spellStart"/>
      <w:r w:rsidRPr="00991487">
        <w:rPr>
          <w:snapToGrid w:val="0"/>
        </w:rPr>
        <w:t>daß</w:t>
      </w:r>
      <w:proofErr w:type="spellEnd"/>
      <w:r w:rsidRPr="00991487">
        <w:rPr>
          <w:snapToGrid w:val="0"/>
        </w:rPr>
        <w:t xml:space="preserve"> die Prüfungsrichtlinien für Apfelfruchtsorten (Dokument TG/14/9) für eine künftige Überarbeitung vorgeschlagen werden und </w:t>
      </w:r>
      <w:proofErr w:type="spellStart"/>
      <w:r w:rsidRPr="00991487">
        <w:rPr>
          <w:snapToGrid w:val="0"/>
        </w:rPr>
        <w:t>daß</w:t>
      </w:r>
      <w:proofErr w:type="spellEnd"/>
      <w:r w:rsidRPr="00991487">
        <w:rPr>
          <w:snapToGrid w:val="0"/>
        </w:rPr>
        <w:t xml:space="preserve"> bei der Auswahl von für die DUS-Prüfung </w:t>
      </w:r>
      <w:r w:rsidR="006A7173">
        <w:rPr>
          <w:snapToGrid w:val="0"/>
        </w:rPr>
        <w:t>maßgeblichen</w:t>
      </w:r>
      <w:r w:rsidRPr="00991487">
        <w:rPr>
          <w:snapToGrid w:val="0"/>
        </w:rPr>
        <w:t xml:space="preserve"> Merkmale</w:t>
      </w:r>
      <w:r w:rsidR="006A7173">
        <w:rPr>
          <w:snapToGrid w:val="0"/>
        </w:rPr>
        <w:t>n</w:t>
      </w:r>
      <w:r w:rsidRPr="00991487">
        <w:rPr>
          <w:snapToGrid w:val="0"/>
        </w:rPr>
        <w:t xml:space="preserve"> besondere Sorgfalt walten wird und </w:t>
      </w:r>
      <w:r w:rsidR="006A7173">
        <w:rPr>
          <w:snapToGrid w:val="0"/>
        </w:rPr>
        <w:t>die Ansicht der Züchter zur</w:t>
      </w:r>
      <w:r w:rsidRPr="00991487">
        <w:rPr>
          <w:snapToGrid w:val="0"/>
        </w:rPr>
        <w:t xml:space="preserve"> Bedeutung des Merkmals berücksichtigt wird.</w:t>
      </w:r>
    </w:p>
    <w:p w:rsidR="001E52BB" w:rsidRPr="00991487" w:rsidRDefault="001E52BB" w:rsidP="007175FD"/>
    <w:p w:rsidR="001E52BB" w:rsidRPr="00991487" w:rsidRDefault="007175FD" w:rsidP="007175FD">
      <w:r w:rsidRPr="00991487">
        <w:fldChar w:fldCharType="begin"/>
      </w:r>
      <w:r w:rsidRPr="00991487">
        <w:instrText xml:space="preserve"> AUTONUM  </w:instrText>
      </w:r>
      <w:r w:rsidRPr="00991487">
        <w:fldChar w:fldCharType="end"/>
      </w:r>
      <w:r w:rsidRPr="00991487">
        <w:tab/>
      </w:r>
      <w:r w:rsidRPr="00991487">
        <w:rPr>
          <w:snapToGrid w:val="0"/>
        </w:rPr>
        <w:t>Die TWF vereinbarte, diese Diskussion nicht weiterzuverfolgen und diesen Punkt deshalb vom Entwurf einer Tagesordnung für ihre nächste Tagung zu streichen.</w:t>
      </w:r>
    </w:p>
    <w:p w:rsidR="001E52BB" w:rsidRPr="00991487" w:rsidRDefault="001E52BB" w:rsidP="007175FD"/>
    <w:p w:rsidR="001E52BB" w:rsidRPr="00991487" w:rsidRDefault="007175FD" w:rsidP="007175FD">
      <w:r w:rsidRPr="00991487">
        <w:fldChar w:fldCharType="begin"/>
      </w:r>
      <w:r w:rsidRPr="00991487">
        <w:instrText xml:space="preserve"> AUTONUM  </w:instrText>
      </w:r>
      <w:r w:rsidRPr="00991487">
        <w:fldChar w:fldCharType="end"/>
      </w:r>
      <w:r w:rsidRPr="00991487">
        <w:tab/>
      </w:r>
      <w:r w:rsidRPr="00991487">
        <w:rPr>
          <w:snapToGrid w:val="0"/>
        </w:rPr>
        <w:t xml:space="preserve">Die TWA hörte auf ihrer siebenundvierzigsten Tagung vom 21. bis 25. Mai 2018 in </w:t>
      </w:r>
      <w:proofErr w:type="spellStart"/>
      <w:r w:rsidRPr="00991487">
        <w:rPr>
          <w:snapToGrid w:val="0"/>
        </w:rPr>
        <w:t>Naivasha</w:t>
      </w:r>
      <w:proofErr w:type="spellEnd"/>
      <w:r w:rsidRPr="00991487">
        <w:rPr>
          <w:snapToGrid w:val="0"/>
        </w:rPr>
        <w:t xml:space="preserve">, Kenia, </w:t>
      </w:r>
      <w:r w:rsidRPr="00991487">
        <w:t>ein Referat von einem Sachverständigen aus der Europäischen Union über „Fallstudie über Mindestabstände zwischen vegetativ vermehrten Zier- und Obstpflanzen“, das in Kopie in Dokument TWA/47/4 „Mindestabstand zwischen Sorten“ zur Verfügung steht (vergleiche Dokument TWA/47/7 „</w:t>
      </w:r>
      <w:r w:rsidRPr="00E06928">
        <w:rPr>
          <w:i/>
        </w:rPr>
        <w:t>Report</w:t>
      </w:r>
      <w:r w:rsidRPr="00991487">
        <w:t>“, Absätze 51 bis 54).</w:t>
      </w:r>
    </w:p>
    <w:p w:rsidR="001E52BB" w:rsidRPr="00991487" w:rsidRDefault="007175FD" w:rsidP="007175FD">
      <w:r w:rsidRPr="00991487">
        <w:lastRenderedPageBreak/>
        <w:fldChar w:fldCharType="begin"/>
      </w:r>
      <w:r w:rsidRPr="00991487">
        <w:instrText xml:space="preserve"> AUTONUM  </w:instrText>
      </w:r>
      <w:r w:rsidRPr="00991487">
        <w:fldChar w:fldCharType="end"/>
      </w:r>
      <w:r w:rsidRPr="00991487">
        <w:tab/>
        <w:t xml:space="preserve">Die TWA nahm zur Kenntnis, </w:t>
      </w:r>
      <w:proofErr w:type="spellStart"/>
      <w:r w:rsidRPr="00991487">
        <w:t>daß</w:t>
      </w:r>
      <w:proofErr w:type="spellEnd"/>
      <w:r w:rsidRPr="00991487">
        <w:t xml:space="preserve"> das Projekt unter Verwendung eines Sub-Sets von Merkmalen der Prüfungsrichtlinie, die von Züchtern der betrachteten Pflanze als wichtig erachtet worden waren, auf der Unterscheidbarkeitsanalyse basierte (sog. „Mock-Protokoll”).</w:t>
      </w:r>
    </w:p>
    <w:p w:rsidR="001E52BB" w:rsidRPr="00991487" w:rsidRDefault="001E52BB" w:rsidP="007175FD"/>
    <w:p w:rsidR="001E52BB" w:rsidRPr="00991487" w:rsidRDefault="007175FD" w:rsidP="007175FD">
      <w:r w:rsidRPr="00991487">
        <w:fldChar w:fldCharType="begin"/>
      </w:r>
      <w:r w:rsidRPr="00991487">
        <w:instrText xml:space="preserve"> AUTONUM  </w:instrText>
      </w:r>
      <w:r w:rsidRPr="00991487">
        <w:fldChar w:fldCharType="end"/>
      </w:r>
      <w:r w:rsidRPr="00991487">
        <w:tab/>
        <w:t xml:space="preserve">Die TWA nahm die </w:t>
      </w:r>
      <w:proofErr w:type="spellStart"/>
      <w:r w:rsidRPr="00991487">
        <w:t>Schlußfolgerungen</w:t>
      </w:r>
      <w:proofErr w:type="spellEnd"/>
      <w:r w:rsidRPr="00991487">
        <w:t xml:space="preserve"> des Projekts zur Kenntnis, wonach das „Mock-Protokoll“ eine Ausweitung der Größe von Feldversuchen erfordern könnte, da es keine klare Unterscheidbarkeit zwischen einer größeren Anzahl von Sorten gibt.</w:t>
      </w:r>
    </w:p>
    <w:p w:rsidR="001E52BB" w:rsidRPr="00991487" w:rsidRDefault="001E52BB" w:rsidP="007175FD"/>
    <w:p w:rsidR="001E52BB" w:rsidRDefault="007175FD" w:rsidP="007175FD">
      <w:r w:rsidRPr="00991487">
        <w:fldChar w:fldCharType="begin"/>
      </w:r>
      <w:r w:rsidRPr="00991487">
        <w:instrText xml:space="preserve"> AUTONUM  </w:instrText>
      </w:r>
      <w:r w:rsidRPr="00991487">
        <w:fldChar w:fldCharType="end"/>
      </w:r>
      <w:r w:rsidRPr="00991487">
        <w:tab/>
        <w:t xml:space="preserve">Die TWA nahm zur Kenntnis, </w:t>
      </w:r>
      <w:proofErr w:type="spellStart"/>
      <w:r w:rsidRPr="00991487">
        <w:t>daß</w:t>
      </w:r>
      <w:proofErr w:type="spellEnd"/>
      <w:r w:rsidRPr="00991487">
        <w:t xml:space="preserve"> derzeit ein auf Feldversuchen basierendes Follow-</w:t>
      </w:r>
      <w:proofErr w:type="spellStart"/>
      <w:r w:rsidRPr="00991487">
        <w:t>up</w:t>
      </w:r>
      <w:proofErr w:type="spellEnd"/>
      <w:r w:rsidRPr="00991487">
        <w:t>-Projekt mit der Beteiligung von Züchtern geschützter Sorten in Betracht gezogen werde.</w:t>
      </w:r>
    </w:p>
    <w:p w:rsidR="001E52BB" w:rsidRDefault="001E52BB" w:rsidP="007175FD"/>
    <w:p w:rsidR="001E52BB" w:rsidRPr="00991487" w:rsidRDefault="007175FD" w:rsidP="007175FD">
      <w:pPr>
        <w:ind w:left="4820"/>
        <w:rPr>
          <w:i/>
        </w:rPr>
      </w:pPr>
      <w:r w:rsidRPr="00C27AE7">
        <w:rPr>
          <w:i/>
        </w:rPr>
        <w:fldChar w:fldCharType="begin"/>
      </w:r>
      <w:r w:rsidRPr="00C27AE7">
        <w:rPr>
          <w:i/>
        </w:rPr>
        <w:instrText xml:space="preserve"> AUTONUM  </w:instrText>
      </w:r>
      <w:r w:rsidRPr="00C27AE7">
        <w:rPr>
          <w:i/>
        </w:rPr>
        <w:fldChar w:fldCharType="end"/>
      </w:r>
      <w:r>
        <w:rPr>
          <w:i/>
        </w:rPr>
        <w:tab/>
      </w:r>
      <w:r>
        <w:rPr>
          <w:i/>
        </w:rPr>
        <w:tab/>
      </w:r>
      <w:r w:rsidRPr="00991487">
        <w:rPr>
          <w:i/>
        </w:rPr>
        <w:t xml:space="preserve">Der TC wird ersucht, Erörterungen über Mindestabstände zwischen Sorten, die von den TWP auf ihren Tagungen in den Jahren 2017 und 2018 geführt wurden, wie in </w:t>
      </w:r>
      <w:r w:rsidRPr="00666C9F">
        <w:rPr>
          <w:i/>
        </w:rPr>
        <w:t>den Absätzen 26 bis 41 dieses</w:t>
      </w:r>
      <w:r w:rsidRPr="00991487">
        <w:rPr>
          <w:i/>
        </w:rPr>
        <w:t xml:space="preserve"> Dokuments dargelegt, zu prüfen;</w:t>
      </w:r>
    </w:p>
    <w:p w:rsidR="001E52BB" w:rsidRPr="00991487" w:rsidRDefault="001E52BB" w:rsidP="007175FD"/>
    <w:p w:rsidR="001E52BB" w:rsidRPr="00991487" w:rsidRDefault="001E52BB" w:rsidP="007175FD"/>
    <w:p w:rsidR="001E52BB" w:rsidRPr="00991487" w:rsidRDefault="001E52BB" w:rsidP="001E52BB">
      <w:pPr>
        <w:pStyle w:val="Heading2"/>
      </w:pPr>
      <w:bookmarkStart w:id="9" w:name="_Toc527980860"/>
      <w:r w:rsidRPr="00991487">
        <w:t>Verwendung von Krankheits- und Insektenresistenzmerkmalen bei der DUS-Prüfung;</w:t>
      </w:r>
      <w:bookmarkEnd w:id="9"/>
      <w:r w:rsidRPr="00991487">
        <w:t xml:space="preserve"> </w:t>
      </w:r>
    </w:p>
    <w:p w:rsidR="001E52BB" w:rsidRPr="00991487" w:rsidRDefault="001E52BB" w:rsidP="007175FD"/>
    <w:p w:rsidR="001E52BB" w:rsidRPr="00991487" w:rsidRDefault="007175FD" w:rsidP="007175FD">
      <w:pPr>
        <w:rPr>
          <w:rStyle w:val="Hyperlink"/>
        </w:rPr>
      </w:pPr>
      <w:r w:rsidRPr="00991487">
        <w:rPr>
          <w:snapToGrid w:val="0"/>
        </w:rPr>
        <w:fldChar w:fldCharType="begin"/>
      </w:r>
      <w:r w:rsidRPr="00991487">
        <w:rPr>
          <w:snapToGrid w:val="0"/>
        </w:rPr>
        <w:instrText xml:space="preserve"> AUTONUM  </w:instrText>
      </w:r>
      <w:r w:rsidRPr="00991487">
        <w:rPr>
          <w:snapToGrid w:val="0"/>
        </w:rPr>
        <w:fldChar w:fldCharType="end"/>
      </w:r>
      <w:r w:rsidRPr="00991487">
        <w:rPr>
          <w:snapToGrid w:val="0"/>
        </w:rPr>
        <w:tab/>
        <w:t xml:space="preserve">Die TWA hörte auf ihrer sechsundvierzigsten Tagung vom 19. bis 23. Juni 2017 in Hannover, Deutschland, folgende Referate über die Verwendung von Krankheitsresistenzmerkmalen bei der DUS-Prüfung, wie in </w:t>
      </w:r>
      <w:r w:rsidRPr="00991487">
        <w:t xml:space="preserve">Dokument </w:t>
      </w:r>
      <w:r w:rsidR="00991487">
        <w:t>46/7</w:t>
      </w:r>
      <w:r w:rsidR="00E723E1" w:rsidRPr="00991487">
        <w:t xml:space="preserve"> wiedergegeben</w:t>
      </w:r>
      <w:r w:rsidRPr="00991487">
        <w:t xml:space="preserve"> (vergleiche Dokument TWA/46/10 „</w:t>
      </w:r>
      <w:r w:rsidRPr="00E06928">
        <w:rPr>
          <w:i/>
        </w:rPr>
        <w:t>Report</w:t>
      </w:r>
      <w:r w:rsidRPr="00991487">
        <w:t>“, Absätze 65 und 66):</w:t>
      </w:r>
    </w:p>
    <w:p w:rsidR="007175FD" w:rsidRPr="00991487" w:rsidRDefault="007175FD" w:rsidP="007175FD">
      <w:pPr>
        <w:rPr>
          <w:rStyle w:val="Hyperlink"/>
        </w:rPr>
      </w:pPr>
    </w:p>
    <w:tbl>
      <w:tblPr>
        <w:tblStyle w:val="TableGrid"/>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7175FD" w:rsidRPr="00991487" w:rsidTr="007175FD">
        <w:tc>
          <w:tcPr>
            <w:tcW w:w="8647" w:type="dxa"/>
          </w:tcPr>
          <w:p w:rsidR="007175FD" w:rsidRPr="00991487" w:rsidRDefault="007175FD" w:rsidP="007175FD">
            <w:pPr>
              <w:pStyle w:val="ListParagraph"/>
              <w:numPr>
                <w:ilvl w:val="0"/>
                <w:numId w:val="2"/>
              </w:numPr>
              <w:spacing w:before="120" w:after="120"/>
              <w:ind w:left="34" w:firstLine="0"/>
            </w:pPr>
            <w:r w:rsidRPr="00991487">
              <w:rPr>
                <w:color w:val="000000"/>
                <w:szCs w:val="24"/>
              </w:rPr>
              <w:t>„Rostresistenz als DUS-Merkmal bei Weizen“, von einem Sachverständigen aus Australien erstelltes Referat</w:t>
            </w:r>
          </w:p>
        </w:tc>
      </w:tr>
      <w:tr w:rsidR="007175FD" w:rsidRPr="00991487" w:rsidTr="007175FD">
        <w:tc>
          <w:tcPr>
            <w:tcW w:w="8647" w:type="dxa"/>
          </w:tcPr>
          <w:p w:rsidR="007175FD" w:rsidRPr="00991487" w:rsidRDefault="007175FD" w:rsidP="00666C9F">
            <w:pPr>
              <w:pStyle w:val="ListParagraph"/>
              <w:numPr>
                <w:ilvl w:val="0"/>
                <w:numId w:val="2"/>
              </w:numPr>
              <w:spacing w:before="120" w:after="120"/>
              <w:ind w:left="0" w:firstLine="0"/>
            </w:pPr>
            <w:r w:rsidRPr="00991487">
              <w:t>„Verwendung von Krankheits- und Insektenresistenzmerkmalen bei der DUS-Prüfung:  Erfahrung Brasiliens mit Sojabohnen“, von einem Sachverständigen aus Brasilien erstelltes Dokument</w:t>
            </w:r>
          </w:p>
        </w:tc>
      </w:tr>
      <w:tr w:rsidR="007175FD" w:rsidRPr="00991487" w:rsidTr="007175FD">
        <w:tc>
          <w:tcPr>
            <w:tcW w:w="8647" w:type="dxa"/>
          </w:tcPr>
          <w:p w:rsidR="007175FD" w:rsidRPr="00991487" w:rsidRDefault="007175FD" w:rsidP="00666C9F">
            <w:pPr>
              <w:pStyle w:val="ListParagraph"/>
              <w:numPr>
                <w:ilvl w:val="0"/>
                <w:numId w:val="2"/>
              </w:numPr>
              <w:spacing w:before="120" w:after="120"/>
              <w:ind w:left="0" w:firstLine="0"/>
            </w:pPr>
            <w:r w:rsidRPr="00991487">
              <w:t>„</w:t>
            </w:r>
            <w:r w:rsidRPr="00666C9F">
              <w:t>Harmonisierung von Krankheitsresistenzprüfungen für die DUS-Prüfung: „</w:t>
            </w:r>
            <w:proofErr w:type="spellStart"/>
            <w:r w:rsidRPr="00666C9F">
              <w:t>Harmores</w:t>
            </w:r>
            <w:proofErr w:type="spellEnd"/>
            <w:r w:rsidRPr="00666C9F">
              <w:t xml:space="preserve"> 2“ </w:t>
            </w:r>
            <w:r w:rsidRPr="00991487">
              <w:t>von einem Sachverständigen aus der Europäischen Union erstelltes Referat</w:t>
            </w:r>
          </w:p>
        </w:tc>
      </w:tr>
      <w:tr w:rsidR="007175FD" w:rsidRPr="00991487" w:rsidTr="007175FD">
        <w:tc>
          <w:tcPr>
            <w:tcW w:w="8647" w:type="dxa"/>
          </w:tcPr>
          <w:p w:rsidR="007175FD" w:rsidRPr="00991487" w:rsidRDefault="007175FD" w:rsidP="00991487">
            <w:pPr>
              <w:pStyle w:val="ListParagraph"/>
              <w:numPr>
                <w:ilvl w:val="0"/>
                <w:numId w:val="2"/>
              </w:numPr>
              <w:spacing w:before="120" w:after="120"/>
              <w:ind w:left="0" w:firstLine="0"/>
            </w:pPr>
            <w:r w:rsidRPr="00991487">
              <w:rPr>
                <w:snapToGrid w:val="0"/>
              </w:rPr>
              <w:t>„</w:t>
            </w:r>
            <w:r w:rsidRPr="00991487">
              <w:t>Einführungszeitraum für Resistenzmerkmale mit Sternchen in technischen CPVO-Protokollen für Gemüsearten</w:t>
            </w:r>
            <w:r w:rsidR="006A7173">
              <w:rPr>
                <w:snapToGrid w:val="0"/>
              </w:rPr>
              <w:t>“</w:t>
            </w:r>
            <w:r w:rsidRPr="00991487">
              <w:rPr>
                <w:snapToGrid w:val="0"/>
              </w:rPr>
              <w:t xml:space="preserve">, </w:t>
            </w:r>
            <w:r w:rsidRPr="00991487">
              <w:t xml:space="preserve">von einem </w:t>
            </w:r>
            <w:r w:rsidRPr="00991487">
              <w:rPr>
                <w:snapToGrid w:val="0"/>
              </w:rPr>
              <w:t xml:space="preserve">Sachverständigen aus der </w:t>
            </w:r>
            <w:r w:rsidRPr="00991487">
              <w:t>Europäischen Union erstelltes Referat</w:t>
            </w:r>
          </w:p>
        </w:tc>
      </w:tr>
    </w:tbl>
    <w:p w:rsidR="001E52BB" w:rsidRPr="00991487" w:rsidRDefault="001E52BB" w:rsidP="007175FD">
      <w:pPr>
        <w:rPr>
          <w:snapToGrid w:val="0"/>
        </w:rPr>
      </w:pPr>
    </w:p>
    <w:p w:rsidR="001E52BB" w:rsidRDefault="007175FD" w:rsidP="007175FD">
      <w:pPr>
        <w:rPr>
          <w:snapToGrid w:val="0"/>
        </w:rPr>
      </w:pPr>
      <w:r w:rsidRPr="00991487">
        <w:rPr>
          <w:snapToGrid w:val="0"/>
        </w:rPr>
        <w:fldChar w:fldCharType="begin"/>
      </w:r>
      <w:r w:rsidRPr="00991487">
        <w:rPr>
          <w:snapToGrid w:val="0"/>
        </w:rPr>
        <w:instrText xml:space="preserve"> AUTONUM  </w:instrText>
      </w:r>
      <w:r w:rsidRPr="00991487">
        <w:rPr>
          <w:snapToGrid w:val="0"/>
        </w:rPr>
        <w:fldChar w:fldCharType="end"/>
      </w:r>
      <w:r w:rsidRPr="00991487">
        <w:rPr>
          <w:snapToGrid w:val="0"/>
        </w:rPr>
        <w:tab/>
      </w:r>
      <w:r w:rsidR="00E723E1" w:rsidRPr="00991487">
        <w:rPr>
          <w:snapToGrid w:val="0"/>
        </w:rPr>
        <w:t xml:space="preserve">Die TWA nahm zur Kenntnis, </w:t>
      </w:r>
      <w:proofErr w:type="spellStart"/>
      <w:r w:rsidR="00E723E1" w:rsidRPr="00991487">
        <w:rPr>
          <w:snapToGrid w:val="0"/>
        </w:rPr>
        <w:t>daß</w:t>
      </w:r>
      <w:proofErr w:type="spellEnd"/>
      <w:r w:rsidR="00E723E1" w:rsidRPr="00991487">
        <w:rPr>
          <w:snapToGrid w:val="0"/>
        </w:rPr>
        <w:t xml:space="preserve"> Krankheits- und Insektenresistenzmerkmale, die von </w:t>
      </w:r>
      <w:proofErr w:type="gramStart"/>
      <w:r w:rsidR="00E723E1" w:rsidRPr="00991487">
        <w:rPr>
          <w:snapToGrid w:val="0"/>
        </w:rPr>
        <w:t xml:space="preserve">den </w:t>
      </w:r>
      <w:r w:rsidR="00E723E1" w:rsidRPr="00991487">
        <w:t xml:space="preserve"> Verbandsmitgliedern</w:t>
      </w:r>
      <w:proofErr w:type="gramEnd"/>
      <w:r w:rsidR="00E723E1" w:rsidRPr="00991487">
        <w:t xml:space="preserve"> </w:t>
      </w:r>
      <w:r w:rsidR="00E723E1" w:rsidRPr="00991487">
        <w:rPr>
          <w:snapToGrid w:val="0"/>
        </w:rPr>
        <w:t xml:space="preserve">in den Prüfungsrichtlinien einzelner Behörden verwendet werden, dem Verbandsbüro anhand des in Dokument TGP/5 Abschnitt 10 festgelegten Verfahrens mitgeteilt werden könnten </w:t>
      </w:r>
      <w:r w:rsidR="00E723E1" w:rsidRPr="00991487">
        <w:t>„</w:t>
      </w:r>
      <w:r w:rsidR="00E723E1" w:rsidRPr="00991487">
        <w:rPr>
          <w:snapToGrid w:val="0"/>
        </w:rPr>
        <w:t>Mitteilung zusätzlicher Merkmale und Ausprägungsstufen</w:t>
      </w:r>
      <w:r w:rsidR="00991487">
        <w:t>“</w:t>
      </w:r>
      <w:r w:rsidR="00E723E1" w:rsidRPr="00991487">
        <w:rPr>
          <w:snapToGrid w:val="0"/>
        </w:rPr>
        <w:t xml:space="preserve">. </w:t>
      </w:r>
      <w:r w:rsidRPr="00991487">
        <w:rPr>
          <w:snapToGrid w:val="0"/>
        </w:rPr>
        <w:t xml:space="preserve">Die TWA stimmte zu, </w:t>
      </w:r>
      <w:proofErr w:type="spellStart"/>
      <w:r w:rsidRPr="00991487">
        <w:rPr>
          <w:snapToGrid w:val="0"/>
        </w:rPr>
        <w:t>daß</w:t>
      </w:r>
      <w:proofErr w:type="spellEnd"/>
      <w:r w:rsidRPr="00991487">
        <w:rPr>
          <w:snapToGrid w:val="0"/>
        </w:rPr>
        <w:t xml:space="preserve"> es viele Anforderungen gebe, die berücksichtigt werden sollten, bevor die Aufnahme von Krankheit</w:t>
      </w:r>
      <w:r w:rsidR="00B83035">
        <w:rPr>
          <w:snapToGrid w:val="0"/>
        </w:rPr>
        <w:t>sresistenzmerkmalen in die UPOV</w:t>
      </w:r>
      <w:r w:rsidR="00B83035">
        <w:rPr>
          <w:snapToGrid w:val="0"/>
        </w:rPr>
        <w:noBreakHyphen/>
      </w:r>
      <w:r w:rsidRPr="00991487">
        <w:rPr>
          <w:snapToGrid w:val="0"/>
        </w:rPr>
        <w:t>Prüfungsrichtlinien für landwirtschaftliche Pflanzen in Betracht gezogen werden könne.</w:t>
      </w:r>
      <w:r>
        <w:rPr>
          <w:snapToGrid w:val="0"/>
        </w:rPr>
        <w:t xml:space="preserve"> </w:t>
      </w:r>
    </w:p>
    <w:p w:rsidR="001E52BB" w:rsidRDefault="001E52BB" w:rsidP="007175FD"/>
    <w:p w:rsidR="001E52BB" w:rsidRDefault="007175FD" w:rsidP="007175FD">
      <w:pPr>
        <w:keepNext/>
      </w:pPr>
      <w:r w:rsidRPr="00C27AE7">
        <w:fldChar w:fldCharType="begin"/>
      </w:r>
      <w:r w:rsidRPr="00C27AE7">
        <w:instrText xml:space="preserve"> AUTONUM  </w:instrText>
      </w:r>
      <w:r w:rsidRPr="00C27AE7">
        <w:fldChar w:fldCharType="end"/>
      </w:r>
      <w:r>
        <w:tab/>
        <w:t xml:space="preserve">Die TWV prüfte auf ihrer einundfünfzigsten Tagung vom 3. bis 7. Juli 2017 in </w:t>
      </w:r>
      <w:proofErr w:type="spellStart"/>
      <w:r>
        <w:t>Roelofarendsveen</w:t>
      </w:r>
      <w:proofErr w:type="spellEnd"/>
      <w:r>
        <w:t xml:space="preserve">, Niederlande,  das Dokument </w:t>
      </w:r>
      <w:hyperlink r:id="rId14" w:history="1">
        <w:r>
          <w:rPr>
            <w:rStyle w:val="Hyperlink"/>
          </w:rPr>
          <w:t>TWV/51/12</w:t>
        </w:r>
      </w:hyperlink>
      <w:r>
        <w:t xml:space="preserve"> „Neue Fragen, die sich für die DUS-Prüfung ergeben“ (vergleiche Dokument TWV/51/16 „</w:t>
      </w:r>
      <w:r w:rsidRPr="00E06928">
        <w:rPr>
          <w:i/>
        </w:rPr>
        <w:t>Report</w:t>
      </w:r>
      <w:r>
        <w:t>“, Absätze 83 bis 89).</w:t>
      </w:r>
    </w:p>
    <w:p w:rsidR="001E52BB" w:rsidRDefault="001E52BB" w:rsidP="007175FD">
      <w:pPr>
        <w:keepNext/>
      </w:pPr>
    </w:p>
    <w:p w:rsidR="001E52BB" w:rsidRDefault="007175FD" w:rsidP="001E52BB">
      <w:r w:rsidRPr="00C27AE7">
        <w:fldChar w:fldCharType="begin"/>
      </w:r>
      <w:r w:rsidRPr="00C27AE7">
        <w:instrText xml:space="preserve"> AUTONUM  </w:instrText>
      </w:r>
      <w:r w:rsidRPr="00C27AE7">
        <w:fldChar w:fldCharType="end"/>
      </w:r>
      <w:r>
        <w:tab/>
        <w:t>Die TWV hörte auf ihrer einundfünfzigsten Tagung ein Referat über die „Verwendung von Krankheits- und Insektenresistenzmerkmalen bei der DUS-Prüfung“ von einem Sachverständigen aus Frankreich</w:t>
      </w:r>
      <w:r w:rsidR="00E723E1">
        <w:t xml:space="preserve">. </w:t>
      </w:r>
      <w:r>
        <w:t>Dieses Referat ist in Anlage I des Dokuments </w:t>
      </w:r>
      <w:hyperlink r:id="rId15" w:history="1">
        <w:r w:rsidRPr="00B83035">
          <w:rPr>
            <w:rStyle w:val="Hyperlink"/>
          </w:rPr>
          <w:t>TWF/51/12 Add.</w:t>
        </w:r>
      </w:hyperlink>
      <w:r>
        <w:t xml:space="preserve"> wiedergegeben.</w:t>
      </w:r>
    </w:p>
    <w:p w:rsidR="001E52BB" w:rsidRDefault="001E52BB" w:rsidP="007175FD"/>
    <w:p w:rsidR="001E52BB" w:rsidRPr="00991487" w:rsidRDefault="007175FD" w:rsidP="007175FD">
      <w:r w:rsidRPr="00C27AE7">
        <w:fldChar w:fldCharType="begin"/>
      </w:r>
      <w:r w:rsidRPr="00C27AE7">
        <w:instrText xml:space="preserve"> AUTONUM  </w:instrText>
      </w:r>
      <w:r w:rsidRPr="00C27AE7">
        <w:fldChar w:fldCharType="end"/>
      </w:r>
      <w:r>
        <w:tab/>
      </w:r>
      <w:r w:rsidRPr="00991487">
        <w:t xml:space="preserve">Die TWV nahm auf ihrer einundfünfzigsten Tagung die Möglichkeiten zur Verwendung von Methoden zur Kenntnis, die Krankheitsresistenzprüfungen für die DUS-Prüfung verbessern könnten, selbst wenn sie durch geistige Eigentumsrechte (z.B. Patent) geschützt </w:t>
      </w:r>
      <w:r w:rsidR="00E723E1" w:rsidRPr="00991487">
        <w:t>sind,</w:t>
      </w:r>
      <w:r w:rsidRPr="00991487">
        <w:t xml:space="preserve"> vorausgesetzt die Methoden stehen allen Mitgliedern für die DUS-Prüfung zur Verfügung. </w:t>
      </w:r>
    </w:p>
    <w:p w:rsidR="001E52BB" w:rsidRPr="00991487" w:rsidRDefault="001E52BB" w:rsidP="007175FD"/>
    <w:p w:rsidR="001E52BB" w:rsidRPr="00991487" w:rsidRDefault="007175FD" w:rsidP="001E52BB">
      <w:r w:rsidRPr="00991487">
        <w:lastRenderedPageBreak/>
        <w:fldChar w:fldCharType="begin"/>
      </w:r>
      <w:r w:rsidRPr="00991487">
        <w:instrText xml:space="preserve"> AUTONUM  </w:instrText>
      </w:r>
      <w:r w:rsidRPr="00991487">
        <w:fldChar w:fldCharType="end"/>
      </w:r>
      <w:r w:rsidRPr="00991487">
        <w:tab/>
        <w:t>Die TWV hörte auf ihrer einundfünfzigsten Tagung ein Referat über die „Verbesserung der Bewertung der Resistenz von Kürbis gegen drei Viren und das CORKYRES-Projekt“ von einem Sachverständigen aus Frankreich</w:t>
      </w:r>
      <w:r w:rsidR="00E723E1" w:rsidRPr="00991487">
        <w:t xml:space="preserve">. </w:t>
      </w:r>
      <w:r w:rsidRPr="00991487">
        <w:t>Dieses Referat ist in Anlage II des Dokuments </w:t>
      </w:r>
      <w:hyperlink r:id="rId16" w:history="1">
        <w:r w:rsidRPr="00B83035">
          <w:rPr>
            <w:rStyle w:val="Hyperlink"/>
          </w:rPr>
          <w:t>TWF/51/12 Add.</w:t>
        </w:r>
      </w:hyperlink>
      <w:r w:rsidRPr="00991487">
        <w:t xml:space="preserve"> wiedergegeben.</w:t>
      </w:r>
    </w:p>
    <w:p w:rsidR="001E52BB" w:rsidRPr="00991487" w:rsidRDefault="001E52BB" w:rsidP="007175FD"/>
    <w:p w:rsidR="001E52BB" w:rsidRPr="00991487" w:rsidRDefault="007175FD" w:rsidP="007175FD">
      <w:r w:rsidRPr="00991487">
        <w:fldChar w:fldCharType="begin"/>
      </w:r>
      <w:r w:rsidRPr="00991487">
        <w:instrText xml:space="preserve"> AUTONUM  </w:instrText>
      </w:r>
      <w:r w:rsidRPr="00991487">
        <w:fldChar w:fldCharType="end"/>
      </w:r>
      <w:r w:rsidRPr="00991487">
        <w:tab/>
        <w:t xml:space="preserve">Die TWV vereinbarte auf ihrer einundfünfzigsten Tagung, </w:t>
      </w:r>
      <w:proofErr w:type="spellStart"/>
      <w:r w:rsidRPr="00991487">
        <w:t>daß</w:t>
      </w:r>
      <w:proofErr w:type="spellEnd"/>
      <w:r w:rsidRPr="00991487">
        <w:t xml:space="preserve"> es vor der Überarbeitung von Prüfungsrichtlinien wichtig sei, eine Einigung der Sachverständigen auf Ebene der Resistenz und möglicher Zwischenstufen von Resistenz zu erzielen. In dieser Hinsicht regte die TWV gemeinschaftliches Arbeiten unter Sachverständigen an, um eine gemeinsame Einigung über wichtige Angelegenheiten, wie etwa Standardsorten für Schwellenwerte bei Krankheitsresistenzprüfungen, zu gewährleisten, um eine Harmonisierung auf UPOV-Ebene sicherzustellen.</w:t>
      </w:r>
    </w:p>
    <w:p w:rsidR="001E52BB" w:rsidRPr="00991487" w:rsidRDefault="001E52BB" w:rsidP="007175FD"/>
    <w:p w:rsidR="001E52BB" w:rsidRPr="00991487" w:rsidRDefault="007175FD" w:rsidP="007175FD">
      <w:r w:rsidRPr="00991487">
        <w:fldChar w:fldCharType="begin"/>
      </w:r>
      <w:r w:rsidRPr="00991487">
        <w:instrText xml:space="preserve"> AUTONUM  </w:instrText>
      </w:r>
      <w:r w:rsidRPr="00991487">
        <w:fldChar w:fldCharType="end"/>
      </w:r>
      <w:r w:rsidRPr="00991487">
        <w:tab/>
        <w:t xml:space="preserve">Die TWV war sich auf ihrer einundfünfzigsten Tagung im Hinblick auf die Bedeutung der Verwendung und Verfügbarkeit von Standardsorten, die zur Festlegung von Grenzwerten zwischen verschiedenen </w:t>
      </w:r>
      <w:r w:rsidR="00E723E1" w:rsidRPr="00991487">
        <w:t>Krankheitstoleranzgraden</w:t>
      </w:r>
      <w:r w:rsidRPr="00991487">
        <w:t xml:space="preserve"> verwendet werden, einig</w:t>
      </w:r>
      <w:r w:rsidR="00E723E1" w:rsidRPr="00991487">
        <w:t xml:space="preserve">. </w:t>
      </w:r>
      <w:r w:rsidRPr="00991487">
        <w:t xml:space="preserve">Sie kam ferner darin überein, </w:t>
      </w:r>
      <w:proofErr w:type="spellStart"/>
      <w:r w:rsidRPr="00991487">
        <w:t>daß</w:t>
      </w:r>
      <w:proofErr w:type="spellEnd"/>
      <w:r w:rsidRPr="00991487">
        <w:t xml:space="preserve"> im Falle einer quantitativen Resistenz solche Standardsorten nicht mit den Beispielsorten, die eine Ausprägungsstufe repräsentieren, verwechselt werden sollten.</w:t>
      </w:r>
    </w:p>
    <w:p w:rsidR="001E52BB" w:rsidRPr="00991487" w:rsidRDefault="001E52BB" w:rsidP="007175FD"/>
    <w:p w:rsidR="001E52BB" w:rsidRPr="00991487" w:rsidRDefault="007175FD" w:rsidP="007175FD">
      <w:r w:rsidRPr="00991487">
        <w:fldChar w:fldCharType="begin"/>
      </w:r>
      <w:r w:rsidRPr="00991487">
        <w:instrText xml:space="preserve"> AUTONUM  </w:instrText>
      </w:r>
      <w:r w:rsidRPr="00991487">
        <w:fldChar w:fldCharType="end"/>
      </w:r>
      <w:r w:rsidRPr="00991487">
        <w:tab/>
      </w:r>
      <w:r w:rsidR="00E723E1" w:rsidRPr="00991487">
        <w:t xml:space="preserve">Die TWV war sich auf ihrer einundfünfzigsten Tagung darin einig, </w:t>
      </w:r>
      <w:proofErr w:type="spellStart"/>
      <w:r w:rsidR="00E723E1" w:rsidRPr="00991487">
        <w:t>daß</w:t>
      </w:r>
      <w:proofErr w:type="spellEnd"/>
      <w:r w:rsidR="00E723E1" w:rsidRPr="00991487">
        <w:t xml:space="preserve"> es wichtig sei, über aktuelle Arbeiten oder Projekte zu Krankheitsresistenzprüfungen zwischen Sachverständigen und DUS</w:t>
      </w:r>
      <w:r w:rsidR="00896E18">
        <w:noBreakHyphen/>
      </w:r>
      <w:r w:rsidR="00E723E1" w:rsidRPr="00991487">
        <w:t>Prüfungsstellen zu berichten, um die Sachverständigen auf UPOV-Ebene auf dem Laufenden zu halten, und begrüßte daher alle neuen auf einer späteren Tagung zu haltenden Referate.</w:t>
      </w:r>
    </w:p>
    <w:p w:rsidR="001E52BB" w:rsidRPr="00991487" w:rsidRDefault="001E52BB" w:rsidP="007175FD"/>
    <w:p w:rsidR="001E52BB" w:rsidRPr="00991487" w:rsidRDefault="007175FD" w:rsidP="007175FD">
      <w:pPr>
        <w:keepNext/>
      </w:pPr>
      <w:r w:rsidRPr="00991487">
        <w:fldChar w:fldCharType="begin"/>
      </w:r>
      <w:r w:rsidRPr="00991487">
        <w:instrText xml:space="preserve"> AUTONUM  </w:instrText>
      </w:r>
      <w:r w:rsidRPr="00991487">
        <w:fldChar w:fldCharType="end"/>
      </w:r>
      <w:r w:rsidRPr="00991487">
        <w:tab/>
      </w:r>
      <w:r w:rsidR="00E723E1" w:rsidRPr="00991487">
        <w:t xml:space="preserve">Die TWV hörte auf ihrer zweiundfünfzigsten Tagung vom 17. bis 21. September 2018 in Peking, China, folgende Referate von einem Sachverständigen aus Frankreich, von denen Kopien in Dokument </w:t>
      </w:r>
      <w:hyperlink r:id="rId17" w:history="1">
        <w:r w:rsidR="00E723E1" w:rsidRPr="00991487">
          <w:rPr>
            <w:rStyle w:val="Hyperlink"/>
          </w:rPr>
          <w:t>TWV/52/13</w:t>
        </w:r>
      </w:hyperlink>
      <w:r w:rsidR="00E723E1" w:rsidRPr="00991487">
        <w:t xml:space="preserve"> „Neue Fragen, die sich für die DUS-Prüfung ergeben“</w:t>
      </w:r>
      <w:r w:rsidR="00991487">
        <w:t xml:space="preserve"> enthalten sind</w:t>
      </w:r>
      <w:r w:rsidR="00E723E1" w:rsidRPr="00991487">
        <w:t xml:space="preserve"> (vergleiche Dokument TWV/52/20 „</w:t>
      </w:r>
      <w:r w:rsidR="00E723E1" w:rsidRPr="00E06928">
        <w:rPr>
          <w:i/>
        </w:rPr>
        <w:t>Report</w:t>
      </w:r>
      <w:r w:rsidR="00E723E1" w:rsidRPr="00991487">
        <w:t>“, Absätze 50 bis 53):</w:t>
      </w:r>
    </w:p>
    <w:p w:rsidR="001E52BB" w:rsidRPr="00991487" w:rsidRDefault="001E52BB" w:rsidP="007175FD">
      <w:pPr>
        <w:keepNext/>
      </w:pPr>
    </w:p>
    <w:p w:rsidR="001E52BB" w:rsidRPr="00991487" w:rsidRDefault="007175FD" w:rsidP="007175FD">
      <w:pPr>
        <w:pStyle w:val="ListParagraph"/>
        <w:numPr>
          <w:ilvl w:val="0"/>
          <w:numId w:val="9"/>
        </w:numPr>
      </w:pPr>
      <w:r w:rsidRPr="00991487">
        <w:t xml:space="preserve">„MILAROM-Projekt:  Studie über Falschen Mehltau, der durch </w:t>
      </w:r>
      <w:r w:rsidRPr="00991487">
        <w:rPr>
          <w:i/>
        </w:rPr>
        <w:t xml:space="preserve">Peronospora </w:t>
      </w:r>
      <w:proofErr w:type="spellStart"/>
      <w:r w:rsidRPr="00991487">
        <w:rPr>
          <w:i/>
        </w:rPr>
        <w:t>belbahrii</w:t>
      </w:r>
      <w:proofErr w:type="spellEnd"/>
      <w:r w:rsidRPr="00991487">
        <w:t xml:space="preserve"> auf Basilikum in Frankreich verursacht wird”</w:t>
      </w:r>
    </w:p>
    <w:p w:rsidR="001E52BB" w:rsidRPr="00991487" w:rsidRDefault="007175FD" w:rsidP="007175FD">
      <w:pPr>
        <w:pStyle w:val="ListParagraph"/>
        <w:numPr>
          <w:ilvl w:val="0"/>
          <w:numId w:val="9"/>
        </w:numPr>
      </w:pPr>
      <w:r w:rsidRPr="00991487">
        <w:t>„</w:t>
      </w:r>
      <w:proofErr w:type="spellStart"/>
      <w:r w:rsidRPr="00991487">
        <w:t>Pathotypisierung</w:t>
      </w:r>
      <w:proofErr w:type="spellEnd"/>
      <w:r w:rsidRPr="00991487">
        <w:t xml:space="preserve"> des </w:t>
      </w:r>
      <w:proofErr w:type="spellStart"/>
      <w:r w:rsidRPr="00991487">
        <w:t>Netzmelonennekrosefleckenvirus</w:t>
      </w:r>
      <w:proofErr w:type="spellEnd"/>
      <w:r w:rsidRPr="00991487">
        <w:t xml:space="preserve"> (MNSV) bei Melone“</w:t>
      </w:r>
    </w:p>
    <w:p w:rsidR="001E52BB" w:rsidRPr="00991487" w:rsidRDefault="007175FD" w:rsidP="007175FD">
      <w:pPr>
        <w:pStyle w:val="ListParagraph"/>
        <w:numPr>
          <w:ilvl w:val="0"/>
          <w:numId w:val="9"/>
        </w:numPr>
      </w:pPr>
      <w:r w:rsidRPr="00991487">
        <w:t>„</w:t>
      </w:r>
      <w:proofErr w:type="spellStart"/>
      <w:r w:rsidRPr="00991487">
        <w:rPr>
          <w:i/>
        </w:rPr>
        <w:t>Meloidogyne</w:t>
      </w:r>
      <w:proofErr w:type="spellEnd"/>
      <w:r w:rsidRPr="00991487">
        <w:rPr>
          <w:i/>
        </w:rPr>
        <w:t xml:space="preserve"> incognita</w:t>
      </w:r>
      <w:r w:rsidRPr="00991487">
        <w:t xml:space="preserve"> Krankheitsresistenz-Prüfungsprotokoll für Paprika”</w:t>
      </w:r>
    </w:p>
    <w:p w:rsidR="001E52BB" w:rsidRPr="00991487" w:rsidRDefault="007175FD" w:rsidP="007175FD">
      <w:pPr>
        <w:pStyle w:val="ListParagraph"/>
        <w:numPr>
          <w:ilvl w:val="0"/>
          <w:numId w:val="9"/>
        </w:numPr>
      </w:pPr>
      <w:r w:rsidRPr="00991487">
        <w:t>„</w:t>
      </w:r>
      <w:proofErr w:type="spellStart"/>
      <w:r w:rsidRPr="00991487">
        <w:rPr>
          <w:i/>
        </w:rPr>
        <w:t>Pyrenochaeta</w:t>
      </w:r>
      <w:proofErr w:type="spellEnd"/>
      <w:r w:rsidRPr="00991487">
        <w:rPr>
          <w:i/>
        </w:rPr>
        <w:t xml:space="preserve"> </w:t>
      </w:r>
      <w:proofErr w:type="spellStart"/>
      <w:r w:rsidRPr="00991487">
        <w:rPr>
          <w:i/>
        </w:rPr>
        <w:t>lycopersici</w:t>
      </w:r>
      <w:proofErr w:type="spellEnd"/>
      <w:r w:rsidRPr="00991487">
        <w:t xml:space="preserve">, </w:t>
      </w:r>
      <w:r w:rsidR="00E723E1" w:rsidRPr="00991487">
        <w:t>Verursacher</w:t>
      </w:r>
      <w:r w:rsidRPr="00991487">
        <w:t xml:space="preserve"> der Korkwurzelkrankheit bei Tomate / RT Tomate - FR Prüfungsprotokoll“</w:t>
      </w:r>
    </w:p>
    <w:p w:rsidR="001E52BB" w:rsidRPr="00991487" w:rsidRDefault="001E52BB" w:rsidP="007175FD"/>
    <w:p w:rsidR="001E52BB" w:rsidRPr="00991487" w:rsidRDefault="007175FD" w:rsidP="007175FD">
      <w:r w:rsidRPr="00991487">
        <w:fldChar w:fldCharType="begin"/>
      </w:r>
      <w:r w:rsidRPr="00991487">
        <w:instrText xml:space="preserve"> AUTONUM  </w:instrText>
      </w:r>
      <w:r w:rsidRPr="00991487">
        <w:fldChar w:fldCharType="end"/>
      </w:r>
      <w:r w:rsidRPr="00991487">
        <w:tab/>
        <w:t xml:space="preserve">Die TWV stimmte auf ihrer zweiundfünfzigsten Tagung darin überein, </w:t>
      </w:r>
      <w:proofErr w:type="spellStart"/>
      <w:r w:rsidRPr="00991487">
        <w:t>daß</w:t>
      </w:r>
      <w:proofErr w:type="spellEnd"/>
      <w:r w:rsidRPr="00991487">
        <w:t xml:space="preserve"> es angesichts der zunehmenden Verwendung von Krankheitsresistenzmerkmalen bei der DUS-Prüfung von Gemüse sinnvoll wäre, einen neuen Tagesordnungspunkt in dieser Hinsicht hinzuzufügen. Insbesondere schlug sie vor, Referate aus Frankreich, den Niederlanden, dem ISF und allen anderen Mitgliedern und Beobachtern zum Thema Standardisierung der Methodik einzuladen, um die verschiedenen, von Pathologen, Züchtern und DUS-Prüfern verwendeten Ansätze besser zu verstehen.</w:t>
      </w:r>
    </w:p>
    <w:p w:rsidR="001E52BB" w:rsidRPr="00991487" w:rsidRDefault="001E52BB" w:rsidP="007175FD"/>
    <w:p w:rsidR="001E52BB" w:rsidRPr="00991487" w:rsidRDefault="007175FD" w:rsidP="007175FD">
      <w:r w:rsidRPr="00991487">
        <w:fldChar w:fldCharType="begin"/>
      </w:r>
      <w:r w:rsidRPr="00991487">
        <w:instrText xml:space="preserve"> AUTONUM  </w:instrText>
      </w:r>
      <w:r w:rsidRPr="00991487">
        <w:fldChar w:fldCharType="end"/>
      </w:r>
      <w:r w:rsidRPr="00991487">
        <w:tab/>
        <w:t xml:space="preserve">Die TWV hörte auf ihrer zweiundfünfzigsten Tagung ein </w:t>
      </w:r>
      <w:r w:rsidR="00E723E1" w:rsidRPr="00991487">
        <w:t>Referat über</w:t>
      </w:r>
      <w:r w:rsidRPr="00991487">
        <w:t xml:space="preserve"> „</w:t>
      </w:r>
      <w:r w:rsidR="00E723E1" w:rsidRPr="00991487">
        <w:t>Abweichende</w:t>
      </w:r>
      <w:r w:rsidRPr="00991487">
        <w:t xml:space="preserve"> Phänotypen bei </w:t>
      </w:r>
      <w:proofErr w:type="spellStart"/>
      <w:r w:rsidRPr="00991487">
        <w:rPr>
          <w:i/>
        </w:rPr>
        <w:t>Brassica</w:t>
      </w:r>
      <w:proofErr w:type="spellEnd"/>
      <w:r w:rsidRPr="00991487">
        <w:rPr>
          <w:i/>
        </w:rPr>
        <w:t xml:space="preserve"> </w:t>
      </w:r>
      <w:proofErr w:type="spellStart"/>
      <w:r w:rsidRPr="00991487">
        <w:rPr>
          <w:i/>
        </w:rPr>
        <w:t>oleracea</w:t>
      </w:r>
      <w:proofErr w:type="spellEnd"/>
      <w:r w:rsidRPr="00991487">
        <w:t xml:space="preserve"> </w:t>
      </w:r>
      <w:proofErr w:type="spellStart"/>
      <w:r w:rsidRPr="00991487">
        <w:t>var</w:t>
      </w:r>
      <w:proofErr w:type="spellEnd"/>
      <w:r w:rsidRPr="00991487">
        <w:t xml:space="preserve">. </w:t>
      </w:r>
      <w:proofErr w:type="spellStart"/>
      <w:r w:rsidRPr="00991487">
        <w:rPr>
          <w:i/>
        </w:rPr>
        <w:t>botrytis</w:t>
      </w:r>
      <w:proofErr w:type="spellEnd"/>
      <w:r w:rsidRPr="00991487">
        <w:t xml:space="preserve">“ von einem Sachverständigen aus Frankreich, von dem eine Kopie als Ergänzung zu Dokument TWV/52/13 zur Verfügung gestellt werde. Die TWV nahm die Ergebnisse der in Frankreich und in der Tschechischen Republik, den Niederlanden und in Spanien durchgeführten Studie über </w:t>
      </w:r>
      <w:proofErr w:type="spellStart"/>
      <w:r w:rsidRPr="00991487">
        <w:t>Abweicher</w:t>
      </w:r>
      <w:proofErr w:type="spellEnd"/>
      <w:r w:rsidRPr="00991487">
        <w:t xml:space="preserve">-Pflanzen in DUS-Prüfungen von Blumenkohl, die nicht als eine bestimmte Art von </w:t>
      </w:r>
      <w:proofErr w:type="spellStart"/>
      <w:r w:rsidRPr="00991487">
        <w:t>Abweichern</w:t>
      </w:r>
      <w:proofErr w:type="spellEnd"/>
      <w:r w:rsidRPr="00991487">
        <w:t xml:space="preserve"> gelten, und die möglichen Maßnahmen zur Beurteilung der Homogenität zur Kenntnis. Die TWV war sich darin einig, </w:t>
      </w:r>
      <w:proofErr w:type="spellStart"/>
      <w:r w:rsidRPr="00991487">
        <w:t>daß</w:t>
      </w:r>
      <w:proofErr w:type="spellEnd"/>
      <w:r w:rsidRPr="00991487">
        <w:t xml:space="preserve"> das Problem vorerst nicht auf internationaler Ebene relevant sei, forderte aber alle DUS-Prüfer auf, ein möglicherweise ähnliches Verhalten an Pflanzen zu beobachten und der TWV gegebenenfalls Bericht zu erstatten.</w:t>
      </w:r>
    </w:p>
    <w:p w:rsidR="001E52BB" w:rsidRPr="00991487" w:rsidRDefault="001E52BB" w:rsidP="007175FD"/>
    <w:p w:rsidR="001E52BB" w:rsidRPr="00991487" w:rsidRDefault="007175FD" w:rsidP="007175FD">
      <w:r w:rsidRPr="00991487">
        <w:fldChar w:fldCharType="begin"/>
      </w:r>
      <w:r w:rsidRPr="00991487">
        <w:instrText xml:space="preserve"> AUTONUM  </w:instrText>
      </w:r>
      <w:r w:rsidRPr="00991487">
        <w:fldChar w:fldCharType="end"/>
      </w:r>
      <w:r w:rsidRPr="00991487">
        <w:tab/>
        <w:t xml:space="preserve">Die TWV nahm auf ihrer zweiundfünfzigsten Tagung zur Kenntnis, </w:t>
      </w:r>
      <w:proofErr w:type="spellStart"/>
      <w:r w:rsidRPr="00991487">
        <w:t>daß</w:t>
      </w:r>
      <w:proofErr w:type="spellEnd"/>
      <w:r w:rsidRPr="00991487">
        <w:t xml:space="preserve"> der Vertreter von </w:t>
      </w:r>
      <w:proofErr w:type="spellStart"/>
      <w:r w:rsidRPr="00991487">
        <w:t>Crop</w:t>
      </w:r>
      <w:proofErr w:type="spellEnd"/>
      <w:r w:rsidRPr="00991487">
        <w:t xml:space="preserve"> Life International Mitglieder von </w:t>
      </w:r>
      <w:proofErr w:type="spellStart"/>
      <w:r w:rsidRPr="00991487">
        <w:t>Crop</w:t>
      </w:r>
      <w:proofErr w:type="spellEnd"/>
      <w:r w:rsidRPr="00991487">
        <w:t xml:space="preserve"> Life International konsultieren werde, um zu beurteilen, ob das Problem bei Pflanzenzüchtungsprogrammen weltweit von Bedeutung ist.</w:t>
      </w:r>
    </w:p>
    <w:p w:rsidR="001E52BB" w:rsidRPr="00991487" w:rsidRDefault="001E52BB" w:rsidP="003868E1"/>
    <w:p w:rsidR="001E52BB" w:rsidRDefault="003868E1" w:rsidP="003868E1">
      <w:pPr>
        <w:ind w:left="4820"/>
        <w:rPr>
          <w:i/>
        </w:rPr>
      </w:pPr>
      <w:r w:rsidRPr="00991487">
        <w:rPr>
          <w:i/>
        </w:rPr>
        <w:fldChar w:fldCharType="begin"/>
      </w:r>
      <w:r w:rsidRPr="00991487">
        <w:rPr>
          <w:i/>
        </w:rPr>
        <w:instrText xml:space="preserve"> AUTONUM  </w:instrText>
      </w:r>
      <w:r w:rsidRPr="00991487">
        <w:rPr>
          <w:i/>
        </w:rPr>
        <w:fldChar w:fldCharType="end"/>
      </w:r>
      <w:r w:rsidRPr="00991487">
        <w:rPr>
          <w:i/>
        </w:rPr>
        <w:tab/>
      </w:r>
      <w:r w:rsidRPr="00991487">
        <w:rPr>
          <w:i/>
        </w:rPr>
        <w:tab/>
        <w:t xml:space="preserve">Der TC wird ersucht, Erörterungen über Krankheitsresistenzmerkmale bei der DUS-Prüfung von den TWP auf ihren Tagungen in den Jahren 2017 und 2018 in Erwägung zu ziehen, wie in </w:t>
      </w:r>
      <w:r w:rsidRPr="00896E18">
        <w:rPr>
          <w:i/>
        </w:rPr>
        <w:t>den Absätzen 43 bis 55 dieses Dokuments dargelegt;</w:t>
      </w:r>
    </w:p>
    <w:p w:rsidR="001E52BB" w:rsidRDefault="001E52BB" w:rsidP="00606D31"/>
    <w:p w:rsidR="001E52BB" w:rsidRDefault="001E52BB" w:rsidP="00606D31"/>
    <w:p w:rsidR="001E52BB" w:rsidRDefault="001E52BB" w:rsidP="001E52BB">
      <w:pPr>
        <w:pStyle w:val="Heading1"/>
      </w:pPr>
      <w:bookmarkStart w:id="10" w:name="_Toc527980861"/>
      <w:r>
        <w:lastRenderedPageBreak/>
        <w:t>Angelegenheiten zur Information</w:t>
      </w:r>
      <w:bookmarkEnd w:id="10"/>
    </w:p>
    <w:p w:rsidR="001E52BB" w:rsidRDefault="001E52BB" w:rsidP="00810D62"/>
    <w:p w:rsidR="001E52BB" w:rsidRDefault="001E52BB" w:rsidP="001E52BB">
      <w:pPr>
        <w:pStyle w:val="Heading2"/>
      </w:pPr>
      <w:bookmarkStart w:id="11" w:name="_Toc527980862"/>
      <w:r>
        <w:t>Erfahrungen mit neuen Typen und Arten</w:t>
      </w:r>
      <w:bookmarkEnd w:id="11"/>
    </w:p>
    <w:p w:rsidR="001E52BB" w:rsidRDefault="001E52BB" w:rsidP="00810D62"/>
    <w:p w:rsidR="001E52BB" w:rsidRDefault="001E52BB" w:rsidP="001E52BB">
      <w:pPr>
        <w:pStyle w:val="Heading3"/>
      </w:pPr>
      <w:bookmarkStart w:id="12" w:name="_Toc527980863"/>
      <w:r>
        <w:t>Technische Arbeitsgruppe für Zierpflanzen und forstliche Baumarten</w:t>
      </w:r>
      <w:bookmarkEnd w:id="12"/>
    </w:p>
    <w:p w:rsidR="001E52BB" w:rsidRDefault="001E52BB" w:rsidP="00810D62"/>
    <w:p w:rsidR="001E52BB" w:rsidRPr="00A768A1" w:rsidRDefault="00810D62" w:rsidP="00810D62">
      <w:r w:rsidRPr="00C27AE7">
        <w:fldChar w:fldCharType="begin"/>
      </w:r>
      <w:r w:rsidRPr="00C27AE7">
        <w:instrText xml:space="preserve"> AUTONUM  </w:instrText>
      </w:r>
      <w:r w:rsidRPr="00C27AE7">
        <w:fldChar w:fldCharType="end"/>
      </w:r>
      <w:r>
        <w:tab/>
      </w:r>
      <w:r w:rsidRPr="00A768A1">
        <w:rPr>
          <w:snapToGrid w:val="0"/>
        </w:rPr>
        <w:t>Die TW</w:t>
      </w:r>
      <w:r w:rsidRPr="00A768A1">
        <w:t xml:space="preserve">O hörte auf ihrer fünfzigsten Tagung vom 11. bis 15. September 2017 in Victoria, Kanada, ein Referat über „Schwierigkeiten bei der Anwendung der </w:t>
      </w:r>
      <w:r w:rsidRPr="00A768A1">
        <w:rPr>
          <w:snapToGrid w:val="0"/>
        </w:rPr>
        <w:t xml:space="preserve">TG/296/1 </w:t>
      </w:r>
      <w:proofErr w:type="spellStart"/>
      <w:r w:rsidRPr="00A768A1">
        <w:rPr>
          <w:snapToGrid w:val="0"/>
        </w:rPr>
        <w:t>Eucalyptus</w:t>
      </w:r>
      <w:proofErr w:type="spellEnd"/>
      <w:r w:rsidRPr="00A768A1">
        <w:rPr>
          <w:snapToGrid w:val="0"/>
        </w:rPr>
        <w:t>” von einem Sachverständigen aus der Europäischen Union</w:t>
      </w:r>
      <w:r w:rsidRPr="00A768A1">
        <w:t xml:space="preserve">, wie in Dokument </w:t>
      </w:r>
      <w:hyperlink r:id="rId18" w:history="1">
        <w:r w:rsidRPr="00A768A1">
          <w:rPr>
            <w:rStyle w:val="Hyperlink"/>
          </w:rPr>
          <w:t>TWO/50/10</w:t>
        </w:r>
      </w:hyperlink>
      <w:r w:rsidRPr="00A768A1">
        <w:t xml:space="preserve"> wiedergegeben</w:t>
      </w:r>
      <w:r w:rsidR="00E723E1" w:rsidRPr="00A768A1">
        <w:t xml:space="preserve">. </w:t>
      </w:r>
      <w:r w:rsidRPr="00A768A1">
        <w:t>Die TWO nahm die berichteten praktischen Schwierigkeiten mit dem Anwendungsbereich der Prüfungsrichtlinie und der Gesamtdauer von Prüfungen zur Kenntnis</w:t>
      </w:r>
      <w:r w:rsidR="00E723E1" w:rsidRPr="00A768A1">
        <w:t xml:space="preserve">. </w:t>
      </w:r>
      <w:r w:rsidRPr="00A768A1">
        <w:t xml:space="preserve">Die TWO nahm zur Kenntnis, </w:t>
      </w:r>
      <w:proofErr w:type="spellStart"/>
      <w:r w:rsidRPr="00A768A1">
        <w:t>daß</w:t>
      </w:r>
      <w:proofErr w:type="spellEnd"/>
      <w:r w:rsidRPr="00A768A1">
        <w:t xml:space="preserve"> die Europäische Union regionale Prüfungsrichtlinien für die Pflanze erstellen werde,</w:t>
      </w:r>
      <w:r w:rsidR="00A768A1">
        <w:t xml:space="preserve"> wobei sie sich auf die Beurteil</w:t>
      </w:r>
      <w:r w:rsidRPr="00A768A1">
        <w:t>ung junger Merkmale konzentrieren werde</w:t>
      </w:r>
      <w:r w:rsidR="00E723E1" w:rsidRPr="00A768A1">
        <w:t xml:space="preserve">. </w:t>
      </w:r>
    </w:p>
    <w:p w:rsidR="001E52BB" w:rsidRPr="00A768A1" w:rsidRDefault="001E52BB" w:rsidP="00810D62"/>
    <w:p w:rsidR="001E52BB" w:rsidRPr="00A768A1" w:rsidRDefault="00810D62" w:rsidP="00810D62">
      <w:r w:rsidRPr="00A768A1">
        <w:t>Die TWO schlug die Prüfung folgender Möglichkeiten vor:</w:t>
      </w:r>
    </w:p>
    <w:p w:rsidR="001E52BB" w:rsidRPr="00A768A1" w:rsidRDefault="001E52BB" w:rsidP="00810D62"/>
    <w:p w:rsidR="001E52BB" w:rsidRPr="00A768A1" w:rsidRDefault="00810D62" w:rsidP="00810D62">
      <w:pPr>
        <w:pStyle w:val="ListParagraph"/>
        <w:numPr>
          <w:ilvl w:val="0"/>
          <w:numId w:val="4"/>
        </w:numPr>
      </w:pPr>
      <w:r w:rsidRPr="00A768A1">
        <w:t>Prüfung älteren Pflanzenmaterials am Prüfungsort in Zusammenarbeit mit dem Antragsteller;</w:t>
      </w:r>
    </w:p>
    <w:p w:rsidR="001E52BB" w:rsidRPr="00A768A1" w:rsidRDefault="00810D62" w:rsidP="00810D62">
      <w:pPr>
        <w:pStyle w:val="ListParagraph"/>
        <w:numPr>
          <w:ilvl w:val="0"/>
          <w:numId w:val="4"/>
        </w:numPr>
      </w:pPr>
      <w:r w:rsidRPr="00A768A1">
        <w:t>Verwendung biochemischer und molekularer Verfahren zur Ergänzung der DUS-Informationen;</w:t>
      </w:r>
    </w:p>
    <w:p w:rsidR="001E52BB" w:rsidRPr="00A768A1" w:rsidRDefault="00810D62" w:rsidP="00810D62">
      <w:pPr>
        <w:pStyle w:val="ListParagraph"/>
        <w:numPr>
          <w:ilvl w:val="0"/>
          <w:numId w:val="4"/>
        </w:numPr>
      </w:pPr>
      <w:r w:rsidRPr="00A768A1">
        <w:t>Rückgriff auf Prüfungsämter außerhalb der Europäischen Union.</w:t>
      </w:r>
    </w:p>
    <w:p w:rsidR="001E52BB" w:rsidRPr="00A768A1" w:rsidRDefault="001E52BB" w:rsidP="00810D62"/>
    <w:p w:rsidR="001E52BB" w:rsidRPr="00A768A1" w:rsidRDefault="00810D62" w:rsidP="00810D62">
      <w:r w:rsidRPr="00A768A1">
        <w:fldChar w:fldCharType="begin"/>
      </w:r>
      <w:r w:rsidRPr="00A768A1">
        <w:instrText xml:space="preserve"> AUTONUM  </w:instrText>
      </w:r>
      <w:r w:rsidRPr="00A768A1">
        <w:fldChar w:fldCharType="end"/>
      </w:r>
      <w:r w:rsidRPr="00A768A1">
        <w:tab/>
        <w:t>Ein Sachverständiger aus Australien berichtete über einen Antrag für eine neue Hybridsorte von Lavendel mit großen Deckblättern über die gesamte Länge der Ähre</w:t>
      </w:r>
      <w:r w:rsidR="00E723E1" w:rsidRPr="00A768A1">
        <w:t xml:space="preserve">. </w:t>
      </w:r>
      <w:r w:rsidRPr="00A768A1">
        <w:t xml:space="preserve">Die TWO war sich darin einig, </w:t>
      </w:r>
      <w:proofErr w:type="spellStart"/>
      <w:r w:rsidRPr="00A768A1">
        <w:t>daß</w:t>
      </w:r>
      <w:proofErr w:type="spellEnd"/>
      <w:r w:rsidRPr="00A768A1">
        <w:t xml:space="preserve"> die Sachverständigen aus Australien, Frankreich und Neuseeland die Notwendigkeit der Festlegung neuer </w:t>
      </w:r>
      <w:proofErr w:type="spellStart"/>
      <w:r w:rsidRPr="00A768A1">
        <w:t>Blütenstandsmerkmale</w:t>
      </w:r>
      <w:proofErr w:type="spellEnd"/>
      <w:r w:rsidRPr="00A768A1">
        <w:t xml:space="preserve"> erörtern und der TWO </w:t>
      </w:r>
      <w:r w:rsidR="00A768A1">
        <w:t>auf ihrer einundfünfzigsten Tag</w:t>
      </w:r>
      <w:r w:rsidRPr="00A768A1">
        <w:t>ung Bericht erstatten sollten.</w:t>
      </w:r>
    </w:p>
    <w:p w:rsidR="001E52BB" w:rsidRPr="00A768A1" w:rsidRDefault="001E52BB" w:rsidP="007E33A7"/>
    <w:p w:rsidR="001E52BB" w:rsidRPr="00A768A1" w:rsidRDefault="001E52BB" w:rsidP="001E52BB">
      <w:pPr>
        <w:pStyle w:val="Heading3"/>
      </w:pPr>
      <w:bookmarkStart w:id="13" w:name="_Toc527980864"/>
      <w:r w:rsidRPr="00A768A1">
        <w:t>Technische Arbeitsgruppe für Obstarten</w:t>
      </w:r>
      <w:bookmarkEnd w:id="13"/>
    </w:p>
    <w:p w:rsidR="001E52BB" w:rsidRPr="00A768A1" w:rsidRDefault="001E52BB" w:rsidP="007E33A7"/>
    <w:p w:rsidR="001E52BB" w:rsidRPr="00A768A1" w:rsidRDefault="007E33A7" w:rsidP="007E33A7">
      <w:r w:rsidRPr="00A768A1">
        <w:fldChar w:fldCharType="begin"/>
      </w:r>
      <w:r w:rsidRPr="00A768A1">
        <w:instrText xml:space="preserve"> AUTONUM  </w:instrText>
      </w:r>
      <w:r w:rsidRPr="00A768A1">
        <w:fldChar w:fldCharType="end"/>
      </w:r>
      <w:r w:rsidRPr="00A768A1">
        <w:tab/>
        <w:t xml:space="preserve">Die TWF hörte auf ihrer achtundvierzigsten Tagung vom 18. bis 22. September 2017 in </w:t>
      </w:r>
      <w:proofErr w:type="spellStart"/>
      <w:r w:rsidRPr="00A768A1">
        <w:t>Kelowna</w:t>
      </w:r>
      <w:proofErr w:type="spellEnd"/>
      <w:r w:rsidRPr="00A768A1">
        <w:t xml:space="preserve">, Kanada, ein Referat über </w:t>
      </w:r>
      <w:proofErr w:type="spellStart"/>
      <w:r w:rsidRPr="00A768A1">
        <w:t>Guarana</w:t>
      </w:r>
      <w:proofErr w:type="spellEnd"/>
      <w:r w:rsidRPr="00A768A1">
        <w:t xml:space="preserve"> (</w:t>
      </w:r>
      <w:proofErr w:type="spellStart"/>
      <w:r w:rsidRPr="00A768A1">
        <w:rPr>
          <w:i/>
        </w:rPr>
        <w:t>Paullinia</w:t>
      </w:r>
      <w:proofErr w:type="spellEnd"/>
      <w:r w:rsidRPr="00A768A1">
        <w:rPr>
          <w:i/>
        </w:rPr>
        <w:t xml:space="preserve"> </w:t>
      </w:r>
      <w:proofErr w:type="spellStart"/>
      <w:r w:rsidRPr="00A768A1">
        <w:rPr>
          <w:i/>
        </w:rPr>
        <w:t>cupana</w:t>
      </w:r>
      <w:proofErr w:type="spellEnd"/>
      <w:r w:rsidRPr="00A768A1">
        <w:t xml:space="preserve"> </w:t>
      </w:r>
      <w:proofErr w:type="spellStart"/>
      <w:r w:rsidRPr="00A768A1">
        <w:t>Kunth</w:t>
      </w:r>
      <w:proofErr w:type="spellEnd"/>
      <w:r w:rsidRPr="00A768A1">
        <w:t>) von einem Sachverständigen aus Brasilien</w:t>
      </w:r>
      <w:r w:rsidR="00E723E1" w:rsidRPr="00A768A1">
        <w:t xml:space="preserve">. </w:t>
      </w:r>
      <w:r w:rsidRPr="00A768A1">
        <w:t xml:space="preserve">Eine Abschrift dieses Referates werde in </w:t>
      </w:r>
      <w:proofErr w:type="gramStart"/>
      <w:r w:rsidRPr="00A768A1">
        <w:t>Dokument  TWF</w:t>
      </w:r>
      <w:proofErr w:type="gramEnd"/>
      <w:r w:rsidRPr="00A768A1">
        <w:t>/48/3 enthalten sein (vergleiche Dokument TWC/48/13 „</w:t>
      </w:r>
      <w:r w:rsidRPr="00A768A1">
        <w:rPr>
          <w:i/>
          <w:iCs/>
        </w:rPr>
        <w:t>Report</w:t>
      </w:r>
      <w:r w:rsidRPr="00A768A1">
        <w:t>“, Absatz 150).</w:t>
      </w:r>
    </w:p>
    <w:p w:rsidR="001E52BB" w:rsidRPr="00A768A1" w:rsidRDefault="001E52BB" w:rsidP="00810D62"/>
    <w:p w:rsidR="001E52BB" w:rsidRPr="00A768A1" w:rsidRDefault="001E52BB" w:rsidP="001E52BB">
      <w:pPr>
        <w:pStyle w:val="Heading3"/>
      </w:pPr>
      <w:bookmarkStart w:id="14" w:name="_Toc527980865"/>
      <w:r w:rsidRPr="00A768A1">
        <w:t>Technische Arbeitsgruppe für landwirtschaftliche Arten</w:t>
      </w:r>
      <w:bookmarkEnd w:id="14"/>
    </w:p>
    <w:p w:rsidR="001E52BB" w:rsidRPr="00A768A1" w:rsidRDefault="001E52BB" w:rsidP="00050E16"/>
    <w:p w:rsidR="001E52BB" w:rsidRPr="00A768A1" w:rsidRDefault="004115DA" w:rsidP="004115DA">
      <w:r w:rsidRPr="00A768A1">
        <w:fldChar w:fldCharType="begin"/>
      </w:r>
      <w:r w:rsidRPr="00A768A1">
        <w:instrText xml:space="preserve"> AUTONUM  </w:instrText>
      </w:r>
      <w:r w:rsidRPr="00A768A1">
        <w:fldChar w:fldCharType="end"/>
      </w:r>
      <w:r w:rsidRPr="00A768A1">
        <w:tab/>
      </w:r>
      <w:r w:rsidRPr="00A768A1">
        <w:rPr>
          <w:snapToGrid w:val="0"/>
        </w:rPr>
        <w:t xml:space="preserve">Die TWA nahm auf ihrer siebenundvierzigsten Tagung vom 21. bis 25. Mai 2018 in </w:t>
      </w:r>
      <w:proofErr w:type="spellStart"/>
      <w:r w:rsidRPr="00A768A1">
        <w:rPr>
          <w:snapToGrid w:val="0"/>
        </w:rPr>
        <w:t>Naivasha</w:t>
      </w:r>
      <w:proofErr w:type="spellEnd"/>
      <w:r w:rsidRPr="00A768A1">
        <w:rPr>
          <w:snapToGrid w:val="0"/>
        </w:rPr>
        <w:t>, Kenia,</w:t>
      </w:r>
      <w:r w:rsidRPr="00A768A1">
        <w:t xml:space="preserve"> den Bericht eines Sachverständigen aus den Vereinigten Staaten von Amerika zur Kenntnis, nach dem kürzlich drei Anträge für den Schutz neuer Sorten </w:t>
      </w:r>
      <w:proofErr w:type="gramStart"/>
      <w:r w:rsidRPr="00A768A1">
        <w:t>von  „</w:t>
      </w:r>
      <w:proofErr w:type="spellStart"/>
      <w:proofErr w:type="gramEnd"/>
      <w:r w:rsidRPr="00A768A1">
        <w:t>Chia</w:t>
      </w:r>
      <w:proofErr w:type="spellEnd"/>
      <w:r w:rsidRPr="00A768A1">
        <w:t>“</w:t>
      </w:r>
      <w:r w:rsidR="00A768A1">
        <w:t xml:space="preserve"> </w:t>
      </w:r>
      <w:r w:rsidRPr="00A768A1">
        <w:t>(</w:t>
      </w:r>
      <w:proofErr w:type="spellStart"/>
      <w:r w:rsidRPr="00A768A1">
        <w:rPr>
          <w:i/>
        </w:rPr>
        <w:t>Salvia</w:t>
      </w:r>
      <w:proofErr w:type="spellEnd"/>
      <w:r w:rsidRPr="00A768A1">
        <w:rPr>
          <w:i/>
        </w:rPr>
        <w:t xml:space="preserve"> </w:t>
      </w:r>
      <w:proofErr w:type="spellStart"/>
      <w:r w:rsidRPr="00A768A1">
        <w:rPr>
          <w:i/>
        </w:rPr>
        <w:t>hispanica</w:t>
      </w:r>
      <w:proofErr w:type="spellEnd"/>
      <w:r w:rsidRPr="00A768A1">
        <w:t xml:space="preserve"> L.) eingereicht worden seien (vergleiche Dokument TWA/47/7 „</w:t>
      </w:r>
      <w:r w:rsidRPr="00E06928">
        <w:rPr>
          <w:i/>
        </w:rPr>
        <w:t>Report</w:t>
      </w:r>
      <w:r w:rsidRPr="00A768A1">
        <w:t>“, Absatz 60).</w:t>
      </w:r>
    </w:p>
    <w:p w:rsidR="001E52BB" w:rsidRPr="00A768A1" w:rsidRDefault="001E52BB" w:rsidP="006B0EE9">
      <w:pPr>
        <w:keepNext/>
      </w:pPr>
    </w:p>
    <w:p w:rsidR="001E52BB" w:rsidRPr="00A768A1" w:rsidRDefault="001E52BB" w:rsidP="001E52BB">
      <w:pPr>
        <w:pStyle w:val="Heading3"/>
      </w:pPr>
      <w:bookmarkStart w:id="15" w:name="_Toc527980866"/>
      <w:r w:rsidRPr="00A768A1">
        <w:t>Technische Arbeitsgruppe für Gemüsearten</w:t>
      </w:r>
      <w:bookmarkEnd w:id="15"/>
    </w:p>
    <w:p w:rsidR="001E52BB" w:rsidRPr="00A768A1" w:rsidRDefault="001E52BB" w:rsidP="006B0EE9">
      <w:pPr>
        <w:keepNext/>
      </w:pPr>
    </w:p>
    <w:p w:rsidR="001E52BB" w:rsidRPr="00A768A1" w:rsidRDefault="00B94EE3" w:rsidP="006B0EE9">
      <w:pPr>
        <w:keepNext/>
      </w:pPr>
      <w:r w:rsidRPr="00A768A1">
        <w:fldChar w:fldCharType="begin"/>
      </w:r>
      <w:r w:rsidRPr="00A768A1">
        <w:instrText xml:space="preserve"> AUTONUM  </w:instrText>
      </w:r>
      <w:r w:rsidRPr="00A768A1">
        <w:fldChar w:fldCharType="end"/>
      </w:r>
      <w:r w:rsidRPr="00A768A1">
        <w:tab/>
        <w:t xml:space="preserve">Die TWV hörte auf ihrer zweiundfünfzigsten Tagung vom 17. bis 21. September 2018 in Peking, China, folgende Referate, von denen Kopien in Dokument </w:t>
      </w:r>
      <w:hyperlink r:id="rId19" w:history="1">
        <w:r w:rsidRPr="00A768A1">
          <w:rPr>
            <w:rStyle w:val="Hyperlink"/>
          </w:rPr>
          <w:t>TWV/52/14</w:t>
        </w:r>
      </w:hyperlink>
      <w:r w:rsidRPr="00A768A1">
        <w:t xml:space="preserve"> (vergleiche Dokument TWV/52/20 „</w:t>
      </w:r>
      <w:r w:rsidRPr="00E06928">
        <w:rPr>
          <w:i/>
        </w:rPr>
        <w:t>Report</w:t>
      </w:r>
      <w:r w:rsidRPr="00A768A1">
        <w:t>“, Absätze 49) enthalten sind:</w:t>
      </w:r>
    </w:p>
    <w:p w:rsidR="001E52BB" w:rsidRPr="00A768A1" w:rsidRDefault="001E52BB" w:rsidP="00B94EE3">
      <w:pPr>
        <w:keepNext/>
      </w:pPr>
    </w:p>
    <w:p w:rsidR="001E52BB" w:rsidRPr="00A768A1" w:rsidRDefault="002C00F4" w:rsidP="002C00F4">
      <w:pPr>
        <w:pStyle w:val="ListParagraph"/>
        <w:keepNext/>
        <w:numPr>
          <w:ilvl w:val="0"/>
          <w:numId w:val="9"/>
        </w:numPr>
        <w:rPr>
          <w:snapToGrid w:val="0"/>
        </w:rPr>
      </w:pPr>
      <w:r w:rsidRPr="00A768A1">
        <w:rPr>
          <w:snapToGrid w:val="0"/>
        </w:rPr>
        <w:t xml:space="preserve">Referat über </w:t>
      </w:r>
      <w:r w:rsidRPr="00A768A1">
        <w:rPr>
          <w:i/>
          <w:snapToGrid w:val="0"/>
        </w:rPr>
        <w:t xml:space="preserve">Solanum </w:t>
      </w:r>
      <w:proofErr w:type="spellStart"/>
      <w:r w:rsidRPr="00A768A1">
        <w:rPr>
          <w:i/>
          <w:snapToGrid w:val="0"/>
        </w:rPr>
        <w:t>sisymbriifollium</w:t>
      </w:r>
      <w:proofErr w:type="spellEnd"/>
      <w:r w:rsidRPr="00A768A1">
        <w:rPr>
          <w:snapToGrid w:val="0"/>
        </w:rPr>
        <w:t xml:space="preserve"> Lam. von einem Sachverständigen aus Frankreich</w:t>
      </w:r>
    </w:p>
    <w:p w:rsidR="001E52BB" w:rsidRPr="00A768A1" w:rsidRDefault="002C00F4" w:rsidP="002C00F4">
      <w:pPr>
        <w:pStyle w:val="ListParagraph"/>
        <w:numPr>
          <w:ilvl w:val="0"/>
          <w:numId w:val="9"/>
        </w:numPr>
        <w:rPr>
          <w:snapToGrid w:val="0"/>
        </w:rPr>
      </w:pPr>
      <w:r w:rsidRPr="00A768A1">
        <w:rPr>
          <w:snapToGrid w:val="0"/>
        </w:rPr>
        <w:t xml:space="preserve">Referat über </w:t>
      </w:r>
      <w:r w:rsidRPr="00A768A1">
        <w:rPr>
          <w:bCs/>
          <w:i/>
          <w:iCs/>
          <w:snapToGrid w:val="0"/>
        </w:rPr>
        <w:t xml:space="preserve">Solanum </w:t>
      </w:r>
      <w:proofErr w:type="spellStart"/>
      <w:r w:rsidRPr="00A768A1">
        <w:rPr>
          <w:bCs/>
          <w:i/>
          <w:iCs/>
          <w:snapToGrid w:val="0"/>
        </w:rPr>
        <w:t>torvum</w:t>
      </w:r>
      <w:proofErr w:type="spellEnd"/>
      <w:r w:rsidRPr="00A768A1">
        <w:rPr>
          <w:bCs/>
          <w:i/>
          <w:iCs/>
          <w:snapToGrid w:val="0"/>
        </w:rPr>
        <w:t xml:space="preserve"> </w:t>
      </w:r>
      <w:proofErr w:type="spellStart"/>
      <w:r w:rsidRPr="00A768A1">
        <w:rPr>
          <w:snapToGrid w:val="0"/>
        </w:rPr>
        <w:t>Sw</w:t>
      </w:r>
      <w:proofErr w:type="spellEnd"/>
      <w:r w:rsidRPr="00A768A1">
        <w:rPr>
          <w:snapToGrid w:val="0"/>
        </w:rPr>
        <w:t>. von einem Sachverständigen aus Frankreich</w:t>
      </w:r>
    </w:p>
    <w:p w:rsidR="001E52BB" w:rsidRPr="00A768A1" w:rsidRDefault="00B94EE3" w:rsidP="00B94EE3">
      <w:pPr>
        <w:pStyle w:val="ListParagraph"/>
        <w:keepNext/>
        <w:numPr>
          <w:ilvl w:val="0"/>
          <w:numId w:val="9"/>
        </w:numPr>
      </w:pPr>
      <w:r w:rsidRPr="00A768A1">
        <w:rPr>
          <w:snapToGrid w:val="0"/>
        </w:rPr>
        <w:t>Referat über eine neue Kohlart in Japan von einem Sachverständigen aus Japan</w:t>
      </w:r>
    </w:p>
    <w:p w:rsidR="001E52BB" w:rsidRPr="00A768A1" w:rsidRDefault="001E52BB" w:rsidP="00F01D8E"/>
    <w:p w:rsidR="001E52BB" w:rsidRPr="00A768A1" w:rsidRDefault="001E52BB" w:rsidP="001E52BB">
      <w:pPr>
        <w:pStyle w:val="Heading2"/>
      </w:pPr>
      <w:bookmarkStart w:id="16" w:name="_Toc527980867"/>
      <w:r w:rsidRPr="00A768A1">
        <w:t>Verwaltung von Sortensammlungen</w:t>
      </w:r>
      <w:bookmarkEnd w:id="16"/>
    </w:p>
    <w:p w:rsidR="001E52BB" w:rsidRPr="00A768A1" w:rsidRDefault="001E52BB" w:rsidP="00F01D8E">
      <w:pPr>
        <w:pStyle w:val="Heading2"/>
      </w:pPr>
    </w:p>
    <w:p w:rsidR="001E52BB" w:rsidRPr="00A768A1" w:rsidRDefault="00F01D8E" w:rsidP="00F01D8E">
      <w:r w:rsidRPr="00A768A1">
        <w:rPr>
          <w:snapToGrid w:val="0"/>
        </w:rPr>
        <w:fldChar w:fldCharType="begin"/>
      </w:r>
      <w:r w:rsidRPr="00A768A1">
        <w:rPr>
          <w:snapToGrid w:val="0"/>
        </w:rPr>
        <w:instrText xml:space="preserve"> AUTONUM  </w:instrText>
      </w:r>
      <w:r w:rsidRPr="00A768A1">
        <w:rPr>
          <w:snapToGrid w:val="0"/>
        </w:rPr>
        <w:fldChar w:fldCharType="end"/>
      </w:r>
      <w:r w:rsidRPr="00A768A1">
        <w:rPr>
          <w:snapToGrid w:val="0"/>
        </w:rPr>
        <w:tab/>
      </w:r>
      <w:r w:rsidRPr="00A768A1">
        <w:t xml:space="preserve">Die TWF prüfte auf ihrer achtundvierzigsten Tagung vom 18. bis 22. September 2017 in </w:t>
      </w:r>
      <w:proofErr w:type="spellStart"/>
      <w:r w:rsidRPr="00A768A1">
        <w:t>Kelowna</w:t>
      </w:r>
      <w:proofErr w:type="spellEnd"/>
      <w:r w:rsidRPr="00A768A1">
        <w:t xml:space="preserve">, Kanada, das Dokument </w:t>
      </w:r>
      <w:hyperlink r:id="rId20" w:history="1">
        <w:r w:rsidRPr="00A768A1">
          <w:rPr>
            <w:rStyle w:val="Hyperlink"/>
          </w:rPr>
          <w:t>TWP/1/14</w:t>
        </w:r>
      </w:hyperlink>
      <w:r w:rsidRPr="00A768A1">
        <w:t xml:space="preserve"> „Verwaltung von Sortensammlungen“ und nahm die der TWC auf ihrer vierunddreißigsten Tagung im Jahr 2016 und dem TC auf seiner dreiundfünfzigsten Tagung im Jahr 2017 berichteten Entwicklungen über die Verwaltung von Sortensammlungen zur Kenntnis (vergleiche Dokument TWF/48/13 „</w:t>
      </w:r>
      <w:r w:rsidRPr="00E06928">
        <w:rPr>
          <w:i/>
        </w:rPr>
        <w:t>Report</w:t>
      </w:r>
      <w:r w:rsidRPr="00A768A1">
        <w:t>“, Absätze 90 bis 92).</w:t>
      </w:r>
    </w:p>
    <w:p w:rsidR="001E52BB" w:rsidRPr="00A768A1" w:rsidRDefault="001E52BB" w:rsidP="00F01D8E"/>
    <w:p w:rsidR="001E52BB" w:rsidRPr="00A768A1" w:rsidRDefault="00F01D8E" w:rsidP="00F01D8E">
      <w:pPr>
        <w:rPr>
          <w:snapToGrid w:val="0"/>
        </w:rPr>
      </w:pPr>
      <w:r w:rsidRPr="00A768A1">
        <w:rPr>
          <w:snapToGrid w:val="0"/>
        </w:rPr>
        <w:fldChar w:fldCharType="begin"/>
      </w:r>
      <w:r w:rsidRPr="00A768A1">
        <w:rPr>
          <w:snapToGrid w:val="0"/>
        </w:rPr>
        <w:instrText xml:space="preserve"> AUTONUM  </w:instrText>
      </w:r>
      <w:r w:rsidRPr="00A768A1">
        <w:rPr>
          <w:snapToGrid w:val="0"/>
        </w:rPr>
        <w:fldChar w:fldCharType="end"/>
      </w:r>
      <w:r w:rsidRPr="00A768A1">
        <w:rPr>
          <w:snapToGrid w:val="0"/>
        </w:rPr>
        <w:tab/>
        <w:t xml:space="preserve">Die TWF nahm die zunehmende Verwendung molekularer Marker bei der Verwaltung von Sortensammlungen, insbesondere zur Identifizierung der ähnlichsten Sorten, und welche möglichen Auswirkungen dies auf die in den technischen Fragebögen künftig bereitgestellten Informationen haben könnte, zur Kenntnis. Sie war sich ferner darin einig, </w:t>
      </w:r>
      <w:proofErr w:type="spellStart"/>
      <w:r w:rsidRPr="00A768A1">
        <w:rPr>
          <w:snapToGrid w:val="0"/>
        </w:rPr>
        <w:t>daß</w:t>
      </w:r>
      <w:proofErr w:type="spellEnd"/>
      <w:r w:rsidRPr="00A768A1">
        <w:rPr>
          <w:snapToGrid w:val="0"/>
        </w:rPr>
        <w:t xml:space="preserve"> eine gemeinsame Datenbank für die Verwaltung von Sortensammlungen benötigt werde. Die TWF nahm das Projekt zur Kenntnis, das derzeit von den </w:t>
      </w:r>
      <w:r w:rsidRPr="00A768A1">
        <w:rPr>
          <w:snapToGrid w:val="0"/>
        </w:rPr>
        <w:lastRenderedPageBreak/>
        <w:t>Niederlanden zu Gartenbohne und von Frankreich, China und den Niederlanden zu Rose erstellt wird, und lud Sachverständige dazu ein, auf ihrer nächsten Tagung über die Entwicklung dieser Projekte zu berichten.</w:t>
      </w:r>
    </w:p>
    <w:p w:rsidR="001E52BB" w:rsidRPr="00A768A1" w:rsidRDefault="001E52BB" w:rsidP="00F01D8E">
      <w:pPr>
        <w:rPr>
          <w:snapToGrid w:val="0"/>
        </w:rPr>
      </w:pPr>
    </w:p>
    <w:p w:rsidR="001E52BB" w:rsidRPr="00A768A1" w:rsidRDefault="00F01D8E" w:rsidP="00F01D8E">
      <w:pPr>
        <w:rPr>
          <w:snapToGrid w:val="0"/>
        </w:rPr>
      </w:pPr>
      <w:r w:rsidRPr="00A768A1">
        <w:rPr>
          <w:snapToGrid w:val="0"/>
        </w:rPr>
        <w:fldChar w:fldCharType="begin"/>
      </w:r>
      <w:r w:rsidRPr="00A768A1">
        <w:rPr>
          <w:snapToGrid w:val="0"/>
        </w:rPr>
        <w:instrText xml:space="preserve"> AUTONUM  </w:instrText>
      </w:r>
      <w:r w:rsidRPr="00A768A1">
        <w:rPr>
          <w:snapToGrid w:val="0"/>
        </w:rPr>
        <w:fldChar w:fldCharType="end"/>
      </w:r>
      <w:r w:rsidRPr="00A768A1">
        <w:rPr>
          <w:snapToGrid w:val="0"/>
        </w:rPr>
        <w:tab/>
        <w:t xml:space="preserve">Die TWF nahm zur Kenntnis, </w:t>
      </w:r>
      <w:proofErr w:type="spellStart"/>
      <w:r w:rsidRPr="00A768A1">
        <w:rPr>
          <w:snapToGrid w:val="0"/>
        </w:rPr>
        <w:t>daß</w:t>
      </w:r>
      <w:proofErr w:type="spellEnd"/>
      <w:r w:rsidRPr="00A768A1">
        <w:rPr>
          <w:snapToGrid w:val="0"/>
        </w:rPr>
        <w:t xml:space="preserve"> die Weltorganisation für geistiges Eigentum (WIPO) einen internationalen Standard für DNS-Datenbankerstellung entwickelt habe und war sich darin einig, </w:t>
      </w:r>
      <w:proofErr w:type="spellStart"/>
      <w:r w:rsidRPr="00A768A1">
        <w:rPr>
          <w:snapToGrid w:val="0"/>
        </w:rPr>
        <w:t>daß</w:t>
      </w:r>
      <w:proofErr w:type="spellEnd"/>
      <w:r w:rsidRPr="00A768A1">
        <w:rPr>
          <w:snapToGrid w:val="0"/>
        </w:rPr>
        <w:t xml:space="preserve"> es sinnvoll wäre, auf der nächsten Tagung ein Referat des Verbandsbüros zu diesem Thema zu hören.</w:t>
      </w:r>
    </w:p>
    <w:p w:rsidR="001E52BB" w:rsidRPr="00A768A1" w:rsidRDefault="001E52BB" w:rsidP="00F01D8E">
      <w:pPr>
        <w:rPr>
          <w:i/>
        </w:rPr>
      </w:pPr>
    </w:p>
    <w:p w:rsidR="001E52BB" w:rsidRDefault="00F01D8E" w:rsidP="00F01D8E">
      <w:r w:rsidRPr="00A768A1">
        <w:fldChar w:fldCharType="begin"/>
      </w:r>
      <w:r w:rsidRPr="00A768A1">
        <w:instrText xml:space="preserve"> AUTONUM  </w:instrText>
      </w:r>
      <w:r w:rsidRPr="00A768A1">
        <w:fldChar w:fldCharType="end"/>
      </w:r>
      <w:r w:rsidRPr="00A768A1">
        <w:tab/>
      </w:r>
      <w:r w:rsidR="00E723E1" w:rsidRPr="00A768A1">
        <w:t>Die TWC prüfte auf ihrer fünfunddreißigsten Tagung vom 14. bis 17. November 2017 in Buenos Aires, Argentinien, das Dokument TWP/1/14 und nahm die vom TC auf seiner dreiundfünfzigsten Tagung über die Verwaltung von Sortensammlungen berichteten Entwicklungen zur Kenntnis (vergleiche Dokument TWC/35/21 „</w:t>
      </w:r>
      <w:r w:rsidR="00E723E1" w:rsidRPr="00E06928">
        <w:rPr>
          <w:i/>
        </w:rPr>
        <w:t>Report</w:t>
      </w:r>
      <w:r w:rsidR="00E723E1" w:rsidRPr="00A768A1">
        <w:t>“, Absatz 113).</w:t>
      </w:r>
    </w:p>
    <w:p w:rsidR="001E52BB" w:rsidRDefault="001E52BB" w:rsidP="00F01D8E"/>
    <w:p w:rsidR="001E52BB" w:rsidRPr="009518E6" w:rsidRDefault="00F01D8E" w:rsidP="00F01D8E">
      <w:pPr>
        <w:pStyle w:val="Heading2"/>
      </w:pPr>
      <w:bookmarkStart w:id="17" w:name="_Toc527980868"/>
      <w:r w:rsidRPr="009518E6">
        <w:t xml:space="preserve">Erfahrung mit der Verwaltung von </w:t>
      </w:r>
      <w:r w:rsidR="00E723E1" w:rsidRPr="009518E6">
        <w:t>Vergleichssammlungen</w:t>
      </w:r>
      <w:r w:rsidRPr="009518E6">
        <w:t xml:space="preserve"> mit der „SELECT“-Methode</w:t>
      </w:r>
      <w:bookmarkEnd w:id="17"/>
    </w:p>
    <w:p w:rsidR="001E52BB" w:rsidRPr="009518E6" w:rsidRDefault="001E52BB" w:rsidP="00F01D8E"/>
    <w:p w:rsidR="001E52BB" w:rsidRPr="009518E6" w:rsidRDefault="00F01D8E" w:rsidP="001E52BB">
      <w:r w:rsidRPr="009518E6">
        <w:fldChar w:fldCharType="begin"/>
      </w:r>
      <w:r w:rsidRPr="009518E6">
        <w:instrText xml:space="preserve"> AUTONUM  </w:instrText>
      </w:r>
      <w:r w:rsidRPr="009518E6">
        <w:fldChar w:fldCharType="end"/>
      </w:r>
      <w:r w:rsidRPr="009518E6">
        <w:tab/>
      </w:r>
      <w:r w:rsidR="00E723E1" w:rsidRPr="009518E6">
        <w:t xml:space="preserve">Die TWC prüfte auf ihrer sechsunddreißigsten Tagung vom 2. bis zum 6. Juli 2018 in Hannover, Deutschland, das Dokument  </w:t>
      </w:r>
      <w:hyperlink r:id="rId21" w:history="1">
        <w:r w:rsidR="00E723E1" w:rsidRPr="009518E6">
          <w:rPr>
            <w:rStyle w:val="Hyperlink"/>
          </w:rPr>
          <w:t>TWC/36/13</w:t>
        </w:r>
      </w:hyperlink>
      <w:r w:rsidR="00E723E1" w:rsidRPr="009518E6">
        <w:t xml:space="preserve"> „Erfahrung mit der Verwaltung von Vergleichssammlungen mit de</w:t>
      </w:r>
      <w:r w:rsidR="009518E6">
        <w:t>r „SELECT“-Methode“</w:t>
      </w:r>
      <w:r w:rsidR="00E723E1" w:rsidRPr="009518E6">
        <w:t xml:space="preserve"> und hörte ein Referat von einem Sachverständigen aus Deutschland, von dem eine Kopie als Dokument TWC/36/13 Add. </w:t>
      </w:r>
      <w:r w:rsidRPr="009518E6">
        <w:t>bereitgestellt werde (vergleiche Dokument CC/36/15 „Bericht“ Absätze 88 und 89).</w:t>
      </w:r>
    </w:p>
    <w:p w:rsidR="001E52BB" w:rsidRPr="009518E6" w:rsidRDefault="001E52BB" w:rsidP="00F01D8E"/>
    <w:p w:rsidR="001E52BB" w:rsidRPr="009518E6" w:rsidRDefault="00F01D8E" w:rsidP="00F01D8E">
      <w:r w:rsidRPr="009518E6">
        <w:fldChar w:fldCharType="begin"/>
      </w:r>
      <w:r w:rsidRPr="009518E6">
        <w:instrText xml:space="preserve"> AUTONUM  </w:instrText>
      </w:r>
      <w:r w:rsidRPr="009518E6">
        <w:fldChar w:fldCharType="end"/>
      </w:r>
      <w:r w:rsidRPr="009518E6">
        <w:tab/>
        <w:t xml:space="preserve">Die TWC nahm zur Kenntnis, </w:t>
      </w:r>
      <w:proofErr w:type="spellStart"/>
      <w:r w:rsidRPr="009518E6">
        <w:t>daß</w:t>
      </w:r>
      <w:proofErr w:type="spellEnd"/>
      <w:r w:rsidRPr="009518E6">
        <w:t xml:space="preserve"> die „SELECT“-Methode für Getreide mit einer hohen Anzahl von eingereichten Anträgen für die Auswahl von Sorten aus der Sortensammlu</w:t>
      </w:r>
      <w:r w:rsidR="009518E6">
        <w:t>ng für die Anbauprüfung</w:t>
      </w:r>
      <w:r w:rsidRPr="009518E6">
        <w:t xml:space="preserve"> verwendet werde, indem Unterschieden bei den Ausprägungsstufen für Merkmale unter Verwendung nicht orthogonaler Daten unterschiedliche Bedeutung beigemessen wird. </w:t>
      </w:r>
    </w:p>
    <w:p w:rsidR="001E52BB" w:rsidRPr="009518E6" w:rsidRDefault="001E52BB" w:rsidP="00F01D8E"/>
    <w:p w:rsidR="001E52BB" w:rsidRPr="009518E6" w:rsidRDefault="00F01D8E" w:rsidP="00F01D8E">
      <w:pPr>
        <w:pStyle w:val="Heading2"/>
      </w:pPr>
      <w:bookmarkStart w:id="18" w:name="_Toc527980869"/>
      <w:r w:rsidRPr="009518E6">
        <w:t>Regionaler Satz von Beispielssorten bei Weizen für Südamerika</w:t>
      </w:r>
      <w:bookmarkEnd w:id="18"/>
      <w:r w:rsidRPr="009518E6">
        <w:t xml:space="preserve"> </w:t>
      </w:r>
    </w:p>
    <w:p w:rsidR="001E52BB" w:rsidRPr="009518E6" w:rsidRDefault="001E52BB" w:rsidP="00F01D8E">
      <w:pPr>
        <w:keepNext/>
      </w:pPr>
    </w:p>
    <w:p w:rsidR="001E52BB" w:rsidRPr="009518E6" w:rsidRDefault="00F01D8E" w:rsidP="00F01D8E">
      <w:r w:rsidRPr="009518E6">
        <w:rPr>
          <w:snapToGrid w:val="0"/>
        </w:rPr>
        <w:fldChar w:fldCharType="begin"/>
      </w:r>
      <w:r w:rsidRPr="009518E6">
        <w:rPr>
          <w:snapToGrid w:val="0"/>
        </w:rPr>
        <w:instrText xml:space="preserve"> AUTONUM  </w:instrText>
      </w:r>
      <w:r w:rsidRPr="009518E6">
        <w:rPr>
          <w:snapToGrid w:val="0"/>
        </w:rPr>
        <w:fldChar w:fldCharType="end"/>
      </w:r>
      <w:r w:rsidRPr="009518E6">
        <w:rPr>
          <w:snapToGrid w:val="0"/>
        </w:rPr>
        <w:tab/>
        <w:t>Die TWA prüfte auf ihrer sechsundvierzigsten Tagung vom 19. bis 23. Juni 2017 in Hannover, Deutschland, die in Dokument TWA/</w:t>
      </w:r>
      <w:r w:rsidR="00E723E1" w:rsidRPr="009518E6">
        <w:rPr>
          <w:snapToGrid w:val="0"/>
        </w:rPr>
        <w:t xml:space="preserve">46/9 </w:t>
      </w:r>
      <w:r w:rsidR="00E723E1" w:rsidRPr="009518E6">
        <w:t>„</w:t>
      </w:r>
      <w:r w:rsidRPr="009518E6">
        <w:t>Regionale Serie von Beispielsorten bei Weizen für Südamerika“ dargelegten Informationen und hörte ein Referat von einem Sachverständigen aus Brasilien</w:t>
      </w:r>
      <w:r w:rsidRPr="009518E6">
        <w:rPr>
          <w:snapToGrid w:val="0"/>
        </w:rPr>
        <w:t xml:space="preserve"> über die </w:t>
      </w:r>
      <w:r w:rsidRPr="009518E6">
        <w:t>von einigen Verbandsmitgliedern in Südamerika durchgeführte regionale Anbauprüfung zur Festlegung einer regionalen Serie von Beispielsorten bei Weizen</w:t>
      </w:r>
      <w:r w:rsidR="00E723E1" w:rsidRPr="009518E6">
        <w:t xml:space="preserve">. </w:t>
      </w:r>
      <w:r w:rsidRPr="009518E6">
        <w:t xml:space="preserve">Die TWA nahm zur Kenntnis, </w:t>
      </w:r>
      <w:proofErr w:type="spellStart"/>
      <w:r w:rsidRPr="009518E6">
        <w:t>daß</w:t>
      </w:r>
      <w:proofErr w:type="spellEnd"/>
      <w:r w:rsidRPr="009518E6">
        <w:t xml:space="preserve"> eine Kopie des Referats von einem Sachverständigen aus Brasilien als Ergänzung zu </w:t>
      </w:r>
      <w:r w:rsidR="00E723E1" w:rsidRPr="009518E6">
        <w:t>Dokument TWA</w:t>
      </w:r>
      <w:r w:rsidRPr="009518E6">
        <w:t>/46/9 wiedergegeben werde (vergleiche Dokument TWA/46/10 „</w:t>
      </w:r>
      <w:r w:rsidRPr="009518E6">
        <w:rPr>
          <w:i/>
          <w:iCs/>
        </w:rPr>
        <w:t>Report</w:t>
      </w:r>
      <w:r w:rsidRPr="009518E6">
        <w:t>“, Absatz 64)</w:t>
      </w:r>
      <w:r w:rsidR="00E723E1" w:rsidRPr="009518E6">
        <w:t xml:space="preserve">. </w:t>
      </w:r>
    </w:p>
    <w:p w:rsidR="001E52BB" w:rsidRPr="009518E6" w:rsidRDefault="001E52BB" w:rsidP="005E1625">
      <w:pPr>
        <w:rPr>
          <w:snapToGrid w:val="0"/>
        </w:rPr>
      </w:pPr>
    </w:p>
    <w:p w:rsidR="001E52BB" w:rsidRPr="009518E6" w:rsidRDefault="005E1625" w:rsidP="005E1625">
      <w:pPr>
        <w:pStyle w:val="Heading2"/>
      </w:pPr>
      <w:bookmarkStart w:id="19" w:name="_Toc527980870"/>
      <w:r w:rsidRPr="009518E6">
        <w:t>Auswirkung von Überarbeitungen von Ausprägungsstufen bestehender Merkmale bei der Überarbeitung von Prüfungsrichtlinien</w:t>
      </w:r>
      <w:bookmarkEnd w:id="19"/>
    </w:p>
    <w:p w:rsidR="001E52BB" w:rsidRPr="009518E6" w:rsidRDefault="001E52BB" w:rsidP="005E1625">
      <w:pPr>
        <w:pStyle w:val="Heading2"/>
      </w:pPr>
    </w:p>
    <w:p w:rsidR="001E52BB" w:rsidRPr="009518E6" w:rsidRDefault="005E1625" w:rsidP="005E1625">
      <w:r w:rsidRPr="009518E6">
        <w:fldChar w:fldCharType="begin"/>
      </w:r>
      <w:r w:rsidRPr="009518E6">
        <w:instrText xml:space="preserve"> AUTONUM  </w:instrText>
      </w:r>
      <w:r w:rsidRPr="009518E6">
        <w:fldChar w:fldCharType="end"/>
      </w:r>
      <w:r w:rsidRPr="009518E6">
        <w:tab/>
        <w:t xml:space="preserve">Die TWF </w:t>
      </w:r>
      <w:r w:rsidR="00E723E1" w:rsidRPr="009518E6">
        <w:t>prüfte auf</w:t>
      </w:r>
      <w:r w:rsidRPr="009518E6">
        <w:t xml:space="preserve"> ihrer achtundvierzigsten Tagung vom 18. bis 22. September 2017 in </w:t>
      </w:r>
      <w:proofErr w:type="spellStart"/>
      <w:r w:rsidRPr="009518E6">
        <w:t>Kelowna</w:t>
      </w:r>
      <w:proofErr w:type="spellEnd"/>
      <w:r w:rsidRPr="009518E6">
        <w:t xml:space="preserve">, Kanada, das Dokument </w:t>
      </w:r>
      <w:hyperlink r:id="rId22" w:history="1">
        <w:r w:rsidRPr="009518E6">
          <w:rPr>
            <w:rStyle w:val="Hyperlink"/>
          </w:rPr>
          <w:t>TWF/48/10</w:t>
        </w:r>
      </w:hyperlink>
      <w:r w:rsidRPr="009518E6">
        <w:t xml:space="preserve"> „Auswirkung von Überarbeitungen von Ausprägungsstufen bestehender Merkmale bei der Überarbeitung von Prüfungsrichtlinien“ und nahm zur Kenntnis, </w:t>
      </w:r>
      <w:proofErr w:type="spellStart"/>
      <w:r w:rsidRPr="009518E6">
        <w:t>daß</w:t>
      </w:r>
      <w:proofErr w:type="spellEnd"/>
      <w:r w:rsidRPr="009518E6">
        <w:t xml:space="preserve"> keine Referate beim Verbandsbüro eingegangen seien und vereinbarte daher, Erörterungen üb</w:t>
      </w:r>
      <w:r w:rsidR="005A25E0">
        <w:t>er diesen Tagesordnungspunkt bis zu</w:t>
      </w:r>
      <w:r w:rsidRPr="009518E6">
        <w:t xml:space="preserve"> ihre</w:t>
      </w:r>
      <w:r w:rsidR="005A25E0">
        <w:t>r</w:t>
      </w:r>
      <w:r w:rsidRPr="009518E6">
        <w:t xml:space="preserve"> neunundvierzigste</w:t>
      </w:r>
      <w:r w:rsidR="005A25E0">
        <w:t>n</w:t>
      </w:r>
      <w:r w:rsidRPr="009518E6">
        <w:t xml:space="preserve"> Tagung im Jahr 2018 zurückzustellen (vergleiche Dokument TWF/48/13 „</w:t>
      </w:r>
      <w:r w:rsidRPr="00E06928">
        <w:rPr>
          <w:i/>
        </w:rPr>
        <w:t>Report</w:t>
      </w:r>
      <w:r w:rsidRPr="009518E6">
        <w:t>“, Absatz 106).</w:t>
      </w:r>
    </w:p>
    <w:p w:rsidR="001E52BB" w:rsidRPr="009518E6" w:rsidRDefault="001E52BB" w:rsidP="00B24BA3">
      <w:pPr>
        <w:keepNext/>
        <w:outlineLvl w:val="1"/>
        <w:rPr>
          <w:u w:val="single"/>
        </w:rPr>
      </w:pPr>
    </w:p>
    <w:p w:rsidR="001E52BB" w:rsidRDefault="00B24BA3" w:rsidP="00B24BA3">
      <w:pPr>
        <w:keepNext/>
        <w:outlineLvl w:val="1"/>
        <w:rPr>
          <w:u w:val="single"/>
        </w:rPr>
      </w:pPr>
      <w:bookmarkStart w:id="20" w:name="_Toc527980871"/>
      <w:r w:rsidRPr="009518E6">
        <w:rPr>
          <w:u w:val="single"/>
        </w:rPr>
        <w:t>Erfahrungen mit der Verwendung von zwei Standorten für ein Jahr für DUS-Entscheidungen</w:t>
      </w:r>
      <w:bookmarkEnd w:id="20"/>
    </w:p>
    <w:p w:rsidR="001E52BB" w:rsidRDefault="001E52BB" w:rsidP="00B24BA3"/>
    <w:p w:rsidR="001E52BB" w:rsidRPr="005A25E0" w:rsidRDefault="00B24BA3" w:rsidP="00B24BA3">
      <w:r w:rsidRPr="00C27AE7">
        <w:fldChar w:fldCharType="begin"/>
      </w:r>
      <w:r w:rsidRPr="00C27AE7">
        <w:instrText xml:space="preserve"> AUTONUM  </w:instrText>
      </w:r>
      <w:r w:rsidRPr="00C27AE7">
        <w:fldChar w:fldCharType="end"/>
      </w:r>
      <w:r>
        <w:tab/>
      </w:r>
      <w:r w:rsidRPr="005A25E0">
        <w:t xml:space="preserve">Die TWC prüfte auf ihrer sechsunddreißigsten Tagung vom 2. bis zum 6. Juli 2018 in Hannover, Deutschland, das Dokument  </w:t>
      </w:r>
      <w:hyperlink r:id="rId23" w:history="1">
        <w:r w:rsidRPr="005A25E0">
          <w:rPr>
            <w:color w:val="0000FF"/>
            <w:u w:val="single"/>
          </w:rPr>
          <w:t>TWC/36/5</w:t>
        </w:r>
      </w:hyperlink>
      <w:r w:rsidRPr="005A25E0">
        <w:t xml:space="preserve"> „Erfahrung mit der Verwendung von zwei Standorten in einem Jahr für DUS-Entscheidungen“ und hörte ein Referat von einem Sachverständigen aus den Niederlanden (vergleiche Dokument TWC/36/15 „</w:t>
      </w:r>
      <w:r w:rsidRPr="00E06928">
        <w:rPr>
          <w:i/>
        </w:rPr>
        <w:t>Report</w:t>
      </w:r>
      <w:r w:rsidRPr="005A25E0">
        <w:t>“, Absätze 29 bis 32).</w:t>
      </w:r>
    </w:p>
    <w:p w:rsidR="001E52BB" w:rsidRPr="005A25E0" w:rsidRDefault="001E52BB" w:rsidP="00B24BA3"/>
    <w:p w:rsidR="001E52BB" w:rsidRPr="005A25E0" w:rsidRDefault="00B24BA3" w:rsidP="00B24BA3">
      <w:r w:rsidRPr="005A25E0">
        <w:fldChar w:fldCharType="begin"/>
      </w:r>
      <w:r w:rsidRPr="005A25E0">
        <w:instrText xml:space="preserve"> AUTONUM  </w:instrText>
      </w:r>
      <w:r w:rsidRPr="005A25E0">
        <w:fldChar w:fldCharType="end"/>
      </w:r>
      <w:r w:rsidRPr="005A25E0">
        <w:tab/>
        <w:t xml:space="preserve">Die TWC nahm zur Kenntnis, </w:t>
      </w:r>
      <w:proofErr w:type="spellStart"/>
      <w:r w:rsidRPr="005A25E0">
        <w:t>daß</w:t>
      </w:r>
      <w:proofErr w:type="spellEnd"/>
      <w:r w:rsidRPr="005A25E0">
        <w:t xml:space="preserve"> die Niederlande eine formelle Zusammenarbeit mit anderen Prüfungsämtern für zweite Standorte für Anbauprüfungen hätten.</w:t>
      </w:r>
    </w:p>
    <w:p w:rsidR="001E52BB" w:rsidRPr="005A25E0" w:rsidRDefault="001E52BB" w:rsidP="00B24BA3"/>
    <w:p w:rsidR="001E52BB" w:rsidRPr="005A25E0" w:rsidRDefault="00B24BA3" w:rsidP="00B24BA3">
      <w:r w:rsidRPr="005A25E0">
        <w:fldChar w:fldCharType="begin"/>
      </w:r>
      <w:r w:rsidRPr="005A25E0">
        <w:instrText xml:space="preserve"> AUTONUM  </w:instrText>
      </w:r>
      <w:r w:rsidRPr="005A25E0">
        <w:fldChar w:fldCharType="end"/>
      </w:r>
      <w:r w:rsidRPr="005A25E0">
        <w:tab/>
        <w:t>Die TWC nahm den Bericht der Niederlande über die steigende Nachfrage von Gemüsezüchtern nach zwei Wachstumsperioden in einem Jahr zur Kenntnis.</w:t>
      </w:r>
    </w:p>
    <w:p w:rsidR="001E52BB" w:rsidRPr="005A25E0" w:rsidRDefault="00B24BA3" w:rsidP="00B24BA3">
      <w:r w:rsidRPr="005A25E0">
        <w:t xml:space="preserve">  </w:t>
      </w:r>
    </w:p>
    <w:p w:rsidR="001E52BB" w:rsidRPr="005A25E0" w:rsidRDefault="00B24BA3" w:rsidP="00B24BA3">
      <w:r w:rsidRPr="005A25E0">
        <w:fldChar w:fldCharType="begin"/>
      </w:r>
      <w:r w:rsidRPr="005A25E0">
        <w:instrText xml:space="preserve"> AUTONUM  </w:instrText>
      </w:r>
      <w:r w:rsidRPr="005A25E0">
        <w:fldChar w:fldCharType="end"/>
      </w:r>
      <w:r w:rsidRPr="005A25E0">
        <w:tab/>
        <w:t>Die TWC vereinbarte, Frankreich und Kenia dazu einzuladen, auf ihrer nächsten Tagung Referate über die Verwendung verschiedener Standorte in einem Jahr für DUS-Anbauprüfungen zu halten.</w:t>
      </w:r>
    </w:p>
    <w:p w:rsidR="001E52BB" w:rsidRPr="005A25E0" w:rsidRDefault="001E52BB" w:rsidP="00B24BA3">
      <w:pPr>
        <w:rPr>
          <w:rFonts w:eastAsiaTheme="minorEastAsia"/>
          <w:snapToGrid w:val="0"/>
          <w:lang w:eastAsia="ja-JP"/>
        </w:rPr>
      </w:pPr>
    </w:p>
    <w:p w:rsidR="001E52BB" w:rsidRPr="005A25E0" w:rsidRDefault="00B24BA3" w:rsidP="00896E18">
      <w:pPr>
        <w:keepNext/>
        <w:outlineLvl w:val="1"/>
        <w:rPr>
          <w:rFonts w:eastAsiaTheme="minorEastAsia"/>
          <w:snapToGrid w:val="0"/>
          <w:u w:val="single"/>
        </w:rPr>
      </w:pPr>
      <w:bookmarkStart w:id="21" w:name="_Toc527980872"/>
      <w:r w:rsidRPr="005A25E0">
        <w:rPr>
          <w:snapToGrid w:val="0"/>
          <w:u w:val="single"/>
        </w:rPr>
        <w:lastRenderedPageBreak/>
        <w:t>Merkmalsausprägung zwischen Jahren oder Umgebungen für Ziersorten</w:t>
      </w:r>
      <w:bookmarkEnd w:id="21"/>
      <w:r w:rsidRPr="005A25E0">
        <w:rPr>
          <w:snapToGrid w:val="0"/>
          <w:u w:val="single"/>
        </w:rPr>
        <w:t xml:space="preserve"> </w:t>
      </w:r>
    </w:p>
    <w:p w:rsidR="001E52BB" w:rsidRPr="005A25E0" w:rsidRDefault="001E52BB" w:rsidP="00896E18">
      <w:pPr>
        <w:keepNext/>
        <w:rPr>
          <w:rFonts w:eastAsiaTheme="minorEastAsia"/>
          <w:snapToGrid w:val="0"/>
          <w:lang w:eastAsia="ja-JP"/>
        </w:rPr>
      </w:pPr>
    </w:p>
    <w:p w:rsidR="001E52BB" w:rsidRPr="005A25E0" w:rsidRDefault="00B24BA3" w:rsidP="00896E18">
      <w:pPr>
        <w:keepNext/>
      </w:pPr>
      <w:r w:rsidRPr="005A25E0">
        <w:rPr>
          <w:snapToGrid w:val="0"/>
        </w:rPr>
        <w:fldChar w:fldCharType="begin"/>
      </w:r>
      <w:r w:rsidRPr="005A25E0">
        <w:rPr>
          <w:snapToGrid w:val="0"/>
        </w:rPr>
        <w:instrText xml:space="preserve"> AUTONUM  </w:instrText>
      </w:r>
      <w:r w:rsidRPr="005A25E0">
        <w:rPr>
          <w:snapToGrid w:val="0"/>
        </w:rPr>
        <w:fldChar w:fldCharType="end"/>
      </w:r>
      <w:r w:rsidRPr="005A25E0">
        <w:rPr>
          <w:snapToGrid w:val="0"/>
        </w:rPr>
        <w:tab/>
        <w:t xml:space="preserve">Die TWO prüfte auf ihrer fünfzigsten Tagung vom 11. bis 15. September 2017 in Victoria, Kanada, das Dokument </w:t>
      </w:r>
      <w:hyperlink r:id="rId24" w:history="1">
        <w:r w:rsidRPr="005A25E0">
          <w:rPr>
            <w:color w:val="0000FF"/>
            <w:u w:val="single"/>
          </w:rPr>
          <w:t>TWO/50/13</w:t>
        </w:r>
      </w:hyperlink>
      <w:r w:rsidRPr="005A25E0">
        <w:rPr>
          <w:color w:val="0000FF"/>
        </w:rPr>
        <w:t xml:space="preserve"> „</w:t>
      </w:r>
      <w:r w:rsidRPr="005A25E0">
        <w:t>Merkmalsausprägung zwischen Jahren oder Umgebungen für Ziersorten”</w:t>
      </w:r>
      <w:r w:rsidRPr="005A25E0">
        <w:rPr>
          <w:color w:val="0000FF"/>
        </w:rPr>
        <w:t xml:space="preserve"> </w:t>
      </w:r>
      <w:r w:rsidRPr="005A25E0">
        <w:t xml:space="preserve">und hörte ein Referat über „Verwendung von Sortenbeschreibungen als Prüfinstrument: Auswertung von Sortenvariation” von einem Sachverständigen aus Neuseeland, wovon eine Abschrift als Ergänzung zu Dokument TWO/50/13 bereitgestellt werde </w:t>
      </w:r>
      <w:r w:rsidRPr="005A25E0">
        <w:rPr>
          <w:snapToGrid w:val="0"/>
        </w:rPr>
        <w:t>(vergleiche Dokument TWO/50/14 „</w:t>
      </w:r>
      <w:r w:rsidRPr="00E06928">
        <w:rPr>
          <w:i/>
          <w:snapToGrid w:val="0"/>
        </w:rPr>
        <w:t>Report</w:t>
      </w:r>
      <w:r w:rsidRPr="005A25E0">
        <w:rPr>
          <w:snapToGrid w:val="0"/>
        </w:rPr>
        <w:t>“, Absätze 55 bis 58)</w:t>
      </w:r>
      <w:r w:rsidRPr="005A25E0">
        <w:t>.</w:t>
      </w:r>
    </w:p>
    <w:p w:rsidR="001E52BB" w:rsidRPr="005A25E0" w:rsidRDefault="001E52BB" w:rsidP="00B24BA3"/>
    <w:p w:rsidR="001E52BB" w:rsidRPr="005A25E0" w:rsidRDefault="00B24BA3" w:rsidP="00B24BA3">
      <w:r w:rsidRPr="005A25E0">
        <w:rPr>
          <w:snapToGrid w:val="0"/>
        </w:rPr>
        <w:fldChar w:fldCharType="begin"/>
      </w:r>
      <w:r w:rsidRPr="005A25E0">
        <w:rPr>
          <w:snapToGrid w:val="0"/>
        </w:rPr>
        <w:instrText xml:space="preserve"> AUTONUM  </w:instrText>
      </w:r>
      <w:r w:rsidRPr="005A25E0">
        <w:rPr>
          <w:snapToGrid w:val="0"/>
        </w:rPr>
        <w:fldChar w:fldCharType="end"/>
      </w:r>
      <w:r w:rsidRPr="005A25E0">
        <w:rPr>
          <w:snapToGrid w:val="0"/>
        </w:rPr>
        <w:tab/>
        <w:t xml:space="preserve">Die TWO stimmte darin überein, </w:t>
      </w:r>
      <w:proofErr w:type="spellStart"/>
      <w:r w:rsidRPr="005A25E0">
        <w:rPr>
          <w:snapToGrid w:val="0"/>
        </w:rPr>
        <w:t>daß</w:t>
      </w:r>
      <w:proofErr w:type="spellEnd"/>
      <w:r w:rsidRPr="005A25E0">
        <w:rPr>
          <w:snapToGrid w:val="0"/>
        </w:rPr>
        <w:t xml:space="preserve"> zusätzliche Informationen, die die Sortenbeschreibung begleiten, wie etwa die verwendeten Beispielsorten, für die Auswertung von Prüfungsergebnissen und den </w:t>
      </w:r>
      <w:proofErr w:type="spellStart"/>
      <w:r w:rsidRPr="005A25E0">
        <w:rPr>
          <w:snapToGrid w:val="0"/>
        </w:rPr>
        <w:t>Umwelteinfluß</w:t>
      </w:r>
      <w:proofErr w:type="spellEnd"/>
      <w:r w:rsidRPr="005A25E0">
        <w:rPr>
          <w:snapToGrid w:val="0"/>
        </w:rPr>
        <w:t xml:space="preserve"> auf bestimmte Merkmale relevant sein könnten</w:t>
      </w:r>
      <w:r w:rsidR="00E723E1" w:rsidRPr="005A25E0">
        <w:rPr>
          <w:snapToGrid w:val="0"/>
        </w:rPr>
        <w:t xml:space="preserve">. </w:t>
      </w:r>
    </w:p>
    <w:p w:rsidR="001E52BB" w:rsidRPr="005A25E0" w:rsidRDefault="001E52BB" w:rsidP="00B24BA3"/>
    <w:p w:rsidR="001E52BB" w:rsidRPr="005A25E0" w:rsidRDefault="00B24BA3" w:rsidP="00B24BA3">
      <w:r w:rsidRPr="005A25E0">
        <w:rPr>
          <w:snapToGrid w:val="0"/>
        </w:rPr>
        <w:fldChar w:fldCharType="begin"/>
      </w:r>
      <w:r w:rsidRPr="005A25E0">
        <w:rPr>
          <w:snapToGrid w:val="0"/>
        </w:rPr>
        <w:instrText xml:space="preserve"> AUTONUM  </w:instrText>
      </w:r>
      <w:r w:rsidRPr="005A25E0">
        <w:rPr>
          <w:snapToGrid w:val="0"/>
        </w:rPr>
        <w:fldChar w:fldCharType="end"/>
      </w:r>
      <w:r w:rsidRPr="005A25E0">
        <w:rPr>
          <w:snapToGrid w:val="0"/>
        </w:rPr>
        <w:tab/>
        <w:t xml:space="preserve">Die TWO bemerkte, </w:t>
      </w:r>
      <w:proofErr w:type="spellStart"/>
      <w:r w:rsidRPr="005A25E0">
        <w:rPr>
          <w:snapToGrid w:val="0"/>
        </w:rPr>
        <w:t>daß</w:t>
      </w:r>
      <w:proofErr w:type="spellEnd"/>
      <w:r w:rsidRPr="005A25E0">
        <w:rPr>
          <w:snapToGrid w:val="0"/>
        </w:rPr>
        <w:t xml:space="preserve"> das Dokument TGP/5 Abschnitt 6 „UPOV-Bericht über die technische Prüfung und UPOV-Sortenbeschreibung“ einige Informationen </w:t>
      </w:r>
      <w:r w:rsidRPr="005A25E0">
        <w:t xml:space="preserve">über die Anbauprüfung erfordere und vereinbarte, </w:t>
      </w:r>
      <w:proofErr w:type="spellStart"/>
      <w:r w:rsidRPr="005A25E0">
        <w:t>daß</w:t>
      </w:r>
      <w:proofErr w:type="spellEnd"/>
      <w:r w:rsidRPr="005A25E0">
        <w:t xml:space="preserve"> Behörden, die DUS-Berichte austauschen, in der Lage sein sollten, auf Anfrage weitere Informationen zu erhalten.</w:t>
      </w:r>
    </w:p>
    <w:p w:rsidR="001E52BB" w:rsidRPr="005A25E0" w:rsidRDefault="001E52BB" w:rsidP="00B24BA3"/>
    <w:p w:rsidR="001E52BB" w:rsidRPr="005A25E0" w:rsidRDefault="00B24BA3" w:rsidP="00B24BA3">
      <w:pPr>
        <w:rPr>
          <w:snapToGrid w:val="0"/>
        </w:rPr>
      </w:pPr>
      <w:r w:rsidRPr="005A25E0">
        <w:rPr>
          <w:snapToGrid w:val="0"/>
        </w:rPr>
        <w:fldChar w:fldCharType="begin"/>
      </w:r>
      <w:r w:rsidRPr="005A25E0">
        <w:rPr>
          <w:snapToGrid w:val="0"/>
        </w:rPr>
        <w:instrText xml:space="preserve"> AUTONUM  </w:instrText>
      </w:r>
      <w:r w:rsidRPr="005A25E0">
        <w:rPr>
          <w:snapToGrid w:val="0"/>
        </w:rPr>
        <w:fldChar w:fldCharType="end"/>
      </w:r>
      <w:r w:rsidRPr="005A25E0">
        <w:rPr>
          <w:snapToGrid w:val="0"/>
        </w:rPr>
        <w:tab/>
        <w:t xml:space="preserve">Die TWO nahm zur Kenntnis, </w:t>
      </w:r>
      <w:proofErr w:type="spellStart"/>
      <w:r w:rsidRPr="005A25E0">
        <w:rPr>
          <w:snapToGrid w:val="0"/>
        </w:rPr>
        <w:t>daß</w:t>
      </w:r>
      <w:proofErr w:type="spellEnd"/>
      <w:r w:rsidRPr="005A25E0">
        <w:rPr>
          <w:snapToGrid w:val="0"/>
        </w:rPr>
        <w:t xml:space="preserve"> in Australien in der Regel Informationen über Sorten, die von der Anbauprüfung ausgeschlossen werden, vermerkt würden</w:t>
      </w:r>
      <w:r w:rsidR="00E723E1" w:rsidRPr="005A25E0">
        <w:rPr>
          <w:snapToGrid w:val="0"/>
        </w:rPr>
        <w:t xml:space="preserve">. </w:t>
      </w:r>
    </w:p>
    <w:p w:rsidR="001E52BB" w:rsidRPr="005A25E0" w:rsidRDefault="001E52BB" w:rsidP="00F01D8E">
      <w:pPr>
        <w:pStyle w:val="style1"/>
        <w:jc w:val="both"/>
        <w:rPr>
          <w:sz w:val="20"/>
          <w:szCs w:val="20"/>
        </w:rPr>
      </w:pPr>
    </w:p>
    <w:p w:rsidR="001E52BB" w:rsidRDefault="00C27AE7" w:rsidP="00C27AE7">
      <w:pPr>
        <w:pStyle w:val="Heading2"/>
      </w:pPr>
      <w:bookmarkStart w:id="22" w:name="_Toc527980873"/>
      <w:r w:rsidRPr="005A25E0">
        <w:t>Benennung neuer Pflanzenschädlingsarten</w:t>
      </w:r>
      <w:bookmarkEnd w:id="22"/>
    </w:p>
    <w:p w:rsidR="001E52BB" w:rsidRDefault="001E52BB" w:rsidP="00C27AE7">
      <w:pPr>
        <w:pStyle w:val="style1"/>
        <w:keepNext/>
        <w:jc w:val="both"/>
        <w:rPr>
          <w:sz w:val="20"/>
          <w:szCs w:val="20"/>
        </w:rPr>
      </w:pPr>
    </w:p>
    <w:p w:rsidR="001E52BB" w:rsidRPr="004F1CBB" w:rsidRDefault="00F01D8E" w:rsidP="00C27AE7">
      <w:pPr>
        <w:pStyle w:val="style1"/>
        <w:keepNext/>
        <w:jc w:val="both"/>
        <w:rPr>
          <w:sz w:val="20"/>
          <w:szCs w:val="20"/>
        </w:rPr>
      </w:pPr>
      <w:r w:rsidRPr="004F1CBB">
        <w:rPr>
          <w:sz w:val="20"/>
          <w:szCs w:val="20"/>
        </w:rPr>
        <w:fldChar w:fldCharType="begin"/>
      </w:r>
      <w:r w:rsidRPr="004F1CBB">
        <w:rPr>
          <w:sz w:val="20"/>
          <w:szCs w:val="20"/>
        </w:rPr>
        <w:instrText xml:space="preserve"> AUTONUM  </w:instrText>
      </w:r>
      <w:r w:rsidRPr="004F1CBB">
        <w:rPr>
          <w:sz w:val="20"/>
          <w:szCs w:val="20"/>
        </w:rPr>
        <w:fldChar w:fldCharType="end"/>
      </w:r>
      <w:r w:rsidRPr="004F1CBB">
        <w:tab/>
      </w:r>
      <w:r w:rsidRPr="004F1CBB">
        <w:rPr>
          <w:sz w:val="20"/>
          <w:szCs w:val="20"/>
        </w:rPr>
        <w:t>Die TWV hörte auf ihrer zweiundfünfzigsten Tagung vom 17. bis 21. September 2018 in Peking, China, ein Referat vom Vertreter des Internationalen Saatgutverbandes (ISF) über die derzeit von der ISF-Arbeitsgruppe über die Terminologie der Krankheitsresistenz durchgeführte Arbeit im Hinblick auf ISF-Richtlinien zur Benennung neuer Pflanzenschädlingsarten. Die TWV lud den Vertreter des ISF dazu ein, auf der nächsten TWV-Tagung über diesbezügliche neue Entwicklungen zu berichten (vergleiche Dokument TWV/52/20 „</w:t>
      </w:r>
      <w:r w:rsidRPr="00E06928">
        <w:rPr>
          <w:i/>
          <w:sz w:val="20"/>
          <w:szCs w:val="20"/>
        </w:rPr>
        <w:t>Report</w:t>
      </w:r>
      <w:r w:rsidRPr="004F1CBB">
        <w:rPr>
          <w:sz w:val="20"/>
          <w:szCs w:val="20"/>
        </w:rPr>
        <w:t>“, Absatz 7).</w:t>
      </w:r>
    </w:p>
    <w:p w:rsidR="001E52BB" w:rsidRPr="004F1CBB" w:rsidRDefault="001E52BB" w:rsidP="00F01D8E"/>
    <w:p w:rsidR="001E52BB" w:rsidRPr="004F1CBB" w:rsidRDefault="001E52BB" w:rsidP="001E52BB">
      <w:pPr>
        <w:pStyle w:val="Heading2"/>
      </w:pPr>
      <w:bookmarkStart w:id="23" w:name="_Toc527980874"/>
      <w:r w:rsidRPr="004F1CBB">
        <w:t>Auswirkungen von Endophyten auf DUS-Merkmale bei Gräsern;</w:t>
      </w:r>
      <w:bookmarkEnd w:id="23"/>
      <w:r w:rsidRPr="004F1CBB">
        <w:t xml:space="preserve"> </w:t>
      </w:r>
    </w:p>
    <w:p w:rsidR="001E52BB" w:rsidRPr="004F1CBB" w:rsidRDefault="001E52BB" w:rsidP="00F01D8E">
      <w:pPr>
        <w:keepNext/>
      </w:pPr>
    </w:p>
    <w:p w:rsidR="001E52BB" w:rsidRDefault="00F01D8E" w:rsidP="001E52BB">
      <w:r w:rsidRPr="004F1CBB">
        <w:rPr>
          <w:snapToGrid w:val="0"/>
        </w:rPr>
        <w:fldChar w:fldCharType="begin"/>
      </w:r>
      <w:r w:rsidRPr="004F1CBB">
        <w:rPr>
          <w:snapToGrid w:val="0"/>
        </w:rPr>
        <w:instrText xml:space="preserve"> AUTONUM  </w:instrText>
      </w:r>
      <w:r w:rsidRPr="004F1CBB">
        <w:rPr>
          <w:snapToGrid w:val="0"/>
        </w:rPr>
        <w:fldChar w:fldCharType="end"/>
      </w:r>
      <w:r w:rsidRPr="004F1CBB">
        <w:rPr>
          <w:snapToGrid w:val="0"/>
        </w:rPr>
        <w:tab/>
      </w:r>
      <w:r w:rsidRPr="004F1CBB">
        <w:t xml:space="preserve">Die TWA hörte auf ihrer sechsundvierzigsten Tagung vom 19. bis 23. Juni 2017 in Hannover, Deutschland, folgende Referate über die Auswirkungen von Endophyten auf DUS-Merkmale bei Gräsern, wie in </w:t>
      </w:r>
      <w:r w:rsidRPr="004F1CBB">
        <w:rPr>
          <w:snapToGrid w:val="0"/>
        </w:rPr>
        <w:t>den Dokumenten</w:t>
      </w:r>
      <w:r w:rsidRPr="004F1CBB">
        <w:t xml:space="preserve"> </w:t>
      </w:r>
      <w:hyperlink r:id="rId25" w:history="1">
        <w:r w:rsidR="006A7173" w:rsidRPr="00C27AE7">
          <w:rPr>
            <w:rStyle w:val="Hyperlink"/>
          </w:rPr>
          <w:t>TWA/46/5</w:t>
        </w:r>
      </w:hyperlink>
      <w:r w:rsidR="006A7173" w:rsidRPr="00C27AE7">
        <w:t xml:space="preserve"> </w:t>
      </w:r>
      <w:r w:rsidR="00E723E1" w:rsidRPr="004F1CBB">
        <w:t xml:space="preserve"> und</w:t>
      </w:r>
      <w:r w:rsidRPr="004F1CBB">
        <w:t xml:space="preserve"> TWA/46/5 Add wiedergegeben (vergleiche Dokument TWA/46/10 „</w:t>
      </w:r>
      <w:r w:rsidRPr="00E06928">
        <w:rPr>
          <w:i/>
        </w:rPr>
        <w:t>Report</w:t>
      </w:r>
      <w:r w:rsidRPr="004F1CBB">
        <w:t>“, Absatz 63).</w:t>
      </w:r>
    </w:p>
    <w:p w:rsidR="00F01D8E" w:rsidRPr="00C27AE7" w:rsidRDefault="00F01D8E" w:rsidP="00F01D8E"/>
    <w:tbl>
      <w:tblPr>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F01D8E" w:rsidRPr="00986C8D" w:rsidTr="00EC4398">
        <w:tc>
          <w:tcPr>
            <w:tcW w:w="8647" w:type="dxa"/>
          </w:tcPr>
          <w:p w:rsidR="00F01D8E" w:rsidRPr="00986C8D" w:rsidRDefault="00F01D8E" w:rsidP="0092408E">
            <w:pPr>
              <w:pStyle w:val="ListParagraph"/>
              <w:numPr>
                <w:ilvl w:val="0"/>
                <w:numId w:val="1"/>
              </w:numPr>
              <w:tabs>
                <w:tab w:val="left" w:pos="34"/>
              </w:tabs>
              <w:spacing w:before="120" w:after="120"/>
            </w:pPr>
            <w:r w:rsidRPr="00986C8D">
              <w:t xml:space="preserve">„Auswirkungen von Endophyten auf DUS-Merkmale bei Gräsern: Neuseelands Erfahrung mit Pilzendophyten bei der DUS-Prüfung von </w:t>
            </w:r>
            <w:proofErr w:type="spellStart"/>
            <w:r w:rsidRPr="00986C8D">
              <w:t>Gräsersorten</w:t>
            </w:r>
            <w:proofErr w:type="spellEnd"/>
            <w:r w:rsidRPr="00986C8D">
              <w:t>“, erstellt von einem Sachverständigen aus Neuseeland;</w:t>
            </w:r>
          </w:p>
        </w:tc>
      </w:tr>
      <w:tr w:rsidR="00F01D8E" w:rsidRPr="00986C8D" w:rsidTr="00EC4398">
        <w:tc>
          <w:tcPr>
            <w:tcW w:w="8647" w:type="dxa"/>
          </w:tcPr>
          <w:p w:rsidR="00F01D8E" w:rsidRPr="00986C8D" w:rsidRDefault="0092408E" w:rsidP="0092408E">
            <w:pPr>
              <w:pStyle w:val="ListParagraph"/>
              <w:numPr>
                <w:ilvl w:val="0"/>
                <w:numId w:val="1"/>
              </w:numPr>
              <w:tabs>
                <w:tab w:val="left" w:pos="34"/>
              </w:tabs>
              <w:spacing w:before="120" w:after="120"/>
            </w:pPr>
            <w:r w:rsidRPr="00986C8D">
              <w:t>„</w:t>
            </w:r>
            <w:r w:rsidRPr="00986C8D">
              <w:rPr>
                <w:snapToGrid w:val="0"/>
              </w:rPr>
              <w:t>Auswirkungen von Endophyten auf DUS-Merkmale bei Gräsern</w:t>
            </w:r>
            <w:r w:rsidRPr="00986C8D">
              <w:t>“</w:t>
            </w:r>
            <w:r w:rsidRPr="00986C8D">
              <w:rPr>
                <w:snapToGrid w:val="0"/>
              </w:rPr>
              <w:t>, erstellt von einem Sachverständigen aus der Europäischen Union.</w:t>
            </w:r>
          </w:p>
        </w:tc>
      </w:tr>
    </w:tbl>
    <w:p w:rsidR="001E52BB" w:rsidRPr="00986C8D" w:rsidRDefault="001E52BB" w:rsidP="00B24BA3"/>
    <w:p w:rsidR="001E52BB" w:rsidRPr="00986C8D" w:rsidRDefault="001E52BB" w:rsidP="001E52BB">
      <w:pPr>
        <w:pStyle w:val="Heading2"/>
      </w:pPr>
      <w:bookmarkStart w:id="24" w:name="_Toc527980875"/>
      <w:r w:rsidRPr="00986C8D">
        <w:t xml:space="preserve">DUS-Prüfung von </w:t>
      </w:r>
      <w:proofErr w:type="spellStart"/>
      <w:r w:rsidRPr="00986C8D">
        <w:t>Mutantensorten</w:t>
      </w:r>
      <w:proofErr w:type="spellEnd"/>
      <w:r w:rsidRPr="00986C8D">
        <w:t xml:space="preserve"> bei Apfel</w:t>
      </w:r>
      <w:bookmarkEnd w:id="24"/>
    </w:p>
    <w:p w:rsidR="001E52BB" w:rsidRPr="00986C8D" w:rsidRDefault="001E52BB" w:rsidP="00B24BA3">
      <w:pPr>
        <w:pStyle w:val="Heading2"/>
      </w:pPr>
    </w:p>
    <w:p w:rsidR="001E52BB" w:rsidRDefault="00B24BA3" w:rsidP="001E52BB">
      <w:r w:rsidRPr="00986C8D">
        <w:fldChar w:fldCharType="begin"/>
      </w:r>
      <w:r w:rsidRPr="00986C8D">
        <w:instrText xml:space="preserve"> AUTONUM  </w:instrText>
      </w:r>
      <w:r w:rsidRPr="00986C8D">
        <w:fldChar w:fldCharType="end"/>
      </w:r>
      <w:r w:rsidRPr="00986C8D">
        <w:tab/>
        <w:t xml:space="preserve">Die TWF prüfte auf ihrer achtundvierzigsten Tagung vom 18. bis 22. September 2017 in </w:t>
      </w:r>
      <w:proofErr w:type="spellStart"/>
      <w:r w:rsidRPr="00986C8D">
        <w:t>Kelowna</w:t>
      </w:r>
      <w:proofErr w:type="spellEnd"/>
      <w:r w:rsidRPr="00986C8D">
        <w:t xml:space="preserve">, Kanada, das Dokument </w:t>
      </w:r>
      <w:hyperlink r:id="rId26" w:history="1">
        <w:r w:rsidRPr="00986C8D">
          <w:rPr>
            <w:rStyle w:val="Hyperlink"/>
          </w:rPr>
          <w:t>TWF/48/9</w:t>
        </w:r>
      </w:hyperlink>
      <w:r w:rsidRPr="00986C8D">
        <w:rPr>
          <w:rStyle w:val="Hyperlink"/>
        </w:rPr>
        <w:t xml:space="preserve"> </w:t>
      </w:r>
      <w:r w:rsidRPr="00986C8D">
        <w:t xml:space="preserve">„DUS-Prüfung von </w:t>
      </w:r>
      <w:proofErr w:type="spellStart"/>
      <w:r w:rsidRPr="00986C8D">
        <w:t>Mutantensorten</w:t>
      </w:r>
      <w:proofErr w:type="spellEnd"/>
      <w:r w:rsidRPr="00986C8D">
        <w:t xml:space="preserve"> bei Apfel“ und hörte ein Referat von einem Sachverständigen aus der Europäischen Union, wovon eine Kopie in Dokument TWF/48/9 Add.</w:t>
      </w:r>
      <w:r>
        <w:t xml:space="preserve"> enthalten ist (vergleiche Dokument TWF/48/13 „</w:t>
      </w:r>
      <w:r w:rsidRPr="00E06928">
        <w:rPr>
          <w:i/>
        </w:rPr>
        <w:t>Report</w:t>
      </w:r>
      <w:r>
        <w:t>“, Absätze 101 bis 105).</w:t>
      </w:r>
    </w:p>
    <w:p w:rsidR="001E52BB" w:rsidRDefault="001E52BB" w:rsidP="00B24BA3"/>
    <w:p w:rsidR="001E52BB" w:rsidRPr="00986C8D" w:rsidRDefault="00B24BA3" w:rsidP="00B24BA3">
      <w:pPr>
        <w:rPr>
          <w:snapToGrid w:val="0"/>
        </w:rPr>
      </w:pPr>
      <w:r w:rsidRPr="00C27AE7">
        <w:fldChar w:fldCharType="begin"/>
      </w:r>
      <w:r w:rsidRPr="00C27AE7">
        <w:instrText xml:space="preserve"> AUTONUM  </w:instrText>
      </w:r>
      <w:r w:rsidRPr="00C27AE7">
        <w:fldChar w:fldCharType="end"/>
      </w:r>
      <w:r>
        <w:tab/>
      </w:r>
      <w:r w:rsidRPr="00986C8D">
        <w:rPr>
          <w:snapToGrid w:val="0"/>
        </w:rPr>
        <w:t xml:space="preserve">Die TWF stimmte darin überein, </w:t>
      </w:r>
      <w:proofErr w:type="spellStart"/>
      <w:r w:rsidRPr="00986C8D">
        <w:rPr>
          <w:snapToGrid w:val="0"/>
        </w:rPr>
        <w:t>daß</w:t>
      </w:r>
      <w:proofErr w:type="spellEnd"/>
      <w:r w:rsidRPr="00986C8D">
        <w:rPr>
          <w:snapToGrid w:val="0"/>
        </w:rPr>
        <w:t xml:space="preserve"> im Falle der DUS-Prüfung von </w:t>
      </w:r>
      <w:proofErr w:type="spellStart"/>
      <w:r w:rsidRPr="00986C8D">
        <w:rPr>
          <w:snapToGrid w:val="0"/>
        </w:rPr>
        <w:t>Apfelmutantensorten</w:t>
      </w:r>
      <w:proofErr w:type="spellEnd"/>
      <w:r w:rsidRPr="00986C8D">
        <w:rPr>
          <w:snapToGrid w:val="0"/>
        </w:rPr>
        <w:t xml:space="preserve"> der Informationsaustausch zwischen den DUS-Ämtern wichtig sei, um sicherzustellen, </w:t>
      </w:r>
      <w:proofErr w:type="spellStart"/>
      <w:r w:rsidRPr="00986C8D">
        <w:rPr>
          <w:snapToGrid w:val="0"/>
        </w:rPr>
        <w:t>daß</w:t>
      </w:r>
      <w:proofErr w:type="spellEnd"/>
      <w:r w:rsidRPr="00986C8D">
        <w:rPr>
          <w:snapToGrid w:val="0"/>
        </w:rPr>
        <w:t xml:space="preserve"> die Behörden alle potentiell vorhandenen ähnlichen Sorten kennen. Er kam ferner überein, </w:t>
      </w:r>
      <w:proofErr w:type="spellStart"/>
      <w:r w:rsidRPr="00986C8D">
        <w:rPr>
          <w:snapToGrid w:val="0"/>
        </w:rPr>
        <w:t>daß</w:t>
      </w:r>
      <w:proofErr w:type="spellEnd"/>
      <w:r w:rsidRPr="00986C8D">
        <w:rPr>
          <w:snapToGrid w:val="0"/>
        </w:rPr>
        <w:t xml:space="preserve"> die in TQ Abschnitt 6 enthaltenen Informationen nicht immer aussagekräftig genug seien und daher eine gute Koordination zwischen den Büros erforderlich sei.</w:t>
      </w:r>
    </w:p>
    <w:p w:rsidR="001E52BB" w:rsidRPr="00986C8D" w:rsidRDefault="001E52BB" w:rsidP="00B24BA3">
      <w:pPr>
        <w:rPr>
          <w:snapToGrid w:val="0"/>
        </w:rPr>
      </w:pPr>
    </w:p>
    <w:p w:rsidR="001E52BB" w:rsidRPr="00986C8D" w:rsidRDefault="00B24BA3" w:rsidP="00B24BA3">
      <w:pPr>
        <w:rPr>
          <w:snapToGrid w:val="0"/>
        </w:rPr>
      </w:pPr>
      <w:r w:rsidRPr="00986C8D">
        <w:fldChar w:fldCharType="begin"/>
      </w:r>
      <w:r w:rsidRPr="00986C8D">
        <w:instrText xml:space="preserve"> AUTONUM  </w:instrText>
      </w:r>
      <w:r w:rsidRPr="00986C8D">
        <w:fldChar w:fldCharType="end"/>
      </w:r>
      <w:r w:rsidRPr="00986C8D">
        <w:tab/>
      </w:r>
      <w:r w:rsidRPr="00986C8D">
        <w:rPr>
          <w:snapToGrid w:val="0"/>
        </w:rPr>
        <w:t xml:space="preserve">Die TWF stimmte darin überein, </w:t>
      </w:r>
      <w:proofErr w:type="spellStart"/>
      <w:r w:rsidRPr="00986C8D">
        <w:rPr>
          <w:snapToGrid w:val="0"/>
        </w:rPr>
        <w:t>daß</w:t>
      </w:r>
      <w:proofErr w:type="spellEnd"/>
      <w:r w:rsidRPr="00986C8D">
        <w:rPr>
          <w:snapToGrid w:val="0"/>
        </w:rPr>
        <w:t xml:space="preserve"> der Sachverständige aus der Europäischen Union ein Projekt zum Informationsaustausch zwischen den an der DUS-Prüfung für Apfel beteiligten Behörden koordinieren sollte, um Informationen über das folgende Prinzip auszutauschen:</w:t>
      </w:r>
    </w:p>
    <w:p w:rsidR="001E52BB" w:rsidRPr="00986C8D" w:rsidRDefault="001E52BB" w:rsidP="00B24BA3">
      <w:pPr>
        <w:rPr>
          <w:snapToGrid w:val="0"/>
        </w:rPr>
      </w:pPr>
    </w:p>
    <w:p w:rsidR="001E52BB" w:rsidRPr="00986C8D" w:rsidRDefault="00B24BA3" w:rsidP="00FA2F8B">
      <w:pPr>
        <w:pStyle w:val="ListParagraph"/>
        <w:keepNext/>
        <w:numPr>
          <w:ilvl w:val="0"/>
          <w:numId w:val="6"/>
        </w:numPr>
        <w:rPr>
          <w:snapToGrid w:val="0"/>
        </w:rPr>
      </w:pPr>
      <w:r w:rsidRPr="00986C8D">
        <w:rPr>
          <w:snapToGrid w:val="0"/>
        </w:rPr>
        <w:lastRenderedPageBreak/>
        <w:t>auf elektronischem Wege;</w:t>
      </w:r>
    </w:p>
    <w:p w:rsidR="001E52BB" w:rsidRPr="00986C8D" w:rsidRDefault="00B24BA3" w:rsidP="00FA2F8B">
      <w:pPr>
        <w:pStyle w:val="ListParagraph"/>
        <w:keepNext/>
        <w:numPr>
          <w:ilvl w:val="0"/>
          <w:numId w:val="6"/>
        </w:numPr>
        <w:rPr>
          <w:snapToGrid w:val="0"/>
        </w:rPr>
      </w:pPr>
      <w:r w:rsidRPr="00986C8D">
        <w:rPr>
          <w:snapToGrid w:val="0"/>
        </w:rPr>
        <w:t>zweimal im Jahr, wahrscheinlich im Januar und Juli, wenn jeweils Anbauprüfungen in der Nord- bzw. Südhalbkugel geplant sind;</w:t>
      </w:r>
    </w:p>
    <w:p w:rsidR="001E52BB" w:rsidRPr="00986C8D" w:rsidRDefault="00B24BA3" w:rsidP="00B24BA3">
      <w:pPr>
        <w:pStyle w:val="ListParagraph"/>
        <w:numPr>
          <w:ilvl w:val="0"/>
          <w:numId w:val="6"/>
        </w:numPr>
        <w:rPr>
          <w:snapToGrid w:val="0"/>
        </w:rPr>
      </w:pPr>
      <w:r w:rsidRPr="00986C8D">
        <w:rPr>
          <w:snapToGrid w:val="0"/>
        </w:rPr>
        <w:t xml:space="preserve">einschließlich Informationen zu Gala- und Fuji-Typen oder anderen </w:t>
      </w:r>
      <w:proofErr w:type="spellStart"/>
      <w:r w:rsidRPr="00986C8D">
        <w:rPr>
          <w:snapToGrid w:val="0"/>
        </w:rPr>
        <w:t>Mutantentypen</w:t>
      </w:r>
      <w:proofErr w:type="spellEnd"/>
      <w:r w:rsidRPr="00986C8D">
        <w:rPr>
          <w:snapToGrid w:val="0"/>
        </w:rPr>
        <w:t xml:space="preserve"> zu einem späteren Zeitpunkt;</w:t>
      </w:r>
    </w:p>
    <w:p w:rsidR="001E52BB" w:rsidRPr="00986C8D" w:rsidRDefault="00B24BA3" w:rsidP="00B24BA3">
      <w:pPr>
        <w:pStyle w:val="ListParagraph"/>
        <w:numPr>
          <w:ilvl w:val="0"/>
          <w:numId w:val="6"/>
        </w:numPr>
        <w:rPr>
          <w:snapToGrid w:val="0"/>
        </w:rPr>
      </w:pPr>
      <w:r w:rsidRPr="00986C8D">
        <w:rPr>
          <w:snapToGrid w:val="0"/>
        </w:rPr>
        <w:t>einschließlich Informationen über die ähnlichsten Sorten, die von den Behörden im Rahmen der DUS-Anbauprüfungen angebaut wurden.</w:t>
      </w:r>
    </w:p>
    <w:p w:rsidR="001E52BB" w:rsidRPr="00986C8D" w:rsidRDefault="001E52BB" w:rsidP="00B24BA3">
      <w:pPr>
        <w:rPr>
          <w:snapToGrid w:val="0"/>
        </w:rPr>
      </w:pPr>
    </w:p>
    <w:p w:rsidR="001E52BB" w:rsidRDefault="00B24BA3" w:rsidP="00B24BA3">
      <w:pPr>
        <w:rPr>
          <w:snapToGrid w:val="0"/>
        </w:rPr>
      </w:pPr>
      <w:r w:rsidRPr="00986C8D">
        <w:fldChar w:fldCharType="begin"/>
      </w:r>
      <w:r w:rsidRPr="00986C8D">
        <w:instrText xml:space="preserve"> AUTONUM  </w:instrText>
      </w:r>
      <w:r w:rsidRPr="00986C8D">
        <w:fldChar w:fldCharType="end"/>
      </w:r>
      <w:r w:rsidRPr="00986C8D">
        <w:tab/>
      </w:r>
      <w:r w:rsidRPr="00986C8D">
        <w:rPr>
          <w:snapToGrid w:val="0"/>
        </w:rPr>
        <w:t xml:space="preserve">Die TWF stimmte ferner darin überein, </w:t>
      </w:r>
      <w:proofErr w:type="spellStart"/>
      <w:r w:rsidRPr="00986C8D">
        <w:rPr>
          <w:snapToGrid w:val="0"/>
        </w:rPr>
        <w:t>daß</w:t>
      </w:r>
      <w:proofErr w:type="spellEnd"/>
      <w:r w:rsidRPr="00986C8D">
        <w:rPr>
          <w:snapToGrid w:val="0"/>
        </w:rPr>
        <w:t xml:space="preserve"> es sinnvoll wäre, sich an die Züchter zu wenden, um die Verfügbarkeit von Pflanzenmaterial aller Sorten, die in jedem Hoheitsgebiet als Mutanten eingetragen sind, zu überprüfen.</w:t>
      </w:r>
    </w:p>
    <w:p w:rsidR="001E52BB" w:rsidRDefault="001E52BB" w:rsidP="00B24BA3">
      <w:pPr>
        <w:rPr>
          <w:snapToGrid w:val="0"/>
        </w:rPr>
      </w:pPr>
    </w:p>
    <w:p w:rsidR="001E52BB" w:rsidRDefault="00B24BA3" w:rsidP="001E52BB">
      <w:pPr>
        <w:rPr>
          <w:snapToGrid w:val="0"/>
        </w:rPr>
      </w:pPr>
      <w:r w:rsidRPr="00C27AE7">
        <w:fldChar w:fldCharType="begin"/>
      </w:r>
      <w:r w:rsidRPr="00C27AE7">
        <w:instrText xml:space="preserve"> AUTONUM  </w:instrText>
      </w:r>
      <w:r w:rsidRPr="00C27AE7">
        <w:fldChar w:fldCharType="end"/>
      </w:r>
      <w:r>
        <w:tab/>
        <w:t>Die TWF ersuchte den Sachverständigen aus der Europäischen Union, auf ihrer nächsten Tagung über Entwicklungen zu berichten.</w:t>
      </w:r>
    </w:p>
    <w:p w:rsidR="001E52BB" w:rsidRDefault="001E52BB" w:rsidP="00B24BA3">
      <w:pPr>
        <w:rPr>
          <w:snapToGrid w:val="0"/>
        </w:rPr>
      </w:pPr>
    </w:p>
    <w:p w:rsidR="001E52BB" w:rsidRDefault="001E52BB" w:rsidP="001E52BB">
      <w:pPr>
        <w:pStyle w:val="Heading2"/>
      </w:pPr>
      <w:bookmarkStart w:id="25" w:name="_Toc527980876"/>
      <w:r>
        <w:t>Kalibrierungshandbuch für eine harmonisierte Sortenbeschreibung bei Apfel</w:t>
      </w:r>
      <w:bookmarkEnd w:id="25"/>
    </w:p>
    <w:p w:rsidR="001E52BB" w:rsidRDefault="001E52BB" w:rsidP="00005331">
      <w:pPr>
        <w:pStyle w:val="Heading2"/>
      </w:pPr>
    </w:p>
    <w:p w:rsidR="001E52BB" w:rsidRDefault="00005331" w:rsidP="00005331">
      <w:r w:rsidRPr="00C27AE7">
        <w:fldChar w:fldCharType="begin"/>
      </w:r>
      <w:r w:rsidRPr="00C27AE7">
        <w:instrText xml:space="preserve"> AUTONUM  </w:instrText>
      </w:r>
      <w:r w:rsidRPr="00C27AE7">
        <w:fldChar w:fldCharType="end"/>
      </w:r>
      <w:r>
        <w:tab/>
        <w:t xml:space="preserve">Die TWF prüfte auf ihrer achtundvierzigsten Tagung vom 18. bis 22. September 2017 in </w:t>
      </w:r>
      <w:proofErr w:type="spellStart"/>
      <w:r>
        <w:t>Kelowna</w:t>
      </w:r>
      <w:proofErr w:type="spellEnd"/>
      <w:r>
        <w:t xml:space="preserve">, Kanada, das Dokument  </w:t>
      </w:r>
      <w:hyperlink r:id="rId27" w:history="1">
        <w:r>
          <w:rPr>
            <w:rStyle w:val="Hyperlink"/>
          </w:rPr>
          <w:t>TWF/48/8</w:t>
        </w:r>
      </w:hyperlink>
      <w:r>
        <w:t xml:space="preserve"> „Kalibrierungshandbuch für eine harmonisierte Sortenbeschreibung bei Apfel“ (vergleiche Dokument TWF/48/13 „</w:t>
      </w:r>
      <w:r w:rsidRPr="00E06928">
        <w:rPr>
          <w:i/>
        </w:rPr>
        <w:t>Report</w:t>
      </w:r>
      <w:r>
        <w:t>“, Absätze 85 bis 88).</w:t>
      </w:r>
    </w:p>
    <w:p w:rsidR="001E52BB" w:rsidRDefault="001E52BB" w:rsidP="00005331"/>
    <w:p w:rsidR="001E52BB" w:rsidRPr="00986C8D" w:rsidRDefault="00005331" w:rsidP="001E52BB">
      <w:r w:rsidRPr="00C27AE7">
        <w:fldChar w:fldCharType="begin"/>
      </w:r>
      <w:r w:rsidRPr="00C27AE7">
        <w:instrText xml:space="preserve"> AUTONUM  </w:instrText>
      </w:r>
      <w:r w:rsidRPr="00C27AE7">
        <w:fldChar w:fldCharType="end"/>
      </w:r>
      <w:r>
        <w:tab/>
      </w:r>
      <w:r w:rsidRPr="00986C8D">
        <w:t xml:space="preserve">Die TWF hörte ein Referat eines Sachverständigen aus der Europäischen Union über „UPOV-Studie über </w:t>
      </w:r>
      <w:r w:rsidR="00E723E1" w:rsidRPr="00986C8D">
        <w:t>die</w:t>
      </w:r>
      <w:r w:rsidRPr="00986C8D">
        <w:t xml:space="preserve"> Unterscheidungskraft von Merkmalen in den Prüfungsrichtlinien für Apfel”.</w:t>
      </w:r>
      <w:r w:rsidR="006A7173">
        <w:t xml:space="preserve"> </w:t>
      </w:r>
      <w:r w:rsidRPr="00986C8D">
        <w:t>Dieses Referat ist in Anlage I des Dokuments TWF/48/8 wiedergegeben.</w:t>
      </w:r>
    </w:p>
    <w:p w:rsidR="001E52BB" w:rsidRPr="00986C8D" w:rsidRDefault="001E52BB" w:rsidP="00005331"/>
    <w:p w:rsidR="001E52BB" w:rsidRPr="00986C8D" w:rsidRDefault="00005331" w:rsidP="00005331">
      <w:r w:rsidRPr="00986C8D">
        <w:fldChar w:fldCharType="begin"/>
      </w:r>
      <w:r w:rsidRPr="00986C8D">
        <w:instrText xml:space="preserve"> AUTONUM  </w:instrText>
      </w:r>
      <w:r w:rsidRPr="00986C8D">
        <w:fldChar w:fldCharType="end"/>
      </w:r>
      <w:r w:rsidRPr="00986C8D">
        <w:tab/>
        <w:t xml:space="preserve">Die TWF hörte ein Referat über „Harmonisierte Sortenbeschreibungen für Apfel - unterscheidende Merkmale als Faktor” von einem Sachverständigen aus Neuseeland, wie in Dokument TWF/48/8 Add. </w:t>
      </w:r>
      <w:r w:rsidR="006A7173" w:rsidRPr="00986C8D">
        <w:t>W</w:t>
      </w:r>
      <w:r w:rsidRPr="00986C8D">
        <w:t>iedergegeben</w:t>
      </w:r>
      <w:r w:rsidR="006A7173">
        <w:t>.</w:t>
      </w:r>
    </w:p>
    <w:p w:rsidR="001E52BB" w:rsidRPr="00986C8D" w:rsidRDefault="001E52BB" w:rsidP="00005331"/>
    <w:p w:rsidR="001E52BB" w:rsidRPr="00986C8D" w:rsidRDefault="00005331" w:rsidP="00005331">
      <w:pPr>
        <w:autoSpaceDE w:val="0"/>
        <w:autoSpaceDN w:val="0"/>
        <w:adjustRightInd w:val="0"/>
        <w:rPr>
          <w:snapToGrid w:val="0"/>
        </w:rPr>
      </w:pPr>
      <w:r w:rsidRPr="00986C8D">
        <w:fldChar w:fldCharType="begin"/>
      </w:r>
      <w:r w:rsidRPr="00986C8D">
        <w:instrText xml:space="preserve"> AUTONUM  </w:instrText>
      </w:r>
      <w:r w:rsidRPr="00986C8D">
        <w:fldChar w:fldCharType="end"/>
      </w:r>
      <w:r w:rsidRPr="00986C8D">
        <w:tab/>
      </w:r>
      <w:r w:rsidR="00E723E1" w:rsidRPr="00986C8D">
        <w:t xml:space="preserve">Die TWF stimmte darin überein, </w:t>
      </w:r>
      <w:proofErr w:type="spellStart"/>
      <w:r w:rsidR="00E723E1" w:rsidRPr="00986C8D">
        <w:t>daß</w:t>
      </w:r>
      <w:proofErr w:type="spellEnd"/>
      <w:r w:rsidR="00E723E1" w:rsidRPr="00986C8D">
        <w:t xml:space="preserve"> die ursprüngliche Idee eines Kalibrierungshandbuchs für Apfel nicht weiterverfolgt werden sollte, sondern </w:t>
      </w:r>
      <w:proofErr w:type="spellStart"/>
      <w:r w:rsidR="00E723E1" w:rsidRPr="00986C8D">
        <w:t>daß</w:t>
      </w:r>
      <w:proofErr w:type="spellEnd"/>
      <w:r w:rsidR="00E723E1" w:rsidRPr="00986C8D">
        <w:t xml:space="preserve"> die </w:t>
      </w:r>
      <w:r w:rsidR="00E723E1" w:rsidRPr="00986C8D">
        <w:rPr>
          <w:snapToGrid w:val="0"/>
        </w:rPr>
        <w:t>Prüfungsrichtlinien für Apfelfruchtsorten (Dokument TG/14/9) überarbeitet und jedes Merkmal nach den folgenden Kr</w:t>
      </w:r>
      <w:r w:rsidR="00986C8D">
        <w:rPr>
          <w:snapToGrid w:val="0"/>
        </w:rPr>
        <w:t>iterien überprüft werden sollte</w:t>
      </w:r>
      <w:r w:rsidR="00E723E1" w:rsidRPr="00986C8D">
        <w:rPr>
          <w:snapToGrid w:val="0"/>
        </w:rPr>
        <w:t>:</w:t>
      </w:r>
    </w:p>
    <w:p w:rsidR="001E52BB" w:rsidRPr="00986C8D" w:rsidRDefault="001E52BB" w:rsidP="00005331">
      <w:pPr>
        <w:autoSpaceDE w:val="0"/>
        <w:autoSpaceDN w:val="0"/>
        <w:adjustRightInd w:val="0"/>
        <w:rPr>
          <w:snapToGrid w:val="0"/>
        </w:rPr>
      </w:pPr>
    </w:p>
    <w:p w:rsidR="001E52BB" w:rsidRPr="00986C8D" w:rsidRDefault="001E52BB" w:rsidP="001E52BB">
      <w:pPr>
        <w:pStyle w:val="ListParagraph"/>
        <w:numPr>
          <w:ilvl w:val="0"/>
          <w:numId w:val="5"/>
        </w:numPr>
        <w:autoSpaceDE w:val="0"/>
        <w:autoSpaceDN w:val="0"/>
        <w:adjustRightInd w:val="0"/>
        <w:rPr>
          <w:snapToGrid w:val="0"/>
        </w:rPr>
      </w:pPr>
      <w:r w:rsidRPr="00986C8D">
        <w:rPr>
          <w:snapToGrid w:val="0"/>
        </w:rPr>
        <w:t>Reproduzierbarkeit / Wiederholbarkeit des Merkmals</w:t>
      </w:r>
    </w:p>
    <w:p w:rsidR="001E52BB" w:rsidRPr="00986C8D" w:rsidRDefault="001E52BB" w:rsidP="001E52BB">
      <w:pPr>
        <w:pStyle w:val="ListParagraph"/>
        <w:numPr>
          <w:ilvl w:val="0"/>
          <w:numId w:val="5"/>
        </w:numPr>
        <w:autoSpaceDE w:val="0"/>
        <w:autoSpaceDN w:val="0"/>
        <w:adjustRightInd w:val="0"/>
        <w:rPr>
          <w:snapToGrid w:val="0"/>
        </w:rPr>
      </w:pPr>
      <w:r w:rsidRPr="00986C8D">
        <w:rPr>
          <w:snapToGrid w:val="0"/>
        </w:rPr>
        <w:t>Unterscheidungskraft des Merkmals</w:t>
      </w:r>
    </w:p>
    <w:p w:rsidR="001E52BB" w:rsidRPr="00986C8D" w:rsidRDefault="00005331" w:rsidP="00005331">
      <w:pPr>
        <w:pStyle w:val="ListParagraph"/>
        <w:numPr>
          <w:ilvl w:val="0"/>
          <w:numId w:val="5"/>
        </w:numPr>
        <w:autoSpaceDE w:val="0"/>
        <w:autoSpaceDN w:val="0"/>
        <w:adjustRightInd w:val="0"/>
        <w:rPr>
          <w:snapToGrid w:val="0"/>
        </w:rPr>
      </w:pPr>
      <w:r w:rsidRPr="00986C8D">
        <w:rPr>
          <w:snapToGrid w:val="0"/>
        </w:rPr>
        <w:t>Ansicht des Züchters über die Bedeutung des Merkmals.</w:t>
      </w:r>
    </w:p>
    <w:p w:rsidR="001E52BB" w:rsidRPr="00986C8D" w:rsidRDefault="001E52BB" w:rsidP="00005331"/>
    <w:p w:rsidR="001E52BB" w:rsidRPr="00986C8D" w:rsidRDefault="001E52BB" w:rsidP="001E52BB">
      <w:pPr>
        <w:keepNext/>
        <w:outlineLvl w:val="1"/>
        <w:rPr>
          <w:rFonts w:eastAsiaTheme="minorEastAsia"/>
          <w:snapToGrid w:val="0"/>
          <w:u w:val="single"/>
        </w:rPr>
      </w:pPr>
      <w:bookmarkStart w:id="26" w:name="_Toc527980877"/>
      <w:r w:rsidRPr="00986C8D">
        <w:rPr>
          <w:snapToGrid w:val="0"/>
          <w:u w:val="single"/>
        </w:rPr>
        <w:t>Erfahrung mit der RHS-Farbkarte und etwaige künftige Hinzufügung von Farben</w:t>
      </w:r>
      <w:bookmarkEnd w:id="26"/>
      <w:r w:rsidRPr="00986C8D">
        <w:rPr>
          <w:snapToGrid w:val="0"/>
          <w:u w:val="single"/>
        </w:rPr>
        <w:t xml:space="preserve"> </w:t>
      </w:r>
    </w:p>
    <w:p w:rsidR="001E52BB" w:rsidRPr="00986C8D" w:rsidRDefault="001E52BB" w:rsidP="00B24BA3">
      <w:pPr>
        <w:rPr>
          <w:rFonts w:eastAsiaTheme="minorEastAsia"/>
          <w:snapToGrid w:val="0"/>
          <w:lang w:eastAsia="ja-JP"/>
        </w:rPr>
      </w:pPr>
    </w:p>
    <w:p w:rsidR="001E52BB" w:rsidRPr="00986C8D" w:rsidRDefault="00B24BA3" w:rsidP="00B24BA3">
      <w:r w:rsidRPr="00986C8D">
        <w:rPr>
          <w:snapToGrid w:val="0"/>
        </w:rPr>
        <w:fldChar w:fldCharType="begin"/>
      </w:r>
      <w:r w:rsidRPr="00986C8D">
        <w:rPr>
          <w:snapToGrid w:val="0"/>
        </w:rPr>
        <w:instrText xml:space="preserve"> AUTONUM  </w:instrText>
      </w:r>
      <w:r w:rsidRPr="00986C8D">
        <w:rPr>
          <w:snapToGrid w:val="0"/>
        </w:rPr>
        <w:fldChar w:fldCharType="end"/>
      </w:r>
      <w:r w:rsidRPr="00986C8D">
        <w:rPr>
          <w:snapToGrid w:val="0"/>
        </w:rPr>
        <w:tab/>
        <w:t xml:space="preserve">Die TWO prüfte auf ihrer fünfzigsten Tagung vom 11. bis 15. September 2017 in Victoria, Kanada, das Dokument </w:t>
      </w:r>
      <w:r w:rsidRPr="00986C8D">
        <w:t xml:space="preserve">TWO/50/12 „Erfahrung mit der RHS-Farbkarte und etwaige künftige Hinzufügung von Farben” und hörte ein Referat von einem Sachverständigen aus dem Vereinigten Königreich </w:t>
      </w:r>
      <w:r w:rsidRPr="00986C8D">
        <w:rPr>
          <w:snapToGrid w:val="0"/>
        </w:rPr>
        <w:t>(vergleiche Dokument TWO/50/14 „</w:t>
      </w:r>
      <w:r w:rsidRPr="00E06928">
        <w:rPr>
          <w:i/>
          <w:snapToGrid w:val="0"/>
        </w:rPr>
        <w:t>Report</w:t>
      </w:r>
      <w:r w:rsidRPr="00986C8D">
        <w:rPr>
          <w:snapToGrid w:val="0"/>
        </w:rPr>
        <w:t>”, Absätze 53 und 54)</w:t>
      </w:r>
      <w:r w:rsidRPr="00986C8D">
        <w:t>.</w:t>
      </w:r>
    </w:p>
    <w:p w:rsidR="001E52BB" w:rsidRPr="00986C8D" w:rsidRDefault="001E52BB" w:rsidP="00B24BA3"/>
    <w:p w:rsidR="001E52BB" w:rsidRPr="00986C8D" w:rsidRDefault="00B24BA3" w:rsidP="00B24BA3">
      <w:pPr>
        <w:rPr>
          <w:snapToGrid w:val="0"/>
        </w:rPr>
      </w:pPr>
      <w:r w:rsidRPr="00986C8D">
        <w:rPr>
          <w:snapToGrid w:val="0"/>
        </w:rPr>
        <w:fldChar w:fldCharType="begin"/>
      </w:r>
      <w:r w:rsidRPr="00986C8D">
        <w:rPr>
          <w:snapToGrid w:val="0"/>
        </w:rPr>
        <w:instrText xml:space="preserve"> AUTONUM  </w:instrText>
      </w:r>
      <w:r w:rsidRPr="00986C8D">
        <w:rPr>
          <w:snapToGrid w:val="0"/>
        </w:rPr>
        <w:fldChar w:fldCharType="end"/>
      </w:r>
      <w:r w:rsidRPr="00986C8D">
        <w:rPr>
          <w:snapToGrid w:val="0"/>
        </w:rPr>
        <w:tab/>
        <w:t xml:space="preserve">Die TWO rief die Einladung der Royal </w:t>
      </w:r>
      <w:proofErr w:type="spellStart"/>
      <w:r w:rsidRPr="00986C8D">
        <w:rPr>
          <w:snapToGrid w:val="0"/>
        </w:rPr>
        <w:t>Horticultural</w:t>
      </w:r>
      <w:proofErr w:type="spellEnd"/>
      <w:r w:rsidRPr="00986C8D">
        <w:rPr>
          <w:snapToGrid w:val="0"/>
        </w:rPr>
        <w:t xml:space="preserve"> Society (RHS) in Erinnerung, auf der Grundlage praktischer Erfahrung Farben vorzuschlagen, die in der 6. Ausgabe der RHS-Farbkarte fehlen</w:t>
      </w:r>
      <w:r w:rsidR="00E723E1" w:rsidRPr="00986C8D">
        <w:rPr>
          <w:snapToGrid w:val="0"/>
        </w:rPr>
        <w:t xml:space="preserve">. </w:t>
      </w:r>
      <w:r w:rsidRPr="00986C8D">
        <w:rPr>
          <w:snapToGrid w:val="0"/>
        </w:rPr>
        <w:t xml:space="preserve">Die TWO vereinbarte, </w:t>
      </w:r>
      <w:proofErr w:type="spellStart"/>
      <w:r w:rsidRPr="00986C8D">
        <w:rPr>
          <w:snapToGrid w:val="0"/>
        </w:rPr>
        <w:t>daß</w:t>
      </w:r>
      <w:proofErr w:type="spellEnd"/>
      <w:r w:rsidRPr="00986C8D">
        <w:rPr>
          <w:snapToGrid w:val="0"/>
        </w:rPr>
        <w:t xml:space="preserve"> die von Sachverständigen aus den Verbandsmitgliedern festgestellten beträchtlichen Lücken zusammen mit dem vollständigen Namen der Pflanze und des Pflanzenteils bis zum 31. August 2018 an den Sachverständigen aus dem Vereinigten Königreich geschickt werden sollten, um zu versuchen, die entsprechende Farbe und die am nächsten kommende Farbe in der 6. Ausgabe der RHS-Farbkarte zu bestimmen.</w:t>
      </w:r>
    </w:p>
    <w:p w:rsidR="001E52BB" w:rsidRPr="00986C8D" w:rsidRDefault="001E52BB" w:rsidP="0032316C"/>
    <w:p w:rsidR="001E52BB" w:rsidRPr="00986C8D" w:rsidRDefault="001E52BB" w:rsidP="001E52BB">
      <w:pPr>
        <w:pStyle w:val="Heading2"/>
      </w:pPr>
      <w:bookmarkStart w:id="27" w:name="_Toc527980878"/>
      <w:r w:rsidRPr="00986C8D">
        <w:t>Erwägung einer möglichen Umstrukturierung von TGP/8</w:t>
      </w:r>
      <w:bookmarkEnd w:id="27"/>
      <w:r w:rsidRPr="00986C8D">
        <w:t xml:space="preserve"> </w:t>
      </w:r>
    </w:p>
    <w:p w:rsidR="001E52BB" w:rsidRPr="00986C8D" w:rsidRDefault="001E52BB" w:rsidP="00C56093">
      <w:pPr>
        <w:rPr>
          <w:i/>
        </w:rPr>
      </w:pPr>
    </w:p>
    <w:p w:rsidR="001E52BB" w:rsidRDefault="00C56093" w:rsidP="00C56093">
      <w:r w:rsidRPr="00986C8D">
        <w:fldChar w:fldCharType="begin"/>
      </w:r>
      <w:r w:rsidRPr="00986C8D">
        <w:instrText xml:space="preserve"> AUTONUM  </w:instrText>
      </w:r>
      <w:r w:rsidRPr="00986C8D">
        <w:fldChar w:fldCharType="end"/>
      </w:r>
      <w:r w:rsidRPr="00986C8D">
        <w:tab/>
        <w:t xml:space="preserve">Die TWC prüfte auf ihrer fünfunddreißigsten Tagung vom 14. bis 17. November 2017 in Buenos Aires, Argentinien, das Dokument </w:t>
      </w:r>
      <w:hyperlink r:id="rId28" w:history="1">
        <w:r w:rsidRPr="00986C8D">
          <w:rPr>
            <w:color w:val="0000FF"/>
            <w:u w:val="single"/>
          </w:rPr>
          <w:t>TWC/35/11</w:t>
        </w:r>
      </w:hyperlink>
      <w:r w:rsidRPr="00986C8D">
        <w:t xml:space="preserve"> „Erwägung einer möglichen Umstrukturierung von TGP/8: ein Vorschlag aus China” und vereinbarte, Sachverständige aus China einzuladen, weitere Informationen über den Hintergrund der vorgeschlagenen Überarbeitung des Dokuments TGP/8 vorzulegen</w:t>
      </w:r>
      <w:r w:rsidR="00E723E1" w:rsidRPr="00986C8D">
        <w:t xml:space="preserve">. </w:t>
      </w:r>
      <w:r w:rsidRPr="00986C8D">
        <w:t xml:space="preserve">Die TWC vereinbarte, Sachverständige aus Deutschland </w:t>
      </w:r>
      <w:r w:rsidR="00E723E1" w:rsidRPr="00986C8D">
        <w:t>zu ersuchen</w:t>
      </w:r>
      <w:r w:rsidRPr="00986C8D">
        <w:t xml:space="preserve">, anzubieten, mit den Sachverständigen aus China bei der Ausarbeitung des Vorschlags zusammenzuarbeiten und vereinbarte, </w:t>
      </w:r>
      <w:proofErr w:type="spellStart"/>
      <w:r w:rsidRPr="00986C8D">
        <w:t>daß</w:t>
      </w:r>
      <w:proofErr w:type="spellEnd"/>
      <w:r w:rsidRPr="00986C8D">
        <w:t xml:space="preserve"> das Thema auf ihrer sechsunddreißigsten Tagung weiter erörtert werden sollte (vergleiche Dokument TWC/35/21 „</w:t>
      </w:r>
      <w:r w:rsidRPr="00E06928">
        <w:rPr>
          <w:i/>
        </w:rPr>
        <w:t>Report</w:t>
      </w:r>
      <w:r w:rsidRPr="00986C8D">
        <w:t>“, Absatz 27).</w:t>
      </w:r>
    </w:p>
    <w:p w:rsidR="001E52BB" w:rsidRDefault="001E52BB" w:rsidP="001E52BB">
      <w:pPr>
        <w:pStyle w:val="Heading2"/>
        <w:rPr>
          <w:rFonts w:eastAsia="MS Mincho"/>
        </w:rPr>
      </w:pPr>
      <w:bookmarkStart w:id="28" w:name="_Toc527980879"/>
      <w:r>
        <w:lastRenderedPageBreak/>
        <w:t>Ausschließung allgemein bekannter Sorten von der zweiten Wachstumsperiode</w:t>
      </w:r>
      <w:bookmarkEnd w:id="28"/>
      <w:r>
        <w:t xml:space="preserve"> </w:t>
      </w:r>
    </w:p>
    <w:p w:rsidR="001E52BB" w:rsidRDefault="001E52BB" w:rsidP="0047640A">
      <w:pPr>
        <w:rPr>
          <w:i/>
        </w:rPr>
      </w:pPr>
    </w:p>
    <w:p w:rsidR="001E52BB" w:rsidRDefault="0047640A" w:rsidP="001E52BB">
      <w:r w:rsidRPr="00C27AE7">
        <w:fldChar w:fldCharType="begin"/>
      </w:r>
      <w:r w:rsidRPr="00C27AE7">
        <w:instrText xml:space="preserve"> AUTONUM  </w:instrText>
      </w:r>
      <w:r w:rsidRPr="00C27AE7">
        <w:fldChar w:fldCharType="end"/>
      </w:r>
      <w:r w:rsidR="006A7173">
        <w:tab/>
      </w:r>
      <w:r>
        <w:t>Die TWC prüfte auf ihrer fünfunddreißigsten Tagung vom 14. bis 17. November 2017 in Buenos Aires, Argentinien, die Dokumente TWP/1/22 „Entwicklung berechneter Schwellenwerte für die Ausschließung allgemein bekannter Sorten von der zweiten Wachstumsperiode bei Verwendung von COYD“ und TWC/35/13 „Schwellenwerte für die Ausschließung allgemein bekannter Sorten von der zweiten Wachstumsperiode bei Verwendung von COYD“ und hörte ein Referat von einem Sachverständigen aus dem Vereinigten Königreich, wovon eine Abschrift in der Anlage von Dokument TWC/35/13 Add enthalten ist (vergleiche Dokument TWC/35/21 „</w:t>
      </w:r>
      <w:r w:rsidRPr="00E06928">
        <w:rPr>
          <w:i/>
        </w:rPr>
        <w:t>Report</w:t>
      </w:r>
      <w:r>
        <w:t>“, Absätze 73 bis 76).</w:t>
      </w:r>
    </w:p>
    <w:p w:rsidR="001E52BB" w:rsidRDefault="001E52BB" w:rsidP="0047640A">
      <w:pPr>
        <w:rPr>
          <w:rFonts w:eastAsia="MS Mincho"/>
        </w:rPr>
      </w:pPr>
    </w:p>
    <w:p w:rsidR="001E52BB" w:rsidRDefault="0047640A" w:rsidP="001E52BB">
      <w:r w:rsidRPr="00C27AE7">
        <w:rPr>
          <w:snapToGrid w:val="0"/>
        </w:rPr>
        <w:fldChar w:fldCharType="begin"/>
      </w:r>
      <w:r w:rsidRPr="00C27AE7">
        <w:rPr>
          <w:snapToGrid w:val="0"/>
        </w:rPr>
        <w:instrText xml:space="preserve"> AUTONUM  </w:instrText>
      </w:r>
      <w:r w:rsidRPr="00C27AE7">
        <w:rPr>
          <w:snapToGrid w:val="0"/>
        </w:rPr>
        <w:fldChar w:fldCharType="end"/>
      </w:r>
      <w:r>
        <w:rPr>
          <w:snapToGrid w:val="0"/>
        </w:rPr>
        <w:tab/>
        <w:t>Die TWC nahm die jüngsten Entwicklungen und die Angaben von COYD-Schwellenwerten für die Ausschließung allgemein bekannter Sorten von der zweiten Wachstumsperiode auf der Grundlage von Datensätzen von Wiesenschwingel, Rotklee, Zwiebellieschgras, Deutschem Weidelgras, Erbse (halb blattlose) und Erbse (konventionelle) zur Kenntnis.</w:t>
      </w:r>
    </w:p>
    <w:p w:rsidR="001E52BB" w:rsidRDefault="001E52BB" w:rsidP="0047640A"/>
    <w:p w:rsidR="001E52BB" w:rsidRDefault="0047640A" w:rsidP="001E52BB">
      <w:pPr>
        <w:rPr>
          <w:rFonts w:eastAsia="MS Mincho"/>
        </w:rPr>
      </w:pPr>
      <w:r w:rsidRPr="00C27AE7">
        <w:rPr>
          <w:rFonts w:eastAsia="MS Mincho"/>
        </w:rPr>
        <w:fldChar w:fldCharType="begin"/>
      </w:r>
      <w:r w:rsidRPr="00C27AE7">
        <w:rPr>
          <w:rFonts w:eastAsia="MS Mincho"/>
        </w:rPr>
        <w:instrText xml:space="preserve"> AUTONUM  </w:instrText>
      </w:r>
      <w:r w:rsidRPr="00C27AE7">
        <w:rPr>
          <w:rFonts w:eastAsia="MS Mincho"/>
        </w:rPr>
        <w:fldChar w:fldCharType="end"/>
      </w:r>
      <w:r w:rsidR="003C4838">
        <w:tab/>
      </w:r>
      <w:r>
        <w:t xml:space="preserve">Die TWC nahm zur Kenntnis, </w:t>
      </w:r>
      <w:proofErr w:type="spellStart"/>
      <w:r>
        <w:t>daß</w:t>
      </w:r>
      <w:proofErr w:type="spellEnd"/>
      <w:r>
        <w:t xml:space="preserve"> si</w:t>
      </w:r>
      <w:r w:rsidR="003C4838">
        <w:t>ch die Methode am besten eigne</w:t>
      </w:r>
      <w:r>
        <w:t xml:space="preserve"> für Pflanzen mit einer großen Anzahl von Sorten, die allgemein bekannt sind und bei denen die derzeitigen </w:t>
      </w:r>
      <w:r w:rsidR="00E723E1">
        <w:t>Anbauprüfungsgrößen</w:t>
      </w:r>
      <w:r w:rsidR="003C4838">
        <w:t xml:space="preserve"> groß sei</w:t>
      </w:r>
      <w:r>
        <w:t>en</w:t>
      </w:r>
      <w:r w:rsidR="00E723E1">
        <w:t xml:space="preserve">. </w:t>
      </w:r>
      <w:r>
        <w:t>Die TWC nahm das Vorhaben des Vereinigten Königreichs, die Methode an zwei großen Datensätzen von Raps zu testen, zur Kenntnis.</w:t>
      </w:r>
    </w:p>
    <w:p w:rsidR="001E52BB" w:rsidRDefault="001E52BB" w:rsidP="0047640A">
      <w:pPr>
        <w:rPr>
          <w:rFonts w:eastAsia="MS Mincho"/>
        </w:rPr>
      </w:pPr>
    </w:p>
    <w:p w:rsidR="001E52BB" w:rsidRDefault="0047640A" w:rsidP="001E52BB">
      <w:pPr>
        <w:rPr>
          <w:rFonts w:eastAsia="MS Mincho"/>
        </w:rPr>
      </w:pPr>
      <w:r w:rsidRPr="00C27AE7">
        <w:rPr>
          <w:rFonts w:eastAsia="MS Mincho"/>
        </w:rPr>
        <w:fldChar w:fldCharType="begin"/>
      </w:r>
      <w:r w:rsidRPr="00C27AE7">
        <w:rPr>
          <w:rFonts w:eastAsia="MS Mincho"/>
        </w:rPr>
        <w:instrText xml:space="preserve"> AUTONUM  </w:instrText>
      </w:r>
      <w:r w:rsidRPr="00C27AE7">
        <w:rPr>
          <w:rFonts w:eastAsia="MS Mincho"/>
        </w:rPr>
        <w:fldChar w:fldCharType="end"/>
      </w:r>
      <w:r w:rsidR="003C4838">
        <w:tab/>
      </w:r>
      <w:r>
        <w:t xml:space="preserve">Die TWC nahm zur Kenntnis, </w:t>
      </w:r>
      <w:proofErr w:type="spellStart"/>
      <w:r>
        <w:t>daß</w:t>
      </w:r>
      <w:proofErr w:type="spellEnd"/>
      <w:r>
        <w:t xml:space="preserve"> das Programm unter Verwendung von „R</w:t>
      </w:r>
      <w:r w:rsidR="003C4838">
        <w:t>“-Software entwickelt worden sei, die mit der GAIA-Software verknüpft werden könne</w:t>
      </w:r>
      <w:r>
        <w:t>, um die Festlegung der Schwellenwerte für die Ausschließung von Sorten aus der zweiten Wachstumsperiode bei Verwendung von COYD zu unterstützen.</w:t>
      </w:r>
    </w:p>
    <w:p w:rsidR="001E52BB" w:rsidRDefault="001E52BB" w:rsidP="00050E16"/>
    <w:p w:rsidR="001E52BB" w:rsidRDefault="0047640A" w:rsidP="0047640A">
      <w:pPr>
        <w:pStyle w:val="Heading2"/>
      </w:pPr>
      <w:bookmarkStart w:id="29" w:name="_Toc527980880"/>
      <w:r>
        <w:t>Implementierung eines Dokumentenverwaltungssystems für Sortenakten</w:t>
      </w:r>
      <w:bookmarkEnd w:id="29"/>
      <w:r>
        <w:t xml:space="preserve"> </w:t>
      </w:r>
    </w:p>
    <w:p w:rsidR="001E52BB" w:rsidRDefault="001E52BB" w:rsidP="0047640A"/>
    <w:p w:rsidR="001E52BB" w:rsidRPr="003C4838" w:rsidRDefault="0047640A" w:rsidP="0047640A">
      <w:r w:rsidRPr="00C27AE7">
        <w:fldChar w:fldCharType="begin"/>
      </w:r>
      <w:r w:rsidRPr="00C27AE7">
        <w:instrText xml:space="preserve"> AUTONUM  </w:instrText>
      </w:r>
      <w:r w:rsidRPr="00C27AE7">
        <w:fldChar w:fldCharType="end"/>
      </w:r>
      <w:r>
        <w:tab/>
      </w:r>
      <w:r w:rsidRPr="003C4838">
        <w:t>Die TWC prüfte auf ihrer fünfunddreißigsten Tagung vom 14. bis 17. November 2017 in Buenos Aires, Argentinien, das Dokument TWC/35/16 „Implementierung eines Dokumentenverwaltungssystems für Sortenakten” (vergleiche Dokument TWC/35/21 „</w:t>
      </w:r>
      <w:r w:rsidRPr="00E06928">
        <w:rPr>
          <w:i/>
        </w:rPr>
        <w:t>Report</w:t>
      </w:r>
      <w:r w:rsidRPr="003C4838">
        <w:t>“, Absätze 107 und 108).</w:t>
      </w:r>
    </w:p>
    <w:p w:rsidR="001E52BB" w:rsidRPr="003C4838" w:rsidRDefault="001E52BB" w:rsidP="0047640A"/>
    <w:p w:rsidR="001E52BB" w:rsidRPr="003C4838" w:rsidRDefault="0047640A" w:rsidP="0047640A">
      <w:r w:rsidRPr="003C4838">
        <w:fldChar w:fldCharType="begin"/>
      </w:r>
      <w:r w:rsidRPr="003C4838">
        <w:instrText xml:space="preserve"> AUTONUM  </w:instrText>
      </w:r>
      <w:r w:rsidRPr="003C4838">
        <w:fldChar w:fldCharType="end"/>
      </w:r>
      <w:r w:rsidRPr="003C4838">
        <w:tab/>
        <w:t>Die TWC hörte ein mündliches Referat von einem Sachverständigen aus Deutschland und nahm die neu zu dem System hinzugefügten Funktionen zur Kenntnis, wie etwa getrennte Posteingangsbereiche für Nutzer und Gruppen und Festlegung von bevorzugten Dateien</w:t>
      </w:r>
      <w:r w:rsidR="00E723E1" w:rsidRPr="003C4838">
        <w:t xml:space="preserve">. </w:t>
      </w:r>
      <w:r w:rsidRPr="003C4838">
        <w:t>Die TWC nahm zu</w:t>
      </w:r>
      <w:r w:rsidR="003C4838">
        <w:t xml:space="preserve">r Kenntnis, </w:t>
      </w:r>
      <w:proofErr w:type="spellStart"/>
      <w:r w:rsidR="003C4838">
        <w:t>daß</w:t>
      </w:r>
      <w:proofErr w:type="spellEnd"/>
      <w:r w:rsidR="003C4838">
        <w:t xml:space="preserve"> das System eine elektronische</w:t>
      </w:r>
      <w:r w:rsidRPr="003C4838">
        <w:t xml:space="preserve"> Verwaltung verschiedener Dokumententypen biete, einschließlich Anwendungen für Sortenschutz, interne Kommunikation und Beschaffungsdateien</w:t>
      </w:r>
      <w:r w:rsidR="00E723E1" w:rsidRPr="003C4838">
        <w:t xml:space="preserve">. </w:t>
      </w:r>
    </w:p>
    <w:p w:rsidR="001E52BB" w:rsidRPr="003C4838" w:rsidRDefault="001E52BB" w:rsidP="00527E68">
      <w:pPr>
        <w:keepNext/>
      </w:pPr>
    </w:p>
    <w:p w:rsidR="001E52BB" w:rsidRPr="003C4838" w:rsidRDefault="00527E68" w:rsidP="00527E68">
      <w:pPr>
        <w:keepNext/>
      </w:pPr>
      <w:r w:rsidRPr="003C4838">
        <w:fldChar w:fldCharType="begin"/>
      </w:r>
      <w:r w:rsidRPr="003C4838">
        <w:instrText xml:space="preserve"> AUTONUM  </w:instrText>
      </w:r>
      <w:r w:rsidRPr="003C4838">
        <w:fldChar w:fldCharType="end"/>
      </w:r>
      <w:r w:rsidRPr="003C4838">
        <w:tab/>
        <w:t xml:space="preserve">Die TWC prüfte auf ihrer sechsunddreißigsten Tagung vom 2. bis 6. Juli 2018 in Hannover, Deutschland, das Dokument </w:t>
      </w:r>
      <w:hyperlink r:id="rId29" w:history="1">
        <w:r w:rsidRPr="003C4838">
          <w:rPr>
            <w:rStyle w:val="Hyperlink"/>
          </w:rPr>
          <w:t>TWC/36/14</w:t>
        </w:r>
      </w:hyperlink>
      <w:r w:rsidRPr="003C4838">
        <w:t xml:space="preserve"> „Implementierung eines Dokumentenverwaltungssystems für Sortenakten” (vergleiche Dokument TWC/36/15 „</w:t>
      </w:r>
      <w:r w:rsidRPr="00E06928">
        <w:rPr>
          <w:i/>
        </w:rPr>
        <w:t>Report</w:t>
      </w:r>
      <w:r w:rsidRPr="003C4838">
        <w:t>“, Absätze 84 und 85).</w:t>
      </w:r>
    </w:p>
    <w:p w:rsidR="001E52BB" w:rsidRPr="003C4838" w:rsidRDefault="001E52BB" w:rsidP="00527E68">
      <w:pPr>
        <w:keepNext/>
      </w:pPr>
    </w:p>
    <w:p w:rsidR="001E52BB" w:rsidRPr="003C4838" w:rsidRDefault="00527E68" w:rsidP="00527E68">
      <w:pPr>
        <w:keepNext/>
      </w:pPr>
      <w:r w:rsidRPr="003C4838">
        <w:fldChar w:fldCharType="begin"/>
      </w:r>
      <w:r w:rsidRPr="003C4838">
        <w:instrText xml:space="preserve"> AUTONUM  </w:instrText>
      </w:r>
      <w:r w:rsidRPr="003C4838">
        <w:fldChar w:fldCharType="end"/>
      </w:r>
      <w:r w:rsidRPr="003C4838">
        <w:tab/>
        <w:t>Die TWC nahm die Entwicklungen im Zusammenhang mit dem Sortendateisystem in Deutschland zur Kenntnis.</w:t>
      </w:r>
    </w:p>
    <w:p w:rsidR="001E52BB" w:rsidRPr="003C4838" w:rsidRDefault="001E52BB" w:rsidP="0047640A"/>
    <w:p w:rsidR="001E52BB" w:rsidRPr="003C4838" w:rsidRDefault="0047640A" w:rsidP="0047640A">
      <w:pPr>
        <w:pStyle w:val="Heading2"/>
      </w:pPr>
      <w:bookmarkStart w:id="30" w:name="_Toc527980881"/>
      <w:r w:rsidRPr="003C4838">
        <w:t>Software für die statistische Analyse</w:t>
      </w:r>
      <w:bookmarkEnd w:id="30"/>
      <w:r w:rsidRPr="003C4838">
        <w:t xml:space="preserve"> </w:t>
      </w:r>
    </w:p>
    <w:p w:rsidR="001E52BB" w:rsidRPr="003C4838" w:rsidRDefault="001E52BB" w:rsidP="0047640A">
      <w:pPr>
        <w:rPr>
          <w:i/>
        </w:rPr>
      </w:pPr>
    </w:p>
    <w:p w:rsidR="001E52BB" w:rsidRDefault="0047640A" w:rsidP="0047640A">
      <w:r w:rsidRPr="003C4838">
        <w:fldChar w:fldCharType="begin"/>
      </w:r>
      <w:r w:rsidRPr="003C4838">
        <w:instrText xml:space="preserve"> AUTONUM  </w:instrText>
      </w:r>
      <w:r w:rsidRPr="003C4838">
        <w:fldChar w:fldCharType="end"/>
      </w:r>
      <w:r w:rsidRPr="003C4838">
        <w:tab/>
        <w:t>Die TWC nahm auf ihrer fünfunddreißigsten Tagung vom 14. bis 17. November 2017 in Buenos Aires, Argentinien, die in Dokument TWP/1/16 „Software für die statistische Auswertung in der DUS-Prüfung”,</w:t>
      </w:r>
      <w:r w:rsidR="003C4838">
        <w:t xml:space="preserve"> </w:t>
      </w:r>
      <w:r w:rsidRPr="003C4838">
        <w:t>Absätze 3 bis 7, berichteten Entwicklungen zur Kenntnis (vergleiche Dokument TWC/35/21 „Report“, Absatz 109).</w:t>
      </w:r>
    </w:p>
    <w:p w:rsidR="001E52BB" w:rsidRDefault="001E52BB" w:rsidP="0047640A"/>
    <w:p w:rsidR="001E52BB" w:rsidRPr="001E52BB" w:rsidRDefault="001E52BB" w:rsidP="001E52BB">
      <w:pPr>
        <w:pStyle w:val="Heading2"/>
      </w:pPr>
      <w:bookmarkStart w:id="31" w:name="_Toc527980882"/>
      <w:r>
        <w:t>Ein einziges Instrument für das DUS-Berechnungsverfahren</w:t>
      </w:r>
      <w:bookmarkEnd w:id="31"/>
      <w:r>
        <w:t xml:space="preserve"> </w:t>
      </w:r>
    </w:p>
    <w:p w:rsidR="001E52BB" w:rsidRPr="00E723E1" w:rsidRDefault="001E52BB" w:rsidP="00D04E59">
      <w:pPr>
        <w:keepNext/>
      </w:pPr>
    </w:p>
    <w:p w:rsidR="001E52BB" w:rsidRPr="003C4838" w:rsidRDefault="0047640A" w:rsidP="00D04E59">
      <w:pPr>
        <w:keepNext/>
      </w:pPr>
      <w:r w:rsidRPr="003C4838">
        <w:fldChar w:fldCharType="begin"/>
      </w:r>
      <w:r w:rsidRPr="003C4838">
        <w:instrText xml:space="preserve"> AUTONUM  </w:instrText>
      </w:r>
      <w:r w:rsidRPr="003C4838">
        <w:fldChar w:fldCharType="end"/>
      </w:r>
      <w:r w:rsidRPr="003C4838">
        <w:tab/>
        <w:t>Die TWC prüfte auf ihrer fünfunddreißigsten Tagung vom 14. bis 17. November 2017 in Buenos Aires, Argentinien, das Dokument TWC/35/17 „Ein einziges Instrument für das DUS-Berechnungsverfahren“ und hörte ein Referat von einem Sachverständigen aus Frankreich, von dem eine Kopie in der Anlage von Dokument TWC/35/17 enthalten ist (vergleiche Dokument TWC/35/21 „</w:t>
      </w:r>
      <w:r w:rsidRPr="00E06928">
        <w:rPr>
          <w:i/>
        </w:rPr>
        <w:t>Report</w:t>
      </w:r>
      <w:r w:rsidRPr="003C4838">
        <w:t xml:space="preserve">“, Absätze 110 bis 112). </w:t>
      </w:r>
    </w:p>
    <w:p w:rsidR="001E52BB" w:rsidRPr="003C4838" w:rsidRDefault="001E52BB" w:rsidP="0047640A"/>
    <w:p w:rsidR="001E52BB" w:rsidRPr="003C4838" w:rsidRDefault="0047640A" w:rsidP="0047640A">
      <w:r w:rsidRPr="003C4838">
        <w:fldChar w:fldCharType="begin"/>
      </w:r>
      <w:r w:rsidRPr="003C4838">
        <w:instrText xml:space="preserve"> AUTONUM  </w:instrText>
      </w:r>
      <w:r w:rsidRPr="003C4838">
        <w:fldChar w:fldCharType="end"/>
      </w:r>
      <w:r w:rsidRPr="003C4838">
        <w:tab/>
        <w:t>Die TWC nahm die Struktur der Schnittstelle mit den statistischen Teilen der COYD- und COYU-Prozesse, die Speicherung statistischer Daten und von der GAIA-Software generierte Berichte zur Kenntnis.</w:t>
      </w:r>
    </w:p>
    <w:p w:rsidR="001E52BB" w:rsidRPr="003C4838" w:rsidRDefault="001E52BB" w:rsidP="0047640A"/>
    <w:p w:rsidR="001E52BB" w:rsidRDefault="0047640A" w:rsidP="001E52BB">
      <w:r w:rsidRPr="003C4838">
        <w:fldChar w:fldCharType="begin"/>
      </w:r>
      <w:r w:rsidRPr="003C4838">
        <w:instrText xml:space="preserve"> AUTONUM  </w:instrText>
      </w:r>
      <w:r w:rsidRPr="003C4838">
        <w:fldChar w:fldCharType="end"/>
      </w:r>
      <w:r w:rsidRPr="003C4838">
        <w:tab/>
        <w:t>Die TWC vereinbarte, Frankreich dazu einzuladen, über Fortschritte bei der Entwicklung eines einzigen Instruments für das DUS-Berechnungsverfahren auf der fünfunddreißigsten Tagung der TWC zu berichten.</w:t>
      </w:r>
    </w:p>
    <w:p w:rsidR="001E52BB" w:rsidRDefault="001E52BB" w:rsidP="0047640A"/>
    <w:p w:rsidR="001E52BB" w:rsidRDefault="001E52BB" w:rsidP="001E52BB">
      <w:pPr>
        <w:pStyle w:val="Heading2"/>
        <w:rPr>
          <w:rFonts w:eastAsia="MS Mincho"/>
        </w:rPr>
      </w:pPr>
      <w:bookmarkStart w:id="32" w:name="_Toc527980883"/>
      <w:r>
        <w:t>Verwaltung von Datenbanken</w:t>
      </w:r>
      <w:bookmarkEnd w:id="32"/>
    </w:p>
    <w:p w:rsidR="001E52BB" w:rsidRDefault="001E52BB" w:rsidP="0047640A"/>
    <w:p w:rsidR="001E52BB" w:rsidRPr="003C4838" w:rsidRDefault="0047640A" w:rsidP="0047640A">
      <w:r w:rsidRPr="003C4838">
        <w:fldChar w:fldCharType="begin"/>
      </w:r>
      <w:r w:rsidRPr="003C4838">
        <w:instrText xml:space="preserve"> AUTONUM  </w:instrText>
      </w:r>
      <w:r w:rsidRPr="003C4838">
        <w:fldChar w:fldCharType="end"/>
      </w:r>
      <w:r w:rsidRPr="003C4838">
        <w:tab/>
        <w:t>Die TWC prüfte auf ihrer fünfunddreißigsten Tagung vom 14. bis 17. November 2017 in Buenos Aires, Argentinien, das Dokument TWC/35/4 „Abrufen von Informationen aus UPOV-Datenbanken unter Verwendung nationaler Systeme“ und hörte ein Referat vom Verbandsbüro über „Abrufen von Informationen aus UPOV-Datenbanken unter Verwendung nationaler Systeme“, von dem eine Kopie als Ergänzung zu Dokument TWC/35/4 verfügbar gemacht werde (vergleiche Dokument TWC/35/21 „</w:t>
      </w:r>
      <w:r w:rsidRPr="00E06928">
        <w:rPr>
          <w:i/>
        </w:rPr>
        <w:t>Report</w:t>
      </w:r>
      <w:r w:rsidRPr="003C4838">
        <w:t>“, Absätze 114 bis 116).</w:t>
      </w:r>
    </w:p>
    <w:p w:rsidR="001E52BB" w:rsidRPr="003C4838" w:rsidRDefault="001E52BB" w:rsidP="0047640A"/>
    <w:p w:rsidR="001E52BB" w:rsidRPr="003C4838" w:rsidRDefault="0047640A" w:rsidP="0047640A">
      <w:r w:rsidRPr="003C4838">
        <w:fldChar w:fldCharType="begin"/>
      </w:r>
      <w:r w:rsidRPr="003C4838">
        <w:instrText xml:space="preserve"> AUTONUM  </w:instrText>
      </w:r>
      <w:r w:rsidRPr="003C4838">
        <w:fldChar w:fldCharType="end"/>
      </w:r>
      <w:r w:rsidRPr="003C4838">
        <w:tab/>
        <w:t xml:space="preserve">Die TWC nahm zur Kenntnis, </w:t>
      </w:r>
      <w:proofErr w:type="spellStart"/>
      <w:r w:rsidRPr="003C4838">
        <w:t>daß</w:t>
      </w:r>
      <w:proofErr w:type="spellEnd"/>
      <w:r w:rsidRPr="003C4838">
        <w:t xml:space="preserve"> der Einsatz von Robotern zum Abrufen von Informationen aus der GENIE-Datenbank zu massivem Datenverkehr führe, der den UPOV-Server zum Absturz bringe</w:t>
      </w:r>
      <w:r w:rsidR="00E723E1" w:rsidRPr="003C4838">
        <w:t xml:space="preserve">. </w:t>
      </w:r>
      <w:r w:rsidRPr="003C4838">
        <w:t xml:space="preserve">Die TWC nahm zur Kenntnis, </w:t>
      </w:r>
      <w:proofErr w:type="spellStart"/>
      <w:r w:rsidRPr="003C4838">
        <w:t>daß</w:t>
      </w:r>
      <w:proofErr w:type="spellEnd"/>
      <w:r w:rsidRPr="003C4838">
        <w:t xml:space="preserve"> die UPOV Webdienste (Maschine-Maschine-Kommunikation) für den Datenaustausch mit externen Systemen basierend auf festgelegten Eingabe- und Ausgabeformaten (Vertrag) biete.</w:t>
      </w:r>
    </w:p>
    <w:p w:rsidR="001E52BB" w:rsidRPr="003C4838" w:rsidRDefault="001E52BB" w:rsidP="0047640A"/>
    <w:p w:rsidR="001E52BB" w:rsidRPr="003C4838" w:rsidRDefault="0047640A" w:rsidP="0047640A">
      <w:r w:rsidRPr="003C4838">
        <w:fldChar w:fldCharType="begin"/>
      </w:r>
      <w:r w:rsidRPr="003C4838">
        <w:instrText xml:space="preserve"> AUTONUM  </w:instrText>
      </w:r>
      <w:r w:rsidRPr="003C4838">
        <w:fldChar w:fldCharType="end"/>
      </w:r>
      <w:r w:rsidRPr="003C4838">
        <w:tab/>
        <w:t xml:space="preserve">Die TWC schlug vor, </w:t>
      </w:r>
      <w:proofErr w:type="spellStart"/>
      <w:r w:rsidRPr="003C4838">
        <w:t>daß</w:t>
      </w:r>
      <w:proofErr w:type="spellEnd"/>
      <w:r w:rsidRPr="003C4838">
        <w:t xml:space="preserve"> das Verbandsbüro Dokumentation auf der UPOV-Website zu den angebotenen Web-Dienstleistungen bereitstellen sollte.</w:t>
      </w:r>
    </w:p>
    <w:p w:rsidR="002469A5" w:rsidRPr="003C4838" w:rsidRDefault="002469A5" w:rsidP="0047640A">
      <w:pPr>
        <w:rPr>
          <w:rFonts w:eastAsia="MS Mincho"/>
        </w:rPr>
      </w:pPr>
    </w:p>
    <w:p w:rsidR="001E52BB" w:rsidRPr="003C4838" w:rsidRDefault="00527E68" w:rsidP="00527E68">
      <w:pPr>
        <w:pStyle w:val="Heading2"/>
      </w:pPr>
      <w:bookmarkStart w:id="33" w:name="_Toc527980884"/>
      <w:r w:rsidRPr="003C4838">
        <w:t>Webdienste, die von UPOV und Verbandsmitgliedern bereitgestellt werden</w:t>
      </w:r>
      <w:bookmarkEnd w:id="33"/>
    </w:p>
    <w:p w:rsidR="001E52BB" w:rsidRPr="003C4838" w:rsidRDefault="001E52BB" w:rsidP="00527E68">
      <w:pPr>
        <w:keepNext/>
        <w:keepLines/>
      </w:pPr>
    </w:p>
    <w:p w:rsidR="001E52BB" w:rsidRPr="003C4838" w:rsidRDefault="00527E68" w:rsidP="001E52BB">
      <w:pPr>
        <w:keepNext/>
        <w:keepLines/>
      </w:pPr>
      <w:r w:rsidRPr="003C4838">
        <w:fldChar w:fldCharType="begin"/>
      </w:r>
      <w:r w:rsidRPr="003C4838">
        <w:instrText xml:space="preserve"> AUTONUM  </w:instrText>
      </w:r>
      <w:r w:rsidRPr="003C4838">
        <w:fldChar w:fldCharType="end"/>
      </w:r>
      <w:r w:rsidRPr="003C4838">
        <w:tab/>
        <w:t xml:space="preserve">Die TWC prüfte auf ihrer sechsunddreißigsten Tagung vom 2. bis 6. Juli 2018 in Hannover, Deutschland, das Dokument </w:t>
      </w:r>
      <w:hyperlink r:id="rId30" w:history="1">
        <w:r w:rsidRPr="003C4838">
          <w:rPr>
            <w:rStyle w:val="Hyperlink"/>
          </w:rPr>
          <w:t>TWC/36/8</w:t>
        </w:r>
      </w:hyperlink>
      <w:r w:rsidRPr="003C4838">
        <w:t xml:space="preserve"> „Von der UPOV und Verbandsmitgliedern bereitgestellte Webdienste” und hörte ein Referat vom Verbandsbüro, von dem eine Abschrift als Dokument TWC/36/8 Add. bereitgestellt werde (vergleiche Dokument TWC/36/15 „</w:t>
      </w:r>
      <w:r w:rsidRPr="00E06928">
        <w:rPr>
          <w:i/>
        </w:rPr>
        <w:t>Report</w:t>
      </w:r>
      <w:r w:rsidRPr="003C4838">
        <w:t>“, Absätze 86 bis 87).</w:t>
      </w:r>
    </w:p>
    <w:p w:rsidR="001E52BB" w:rsidRPr="003C4838" w:rsidRDefault="001E52BB" w:rsidP="00527E68">
      <w:pPr>
        <w:keepNext/>
        <w:keepLines/>
      </w:pPr>
    </w:p>
    <w:p w:rsidR="00EC179D" w:rsidRDefault="00527E68" w:rsidP="00527E68">
      <w:pPr>
        <w:keepNext/>
        <w:keepLines/>
      </w:pPr>
      <w:r w:rsidRPr="003C4838">
        <w:fldChar w:fldCharType="begin"/>
      </w:r>
      <w:r w:rsidRPr="003C4838">
        <w:instrText xml:space="preserve"> AUTONUM  </w:instrText>
      </w:r>
      <w:r w:rsidRPr="003C4838">
        <w:fldChar w:fldCharType="end"/>
      </w:r>
      <w:r w:rsidRPr="003C4838">
        <w:tab/>
        <w:t>Die TWC nahm die Fortschritte bei der Entwicklung eines neuen WIPO-Standards zur Kenntnis, der die Implementierung der Web-Anwendungsschnittstellen-Programmierung (</w:t>
      </w:r>
      <w:proofErr w:type="spellStart"/>
      <w:r w:rsidRPr="003C4838">
        <w:t>Application</w:t>
      </w:r>
      <w:proofErr w:type="spellEnd"/>
      <w:r w:rsidRPr="003C4838">
        <w:t xml:space="preserve"> </w:t>
      </w:r>
      <w:proofErr w:type="spellStart"/>
      <w:r w:rsidRPr="003C4838">
        <w:t>Programmi</w:t>
      </w:r>
      <w:r w:rsidR="006A7173">
        <w:t>ng</w:t>
      </w:r>
      <w:proofErr w:type="spellEnd"/>
      <w:r w:rsidR="006A7173">
        <w:t xml:space="preserve"> Interface (API)) leiten soll</w:t>
      </w:r>
      <w:r w:rsidR="00EC179D">
        <w:t>.</w:t>
      </w:r>
    </w:p>
    <w:p w:rsidR="00EC179D" w:rsidRDefault="00EC179D" w:rsidP="00527E68">
      <w:pPr>
        <w:keepNext/>
        <w:keepLines/>
      </w:pPr>
    </w:p>
    <w:p w:rsidR="001E52BB" w:rsidRDefault="001E52BB" w:rsidP="001E52BB">
      <w:pPr>
        <w:pStyle w:val="Heading2"/>
      </w:pPr>
      <w:bookmarkStart w:id="34" w:name="_Toc527980885"/>
      <w:r>
        <w:t>Bildanalyse</w:t>
      </w:r>
      <w:bookmarkEnd w:id="34"/>
      <w:r>
        <w:t xml:space="preserve"> </w:t>
      </w:r>
    </w:p>
    <w:p w:rsidR="001E52BB" w:rsidRDefault="001E52BB" w:rsidP="00694B37">
      <w:pPr>
        <w:keepNext/>
        <w:rPr>
          <w:u w:val="single"/>
        </w:rPr>
      </w:pPr>
    </w:p>
    <w:p w:rsidR="001E52BB" w:rsidRDefault="004F130C" w:rsidP="00694B37">
      <w:pPr>
        <w:keepNext/>
      </w:pPr>
      <w:r w:rsidRPr="00C27AE7">
        <w:fldChar w:fldCharType="begin"/>
      </w:r>
      <w:r w:rsidRPr="00C27AE7">
        <w:instrText xml:space="preserve"> AUTONUM  </w:instrText>
      </w:r>
      <w:r w:rsidRPr="00C27AE7">
        <w:fldChar w:fldCharType="end"/>
      </w:r>
      <w:r>
        <w:tab/>
        <w:t xml:space="preserve">Die TWC prüfte auf ihrer fünfunddreißigsten Tagung vom 14. bis zum 17. November 2017 in Buenos Aires, Argentinien, das Dokument TWP/1/10 „Bildanalyse” und nahm die Einladung Chinas zur Kenntnis, </w:t>
      </w:r>
      <w:proofErr w:type="spellStart"/>
      <w:r>
        <w:t>daß</w:t>
      </w:r>
      <w:proofErr w:type="spellEnd"/>
      <w:r>
        <w:t xml:space="preserve"> sich Sachverständige seinem Projekt zur Verbesserung von Software für die </w:t>
      </w:r>
      <w:proofErr w:type="spellStart"/>
      <w:r>
        <w:t>Bildanalayse</w:t>
      </w:r>
      <w:proofErr w:type="spellEnd"/>
      <w:r>
        <w:t xml:space="preserve"> anschließen sollen (vergleiche Dokument TWC/35/21 „</w:t>
      </w:r>
      <w:r w:rsidRPr="00E06928">
        <w:rPr>
          <w:i/>
        </w:rPr>
        <w:t>Report</w:t>
      </w:r>
      <w:r>
        <w:t>“, Absätze 85 bis 89).</w:t>
      </w:r>
    </w:p>
    <w:p w:rsidR="001E52BB" w:rsidRDefault="001E52BB" w:rsidP="004F130C">
      <w:pPr>
        <w:rPr>
          <w:rFonts w:eastAsia="MS Mincho"/>
        </w:rPr>
      </w:pPr>
    </w:p>
    <w:p w:rsidR="001E52BB" w:rsidRPr="003C4838" w:rsidRDefault="004F130C" w:rsidP="004F130C">
      <w:pPr>
        <w:rPr>
          <w:snapToGrid w:val="0"/>
        </w:rPr>
      </w:pPr>
      <w:r w:rsidRPr="00C27AE7">
        <w:fldChar w:fldCharType="begin"/>
      </w:r>
      <w:r w:rsidRPr="00C27AE7">
        <w:instrText xml:space="preserve"> AUTONUM  </w:instrText>
      </w:r>
      <w:r w:rsidRPr="00C27AE7">
        <w:fldChar w:fldCharType="end"/>
      </w:r>
      <w:r>
        <w:tab/>
      </w:r>
      <w:r w:rsidRPr="003C4838">
        <w:t xml:space="preserve">Die TWC kam überein, </w:t>
      </w:r>
      <w:proofErr w:type="spellStart"/>
      <w:r w:rsidRPr="003C4838">
        <w:t>daß</w:t>
      </w:r>
      <w:proofErr w:type="spellEnd"/>
      <w:r w:rsidRPr="003C4838">
        <w:t xml:space="preserve"> es nützlich wäre, </w:t>
      </w:r>
      <w:r w:rsidRPr="003C4838">
        <w:rPr>
          <w:snapToGrid w:val="0"/>
        </w:rPr>
        <w:t>Informationen über die neuesten Entwicklungen im Zusammenhang mit dem Projekt zur Verbesserung der Software durch China zu erhalten, und vereinbarte, China einzuladen, auf ihrer sechsunddreißigsten Tagung ein Referat zu halten</w:t>
      </w:r>
      <w:r w:rsidR="00E723E1" w:rsidRPr="003C4838">
        <w:rPr>
          <w:snapToGrid w:val="0"/>
        </w:rPr>
        <w:t xml:space="preserve">. </w:t>
      </w:r>
      <w:r w:rsidRPr="003C4838">
        <w:rPr>
          <w:snapToGrid w:val="0"/>
        </w:rPr>
        <w:t xml:space="preserve">Die TWC vereinbarte, </w:t>
      </w:r>
      <w:proofErr w:type="spellStart"/>
      <w:r w:rsidRPr="003C4838">
        <w:rPr>
          <w:snapToGrid w:val="0"/>
        </w:rPr>
        <w:t>daß</w:t>
      </w:r>
      <w:proofErr w:type="spellEnd"/>
      <w:r w:rsidRPr="003C4838">
        <w:rPr>
          <w:snapToGrid w:val="0"/>
        </w:rPr>
        <w:t xml:space="preserve"> die Übersetzung von Benutzeroberflächen mit lateinischem Alphabet die zukünftige Zusammenarbeit am Projekt erleichtern könnte.</w:t>
      </w:r>
    </w:p>
    <w:p w:rsidR="001E52BB" w:rsidRPr="003C4838" w:rsidRDefault="001E52BB" w:rsidP="004F130C">
      <w:pPr>
        <w:rPr>
          <w:snapToGrid w:val="0"/>
        </w:rPr>
      </w:pPr>
    </w:p>
    <w:p w:rsidR="001E52BB" w:rsidRPr="003C4838" w:rsidRDefault="004F130C" w:rsidP="004F130C">
      <w:pPr>
        <w:rPr>
          <w:snapToGrid w:val="0"/>
        </w:rPr>
      </w:pPr>
      <w:r w:rsidRPr="003C4838">
        <w:fldChar w:fldCharType="begin"/>
      </w:r>
      <w:r w:rsidRPr="003C4838">
        <w:instrText xml:space="preserve"> AUTONUM  </w:instrText>
      </w:r>
      <w:r w:rsidRPr="003C4838">
        <w:fldChar w:fldCharType="end"/>
      </w:r>
      <w:r w:rsidRPr="003C4838">
        <w:tab/>
      </w:r>
      <w:r w:rsidRPr="003C4838">
        <w:rPr>
          <w:snapToGrid w:val="0"/>
        </w:rPr>
        <w:t>Die TWC nahm die Schwierigkeiten zur Kenntnis, die von Mitgliedern bei der Erstellung von Algorithmen, die unterschiedliche Formen und Pflanzenstrukturen angemessen verwalten können, berichtet wurden (z. B. gewellte Blätter, verknitterte Oberflächen).</w:t>
      </w:r>
    </w:p>
    <w:p w:rsidR="001E52BB" w:rsidRPr="003C4838" w:rsidRDefault="001E52BB" w:rsidP="004F130C">
      <w:pPr>
        <w:rPr>
          <w:snapToGrid w:val="0"/>
        </w:rPr>
      </w:pPr>
    </w:p>
    <w:p w:rsidR="001E52BB" w:rsidRPr="003C4838" w:rsidRDefault="004F130C" w:rsidP="004F130C">
      <w:r w:rsidRPr="003C4838">
        <w:fldChar w:fldCharType="begin"/>
      </w:r>
      <w:r w:rsidRPr="003C4838">
        <w:instrText xml:space="preserve"> AUTONUM  </w:instrText>
      </w:r>
      <w:r w:rsidRPr="003C4838">
        <w:fldChar w:fldCharType="end"/>
      </w:r>
      <w:r w:rsidRPr="003C4838">
        <w:tab/>
        <w:t>Die TWC nahm die von folgenden Mitgliedern zur Verwendung von Bildanalyse berichteten Erfahrungen zur Kenntnis:</w:t>
      </w:r>
    </w:p>
    <w:p w:rsidR="001E52BB" w:rsidRPr="003C4838" w:rsidRDefault="001E52BB" w:rsidP="004F130C">
      <w:pPr>
        <w:rPr>
          <w:snapToGrid w:val="0"/>
        </w:rPr>
      </w:pPr>
    </w:p>
    <w:p w:rsidR="001E52BB" w:rsidRPr="003C4838" w:rsidRDefault="005712D8" w:rsidP="005712D8">
      <w:pPr>
        <w:pStyle w:val="ListParagraph"/>
        <w:numPr>
          <w:ilvl w:val="0"/>
          <w:numId w:val="8"/>
        </w:numPr>
        <w:tabs>
          <w:tab w:val="left" w:pos="1701"/>
        </w:tabs>
        <w:contextualSpacing w:val="0"/>
        <w:rPr>
          <w:snapToGrid w:val="0"/>
        </w:rPr>
      </w:pPr>
      <w:r w:rsidRPr="003C4838">
        <w:rPr>
          <w:snapToGrid w:val="0"/>
        </w:rPr>
        <w:t xml:space="preserve">Tschechische Republik – Analyse bei Raps und Erbse mit </w:t>
      </w:r>
      <w:proofErr w:type="spellStart"/>
      <w:r w:rsidRPr="003C4838">
        <w:rPr>
          <w:snapToGrid w:val="0"/>
        </w:rPr>
        <w:t>Matlab</w:t>
      </w:r>
      <w:proofErr w:type="spellEnd"/>
      <w:r w:rsidRPr="003C4838">
        <w:rPr>
          <w:snapToGrid w:val="0"/>
        </w:rPr>
        <w:t>-Software;</w:t>
      </w:r>
    </w:p>
    <w:p w:rsidR="001E52BB" w:rsidRPr="003C4838" w:rsidRDefault="005712D8" w:rsidP="005712D8">
      <w:pPr>
        <w:pStyle w:val="ListParagraph"/>
        <w:numPr>
          <w:ilvl w:val="0"/>
          <w:numId w:val="8"/>
        </w:numPr>
        <w:tabs>
          <w:tab w:val="left" w:pos="1701"/>
        </w:tabs>
        <w:contextualSpacing w:val="0"/>
        <w:rPr>
          <w:snapToGrid w:val="0"/>
        </w:rPr>
      </w:pPr>
      <w:r w:rsidRPr="003C4838">
        <w:rPr>
          <w:snapToGrid w:val="0"/>
        </w:rPr>
        <w:t>Frankreich – Beurteilung der Farbe bei Zierpflanzen (RHS-Farbkarte), Schätzung des Blattbereichs für Krankheitsinfektion anhand der Software AIM und IMAGEJ;</w:t>
      </w:r>
    </w:p>
    <w:p w:rsidR="001E52BB" w:rsidRPr="003C4838" w:rsidRDefault="00B92C3A" w:rsidP="00B92C3A">
      <w:pPr>
        <w:pStyle w:val="ListParagraph"/>
        <w:numPr>
          <w:ilvl w:val="0"/>
          <w:numId w:val="8"/>
        </w:numPr>
        <w:tabs>
          <w:tab w:val="left" w:pos="1701"/>
        </w:tabs>
        <w:contextualSpacing w:val="0"/>
        <w:rPr>
          <w:snapToGrid w:val="0"/>
        </w:rPr>
      </w:pPr>
      <w:r w:rsidRPr="003C4838">
        <w:rPr>
          <w:snapToGrid w:val="0"/>
        </w:rPr>
        <w:t>Finnland – Länge des Roggensamens mithilfe der Software Image Tool;</w:t>
      </w:r>
    </w:p>
    <w:p w:rsidR="001E52BB" w:rsidRPr="003C4838" w:rsidRDefault="00B92C3A" w:rsidP="00B92C3A">
      <w:pPr>
        <w:pStyle w:val="ListParagraph"/>
        <w:numPr>
          <w:ilvl w:val="0"/>
          <w:numId w:val="8"/>
        </w:numPr>
        <w:tabs>
          <w:tab w:val="left" w:pos="1701"/>
        </w:tabs>
        <w:contextualSpacing w:val="0"/>
        <w:rPr>
          <w:snapToGrid w:val="0"/>
        </w:rPr>
      </w:pPr>
      <w:r w:rsidRPr="003C4838">
        <w:rPr>
          <w:snapToGrid w:val="0"/>
        </w:rPr>
        <w:t>Deutschland – einige Zierpflanzen und landwirtschaftliche Pflanzen unter Verwendung von intern entwickelter Software;</w:t>
      </w:r>
    </w:p>
    <w:p w:rsidR="001E52BB" w:rsidRPr="003C4838" w:rsidRDefault="00B92C3A" w:rsidP="00B92C3A">
      <w:pPr>
        <w:pStyle w:val="ListParagraph"/>
        <w:numPr>
          <w:ilvl w:val="0"/>
          <w:numId w:val="8"/>
        </w:numPr>
        <w:tabs>
          <w:tab w:val="left" w:pos="1701"/>
        </w:tabs>
        <w:contextualSpacing w:val="0"/>
        <w:rPr>
          <w:snapToGrid w:val="0"/>
        </w:rPr>
      </w:pPr>
      <w:r w:rsidRPr="003C4838">
        <w:rPr>
          <w:snapToGrid w:val="0"/>
        </w:rPr>
        <w:t>Italien – Reissamen: Länge und Breite;</w:t>
      </w:r>
    </w:p>
    <w:p w:rsidR="001E52BB" w:rsidRPr="003C4838" w:rsidRDefault="00B92C3A" w:rsidP="002469A5">
      <w:pPr>
        <w:pStyle w:val="ListParagraph"/>
        <w:numPr>
          <w:ilvl w:val="0"/>
          <w:numId w:val="8"/>
        </w:numPr>
        <w:tabs>
          <w:tab w:val="left" w:pos="1701"/>
        </w:tabs>
        <w:contextualSpacing w:val="0"/>
        <w:rPr>
          <w:snapToGrid w:val="0"/>
        </w:rPr>
      </w:pPr>
      <w:r w:rsidRPr="003C4838">
        <w:rPr>
          <w:snapToGrid w:val="0"/>
        </w:rPr>
        <w:t>Niederlande – Lein Verhältnis Länge/Breite, Zuckerrübe Keimblätter, Erbse, Bohne, Form von Karotten und Zwiebeln;</w:t>
      </w:r>
    </w:p>
    <w:p w:rsidR="001E52BB" w:rsidRPr="003C4838" w:rsidRDefault="00B92C3A" w:rsidP="00B92C3A">
      <w:pPr>
        <w:pStyle w:val="ListParagraph"/>
        <w:numPr>
          <w:ilvl w:val="0"/>
          <w:numId w:val="8"/>
        </w:numPr>
        <w:tabs>
          <w:tab w:val="left" w:pos="1701"/>
        </w:tabs>
        <w:contextualSpacing w:val="0"/>
        <w:rPr>
          <w:snapToGrid w:val="0"/>
        </w:rPr>
      </w:pPr>
      <w:r w:rsidRPr="003C4838">
        <w:rPr>
          <w:snapToGrid w:val="0"/>
        </w:rPr>
        <w:t xml:space="preserve">Vereinigtes Königreich – Erbse: Hülsen, Blattfiedern, </w:t>
      </w:r>
      <w:proofErr w:type="spellStart"/>
      <w:r w:rsidRPr="003C4838">
        <w:rPr>
          <w:snapToGrid w:val="0"/>
        </w:rPr>
        <w:t>Stengel</w:t>
      </w:r>
      <w:proofErr w:type="spellEnd"/>
      <w:r w:rsidRPr="003C4838">
        <w:rPr>
          <w:snapToGrid w:val="0"/>
        </w:rPr>
        <w:t>; Pastinak;</w:t>
      </w:r>
    </w:p>
    <w:p w:rsidR="001E52BB" w:rsidRDefault="001E52BB" w:rsidP="004F130C">
      <w:pPr>
        <w:rPr>
          <w:snapToGrid w:val="0"/>
        </w:rPr>
      </w:pPr>
    </w:p>
    <w:p w:rsidR="001E52BB" w:rsidRPr="00DF6D96" w:rsidRDefault="004F130C" w:rsidP="004F130C">
      <w:r w:rsidRPr="00C27AE7">
        <w:fldChar w:fldCharType="begin"/>
      </w:r>
      <w:r w:rsidRPr="00C27AE7">
        <w:instrText xml:space="preserve"> AUTONUM  </w:instrText>
      </w:r>
      <w:r w:rsidRPr="00C27AE7">
        <w:fldChar w:fldCharType="end"/>
      </w:r>
      <w:r>
        <w:tab/>
      </w:r>
      <w:r w:rsidRPr="00DF6D96">
        <w:t xml:space="preserve">Die TWC vereinbarte, </w:t>
      </w:r>
      <w:proofErr w:type="spellStart"/>
      <w:r w:rsidRPr="00DF6D96">
        <w:t>daß</w:t>
      </w:r>
      <w:proofErr w:type="spellEnd"/>
      <w:r w:rsidRPr="00DF6D96">
        <w:t xml:space="preserve"> neue Fortschritte im Bereich der Bildanalyse auf ihrer sechsunddreißigsten Tagung berichtet werden sollten. </w:t>
      </w:r>
    </w:p>
    <w:p w:rsidR="001E52BB" w:rsidRPr="00DF6D96" w:rsidRDefault="00B92C3A" w:rsidP="00005331">
      <w:pPr>
        <w:rPr>
          <w:rFonts w:eastAsiaTheme="minorEastAsia"/>
          <w:snapToGrid w:val="0"/>
          <w:u w:val="single"/>
        </w:rPr>
      </w:pPr>
      <w:r w:rsidRPr="00DF6D96">
        <w:rPr>
          <w:snapToGrid w:val="0"/>
          <w:u w:val="single"/>
        </w:rPr>
        <w:lastRenderedPageBreak/>
        <w:t>Bericht über Gerichtsverfahren betreffend technische Angelegenheiten</w:t>
      </w:r>
    </w:p>
    <w:p w:rsidR="00B92C3A" w:rsidRPr="00DF6D96" w:rsidRDefault="00B92C3A" w:rsidP="00005331">
      <w:pPr>
        <w:rPr>
          <w:rFonts w:eastAsiaTheme="minorEastAsia"/>
          <w:snapToGrid w:val="0"/>
          <w:lang w:eastAsia="ja-JP"/>
        </w:rPr>
      </w:pPr>
    </w:p>
    <w:p w:rsidR="001E52BB" w:rsidRPr="00DF6D96" w:rsidRDefault="00005331" w:rsidP="00005331">
      <w:pPr>
        <w:rPr>
          <w:snapToGrid w:val="0"/>
        </w:rPr>
      </w:pPr>
      <w:r w:rsidRPr="00DF6D96">
        <w:rPr>
          <w:snapToGrid w:val="0"/>
        </w:rPr>
        <w:fldChar w:fldCharType="begin"/>
      </w:r>
      <w:r w:rsidRPr="00DF6D96">
        <w:rPr>
          <w:snapToGrid w:val="0"/>
        </w:rPr>
        <w:instrText xml:space="preserve"> AUTONUM  </w:instrText>
      </w:r>
      <w:r w:rsidRPr="00DF6D96">
        <w:rPr>
          <w:snapToGrid w:val="0"/>
        </w:rPr>
        <w:fldChar w:fldCharType="end"/>
      </w:r>
      <w:r w:rsidRPr="00DF6D96">
        <w:rPr>
          <w:snapToGrid w:val="0"/>
        </w:rPr>
        <w:tab/>
        <w:t>Die TWO prüfte auf ihrer fünfzigsten Tagung vom 11. bis 15. September 2017 in Victoria, Kanada, das Dokument TWO/50/9 „Bericht über Gerichtsverfahren betreffend technische Angelegenheiten“ und hörte ein Referat von einem Sachverständigen aus der Europäischen Union (vergleiche Dokument TWO/50/14 „</w:t>
      </w:r>
      <w:r w:rsidRPr="00E06928">
        <w:rPr>
          <w:i/>
          <w:snapToGrid w:val="0"/>
        </w:rPr>
        <w:t>Report</w:t>
      </w:r>
      <w:r w:rsidRPr="00DF6D96">
        <w:rPr>
          <w:snapToGrid w:val="0"/>
        </w:rPr>
        <w:t>“, Absatz 52).</w:t>
      </w:r>
    </w:p>
    <w:p w:rsidR="001E52BB" w:rsidRPr="00DF6D96" w:rsidRDefault="001E52BB" w:rsidP="00005331">
      <w:pPr>
        <w:rPr>
          <w:snapToGrid w:val="0"/>
        </w:rPr>
      </w:pPr>
    </w:p>
    <w:p w:rsidR="001E52BB" w:rsidRPr="00DF6D96" w:rsidRDefault="00694B37" w:rsidP="001E52BB">
      <w:pPr>
        <w:tabs>
          <w:tab w:val="left" w:pos="5387"/>
        </w:tabs>
        <w:ind w:left="4820"/>
        <w:rPr>
          <w:i/>
        </w:rPr>
      </w:pPr>
      <w:r w:rsidRPr="00DF6D96">
        <w:rPr>
          <w:i/>
        </w:rPr>
        <w:fldChar w:fldCharType="begin"/>
      </w:r>
      <w:r w:rsidRPr="00DF6D96">
        <w:rPr>
          <w:i/>
        </w:rPr>
        <w:instrText xml:space="preserve"> AUTONUM  </w:instrText>
      </w:r>
      <w:r w:rsidRPr="00DF6D96">
        <w:rPr>
          <w:i/>
        </w:rPr>
        <w:fldChar w:fldCharType="end"/>
      </w:r>
      <w:r w:rsidRPr="00DF6D96">
        <w:rPr>
          <w:i/>
        </w:rPr>
        <w:tab/>
        <w:t>Der TC wird ersucht, Entwicklungen in den TWP zur Kenntnis zu nehmen betreffend:</w:t>
      </w:r>
    </w:p>
    <w:p w:rsidR="001E52BB" w:rsidRPr="00DF6D96" w:rsidRDefault="001E52BB" w:rsidP="00955B28">
      <w:pPr>
        <w:tabs>
          <w:tab w:val="left" w:pos="5387"/>
          <w:tab w:val="left" w:pos="5954"/>
        </w:tabs>
        <w:ind w:left="5387" w:hanging="567"/>
      </w:pPr>
    </w:p>
    <w:p w:rsidR="001E52BB" w:rsidRPr="00DF6D96" w:rsidRDefault="00DF6D96" w:rsidP="001E52BB">
      <w:pPr>
        <w:tabs>
          <w:tab w:val="left" w:pos="5387"/>
          <w:tab w:val="left" w:pos="5954"/>
        </w:tabs>
        <w:spacing w:before="60"/>
        <w:ind w:left="5387" w:hanging="567"/>
        <w:rPr>
          <w:i/>
        </w:rPr>
      </w:pPr>
      <w:r>
        <w:rPr>
          <w:i/>
        </w:rPr>
        <w:t>i)</w:t>
      </w:r>
      <w:r>
        <w:rPr>
          <w:i/>
        </w:rPr>
        <w:tab/>
      </w:r>
      <w:r w:rsidR="001E52BB" w:rsidRPr="00DF6D96">
        <w:rPr>
          <w:i/>
        </w:rPr>
        <w:t>Erfahr</w:t>
      </w:r>
      <w:r w:rsidR="004A2C0A">
        <w:rPr>
          <w:i/>
        </w:rPr>
        <w:t>ungen mit neuen Typen und Arten</w:t>
      </w:r>
    </w:p>
    <w:p w:rsidR="001E52BB" w:rsidRPr="00DF6D96" w:rsidRDefault="00DF6D96" w:rsidP="001E52BB">
      <w:pPr>
        <w:tabs>
          <w:tab w:val="left" w:pos="5387"/>
          <w:tab w:val="left" w:pos="5954"/>
        </w:tabs>
        <w:spacing w:before="60"/>
        <w:ind w:left="5387" w:hanging="567"/>
        <w:rPr>
          <w:i/>
        </w:rPr>
      </w:pPr>
      <w:r>
        <w:rPr>
          <w:i/>
        </w:rPr>
        <w:t>ii</w:t>
      </w:r>
      <w:r w:rsidR="001E52BB" w:rsidRPr="00DF6D96">
        <w:rPr>
          <w:i/>
        </w:rPr>
        <w:t>)</w:t>
      </w:r>
      <w:r w:rsidR="001E52BB" w:rsidRPr="00DF6D96">
        <w:rPr>
          <w:i/>
        </w:rPr>
        <w:tab/>
        <w:t>Verwaltung von Vergleichssammlungen</w:t>
      </w:r>
    </w:p>
    <w:p w:rsidR="001E52BB" w:rsidRPr="00DF6D96" w:rsidRDefault="00955B28" w:rsidP="00955B28">
      <w:pPr>
        <w:tabs>
          <w:tab w:val="left" w:pos="5387"/>
          <w:tab w:val="left" w:pos="5954"/>
        </w:tabs>
        <w:spacing w:before="60"/>
        <w:ind w:left="5387" w:hanging="567"/>
        <w:rPr>
          <w:i/>
        </w:rPr>
      </w:pPr>
      <w:r w:rsidRPr="00DF6D96">
        <w:rPr>
          <w:i/>
        </w:rPr>
        <w:t>iii)</w:t>
      </w:r>
      <w:r w:rsidRPr="00DF6D96">
        <w:rPr>
          <w:i/>
        </w:rPr>
        <w:tab/>
        <w:t xml:space="preserve">Erfahrung mit der Verwaltung von </w:t>
      </w:r>
      <w:proofErr w:type="spellStart"/>
      <w:r w:rsidRPr="00DF6D96">
        <w:rPr>
          <w:i/>
        </w:rPr>
        <w:t>Vergl</w:t>
      </w:r>
      <w:r w:rsidR="00282926">
        <w:rPr>
          <w:i/>
        </w:rPr>
        <w:t>eichssamlungen</w:t>
      </w:r>
      <w:proofErr w:type="spellEnd"/>
      <w:r w:rsidR="00282926">
        <w:rPr>
          <w:i/>
        </w:rPr>
        <w:t xml:space="preserve"> mit der „SELECT“</w:t>
      </w:r>
      <w:r w:rsidR="00282926">
        <w:rPr>
          <w:i/>
        </w:rPr>
        <w:noBreakHyphen/>
      </w:r>
      <w:bookmarkStart w:id="35" w:name="_GoBack"/>
      <w:bookmarkEnd w:id="35"/>
      <w:r w:rsidRPr="00DF6D96">
        <w:rPr>
          <w:i/>
        </w:rPr>
        <w:t>Methode</w:t>
      </w:r>
    </w:p>
    <w:p w:rsidR="001E52BB" w:rsidRPr="00DF6D96" w:rsidRDefault="00955B28" w:rsidP="00955B28">
      <w:pPr>
        <w:tabs>
          <w:tab w:val="left" w:pos="5387"/>
          <w:tab w:val="left" w:pos="5954"/>
        </w:tabs>
        <w:spacing w:before="60"/>
        <w:ind w:left="5387" w:hanging="567"/>
        <w:rPr>
          <w:i/>
        </w:rPr>
      </w:pPr>
      <w:r w:rsidRPr="00DF6D96">
        <w:rPr>
          <w:i/>
        </w:rPr>
        <w:t>iv)</w:t>
      </w:r>
      <w:r w:rsidRPr="00DF6D96">
        <w:rPr>
          <w:i/>
        </w:rPr>
        <w:tab/>
        <w:t>Regionale Serie von Beispielssorten bei Weizen für Südamerika</w:t>
      </w:r>
    </w:p>
    <w:p w:rsidR="001E52BB" w:rsidRPr="00DF6D96" w:rsidRDefault="00955B28" w:rsidP="00955B28">
      <w:pPr>
        <w:tabs>
          <w:tab w:val="left" w:pos="5387"/>
          <w:tab w:val="left" w:pos="5954"/>
        </w:tabs>
        <w:spacing w:before="60"/>
        <w:ind w:left="5387" w:hanging="567"/>
        <w:rPr>
          <w:i/>
        </w:rPr>
      </w:pPr>
      <w:r w:rsidRPr="00DF6D96">
        <w:rPr>
          <w:i/>
        </w:rPr>
        <w:t>v)</w:t>
      </w:r>
      <w:r w:rsidRPr="00DF6D96">
        <w:rPr>
          <w:i/>
        </w:rPr>
        <w:tab/>
        <w:t>Auswirkung von Überarbeitungen von Ausprägungsstufen bestehender Merkmale in der Überarbeitung von Prüfungsrichtlinien</w:t>
      </w:r>
    </w:p>
    <w:p w:rsidR="001E52BB" w:rsidRPr="00DF6D96" w:rsidRDefault="00955B28" w:rsidP="00955B28">
      <w:pPr>
        <w:tabs>
          <w:tab w:val="left" w:pos="5387"/>
          <w:tab w:val="left" w:pos="5954"/>
        </w:tabs>
        <w:spacing w:before="60"/>
        <w:ind w:left="5387" w:hanging="567"/>
        <w:rPr>
          <w:i/>
        </w:rPr>
      </w:pPr>
      <w:r w:rsidRPr="00DF6D96">
        <w:rPr>
          <w:i/>
        </w:rPr>
        <w:t>vi)</w:t>
      </w:r>
      <w:r w:rsidRPr="00DF6D96">
        <w:rPr>
          <w:i/>
        </w:rPr>
        <w:tab/>
        <w:t>Erfahrungen mit der Verwendung von zwei Standorten in einem Jahr für DUS</w:t>
      </w:r>
      <w:r w:rsidR="00FA2F8B">
        <w:rPr>
          <w:i/>
        </w:rPr>
        <w:noBreakHyphen/>
      </w:r>
      <w:r w:rsidRPr="00DF6D96">
        <w:rPr>
          <w:i/>
        </w:rPr>
        <w:t>Entscheidungen</w:t>
      </w:r>
    </w:p>
    <w:p w:rsidR="001E52BB" w:rsidRPr="00DF6D96" w:rsidRDefault="00955B28" w:rsidP="00955B28">
      <w:pPr>
        <w:tabs>
          <w:tab w:val="left" w:pos="5387"/>
          <w:tab w:val="left" w:pos="5954"/>
        </w:tabs>
        <w:spacing w:before="60"/>
        <w:ind w:left="5387" w:hanging="567"/>
        <w:rPr>
          <w:i/>
        </w:rPr>
      </w:pPr>
      <w:r w:rsidRPr="00DF6D96">
        <w:rPr>
          <w:i/>
        </w:rPr>
        <w:t>vii)</w:t>
      </w:r>
      <w:r w:rsidRPr="00DF6D96">
        <w:rPr>
          <w:i/>
        </w:rPr>
        <w:tab/>
        <w:t>Merkmalsausprägung zwischen Jahren oder Umgebungen für Ziersorten</w:t>
      </w:r>
    </w:p>
    <w:p w:rsidR="001E52BB" w:rsidRPr="00DF6D96" w:rsidRDefault="00955B28" w:rsidP="00955B28">
      <w:pPr>
        <w:tabs>
          <w:tab w:val="left" w:pos="5387"/>
          <w:tab w:val="left" w:pos="5954"/>
        </w:tabs>
        <w:spacing w:before="60"/>
        <w:ind w:left="5387" w:hanging="567"/>
        <w:rPr>
          <w:i/>
        </w:rPr>
      </w:pPr>
      <w:r w:rsidRPr="00DF6D96">
        <w:rPr>
          <w:i/>
        </w:rPr>
        <w:t>viii)</w:t>
      </w:r>
      <w:r w:rsidRPr="00DF6D96">
        <w:rPr>
          <w:i/>
        </w:rPr>
        <w:tab/>
        <w:t>Benennung neuer Pflanzenschädlingsarten</w:t>
      </w:r>
    </w:p>
    <w:p w:rsidR="001E52BB" w:rsidRPr="00DF6D96" w:rsidRDefault="00DF6D96" w:rsidP="001E52BB">
      <w:pPr>
        <w:tabs>
          <w:tab w:val="left" w:pos="5387"/>
          <w:tab w:val="left" w:pos="5954"/>
        </w:tabs>
        <w:spacing w:before="60"/>
        <w:ind w:left="5387" w:hanging="567"/>
        <w:rPr>
          <w:i/>
        </w:rPr>
      </w:pPr>
      <w:r>
        <w:rPr>
          <w:i/>
        </w:rPr>
        <w:t>ix)</w:t>
      </w:r>
      <w:r>
        <w:rPr>
          <w:i/>
        </w:rPr>
        <w:tab/>
      </w:r>
      <w:r w:rsidR="001E52BB" w:rsidRPr="00DF6D96">
        <w:rPr>
          <w:i/>
        </w:rPr>
        <w:t>Ausw</w:t>
      </w:r>
      <w:r w:rsidR="00FA2F8B">
        <w:rPr>
          <w:i/>
        </w:rPr>
        <w:t>irkungen von Endophyten auf DUS</w:t>
      </w:r>
      <w:r w:rsidR="00FA2F8B">
        <w:rPr>
          <w:i/>
        </w:rPr>
        <w:noBreakHyphen/>
      </w:r>
      <w:r w:rsidR="001E52BB" w:rsidRPr="00DF6D96">
        <w:rPr>
          <w:i/>
        </w:rPr>
        <w:t>Merkmale bei Gräsern;</w:t>
      </w:r>
    </w:p>
    <w:p w:rsidR="001E52BB" w:rsidRPr="00DF6D96" w:rsidRDefault="00DF6D96" w:rsidP="001E52BB">
      <w:pPr>
        <w:tabs>
          <w:tab w:val="left" w:pos="5387"/>
          <w:tab w:val="left" w:pos="5954"/>
        </w:tabs>
        <w:spacing w:before="60"/>
        <w:ind w:left="5387" w:hanging="567"/>
        <w:rPr>
          <w:i/>
        </w:rPr>
      </w:pPr>
      <w:r>
        <w:rPr>
          <w:i/>
        </w:rPr>
        <w:t>x)</w:t>
      </w:r>
      <w:r>
        <w:rPr>
          <w:i/>
        </w:rPr>
        <w:tab/>
      </w:r>
      <w:r w:rsidR="001E52BB" w:rsidRPr="00DF6D96">
        <w:rPr>
          <w:i/>
        </w:rPr>
        <w:t xml:space="preserve">DUS-Prüfung von </w:t>
      </w:r>
      <w:proofErr w:type="spellStart"/>
      <w:r w:rsidR="001E52BB" w:rsidRPr="00DF6D96">
        <w:rPr>
          <w:i/>
        </w:rPr>
        <w:t>Mutantensorten</w:t>
      </w:r>
      <w:proofErr w:type="spellEnd"/>
      <w:r w:rsidR="001E52BB" w:rsidRPr="00DF6D96">
        <w:rPr>
          <w:i/>
        </w:rPr>
        <w:t xml:space="preserve"> bei Apfel</w:t>
      </w:r>
    </w:p>
    <w:p w:rsidR="001E52BB" w:rsidRPr="00DF6D96" w:rsidRDefault="00DF6D96" w:rsidP="001E52BB">
      <w:pPr>
        <w:tabs>
          <w:tab w:val="left" w:pos="5387"/>
          <w:tab w:val="left" w:pos="5954"/>
        </w:tabs>
        <w:spacing w:before="60"/>
        <w:ind w:left="5387" w:hanging="567"/>
        <w:rPr>
          <w:i/>
        </w:rPr>
      </w:pPr>
      <w:r>
        <w:rPr>
          <w:i/>
        </w:rPr>
        <w:t>xi)</w:t>
      </w:r>
      <w:r>
        <w:rPr>
          <w:i/>
        </w:rPr>
        <w:tab/>
      </w:r>
      <w:r w:rsidR="001E52BB" w:rsidRPr="00DF6D96">
        <w:rPr>
          <w:i/>
        </w:rPr>
        <w:t>Kalibrierungshandbuch für eine harmonisierte Sortenbeschreibung bei Apfel</w:t>
      </w:r>
    </w:p>
    <w:p w:rsidR="001E52BB" w:rsidRPr="00DF6D96" w:rsidRDefault="00DF6D96" w:rsidP="001E52BB">
      <w:pPr>
        <w:tabs>
          <w:tab w:val="left" w:pos="5387"/>
          <w:tab w:val="left" w:pos="5954"/>
        </w:tabs>
        <w:spacing w:before="60"/>
        <w:ind w:left="5387" w:hanging="567"/>
        <w:rPr>
          <w:i/>
        </w:rPr>
      </w:pPr>
      <w:r>
        <w:rPr>
          <w:i/>
        </w:rPr>
        <w:t>xii)</w:t>
      </w:r>
      <w:r w:rsidR="001E52BB" w:rsidRPr="00DF6D96">
        <w:rPr>
          <w:i/>
        </w:rPr>
        <w:tab/>
        <w:t>Erfahrung mit der RHS-Farbkarte und etwaige künftige Hinzufügung von Farben</w:t>
      </w:r>
    </w:p>
    <w:p w:rsidR="001E52BB" w:rsidRPr="00DF6D96" w:rsidRDefault="00DF6D96" w:rsidP="001E52BB">
      <w:pPr>
        <w:tabs>
          <w:tab w:val="left" w:pos="5387"/>
          <w:tab w:val="left" w:pos="5954"/>
        </w:tabs>
        <w:spacing w:before="60"/>
        <w:ind w:left="5387" w:hanging="567"/>
        <w:rPr>
          <w:i/>
        </w:rPr>
      </w:pPr>
      <w:r>
        <w:rPr>
          <w:i/>
        </w:rPr>
        <w:t>xiii)</w:t>
      </w:r>
      <w:r>
        <w:rPr>
          <w:i/>
        </w:rPr>
        <w:tab/>
      </w:r>
      <w:r w:rsidR="001E52BB" w:rsidRPr="00DF6D96">
        <w:rPr>
          <w:i/>
        </w:rPr>
        <w:t>Erwägung einer möglichen Umstrukturierung von TGP/8</w:t>
      </w:r>
    </w:p>
    <w:p w:rsidR="001E52BB" w:rsidRPr="00DF6D96" w:rsidRDefault="00DF6D96" w:rsidP="001E52BB">
      <w:pPr>
        <w:tabs>
          <w:tab w:val="left" w:pos="5387"/>
          <w:tab w:val="left" w:pos="5954"/>
        </w:tabs>
        <w:spacing w:before="60"/>
        <w:ind w:left="5387" w:hanging="567"/>
        <w:rPr>
          <w:i/>
        </w:rPr>
      </w:pPr>
      <w:r>
        <w:rPr>
          <w:i/>
        </w:rPr>
        <w:t>xiv)</w:t>
      </w:r>
      <w:r>
        <w:rPr>
          <w:i/>
        </w:rPr>
        <w:tab/>
      </w:r>
      <w:r w:rsidR="001E52BB" w:rsidRPr="00DF6D96">
        <w:rPr>
          <w:i/>
        </w:rPr>
        <w:t>Ausschließung allgemein bekannter Sorten von der zweiten Wachstumsperiode</w:t>
      </w:r>
    </w:p>
    <w:p w:rsidR="00DF6D96" w:rsidRPr="00DF6D96" w:rsidRDefault="00955B28" w:rsidP="00DF6D96">
      <w:pPr>
        <w:tabs>
          <w:tab w:val="left" w:pos="5387"/>
          <w:tab w:val="left" w:pos="5954"/>
        </w:tabs>
        <w:spacing w:before="60"/>
        <w:ind w:left="5387" w:hanging="567"/>
        <w:rPr>
          <w:i/>
        </w:rPr>
      </w:pPr>
      <w:r w:rsidRPr="00DF6D96">
        <w:rPr>
          <w:i/>
        </w:rPr>
        <w:t>xv)</w:t>
      </w:r>
      <w:r w:rsidRPr="00DF6D96">
        <w:rPr>
          <w:i/>
        </w:rPr>
        <w:tab/>
      </w:r>
      <w:r w:rsidR="00DF6D96">
        <w:rPr>
          <w:i/>
        </w:rPr>
        <w:t xml:space="preserve">Implementierung </w:t>
      </w:r>
      <w:r w:rsidRPr="00DF6D96">
        <w:rPr>
          <w:i/>
        </w:rPr>
        <w:t>ein</w:t>
      </w:r>
      <w:r w:rsidR="00DF6D96">
        <w:rPr>
          <w:i/>
        </w:rPr>
        <w:t xml:space="preserve">es Dokumentenverwaltungssystems </w:t>
      </w:r>
      <w:r w:rsidRPr="00DF6D96">
        <w:rPr>
          <w:i/>
        </w:rPr>
        <w:t>für Sortenakten</w:t>
      </w:r>
    </w:p>
    <w:p w:rsidR="001E52BB" w:rsidRPr="00DF6D96" w:rsidRDefault="00955B28" w:rsidP="00955B28">
      <w:pPr>
        <w:tabs>
          <w:tab w:val="left" w:pos="5387"/>
          <w:tab w:val="left" w:pos="5954"/>
        </w:tabs>
        <w:spacing w:before="60"/>
        <w:ind w:left="5387" w:hanging="567"/>
        <w:rPr>
          <w:i/>
        </w:rPr>
      </w:pPr>
      <w:r w:rsidRPr="00DF6D96">
        <w:rPr>
          <w:i/>
        </w:rPr>
        <w:t>xvi)</w:t>
      </w:r>
      <w:r w:rsidRPr="00DF6D96">
        <w:rPr>
          <w:i/>
        </w:rPr>
        <w:tab/>
        <w:t>Software für die statistische Analyse</w:t>
      </w:r>
    </w:p>
    <w:p w:rsidR="001E52BB" w:rsidRPr="00DF6D96" w:rsidRDefault="00DF6D96" w:rsidP="001E52BB">
      <w:pPr>
        <w:tabs>
          <w:tab w:val="left" w:pos="5387"/>
          <w:tab w:val="left" w:pos="5954"/>
        </w:tabs>
        <w:spacing w:before="60"/>
        <w:ind w:left="5387" w:hanging="567"/>
        <w:rPr>
          <w:i/>
        </w:rPr>
      </w:pPr>
      <w:r>
        <w:rPr>
          <w:i/>
        </w:rPr>
        <w:t>xvii)</w:t>
      </w:r>
      <w:r>
        <w:rPr>
          <w:i/>
        </w:rPr>
        <w:tab/>
      </w:r>
      <w:r w:rsidR="001E52BB" w:rsidRPr="00DF6D96">
        <w:rPr>
          <w:i/>
        </w:rPr>
        <w:t xml:space="preserve">Ein </w:t>
      </w:r>
      <w:r w:rsidR="00FA2F8B">
        <w:rPr>
          <w:i/>
        </w:rPr>
        <w:t>einziges Instrument für das DUS</w:t>
      </w:r>
      <w:r w:rsidR="00FA2F8B">
        <w:rPr>
          <w:i/>
        </w:rPr>
        <w:noBreakHyphen/>
      </w:r>
      <w:r w:rsidR="001E52BB" w:rsidRPr="00DF6D96">
        <w:rPr>
          <w:i/>
        </w:rPr>
        <w:t>Berechnungsverfahren</w:t>
      </w:r>
    </w:p>
    <w:p w:rsidR="001E52BB" w:rsidRPr="00DF6D96" w:rsidRDefault="00DF6D96" w:rsidP="001E52BB">
      <w:pPr>
        <w:tabs>
          <w:tab w:val="left" w:pos="5387"/>
          <w:tab w:val="left" w:pos="5954"/>
        </w:tabs>
        <w:spacing w:before="60"/>
        <w:ind w:left="5387" w:hanging="567"/>
        <w:rPr>
          <w:i/>
        </w:rPr>
      </w:pPr>
      <w:r>
        <w:rPr>
          <w:i/>
        </w:rPr>
        <w:t>xviii)</w:t>
      </w:r>
      <w:r>
        <w:rPr>
          <w:i/>
        </w:rPr>
        <w:tab/>
      </w:r>
      <w:r w:rsidR="001E52BB" w:rsidRPr="00DF6D96">
        <w:rPr>
          <w:i/>
        </w:rPr>
        <w:t>Verwaltung von Datenbanken</w:t>
      </w:r>
    </w:p>
    <w:p w:rsidR="001E52BB" w:rsidRPr="00DF6D96" w:rsidRDefault="00955B28" w:rsidP="00955B28">
      <w:pPr>
        <w:tabs>
          <w:tab w:val="left" w:pos="5387"/>
          <w:tab w:val="left" w:pos="5954"/>
        </w:tabs>
        <w:spacing w:before="60"/>
        <w:ind w:left="5387" w:hanging="567"/>
        <w:rPr>
          <w:i/>
        </w:rPr>
      </w:pPr>
      <w:r w:rsidRPr="00DF6D96">
        <w:rPr>
          <w:i/>
        </w:rPr>
        <w:t>xix)</w:t>
      </w:r>
      <w:r w:rsidRPr="00DF6D96">
        <w:rPr>
          <w:i/>
        </w:rPr>
        <w:tab/>
        <w:t>Webdienste, die von UPOV und Verbandsmitgliedern bereitgestellt werden</w:t>
      </w:r>
    </w:p>
    <w:p w:rsidR="001E52BB" w:rsidRPr="00DF6D96" w:rsidRDefault="00955B28" w:rsidP="00955B28">
      <w:pPr>
        <w:tabs>
          <w:tab w:val="left" w:pos="5387"/>
          <w:tab w:val="left" w:pos="5954"/>
        </w:tabs>
        <w:spacing w:before="60"/>
        <w:ind w:left="5387" w:hanging="567"/>
        <w:rPr>
          <w:i/>
        </w:rPr>
      </w:pPr>
      <w:r w:rsidRPr="00DF6D96">
        <w:rPr>
          <w:i/>
        </w:rPr>
        <w:t>xx)</w:t>
      </w:r>
      <w:r w:rsidRPr="00DF6D96">
        <w:rPr>
          <w:i/>
        </w:rPr>
        <w:tab/>
        <w:t>Bildanalyse</w:t>
      </w:r>
    </w:p>
    <w:p w:rsidR="001E52BB" w:rsidRDefault="00955B28" w:rsidP="00955B28">
      <w:pPr>
        <w:tabs>
          <w:tab w:val="left" w:pos="5387"/>
          <w:tab w:val="left" w:pos="5954"/>
        </w:tabs>
        <w:spacing w:before="60"/>
        <w:ind w:left="5387" w:hanging="567"/>
      </w:pPr>
      <w:r w:rsidRPr="00DF6D96">
        <w:rPr>
          <w:i/>
        </w:rPr>
        <w:t>xxi)</w:t>
      </w:r>
      <w:r w:rsidRPr="00DF6D96">
        <w:rPr>
          <w:i/>
        </w:rPr>
        <w:tab/>
        <w:t>Bericht über Gerichtsverfahren betreffend technische Angelegenheiten</w:t>
      </w:r>
    </w:p>
    <w:p w:rsidR="001E52BB" w:rsidRDefault="001E52BB" w:rsidP="00955B28">
      <w:pPr>
        <w:tabs>
          <w:tab w:val="left" w:pos="5387"/>
          <w:tab w:val="left" w:pos="5954"/>
        </w:tabs>
        <w:ind w:left="5387" w:hanging="567"/>
      </w:pPr>
    </w:p>
    <w:p w:rsidR="001E52BB" w:rsidRDefault="001E52BB" w:rsidP="00955B28">
      <w:pPr>
        <w:tabs>
          <w:tab w:val="left" w:pos="5387"/>
          <w:tab w:val="left" w:pos="5954"/>
        </w:tabs>
        <w:ind w:left="5387" w:hanging="567"/>
      </w:pPr>
    </w:p>
    <w:p w:rsidR="001E52BB" w:rsidRDefault="001E52BB" w:rsidP="00050E16"/>
    <w:p w:rsidR="001E52BB" w:rsidRDefault="00050E16" w:rsidP="001E52BB">
      <w:pPr>
        <w:jc w:val="right"/>
      </w:pPr>
      <w:r>
        <w:t xml:space="preserve"> [Ende des Dokuments]</w:t>
      </w:r>
    </w:p>
    <w:p w:rsidR="00050E16" w:rsidRPr="00C27AE7" w:rsidRDefault="00050E16" w:rsidP="003430F9">
      <w:pPr>
        <w:jc w:val="right"/>
      </w:pPr>
    </w:p>
    <w:sectPr w:rsidR="00050E16" w:rsidRPr="00C27AE7" w:rsidSect="00906DDC">
      <w:headerReference w:type="default" r:id="rId3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B72" w:rsidRDefault="00212B72" w:rsidP="006655D3">
      <w:r>
        <w:separator/>
      </w:r>
    </w:p>
    <w:p w:rsidR="00212B72" w:rsidRDefault="00212B72" w:rsidP="006655D3"/>
    <w:p w:rsidR="00212B72" w:rsidRDefault="00212B72" w:rsidP="006655D3"/>
  </w:endnote>
  <w:endnote w:type="continuationSeparator" w:id="0">
    <w:p w:rsidR="00212B72" w:rsidRDefault="00212B72" w:rsidP="006655D3">
      <w:r>
        <w:separator/>
      </w:r>
    </w:p>
    <w:p w:rsidR="00212B72" w:rsidRPr="00294751" w:rsidRDefault="00212B72">
      <w:pPr>
        <w:pStyle w:val="Footer"/>
        <w:spacing w:after="60"/>
        <w:rPr>
          <w:sz w:val="18"/>
          <w:lang w:val="fr-FR"/>
        </w:rPr>
      </w:pPr>
      <w:r w:rsidRPr="00294751">
        <w:rPr>
          <w:sz w:val="18"/>
          <w:lang w:val="fr-FR"/>
        </w:rPr>
        <w:t>[Suite de la note de la page précédente]</w:t>
      </w:r>
    </w:p>
    <w:p w:rsidR="00212B72" w:rsidRPr="00294751" w:rsidRDefault="00212B72" w:rsidP="006655D3">
      <w:pPr>
        <w:rPr>
          <w:lang w:val="fr-FR"/>
        </w:rPr>
      </w:pPr>
    </w:p>
    <w:p w:rsidR="00212B72" w:rsidRPr="00294751" w:rsidRDefault="00212B72" w:rsidP="006655D3">
      <w:pPr>
        <w:rPr>
          <w:lang w:val="fr-FR"/>
        </w:rPr>
      </w:pPr>
    </w:p>
  </w:endnote>
  <w:endnote w:type="continuationNotice" w:id="1">
    <w:p w:rsidR="00212B72" w:rsidRPr="00294751" w:rsidRDefault="00212B72" w:rsidP="006655D3">
      <w:pPr>
        <w:rPr>
          <w:lang w:val="fr-FR"/>
        </w:rPr>
      </w:pPr>
      <w:r w:rsidRPr="00294751">
        <w:rPr>
          <w:lang w:val="fr-FR"/>
        </w:rPr>
        <w:t>[Suite de la note page suivante]</w:t>
      </w:r>
    </w:p>
    <w:p w:rsidR="00212B72" w:rsidRPr="00294751" w:rsidRDefault="00212B72" w:rsidP="006655D3">
      <w:pPr>
        <w:rPr>
          <w:lang w:val="fr-FR"/>
        </w:rPr>
      </w:pPr>
    </w:p>
    <w:p w:rsidR="00212B72" w:rsidRPr="00294751" w:rsidRDefault="00212B7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B72" w:rsidRDefault="00212B72" w:rsidP="006655D3">
      <w:r>
        <w:separator/>
      </w:r>
    </w:p>
  </w:footnote>
  <w:footnote w:type="continuationSeparator" w:id="0">
    <w:p w:rsidR="00212B72" w:rsidRDefault="00212B72" w:rsidP="006655D3">
      <w:r>
        <w:separator/>
      </w:r>
    </w:p>
  </w:footnote>
  <w:footnote w:type="continuationNotice" w:id="1">
    <w:p w:rsidR="00212B72" w:rsidRPr="00AB530F" w:rsidRDefault="00212B7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19C" w:rsidRPr="00C5280D" w:rsidRDefault="00DE519C" w:rsidP="001E52BB">
    <w:pPr>
      <w:pStyle w:val="Header"/>
      <w:rPr>
        <w:rStyle w:val="PageNumber"/>
      </w:rPr>
    </w:pPr>
    <w:r>
      <w:rPr>
        <w:rStyle w:val="PageNumber"/>
      </w:rPr>
      <w:t>TC/54/3</w:t>
    </w:r>
  </w:p>
  <w:p w:rsidR="00DE519C" w:rsidRPr="00C5280D" w:rsidRDefault="00DE519C" w:rsidP="001E52BB">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82926">
      <w:rPr>
        <w:rStyle w:val="PageNumber"/>
        <w:noProof/>
      </w:rPr>
      <w:t>15</w:t>
    </w:r>
    <w:r w:rsidRPr="00C5280D">
      <w:rPr>
        <w:rStyle w:val="PageNumber"/>
      </w:rPr>
      <w:fldChar w:fldCharType="end"/>
    </w:r>
  </w:p>
  <w:p w:rsidR="00DE519C" w:rsidRPr="00C5280D" w:rsidRDefault="00DE519C"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8C6DEB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AE2390C"/>
    <w:multiLevelType w:val="hybridMultilevel"/>
    <w:tmpl w:val="676A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C1FEB"/>
    <w:multiLevelType w:val="hybridMultilevel"/>
    <w:tmpl w:val="4572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6482E"/>
    <w:multiLevelType w:val="hybridMultilevel"/>
    <w:tmpl w:val="BC9AF4BA"/>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C342F"/>
    <w:multiLevelType w:val="hybridMultilevel"/>
    <w:tmpl w:val="5652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439F5"/>
    <w:multiLevelType w:val="hybridMultilevel"/>
    <w:tmpl w:val="30DA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B3CDC"/>
    <w:multiLevelType w:val="hybridMultilevel"/>
    <w:tmpl w:val="ED7C41E8"/>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E3BDF"/>
    <w:multiLevelType w:val="hybridMultilevel"/>
    <w:tmpl w:val="2D06ACA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BE54B69"/>
    <w:multiLevelType w:val="hybridMultilevel"/>
    <w:tmpl w:val="8710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6219C"/>
    <w:multiLevelType w:val="hybridMultilevel"/>
    <w:tmpl w:val="25208F5C"/>
    <w:lvl w:ilvl="0" w:tplc="04070017">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3"/>
  </w:num>
  <w:num w:numId="3">
    <w:abstractNumId w:val="4"/>
  </w:num>
  <w:num w:numId="4">
    <w:abstractNumId w:val="1"/>
  </w:num>
  <w:num w:numId="5">
    <w:abstractNumId w:val="6"/>
  </w:num>
  <w:num w:numId="6">
    <w:abstractNumId w:val="9"/>
  </w:num>
  <w:num w:numId="7">
    <w:abstractNumId w:val="8"/>
  </w:num>
  <w:num w:numId="8">
    <w:abstractNumId w:val="5"/>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deu"/>
    <w:docVar w:name="TermBases" w:val="WIPOLDTERM"/>
    <w:docVar w:name="TermBaseURL" w:val="empty"/>
    <w:docVar w:name="TextBases" w:val="TextBase TMs\WorkspaceETS\UPOV\UPOV_ETS"/>
    <w:docVar w:name="TextBaseURL" w:val="empty"/>
    <w:docVar w:name="UILng" w:val="en"/>
  </w:docVars>
  <w:rsids>
    <w:rsidRoot w:val="0009756B"/>
    <w:rsid w:val="00005331"/>
    <w:rsid w:val="00010CF3"/>
    <w:rsid w:val="00011E27"/>
    <w:rsid w:val="000148BC"/>
    <w:rsid w:val="000224DB"/>
    <w:rsid w:val="00024AB8"/>
    <w:rsid w:val="00030854"/>
    <w:rsid w:val="00036028"/>
    <w:rsid w:val="00043F75"/>
    <w:rsid w:val="00044642"/>
    <w:rsid w:val="000446B9"/>
    <w:rsid w:val="00047E21"/>
    <w:rsid w:val="00050E16"/>
    <w:rsid w:val="00051D49"/>
    <w:rsid w:val="00057D87"/>
    <w:rsid w:val="00085505"/>
    <w:rsid w:val="00095CDC"/>
    <w:rsid w:val="00097274"/>
    <w:rsid w:val="0009756B"/>
    <w:rsid w:val="000B0A66"/>
    <w:rsid w:val="000B7A87"/>
    <w:rsid w:val="000C4E25"/>
    <w:rsid w:val="000C7021"/>
    <w:rsid w:val="000D6BBC"/>
    <w:rsid w:val="000D7780"/>
    <w:rsid w:val="000D7BF9"/>
    <w:rsid w:val="000E636A"/>
    <w:rsid w:val="000F2F11"/>
    <w:rsid w:val="001005C7"/>
    <w:rsid w:val="00105929"/>
    <w:rsid w:val="00110C36"/>
    <w:rsid w:val="001131D5"/>
    <w:rsid w:val="00141DB8"/>
    <w:rsid w:val="00172084"/>
    <w:rsid w:val="0017399D"/>
    <w:rsid w:val="0017474A"/>
    <w:rsid w:val="001758C6"/>
    <w:rsid w:val="00182B99"/>
    <w:rsid w:val="001A0E0A"/>
    <w:rsid w:val="001C1AED"/>
    <w:rsid w:val="001D3C82"/>
    <w:rsid w:val="001E52BB"/>
    <w:rsid w:val="00212B72"/>
    <w:rsid w:val="0021332C"/>
    <w:rsid w:val="00213982"/>
    <w:rsid w:val="0024416D"/>
    <w:rsid w:val="002469A5"/>
    <w:rsid w:val="00263B3E"/>
    <w:rsid w:val="00271911"/>
    <w:rsid w:val="002800A0"/>
    <w:rsid w:val="002801B3"/>
    <w:rsid w:val="00281060"/>
    <w:rsid w:val="00282926"/>
    <w:rsid w:val="002914F2"/>
    <w:rsid w:val="002940E8"/>
    <w:rsid w:val="00294751"/>
    <w:rsid w:val="002A4B70"/>
    <w:rsid w:val="002A6E50"/>
    <w:rsid w:val="002B4298"/>
    <w:rsid w:val="002B7544"/>
    <w:rsid w:val="002C00F4"/>
    <w:rsid w:val="002C081A"/>
    <w:rsid w:val="002C256A"/>
    <w:rsid w:val="002C49CA"/>
    <w:rsid w:val="002F6A55"/>
    <w:rsid w:val="00304827"/>
    <w:rsid w:val="00305A7F"/>
    <w:rsid w:val="00312503"/>
    <w:rsid w:val="003152FE"/>
    <w:rsid w:val="0032316C"/>
    <w:rsid w:val="00327436"/>
    <w:rsid w:val="00327DB3"/>
    <w:rsid w:val="003430F9"/>
    <w:rsid w:val="00344BD6"/>
    <w:rsid w:val="0035528D"/>
    <w:rsid w:val="00361821"/>
    <w:rsid w:val="00361E9E"/>
    <w:rsid w:val="003868E1"/>
    <w:rsid w:val="003C4838"/>
    <w:rsid w:val="003C7FBE"/>
    <w:rsid w:val="003D227C"/>
    <w:rsid w:val="003D2B4D"/>
    <w:rsid w:val="0040764B"/>
    <w:rsid w:val="004115DA"/>
    <w:rsid w:val="00432F06"/>
    <w:rsid w:val="00444A88"/>
    <w:rsid w:val="004569ED"/>
    <w:rsid w:val="00463895"/>
    <w:rsid w:val="00472272"/>
    <w:rsid w:val="00474DA4"/>
    <w:rsid w:val="0047640A"/>
    <w:rsid w:val="00476B4D"/>
    <w:rsid w:val="004805FA"/>
    <w:rsid w:val="004935D2"/>
    <w:rsid w:val="004958D4"/>
    <w:rsid w:val="00496CCB"/>
    <w:rsid w:val="004A2C0A"/>
    <w:rsid w:val="004B1215"/>
    <w:rsid w:val="004B25E1"/>
    <w:rsid w:val="004C58C1"/>
    <w:rsid w:val="004D047D"/>
    <w:rsid w:val="004D61FA"/>
    <w:rsid w:val="004F130C"/>
    <w:rsid w:val="004F1CBB"/>
    <w:rsid w:val="004F1E9E"/>
    <w:rsid w:val="004F305A"/>
    <w:rsid w:val="005016BB"/>
    <w:rsid w:val="00512164"/>
    <w:rsid w:val="00520297"/>
    <w:rsid w:val="00527E68"/>
    <w:rsid w:val="005338F9"/>
    <w:rsid w:val="0054281C"/>
    <w:rsid w:val="00544581"/>
    <w:rsid w:val="0055268D"/>
    <w:rsid w:val="005703BC"/>
    <w:rsid w:val="005712D8"/>
    <w:rsid w:val="00576305"/>
    <w:rsid w:val="00576BE4"/>
    <w:rsid w:val="00585F65"/>
    <w:rsid w:val="00587BE8"/>
    <w:rsid w:val="005A25E0"/>
    <w:rsid w:val="005A400A"/>
    <w:rsid w:val="005E0574"/>
    <w:rsid w:val="005E1625"/>
    <w:rsid w:val="005E498E"/>
    <w:rsid w:val="005F2EEE"/>
    <w:rsid w:val="005F7B92"/>
    <w:rsid w:val="00606D31"/>
    <w:rsid w:val="00612379"/>
    <w:rsid w:val="00613F2F"/>
    <w:rsid w:val="006153B6"/>
    <w:rsid w:val="0061555F"/>
    <w:rsid w:val="00636CA6"/>
    <w:rsid w:val="00641200"/>
    <w:rsid w:val="0064249F"/>
    <w:rsid w:val="00645CA8"/>
    <w:rsid w:val="00664A3F"/>
    <w:rsid w:val="006655D3"/>
    <w:rsid w:val="00665755"/>
    <w:rsid w:val="00666C9F"/>
    <w:rsid w:val="00667404"/>
    <w:rsid w:val="00687EB4"/>
    <w:rsid w:val="00694B37"/>
    <w:rsid w:val="00695C56"/>
    <w:rsid w:val="006A463E"/>
    <w:rsid w:val="006A5CDE"/>
    <w:rsid w:val="006A644A"/>
    <w:rsid w:val="006A7173"/>
    <w:rsid w:val="006B0EE9"/>
    <w:rsid w:val="006B17D2"/>
    <w:rsid w:val="006C224E"/>
    <w:rsid w:val="006D780A"/>
    <w:rsid w:val="007016C6"/>
    <w:rsid w:val="00710F23"/>
    <w:rsid w:val="0071271E"/>
    <w:rsid w:val="007155F4"/>
    <w:rsid w:val="007175FD"/>
    <w:rsid w:val="00727503"/>
    <w:rsid w:val="00732DEC"/>
    <w:rsid w:val="00735BD5"/>
    <w:rsid w:val="00751613"/>
    <w:rsid w:val="0075189A"/>
    <w:rsid w:val="007556F6"/>
    <w:rsid w:val="00760EEF"/>
    <w:rsid w:val="00771C8A"/>
    <w:rsid w:val="00777EE5"/>
    <w:rsid w:val="00784836"/>
    <w:rsid w:val="0079023E"/>
    <w:rsid w:val="007A2854"/>
    <w:rsid w:val="007A63D8"/>
    <w:rsid w:val="007C1D92"/>
    <w:rsid w:val="007C4CB9"/>
    <w:rsid w:val="007C7442"/>
    <w:rsid w:val="007D0B9D"/>
    <w:rsid w:val="007D19B0"/>
    <w:rsid w:val="007E33A7"/>
    <w:rsid w:val="007F498F"/>
    <w:rsid w:val="007F6187"/>
    <w:rsid w:val="00802498"/>
    <w:rsid w:val="008036D0"/>
    <w:rsid w:val="0080679D"/>
    <w:rsid w:val="008108B0"/>
    <w:rsid w:val="00810D62"/>
    <w:rsid w:val="00811B20"/>
    <w:rsid w:val="008149F2"/>
    <w:rsid w:val="008211B5"/>
    <w:rsid w:val="0082296E"/>
    <w:rsid w:val="00824099"/>
    <w:rsid w:val="00846D7C"/>
    <w:rsid w:val="008479C7"/>
    <w:rsid w:val="00850E85"/>
    <w:rsid w:val="00867AC1"/>
    <w:rsid w:val="00885B4F"/>
    <w:rsid w:val="00890DF8"/>
    <w:rsid w:val="00890F52"/>
    <w:rsid w:val="008913CB"/>
    <w:rsid w:val="00896E18"/>
    <w:rsid w:val="008A743F"/>
    <w:rsid w:val="008B123F"/>
    <w:rsid w:val="008B14F2"/>
    <w:rsid w:val="008B6E60"/>
    <w:rsid w:val="008C0970"/>
    <w:rsid w:val="008C6962"/>
    <w:rsid w:val="008D0BC5"/>
    <w:rsid w:val="008D2CF7"/>
    <w:rsid w:val="008D4F0D"/>
    <w:rsid w:val="008D7E86"/>
    <w:rsid w:val="008F0F38"/>
    <w:rsid w:val="008F5784"/>
    <w:rsid w:val="00900C26"/>
    <w:rsid w:val="0090197F"/>
    <w:rsid w:val="00902B0A"/>
    <w:rsid w:val="00906DDC"/>
    <w:rsid w:val="00912FBA"/>
    <w:rsid w:val="0092408E"/>
    <w:rsid w:val="00934E09"/>
    <w:rsid w:val="00936253"/>
    <w:rsid w:val="00940D46"/>
    <w:rsid w:val="00942123"/>
    <w:rsid w:val="009518E6"/>
    <w:rsid w:val="00952DD4"/>
    <w:rsid w:val="00955B28"/>
    <w:rsid w:val="00962015"/>
    <w:rsid w:val="00965AE7"/>
    <w:rsid w:val="00970FED"/>
    <w:rsid w:val="00986C8D"/>
    <w:rsid w:val="00991487"/>
    <w:rsid w:val="00992D82"/>
    <w:rsid w:val="00997029"/>
    <w:rsid w:val="009A693E"/>
    <w:rsid w:val="009A7339"/>
    <w:rsid w:val="009B440E"/>
    <w:rsid w:val="009D690D"/>
    <w:rsid w:val="009E65B6"/>
    <w:rsid w:val="009F0464"/>
    <w:rsid w:val="00A07BE8"/>
    <w:rsid w:val="00A24C10"/>
    <w:rsid w:val="00A42AC3"/>
    <w:rsid w:val="00A430CF"/>
    <w:rsid w:val="00A54309"/>
    <w:rsid w:val="00A55FB8"/>
    <w:rsid w:val="00A71993"/>
    <w:rsid w:val="00A72231"/>
    <w:rsid w:val="00A768A1"/>
    <w:rsid w:val="00AB2B93"/>
    <w:rsid w:val="00AB530F"/>
    <w:rsid w:val="00AB7E5B"/>
    <w:rsid w:val="00AC2883"/>
    <w:rsid w:val="00AC3D6D"/>
    <w:rsid w:val="00AE0EF1"/>
    <w:rsid w:val="00AE2937"/>
    <w:rsid w:val="00B07301"/>
    <w:rsid w:val="00B11F3E"/>
    <w:rsid w:val="00B224DE"/>
    <w:rsid w:val="00B24BA3"/>
    <w:rsid w:val="00B27799"/>
    <w:rsid w:val="00B324D4"/>
    <w:rsid w:val="00B46575"/>
    <w:rsid w:val="00B518D1"/>
    <w:rsid w:val="00B61777"/>
    <w:rsid w:val="00B83035"/>
    <w:rsid w:val="00B83931"/>
    <w:rsid w:val="00B84BBD"/>
    <w:rsid w:val="00B92C3A"/>
    <w:rsid w:val="00B94EE3"/>
    <w:rsid w:val="00BA166F"/>
    <w:rsid w:val="00BA43FB"/>
    <w:rsid w:val="00BA6581"/>
    <w:rsid w:val="00BC127D"/>
    <w:rsid w:val="00BC1FE6"/>
    <w:rsid w:val="00BD25D0"/>
    <w:rsid w:val="00C061B6"/>
    <w:rsid w:val="00C2446C"/>
    <w:rsid w:val="00C27AE7"/>
    <w:rsid w:val="00C36AE5"/>
    <w:rsid w:val="00C41F17"/>
    <w:rsid w:val="00C527FA"/>
    <w:rsid w:val="00C5280D"/>
    <w:rsid w:val="00C53EB3"/>
    <w:rsid w:val="00C55CF9"/>
    <w:rsid w:val="00C56093"/>
    <w:rsid w:val="00C5791C"/>
    <w:rsid w:val="00C649DE"/>
    <w:rsid w:val="00C66290"/>
    <w:rsid w:val="00C72B7A"/>
    <w:rsid w:val="00C81D13"/>
    <w:rsid w:val="00C973F2"/>
    <w:rsid w:val="00CA1B2B"/>
    <w:rsid w:val="00CA304C"/>
    <w:rsid w:val="00CA774A"/>
    <w:rsid w:val="00CB414E"/>
    <w:rsid w:val="00CC11B0"/>
    <w:rsid w:val="00CC2841"/>
    <w:rsid w:val="00CF014E"/>
    <w:rsid w:val="00CF1330"/>
    <w:rsid w:val="00CF7E36"/>
    <w:rsid w:val="00D04E59"/>
    <w:rsid w:val="00D3708D"/>
    <w:rsid w:val="00D40426"/>
    <w:rsid w:val="00D45C94"/>
    <w:rsid w:val="00D54044"/>
    <w:rsid w:val="00D57C96"/>
    <w:rsid w:val="00D57D18"/>
    <w:rsid w:val="00D91203"/>
    <w:rsid w:val="00D95174"/>
    <w:rsid w:val="00DA4973"/>
    <w:rsid w:val="00DA6F36"/>
    <w:rsid w:val="00DB596E"/>
    <w:rsid w:val="00DB7773"/>
    <w:rsid w:val="00DC00EA"/>
    <w:rsid w:val="00DC3802"/>
    <w:rsid w:val="00DE519C"/>
    <w:rsid w:val="00DF6D96"/>
    <w:rsid w:val="00E06928"/>
    <w:rsid w:val="00E07D87"/>
    <w:rsid w:val="00E246E7"/>
    <w:rsid w:val="00E32F7E"/>
    <w:rsid w:val="00E43A9D"/>
    <w:rsid w:val="00E43E12"/>
    <w:rsid w:val="00E5267B"/>
    <w:rsid w:val="00E559F8"/>
    <w:rsid w:val="00E63120"/>
    <w:rsid w:val="00E63C0E"/>
    <w:rsid w:val="00E723E1"/>
    <w:rsid w:val="00E72D49"/>
    <w:rsid w:val="00E7593C"/>
    <w:rsid w:val="00E759D9"/>
    <w:rsid w:val="00E7678A"/>
    <w:rsid w:val="00E935F1"/>
    <w:rsid w:val="00E94A81"/>
    <w:rsid w:val="00EA1FFB"/>
    <w:rsid w:val="00EA49A9"/>
    <w:rsid w:val="00EB048E"/>
    <w:rsid w:val="00EB4E9C"/>
    <w:rsid w:val="00EC179D"/>
    <w:rsid w:val="00EC4398"/>
    <w:rsid w:val="00ED4D9F"/>
    <w:rsid w:val="00EE34DF"/>
    <w:rsid w:val="00EE5B13"/>
    <w:rsid w:val="00EE7B2A"/>
    <w:rsid w:val="00EF2F89"/>
    <w:rsid w:val="00F01D8E"/>
    <w:rsid w:val="00F03E98"/>
    <w:rsid w:val="00F1237A"/>
    <w:rsid w:val="00F22CBD"/>
    <w:rsid w:val="00F272F1"/>
    <w:rsid w:val="00F31557"/>
    <w:rsid w:val="00F45372"/>
    <w:rsid w:val="00F547D4"/>
    <w:rsid w:val="00F560F7"/>
    <w:rsid w:val="00F6334D"/>
    <w:rsid w:val="00F677F5"/>
    <w:rsid w:val="00FA2F8B"/>
    <w:rsid w:val="00FA49AB"/>
    <w:rsid w:val="00FA72C6"/>
    <w:rsid w:val="00FA72CB"/>
    <w:rsid w:val="00FC658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7E0CF5"/>
  <w15:docId w15:val="{66FCBC3F-DD5B-423D-8C23-B6A1F5F0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basedOn w:val="Normal"/>
    <w:next w:val="Normal"/>
    <w:autoRedefine/>
    <w:uiPriority w:val="39"/>
    <w:rsid w:val="00EE5B13"/>
    <w:pPr>
      <w:tabs>
        <w:tab w:val="right" w:leader="dot" w:pos="9639"/>
      </w:tabs>
      <w:ind w:left="284" w:right="851"/>
    </w:pPr>
    <w:rPr>
      <w:sz w:val="18"/>
    </w:rPr>
  </w:style>
  <w:style w:type="paragraph" w:styleId="TOC3">
    <w:name w:val="toc 3"/>
    <w:next w:val="Normal"/>
    <w:autoRedefine/>
    <w:uiPriority w:val="39"/>
    <w:rsid w:val="005E0574"/>
    <w:pPr>
      <w:tabs>
        <w:tab w:val="right" w:leader="dot" w:pos="9639"/>
      </w:tabs>
      <w:spacing w:after="60"/>
      <w:ind w:left="851" w:right="1418" w:hanging="284"/>
      <w:contextualSpacing/>
    </w:pPr>
    <w:rPr>
      <w:rFonts w:ascii="Arial" w:hAnsi="Arial"/>
      <w:i/>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5E0574"/>
    <w:pPr>
      <w:tabs>
        <w:tab w:val="right" w:leader="dot" w:pos="9639"/>
      </w:tabs>
      <w:spacing w:before="60"/>
      <w:ind w:right="1418"/>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606D31"/>
    <w:rPr>
      <w:rFonts w:ascii="Arial" w:hAnsi="Arial"/>
      <w:u w:val="single"/>
    </w:rPr>
  </w:style>
  <w:style w:type="paragraph" w:styleId="ListParagraph">
    <w:name w:val="List Paragraph"/>
    <w:basedOn w:val="Normal"/>
    <w:uiPriority w:val="34"/>
    <w:qFormat/>
    <w:rsid w:val="00BD25D0"/>
    <w:pPr>
      <w:ind w:left="720"/>
      <w:contextualSpacing/>
    </w:pPr>
  </w:style>
  <w:style w:type="table" w:styleId="TableGrid">
    <w:name w:val="Table Grid"/>
    <w:basedOn w:val="TableNormal"/>
    <w:rsid w:val="00BD2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1005C7"/>
    <w:pPr>
      <w:jc w:val="left"/>
    </w:pPr>
    <w:rPr>
      <w:rFonts w:cs="Arial"/>
      <w:sz w:val="24"/>
      <w:szCs w:val="24"/>
    </w:rPr>
  </w:style>
  <w:style w:type="character" w:styleId="FollowedHyperlink">
    <w:name w:val="FollowedHyperlink"/>
    <w:basedOn w:val="DefaultParagraphFont"/>
    <w:semiHidden/>
    <w:unhideWhenUsed/>
    <w:rsid w:val="008913CB"/>
    <w:rPr>
      <w:color w:val="800080" w:themeColor="followedHyperlink"/>
      <w:u w:val="single"/>
    </w:rPr>
  </w:style>
  <w:style w:type="paragraph" w:styleId="ListBullet4">
    <w:name w:val="List Bullet 4"/>
    <w:basedOn w:val="Normal"/>
    <w:semiHidden/>
    <w:unhideWhenUsed/>
    <w:rsid w:val="005E0574"/>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upov.int/meetings/en/doc_details.jsp?meeting_id=43768&amp;doc_id=383083" TargetMode="External"/><Relationship Id="rId18" Type="http://schemas.openxmlformats.org/officeDocument/2006/relationships/hyperlink" Target="http://www.upov.int/edocs/mdocs/upov/en/two_50/two_50_10.pdf" TargetMode="External"/><Relationship Id="rId26" Type="http://schemas.openxmlformats.org/officeDocument/2006/relationships/hyperlink" Target="http://upov.int/meetings/en/doc_details.jsp?meeting_id=43768&amp;doc_id=383081" TargetMode="External"/><Relationship Id="rId3" Type="http://schemas.openxmlformats.org/officeDocument/2006/relationships/styles" Target="styles.xml"/><Relationship Id="rId21" Type="http://schemas.openxmlformats.org/officeDocument/2006/relationships/hyperlink" Target="http://www.upov.int/meetings/en/doc_details.jsp?meeting_id=47210&amp;doc_id=409377" TargetMode="External"/><Relationship Id="rId7" Type="http://schemas.openxmlformats.org/officeDocument/2006/relationships/endnotes" Target="endnotes.xml"/><Relationship Id="rId12" Type="http://schemas.openxmlformats.org/officeDocument/2006/relationships/hyperlink" Target="http://www.upov.int/edocs/mdocs/upov/en/twa_46/twa_46_6_add.pdf" TargetMode="External"/><Relationship Id="rId17" Type="http://schemas.openxmlformats.org/officeDocument/2006/relationships/hyperlink" Target="http://www.upov.int/meetings/en/doc_details.jsp?meeting_id=47208&amp;doc_id=415470" TargetMode="External"/><Relationship Id="rId25" Type="http://schemas.openxmlformats.org/officeDocument/2006/relationships/hyperlink" Target="http://www.upov.int/edocs/mdocs/upov/en/twa_46/twa_46_5.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pov.int/edocs/mdocs/upov/en/twv_51/twv_51_12_add.pdf" TargetMode="External"/><Relationship Id="rId20" Type="http://schemas.openxmlformats.org/officeDocument/2006/relationships/hyperlink" Target="http://www.upov.int/edocs/mdocs/upov/en/twa_46/twp_1_14.pdf" TargetMode="External"/><Relationship Id="rId29" Type="http://schemas.openxmlformats.org/officeDocument/2006/relationships/hyperlink" Target="http://www.upov.int/meetings/en/doc_details.jsp?meeting_id=47210&amp;doc_id=4096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edocs/mdocs/upov/en/twa_46/twa_46_6.pdf" TargetMode="External"/><Relationship Id="rId24" Type="http://schemas.openxmlformats.org/officeDocument/2006/relationships/hyperlink" Target="http://www.upov.int/edocs/mdocs/upov/en/twa_46/twp_1_18.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pov.int/edocs/mdocs/upov/de/twv_51/twv_51_12_add.pdf" TargetMode="External"/><Relationship Id="rId23" Type="http://schemas.openxmlformats.org/officeDocument/2006/relationships/hyperlink" Target="http://www.upov.int/meetings/en/doc_details.jsp?meeting_id=47210&amp;doc_id=408712" TargetMode="External"/><Relationship Id="rId28" Type="http://schemas.openxmlformats.org/officeDocument/2006/relationships/hyperlink" Target="http://www.upov.int/meetings/en/doc_details.jsp?meeting_id=43766&amp;doc_id=389020" TargetMode="External"/><Relationship Id="rId10" Type="http://schemas.openxmlformats.org/officeDocument/2006/relationships/hyperlink" Target="http://www.upov.int/edocs/mdocs/upov/en/twa_46/twp_1_20.pdf" TargetMode="External"/><Relationship Id="rId19" Type="http://schemas.openxmlformats.org/officeDocument/2006/relationships/hyperlink" Target="http://www.upov.int/meetings/en/doc_details.jsp?meeting_id=47208&amp;doc_id=41547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edocs/mdocs/upov/de/tc_50/tc_50_35.pdf" TargetMode="External"/><Relationship Id="rId14" Type="http://schemas.openxmlformats.org/officeDocument/2006/relationships/hyperlink" Target="http://www.upov.int/edocs/mdocs/upov/en/twv_51/twv_51_12.pdf" TargetMode="External"/><Relationship Id="rId22" Type="http://schemas.openxmlformats.org/officeDocument/2006/relationships/hyperlink" Target="http://upov.int/meetings/en/doc_details.jsp?meeting_id=43768&amp;doc_id=379456" TargetMode="External"/><Relationship Id="rId27" Type="http://schemas.openxmlformats.org/officeDocument/2006/relationships/hyperlink" Target="http://upov.int/meetings/en/doc_details.jsp?meeting_id=43768&amp;doc_id=383080" TargetMode="External"/><Relationship Id="rId30" Type="http://schemas.openxmlformats.org/officeDocument/2006/relationships/hyperlink" Target="http://www.upov.int/meetings/en/doc_details.jsp?meeting_id=47210&amp;doc_id=409250"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40397-2633-492A-9A36-55B64FD7E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9002</Words>
  <Characters>51317</Characters>
  <Application>Microsoft Office Word</Application>
  <DocSecurity>0</DocSecurity>
  <Lines>427</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TC/54</vt:lpstr>
      <vt:lpstr>TC/54</vt:lpstr>
    </vt:vector>
  </TitlesOfParts>
  <Company>UPOV</Company>
  <LinksUpToDate>false</LinksUpToDate>
  <CharactersWithSpaces>60199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REZENDE TAVEIRA Leontino</dc:creator>
  <cp:lastModifiedBy>MAY Jessica</cp:lastModifiedBy>
  <cp:revision>9</cp:revision>
  <cp:lastPrinted>2018-10-11T18:24:00Z</cp:lastPrinted>
  <dcterms:created xsi:type="dcterms:W3CDTF">2018-10-24T11:17:00Z</dcterms:created>
  <dcterms:modified xsi:type="dcterms:W3CDTF">2018-10-24T11:31:00Z</dcterms:modified>
</cp:coreProperties>
</file>