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56C7728" wp14:editId="6D2405E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704FC6" w:rsidP="00AC2883">
            <w:pPr>
              <w:pStyle w:val="Lettrine"/>
            </w:pPr>
            <w:r>
              <w:t>G</w:t>
            </w:r>
          </w:p>
        </w:tc>
      </w:tr>
      <w:tr w:rsidR="00DC3802" w:rsidRPr="004D7E1B" w:rsidTr="00645CA8">
        <w:trPr>
          <w:trHeight w:val="219"/>
        </w:trPr>
        <w:tc>
          <w:tcPr>
            <w:tcW w:w="6522" w:type="dxa"/>
          </w:tcPr>
          <w:p w:rsidR="00DC3802" w:rsidRPr="008F5E86" w:rsidRDefault="00704FC6" w:rsidP="00AC2883">
            <w:pPr>
              <w:pStyle w:val="upove"/>
              <w:rPr>
                <w:lang w:val="de-DE"/>
              </w:rPr>
            </w:pPr>
            <w:r w:rsidRPr="008F5E86">
              <w:rPr>
                <w:lang w:val="de-DE"/>
              </w:rPr>
              <w:t>Internationaler Verband zum Schutz von Pflanzenzüchtungen</w:t>
            </w:r>
          </w:p>
        </w:tc>
        <w:tc>
          <w:tcPr>
            <w:tcW w:w="3117" w:type="dxa"/>
          </w:tcPr>
          <w:p w:rsidR="00DC3802" w:rsidRPr="008F5E86" w:rsidRDefault="00DC3802" w:rsidP="00DA4973">
            <w:pPr>
              <w:rPr>
                <w:lang w:val="de-DE"/>
              </w:rPr>
            </w:pPr>
          </w:p>
        </w:tc>
      </w:tr>
    </w:tbl>
    <w:p w:rsidR="00DC3802" w:rsidRPr="008F5E86" w:rsidRDefault="00DC3802" w:rsidP="00DC3802">
      <w:pPr>
        <w:rPr>
          <w:lang w:val="de-DE"/>
        </w:rPr>
      </w:pPr>
    </w:p>
    <w:p w:rsidR="00DA4973" w:rsidRPr="008F5E86" w:rsidRDefault="00DA4973" w:rsidP="00DC3802">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4D7E1B" w:rsidTr="00EB4E9C">
        <w:tc>
          <w:tcPr>
            <w:tcW w:w="6512" w:type="dxa"/>
          </w:tcPr>
          <w:p w:rsidR="00EB4E9C" w:rsidRPr="008F5E86" w:rsidRDefault="008F5E86" w:rsidP="00AC2883">
            <w:pPr>
              <w:pStyle w:val="Sessiontc"/>
              <w:spacing w:line="240" w:lineRule="auto"/>
              <w:rPr>
                <w:lang w:val="de-DE"/>
              </w:rPr>
            </w:pPr>
            <w:r>
              <w:rPr>
                <w:lang w:val="de-DE"/>
              </w:rPr>
              <w:t>Technischer Ausschuss</w:t>
            </w:r>
          </w:p>
          <w:p w:rsidR="00EB4E9C" w:rsidRPr="008F5E86" w:rsidRDefault="00704FC6" w:rsidP="00704FC6">
            <w:pPr>
              <w:pStyle w:val="Sessiontcplacedate"/>
              <w:rPr>
                <w:sz w:val="22"/>
                <w:lang w:val="de-DE"/>
              </w:rPr>
            </w:pPr>
            <w:r w:rsidRPr="008F5E86">
              <w:rPr>
                <w:lang w:val="de-DE"/>
              </w:rPr>
              <w:t>Vierundfünfzigste Tagung</w:t>
            </w:r>
            <w:r w:rsidR="00EB4E9C" w:rsidRPr="008F5E86">
              <w:rPr>
                <w:lang w:val="de-DE"/>
              </w:rPr>
              <w:br/>
              <w:t>Gen</w:t>
            </w:r>
            <w:r w:rsidR="008F5E86">
              <w:rPr>
                <w:lang w:val="de-DE"/>
              </w:rPr>
              <w:t>f</w:t>
            </w:r>
            <w:r w:rsidR="00EB4E9C" w:rsidRPr="008F5E86">
              <w:rPr>
                <w:lang w:val="de-DE"/>
              </w:rPr>
              <w:t xml:space="preserve">, </w:t>
            </w:r>
            <w:r w:rsidRPr="008F5E86">
              <w:rPr>
                <w:lang w:val="de-DE"/>
              </w:rPr>
              <w:t>29 und 30. Ok</w:t>
            </w:r>
            <w:r w:rsidR="008B6E60" w:rsidRPr="008F5E86">
              <w:rPr>
                <w:lang w:val="de-DE"/>
              </w:rPr>
              <w:t>tober 2018</w:t>
            </w:r>
          </w:p>
        </w:tc>
        <w:tc>
          <w:tcPr>
            <w:tcW w:w="3127" w:type="dxa"/>
          </w:tcPr>
          <w:p w:rsidR="00EB4E9C" w:rsidRPr="008F5E86" w:rsidRDefault="008B6E60" w:rsidP="003C7FBE">
            <w:pPr>
              <w:pStyle w:val="Doccode"/>
              <w:rPr>
                <w:lang w:val="de-DE"/>
              </w:rPr>
            </w:pPr>
            <w:r w:rsidRPr="008F5E86">
              <w:rPr>
                <w:lang w:val="de-DE"/>
              </w:rPr>
              <w:t>TC/54</w:t>
            </w:r>
            <w:r w:rsidR="00EB4E9C" w:rsidRPr="008F5E86">
              <w:rPr>
                <w:lang w:val="de-DE"/>
              </w:rPr>
              <w:t>/</w:t>
            </w:r>
            <w:r w:rsidR="00322D4D" w:rsidRPr="008F5E86">
              <w:rPr>
                <w:lang w:val="de-DE"/>
              </w:rPr>
              <w:t>29</w:t>
            </w:r>
          </w:p>
          <w:p w:rsidR="00EB4E9C" w:rsidRPr="008F5E86" w:rsidRDefault="00EB4E9C" w:rsidP="003C7FBE">
            <w:pPr>
              <w:pStyle w:val="Docoriginal"/>
              <w:rPr>
                <w:lang w:val="de-DE"/>
              </w:rPr>
            </w:pPr>
            <w:r w:rsidRPr="008F5E86">
              <w:rPr>
                <w:lang w:val="de-DE"/>
              </w:rPr>
              <w:t>Original:</w:t>
            </w:r>
            <w:r w:rsidRPr="008F5E86">
              <w:rPr>
                <w:b w:val="0"/>
                <w:spacing w:val="0"/>
                <w:lang w:val="de-DE"/>
              </w:rPr>
              <w:t xml:space="preserve">  </w:t>
            </w:r>
            <w:r w:rsidR="00704FC6" w:rsidRPr="008F5E86">
              <w:rPr>
                <w:b w:val="0"/>
                <w:spacing w:val="0"/>
                <w:lang w:val="de-DE"/>
              </w:rPr>
              <w:t>englisch</w:t>
            </w:r>
          </w:p>
          <w:p w:rsidR="00EB4E9C" w:rsidRPr="008F5E86" w:rsidRDefault="00704FC6" w:rsidP="008902CB">
            <w:pPr>
              <w:pStyle w:val="Docoriginal"/>
              <w:rPr>
                <w:lang w:val="de-DE"/>
              </w:rPr>
            </w:pPr>
            <w:r w:rsidRPr="008F5E86">
              <w:rPr>
                <w:lang w:val="de-DE"/>
              </w:rPr>
              <w:t>Datum</w:t>
            </w:r>
            <w:r w:rsidR="00EB4E9C" w:rsidRPr="008902CB">
              <w:rPr>
                <w:lang w:val="de-DE"/>
              </w:rPr>
              <w:t>:</w:t>
            </w:r>
            <w:r w:rsidR="00322D4D" w:rsidRPr="008902CB">
              <w:rPr>
                <w:b w:val="0"/>
                <w:spacing w:val="0"/>
                <w:lang w:val="de-DE"/>
              </w:rPr>
              <w:t xml:space="preserve">  </w:t>
            </w:r>
            <w:r w:rsidR="008F5E86" w:rsidRPr="008902CB">
              <w:rPr>
                <w:b w:val="0"/>
                <w:spacing w:val="0"/>
                <w:lang w:val="de-DE"/>
              </w:rPr>
              <w:t>2</w:t>
            </w:r>
            <w:r w:rsidR="008902CB" w:rsidRPr="008902CB">
              <w:rPr>
                <w:b w:val="0"/>
                <w:spacing w:val="0"/>
                <w:lang w:val="de-DE"/>
              </w:rPr>
              <w:t>7</w:t>
            </w:r>
            <w:r w:rsidR="008F5E86" w:rsidRPr="008902CB">
              <w:rPr>
                <w:b w:val="0"/>
                <w:spacing w:val="0"/>
                <w:lang w:val="de-DE"/>
              </w:rPr>
              <w:t>. A</w:t>
            </w:r>
            <w:r w:rsidR="00931E4D" w:rsidRPr="008902CB">
              <w:rPr>
                <w:b w:val="0"/>
                <w:spacing w:val="0"/>
                <w:lang w:val="de-DE"/>
              </w:rPr>
              <w:t>ugust</w:t>
            </w:r>
            <w:r w:rsidR="008F5E86" w:rsidRPr="008902CB">
              <w:rPr>
                <w:b w:val="0"/>
                <w:spacing w:val="0"/>
                <w:lang w:val="de-DE"/>
              </w:rPr>
              <w:t xml:space="preserve"> </w:t>
            </w:r>
            <w:r w:rsidR="008B6E60" w:rsidRPr="008902CB">
              <w:rPr>
                <w:b w:val="0"/>
                <w:spacing w:val="0"/>
                <w:lang w:val="de-DE"/>
              </w:rPr>
              <w:t>2018</w:t>
            </w:r>
          </w:p>
        </w:tc>
      </w:tr>
    </w:tbl>
    <w:p w:rsidR="00322D4D" w:rsidRPr="008F5E86" w:rsidRDefault="00BF5577" w:rsidP="008902CB">
      <w:pPr>
        <w:pStyle w:val="Titleofdoc0"/>
        <w:rPr>
          <w:lang w:val="de-DE"/>
        </w:rPr>
      </w:pPr>
      <w:bookmarkStart w:id="0" w:name="TitleOfDoc"/>
      <w:bookmarkEnd w:id="0"/>
      <w:r w:rsidRPr="008F5E86">
        <w:rPr>
          <w:lang w:val="de-DE"/>
        </w:rPr>
        <w:t>Entwicklung berechneter S</w:t>
      </w:r>
      <w:r w:rsidR="008F5E86">
        <w:rPr>
          <w:lang w:val="de-DE"/>
        </w:rPr>
        <w:t>chwellenwerte für die AusschlieSS</w:t>
      </w:r>
      <w:r w:rsidRPr="008F5E86">
        <w:rPr>
          <w:lang w:val="de-DE"/>
        </w:rPr>
        <w:t>ung allgemein bekannter Sorten von der zweiten Wachstumsperiode bei Anwendung von COYD</w:t>
      </w:r>
    </w:p>
    <w:p w:rsidR="00BF5577" w:rsidRPr="008F5E86" w:rsidRDefault="00BF5577" w:rsidP="00BF5577">
      <w:pPr>
        <w:pStyle w:val="preparedby1"/>
        <w:jc w:val="left"/>
        <w:rPr>
          <w:lang w:val="de-DE"/>
        </w:rPr>
      </w:pPr>
      <w:bookmarkStart w:id="1" w:name="_Toc475544290"/>
      <w:r w:rsidRPr="008F5E86">
        <w:rPr>
          <w:lang w:val="de-DE"/>
        </w:rPr>
        <w:t>Vom Verbandsbüro erstelltes Dokument</w:t>
      </w:r>
    </w:p>
    <w:p w:rsidR="00BF5577" w:rsidRPr="008F5E86" w:rsidRDefault="00BF5577" w:rsidP="00BF5577">
      <w:pPr>
        <w:pStyle w:val="Disclaimer"/>
        <w:rPr>
          <w:lang w:val="de-DE"/>
        </w:rPr>
      </w:pPr>
      <w:r w:rsidRPr="008F5E86">
        <w:rPr>
          <w:lang w:val="de-DE"/>
        </w:rPr>
        <w:t>Haftungsausschluss:  dieses Dokument gibt nicht die Grundsätze oder eine Anleitung der UPOV wieder</w:t>
      </w:r>
    </w:p>
    <w:p w:rsidR="00322D4D" w:rsidRPr="008F5E86" w:rsidRDefault="00BF5577" w:rsidP="00255609">
      <w:pPr>
        <w:pStyle w:val="Heading1"/>
        <w:rPr>
          <w:lang w:val="de-DE" w:eastAsia="ja-JP"/>
        </w:rPr>
      </w:pPr>
      <w:bookmarkStart w:id="2" w:name="_Toc526780195"/>
      <w:bookmarkEnd w:id="1"/>
      <w:r w:rsidRPr="008F5E86">
        <w:rPr>
          <w:lang w:val="de-DE" w:eastAsia="ja-JP"/>
        </w:rPr>
        <w:t>ZUSAMMENFASSUNG</w:t>
      </w:r>
      <w:bookmarkEnd w:id="2"/>
    </w:p>
    <w:p w:rsidR="00BF5577" w:rsidRPr="008F5E86" w:rsidRDefault="00BF5577" w:rsidP="00322D4D">
      <w:pPr>
        <w:rPr>
          <w:lang w:val="de-DE"/>
        </w:rPr>
      </w:pPr>
    </w:p>
    <w:p w:rsidR="00322D4D" w:rsidRPr="008F5E86" w:rsidRDefault="00322D4D" w:rsidP="00322D4D">
      <w:pPr>
        <w:rPr>
          <w:lang w:val="de-DE"/>
        </w:rPr>
      </w:pPr>
      <w:r w:rsidRPr="00CB3A47">
        <w:fldChar w:fldCharType="begin"/>
      </w:r>
      <w:r w:rsidRPr="008F5E86">
        <w:rPr>
          <w:lang w:val="de-DE"/>
        </w:rPr>
        <w:instrText xml:space="preserve"> AUTONUM  </w:instrText>
      </w:r>
      <w:r w:rsidRPr="00CB3A47">
        <w:fldChar w:fldCharType="end"/>
      </w:r>
      <w:r w:rsidRPr="008F5E86">
        <w:rPr>
          <w:lang w:val="de-DE"/>
        </w:rPr>
        <w:tab/>
      </w:r>
      <w:r w:rsidR="008301EC" w:rsidRPr="008F5E86">
        <w:rPr>
          <w:lang w:val="de-DE"/>
        </w:rPr>
        <w:t>Zweck dieses Dokuments ist es, über Entwicklungen betreffend die Entwicklung berechneter Schwellenwerte für die Ausschließung allgemein bekannter Sorten von der zweiten Wachstumsperiode bei Anwendung von COYD zu berichten.</w:t>
      </w:r>
    </w:p>
    <w:p w:rsidR="000428CA" w:rsidRPr="008F5E86" w:rsidRDefault="000428CA" w:rsidP="000428CA">
      <w:pPr>
        <w:tabs>
          <w:tab w:val="left" w:pos="567"/>
          <w:tab w:val="left" w:pos="1134"/>
          <w:tab w:val="left" w:pos="5387"/>
        </w:tabs>
        <w:rPr>
          <w:lang w:val="de-DE" w:eastAsia="ja-JP"/>
        </w:rPr>
      </w:pPr>
    </w:p>
    <w:p w:rsidR="000F69AB" w:rsidRPr="007A77C8" w:rsidRDefault="000428CA" w:rsidP="000F69AB">
      <w:pPr>
        <w:tabs>
          <w:tab w:val="left" w:pos="567"/>
          <w:tab w:val="left" w:pos="1134"/>
          <w:tab w:val="left" w:pos="5387"/>
        </w:tabs>
        <w:rPr>
          <w:lang w:val="de-DE"/>
        </w:rPr>
      </w:pPr>
      <w:r w:rsidRPr="00697EA4">
        <w:rPr>
          <w:lang w:eastAsia="ja-JP"/>
        </w:rPr>
        <w:fldChar w:fldCharType="begin"/>
      </w:r>
      <w:r w:rsidRPr="000F69AB">
        <w:rPr>
          <w:lang w:val="de-DE" w:eastAsia="ja-JP"/>
        </w:rPr>
        <w:instrText xml:space="preserve"> AUTONUM  </w:instrText>
      </w:r>
      <w:r w:rsidRPr="00697EA4">
        <w:rPr>
          <w:lang w:eastAsia="ja-JP"/>
        </w:rPr>
        <w:fldChar w:fldCharType="end"/>
      </w:r>
      <w:r w:rsidRPr="000F69AB">
        <w:rPr>
          <w:lang w:val="de-DE" w:eastAsia="ja-JP"/>
        </w:rPr>
        <w:tab/>
      </w:r>
      <w:r w:rsidR="000F69AB" w:rsidRPr="007A77C8">
        <w:rPr>
          <w:lang w:val="de-DE"/>
        </w:rPr>
        <w:t>Der TC wird ersucht, zur Kenntnis zu nehmen, daß die TWC auf ihrer fünfunddreißigsten Tagung folgendes zur Kenntnis nahm:</w:t>
      </w:r>
    </w:p>
    <w:p w:rsidR="000F69AB" w:rsidRPr="007A77C8" w:rsidRDefault="000F69AB" w:rsidP="000F69AB">
      <w:pPr>
        <w:tabs>
          <w:tab w:val="left" w:pos="567"/>
          <w:tab w:val="left" w:pos="1134"/>
          <w:tab w:val="left" w:pos="5387"/>
        </w:tabs>
        <w:rPr>
          <w:lang w:val="de-DE" w:eastAsia="ja-JP"/>
        </w:rPr>
      </w:pPr>
    </w:p>
    <w:p w:rsidR="000F69AB" w:rsidRPr="007A77C8" w:rsidRDefault="000F69AB" w:rsidP="000F69AB">
      <w:pPr>
        <w:tabs>
          <w:tab w:val="left" w:pos="567"/>
          <w:tab w:val="left" w:pos="1134"/>
          <w:tab w:val="left" w:pos="5387"/>
        </w:tabs>
        <w:rPr>
          <w:lang w:val="de-DE"/>
        </w:rPr>
      </w:pPr>
      <w:r w:rsidRPr="007A77C8">
        <w:rPr>
          <w:lang w:val="de-DE"/>
        </w:rPr>
        <w:tab/>
        <w:t>a)</w:t>
      </w:r>
      <w:r w:rsidRPr="007A77C8">
        <w:rPr>
          <w:lang w:val="de-DE"/>
        </w:rPr>
        <w:tab/>
        <w:t xml:space="preserve">die jüngsten Entwicklungen und die Angaben von COYD-Schwellenwerten für die Ausschließung allgemein bekannter Sorten von der zweiten Wachstumsperiode auf der Grundlage von Datensätzen von Wiesenschwingel, Rotklee, Zwiebellieschgras, Deutschem Weidelgras, Erbse (halb blattlose) und Erbse (konventionelle), wie in den </w:t>
      </w:r>
      <w:r w:rsidRPr="00255609">
        <w:rPr>
          <w:lang w:val="de-DE"/>
        </w:rPr>
        <w:t>Absätzen 9 und 10</w:t>
      </w:r>
      <w:r w:rsidRPr="007A77C8">
        <w:rPr>
          <w:lang w:val="de-DE"/>
        </w:rPr>
        <w:t xml:space="preserve"> und in der Anlage dieses Dokuments dargelegt; </w:t>
      </w:r>
    </w:p>
    <w:p w:rsidR="000F69AB" w:rsidRPr="007A77C8" w:rsidRDefault="000F69AB" w:rsidP="000F69AB">
      <w:pPr>
        <w:tabs>
          <w:tab w:val="left" w:pos="567"/>
          <w:tab w:val="left" w:pos="1134"/>
          <w:tab w:val="left" w:pos="5387"/>
        </w:tabs>
        <w:rPr>
          <w:lang w:val="de-DE" w:eastAsia="ja-JP"/>
        </w:rPr>
      </w:pPr>
    </w:p>
    <w:p w:rsidR="000F69AB" w:rsidRPr="007A77C8" w:rsidRDefault="000F69AB" w:rsidP="000F69AB">
      <w:pPr>
        <w:tabs>
          <w:tab w:val="left" w:pos="567"/>
          <w:tab w:val="left" w:pos="1134"/>
          <w:tab w:val="left" w:pos="5387"/>
        </w:tabs>
        <w:rPr>
          <w:lang w:val="de-DE"/>
        </w:rPr>
      </w:pPr>
      <w:r w:rsidRPr="007A77C8">
        <w:rPr>
          <w:lang w:val="de-DE"/>
        </w:rPr>
        <w:tab/>
        <w:t>b)</w:t>
      </w:r>
      <w:r w:rsidRPr="007A77C8">
        <w:rPr>
          <w:lang w:val="de-DE"/>
        </w:rPr>
        <w:tab/>
      </w:r>
      <w:r w:rsidR="00CB1116" w:rsidRPr="007A77C8">
        <w:rPr>
          <w:lang w:val="de-DE"/>
        </w:rPr>
        <w:t>d</w:t>
      </w:r>
      <w:r w:rsidR="009B4FAB">
        <w:rPr>
          <w:lang w:val="de-DE"/>
        </w:rPr>
        <w:t>aß d</w:t>
      </w:r>
      <w:r w:rsidR="00CB1116" w:rsidRPr="007A77C8">
        <w:rPr>
          <w:lang w:val="de-DE"/>
        </w:rPr>
        <w:t xml:space="preserve">ie Methode </w:t>
      </w:r>
      <w:r w:rsidR="009B4FAB">
        <w:rPr>
          <w:lang w:val="de-DE"/>
        </w:rPr>
        <w:t xml:space="preserve">sich </w:t>
      </w:r>
      <w:r w:rsidR="00CB1116" w:rsidRPr="007A77C8">
        <w:rPr>
          <w:lang w:val="de-DE"/>
        </w:rPr>
        <w:t>am besten</w:t>
      </w:r>
      <w:r w:rsidR="009B4FAB">
        <w:rPr>
          <w:lang w:val="de-DE"/>
        </w:rPr>
        <w:t xml:space="preserve"> eignete</w:t>
      </w:r>
      <w:r w:rsidRPr="007A77C8">
        <w:rPr>
          <w:lang w:val="de-DE"/>
        </w:rPr>
        <w:t xml:space="preserve"> für Pflanzen mit einer großen Anzahl von Sorten, die allgemein bekannt sind und bei den</w:t>
      </w:r>
      <w:r w:rsidR="009B4FAB">
        <w:rPr>
          <w:lang w:val="de-DE"/>
        </w:rPr>
        <w:t>en die derzeitigen Anbauprüfungs</w:t>
      </w:r>
      <w:r w:rsidRPr="007A77C8">
        <w:rPr>
          <w:lang w:val="de-DE"/>
        </w:rPr>
        <w:t>größen groß waren; und</w:t>
      </w:r>
    </w:p>
    <w:p w:rsidR="000F69AB" w:rsidRPr="007A77C8" w:rsidRDefault="000F69AB" w:rsidP="000F69AB">
      <w:pPr>
        <w:tabs>
          <w:tab w:val="left" w:pos="567"/>
          <w:tab w:val="left" w:pos="1134"/>
          <w:tab w:val="left" w:pos="5387"/>
        </w:tabs>
        <w:rPr>
          <w:lang w:val="de-DE" w:eastAsia="ja-JP"/>
        </w:rPr>
      </w:pPr>
    </w:p>
    <w:p w:rsidR="000F69AB" w:rsidRPr="000F69AB" w:rsidRDefault="000F69AB" w:rsidP="000F69AB">
      <w:pPr>
        <w:tabs>
          <w:tab w:val="left" w:pos="567"/>
          <w:tab w:val="left" w:pos="1134"/>
          <w:tab w:val="left" w:pos="5387"/>
        </w:tabs>
        <w:rPr>
          <w:lang w:val="de-DE"/>
        </w:rPr>
      </w:pPr>
      <w:r w:rsidRPr="007A77C8">
        <w:rPr>
          <w:lang w:val="de-DE"/>
        </w:rPr>
        <w:tab/>
        <w:t>c)</w:t>
      </w:r>
      <w:r w:rsidRPr="007A77C8">
        <w:rPr>
          <w:lang w:val="de-DE"/>
        </w:rPr>
        <w:tab/>
      </w:r>
      <w:r w:rsidR="00CB1116" w:rsidRPr="007A77C8">
        <w:rPr>
          <w:lang w:val="de-DE"/>
        </w:rPr>
        <w:t>das Vorhaben</w:t>
      </w:r>
      <w:r w:rsidRPr="007A77C8">
        <w:rPr>
          <w:lang w:val="de-DE"/>
        </w:rPr>
        <w:t xml:space="preserve"> des Vereinigten Königreichs, die Methode an zwei großen Datensätzen von Raps zu testen.</w:t>
      </w:r>
      <w:r w:rsidRPr="000F69AB">
        <w:rPr>
          <w:lang w:val="de-DE"/>
        </w:rPr>
        <w:t xml:space="preserve"> </w:t>
      </w:r>
    </w:p>
    <w:p w:rsidR="00322D4D" w:rsidRPr="004534A6" w:rsidRDefault="00322D4D" w:rsidP="00322D4D">
      <w:pPr>
        <w:rPr>
          <w:noProof/>
          <w:snapToGrid w:val="0"/>
          <w:lang w:val="de-DE"/>
        </w:rPr>
      </w:pPr>
    </w:p>
    <w:p w:rsidR="00322D4D" w:rsidRPr="008F5E86" w:rsidRDefault="00322D4D" w:rsidP="00322D4D">
      <w:pPr>
        <w:keepNext/>
        <w:rPr>
          <w:lang w:val="de-DE"/>
        </w:rPr>
      </w:pPr>
      <w:r w:rsidRPr="00CB3A47">
        <w:fldChar w:fldCharType="begin"/>
      </w:r>
      <w:r w:rsidRPr="008F5E86">
        <w:rPr>
          <w:lang w:val="de-DE"/>
        </w:rPr>
        <w:instrText xml:space="preserve"> AUTONUM  </w:instrText>
      </w:r>
      <w:r w:rsidRPr="00CB3A47">
        <w:fldChar w:fldCharType="end"/>
      </w:r>
      <w:r w:rsidRPr="008F5E86">
        <w:rPr>
          <w:lang w:val="de-DE"/>
        </w:rPr>
        <w:tab/>
      </w:r>
      <w:r w:rsidR="008301EC" w:rsidRPr="008F5E86">
        <w:rPr>
          <w:lang w:val="de-DE"/>
        </w:rPr>
        <w:t>Der Aufbau dieses Dokuments ist wie folgt:</w:t>
      </w:r>
    </w:p>
    <w:sdt>
      <w:sdtPr>
        <w:rPr>
          <w:smallCaps/>
        </w:rPr>
        <w:id w:val="-1800911247"/>
        <w:docPartObj>
          <w:docPartGallery w:val="Table of Contents"/>
          <w:docPartUnique/>
        </w:docPartObj>
      </w:sdtPr>
      <w:sdtEndPr>
        <w:rPr>
          <w:b/>
          <w:bCs/>
          <w:smallCaps w:val="0"/>
          <w:noProof/>
        </w:rPr>
      </w:sdtEndPr>
      <w:sdtContent>
        <w:p w:rsidR="00322D4D" w:rsidRPr="00CB3A47" w:rsidRDefault="00322D4D" w:rsidP="00322D4D">
          <w:pPr>
            <w:keepNext/>
            <w:rPr>
              <w:rFonts w:cs="Arial"/>
              <w:b/>
            </w:rPr>
          </w:pPr>
        </w:p>
        <w:p w:rsidR="00082403" w:rsidRDefault="00322D4D">
          <w:pPr>
            <w:pStyle w:val="TOC1"/>
            <w:rPr>
              <w:rFonts w:asciiTheme="minorHAnsi" w:hAnsiTheme="minorHAnsi" w:cstheme="minorBidi"/>
              <w:bCs w:val="0"/>
              <w:caps w:val="0"/>
              <w:sz w:val="22"/>
              <w:szCs w:val="22"/>
              <w:lang w:eastAsia="en-US"/>
            </w:rPr>
          </w:pPr>
          <w:r w:rsidRPr="00CB3A47">
            <w:rPr>
              <w:bCs w:val="0"/>
              <w:noProof w:val="0"/>
              <w:sz w:val="20"/>
            </w:rPr>
            <w:fldChar w:fldCharType="begin"/>
          </w:r>
          <w:r w:rsidRPr="00CB3A47">
            <w:instrText xml:space="preserve"> TOC \o "1-3" \h \z \u </w:instrText>
          </w:r>
          <w:r w:rsidRPr="00CB3A47">
            <w:rPr>
              <w:bCs w:val="0"/>
              <w:noProof w:val="0"/>
              <w:sz w:val="20"/>
            </w:rPr>
            <w:fldChar w:fldCharType="separate"/>
          </w:r>
          <w:hyperlink w:anchor="_Toc526780195" w:history="1">
            <w:r w:rsidR="00082403" w:rsidRPr="006F70C3">
              <w:rPr>
                <w:rStyle w:val="Hyperlink"/>
                <w:lang w:val="de-DE"/>
              </w:rPr>
              <w:t>ZUSAMMENFASSUNG</w:t>
            </w:r>
            <w:r w:rsidR="00082403">
              <w:rPr>
                <w:webHidden/>
              </w:rPr>
              <w:tab/>
            </w:r>
            <w:r w:rsidR="00082403">
              <w:rPr>
                <w:webHidden/>
              </w:rPr>
              <w:fldChar w:fldCharType="begin"/>
            </w:r>
            <w:r w:rsidR="00082403">
              <w:rPr>
                <w:webHidden/>
              </w:rPr>
              <w:instrText xml:space="preserve"> PAGEREF _Toc526780195 \h </w:instrText>
            </w:r>
            <w:r w:rsidR="00082403">
              <w:rPr>
                <w:webHidden/>
              </w:rPr>
            </w:r>
            <w:r w:rsidR="00082403">
              <w:rPr>
                <w:webHidden/>
              </w:rPr>
              <w:fldChar w:fldCharType="separate"/>
            </w:r>
            <w:r w:rsidR="00082403">
              <w:rPr>
                <w:webHidden/>
              </w:rPr>
              <w:t>1</w:t>
            </w:r>
            <w:r w:rsidR="00082403">
              <w:rPr>
                <w:webHidden/>
              </w:rPr>
              <w:fldChar w:fldCharType="end"/>
            </w:r>
          </w:hyperlink>
        </w:p>
        <w:p w:rsidR="00082403" w:rsidRDefault="004D7E1B">
          <w:pPr>
            <w:pStyle w:val="TOC1"/>
            <w:rPr>
              <w:rFonts w:asciiTheme="minorHAnsi" w:hAnsiTheme="minorHAnsi" w:cstheme="minorBidi"/>
              <w:bCs w:val="0"/>
              <w:caps w:val="0"/>
              <w:sz w:val="22"/>
              <w:szCs w:val="22"/>
              <w:lang w:eastAsia="en-US"/>
            </w:rPr>
          </w:pPr>
          <w:hyperlink w:anchor="_Toc526780196" w:history="1">
            <w:r w:rsidR="00082403" w:rsidRPr="006F70C3">
              <w:rPr>
                <w:rStyle w:val="Hyperlink"/>
                <w:lang w:val="de-DE"/>
              </w:rPr>
              <w:t>HINTERGRUND</w:t>
            </w:r>
            <w:r w:rsidR="00082403">
              <w:rPr>
                <w:webHidden/>
              </w:rPr>
              <w:tab/>
            </w:r>
            <w:r w:rsidR="00082403">
              <w:rPr>
                <w:webHidden/>
              </w:rPr>
              <w:fldChar w:fldCharType="begin"/>
            </w:r>
            <w:r w:rsidR="00082403">
              <w:rPr>
                <w:webHidden/>
              </w:rPr>
              <w:instrText xml:space="preserve"> PAGEREF _Toc526780196 \h </w:instrText>
            </w:r>
            <w:r w:rsidR="00082403">
              <w:rPr>
                <w:webHidden/>
              </w:rPr>
            </w:r>
            <w:r w:rsidR="00082403">
              <w:rPr>
                <w:webHidden/>
              </w:rPr>
              <w:fldChar w:fldCharType="separate"/>
            </w:r>
            <w:r w:rsidR="00082403">
              <w:rPr>
                <w:webHidden/>
              </w:rPr>
              <w:t>1</w:t>
            </w:r>
            <w:r w:rsidR="00082403">
              <w:rPr>
                <w:webHidden/>
              </w:rPr>
              <w:fldChar w:fldCharType="end"/>
            </w:r>
          </w:hyperlink>
        </w:p>
        <w:p w:rsidR="00082403" w:rsidRDefault="004D7E1B">
          <w:pPr>
            <w:pStyle w:val="TOC1"/>
            <w:rPr>
              <w:rFonts w:asciiTheme="minorHAnsi" w:hAnsiTheme="minorHAnsi" w:cstheme="minorBidi"/>
              <w:bCs w:val="0"/>
              <w:caps w:val="0"/>
              <w:sz w:val="22"/>
              <w:szCs w:val="22"/>
              <w:lang w:eastAsia="en-US"/>
            </w:rPr>
          </w:pPr>
          <w:hyperlink w:anchor="_Toc526780197" w:history="1">
            <w:r w:rsidR="00082403" w:rsidRPr="006F70C3">
              <w:rPr>
                <w:rStyle w:val="Hyperlink"/>
                <w:lang w:val="de-DE"/>
              </w:rPr>
              <w:t>Entwicklungen im Jahr 2017</w:t>
            </w:r>
            <w:r w:rsidR="00082403">
              <w:rPr>
                <w:webHidden/>
              </w:rPr>
              <w:tab/>
            </w:r>
            <w:r w:rsidR="00082403">
              <w:rPr>
                <w:webHidden/>
              </w:rPr>
              <w:fldChar w:fldCharType="begin"/>
            </w:r>
            <w:r w:rsidR="00082403">
              <w:rPr>
                <w:webHidden/>
              </w:rPr>
              <w:instrText xml:space="preserve"> PAGEREF _Toc526780197 \h </w:instrText>
            </w:r>
            <w:r w:rsidR="00082403">
              <w:rPr>
                <w:webHidden/>
              </w:rPr>
            </w:r>
            <w:r w:rsidR="00082403">
              <w:rPr>
                <w:webHidden/>
              </w:rPr>
              <w:fldChar w:fldCharType="separate"/>
            </w:r>
            <w:r w:rsidR="00082403">
              <w:rPr>
                <w:webHidden/>
              </w:rPr>
              <w:t>2</w:t>
            </w:r>
            <w:r w:rsidR="00082403">
              <w:rPr>
                <w:webHidden/>
              </w:rPr>
              <w:fldChar w:fldCharType="end"/>
            </w:r>
          </w:hyperlink>
        </w:p>
        <w:p w:rsidR="00082403" w:rsidRDefault="004D7E1B">
          <w:pPr>
            <w:pStyle w:val="TOC2"/>
            <w:rPr>
              <w:rFonts w:asciiTheme="minorHAnsi" w:eastAsiaTheme="minorEastAsia" w:hAnsiTheme="minorHAnsi" w:cstheme="minorBidi"/>
              <w:sz w:val="22"/>
              <w:szCs w:val="22"/>
              <w:lang w:eastAsia="en-US"/>
            </w:rPr>
          </w:pPr>
          <w:hyperlink w:anchor="_Toc526780198" w:history="1">
            <w:r w:rsidR="00082403" w:rsidRPr="006F70C3">
              <w:rPr>
                <w:rStyle w:val="Hyperlink"/>
                <w:snapToGrid w:val="0"/>
                <w:lang w:val="de-DE"/>
              </w:rPr>
              <w:t>Technischer Ausschuß</w:t>
            </w:r>
            <w:r w:rsidR="00082403">
              <w:rPr>
                <w:webHidden/>
              </w:rPr>
              <w:tab/>
            </w:r>
            <w:r w:rsidR="00082403">
              <w:rPr>
                <w:webHidden/>
              </w:rPr>
              <w:fldChar w:fldCharType="begin"/>
            </w:r>
            <w:r w:rsidR="00082403">
              <w:rPr>
                <w:webHidden/>
              </w:rPr>
              <w:instrText xml:space="preserve"> PAGEREF _Toc526780198 \h </w:instrText>
            </w:r>
            <w:r w:rsidR="00082403">
              <w:rPr>
                <w:webHidden/>
              </w:rPr>
            </w:r>
            <w:r w:rsidR="00082403">
              <w:rPr>
                <w:webHidden/>
              </w:rPr>
              <w:fldChar w:fldCharType="separate"/>
            </w:r>
            <w:r w:rsidR="00082403">
              <w:rPr>
                <w:webHidden/>
              </w:rPr>
              <w:t>2</w:t>
            </w:r>
            <w:r w:rsidR="00082403">
              <w:rPr>
                <w:webHidden/>
              </w:rPr>
              <w:fldChar w:fldCharType="end"/>
            </w:r>
          </w:hyperlink>
        </w:p>
        <w:p w:rsidR="00082403" w:rsidRDefault="004D7E1B">
          <w:pPr>
            <w:pStyle w:val="TOC2"/>
            <w:rPr>
              <w:rFonts w:asciiTheme="minorHAnsi" w:eastAsiaTheme="minorEastAsia" w:hAnsiTheme="minorHAnsi" w:cstheme="minorBidi"/>
              <w:sz w:val="22"/>
              <w:szCs w:val="22"/>
              <w:lang w:eastAsia="en-US"/>
            </w:rPr>
          </w:pPr>
          <w:hyperlink w:anchor="_Toc526780199" w:history="1">
            <w:r w:rsidR="00082403" w:rsidRPr="006F70C3">
              <w:rPr>
                <w:rStyle w:val="Hyperlink"/>
                <w:rFonts w:eastAsia="PMingLiU"/>
                <w:lang w:val="de-DE"/>
              </w:rPr>
              <w:t>Technische Arbeitsgruppe für Automatisierung und Computerprogramme</w:t>
            </w:r>
            <w:r w:rsidR="00082403">
              <w:rPr>
                <w:webHidden/>
              </w:rPr>
              <w:tab/>
            </w:r>
            <w:r w:rsidR="00082403">
              <w:rPr>
                <w:webHidden/>
              </w:rPr>
              <w:fldChar w:fldCharType="begin"/>
            </w:r>
            <w:r w:rsidR="00082403">
              <w:rPr>
                <w:webHidden/>
              </w:rPr>
              <w:instrText xml:space="preserve"> PAGEREF _Toc526780199 \h </w:instrText>
            </w:r>
            <w:r w:rsidR="00082403">
              <w:rPr>
                <w:webHidden/>
              </w:rPr>
            </w:r>
            <w:r w:rsidR="00082403">
              <w:rPr>
                <w:webHidden/>
              </w:rPr>
              <w:fldChar w:fldCharType="separate"/>
            </w:r>
            <w:r w:rsidR="00082403">
              <w:rPr>
                <w:webHidden/>
              </w:rPr>
              <w:t>2</w:t>
            </w:r>
            <w:r w:rsidR="00082403">
              <w:rPr>
                <w:webHidden/>
              </w:rPr>
              <w:fldChar w:fldCharType="end"/>
            </w:r>
          </w:hyperlink>
        </w:p>
        <w:p w:rsidR="00082403" w:rsidRDefault="004D7E1B">
          <w:pPr>
            <w:pStyle w:val="TOC1"/>
            <w:rPr>
              <w:rFonts w:asciiTheme="minorHAnsi" w:hAnsiTheme="minorHAnsi" w:cstheme="minorBidi"/>
              <w:bCs w:val="0"/>
              <w:caps w:val="0"/>
              <w:sz w:val="22"/>
              <w:szCs w:val="22"/>
              <w:lang w:eastAsia="en-US"/>
            </w:rPr>
          </w:pPr>
          <w:hyperlink w:anchor="_Toc526780200" w:history="1">
            <w:r w:rsidR="00082403" w:rsidRPr="006F70C3">
              <w:rPr>
                <w:rStyle w:val="Hyperlink"/>
                <w:lang w:val="de-DE"/>
              </w:rPr>
              <w:t>Entwicklungen im Jahr 2018</w:t>
            </w:r>
            <w:r w:rsidR="00082403">
              <w:rPr>
                <w:webHidden/>
              </w:rPr>
              <w:tab/>
            </w:r>
            <w:r w:rsidR="00082403">
              <w:rPr>
                <w:webHidden/>
              </w:rPr>
              <w:fldChar w:fldCharType="begin"/>
            </w:r>
            <w:r w:rsidR="00082403">
              <w:rPr>
                <w:webHidden/>
              </w:rPr>
              <w:instrText xml:space="preserve"> PAGEREF _Toc526780200 \h </w:instrText>
            </w:r>
            <w:r w:rsidR="00082403">
              <w:rPr>
                <w:webHidden/>
              </w:rPr>
            </w:r>
            <w:r w:rsidR="00082403">
              <w:rPr>
                <w:webHidden/>
              </w:rPr>
              <w:fldChar w:fldCharType="separate"/>
            </w:r>
            <w:r w:rsidR="00082403">
              <w:rPr>
                <w:webHidden/>
              </w:rPr>
              <w:t>2</w:t>
            </w:r>
            <w:r w:rsidR="00082403">
              <w:rPr>
                <w:webHidden/>
              </w:rPr>
              <w:fldChar w:fldCharType="end"/>
            </w:r>
          </w:hyperlink>
        </w:p>
        <w:p w:rsidR="000428CA" w:rsidRPr="00CB3A47" w:rsidRDefault="00322D4D" w:rsidP="00CB0C08">
          <w:pPr>
            <w:rPr>
              <w:noProof/>
              <w:snapToGrid w:val="0"/>
            </w:rPr>
          </w:pPr>
          <w:r w:rsidRPr="00CB3A47">
            <w:rPr>
              <w:b/>
              <w:bCs/>
              <w:noProof/>
              <w:sz w:val="18"/>
            </w:rPr>
            <w:fldChar w:fldCharType="end"/>
          </w:r>
        </w:p>
      </w:sdtContent>
    </w:sdt>
    <w:p w:rsidR="00553C36" w:rsidRPr="008F5E86" w:rsidRDefault="00553C36" w:rsidP="00553C36">
      <w:pPr>
        <w:keepNext/>
        <w:ind w:left="1134" w:hanging="1134"/>
        <w:rPr>
          <w:sz w:val="18"/>
          <w:szCs w:val="18"/>
          <w:lang w:val="de-DE"/>
        </w:rPr>
      </w:pPr>
      <w:r w:rsidRPr="008F5E86">
        <w:rPr>
          <w:sz w:val="18"/>
          <w:szCs w:val="18"/>
          <w:lang w:val="de-DE"/>
        </w:rPr>
        <w:t>AN</w:t>
      </w:r>
      <w:r w:rsidR="008301EC" w:rsidRPr="008F5E86">
        <w:rPr>
          <w:sz w:val="18"/>
          <w:szCs w:val="18"/>
          <w:lang w:val="de-DE"/>
        </w:rPr>
        <w:t>LAGE</w:t>
      </w:r>
      <w:r w:rsidRPr="008F5E86">
        <w:rPr>
          <w:sz w:val="18"/>
          <w:szCs w:val="18"/>
          <w:lang w:val="de-DE"/>
        </w:rPr>
        <w:tab/>
      </w:r>
      <w:r w:rsidR="00BF2631" w:rsidRPr="008F5E86">
        <w:rPr>
          <w:sz w:val="18"/>
          <w:szCs w:val="18"/>
          <w:lang w:val="de-DE"/>
        </w:rPr>
        <w:t>S</w:t>
      </w:r>
      <w:r w:rsidR="004534A6">
        <w:rPr>
          <w:sz w:val="18"/>
          <w:szCs w:val="18"/>
          <w:lang w:val="de-DE"/>
        </w:rPr>
        <w:t>CHWELLENWERTE FÜR DIE AUSSCHLIESS</w:t>
      </w:r>
      <w:r w:rsidR="00BF2631" w:rsidRPr="008F5E86">
        <w:rPr>
          <w:sz w:val="18"/>
          <w:szCs w:val="18"/>
          <w:lang w:val="de-DE"/>
        </w:rPr>
        <w:t>UNG ALLGEMEIN BEKANNTER SORTEN VON DER ZWEITEN WACHSTUMSPERIODE BEI ANWENDUNG VON COYD</w:t>
      </w:r>
    </w:p>
    <w:p w:rsidR="00553C36" w:rsidRPr="008F5E86" w:rsidRDefault="00553C36" w:rsidP="00322D4D">
      <w:pPr>
        <w:keepNext/>
        <w:rPr>
          <w:lang w:val="de-DE"/>
        </w:rPr>
      </w:pPr>
    </w:p>
    <w:p w:rsidR="00322D4D" w:rsidRPr="008F5E86" w:rsidRDefault="00322D4D" w:rsidP="00322D4D">
      <w:pPr>
        <w:keepNext/>
        <w:rPr>
          <w:rFonts w:cs="Arial"/>
          <w:color w:val="000000"/>
          <w:lang w:val="de-DE"/>
        </w:rPr>
      </w:pPr>
      <w:r w:rsidRPr="00CB3A47">
        <w:fldChar w:fldCharType="begin"/>
      </w:r>
      <w:r w:rsidRPr="008F5E86">
        <w:rPr>
          <w:lang w:val="de-DE"/>
        </w:rPr>
        <w:instrText xml:space="preserve"> AUTONUM  </w:instrText>
      </w:r>
      <w:r w:rsidRPr="00CB3A47">
        <w:fldChar w:fldCharType="end"/>
      </w:r>
      <w:r w:rsidRPr="008F5E86">
        <w:rPr>
          <w:lang w:val="de-DE"/>
        </w:rPr>
        <w:tab/>
      </w:r>
      <w:r w:rsidR="005E7691" w:rsidRPr="008F5E86">
        <w:rPr>
          <w:rFonts w:cs="Arial"/>
          <w:color w:val="000000"/>
          <w:lang w:val="de-DE"/>
        </w:rPr>
        <w:t>In diesem Dokument werden folgende Abkürzungen verwendet:</w:t>
      </w:r>
    </w:p>
    <w:p w:rsidR="00322D4D" w:rsidRPr="008F5E86" w:rsidRDefault="00322D4D" w:rsidP="00322D4D">
      <w:pPr>
        <w:keepNext/>
        <w:rPr>
          <w:rFonts w:cs="Arial"/>
          <w:color w:val="000000"/>
          <w:lang w:val="de-DE"/>
        </w:rPr>
      </w:pPr>
    </w:p>
    <w:p w:rsidR="00322D4D" w:rsidRPr="008F5E86" w:rsidRDefault="00322D4D" w:rsidP="00322D4D">
      <w:pPr>
        <w:keepNext/>
        <w:rPr>
          <w:rFonts w:cs="Arial"/>
          <w:lang w:val="de-DE"/>
        </w:rPr>
      </w:pPr>
      <w:r w:rsidRPr="008F5E86">
        <w:rPr>
          <w:rFonts w:cs="Arial"/>
          <w:lang w:val="de-DE"/>
        </w:rPr>
        <w:tab/>
        <w:t>TC:</w:t>
      </w:r>
      <w:r w:rsidRPr="008F5E86">
        <w:rPr>
          <w:rFonts w:cs="Arial"/>
          <w:lang w:val="de-DE"/>
        </w:rPr>
        <w:tab/>
      </w:r>
      <w:r w:rsidRPr="008F5E86">
        <w:rPr>
          <w:rFonts w:cs="Arial"/>
          <w:lang w:val="de-DE"/>
        </w:rPr>
        <w:tab/>
      </w:r>
      <w:r w:rsidR="00BF5577" w:rsidRPr="008F5E86">
        <w:rPr>
          <w:rFonts w:cs="Arial"/>
          <w:lang w:val="de-DE"/>
        </w:rPr>
        <w:t>Technische Ausschuß</w:t>
      </w:r>
    </w:p>
    <w:p w:rsidR="00322D4D" w:rsidRPr="008F5E86" w:rsidRDefault="00322D4D" w:rsidP="00A52E52">
      <w:pPr>
        <w:keepNext/>
        <w:rPr>
          <w:lang w:val="de-DE"/>
        </w:rPr>
      </w:pPr>
      <w:r w:rsidRPr="008F5E86">
        <w:rPr>
          <w:rFonts w:eastAsia="PMingLiU" w:cs="Arial"/>
          <w:szCs w:val="24"/>
          <w:lang w:val="de-DE"/>
        </w:rPr>
        <w:tab/>
        <w:t>TWC:</w:t>
      </w:r>
      <w:r w:rsidRPr="008F5E86">
        <w:rPr>
          <w:rFonts w:eastAsia="PMingLiU" w:cs="Arial"/>
          <w:szCs w:val="24"/>
          <w:lang w:val="de-DE"/>
        </w:rPr>
        <w:tab/>
      </w:r>
      <w:r w:rsidRPr="008F5E86">
        <w:rPr>
          <w:rFonts w:eastAsia="PMingLiU" w:cs="Arial"/>
          <w:szCs w:val="24"/>
          <w:lang w:val="de-DE"/>
        </w:rPr>
        <w:tab/>
      </w:r>
      <w:r w:rsidR="00A52E52" w:rsidRPr="008F5E86">
        <w:rPr>
          <w:rFonts w:eastAsia="PMingLiU" w:cs="Arial"/>
          <w:szCs w:val="24"/>
          <w:lang w:val="de-DE"/>
        </w:rPr>
        <w:t>Technische Arbeitsgruppe für Automatisierung und Computerprogramme</w:t>
      </w:r>
      <w:r w:rsidRPr="008F5E86">
        <w:rPr>
          <w:rFonts w:eastAsia="PMingLiU" w:cs="Arial"/>
          <w:szCs w:val="24"/>
          <w:lang w:val="de-DE"/>
        </w:rPr>
        <w:tab/>
      </w:r>
      <w:r w:rsidRPr="008F5E86">
        <w:rPr>
          <w:rFonts w:eastAsia="PMingLiU" w:cs="Arial"/>
          <w:szCs w:val="24"/>
          <w:lang w:val="de-DE"/>
        </w:rPr>
        <w:tab/>
      </w:r>
    </w:p>
    <w:p w:rsidR="00322D4D" w:rsidRDefault="00322D4D" w:rsidP="00322D4D">
      <w:pPr>
        <w:rPr>
          <w:lang w:val="de-DE"/>
        </w:rPr>
      </w:pPr>
    </w:p>
    <w:p w:rsidR="00255609" w:rsidRPr="008F5E86" w:rsidRDefault="00255609" w:rsidP="00322D4D">
      <w:pPr>
        <w:rPr>
          <w:lang w:val="de-DE"/>
        </w:rPr>
      </w:pPr>
    </w:p>
    <w:p w:rsidR="00322D4D" w:rsidRPr="008F5E86" w:rsidRDefault="00BF5577" w:rsidP="00082403">
      <w:pPr>
        <w:pStyle w:val="Heading1"/>
        <w:rPr>
          <w:lang w:val="de-DE" w:eastAsia="ja-JP"/>
        </w:rPr>
      </w:pPr>
      <w:bookmarkStart w:id="3" w:name="_Toc526780196"/>
      <w:r w:rsidRPr="008F5E86">
        <w:rPr>
          <w:lang w:val="de-DE" w:eastAsia="ja-JP"/>
        </w:rPr>
        <w:t>HINTERGRUND</w:t>
      </w:r>
      <w:bookmarkEnd w:id="3"/>
    </w:p>
    <w:p w:rsidR="00BF5577" w:rsidRPr="008F5E86" w:rsidRDefault="00BF5577" w:rsidP="00322D4D">
      <w:pPr>
        <w:tabs>
          <w:tab w:val="left" w:pos="567"/>
        </w:tabs>
        <w:autoSpaceDE w:val="0"/>
        <w:autoSpaceDN w:val="0"/>
        <w:adjustRightInd w:val="0"/>
        <w:rPr>
          <w:lang w:val="de-DE" w:eastAsia="ja-JP"/>
        </w:rPr>
      </w:pPr>
    </w:p>
    <w:p w:rsidR="000428CA" w:rsidRPr="008F5E86" w:rsidRDefault="000428CA" w:rsidP="000428CA">
      <w:pPr>
        <w:keepNext/>
        <w:rPr>
          <w:rFonts w:eastAsiaTheme="minorEastAsia"/>
          <w:lang w:val="de-DE" w:eastAsia="ja-JP"/>
        </w:rPr>
      </w:pPr>
      <w:r>
        <w:fldChar w:fldCharType="begin"/>
      </w:r>
      <w:r w:rsidRPr="008F5E86">
        <w:rPr>
          <w:lang w:val="de-DE"/>
        </w:rPr>
        <w:instrText xml:space="preserve"> AUTONUM  </w:instrText>
      </w:r>
      <w:r>
        <w:fldChar w:fldCharType="end"/>
      </w:r>
      <w:r w:rsidRPr="008F5E86">
        <w:rPr>
          <w:lang w:val="de-DE"/>
        </w:rPr>
        <w:tab/>
      </w:r>
      <w:r w:rsidR="0078722F" w:rsidRPr="008F5E86">
        <w:rPr>
          <w:rFonts w:eastAsiaTheme="minorEastAsia"/>
          <w:lang w:val="de-DE" w:eastAsia="ja-JP"/>
        </w:rPr>
        <w:t xml:space="preserve">Der Hintergrund dieser Angelegenheiten ist in Dokument </w:t>
      </w:r>
      <w:r w:rsidRPr="008F5E86">
        <w:rPr>
          <w:rFonts w:eastAsiaTheme="minorEastAsia"/>
          <w:lang w:val="de-DE" w:eastAsia="ja-JP"/>
        </w:rPr>
        <w:t>TC</w:t>
      </w:r>
      <w:r w:rsidRPr="008F5E86">
        <w:rPr>
          <w:rFonts w:hint="eastAsia"/>
          <w:lang w:val="de-DE" w:eastAsia="ja-JP"/>
        </w:rPr>
        <w:t>/</w:t>
      </w:r>
      <w:r w:rsidRPr="008F5E86">
        <w:rPr>
          <w:lang w:val="de-DE" w:eastAsia="ja-JP"/>
        </w:rPr>
        <w:t>53</w:t>
      </w:r>
      <w:r w:rsidRPr="008F5E86">
        <w:rPr>
          <w:rFonts w:hint="eastAsia"/>
          <w:lang w:val="de-DE" w:eastAsia="ja-JP"/>
        </w:rPr>
        <w:t>/</w:t>
      </w:r>
      <w:r w:rsidRPr="008F5E86">
        <w:rPr>
          <w:lang w:val="de-DE" w:eastAsia="ja-JP"/>
        </w:rPr>
        <w:t>23</w:t>
      </w:r>
      <w:r w:rsidRPr="008F5E86">
        <w:rPr>
          <w:rFonts w:hint="eastAsia"/>
          <w:lang w:val="de-DE" w:eastAsia="ja-JP"/>
        </w:rPr>
        <w:t xml:space="preserve"> </w:t>
      </w:r>
      <w:r w:rsidR="0078722F" w:rsidRPr="008F5E86">
        <w:rPr>
          <w:lang w:val="de-DE" w:eastAsia="ja-JP"/>
        </w:rPr>
        <w:t xml:space="preserve">„Entwicklung berechneter Schwellenwerte für die Ausschließung allgemein bekannter Sorten von der zweiten Wachstumsperiode bei </w:t>
      </w:r>
      <w:r w:rsidR="0078722F" w:rsidRPr="008F5E86">
        <w:rPr>
          <w:lang w:val="de-DE" w:eastAsia="ja-JP"/>
        </w:rPr>
        <w:lastRenderedPageBreak/>
        <w:t>Anwendung von COYD</w:t>
      </w:r>
      <w:r w:rsidRPr="008F5E86">
        <w:rPr>
          <w:lang w:val="de-DE" w:eastAsia="ja-JP"/>
        </w:rPr>
        <w:t xml:space="preserve">”, </w:t>
      </w:r>
      <w:r w:rsidR="0078722F" w:rsidRPr="008F5E86">
        <w:rPr>
          <w:lang w:val="de-DE" w:eastAsia="ja-JP"/>
        </w:rPr>
        <w:t>Absätz</w:t>
      </w:r>
      <w:r w:rsidR="004534A6">
        <w:rPr>
          <w:lang w:val="de-DE" w:eastAsia="ja-JP"/>
        </w:rPr>
        <w:t>e</w:t>
      </w:r>
      <w:r w:rsidRPr="008F5E86">
        <w:rPr>
          <w:lang w:val="de-DE" w:eastAsia="ja-JP"/>
        </w:rPr>
        <w:t xml:space="preserve"> </w:t>
      </w:r>
      <w:r w:rsidR="00695115" w:rsidRPr="008F5E86">
        <w:rPr>
          <w:lang w:val="de-DE" w:eastAsia="ja-JP"/>
        </w:rPr>
        <w:t>9</w:t>
      </w:r>
      <w:r w:rsidRPr="008F5E86">
        <w:rPr>
          <w:lang w:val="de-DE" w:eastAsia="ja-JP"/>
        </w:rPr>
        <w:t xml:space="preserve"> </w:t>
      </w:r>
      <w:r w:rsidR="0078722F" w:rsidRPr="008F5E86">
        <w:rPr>
          <w:lang w:val="de-DE" w:eastAsia="ja-JP"/>
        </w:rPr>
        <w:t>bis</w:t>
      </w:r>
      <w:r w:rsidRPr="008F5E86">
        <w:rPr>
          <w:lang w:val="de-DE" w:eastAsia="ja-JP"/>
        </w:rPr>
        <w:t xml:space="preserve"> </w:t>
      </w:r>
      <w:r w:rsidR="0078722F" w:rsidRPr="008F5E86">
        <w:rPr>
          <w:lang w:val="de-DE" w:eastAsia="ja-JP"/>
        </w:rPr>
        <w:t>13</w:t>
      </w:r>
      <w:r w:rsidR="004534A6">
        <w:rPr>
          <w:lang w:val="de-DE" w:eastAsia="ja-JP"/>
        </w:rPr>
        <w:t>,</w:t>
      </w:r>
      <w:r w:rsidR="0078722F" w:rsidRPr="008F5E86">
        <w:rPr>
          <w:lang w:val="de-DE" w:eastAsia="ja-JP"/>
        </w:rPr>
        <w:t xml:space="preserve"> u</w:t>
      </w:r>
      <w:r w:rsidR="00695115" w:rsidRPr="008F5E86">
        <w:rPr>
          <w:lang w:val="de-DE" w:eastAsia="ja-JP"/>
        </w:rPr>
        <w:t>nd</w:t>
      </w:r>
      <w:r w:rsidR="00695115" w:rsidRPr="008F5E86">
        <w:rPr>
          <w:rFonts w:eastAsiaTheme="minorEastAsia" w:hint="eastAsia"/>
          <w:lang w:val="de-DE" w:eastAsia="ja-JP"/>
        </w:rPr>
        <w:t xml:space="preserve"> </w:t>
      </w:r>
      <w:r w:rsidR="0078722F" w:rsidRPr="008F5E86">
        <w:rPr>
          <w:rFonts w:eastAsiaTheme="minorEastAsia"/>
          <w:lang w:val="de-DE" w:eastAsia="ja-JP"/>
        </w:rPr>
        <w:t>Dok</w:t>
      </w:r>
      <w:r w:rsidR="00C83C5F" w:rsidRPr="008F5E86">
        <w:rPr>
          <w:rFonts w:eastAsiaTheme="minorEastAsia"/>
          <w:lang w:val="de-DE" w:eastAsia="ja-JP"/>
        </w:rPr>
        <w:t xml:space="preserve">ument </w:t>
      </w:r>
      <w:r w:rsidR="00695115" w:rsidRPr="008F5E86">
        <w:rPr>
          <w:rFonts w:eastAsiaTheme="minorEastAsia"/>
          <w:lang w:val="de-DE" w:eastAsia="ja-JP"/>
        </w:rPr>
        <w:t>TC</w:t>
      </w:r>
      <w:r w:rsidR="00695115" w:rsidRPr="008F5E86">
        <w:rPr>
          <w:rFonts w:hint="eastAsia"/>
          <w:lang w:val="de-DE" w:eastAsia="ja-JP"/>
        </w:rPr>
        <w:t>/</w:t>
      </w:r>
      <w:r w:rsidR="00695115" w:rsidRPr="008F5E86">
        <w:rPr>
          <w:lang w:val="de-DE" w:eastAsia="ja-JP"/>
        </w:rPr>
        <w:t>53</w:t>
      </w:r>
      <w:r w:rsidR="00695115" w:rsidRPr="008F5E86">
        <w:rPr>
          <w:rFonts w:hint="eastAsia"/>
          <w:lang w:val="de-DE" w:eastAsia="ja-JP"/>
        </w:rPr>
        <w:t>/</w:t>
      </w:r>
      <w:r w:rsidR="00695115" w:rsidRPr="008F5E86">
        <w:rPr>
          <w:lang w:val="de-DE" w:eastAsia="ja-JP"/>
        </w:rPr>
        <w:t>23 A</w:t>
      </w:r>
      <w:r w:rsidR="00F206ED" w:rsidRPr="008F5E86">
        <w:rPr>
          <w:lang w:val="de-DE" w:eastAsia="ja-JP"/>
        </w:rPr>
        <w:t>dd</w:t>
      </w:r>
      <w:r w:rsidR="00695115" w:rsidRPr="008F5E86">
        <w:rPr>
          <w:lang w:val="de-DE" w:eastAsia="ja-JP"/>
        </w:rPr>
        <w:t xml:space="preserve">. </w:t>
      </w:r>
      <w:r w:rsidR="00655961" w:rsidRPr="008F5E86">
        <w:rPr>
          <w:lang w:val="de-DE" w:eastAsia="ja-JP"/>
        </w:rPr>
        <w:t>„Ergänzung zu Dokument</w:t>
      </w:r>
      <w:r w:rsidR="00695115" w:rsidRPr="008F5E86">
        <w:rPr>
          <w:lang w:val="de-DE" w:eastAsia="ja-JP"/>
        </w:rPr>
        <w:t xml:space="preserve"> TC/53/23”</w:t>
      </w:r>
      <w:r w:rsidR="004534A6">
        <w:rPr>
          <w:lang w:val="de-DE" w:eastAsia="ja-JP"/>
        </w:rPr>
        <w:t xml:space="preserve"> enthalten</w:t>
      </w:r>
      <w:r w:rsidRPr="008F5E86">
        <w:rPr>
          <w:rFonts w:eastAsiaTheme="minorEastAsia" w:hint="eastAsia"/>
          <w:lang w:val="de-DE" w:eastAsia="ja-JP"/>
        </w:rPr>
        <w:t>.</w:t>
      </w:r>
    </w:p>
    <w:p w:rsidR="000428CA" w:rsidRDefault="000428CA" w:rsidP="00322D4D">
      <w:pPr>
        <w:tabs>
          <w:tab w:val="left" w:pos="567"/>
        </w:tabs>
        <w:autoSpaceDE w:val="0"/>
        <w:autoSpaceDN w:val="0"/>
        <w:adjustRightInd w:val="0"/>
        <w:rPr>
          <w:lang w:val="de-DE" w:eastAsia="ja-JP"/>
        </w:rPr>
      </w:pPr>
    </w:p>
    <w:p w:rsidR="00593D9E" w:rsidRPr="008F5E86" w:rsidRDefault="00593D9E" w:rsidP="00322D4D">
      <w:pPr>
        <w:tabs>
          <w:tab w:val="left" w:pos="567"/>
        </w:tabs>
        <w:autoSpaceDE w:val="0"/>
        <w:autoSpaceDN w:val="0"/>
        <w:adjustRightInd w:val="0"/>
        <w:rPr>
          <w:lang w:val="de-DE" w:eastAsia="ja-JP"/>
        </w:rPr>
      </w:pPr>
    </w:p>
    <w:p w:rsidR="00322D4D" w:rsidRPr="008F5E86" w:rsidRDefault="00BF5577" w:rsidP="00255609">
      <w:pPr>
        <w:pStyle w:val="Heading1"/>
        <w:rPr>
          <w:lang w:val="de-DE" w:eastAsia="ja-JP"/>
        </w:rPr>
      </w:pPr>
      <w:bookmarkStart w:id="4" w:name="_Toc526780197"/>
      <w:r w:rsidRPr="008F5E86">
        <w:rPr>
          <w:lang w:val="de-DE" w:eastAsia="ja-JP"/>
        </w:rPr>
        <w:t xml:space="preserve">Entwicklungen im Jahr </w:t>
      </w:r>
      <w:r w:rsidR="002A46DC" w:rsidRPr="008F5E86">
        <w:rPr>
          <w:lang w:val="de-DE" w:eastAsia="ja-JP"/>
        </w:rPr>
        <w:t>2017</w:t>
      </w:r>
      <w:bookmarkEnd w:id="4"/>
    </w:p>
    <w:p w:rsidR="00E85BE6" w:rsidRPr="008F5E86" w:rsidRDefault="00E85BE6" w:rsidP="00E85BE6">
      <w:pPr>
        <w:keepNext/>
        <w:rPr>
          <w:snapToGrid w:val="0"/>
          <w:color w:val="000000"/>
          <w:lang w:val="de-DE" w:eastAsia="ja-JP"/>
        </w:rPr>
      </w:pPr>
    </w:p>
    <w:p w:rsidR="00E85BE6" w:rsidRPr="008F5E86" w:rsidRDefault="00A52E52" w:rsidP="00E85BE6">
      <w:pPr>
        <w:pStyle w:val="Heading2"/>
        <w:rPr>
          <w:rFonts w:eastAsiaTheme="minorEastAsia"/>
          <w:snapToGrid w:val="0"/>
          <w:lang w:val="de-DE" w:eastAsia="ja-JP"/>
        </w:rPr>
      </w:pPr>
      <w:bookmarkStart w:id="5" w:name="_Toc526780198"/>
      <w:r w:rsidRPr="008F5E86">
        <w:rPr>
          <w:rFonts w:eastAsiaTheme="minorEastAsia"/>
          <w:snapToGrid w:val="0"/>
          <w:lang w:val="de-DE" w:eastAsia="ja-JP"/>
        </w:rPr>
        <w:t>Technische</w:t>
      </w:r>
      <w:r w:rsidR="004534A6">
        <w:rPr>
          <w:rFonts w:eastAsiaTheme="minorEastAsia"/>
          <w:snapToGrid w:val="0"/>
          <w:lang w:val="de-DE" w:eastAsia="ja-JP"/>
        </w:rPr>
        <w:t>r</w:t>
      </w:r>
      <w:r w:rsidRPr="008F5E86">
        <w:rPr>
          <w:rFonts w:eastAsiaTheme="minorEastAsia"/>
          <w:snapToGrid w:val="0"/>
          <w:lang w:val="de-DE" w:eastAsia="ja-JP"/>
        </w:rPr>
        <w:t xml:space="preserve"> Ausschuß</w:t>
      </w:r>
      <w:bookmarkEnd w:id="5"/>
    </w:p>
    <w:p w:rsidR="00E85BE6" w:rsidRPr="008F5E86" w:rsidRDefault="00E85BE6" w:rsidP="00E85BE6">
      <w:pPr>
        <w:ind w:left="567" w:hanging="567"/>
        <w:rPr>
          <w:rFonts w:cs="Arial"/>
          <w:snapToGrid w:val="0"/>
          <w:lang w:val="de-DE"/>
        </w:rPr>
      </w:pPr>
    </w:p>
    <w:p w:rsidR="00E85BE6" w:rsidRPr="008F5E86" w:rsidRDefault="00E85BE6" w:rsidP="00E85BE6">
      <w:pPr>
        <w:rPr>
          <w:snapToGrid w:val="0"/>
          <w:lang w:val="de-DE"/>
        </w:rPr>
      </w:pPr>
      <w:r w:rsidRPr="00E85BE6">
        <w:fldChar w:fldCharType="begin"/>
      </w:r>
      <w:r w:rsidRPr="008F5E86">
        <w:rPr>
          <w:lang w:val="de-DE"/>
        </w:rPr>
        <w:instrText xml:space="preserve"> AUTONUM  </w:instrText>
      </w:r>
      <w:r w:rsidRPr="00E85BE6">
        <w:fldChar w:fldCharType="end"/>
      </w:r>
      <w:r w:rsidRPr="008F5E86">
        <w:rPr>
          <w:lang w:val="de-DE"/>
        </w:rPr>
        <w:tab/>
      </w:r>
      <w:r w:rsidR="00916B93" w:rsidRPr="008F5E86">
        <w:rPr>
          <w:snapToGrid w:val="0"/>
          <w:lang w:val="de-DE"/>
        </w:rPr>
        <w:t>Der TC prüfte auf seiner dreiundfünfzigsten</w:t>
      </w:r>
      <w:r w:rsidR="007A77C8">
        <w:rPr>
          <w:snapToGrid w:val="0"/>
          <w:lang w:val="de-DE"/>
        </w:rPr>
        <w:t xml:space="preserve"> Tagung vom 3. bis 5. April </w:t>
      </w:r>
      <w:r w:rsidR="007A77C8" w:rsidRPr="004D7E1B">
        <w:rPr>
          <w:snapToGrid w:val="0"/>
          <w:lang w:val="de-DE"/>
        </w:rPr>
        <w:t>2015</w:t>
      </w:r>
      <w:r w:rsidR="00916B93" w:rsidRPr="008F5E86">
        <w:rPr>
          <w:snapToGrid w:val="0"/>
          <w:lang w:val="de-DE"/>
        </w:rPr>
        <w:t xml:space="preserve"> in Genf Dokument </w:t>
      </w:r>
      <w:r w:rsidRPr="008F5E86">
        <w:rPr>
          <w:snapToGrid w:val="0"/>
          <w:lang w:val="de-DE"/>
        </w:rPr>
        <w:t xml:space="preserve">TC/53/23 </w:t>
      </w:r>
      <w:r w:rsidR="00FA6369" w:rsidRPr="008F5E86">
        <w:rPr>
          <w:lang w:val="de-DE" w:eastAsia="ja-JP"/>
        </w:rPr>
        <w:t>„</w:t>
      </w:r>
      <w:r w:rsidR="00FA6369" w:rsidRPr="008F5E86">
        <w:rPr>
          <w:snapToGrid w:val="0"/>
          <w:lang w:val="de-DE"/>
        </w:rPr>
        <w:t>Entwicklung berechneter Schwellenwerte für die Ausschließung allgemein bekannter Sorten von der zweiten Wachstumsperiode bei Anwendung von COYD</w:t>
      </w:r>
      <w:r w:rsidRPr="008F5E86">
        <w:rPr>
          <w:snapToGrid w:val="0"/>
          <w:lang w:val="de-DE"/>
        </w:rPr>
        <w:t>”</w:t>
      </w:r>
      <w:r w:rsidRPr="008F5E86">
        <w:rPr>
          <w:rFonts w:hint="eastAsia"/>
          <w:lang w:val="de-DE" w:eastAsia="ja-JP"/>
        </w:rPr>
        <w:t xml:space="preserve"> (</w:t>
      </w:r>
      <w:r w:rsidR="00FA6369" w:rsidRPr="008F5E86">
        <w:rPr>
          <w:lang w:val="de-DE" w:eastAsia="ja-JP"/>
        </w:rPr>
        <w:t>vergleiche Dokument TC/53/31 „Bericht”, Absätz</w:t>
      </w:r>
      <w:r w:rsidR="004534A6">
        <w:rPr>
          <w:lang w:val="de-DE" w:eastAsia="ja-JP"/>
        </w:rPr>
        <w:t>e</w:t>
      </w:r>
      <w:r w:rsidRPr="008F5E86">
        <w:rPr>
          <w:rFonts w:hint="eastAsia"/>
          <w:lang w:val="de-DE" w:eastAsia="ja-JP"/>
        </w:rPr>
        <w:t xml:space="preserve"> </w:t>
      </w:r>
      <w:r w:rsidRPr="008F5E86">
        <w:rPr>
          <w:lang w:val="de-DE" w:eastAsia="ja-JP"/>
        </w:rPr>
        <w:t>190</w:t>
      </w:r>
      <w:r w:rsidRPr="008F5E86">
        <w:rPr>
          <w:rFonts w:hint="eastAsia"/>
          <w:lang w:val="de-DE" w:eastAsia="ja-JP"/>
        </w:rPr>
        <w:t xml:space="preserve"> </w:t>
      </w:r>
      <w:r w:rsidR="00FA6369" w:rsidRPr="008F5E86">
        <w:rPr>
          <w:lang w:val="de-DE" w:eastAsia="ja-JP"/>
        </w:rPr>
        <w:t>bis</w:t>
      </w:r>
      <w:r w:rsidRPr="008F5E86">
        <w:rPr>
          <w:rFonts w:hint="eastAsia"/>
          <w:lang w:val="de-DE" w:eastAsia="ja-JP"/>
        </w:rPr>
        <w:t xml:space="preserve"> </w:t>
      </w:r>
      <w:r w:rsidRPr="008F5E86">
        <w:rPr>
          <w:lang w:val="de-DE" w:eastAsia="ja-JP"/>
        </w:rPr>
        <w:t>192</w:t>
      </w:r>
      <w:r w:rsidRPr="008F5E86">
        <w:rPr>
          <w:rFonts w:hint="eastAsia"/>
          <w:lang w:val="de-DE" w:eastAsia="ja-JP"/>
        </w:rPr>
        <w:t>)</w:t>
      </w:r>
      <w:r w:rsidRPr="008F5E86">
        <w:rPr>
          <w:snapToGrid w:val="0"/>
          <w:lang w:val="de-DE"/>
        </w:rPr>
        <w:t>.</w:t>
      </w:r>
      <w:bookmarkStart w:id="6" w:name="_GoBack"/>
      <w:bookmarkEnd w:id="6"/>
    </w:p>
    <w:p w:rsidR="00E85BE6" w:rsidRPr="008F5E86" w:rsidRDefault="00E85BE6" w:rsidP="00E85BE6">
      <w:pPr>
        <w:rPr>
          <w:lang w:val="de-DE" w:eastAsia="ja-JP"/>
        </w:rPr>
      </w:pPr>
    </w:p>
    <w:p w:rsidR="00E85BE6" w:rsidRPr="008F5E86" w:rsidRDefault="00E85BE6" w:rsidP="00E85BE6">
      <w:pPr>
        <w:rPr>
          <w:lang w:val="de-DE" w:eastAsia="ja-JP"/>
        </w:rPr>
      </w:pPr>
      <w:r w:rsidRPr="00D51062">
        <w:rPr>
          <w:lang w:eastAsia="ja-JP"/>
        </w:rPr>
        <w:fldChar w:fldCharType="begin"/>
      </w:r>
      <w:r w:rsidRPr="008F5E86">
        <w:rPr>
          <w:lang w:val="de-DE" w:eastAsia="ja-JP"/>
        </w:rPr>
        <w:instrText xml:space="preserve"> AUTONUM  </w:instrText>
      </w:r>
      <w:r w:rsidRPr="00D51062">
        <w:rPr>
          <w:lang w:eastAsia="ja-JP"/>
        </w:rPr>
        <w:fldChar w:fldCharType="end"/>
      </w:r>
      <w:r w:rsidRPr="008F5E86">
        <w:rPr>
          <w:lang w:val="de-DE" w:eastAsia="ja-JP"/>
        </w:rPr>
        <w:tab/>
      </w:r>
      <w:r w:rsidR="001720E7" w:rsidRPr="008F5E86">
        <w:rPr>
          <w:lang w:val="de-DE" w:eastAsia="ja-JP"/>
        </w:rPr>
        <w:t>Der TC hörte ein Referat von den Sachverständigen aus dem Vereinigten Königreich über die Ausschließung allgemein bekannter Sorten von der zweiten Wachstumsperiode bei Anwendung von COYD, das in Kopie in Dokument TC/53/23 Add. wiedergegeben ist.</w:t>
      </w:r>
    </w:p>
    <w:p w:rsidR="00E85BE6" w:rsidRPr="008F5E86" w:rsidRDefault="00E85BE6" w:rsidP="00E85BE6">
      <w:pPr>
        <w:rPr>
          <w:lang w:val="de-DE" w:eastAsia="ja-JP"/>
        </w:rPr>
      </w:pPr>
    </w:p>
    <w:p w:rsidR="00E85BE6" w:rsidRPr="008F5E86" w:rsidRDefault="00E85BE6" w:rsidP="00E85BE6">
      <w:pPr>
        <w:rPr>
          <w:lang w:val="de-DE" w:eastAsia="ja-JP"/>
        </w:rPr>
      </w:pPr>
      <w:r w:rsidRPr="00D51062">
        <w:rPr>
          <w:lang w:eastAsia="ja-JP"/>
        </w:rPr>
        <w:fldChar w:fldCharType="begin"/>
      </w:r>
      <w:r w:rsidRPr="008F5E86">
        <w:rPr>
          <w:lang w:val="de-DE" w:eastAsia="ja-JP"/>
        </w:rPr>
        <w:instrText xml:space="preserve"> AUTONUM  </w:instrText>
      </w:r>
      <w:r w:rsidRPr="00D51062">
        <w:rPr>
          <w:lang w:eastAsia="ja-JP"/>
        </w:rPr>
        <w:fldChar w:fldCharType="end"/>
      </w:r>
      <w:r w:rsidRPr="008F5E86">
        <w:rPr>
          <w:lang w:val="de-DE" w:eastAsia="ja-JP"/>
        </w:rPr>
        <w:tab/>
      </w:r>
      <w:r w:rsidR="001F514B" w:rsidRPr="008F5E86">
        <w:rPr>
          <w:lang w:val="de-DE" w:eastAsia="ja-JP"/>
        </w:rPr>
        <w:t>Der TC nahm zur Kenntnis, daß weitere Entwicklungen hinsichtlich berechneter Schwellenwerte für die Ausschließung allgemein bekannter Sorten von der zweiten Wachstumsperiode bei Anwendung von COYD dem TWC auf seiner fünfunddreißigsten Tagung berichtet werden würden.</w:t>
      </w:r>
    </w:p>
    <w:p w:rsidR="00E85BE6" w:rsidRPr="008F5E86" w:rsidRDefault="00E85BE6" w:rsidP="00E85BE6">
      <w:pPr>
        <w:keepNext/>
        <w:rPr>
          <w:snapToGrid w:val="0"/>
          <w:color w:val="000000"/>
          <w:lang w:val="de-DE" w:eastAsia="ja-JP"/>
        </w:rPr>
      </w:pPr>
    </w:p>
    <w:p w:rsidR="00322D4D" w:rsidRDefault="000B6945" w:rsidP="00082403">
      <w:pPr>
        <w:pStyle w:val="Heading2"/>
        <w:rPr>
          <w:rFonts w:eastAsia="PMingLiU"/>
          <w:lang w:val="de-DE"/>
        </w:rPr>
      </w:pPr>
      <w:bookmarkStart w:id="7" w:name="_Toc526780199"/>
      <w:r w:rsidRPr="008F5E86">
        <w:rPr>
          <w:rFonts w:eastAsia="PMingLiU"/>
          <w:lang w:val="de-DE"/>
        </w:rPr>
        <w:t>Technische Arbeitsgruppe für Automatisierung und Computerprogramme</w:t>
      </w:r>
      <w:bookmarkEnd w:id="7"/>
    </w:p>
    <w:p w:rsidR="004534A6" w:rsidRPr="008F5E86" w:rsidRDefault="004534A6" w:rsidP="00CB0C08">
      <w:pPr>
        <w:keepNext/>
        <w:keepLines/>
        <w:outlineLvl w:val="0"/>
        <w:rPr>
          <w:rFonts w:eastAsia="PMingLiU" w:cs="Arial"/>
          <w:szCs w:val="24"/>
          <w:u w:val="single"/>
          <w:lang w:val="de-DE"/>
        </w:rPr>
      </w:pPr>
    </w:p>
    <w:p w:rsidR="004534A6" w:rsidRPr="006B4C00" w:rsidRDefault="004534A6" w:rsidP="004534A6">
      <w:pPr>
        <w:keepNext/>
        <w:keepLines/>
        <w:rPr>
          <w:lang w:val="de-DE"/>
        </w:rPr>
      </w:pPr>
      <w:r w:rsidRPr="006B4C00">
        <w:fldChar w:fldCharType="begin"/>
      </w:r>
      <w:r w:rsidRPr="006B4C00">
        <w:rPr>
          <w:lang w:val="de-DE"/>
        </w:rPr>
        <w:instrText xml:space="preserve"> AUTONUM  </w:instrText>
      </w:r>
      <w:r w:rsidRPr="006B4C00">
        <w:fldChar w:fldCharType="end"/>
      </w:r>
      <w:r w:rsidRPr="006B4C00">
        <w:rPr>
          <w:lang w:val="de-DE"/>
        </w:rPr>
        <w:tab/>
        <w:t>Die TWC prüfte auf ihrer fünfunddreißigsten Tagung vom 14. bis 17. November 2017 in Buenos Aires, Argentinien, die Dokumente TWP/1/22 „Entwicklung berechneter Schwellenwerte für die Ausschließung allgemein bekannter Sorten von der zweiten Wachstumsperiode bei Verwendung von COYD</w:t>
      </w:r>
      <w:r w:rsidRPr="006B4C00">
        <w:rPr>
          <w:snapToGrid w:val="0"/>
          <w:lang w:val="de-DE"/>
        </w:rPr>
        <w:t xml:space="preserve">“ </w:t>
      </w:r>
      <w:r w:rsidRPr="006B4C00">
        <w:rPr>
          <w:lang w:val="de-DE"/>
        </w:rPr>
        <w:t>und TWC/35/13</w:t>
      </w:r>
      <w:r w:rsidRPr="006B4C00">
        <w:rPr>
          <w:snapToGrid w:val="0"/>
          <w:lang w:val="de-DE"/>
        </w:rPr>
        <w:t xml:space="preserve"> „Schwellenwerte für die Ausschließung allgemein bekannter Sorten von der zweiten Wachstumsperiode bei Verwendung von COYD“ und </w:t>
      </w:r>
      <w:r w:rsidRPr="006B4C00">
        <w:rPr>
          <w:lang w:val="de-DE"/>
        </w:rPr>
        <w:t>hörte ein Referat von einem Sachverständigen aus dem Vereinigten Königreich, wovon eine Abschrift in der Anlage dieses Dokuments enthalten ist (vergleiche Dokument TWC/35/21 „</w:t>
      </w:r>
      <w:r w:rsidRPr="006B4C00">
        <w:rPr>
          <w:i/>
          <w:iCs/>
          <w:lang w:val="de-DE"/>
        </w:rPr>
        <w:t>Report</w:t>
      </w:r>
      <w:r w:rsidRPr="006B4C00">
        <w:rPr>
          <w:lang w:val="de-DE"/>
        </w:rPr>
        <w:t>“, Absätze 73 bis 76).</w:t>
      </w:r>
    </w:p>
    <w:p w:rsidR="000B6945" w:rsidRPr="006B4C00" w:rsidRDefault="000B6945" w:rsidP="00CB0C08">
      <w:pPr>
        <w:keepNext/>
        <w:keepLines/>
        <w:outlineLvl w:val="0"/>
        <w:rPr>
          <w:caps/>
          <w:lang w:val="de-DE" w:eastAsia="ja-JP"/>
        </w:rPr>
      </w:pPr>
    </w:p>
    <w:p w:rsidR="000F69AB" w:rsidRPr="006B4C00" w:rsidRDefault="00C83C5F" w:rsidP="000F69AB">
      <w:pPr>
        <w:rPr>
          <w:lang w:val="de-DE"/>
        </w:rPr>
      </w:pPr>
      <w:r w:rsidRPr="006B4C00">
        <w:fldChar w:fldCharType="begin"/>
      </w:r>
      <w:r w:rsidRPr="006B4C00">
        <w:rPr>
          <w:lang w:val="de-DE"/>
        </w:rPr>
        <w:instrText xml:space="preserve"> AUTONUM  </w:instrText>
      </w:r>
      <w:r w:rsidRPr="006B4C00">
        <w:fldChar w:fldCharType="end"/>
      </w:r>
      <w:r w:rsidRPr="006B4C00">
        <w:rPr>
          <w:lang w:val="de-DE"/>
        </w:rPr>
        <w:tab/>
      </w:r>
      <w:r w:rsidR="000F69AB" w:rsidRPr="006B4C00">
        <w:rPr>
          <w:snapToGrid w:val="0"/>
          <w:lang w:val="de-DE"/>
        </w:rPr>
        <w:t xml:space="preserve">Die TWC </w:t>
      </w:r>
      <w:r w:rsidR="000F69AB" w:rsidRPr="006B4C00">
        <w:rPr>
          <w:lang w:val="de-DE"/>
        </w:rPr>
        <w:t>nahm die jüngsten Entwicklungen und die Angaben von COYD-Schwellenwerten für die Ausschließung allgemein bekannter Sorten von der zweiten Wachstumsperiode auf der Grundlage von Datensätzen von Wiesenschwingel, Rotklee, Zwiebellieschgras, Deutschem Weidelgras, Erbse (halb</w:t>
      </w:r>
      <w:r w:rsidR="00593D9E">
        <w:rPr>
          <w:lang w:val="de-DE"/>
        </w:rPr>
        <w:t> </w:t>
      </w:r>
      <w:r w:rsidR="000F69AB" w:rsidRPr="006B4C00">
        <w:rPr>
          <w:lang w:val="de-DE"/>
        </w:rPr>
        <w:t>blattlose) und Erbse (konventionelle) zur Kenntnis.</w:t>
      </w:r>
    </w:p>
    <w:p w:rsidR="000F69AB" w:rsidRPr="006B4C00" w:rsidRDefault="000F69AB" w:rsidP="000F69AB">
      <w:pPr>
        <w:rPr>
          <w:lang w:val="de-DE"/>
        </w:rPr>
      </w:pPr>
    </w:p>
    <w:p w:rsidR="000F69AB" w:rsidRPr="006B4C00" w:rsidRDefault="000F69AB" w:rsidP="000F69AB">
      <w:pPr>
        <w:rPr>
          <w:rFonts w:eastAsia="MS Mincho"/>
          <w:lang w:val="de-DE"/>
        </w:rPr>
      </w:pPr>
      <w:r w:rsidRPr="006B4C00">
        <w:rPr>
          <w:rFonts w:eastAsia="MS Mincho"/>
        </w:rPr>
        <w:fldChar w:fldCharType="begin"/>
      </w:r>
      <w:r w:rsidRPr="006B4C00">
        <w:rPr>
          <w:rFonts w:eastAsia="MS Mincho"/>
          <w:lang w:val="de-DE"/>
        </w:rPr>
        <w:instrText xml:space="preserve"> AUTONUM  </w:instrText>
      </w:r>
      <w:r w:rsidRPr="006B4C00">
        <w:rPr>
          <w:rFonts w:eastAsia="MS Mincho"/>
        </w:rPr>
        <w:fldChar w:fldCharType="end"/>
      </w:r>
      <w:r w:rsidRPr="006B4C00">
        <w:rPr>
          <w:lang w:val="de-DE"/>
        </w:rPr>
        <w:tab/>
        <w:t>Die TWC nahm zur Kenntnis, daß</w:t>
      </w:r>
      <w:r w:rsidR="004534A6" w:rsidRPr="006B4C00">
        <w:rPr>
          <w:lang w:val="de-DE"/>
        </w:rPr>
        <w:t xml:space="preserve"> sich</w:t>
      </w:r>
      <w:r w:rsidRPr="006B4C00">
        <w:rPr>
          <w:lang w:val="de-DE"/>
        </w:rPr>
        <w:t xml:space="preserve"> die Methode am besten</w:t>
      </w:r>
      <w:r w:rsidR="009B4FAB">
        <w:rPr>
          <w:lang w:val="de-DE"/>
        </w:rPr>
        <w:t xml:space="preserve"> eignete</w:t>
      </w:r>
      <w:r w:rsidRPr="006B4C00">
        <w:rPr>
          <w:lang w:val="de-DE"/>
        </w:rPr>
        <w:t xml:space="preserve"> für Pflanzen mit einer großen Anzahl von Sorten, die allgemein bekannt sind und bei denen d</w:t>
      </w:r>
      <w:r w:rsidR="009B4FAB">
        <w:rPr>
          <w:lang w:val="de-DE"/>
        </w:rPr>
        <w:t xml:space="preserve">ie derzeitigen </w:t>
      </w:r>
      <w:proofErr w:type="spellStart"/>
      <w:r w:rsidR="009B4FAB">
        <w:rPr>
          <w:lang w:val="de-DE"/>
        </w:rPr>
        <w:t>Anbauvprüfungsgröß</w:t>
      </w:r>
      <w:r w:rsidRPr="006B4C00">
        <w:rPr>
          <w:lang w:val="de-DE"/>
        </w:rPr>
        <w:t>en</w:t>
      </w:r>
      <w:proofErr w:type="spellEnd"/>
      <w:r w:rsidRPr="006B4C00">
        <w:rPr>
          <w:lang w:val="de-DE"/>
        </w:rPr>
        <w:t xml:space="preserve"> groß waren</w:t>
      </w:r>
      <w:r w:rsidR="004534A6" w:rsidRPr="006B4C00">
        <w:rPr>
          <w:lang w:val="de-DE"/>
        </w:rPr>
        <w:t>. Die</w:t>
      </w:r>
      <w:r w:rsidR="00CB1116" w:rsidRPr="006B4C00">
        <w:rPr>
          <w:lang w:val="de-DE"/>
        </w:rPr>
        <w:t xml:space="preserve"> TWC nahm das Vorhaben</w:t>
      </w:r>
      <w:r w:rsidRPr="006B4C00">
        <w:rPr>
          <w:lang w:val="de-DE"/>
        </w:rPr>
        <w:t xml:space="preserve"> des Vereinigten Königreichs, die Methode an zwei großen Datensätzen von Raps zu testen, zur Kenntnis.</w:t>
      </w:r>
    </w:p>
    <w:p w:rsidR="000F69AB" w:rsidRPr="006B4C00" w:rsidRDefault="000F69AB" w:rsidP="000F69AB">
      <w:pPr>
        <w:rPr>
          <w:rFonts w:eastAsia="MS Mincho"/>
          <w:lang w:val="de-DE"/>
        </w:rPr>
      </w:pPr>
    </w:p>
    <w:p w:rsidR="000F69AB" w:rsidRPr="006B4C00" w:rsidRDefault="000F69AB" w:rsidP="000F69AB">
      <w:pPr>
        <w:rPr>
          <w:rFonts w:eastAsia="MS Mincho"/>
          <w:lang w:val="de-DE"/>
        </w:rPr>
      </w:pPr>
      <w:r w:rsidRPr="006B4C00">
        <w:rPr>
          <w:rFonts w:eastAsia="MS Mincho"/>
        </w:rPr>
        <w:fldChar w:fldCharType="begin"/>
      </w:r>
      <w:r w:rsidRPr="006B4C00">
        <w:rPr>
          <w:rFonts w:eastAsia="MS Mincho"/>
          <w:lang w:val="de-DE"/>
        </w:rPr>
        <w:instrText xml:space="preserve"> AUTONUM  </w:instrText>
      </w:r>
      <w:r w:rsidRPr="006B4C00">
        <w:rPr>
          <w:rFonts w:eastAsia="MS Mincho"/>
        </w:rPr>
        <w:fldChar w:fldCharType="end"/>
      </w:r>
      <w:r w:rsidRPr="006B4C00">
        <w:rPr>
          <w:lang w:val="de-DE"/>
        </w:rPr>
        <w:tab/>
        <w:t>Die TWC</w:t>
      </w:r>
      <w:r w:rsidR="00CB1116" w:rsidRPr="006B4C00">
        <w:rPr>
          <w:lang w:val="de-DE"/>
        </w:rPr>
        <w:t xml:space="preserve"> nahm zur Kenntnis, daß das Programm</w:t>
      </w:r>
      <w:r w:rsidRPr="006B4C00">
        <w:rPr>
          <w:lang w:val="de-DE"/>
        </w:rPr>
        <w:t xml:space="preserve"> unter Verwendung von „R“-Software entwickelt worden war und daß es</w:t>
      </w:r>
      <w:r w:rsidR="00CB1116" w:rsidRPr="006B4C00">
        <w:rPr>
          <w:lang w:val="de-DE"/>
        </w:rPr>
        <w:t xml:space="preserve"> eventuell möglich ist, es</w:t>
      </w:r>
      <w:r w:rsidRPr="006B4C00">
        <w:rPr>
          <w:lang w:val="de-DE"/>
        </w:rPr>
        <w:t xml:space="preserve"> mit der GAIA-Software zu verknüpfen, um die Festlegung der Schwellenwerte für die Ausschließung von Sorten aus der zweiten Wachstumsperiode bei Verwendung von COYD zu unterstützen.</w:t>
      </w:r>
    </w:p>
    <w:p w:rsidR="000F69AB" w:rsidRPr="006B4C00" w:rsidRDefault="000F69AB" w:rsidP="000F69AB">
      <w:pPr>
        <w:tabs>
          <w:tab w:val="left" w:pos="567"/>
        </w:tabs>
        <w:autoSpaceDE w:val="0"/>
        <w:autoSpaceDN w:val="0"/>
        <w:adjustRightInd w:val="0"/>
        <w:rPr>
          <w:lang w:val="de-DE" w:eastAsia="ja-JP"/>
        </w:rPr>
      </w:pPr>
    </w:p>
    <w:p w:rsidR="000F69AB" w:rsidRPr="006B4C00" w:rsidRDefault="000F69AB" w:rsidP="000F69AB">
      <w:pPr>
        <w:tabs>
          <w:tab w:val="left" w:pos="567"/>
        </w:tabs>
        <w:autoSpaceDE w:val="0"/>
        <w:autoSpaceDN w:val="0"/>
        <w:adjustRightInd w:val="0"/>
        <w:rPr>
          <w:lang w:val="de-DE" w:eastAsia="ja-JP"/>
        </w:rPr>
      </w:pPr>
    </w:p>
    <w:p w:rsidR="000F69AB" w:rsidRPr="006B4C00" w:rsidRDefault="000F69AB" w:rsidP="00255609">
      <w:pPr>
        <w:pStyle w:val="Heading1"/>
        <w:rPr>
          <w:lang w:val="de-DE"/>
        </w:rPr>
      </w:pPr>
      <w:bookmarkStart w:id="8" w:name="_Toc526780200"/>
      <w:r w:rsidRPr="006B4C00">
        <w:rPr>
          <w:lang w:val="de-DE"/>
        </w:rPr>
        <w:t>Entwicklungen im Jahr 2018</w:t>
      </w:r>
      <w:bookmarkEnd w:id="8"/>
    </w:p>
    <w:p w:rsidR="000F69AB" w:rsidRPr="006B4C00" w:rsidRDefault="000F69AB" w:rsidP="000F69AB">
      <w:pPr>
        <w:rPr>
          <w:lang w:val="de-DE"/>
        </w:rPr>
      </w:pPr>
    </w:p>
    <w:p w:rsidR="000F69AB" w:rsidRPr="006B4C00" w:rsidRDefault="000F69AB" w:rsidP="000F69AB">
      <w:pPr>
        <w:rPr>
          <w:lang w:val="de-DE"/>
        </w:rPr>
      </w:pPr>
      <w:r w:rsidRPr="006B4C00">
        <w:fldChar w:fldCharType="begin"/>
      </w:r>
      <w:r w:rsidRPr="006B4C00">
        <w:rPr>
          <w:lang w:val="de-DE"/>
        </w:rPr>
        <w:instrText xml:space="preserve"> AUTONUM  </w:instrText>
      </w:r>
      <w:r w:rsidRPr="006B4C00">
        <w:fldChar w:fldCharType="end"/>
      </w:r>
      <w:r w:rsidRPr="006B4C00">
        <w:rPr>
          <w:lang w:val="de-DE"/>
        </w:rPr>
        <w:tab/>
        <w:t xml:space="preserve">Die TWC hatte auf ihrer sechsunddreißigsten Tagung vom 2. bis 6. Juli 2018 in Hannover kein Dokument zu diesem Thema erhalten. </w:t>
      </w:r>
    </w:p>
    <w:p w:rsidR="000F69AB" w:rsidRPr="006B4C00" w:rsidRDefault="000F69AB" w:rsidP="000F69AB">
      <w:pPr>
        <w:rPr>
          <w:rFonts w:eastAsia="MS Mincho"/>
          <w:lang w:val="de-DE"/>
        </w:rPr>
      </w:pPr>
    </w:p>
    <w:p w:rsidR="000F69AB" w:rsidRPr="006B4C00" w:rsidRDefault="000F69AB" w:rsidP="000F69AB">
      <w:pPr>
        <w:rPr>
          <w:lang w:val="de-DE"/>
        </w:rPr>
      </w:pPr>
      <w:r w:rsidRPr="006B4C00">
        <w:rPr>
          <w:rFonts w:eastAsia="MS Mincho"/>
        </w:rPr>
        <w:fldChar w:fldCharType="begin"/>
      </w:r>
      <w:r w:rsidRPr="006B4C00">
        <w:rPr>
          <w:rFonts w:eastAsia="MS Mincho"/>
          <w:lang w:val="de-DE"/>
        </w:rPr>
        <w:instrText xml:space="preserve"> AUTONUM  </w:instrText>
      </w:r>
      <w:r w:rsidRPr="006B4C00">
        <w:rPr>
          <w:rFonts w:eastAsia="MS Mincho"/>
        </w:rPr>
        <w:fldChar w:fldCharType="end"/>
      </w:r>
      <w:r w:rsidR="004534A6" w:rsidRPr="006B4C00">
        <w:rPr>
          <w:lang w:val="de-DE"/>
        </w:rPr>
        <w:tab/>
      </w:r>
      <w:r w:rsidRPr="006B4C00">
        <w:rPr>
          <w:lang w:val="de-DE"/>
        </w:rPr>
        <w:t xml:space="preserve">Am 24. Juli 2018 erhielt das Verbandsbüro die Information, daß der Sachverständige aus dem Vereinigten Königreich davon ausgeht, auf der siebenunddreißigsten Tagung der TWC vom 14. bis 16. Oktober 2019 in Hangzhou, China, über die Fortschritte berichten zu können. </w:t>
      </w:r>
    </w:p>
    <w:p w:rsidR="000F69AB" w:rsidRDefault="000F69AB" w:rsidP="000F69AB">
      <w:pPr>
        <w:rPr>
          <w:lang w:val="de-DE" w:eastAsia="ja-JP"/>
        </w:rPr>
      </w:pPr>
    </w:p>
    <w:p w:rsidR="00EB22B9" w:rsidRDefault="00EB22B9" w:rsidP="000F69AB">
      <w:pPr>
        <w:rPr>
          <w:lang w:val="de-DE" w:eastAsia="ja-JP"/>
        </w:rPr>
      </w:pPr>
      <w:r>
        <w:rPr>
          <w:lang w:val="de-DE" w:eastAsia="ja-JP"/>
        </w:rPr>
        <w:br w:type="page"/>
      </w:r>
    </w:p>
    <w:p w:rsidR="000F69AB" w:rsidRPr="006B4C00" w:rsidRDefault="000F69AB" w:rsidP="00ED00AA">
      <w:pPr>
        <w:tabs>
          <w:tab w:val="left" w:pos="5387"/>
          <w:tab w:val="left" w:pos="5954"/>
        </w:tabs>
        <w:ind w:left="4820"/>
        <w:rPr>
          <w:i/>
          <w:lang w:val="de-DE"/>
        </w:rPr>
      </w:pPr>
      <w:r w:rsidRPr="006B4C00">
        <w:rPr>
          <w:i/>
        </w:rPr>
        <w:lastRenderedPageBreak/>
        <w:fldChar w:fldCharType="begin"/>
      </w:r>
      <w:r w:rsidRPr="006B4C00">
        <w:rPr>
          <w:i/>
          <w:lang w:val="de-DE"/>
        </w:rPr>
        <w:instrText xml:space="preserve"> AUTONUM  </w:instrText>
      </w:r>
      <w:r w:rsidRPr="006B4C00">
        <w:rPr>
          <w:i/>
        </w:rPr>
        <w:fldChar w:fldCharType="end"/>
      </w:r>
      <w:r w:rsidRPr="006B4C00">
        <w:rPr>
          <w:lang w:val="de-DE"/>
        </w:rPr>
        <w:tab/>
      </w:r>
      <w:r w:rsidRPr="006B4C00">
        <w:rPr>
          <w:i/>
          <w:iCs/>
          <w:lang w:val="de-DE"/>
        </w:rPr>
        <w:t xml:space="preserve">Der TC wird ersucht, zur Kenntnis zu nehmen, </w:t>
      </w:r>
      <w:proofErr w:type="spellStart"/>
      <w:r w:rsidRPr="006B4C00">
        <w:rPr>
          <w:i/>
          <w:iCs/>
          <w:lang w:val="de-DE"/>
        </w:rPr>
        <w:t>daß</w:t>
      </w:r>
      <w:proofErr w:type="spellEnd"/>
      <w:r w:rsidRPr="006B4C00">
        <w:rPr>
          <w:i/>
          <w:iCs/>
          <w:lang w:val="de-DE"/>
        </w:rPr>
        <w:t xml:space="preserve"> die TWC auf ihrer fünfunddreißigsten Tagung folgendes zur Kenntnis nahm:</w:t>
      </w:r>
    </w:p>
    <w:p w:rsidR="000F69AB" w:rsidRPr="006B4C00" w:rsidRDefault="000F69AB" w:rsidP="00ED00AA">
      <w:pPr>
        <w:tabs>
          <w:tab w:val="left" w:pos="5387"/>
          <w:tab w:val="left" w:pos="5954"/>
        </w:tabs>
        <w:ind w:left="4820"/>
        <w:rPr>
          <w:i/>
          <w:lang w:val="de-DE" w:eastAsia="ja-JP"/>
        </w:rPr>
      </w:pPr>
    </w:p>
    <w:p w:rsidR="000F69AB" w:rsidRPr="008B7BE5" w:rsidRDefault="000F69AB" w:rsidP="00ED00AA">
      <w:pPr>
        <w:pStyle w:val="DecisionParagraphs"/>
        <w:tabs>
          <w:tab w:val="left" w:pos="5954"/>
        </w:tabs>
        <w:rPr>
          <w:lang w:val="de-DE"/>
        </w:rPr>
      </w:pPr>
      <w:r w:rsidRPr="006B4C00">
        <w:rPr>
          <w:lang w:val="de-DE"/>
        </w:rPr>
        <w:tab/>
        <w:t>a)</w:t>
      </w:r>
      <w:r w:rsidRPr="006B4C00">
        <w:rPr>
          <w:lang w:val="de-DE"/>
        </w:rPr>
        <w:tab/>
        <w:t xml:space="preserve">die jüngsten Entwicklungen und die Angaben von COYD-Schwellenwerten für die Ausschließung von allgemein bekannten Sorten von der zweiten Wachstumsperiode bei Anwendung von COYD auf der Grundlage von Datensätzen von </w:t>
      </w:r>
      <w:r w:rsidRPr="008B7BE5">
        <w:rPr>
          <w:lang w:val="de-DE"/>
        </w:rPr>
        <w:t xml:space="preserve">Wiesenschwingel, Rotklee, Zwiebellieschgras, Deutschem Weidelgras, Erbse (halb blattlose) und </w:t>
      </w:r>
      <w:r w:rsidRPr="006B4C00">
        <w:rPr>
          <w:lang w:val="de-DE"/>
        </w:rPr>
        <w:t>Erbse (konventionelle</w:t>
      </w:r>
      <w:r w:rsidRPr="008B7BE5">
        <w:rPr>
          <w:lang w:val="de-DE"/>
        </w:rPr>
        <w:t xml:space="preserve">), wie in den </w:t>
      </w:r>
      <w:r w:rsidRPr="00ED00AA">
        <w:rPr>
          <w:lang w:val="de-DE"/>
        </w:rPr>
        <w:t>Absätzen 9 und 10</w:t>
      </w:r>
      <w:r w:rsidRPr="008B7BE5">
        <w:rPr>
          <w:lang w:val="de-DE"/>
        </w:rPr>
        <w:t xml:space="preserve"> und in der Anlage dieses Dokuments dargelegt;</w:t>
      </w:r>
    </w:p>
    <w:p w:rsidR="004534A6" w:rsidRDefault="004534A6" w:rsidP="00ED00AA">
      <w:pPr>
        <w:pStyle w:val="DecisionParagraphs"/>
        <w:rPr>
          <w:lang w:val="de-DE"/>
        </w:rPr>
      </w:pPr>
    </w:p>
    <w:p w:rsidR="004534A6" w:rsidRPr="004534A6" w:rsidRDefault="004534A6" w:rsidP="00ED00AA">
      <w:pPr>
        <w:pStyle w:val="DecisionParagraphs"/>
        <w:tabs>
          <w:tab w:val="left" w:pos="5954"/>
        </w:tabs>
        <w:rPr>
          <w:rFonts w:eastAsia="MS Mincho"/>
          <w:lang w:val="de-DE"/>
        </w:rPr>
      </w:pPr>
      <w:r>
        <w:rPr>
          <w:lang w:val="de-DE"/>
        </w:rPr>
        <w:tab/>
      </w:r>
      <w:r w:rsidRPr="004534A6">
        <w:rPr>
          <w:lang w:val="de-DE"/>
        </w:rPr>
        <w:t>b)</w:t>
      </w:r>
      <w:r w:rsidRPr="004534A6">
        <w:rPr>
          <w:lang w:val="de-DE"/>
        </w:rPr>
        <w:tab/>
      </w:r>
      <w:r w:rsidR="009B4FAB">
        <w:rPr>
          <w:lang w:val="de-DE"/>
        </w:rPr>
        <w:t xml:space="preserve">daß sich </w:t>
      </w:r>
      <w:r w:rsidR="009B4FAB">
        <w:rPr>
          <w:rFonts w:eastAsia="MS Mincho"/>
          <w:lang w:val="de-DE"/>
        </w:rPr>
        <w:t>die Methode</w:t>
      </w:r>
      <w:r w:rsidRPr="004534A6">
        <w:rPr>
          <w:rFonts w:eastAsia="MS Mincho"/>
          <w:lang w:val="de-DE"/>
        </w:rPr>
        <w:t xml:space="preserve"> am besten</w:t>
      </w:r>
      <w:r w:rsidR="009B4FAB">
        <w:rPr>
          <w:rFonts w:eastAsia="MS Mincho"/>
          <w:lang w:val="de-DE"/>
        </w:rPr>
        <w:t xml:space="preserve"> eignete</w:t>
      </w:r>
      <w:r w:rsidRPr="004534A6">
        <w:rPr>
          <w:rFonts w:eastAsia="MS Mincho"/>
          <w:lang w:val="de-DE"/>
        </w:rPr>
        <w:t xml:space="preserve"> für Pflanzen mit einer großen Zahl </w:t>
      </w:r>
      <w:r w:rsidR="008B7BE5">
        <w:rPr>
          <w:rFonts w:eastAsia="MS Mincho"/>
          <w:lang w:val="de-DE"/>
        </w:rPr>
        <w:t>von Sorten, die</w:t>
      </w:r>
      <w:r w:rsidRPr="004534A6">
        <w:rPr>
          <w:rFonts w:eastAsia="MS Mincho"/>
          <w:lang w:val="de-DE"/>
        </w:rPr>
        <w:t xml:space="preserve"> allgemein bekannt</w:t>
      </w:r>
      <w:r w:rsidR="003A7583">
        <w:rPr>
          <w:rFonts w:eastAsia="MS Mincho"/>
          <w:lang w:val="de-DE"/>
        </w:rPr>
        <w:t xml:space="preserve"> sind und bei denen die aktuell</w:t>
      </w:r>
      <w:r w:rsidR="00CB1116">
        <w:rPr>
          <w:rFonts w:eastAsia="MS Mincho"/>
          <w:lang w:val="de-DE"/>
        </w:rPr>
        <w:t>en Anbauprüfungsgrößen groß war</w:t>
      </w:r>
      <w:r w:rsidR="008B7BE5">
        <w:rPr>
          <w:rFonts w:eastAsia="MS Mincho"/>
          <w:lang w:val="de-DE"/>
        </w:rPr>
        <w:t xml:space="preserve">en; und </w:t>
      </w:r>
    </w:p>
    <w:p w:rsidR="004534A6" w:rsidRPr="004534A6" w:rsidRDefault="004534A6" w:rsidP="00ED00AA">
      <w:pPr>
        <w:pStyle w:val="DecisionParagraphs"/>
        <w:rPr>
          <w:lang w:val="de-DE" w:eastAsia="ja-JP"/>
        </w:rPr>
      </w:pPr>
    </w:p>
    <w:p w:rsidR="004534A6" w:rsidRPr="008B7BE5" w:rsidRDefault="004534A6" w:rsidP="00ED00AA">
      <w:pPr>
        <w:pStyle w:val="DecisionParagraphs"/>
        <w:tabs>
          <w:tab w:val="left" w:pos="5954"/>
        </w:tabs>
        <w:rPr>
          <w:lang w:val="de-DE" w:eastAsia="ja-JP"/>
        </w:rPr>
      </w:pPr>
      <w:r w:rsidRPr="004534A6">
        <w:rPr>
          <w:lang w:val="de-DE" w:eastAsia="ja-JP"/>
        </w:rPr>
        <w:tab/>
      </w:r>
      <w:r w:rsidRPr="008B7BE5">
        <w:rPr>
          <w:lang w:val="de-DE" w:eastAsia="ja-JP"/>
        </w:rPr>
        <w:t>c)</w:t>
      </w:r>
      <w:r w:rsidRPr="008B7BE5">
        <w:rPr>
          <w:lang w:val="de-DE" w:eastAsia="ja-JP"/>
        </w:rPr>
        <w:tab/>
      </w:r>
      <w:r w:rsidR="0058735A">
        <w:rPr>
          <w:rFonts w:eastAsia="MS Mincho"/>
          <w:lang w:val="de-DE"/>
        </w:rPr>
        <w:t>das Vorhaben des Vereinigten </w:t>
      </w:r>
      <w:r w:rsidR="008B7BE5" w:rsidRPr="008B7BE5">
        <w:rPr>
          <w:rFonts w:eastAsia="MS Mincho"/>
          <w:lang w:val="de-DE"/>
        </w:rPr>
        <w:t>Königreichs, die Methode an zwei großen</w:t>
      </w:r>
      <w:r w:rsidR="00153C09">
        <w:rPr>
          <w:rFonts w:eastAsia="MS Mincho"/>
          <w:lang w:val="de-DE"/>
        </w:rPr>
        <w:t xml:space="preserve"> Datensätzen von Raps zu testen</w:t>
      </w:r>
      <w:r w:rsidRPr="008B7BE5">
        <w:rPr>
          <w:rFonts w:eastAsia="MS Mincho"/>
          <w:lang w:val="de-DE"/>
        </w:rPr>
        <w:t xml:space="preserve">. </w:t>
      </w:r>
    </w:p>
    <w:p w:rsidR="004534A6" w:rsidRPr="008B7BE5" w:rsidRDefault="004534A6" w:rsidP="004534A6">
      <w:pPr>
        <w:keepNext/>
        <w:keepLines/>
        <w:ind w:left="4820"/>
        <w:rPr>
          <w:lang w:val="de-DE" w:eastAsia="ja-JP"/>
        </w:rPr>
      </w:pPr>
    </w:p>
    <w:p w:rsidR="00BE40B4" w:rsidRDefault="00BE40B4" w:rsidP="00BE40B4">
      <w:pPr>
        <w:rPr>
          <w:lang w:val="de-DE"/>
        </w:rPr>
      </w:pPr>
    </w:p>
    <w:p w:rsidR="00EB22B9" w:rsidRPr="008B7BE5" w:rsidRDefault="00EB22B9" w:rsidP="00BE40B4">
      <w:pPr>
        <w:rPr>
          <w:lang w:val="de-DE"/>
        </w:rPr>
      </w:pPr>
    </w:p>
    <w:p w:rsidR="00BE40B4" w:rsidRPr="008B7BE5" w:rsidRDefault="00BE40B4" w:rsidP="00BE40B4">
      <w:pPr>
        <w:rPr>
          <w:lang w:val="de-DE"/>
        </w:rPr>
      </w:pPr>
    </w:p>
    <w:p w:rsidR="00BE40B4" w:rsidRPr="004534A6" w:rsidRDefault="00BE40B4" w:rsidP="00BE40B4">
      <w:pPr>
        <w:jc w:val="right"/>
        <w:rPr>
          <w:lang w:val="de-DE"/>
        </w:rPr>
      </w:pPr>
      <w:r w:rsidRPr="008B7BE5">
        <w:rPr>
          <w:rFonts w:hint="eastAsia"/>
          <w:lang w:val="de-DE"/>
        </w:rPr>
        <w:t xml:space="preserve"> </w:t>
      </w:r>
      <w:r w:rsidRPr="004534A6">
        <w:rPr>
          <w:rFonts w:hint="eastAsia"/>
          <w:lang w:val="de-DE"/>
        </w:rPr>
        <w:t>[</w:t>
      </w:r>
      <w:r w:rsidR="00DE4307" w:rsidRPr="004534A6">
        <w:rPr>
          <w:lang w:val="de-DE"/>
        </w:rPr>
        <w:t>Anlage folgt</w:t>
      </w:r>
      <w:r w:rsidRPr="004534A6">
        <w:rPr>
          <w:lang w:val="de-DE"/>
        </w:rPr>
        <w:t>]</w:t>
      </w:r>
    </w:p>
    <w:p w:rsidR="00BE40B4" w:rsidRPr="004534A6" w:rsidRDefault="00BE40B4" w:rsidP="00BE40B4">
      <w:pPr>
        <w:jc w:val="right"/>
        <w:rPr>
          <w:lang w:val="de-DE"/>
        </w:rPr>
        <w:sectPr w:rsidR="00BE40B4" w:rsidRPr="004534A6" w:rsidSect="00E71894">
          <w:headerReference w:type="default" r:id="rId8"/>
          <w:pgSz w:w="11907" w:h="16840" w:code="9"/>
          <w:pgMar w:top="510" w:right="1134" w:bottom="1134" w:left="1134" w:header="510" w:footer="680" w:gutter="0"/>
          <w:cols w:space="720"/>
          <w:titlePg/>
        </w:sectPr>
      </w:pPr>
    </w:p>
    <w:p w:rsidR="00BE40B4" w:rsidRPr="004534A6" w:rsidRDefault="00BE40B4" w:rsidP="00BE40B4">
      <w:pPr>
        <w:jc w:val="center"/>
        <w:rPr>
          <w:lang w:val="de-DE"/>
        </w:rPr>
      </w:pPr>
    </w:p>
    <w:p w:rsidR="00BE40B4" w:rsidRDefault="004420E0" w:rsidP="00BE40B4">
      <w:pPr>
        <w:jc w:val="center"/>
        <w:rPr>
          <w:snapToGrid w:val="0"/>
          <w:lang w:val="de-DE"/>
        </w:rPr>
      </w:pPr>
      <w:r w:rsidRPr="008F5E86">
        <w:rPr>
          <w:snapToGrid w:val="0"/>
          <w:lang w:val="de-DE"/>
        </w:rPr>
        <w:t>S</w:t>
      </w:r>
      <w:r w:rsidR="004534A6">
        <w:rPr>
          <w:snapToGrid w:val="0"/>
          <w:lang w:val="de-DE"/>
        </w:rPr>
        <w:t>CHWELLENWERTE FÜR DIE AUSSCHLIESS</w:t>
      </w:r>
      <w:r w:rsidRPr="008F5E86">
        <w:rPr>
          <w:snapToGrid w:val="0"/>
          <w:lang w:val="de-DE"/>
        </w:rPr>
        <w:t>UNG ALLGEMEIN BEKANNTER SORTEN VON DER ZWEITEN WACHSTUMSPERIODE BEI ANWENDUNG VON COYD</w:t>
      </w:r>
    </w:p>
    <w:p w:rsidR="00211522" w:rsidRPr="008F5E86" w:rsidRDefault="00211522" w:rsidP="00BE40B4">
      <w:pPr>
        <w:jc w:val="center"/>
        <w:rPr>
          <w:lang w:val="de-DE"/>
        </w:rPr>
      </w:pPr>
    </w:p>
    <w:p w:rsidR="00BE40B4" w:rsidRPr="008F5E86" w:rsidRDefault="004534A6" w:rsidP="00BE40B4">
      <w:pPr>
        <w:spacing w:line="360" w:lineRule="auto"/>
        <w:jc w:val="center"/>
        <w:rPr>
          <w:lang w:val="de-DE"/>
        </w:rPr>
      </w:pPr>
      <w:r w:rsidRPr="009B4FAB">
        <w:rPr>
          <w:lang w:val="de-DE"/>
        </w:rPr>
        <w:t>Referat</w:t>
      </w:r>
      <w:r w:rsidR="008F5E86" w:rsidRPr="009B4FAB">
        <w:rPr>
          <w:lang w:val="de-DE"/>
        </w:rPr>
        <w:t xml:space="preserve"> erstellt von Sachverständigen aus dem Vereinigten Königreich</w:t>
      </w:r>
      <w:r w:rsidR="00BE40B4" w:rsidRPr="009B4FAB">
        <w:rPr>
          <w:lang w:val="de-DE"/>
        </w:rPr>
        <w:t xml:space="preserve"> </w:t>
      </w:r>
    </w:p>
    <w:p w:rsidR="00BE40B4" w:rsidRPr="008F5E86" w:rsidRDefault="00BE40B4" w:rsidP="00BE40B4">
      <w:pPr>
        <w:jc w:val="center"/>
        <w:rPr>
          <w:lang w:val="de-DE"/>
        </w:rPr>
      </w:pPr>
    </w:p>
    <w:p w:rsidR="00BE40B4" w:rsidRDefault="00816FCB" w:rsidP="00BE40B4">
      <w:pPr>
        <w:jc w:val="center"/>
      </w:pPr>
      <w:r w:rsidRPr="00816FCB">
        <w:rPr>
          <w:noProof/>
          <w:bdr w:val="single" w:sz="4" w:space="0" w:color="auto"/>
        </w:rPr>
        <w:drawing>
          <wp:inline distT="0" distB="0" distL="0" distR="0" wp14:anchorId="4A46690D" wp14:editId="0A38E367">
            <wp:extent cx="4488180" cy="3366135"/>
            <wp:effectExtent l="0" t="0" r="7620" b="5715"/>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90820" cy="3368115"/>
                    </a:xfrm>
                    <a:prstGeom prst="rect">
                      <a:avLst/>
                    </a:prstGeom>
                    <a:noFill/>
                  </pic:spPr>
                </pic:pic>
              </a:graphicData>
            </a:graphic>
          </wp:inline>
        </w:drawing>
      </w:r>
    </w:p>
    <w:p w:rsidR="00BE40B4" w:rsidRDefault="00BE40B4" w:rsidP="00BE40B4">
      <w:pPr>
        <w:jc w:val="center"/>
      </w:pPr>
    </w:p>
    <w:p w:rsidR="00BE40B4" w:rsidRDefault="00BE40B4" w:rsidP="00BE40B4">
      <w:pPr>
        <w:jc w:val="center"/>
      </w:pPr>
    </w:p>
    <w:p w:rsidR="00BE40B4" w:rsidRDefault="00BE40B4" w:rsidP="00BE40B4">
      <w:pPr>
        <w:jc w:val="center"/>
      </w:pPr>
    </w:p>
    <w:p w:rsidR="00BE40B4" w:rsidRDefault="00816FCB" w:rsidP="00BE40B4">
      <w:pPr>
        <w:jc w:val="center"/>
      </w:pPr>
      <w:r w:rsidRPr="00816FCB">
        <w:rPr>
          <w:noProof/>
          <w:bdr w:val="single" w:sz="4" w:space="0" w:color="auto"/>
        </w:rPr>
        <w:drawing>
          <wp:inline distT="0" distB="0" distL="0" distR="0" wp14:anchorId="7359A088" wp14:editId="50707193">
            <wp:extent cx="4511040" cy="3383280"/>
            <wp:effectExtent l="0" t="0" r="3810" b="7620"/>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11040" cy="3383280"/>
                    </a:xfrm>
                    <a:prstGeom prst="rect">
                      <a:avLst/>
                    </a:prstGeom>
                    <a:noFill/>
                  </pic:spPr>
                </pic:pic>
              </a:graphicData>
            </a:graphic>
          </wp:inline>
        </w:drawing>
      </w:r>
    </w:p>
    <w:p w:rsidR="00BE40B4" w:rsidRDefault="00BE40B4" w:rsidP="00BE40B4">
      <w:pPr>
        <w:jc w:val="center"/>
      </w:pPr>
    </w:p>
    <w:p w:rsidR="00BE40B4" w:rsidRDefault="00BE40B4" w:rsidP="00BE40B4">
      <w:pPr>
        <w:jc w:val="center"/>
      </w:pPr>
    </w:p>
    <w:p w:rsidR="00BE40B4" w:rsidRDefault="00BE40B4" w:rsidP="00BE40B4">
      <w:pPr>
        <w:jc w:val="center"/>
      </w:pPr>
    </w:p>
    <w:p w:rsidR="00BE40B4" w:rsidRDefault="00816FCB" w:rsidP="00BE40B4">
      <w:pPr>
        <w:jc w:val="center"/>
      </w:pPr>
      <w:r w:rsidRPr="00816FCB">
        <w:rPr>
          <w:noProof/>
          <w:bdr w:val="single" w:sz="4" w:space="0" w:color="auto"/>
        </w:rPr>
        <w:lastRenderedPageBreak/>
        <w:drawing>
          <wp:inline distT="0" distB="0" distL="0" distR="0" wp14:anchorId="1A728F2D" wp14:editId="37EB8232">
            <wp:extent cx="4495800" cy="3371850"/>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01505" cy="3376129"/>
                    </a:xfrm>
                    <a:prstGeom prst="rect">
                      <a:avLst/>
                    </a:prstGeom>
                    <a:noFill/>
                  </pic:spPr>
                </pic:pic>
              </a:graphicData>
            </a:graphic>
          </wp:inline>
        </w:drawing>
      </w:r>
    </w:p>
    <w:p w:rsidR="00BE40B4" w:rsidRDefault="00BE40B4" w:rsidP="00BE40B4">
      <w:pPr>
        <w:jc w:val="center"/>
      </w:pPr>
    </w:p>
    <w:p w:rsidR="00BE40B4" w:rsidRDefault="00BE40B4" w:rsidP="00BE40B4">
      <w:pPr>
        <w:jc w:val="center"/>
      </w:pPr>
    </w:p>
    <w:p w:rsidR="0006593C" w:rsidRDefault="0006593C" w:rsidP="00BE40B4">
      <w:pPr>
        <w:jc w:val="center"/>
      </w:pPr>
    </w:p>
    <w:p w:rsidR="00BE40B4" w:rsidRDefault="0052611F" w:rsidP="00BE40B4">
      <w:pPr>
        <w:jc w:val="center"/>
      </w:pPr>
      <w:r w:rsidRPr="0052611F">
        <w:rPr>
          <w:noProof/>
          <w:bdr w:val="single" w:sz="4" w:space="0" w:color="auto"/>
        </w:rPr>
        <w:drawing>
          <wp:inline distT="0" distB="0" distL="0" distR="0" wp14:anchorId="0EEA09C2" wp14:editId="43851AB0">
            <wp:extent cx="4470400" cy="3352800"/>
            <wp:effectExtent l="0" t="0" r="6350" b="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70350" cy="3352762"/>
                    </a:xfrm>
                    <a:prstGeom prst="rect">
                      <a:avLst/>
                    </a:prstGeom>
                    <a:noFill/>
                  </pic:spPr>
                </pic:pic>
              </a:graphicData>
            </a:graphic>
          </wp:inline>
        </w:drawing>
      </w:r>
    </w:p>
    <w:p w:rsidR="00BE40B4" w:rsidRDefault="00BE40B4" w:rsidP="00BE40B4">
      <w:pPr>
        <w:jc w:val="center"/>
      </w:pPr>
    </w:p>
    <w:p w:rsidR="00BE40B4" w:rsidRDefault="00BE40B4" w:rsidP="00BE40B4">
      <w:pPr>
        <w:jc w:val="center"/>
      </w:pPr>
    </w:p>
    <w:p w:rsidR="00BE40B4" w:rsidRDefault="00BE40B4" w:rsidP="00BE40B4">
      <w:pPr>
        <w:jc w:val="center"/>
      </w:pPr>
    </w:p>
    <w:p w:rsidR="00BE40B4" w:rsidRDefault="00BE40B4" w:rsidP="00BE40B4">
      <w:pPr>
        <w:jc w:val="center"/>
      </w:pPr>
    </w:p>
    <w:p w:rsidR="00BE40B4" w:rsidRDefault="0052611F" w:rsidP="00BE40B4">
      <w:pPr>
        <w:jc w:val="center"/>
      </w:pPr>
      <w:r w:rsidRPr="0052611F">
        <w:rPr>
          <w:noProof/>
          <w:bdr w:val="single" w:sz="4" w:space="0" w:color="auto"/>
        </w:rPr>
        <w:lastRenderedPageBreak/>
        <w:drawing>
          <wp:inline distT="0" distB="0" distL="0" distR="0" wp14:anchorId="6C996834" wp14:editId="543F793E">
            <wp:extent cx="4488180" cy="3366135"/>
            <wp:effectExtent l="0" t="0" r="7620" b="5715"/>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88180" cy="3366135"/>
                    </a:xfrm>
                    <a:prstGeom prst="rect">
                      <a:avLst/>
                    </a:prstGeom>
                    <a:noFill/>
                  </pic:spPr>
                </pic:pic>
              </a:graphicData>
            </a:graphic>
          </wp:inline>
        </w:drawing>
      </w:r>
    </w:p>
    <w:p w:rsidR="00BE40B4" w:rsidRDefault="00BE40B4" w:rsidP="00BE40B4">
      <w:pPr>
        <w:jc w:val="center"/>
      </w:pPr>
    </w:p>
    <w:p w:rsidR="0006593C" w:rsidRDefault="0006593C" w:rsidP="00BE40B4">
      <w:pPr>
        <w:jc w:val="center"/>
      </w:pPr>
    </w:p>
    <w:p w:rsidR="0006593C" w:rsidRDefault="0006593C" w:rsidP="00BE40B4">
      <w:pPr>
        <w:jc w:val="center"/>
      </w:pPr>
    </w:p>
    <w:p w:rsidR="00BE40B4" w:rsidRDefault="0052611F" w:rsidP="00BE40B4">
      <w:pPr>
        <w:jc w:val="center"/>
      </w:pPr>
      <w:r w:rsidRPr="0052611F">
        <w:rPr>
          <w:noProof/>
          <w:bdr w:val="single" w:sz="4" w:space="0" w:color="auto"/>
        </w:rPr>
        <w:drawing>
          <wp:inline distT="0" distB="0" distL="0" distR="0" wp14:anchorId="4C919CA0" wp14:editId="09329420">
            <wp:extent cx="4450080" cy="3337560"/>
            <wp:effectExtent l="0" t="0" r="7620" b="0"/>
            <wp:docPr id="27" name="Grafik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50080" cy="3337560"/>
                    </a:xfrm>
                    <a:prstGeom prst="rect">
                      <a:avLst/>
                    </a:prstGeom>
                    <a:noFill/>
                  </pic:spPr>
                </pic:pic>
              </a:graphicData>
            </a:graphic>
          </wp:inline>
        </w:drawing>
      </w:r>
    </w:p>
    <w:p w:rsidR="00BE40B4" w:rsidRDefault="00BE40B4" w:rsidP="00BE40B4">
      <w:pPr>
        <w:jc w:val="center"/>
      </w:pPr>
    </w:p>
    <w:p w:rsidR="00BE40B4" w:rsidRDefault="00BE40B4" w:rsidP="00BE40B4">
      <w:pPr>
        <w:jc w:val="center"/>
      </w:pPr>
    </w:p>
    <w:p w:rsidR="00BE40B4" w:rsidRDefault="00414A12" w:rsidP="00BE40B4">
      <w:pPr>
        <w:jc w:val="center"/>
      </w:pPr>
      <w:r w:rsidRPr="00414A12">
        <w:rPr>
          <w:noProof/>
          <w:bdr w:val="single" w:sz="4" w:space="0" w:color="auto"/>
        </w:rPr>
        <w:lastRenderedPageBreak/>
        <w:drawing>
          <wp:inline distT="0" distB="0" distL="0" distR="0" wp14:anchorId="2E1040D3" wp14:editId="4093AADB">
            <wp:extent cx="4368800" cy="3276600"/>
            <wp:effectExtent l="0" t="0" r="0" b="0"/>
            <wp:docPr id="28" name="Grafik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368800" cy="3276600"/>
                    </a:xfrm>
                    <a:prstGeom prst="rect">
                      <a:avLst/>
                    </a:prstGeom>
                    <a:noFill/>
                  </pic:spPr>
                </pic:pic>
              </a:graphicData>
            </a:graphic>
          </wp:inline>
        </w:drawing>
      </w:r>
    </w:p>
    <w:p w:rsidR="00BE40B4" w:rsidRDefault="00BE40B4" w:rsidP="00BE40B4">
      <w:pPr>
        <w:jc w:val="center"/>
      </w:pPr>
    </w:p>
    <w:p w:rsidR="00BE40B4" w:rsidRDefault="00BE40B4" w:rsidP="00BE40B4">
      <w:pPr>
        <w:jc w:val="center"/>
      </w:pPr>
    </w:p>
    <w:p w:rsidR="00BE40B4" w:rsidRDefault="00BE40B4" w:rsidP="00BE40B4">
      <w:pPr>
        <w:jc w:val="center"/>
      </w:pPr>
    </w:p>
    <w:p w:rsidR="00BE40B4" w:rsidRDefault="00414A12" w:rsidP="00BE40B4">
      <w:pPr>
        <w:jc w:val="center"/>
      </w:pPr>
      <w:r w:rsidRPr="00414A12">
        <w:rPr>
          <w:noProof/>
          <w:bdr w:val="single" w:sz="4" w:space="0" w:color="auto"/>
        </w:rPr>
        <w:drawing>
          <wp:inline distT="0" distB="0" distL="0" distR="0" wp14:anchorId="638C924F" wp14:editId="22D5C255">
            <wp:extent cx="4391660" cy="3293745"/>
            <wp:effectExtent l="0" t="0" r="8890" b="1905"/>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97233" cy="3297925"/>
                    </a:xfrm>
                    <a:prstGeom prst="rect">
                      <a:avLst/>
                    </a:prstGeom>
                    <a:noFill/>
                  </pic:spPr>
                </pic:pic>
              </a:graphicData>
            </a:graphic>
          </wp:inline>
        </w:drawing>
      </w:r>
    </w:p>
    <w:p w:rsidR="00BE40B4" w:rsidRDefault="00BE40B4" w:rsidP="00BE40B4">
      <w:pPr>
        <w:jc w:val="center"/>
      </w:pPr>
    </w:p>
    <w:p w:rsidR="00BE40B4" w:rsidRDefault="00BE40B4" w:rsidP="00BE40B4">
      <w:pPr>
        <w:jc w:val="center"/>
      </w:pPr>
    </w:p>
    <w:p w:rsidR="00BE40B4" w:rsidRDefault="000869F6" w:rsidP="00BE40B4">
      <w:pPr>
        <w:jc w:val="center"/>
      </w:pPr>
      <w:r>
        <w:rPr>
          <w:noProof/>
        </w:rPr>
        <w:lastRenderedPageBreak/>
        <w:drawing>
          <wp:inline distT="0" distB="0" distL="0" distR="0" wp14:anchorId="735053C6">
            <wp:extent cx="4511040" cy="3383280"/>
            <wp:effectExtent l="0" t="0" r="3810" b="7620"/>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511040" cy="3383280"/>
                    </a:xfrm>
                    <a:prstGeom prst="rect">
                      <a:avLst/>
                    </a:prstGeom>
                    <a:noFill/>
                  </pic:spPr>
                </pic:pic>
              </a:graphicData>
            </a:graphic>
          </wp:inline>
        </w:drawing>
      </w:r>
    </w:p>
    <w:p w:rsidR="00BE40B4" w:rsidRDefault="00BE40B4" w:rsidP="00BE40B4">
      <w:pPr>
        <w:jc w:val="center"/>
      </w:pPr>
    </w:p>
    <w:p w:rsidR="0006593C" w:rsidRDefault="0006593C" w:rsidP="00BE40B4">
      <w:pPr>
        <w:jc w:val="center"/>
      </w:pPr>
    </w:p>
    <w:p w:rsidR="00BE40B4" w:rsidRDefault="00BE40B4" w:rsidP="00BE40B4">
      <w:pPr>
        <w:jc w:val="center"/>
      </w:pPr>
    </w:p>
    <w:p w:rsidR="00BE40B4" w:rsidRDefault="0021392D" w:rsidP="00BE40B4">
      <w:pPr>
        <w:jc w:val="center"/>
      </w:pPr>
      <w:r w:rsidRPr="0021392D">
        <w:rPr>
          <w:noProof/>
          <w:bdr w:val="single" w:sz="4" w:space="0" w:color="auto"/>
        </w:rPr>
        <w:drawing>
          <wp:inline distT="0" distB="0" distL="0" distR="0" wp14:anchorId="4F02AE15" wp14:editId="34DD3911">
            <wp:extent cx="4358640" cy="3268980"/>
            <wp:effectExtent l="0" t="0" r="3810" b="7620"/>
            <wp:docPr id="44" name="Grafik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58640" cy="3268980"/>
                    </a:xfrm>
                    <a:prstGeom prst="rect">
                      <a:avLst/>
                    </a:prstGeom>
                    <a:noFill/>
                  </pic:spPr>
                </pic:pic>
              </a:graphicData>
            </a:graphic>
          </wp:inline>
        </w:drawing>
      </w:r>
    </w:p>
    <w:p w:rsidR="00BE40B4" w:rsidRDefault="00BE40B4" w:rsidP="00BE40B4">
      <w:pPr>
        <w:jc w:val="center"/>
      </w:pPr>
    </w:p>
    <w:p w:rsidR="00BE40B4" w:rsidRDefault="00BE40B4" w:rsidP="00BE40B4">
      <w:pPr>
        <w:jc w:val="center"/>
      </w:pPr>
    </w:p>
    <w:p w:rsidR="00BE40B4" w:rsidRDefault="00BE40B4" w:rsidP="00BE40B4">
      <w:pPr>
        <w:jc w:val="center"/>
      </w:pPr>
    </w:p>
    <w:p w:rsidR="00BE40B4" w:rsidRDefault="005740B5" w:rsidP="00BE40B4">
      <w:pPr>
        <w:jc w:val="center"/>
      </w:pPr>
      <w:r w:rsidRPr="005740B5">
        <w:rPr>
          <w:noProof/>
          <w:bdr w:val="single" w:sz="4" w:space="0" w:color="auto"/>
        </w:rPr>
        <w:lastRenderedPageBreak/>
        <w:drawing>
          <wp:inline distT="0" distB="0" distL="0" distR="0" wp14:anchorId="6B05B806" wp14:editId="5571A73A">
            <wp:extent cx="4556760" cy="3417570"/>
            <wp:effectExtent l="0" t="0" r="0" b="0"/>
            <wp:docPr id="36" name="Grafik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556760" cy="3417570"/>
                    </a:xfrm>
                    <a:prstGeom prst="rect">
                      <a:avLst/>
                    </a:prstGeom>
                    <a:noFill/>
                  </pic:spPr>
                </pic:pic>
              </a:graphicData>
            </a:graphic>
          </wp:inline>
        </w:drawing>
      </w:r>
    </w:p>
    <w:p w:rsidR="00BE40B4" w:rsidRDefault="00BE40B4" w:rsidP="00BE40B4">
      <w:pPr>
        <w:jc w:val="center"/>
      </w:pPr>
    </w:p>
    <w:p w:rsidR="00BE40B4" w:rsidRDefault="00BE40B4" w:rsidP="00BE40B4">
      <w:pPr>
        <w:jc w:val="center"/>
      </w:pPr>
    </w:p>
    <w:p w:rsidR="00BE40B4" w:rsidRDefault="00BE40B4" w:rsidP="00BE40B4">
      <w:pPr>
        <w:jc w:val="center"/>
      </w:pPr>
    </w:p>
    <w:p w:rsidR="00BE40B4" w:rsidRDefault="005740B5" w:rsidP="00BE40B4">
      <w:pPr>
        <w:jc w:val="center"/>
      </w:pPr>
      <w:r w:rsidRPr="005740B5">
        <w:rPr>
          <w:noProof/>
          <w:bdr w:val="single" w:sz="4" w:space="0" w:color="auto"/>
        </w:rPr>
        <w:drawing>
          <wp:inline distT="0" distB="0" distL="0" distR="0" wp14:anchorId="705CD398" wp14:editId="342E6BCD">
            <wp:extent cx="4551679" cy="3413760"/>
            <wp:effectExtent l="0" t="0" r="1905" b="0"/>
            <wp:docPr id="37" name="Grafik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554496" cy="3415873"/>
                    </a:xfrm>
                    <a:prstGeom prst="rect">
                      <a:avLst/>
                    </a:prstGeom>
                    <a:noFill/>
                  </pic:spPr>
                </pic:pic>
              </a:graphicData>
            </a:graphic>
          </wp:inline>
        </w:drawing>
      </w:r>
    </w:p>
    <w:p w:rsidR="00BE40B4" w:rsidRDefault="00BE40B4" w:rsidP="00BE40B4">
      <w:pPr>
        <w:jc w:val="center"/>
      </w:pPr>
    </w:p>
    <w:p w:rsidR="00BE40B4" w:rsidRDefault="00BE40B4" w:rsidP="00BE40B4">
      <w:pPr>
        <w:jc w:val="center"/>
      </w:pPr>
    </w:p>
    <w:p w:rsidR="00BE40B4" w:rsidRDefault="00DB1A10" w:rsidP="00BE40B4">
      <w:pPr>
        <w:jc w:val="center"/>
      </w:pPr>
      <w:r w:rsidRPr="00DB1A10">
        <w:rPr>
          <w:noProof/>
          <w:bdr w:val="single" w:sz="4" w:space="0" w:color="auto"/>
        </w:rPr>
        <w:lastRenderedPageBreak/>
        <w:drawing>
          <wp:inline distT="0" distB="0" distL="0" distR="0" wp14:anchorId="15FBBEBE" wp14:editId="75D131AC">
            <wp:extent cx="4572000" cy="3429000"/>
            <wp:effectExtent l="0" t="0" r="0" b="0"/>
            <wp:docPr id="38" name="Grafik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72000" cy="3429000"/>
                    </a:xfrm>
                    <a:prstGeom prst="rect">
                      <a:avLst/>
                    </a:prstGeom>
                    <a:noFill/>
                  </pic:spPr>
                </pic:pic>
              </a:graphicData>
            </a:graphic>
          </wp:inline>
        </w:drawing>
      </w:r>
    </w:p>
    <w:p w:rsidR="00BE40B4" w:rsidRDefault="00BE40B4" w:rsidP="00BE40B4">
      <w:pPr>
        <w:jc w:val="center"/>
      </w:pPr>
    </w:p>
    <w:p w:rsidR="00BE40B4" w:rsidRDefault="00BE40B4" w:rsidP="00BE40B4">
      <w:pPr>
        <w:jc w:val="center"/>
      </w:pPr>
    </w:p>
    <w:p w:rsidR="0006593C" w:rsidRDefault="0006593C" w:rsidP="00BE40B4">
      <w:pPr>
        <w:jc w:val="center"/>
      </w:pPr>
    </w:p>
    <w:p w:rsidR="00BE40B4" w:rsidRDefault="00DB1A10" w:rsidP="00BE40B4">
      <w:pPr>
        <w:jc w:val="center"/>
      </w:pPr>
      <w:r w:rsidRPr="00DB1A10">
        <w:rPr>
          <w:noProof/>
          <w:bdr w:val="single" w:sz="4" w:space="0" w:color="auto"/>
        </w:rPr>
        <w:drawing>
          <wp:inline distT="0" distB="0" distL="0" distR="0" wp14:anchorId="729840FD" wp14:editId="560213A2">
            <wp:extent cx="4622800" cy="3467100"/>
            <wp:effectExtent l="0" t="0" r="6350" b="0"/>
            <wp:docPr id="39" name="Grafik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625586" cy="3469190"/>
                    </a:xfrm>
                    <a:prstGeom prst="rect">
                      <a:avLst/>
                    </a:prstGeom>
                    <a:noFill/>
                  </pic:spPr>
                </pic:pic>
              </a:graphicData>
            </a:graphic>
          </wp:inline>
        </w:drawing>
      </w:r>
    </w:p>
    <w:p w:rsidR="00BE40B4" w:rsidRDefault="00BE40B4" w:rsidP="00BE40B4">
      <w:pPr>
        <w:jc w:val="center"/>
      </w:pPr>
    </w:p>
    <w:p w:rsidR="00BE40B4" w:rsidRDefault="00BE40B4" w:rsidP="00BE40B4">
      <w:pPr>
        <w:jc w:val="center"/>
      </w:pPr>
    </w:p>
    <w:p w:rsidR="00BE40B4" w:rsidRDefault="00BE40B4" w:rsidP="00BE40B4">
      <w:pPr>
        <w:jc w:val="center"/>
      </w:pPr>
    </w:p>
    <w:p w:rsidR="00BE40B4" w:rsidRDefault="00DB1A10" w:rsidP="00BE40B4">
      <w:pPr>
        <w:jc w:val="center"/>
      </w:pPr>
      <w:r w:rsidRPr="00DB1A10">
        <w:rPr>
          <w:noProof/>
          <w:bdr w:val="single" w:sz="4" w:space="0" w:color="auto"/>
        </w:rPr>
        <w:lastRenderedPageBreak/>
        <w:drawing>
          <wp:inline distT="0" distB="0" distL="0" distR="0" wp14:anchorId="28086DBC" wp14:editId="66669146">
            <wp:extent cx="4485640" cy="3364230"/>
            <wp:effectExtent l="0" t="0" r="0" b="7620"/>
            <wp:docPr id="40" name="Grafik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488279" cy="3366209"/>
                    </a:xfrm>
                    <a:prstGeom prst="rect">
                      <a:avLst/>
                    </a:prstGeom>
                    <a:noFill/>
                  </pic:spPr>
                </pic:pic>
              </a:graphicData>
            </a:graphic>
          </wp:inline>
        </w:drawing>
      </w:r>
    </w:p>
    <w:p w:rsidR="00BE40B4" w:rsidRDefault="00BE40B4" w:rsidP="00BE40B4">
      <w:pPr>
        <w:jc w:val="center"/>
      </w:pPr>
    </w:p>
    <w:p w:rsidR="00BE40B4" w:rsidRDefault="00BE40B4" w:rsidP="00BE40B4">
      <w:pPr>
        <w:jc w:val="center"/>
      </w:pPr>
    </w:p>
    <w:p w:rsidR="00BE40B4" w:rsidRDefault="00BE40B4" w:rsidP="00BE40B4">
      <w:pPr>
        <w:jc w:val="center"/>
      </w:pPr>
    </w:p>
    <w:p w:rsidR="00BE40B4" w:rsidRDefault="00C6421E" w:rsidP="00BE40B4">
      <w:pPr>
        <w:jc w:val="center"/>
      </w:pPr>
      <w:r w:rsidRPr="00C6421E">
        <w:rPr>
          <w:noProof/>
          <w:bdr w:val="single" w:sz="4" w:space="0" w:color="auto"/>
        </w:rPr>
        <w:drawing>
          <wp:inline distT="0" distB="0" distL="0" distR="0" wp14:anchorId="6DA76FB6" wp14:editId="4B759CFE">
            <wp:extent cx="4528820" cy="3396615"/>
            <wp:effectExtent l="0" t="0" r="5080" b="0"/>
            <wp:docPr id="41" name="Grafik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28820" cy="3396615"/>
                    </a:xfrm>
                    <a:prstGeom prst="rect">
                      <a:avLst/>
                    </a:prstGeom>
                    <a:noFill/>
                  </pic:spPr>
                </pic:pic>
              </a:graphicData>
            </a:graphic>
          </wp:inline>
        </w:drawing>
      </w:r>
    </w:p>
    <w:p w:rsidR="00BE40B4" w:rsidRDefault="00BE40B4" w:rsidP="00BE40B4">
      <w:pPr>
        <w:jc w:val="center"/>
      </w:pPr>
    </w:p>
    <w:p w:rsidR="00BE40B4" w:rsidRDefault="00BE40B4" w:rsidP="00BE40B4">
      <w:pPr>
        <w:jc w:val="center"/>
      </w:pPr>
    </w:p>
    <w:p w:rsidR="00BE40B4" w:rsidRDefault="00BE40B4" w:rsidP="00BE40B4">
      <w:pPr>
        <w:jc w:val="center"/>
      </w:pPr>
    </w:p>
    <w:p w:rsidR="00BE40B4" w:rsidRDefault="002D1D1F" w:rsidP="00BE40B4">
      <w:pPr>
        <w:jc w:val="center"/>
      </w:pPr>
      <w:r w:rsidRPr="002D1D1F">
        <w:rPr>
          <w:noProof/>
          <w:bdr w:val="single" w:sz="4" w:space="0" w:color="auto"/>
        </w:rPr>
        <w:lastRenderedPageBreak/>
        <w:drawing>
          <wp:inline distT="0" distB="0" distL="0" distR="0" wp14:anchorId="10846726" wp14:editId="4275E1AA">
            <wp:extent cx="4549140" cy="3411855"/>
            <wp:effectExtent l="0" t="0" r="3810" b="0"/>
            <wp:docPr id="42" name="Grafik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49400" cy="3412050"/>
                    </a:xfrm>
                    <a:prstGeom prst="rect">
                      <a:avLst/>
                    </a:prstGeom>
                    <a:noFill/>
                  </pic:spPr>
                </pic:pic>
              </a:graphicData>
            </a:graphic>
          </wp:inline>
        </w:drawing>
      </w:r>
    </w:p>
    <w:p w:rsidR="00BE40B4" w:rsidRDefault="00BE40B4" w:rsidP="00BE40B4">
      <w:pPr>
        <w:jc w:val="center"/>
      </w:pPr>
    </w:p>
    <w:p w:rsidR="00BE40B4" w:rsidRDefault="00BE40B4" w:rsidP="00BE40B4">
      <w:pPr>
        <w:jc w:val="center"/>
      </w:pPr>
    </w:p>
    <w:p w:rsidR="00BE40B4" w:rsidRDefault="00C45B14" w:rsidP="00BE40B4">
      <w:pPr>
        <w:jc w:val="center"/>
      </w:pPr>
      <w:r w:rsidRPr="00C45B14">
        <w:rPr>
          <w:noProof/>
          <w:bdr w:val="single" w:sz="4" w:space="0" w:color="auto"/>
        </w:rPr>
        <w:drawing>
          <wp:inline distT="0" distB="0" distL="0" distR="0" wp14:anchorId="7C702E2F" wp14:editId="76A8AFF7">
            <wp:extent cx="4577080" cy="3432810"/>
            <wp:effectExtent l="0" t="0" r="0" b="0"/>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579663" cy="3434747"/>
                    </a:xfrm>
                    <a:prstGeom prst="rect">
                      <a:avLst/>
                    </a:prstGeom>
                    <a:noFill/>
                  </pic:spPr>
                </pic:pic>
              </a:graphicData>
            </a:graphic>
          </wp:inline>
        </w:drawing>
      </w:r>
    </w:p>
    <w:p w:rsidR="00BE40B4" w:rsidRDefault="00BE40B4" w:rsidP="00BE40B4">
      <w:pPr>
        <w:jc w:val="center"/>
      </w:pPr>
    </w:p>
    <w:p w:rsidR="00BE40B4" w:rsidRDefault="00BE40B4" w:rsidP="00BE40B4">
      <w:pPr>
        <w:jc w:val="center"/>
      </w:pPr>
    </w:p>
    <w:p w:rsidR="00BE40B4" w:rsidRDefault="00BE40B4" w:rsidP="00BE40B4">
      <w:pPr>
        <w:jc w:val="center"/>
      </w:pPr>
    </w:p>
    <w:p w:rsidR="00BE40B4" w:rsidRDefault="00BE40B4" w:rsidP="00BE40B4">
      <w:pPr>
        <w:jc w:val="center"/>
      </w:pPr>
    </w:p>
    <w:p w:rsidR="00BE40B4" w:rsidRDefault="00BE40B4" w:rsidP="00BE40B4"/>
    <w:p w:rsidR="00BE40B4" w:rsidRPr="008F5E86" w:rsidRDefault="00BE40B4" w:rsidP="00BE40B4">
      <w:pPr>
        <w:jc w:val="right"/>
        <w:rPr>
          <w:lang w:val="de-DE"/>
        </w:rPr>
      </w:pPr>
      <w:r w:rsidRPr="008F5E86">
        <w:rPr>
          <w:rFonts w:hint="eastAsia"/>
          <w:iCs/>
          <w:spacing w:val="-4"/>
          <w:lang w:val="de-DE" w:eastAsia="ja-JP"/>
        </w:rPr>
        <w:t>[</w:t>
      </w:r>
      <w:r w:rsidR="00DE4307" w:rsidRPr="008F5E86">
        <w:rPr>
          <w:iCs/>
          <w:spacing w:val="-4"/>
          <w:lang w:val="de-DE" w:eastAsia="ja-JP"/>
        </w:rPr>
        <w:t>Ende der Anlage und des Dokuments</w:t>
      </w:r>
      <w:r w:rsidRPr="008F5E86">
        <w:rPr>
          <w:rFonts w:hint="eastAsia"/>
          <w:iCs/>
          <w:spacing w:val="-4"/>
          <w:lang w:val="de-DE" w:eastAsia="ja-JP"/>
        </w:rPr>
        <w:t>]</w:t>
      </w:r>
    </w:p>
    <w:sectPr w:rsidR="00BE40B4" w:rsidRPr="008F5E86" w:rsidSect="00322D4D">
      <w:headerReference w:type="default" r:id="rId27"/>
      <w:footerReference w:type="default" r:id="rId28"/>
      <w:headerReference w:type="first" r:id="rId29"/>
      <w:footerReference w:type="first" r:id="rId30"/>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69E4" w:rsidRDefault="000869E4" w:rsidP="006655D3">
      <w:r>
        <w:separator/>
      </w:r>
    </w:p>
    <w:p w:rsidR="000869E4" w:rsidRDefault="000869E4" w:rsidP="006655D3"/>
    <w:p w:rsidR="000869E4" w:rsidRDefault="000869E4" w:rsidP="006655D3"/>
  </w:endnote>
  <w:endnote w:type="continuationSeparator" w:id="0">
    <w:p w:rsidR="000869E4" w:rsidRDefault="000869E4" w:rsidP="006655D3">
      <w:r>
        <w:separator/>
      </w:r>
    </w:p>
    <w:p w:rsidR="000869E4" w:rsidRPr="00294751" w:rsidRDefault="000869E4">
      <w:pPr>
        <w:pStyle w:val="Footer"/>
        <w:spacing w:after="60"/>
        <w:rPr>
          <w:sz w:val="18"/>
          <w:lang w:val="fr-FR"/>
        </w:rPr>
      </w:pPr>
      <w:r w:rsidRPr="00294751">
        <w:rPr>
          <w:sz w:val="18"/>
          <w:lang w:val="fr-FR"/>
        </w:rPr>
        <w:t>[Suite de la note de la page précédente]</w:t>
      </w:r>
    </w:p>
    <w:p w:rsidR="000869E4" w:rsidRPr="00294751" w:rsidRDefault="000869E4" w:rsidP="006655D3">
      <w:pPr>
        <w:rPr>
          <w:lang w:val="fr-FR"/>
        </w:rPr>
      </w:pPr>
    </w:p>
    <w:p w:rsidR="000869E4" w:rsidRPr="00294751" w:rsidRDefault="000869E4" w:rsidP="006655D3">
      <w:pPr>
        <w:rPr>
          <w:lang w:val="fr-FR"/>
        </w:rPr>
      </w:pPr>
    </w:p>
  </w:endnote>
  <w:endnote w:type="continuationNotice" w:id="1">
    <w:p w:rsidR="000869E4" w:rsidRPr="00294751" w:rsidRDefault="000869E4" w:rsidP="006655D3">
      <w:pPr>
        <w:rPr>
          <w:lang w:val="fr-FR"/>
        </w:rPr>
      </w:pPr>
      <w:r w:rsidRPr="00294751">
        <w:rPr>
          <w:lang w:val="fr-FR"/>
        </w:rPr>
        <w:t>[Suite de la note page suivante]</w:t>
      </w:r>
    </w:p>
    <w:p w:rsidR="000869E4" w:rsidRPr="00294751" w:rsidRDefault="000869E4" w:rsidP="006655D3">
      <w:pPr>
        <w:rPr>
          <w:lang w:val="fr-FR"/>
        </w:rPr>
      </w:pPr>
    </w:p>
    <w:p w:rsidR="000869E4" w:rsidRPr="00294751" w:rsidRDefault="000869E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0B4" w:rsidRDefault="00BE40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0B4" w:rsidRDefault="00BE40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69E4" w:rsidRDefault="000869E4" w:rsidP="006655D3">
      <w:r>
        <w:separator/>
      </w:r>
    </w:p>
  </w:footnote>
  <w:footnote w:type="continuationSeparator" w:id="0">
    <w:p w:rsidR="000869E4" w:rsidRDefault="000869E4" w:rsidP="006655D3">
      <w:r>
        <w:separator/>
      </w:r>
    </w:p>
  </w:footnote>
  <w:footnote w:type="continuationNotice" w:id="1">
    <w:p w:rsidR="000869E4" w:rsidRPr="00AB530F" w:rsidRDefault="000869E4" w:rsidP="00AB530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0B4" w:rsidRPr="00C5280D" w:rsidRDefault="00BE40B4" w:rsidP="00D73243">
    <w:pPr>
      <w:pStyle w:val="Header"/>
      <w:rPr>
        <w:rStyle w:val="PageNumber"/>
        <w:lang w:val="en-US"/>
      </w:rPr>
    </w:pPr>
    <w:r>
      <w:rPr>
        <w:rStyle w:val="PageNumber"/>
        <w:lang w:val="en-US"/>
      </w:rPr>
      <w:t>TC/54/29</w:t>
    </w:r>
  </w:p>
  <w:p w:rsidR="00BE40B4" w:rsidRPr="00C5280D" w:rsidRDefault="00DE4307" w:rsidP="00EB048E">
    <w:pPr>
      <w:pStyle w:val="Header"/>
      <w:rPr>
        <w:lang w:val="en-US"/>
      </w:rPr>
    </w:pPr>
    <w:proofErr w:type="spellStart"/>
    <w:r>
      <w:rPr>
        <w:lang w:val="en-US"/>
      </w:rPr>
      <w:t>Seite</w:t>
    </w:r>
    <w:proofErr w:type="spellEnd"/>
    <w:r w:rsidR="00BE40B4" w:rsidRPr="00C5280D">
      <w:rPr>
        <w:lang w:val="en-US"/>
      </w:rPr>
      <w:t xml:space="preserve"> </w:t>
    </w:r>
    <w:bookmarkStart w:id="9" w:name="_Toc410822398"/>
    <w:bookmarkStart w:id="10" w:name="_Toc410822802"/>
    <w:r w:rsidR="00BE40B4">
      <w:rPr>
        <w:rStyle w:val="PageNumber"/>
        <w:lang w:val="en-US"/>
      </w:rPr>
      <w:t>2</w:t>
    </w:r>
  </w:p>
  <w:p w:rsidR="00BE40B4" w:rsidRPr="00C5280D" w:rsidRDefault="00BE40B4" w:rsidP="006655D3">
    <w:bookmarkStart w:id="11" w:name="_Toc441145847"/>
    <w:bookmarkStart w:id="12" w:name="_Toc374716168"/>
    <w:bookmarkEnd w:id="9"/>
    <w:bookmarkEnd w:id="10"/>
    <w:bookmarkEnd w:id="11"/>
    <w:bookmarkEnd w:id="12"/>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0B4" w:rsidRDefault="00BE40B4" w:rsidP="00BE40B4">
    <w:pPr>
      <w:pStyle w:val="Header"/>
      <w:tabs>
        <w:tab w:val="center" w:pos="4819"/>
        <w:tab w:val="left" w:pos="6007"/>
      </w:tabs>
      <w:jc w:val="left"/>
      <w:rPr>
        <w:rStyle w:val="PageNumber"/>
        <w:lang w:val="en-US"/>
      </w:rPr>
    </w:pPr>
    <w:r>
      <w:rPr>
        <w:rStyle w:val="PageNumber"/>
        <w:lang w:val="en-US"/>
      </w:rPr>
      <w:tab/>
      <w:t>TC/54/29</w:t>
    </w:r>
    <w:r>
      <w:rPr>
        <w:rStyle w:val="PageNumber"/>
        <w:lang w:val="en-US"/>
      </w:rPr>
      <w:tab/>
    </w:r>
  </w:p>
  <w:p w:rsidR="00BE40B4" w:rsidRPr="00816FCB" w:rsidRDefault="00BE40B4" w:rsidP="00BE40B4">
    <w:pPr>
      <w:pStyle w:val="Header"/>
      <w:rPr>
        <w:lang w:val="de-DE"/>
      </w:rPr>
    </w:pPr>
    <w:r w:rsidRPr="00816FCB">
      <w:rPr>
        <w:lang w:val="de-DE"/>
      </w:rPr>
      <w:t>An</w:t>
    </w:r>
    <w:r w:rsidR="004420E0" w:rsidRPr="00816FCB">
      <w:rPr>
        <w:lang w:val="de-DE"/>
      </w:rPr>
      <w:t>lage</w:t>
    </w:r>
    <w:r w:rsidRPr="00816FCB">
      <w:rPr>
        <w:lang w:val="de-DE"/>
      </w:rPr>
      <w:t xml:space="preserve">, </w:t>
    </w:r>
    <w:r w:rsidR="004420E0" w:rsidRPr="00816FCB">
      <w:rPr>
        <w:lang w:val="de-DE"/>
      </w:rPr>
      <w:t>Seite</w:t>
    </w:r>
    <w:r w:rsidRPr="00816FCB">
      <w:rPr>
        <w:lang w:val="de-DE"/>
      </w:rPr>
      <w:t xml:space="preserve"> </w:t>
    </w:r>
    <w:r w:rsidRPr="00816FCB">
      <w:rPr>
        <w:lang w:val="de-DE"/>
      </w:rPr>
      <w:fldChar w:fldCharType="begin"/>
    </w:r>
    <w:r w:rsidRPr="00816FCB">
      <w:rPr>
        <w:lang w:val="de-DE"/>
      </w:rPr>
      <w:instrText xml:space="preserve"> PAGE   \* MERGEFORMAT </w:instrText>
    </w:r>
    <w:r w:rsidRPr="00816FCB">
      <w:rPr>
        <w:lang w:val="de-DE"/>
      </w:rPr>
      <w:fldChar w:fldCharType="separate"/>
    </w:r>
    <w:r w:rsidR="004D7E1B">
      <w:rPr>
        <w:noProof/>
        <w:lang w:val="de-DE"/>
      </w:rPr>
      <w:t>8</w:t>
    </w:r>
    <w:r w:rsidRPr="00816FCB">
      <w:rPr>
        <w:noProof/>
        <w:lang w:val="de-DE"/>
      </w:rPr>
      <w:fldChar w:fldCharType="end"/>
    </w:r>
  </w:p>
  <w:p w:rsidR="00F206ED" w:rsidRPr="00BE40B4" w:rsidRDefault="00F206ED" w:rsidP="00BE40B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40B4" w:rsidRPr="00BE40B4" w:rsidRDefault="00BE40B4" w:rsidP="00BE40B4">
    <w:pPr>
      <w:pStyle w:val="Header"/>
      <w:rPr>
        <w:lang w:val="fr-CH"/>
      </w:rPr>
    </w:pPr>
    <w:r w:rsidRPr="00BE40B4">
      <w:rPr>
        <w:lang w:val="fr-CH"/>
      </w:rPr>
      <w:t>TC/5</w:t>
    </w:r>
    <w:r>
      <w:rPr>
        <w:lang w:val="fr-CH"/>
      </w:rPr>
      <w:t>4</w:t>
    </w:r>
    <w:r w:rsidRPr="00BE40B4">
      <w:rPr>
        <w:lang w:val="fr-CH"/>
      </w:rPr>
      <w:t>/</w:t>
    </w:r>
    <w:r>
      <w:rPr>
        <w:lang w:val="fr-CH"/>
      </w:rPr>
      <w:t>29</w:t>
    </w:r>
  </w:p>
  <w:p w:rsidR="00BE40B4" w:rsidRPr="00BE40B4" w:rsidRDefault="00BE40B4" w:rsidP="00BE40B4">
    <w:pPr>
      <w:pStyle w:val="Header"/>
      <w:rPr>
        <w:lang w:val="fr-CH"/>
      </w:rPr>
    </w:pPr>
  </w:p>
  <w:p w:rsidR="00BE40B4" w:rsidRPr="00BE40B4" w:rsidRDefault="00BE40B4" w:rsidP="00BE40B4">
    <w:pPr>
      <w:pStyle w:val="Header"/>
      <w:rPr>
        <w:lang w:val="fr-CH"/>
      </w:rPr>
    </w:pPr>
    <w:r w:rsidRPr="00BE40B4">
      <w:rPr>
        <w:lang w:val="fr-CH"/>
      </w:rPr>
      <w:t>AN</w:t>
    </w:r>
    <w:r w:rsidR="004420E0">
      <w:rPr>
        <w:lang w:val="fr-CH"/>
      </w:rPr>
      <w:t>LAGE</w:t>
    </w:r>
  </w:p>
  <w:p w:rsidR="00BE40B4" w:rsidRDefault="00BE40B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D4D"/>
    <w:rsid w:val="00010CF3"/>
    <w:rsid w:val="00011E27"/>
    <w:rsid w:val="000148BC"/>
    <w:rsid w:val="00024AB8"/>
    <w:rsid w:val="00030854"/>
    <w:rsid w:val="00036028"/>
    <w:rsid w:val="000428CA"/>
    <w:rsid w:val="00044642"/>
    <w:rsid w:val="000446B9"/>
    <w:rsid w:val="00047E21"/>
    <w:rsid w:val="00050E16"/>
    <w:rsid w:val="0006593C"/>
    <w:rsid w:val="00082403"/>
    <w:rsid w:val="00085505"/>
    <w:rsid w:val="000869E4"/>
    <w:rsid w:val="000869F6"/>
    <w:rsid w:val="000B6945"/>
    <w:rsid w:val="000C4E25"/>
    <w:rsid w:val="000C7021"/>
    <w:rsid w:val="000D6BBC"/>
    <w:rsid w:val="000D7780"/>
    <w:rsid w:val="000E636A"/>
    <w:rsid w:val="000F2F11"/>
    <w:rsid w:val="000F69AB"/>
    <w:rsid w:val="00100FFA"/>
    <w:rsid w:val="00105929"/>
    <w:rsid w:val="00110C36"/>
    <w:rsid w:val="001131D5"/>
    <w:rsid w:val="00141DB8"/>
    <w:rsid w:val="001422B4"/>
    <w:rsid w:val="00150A6A"/>
    <w:rsid w:val="00153C09"/>
    <w:rsid w:val="00172084"/>
    <w:rsid w:val="001720E7"/>
    <w:rsid w:val="0017474A"/>
    <w:rsid w:val="001758C6"/>
    <w:rsid w:val="0017633D"/>
    <w:rsid w:val="00182B99"/>
    <w:rsid w:val="001F514B"/>
    <w:rsid w:val="00211522"/>
    <w:rsid w:val="0021332C"/>
    <w:rsid w:val="0021392D"/>
    <w:rsid w:val="00213982"/>
    <w:rsid w:val="0024416D"/>
    <w:rsid w:val="00255609"/>
    <w:rsid w:val="00271911"/>
    <w:rsid w:val="002800A0"/>
    <w:rsid w:val="002801B3"/>
    <w:rsid w:val="00281060"/>
    <w:rsid w:val="002940E8"/>
    <w:rsid w:val="00294751"/>
    <w:rsid w:val="002A46DC"/>
    <w:rsid w:val="002A6E50"/>
    <w:rsid w:val="002B4298"/>
    <w:rsid w:val="002C256A"/>
    <w:rsid w:val="002D1D1F"/>
    <w:rsid w:val="00302760"/>
    <w:rsid w:val="00304827"/>
    <w:rsid w:val="00305A7F"/>
    <w:rsid w:val="003152FE"/>
    <w:rsid w:val="00322D4D"/>
    <w:rsid w:val="00327436"/>
    <w:rsid w:val="00344BD6"/>
    <w:rsid w:val="0035528D"/>
    <w:rsid w:val="00361821"/>
    <w:rsid w:val="00361E9E"/>
    <w:rsid w:val="00377D7D"/>
    <w:rsid w:val="003A7583"/>
    <w:rsid w:val="003C7FBE"/>
    <w:rsid w:val="003D227C"/>
    <w:rsid w:val="003D2B4D"/>
    <w:rsid w:val="00414A12"/>
    <w:rsid w:val="004420E0"/>
    <w:rsid w:val="00444A88"/>
    <w:rsid w:val="004506EB"/>
    <w:rsid w:val="004534A6"/>
    <w:rsid w:val="00453F4A"/>
    <w:rsid w:val="00474DA4"/>
    <w:rsid w:val="00476B4D"/>
    <w:rsid w:val="004805FA"/>
    <w:rsid w:val="004935D2"/>
    <w:rsid w:val="004B0825"/>
    <w:rsid w:val="004B1215"/>
    <w:rsid w:val="004B328E"/>
    <w:rsid w:val="004D047D"/>
    <w:rsid w:val="004D7E1B"/>
    <w:rsid w:val="004F1E9E"/>
    <w:rsid w:val="004F305A"/>
    <w:rsid w:val="00506E65"/>
    <w:rsid w:val="00512164"/>
    <w:rsid w:val="00520297"/>
    <w:rsid w:val="0052611F"/>
    <w:rsid w:val="005338F9"/>
    <w:rsid w:val="00536891"/>
    <w:rsid w:val="0054281C"/>
    <w:rsid w:val="00544581"/>
    <w:rsid w:val="0055268D"/>
    <w:rsid w:val="00553C36"/>
    <w:rsid w:val="005740B5"/>
    <w:rsid w:val="00576BE4"/>
    <w:rsid w:val="00586D43"/>
    <w:rsid w:val="0058735A"/>
    <w:rsid w:val="00593D9E"/>
    <w:rsid w:val="005A400A"/>
    <w:rsid w:val="005E5483"/>
    <w:rsid w:val="005E7691"/>
    <w:rsid w:val="005F7B92"/>
    <w:rsid w:val="00612379"/>
    <w:rsid w:val="006153B6"/>
    <w:rsid w:val="0061555F"/>
    <w:rsid w:val="00636CA6"/>
    <w:rsid w:val="00641200"/>
    <w:rsid w:val="00645CA8"/>
    <w:rsid w:val="00655961"/>
    <w:rsid w:val="006655D3"/>
    <w:rsid w:val="00667404"/>
    <w:rsid w:val="00687EB4"/>
    <w:rsid w:val="00695115"/>
    <w:rsid w:val="00695C56"/>
    <w:rsid w:val="00697EA4"/>
    <w:rsid w:val="006A5CDE"/>
    <w:rsid w:val="006A644A"/>
    <w:rsid w:val="006B17D2"/>
    <w:rsid w:val="006B414F"/>
    <w:rsid w:val="006B4C00"/>
    <w:rsid w:val="006C224E"/>
    <w:rsid w:val="006D780A"/>
    <w:rsid w:val="006E7CD7"/>
    <w:rsid w:val="00704FC6"/>
    <w:rsid w:val="0071271E"/>
    <w:rsid w:val="00732DEC"/>
    <w:rsid w:val="00735BD5"/>
    <w:rsid w:val="00751613"/>
    <w:rsid w:val="007556F6"/>
    <w:rsid w:val="00760EEF"/>
    <w:rsid w:val="00777EE5"/>
    <w:rsid w:val="00784836"/>
    <w:rsid w:val="0078722F"/>
    <w:rsid w:val="0079023E"/>
    <w:rsid w:val="007A2854"/>
    <w:rsid w:val="007A77C8"/>
    <w:rsid w:val="007C1D92"/>
    <w:rsid w:val="007C4CB9"/>
    <w:rsid w:val="007D0B9D"/>
    <w:rsid w:val="007D19B0"/>
    <w:rsid w:val="007F498F"/>
    <w:rsid w:val="0080679D"/>
    <w:rsid w:val="008108B0"/>
    <w:rsid w:val="00811654"/>
    <w:rsid w:val="00811B20"/>
    <w:rsid w:val="00816FCB"/>
    <w:rsid w:val="008211B5"/>
    <w:rsid w:val="0082296E"/>
    <w:rsid w:val="00824099"/>
    <w:rsid w:val="008301EC"/>
    <w:rsid w:val="00846D7C"/>
    <w:rsid w:val="00867AC1"/>
    <w:rsid w:val="00880387"/>
    <w:rsid w:val="008902CB"/>
    <w:rsid w:val="00890DF8"/>
    <w:rsid w:val="008A743F"/>
    <w:rsid w:val="008B6E60"/>
    <w:rsid w:val="008B7BE5"/>
    <w:rsid w:val="008C0970"/>
    <w:rsid w:val="008D0BC5"/>
    <w:rsid w:val="008D2CF7"/>
    <w:rsid w:val="008D7E86"/>
    <w:rsid w:val="008F5E86"/>
    <w:rsid w:val="00900C26"/>
    <w:rsid w:val="0090197F"/>
    <w:rsid w:val="00905FAE"/>
    <w:rsid w:val="00906DDC"/>
    <w:rsid w:val="00916B93"/>
    <w:rsid w:val="00931E4D"/>
    <w:rsid w:val="00934E09"/>
    <w:rsid w:val="00936253"/>
    <w:rsid w:val="00940D46"/>
    <w:rsid w:val="00952DD4"/>
    <w:rsid w:val="00965AE7"/>
    <w:rsid w:val="00970FED"/>
    <w:rsid w:val="00992D82"/>
    <w:rsid w:val="00997029"/>
    <w:rsid w:val="009A7339"/>
    <w:rsid w:val="009B440E"/>
    <w:rsid w:val="009B4FAB"/>
    <w:rsid w:val="009D690D"/>
    <w:rsid w:val="009E65B6"/>
    <w:rsid w:val="00A04F5F"/>
    <w:rsid w:val="00A067F9"/>
    <w:rsid w:val="00A24C10"/>
    <w:rsid w:val="00A42AC3"/>
    <w:rsid w:val="00A430CF"/>
    <w:rsid w:val="00A52E52"/>
    <w:rsid w:val="00A54309"/>
    <w:rsid w:val="00A55B58"/>
    <w:rsid w:val="00AB2B93"/>
    <w:rsid w:val="00AB530F"/>
    <w:rsid w:val="00AB7E5B"/>
    <w:rsid w:val="00AC2883"/>
    <w:rsid w:val="00AE0EF1"/>
    <w:rsid w:val="00AE2937"/>
    <w:rsid w:val="00AF741C"/>
    <w:rsid w:val="00B072B7"/>
    <w:rsid w:val="00B07301"/>
    <w:rsid w:val="00B11F3E"/>
    <w:rsid w:val="00B224DE"/>
    <w:rsid w:val="00B324D4"/>
    <w:rsid w:val="00B46575"/>
    <w:rsid w:val="00B55D16"/>
    <w:rsid w:val="00B61777"/>
    <w:rsid w:val="00B80628"/>
    <w:rsid w:val="00B84BBD"/>
    <w:rsid w:val="00BA43FB"/>
    <w:rsid w:val="00BC127D"/>
    <w:rsid w:val="00BC1FE6"/>
    <w:rsid w:val="00BE40B4"/>
    <w:rsid w:val="00BF030D"/>
    <w:rsid w:val="00BF2631"/>
    <w:rsid w:val="00BF5577"/>
    <w:rsid w:val="00C061B6"/>
    <w:rsid w:val="00C2446C"/>
    <w:rsid w:val="00C36AE5"/>
    <w:rsid w:val="00C37D0B"/>
    <w:rsid w:val="00C41F17"/>
    <w:rsid w:val="00C435B9"/>
    <w:rsid w:val="00C45B14"/>
    <w:rsid w:val="00C45C00"/>
    <w:rsid w:val="00C47AF6"/>
    <w:rsid w:val="00C527FA"/>
    <w:rsid w:val="00C5280D"/>
    <w:rsid w:val="00C53EB3"/>
    <w:rsid w:val="00C5791C"/>
    <w:rsid w:val="00C6421E"/>
    <w:rsid w:val="00C66290"/>
    <w:rsid w:val="00C72B7A"/>
    <w:rsid w:val="00C83C5F"/>
    <w:rsid w:val="00C973F2"/>
    <w:rsid w:val="00CA304C"/>
    <w:rsid w:val="00CA774A"/>
    <w:rsid w:val="00CB0C08"/>
    <w:rsid w:val="00CB1116"/>
    <w:rsid w:val="00CC11B0"/>
    <w:rsid w:val="00CC2841"/>
    <w:rsid w:val="00CF1330"/>
    <w:rsid w:val="00CF2CC5"/>
    <w:rsid w:val="00CF7E36"/>
    <w:rsid w:val="00D3708D"/>
    <w:rsid w:val="00D40426"/>
    <w:rsid w:val="00D43C6F"/>
    <w:rsid w:val="00D57C96"/>
    <w:rsid w:val="00D57D18"/>
    <w:rsid w:val="00D91203"/>
    <w:rsid w:val="00D95174"/>
    <w:rsid w:val="00DA4973"/>
    <w:rsid w:val="00DA6F36"/>
    <w:rsid w:val="00DB1A10"/>
    <w:rsid w:val="00DB596E"/>
    <w:rsid w:val="00DB7773"/>
    <w:rsid w:val="00DC00EA"/>
    <w:rsid w:val="00DC3802"/>
    <w:rsid w:val="00DE4307"/>
    <w:rsid w:val="00DE74C3"/>
    <w:rsid w:val="00E07D87"/>
    <w:rsid w:val="00E211B8"/>
    <w:rsid w:val="00E32F7E"/>
    <w:rsid w:val="00E5267B"/>
    <w:rsid w:val="00E63C0E"/>
    <w:rsid w:val="00E72D49"/>
    <w:rsid w:val="00E7593C"/>
    <w:rsid w:val="00E7678A"/>
    <w:rsid w:val="00E77672"/>
    <w:rsid w:val="00E85BE6"/>
    <w:rsid w:val="00E935F1"/>
    <w:rsid w:val="00E94A81"/>
    <w:rsid w:val="00EA1FFB"/>
    <w:rsid w:val="00EB048E"/>
    <w:rsid w:val="00EB22B9"/>
    <w:rsid w:val="00EB4E9C"/>
    <w:rsid w:val="00ED00AA"/>
    <w:rsid w:val="00EE34DF"/>
    <w:rsid w:val="00EF2F89"/>
    <w:rsid w:val="00F0249C"/>
    <w:rsid w:val="00F03E98"/>
    <w:rsid w:val="00F1237A"/>
    <w:rsid w:val="00F206ED"/>
    <w:rsid w:val="00F22CBD"/>
    <w:rsid w:val="00F272F1"/>
    <w:rsid w:val="00F45372"/>
    <w:rsid w:val="00F560F7"/>
    <w:rsid w:val="00F6334D"/>
    <w:rsid w:val="00FA49AB"/>
    <w:rsid w:val="00FA6369"/>
    <w:rsid w:val="00FB0610"/>
    <w:rsid w:val="00FE39C7"/>
    <w:rsid w:val="00FF4BC0"/>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CBCC2FD8-6AD3-4C40-AA77-C6CECB14D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255609"/>
    <w:pPr>
      <w:keepNext/>
      <w:jc w:val="both"/>
      <w:outlineLvl w:val="0"/>
    </w:pPr>
    <w:rPr>
      <w:rFonts w:ascii="Arial" w:hAnsi="Arial"/>
      <w:caps/>
    </w:rPr>
  </w:style>
  <w:style w:type="paragraph" w:styleId="Heading2">
    <w:name w:val="heading 2"/>
    <w:next w:val="Normal"/>
    <w:link w:val="Heading2Char"/>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304827"/>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304827"/>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uiPriority w:val="39"/>
    <w:qFormat/>
    <w:rsid w:val="00322D4D"/>
    <w:pPr>
      <w:tabs>
        <w:tab w:val="right" w:leader="dot" w:pos="9639"/>
      </w:tabs>
      <w:ind w:left="284" w:right="851"/>
      <w:jc w:val="left"/>
    </w:pPr>
    <w:rPr>
      <w:rFonts w:eastAsiaTheme="minorHAnsi" w:cs="Arial"/>
      <w:noProof/>
      <w:sz w:val="18"/>
      <w:szCs w:val="18"/>
      <w:lang w:eastAsia="ja-JP"/>
    </w:rPr>
  </w:style>
  <w:style w:type="paragraph" w:styleId="TOC3">
    <w:name w:val="toc 3"/>
    <w:next w:val="Normal"/>
    <w:uiPriority w:val="39"/>
    <w:qFormat/>
    <w:rsid w:val="00322D4D"/>
    <w:pPr>
      <w:tabs>
        <w:tab w:val="right" w:leader="dot" w:pos="9639"/>
      </w:tabs>
      <w:spacing w:after="60"/>
      <w:ind w:left="567" w:right="1418"/>
      <w:contextualSpacing/>
    </w:pPr>
    <w:rPr>
      <w:rFonts w:ascii="Arial" w:eastAsiaTheme="minorEastAsia" w:hAnsi="Arial" w:cs="Arial"/>
      <w:i/>
      <w:noProof/>
      <w:sz w:val="18"/>
      <w:lang w:eastAsia="ja-JP"/>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322D4D"/>
    <w:pPr>
      <w:tabs>
        <w:tab w:val="right" w:leader="dot" w:pos="9639"/>
      </w:tabs>
      <w:spacing w:before="120"/>
      <w:ind w:left="738" w:right="851" w:hanging="284"/>
    </w:pPr>
    <w:rPr>
      <w:rFonts w:ascii="Arial" w:eastAsiaTheme="minorEastAsia" w:hAnsi="Arial"/>
      <w:i/>
      <w:sz w:val="18"/>
      <w:lang w:val="fr-FR" w:eastAsia="ja-JP"/>
    </w:rPr>
  </w:style>
  <w:style w:type="paragraph" w:styleId="TOC1">
    <w:name w:val="toc 1"/>
    <w:basedOn w:val="Normal"/>
    <w:next w:val="Normal"/>
    <w:uiPriority w:val="39"/>
    <w:qFormat/>
    <w:rsid w:val="00322D4D"/>
    <w:pPr>
      <w:tabs>
        <w:tab w:val="right" w:leader="dot" w:pos="9639"/>
      </w:tabs>
      <w:spacing w:before="60"/>
      <w:ind w:right="1418"/>
      <w:jc w:val="left"/>
    </w:pPr>
    <w:rPr>
      <w:rFonts w:eastAsiaTheme="minorEastAsia" w:cs="Arial"/>
      <w:bCs/>
      <w:caps/>
      <w:noProof/>
      <w:sz w:val="18"/>
      <w:lang w:eastAsia="ja-JP"/>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erChar">
    <w:name w:val="Header Char"/>
    <w:basedOn w:val="DefaultParagraphFont"/>
    <w:link w:val="Header"/>
    <w:uiPriority w:val="99"/>
    <w:rsid w:val="00322D4D"/>
    <w:rPr>
      <w:rFonts w:ascii="Arial" w:hAnsi="Arial"/>
      <w:lang w:val="fr-FR"/>
    </w:rPr>
  </w:style>
  <w:style w:type="table" w:styleId="TableGrid">
    <w:name w:val="Table Grid"/>
    <w:basedOn w:val="TableNormal"/>
    <w:rsid w:val="00322D4D"/>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E85BE6"/>
    <w:rPr>
      <w:rFonts w:ascii="Arial" w:hAnsi="Arial"/>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eader" Target="header2.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1D417-4891-4207-A940-70D825F3A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878</Words>
  <Characters>6230</Characters>
  <Application>Microsoft Office Word</Application>
  <DocSecurity>0</DocSecurity>
  <Lines>1557</Lines>
  <Paragraphs>97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TC/54/29</vt:lpstr>
      <vt:lpstr>TC/54/29</vt:lpstr>
    </vt:vector>
  </TitlesOfParts>
  <Company>UPOV</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TC/54/29</dc:title>
  <dc:creator>FALQUET Kasumi</dc:creator>
  <cp:lastModifiedBy>MAY Jessica</cp:lastModifiedBy>
  <cp:revision>12</cp:revision>
  <cp:lastPrinted>2018-09-11T07:25:00Z</cp:lastPrinted>
  <dcterms:created xsi:type="dcterms:W3CDTF">2018-09-11T14:54:00Z</dcterms:created>
  <dcterms:modified xsi:type="dcterms:W3CDTF">2018-10-09T11:43:00Z</dcterms:modified>
</cp:coreProperties>
</file>