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029A9" w:rsidTr="00EB4E9C">
        <w:tc>
          <w:tcPr>
            <w:tcW w:w="6522" w:type="dxa"/>
          </w:tcPr>
          <w:p w:rsidR="00DC3802" w:rsidRPr="008029A9" w:rsidRDefault="00DC3802" w:rsidP="00AC2883">
            <w:pPr>
              <w:rPr>
                <w:lang w:val="de-DE"/>
              </w:rPr>
            </w:pPr>
            <w:r w:rsidRPr="008029A9">
              <w:rPr>
                <w:noProof/>
              </w:rPr>
              <w:drawing>
                <wp:inline distT="0" distB="0" distL="0" distR="0" wp14:anchorId="1DAF2E1C" wp14:editId="6488ADA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8029A9" w:rsidRDefault="002D4D66" w:rsidP="00AC2883">
            <w:pPr>
              <w:pStyle w:val="Lettrine"/>
              <w:rPr>
                <w:lang w:val="de-DE"/>
              </w:rPr>
            </w:pPr>
            <w:r w:rsidRPr="008029A9">
              <w:rPr>
                <w:lang w:val="de-DE"/>
              </w:rPr>
              <w:t>G</w:t>
            </w:r>
          </w:p>
        </w:tc>
      </w:tr>
      <w:tr w:rsidR="00DC3802" w:rsidRPr="00832AB2" w:rsidTr="00645CA8">
        <w:trPr>
          <w:trHeight w:val="219"/>
        </w:trPr>
        <w:tc>
          <w:tcPr>
            <w:tcW w:w="6522" w:type="dxa"/>
          </w:tcPr>
          <w:p w:rsidR="00DC3802" w:rsidRPr="008029A9" w:rsidRDefault="002D4D66" w:rsidP="00AC2883">
            <w:pPr>
              <w:pStyle w:val="upove"/>
              <w:rPr>
                <w:lang w:val="de-DE"/>
              </w:rPr>
            </w:pPr>
            <w:r w:rsidRPr="008029A9">
              <w:rPr>
                <w:lang w:val="de-DE"/>
              </w:rPr>
              <w:t>Internationaler Verband zum Schutz von Pflanzenzüchtungen</w:t>
            </w:r>
          </w:p>
        </w:tc>
        <w:tc>
          <w:tcPr>
            <w:tcW w:w="3117" w:type="dxa"/>
          </w:tcPr>
          <w:p w:rsidR="00DC3802" w:rsidRPr="008029A9" w:rsidRDefault="00DC3802" w:rsidP="00DA4973">
            <w:pPr>
              <w:rPr>
                <w:lang w:val="de-DE"/>
              </w:rPr>
            </w:pPr>
          </w:p>
        </w:tc>
      </w:tr>
    </w:tbl>
    <w:p w:rsidR="00DC3802" w:rsidRPr="008029A9" w:rsidRDefault="00DC3802" w:rsidP="00DC3802">
      <w:pPr>
        <w:rPr>
          <w:lang w:val="de-DE"/>
        </w:rPr>
      </w:pPr>
    </w:p>
    <w:p w:rsidR="00DA4973" w:rsidRPr="008029A9" w:rsidRDefault="00DA4973" w:rsidP="00DC3802">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832AB2" w:rsidTr="00EB4E9C">
        <w:tc>
          <w:tcPr>
            <w:tcW w:w="6512" w:type="dxa"/>
          </w:tcPr>
          <w:p w:rsidR="002D4D66" w:rsidRPr="008029A9" w:rsidRDefault="002D4D66" w:rsidP="002D4D66">
            <w:pPr>
              <w:pStyle w:val="Sessiontc"/>
              <w:spacing w:line="240" w:lineRule="auto"/>
              <w:rPr>
                <w:lang w:val="de-DE"/>
              </w:rPr>
            </w:pPr>
            <w:r w:rsidRPr="008029A9">
              <w:rPr>
                <w:lang w:val="de-DE"/>
              </w:rPr>
              <w:t>Technischer Ausschuß</w:t>
            </w:r>
          </w:p>
          <w:p w:rsidR="00EB4E9C" w:rsidRPr="008029A9" w:rsidRDefault="00444DF7" w:rsidP="008313F0">
            <w:pPr>
              <w:pStyle w:val="Sessiontcplacedate"/>
              <w:rPr>
                <w:sz w:val="22"/>
                <w:lang w:val="de-DE"/>
              </w:rPr>
            </w:pPr>
            <w:r w:rsidRPr="008029A9">
              <w:rPr>
                <w:lang w:val="de-DE"/>
              </w:rPr>
              <w:t>Vierundfünfzigste Tagung</w:t>
            </w:r>
            <w:r w:rsidR="00EB4E9C" w:rsidRPr="008029A9">
              <w:rPr>
                <w:lang w:val="de-DE"/>
              </w:rPr>
              <w:br/>
              <w:t>Gen</w:t>
            </w:r>
            <w:r w:rsidR="00EB5A0F" w:rsidRPr="008029A9">
              <w:rPr>
                <w:lang w:val="de-DE"/>
              </w:rPr>
              <w:t>f</w:t>
            </w:r>
            <w:r w:rsidR="00EB4E9C" w:rsidRPr="008029A9">
              <w:rPr>
                <w:lang w:val="de-DE"/>
              </w:rPr>
              <w:t>,</w:t>
            </w:r>
            <w:r w:rsidR="008313F0" w:rsidRPr="008029A9">
              <w:rPr>
                <w:lang w:val="de-DE"/>
              </w:rPr>
              <w:t xml:space="preserve"> 29</w:t>
            </w:r>
            <w:r w:rsidR="00E92ED0" w:rsidRPr="008029A9">
              <w:rPr>
                <w:lang w:val="de-DE"/>
              </w:rPr>
              <w:t>.</w:t>
            </w:r>
            <w:r w:rsidR="008313F0" w:rsidRPr="008029A9">
              <w:rPr>
                <w:lang w:val="de-DE"/>
              </w:rPr>
              <w:t xml:space="preserve"> und 30. Oktober </w:t>
            </w:r>
            <w:r w:rsidR="008B6E60" w:rsidRPr="008029A9">
              <w:rPr>
                <w:lang w:val="de-DE"/>
              </w:rPr>
              <w:t>2018</w:t>
            </w:r>
          </w:p>
        </w:tc>
        <w:tc>
          <w:tcPr>
            <w:tcW w:w="3127" w:type="dxa"/>
          </w:tcPr>
          <w:p w:rsidR="00EB4E9C" w:rsidRPr="008029A9" w:rsidRDefault="008B6E60" w:rsidP="003C7FBE">
            <w:pPr>
              <w:pStyle w:val="Doccode"/>
              <w:rPr>
                <w:lang w:val="de-DE"/>
              </w:rPr>
            </w:pPr>
            <w:r w:rsidRPr="008029A9">
              <w:rPr>
                <w:lang w:val="de-DE"/>
              </w:rPr>
              <w:t>TC/54</w:t>
            </w:r>
            <w:r w:rsidR="00EB4E9C" w:rsidRPr="008029A9">
              <w:rPr>
                <w:lang w:val="de-DE"/>
              </w:rPr>
              <w:t>/</w:t>
            </w:r>
            <w:r w:rsidR="008B1B3A" w:rsidRPr="008029A9">
              <w:rPr>
                <w:lang w:val="de-DE"/>
              </w:rPr>
              <w:t>28</w:t>
            </w:r>
          </w:p>
          <w:p w:rsidR="00EB4E9C" w:rsidRPr="008029A9" w:rsidRDefault="00EB4E9C" w:rsidP="003C7FBE">
            <w:pPr>
              <w:pStyle w:val="Docoriginal"/>
              <w:rPr>
                <w:lang w:val="de-DE"/>
              </w:rPr>
            </w:pPr>
            <w:r w:rsidRPr="008029A9">
              <w:rPr>
                <w:lang w:val="de-DE"/>
              </w:rPr>
              <w:t>Original:</w:t>
            </w:r>
            <w:r w:rsidRPr="008029A9">
              <w:rPr>
                <w:b w:val="0"/>
                <w:spacing w:val="0"/>
                <w:lang w:val="de-DE"/>
              </w:rPr>
              <w:t xml:space="preserve"> </w:t>
            </w:r>
            <w:r w:rsidR="002D4D66" w:rsidRPr="008029A9">
              <w:rPr>
                <w:b w:val="0"/>
                <w:spacing w:val="0"/>
                <w:lang w:val="de-DE"/>
              </w:rPr>
              <w:t>englisch</w:t>
            </w:r>
          </w:p>
          <w:p w:rsidR="00EB4E9C" w:rsidRPr="008029A9" w:rsidRDefault="00820F57" w:rsidP="00832AB2">
            <w:pPr>
              <w:pStyle w:val="Docoriginal"/>
              <w:rPr>
                <w:lang w:val="de-DE"/>
              </w:rPr>
            </w:pPr>
            <w:r w:rsidRPr="008029A9">
              <w:rPr>
                <w:lang w:val="de-DE"/>
              </w:rPr>
              <w:t>Datum</w:t>
            </w:r>
            <w:r w:rsidR="00EB4E9C" w:rsidRPr="008029A9">
              <w:rPr>
                <w:lang w:val="de-DE"/>
              </w:rPr>
              <w:t>:</w:t>
            </w:r>
            <w:r w:rsidR="008B6E60" w:rsidRPr="008029A9">
              <w:rPr>
                <w:b w:val="0"/>
                <w:spacing w:val="0"/>
                <w:lang w:val="de-DE"/>
              </w:rPr>
              <w:t xml:space="preserve"> </w:t>
            </w:r>
            <w:r w:rsidRPr="008029A9">
              <w:rPr>
                <w:b w:val="0"/>
                <w:spacing w:val="0"/>
                <w:lang w:val="de-DE"/>
              </w:rPr>
              <w:t>2</w:t>
            </w:r>
            <w:r w:rsidR="00832AB2">
              <w:rPr>
                <w:b w:val="0"/>
                <w:spacing w:val="0"/>
                <w:lang w:val="de-DE"/>
              </w:rPr>
              <w:t>3</w:t>
            </w:r>
            <w:r w:rsidRPr="008029A9">
              <w:rPr>
                <w:b w:val="0"/>
                <w:spacing w:val="0"/>
                <w:lang w:val="de-DE"/>
              </w:rPr>
              <w:t xml:space="preserve">. </w:t>
            </w:r>
            <w:r w:rsidRPr="00832AB2">
              <w:rPr>
                <w:b w:val="0"/>
                <w:spacing w:val="0"/>
                <w:lang w:val="de-DE"/>
              </w:rPr>
              <w:t>August</w:t>
            </w:r>
            <w:r w:rsidR="008B6E60" w:rsidRPr="008029A9">
              <w:rPr>
                <w:b w:val="0"/>
                <w:spacing w:val="0"/>
                <w:lang w:val="de-DE"/>
              </w:rPr>
              <w:t xml:space="preserve"> 2018</w:t>
            </w:r>
          </w:p>
        </w:tc>
      </w:tr>
    </w:tbl>
    <w:p w:rsidR="002D4D66" w:rsidRPr="008029A9" w:rsidRDefault="002D4D66" w:rsidP="002D4D66">
      <w:pPr>
        <w:pStyle w:val="Titleofdoc0"/>
        <w:tabs>
          <w:tab w:val="left" w:pos="5760"/>
        </w:tabs>
        <w:rPr>
          <w:lang w:val="de-DE"/>
        </w:rPr>
      </w:pPr>
      <w:bookmarkStart w:id="0" w:name="TitleOfDoc"/>
      <w:bookmarkStart w:id="1" w:name="_Toc418531189"/>
      <w:bookmarkEnd w:id="0"/>
      <w:r w:rsidRPr="008029A9">
        <w:rPr>
          <w:lang w:val="de-DE"/>
        </w:rPr>
        <w:t>Angelegenheiten, die Sortenbeschreibungen betreffen</w:t>
      </w:r>
    </w:p>
    <w:p w:rsidR="002D4D66" w:rsidRPr="008029A9" w:rsidRDefault="002D4D66" w:rsidP="002D4D66">
      <w:pPr>
        <w:pStyle w:val="preparedby1"/>
        <w:jc w:val="left"/>
        <w:rPr>
          <w:lang w:val="de-DE"/>
        </w:rPr>
      </w:pPr>
      <w:bookmarkStart w:id="2" w:name="Prepared"/>
      <w:bookmarkEnd w:id="2"/>
      <w:r w:rsidRPr="008029A9">
        <w:rPr>
          <w:lang w:val="de-DE"/>
        </w:rPr>
        <w:t>Vom Verbandsbüro erstelltes Dokument</w:t>
      </w:r>
    </w:p>
    <w:p w:rsidR="002D4D66" w:rsidRPr="008029A9" w:rsidRDefault="002D4D66" w:rsidP="002D4D66">
      <w:pPr>
        <w:pStyle w:val="Disclaimer"/>
        <w:rPr>
          <w:lang w:val="de-DE"/>
        </w:rPr>
      </w:pPr>
      <w:r w:rsidRPr="008029A9">
        <w:rPr>
          <w:lang w:val="de-DE"/>
        </w:rPr>
        <w:t xml:space="preserve">Haftungsausschluß: </w:t>
      </w:r>
      <w:r w:rsidR="00E92ED0" w:rsidRPr="008029A9">
        <w:rPr>
          <w:lang w:val="de-DE"/>
        </w:rPr>
        <w:t>D</w:t>
      </w:r>
      <w:r w:rsidRPr="008029A9">
        <w:rPr>
          <w:lang w:val="de-DE"/>
        </w:rPr>
        <w:t>ieses Dokument gibt nicht die Grundsätze oder eine Anleitung der UPOV wieder</w:t>
      </w:r>
    </w:p>
    <w:p w:rsidR="002D4D66" w:rsidRPr="008029A9" w:rsidRDefault="00A0029F" w:rsidP="002D4D66">
      <w:pPr>
        <w:rPr>
          <w:lang w:val="de-DE"/>
        </w:rPr>
      </w:pPr>
      <w:r w:rsidRPr="008029A9">
        <w:rPr>
          <w:lang w:val="de-DE"/>
        </w:rPr>
        <w:t>ZUSAMMENFASSUNG</w:t>
      </w:r>
    </w:p>
    <w:p w:rsidR="008B1B3A" w:rsidRPr="008029A9" w:rsidRDefault="008B1B3A" w:rsidP="008B1B3A">
      <w:pPr>
        <w:rPr>
          <w:lang w:val="de-DE"/>
        </w:rPr>
      </w:pPr>
    </w:p>
    <w:p w:rsidR="00840085" w:rsidRPr="008029A9" w:rsidRDefault="00D40AC3" w:rsidP="008B1B3A">
      <w:pPr>
        <w:rPr>
          <w:rFonts w:cs="Arial"/>
          <w:lang w:val="de-DE" w:eastAsia="ja-JP"/>
        </w:rPr>
      </w:pPr>
      <w:r w:rsidRPr="008029A9">
        <w:rPr>
          <w:snapToGrid w:val="0"/>
          <w:lang w:val="de-DE"/>
        </w:rPr>
        <w:fldChar w:fldCharType="begin"/>
      </w:r>
      <w:r w:rsidRPr="008029A9">
        <w:rPr>
          <w:snapToGrid w:val="0"/>
          <w:lang w:val="de-DE"/>
        </w:rPr>
        <w:instrText xml:space="preserve"> AUTONUM  </w:instrText>
      </w:r>
      <w:r w:rsidRPr="008029A9">
        <w:rPr>
          <w:snapToGrid w:val="0"/>
          <w:lang w:val="de-DE"/>
        </w:rPr>
        <w:fldChar w:fldCharType="end"/>
      </w:r>
      <w:r w:rsidRPr="008029A9">
        <w:rPr>
          <w:snapToGrid w:val="0"/>
          <w:lang w:val="de-DE"/>
        </w:rPr>
        <w:tab/>
      </w:r>
      <w:r w:rsidR="00840085" w:rsidRPr="008029A9">
        <w:rPr>
          <w:rFonts w:cs="Arial"/>
          <w:lang w:val="de-DE" w:eastAsia="ja-JP"/>
        </w:rPr>
        <w:t xml:space="preserve">Zweck dieses Dokuments ist es, </w:t>
      </w:r>
      <w:r w:rsidR="00505BA9" w:rsidRPr="008029A9">
        <w:rPr>
          <w:rFonts w:cs="Arial"/>
          <w:lang w:val="de-DE" w:eastAsia="ja-JP"/>
        </w:rPr>
        <w:t>d</w:t>
      </w:r>
      <w:r w:rsidR="00840085" w:rsidRPr="008029A9">
        <w:rPr>
          <w:rFonts w:cs="Arial"/>
          <w:lang w:val="de-DE"/>
        </w:rPr>
        <w:t>en Entwurf einer neuen Anleitung zu</w:t>
      </w:r>
      <w:r w:rsidR="00840085" w:rsidRPr="008029A9">
        <w:rPr>
          <w:lang w:val="de-DE"/>
        </w:rPr>
        <w:t xml:space="preserve"> Rolle und Sta</w:t>
      </w:r>
      <w:r w:rsidR="00966446" w:rsidRPr="008029A9">
        <w:rPr>
          <w:lang w:val="de-DE"/>
        </w:rPr>
        <w:t>tus</w:t>
      </w:r>
      <w:r w:rsidR="00840085" w:rsidRPr="008029A9">
        <w:rPr>
          <w:lang w:val="de-DE"/>
        </w:rPr>
        <w:t xml:space="preserve"> </w:t>
      </w:r>
      <w:r w:rsidR="008B6E25" w:rsidRPr="008029A9">
        <w:rPr>
          <w:lang w:val="de-DE"/>
        </w:rPr>
        <w:t>des</w:t>
      </w:r>
      <w:r w:rsidR="00840085" w:rsidRPr="008029A9">
        <w:rPr>
          <w:lang w:val="de-DE"/>
        </w:rPr>
        <w:t xml:space="preserve"> </w:t>
      </w:r>
      <w:r w:rsidR="00840085" w:rsidRPr="008029A9">
        <w:rPr>
          <w:snapToGrid w:val="0"/>
          <w:lang w:val="de-DE"/>
        </w:rPr>
        <w:t xml:space="preserve">Pflanzenmaterials, </w:t>
      </w:r>
      <w:r w:rsidR="00840085" w:rsidRPr="008029A9">
        <w:rPr>
          <w:rFonts w:cs="Arial"/>
          <w:lang w:val="de-DE" w:eastAsia="ja-JP"/>
        </w:rPr>
        <w:t>das als Grundlage für die DUS-Prüfung verwendet wird, zu prüfen</w:t>
      </w:r>
      <w:r w:rsidR="00BA709C" w:rsidRPr="008029A9">
        <w:rPr>
          <w:rFonts w:cs="Arial"/>
          <w:lang w:val="de-DE" w:eastAsia="ja-JP"/>
        </w:rPr>
        <w:t>.</w:t>
      </w:r>
    </w:p>
    <w:p w:rsidR="008B1B3A" w:rsidRPr="008029A9" w:rsidRDefault="008B1B3A" w:rsidP="008B1B3A">
      <w:pPr>
        <w:rPr>
          <w:snapToGrid w:val="0"/>
          <w:lang w:val="de-DE"/>
        </w:rPr>
      </w:pPr>
    </w:p>
    <w:p w:rsidR="008B1B3A" w:rsidRDefault="00D40AC3" w:rsidP="002D2896">
      <w:pPr>
        <w:rPr>
          <w:caps/>
          <w:lang w:val="de-DE"/>
        </w:rPr>
      </w:pPr>
      <w:r w:rsidRPr="002D2896">
        <w:fldChar w:fldCharType="begin"/>
      </w:r>
      <w:r w:rsidRPr="002D2896">
        <w:rPr>
          <w:lang w:val="de-DE"/>
        </w:rPr>
        <w:instrText xml:space="preserve"> AUTONUM  </w:instrText>
      </w:r>
      <w:r w:rsidRPr="002D2896">
        <w:fldChar w:fldCharType="end"/>
      </w:r>
      <w:r w:rsidRPr="008029A9">
        <w:rPr>
          <w:lang w:val="de-DE"/>
        </w:rPr>
        <w:tab/>
      </w:r>
      <w:r w:rsidR="00840085" w:rsidRPr="008029A9">
        <w:rPr>
          <w:lang w:val="de-DE"/>
        </w:rPr>
        <w:t xml:space="preserve">Der TC wird ersucht, </w:t>
      </w:r>
      <w:r w:rsidR="00505BA9" w:rsidRPr="008029A9">
        <w:rPr>
          <w:lang w:val="de-DE"/>
        </w:rPr>
        <w:t xml:space="preserve">den </w:t>
      </w:r>
      <w:r w:rsidR="008B6E25" w:rsidRPr="008029A9">
        <w:rPr>
          <w:lang w:val="de-DE"/>
        </w:rPr>
        <w:t>Entwurf</w:t>
      </w:r>
      <w:r w:rsidR="00505BA9" w:rsidRPr="008029A9">
        <w:rPr>
          <w:lang w:val="de-DE"/>
        </w:rPr>
        <w:t xml:space="preserve"> einer Anleitung in der Anlage dieses Dokuments als Grundlage für eine </w:t>
      </w:r>
      <w:r w:rsidR="008B6E25" w:rsidRPr="008029A9">
        <w:rPr>
          <w:lang w:val="de-DE"/>
        </w:rPr>
        <w:t>Überarbeitung</w:t>
      </w:r>
      <w:r w:rsidR="00505BA9" w:rsidRPr="008029A9">
        <w:rPr>
          <w:lang w:val="de-DE"/>
        </w:rPr>
        <w:t xml:space="preserve"> des </w:t>
      </w:r>
      <w:r w:rsidR="00795F74" w:rsidRPr="008029A9">
        <w:rPr>
          <w:lang w:val="de-DE"/>
        </w:rPr>
        <w:t>D</w:t>
      </w:r>
      <w:r w:rsidR="00505BA9" w:rsidRPr="008029A9">
        <w:rPr>
          <w:lang w:val="de-DE"/>
        </w:rPr>
        <w:t>okuments TGP/5 Abschnitt 6, „</w:t>
      </w:r>
      <w:r w:rsidR="00505BA9" w:rsidRPr="008029A9">
        <w:rPr>
          <w:szCs w:val="24"/>
          <w:lang w:val="de-DE"/>
        </w:rPr>
        <w:t>UPOV-Bericht über die technische Prüfung und UPOV-Sortenbeschreibung“</w:t>
      </w:r>
      <w:r w:rsidR="00505BA9" w:rsidRPr="008029A9">
        <w:rPr>
          <w:lang w:val="de-DE"/>
        </w:rPr>
        <w:t>, zu prüfen.</w:t>
      </w:r>
    </w:p>
    <w:p w:rsidR="002D2896" w:rsidRPr="002D2896" w:rsidRDefault="002D2896" w:rsidP="002D2896">
      <w:pPr>
        <w:rPr>
          <w:lang w:val="de-DE"/>
        </w:rPr>
      </w:pPr>
    </w:p>
    <w:p w:rsidR="008B1B3A" w:rsidRPr="008029A9" w:rsidRDefault="008B1B3A" w:rsidP="008B1B3A">
      <w:pPr>
        <w:rPr>
          <w:rFonts w:cs="Arial"/>
          <w:lang w:val="de-DE"/>
        </w:rPr>
      </w:pPr>
      <w:r w:rsidRPr="008029A9">
        <w:rPr>
          <w:rFonts w:cs="Arial"/>
          <w:lang w:val="de-DE"/>
        </w:rPr>
        <w:fldChar w:fldCharType="begin"/>
      </w:r>
      <w:r w:rsidRPr="008029A9">
        <w:rPr>
          <w:rFonts w:cs="Arial"/>
          <w:lang w:val="de-DE"/>
        </w:rPr>
        <w:instrText xml:space="preserve"> AUTONUM  </w:instrText>
      </w:r>
      <w:r w:rsidRPr="008029A9">
        <w:rPr>
          <w:rFonts w:cs="Arial"/>
          <w:lang w:val="de-DE"/>
        </w:rPr>
        <w:fldChar w:fldCharType="end"/>
      </w:r>
      <w:r w:rsidRPr="008029A9">
        <w:rPr>
          <w:rFonts w:cs="Arial"/>
          <w:lang w:val="de-DE"/>
        </w:rPr>
        <w:tab/>
      </w:r>
      <w:r w:rsidR="00820F57" w:rsidRPr="008029A9">
        <w:rPr>
          <w:rFonts w:cs="Arial"/>
          <w:color w:val="000000"/>
          <w:lang w:val="de-DE"/>
        </w:rPr>
        <w:t>In diesem Dokument werden folgende Abkürzungen verwendet</w:t>
      </w:r>
      <w:r w:rsidR="00820F57" w:rsidRPr="008029A9">
        <w:rPr>
          <w:rFonts w:cs="Arial"/>
          <w:lang w:val="de-DE"/>
        </w:rPr>
        <w:t>:</w:t>
      </w:r>
    </w:p>
    <w:p w:rsidR="008B1B3A" w:rsidRPr="008029A9" w:rsidRDefault="008B1B3A" w:rsidP="008B1B3A">
      <w:pPr>
        <w:ind w:left="1701" w:hanging="1134"/>
        <w:rPr>
          <w:rFonts w:cs="Arial"/>
          <w:lang w:val="de-DE"/>
        </w:rPr>
      </w:pPr>
    </w:p>
    <w:p w:rsidR="008B1B3A" w:rsidRPr="008029A9" w:rsidRDefault="008B1B3A" w:rsidP="008B1B3A">
      <w:pPr>
        <w:ind w:left="1701" w:hanging="1134"/>
        <w:rPr>
          <w:rFonts w:cs="Arial"/>
          <w:lang w:val="de-DE"/>
        </w:rPr>
      </w:pPr>
      <w:r w:rsidRPr="008029A9">
        <w:rPr>
          <w:rFonts w:cs="Arial"/>
          <w:lang w:val="de-DE"/>
        </w:rPr>
        <w:t>CAJ:</w:t>
      </w:r>
      <w:r w:rsidRPr="008029A9">
        <w:rPr>
          <w:rFonts w:cs="Arial"/>
          <w:lang w:val="de-DE"/>
        </w:rPr>
        <w:tab/>
      </w:r>
      <w:r w:rsidR="00010862" w:rsidRPr="008029A9">
        <w:rPr>
          <w:rFonts w:cs="Arial"/>
          <w:lang w:val="de-DE"/>
        </w:rPr>
        <w:t>Verwaltungs- und Rechtsausschuß</w:t>
      </w:r>
    </w:p>
    <w:p w:rsidR="003522A6" w:rsidRPr="008029A9" w:rsidRDefault="00136139" w:rsidP="008B1B3A">
      <w:pPr>
        <w:ind w:left="1701" w:hanging="1134"/>
        <w:rPr>
          <w:rFonts w:cs="Arial"/>
          <w:lang w:val="de-DE"/>
        </w:rPr>
      </w:pPr>
      <w:r w:rsidRPr="008029A9">
        <w:rPr>
          <w:rFonts w:cs="Arial"/>
          <w:lang w:val="de-DE"/>
        </w:rPr>
        <w:t>CAJ-AG</w:t>
      </w:r>
      <w:r w:rsidRPr="008029A9">
        <w:rPr>
          <w:rFonts w:cs="Arial"/>
          <w:lang w:val="de-DE"/>
        </w:rPr>
        <w:tab/>
      </w:r>
      <w:r w:rsidR="003522A6" w:rsidRPr="008029A9">
        <w:rPr>
          <w:rFonts w:cs="Arial"/>
          <w:lang w:val="de-DE"/>
        </w:rPr>
        <w:t>Beratungsgruppe des Verwaltungs- und Rechtsausschu</w:t>
      </w:r>
      <w:r w:rsidR="00505BA9" w:rsidRPr="008029A9">
        <w:rPr>
          <w:rFonts w:cs="Arial"/>
          <w:lang w:val="de-DE"/>
        </w:rPr>
        <w:t>sses</w:t>
      </w:r>
    </w:p>
    <w:p w:rsidR="008B1B3A" w:rsidRPr="008029A9" w:rsidRDefault="008B1B3A" w:rsidP="008B1B3A">
      <w:pPr>
        <w:ind w:left="1701" w:hanging="1134"/>
        <w:rPr>
          <w:rFonts w:cs="Arial"/>
          <w:lang w:val="de-DE"/>
        </w:rPr>
      </w:pPr>
      <w:r w:rsidRPr="008029A9">
        <w:rPr>
          <w:rFonts w:cs="Arial"/>
          <w:lang w:val="de-DE"/>
        </w:rPr>
        <w:t>TC:</w:t>
      </w:r>
      <w:r w:rsidRPr="008029A9">
        <w:rPr>
          <w:rFonts w:cs="Arial"/>
          <w:lang w:val="de-DE"/>
        </w:rPr>
        <w:tab/>
      </w:r>
      <w:r w:rsidR="00010862" w:rsidRPr="008029A9">
        <w:rPr>
          <w:rFonts w:cs="Arial"/>
          <w:lang w:val="de-DE"/>
        </w:rPr>
        <w:t>Technischer Ausschu</w:t>
      </w:r>
      <w:r w:rsidR="00505BA9" w:rsidRPr="008029A9">
        <w:rPr>
          <w:rFonts w:cs="Arial"/>
          <w:lang w:val="de-DE"/>
        </w:rPr>
        <w:t>ß</w:t>
      </w:r>
    </w:p>
    <w:p w:rsidR="008B1B3A" w:rsidRPr="008029A9" w:rsidRDefault="008B1B3A" w:rsidP="008B1B3A">
      <w:pPr>
        <w:tabs>
          <w:tab w:val="left" w:pos="567"/>
          <w:tab w:val="left" w:pos="1134"/>
          <w:tab w:val="left" w:pos="12333"/>
        </w:tabs>
        <w:rPr>
          <w:rFonts w:eastAsia="SimSun"/>
          <w:lang w:val="de-DE"/>
        </w:rPr>
      </w:pPr>
    </w:p>
    <w:p w:rsidR="00A74C61" w:rsidRPr="008029A9" w:rsidRDefault="00A74C61" w:rsidP="008B1B3A">
      <w:pPr>
        <w:keepNext/>
        <w:outlineLvl w:val="0"/>
        <w:rPr>
          <w:lang w:val="de-DE"/>
        </w:rPr>
      </w:pPr>
      <w:bookmarkStart w:id="3" w:name="_Toc418531190"/>
      <w:bookmarkEnd w:id="1"/>
    </w:p>
    <w:p w:rsidR="00820F57" w:rsidRPr="008029A9" w:rsidRDefault="00820F57" w:rsidP="00820F57">
      <w:pPr>
        <w:pStyle w:val="Heading1"/>
        <w:rPr>
          <w:lang w:val="de-DE"/>
        </w:rPr>
      </w:pPr>
      <w:bookmarkStart w:id="4" w:name="_Toc475530629"/>
      <w:r w:rsidRPr="008029A9">
        <w:rPr>
          <w:lang w:val="de-DE"/>
        </w:rPr>
        <w:t>HINTERGRUND</w:t>
      </w:r>
      <w:bookmarkEnd w:id="4"/>
    </w:p>
    <w:p w:rsidR="008B1B3A" w:rsidRPr="008029A9" w:rsidRDefault="008B1B3A" w:rsidP="008B1B3A">
      <w:pPr>
        <w:rPr>
          <w:lang w:val="de-DE"/>
        </w:rPr>
      </w:pPr>
    </w:p>
    <w:bookmarkStart w:id="5" w:name="_Toc440377316"/>
    <w:bookmarkEnd w:id="3"/>
    <w:p w:rsidR="00505BA9" w:rsidRPr="008029A9" w:rsidRDefault="008B1B3A" w:rsidP="00505BA9">
      <w:pPr>
        <w:rPr>
          <w:lang w:val="de-DE"/>
        </w:rPr>
      </w:pPr>
      <w:r w:rsidRPr="008029A9">
        <w:rPr>
          <w:rFonts w:cs="Arial"/>
          <w:lang w:val="de-DE"/>
        </w:rPr>
        <w:fldChar w:fldCharType="begin"/>
      </w:r>
      <w:r w:rsidRPr="008029A9">
        <w:rPr>
          <w:rFonts w:cs="Arial"/>
          <w:lang w:val="de-DE"/>
        </w:rPr>
        <w:instrText xml:space="preserve"> AUTONUM  </w:instrText>
      </w:r>
      <w:r w:rsidRPr="008029A9">
        <w:rPr>
          <w:rFonts w:cs="Arial"/>
          <w:lang w:val="de-DE"/>
        </w:rPr>
        <w:fldChar w:fldCharType="end"/>
      </w:r>
      <w:r w:rsidRPr="008029A9">
        <w:rPr>
          <w:rFonts w:cs="Arial"/>
          <w:lang w:val="de-DE"/>
        </w:rPr>
        <w:tab/>
      </w:r>
      <w:r w:rsidR="00505BA9" w:rsidRPr="008029A9">
        <w:rPr>
          <w:rFonts w:cs="Arial"/>
          <w:lang w:val="de-DE"/>
        </w:rPr>
        <w:t xml:space="preserve">Der </w:t>
      </w:r>
      <w:r w:rsidR="00505BA9" w:rsidRPr="008029A9">
        <w:rPr>
          <w:szCs w:val="24"/>
          <w:lang w:val="de-DE"/>
        </w:rPr>
        <w:t xml:space="preserve">Hintergrund zu dieser Angelegenheit ist in Dokument </w:t>
      </w:r>
      <w:r w:rsidR="00505BA9" w:rsidRPr="008029A9">
        <w:rPr>
          <w:lang w:val="de-DE"/>
        </w:rPr>
        <w:t>TC/53/22, „Angelegenheiten, die Sortenbeschreibungen betreffen“, dargelegt.</w:t>
      </w:r>
    </w:p>
    <w:p w:rsidR="00966446" w:rsidRPr="008029A9" w:rsidRDefault="00966446" w:rsidP="00505BA9">
      <w:pPr>
        <w:rPr>
          <w:lang w:val="de-DE"/>
        </w:rPr>
      </w:pPr>
    </w:p>
    <w:p w:rsidR="00966446" w:rsidRPr="008029A9" w:rsidRDefault="00966446" w:rsidP="00966446">
      <w:pPr>
        <w:rPr>
          <w:snapToGrid w:val="0"/>
          <w:lang w:val="de-DE"/>
        </w:rPr>
      </w:pPr>
      <w:r w:rsidRPr="008029A9">
        <w:rPr>
          <w:rFonts w:cs="Arial"/>
          <w:lang w:val="de-DE"/>
        </w:rPr>
        <w:fldChar w:fldCharType="begin"/>
      </w:r>
      <w:r w:rsidRPr="008029A9">
        <w:rPr>
          <w:rFonts w:cs="Arial"/>
          <w:lang w:val="de-DE"/>
        </w:rPr>
        <w:instrText xml:space="preserve"> AUTONUM  </w:instrText>
      </w:r>
      <w:r w:rsidRPr="008029A9">
        <w:rPr>
          <w:rFonts w:cs="Arial"/>
          <w:lang w:val="de-DE"/>
        </w:rPr>
        <w:fldChar w:fldCharType="end"/>
      </w:r>
      <w:r w:rsidRPr="008029A9">
        <w:rPr>
          <w:rFonts w:cs="Arial"/>
          <w:lang w:val="de-DE"/>
        </w:rPr>
        <w:tab/>
        <w:t xml:space="preserve">Der </w:t>
      </w:r>
      <w:r w:rsidRPr="008029A9">
        <w:rPr>
          <w:snapToGrid w:val="0"/>
          <w:lang w:val="de-DE"/>
        </w:rPr>
        <w:t>TC, prüfte auf seiner dreiundfünfzigsten Tagung vom 3. bis 5. April 201</w:t>
      </w:r>
      <w:r w:rsidR="00BA709C" w:rsidRPr="008029A9">
        <w:rPr>
          <w:snapToGrid w:val="0"/>
          <w:lang w:val="de-DE"/>
        </w:rPr>
        <w:t>7</w:t>
      </w:r>
      <w:r w:rsidRPr="008029A9">
        <w:rPr>
          <w:snapToGrid w:val="0"/>
          <w:lang w:val="de-DE"/>
        </w:rPr>
        <w:t xml:space="preserve"> in Genf das Dokument TC/53/22 (vergleiche Dokument TC/53/31, </w:t>
      </w:r>
      <w:r w:rsidR="00BA709C" w:rsidRPr="008029A9">
        <w:rPr>
          <w:snapToGrid w:val="0"/>
          <w:lang w:val="de-DE"/>
        </w:rPr>
        <w:t>„</w:t>
      </w:r>
      <w:r w:rsidRPr="008029A9">
        <w:rPr>
          <w:snapToGrid w:val="0"/>
          <w:lang w:val="de-DE"/>
        </w:rPr>
        <w:t>Bericht</w:t>
      </w:r>
      <w:r w:rsidR="00BA709C" w:rsidRPr="008029A9">
        <w:rPr>
          <w:snapToGrid w:val="0"/>
          <w:lang w:val="de-DE"/>
        </w:rPr>
        <w:t>“</w:t>
      </w:r>
      <w:r w:rsidRPr="008029A9">
        <w:rPr>
          <w:snapToGrid w:val="0"/>
          <w:lang w:val="de-DE"/>
        </w:rPr>
        <w:t>, Absätze 188 und 189).</w:t>
      </w:r>
    </w:p>
    <w:p w:rsidR="00A52CCA" w:rsidRPr="008029A9" w:rsidRDefault="00A52CCA" w:rsidP="008B1B3A">
      <w:pPr>
        <w:rPr>
          <w:lang w:val="de-DE"/>
        </w:rPr>
      </w:pPr>
    </w:p>
    <w:bookmarkEnd w:id="5"/>
    <w:p w:rsidR="00505BA9" w:rsidRPr="008029A9" w:rsidRDefault="00A52CCA" w:rsidP="00505BA9">
      <w:pPr>
        <w:rPr>
          <w:lang w:val="de-DE"/>
        </w:rPr>
      </w:pPr>
      <w:r w:rsidRPr="008029A9">
        <w:rPr>
          <w:lang w:val="de-DE"/>
        </w:rPr>
        <w:fldChar w:fldCharType="begin"/>
      </w:r>
      <w:r w:rsidRPr="008029A9">
        <w:rPr>
          <w:lang w:val="de-DE"/>
        </w:rPr>
        <w:instrText xml:space="preserve"> AUTONUM  </w:instrText>
      </w:r>
      <w:r w:rsidRPr="008029A9">
        <w:rPr>
          <w:lang w:val="de-DE"/>
        </w:rPr>
        <w:fldChar w:fldCharType="end"/>
      </w:r>
      <w:r w:rsidRPr="008029A9">
        <w:rPr>
          <w:lang w:val="de-DE"/>
        </w:rPr>
        <w:tab/>
      </w:r>
      <w:r w:rsidR="00505BA9" w:rsidRPr="008029A9">
        <w:rPr>
          <w:lang w:val="de-DE"/>
        </w:rPr>
        <w:t xml:space="preserve">Der TC soll prüfen, ob eine neue Anleitung </w:t>
      </w:r>
      <w:r w:rsidR="00505BA9" w:rsidRPr="008029A9">
        <w:rPr>
          <w:rFonts w:cs="Arial"/>
          <w:lang w:val="de-DE"/>
        </w:rPr>
        <w:t>zu</w:t>
      </w:r>
      <w:r w:rsidR="00505BA9" w:rsidRPr="008029A9">
        <w:rPr>
          <w:lang w:val="de-DE"/>
        </w:rPr>
        <w:t>r Rolle der Sortenbeschreibung</w:t>
      </w:r>
      <w:r w:rsidR="00886B33" w:rsidRPr="008029A9">
        <w:rPr>
          <w:lang w:val="de-DE"/>
        </w:rPr>
        <w:t xml:space="preserve"> </w:t>
      </w:r>
      <w:r w:rsidR="00505BA9" w:rsidRPr="008029A9">
        <w:rPr>
          <w:snapToGrid w:val="0"/>
          <w:lang w:val="de-DE"/>
        </w:rPr>
        <w:t>und des Pflanzenmaterials</w:t>
      </w:r>
      <w:r w:rsidR="00505BA9" w:rsidRPr="008029A9">
        <w:rPr>
          <w:lang w:val="de-DE"/>
        </w:rPr>
        <w:t xml:space="preserve"> </w:t>
      </w:r>
      <w:r w:rsidR="00886B33" w:rsidRPr="008029A9">
        <w:rPr>
          <w:lang w:val="de-DE"/>
        </w:rPr>
        <w:t>ausgearbeitet werden sollte, unter Berücksichtigung a) des Zwecks der zum Zeitpunkt der Erteilung des Züchterrechts erstellten Sortenbeschreibung, b) de</w:t>
      </w:r>
      <w:r w:rsidR="00BA709C" w:rsidRPr="008029A9">
        <w:rPr>
          <w:lang w:val="de-DE"/>
        </w:rPr>
        <w:t>s</w:t>
      </w:r>
      <w:r w:rsidR="00886B33" w:rsidRPr="008029A9">
        <w:rPr>
          <w:lang w:val="de-DE"/>
        </w:rPr>
        <w:t xml:space="preserve"> Status der ursprünglichen Sortenbeschreibung in </w:t>
      </w:r>
      <w:r w:rsidR="008B6E25" w:rsidRPr="008029A9">
        <w:rPr>
          <w:lang w:val="de-DE"/>
        </w:rPr>
        <w:t>b</w:t>
      </w:r>
      <w:r w:rsidR="00886B33" w:rsidRPr="008029A9">
        <w:rPr>
          <w:lang w:val="de-DE"/>
        </w:rPr>
        <w:t>ezug auf die Überprüfung der Übereinstimmung von Pflanzenmaterial mit einer geschützten Sorte zum Zwecke der Wahrung der Züchterrechte</w:t>
      </w:r>
      <w:r w:rsidR="00B71817" w:rsidRPr="008029A9">
        <w:rPr>
          <w:lang w:val="de-DE"/>
        </w:rPr>
        <w:t>,</w:t>
      </w:r>
      <w:r w:rsidR="00886B33" w:rsidRPr="008029A9">
        <w:rPr>
          <w:lang w:val="de-DE"/>
        </w:rPr>
        <w:t xml:space="preserve"> und c) d</w:t>
      </w:r>
      <w:r w:rsidR="00B71817" w:rsidRPr="008029A9">
        <w:rPr>
          <w:lang w:val="de-DE"/>
        </w:rPr>
        <w:t>er</w:t>
      </w:r>
      <w:r w:rsidR="00886B33" w:rsidRPr="008029A9">
        <w:rPr>
          <w:lang w:val="de-DE"/>
        </w:rPr>
        <w:t xml:space="preserve"> folgenden Schlußfolgerungen des Sachverständigen aus der Europäischen Union in Dokument TWV/50/14 Add., Anlage II, Folie 19:</w:t>
      </w:r>
    </w:p>
    <w:p w:rsidR="00505BA9" w:rsidRPr="008029A9" w:rsidRDefault="00505BA9" w:rsidP="00505BA9">
      <w:pPr>
        <w:rPr>
          <w:lang w:val="de-DE"/>
        </w:rPr>
      </w:pPr>
    </w:p>
    <w:p w:rsidR="00505BA9" w:rsidRPr="008029A9" w:rsidRDefault="00505BA9" w:rsidP="00B71817">
      <w:pPr>
        <w:pStyle w:val="ListParagraph"/>
        <w:numPr>
          <w:ilvl w:val="0"/>
          <w:numId w:val="2"/>
        </w:numPr>
        <w:spacing w:after="0" w:line="240" w:lineRule="auto"/>
        <w:ind w:left="1134" w:hanging="567"/>
        <w:rPr>
          <w:rFonts w:ascii="Arial" w:hAnsi="Arial" w:cs="Arial"/>
          <w:sz w:val="20"/>
          <w:lang w:val="de-DE"/>
        </w:rPr>
      </w:pPr>
      <w:r w:rsidRPr="008029A9">
        <w:rPr>
          <w:rFonts w:ascii="Arial" w:hAnsi="Arial" w:cs="Arial"/>
          <w:sz w:val="20"/>
          <w:lang w:val="de-DE"/>
        </w:rPr>
        <w:t>Noten von ähnlichen Sorten sollen aus der gleichen Anbauprüfung wie die der Kandidatensorte stammen</w:t>
      </w:r>
    </w:p>
    <w:p w:rsidR="00505BA9" w:rsidRPr="008029A9" w:rsidRDefault="00505BA9" w:rsidP="00B71817">
      <w:pPr>
        <w:pStyle w:val="ListParagraph"/>
        <w:numPr>
          <w:ilvl w:val="0"/>
          <w:numId w:val="2"/>
        </w:numPr>
        <w:spacing w:after="0" w:line="240" w:lineRule="auto"/>
        <w:ind w:left="1134" w:hanging="567"/>
        <w:rPr>
          <w:rFonts w:ascii="Arial" w:hAnsi="Arial" w:cs="Arial"/>
          <w:sz w:val="20"/>
          <w:lang w:val="de-DE"/>
        </w:rPr>
      </w:pPr>
      <w:r w:rsidRPr="008029A9">
        <w:rPr>
          <w:rFonts w:ascii="Arial" w:hAnsi="Arial" w:cs="Arial"/>
          <w:sz w:val="20"/>
          <w:lang w:val="de-DE"/>
        </w:rPr>
        <w:t>Die betroffenen Parteien sollten über Änderungen der offiziellen VD (</w:t>
      </w:r>
      <w:r w:rsidR="00966446" w:rsidRPr="008029A9">
        <w:rPr>
          <w:rFonts w:ascii="Arial" w:hAnsi="Arial" w:cs="Arial"/>
          <w:sz w:val="20"/>
          <w:u w:val="single"/>
          <w:lang w:val="de-DE"/>
        </w:rPr>
        <w:t>V</w:t>
      </w:r>
      <w:r w:rsidR="00966446" w:rsidRPr="008029A9">
        <w:rPr>
          <w:rFonts w:ascii="Arial" w:hAnsi="Arial" w:cs="Arial"/>
          <w:sz w:val="20"/>
          <w:lang w:val="de-DE"/>
        </w:rPr>
        <w:t xml:space="preserve">ariety </w:t>
      </w:r>
      <w:r w:rsidR="00966446" w:rsidRPr="008029A9">
        <w:rPr>
          <w:rFonts w:ascii="Arial" w:hAnsi="Arial" w:cs="Arial"/>
          <w:sz w:val="20"/>
          <w:u w:val="single"/>
          <w:lang w:val="de-DE"/>
        </w:rPr>
        <w:t>D</w:t>
      </w:r>
      <w:r w:rsidR="00966446" w:rsidRPr="008029A9">
        <w:rPr>
          <w:rFonts w:ascii="Arial" w:hAnsi="Arial" w:cs="Arial"/>
          <w:sz w:val="20"/>
          <w:lang w:val="de-DE"/>
        </w:rPr>
        <w:t xml:space="preserve">escription, </w:t>
      </w:r>
      <w:r w:rsidRPr="008029A9">
        <w:rPr>
          <w:rFonts w:ascii="Arial" w:hAnsi="Arial" w:cs="Arial"/>
          <w:sz w:val="20"/>
          <w:lang w:val="de-DE"/>
        </w:rPr>
        <w:t>Sortenbeschreibung) benachrichtigt werden</w:t>
      </w:r>
    </w:p>
    <w:p w:rsidR="00505BA9" w:rsidRPr="008029A9" w:rsidRDefault="00505BA9" w:rsidP="00B71817">
      <w:pPr>
        <w:pStyle w:val="ListParagraph"/>
        <w:numPr>
          <w:ilvl w:val="0"/>
          <w:numId w:val="2"/>
        </w:numPr>
        <w:spacing w:after="0" w:line="240" w:lineRule="auto"/>
        <w:ind w:left="1134" w:hanging="567"/>
        <w:jc w:val="both"/>
        <w:rPr>
          <w:rFonts w:ascii="Arial" w:hAnsi="Arial" w:cs="Arial"/>
          <w:sz w:val="20"/>
          <w:lang w:val="de-DE"/>
        </w:rPr>
      </w:pPr>
      <w:r w:rsidRPr="008029A9">
        <w:rPr>
          <w:rFonts w:ascii="Arial" w:hAnsi="Arial" w:cs="Arial"/>
          <w:sz w:val="20"/>
          <w:lang w:val="de-DE"/>
        </w:rPr>
        <w:t>Vereinbarung bezüglich eingereichter Daten zu</w:t>
      </w:r>
      <w:r w:rsidR="00AA6C48" w:rsidRPr="008029A9">
        <w:rPr>
          <w:rFonts w:ascii="Arial" w:hAnsi="Arial" w:cs="Arial"/>
          <w:sz w:val="20"/>
          <w:lang w:val="de-DE"/>
        </w:rPr>
        <w:t>r gemeinsamen Nutzung von</w:t>
      </w:r>
      <w:r w:rsidRPr="008029A9">
        <w:rPr>
          <w:rFonts w:ascii="Arial" w:hAnsi="Arial" w:cs="Arial"/>
          <w:sz w:val="20"/>
          <w:lang w:val="de-DE"/>
        </w:rPr>
        <w:t xml:space="preserve"> Datenbanken</w:t>
      </w:r>
    </w:p>
    <w:p w:rsidR="00A52CCA" w:rsidRPr="008029A9" w:rsidRDefault="00A52CCA" w:rsidP="00A52CCA">
      <w:pPr>
        <w:rPr>
          <w:rFonts w:cs="Arial"/>
          <w:lang w:val="de-DE"/>
        </w:rPr>
      </w:pPr>
    </w:p>
    <w:p w:rsidR="00A52CCA" w:rsidRPr="008029A9" w:rsidRDefault="00A52CCA" w:rsidP="00A52CCA">
      <w:pPr>
        <w:rPr>
          <w:lang w:val="de-DE"/>
        </w:rPr>
      </w:pPr>
      <w:r w:rsidRPr="008029A9">
        <w:rPr>
          <w:lang w:val="de-DE"/>
        </w:rPr>
        <w:fldChar w:fldCharType="begin"/>
      </w:r>
      <w:r w:rsidRPr="008029A9">
        <w:rPr>
          <w:lang w:val="de-DE"/>
        </w:rPr>
        <w:instrText xml:space="preserve"> AUTONUM  </w:instrText>
      </w:r>
      <w:r w:rsidRPr="008029A9">
        <w:rPr>
          <w:lang w:val="de-DE"/>
        </w:rPr>
        <w:fldChar w:fldCharType="end"/>
      </w:r>
      <w:r w:rsidRPr="008029A9">
        <w:rPr>
          <w:lang w:val="de-DE"/>
        </w:rPr>
        <w:tab/>
      </w:r>
      <w:r w:rsidR="00A77710" w:rsidRPr="008029A9">
        <w:rPr>
          <w:lang w:val="de-DE"/>
        </w:rPr>
        <w:t xml:space="preserve">Der TC nahm das Bestehen unterschiedlicher Elemente zur Kenntnis, die die Identifizierung von Pflanzenmaterial, wie beispielsweise die ursprüngliche und andere offizielle Sortenbeschreibungen, einschließlich molekularen Marker, unterstützen. Der TC </w:t>
      </w:r>
      <w:r w:rsidR="00A77710" w:rsidRPr="008029A9">
        <w:rPr>
          <w:rFonts w:cs="Arial"/>
          <w:lang w:val="de-DE"/>
        </w:rPr>
        <w:t xml:space="preserve">vereinbarte, die </w:t>
      </w:r>
      <w:r w:rsidR="00A77710" w:rsidRPr="008029A9">
        <w:rPr>
          <w:rFonts w:eastAsia="SimSun"/>
          <w:lang w:val="de-DE"/>
        </w:rPr>
        <w:t xml:space="preserve">Europäische Union zu ersuchen, eine weitere Anleitung </w:t>
      </w:r>
      <w:r w:rsidR="00A77710" w:rsidRPr="008029A9">
        <w:rPr>
          <w:lang w:val="de-DE"/>
        </w:rPr>
        <w:t xml:space="preserve">zur Rolle der Sortenbeschreibung und </w:t>
      </w:r>
      <w:r w:rsidR="00B71817" w:rsidRPr="008029A9">
        <w:rPr>
          <w:lang w:val="de-DE"/>
        </w:rPr>
        <w:t>des</w:t>
      </w:r>
      <w:r w:rsidR="00A77710" w:rsidRPr="008029A9">
        <w:rPr>
          <w:lang w:val="de-DE"/>
        </w:rPr>
        <w:t xml:space="preserve"> Pflanzenmaterial</w:t>
      </w:r>
      <w:r w:rsidR="00B71817" w:rsidRPr="008029A9">
        <w:rPr>
          <w:lang w:val="de-DE"/>
        </w:rPr>
        <w:t>s</w:t>
      </w:r>
      <w:r w:rsidR="00A77710" w:rsidRPr="008029A9">
        <w:rPr>
          <w:lang w:val="de-DE"/>
        </w:rPr>
        <w:t xml:space="preserve">, das als Grundlage für die DUS-Prüfung verwendet wird, auszuarbeiten, dabei aber den unveränderten Wortlaut von Dokument TC/53/22, Anlage, </w:t>
      </w:r>
      <w:r w:rsidR="00C70123" w:rsidRPr="008029A9">
        <w:rPr>
          <w:lang w:val="de-DE"/>
        </w:rPr>
        <w:t xml:space="preserve">darin </w:t>
      </w:r>
      <w:r w:rsidR="00A77710" w:rsidRPr="008029A9">
        <w:rPr>
          <w:lang w:val="de-DE"/>
        </w:rPr>
        <w:t xml:space="preserve">aufzunehmen und </w:t>
      </w:r>
      <w:r w:rsidR="00C70123" w:rsidRPr="008029A9">
        <w:rPr>
          <w:lang w:val="de-DE"/>
        </w:rPr>
        <w:t>auch</w:t>
      </w:r>
      <w:r w:rsidR="00A77710" w:rsidRPr="008029A9">
        <w:rPr>
          <w:lang w:val="de-DE"/>
        </w:rPr>
        <w:t xml:space="preserve"> folgende Aspekte zu berücksichtigen</w:t>
      </w:r>
      <w:r w:rsidRPr="008029A9">
        <w:rPr>
          <w:lang w:val="de-DE"/>
        </w:rPr>
        <w:t>:</w:t>
      </w:r>
    </w:p>
    <w:p w:rsidR="005361CB" w:rsidRPr="008029A9" w:rsidRDefault="005361CB" w:rsidP="00A52CCA">
      <w:pPr>
        <w:rPr>
          <w:lang w:val="de-DE"/>
        </w:rPr>
      </w:pPr>
    </w:p>
    <w:p w:rsidR="005361CB" w:rsidRPr="008029A9" w:rsidRDefault="005361CB">
      <w:pPr>
        <w:jc w:val="left"/>
        <w:rPr>
          <w:lang w:val="de-DE"/>
        </w:rPr>
      </w:pPr>
      <w:r w:rsidRPr="008029A9">
        <w:rPr>
          <w:lang w:val="de-DE"/>
        </w:rPr>
        <w:br w:type="page"/>
      </w:r>
    </w:p>
    <w:p w:rsidR="008408E3" w:rsidRPr="008029A9" w:rsidRDefault="008408E3" w:rsidP="008408E3">
      <w:pPr>
        <w:tabs>
          <w:tab w:val="left" w:pos="1134"/>
        </w:tabs>
        <w:ind w:left="1134" w:hanging="567"/>
        <w:rPr>
          <w:lang w:val="de-DE"/>
        </w:rPr>
      </w:pPr>
      <w:r w:rsidRPr="008029A9">
        <w:rPr>
          <w:lang w:val="de-DE"/>
        </w:rPr>
        <w:lastRenderedPageBreak/>
        <w:t>a)</w:t>
      </w:r>
      <w:r w:rsidRPr="008029A9">
        <w:rPr>
          <w:lang w:val="de-DE"/>
        </w:rPr>
        <w:tab/>
        <w:t>den Zweck der zum Zeitpunkt der Erteilung des Züchterrechts</w:t>
      </w:r>
      <w:r w:rsidR="00C70123" w:rsidRPr="008029A9">
        <w:rPr>
          <w:lang w:val="de-DE"/>
        </w:rPr>
        <w:t xml:space="preserve"> erstellten Sortenbeschreibung;</w:t>
      </w:r>
    </w:p>
    <w:p w:rsidR="008408E3" w:rsidRPr="008029A9" w:rsidRDefault="008408E3" w:rsidP="008408E3">
      <w:pPr>
        <w:tabs>
          <w:tab w:val="left" w:pos="1134"/>
        </w:tabs>
        <w:ind w:left="1134" w:hanging="567"/>
        <w:rPr>
          <w:lang w:val="de-DE"/>
        </w:rPr>
      </w:pPr>
      <w:r w:rsidRPr="008029A9">
        <w:rPr>
          <w:lang w:val="de-DE"/>
        </w:rPr>
        <w:t>b)</w:t>
      </w:r>
      <w:r w:rsidRPr="008029A9">
        <w:rPr>
          <w:lang w:val="de-DE"/>
        </w:rPr>
        <w:tab/>
        <w:t xml:space="preserve">den Status der ursprünglichen Sortenbeschreibung in </w:t>
      </w:r>
      <w:r w:rsidR="008B6E25" w:rsidRPr="008029A9">
        <w:rPr>
          <w:lang w:val="de-DE"/>
        </w:rPr>
        <w:t>b</w:t>
      </w:r>
      <w:r w:rsidRPr="008029A9">
        <w:rPr>
          <w:lang w:val="de-DE"/>
        </w:rPr>
        <w:t>ezug auf die Überprüfung der Übereinstimmung von Pflanzenmaterial mit einer geschützten Sorte zum Zwecke der Wahrung der Züchterre</w:t>
      </w:r>
      <w:r w:rsidR="00C70123" w:rsidRPr="008029A9">
        <w:rPr>
          <w:lang w:val="de-DE"/>
        </w:rPr>
        <w:t>chte, und</w:t>
      </w:r>
    </w:p>
    <w:p w:rsidR="008408E3" w:rsidRPr="008029A9" w:rsidRDefault="008408E3" w:rsidP="008408E3">
      <w:pPr>
        <w:tabs>
          <w:tab w:val="left" w:pos="1134"/>
        </w:tabs>
        <w:ind w:left="1134" w:hanging="567"/>
        <w:rPr>
          <w:rFonts w:cs="Arial"/>
          <w:lang w:val="de-DE"/>
        </w:rPr>
      </w:pPr>
      <w:r w:rsidRPr="008029A9">
        <w:rPr>
          <w:lang w:val="de-DE"/>
        </w:rPr>
        <w:t>c)</w:t>
      </w:r>
      <w:r w:rsidRPr="008029A9">
        <w:rPr>
          <w:lang w:val="de-DE"/>
        </w:rPr>
        <w:tab/>
        <w:t>folgende Schlußfolgerungen des Sachverständigen aus der Europäischen Union in Dokument TWV/50/14 Add., Anlage II, Folie 19:</w:t>
      </w:r>
    </w:p>
    <w:p w:rsidR="008408E3" w:rsidRPr="008029A9" w:rsidRDefault="008408E3" w:rsidP="008408E3">
      <w:pPr>
        <w:pStyle w:val="ListParagraph"/>
        <w:numPr>
          <w:ilvl w:val="0"/>
          <w:numId w:val="2"/>
        </w:numPr>
        <w:ind w:left="1287"/>
        <w:rPr>
          <w:rFonts w:ascii="Arial" w:hAnsi="Arial" w:cs="Arial"/>
          <w:sz w:val="20"/>
          <w:lang w:val="de-DE"/>
        </w:rPr>
      </w:pPr>
      <w:r w:rsidRPr="008029A9">
        <w:rPr>
          <w:rFonts w:ascii="Arial" w:hAnsi="Arial" w:cs="Arial"/>
          <w:sz w:val="20"/>
          <w:lang w:val="de-DE"/>
        </w:rPr>
        <w:t>Noten von ähnlichen Sorten sollen aus der gleichen Anbauprüfung wie die der Kandidatensorte stammen</w:t>
      </w:r>
    </w:p>
    <w:p w:rsidR="008408E3" w:rsidRPr="008029A9" w:rsidRDefault="008408E3" w:rsidP="008408E3">
      <w:pPr>
        <w:pStyle w:val="ListParagraph"/>
        <w:numPr>
          <w:ilvl w:val="0"/>
          <w:numId w:val="2"/>
        </w:numPr>
        <w:ind w:left="1287"/>
        <w:rPr>
          <w:rFonts w:ascii="Arial" w:hAnsi="Arial" w:cs="Arial"/>
          <w:sz w:val="20"/>
          <w:lang w:val="de-DE"/>
        </w:rPr>
      </w:pPr>
      <w:r w:rsidRPr="008029A9">
        <w:rPr>
          <w:rFonts w:ascii="Arial" w:hAnsi="Arial" w:cs="Arial"/>
          <w:sz w:val="20"/>
          <w:lang w:val="de-DE"/>
        </w:rPr>
        <w:t>Die betroffenen Parteien sollten über Änderungen der offiziellen VD (</w:t>
      </w:r>
      <w:r w:rsidR="00C70123" w:rsidRPr="008029A9">
        <w:rPr>
          <w:rFonts w:ascii="Arial" w:hAnsi="Arial" w:cs="Arial"/>
          <w:sz w:val="20"/>
          <w:u w:val="single"/>
          <w:lang w:val="de-DE"/>
        </w:rPr>
        <w:t>V</w:t>
      </w:r>
      <w:r w:rsidR="00C70123" w:rsidRPr="008029A9">
        <w:rPr>
          <w:rFonts w:ascii="Arial" w:hAnsi="Arial" w:cs="Arial"/>
          <w:sz w:val="20"/>
          <w:lang w:val="de-DE"/>
        </w:rPr>
        <w:t xml:space="preserve">ariety </w:t>
      </w:r>
      <w:r w:rsidR="00C70123" w:rsidRPr="008029A9">
        <w:rPr>
          <w:rFonts w:ascii="Arial" w:hAnsi="Arial" w:cs="Arial"/>
          <w:sz w:val="20"/>
          <w:u w:val="single"/>
          <w:lang w:val="de-DE"/>
        </w:rPr>
        <w:t>D</w:t>
      </w:r>
      <w:r w:rsidR="00C70123" w:rsidRPr="008029A9">
        <w:rPr>
          <w:rFonts w:ascii="Arial" w:hAnsi="Arial" w:cs="Arial"/>
          <w:sz w:val="20"/>
          <w:lang w:val="de-DE"/>
        </w:rPr>
        <w:t xml:space="preserve">escription, </w:t>
      </w:r>
      <w:r w:rsidRPr="008029A9">
        <w:rPr>
          <w:rFonts w:ascii="Arial" w:hAnsi="Arial" w:cs="Arial"/>
          <w:sz w:val="20"/>
          <w:lang w:val="de-DE"/>
        </w:rPr>
        <w:t>Sortenbeschreibung) benachrichtigt werden</w:t>
      </w:r>
    </w:p>
    <w:p w:rsidR="008408E3" w:rsidRPr="008029A9" w:rsidRDefault="008408E3" w:rsidP="008408E3">
      <w:pPr>
        <w:pStyle w:val="ListParagraph"/>
        <w:numPr>
          <w:ilvl w:val="0"/>
          <w:numId w:val="2"/>
        </w:numPr>
        <w:spacing w:after="0" w:line="240" w:lineRule="auto"/>
        <w:ind w:left="1287"/>
        <w:jc w:val="both"/>
        <w:rPr>
          <w:rFonts w:ascii="Arial" w:hAnsi="Arial" w:cs="Arial"/>
          <w:sz w:val="20"/>
          <w:lang w:val="de-DE"/>
        </w:rPr>
      </w:pPr>
      <w:r w:rsidRPr="008029A9">
        <w:rPr>
          <w:rFonts w:ascii="Arial" w:hAnsi="Arial" w:cs="Arial"/>
          <w:sz w:val="20"/>
          <w:lang w:val="de-DE"/>
        </w:rPr>
        <w:t xml:space="preserve">Vereinbarung bezüglich eingereichter Daten </w:t>
      </w:r>
      <w:r w:rsidR="00AA6C48" w:rsidRPr="008029A9">
        <w:rPr>
          <w:rFonts w:ascii="Arial" w:hAnsi="Arial" w:cs="Arial"/>
          <w:sz w:val="20"/>
          <w:lang w:val="de-DE"/>
        </w:rPr>
        <w:t xml:space="preserve">zur gemeinsamen Nutzung </w:t>
      </w:r>
      <w:r w:rsidRPr="008029A9">
        <w:rPr>
          <w:rFonts w:ascii="Arial" w:hAnsi="Arial" w:cs="Arial"/>
          <w:sz w:val="20"/>
          <w:lang w:val="de-DE"/>
        </w:rPr>
        <w:t>von Datenbanken</w:t>
      </w:r>
    </w:p>
    <w:p w:rsidR="00A52CCA" w:rsidRPr="008029A9" w:rsidRDefault="00A52CCA" w:rsidP="008B1B3A">
      <w:pPr>
        <w:rPr>
          <w:rFonts w:cs="Arial"/>
          <w:lang w:val="de-DE"/>
        </w:rPr>
      </w:pPr>
    </w:p>
    <w:p w:rsidR="0016023C" w:rsidRPr="008029A9" w:rsidRDefault="00B20584" w:rsidP="008B1B3A">
      <w:pPr>
        <w:rPr>
          <w:caps/>
          <w:lang w:val="de-DE"/>
        </w:rPr>
      </w:pPr>
      <w:r w:rsidRPr="008029A9">
        <w:rPr>
          <w:caps/>
          <w:lang w:val="de-DE"/>
        </w:rPr>
        <w:t>Vorschlag</w:t>
      </w:r>
    </w:p>
    <w:p w:rsidR="00B20584" w:rsidRPr="008029A9" w:rsidRDefault="00B20584" w:rsidP="008B1B3A">
      <w:pPr>
        <w:rPr>
          <w:rFonts w:cs="Arial"/>
          <w:lang w:val="de-DE"/>
        </w:rPr>
      </w:pPr>
    </w:p>
    <w:p w:rsidR="00136139" w:rsidRPr="002D2896" w:rsidRDefault="00136139" w:rsidP="008B1B3A">
      <w:pPr>
        <w:rPr>
          <w:rFonts w:cs="Arial"/>
          <w:lang w:val="de-DE"/>
        </w:rPr>
      </w:pPr>
      <w:r w:rsidRPr="008029A9">
        <w:rPr>
          <w:lang w:val="de-DE"/>
        </w:rPr>
        <w:fldChar w:fldCharType="begin"/>
      </w:r>
      <w:r w:rsidRPr="008029A9">
        <w:rPr>
          <w:lang w:val="de-DE"/>
        </w:rPr>
        <w:instrText xml:space="preserve"> AUTONUM  </w:instrText>
      </w:r>
      <w:r w:rsidRPr="008029A9">
        <w:rPr>
          <w:lang w:val="de-DE"/>
        </w:rPr>
        <w:fldChar w:fldCharType="end"/>
      </w:r>
      <w:r w:rsidRPr="008029A9">
        <w:rPr>
          <w:lang w:val="de-DE"/>
        </w:rPr>
        <w:tab/>
      </w:r>
      <w:r w:rsidR="008408E3" w:rsidRPr="008029A9">
        <w:rPr>
          <w:lang w:val="de-DE"/>
        </w:rPr>
        <w:t xml:space="preserve">Die Europäische Union </w:t>
      </w:r>
      <w:r w:rsidR="008B6E25" w:rsidRPr="008029A9">
        <w:rPr>
          <w:lang w:val="de-DE"/>
        </w:rPr>
        <w:t>stellte</w:t>
      </w:r>
      <w:r w:rsidR="008408E3" w:rsidRPr="008029A9">
        <w:rPr>
          <w:lang w:val="de-DE"/>
        </w:rPr>
        <w:t xml:space="preserve"> als </w:t>
      </w:r>
      <w:r w:rsidR="008B6E25" w:rsidRPr="008029A9">
        <w:rPr>
          <w:lang w:val="de-DE"/>
        </w:rPr>
        <w:t>Reaktion</w:t>
      </w:r>
      <w:r w:rsidR="008408E3" w:rsidRPr="008029A9">
        <w:rPr>
          <w:lang w:val="de-DE"/>
        </w:rPr>
        <w:t xml:space="preserve"> auf das Ersuchen des TC einen </w:t>
      </w:r>
      <w:r w:rsidR="008B6E25" w:rsidRPr="008029A9">
        <w:rPr>
          <w:lang w:val="de-DE"/>
        </w:rPr>
        <w:t>Entwurf</w:t>
      </w:r>
      <w:r w:rsidR="008408E3" w:rsidRPr="008029A9">
        <w:rPr>
          <w:lang w:val="de-DE"/>
        </w:rPr>
        <w:t xml:space="preserve"> einer Anleitung zum Zweck</w:t>
      </w:r>
      <w:r w:rsidR="00C70123" w:rsidRPr="008029A9">
        <w:rPr>
          <w:lang w:val="de-DE"/>
        </w:rPr>
        <w:t>e</w:t>
      </w:r>
      <w:r w:rsidR="008408E3" w:rsidRPr="008029A9">
        <w:rPr>
          <w:lang w:val="de-DE"/>
        </w:rPr>
        <w:t xml:space="preserve"> der zum Zeitpunkt der Erteilung des Züchterrechts erstellten Sortenbeschreibung u</w:t>
      </w:r>
      <w:r w:rsidR="0016023C" w:rsidRPr="008029A9">
        <w:rPr>
          <w:lang w:val="de-DE"/>
        </w:rPr>
        <w:t xml:space="preserve">nd </w:t>
      </w:r>
      <w:r w:rsidR="008408E3" w:rsidRPr="008029A9">
        <w:rPr>
          <w:lang w:val="de-DE"/>
        </w:rPr>
        <w:t xml:space="preserve">zum Status der ursprünglichen Sortenbeschreibung in </w:t>
      </w:r>
      <w:r w:rsidR="008B6E25" w:rsidRPr="008029A9">
        <w:rPr>
          <w:lang w:val="de-DE"/>
        </w:rPr>
        <w:t>b</w:t>
      </w:r>
      <w:r w:rsidR="008408E3" w:rsidRPr="008029A9">
        <w:rPr>
          <w:lang w:val="de-DE"/>
        </w:rPr>
        <w:t>ezug auf die Überprüfung der Übereinstimmung von Pflanzenmaterial mit einer geschützten Sorte zum Zwecke der Wahrung der Züchterrechte</w:t>
      </w:r>
      <w:r w:rsidR="0016023C" w:rsidRPr="008029A9">
        <w:rPr>
          <w:lang w:val="de-DE"/>
        </w:rPr>
        <w:t xml:space="preserve">, in </w:t>
      </w:r>
      <w:r w:rsidR="008408E3" w:rsidRPr="002D2896">
        <w:rPr>
          <w:lang w:val="de-DE"/>
        </w:rPr>
        <w:t>der</w:t>
      </w:r>
      <w:r w:rsidR="0016023C" w:rsidRPr="002D2896">
        <w:rPr>
          <w:lang w:val="de-DE"/>
        </w:rPr>
        <w:t xml:space="preserve"> An</w:t>
      </w:r>
      <w:r w:rsidR="008408E3" w:rsidRPr="002D2896">
        <w:rPr>
          <w:lang w:val="de-DE"/>
        </w:rPr>
        <w:t>lage</w:t>
      </w:r>
      <w:r w:rsidR="0016023C" w:rsidRPr="002D2896">
        <w:rPr>
          <w:lang w:val="de-DE"/>
        </w:rPr>
        <w:t xml:space="preserve"> </w:t>
      </w:r>
      <w:r w:rsidR="008408E3" w:rsidRPr="002D2896">
        <w:rPr>
          <w:lang w:val="de-DE"/>
        </w:rPr>
        <w:t>dieses Dokuments bereit</w:t>
      </w:r>
      <w:r w:rsidR="0016023C" w:rsidRPr="002D2896">
        <w:rPr>
          <w:lang w:val="de-DE"/>
        </w:rPr>
        <w:t>.</w:t>
      </w:r>
    </w:p>
    <w:p w:rsidR="00136139" w:rsidRPr="002D2896" w:rsidRDefault="00136139" w:rsidP="008B1B3A">
      <w:pPr>
        <w:rPr>
          <w:rFonts w:cs="Arial"/>
          <w:lang w:val="de-DE"/>
        </w:rPr>
      </w:pPr>
    </w:p>
    <w:p w:rsidR="007C74A2" w:rsidRPr="008029A9" w:rsidRDefault="00DD01BD" w:rsidP="00DD01BD">
      <w:pPr>
        <w:rPr>
          <w:rFonts w:cs="Arial"/>
          <w:lang w:val="de-DE"/>
        </w:rPr>
      </w:pPr>
      <w:r w:rsidRPr="002D2896">
        <w:rPr>
          <w:rFonts w:cs="Arial"/>
          <w:lang w:val="de-DE"/>
        </w:rPr>
        <w:fldChar w:fldCharType="begin"/>
      </w:r>
      <w:r w:rsidRPr="002D2896">
        <w:rPr>
          <w:rFonts w:cs="Arial"/>
          <w:lang w:val="de-DE"/>
        </w:rPr>
        <w:instrText xml:space="preserve"> AUTONUM  </w:instrText>
      </w:r>
      <w:r w:rsidRPr="002D2896">
        <w:rPr>
          <w:rFonts w:cs="Arial"/>
          <w:lang w:val="de-DE"/>
        </w:rPr>
        <w:fldChar w:fldCharType="end"/>
      </w:r>
      <w:r w:rsidRPr="002D2896">
        <w:rPr>
          <w:rFonts w:cs="Arial"/>
          <w:lang w:val="de-DE"/>
        </w:rPr>
        <w:tab/>
      </w:r>
      <w:r w:rsidR="008408E3" w:rsidRPr="002D2896">
        <w:rPr>
          <w:rFonts w:cs="Arial"/>
          <w:lang w:val="de-DE"/>
        </w:rPr>
        <w:t xml:space="preserve">Es wird </w:t>
      </w:r>
      <w:r w:rsidR="008B6E25" w:rsidRPr="002D2896">
        <w:rPr>
          <w:rFonts w:cs="Arial"/>
          <w:lang w:val="de-DE"/>
        </w:rPr>
        <w:t>vorgeschlagen</w:t>
      </w:r>
      <w:r w:rsidR="008408E3" w:rsidRPr="002D2896">
        <w:rPr>
          <w:rFonts w:cs="Arial"/>
          <w:lang w:val="de-DE"/>
        </w:rPr>
        <w:t xml:space="preserve">, </w:t>
      </w:r>
      <w:r w:rsidR="008B6E25" w:rsidRPr="002D2896">
        <w:rPr>
          <w:rFonts w:cs="Arial"/>
          <w:lang w:val="de-DE"/>
        </w:rPr>
        <w:t>daß</w:t>
      </w:r>
      <w:r w:rsidR="008408E3" w:rsidRPr="002D2896">
        <w:rPr>
          <w:rFonts w:cs="Arial"/>
          <w:lang w:val="de-DE"/>
        </w:rPr>
        <w:t xml:space="preserve"> der TC den Entwurf einer Anleitung in der </w:t>
      </w:r>
      <w:r w:rsidRPr="002D2896">
        <w:rPr>
          <w:rFonts w:cs="Arial"/>
          <w:lang w:val="de-DE"/>
        </w:rPr>
        <w:t>A</w:t>
      </w:r>
      <w:r w:rsidR="008408E3" w:rsidRPr="002D2896">
        <w:rPr>
          <w:rFonts w:cs="Arial"/>
          <w:lang w:val="de-DE"/>
        </w:rPr>
        <w:t>nlage</w:t>
      </w:r>
      <w:r w:rsidRPr="002D2896">
        <w:rPr>
          <w:rFonts w:cs="Arial"/>
          <w:lang w:val="de-DE"/>
        </w:rPr>
        <w:t xml:space="preserve"> </w:t>
      </w:r>
      <w:r w:rsidR="008408E3" w:rsidRPr="002D2896">
        <w:rPr>
          <w:rFonts w:cs="Arial"/>
          <w:lang w:val="de-DE"/>
        </w:rPr>
        <w:t xml:space="preserve">dieses Dokuments als Grundlage für eine Überarbeitung des Dokuments </w:t>
      </w:r>
      <w:r w:rsidRPr="002D2896">
        <w:rPr>
          <w:rFonts w:cs="Arial"/>
          <w:lang w:val="de-DE"/>
        </w:rPr>
        <w:t xml:space="preserve">TGP/5 </w:t>
      </w:r>
      <w:r w:rsidR="008408E3" w:rsidRPr="002D2896">
        <w:rPr>
          <w:rFonts w:cs="Arial"/>
          <w:lang w:val="de-DE"/>
        </w:rPr>
        <w:t>Abschnitt</w:t>
      </w:r>
      <w:r w:rsidRPr="002D2896">
        <w:rPr>
          <w:rFonts w:cs="Arial"/>
          <w:lang w:val="de-DE"/>
        </w:rPr>
        <w:t xml:space="preserve"> 6</w:t>
      </w:r>
      <w:r w:rsidR="008408E3" w:rsidRPr="002D2896">
        <w:rPr>
          <w:rFonts w:cs="Arial"/>
          <w:lang w:val="de-DE"/>
        </w:rPr>
        <w:t xml:space="preserve">, </w:t>
      </w:r>
      <w:r w:rsidR="008408E3" w:rsidRPr="002D2896">
        <w:rPr>
          <w:caps/>
          <w:lang w:val="de-DE"/>
        </w:rPr>
        <w:t>„</w:t>
      </w:r>
      <w:r w:rsidR="008408E3" w:rsidRPr="002D2896">
        <w:rPr>
          <w:szCs w:val="24"/>
          <w:lang w:val="de-DE"/>
        </w:rPr>
        <w:t>UPOV-Bericht über die techni</w:t>
      </w:r>
      <w:r w:rsidR="008408E3" w:rsidRPr="008029A9">
        <w:rPr>
          <w:szCs w:val="24"/>
          <w:lang w:val="de-DE"/>
        </w:rPr>
        <w:t>sche Prüfung und UPOV-Sortenbeschreibung“</w:t>
      </w:r>
      <w:r w:rsidR="00C70123" w:rsidRPr="008029A9">
        <w:rPr>
          <w:szCs w:val="24"/>
          <w:lang w:val="de-DE"/>
        </w:rPr>
        <w:t>,</w:t>
      </w:r>
      <w:r w:rsidR="008408E3" w:rsidRPr="008029A9">
        <w:rPr>
          <w:szCs w:val="24"/>
          <w:lang w:val="de-DE"/>
        </w:rPr>
        <w:t xml:space="preserve"> prüfen soll</w:t>
      </w:r>
      <w:r w:rsidR="008408E3" w:rsidRPr="008029A9">
        <w:rPr>
          <w:rFonts w:cs="Arial"/>
          <w:lang w:val="de-DE"/>
        </w:rPr>
        <w:t>.</w:t>
      </w:r>
    </w:p>
    <w:p w:rsidR="00A013CC" w:rsidRPr="008029A9" w:rsidRDefault="00A013CC" w:rsidP="008B1B3A">
      <w:pPr>
        <w:rPr>
          <w:rFonts w:cs="Arial"/>
          <w:i/>
          <w:lang w:val="de-DE"/>
        </w:rPr>
      </w:pPr>
    </w:p>
    <w:p w:rsidR="00A013CC" w:rsidRPr="008029A9" w:rsidRDefault="00A013CC" w:rsidP="00914813">
      <w:pPr>
        <w:tabs>
          <w:tab w:val="left" w:pos="5387"/>
        </w:tabs>
        <w:ind w:left="4820"/>
        <w:rPr>
          <w:rFonts w:cs="Arial"/>
          <w:i/>
          <w:lang w:val="de-DE"/>
        </w:rPr>
      </w:pPr>
      <w:r w:rsidRPr="008029A9">
        <w:rPr>
          <w:rFonts w:cs="Arial"/>
          <w:i/>
          <w:lang w:val="de-DE"/>
        </w:rPr>
        <w:fldChar w:fldCharType="begin"/>
      </w:r>
      <w:r w:rsidRPr="008029A9">
        <w:rPr>
          <w:rFonts w:cs="Arial"/>
          <w:i/>
          <w:lang w:val="de-DE"/>
        </w:rPr>
        <w:instrText xml:space="preserve"> AUTONUM  </w:instrText>
      </w:r>
      <w:r w:rsidRPr="008029A9">
        <w:rPr>
          <w:rFonts w:cs="Arial"/>
          <w:i/>
          <w:lang w:val="de-DE"/>
        </w:rPr>
        <w:fldChar w:fldCharType="end"/>
      </w:r>
      <w:r w:rsidRPr="008029A9">
        <w:rPr>
          <w:rFonts w:cs="Arial"/>
          <w:i/>
          <w:lang w:val="de-DE"/>
        </w:rPr>
        <w:tab/>
      </w:r>
      <w:r w:rsidR="008408E3" w:rsidRPr="008029A9">
        <w:rPr>
          <w:rFonts w:cs="Arial"/>
          <w:i/>
          <w:lang w:val="de-DE"/>
        </w:rPr>
        <w:t xml:space="preserve">Der </w:t>
      </w:r>
      <w:r w:rsidRPr="008029A9">
        <w:rPr>
          <w:rFonts w:cs="Arial"/>
          <w:i/>
          <w:lang w:val="de-DE"/>
        </w:rPr>
        <w:t xml:space="preserve">TC </w:t>
      </w:r>
      <w:r w:rsidR="008408E3" w:rsidRPr="008029A9">
        <w:rPr>
          <w:rFonts w:cs="Arial"/>
          <w:i/>
          <w:lang w:val="de-DE"/>
        </w:rPr>
        <w:t xml:space="preserve">wird ersucht, den Entwurf einer Anleitung in der Anlage dieses Dokuments als Grundlage für eine Überarbeitung des Dokuments TGP/5 Abschnitt 6, </w:t>
      </w:r>
      <w:r w:rsidR="008408E3" w:rsidRPr="008029A9">
        <w:rPr>
          <w:i/>
          <w:caps/>
          <w:lang w:val="de-DE"/>
        </w:rPr>
        <w:t>„</w:t>
      </w:r>
      <w:r w:rsidR="008408E3" w:rsidRPr="008029A9">
        <w:rPr>
          <w:i/>
          <w:szCs w:val="24"/>
          <w:lang w:val="de-DE"/>
        </w:rPr>
        <w:t>UPOV-Bericht über die technische Prüfung und UPOV-Sortenbeschreibung“, zu prüfen.</w:t>
      </w:r>
    </w:p>
    <w:p w:rsidR="00A013CC" w:rsidRPr="008029A9" w:rsidRDefault="00A013CC" w:rsidP="00914813">
      <w:pPr>
        <w:tabs>
          <w:tab w:val="left" w:pos="5387"/>
        </w:tabs>
        <w:ind w:left="4820"/>
        <w:rPr>
          <w:rFonts w:cs="Arial"/>
          <w:lang w:val="de-DE"/>
        </w:rPr>
      </w:pPr>
    </w:p>
    <w:p w:rsidR="00A013CC" w:rsidRPr="008029A9" w:rsidRDefault="00A013CC" w:rsidP="00A013CC">
      <w:pPr>
        <w:tabs>
          <w:tab w:val="left" w:pos="5387"/>
        </w:tabs>
        <w:ind w:left="4820"/>
        <w:jc w:val="left"/>
        <w:rPr>
          <w:rFonts w:cs="Arial"/>
          <w:lang w:val="de-DE"/>
        </w:rPr>
      </w:pPr>
    </w:p>
    <w:p w:rsidR="00A013CC" w:rsidRPr="008029A9" w:rsidRDefault="00A013CC" w:rsidP="00A013CC">
      <w:pPr>
        <w:tabs>
          <w:tab w:val="left" w:pos="5387"/>
        </w:tabs>
        <w:ind w:left="4820"/>
        <w:jc w:val="left"/>
        <w:rPr>
          <w:rFonts w:cs="Arial"/>
          <w:lang w:val="de-DE"/>
        </w:rPr>
      </w:pPr>
    </w:p>
    <w:p w:rsidR="00EF1050" w:rsidRPr="008029A9" w:rsidRDefault="00EF1050" w:rsidP="00EF1050">
      <w:pPr>
        <w:jc w:val="right"/>
        <w:rPr>
          <w:lang w:val="de-DE"/>
        </w:rPr>
        <w:sectPr w:rsidR="00EF1050" w:rsidRPr="008029A9" w:rsidSect="00906DDC">
          <w:headerReference w:type="default" r:id="rId9"/>
          <w:pgSz w:w="11907" w:h="16840" w:code="9"/>
          <w:pgMar w:top="510" w:right="1134" w:bottom="1134" w:left="1134" w:header="510" w:footer="680" w:gutter="0"/>
          <w:cols w:space="720"/>
          <w:titlePg/>
        </w:sectPr>
      </w:pPr>
      <w:r w:rsidRPr="008029A9">
        <w:rPr>
          <w:lang w:val="de-DE"/>
        </w:rPr>
        <w:t>[Anlage folgt</w:t>
      </w:r>
      <w:r w:rsidR="001127F7" w:rsidRPr="008029A9">
        <w:rPr>
          <w:lang w:val="de-DE"/>
        </w:rPr>
        <w:t>]</w:t>
      </w:r>
    </w:p>
    <w:p w:rsidR="00A013CC" w:rsidRDefault="00A013CC" w:rsidP="008B1B3A">
      <w:pPr>
        <w:rPr>
          <w:rFonts w:cs="Arial"/>
          <w:lang w:val="de-DE"/>
        </w:rPr>
      </w:pPr>
    </w:p>
    <w:p w:rsidR="002D2896" w:rsidRPr="008029A9" w:rsidRDefault="002D2896" w:rsidP="008B1B3A">
      <w:pPr>
        <w:rPr>
          <w:rFonts w:cs="Arial"/>
          <w:lang w:val="de-DE"/>
        </w:rPr>
      </w:pPr>
    </w:p>
    <w:p w:rsidR="00EF1050" w:rsidRPr="008029A9" w:rsidRDefault="00EF1050" w:rsidP="00EF1050">
      <w:pPr>
        <w:jc w:val="center"/>
        <w:rPr>
          <w:lang w:val="de-DE"/>
        </w:rPr>
      </w:pPr>
      <w:r w:rsidRPr="008029A9">
        <w:rPr>
          <w:lang w:val="de-DE"/>
        </w:rPr>
        <w:t>ZWECK DER ZUM ZEITPUNKT DER ERTEILUNG DES ZÜCHTERRECHTS ERSTELLTEN SORTENBESCHREIBUNG UND STATUS DER URSPRÜNGLICHEN SORTENBESCHREIBUNG IN BEZUG AUF DIE ÜBERPRÜFUNG DER ÜBEREINSTIMMUNG VON PFLANZENMATERIAL MIT EINER GESCHÜTZTEN SORTE ZUM ZWECKE DER WAHRUNG DER ZÜCHTERRECHTE</w:t>
      </w:r>
    </w:p>
    <w:p w:rsidR="00EF1050" w:rsidRPr="008029A9" w:rsidRDefault="00EF1050" w:rsidP="00EF1050">
      <w:pPr>
        <w:rPr>
          <w:lang w:val="de-DE"/>
        </w:rPr>
      </w:pPr>
    </w:p>
    <w:p w:rsidR="00EF1050" w:rsidRPr="008029A9" w:rsidRDefault="00EF1050" w:rsidP="00EF1050">
      <w:pPr>
        <w:rPr>
          <w:lang w:val="de-DE"/>
        </w:rPr>
      </w:pPr>
      <w:r w:rsidRPr="008029A9">
        <w:rPr>
          <w:lang w:val="de-DE"/>
        </w:rPr>
        <w:t>Auf seiner einundsiebzigsten Tagung befürwortete der CAJ die Entschließung der CAJ-AG auf ihrer neunten Tagung über:</w:t>
      </w:r>
    </w:p>
    <w:p w:rsidR="00EF1050" w:rsidRPr="008029A9" w:rsidRDefault="00EF1050" w:rsidP="00EF1050">
      <w:pPr>
        <w:rPr>
          <w:lang w:val="de-DE"/>
        </w:rPr>
      </w:pPr>
    </w:p>
    <w:p w:rsidR="00EF1050" w:rsidRPr="008029A9" w:rsidRDefault="00EF1050" w:rsidP="00EF1050">
      <w:pPr>
        <w:rPr>
          <w:lang w:val="de-DE"/>
        </w:rPr>
      </w:pPr>
      <w:r w:rsidRPr="008029A9">
        <w:rPr>
          <w:lang w:val="de-DE"/>
        </w:rPr>
        <w:tab/>
        <w:t>i)</w:t>
      </w:r>
      <w:r w:rsidRPr="008029A9">
        <w:rPr>
          <w:lang w:val="de-DE"/>
        </w:rPr>
        <w:tab/>
        <w:t>den Zweck (die Zwecke) der zum Zeitpunkt der Erteilung des Züchterrechts erstellten Sortenbeschreibung (ursprüngliche Sortenbeschreibung), wie folgt:</w:t>
      </w:r>
    </w:p>
    <w:p w:rsidR="00EF1050" w:rsidRPr="008029A9" w:rsidRDefault="00EF1050" w:rsidP="00EF1050">
      <w:pPr>
        <w:rPr>
          <w:lang w:val="de-DE"/>
        </w:rPr>
      </w:pPr>
    </w:p>
    <w:p w:rsidR="00EF1050" w:rsidRPr="008029A9" w:rsidRDefault="00EF1050" w:rsidP="00EF1050">
      <w:pPr>
        <w:rPr>
          <w:lang w:val="de-DE"/>
        </w:rPr>
      </w:pPr>
      <w:r w:rsidRPr="008029A9">
        <w:rPr>
          <w:lang w:val="de-DE"/>
        </w:rPr>
        <w:t>Die CAJ-AG vereinbarte, daß der Zweck der zum Zeitpunkt der Erteilung eines Züchterrechts erstellten Sortenbeschreibung (ursprüngliche Sortenbeschreibung) aufgrund von Dokument TGP/5</w:t>
      </w:r>
      <w:r w:rsidR="008408E3" w:rsidRPr="008029A9">
        <w:rPr>
          <w:lang w:val="de-DE"/>
        </w:rPr>
        <w:t>,</w:t>
      </w:r>
      <w:r w:rsidRPr="008029A9">
        <w:rPr>
          <w:lang w:val="de-DE"/>
        </w:rPr>
        <w:t xml:space="preserve"> „Erfahrung und Zusammenarbeit bei der DUS-Prüfung“, Abschnitt 6 „UPOV-Bericht über technische Prüfung und UPOV</w:t>
      </w:r>
      <w:r w:rsidR="008408E3" w:rsidRPr="008029A9">
        <w:rPr>
          <w:lang w:val="de-DE"/>
        </w:rPr>
        <w:noBreakHyphen/>
      </w:r>
      <w:r w:rsidRPr="008029A9">
        <w:rPr>
          <w:lang w:val="de-DE"/>
        </w:rPr>
        <w:t>Sortenbeschreibung“, folgendermaßen zusammengefaßt werden könnte:</w:t>
      </w:r>
    </w:p>
    <w:p w:rsidR="00EF1050" w:rsidRPr="008029A9" w:rsidRDefault="00EF1050" w:rsidP="00EF1050">
      <w:pPr>
        <w:ind w:left="567" w:right="567"/>
        <w:rPr>
          <w:lang w:val="de-DE"/>
        </w:rPr>
      </w:pPr>
    </w:p>
    <w:p w:rsidR="00EF1050" w:rsidRPr="008029A9" w:rsidRDefault="00EF1050" w:rsidP="00EF1050">
      <w:pPr>
        <w:keepNext/>
        <w:ind w:left="1134" w:right="567"/>
        <w:rPr>
          <w:lang w:val="de-DE"/>
        </w:rPr>
      </w:pPr>
      <w:r w:rsidRPr="008029A9">
        <w:rPr>
          <w:lang w:val="de-DE"/>
        </w:rPr>
        <w:t>a)</w:t>
      </w:r>
      <w:r w:rsidRPr="008029A9">
        <w:rPr>
          <w:lang w:val="de-DE"/>
        </w:rPr>
        <w:tab/>
        <w:t>Beschreibung der Merkmale der Sorte; und</w:t>
      </w:r>
    </w:p>
    <w:p w:rsidR="00EF1050" w:rsidRPr="008029A9" w:rsidRDefault="00EF1050" w:rsidP="00EF1050">
      <w:pPr>
        <w:keepNext/>
        <w:ind w:left="1701" w:right="567" w:hanging="567"/>
        <w:rPr>
          <w:lang w:val="de-DE"/>
        </w:rPr>
      </w:pPr>
      <w:r w:rsidRPr="008029A9">
        <w:rPr>
          <w:lang w:val="de-DE"/>
        </w:rPr>
        <w:t>b)</w:t>
      </w:r>
      <w:r w:rsidRPr="008029A9">
        <w:rPr>
          <w:lang w:val="de-DE"/>
        </w:rPr>
        <w:tab/>
        <w:t>Benennung und Anführung ähnlicher Sorten und Unterschiede zu diesen Sorten</w:t>
      </w:r>
      <w:r w:rsidR="00097933" w:rsidRPr="008029A9">
        <w:rPr>
          <w:lang w:val="de-DE"/>
        </w:rPr>
        <w:t>,</w:t>
      </w:r>
      <w:r w:rsidRPr="008029A9">
        <w:rPr>
          <w:lang w:val="de-DE"/>
        </w:rPr>
        <w:t xml:space="preserve"> kombiniert mit de</w:t>
      </w:r>
      <w:r w:rsidR="00097933" w:rsidRPr="008029A9">
        <w:rPr>
          <w:lang w:val="de-DE"/>
        </w:rPr>
        <w:t>n</w:t>
      </w:r>
      <w:r w:rsidRPr="008029A9">
        <w:rPr>
          <w:lang w:val="de-DE"/>
        </w:rPr>
        <w:t xml:space="preserve"> Information</w:t>
      </w:r>
      <w:r w:rsidR="00097933" w:rsidRPr="008029A9">
        <w:rPr>
          <w:lang w:val="de-DE"/>
        </w:rPr>
        <w:t>en</w:t>
      </w:r>
      <w:r w:rsidRPr="008029A9">
        <w:rPr>
          <w:lang w:val="de-DE"/>
        </w:rPr>
        <w:t xml:space="preserve"> auf der Grundlage für a) und b), nämlich:</w:t>
      </w:r>
    </w:p>
    <w:p w:rsidR="00EF1050" w:rsidRPr="008029A9" w:rsidRDefault="00EF1050" w:rsidP="00EF1050">
      <w:pPr>
        <w:tabs>
          <w:tab w:val="left" w:pos="2268"/>
          <w:tab w:val="left" w:pos="2835"/>
        </w:tabs>
        <w:ind w:left="1701" w:right="567"/>
        <w:rPr>
          <w:rFonts w:cs="Arial"/>
          <w:lang w:val="de-DE"/>
        </w:rPr>
      </w:pPr>
      <w:r w:rsidRPr="008029A9">
        <w:rPr>
          <w:rFonts w:cs="Arial"/>
          <w:lang w:val="de-DE"/>
        </w:rPr>
        <w:t xml:space="preserve">▪ </w:t>
      </w:r>
      <w:r w:rsidRPr="008029A9">
        <w:rPr>
          <w:rFonts w:cs="Arial"/>
          <w:lang w:val="de-DE"/>
        </w:rPr>
        <w:tab/>
        <w:t>Datum und Dokumentennummer von UPOV-Prüfungsrichtlinien;</w:t>
      </w:r>
    </w:p>
    <w:p w:rsidR="00EF1050" w:rsidRPr="008029A9" w:rsidRDefault="00EF1050" w:rsidP="00EF1050">
      <w:pPr>
        <w:tabs>
          <w:tab w:val="left" w:pos="2268"/>
          <w:tab w:val="left" w:pos="2835"/>
        </w:tabs>
        <w:ind w:left="2268" w:right="567" w:hanging="567"/>
        <w:rPr>
          <w:rFonts w:cs="Arial"/>
          <w:lang w:val="de-DE"/>
        </w:rPr>
      </w:pPr>
      <w:r w:rsidRPr="008029A9">
        <w:rPr>
          <w:rFonts w:cs="Arial"/>
          <w:lang w:val="de-DE"/>
        </w:rPr>
        <w:t xml:space="preserve">▪ </w:t>
      </w:r>
      <w:r w:rsidRPr="008029A9">
        <w:rPr>
          <w:rFonts w:cs="Arial"/>
          <w:lang w:val="de-DE"/>
        </w:rPr>
        <w:tab/>
        <w:t>Datum und/oder Dokumentennummer der Prüfungsrichtlinien der berichtenden Behörde;</w:t>
      </w:r>
    </w:p>
    <w:p w:rsidR="00EF1050" w:rsidRPr="008029A9" w:rsidRDefault="00EF1050" w:rsidP="00EF1050">
      <w:pPr>
        <w:tabs>
          <w:tab w:val="left" w:pos="2268"/>
          <w:tab w:val="left" w:pos="2835"/>
        </w:tabs>
        <w:ind w:left="1701" w:right="567"/>
        <w:rPr>
          <w:rFonts w:cs="Arial"/>
          <w:lang w:val="de-DE"/>
        </w:rPr>
      </w:pPr>
      <w:r w:rsidRPr="008029A9">
        <w:rPr>
          <w:rFonts w:cs="Arial"/>
          <w:lang w:val="de-DE"/>
        </w:rPr>
        <w:t xml:space="preserve">▪ </w:t>
      </w:r>
      <w:r w:rsidRPr="008029A9">
        <w:rPr>
          <w:rFonts w:cs="Arial"/>
          <w:lang w:val="de-DE"/>
        </w:rPr>
        <w:tab/>
        <w:t>Berichtende Behörde;</w:t>
      </w:r>
    </w:p>
    <w:p w:rsidR="00EF1050" w:rsidRPr="008029A9" w:rsidRDefault="00EF1050" w:rsidP="00EF1050">
      <w:pPr>
        <w:tabs>
          <w:tab w:val="left" w:pos="2268"/>
          <w:tab w:val="left" w:pos="2835"/>
        </w:tabs>
        <w:ind w:left="1701" w:right="567"/>
        <w:rPr>
          <w:rFonts w:cs="Arial"/>
          <w:lang w:val="de-DE"/>
        </w:rPr>
      </w:pPr>
      <w:r w:rsidRPr="008029A9">
        <w:rPr>
          <w:rFonts w:cs="Arial"/>
          <w:lang w:val="de-DE"/>
        </w:rPr>
        <w:t xml:space="preserve">▪ </w:t>
      </w:r>
      <w:r w:rsidRPr="008029A9">
        <w:rPr>
          <w:rFonts w:cs="Arial"/>
          <w:lang w:val="de-DE"/>
        </w:rPr>
        <w:tab/>
        <w:t>Prüfungsstation(en) und Ort(e);</w:t>
      </w:r>
    </w:p>
    <w:p w:rsidR="00097933" w:rsidRPr="008029A9" w:rsidRDefault="00EF1050" w:rsidP="00097933">
      <w:pPr>
        <w:tabs>
          <w:tab w:val="left" w:pos="2268"/>
          <w:tab w:val="left" w:pos="2835"/>
        </w:tabs>
        <w:ind w:left="1701" w:right="567"/>
        <w:rPr>
          <w:rFonts w:cs="Arial"/>
          <w:lang w:val="de-DE"/>
        </w:rPr>
      </w:pPr>
      <w:r w:rsidRPr="008029A9">
        <w:rPr>
          <w:rFonts w:cs="Arial"/>
          <w:lang w:val="de-DE"/>
        </w:rPr>
        <w:t xml:space="preserve">▪ </w:t>
      </w:r>
      <w:r w:rsidRPr="008029A9">
        <w:rPr>
          <w:rFonts w:cs="Arial"/>
          <w:lang w:val="de-DE"/>
        </w:rPr>
        <w:tab/>
        <w:t>Zeitraum der Prüfung;</w:t>
      </w:r>
      <w:r w:rsidR="00097933" w:rsidRPr="008029A9">
        <w:rPr>
          <w:rFonts w:cs="Arial"/>
          <w:lang w:val="de-DE"/>
        </w:rPr>
        <w:t xml:space="preserve"> </w:t>
      </w:r>
    </w:p>
    <w:p w:rsidR="00097933" w:rsidRPr="008029A9" w:rsidRDefault="00EF1050" w:rsidP="00EF1050">
      <w:pPr>
        <w:tabs>
          <w:tab w:val="left" w:pos="2268"/>
          <w:tab w:val="left" w:pos="2835"/>
        </w:tabs>
        <w:ind w:left="1701" w:right="567"/>
        <w:rPr>
          <w:rFonts w:cs="Arial"/>
          <w:lang w:val="de-DE"/>
        </w:rPr>
      </w:pPr>
      <w:r w:rsidRPr="008029A9">
        <w:rPr>
          <w:rFonts w:cs="Arial"/>
          <w:lang w:val="de-DE"/>
        </w:rPr>
        <w:t xml:space="preserve">▪ </w:t>
      </w:r>
      <w:r w:rsidRPr="008029A9">
        <w:rPr>
          <w:rFonts w:cs="Arial"/>
          <w:lang w:val="de-DE"/>
        </w:rPr>
        <w:tab/>
        <w:t>Ort und Datum der Ausstellung des Dokuments;</w:t>
      </w:r>
    </w:p>
    <w:p w:rsidR="00EF1050" w:rsidRPr="008029A9" w:rsidRDefault="00EF1050" w:rsidP="00EF1050">
      <w:pPr>
        <w:tabs>
          <w:tab w:val="left" w:pos="2268"/>
          <w:tab w:val="left" w:pos="2835"/>
        </w:tabs>
        <w:ind w:left="1701" w:right="567"/>
        <w:rPr>
          <w:rFonts w:cs="Arial"/>
          <w:lang w:val="de-DE"/>
        </w:rPr>
      </w:pPr>
      <w:r w:rsidRPr="008029A9">
        <w:rPr>
          <w:rFonts w:cs="Arial"/>
          <w:lang w:val="de-DE"/>
        </w:rPr>
        <w:t xml:space="preserve">▪ </w:t>
      </w:r>
      <w:r w:rsidRPr="008029A9">
        <w:rPr>
          <w:rFonts w:cs="Arial"/>
          <w:lang w:val="de-DE"/>
        </w:rPr>
        <w:tab/>
        <w:t>Gruppe (Tabelle: Merkmale; Ausprägungsstufen; Note; Bemerkungen);</w:t>
      </w:r>
    </w:p>
    <w:p w:rsidR="00EF1050" w:rsidRPr="008029A9" w:rsidRDefault="00EF1050" w:rsidP="00EF1050">
      <w:pPr>
        <w:tabs>
          <w:tab w:val="left" w:pos="2268"/>
          <w:tab w:val="left" w:pos="2835"/>
        </w:tabs>
        <w:ind w:left="1701" w:right="567"/>
        <w:rPr>
          <w:rFonts w:cs="Arial"/>
          <w:lang w:val="de-DE"/>
        </w:rPr>
      </w:pPr>
      <w:r w:rsidRPr="008029A9">
        <w:rPr>
          <w:rFonts w:cs="Arial"/>
          <w:lang w:val="de-DE"/>
        </w:rPr>
        <w:t xml:space="preserve">▪ </w:t>
      </w:r>
      <w:r w:rsidRPr="008029A9">
        <w:rPr>
          <w:rFonts w:cs="Arial"/>
          <w:lang w:val="de-DE"/>
        </w:rPr>
        <w:tab/>
        <w:t>Zus</w:t>
      </w:r>
      <w:r w:rsidR="00B71EB1" w:rsidRPr="008029A9">
        <w:rPr>
          <w:rFonts w:cs="Arial"/>
          <w:lang w:val="de-DE"/>
        </w:rPr>
        <w:t>ä</w:t>
      </w:r>
      <w:r w:rsidRPr="008029A9">
        <w:rPr>
          <w:rFonts w:cs="Arial"/>
          <w:lang w:val="de-DE"/>
        </w:rPr>
        <w:t>tz</w:t>
      </w:r>
      <w:r w:rsidR="00B71EB1" w:rsidRPr="008029A9">
        <w:rPr>
          <w:rFonts w:cs="Arial"/>
          <w:lang w:val="de-DE"/>
        </w:rPr>
        <w:t>liche I</w:t>
      </w:r>
      <w:r w:rsidRPr="008029A9">
        <w:rPr>
          <w:rFonts w:cs="Arial"/>
          <w:lang w:val="de-DE"/>
        </w:rPr>
        <w:t>nformation</w:t>
      </w:r>
      <w:r w:rsidR="008408E3" w:rsidRPr="008029A9">
        <w:rPr>
          <w:rFonts w:cs="Arial"/>
          <w:lang w:val="de-DE"/>
        </w:rPr>
        <w:t>en</w:t>
      </w:r>
      <w:r w:rsidRPr="008029A9">
        <w:rPr>
          <w:rFonts w:cs="Arial"/>
          <w:lang w:val="de-DE"/>
        </w:rPr>
        <w:t>;</w:t>
      </w:r>
    </w:p>
    <w:p w:rsidR="00EF1050" w:rsidRPr="008029A9" w:rsidRDefault="00EF1050" w:rsidP="00EF1050">
      <w:pPr>
        <w:tabs>
          <w:tab w:val="left" w:pos="2268"/>
          <w:tab w:val="left" w:pos="2835"/>
        </w:tabs>
        <w:ind w:left="1701" w:right="567"/>
        <w:rPr>
          <w:rFonts w:cs="Arial"/>
          <w:lang w:val="de-DE"/>
        </w:rPr>
      </w:pPr>
      <w:r w:rsidRPr="008029A9">
        <w:rPr>
          <w:rFonts w:cs="Arial"/>
          <w:lang w:val="de-DE"/>
        </w:rPr>
        <w:tab/>
        <w:t>a) Zusätzliche Daten</w:t>
      </w:r>
    </w:p>
    <w:p w:rsidR="00EF1050" w:rsidRPr="008029A9" w:rsidRDefault="00EF1050" w:rsidP="00EF1050">
      <w:pPr>
        <w:tabs>
          <w:tab w:val="left" w:pos="2268"/>
          <w:tab w:val="left" w:pos="2835"/>
        </w:tabs>
        <w:ind w:left="1701" w:right="567"/>
        <w:rPr>
          <w:rFonts w:cs="Arial"/>
          <w:lang w:val="de-DE"/>
        </w:rPr>
      </w:pPr>
      <w:r w:rsidRPr="008029A9">
        <w:rPr>
          <w:rFonts w:cs="Arial"/>
          <w:lang w:val="de-DE"/>
        </w:rPr>
        <w:tab/>
        <w:t>b) Fotoaufnahme (falls zweckmäßig)</w:t>
      </w:r>
    </w:p>
    <w:p w:rsidR="00EF1050" w:rsidRPr="008029A9" w:rsidRDefault="00EF1050" w:rsidP="00EF1050">
      <w:pPr>
        <w:tabs>
          <w:tab w:val="left" w:pos="2268"/>
          <w:tab w:val="left" w:pos="2835"/>
        </w:tabs>
        <w:ind w:left="1701" w:right="567"/>
        <w:rPr>
          <w:rFonts w:cs="Arial"/>
          <w:lang w:val="de-DE"/>
        </w:rPr>
      </w:pPr>
      <w:r w:rsidRPr="008029A9">
        <w:rPr>
          <w:rFonts w:cs="Arial"/>
          <w:lang w:val="de-DE"/>
        </w:rPr>
        <w:tab/>
        <w:t>c) Version der verwendeten RHS-Farbkarte (falls zweckmäßig)</w:t>
      </w:r>
    </w:p>
    <w:p w:rsidR="00EF1050" w:rsidRPr="008029A9" w:rsidRDefault="00097933" w:rsidP="00EF1050">
      <w:pPr>
        <w:tabs>
          <w:tab w:val="left" w:pos="2268"/>
          <w:tab w:val="left" w:pos="2835"/>
        </w:tabs>
        <w:ind w:left="1701" w:right="567"/>
        <w:rPr>
          <w:lang w:val="de-DE"/>
        </w:rPr>
      </w:pPr>
      <w:r w:rsidRPr="008029A9">
        <w:rPr>
          <w:rFonts w:cs="Arial"/>
          <w:lang w:val="de-DE"/>
        </w:rPr>
        <w:tab/>
        <w:t>d) Bemerkungen.</w:t>
      </w:r>
    </w:p>
    <w:p w:rsidR="00EF1050" w:rsidRPr="008029A9" w:rsidRDefault="00EF1050" w:rsidP="00EF1050">
      <w:pPr>
        <w:rPr>
          <w:lang w:val="de-DE"/>
        </w:rPr>
      </w:pPr>
    </w:p>
    <w:p w:rsidR="00EF1050" w:rsidRPr="008029A9" w:rsidRDefault="00EF1050" w:rsidP="00EF1050">
      <w:pPr>
        <w:ind w:left="567"/>
        <w:rPr>
          <w:lang w:val="de-DE"/>
        </w:rPr>
      </w:pPr>
      <w:r w:rsidRPr="008029A9">
        <w:rPr>
          <w:lang w:val="de-DE"/>
        </w:rPr>
        <w:t>und</w:t>
      </w:r>
    </w:p>
    <w:p w:rsidR="00EF1050" w:rsidRPr="008029A9" w:rsidRDefault="00EF1050" w:rsidP="00EF1050">
      <w:pPr>
        <w:rPr>
          <w:lang w:val="de-DE"/>
        </w:rPr>
      </w:pPr>
    </w:p>
    <w:p w:rsidR="00EF1050" w:rsidRPr="008029A9" w:rsidRDefault="00EF1050" w:rsidP="00EF1050">
      <w:pPr>
        <w:rPr>
          <w:lang w:val="de-DE"/>
        </w:rPr>
      </w:pPr>
      <w:r w:rsidRPr="008029A9">
        <w:rPr>
          <w:lang w:val="de-DE"/>
        </w:rPr>
        <w:tab/>
        <w:t>ii)</w:t>
      </w:r>
      <w:r w:rsidRPr="008029A9">
        <w:rPr>
          <w:lang w:val="de-DE"/>
        </w:rPr>
        <w:tab/>
        <w:t>den Status der ursprünglichen Sortenbeschreibung in bezug auf die Überprüfung der Übereinstimmung von Pflanzenmaterial mit einer geschützten Sorte zum Zwecke der Wahrung der Züchterrechte, wie folgt:</w:t>
      </w:r>
    </w:p>
    <w:p w:rsidR="00EF1050" w:rsidRPr="008029A9" w:rsidRDefault="00EF1050" w:rsidP="00EF1050">
      <w:pPr>
        <w:rPr>
          <w:lang w:val="de-DE"/>
        </w:rPr>
      </w:pPr>
    </w:p>
    <w:p w:rsidR="00EF1050" w:rsidRPr="008029A9" w:rsidRDefault="00EF1050" w:rsidP="00F23FF6">
      <w:pPr>
        <w:rPr>
          <w:snapToGrid w:val="0"/>
          <w:spacing w:val="-2"/>
          <w:szCs w:val="18"/>
          <w:lang w:val="de-DE"/>
        </w:rPr>
      </w:pPr>
      <w:r w:rsidRPr="008029A9">
        <w:rPr>
          <w:snapToGrid w:val="0"/>
          <w:spacing w:val="-2"/>
          <w:szCs w:val="18"/>
          <w:lang w:val="de-DE"/>
        </w:rPr>
        <w:t>Die CAJ-AG prüfte den Status der ursprünglichen Sortenbeschreibung in bezug auf die Überprüfung von Pflanzenmaterial einer geschützten Sorte zum Zwecke der Wahrung der Züchterrechte und hielt fest, daß die Anleitung der UPOV zur Wahrung der Züchterrechte in Dokument UPOV/EXN/ENF/1</w:t>
      </w:r>
      <w:r w:rsidR="008408E3" w:rsidRPr="008029A9">
        <w:rPr>
          <w:snapToGrid w:val="0"/>
          <w:spacing w:val="-2"/>
          <w:szCs w:val="18"/>
          <w:lang w:val="de-DE"/>
        </w:rPr>
        <w:t>,</w:t>
      </w:r>
      <w:r w:rsidRPr="008029A9">
        <w:rPr>
          <w:snapToGrid w:val="0"/>
          <w:spacing w:val="-2"/>
          <w:szCs w:val="18"/>
          <w:lang w:val="de-DE"/>
        </w:rPr>
        <w:t xml:space="preserve"> „Erläuterungen zur Wahrung der Züchterrechte nach dem UPOV-Übereinkommen“</w:t>
      </w:r>
      <w:r w:rsidR="008408E3" w:rsidRPr="008029A9">
        <w:rPr>
          <w:snapToGrid w:val="0"/>
          <w:spacing w:val="-2"/>
          <w:szCs w:val="18"/>
          <w:lang w:val="de-DE"/>
        </w:rPr>
        <w:t>, wie folgt lautet:</w:t>
      </w:r>
    </w:p>
    <w:p w:rsidR="00EF1050" w:rsidRPr="00163A0B" w:rsidRDefault="00EF1050" w:rsidP="00163A0B">
      <w:pPr>
        <w:ind w:left="567" w:right="567"/>
        <w:rPr>
          <w:snapToGrid w:val="0"/>
          <w:lang w:val="de-DE"/>
        </w:rPr>
      </w:pPr>
    </w:p>
    <w:p w:rsidR="00EF1050" w:rsidRPr="00163A0B" w:rsidRDefault="00EF1050" w:rsidP="00163A0B">
      <w:pPr>
        <w:ind w:left="567" w:right="567"/>
        <w:rPr>
          <w:snapToGrid w:val="0"/>
          <w:lang w:val="de-DE"/>
        </w:rPr>
      </w:pPr>
      <w:r w:rsidRPr="00163A0B">
        <w:rPr>
          <w:snapToGrid w:val="0"/>
          <w:lang w:val="de-DE"/>
        </w:rPr>
        <w:t>„ABSCHNITT II: Mögliche Maßnahmen für die Wahrung der Züchterrechte:</w:t>
      </w:r>
    </w:p>
    <w:p w:rsidR="00EF1050" w:rsidRPr="00163A0B" w:rsidRDefault="00EF1050" w:rsidP="00163A0B">
      <w:pPr>
        <w:ind w:left="567" w:right="567"/>
        <w:rPr>
          <w:snapToGrid w:val="0"/>
          <w:lang w:val="de-DE"/>
        </w:rPr>
      </w:pPr>
    </w:p>
    <w:p w:rsidR="00EF1050" w:rsidRPr="00163A0B" w:rsidRDefault="00EF1050" w:rsidP="00163A0B">
      <w:pPr>
        <w:ind w:left="567" w:right="567"/>
        <w:rPr>
          <w:snapToGrid w:val="0"/>
          <w:lang w:val="de-DE"/>
        </w:rPr>
      </w:pPr>
      <w:r w:rsidRPr="00163A0B">
        <w:rPr>
          <w:snapToGrid w:val="0"/>
          <w:lang w:val="de-DE"/>
        </w:rPr>
        <w:t>Das UPOV-Übereinkommen schreibt zwar vor, daß die Verbandsmitglieder geeignete Rechtsmittel zur wirksamen Wahrung der Züchterrechte vorsehen, doch ist es Sache der Züchter, ihre Rechte zu wahren.“</w:t>
      </w:r>
    </w:p>
    <w:p w:rsidR="00EF1050" w:rsidRPr="00163A0B" w:rsidRDefault="00EF1050" w:rsidP="00163A0B">
      <w:pPr>
        <w:ind w:left="567" w:right="567"/>
        <w:rPr>
          <w:snapToGrid w:val="0"/>
          <w:lang w:val="de-DE"/>
        </w:rPr>
      </w:pPr>
    </w:p>
    <w:p w:rsidR="00EF1050" w:rsidRPr="008029A9" w:rsidRDefault="00EF1050" w:rsidP="00F23FF6">
      <w:pPr>
        <w:rPr>
          <w:rFonts w:cs="Arial"/>
          <w:snapToGrid w:val="0"/>
          <w:szCs w:val="18"/>
          <w:lang w:val="de-DE"/>
        </w:rPr>
      </w:pPr>
      <w:r w:rsidRPr="008029A9">
        <w:rPr>
          <w:rFonts w:cs="Arial"/>
          <w:snapToGrid w:val="0"/>
          <w:szCs w:val="18"/>
          <w:lang w:val="de-DE"/>
        </w:rPr>
        <w:t>Die CAJ-AG vereinbarte, daß in bezug auf die Verwendung der ursprünglichen Sortenbeschreibung in Erinnerung gerufen werden sollte, daß die Beschreibung der Sortenmerkmale und die Grundlage für die Unterscheidung der ähnlichsten Sorte in Verbindung zu den Umständen der DUS-Prüfung stehen, nämlich:</w:t>
      </w:r>
    </w:p>
    <w:p w:rsidR="00EF1050" w:rsidRPr="008029A9" w:rsidRDefault="00EF1050" w:rsidP="00F23FF6">
      <w:pPr>
        <w:ind w:right="567"/>
        <w:rPr>
          <w:rFonts w:cs="Arial"/>
          <w:snapToGrid w:val="0"/>
          <w:szCs w:val="18"/>
          <w:lang w:val="de-DE"/>
        </w:rPr>
      </w:pPr>
    </w:p>
    <w:p w:rsidR="00EF1050" w:rsidRPr="008029A9" w:rsidRDefault="00F23FF6" w:rsidP="00EF1050">
      <w:pPr>
        <w:keepNext/>
        <w:tabs>
          <w:tab w:val="left" w:pos="284"/>
          <w:tab w:val="left" w:pos="1134"/>
          <w:tab w:val="left" w:pos="1701"/>
          <w:tab w:val="left" w:pos="2268"/>
          <w:tab w:val="left" w:pos="2835"/>
        </w:tabs>
        <w:spacing w:line="276" w:lineRule="auto"/>
        <w:ind w:left="1134" w:right="567"/>
        <w:rPr>
          <w:rFonts w:cs="Arial"/>
          <w:szCs w:val="18"/>
          <w:lang w:val="de-DE"/>
        </w:rPr>
      </w:pPr>
      <w:r w:rsidRPr="008029A9">
        <w:rPr>
          <w:rFonts w:cs="Arial"/>
          <w:lang w:val="de-DE"/>
        </w:rPr>
        <w:lastRenderedPageBreak/>
        <w:t>▪</w:t>
      </w:r>
      <w:r w:rsidR="00EF1050" w:rsidRPr="008029A9">
        <w:rPr>
          <w:rFonts w:cs="Arial"/>
          <w:lang w:val="de-DE"/>
        </w:rPr>
        <w:tab/>
      </w:r>
      <w:r w:rsidR="00EF1050" w:rsidRPr="008029A9">
        <w:rPr>
          <w:rFonts w:cs="Arial"/>
          <w:szCs w:val="18"/>
          <w:lang w:val="de-DE"/>
        </w:rPr>
        <w:t>Datum und Dokumentennummer von UPOV-Prüfungsrichtlinien;</w:t>
      </w:r>
    </w:p>
    <w:p w:rsidR="00EF1050" w:rsidRPr="008029A9" w:rsidRDefault="00EF1050" w:rsidP="00EF1050">
      <w:pPr>
        <w:keepNext/>
        <w:tabs>
          <w:tab w:val="left" w:pos="284"/>
          <w:tab w:val="left" w:pos="1134"/>
          <w:tab w:val="left" w:pos="1701"/>
          <w:tab w:val="left" w:pos="2268"/>
          <w:tab w:val="left" w:pos="2835"/>
        </w:tabs>
        <w:spacing w:line="276" w:lineRule="auto"/>
        <w:ind w:left="1701" w:right="567" w:hanging="567"/>
        <w:rPr>
          <w:rFonts w:cs="Arial"/>
          <w:szCs w:val="18"/>
          <w:lang w:val="de-DE"/>
        </w:rPr>
      </w:pPr>
      <w:r w:rsidRPr="008029A9">
        <w:rPr>
          <w:rFonts w:cs="Arial"/>
          <w:lang w:val="de-DE"/>
        </w:rPr>
        <w:t>▪</w:t>
      </w:r>
      <w:r w:rsidRPr="008029A9">
        <w:rPr>
          <w:rFonts w:cs="Arial"/>
          <w:lang w:val="de-DE"/>
        </w:rPr>
        <w:tab/>
      </w:r>
      <w:r w:rsidRPr="008029A9">
        <w:rPr>
          <w:rFonts w:cs="Arial"/>
          <w:szCs w:val="18"/>
          <w:lang w:val="de-DE"/>
        </w:rPr>
        <w:t>Datum und/oder Dokumentennummer der Prüfungsrichtlinien der berichtenden Behörde;</w:t>
      </w:r>
    </w:p>
    <w:p w:rsidR="00EF1050" w:rsidRPr="008029A9" w:rsidRDefault="00EF1050" w:rsidP="00EF1050">
      <w:pPr>
        <w:keepNext/>
        <w:tabs>
          <w:tab w:val="left" w:pos="284"/>
          <w:tab w:val="left" w:pos="1134"/>
          <w:tab w:val="left" w:pos="1701"/>
          <w:tab w:val="left" w:pos="2268"/>
          <w:tab w:val="left" w:pos="2835"/>
        </w:tabs>
        <w:spacing w:line="276" w:lineRule="auto"/>
        <w:ind w:left="1134" w:right="567"/>
        <w:rPr>
          <w:rFonts w:cs="Arial"/>
          <w:szCs w:val="18"/>
          <w:lang w:val="de-DE"/>
        </w:rPr>
      </w:pPr>
      <w:r w:rsidRPr="008029A9">
        <w:rPr>
          <w:rFonts w:cs="Arial"/>
          <w:lang w:val="de-DE"/>
        </w:rPr>
        <w:t>▪</w:t>
      </w:r>
      <w:r w:rsidRPr="008029A9">
        <w:rPr>
          <w:rFonts w:cs="Arial"/>
          <w:lang w:val="de-DE"/>
        </w:rPr>
        <w:tab/>
      </w:r>
      <w:r w:rsidRPr="008029A9">
        <w:rPr>
          <w:rFonts w:cs="Arial"/>
          <w:szCs w:val="18"/>
          <w:lang w:val="de-DE"/>
        </w:rPr>
        <w:t>Berichtende Behörde;</w:t>
      </w:r>
    </w:p>
    <w:p w:rsidR="00EF1050" w:rsidRPr="008029A9" w:rsidRDefault="00EF1050" w:rsidP="00EF1050">
      <w:pPr>
        <w:keepNext/>
        <w:tabs>
          <w:tab w:val="left" w:pos="284"/>
          <w:tab w:val="left" w:pos="1134"/>
          <w:tab w:val="left" w:pos="1701"/>
          <w:tab w:val="left" w:pos="2268"/>
          <w:tab w:val="left" w:pos="2835"/>
        </w:tabs>
        <w:spacing w:line="276" w:lineRule="auto"/>
        <w:ind w:left="1134" w:right="567"/>
        <w:rPr>
          <w:rFonts w:cs="Arial"/>
          <w:szCs w:val="18"/>
          <w:lang w:val="de-DE"/>
        </w:rPr>
      </w:pPr>
      <w:r w:rsidRPr="008029A9">
        <w:rPr>
          <w:rFonts w:cs="Arial"/>
          <w:lang w:val="de-DE"/>
        </w:rPr>
        <w:t>▪</w:t>
      </w:r>
      <w:r w:rsidRPr="008029A9">
        <w:rPr>
          <w:rFonts w:cs="Arial"/>
          <w:szCs w:val="18"/>
          <w:lang w:val="de-DE"/>
        </w:rPr>
        <w:tab/>
        <w:t>Prüfungsstation(en) und Ort(e);</w:t>
      </w:r>
    </w:p>
    <w:p w:rsidR="00EF1050" w:rsidRPr="008029A9" w:rsidRDefault="00EF1050" w:rsidP="00EF1050">
      <w:pPr>
        <w:keepNext/>
        <w:tabs>
          <w:tab w:val="left" w:pos="284"/>
          <w:tab w:val="left" w:pos="1134"/>
          <w:tab w:val="left" w:pos="1701"/>
          <w:tab w:val="left" w:pos="2268"/>
          <w:tab w:val="left" w:pos="2835"/>
        </w:tabs>
        <w:spacing w:line="276" w:lineRule="auto"/>
        <w:ind w:left="1134" w:right="567"/>
        <w:rPr>
          <w:rFonts w:cs="Arial"/>
          <w:szCs w:val="18"/>
          <w:lang w:val="de-DE"/>
        </w:rPr>
      </w:pPr>
      <w:r w:rsidRPr="008029A9">
        <w:rPr>
          <w:rFonts w:cs="Arial"/>
          <w:lang w:val="de-DE"/>
        </w:rPr>
        <w:t>▪</w:t>
      </w:r>
      <w:r w:rsidRPr="008029A9">
        <w:rPr>
          <w:rFonts w:cs="Arial"/>
          <w:lang w:val="de-DE"/>
        </w:rPr>
        <w:tab/>
        <w:t>Z</w:t>
      </w:r>
      <w:r w:rsidRPr="008029A9">
        <w:rPr>
          <w:rFonts w:cs="Arial"/>
          <w:szCs w:val="18"/>
          <w:lang w:val="de-DE"/>
        </w:rPr>
        <w:t>eitraum der Prüfung;</w:t>
      </w:r>
    </w:p>
    <w:p w:rsidR="00EF1050" w:rsidRPr="008029A9" w:rsidRDefault="00EF1050" w:rsidP="00EF1050">
      <w:pPr>
        <w:keepNext/>
        <w:tabs>
          <w:tab w:val="left" w:pos="284"/>
          <w:tab w:val="left" w:pos="1134"/>
          <w:tab w:val="left" w:pos="1701"/>
          <w:tab w:val="left" w:pos="2268"/>
          <w:tab w:val="left" w:pos="2835"/>
        </w:tabs>
        <w:spacing w:line="276" w:lineRule="auto"/>
        <w:ind w:left="1134" w:right="567"/>
        <w:rPr>
          <w:rFonts w:cs="Arial"/>
          <w:szCs w:val="18"/>
          <w:lang w:val="de-DE"/>
        </w:rPr>
      </w:pPr>
      <w:r w:rsidRPr="008029A9">
        <w:rPr>
          <w:rFonts w:cs="Arial"/>
          <w:lang w:val="de-DE"/>
        </w:rPr>
        <w:t>▪</w:t>
      </w:r>
      <w:r w:rsidRPr="008029A9">
        <w:rPr>
          <w:rFonts w:cs="Arial"/>
          <w:lang w:val="de-DE"/>
        </w:rPr>
        <w:tab/>
      </w:r>
      <w:r w:rsidRPr="008029A9">
        <w:rPr>
          <w:rFonts w:cs="Arial"/>
          <w:szCs w:val="18"/>
          <w:lang w:val="de-DE"/>
        </w:rPr>
        <w:t>Ausstellungsdatum und -ort des Dokuments;</w:t>
      </w:r>
    </w:p>
    <w:p w:rsidR="00EF1050" w:rsidRPr="008029A9" w:rsidRDefault="00EF1050" w:rsidP="00EF1050">
      <w:pPr>
        <w:keepNext/>
        <w:tabs>
          <w:tab w:val="left" w:pos="284"/>
          <w:tab w:val="left" w:pos="1134"/>
          <w:tab w:val="left" w:pos="1701"/>
          <w:tab w:val="left" w:pos="2268"/>
          <w:tab w:val="left" w:pos="2835"/>
        </w:tabs>
        <w:spacing w:line="276" w:lineRule="auto"/>
        <w:ind w:left="1134" w:right="567"/>
        <w:rPr>
          <w:rFonts w:cs="Arial"/>
          <w:szCs w:val="18"/>
          <w:lang w:val="de-DE"/>
        </w:rPr>
      </w:pPr>
      <w:r w:rsidRPr="008029A9">
        <w:rPr>
          <w:rFonts w:cs="Arial"/>
          <w:lang w:val="de-DE"/>
        </w:rPr>
        <w:t>▪</w:t>
      </w:r>
      <w:r w:rsidRPr="008029A9">
        <w:rPr>
          <w:rFonts w:cs="Arial"/>
          <w:lang w:val="de-DE"/>
        </w:rPr>
        <w:tab/>
      </w:r>
      <w:r w:rsidRPr="008029A9">
        <w:rPr>
          <w:rFonts w:cs="Arial"/>
          <w:szCs w:val="18"/>
          <w:lang w:val="de-DE"/>
        </w:rPr>
        <w:t>Gruppe (Tabelle: Merkmale; Ausprägungsstufen; Note; Bemerkungen);</w:t>
      </w:r>
    </w:p>
    <w:p w:rsidR="00EF1050" w:rsidRPr="008029A9" w:rsidRDefault="00F23FF6" w:rsidP="00EF1050">
      <w:pPr>
        <w:keepNext/>
        <w:tabs>
          <w:tab w:val="left" w:pos="284"/>
          <w:tab w:val="left" w:pos="1134"/>
          <w:tab w:val="left" w:pos="1701"/>
          <w:tab w:val="left" w:pos="2268"/>
          <w:tab w:val="left" w:pos="2835"/>
        </w:tabs>
        <w:spacing w:line="276" w:lineRule="auto"/>
        <w:ind w:left="1134" w:right="567"/>
        <w:rPr>
          <w:rFonts w:cs="Arial"/>
          <w:szCs w:val="18"/>
          <w:lang w:val="de-DE"/>
        </w:rPr>
      </w:pPr>
      <w:r w:rsidRPr="008029A9">
        <w:rPr>
          <w:rFonts w:cs="Arial"/>
          <w:lang w:val="de-DE"/>
        </w:rPr>
        <w:t>▪</w:t>
      </w:r>
      <w:r w:rsidR="00EF1050" w:rsidRPr="008029A9">
        <w:rPr>
          <w:rFonts w:cs="Arial"/>
          <w:lang w:val="de-DE"/>
        </w:rPr>
        <w:tab/>
      </w:r>
      <w:r w:rsidR="00EF1050" w:rsidRPr="008029A9">
        <w:rPr>
          <w:rFonts w:cs="Arial"/>
          <w:szCs w:val="18"/>
          <w:lang w:val="de-DE"/>
        </w:rPr>
        <w:t>Zusätzliche Informationen;</w:t>
      </w:r>
    </w:p>
    <w:p w:rsidR="00EF1050" w:rsidRPr="008029A9" w:rsidRDefault="00F23FF6" w:rsidP="00EF1050">
      <w:pPr>
        <w:keepNext/>
        <w:tabs>
          <w:tab w:val="left" w:pos="284"/>
          <w:tab w:val="left" w:pos="1134"/>
          <w:tab w:val="left" w:pos="1701"/>
          <w:tab w:val="left" w:pos="2268"/>
          <w:tab w:val="left" w:pos="2835"/>
        </w:tabs>
        <w:spacing w:line="276" w:lineRule="auto"/>
        <w:ind w:left="1134" w:right="567"/>
        <w:rPr>
          <w:rFonts w:cs="Arial"/>
          <w:szCs w:val="18"/>
          <w:lang w:val="de-DE"/>
        </w:rPr>
      </w:pPr>
      <w:r w:rsidRPr="008029A9">
        <w:rPr>
          <w:rFonts w:cs="Arial"/>
          <w:szCs w:val="18"/>
          <w:lang w:val="de-DE"/>
        </w:rPr>
        <w:tab/>
        <w:t>a)</w:t>
      </w:r>
      <w:r w:rsidR="00EF1050" w:rsidRPr="008029A9">
        <w:rPr>
          <w:rFonts w:cs="Arial"/>
          <w:szCs w:val="18"/>
          <w:lang w:val="de-DE"/>
        </w:rPr>
        <w:tab/>
        <w:t>Zusätzliche Daten</w:t>
      </w:r>
    </w:p>
    <w:p w:rsidR="00EF1050" w:rsidRPr="008029A9" w:rsidRDefault="00F23FF6" w:rsidP="00EF1050">
      <w:pPr>
        <w:keepNext/>
        <w:tabs>
          <w:tab w:val="left" w:pos="284"/>
          <w:tab w:val="left" w:pos="1134"/>
          <w:tab w:val="left" w:pos="1701"/>
          <w:tab w:val="left" w:pos="2268"/>
          <w:tab w:val="left" w:pos="2835"/>
        </w:tabs>
        <w:spacing w:line="276" w:lineRule="auto"/>
        <w:ind w:left="1134" w:right="567"/>
        <w:rPr>
          <w:rFonts w:cs="Arial"/>
          <w:szCs w:val="18"/>
          <w:lang w:val="de-DE"/>
        </w:rPr>
      </w:pPr>
      <w:r w:rsidRPr="008029A9">
        <w:rPr>
          <w:rFonts w:cs="Arial"/>
          <w:szCs w:val="18"/>
          <w:lang w:val="de-DE"/>
        </w:rPr>
        <w:tab/>
        <w:t>b)</w:t>
      </w:r>
      <w:r w:rsidR="00EF1050" w:rsidRPr="008029A9">
        <w:rPr>
          <w:rFonts w:cs="Arial"/>
          <w:szCs w:val="18"/>
          <w:lang w:val="de-DE"/>
        </w:rPr>
        <w:tab/>
        <w:t>Fotoaufnahme (falls zweckmäßig)</w:t>
      </w:r>
    </w:p>
    <w:p w:rsidR="00EF1050" w:rsidRPr="008029A9" w:rsidRDefault="00F23FF6" w:rsidP="00EF1050">
      <w:pPr>
        <w:keepNext/>
        <w:tabs>
          <w:tab w:val="left" w:pos="284"/>
          <w:tab w:val="left" w:pos="1134"/>
          <w:tab w:val="left" w:pos="1701"/>
          <w:tab w:val="left" w:pos="2268"/>
          <w:tab w:val="left" w:pos="2835"/>
        </w:tabs>
        <w:spacing w:line="276" w:lineRule="auto"/>
        <w:ind w:left="1134" w:right="567"/>
        <w:rPr>
          <w:rFonts w:cs="Arial"/>
          <w:szCs w:val="18"/>
          <w:lang w:val="de-DE"/>
        </w:rPr>
      </w:pPr>
      <w:r w:rsidRPr="008029A9">
        <w:rPr>
          <w:rFonts w:cs="Arial"/>
          <w:szCs w:val="18"/>
          <w:lang w:val="de-DE"/>
        </w:rPr>
        <w:tab/>
        <w:t>c)</w:t>
      </w:r>
      <w:r w:rsidR="00EF1050" w:rsidRPr="008029A9">
        <w:rPr>
          <w:rFonts w:cs="Arial"/>
          <w:szCs w:val="18"/>
          <w:lang w:val="de-DE"/>
        </w:rPr>
        <w:tab/>
        <w:t>Version der verwendeten RHS-Farbkarte (falls zweckmäßig)</w:t>
      </w:r>
    </w:p>
    <w:p w:rsidR="00EF1050" w:rsidRPr="008029A9" w:rsidRDefault="00EF1050" w:rsidP="00EF1050">
      <w:pPr>
        <w:keepNext/>
        <w:tabs>
          <w:tab w:val="left" w:pos="284"/>
          <w:tab w:val="left" w:pos="1134"/>
          <w:tab w:val="left" w:pos="1701"/>
          <w:tab w:val="left" w:pos="2268"/>
          <w:tab w:val="left" w:pos="2835"/>
        </w:tabs>
        <w:spacing w:line="276" w:lineRule="auto"/>
        <w:ind w:left="1134" w:right="567"/>
        <w:rPr>
          <w:rFonts w:cs="Arial"/>
          <w:szCs w:val="18"/>
          <w:lang w:val="de-DE"/>
        </w:rPr>
      </w:pPr>
      <w:r w:rsidRPr="008029A9">
        <w:rPr>
          <w:rFonts w:cs="Arial"/>
          <w:szCs w:val="18"/>
          <w:lang w:val="de-DE"/>
        </w:rPr>
        <w:tab/>
      </w:r>
      <w:r w:rsidR="00F23FF6" w:rsidRPr="008029A9">
        <w:rPr>
          <w:rFonts w:cs="Arial"/>
          <w:szCs w:val="18"/>
          <w:lang w:val="de-DE"/>
        </w:rPr>
        <w:t>d)</w:t>
      </w:r>
      <w:r w:rsidR="00423E50" w:rsidRPr="008029A9">
        <w:rPr>
          <w:rFonts w:cs="Arial"/>
          <w:szCs w:val="18"/>
          <w:lang w:val="de-DE"/>
        </w:rPr>
        <w:tab/>
        <w:t>Bemerkungen</w:t>
      </w:r>
    </w:p>
    <w:p w:rsidR="008B1B3A" w:rsidRPr="008029A9" w:rsidRDefault="008B1B3A" w:rsidP="00423E50">
      <w:pPr>
        <w:rPr>
          <w:lang w:val="de-DE"/>
        </w:rPr>
      </w:pPr>
    </w:p>
    <w:p w:rsidR="004F5247" w:rsidRPr="008029A9" w:rsidRDefault="004F5247" w:rsidP="004F5247">
      <w:pPr>
        <w:rPr>
          <w:lang w:val="de-DE"/>
        </w:rPr>
      </w:pPr>
    </w:p>
    <w:p w:rsidR="001A3C6C" w:rsidRPr="008029A9" w:rsidRDefault="001A3C6C" w:rsidP="001A3C6C">
      <w:pPr>
        <w:rPr>
          <w:caps/>
          <w:lang w:val="de-DE"/>
        </w:rPr>
      </w:pPr>
      <w:r w:rsidRPr="008029A9">
        <w:rPr>
          <w:caps/>
          <w:lang w:val="de-DE"/>
        </w:rPr>
        <w:t xml:space="preserve">SCHLUSSFOLGERUNGEN DER </w:t>
      </w:r>
      <w:r w:rsidR="008D3A34" w:rsidRPr="008029A9">
        <w:rPr>
          <w:caps/>
          <w:lang w:val="de-DE"/>
        </w:rPr>
        <w:t>EUROPÄISCHEN UNION</w:t>
      </w:r>
    </w:p>
    <w:p w:rsidR="001A3C6C" w:rsidRPr="008029A9" w:rsidRDefault="001A3C6C" w:rsidP="001A3C6C">
      <w:pPr>
        <w:rPr>
          <w:lang w:val="de-DE"/>
        </w:rPr>
      </w:pPr>
    </w:p>
    <w:p w:rsidR="001A3C6C" w:rsidRPr="008029A9" w:rsidRDefault="001A3C6C" w:rsidP="001A3C6C">
      <w:pPr>
        <w:rPr>
          <w:lang w:val="de-DE"/>
        </w:rPr>
      </w:pPr>
      <w:r w:rsidRPr="008029A9">
        <w:rPr>
          <w:lang w:val="de-DE"/>
        </w:rPr>
        <w:t xml:space="preserve">Der TC vereinbarte, die Europäische Union zu ersuchen, weitere Anleitung </w:t>
      </w:r>
      <w:r w:rsidRPr="008029A9">
        <w:rPr>
          <w:rFonts w:cs="Arial"/>
          <w:lang w:val="de-DE"/>
        </w:rPr>
        <w:t>zu</w:t>
      </w:r>
      <w:r w:rsidRPr="008029A9">
        <w:rPr>
          <w:lang w:val="de-DE"/>
        </w:rPr>
        <w:t xml:space="preserve">r Rolle der Sortenbeschreibung </w:t>
      </w:r>
      <w:r w:rsidRPr="008029A9">
        <w:rPr>
          <w:snapToGrid w:val="0"/>
          <w:lang w:val="de-DE"/>
        </w:rPr>
        <w:t xml:space="preserve">und des </w:t>
      </w:r>
      <w:r w:rsidR="008D3A34" w:rsidRPr="008029A9">
        <w:rPr>
          <w:snapToGrid w:val="0"/>
          <w:lang w:val="de-DE"/>
        </w:rPr>
        <w:t>Pflanzenmaterials</w:t>
      </w:r>
      <w:r w:rsidR="008D3A34" w:rsidRPr="008029A9">
        <w:rPr>
          <w:lang w:val="de-DE"/>
        </w:rPr>
        <w:t>,</w:t>
      </w:r>
      <w:r w:rsidRPr="008029A9">
        <w:rPr>
          <w:lang w:val="de-DE"/>
        </w:rPr>
        <w:t xml:space="preserve"> d</w:t>
      </w:r>
      <w:r w:rsidR="00423E50" w:rsidRPr="008029A9">
        <w:rPr>
          <w:lang w:val="de-DE"/>
        </w:rPr>
        <w:t>ie</w:t>
      </w:r>
      <w:r w:rsidRPr="008029A9">
        <w:rPr>
          <w:lang w:val="de-DE"/>
        </w:rPr>
        <w:t xml:space="preserve"> als Grundlage für die DUS-Prüfung verwendet w</w:t>
      </w:r>
      <w:r w:rsidR="00423E50" w:rsidRPr="008029A9">
        <w:rPr>
          <w:lang w:val="de-DE"/>
        </w:rPr>
        <w:t>e</w:t>
      </w:r>
      <w:r w:rsidRPr="008029A9">
        <w:rPr>
          <w:lang w:val="de-DE"/>
        </w:rPr>
        <w:t>rd</w:t>
      </w:r>
      <w:r w:rsidR="00423E50" w:rsidRPr="008029A9">
        <w:rPr>
          <w:lang w:val="de-DE"/>
        </w:rPr>
        <w:t>en</w:t>
      </w:r>
      <w:r w:rsidRPr="008029A9">
        <w:rPr>
          <w:lang w:val="de-DE"/>
        </w:rPr>
        <w:t xml:space="preserve">, zusammenzustellen. Insbesondere wurde darum ersucht, die </w:t>
      </w:r>
      <w:r w:rsidR="008D3A34" w:rsidRPr="008029A9">
        <w:rPr>
          <w:lang w:val="de-DE"/>
        </w:rPr>
        <w:t>Schlußfolgerung</w:t>
      </w:r>
      <w:r w:rsidRPr="008029A9">
        <w:rPr>
          <w:lang w:val="de-DE"/>
        </w:rPr>
        <w:t xml:space="preserve"> </w:t>
      </w:r>
      <w:r w:rsidR="008D3A34" w:rsidRPr="008029A9">
        <w:rPr>
          <w:lang w:val="de-DE"/>
        </w:rPr>
        <w:t>mitzuteilen</w:t>
      </w:r>
      <w:r w:rsidRPr="008029A9">
        <w:rPr>
          <w:lang w:val="de-DE"/>
        </w:rPr>
        <w:t xml:space="preserve">, die die Europäische Union aus einer bei den Prüfungsämtern, die im </w:t>
      </w:r>
      <w:r w:rsidR="008D3A34" w:rsidRPr="008029A9">
        <w:rPr>
          <w:lang w:val="de-DE"/>
        </w:rPr>
        <w:t>Auftrag</w:t>
      </w:r>
      <w:r w:rsidRPr="008029A9">
        <w:rPr>
          <w:lang w:val="de-DE"/>
        </w:rPr>
        <w:t xml:space="preserve"> des </w:t>
      </w:r>
      <w:r w:rsidR="006348B3" w:rsidRPr="008029A9">
        <w:rPr>
          <w:lang w:val="de-DE"/>
        </w:rPr>
        <w:t>CPVO</w:t>
      </w:r>
      <w:r w:rsidRPr="008029A9">
        <w:rPr>
          <w:lang w:val="de-DE"/>
        </w:rPr>
        <w:t xml:space="preserve"> arbeiten, durchgeführten Umfrage zogen.</w:t>
      </w:r>
    </w:p>
    <w:p w:rsidR="004F5247" w:rsidRPr="008029A9" w:rsidRDefault="004F5247" w:rsidP="004F5247">
      <w:pPr>
        <w:rPr>
          <w:rFonts w:cs="Arial"/>
          <w:lang w:val="de-DE"/>
        </w:rPr>
      </w:pPr>
    </w:p>
    <w:p w:rsidR="004F5247" w:rsidRPr="008029A9" w:rsidRDefault="001A3C6C" w:rsidP="00F40352">
      <w:pPr>
        <w:numPr>
          <w:ilvl w:val="0"/>
          <w:numId w:val="3"/>
        </w:numPr>
        <w:tabs>
          <w:tab w:val="left" w:pos="567"/>
        </w:tabs>
        <w:ind w:left="709"/>
        <w:rPr>
          <w:lang w:val="de-DE"/>
        </w:rPr>
      </w:pPr>
      <w:r w:rsidRPr="008029A9">
        <w:rPr>
          <w:rFonts w:cs="Arial"/>
          <w:lang w:val="de-DE"/>
        </w:rPr>
        <w:t xml:space="preserve">Noten von ähnlichen Sorten in amtlichen </w:t>
      </w:r>
      <w:r w:rsidR="008D3A34" w:rsidRPr="008029A9">
        <w:rPr>
          <w:rFonts w:cs="Arial"/>
          <w:lang w:val="de-DE"/>
        </w:rPr>
        <w:t>Sortenbeschreibungen</w:t>
      </w:r>
    </w:p>
    <w:p w:rsidR="004F5247" w:rsidRPr="008029A9" w:rsidRDefault="004F5247" w:rsidP="001A3C6C">
      <w:pPr>
        <w:rPr>
          <w:lang w:val="de-DE"/>
        </w:rPr>
      </w:pPr>
    </w:p>
    <w:p w:rsidR="004F5247" w:rsidRPr="008029A9" w:rsidRDefault="00817D78" w:rsidP="00A013CC">
      <w:pPr>
        <w:rPr>
          <w:lang w:val="de-DE"/>
        </w:rPr>
      </w:pPr>
      <w:r w:rsidRPr="008029A9">
        <w:rPr>
          <w:lang w:val="de-DE"/>
        </w:rPr>
        <w:t>In der durchgeführten Umfrage berichtete</w:t>
      </w:r>
      <w:r w:rsidR="00423E50" w:rsidRPr="008029A9">
        <w:rPr>
          <w:lang w:val="de-DE"/>
        </w:rPr>
        <w:t>n</w:t>
      </w:r>
      <w:r w:rsidRPr="008029A9">
        <w:rPr>
          <w:lang w:val="de-DE"/>
        </w:rPr>
        <w:t xml:space="preserve"> rund 50 % der </w:t>
      </w:r>
      <w:r w:rsidR="006348B3" w:rsidRPr="008029A9">
        <w:rPr>
          <w:lang w:val="de-DE"/>
        </w:rPr>
        <w:t>CPVO</w:t>
      </w:r>
      <w:r w:rsidRPr="008029A9">
        <w:rPr>
          <w:lang w:val="de-DE"/>
        </w:rPr>
        <w:t xml:space="preserve">-Prüfungsämter, die Noten zur Beschreibung der Ausprägungsstufen ähnlicher Sorten, die in der Beschreibung der Kandidatensorte aufgelistet sind, würden der amtlichen Sortenbeschreibung entnommen. </w:t>
      </w:r>
      <w:r w:rsidR="001A3C6C" w:rsidRPr="008029A9">
        <w:rPr>
          <w:lang w:val="de-DE"/>
        </w:rPr>
        <w:t xml:space="preserve">Die </w:t>
      </w:r>
      <w:r w:rsidRPr="008029A9">
        <w:rPr>
          <w:lang w:val="de-DE"/>
        </w:rPr>
        <w:t>restlichen</w:t>
      </w:r>
      <w:r w:rsidR="001A3C6C" w:rsidRPr="008029A9">
        <w:rPr>
          <w:lang w:val="de-DE"/>
        </w:rPr>
        <w:t xml:space="preserve"> 50 % der Prüfungsämter</w:t>
      </w:r>
      <w:r w:rsidR="004F5247" w:rsidRPr="008029A9">
        <w:rPr>
          <w:lang w:val="de-DE"/>
        </w:rPr>
        <w:t xml:space="preserve"> </w:t>
      </w:r>
      <w:r w:rsidR="001A3C6C" w:rsidRPr="008029A9">
        <w:rPr>
          <w:lang w:val="de-DE"/>
        </w:rPr>
        <w:t xml:space="preserve">gaben an, alle Noten beschrieben die </w:t>
      </w:r>
      <w:r w:rsidR="007763A7" w:rsidRPr="008029A9">
        <w:rPr>
          <w:lang w:val="de-DE"/>
        </w:rPr>
        <w:t>Beispielssorte</w:t>
      </w:r>
      <w:r w:rsidR="001A3C6C" w:rsidRPr="008029A9">
        <w:rPr>
          <w:lang w:val="de-DE"/>
        </w:rPr>
        <w:t>, wie sie erschein</w:t>
      </w:r>
      <w:r w:rsidR="00423E50" w:rsidRPr="008029A9">
        <w:rPr>
          <w:lang w:val="de-DE"/>
        </w:rPr>
        <w:t>t</w:t>
      </w:r>
      <w:r w:rsidR="001A3C6C" w:rsidRPr="008029A9">
        <w:rPr>
          <w:lang w:val="de-DE"/>
        </w:rPr>
        <w:t xml:space="preserve">, wenn sie Seite an Seite mit der Kandidatensorte </w:t>
      </w:r>
      <w:r w:rsidRPr="008029A9">
        <w:rPr>
          <w:lang w:val="de-DE"/>
        </w:rPr>
        <w:t>angebaut</w:t>
      </w:r>
      <w:r w:rsidR="001A3C6C" w:rsidRPr="008029A9">
        <w:rPr>
          <w:lang w:val="de-DE"/>
        </w:rPr>
        <w:t xml:space="preserve"> </w:t>
      </w:r>
      <w:r w:rsidRPr="008029A9">
        <w:rPr>
          <w:lang w:val="de-DE"/>
        </w:rPr>
        <w:t>wird</w:t>
      </w:r>
      <w:r w:rsidR="001A3C6C" w:rsidRPr="008029A9">
        <w:rPr>
          <w:lang w:val="de-DE"/>
        </w:rPr>
        <w:t>.</w:t>
      </w:r>
    </w:p>
    <w:p w:rsidR="004F5247" w:rsidRPr="008029A9" w:rsidRDefault="004F5247" w:rsidP="00A013CC">
      <w:pPr>
        <w:rPr>
          <w:lang w:val="de-DE"/>
        </w:rPr>
      </w:pPr>
    </w:p>
    <w:p w:rsidR="004F5247" w:rsidRPr="008029A9" w:rsidRDefault="001A3C6C" w:rsidP="00A013CC">
      <w:pPr>
        <w:rPr>
          <w:lang w:val="de-DE"/>
        </w:rPr>
      </w:pPr>
      <w:r w:rsidRPr="008029A9">
        <w:rPr>
          <w:lang w:val="de-DE"/>
        </w:rPr>
        <w:t xml:space="preserve">Es wurde der </w:t>
      </w:r>
      <w:r w:rsidR="00817D78" w:rsidRPr="008029A9">
        <w:rPr>
          <w:lang w:val="de-DE"/>
        </w:rPr>
        <w:t>Schluß</w:t>
      </w:r>
      <w:r w:rsidRPr="008029A9">
        <w:rPr>
          <w:lang w:val="de-DE"/>
        </w:rPr>
        <w:t xml:space="preserve"> gezogen, </w:t>
      </w:r>
      <w:r w:rsidR="00817D78" w:rsidRPr="008029A9">
        <w:rPr>
          <w:lang w:val="de-DE"/>
        </w:rPr>
        <w:t>daß</w:t>
      </w:r>
      <w:r w:rsidRPr="008029A9">
        <w:rPr>
          <w:lang w:val="de-DE"/>
        </w:rPr>
        <w:t xml:space="preserve"> der Zweck der Auflistung ähnlicher </w:t>
      </w:r>
      <w:r w:rsidR="00817D78" w:rsidRPr="008029A9">
        <w:rPr>
          <w:lang w:val="de-DE"/>
        </w:rPr>
        <w:t>Sorten</w:t>
      </w:r>
      <w:r w:rsidRPr="008029A9">
        <w:rPr>
          <w:lang w:val="de-DE"/>
        </w:rPr>
        <w:t xml:space="preserve"> in </w:t>
      </w:r>
      <w:r w:rsidR="00817D78" w:rsidRPr="008029A9">
        <w:rPr>
          <w:lang w:val="de-DE"/>
        </w:rPr>
        <w:t>den</w:t>
      </w:r>
      <w:r w:rsidRPr="008029A9">
        <w:rPr>
          <w:lang w:val="de-DE"/>
        </w:rPr>
        <w:t xml:space="preserve"> </w:t>
      </w:r>
      <w:r w:rsidR="00817D78" w:rsidRPr="008029A9">
        <w:rPr>
          <w:lang w:val="de-DE"/>
        </w:rPr>
        <w:t>Beschreibungen</w:t>
      </w:r>
      <w:r w:rsidRPr="008029A9">
        <w:rPr>
          <w:lang w:val="de-DE"/>
        </w:rPr>
        <w:t xml:space="preserve"> nicht </w:t>
      </w:r>
      <w:r w:rsidR="00817D78" w:rsidRPr="008029A9">
        <w:rPr>
          <w:lang w:val="de-DE"/>
        </w:rPr>
        <w:t>darin</w:t>
      </w:r>
      <w:r w:rsidRPr="008029A9">
        <w:rPr>
          <w:lang w:val="de-DE"/>
        </w:rPr>
        <w:t xml:space="preserve"> </w:t>
      </w:r>
      <w:r w:rsidR="00817D78" w:rsidRPr="008029A9">
        <w:rPr>
          <w:lang w:val="de-DE"/>
        </w:rPr>
        <w:t>bestehe</w:t>
      </w:r>
      <w:r w:rsidRPr="008029A9">
        <w:rPr>
          <w:lang w:val="de-DE"/>
        </w:rPr>
        <w:t xml:space="preserve">, das </w:t>
      </w:r>
      <w:r w:rsidR="00423E50" w:rsidRPr="008029A9">
        <w:rPr>
          <w:lang w:val="de-DE"/>
        </w:rPr>
        <w:t xml:space="preserve">unveränderte </w:t>
      </w:r>
      <w:r w:rsidRPr="008029A9">
        <w:rPr>
          <w:lang w:val="de-DE"/>
        </w:rPr>
        <w:t xml:space="preserve">weitere Bestehen der </w:t>
      </w:r>
      <w:r w:rsidR="007763A7" w:rsidRPr="008029A9">
        <w:rPr>
          <w:lang w:val="de-DE"/>
        </w:rPr>
        <w:t>Beispiels</w:t>
      </w:r>
      <w:r w:rsidRPr="008029A9">
        <w:rPr>
          <w:lang w:val="de-DE"/>
        </w:rPr>
        <w:t xml:space="preserve">sorte zu begründen, sondern </w:t>
      </w:r>
      <w:r w:rsidR="00817D78" w:rsidRPr="008029A9">
        <w:rPr>
          <w:lang w:val="de-DE"/>
        </w:rPr>
        <w:t>die</w:t>
      </w:r>
      <w:r w:rsidRPr="008029A9">
        <w:rPr>
          <w:lang w:val="de-DE"/>
        </w:rPr>
        <w:t xml:space="preserve"> im Prüfungsbericht abgegebene Erklärung über die Unterscheidbarkeit zu bestätigen</w:t>
      </w:r>
      <w:r w:rsidR="004F5247" w:rsidRPr="008029A9">
        <w:rPr>
          <w:lang w:val="de-DE"/>
        </w:rPr>
        <w:t xml:space="preserve">. </w:t>
      </w:r>
      <w:r w:rsidRPr="008029A9">
        <w:rPr>
          <w:lang w:val="de-DE"/>
        </w:rPr>
        <w:t xml:space="preserve">Deshalb sollen die Noten, die </w:t>
      </w:r>
      <w:r w:rsidR="00817D78" w:rsidRPr="008029A9">
        <w:rPr>
          <w:lang w:val="de-DE"/>
        </w:rPr>
        <w:t>ähnliche</w:t>
      </w:r>
      <w:r w:rsidRPr="008029A9">
        <w:rPr>
          <w:lang w:val="de-DE"/>
        </w:rPr>
        <w:t xml:space="preserve"> </w:t>
      </w:r>
      <w:r w:rsidR="00817D78" w:rsidRPr="008029A9">
        <w:rPr>
          <w:lang w:val="de-DE"/>
        </w:rPr>
        <w:t>Sorten</w:t>
      </w:r>
      <w:r w:rsidRPr="008029A9">
        <w:rPr>
          <w:lang w:val="de-DE"/>
        </w:rPr>
        <w:t xml:space="preserve"> beschreiben, die Ausprägung der </w:t>
      </w:r>
      <w:r w:rsidR="00817D78" w:rsidRPr="008029A9">
        <w:rPr>
          <w:lang w:val="de-DE"/>
        </w:rPr>
        <w:t>maßgebenden</w:t>
      </w:r>
      <w:r w:rsidRPr="008029A9">
        <w:rPr>
          <w:lang w:val="de-DE"/>
        </w:rPr>
        <w:t xml:space="preserve"> Merkmale, wie im Anbauversuch der Kandidatensorte beobachtet, widerspiegeln</w:t>
      </w:r>
      <w:r w:rsidR="00817D78" w:rsidRPr="008029A9">
        <w:rPr>
          <w:lang w:val="de-DE"/>
        </w:rPr>
        <w:t>.</w:t>
      </w:r>
    </w:p>
    <w:p w:rsidR="004F5247" w:rsidRPr="008029A9" w:rsidRDefault="004F5247" w:rsidP="004F5247">
      <w:pPr>
        <w:rPr>
          <w:lang w:val="de-DE"/>
        </w:rPr>
      </w:pPr>
    </w:p>
    <w:p w:rsidR="004F5247" w:rsidRPr="008029A9" w:rsidRDefault="001A3C6C" w:rsidP="00F40352">
      <w:pPr>
        <w:numPr>
          <w:ilvl w:val="0"/>
          <w:numId w:val="3"/>
        </w:numPr>
        <w:tabs>
          <w:tab w:val="left" w:pos="567"/>
        </w:tabs>
        <w:ind w:left="709"/>
        <w:rPr>
          <w:rFonts w:cs="Tahoma"/>
          <w:szCs w:val="18"/>
          <w:lang w:val="de-DE" w:eastAsia="fr-FR"/>
        </w:rPr>
      </w:pPr>
      <w:r w:rsidRPr="008029A9">
        <w:rPr>
          <w:rFonts w:cs="Arial"/>
          <w:lang w:val="de-DE"/>
        </w:rPr>
        <w:t>Änderungen der Sortenbeschreibung</w:t>
      </w:r>
      <w:r w:rsidR="00563F23" w:rsidRPr="008029A9">
        <w:rPr>
          <w:rFonts w:cs="Arial"/>
          <w:lang w:val="de-DE"/>
        </w:rPr>
        <w:t>en</w:t>
      </w:r>
    </w:p>
    <w:p w:rsidR="004F5247" w:rsidRPr="008029A9" w:rsidRDefault="004F5247" w:rsidP="001A3C6C">
      <w:pPr>
        <w:rPr>
          <w:rFonts w:cs="Tahoma"/>
          <w:szCs w:val="18"/>
          <w:lang w:val="de-DE" w:eastAsia="fr-FR"/>
        </w:rPr>
      </w:pPr>
    </w:p>
    <w:p w:rsidR="007763A7" w:rsidRPr="008029A9" w:rsidRDefault="00817D78" w:rsidP="007763A7">
      <w:pPr>
        <w:rPr>
          <w:i/>
          <w:lang w:val="de-DE"/>
        </w:rPr>
      </w:pPr>
      <w:r w:rsidRPr="008029A9">
        <w:rPr>
          <w:rFonts w:cs="Tahoma"/>
          <w:szCs w:val="18"/>
          <w:lang w:val="de-DE" w:eastAsia="fr-FR"/>
        </w:rPr>
        <w:t>Dokument TGP/4, „</w:t>
      </w:r>
      <w:r w:rsidRPr="008029A9">
        <w:rPr>
          <w:lang w:val="de-DE"/>
        </w:rPr>
        <w:t>Errichtung und Erhaltung von Sortensammlungen</w:t>
      </w:r>
      <w:r w:rsidRPr="008029A9">
        <w:rPr>
          <w:rFonts w:cs="Tahoma"/>
          <w:szCs w:val="18"/>
          <w:lang w:val="de-DE" w:eastAsia="fr-FR"/>
        </w:rPr>
        <w:t xml:space="preserve">“, erläutert in Abschnitt 3.1.1: </w:t>
      </w:r>
      <w:r w:rsidR="00563F23" w:rsidRPr="008029A9">
        <w:rPr>
          <w:rFonts w:cs="Tahoma"/>
          <w:szCs w:val="18"/>
          <w:lang w:val="de-DE" w:eastAsia="fr-FR"/>
        </w:rPr>
        <w:t>„</w:t>
      </w:r>
      <w:r w:rsidRPr="008029A9">
        <w:rPr>
          <w:i/>
          <w:lang w:val="de-DE"/>
        </w:rPr>
        <w:t xml:space="preserve">Hinsichtlich der auf den einschlägigen UPOV-Prüfungsrichtlinien beruhenden Beschreibungen ist anzumerken, daß die UPOV-Prüfungsrichtlinien revidiert werden können (vergleiche Dokument TGP/7), was zur Einführung neuer Merkmale und Streichung anderer aus den Merkmalstabellen führen könnte. Außerdem können die Ausprägungsstufen eines Merkmals geändert werden. </w:t>
      </w:r>
      <w:r w:rsidR="007763A7" w:rsidRPr="008029A9">
        <w:rPr>
          <w:i/>
          <w:lang w:val="de-DE"/>
        </w:rPr>
        <w:t>Daher ist es möglich, daß</w:t>
      </w:r>
      <w:r w:rsidR="00563F23" w:rsidRPr="008029A9">
        <w:rPr>
          <w:i/>
          <w:lang w:val="de-DE"/>
        </w:rPr>
        <w:t xml:space="preserve"> </w:t>
      </w:r>
      <w:r w:rsidR="007763A7" w:rsidRPr="008029A9">
        <w:rPr>
          <w:i/>
          <w:lang w:val="de-DE"/>
        </w:rPr>
        <w:t>Beschreibungen, die aufgrund unterschiedlicher Fassungen der UPOV-Prüfungsrichtlinien für dieselbe Art oder Gruppe von Arten nicht vollständig übereinstimmen. In diesen Fällen sollten die Beschreibungen nach Möglichkeit abgeglichen werden.“</w:t>
      </w:r>
    </w:p>
    <w:p w:rsidR="004F5247" w:rsidRPr="008029A9" w:rsidRDefault="004F5247" w:rsidP="00A013CC">
      <w:pPr>
        <w:rPr>
          <w:rFonts w:cs="Tahoma"/>
          <w:szCs w:val="18"/>
          <w:lang w:val="de-DE" w:eastAsia="fr-FR"/>
        </w:rPr>
      </w:pPr>
    </w:p>
    <w:p w:rsidR="004F5247" w:rsidRPr="008029A9" w:rsidRDefault="00F849FE" w:rsidP="00A013CC">
      <w:pPr>
        <w:rPr>
          <w:rFonts w:cs="Tahoma"/>
          <w:szCs w:val="18"/>
          <w:lang w:val="de-DE" w:eastAsia="fr-FR"/>
        </w:rPr>
      </w:pPr>
      <w:r w:rsidRPr="008029A9">
        <w:rPr>
          <w:rFonts w:cs="Tahoma"/>
          <w:szCs w:val="18"/>
          <w:lang w:val="de-DE" w:eastAsia="fr-FR"/>
        </w:rPr>
        <w:t xml:space="preserve">Die Rechtsprechung über Sortenrechte in der Europäischen Union sieht die </w:t>
      </w:r>
      <w:r w:rsidR="00817D78" w:rsidRPr="008029A9">
        <w:rPr>
          <w:rFonts w:cs="Tahoma"/>
          <w:szCs w:val="18"/>
          <w:lang w:val="de-DE" w:eastAsia="fr-FR"/>
        </w:rPr>
        <w:t>Möglichkeit</w:t>
      </w:r>
      <w:r w:rsidRPr="008029A9">
        <w:rPr>
          <w:rFonts w:cs="Tahoma"/>
          <w:szCs w:val="18"/>
          <w:lang w:val="de-DE" w:eastAsia="fr-FR"/>
        </w:rPr>
        <w:t xml:space="preserve"> vor, die </w:t>
      </w:r>
      <w:r w:rsidR="00817D78" w:rsidRPr="008029A9">
        <w:rPr>
          <w:rFonts w:cs="Tahoma"/>
          <w:szCs w:val="18"/>
          <w:lang w:val="de-DE" w:eastAsia="fr-FR"/>
        </w:rPr>
        <w:t>amtliche</w:t>
      </w:r>
      <w:r w:rsidRPr="008029A9">
        <w:rPr>
          <w:rFonts w:cs="Tahoma"/>
          <w:szCs w:val="18"/>
          <w:lang w:val="de-DE" w:eastAsia="fr-FR"/>
        </w:rPr>
        <w:t xml:space="preserve"> </w:t>
      </w:r>
      <w:r w:rsidR="00817D78" w:rsidRPr="008029A9">
        <w:rPr>
          <w:rFonts w:cs="Tahoma"/>
          <w:szCs w:val="18"/>
          <w:lang w:val="de-DE" w:eastAsia="fr-FR"/>
        </w:rPr>
        <w:t>Sortenbeschreibung</w:t>
      </w:r>
      <w:r w:rsidRPr="008029A9">
        <w:rPr>
          <w:rFonts w:cs="Tahoma"/>
          <w:szCs w:val="18"/>
          <w:lang w:val="de-DE" w:eastAsia="fr-FR"/>
        </w:rPr>
        <w:t xml:space="preserve"> im Lichte der </w:t>
      </w:r>
      <w:r w:rsidR="00563F23" w:rsidRPr="008029A9">
        <w:rPr>
          <w:rFonts w:cs="Tahoma"/>
          <w:szCs w:val="18"/>
          <w:lang w:val="de-DE" w:eastAsia="fr-FR"/>
        </w:rPr>
        <w:t>geltend</w:t>
      </w:r>
      <w:r w:rsidRPr="008029A9">
        <w:rPr>
          <w:rFonts w:cs="Tahoma"/>
          <w:szCs w:val="18"/>
          <w:lang w:val="de-DE" w:eastAsia="fr-FR"/>
        </w:rPr>
        <w:t xml:space="preserve">en Grundsätze anzupassen, um die </w:t>
      </w:r>
      <w:r w:rsidR="00563F23" w:rsidRPr="008029A9">
        <w:rPr>
          <w:rFonts w:cs="Tahoma"/>
          <w:szCs w:val="18"/>
          <w:lang w:val="de-DE" w:eastAsia="fr-FR"/>
        </w:rPr>
        <w:t xml:space="preserve">Beschreibung einer </w:t>
      </w:r>
      <w:r w:rsidR="00817D78" w:rsidRPr="008029A9">
        <w:rPr>
          <w:rFonts w:cs="Tahoma"/>
          <w:szCs w:val="18"/>
          <w:lang w:val="de-DE" w:eastAsia="fr-FR"/>
        </w:rPr>
        <w:t>Sorte</w:t>
      </w:r>
      <w:r w:rsidR="00563F23" w:rsidRPr="008029A9">
        <w:rPr>
          <w:rFonts w:cs="Tahoma"/>
          <w:szCs w:val="18"/>
          <w:lang w:val="de-DE" w:eastAsia="fr-FR"/>
        </w:rPr>
        <w:t>,</w:t>
      </w:r>
      <w:r w:rsidRPr="008029A9">
        <w:rPr>
          <w:rFonts w:cs="Tahoma"/>
          <w:szCs w:val="18"/>
          <w:lang w:val="de-DE" w:eastAsia="fr-FR"/>
        </w:rPr>
        <w:t xml:space="preserve"> für </w:t>
      </w:r>
      <w:r w:rsidR="00423E50" w:rsidRPr="008029A9">
        <w:rPr>
          <w:rFonts w:cs="Tahoma"/>
          <w:szCs w:val="18"/>
          <w:lang w:val="de-DE" w:eastAsia="fr-FR"/>
        </w:rPr>
        <w:t xml:space="preserve">die </w:t>
      </w:r>
      <w:r w:rsidR="00563F23" w:rsidRPr="008029A9">
        <w:rPr>
          <w:rFonts w:cs="Tahoma"/>
          <w:szCs w:val="18"/>
          <w:lang w:val="de-DE" w:eastAsia="fr-FR"/>
        </w:rPr>
        <w:t xml:space="preserve">in der Vergangenheit </w:t>
      </w:r>
      <w:r w:rsidRPr="008029A9">
        <w:rPr>
          <w:rFonts w:cs="Tahoma"/>
          <w:szCs w:val="18"/>
          <w:lang w:val="de-DE" w:eastAsia="fr-FR"/>
        </w:rPr>
        <w:t>Züchterrechte</w:t>
      </w:r>
      <w:bookmarkStart w:id="6" w:name="_GoBack"/>
      <w:bookmarkEnd w:id="6"/>
      <w:r w:rsidRPr="008029A9">
        <w:rPr>
          <w:rFonts w:cs="Tahoma"/>
          <w:szCs w:val="18"/>
          <w:lang w:val="de-DE" w:eastAsia="fr-FR"/>
        </w:rPr>
        <w:t xml:space="preserve"> </w:t>
      </w:r>
      <w:r w:rsidR="00817D78" w:rsidRPr="008029A9">
        <w:rPr>
          <w:rFonts w:cs="Tahoma"/>
          <w:szCs w:val="18"/>
          <w:lang w:val="de-DE" w:eastAsia="fr-FR"/>
        </w:rPr>
        <w:t>erteilt</w:t>
      </w:r>
      <w:r w:rsidRPr="008029A9">
        <w:rPr>
          <w:rFonts w:cs="Tahoma"/>
          <w:szCs w:val="18"/>
          <w:lang w:val="de-DE" w:eastAsia="fr-FR"/>
        </w:rPr>
        <w:t xml:space="preserve"> wurden, mit </w:t>
      </w:r>
      <w:r w:rsidR="00817D78" w:rsidRPr="008029A9">
        <w:rPr>
          <w:rFonts w:cs="Tahoma"/>
          <w:szCs w:val="18"/>
          <w:lang w:val="de-DE" w:eastAsia="fr-FR"/>
        </w:rPr>
        <w:t>Beschreibungen</w:t>
      </w:r>
      <w:r w:rsidRPr="008029A9">
        <w:rPr>
          <w:rFonts w:cs="Tahoma"/>
          <w:szCs w:val="18"/>
          <w:lang w:val="de-DE" w:eastAsia="fr-FR"/>
        </w:rPr>
        <w:t xml:space="preserve"> anderer Sorten vergleichbar </w:t>
      </w:r>
      <w:r w:rsidR="00563F23" w:rsidRPr="008029A9">
        <w:rPr>
          <w:rFonts w:cs="Tahoma"/>
          <w:szCs w:val="18"/>
          <w:lang w:val="de-DE" w:eastAsia="fr-FR"/>
        </w:rPr>
        <w:t>zu machen</w:t>
      </w:r>
      <w:r w:rsidR="004F5247" w:rsidRPr="008029A9">
        <w:rPr>
          <w:rFonts w:cs="Tahoma"/>
          <w:szCs w:val="18"/>
          <w:lang w:val="de-DE" w:eastAsia="fr-FR"/>
        </w:rPr>
        <w:t xml:space="preserve">. </w:t>
      </w:r>
      <w:r w:rsidRPr="008029A9">
        <w:rPr>
          <w:rFonts w:cs="Tahoma"/>
          <w:szCs w:val="18"/>
          <w:lang w:val="de-DE" w:eastAsia="fr-FR"/>
        </w:rPr>
        <w:t>D</w:t>
      </w:r>
      <w:r w:rsidR="00563F23" w:rsidRPr="008029A9">
        <w:rPr>
          <w:rFonts w:cs="Tahoma"/>
          <w:szCs w:val="18"/>
          <w:lang w:val="de-DE" w:eastAsia="fr-FR"/>
        </w:rPr>
        <w:t>a</w:t>
      </w:r>
      <w:r w:rsidRPr="008029A9">
        <w:rPr>
          <w:rFonts w:cs="Tahoma"/>
          <w:szCs w:val="18"/>
          <w:lang w:val="de-DE" w:eastAsia="fr-FR"/>
        </w:rPr>
        <w:t xml:space="preserve"> diese Änderung</w:t>
      </w:r>
      <w:r w:rsidR="00563F23" w:rsidRPr="008029A9">
        <w:rPr>
          <w:rFonts w:cs="Tahoma"/>
          <w:szCs w:val="18"/>
          <w:lang w:val="de-DE" w:eastAsia="fr-FR"/>
        </w:rPr>
        <w:t>en</w:t>
      </w:r>
      <w:r w:rsidRPr="008029A9">
        <w:rPr>
          <w:rFonts w:cs="Tahoma"/>
          <w:szCs w:val="18"/>
          <w:lang w:val="de-DE" w:eastAsia="fr-FR"/>
        </w:rPr>
        <w:t xml:space="preserve"> amtliche</w:t>
      </w:r>
      <w:r w:rsidR="00563F23" w:rsidRPr="008029A9">
        <w:rPr>
          <w:rFonts w:cs="Tahoma"/>
          <w:szCs w:val="18"/>
          <w:lang w:val="de-DE" w:eastAsia="fr-FR"/>
        </w:rPr>
        <w:t>n Charakter haben</w:t>
      </w:r>
      <w:r w:rsidRPr="008029A9">
        <w:rPr>
          <w:rFonts w:cs="Tahoma"/>
          <w:szCs w:val="18"/>
          <w:lang w:val="de-DE" w:eastAsia="fr-FR"/>
        </w:rPr>
        <w:t xml:space="preserve">, müssen sich alle Beteiligten </w:t>
      </w:r>
      <w:r w:rsidR="00817D78" w:rsidRPr="008029A9">
        <w:rPr>
          <w:rFonts w:cs="Tahoma"/>
          <w:szCs w:val="18"/>
          <w:lang w:val="de-DE" w:eastAsia="fr-FR"/>
        </w:rPr>
        <w:t>bewußt</w:t>
      </w:r>
      <w:r w:rsidRPr="008029A9">
        <w:rPr>
          <w:rFonts w:cs="Tahoma"/>
          <w:szCs w:val="18"/>
          <w:lang w:val="de-DE" w:eastAsia="fr-FR"/>
        </w:rPr>
        <w:t xml:space="preserve"> sein: Der Rechtsinhaber </w:t>
      </w:r>
      <w:r w:rsidR="00184F7B" w:rsidRPr="008029A9">
        <w:rPr>
          <w:rFonts w:cs="Tahoma"/>
          <w:szCs w:val="18"/>
          <w:lang w:val="de-DE" w:eastAsia="fr-FR"/>
        </w:rPr>
        <w:t>e</w:t>
      </w:r>
      <w:r w:rsidR="00817D78" w:rsidRPr="008029A9">
        <w:rPr>
          <w:rFonts w:cs="Tahoma"/>
          <w:szCs w:val="18"/>
          <w:lang w:val="de-DE" w:eastAsia="fr-FR"/>
        </w:rPr>
        <w:t>rhält</w:t>
      </w:r>
      <w:r w:rsidRPr="008029A9">
        <w:rPr>
          <w:rFonts w:cs="Tahoma"/>
          <w:szCs w:val="18"/>
          <w:lang w:val="de-DE" w:eastAsia="fr-FR"/>
        </w:rPr>
        <w:t xml:space="preserve"> ein </w:t>
      </w:r>
      <w:r w:rsidR="00817D78" w:rsidRPr="008029A9">
        <w:rPr>
          <w:rFonts w:cs="Tahoma"/>
          <w:szCs w:val="18"/>
          <w:lang w:val="de-DE" w:eastAsia="fr-FR"/>
        </w:rPr>
        <w:t>Dokument</w:t>
      </w:r>
      <w:r w:rsidRPr="008029A9">
        <w:rPr>
          <w:rFonts w:cs="Tahoma"/>
          <w:szCs w:val="18"/>
          <w:lang w:val="de-DE" w:eastAsia="fr-FR"/>
        </w:rPr>
        <w:t xml:space="preserve">, die Sortenrechtsbehörden und die Allgemeinheit </w:t>
      </w:r>
      <w:r w:rsidR="00817D78" w:rsidRPr="008029A9">
        <w:rPr>
          <w:rFonts w:cs="Tahoma"/>
          <w:szCs w:val="18"/>
          <w:lang w:val="de-DE" w:eastAsia="fr-FR"/>
        </w:rPr>
        <w:t>werden</w:t>
      </w:r>
      <w:r w:rsidRPr="008029A9">
        <w:rPr>
          <w:rFonts w:cs="Tahoma"/>
          <w:szCs w:val="18"/>
          <w:lang w:val="de-DE" w:eastAsia="fr-FR"/>
        </w:rPr>
        <w:t xml:space="preserve"> über die geänderten amtlichen </w:t>
      </w:r>
      <w:r w:rsidR="00817D78" w:rsidRPr="008029A9">
        <w:rPr>
          <w:rFonts w:cs="Tahoma"/>
          <w:szCs w:val="18"/>
          <w:lang w:val="de-DE" w:eastAsia="fr-FR"/>
        </w:rPr>
        <w:t>Sortenbeschreibungen</w:t>
      </w:r>
      <w:r w:rsidRPr="008029A9">
        <w:rPr>
          <w:rFonts w:cs="Tahoma"/>
          <w:szCs w:val="18"/>
          <w:lang w:val="de-DE" w:eastAsia="fr-FR"/>
        </w:rPr>
        <w:t xml:space="preserve"> auf gleiche Weise wie über die </w:t>
      </w:r>
      <w:r w:rsidR="00817D78" w:rsidRPr="008029A9">
        <w:rPr>
          <w:rFonts w:cs="Tahoma"/>
          <w:szCs w:val="18"/>
          <w:lang w:val="de-DE" w:eastAsia="fr-FR"/>
        </w:rPr>
        <w:t>anfängliche</w:t>
      </w:r>
      <w:r w:rsidRPr="008029A9">
        <w:rPr>
          <w:rFonts w:cs="Tahoma"/>
          <w:szCs w:val="18"/>
          <w:lang w:val="de-DE" w:eastAsia="fr-FR"/>
        </w:rPr>
        <w:t xml:space="preserve"> amtliche </w:t>
      </w:r>
      <w:r w:rsidR="00817D78" w:rsidRPr="008029A9">
        <w:rPr>
          <w:rFonts w:cs="Tahoma"/>
          <w:szCs w:val="18"/>
          <w:lang w:val="de-DE" w:eastAsia="fr-FR"/>
        </w:rPr>
        <w:t>Sortenbeschreibung</w:t>
      </w:r>
      <w:r w:rsidRPr="008029A9">
        <w:rPr>
          <w:rFonts w:cs="Tahoma"/>
          <w:szCs w:val="18"/>
          <w:lang w:val="de-DE" w:eastAsia="fr-FR"/>
        </w:rPr>
        <w:t xml:space="preserve"> unterrichtet. Das </w:t>
      </w:r>
      <w:r w:rsidR="00817D78" w:rsidRPr="008029A9">
        <w:rPr>
          <w:rFonts w:cs="Tahoma"/>
          <w:szCs w:val="18"/>
          <w:lang w:val="de-DE" w:eastAsia="fr-FR"/>
        </w:rPr>
        <w:t>bedeutet</w:t>
      </w:r>
      <w:r w:rsidRPr="008029A9">
        <w:rPr>
          <w:rFonts w:cs="Tahoma"/>
          <w:szCs w:val="18"/>
          <w:lang w:val="de-DE" w:eastAsia="fr-FR"/>
        </w:rPr>
        <w:t xml:space="preserve"> für das </w:t>
      </w:r>
      <w:r w:rsidR="006348B3" w:rsidRPr="008029A9">
        <w:rPr>
          <w:rFonts w:cs="Tahoma"/>
          <w:szCs w:val="18"/>
          <w:lang w:val="de-DE" w:eastAsia="fr-FR"/>
        </w:rPr>
        <w:t>CPVO</w:t>
      </w:r>
      <w:r w:rsidRPr="008029A9">
        <w:rPr>
          <w:rFonts w:cs="Tahoma"/>
          <w:szCs w:val="18"/>
          <w:lang w:val="de-DE" w:eastAsia="fr-FR"/>
        </w:rPr>
        <w:t xml:space="preserve"> eine Veröffentlichung im </w:t>
      </w:r>
      <w:r w:rsidR="00817D78" w:rsidRPr="008029A9">
        <w:rPr>
          <w:rFonts w:cs="Tahoma"/>
          <w:szCs w:val="18"/>
          <w:lang w:val="de-DE" w:eastAsia="fr-FR"/>
        </w:rPr>
        <w:t>Amtsblatt</w:t>
      </w:r>
      <w:r w:rsidRPr="008029A9">
        <w:rPr>
          <w:rFonts w:cs="Tahoma"/>
          <w:szCs w:val="18"/>
          <w:lang w:val="de-DE" w:eastAsia="fr-FR"/>
        </w:rPr>
        <w:t xml:space="preserve"> und auf Anfrage </w:t>
      </w:r>
      <w:r w:rsidR="00817D78" w:rsidRPr="008029A9">
        <w:rPr>
          <w:rFonts w:cs="Tahoma"/>
          <w:szCs w:val="18"/>
          <w:lang w:val="de-DE" w:eastAsia="fr-FR"/>
        </w:rPr>
        <w:t>öffentlichen</w:t>
      </w:r>
      <w:r w:rsidRPr="008029A9">
        <w:rPr>
          <w:rFonts w:cs="Tahoma"/>
          <w:szCs w:val="18"/>
          <w:lang w:val="de-DE" w:eastAsia="fr-FR"/>
        </w:rPr>
        <w:t xml:space="preserve"> Zugang zum Dokument. In der Praxis hat das</w:t>
      </w:r>
      <w:r w:rsidR="004F5247" w:rsidRPr="008029A9">
        <w:rPr>
          <w:rFonts w:cs="Tahoma"/>
          <w:szCs w:val="18"/>
          <w:lang w:val="de-DE" w:eastAsia="fr-FR"/>
        </w:rPr>
        <w:t xml:space="preserve"> </w:t>
      </w:r>
      <w:r w:rsidR="006348B3" w:rsidRPr="008029A9">
        <w:rPr>
          <w:rFonts w:cs="Tahoma"/>
          <w:szCs w:val="18"/>
          <w:lang w:val="de-DE" w:eastAsia="fr-FR"/>
        </w:rPr>
        <w:t>CPVO</w:t>
      </w:r>
      <w:r w:rsidR="004F5247" w:rsidRPr="008029A9">
        <w:rPr>
          <w:rFonts w:cs="Tahoma"/>
          <w:szCs w:val="18"/>
          <w:lang w:val="de-DE" w:eastAsia="fr-FR"/>
        </w:rPr>
        <w:t xml:space="preserve"> </w:t>
      </w:r>
      <w:r w:rsidRPr="008029A9">
        <w:rPr>
          <w:rFonts w:cs="Tahoma"/>
          <w:szCs w:val="18"/>
          <w:lang w:val="de-DE" w:eastAsia="fr-FR"/>
        </w:rPr>
        <w:t xml:space="preserve">diese vom Gesetzgeber vorgesehene </w:t>
      </w:r>
      <w:r w:rsidR="00817D78" w:rsidRPr="008029A9">
        <w:rPr>
          <w:rFonts w:cs="Tahoma"/>
          <w:szCs w:val="18"/>
          <w:lang w:val="de-DE" w:eastAsia="fr-FR"/>
        </w:rPr>
        <w:t>Möglichkeit</w:t>
      </w:r>
      <w:r w:rsidRPr="008029A9">
        <w:rPr>
          <w:rFonts w:cs="Tahoma"/>
          <w:szCs w:val="18"/>
          <w:lang w:val="de-DE" w:eastAsia="fr-FR"/>
        </w:rPr>
        <w:t xml:space="preserve"> </w:t>
      </w:r>
      <w:r w:rsidR="00184F7B" w:rsidRPr="008029A9">
        <w:rPr>
          <w:rFonts w:cs="Tahoma"/>
          <w:szCs w:val="18"/>
          <w:lang w:val="de-DE" w:eastAsia="fr-FR"/>
        </w:rPr>
        <w:t xml:space="preserve">jedoch </w:t>
      </w:r>
      <w:r w:rsidRPr="008029A9">
        <w:rPr>
          <w:rFonts w:cs="Tahoma"/>
          <w:szCs w:val="18"/>
          <w:lang w:val="de-DE" w:eastAsia="fr-FR"/>
        </w:rPr>
        <w:t xml:space="preserve">kaum jemals in </w:t>
      </w:r>
      <w:r w:rsidR="00817D78" w:rsidRPr="008029A9">
        <w:rPr>
          <w:rFonts w:cs="Tahoma"/>
          <w:szCs w:val="18"/>
          <w:lang w:val="de-DE" w:eastAsia="fr-FR"/>
        </w:rPr>
        <w:t>Anspruch</w:t>
      </w:r>
      <w:r w:rsidRPr="008029A9">
        <w:rPr>
          <w:rFonts w:cs="Tahoma"/>
          <w:szCs w:val="18"/>
          <w:lang w:val="de-DE" w:eastAsia="fr-FR"/>
        </w:rPr>
        <w:t xml:space="preserve"> genommen</w:t>
      </w:r>
      <w:r w:rsidR="004F5247" w:rsidRPr="008029A9">
        <w:rPr>
          <w:rFonts w:cs="Tahoma"/>
          <w:szCs w:val="18"/>
          <w:lang w:val="de-DE" w:eastAsia="fr-FR"/>
        </w:rPr>
        <w:t xml:space="preserve">. </w:t>
      </w:r>
    </w:p>
    <w:p w:rsidR="004F5247" w:rsidRPr="008029A9" w:rsidRDefault="004F5247" w:rsidP="00A013CC">
      <w:pPr>
        <w:rPr>
          <w:rFonts w:cs="Tahoma"/>
          <w:szCs w:val="18"/>
          <w:lang w:val="de-DE" w:eastAsia="fr-FR"/>
        </w:rPr>
      </w:pPr>
    </w:p>
    <w:p w:rsidR="004F5247" w:rsidRPr="008029A9" w:rsidRDefault="00F849FE" w:rsidP="00A013CC">
      <w:pPr>
        <w:rPr>
          <w:rFonts w:cs="Tahoma"/>
          <w:szCs w:val="18"/>
          <w:lang w:val="de-DE" w:eastAsia="fr-FR"/>
        </w:rPr>
      </w:pPr>
      <w:r w:rsidRPr="008029A9">
        <w:rPr>
          <w:rFonts w:cs="Tahoma"/>
          <w:szCs w:val="18"/>
          <w:lang w:val="de-DE" w:eastAsia="fr-FR"/>
        </w:rPr>
        <w:t xml:space="preserve">Ungeachtet der Änderungen der amtlichen </w:t>
      </w:r>
      <w:r w:rsidR="00817D78" w:rsidRPr="008029A9">
        <w:rPr>
          <w:rFonts w:cs="Tahoma"/>
          <w:szCs w:val="18"/>
          <w:lang w:val="de-DE" w:eastAsia="fr-FR"/>
        </w:rPr>
        <w:t>Sortenbeschreibungen</w:t>
      </w:r>
      <w:r w:rsidRPr="008029A9">
        <w:rPr>
          <w:rFonts w:cs="Tahoma"/>
          <w:szCs w:val="18"/>
          <w:lang w:val="de-DE" w:eastAsia="fr-FR"/>
        </w:rPr>
        <w:t xml:space="preserve"> aktualisieren die </w:t>
      </w:r>
      <w:r w:rsidR="001A3C6C" w:rsidRPr="008029A9">
        <w:rPr>
          <w:rFonts w:cs="Tahoma"/>
          <w:szCs w:val="18"/>
          <w:lang w:val="de-DE" w:eastAsia="fr-FR"/>
        </w:rPr>
        <w:t>Prüfungsämter</w:t>
      </w:r>
      <w:r w:rsidR="004F5247" w:rsidRPr="008029A9">
        <w:rPr>
          <w:rFonts w:cs="Tahoma"/>
          <w:szCs w:val="18"/>
          <w:lang w:val="de-DE" w:eastAsia="fr-FR"/>
        </w:rPr>
        <w:t xml:space="preserve"> </w:t>
      </w:r>
      <w:r w:rsidR="00184F7B" w:rsidRPr="008029A9">
        <w:rPr>
          <w:rFonts w:cs="Tahoma"/>
          <w:szCs w:val="18"/>
          <w:lang w:val="de-DE" w:eastAsia="fr-FR"/>
        </w:rPr>
        <w:t xml:space="preserve">tatsächlich </w:t>
      </w:r>
      <w:r w:rsidR="00817D78" w:rsidRPr="008029A9">
        <w:rPr>
          <w:rFonts w:cs="Tahoma"/>
          <w:szCs w:val="18"/>
          <w:lang w:val="de-DE" w:eastAsia="fr-FR"/>
        </w:rPr>
        <w:t>regelmäßig</w:t>
      </w:r>
      <w:r w:rsidRPr="008029A9">
        <w:rPr>
          <w:rFonts w:cs="Tahoma"/>
          <w:szCs w:val="18"/>
          <w:lang w:val="de-DE" w:eastAsia="fr-FR"/>
        </w:rPr>
        <w:t xml:space="preserve"> ihre beschreibenden </w:t>
      </w:r>
      <w:r w:rsidR="00184F7B" w:rsidRPr="008029A9">
        <w:rPr>
          <w:rFonts w:cs="Tahoma"/>
          <w:szCs w:val="18"/>
          <w:lang w:val="de-DE" w:eastAsia="fr-FR"/>
        </w:rPr>
        <w:t>Dat</w:t>
      </w:r>
      <w:r w:rsidRPr="008029A9">
        <w:rPr>
          <w:rFonts w:cs="Tahoma"/>
          <w:szCs w:val="18"/>
          <w:lang w:val="de-DE" w:eastAsia="fr-FR"/>
        </w:rPr>
        <w:t xml:space="preserve">en, um die </w:t>
      </w:r>
      <w:r w:rsidR="00817D78" w:rsidRPr="008029A9">
        <w:rPr>
          <w:rFonts w:cs="Tahoma"/>
          <w:szCs w:val="18"/>
          <w:lang w:val="de-DE" w:eastAsia="fr-FR"/>
        </w:rPr>
        <w:t>Weiterentwicklung</w:t>
      </w:r>
      <w:r w:rsidRPr="008029A9">
        <w:rPr>
          <w:rFonts w:cs="Tahoma"/>
          <w:szCs w:val="18"/>
          <w:lang w:val="de-DE" w:eastAsia="fr-FR"/>
        </w:rPr>
        <w:t xml:space="preserve"> der Prüfungsrichtlinien </w:t>
      </w:r>
      <w:r w:rsidRPr="008029A9">
        <w:rPr>
          <w:rFonts w:cs="Tahoma"/>
          <w:szCs w:val="18"/>
          <w:lang w:val="de-DE" w:eastAsia="fr-FR"/>
        </w:rPr>
        <w:lastRenderedPageBreak/>
        <w:t xml:space="preserve">widerzuspiegeln. Diese Aktualisierungen erfolgen aus Arbeitszwecken und wirken sich nicht auf die amtliche </w:t>
      </w:r>
      <w:r w:rsidR="00817D78" w:rsidRPr="008029A9">
        <w:rPr>
          <w:rFonts w:cs="Tahoma"/>
          <w:szCs w:val="18"/>
          <w:lang w:val="de-DE" w:eastAsia="fr-FR"/>
        </w:rPr>
        <w:t>Sortenbeschreibung</w:t>
      </w:r>
      <w:r w:rsidRPr="008029A9">
        <w:rPr>
          <w:rFonts w:cs="Tahoma"/>
          <w:szCs w:val="18"/>
          <w:lang w:val="de-DE" w:eastAsia="fr-FR"/>
        </w:rPr>
        <w:t xml:space="preserve"> aus.</w:t>
      </w:r>
    </w:p>
    <w:p w:rsidR="004F5247" w:rsidRPr="008029A9" w:rsidRDefault="004F5247" w:rsidP="00AD087A">
      <w:pPr>
        <w:rPr>
          <w:rFonts w:cs="Tahoma"/>
          <w:szCs w:val="18"/>
          <w:lang w:val="de-DE" w:eastAsia="fr-FR"/>
        </w:rPr>
      </w:pPr>
    </w:p>
    <w:p w:rsidR="004F5247" w:rsidRPr="008029A9" w:rsidRDefault="00F849FE" w:rsidP="00F40352">
      <w:pPr>
        <w:numPr>
          <w:ilvl w:val="0"/>
          <w:numId w:val="3"/>
        </w:numPr>
        <w:tabs>
          <w:tab w:val="left" w:pos="567"/>
        </w:tabs>
        <w:ind w:left="709"/>
        <w:rPr>
          <w:rFonts w:cs="Tahoma"/>
          <w:szCs w:val="18"/>
          <w:lang w:val="de-DE" w:eastAsia="fr-FR"/>
        </w:rPr>
      </w:pPr>
      <w:r w:rsidRPr="008029A9">
        <w:rPr>
          <w:rFonts w:cs="Arial"/>
          <w:lang w:val="de-DE"/>
        </w:rPr>
        <w:t xml:space="preserve">Sortenbeschreibungen in </w:t>
      </w:r>
      <w:r w:rsidR="00817D78" w:rsidRPr="008029A9">
        <w:rPr>
          <w:rFonts w:cs="Arial"/>
          <w:lang w:val="de-DE"/>
        </w:rPr>
        <w:t>gemeinsam</w:t>
      </w:r>
      <w:r w:rsidRPr="008029A9">
        <w:rPr>
          <w:rFonts w:cs="Arial"/>
          <w:lang w:val="de-DE"/>
        </w:rPr>
        <w:t xml:space="preserve"> </w:t>
      </w:r>
      <w:r w:rsidR="00817D78" w:rsidRPr="008029A9">
        <w:rPr>
          <w:rFonts w:cs="Arial"/>
          <w:lang w:val="de-DE"/>
        </w:rPr>
        <w:t>genutzten</w:t>
      </w:r>
      <w:r w:rsidRPr="008029A9">
        <w:rPr>
          <w:rFonts w:cs="Arial"/>
          <w:lang w:val="de-DE"/>
        </w:rPr>
        <w:t xml:space="preserve"> Datenbanken</w:t>
      </w:r>
    </w:p>
    <w:p w:rsidR="004F5247" w:rsidRPr="008029A9" w:rsidRDefault="004F5247" w:rsidP="00AD087A">
      <w:pPr>
        <w:rPr>
          <w:rFonts w:cs="Tahoma"/>
          <w:szCs w:val="18"/>
          <w:lang w:val="de-DE" w:eastAsia="fr-FR"/>
        </w:rPr>
      </w:pPr>
    </w:p>
    <w:p w:rsidR="004F5247" w:rsidRPr="008029A9" w:rsidRDefault="00F849FE" w:rsidP="00A013CC">
      <w:pPr>
        <w:rPr>
          <w:rFonts w:cs="Tahoma"/>
          <w:szCs w:val="18"/>
          <w:lang w:val="de-DE" w:eastAsia="fr-FR"/>
        </w:rPr>
      </w:pPr>
      <w:r w:rsidRPr="008029A9">
        <w:rPr>
          <w:rFonts w:cs="Tahoma"/>
          <w:szCs w:val="18"/>
          <w:lang w:val="de-DE" w:eastAsia="fr-FR"/>
        </w:rPr>
        <w:t xml:space="preserve">Zweck gemeinsam </w:t>
      </w:r>
      <w:r w:rsidR="00817D78" w:rsidRPr="008029A9">
        <w:rPr>
          <w:rFonts w:cs="Tahoma"/>
          <w:szCs w:val="18"/>
          <w:lang w:val="de-DE" w:eastAsia="fr-FR"/>
        </w:rPr>
        <w:t>genutzter</w:t>
      </w:r>
      <w:r w:rsidRPr="008029A9">
        <w:rPr>
          <w:rFonts w:cs="Tahoma"/>
          <w:szCs w:val="18"/>
          <w:lang w:val="de-DE" w:eastAsia="fr-FR"/>
        </w:rPr>
        <w:t xml:space="preserve"> Datenbanken ist es, den Prüfern Informationen über Sorten bereitzustellen, damit </w:t>
      </w:r>
      <w:r w:rsidR="00817D78" w:rsidRPr="008029A9">
        <w:rPr>
          <w:rFonts w:cs="Tahoma"/>
          <w:szCs w:val="18"/>
          <w:lang w:val="de-DE" w:eastAsia="fr-FR"/>
        </w:rPr>
        <w:t>maßgeb</w:t>
      </w:r>
      <w:r w:rsidR="00AD087A" w:rsidRPr="008029A9">
        <w:rPr>
          <w:rFonts w:cs="Tahoma"/>
          <w:szCs w:val="18"/>
          <w:lang w:val="de-DE" w:eastAsia="fr-FR"/>
        </w:rPr>
        <w:t>end</w:t>
      </w:r>
      <w:r w:rsidR="00817D78" w:rsidRPr="008029A9">
        <w:rPr>
          <w:rFonts w:cs="Tahoma"/>
          <w:szCs w:val="18"/>
          <w:lang w:val="de-DE" w:eastAsia="fr-FR"/>
        </w:rPr>
        <w:t>e</w:t>
      </w:r>
      <w:r w:rsidRPr="008029A9">
        <w:rPr>
          <w:rFonts w:cs="Tahoma"/>
          <w:szCs w:val="18"/>
          <w:lang w:val="de-DE" w:eastAsia="fr-FR"/>
        </w:rPr>
        <w:t xml:space="preserve"> Beispielssorten </w:t>
      </w:r>
      <w:r w:rsidR="00817D78" w:rsidRPr="008029A9">
        <w:rPr>
          <w:rFonts w:cs="Tahoma"/>
          <w:szCs w:val="18"/>
          <w:lang w:val="de-DE" w:eastAsia="fr-FR"/>
        </w:rPr>
        <w:t>wirksam</w:t>
      </w:r>
      <w:r w:rsidRPr="008029A9">
        <w:rPr>
          <w:rFonts w:cs="Tahoma"/>
          <w:szCs w:val="18"/>
          <w:lang w:val="de-DE" w:eastAsia="fr-FR"/>
        </w:rPr>
        <w:t xml:space="preserve"> identifiziert </w:t>
      </w:r>
      <w:r w:rsidR="00817D78" w:rsidRPr="008029A9">
        <w:rPr>
          <w:rFonts w:cs="Tahoma"/>
          <w:szCs w:val="18"/>
          <w:lang w:val="de-DE" w:eastAsia="fr-FR"/>
        </w:rPr>
        <w:t>werden</w:t>
      </w:r>
      <w:r w:rsidRPr="008029A9">
        <w:rPr>
          <w:rFonts w:cs="Tahoma"/>
          <w:szCs w:val="18"/>
          <w:lang w:val="de-DE" w:eastAsia="fr-FR"/>
        </w:rPr>
        <w:t xml:space="preserve"> können. Hat der Prüfer die </w:t>
      </w:r>
      <w:r w:rsidR="00AD087A" w:rsidRPr="008029A9">
        <w:rPr>
          <w:rFonts w:cs="Tahoma"/>
          <w:szCs w:val="18"/>
          <w:lang w:val="de-DE" w:eastAsia="fr-FR"/>
        </w:rPr>
        <w:t>betreff</w:t>
      </w:r>
      <w:r w:rsidRPr="008029A9">
        <w:rPr>
          <w:rFonts w:cs="Tahoma"/>
          <w:szCs w:val="18"/>
          <w:lang w:val="de-DE" w:eastAsia="fr-FR"/>
        </w:rPr>
        <w:t xml:space="preserve">ende Beispielssorte </w:t>
      </w:r>
      <w:r w:rsidR="00AD087A" w:rsidRPr="008029A9">
        <w:rPr>
          <w:rFonts w:cs="Tahoma"/>
          <w:szCs w:val="18"/>
          <w:lang w:val="de-DE" w:eastAsia="fr-FR"/>
        </w:rPr>
        <w:t xml:space="preserve">noch </w:t>
      </w:r>
      <w:r w:rsidRPr="008029A9">
        <w:rPr>
          <w:rFonts w:cs="Tahoma"/>
          <w:szCs w:val="18"/>
          <w:lang w:val="de-DE" w:eastAsia="fr-FR"/>
        </w:rPr>
        <w:t xml:space="preserve">nicht angebaut, können Informationen aus anderen amtlichen Quellen </w:t>
      </w:r>
      <w:r w:rsidR="00817D78" w:rsidRPr="008029A9">
        <w:rPr>
          <w:rFonts w:cs="Tahoma"/>
          <w:szCs w:val="18"/>
          <w:lang w:val="de-DE" w:eastAsia="fr-FR"/>
        </w:rPr>
        <w:t>äußerst</w:t>
      </w:r>
      <w:r w:rsidRPr="008029A9">
        <w:rPr>
          <w:rFonts w:cs="Tahoma"/>
          <w:szCs w:val="18"/>
          <w:lang w:val="de-DE" w:eastAsia="fr-FR"/>
        </w:rPr>
        <w:t xml:space="preserve"> </w:t>
      </w:r>
      <w:r w:rsidR="00817D78" w:rsidRPr="008029A9">
        <w:rPr>
          <w:rFonts w:cs="Tahoma"/>
          <w:szCs w:val="18"/>
          <w:lang w:val="de-DE" w:eastAsia="fr-FR"/>
        </w:rPr>
        <w:t>hilfreich</w:t>
      </w:r>
      <w:r w:rsidRPr="008029A9">
        <w:rPr>
          <w:rFonts w:cs="Tahoma"/>
          <w:szCs w:val="18"/>
          <w:lang w:val="de-DE" w:eastAsia="fr-FR"/>
        </w:rPr>
        <w:t xml:space="preserve"> sein.</w:t>
      </w:r>
    </w:p>
    <w:p w:rsidR="004F5247" w:rsidRPr="008029A9" w:rsidRDefault="004F5247" w:rsidP="00A013CC">
      <w:pPr>
        <w:rPr>
          <w:rFonts w:cs="Tahoma"/>
          <w:szCs w:val="18"/>
          <w:lang w:val="de-DE" w:eastAsia="fr-FR"/>
        </w:rPr>
      </w:pPr>
    </w:p>
    <w:p w:rsidR="004F5247" w:rsidRPr="008029A9" w:rsidRDefault="00F849FE" w:rsidP="00A013CC">
      <w:pPr>
        <w:rPr>
          <w:rFonts w:cs="Tahoma"/>
          <w:szCs w:val="18"/>
          <w:lang w:val="de-DE" w:eastAsia="fr-FR"/>
        </w:rPr>
      </w:pPr>
      <w:r w:rsidRPr="008029A9">
        <w:rPr>
          <w:rFonts w:cs="Tahoma"/>
          <w:szCs w:val="18"/>
          <w:lang w:val="de-DE" w:eastAsia="fr-FR"/>
        </w:rPr>
        <w:t xml:space="preserve">Die vom </w:t>
      </w:r>
      <w:r w:rsidR="006348B3" w:rsidRPr="008029A9">
        <w:rPr>
          <w:rFonts w:cs="Tahoma"/>
          <w:szCs w:val="18"/>
          <w:lang w:val="de-DE" w:eastAsia="fr-FR"/>
        </w:rPr>
        <w:t>CPVO</w:t>
      </w:r>
      <w:r w:rsidRPr="008029A9">
        <w:rPr>
          <w:rFonts w:cs="Tahoma"/>
          <w:szCs w:val="18"/>
          <w:lang w:val="de-DE" w:eastAsia="fr-FR"/>
        </w:rPr>
        <w:t xml:space="preserve"> durchgeführte </w:t>
      </w:r>
      <w:r w:rsidR="00817D78" w:rsidRPr="008029A9">
        <w:rPr>
          <w:rFonts w:cs="Tahoma"/>
          <w:szCs w:val="18"/>
          <w:lang w:val="de-DE" w:eastAsia="fr-FR"/>
        </w:rPr>
        <w:t>Umfrage</w:t>
      </w:r>
      <w:r w:rsidRPr="008029A9">
        <w:rPr>
          <w:rFonts w:cs="Tahoma"/>
          <w:szCs w:val="18"/>
          <w:lang w:val="de-DE" w:eastAsia="fr-FR"/>
        </w:rPr>
        <w:t xml:space="preserve"> </w:t>
      </w:r>
      <w:r w:rsidR="00817D78" w:rsidRPr="008029A9">
        <w:rPr>
          <w:rFonts w:cs="Tahoma"/>
          <w:szCs w:val="18"/>
          <w:lang w:val="de-DE" w:eastAsia="fr-FR"/>
        </w:rPr>
        <w:t>bei</w:t>
      </w:r>
      <w:r w:rsidRPr="008029A9">
        <w:rPr>
          <w:rFonts w:cs="Tahoma"/>
          <w:szCs w:val="18"/>
          <w:lang w:val="de-DE" w:eastAsia="fr-FR"/>
        </w:rPr>
        <w:t xml:space="preserve"> </w:t>
      </w:r>
      <w:r w:rsidR="00817D78" w:rsidRPr="008029A9">
        <w:rPr>
          <w:rFonts w:cs="Tahoma"/>
          <w:szCs w:val="18"/>
          <w:lang w:val="de-DE" w:eastAsia="fr-FR"/>
        </w:rPr>
        <w:t>seinen</w:t>
      </w:r>
      <w:r w:rsidR="004F5247" w:rsidRPr="008029A9">
        <w:rPr>
          <w:rFonts w:cs="Tahoma"/>
          <w:szCs w:val="18"/>
          <w:lang w:val="de-DE" w:eastAsia="fr-FR"/>
        </w:rPr>
        <w:t xml:space="preserve"> </w:t>
      </w:r>
      <w:r w:rsidR="001A3C6C" w:rsidRPr="008029A9">
        <w:rPr>
          <w:rFonts w:cs="Tahoma"/>
          <w:szCs w:val="18"/>
          <w:lang w:val="de-DE" w:eastAsia="fr-FR"/>
        </w:rPr>
        <w:t>Prüfungsämter</w:t>
      </w:r>
      <w:r w:rsidRPr="008029A9">
        <w:rPr>
          <w:rFonts w:cs="Tahoma"/>
          <w:szCs w:val="18"/>
          <w:lang w:val="de-DE" w:eastAsia="fr-FR"/>
        </w:rPr>
        <w:t xml:space="preserve">n förderte </w:t>
      </w:r>
      <w:r w:rsidR="00817D78" w:rsidRPr="008029A9">
        <w:rPr>
          <w:rFonts w:cs="Tahoma"/>
          <w:szCs w:val="18"/>
          <w:lang w:val="de-DE" w:eastAsia="fr-FR"/>
        </w:rPr>
        <w:t>unterschiedliche Vorgehensweisen</w:t>
      </w:r>
      <w:r w:rsidR="00AD087A" w:rsidRPr="008029A9">
        <w:rPr>
          <w:rFonts w:cs="Tahoma"/>
          <w:szCs w:val="18"/>
          <w:lang w:val="de-DE" w:eastAsia="fr-FR"/>
        </w:rPr>
        <w:t xml:space="preserve"> zutage</w:t>
      </w:r>
      <w:r w:rsidRPr="008029A9">
        <w:rPr>
          <w:rFonts w:cs="Tahoma"/>
          <w:szCs w:val="18"/>
          <w:lang w:val="de-DE" w:eastAsia="fr-FR"/>
        </w:rPr>
        <w:t xml:space="preserve">. </w:t>
      </w:r>
      <w:r w:rsidR="00817D78" w:rsidRPr="008029A9">
        <w:rPr>
          <w:rFonts w:cs="Tahoma"/>
          <w:szCs w:val="18"/>
          <w:lang w:val="de-DE" w:eastAsia="fr-FR"/>
        </w:rPr>
        <w:t>Verschiedene</w:t>
      </w:r>
      <w:r w:rsidR="004F5247" w:rsidRPr="008029A9">
        <w:rPr>
          <w:rFonts w:cs="Tahoma"/>
          <w:szCs w:val="18"/>
          <w:lang w:val="de-DE" w:eastAsia="fr-FR"/>
        </w:rPr>
        <w:t xml:space="preserve"> </w:t>
      </w:r>
      <w:r w:rsidR="001A3C6C" w:rsidRPr="008029A9">
        <w:rPr>
          <w:rFonts w:cs="Tahoma"/>
          <w:szCs w:val="18"/>
          <w:lang w:val="de-DE" w:eastAsia="fr-FR"/>
        </w:rPr>
        <w:t>Prüfungsämter</w:t>
      </w:r>
      <w:r w:rsidR="004F5247" w:rsidRPr="008029A9">
        <w:rPr>
          <w:rFonts w:cs="Tahoma"/>
          <w:szCs w:val="18"/>
          <w:lang w:val="de-DE" w:eastAsia="fr-FR"/>
        </w:rPr>
        <w:t xml:space="preserve"> </w:t>
      </w:r>
      <w:r w:rsidRPr="008029A9">
        <w:rPr>
          <w:rFonts w:cs="Tahoma"/>
          <w:szCs w:val="18"/>
          <w:lang w:val="de-DE" w:eastAsia="fr-FR"/>
        </w:rPr>
        <w:t xml:space="preserve">stellen </w:t>
      </w:r>
      <w:r w:rsidR="00817D78" w:rsidRPr="008029A9">
        <w:rPr>
          <w:rFonts w:cs="Tahoma"/>
          <w:szCs w:val="18"/>
          <w:lang w:val="de-DE" w:eastAsia="fr-FR"/>
        </w:rPr>
        <w:t>lediglich</w:t>
      </w:r>
      <w:r w:rsidRPr="008029A9">
        <w:rPr>
          <w:rFonts w:cs="Tahoma"/>
          <w:szCs w:val="18"/>
          <w:lang w:val="de-DE" w:eastAsia="fr-FR"/>
        </w:rPr>
        <w:t xml:space="preserve"> amtliche </w:t>
      </w:r>
      <w:r w:rsidR="00817D78" w:rsidRPr="008029A9">
        <w:rPr>
          <w:rFonts w:cs="Tahoma"/>
          <w:szCs w:val="18"/>
          <w:lang w:val="de-DE" w:eastAsia="fr-FR"/>
        </w:rPr>
        <w:t>Sortenbeschreibungen</w:t>
      </w:r>
      <w:r w:rsidRPr="008029A9">
        <w:rPr>
          <w:rFonts w:cs="Tahoma"/>
          <w:szCs w:val="18"/>
          <w:lang w:val="de-DE" w:eastAsia="fr-FR"/>
        </w:rPr>
        <w:t xml:space="preserve"> bereit, </w:t>
      </w:r>
      <w:r w:rsidR="00817D78" w:rsidRPr="008029A9">
        <w:rPr>
          <w:rFonts w:cs="Tahoma"/>
          <w:szCs w:val="18"/>
          <w:lang w:val="de-DE" w:eastAsia="fr-FR"/>
        </w:rPr>
        <w:t>während</w:t>
      </w:r>
      <w:r w:rsidRPr="008029A9">
        <w:rPr>
          <w:rFonts w:cs="Tahoma"/>
          <w:szCs w:val="18"/>
          <w:lang w:val="de-DE" w:eastAsia="fr-FR"/>
        </w:rPr>
        <w:t xml:space="preserve"> </w:t>
      </w:r>
      <w:r w:rsidR="00817D78" w:rsidRPr="008029A9">
        <w:rPr>
          <w:rFonts w:cs="Tahoma"/>
          <w:szCs w:val="18"/>
          <w:lang w:val="de-DE" w:eastAsia="fr-FR"/>
        </w:rPr>
        <w:t>andere</w:t>
      </w:r>
      <w:r w:rsidRPr="008029A9">
        <w:rPr>
          <w:rFonts w:cs="Tahoma"/>
          <w:szCs w:val="18"/>
          <w:lang w:val="de-DE" w:eastAsia="fr-FR"/>
        </w:rPr>
        <w:t xml:space="preserve"> alle </w:t>
      </w:r>
      <w:r w:rsidR="008D3A34" w:rsidRPr="008029A9">
        <w:rPr>
          <w:rFonts w:cs="Tahoma"/>
          <w:szCs w:val="18"/>
          <w:lang w:val="de-DE" w:eastAsia="fr-FR"/>
        </w:rPr>
        <w:t xml:space="preserve">im </w:t>
      </w:r>
      <w:r w:rsidR="00817D78" w:rsidRPr="008029A9">
        <w:rPr>
          <w:rFonts w:cs="Tahoma"/>
          <w:szCs w:val="18"/>
          <w:lang w:val="de-DE" w:eastAsia="fr-FR"/>
        </w:rPr>
        <w:t>Laufe</w:t>
      </w:r>
      <w:r w:rsidR="008D3A34" w:rsidRPr="008029A9">
        <w:rPr>
          <w:rFonts w:cs="Tahoma"/>
          <w:szCs w:val="18"/>
          <w:lang w:val="de-DE" w:eastAsia="fr-FR"/>
        </w:rPr>
        <w:t xml:space="preserve"> mehrerer Anbauperioden </w:t>
      </w:r>
      <w:r w:rsidR="00AD087A" w:rsidRPr="008029A9">
        <w:rPr>
          <w:rFonts w:cs="Tahoma"/>
          <w:szCs w:val="18"/>
          <w:lang w:val="de-DE" w:eastAsia="fr-FR"/>
        </w:rPr>
        <w:t>g</w:t>
      </w:r>
      <w:r w:rsidR="00817D78" w:rsidRPr="008029A9">
        <w:rPr>
          <w:rFonts w:cs="Tahoma"/>
          <w:szCs w:val="18"/>
          <w:lang w:val="de-DE" w:eastAsia="fr-FR"/>
        </w:rPr>
        <w:t>esammelten</w:t>
      </w:r>
      <w:r w:rsidR="008D3A34" w:rsidRPr="008029A9">
        <w:rPr>
          <w:rFonts w:cs="Tahoma"/>
          <w:szCs w:val="18"/>
          <w:lang w:val="de-DE" w:eastAsia="fr-FR"/>
        </w:rPr>
        <w:t xml:space="preserve"> </w:t>
      </w:r>
      <w:r w:rsidR="00817D78" w:rsidRPr="008029A9">
        <w:rPr>
          <w:rFonts w:cs="Tahoma"/>
          <w:szCs w:val="18"/>
          <w:lang w:val="de-DE" w:eastAsia="fr-FR"/>
        </w:rPr>
        <w:t>beschreibenden</w:t>
      </w:r>
      <w:r w:rsidRPr="008029A9">
        <w:rPr>
          <w:rFonts w:cs="Tahoma"/>
          <w:szCs w:val="18"/>
          <w:lang w:val="de-DE" w:eastAsia="fr-FR"/>
        </w:rPr>
        <w:t xml:space="preserve"> </w:t>
      </w:r>
      <w:r w:rsidR="00817D78" w:rsidRPr="008029A9">
        <w:rPr>
          <w:rFonts w:cs="Tahoma"/>
          <w:szCs w:val="18"/>
          <w:lang w:val="de-DE" w:eastAsia="fr-FR"/>
        </w:rPr>
        <w:t>Angaben bereitstellen, die auch Angaben beinhalten können, die nach der Erteilung der Züchterrechte gesammelt wurden</w:t>
      </w:r>
      <w:r w:rsidR="00AD087A" w:rsidRPr="008029A9">
        <w:rPr>
          <w:rFonts w:cs="Tahoma"/>
          <w:szCs w:val="18"/>
          <w:lang w:val="de-DE" w:eastAsia="fr-FR"/>
        </w:rPr>
        <w:t>.</w:t>
      </w:r>
      <w:r w:rsidR="00817D78" w:rsidRPr="008029A9">
        <w:rPr>
          <w:rFonts w:cs="Tahoma"/>
          <w:szCs w:val="18"/>
          <w:lang w:val="de-DE" w:eastAsia="fr-FR"/>
        </w:rPr>
        <w:t xml:space="preserve"> Die Speicherung der amtlichen Sortenbeschreibungen kann einfach sein, doch wurde die </w:t>
      </w:r>
      <w:r w:rsidR="00AD087A" w:rsidRPr="008029A9">
        <w:rPr>
          <w:rFonts w:cs="Tahoma"/>
          <w:szCs w:val="18"/>
          <w:lang w:val="de-DE" w:eastAsia="fr-FR"/>
        </w:rPr>
        <w:t>betreffende</w:t>
      </w:r>
      <w:r w:rsidR="00817D78" w:rsidRPr="008029A9">
        <w:rPr>
          <w:rFonts w:cs="Tahoma"/>
          <w:szCs w:val="18"/>
          <w:lang w:val="de-DE" w:eastAsia="fr-FR"/>
        </w:rPr>
        <w:t xml:space="preserve"> Sorte in einem bestimmten Jahr unter bestimmten Umweltbedingungen beschrieben, und deshalb ist es möglich, daß ihre Beschreibung für andere Standorte nicht wirklich repräsentativ ist. </w:t>
      </w:r>
      <w:r w:rsidR="008D3A34" w:rsidRPr="008029A9">
        <w:rPr>
          <w:rFonts w:cs="Tahoma"/>
          <w:szCs w:val="18"/>
          <w:lang w:val="de-DE" w:eastAsia="fr-FR"/>
        </w:rPr>
        <w:t xml:space="preserve">Die Prüfer anderer Züchterrechtsbehörden sind sich der </w:t>
      </w:r>
      <w:r w:rsidR="00817D78" w:rsidRPr="008029A9">
        <w:rPr>
          <w:rFonts w:cs="Tahoma"/>
          <w:szCs w:val="18"/>
          <w:lang w:val="de-DE" w:eastAsia="fr-FR"/>
        </w:rPr>
        <w:t>Bedingungen</w:t>
      </w:r>
      <w:r w:rsidR="008D3A34" w:rsidRPr="008029A9">
        <w:rPr>
          <w:rFonts w:cs="Tahoma"/>
          <w:szCs w:val="18"/>
          <w:lang w:val="de-DE" w:eastAsia="fr-FR"/>
        </w:rPr>
        <w:t xml:space="preserve">, unter denen die </w:t>
      </w:r>
      <w:r w:rsidR="00817D78" w:rsidRPr="008029A9">
        <w:rPr>
          <w:rFonts w:cs="Tahoma"/>
          <w:szCs w:val="18"/>
          <w:lang w:val="de-DE" w:eastAsia="fr-FR"/>
        </w:rPr>
        <w:t>Beschreibung</w:t>
      </w:r>
      <w:r w:rsidR="008D3A34" w:rsidRPr="008029A9">
        <w:rPr>
          <w:rFonts w:cs="Tahoma"/>
          <w:szCs w:val="18"/>
          <w:lang w:val="de-DE" w:eastAsia="fr-FR"/>
        </w:rPr>
        <w:t xml:space="preserve"> einer gegebenen Sorte erstellt wurde, zumeist nicht </w:t>
      </w:r>
      <w:r w:rsidR="00817D78" w:rsidRPr="008029A9">
        <w:rPr>
          <w:rFonts w:cs="Tahoma"/>
          <w:szCs w:val="18"/>
          <w:lang w:val="de-DE" w:eastAsia="fr-FR"/>
        </w:rPr>
        <w:t>bewußt</w:t>
      </w:r>
      <w:r w:rsidR="008D3A34" w:rsidRPr="008029A9">
        <w:rPr>
          <w:rFonts w:cs="Tahoma"/>
          <w:szCs w:val="18"/>
          <w:lang w:val="de-DE" w:eastAsia="fr-FR"/>
        </w:rPr>
        <w:t xml:space="preserve"> und </w:t>
      </w:r>
      <w:r w:rsidR="00817D78" w:rsidRPr="008029A9">
        <w:rPr>
          <w:rFonts w:cs="Tahoma"/>
          <w:szCs w:val="18"/>
          <w:lang w:val="de-DE" w:eastAsia="fr-FR"/>
        </w:rPr>
        <w:t>können</w:t>
      </w:r>
      <w:r w:rsidR="008D3A34" w:rsidRPr="008029A9">
        <w:rPr>
          <w:rFonts w:cs="Tahoma"/>
          <w:szCs w:val="18"/>
          <w:lang w:val="de-DE" w:eastAsia="fr-FR"/>
        </w:rPr>
        <w:t xml:space="preserve"> </w:t>
      </w:r>
      <w:r w:rsidR="00817D78" w:rsidRPr="008029A9">
        <w:rPr>
          <w:rFonts w:cs="Tahoma"/>
          <w:szCs w:val="18"/>
          <w:lang w:val="de-DE" w:eastAsia="fr-FR"/>
        </w:rPr>
        <w:t>infolgedessen</w:t>
      </w:r>
      <w:r w:rsidR="008D3A34" w:rsidRPr="008029A9">
        <w:rPr>
          <w:rFonts w:cs="Tahoma"/>
          <w:szCs w:val="18"/>
          <w:lang w:val="de-DE" w:eastAsia="fr-FR"/>
        </w:rPr>
        <w:t xml:space="preserve"> irregeführt </w:t>
      </w:r>
      <w:r w:rsidR="00AD087A" w:rsidRPr="008029A9">
        <w:rPr>
          <w:rFonts w:cs="Tahoma"/>
          <w:szCs w:val="18"/>
          <w:lang w:val="de-DE" w:eastAsia="fr-FR"/>
        </w:rPr>
        <w:t xml:space="preserve">werden. Im Gegensatz dazu </w:t>
      </w:r>
      <w:r w:rsidR="00423E50" w:rsidRPr="008029A9">
        <w:rPr>
          <w:rFonts w:cs="Tahoma"/>
          <w:szCs w:val="18"/>
          <w:lang w:val="de-DE" w:eastAsia="fr-FR"/>
        </w:rPr>
        <w:t>liefer</w:t>
      </w:r>
      <w:r w:rsidR="008D3A34" w:rsidRPr="008029A9">
        <w:rPr>
          <w:rFonts w:cs="Tahoma"/>
          <w:szCs w:val="18"/>
          <w:lang w:val="de-DE" w:eastAsia="fr-FR"/>
        </w:rPr>
        <w:t xml:space="preserve">n </w:t>
      </w:r>
      <w:r w:rsidR="000655C6" w:rsidRPr="008029A9">
        <w:rPr>
          <w:rFonts w:cs="Tahoma"/>
          <w:szCs w:val="18"/>
          <w:lang w:val="de-DE" w:eastAsia="fr-FR"/>
        </w:rPr>
        <w:t xml:space="preserve">über mehrere Jahre gesammelte </w:t>
      </w:r>
      <w:r w:rsidR="00423E50" w:rsidRPr="008029A9">
        <w:rPr>
          <w:rFonts w:cs="Tahoma"/>
          <w:szCs w:val="18"/>
          <w:lang w:val="de-DE" w:eastAsia="fr-FR"/>
        </w:rPr>
        <w:t>beschreibende Angaben</w:t>
      </w:r>
      <w:r w:rsidR="000655C6" w:rsidRPr="008029A9">
        <w:rPr>
          <w:rFonts w:cs="Tahoma"/>
          <w:szCs w:val="18"/>
          <w:lang w:val="de-DE" w:eastAsia="fr-FR"/>
        </w:rPr>
        <w:t xml:space="preserve"> wertvolle Informationen über die Variationsbreite, die eine Sorte ausprägen kann</w:t>
      </w:r>
      <w:r w:rsidR="00423E50" w:rsidRPr="008029A9">
        <w:rPr>
          <w:rFonts w:cs="Tahoma"/>
          <w:szCs w:val="18"/>
          <w:lang w:val="de-DE" w:eastAsia="fr-FR"/>
        </w:rPr>
        <w:t xml:space="preserve">, wenn </w:t>
      </w:r>
      <w:r w:rsidR="000655C6" w:rsidRPr="008029A9">
        <w:rPr>
          <w:rFonts w:cs="Tahoma"/>
          <w:szCs w:val="18"/>
          <w:lang w:val="de-DE" w:eastAsia="fr-FR"/>
        </w:rPr>
        <w:t xml:space="preserve">regelmäßig Daten für eine spezifische Sorte in </w:t>
      </w:r>
      <w:r w:rsidR="008D3A34" w:rsidRPr="008029A9">
        <w:rPr>
          <w:rFonts w:cs="Tahoma"/>
          <w:szCs w:val="18"/>
          <w:lang w:val="de-DE" w:eastAsia="fr-FR"/>
        </w:rPr>
        <w:t xml:space="preserve">diese Datenbanken </w:t>
      </w:r>
      <w:r w:rsidR="00EE2F03" w:rsidRPr="008029A9">
        <w:rPr>
          <w:rFonts w:cs="Tahoma"/>
          <w:szCs w:val="18"/>
          <w:lang w:val="de-DE" w:eastAsia="fr-FR"/>
        </w:rPr>
        <w:t>eingegeben w</w:t>
      </w:r>
      <w:r w:rsidR="008D3A34" w:rsidRPr="008029A9">
        <w:rPr>
          <w:rFonts w:cs="Tahoma"/>
          <w:szCs w:val="18"/>
          <w:lang w:val="de-DE" w:eastAsia="fr-FR"/>
        </w:rPr>
        <w:t>erden.</w:t>
      </w:r>
    </w:p>
    <w:p w:rsidR="004F5247" w:rsidRPr="008029A9" w:rsidRDefault="004F5247" w:rsidP="00A013CC">
      <w:pPr>
        <w:rPr>
          <w:rFonts w:cs="Tahoma"/>
          <w:szCs w:val="18"/>
          <w:lang w:val="de-DE" w:eastAsia="fr-FR"/>
        </w:rPr>
      </w:pPr>
    </w:p>
    <w:p w:rsidR="004F5247" w:rsidRPr="008029A9" w:rsidRDefault="008D3A34" w:rsidP="00A013CC">
      <w:pPr>
        <w:rPr>
          <w:rFonts w:cs="Tahoma"/>
          <w:szCs w:val="18"/>
          <w:lang w:val="de-DE" w:eastAsia="fr-FR"/>
        </w:rPr>
      </w:pPr>
      <w:r w:rsidRPr="008029A9">
        <w:rPr>
          <w:rFonts w:cs="Tahoma"/>
          <w:szCs w:val="18"/>
          <w:lang w:val="de-DE" w:eastAsia="fr-FR"/>
        </w:rPr>
        <w:t xml:space="preserve">Deshalb wurde der </w:t>
      </w:r>
      <w:r w:rsidR="00817D78" w:rsidRPr="008029A9">
        <w:rPr>
          <w:rFonts w:cs="Tahoma"/>
          <w:szCs w:val="18"/>
          <w:lang w:val="de-DE" w:eastAsia="fr-FR"/>
        </w:rPr>
        <w:t>Schluß</w:t>
      </w:r>
      <w:r w:rsidRPr="008029A9">
        <w:rPr>
          <w:rFonts w:cs="Tahoma"/>
          <w:szCs w:val="18"/>
          <w:lang w:val="de-DE" w:eastAsia="fr-FR"/>
        </w:rPr>
        <w:t xml:space="preserve"> gezogen, </w:t>
      </w:r>
      <w:r w:rsidR="00F23FF6" w:rsidRPr="008029A9">
        <w:rPr>
          <w:rFonts w:cs="Tahoma"/>
          <w:szCs w:val="18"/>
          <w:lang w:val="de-DE" w:eastAsia="fr-FR"/>
        </w:rPr>
        <w:t>daß</w:t>
      </w:r>
      <w:r w:rsidR="00EE2F03" w:rsidRPr="008029A9">
        <w:rPr>
          <w:rFonts w:cs="Tahoma"/>
          <w:szCs w:val="18"/>
          <w:lang w:val="de-DE" w:eastAsia="fr-FR"/>
        </w:rPr>
        <w:t xml:space="preserve"> </w:t>
      </w:r>
      <w:r w:rsidRPr="008029A9">
        <w:rPr>
          <w:rFonts w:cs="Tahoma"/>
          <w:szCs w:val="18"/>
          <w:lang w:val="de-DE" w:eastAsia="fr-FR"/>
        </w:rPr>
        <w:t xml:space="preserve">eine gemeinsam </w:t>
      </w:r>
      <w:r w:rsidR="00817D78" w:rsidRPr="008029A9">
        <w:rPr>
          <w:rFonts w:cs="Tahoma"/>
          <w:szCs w:val="18"/>
          <w:lang w:val="de-DE" w:eastAsia="fr-FR"/>
        </w:rPr>
        <w:t>genutzte</w:t>
      </w:r>
      <w:r w:rsidRPr="008029A9">
        <w:rPr>
          <w:rFonts w:cs="Tahoma"/>
          <w:szCs w:val="18"/>
          <w:lang w:val="de-DE" w:eastAsia="fr-FR"/>
        </w:rPr>
        <w:t xml:space="preserve"> Datenbank ihren </w:t>
      </w:r>
      <w:r w:rsidR="00817D78" w:rsidRPr="008029A9">
        <w:rPr>
          <w:rFonts w:cs="Tahoma"/>
          <w:szCs w:val="18"/>
          <w:lang w:val="de-DE" w:eastAsia="fr-FR"/>
        </w:rPr>
        <w:t>Zweck</w:t>
      </w:r>
      <w:r w:rsidR="00EE2F03" w:rsidRPr="008029A9">
        <w:rPr>
          <w:rFonts w:cs="Tahoma"/>
          <w:szCs w:val="18"/>
          <w:lang w:val="de-DE" w:eastAsia="fr-FR"/>
        </w:rPr>
        <w:t xml:space="preserve"> </w:t>
      </w:r>
      <w:r w:rsidRPr="008029A9">
        <w:rPr>
          <w:rFonts w:cs="Tahoma"/>
          <w:szCs w:val="18"/>
          <w:lang w:val="de-DE" w:eastAsia="fr-FR"/>
        </w:rPr>
        <w:t>–</w:t>
      </w:r>
      <w:r w:rsidR="00EE2F03" w:rsidRPr="008029A9">
        <w:rPr>
          <w:rFonts w:cs="Tahoma"/>
          <w:szCs w:val="18"/>
          <w:lang w:val="de-DE" w:eastAsia="fr-FR"/>
        </w:rPr>
        <w:t xml:space="preserve"> </w:t>
      </w:r>
      <w:r w:rsidRPr="008029A9">
        <w:rPr>
          <w:rFonts w:cs="Tahoma"/>
          <w:szCs w:val="18"/>
          <w:lang w:val="de-DE" w:eastAsia="fr-FR"/>
        </w:rPr>
        <w:t xml:space="preserve">die effiziente Selektion </w:t>
      </w:r>
      <w:r w:rsidR="00817D78" w:rsidRPr="008029A9">
        <w:rPr>
          <w:rFonts w:cs="Tahoma"/>
          <w:szCs w:val="18"/>
          <w:lang w:val="de-DE" w:eastAsia="fr-FR"/>
        </w:rPr>
        <w:t>maßgeb</w:t>
      </w:r>
      <w:r w:rsidR="00EE2F03" w:rsidRPr="008029A9">
        <w:rPr>
          <w:rFonts w:cs="Tahoma"/>
          <w:szCs w:val="18"/>
          <w:lang w:val="de-DE" w:eastAsia="fr-FR"/>
        </w:rPr>
        <w:t>end</w:t>
      </w:r>
      <w:r w:rsidR="00817D78" w:rsidRPr="008029A9">
        <w:rPr>
          <w:rFonts w:cs="Tahoma"/>
          <w:szCs w:val="18"/>
          <w:lang w:val="de-DE" w:eastAsia="fr-FR"/>
        </w:rPr>
        <w:t>er</w:t>
      </w:r>
      <w:r w:rsidRPr="008029A9">
        <w:rPr>
          <w:rFonts w:cs="Tahoma"/>
          <w:szCs w:val="18"/>
          <w:lang w:val="de-DE" w:eastAsia="fr-FR"/>
        </w:rPr>
        <w:t xml:space="preserve"> </w:t>
      </w:r>
      <w:r w:rsidR="00817D78" w:rsidRPr="008029A9">
        <w:rPr>
          <w:rFonts w:cs="Tahoma"/>
          <w:szCs w:val="18"/>
          <w:lang w:val="de-DE" w:eastAsia="fr-FR"/>
        </w:rPr>
        <w:t xml:space="preserve">Beispielssorten </w:t>
      </w:r>
      <w:r w:rsidR="00EE2F03" w:rsidRPr="008029A9">
        <w:rPr>
          <w:rFonts w:cs="Tahoma"/>
          <w:szCs w:val="18"/>
          <w:lang w:val="de-DE" w:eastAsia="fr-FR"/>
        </w:rPr>
        <w:t xml:space="preserve">zu </w:t>
      </w:r>
      <w:r w:rsidR="00817D78" w:rsidRPr="008029A9">
        <w:rPr>
          <w:rFonts w:cs="Tahoma"/>
          <w:szCs w:val="18"/>
          <w:lang w:val="de-DE" w:eastAsia="fr-FR"/>
        </w:rPr>
        <w:t>unterstütz</w:t>
      </w:r>
      <w:r w:rsidR="00EE2F03" w:rsidRPr="008029A9">
        <w:rPr>
          <w:rFonts w:cs="Tahoma"/>
          <w:szCs w:val="18"/>
          <w:lang w:val="de-DE" w:eastAsia="fr-FR"/>
        </w:rPr>
        <w:t>en</w:t>
      </w:r>
      <w:r w:rsidR="00817D78" w:rsidRPr="008029A9">
        <w:rPr>
          <w:rFonts w:cs="Tahoma"/>
          <w:szCs w:val="18"/>
          <w:lang w:val="de-DE" w:eastAsia="fr-FR"/>
        </w:rPr>
        <w:t xml:space="preserve"> –</w:t>
      </w:r>
      <w:r w:rsidR="00EE2F03" w:rsidRPr="008029A9">
        <w:rPr>
          <w:rFonts w:cs="Tahoma"/>
          <w:szCs w:val="18"/>
          <w:lang w:val="de-DE" w:eastAsia="fr-FR"/>
        </w:rPr>
        <w:t xml:space="preserve"> </w:t>
      </w:r>
      <w:r w:rsidR="00817D78" w:rsidRPr="008029A9">
        <w:rPr>
          <w:rFonts w:cs="Tahoma"/>
          <w:szCs w:val="18"/>
          <w:lang w:val="de-DE" w:eastAsia="fr-FR"/>
        </w:rPr>
        <w:t>lediglich unter der Bedingung</w:t>
      </w:r>
      <w:r w:rsidR="00EE2F03" w:rsidRPr="008029A9">
        <w:rPr>
          <w:rFonts w:cs="Tahoma"/>
          <w:szCs w:val="18"/>
          <w:lang w:val="de-DE" w:eastAsia="fr-FR"/>
        </w:rPr>
        <w:t xml:space="preserve"> erfüllen kann</w:t>
      </w:r>
      <w:r w:rsidR="00817D78" w:rsidRPr="008029A9">
        <w:rPr>
          <w:rFonts w:cs="Tahoma"/>
          <w:szCs w:val="18"/>
          <w:lang w:val="de-DE" w:eastAsia="fr-FR"/>
        </w:rPr>
        <w:t xml:space="preserve">, daß der bereitzustellende Inhalt (die Daten) klar definiert und vereinbart ist </w:t>
      </w:r>
      <w:r w:rsidR="00EE2F03" w:rsidRPr="008029A9">
        <w:rPr>
          <w:rFonts w:cs="Tahoma"/>
          <w:szCs w:val="18"/>
          <w:lang w:val="de-DE" w:eastAsia="fr-FR"/>
        </w:rPr>
        <w:t xml:space="preserve">(sind) </w:t>
      </w:r>
      <w:r w:rsidR="00817D78" w:rsidRPr="008029A9">
        <w:rPr>
          <w:rFonts w:cs="Tahoma"/>
          <w:szCs w:val="18"/>
          <w:lang w:val="de-DE" w:eastAsia="fr-FR"/>
        </w:rPr>
        <w:t xml:space="preserve">und daß </w:t>
      </w:r>
      <w:r w:rsidR="00EE2F03" w:rsidRPr="008029A9">
        <w:rPr>
          <w:rFonts w:cs="Tahoma"/>
          <w:szCs w:val="18"/>
          <w:lang w:val="de-DE" w:eastAsia="fr-FR"/>
        </w:rPr>
        <w:t xml:space="preserve">sich </w:t>
      </w:r>
      <w:r w:rsidR="00817D78" w:rsidRPr="008029A9">
        <w:rPr>
          <w:rFonts w:cs="Tahoma"/>
          <w:szCs w:val="18"/>
          <w:lang w:val="de-DE" w:eastAsia="fr-FR"/>
        </w:rPr>
        <w:t xml:space="preserve">außerdem alle Nutzer </w:t>
      </w:r>
      <w:r w:rsidR="00EE2F03" w:rsidRPr="008029A9">
        <w:rPr>
          <w:rFonts w:cs="Tahoma"/>
          <w:szCs w:val="18"/>
          <w:lang w:val="de-DE" w:eastAsia="fr-FR"/>
        </w:rPr>
        <w:t xml:space="preserve">einer </w:t>
      </w:r>
      <w:r w:rsidR="00817D78" w:rsidRPr="008029A9">
        <w:rPr>
          <w:rFonts w:cs="Tahoma"/>
          <w:szCs w:val="18"/>
          <w:lang w:val="de-DE" w:eastAsia="fr-FR"/>
        </w:rPr>
        <w:t>derartige</w:t>
      </w:r>
      <w:r w:rsidR="00EE2F03" w:rsidRPr="008029A9">
        <w:rPr>
          <w:rFonts w:cs="Tahoma"/>
          <w:szCs w:val="18"/>
          <w:lang w:val="de-DE" w:eastAsia="fr-FR"/>
        </w:rPr>
        <w:t>n</w:t>
      </w:r>
      <w:r w:rsidR="00817D78" w:rsidRPr="008029A9">
        <w:rPr>
          <w:rFonts w:cs="Tahoma"/>
          <w:szCs w:val="18"/>
          <w:lang w:val="de-DE" w:eastAsia="fr-FR"/>
        </w:rPr>
        <w:t xml:space="preserve"> Datenbank der Vorsichtsmaßnahmen bewußt sind, die hinsichtlich der Vergleichbarkeit der Daten zu treffen sind.</w:t>
      </w:r>
    </w:p>
    <w:p w:rsidR="004F5247" w:rsidRPr="008029A9" w:rsidRDefault="004F5247" w:rsidP="004F5247">
      <w:pPr>
        <w:rPr>
          <w:rFonts w:cs="Tahoma"/>
          <w:szCs w:val="18"/>
          <w:lang w:val="de-DE" w:eastAsia="fr-FR"/>
        </w:rPr>
      </w:pPr>
    </w:p>
    <w:p w:rsidR="004F5247" w:rsidRPr="008029A9" w:rsidRDefault="004F5247" w:rsidP="004F5247">
      <w:pPr>
        <w:rPr>
          <w:lang w:val="de-DE"/>
        </w:rPr>
      </w:pPr>
    </w:p>
    <w:p w:rsidR="00817D78" w:rsidRPr="008029A9" w:rsidRDefault="00817D78" w:rsidP="004F5247">
      <w:pPr>
        <w:rPr>
          <w:lang w:val="de-DE"/>
        </w:rPr>
      </w:pPr>
    </w:p>
    <w:p w:rsidR="00817D78" w:rsidRPr="008029A9" w:rsidRDefault="00817D78" w:rsidP="00817D78">
      <w:pPr>
        <w:jc w:val="right"/>
        <w:rPr>
          <w:lang w:val="de-DE"/>
        </w:rPr>
      </w:pPr>
      <w:r w:rsidRPr="008029A9">
        <w:rPr>
          <w:lang w:val="de-DE"/>
        </w:rPr>
        <w:t>[Ende der Anlage und des Dokuments]</w:t>
      </w:r>
    </w:p>
    <w:sectPr w:rsidR="00817D78" w:rsidRPr="008029A9" w:rsidSect="001D6E7A">
      <w:headerReference w:type="default" r:id="rId10"/>
      <w:headerReference w:type="firs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975" w:rsidRDefault="005F6975" w:rsidP="006655D3">
      <w:r>
        <w:separator/>
      </w:r>
    </w:p>
    <w:p w:rsidR="005F6975" w:rsidRDefault="005F6975" w:rsidP="006655D3"/>
    <w:p w:rsidR="005F6975" w:rsidRDefault="005F6975" w:rsidP="006655D3"/>
  </w:endnote>
  <w:endnote w:type="continuationSeparator" w:id="0">
    <w:p w:rsidR="005F6975" w:rsidRDefault="005F6975" w:rsidP="006655D3">
      <w:r>
        <w:separator/>
      </w:r>
    </w:p>
    <w:p w:rsidR="005F6975" w:rsidRPr="00294751" w:rsidRDefault="005F6975">
      <w:pPr>
        <w:pStyle w:val="Footer"/>
        <w:spacing w:after="60"/>
        <w:rPr>
          <w:sz w:val="18"/>
          <w:lang w:val="fr-FR"/>
        </w:rPr>
      </w:pPr>
      <w:r w:rsidRPr="00294751">
        <w:rPr>
          <w:sz w:val="18"/>
          <w:lang w:val="fr-FR"/>
        </w:rPr>
        <w:t>[Suite de la note de la page précédente]</w:t>
      </w:r>
    </w:p>
    <w:p w:rsidR="005F6975" w:rsidRPr="00294751" w:rsidRDefault="005F6975" w:rsidP="006655D3">
      <w:pPr>
        <w:rPr>
          <w:lang w:val="fr-FR"/>
        </w:rPr>
      </w:pPr>
    </w:p>
    <w:p w:rsidR="005F6975" w:rsidRPr="00294751" w:rsidRDefault="005F6975" w:rsidP="006655D3">
      <w:pPr>
        <w:rPr>
          <w:lang w:val="fr-FR"/>
        </w:rPr>
      </w:pPr>
    </w:p>
  </w:endnote>
  <w:endnote w:type="continuationNotice" w:id="1">
    <w:p w:rsidR="005F6975" w:rsidRPr="00294751" w:rsidRDefault="005F6975" w:rsidP="006655D3">
      <w:pPr>
        <w:rPr>
          <w:lang w:val="fr-FR"/>
        </w:rPr>
      </w:pPr>
      <w:r w:rsidRPr="00294751">
        <w:rPr>
          <w:lang w:val="fr-FR"/>
        </w:rPr>
        <w:t>[Suite de la note page suivante]</w:t>
      </w:r>
    </w:p>
    <w:p w:rsidR="005F6975" w:rsidRPr="00294751" w:rsidRDefault="005F6975" w:rsidP="006655D3">
      <w:pPr>
        <w:rPr>
          <w:lang w:val="fr-FR"/>
        </w:rPr>
      </w:pPr>
    </w:p>
    <w:p w:rsidR="005F6975" w:rsidRPr="00294751" w:rsidRDefault="005F697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975" w:rsidRDefault="005F6975" w:rsidP="006655D3">
      <w:r>
        <w:separator/>
      </w:r>
    </w:p>
  </w:footnote>
  <w:footnote w:type="continuationSeparator" w:id="0">
    <w:p w:rsidR="005F6975" w:rsidRDefault="005F6975" w:rsidP="006655D3">
      <w:r>
        <w:separator/>
      </w:r>
    </w:p>
  </w:footnote>
  <w:footnote w:type="continuationNotice" w:id="1">
    <w:p w:rsidR="005F6975" w:rsidRPr="00AB530F" w:rsidRDefault="005F6975"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050" w:rsidRPr="00C5280D" w:rsidRDefault="00EF1050" w:rsidP="00EB048E">
    <w:pPr>
      <w:pStyle w:val="Header"/>
      <w:rPr>
        <w:rStyle w:val="PageNumber"/>
        <w:lang w:val="en-US"/>
      </w:rPr>
    </w:pPr>
    <w:r>
      <w:rPr>
        <w:rStyle w:val="PageNumber"/>
        <w:lang w:val="en-US"/>
      </w:rPr>
      <w:t>TC/5</w:t>
    </w:r>
    <w:r w:rsidR="002D2896">
      <w:rPr>
        <w:rStyle w:val="PageNumber"/>
        <w:lang w:val="en-US"/>
      </w:rPr>
      <w:t>4</w:t>
    </w:r>
    <w:r>
      <w:rPr>
        <w:rStyle w:val="PageNumber"/>
        <w:lang w:val="en-US"/>
      </w:rPr>
      <w:t>/2</w:t>
    </w:r>
    <w:r w:rsidR="002D2896">
      <w:rPr>
        <w:rStyle w:val="PageNumber"/>
        <w:lang w:val="en-US"/>
      </w:rPr>
      <w:t>8</w:t>
    </w:r>
  </w:p>
  <w:p w:rsidR="00EF1050" w:rsidRPr="00C5280D" w:rsidRDefault="00EF1050" w:rsidP="00EB048E">
    <w:pPr>
      <w:pStyle w:val="Header"/>
      <w:rPr>
        <w:lang w:val="en-US"/>
      </w:rPr>
    </w:pPr>
    <w:r>
      <w:rPr>
        <w:lang w:val="en-US"/>
      </w:rPr>
      <w:t>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F4B23">
      <w:rPr>
        <w:rStyle w:val="PageNumber"/>
        <w:noProof/>
        <w:lang w:val="en-US"/>
      </w:rPr>
      <w:t>2</w:t>
    </w:r>
    <w:r w:rsidRPr="00C5280D">
      <w:rPr>
        <w:rStyle w:val="PageNumber"/>
        <w:lang w:val="en-US"/>
      </w:rPr>
      <w:fldChar w:fldCharType="end"/>
    </w:r>
  </w:p>
  <w:p w:rsidR="00EF1050" w:rsidRPr="00C5280D" w:rsidRDefault="00EF1050"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E7A" w:rsidRPr="00C5280D" w:rsidRDefault="001D6E7A" w:rsidP="00EB048E">
    <w:pPr>
      <w:pStyle w:val="Header"/>
      <w:rPr>
        <w:rStyle w:val="PageNumber"/>
        <w:lang w:val="en-US"/>
      </w:rPr>
    </w:pPr>
    <w:r>
      <w:rPr>
        <w:rStyle w:val="PageNumber"/>
        <w:lang w:val="en-US"/>
      </w:rPr>
      <w:t>TC/54/28</w:t>
    </w:r>
  </w:p>
  <w:p w:rsidR="001D6E7A" w:rsidRPr="00C5280D" w:rsidRDefault="001D6E7A" w:rsidP="00EB048E">
    <w:pPr>
      <w:pStyle w:val="Header"/>
      <w:rPr>
        <w:lang w:val="en-US"/>
      </w:rPr>
    </w:pPr>
    <w:r>
      <w:rPr>
        <w:lang w:val="en-US"/>
      </w:rPr>
      <w:t>An</w:t>
    </w:r>
    <w:r w:rsidR="00CD240F">
      <w:rPr>
        <w:lang w:val="en-US"/>
      </w:rPr>
      <w:t>lage, 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F4B23">
      <w:rPr>
        <w:rStyle w:val="PageNumber"/>
        <w:noProof/>
        <w:lang w:val="en-US"/>
      </w:rPr>
      <w:t>3</w:t>
    </w:r>
    <w:r w:rsidRPr="00C5280D">
      <w:rPr>
        <w:rStyle w:val="PageNumber"/>
        <w:lang w:val="en-US"/>
      </w:rPr>
      <w:fldChar w:fldCharType="end"/>
    </w:r>
  </w:p>
  <w:p w:rsidR="001D6E7A" w:rsidRDefault="001D6E7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E7A" w:rsidRPr="00C5280D" w:rsidRDefault="001D6E7A" w:rsidP="001D6E7A">
    <w:pPr>
      <w:pStyle w:val="Header"/>
      <w:rPr>
        <w:rStyle w:val="PageNumber"/>
        <w:lang w:val="en-US"/>
      </w:rPr>
    </w:pPr>
    <w:r>
      <w:rPr>
        <w:rStyle w:val="PageNumber"/>
        <w:lang w:val="en-US"/>
      </w:rPr>
      <w:t>TC/54/28</w:t>
    </w:r>
  </w:p>
  <w:p w:rsidR="001D6E7A" w:rsidRDefault="001D6E7A" w:rsidP="001D6E7A">
    <w:pPr>
      <w:pStyle w:val="Header"/>
      <w:rPr>
        <w:lang w:val="en-US"/>
      </w:rPr>
    </w:pPr>
  </w:p>
  <w:p w:rsidR="001D6E7A" w:rsidRDefault="001D6E7A">
    <w:pPr>
      <w:pStyle w:val="Header"/>
    </w:pPr>
    <w:r>
      <w:rPr>
        <w:lang w:val="en-US"/>
      </w:rPr>
      <w:t>AN</w:t>
    </w:r>
    <w:r w:rsidR="00CD240F">
      <w:rPr>
        <w:lang w:val="en-US"/>
      </w:rPr>
      <w:t>LAGE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638F6"/>
    <w:multiLevelType w:val="hybridMultilevel"/>
    <w:tmpl w:val="0194E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E66ED6"/>
    <w:multiLevelType w:val="hybridMultilevel"/>
    <w:tmpl w:val="FAA89EA4"/>
    <w:lvl w:ilvl="0" w:tplc="EA381DA4">
      <w:start w:val="1"/>
      <w:numFmt w:val="low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B3A"/>
    <w:rsid w:val="00010862"/>
    <w:rsid w:val="00010CF3"/>
    <w:rsid w:val="00011E27"/>
    <w:rsid w:val="000148BC"/>
    <w:rsid w:val="00024AB8"/>
    <w:rsid w:val="00030854"/>
    <w:rsid w:val="00036028"/>
    <w:rsid w:val="00044642"/>
    <w:rsid w:val="000446B9"/>
    <w:rsid w:val="00047E21"/>
    <w:rsid w:val="00050E16"/>
    <w:rsid w:val="000655C6"/>
    <w:rsid w:val="00085505"/>
    <w:rsid w:val="00097933"/>
    <w:rsid w:val="000C4E25"/>
    <w:rsid w:val="000C7021"/>
    <w:rsid w:val="000D6BBC"/>
    <w:rsid w:val="000D7780"/>
    <w:rsid w:val="000E636A"/>
    <w:rsid w:val="000F2F11"/>
    <w:rsid w:val="00100F0A"/>
    <w:rsid w:val="00105929"/>
    <w:rsid w:val="00110C36"/>
    <w:rsid w:val="001127F7"/>
    <w:rsid w:val="001131D5"/>
    <w:rsid w:val="00136139"/>
    <w:rsid w:val="00141DB8"/>
    <w:rsid w:val="0014612E"/>
    <w:rsid w:val="0016023C"/>
    <w:rsid w:val="00163A0B"/>
    <w:rsid w:val="00172084"/>
    <w:rsid w:val="0017474A"/>
    <w:rsid w:val="001758C6"/>
    <w:rsid w:val="00182B99"/>
    <w:rsid w:val="00184F7B"/>
    <w:rsid w:val="001A3C6C"/>
    <w:rsid w:val="001D6E7A"/>
    <w:rsid w:val="0021332C"/>
    <w:rsid w:val="00213982"/>
    <w:rsid w:val="0021723F"/>
    <w:rsid w:val="0024416D"/>
    <w:rsid w:val="00271911"/>
    <w:rsid w:val="002800A0"/>
    <w:rsid w:val="002801B3"/>
    <w:rsid w:val="00281060"/>
    <w:rsid w:val="002940E8"/>
    <w:rsid w:val="00294751"/>
    <w:rsid w:val="002A6E50"/>
    <w:rsid w:val="002B4298"/>
    <w:rsid w:val="002C22C7"/>
    <w:rsid w:val="002C256A"/>
    <w:rsid w:val="002D2896"/>
    <w:rsid w:val="002D4D66"/>
    <w:rsid w:val="00304827"/>
    <w:rsid w:val="00305A7F"/>
    <w:rsid w:val="003152FE"/>
    <w:rsid w:val="00321361"/>
    <w:rsid w:val="00327436"/>
    <w:rsid w:val="00344BD6"/>
    <w:rsid w:val="003522A6"/>
    <w:rsid w:val="0035528D"/>
    <w:rsid w:val="00361821"/>
    <w:rsid w:val="00361E9E"/>
    <w:rsid w:val="003868FF"/>
    <w:rsid w:val="003C7FBE"/>
    <w:rsid w:val="003D227C"/>
    <w:rsid w:val="003D2B4D"/>
    <w:rsid w:val="003E5321"/>
    <w:rsid w:val="003F4B23"/>
    <w:rsid w:val="00414B95"/>
    <w:rsid w:val="0042329E"/>
    <w:rsid w:val="00423E50"/>
    <w:rsid w:val="00440F2A"/>
    <w:rsid w:val="00444A88"/>
    <w:rsid w:val="00444DF7"/>
    <w:rsid w:val="00452E02"/>
    <w:rsid w:val="004544E0"/>
    <w:rsid w:val="00474DA4"/>
    <w:rsid w:val="00476B4D"/>
    <w:rsid w:val="004805FA"/>
    <w:rsid w:val="00484A67"/>
    <w:rsid w:val="004935D2"/>
    <w:rsid w:val="004A1563"/>
    <w:rsid w:val="004A4485"/>
    <w:rsid w:val="004B1215"/>
    <w:rsid w:val="004B46AA"/>
    <w:rsid w:val="004D047D"/>
    <w:rsid w:val="004F1E9E"/>
    <w:rsid w:val="004F305A"/>
    <w:rsid w:val="004F5247"/>
    <w:rsid w:val="00505BA9"/>
    <w:rsid w:val="00512164"/>
    <w:rsid w:val="00520297"/>
    <w:rsid w:val="005338F9"/>
    <w:rsid w:val="005361CB"/>
    <w:rsid w:val="0054281C"/>
    <w:rsid w:val="00544581"/>
    <w:rsid w:val="0055268D"/>
    <w:rsid w:val="00563F23"/>
    <w:rsid w:val="00576BE4"/>
    <w:rsid w:val="005A400A"/>
    <w:rsid w:val="005F6975"/>
    <w:rsid w:val="005F7B92"/>
    <w:rsid w:val="00612379"/>
    <w:rsid w:val="006153B6"/>
    <w:rsid w:val="0061555F"/>
    <w:rsid w:val="006348B3"/>
    <w:rsid w:val="00636CA6"/>
    <w:rsid w:val="00641200"/>
    <w:rsid w:val="00645CA8"/>
    <w:rsid w:val="006655D3"/>
    <w:rsid w:val="00667404"/>
    <w:rsid w:val="00687EB4"/>
    <w:rsid w:val="00695C56"/>
    <w:rsid w:val="006A5CDE"/>
    <w:rsid w:val="006A644A"/>
    <w:rsid w:val="006B17D2"/>
    <w:rsid w:val="006C224E"/>
    <w:rsid w:val="006C66C5"/>
    <w:rsid w:val="006D780A"/>
    <w:rsid w:val="0071271E"/>
    <w:rsid w:val="00732DEC"/>
    <w:rsid w:val="00735BD5"/>
    <w:rsid w:val="00751613"/>
    <w:rsid w:val="007556F6"/>
    <w:rsid w:val="00760EEF"/>
    <w:rsid w:val="00760F0E"/>
    <w:rsid w:val="007763A7"/>
    <w:rsid w:val="00777EE5"/>
    <w:rsid w:val="00784836"/>
    <w:rsid w:val="0079023E"/>
    <w:rsid w:val="00795F74"/>
    <w:rsid w:val="007A2854"/>
    <w:rsid w:val="007B34BE"/>
    <w:rsid w:val="007C1D92"/>
    <w:rsid w:val="007C4CB9"/>
    <w:rsid w:val="007C74A2"/>
    <w:rsid w:val="007D0B9D"/>
    <w:rsid w:val="007D19B0"/>
    <w:rsid w:val="007F498F"/>
    <w:rsid w:val="008029A9"/>
    <w:rsid w:val="0080382A"/>
    <w:rsid w:val="0080679D"/>
    <w:rsid w:val="008108B0"/>
    <w:rsid w:val="00811B20"/>
    <w:rsid w:val="00817D78"/>
    <w:rsid w:val="00820F57"/>
    <w:rsid w:val="008211B5"/>
    <w:rsid w:val="0082296E"/>
    <w:rsid w:val="00824099"/>
    <w:rsid w:val="008313F0"/>
    <w:rsid w:val="00832AB2"/>
    <w:rsid w:val="00840085"/>
    <w:rsid w:val="008408E3"/>
    <w:rsid w:val="00846D7C"/>
    <w:rsid w:val="00867AC1"/>
    <w:rsid w:val="00886B33"/>
    <w:rsid w:val="00890DF8"/>
    <w:rsid w:val="008A743F"/>
    <w:rsid w:val="008B1B3A"/>
    <w:rsid w:val="008B6E25"/>
    <w:rsid w:val="008B6E60"/>
    <w:rsid w:val="008C0970"/>
    <w:rsid w:val="008C42CC"/>
    <w:rsid w:val="008D0BC5"/>
    <w:rsid w:val="008D2CF7"/>
    <w:rsid w:val="008D3A34"/>
    <w:rsid w:val="008D7E86"/>
    <w:rsid w:val="008F336D"/>
    <w:rsid w:val="00900C26"/>
    <w:rsid w:val="0090197F"/>
    <w:rsid w:val="00906DDC"/>
    <w:rsid w:val="00914813"/>
    <w:rsid w:val="00934E09"/>
    <w:rsid w:val="00936253"/>
    <w:rsid w:val="00940D46"/>
    <w:rsid w:val="00952DD4"/>
    <w:rsid w:val="00965AE7"/>
    <w:rsid w:val="00966446"/>
    <w:rsid w:val="00970FED"/>
    <w:rsid w:val="00992D82"/>
    <w:rsid w:val="00997029"/>
    <w:rsid w:val="009A7339"/>
    <w:rsid w:val="009B440E"/>
    <w:rsid w:val="009C685A"/>
    <w:rsid w:val="009D690D"/>
    <w:rsid w:val="009E65B6"/>
    <w:rsid w:val="009F7CDF"/>
    <w:rsid w:val="00A0029F"/>
    <w:rsid w:val="00A013CC"/>
    <w:rsid w:val="00A24C10"/>
    <w:rsid w:val="00A35FEB"/>
    <w:rsid w:val="00A42AC3"/>
    <w:rsid w:val="00A430CF"/>
    <w:rsid w:val="00A52CCA"/>
    <w:rsid w:val="00A54309"/>
    <w:rsid w:val="00A67791"/>
    <w:rsid w:val="00A74C61"/>
    <w:rsid w:val="00A754D4"/>
    <w:rsid w:val="00A77710"/>
    <w:rsid w:val="00AA6C48"/>
    <w:rsid w:val="00AB1DFB"/>
    <w:rsid w:val="00AB2B93"/>
    <w:rsid w:val="00AB530F"/>
    <w:rsid w:val="00AB7E5B"/>
    <w:rsid w:val="00AC2883"/>
    <w:rsid w:val="00AD087A"/>
    <w:rsid w:val="00AE0EF1"/>
    <w:rsid w:val="00AE2937"/>
    <w:rsid w:val="00AF1050"/>
    <w:rsid w:val="00B07301"/>
    <w:rsid w:val="00B11F3E"/>
    <w:rsid w:val="00B20584"/>
    <w:rsid w:val="00B224DE"/>
    <w:rsid w:val="00B324D4"/>
    <w:rsid w:val="00B46575"/>
    <w:rsid w:val="00B61777"/>
    <w:rsid w:val="00B71817"/>
    <w:rsid w:val="00B71EB1"/>
    <w:rsid w:val="00B84BBD"/>
    <w:rsid w:val="00BA43FB"/>
    <w:rsid w:val="00BA709C"/>
    <w:rsid w:val="00BC127D"/>
    <w:rsid w:val="00BC1FE6"/>
    <w:rsid w:val="00C061B6"/>
    <w:rsid w:val="00C2446C"/>
    <w:rsid w:val="00C36AE5"/>
    <w:rsid w:val="00C41F17"/>
    <w:rsid w:val="00C4496D"/>
    <w:rsid w:val="00C4565D"/>
    <w:rsid w:val="00C527FA"/>
    <w:rsid w:val="00C5280D"/>
    <w:rsid w:val="00C53EB3"/>
    <w:rsid w:val="00C5791C"/>
    <w:rsid w:val="00C66290"/>
    <w:rsid w:val="00C70123"/>
    <w:rsid w:val="00C72B7A"/>
    <w:rsid w:val="00C973F2"/>
    <w:rsid w:val="00CA304C"/>
    <w:rsid w:val="00CA774A"/>
    <w:rsid w:val="00CC11B0"/>
    <w:rsid w:val="00CC2841"/>
    <w:rsid w:val="00CD240F"/>
    <w:rsid w:val="00CF1330"/>
    <w:rsid w:val="00CF7E36"/>
    <w:rsid w:val="00D3708D"/>
    <w:rsid w:val="00D3758D"/>
    <w:rsid w:val="00D40426"/>
    <w:rsid w:val="00D40AC3"/>
    <w:rsid w:val="00D57C96"/>
    <w:rsid w:val="00D57D18"/>
    <w:rsid w:val="00D91203"/>
    <w:rsid w:val="00D95174"/>
    <w:rsid w:val="00DA4973"/>
    <w:rsid w:val="00DA6F36"/>
    <w:rsid w:val="00DB596E"/>
    <w:rsid w:val="00DB7773"/>
    <w:rsid w:val="00DC00EA"/>
    <w:rsid w:val="00DC3802"/>
    <w:rsid w:val="00DD01BD"/>
    <w:rsid w:val="00DE74EE"/>
    <w:rsid w:val="00E07D87"/>
    <w:rsid w:val="00E32F7E"/>
    <w:rsid w:val="00E5267B"/>
    <w:rsid w:val="00E63C0E"/>
    <w:rsid w:val="00E72D49"/>
    <w:rsid w:val="00E7593C"/>
    <w:rsid w:val="00E7678A"/>
    <w:rsid w:val="00E92ED0"/>
    <w:rsid w:val="00E931D7"/>
    <w:rsid w:val="00E935F1"/>
    <w:rsid w:val="00E94A81"/>
    <w:rsid w:val="00EA1FFB"/>
    <w:rsid w:val="00EB048E"/>
    <w:rsid w:val="00EB4E9C"/>
    <w:rsid w:val="00EB5A0F"/>
    <w:rsid w:val="00ED06DA"/>
    <w:rsid w:val="00ED191C"/>
    <w:rsid w:val="00EE2F03"/>
    <w:rsid w:val="00EE34DF"/>
    <w:rsid w:val="00EF1050"/>
    <w:rsid w:val="00EF2F89"/>
    <w:rsid w:val="00F03E98"/>
    <w:rsid w:val="00F1237A"/>
    <w:rsid w:val="00F209A0"/>
    <w:rsid w:val="00F22CBD"/>
    <w:rsid w:val="00F23FF6"/>
    <w:rsid w:val="00F272F1"/>
    <w:rsid w:val="00F40352"/>
    <w:rsid w:val="00F45372"/>
    <w:rsid w:val="00F560F7"/>
    <w:rsid w:val="00F6334D"/>
    <w:rsid w:val="00F849FE"/>
    <w:rsid w:val="00FA49AB"/>
    <w:rsid w:val="00FC6C9A"/>
    <w:rsid w:val="00FD3461"/>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0983B1"/>
  <w15:docId w15:val="{179454D3-819A-48DD-BFA0-F794FD26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8B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0F0A"/>
    <w:pPr>
      <w:spacing w:after="200" w:line="276" w:lineRule="auto"/>
      <w:ind w:left="720"/>
      <w:contextualSpacing/>
      <w:jc w:val="left"/>
    </w:pPr>
    <w:rPr>
      <w:rFonts w:asciiTheme="minorHAnsi" w:eastAsiaTheme="minorEastAsia" w:hAnsiTheme="minorHAnsi" w:cstheme="minorBidi"/>
      <w:sz w:val="22"/>
      <w:szCs w:val="22"/>
    </w:rPr>
  </w:style>
  <w:style w:type="character" w:styleId="CommentReference">
    <w:name w:val="annotation reference"/>
    <w:basedOn w:val="DefaultParagraphFont"/>
    <w:rsid w:val="00760F0E"/>
    <w:rPr>
      <w:sz w:val="16"/>
      <w:szCs w:val="16"/>
    </w:rPr>
  </w:style>
  <w:style w:type="paragraph" w:styleId="CommentText">
    <w:name w:val="annotation text"/>
    <w:basedOn w:val="Normal"/>
    <w:link w:val="CommentTextChar"/>
    <w:rsid w:val="00760F0E"/>
  </w:style>
  <w:style w:type="character" w:customStyle="1" w:styleId="CommentTextChar">
    <w:name w:val="Comment Text Char"/>
    <w:basedOn w:val="DefaultParagraphFont"/>
    <w:link w:val="CommentText"/>
    <w:rsid w:val="00760F0E"/>
    <w:rPr>
      <w:rFonts w:ascii="Arial" w:hAnsi="Arial"/>
    </w:rPr>
  </w:style>
  <w:style w:type="paragraph" w:styleId="CommentSubject">
    <w:name w:val="annotation subject"/>
    <w:basedOn w:val="CommentText"/>
    <w:next w:val="CommentText"/>
    <w:link w:val="CommentSubjectChar"/>
    <w:rsid w:val="00760F0E"/>
    <w:rPr>
      <w:b/>
      <w:bCs/>
    </w:rPr>
  </w:style>
  <w:style w:type="character" w:customStyle="1" w:styleId="CommentSubjectChar">
    <w:name w:val="Comment Subject Char"/>
    <w:basedOn w:val="CommentTextChar"/>
    <w:link w:val="CommentSubject"/>
    <w:rsid w:val="00760F0E"/>
    <w:rPr>
      <w:rFonts w:ascii="Arial" w:hAnsi="Arial"/>
      <w:b/>
      <w:bCs/>
    </w:rPr>
  </w:style>
  <w:style w:type="character" w:customStyle="1" w:styleId="Heading1Char">
    <w:name w:val="Heading 1 Char"/>
    <w:aliases w:val="COMMON NAME Char,common Char"/>
    <w:basedOn w:val="DefaultParagraphFont"/>
    <w:link w:val="Heading1"/>
    <w:rsid w:val="00820F57"/>
    <w:rPr>
      <w:rFonts w:ascii="Arial" w:hAnsi="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097712">
      <w:bodyDiv w:val="1"/>
      <w:marLeft w:val="0"/>
      <w:marRight w:val="0"/>
      <w:marTop w:val="0"/>
      <w:marBottom w:val="0"/>
      <w:divBdr>
        <w:top w:val="none" w:sz="0" w:space="0" w:color="auto"/>
        <w:left w:val="none" w:sz="0" w:space="0" w:color="auto"/>
        <w:bottom w:val="none" w:sz="0" w:space="0" w:color="auto"/>
        <w:right w:val="none" w:sz="0" w:space="0" w:color="auto"/>
      </w:divBdr>
    </w:div>
    <w:div w:id="862858665">
      <w:bodyDiv w:val="1"/>
      <w:marLeft w:val="0"/>
      <w:marRight w:val="0"/>
      <w:marTop w:val="0"/>
      <w:marBottom w:val="0"/>
      <w:divBdr>
        <w:top w:val="none" w:sz="0" w:space="0" w:color="auto"/>
        <w:left w:val="none" w:sz="0" w:space="0" w:color="auto"/>
        <w:bottom w:val="none" w:sz="0" w:space="0" w:color="auto"/>
        <w:right w:val="none" w:sz="0" w:space="0" w:color="auto"/>
      </w:divBdr>
      <w:divsChild>
        <w:div w:id="62070121">
          <w:marLeft w:val="0"/>
          <w:marRight w:val="0"/>
          <w:marTop w:val="0"/>
          <w:marBottom w:val="0"/>
          <w:divBdr>
            <w:top w:val="none" w:sz="0" w:space="0" w:color="auto"/>
            <w:left w:val="none" w:sz="0" w:space="0" w:color="auto"/>
            <w:bottom w:val="none" w:sz="0" w:space="0" w:color="auto"/>
            <w:right w:val="none" w:sz="0" w:space="0" w:color="auto"/>
          </w:divBdr>
        </w:div>
        <w:div w:id="1212227813">
          <w:marLeft w:val="0"/>
          <w:marRight w:val="0"/>
          <w:marTop w:val="0"/>
          <w:marBottom w:val="0"/>
          <w:divBdr>
            <w:top w:val="none" w:sz="0" w:space="0" w:color="auto"/>
            <w:left w:val="none" w:sz="0" w:space="0" w:color="auto"/>
            <w:bottom w:val="none" w:sz="0" w:space="0" w:color="auto"/>
            <w:right w:val="none" w:sz="0" w:space="0" w:color="auto"/>
          </w:divBdr>
        </w:div>
        <w:div w:id="1894660547">
          <w:marLeft w:val="0"/>
          <w:marRight w:val="0"/>
          <w:marTop w:val="0"/>
          <w:marBottom w:val="0"/>
          <w:divBdr>
            <w:top w:val="none" w:sz="0" w:space="0" w:color="auto"/>
            <w:left w:val="none" w:sz="0" w:space="0" w:color="auto"/>
            <w:bottom w:val="none" w:sz="0" w:space="0" w:color="auto"/>
            <w:right w:val="none" w:sz="0" w:space="0" w:color="auto"/>
          </w:divBdr>
        </w:div>
        <w:div w:id="117921854">
          <w:marLeft w:val="0"/>
          <w:marRight w:val="0"/>
          <w:marTop w:val="0"/>
          <w:marBottom w:val="0"/>
          <w:divBdr>
            <w:top w:val="none" w:sz="0" w:space="0" w:color="auto"/>
            <w:left w:val="none" w:sz="0" w:space="0" w:color="auto"/>
            <w:bottom w:val="none" w:sz="0" w:space="0" w:color="auto"/>
            <w:right w:val="none" w:sz="0" w:space="0" w:color="auto"/>
          </w:divBdr>
        </w:div>
        <w:div w:id="1710648141">
          <w:marLeft w:val="0"/>
          <w:marRight w:val="0"/>
          <w:marTop w:val="0"/>
          <w:marBottom w:val="0"/>
          <w:divBdr>
            <w:top w:val="none" w:sz="0" w:space="0" w:color="auto"/>
            <w:left w:val="none" w:sz="0" w:space="0" w:color="auto"/>
            <w:bottom w:val="none" w:sz="0" w:space="0" w:color="auto"/>
            <w:right w:val="none" w:sz="0" w:space="0" w:color="auto"/>
          </w:divBdr>
        </w:div>
        <w:div w:id="509418894">
          <w:marLeft w:val="0"/>
          <w:marRight w:val="0"/>
          <w:marTop w:val="0"/>
          <w:marBottom w:val="0"/>
          <w:divBdr>
            <w:top w:val="none" w:sz="0" w:space="0" w:color="auto"/>
            <w:left w:val="none" w:sz="0" w:space="0" w:color="auto"/>
            <w:bottom w:val="none" w:sz="0" w:space="0" w:color="auto"/>
            <w:right w:val="none" w:sz="0" w:space="0" w:color="auto"/>
          </w:divBdr>
        </w:div>
        <w:div w:id="1622297254">
          <w:marLeft w:val="0"/>
          <w:marRight w:val="0"/>
          <w:marTop w:val="0"/>
          <w:marBottom w:val="0"/>
          <w:divBdr>
            <w:top w:val="none" w:sz="0" w:space="0" w:color="auto"/>
            <w:left w:val="none" w:sz="0" w:space="0" w:color="auto"/>
            <w:bottom w:val="none" w:sz="0" w:space="0" w:color="auto"/>
            <w:right w:val="none" w:sz="0" w:space="0" w:color="auto"/>
          </w:divBdr>
        </w:div>
        <w:div w:id="1681394710">
          <w:marLeft w:val="0"/>
          <w:marRight w:val="0"/>
          <w:marTop w:val="0"/>
          <w:marBottom w:val="0"/>
          <w:divBdr>
            <w:top w:val="none" w:sz="0" w:space="0" w:color="auto"/>
            <w:left w:val="none" w:sz="0" w:space="0" w:color="auto"/>
            <w:bottom w:val="none" w:sz="0" w:space="0" w:color="auto"/>
            <w:right w:val="none" w:sz="0" w:space="0" w:color="auto"/>
          </w:divBdr>
        </w:div>
        <w:div w:id="1036929132">
          <w:marLeft w:val="0"/>
          <w:marRight w:val="0"/>
          <w:marTop w:val="0"/>
          <w:marBottom w:val="0"/>
          <w:divBdr>
            <w:top w:val="none" w:sz="0" w:space="0" w:color="auto"/>
            <w:left w:val="none" w:sz="0" w:space="0" w:color="auto"/>
            <w:bottom w:val="none" w:sz="0" w:space="0" w:color="auto"/>
            <w:right w:val="none" w:sz="0" w:space="0" w:color="auto"/>
          </w:divBdr>
        </w:div>
        <w:div w:id="1665625453">
          <w:marLeft w:val="0"/>
          <w:marRight w:val="0"/>
          <w:marTop w:val="0"/>
          <w:marBottom w:val="0"/>
          <w:divBdr>
            <w:top w:val="none" w:sz="0" w:space="0" w:color="auto"/>
            <w:left w:val="none" w:sz="0" w:space="0" w:color="auto"/>
            <w:bottom w:val="none" w:sz="0" w:space="0" w:color="auto"/>
            <w:right w:val="none" w:sz="0" w:space="0" w:color="auto"/>
          </w:divBdr>
        </w:div>
        <w:div w:id="329916724">
          <w:marLeft w:val="0"/>
          <w:marRight w:val="0"/>
          <w:marTop w:val="0"/>
          <w:marBottom w:val="0"/>
          <w:divBdr>
            <w:top w:val="none" w:sz="0" w:space="0" w:color="auto"/>
            <w:left w:val="none" w:sz="0" w:space="0" w:color="auto"/>
            <w:bottom w:val="none" w:sz="0" w:space="0" w:color="auto"/>
            <w:right w:val="none" w:sz="0" w:space="0" w:color="auto"/>
          </w:divBdr>
        </w:div>
        <w:div w:id="1726904604">
          <w:marLeft w:val="0"/>
          <w:marRight w:val="0"/>
          <w:marTop w:val="0"/>
          <w:marBottom w:val="0"/>
          <w:divBdr>
            <w:top w:val="none" w:sz="0" w:space="0" w:color="auto"/>
            <w:left w:val="none" w:sz="0" w:space="0" w:color="auto"/>
            <w:bottom w:val="none" w:sz="0" w:space="0" w:color="auto"/>
            <w:right w:val="none" w:sz="0" w:space="0" w:color="auto"/>
          </w:divBdr>
        </w:div>
        <w:div w:id="1629117179">
          <w:marLeft w:val="0"/>
          <w:marRight w:val="0"/>
          <w:marTop w:val="0"/>
          <w:marBottom w:val="0"/>
          <w:divBdr>
            <w:top w:val="none" w:sz="0" w:space="0" w:color="auto"/>
            <w:left w:val="none" w:sz="0" w:space="0" w:color="auto"/>
            <w:bottom w:val="none" w:sz="0" w:space="0" w:color="auto"/>
            <w:right w:val="none" w:sz="0" w:space="0" w:color="auto"/>
          </w:divBdr>
        </w:div>
        <w:div w:id="1890608359">
          <w:marLeft w:val="0"/>
          <w:marRight w:val="0"/>
          <w:marTop w:val="0"/>
          <w:marBottom w:val="0"/>
          <w:divBdr>
            <w:top w:val="none" w:sz="0" w:space="0" w:color="auto"/>
            <w:left w:val="none" w:sz="0" w:space="0" w:color="auto"/>
            <w:bottom w:val="none" w:sz="0" w:space="0" w:color="auto"/>
            <w:right w:val="none" w:sz="0" w:space="0" w:color="auto"/>
          </w:divBdr>
        </w:div>
        <w:div w:id="402945654">
          <w:marLeft w:val="0"/>
          <w:marRight w:val="0"/>
          <w:marTop w:val="0"/>
          <w:marBottom w:val="0"/>
          <w:divBdr>
            <w:top w:val="none" w:sz="0" w:space="0" w:color="auto"/>
            <w:left w:val="none" w:sz="0" w:space="0" w:color="auto"/>
            <w:bottom w:val="none" w:sz="0" w:space="0" w:color="auto"/>
            <w:right w:val="none" w:sz="0" w:space="0" w:color="auto"/>
          </w:divBdr>
        </w:div>
      </w:divsChild>
    </w:div>
    <w:div w:id="1640377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58608-FBF4-49E7-892E-9646729F4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1967</Words>
  <Characters>11212</Characters>
  <Application>Microsoft Office Word</Application>
  <DocSecurity>0</DocSecurity>
  <Lines>93</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TC/54</vt:lpstr>
      <vt:lpstr>TC/54</vt:lpstr>
    </vt:vector>
  </TitlesOfParts>
  <Company>UPOV</Company>
  <LinksUpToDate>false</LinksUpToDate>
  <CharactersWithSpaces>13153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dc:title>
  <dc:creator>TAVEIRA Leontino</dc:creator>
  <cp:lastModifiedBy>MAY Jessica</cp:lastModifiedBy>
  <cp:revision>17</cp:revision>
  <cp:lastPrinted>2018-09-02T07:28:00Z</cp:lastPrinted>
  <dcterms:created xsi:type="dcterms:W3CDTF">2018-08-30T07:04:00Z</dcterms:created>
  <dcterms:modified xsi:type="dcterms:W3CDTF">2018-10-04T09:42:00Z</dcterms:modified>
</cp:coreProperties>
</file>