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376AF" w:rsidTr="00EB4E9C">
        <w:tc>
          <w:tcPr>
            <w:tcW w:w="6522" w:type="dxa"/>
          </w:tcPr>
          <w:p w:rsidR="00DC3802" w:rsidRPr="008376AF" w:rsidRDefault="00DC3802" w:rsidP="00AC2883">
            <w:pPr>
              <w:rPr>
                <w:lang w:val="de-DE"/>
              </w:rPr>
            </w:pPr>
            <w:bookmarkStart w:id="0" w:name="_GoBack" w:colFirst="0" w:colLast="0"/>
            <w:r w:rsidRPr="008376AF">
              <w:rPr>
                <w:noProof/>
              </w:rPr>
              <w:drawing>
                <wp:inline distT="0" distB="0" distL="0" distR="0" wp14:anchorId="69E53D92" wp14:editId="1A77F5F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8376AF" w:rsidRDefault="00DE2411" w:rsidP="00DE2411">
            <w:pPr>
              <w:pStyle w:val="Lettrine"/>
              <w:rPr>
                <w:lang w:val="de-DE"/>
              </w:rPr>
            </w:pPr>
            <w:r w:rsidRPr="008376AF">
              <w:rPr>
                <w:lang w:val="de-DE"/>
              </w:rPr>
              <w:t>G</w:t>
            </w:r>
          </w:p>
        </w:tc>
      </w:tr>
      <w:tr w:rsidR="00DC3802" w:rsidRPr="00D129A2" w:rsidTr="00645CA8">
        <w:trPr>
          <w:trHeight w:val="219"/>
        </w:trPr>
        <w:tc>
          <w:tcPr>
            <w:tcW w:w="6522" w:type="dxa"/>
          </w:tcPr>
          <w:p w:rsidR="00DC3802" w:rsidRPr="008376AF" w:rsidRDefault="00DE2411" w:rsidP="00DE2411">
            <w:pPr>
              <w:pStyle w:val="upove"/>
              <w:rPr>
                <w:lang w:val="de-DE"/>
              </w:rPr>
            </w:pPr>
            <w:r w:rsidRPr="008376AF">
              <w:rPr>
                <w:lang w:val="de-DE"/>
              </w:rPr>
              <w:t>Internationaler Verband zum Schutz von Pflanzenzüchtungen</w:t>
            </w:r>
          </w:p>
        </w:tc>
        <w:tc>
          <w:tcPr>
            <w:tcW w:w="3117" w:type="dxa"/>
          </w:tcPr>
          <w:p w:rsidR="00DC3802" w:rsidRPr="008376AF" w:rsidRDefault="00DC3802" w:rsidP="00DA4973">
            <w:pPr>
              <w:rPr>
                <w:lang w:val="de-DE"/>
              </w:rPr>
            </w:pPr>
          </w:p>
        </w:tc>
      </w:tr>
      <w:bookmarkEnd w:id="0"/>
    </w:tbl>
    <w:p w:rsidR="00DE2411" w:rsidRPr="008376AF" w:rsidRDefault="00DE2411" w:rsidP="00DC3802">
      <w:pPr>
        <w:rPr>
          <w:lang w:val="de-DE"/>
        </w:rPr>
      </w:pPr>
    </w:p>
    <w:p w:rsidR="00DA4973" w:rsidRPr="008376AF" w:rsidRDefault="00DA4973" w:rsidP="00DC3802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D129A2" w:rsidTr="00EB4E9C">
        <w:tc>
          <w:tcPr>
            <w:tcW w:w="6512" w:type="dxa"/>
          </w:tcPr>
          <w:p w:rsidR="00DE2411" w:rsidRPr="008376AF" w:rsidRDefault="00262C7D" w:rsidP="00DE2411">
            <w:pPr>
              <w:pStyle w:val="Sessiontc"/>
              <w:spacing w:line="240" w:lineRule="auto"/>
              <w:rPr>
                <w:lang w:val="de-DE"/>
              </w:rPr>
            </w:pPr>
            <w:r w:rsidRPr="008376AF">
              <w:rPr>
                <w:lang w:val="de-DE"/>
              </w:rPr>
              <w:t>Technischer Ausschuß</w:t>
            </w:r>
          </w:p>
          <w:p w:rsidR="00EB4E9C" w:rsidRPr="008376AF" w:rsidRDefault="00DE2411" w:rsidP="00DE2411">
            <w:pPr>
              <w:pStyle w:val="Sessiontcplacedate"/>
              <w:rPr>
                <w:sz w:val="22"/>
                <w:lang w:val="de-DE"/>
              </w:rPr>
            </w:pPr>
            <w:r w:rsidRPr="008376AF">
              <w:rPr>
                <w:lang w:val="de-DE"/>
              </w:rPr>
              <w:t xml:space="preserve">Vierundfünfzigste Tagung </w:t>
            </w:r>
            <w:r w:rsidRPr="008376AF">
              <w:rPr>
                <w:lang w:val="de-DE"/>
              </w:rPr>
              <w:br/>
              <w:t>Genf, 29. und 30. Oktober 2018</w:t>
            </w:r>
          </w:p>
        </w:tc>
        <w:tc>
          <w:tcPr>
            <w:tcW w:w="3127" w:type="dxa"/>
          </w:tcPr>
          <w:p w:rsidR="00DE2411" w:rsidRPr="008376AF" w:rsidRDefault="00DE2411" w:rsidP="00DE2411">
            <w:pPr>
              <w:pStyle w:val="Doccode"/>
              <w:rPr>
                <w:lang w:val="de-DE"/>
              </w:rPr>
            </w:pPr>
            <w:r w:rsidRPr="008376AF">
              <w:rPr>
                <w:lang w:val="de-DE"/>
              </w:rPr>
              <w:t>TC/54/27</w:t>
            </w:r>
          </w:p>
          <w:p w:rsidR="00DE2411" w:rsidRPr="008376AF" w:rsidRDefault="00893C3D" w:rsidP="00DE2411">
            <w:pPr>
              <w:pStyle w:val="Docoriginal"/>
              <w:rPr>
                <w:lang w:val="de-DE"/>
              </w:rPr>
            </w:pPr>
            <w:r w:rsidRPr="008376AF">
              <w:rPr>
                <w:lang w:val="de-DE"/>
              </w:rPr>
              <w:t>Original</w:t>
            </w:r>
            <w:r w:rsidR="00DE2411" w:rsidRPr="008376AF">
              <w:rPr>
                <w:lang w:val="de-DE"/>
              </w:rPr>
              <w:t>:</w:t>
            </w:r>
            <w:r w:rsidR="00522047" w:rsidRPr="008376AF">
              <w:rPr>
                <w:lang w:val="de-DE"/>
              </w:rPr>
              <w:t xml:space="preserve"> </w:t>
            </w:r>
            <w:r w:rsidR="00DE2411" w:rsidRPr="008376AF">
              <w:rPr>
                <w:b w:val="0"/>
                <w:lang w:val="de-DE"/>
              </w:rPr>
              <w:t>englisch</w:t>
            </w:r>
          </w:p>
          <w:p w:rsidR="00EB4E9C" w:rsidRPr="008376AF" w:rsidRDefault="00DE2411" w:rsidP="00893C3D">
            <w:pPr>
              <w:pStyle w:val="Docoriginal"/>
              <w:rPr>
                <w:lang w:val="de-DE"/>
              </w:rPr>
            </w:pPr>
            <w:r w:rsidRPr="008376AF">
              <w:rPr>
                <w:lang w:val="de-DE"/>
              </w:rPr>
              <w:t>D</w:t>
            </w:r>
            <w:r w:rsidR="00893C3D" w:rsidRPr="008376AF">
              <w:rPr>
                <w:lang w:val="de-DE"/>
              </w:rPr>
              <w:t>atum</w:t>
            </w:r>
            <w:r w:rsidRPr="008376AF">
              <w:rPr>
                <w:lang w:val="de-DE"/>
              </w:rPr>
              <w:t xml:space="preserve">: </w:t>
            </w:r>
            <w:r w:rsidRPr="008376AF">
              <w:rPr>
                <w:b w:val="0"/>
                <w:lang w:val="de-DE"/>
              </w:rPr>
              <w:t>3. Oktober 2018</w:t>
            </w:r>
          </w:p>
        </w:tc>
      </w:tr>
    </w:tbl>
    <w:p w:rsidR="00DE2411" w:rsidRPr="008376AF" w:rsidRDefault="00DE2411" w:rsidP="00DE2411">
      <w:pPr>
        <w:pStyle w:val="Titleofdoc0"/>
        <w:tabs>
          <w:tab w:val="left" w:pos="5760"/>
        </w:tabs>
        <w:rPr>
          <w:lang w:val="de-DE"/>
        </w:rPr>
      </w:pPr>
      <w:bookmarkStart w:id="1" w:name="TitleOfDoc"/>
      <w:bookmarkEnd w:id="1"/>
      <w:r w:rsidRPr="008376AF">
        <w:rPr>
          <w:lang w:val="de-DE"/>
        </w:rPr>
        <w:t>Anzahl von Wachstumsperioden</w:t>
      </w:r>
    </w:p>
    <w:p w:rsidR="0069769C" w:rsidRDefault="00E20288" w:rsidP="0069769C">
      <w:pPr>
        <w:pStyle w:val="preparedby1"/>
        <w:jc w:val="left"/>
        <w:rPr>
          <w:lang w:val="de-DE"/>
        </w:rPr>
      </w:pPr>
      <w:bookmarkStart w:id="2" w:name="Prepared"/>
      <w:bookmarkEnd w:id="2"/>
      <w:r w:rsidRPr="008376AF">
        <w:rPr>
          <w:lang w:val="de-DE"/>
        </w:rPr>
        <w:t>Vom Verbandsbüro erstelltes Dokument</w:t>
      </w:r>
    </w:p>
    <w:p w:rsidR="00E20288" w:rsidRPr="008376AF" w:rsidRDefault="00E20288" w:rsidP="00E20288">
      <w:pPr>
        <w:pStyle w:val="Disclaimer"/>
        <w:rPr>
          <w:i w:val="0"/>
          <w:color w:val="auto"/>
          <w:u w:val="single"/>
          <w:lang w:val="de-DE"/>
        </w:rPr>
      </w:pPr>
      <w:r w:rsidRPr="008376AF">
        <w:rPr>
          <w:lang w:val="de-DE"/>
        </w:rPr>
        <w:t>Haftungsausschluß:</w:t>
      </w:r>
      <w:r w:rsidR="00522047" w:rsidRPr="008376AF">
        <w:rPr>
          <w:lang w:val="de-DE"/>
        </w:rPr>
        <w:t xml:space="preserve"> </w:t>
      </w:r>
      <w:r w:rsidRPr="008376AF">
        <w:rPr>
          <w:lang w:val="de-DE"/>
        </w:rPr>
        <w:t>dieses Dokument gibt nicht die Grundsätze oder eine Anleitung der UPOV wieder</w:t>
      </w:r>
    </w:p>
    <w:p w:rsidR="00DE2411" w:rsidRPr="008376AF" w:rsidRDefault="00DE2411" w:rsidP="0069769C">
      <w:pPr>
        <w:pStyle w:val="Heading1"/>
        <w:rPr>
          <w:lang w:val="de-DE"/>
        </w:rPr>
      </w:pPr>
      <w:bookmarkStart w:id="3" w:name="_Toc527462854"/>
      <w:r w:rsidRPr="008376AF">
        <w:rPr>
          <w:lang w:val="de-DE"/>
        </w:rPr>
        <w:t>Zusammenfassung</w:t>
      </w:r>
      <w:bookmarkEnd w:id="3"/>
    </w:p>
    <w:p w:rsidR="00DE2411" w:rsidRPr="008376AF" w:rsidRDefault="00DE2411" w:rsidP="00416F6E">
      <w:pPr>
        <w:rPr>
          <w:rFonts w:cs="Arial"/>
          <w:lang w:val="de-DE"/>
        </w:rPr>
      </w:pPr>
    </w:p>
    <w:p w:rsidR="00DE2411" w:rsidRPr="008376AF" w:rsidRDefault="00416F6E" w:rsidP="00DE2411">
      <w:pPr>
        <w:rPr>
          <w:snapToGrid w:val="0"/>
          <w:lang w:val="de-DE"/>
        </w:rPr>
      </w:pPr>
      <w:r w:rsidRPr="008376AF">
        <w:rPr>
          <w:rFonts w:cs="Arial"/>
          <w:lang w:val="de-DE"/>
        </w:rPr>
        <w:fldChar w:fldCharType="begin"/>
      </w:r>
      <w:r w:rsidRPr="008376AF">
        <w:rPr>
          <w:rFonts w:cs="Arial"/>
          <w:lang w:val="de-DE"/>
        </w:rPr>
        <w:instrText xml:space="preserve"> AUTONUM  </w:instrText>
      </w:r>
      <w:r w:rsidRPr="008376AF">
        <w:rPr>
          <w:rFonts w:cs="Arial"/>
          <w:lang w:val="de-DE"/>
        </w:rPr>
        <w:fldChar w:fldCharType="end"/>
      </w:r>
      <w:r w:rsidRPr="008376AF">
        <w:rPr>
          <w:rFonts w:cs="Arial"/>
          <w:lang w:val="de-DE"/>
        </w:rPr>
        <w:tab/>
      </w:r>
      <w:r w:rsidR="00DE2411" w:rsidRPr="008376AF">
        <w:rPr>
          <w:rFonts w:cs="Arial"/>
          <w:lang w:val="de-DE"/>
        </w:rPr>
        <w:t xml:space="preserve">Zweck dieses Dokuments ist es, über die Erörterung der Anzahl </w:t>
      </w:r>
      <w:r w:rsidR="002A5622" w:rsidRPr="008376AF">
        <w:rPr>
          <w:rFonts w:cs="Arial"/>
          <w:lang w:val="de-DE"/>
        </w:rPr>
        <w:t xml:space="preserve">von </w:t>
      </w:r>
      <w:r w:rsidR="00DE2411" w:rsidRPr="008376AF">
        <w:rPr>
          <w:rFonts w:cs="Arial"/>
          <w:lang w:val="de-DE"/>
        </w:rPr>
        <w:t>Wachstumsperioden bei der DUS</w:t>
      </w:r>
      <w:r w:rsidR="002A5622" w:rsidRPr="008376AF">
        <w:rPr>
          <w:rFonts w:cs="Arial"/>
          <w:lang w:val="de-DE"/>
        </w:rPr>
        <w:t>-</w:t>
      </w:r>
      <w:r w:rsidR="00DE2411" w:rsidRPr="008376AF">
        <w:rPr>
          <w:rFonts w:cs="Arial"/>
          <w:lang w:val="de-DE"/>
        </w:rPr>
        <w:t>Prüfung Bericht zu erstatten.</w:t>
      </w:r>
      <w:r w:rsidRPr="008376AF">
        <w:rPr>
          <w:rFonts w:cs="Arial"/>
          <w:snapToGrid w:val="0"/>
          <w:szCs w:val="24"/>
          <w:lang w:val="de-DE"/>
        </w:rPr>
        <w:t xml:space="preserve"> </w:t>
      </w:r>
    </w:p>
    <w:p w:rsidR="00DE2411" w:rsidRPr="008376AF" w:rsidRDefault="00DE2411" w:rsidP="00416F6E">
      <w:pPr>
        <w:rPr>
          <w:rFonts w:cs="Arial"/>
          <w:lang w:val="de-DE"/>
        </w:rPr>
      </w:pPr>
    </w:p>
    <w:p w:rsidR="00DE2411" w:rsidRPr="008376AF" w:rsidRDefault="00DE67D3" w:rsidP="00416F6E">
      <w:pPr>
        <w:tabs>
          <w:tab w:val="left" w:pos="567"/>
          <w:tab w:val="left" w:pos="1134"/>
        </w:tabs>
        <w:rPr>
          <w:color w:val="000000"/>
          <w:lang w:val="de-DE"/>
        </w:rPr>
      </w:pPr>
      <w:r w:rsidRPr="008376AF">
        <w:rPr>
          <w:color w:val="000000"/>
          <w:lang w:val="de-DE"/>
        </w:rPr>
        <w:fldChar w:fldCharType="begin"/>
      </w:r>
      <w:r w:rsidRPr="008376AF">
        <w:rPr>
          <w:color w:val="000000"/>
          <w:lang w:val="de-DE"/>
        </w:rPr>
        <w:instrText xml:space="preserve"> AUTONUM  </w:instrText>
      </w:r>
      <w:r w:rsidRPr="008376AF">
        <w:rPr>
          <w:color w:val="000000"/>
          <w:lang w:val="de-DE"/>
        </w:rPr>
        <w:fldChar w:fldCharType="end"/>
      </w:r>
      <w:r w:rsidRPr="008376AF">
        <w:rPr>
          <w:color w:val="000000"/>
          <w:lang w:val="de-DE"/>
        </w:rPr>
        <w:tab/>
      </w:r>
      <w:r w:rsidR="000A61EF" w:rsidRPr="008376AF">
        <w:rPr>
          <w:color w:val="000000"/>
          <w:lang w:val="de-DE"/>
        </w:rPr>
        <w:t>Der</w:t>
      </w:r>
      <w:r w:rsidRPr="008376AF">
        <w:rPr>
          <w:color w:val="000000"/>
          <w:lang w:val="de-DE"/>
        </w:rPr>
        <w:t xml:space="preserve"> TC </w:t>
      </w:r>
      <w:r w:rsidR="00522047" w:rsidRPr="008376AF">
        <w:rPr>
          <w:color w:val="000000"/>
          <w:lang w:val="de-DE"/>
        </w:rPr>
        <w:t>wird ersucht</w:t>
      </w:r>
      <w:r w:rsidR="00194E97" w:rsidRPr="008376AF">
        <w:rPr>
          <w:color w:val="000000"/>
          <w:lang w:val="de-DE"/>
        </w:rPr>
        <w:t>,</w:t>
      </w:r>
      <w:r w:rsidRPr="008376AF">
        <w:rPr>
          <w:color w:val="000000"/>
          <w:lang w:val="de-DE"/>
        </w:rPr>
        <w:t xml:space="preserve"> </w:t>
      </w:r>
      <w:r w:rsidR="000A61EF" w:rsidRPr="008376AF">
        <w:rPr>
          <w:color w:val="000000"/>
          <w:lang w:val="de-DE"/>
        </w:rPr>
        <w:t>die</w:t>
      </w:r>
      <w:r w:rsidRPr="008376AF">
        <w:rPr>
          <w:color w:val="000000"/>
          <w:lang w:val="de-DE"/>
        </w:rPr>
        <w:t xml:space="preserve"> </w:t>
      </w:r>
      <w:r w:rsidR="00853BA4" w:rsidRPr="008376AF">
        <w:rPr>
          <w:color w:val="000000"/>
          <w:lang w:val="de-DE"/>
        </w:rPr>
        <w:t>Erörterung</w:t>
      </w:r>
      <w:r w:rsidR="00C4083D" w:rsidRPr="008376AF">
        <w:rPr>
          <w:color w:val="000000"/>
          <w:lang w:val="de-DE"/>
        </w:rPr>
        <w:t>en</w:t>
      </w:r>
      <w:r w:rsidR="002A5622" w:rsidRPr="008376AF">
        <w:rPr>
          <w:color w:val="000000"/>
          <w:lang w:val="de-DE"/>
        </w:rPr>
        <w:t xml:space="preserve"> der TWP</w:t>
      </w:r>
      <w:r w:rsidR="000A61EF" w:rsidRPr="008376AF">
        <w:rPr>
          <w:color w:val="000000"/>
          <w:lang w:val="de-DE"/>
        </w:rPr>
        <w:t xml:space="preserve"> </w:t>
      </w:r>
      <w:r w:rsidR="003A6D0D" w:rsidRPr="008376AF">
        <w:rPr>
          <w:color w:val="000000"/>
          <w:lang w:val="de-DE"/>
        </w:rPr>
        <w:t>auf deren</w:t>
      </w:r>
      <w:r w:rsidRPr="008376AF">
        <w:rPr>
          <w:color w:val="000000"/>
          <w:lang w:val="de-DE"/>
        </w:rPr>
        <w:t xml:space="preserve"> </w:t>
      </w:r>
      <w:r w:rsidR="00522047" w:rsidRPr="008376AF">
        <w:rPr>
          <w:color w:val="000000"/>
          <w:lang w:val="de-DE"/>
        </w:rPr>
        <w:t>Tagungen</w:t>
      </w:r>
      <w:r w:rsidR="000A61EF" w:rsidRPr="008376AF">
        <w:rPr>
          <w:color w:val="000000"/>
          <w:lang w:val="de-DE"/>
        </w:rPr>
        <w:t xml:space="preserve"> in </w:t>
      </w:r>
      <w:r w:rsidR="00C4083D" w:rsidRPr="008376AF">
        <w:rPr>
          <w:color w:val="000000"/>
          <w:lang w:val="de-DE"/>
        </w:rPr>
        <w:t xml:space="preserve">den Jahren </w:t>
      </w:r>
      <w:r w:rsidR="000A61EF" w:rsidRPr="008376AF">
        <w:rPr>
          <w:color w:val="000000"/>
          <w:lang w:val="de-DE"/>
        </w:rPr>
        <w:t>2017 und</w:t>
      </w:r>
      <w:r w:rsidR="002A5622" w:rsidRPr="008376AF">
        <w:rPr>
          <w:color w:val="000000"/>
          <w:lang w:val="de-DE"/>
        </w:rPr>
        <w:t xml:space="preserve"> 2018</w:t>
      </w:r>
      <w:r w:rsidRPr="008376AF">
        <w:rPr>
          <w:color w:val="000000"/>
          <w:lang w:val="de-DE"/>
        </w:rPr>
        <w:t xml:space="preserve"> </w:t>
      </w:r>
      <w:r w:rsidR="000A61EF" w:rsidRPr="008376AF">
        <w:rPr>
          <w:color w:val="000000"/>
          <w:lang w:val="de-DE"/>
        </w:rPr>
        <w:t>über die</w:t>
      </w:r>
      <w:r w:rsidRPr="008376AF">
        <w:rPr>
          <w:color w:val="000000"/>
          <w:lang w:val="de-DE"/>
        </w:rPr>
        <w:t xml:space="preserve"> </w:t>
      </w:r>
      <w:r w:rsidR="00621523" w:rsidRPr="008376AF">
        <w:rPr>
          <w:rFonts w:cs="Arial"/>
          <w:lang w:val="de-DE"/>
        </w:rPr>
        <w:t>A</w:t>
      </w:r>
      <w:r w:rsidR="002A5622" w:rsidRPr="008376AF">
        <w:rPr>
          <w:rFonts w:cs="Arial"/>
          <w:lang w:val="de-DE"/>
        </w:rPr>
        <w:t xml:space="preserve">uswirkungen der Verwendung </w:t>
      </w:r>
      <w:r w:rsidR="00853BA4" w:rsidRPr="008376AF">
        <w:rPr>
          <w:rFonts w:cs="Arial"/>
          <w:lang w:val="de-DE"/>
        </w:rPr>
        <w:t>einer unterschiedlichen</w:t>
      </w:r>
      <w:r w:rsidR="00621523" w:rsidRPr="008376AF">
        <w:rPr>
          <w:rFonts w:cs="Arial"/>
          <w:lang w:val="de-DE"/>
        </w:rPr>
        <w:t xml:space="preserve"> Anzahl</w:t>
      </w:r>
      <w:r w:rsidR="00853BA4" w:rsidRPr="008376AF">
        <w:rPr>
          <w:rFonts w:cs="Arial"/>
          <w:lang w:val="de-DE"/>
        </w:rPr>
        <w:t xml:space="preserve"> von</w:t>
      </w:r>
      <w:r w:rsidR="00621523" w:rsidRPr="008376AF">
        <w:rPr>
          <w:rFonts w:cs="Arial"/>
          <w:lang w:val="de-DE"/>
        </w:rPr>
        <w:t xml:space="preserve"> Wachstumsperioden auf die </w:t>
      </w:r>
      <w:r w:rsidR="0094172C" w:rsidRPr="008376AF">
        <w:rPr>
          <w:rFonts w:cs="Arial"/>
          <w:lang w:val="de-DE"/>
        </w:rPr>
        <w:t>Entscheidungen über DUS</w:t>
      </w:r>
      <w:r w:rsidR="00621523" w:rsidRPr="008376AF">
        <w:rPr>
          <w:rFonts w:cs="Arial"/>
          <w:lang w:val="de-DE"/>
        </w:rPr>
        <w:t xml:space="preserve"> anhand aktueller Daten</w:t>
      </w:r>
      <w:r w:rsidR="00194E97" w:rsidRPr="008376AF">
        <w:rPr>
          <w:color w:val="000000"/>
          <w:lang w:val="de-DE"/>
        </w:rPr>
        <w:t xml:space="preserve"> zur Kenntnis zu nehmen.</w:t>
      </w:r>
    </w:p>
    <w:p w:rsidR="00DE2411" w:rsidRPr="008376AF" w:rsidRDefault="00DE2411" w:rsidP="00416F6E">
      <w:pPr>
        <w:tabs>
          <w:tab w:val="left" w:pos="567"/>
          <w:tab w:val="left" w:pos="1134"/>
        </w:tabs>
        <w:rPr>
          <w:rFonts w:cs="Arial"/>
          <w:lang w:val="de-DE"/>
        </w:rPr>
      </w:pPr>
    </w:p>
    <w:p w:rsidR="00DE2411" w:rsidRPr="008376AF" w:rsidRDefault="00416F6E" w:rsidP="00DE2411">
      <w:pPr>
        <w:rPr>
          <w:lang w:val="de-DE" w:eastAsia="ja-JP"/>
        </w:rPr>
      </w:pPr>
      <w:r w:rsidRPr="008376AF">
        <w:rPr>
          <w:lang w:val="de-DE"/>
        </w:rPr>
        <w:fldChar w:fldCharType="begin"/>
      </w:r>
      <w:r w:rsidRPr="008376AF">
        <w:rPr>
          <w:lang w:val="de-DE"/>
        </w:rPr>
        <w:instrText xml:space="preserve"> AUTONUM  </w:instrText>
      </w:r>
      <w:r w:rsidRPr="008376AF">
        <w:rPr>
          <w:lang w:val="de-DE"/>
        </w:rPr>
        <w:fldChar w:fldCharType="end"/>
      </w:r>
      <w:r w:rsidRPr="008376AF">
        <w:rPr>
          <w:lang w:val="de-DE"/>
        </w:rPr>
        <w:tab/>
      </w:r>
      <w:r w:rsidR="00DE2411" w:rsidRPr="008376AF">
        <w:rPr>
          <w:lang w:val="de-DE"/>
        </w:rPr>
        <w:t>Der Aufbau dieses Dokuments ist nachstehend zusammengefaßt:</w:t>
      </w:r>
    </w:p>
    <w:p w:rsidR="00DE2411" w:rsidRPr="008376AF" w:rsidRDefault="00DE2411" w:rsidP="00416F6E">
      <w:pPr>
        <w:rPr>
          <w:rFonts w:cs="Arial"/>
          <w:lang w:val="de-DE"/>
        </w:rPr>
      </w:pPr>
    </w:p>
    <w:p w:rsidR="00FB1670" w:rsidRPr="008376AF" w:rsidRDefault="00416F6E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de-DE" w:eastAsia="de-DE"/>
        </w:rPr>
      </w:pPr>
      <w:r w:rsidRPr="008376AF">
        <w:rPr>
          <w:b/>
          <w:bCs/>
          <w:noProof/>
          <w:sz w:val="20"/>
          <w:lang w:val="de-DE"/>
        </w:rPr>
        <w:fldChar w:fldCharType="begin"/>
      </w:r>
      <w:r w:rsidRPr="008376AF">
        <w:rPr>
          <w:b/>
          <w:lang w:val="de-DE"/>
        </w:rPr>
        <w:instrText xml:space="preserve"> TOC \o "1-3" \h \z \u </w:instrText>
      </w:r>
      <w:r w:rsidRPr="008376AF">
        <w:rPr>
          <w:b/>
          <w:bCs/>
          <w:noProof/>
          <w:sz w:val="20"/>
          <w:lang w:val="de-DE"/>
        </w:rPr>
        <w:fldChar w:fldCharType="separate"/>
      </w:r>
      <w:hyperlink w:anchor="_Toc527462854" w:history="1">
        <w:r w:rsidR="00FB1670" w:rsidRPr="008376AF">
          <w:rPr>
            <w:rStyle w:val="Hyperlink"/>
            <w:noProof/>
            <w:lang w:val="de-DE"/>
          </w:rPr>
          <w:t>Zusammenfassung</w:t>
        </w:r>
        <w:r w:rsidR="00FB1670" w:rsidRPr="008376AF">
          <w:rPr>
            <w:noProof/>
            <w:webHidden/>
          </w:rPr>
          <w:tab/>
        </w:r>
        <w:r w:rsidR="00FB1670" w:rsidRPr="008376AF">
          <w:rPr>
            <w:noProof/>
            <w:webHidden/>
          </w:rPr>
          <w:fldChar w:fldCharType="begin"/>
        </w:r>
        <w:r w:rsidR="00FB1670" w:rsidRPr="008376AF">
          <w:rPr>
            <w:noProof/>
            <w:webHidden/>
          </w:rPr>
          <w:instrText xml:space="preserve"> PAGEREF _Toc527462854 \h </w:instrText>
        </w:r>
        <w:r w:rsidR="00FB1670" w:rsidRPr="008376AF">
          <w:rPr>
            <w:noProof/>
            <w:webHidden/>
          </w:rPr>
        </w:r>
        <w:r w:rsidR="00FB1670" w:rsidRPr="008376AF">
          <w:rPr>
            <w:noProof/>
            <w:webHidden/>
          </w:rPr>
          <w:fldChar w:fldCharType="separate"/>
        </w:r>
        <w:r w:rsidR="00FB1670" w:rsidRPr="008376AF">
          <w:rPr>
            <w:noProof/>
            <w:webHidden/>
          </w:rPr>
          <w:t>1</w:t>
        </w:r>
        <w:r w:rsidR="00FB1670" w:rsidRPr="008376AF">
          <w:rPr>
            <w:noProof/>
            <w:webHidden/>
          </w:rPr>
          <w:fldChar w:fldCharType="end"/>
        </w:r>
      </w:hyperlink>
    </w:p>
    <w:p w:rsidR="00FB1670" w:rsidRPr="008376AF" w:rsidRDefault="00D129A2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de-DE" w:eastAsia="de-DE"/>
        </w:rPr>
      </w:pPr>
      <w:hyperlink w:anchor="_Toc527462855" w:history="1">
        <w:r w:rsidR="00FB1670" w:rsidRPr="008376AF">
          <w:rPr>
            <w:rStyle w:val="Hyperlink"/>
            <w:noProof/>
            <w:lang w:val="de-DE"/>
          </w:rPr>
          <w:t>Hintergrund</w:t>
        </w:r>
        <w:r w:rsidR="00FB1670" w:rsidRPr="008376AF">
          <w:rPr>
            <w:noProof/>
            <w:webHidden/>
          </w:rPr>
          <w:tab/>
        </w:r>
        <w:r w:rsidR="00FB1670" w:rsidRPr="008376AF">
          <w:rPr>
            <w:noProof/>
            <w:webHidden/>
          </w:rPr>
          <w:fldChar w:fldCharType="begin"/>
        </w:r>
        <w:r w:rsidR="00FB1670" w:rsidRPr="008376AF">
          <w:rPr>
            <w:noProof/>
            <w:webHidden/>
          </w:rPr>
          <w:instrText xml:space="preserve"> PAGEREF _Toc527462855 \h </w:instrText>
        </w:r>
        <w:r w:rsidR="00FB1670" w:rsidRPr="008376AF">
          <w:rPr>
            <w:noProof/>
            <w:webHidden/>
          </w:rPr>
        </w:r>
        <w:r w:rsidR="00FB1670" w:rsidRPr="008376AF">
          <w:rPr>
            <w:noProof/>
            <w:webHidden/>
          </w:rPr>
          <w:fldChar w:fldCharType="separate"/>
        </w:r>
        <w:r w:rsidR="00FB1670" w:rsidRPr="008376AF">
          <w:rPr>
            <w:noProof/>
            <w:webHidden/>
          </w:rPr>
          <w:t>2</w:t>
        </w:r>
        <w:r w:rsidR="00FB1670" w:rsidRPr="008376AF">
          <w:rPr>
            <w:noProof/>
            <w:webHidden/>
          </w:rPr>
          <w:fldChar w:fldCharType="end"/>
        </w:r>
      </w:hyperlink>
    </w:p>
    <w:p w:rsidR="00FB1670" w:rsidRPr="008376AF" w:rsidRDefault="00D129A2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de-DE" w:eastAsia="de-DE"/>
        </w:rPr>
      </w:pPr>
      <w:hyperlink w:anchor="_Toc527462856" w:history="1">
        <w:r w:rsidR="00FB1670" w:rsidRPr="008376AF">
          <w:rPr>
            <w:rStyle w:val="Hyperlink"/>
            <w:noProof/>
            <w:lang w:val="de-DE"/>
          </w:rPr>
          <w:t>REFERATE AUF DEN Tagungen der TWP im Jahre 2017</w:t>
        </w:r>
        <w:r w:rsidR="00FB1670" w:rsidRPr="008376AF">
          <w:rPr>
            <w:noProof/>
            <w:webHidden/>
          </w:rPr>
          <w:tab/>
        </w:r>
        <w:r w:rsidR="00FB1670" w:rsidRPr="008376AF">
          <w:rPr>
            <w:noProof/>
            <w:webHidden/>
          </w:rPr>
          <w:fldChar w:fldCharType="begin"/>
        </w:r>
        <w:r w:rsidR="00FB1670" w:rsidRPr="008376AF">
          <w:rPr>
            <w:noProof/>
            <w:webHidden/>
          </w:rPr>
          <w:instrText xml:space="preserve"> PAGEREF _Toc527462856 \h </w:instrText>
        </w:r>
        <w:r w:rsidR="00FB1670" w:rsidRPr="008376AF">
          <w:rPr>
            <w:noProof/>
            <w:webHidden/>
          </w:rPr>
        </w:r>
        <w:r w:rsidR="00FB1670" w:rsidRPr="008376AF">
          <w:rPr>
            <w:noProof/>
            <w:webHidden/>
          </w:rPr>
          <w:fldChar w:fldCharType="separate"/>
        </w:r>
        <w:r w:rsidR="00FB1670" w:rsidRPr="008376AF">
          <w:rPr>
            <w:noProof/>
            <w:webHidden/>
          </w:rPr>
          <w:t>2</w:t>
        </w:r>
        <w:r w:rsidR="00FB1670" w:rsidRPr="008376AF">
          <w:rPr>
            <w:noProof/>
            <w:webHidden/>
          </w:rPr>
          <w:fldChar w:fldCharType="end"/>
        </w:r>
      </w:hyperlink>
    </w:p>
    <w:p w:rsidR="00FB1670" w:rsidRPr="008376AF" w:rsidRDefault="00D129A2" w:rsidP="0069769C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val="de-DE" w:eastAsia="de-DE"/>
        </w:rPr>
      </w:pPr>
      <w:hyperlink w:anchor="_Toc527462857" w:history="1">
        <w:r w:rsidR="00FB1670" w:rsidRPr="008376AF">
          <w:rPr>
            <w:rStyle w:val="Hyperlink"/>
            <w:noProof/>
            <w:lang w:val="de-DE"/>
          </w:rPr>
          <w:t>Technische Arbeitsgruppe für landwirtschaftliche Sorten</w:t>
        </w:r>
        <w:r w:rsidR="00FB1670" w:rsidRPr="008376AF">
          <w:rPr>
            <w:noProof/>
            <w:webHidden/>
          </w:rPr>
          <w:tab/>
        </w:r>
        <w:r w:rsidR="00FB1670" w:rsidRPr="008376AF">
          <w:rPr>
            <w:noProof/>
            <w:webHidden/>
          </w:rPr>
          <w:fldChar w:fldCharType="begin"/>
        </w:r>
        <w:r w:rsidR="00FB1670" w:rsidRPr="008376AF">
          <w:rPr>
            <w:noProof/>
            <w:webHidden/>
          </w:rPr>
          <w:instrText xml:space="preserve"> PAGEREF _Toc527462857 \h </w:instrText>
        </w:r>
        <w:r w:rsidR="00FB1670" w:rsidRPr="008376AF">
          <w:rPr>
            <w:noProof/>
            <w:webHidden/>
          </w:rPr>
        </w:r>
        <w:r w:rsidR="00FB1670" w:rsidRPr="008376AF">
          <w:rPr>
            <w:noProof/>
            <w:webHidden/>
          </w:rPr>
          <w:fldChar w:fldCharType="separate"/>
        </w:r>
        <w:r w:rsidR="00FB1670" w:rsidRPr="008376AF">
          <w:rPr>
            <w:noProof/>
            <w:webHidden/>
          </w:rPr>
          <w:t>2</w:t>
        </w:r>
        <w:r w:rsidR="00FB1670" w:rsidRPr="008376AF">
          <w:rPr>
            <w:noProof/>
            <w:webHidden/>
          </w:rPr>
          <w:fldChar w:fldCharType="end"/>
        </w:r>
      </w:hyperlink>
    </w:p>
    <w:p w:rsidR="00FB1670" w:rsidRPr="008376AF" w:rsidRDefault="00D129A2" w:rsidP="0069769C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val="de-DE" w:eastAsia="de-DE"/>
        </w:rPr>
      </w:pPr>
      <w:hyperlink w:anchor="_Toc527462858" w:history="1">
        <w:r w:rsidR="00FB1670" w:rsidRPr="008376AF">
          <w:rPr>
            <w:rStyle w:val="Hyperlink"/>
            <w:noProof/>
            <w:lang w:val="de-DE"/>
          </w:rPr>
          <w:t>Technische Arbeitsgruppe für Obstarten</w:t>
        </w:r>
        <w:r w:rsidR="00FB1670" w:rsidRPr="008376AF">
          <w:rPr>
            <w:noProof/>
            <w:webHidden/>
          </w:rPr>
          <w:tab/>
        </w:r>
        <w:r w:rsidR="00FB1670" w:rsidRPr="008376AF">
          <w:rPr>
            <w:noProof/>
            <w:webHidden/>
          </w:rPr>
          <w:fldChar w:fldCharType="begin"/>
        </w:r>
        <w:r w:rsidR="00FB1670" w:rsidRPr="008376AF">
          <w:rPr>
            <w:noProof/>
            <w:webHidden/>
          </w:rPr>
          <w:instrText xml:space="preserve"> PAGEREF _Toc527462858 \h </w:instrText>
        </w:r>
        <w:r w:rsidR="00FB1670" w:rsidRPr="008376AF">
          <w:rPr>
            <w:noProof/>
            <w:webHidden/>
          </w:rPr>
        </w:r>
        <w:r w:rsidR="00FB1670" w:rsidRPr="008376AF">
          <w:rPr>
            <w:noProof/>
            <w:webHidden/>
          </w:rPr>
          <w:fldChar w:fldCharType="separate"/>
        </w:r>
        <w:r w:rsidR="00FB1670" w:rsidRPr="008376AF">
          <w:rPr>
            <w:noProof/>
            <w:webHidden/>
          </w:rPr>
          <w:t>3</w:t>
        </w:r>
        <w:r w:rsidR="00FB1670" w:rsidRPr="008376AF">
          <w:rPr>
            <w:noProof/>
            <w:webHidden/>
          </w:rPr>
          <w:fldChar w:fldCharType="end"/>
        </w:r>
      </w:hyperlink>
    </w:p>
    <w:p w:rsidR="00FB1670" w:rsidRPr="008376AF" w:rsidRDefault="00D129A2" w:rsidP="0069769C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val="de-DE" w:eastAsia="de-DE"/>
        </w:rPr>
      </w:pPr>
      <w:hyperlink w:anchor="_Toc527462859" w:history="1">
        <w:r w:rsidR="00FB1670" w:rsidRPr="008376AF">
          <w:rPr>
            <w:rStyle w:val="Hyperlink"/>
            <w:noProof/>
            <w:lang w:val="de-DE"/>
          </w:rPr>
          <w:t>Technische Arbeitsgruppe für Automatisierung und Computerprogramme</w:t>
        </w:r>
        <w:r w:rsidR="00FB1670" w:rsidRPr="008376AF">
          <w:rPr>
            <w:noProof/>
            <w:webHidden/>
          </w:rPr>
          <w:tab/>
        </w:r>
        <w:r w:rsidR="00FB1670" w:rsidRPr="008376AF">
          <w:rPr>
            <w:noProof/>
            <w:webHidden/>
          </w:rPr>
          <w:fldChar w:fldCharType="begin"/>
        </w:r>
        <w:r w:rsidR="00FB1670" w:rsidRPr="008376AF">
          <w:rPr>
            <w:noProof/>
            <w:webHidden/>
          </w:rPr>
          <w:instrText xml:space="preserve"> PAGEREF _Toc527462859 \h </w:instrText>
        </w:r>
        <w:r w:rsidR="00FB1670" w:rsidRPr="008376AF">
          <w:rPr>
            <w:noProof/>
            <w:webHidden/>
          </w:rPr>
        </w:r>
        <w:r w:rsidR="00FB1670" w:rsidRPr="008376AF">
          <w:rPr>
            <w:noProof/>
            <w:webHidden/>
          </w:rPr>
          <w:fldChar w:fldCharType="separate"/>
        </w:r>
        <w:r w:rsidR="00FB1670" w:rsidRPr="008376AF">
          <w:rPr>
            <w:noProof/>
            <w:webHidden/>
          </w:rPr>
          <w:t>3</w:t>
        </w:r>
        <w:r w:rsidR="00FB1670" w:rsidRPr="008376AF">
          <w:rPr>
            <w:noProof/>
            <w:webHidden/>
          </w:rPr>
          <w:fldChar w:fldCharType="end"/>
        </w:r>
      </w:hyperlink>
    </w:p>
    <w:p w:rsidR="00FB1670" w:rsidRPr="008376AF" w:rsidRDefault="00D129A2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de-DE" w:eastAsia="de-DE"/>
        </w:rPr>
      </w:pPr>
      <w:hyperlink w:anchor="_Toc527462860" w:history="1">
        <w:r w:rsidR="00FB1670" w:rsidRPr="008376AF">
          <w:rPr>
            <w:rStyle w:val="Hyperlink"/>
            <w:noProof/>
            <w:lang w:val="de-DE"/>
          </w:rPr>
          <w:t>Referate Auf den Tagungen der TWP im Jahre 2018</w:t>
        </w:r>
        <w:r w:rsidR="00FB1670" w:rsidRPr="008376AF">
          <w:rPr>
            <w:noProof/>
            <w:webHidden/>
          </w:rPr>
          <w:tab/>
        </w:r>
        <w:r w:rsidR="00FB1670" w:rsidRPr="008376AF">
          <w:rPr>
            <w:noProof/>
            <w:webHidden/>
          </w:rPr>
          <w:fldChar w:fldCharType="begin"/>
        </w:r>
        <w:r w:rsidR="00FB1670" w:rsidRPr="008376AF">
          <w:rPr>
            <w:noProof/>
            <w:webHidden/>
          </w:rPr>
          <w:instrText xml:space="preserve"> PAGEREF _Toc527462860 \h </w:instrText>
        </w:r>
        <w:r w:rsidR="00FB1670" w:rsidRPr="008376AF">
          <w:rPr>
            <w:noProof/>
            <w:webHidden/>
          </w:rPr>
        </w:r>
        <w:r w:rsidR="00FB1670" w:rsidRPr="008376AF">
          <w:rPr>
            <w:noProof/>
            <w:webHidden/>
          </w:rPr>
          <w:fldChar w:fldCharType="separate"/>
        </w:r>
        <w:r w:rsidR="00FB1670" w:rsidRPr="008376AF">
          <w:rPr>
            <w:noProof/>
            <w:webHidden/>
          </w:rPr>
          <w:t>3</w:t>
        </w:r>
        <w:r w:rsidR="00FB1670" w:rsidRPr="008376AF">
          <w:rPr>
            <w:noProof/>
            <w:webHidden/>
          </w:rPr>
          <w:fldChar w:fldCharType="end"/>
        </w:r>
      </w:hyperlink>
    </w:p>
    <w:p w:rsidR="00FB1670" w:rsidRPr="008376AF" w:rsidRDefault="00D129A2" w:rsidP="0069769C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val="de-DE" w:eastAsia="de-DE"/>
        </w:rPr>
      </w:pPr>
      <w:hyperlink w:anchor="_Toc527462861" w:history="1">
        <w:r w:rsidR="00FB1670" w:rsidRPr="008376AF">
          <w:rPr>
            <w:rStyle w:val="Hyperlink"/>
            <w:noProof/>
            <w:lang w:val="de-DE"/>
          </w:rPr>
          <w:t>Technische Arbeitsgruppe für landwirtschaftliche Arten</w:t>
        </w:r>
        <w:r w:rsidR="00FB1670" w:rsidRPr="008376AF">
          <w:rPr>
            <w:noProof/>
            <w:webHidden/>
          </w:rPr>
          <w:tab/>
        </w:r>
        <w:r w:rsidR="00FB1670" w:rsidRPr="008376AF">
          <w:rPr>
            <w:noProof/>
            <w:webHidden/>
          </w:rPr>
          <w:fldChar w:fldCharType="begin"/>
        </w:r>
        <w:r w:rsidR="00FB1670" w:rsidRPr="008376AF">
          <w:rPr>
            <w:noProof/>
            <w:webHidden/>
          </w:rPr>
          <w:instrText xml:space="preserve"> PAGEREF _Toc527462861 \h </w:instrText>
        </w:r>
        <w:r w:rsidR="00FB1670" w:rsidRPr="008376AF">
          <w:rPr>
            <w:noProof/>
            <w:webHidden/>
          </w:rPr>
        </w:r>
        <w:r w:rsidR="00FB1670" w:rsidRPr="008376AF">
          <w:rPr>
            <w:noProof/>
            <w:webHidden/>
          </w:rPr>
          <w:fldChar w:fldCharType="separate"/>
        </w:r>
        <w:r w:rsidR="00FB1670" w:rsidRPr="008376AF">
          <w:rPr>
            <w:noProof/>
            <w:webHidden/>
          </w:rPr>
          <w:t>3</w:t>
        </w:r>
        <w:r w:rsidR="00FB1670" w:rsidRPr="008376AF">
          <w:rPr>
            <w:noProof/>
            <w:webHidden/>
          </w:rPr>
          <w:fldChar w:fldCharType="end"/>
        </w:r>
      </w:hyperlink>
    </w:p>
    <w:p w:rsidR="00FB1670" w:rsidRPr="008376AF" w:rsidRDefault="00D129A2" w:rsidP="0069769C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val="de-DE" w:eastAsia="de-DE"/>
        </w:rPr>
      </w:pPr>
      <w:hyperlink w:anchor="_Toc527462862" w:history="1">
        <w:r w:rsidR="00FB1670" w:rsidRPr="008376AF">
          <w:rPr>
            <w:rStyle w:val="Hyperlink"/>
            <w:noProof/>
            <w:lang w:val="de-DE"/>
          </w:rPr>
          <w:t>Technische Arbeitsgruppe für Automatisierung und Computerprogramme</w:t>
        </w:r>
        <w:r w:rsidR="00FB1670" w:rsidRPr="008376AF">
          <w:rPr>
            <w:noProof/>
            <w:webHidden/>
          </w:rPr>
          <w:tab/>
        </w:r>
        <w:r w:rsidR="00FB1670" w:rsidRPr="008376AF">
          <w:rPr>
            <w:noProof/>
            <w:webHidden/>
          </w:rPr>
          <w:fldChar w:fldCharType="begin"/>
        </w:r>
        <w:r w:rsidR="00FB1670" w:rsidRPr="008376AF">
          <w:rPr>
            <w:noProof/>
            <w:webHidden/>
          </w:rPr>
          <w:instrText xml:space="preserve"> PAGEREF _Toc527462862 \h </w:instrText>
        </w:r>
        <w:r w:rsidR="00FB1670" w:rsidRPr="008376AF">
          <w:rPr>
            <w:noProof/>
            <w:webHidden/>
          </w:rPr>
        </w:r>
        <w:r w:rsidR="00FB1670" w:rsidRPr="008376AF">
          <w:rPr>
            <w:noProof/>
            <w:webHidden/>
          </w:rPr>
          <w:fldChar w:fldCharType="separate"/>
        </w:r>
        <w:r w:rsidR="00FB1670" w:rsidRPr="008376AF">
          <w:rPr>
            <w:noProof/>
            <w:webHidden/>
          </w:rPr>
          <w:t>4</w:t>
        </w:r>
        <w:r w:rsidR="00FB1670" w:rsidRPr="008376AF">
          <w:rPr>
            <w:noProof/>
            <w:webHidden/>
          </w:rPr>
          <w:fldChar w:fldCharType="end"/>
        </w:r>
      </w:hyperlink>
    </w:p>
    <w:p w:rsidR="00DE2411" w:rsidRPr="008376AF" w:rsidRDefault="00416F6E" w:rsidP="00416F6E">
      <w:pPr>
        <w:spacing w:before="120"/>
        <w:ind w:left="1134" w:hanging="1134"/>
        <w:rPr>
          <w:rFonts w:cs="Arial"/>
          <w:sz w:val="18"/>
          <w:lang w:val="de-DE"/>
        </w:rPr>
      </w:pPr>
      <w:r w:rsidRPr="008376AF">
        <w:rPr>
          <w:rFonts w:cs="Arial"/>
          <w:sz w:val="18"/>
          <w:lang w:val="de-DE"/>
        </w:rPr>
        <w:fldChar w:fldCharType="end"/>
      </w:r>
      <w:r w:rsidR="000C210D" w:rsidRPr="008376AF">
        <w:rPr>
          <w:rFonts w:cs="Arial"/>
          <w:caps/>
          <w:sz w:val="18"/>
          <w:lang w:val="de-DE"/>
        </w:rPr>
        <w:t>ANLAGE</w:t>
      </w:r>
      <w:r w:rsidRPr="008376AF">
        <w:rPr>
          <w:rFonts w:cs="Arial"/>
          <w:caps/>
          <w:sz w:val="18"/>
          <w:lang w:val="de-DE"/>
        </w:rPr>
        <w:t xml:space="preserve"> I</w:t>
      </w:r>
      <w:r w:rsidRPr="008376AF">
        <w:rPr>
          <w:rFonts w:cs="Arial"/>
          <w:caps/>
          <w:sz w:val="18"/>
          <w:lang w:val="de-DE"/>
        </w:rPr>
        <w:tab/>
      </w:r>
      <w:r w:rsidR="00522047" w:rsidRPr="008376AF">
        <w:rPr>
          <w:rFonts w:cs="Arial"/>
          <w:sz w:val="18"/>
          <w:lang w:val="de-DE"/>
        </w:rPr>
        <w:t>Auswirkung</w:t>
      </w:r>
      <w:r w:rsidR="00C4083D" w:rsidRPr="008376AF">
        <w:rPr>
          <w:rFonts w:cs="Arial"/>
          <w:sz w:val="18"/>
          <w:lang w:val="de-DE"/>
        </w:rPr>
        <w:t>en</w:t>
      </w:r>
      <w:r w:rsidR="004F4848" w:rsidRPr="008376AF">
        <w:rPr>
          <w:rFonts w:cs="Arial"/>
          <w:sz w:val="18"/>
          <w:lang w:val="de-DE"/>
        </w:rPr>
        <w:t xml:space="preserve"> </w:t>
      </w:r>
      <w:r w:rsidR="00194E97" w:rsidRPr="008376AF">
        <w:rPr>
          <w:rFonts w:cs="Arial"/>
          <w:sz w:val="18"/>
          <w:lang w:val="de-DE"/>
        </w:rPr>
        <w:t>der Anzahl von</w:t>
      </w:r>
      <w:r w:rsidR="004F4848" w:rsidRPr="008376AF">
        <w:rPr>
          <w:rFonts w:cs="Arial"/>
          <w:sz w:val="18"/>
          <w:lang w:val="de-DE"/>
        </w:rPr>
        <w:t xml:space="preserve"> </w:t>
      </w:r>
      <w:r w:rsidR="00522047" w:rsidRPr="008376AF">
        <w:rPr>
          <w:rFonts w:cs="Arial"/>
          <w:sz w:val="18"/>
          <w:lang w:val="de-DE"/>
        </w:rPr>
        <w:t>Wachstumsperioden</w:t>
      </w:r>
      <w:r w:rsidR="00194E97" w:rsidRPr="008376AF">
        <w:rPr>
          <w:rFonts w:cs="Arial"/>
          <w:sz w:val="18"/>
          <w:lang w:val="de-DE"/>
        </w:rPr>
        <w:t xml:space="preserve"> auf</w:t>
      </w:r>
      <w:r w:rsidR="004F4848" w:rsidRPr="008376AF">
        <w:rPr>
          <w:rFonts w:cs="Arial"/>
          <w:sz w:val="18"/>
          <w:lang w:val="de-DE"/>
        </w:rPr>
        <w:t xml:space="preserve"> </w:t>
      </w:r>
      <w:r w:rsidR="00522047" w:rsidRPr="008376AF">
        <w:rPr>
          <w:rFonts w:cs="Arial"/>
          <w:sz w:val="18"/>
          <w:lang w:val="de-DE"/>
        </w:rPr>
        <w:t>Sortenbeschreibungen</w:t>
      </w:r>
      <w:r w:rsidR="00194E97" w:rsidRPr="008376AF">
        <w:rPr>
          <w:rFonts w:cs="Arial"/>
          <w:sz w:val="18"/>
          <w:lang w:val="de-DE"/>
        </w:rPr>
        <w:t xml:space="preserve"> und</w:t>
      </w:r>
      <w:r w:rsidR="004F4848" w:rsidRPr="008376AF">
        <w:rPr>
          <w:rFonts w:cs="Arial"/>
          <w:sz w:val="18"/>
          <w:lang w:val="de-DE"/>
        </w:rPr>
        <w:t xml:space="preserve"> </w:t>
      </w:r>
      <w:r w:rsidR="00522047" w:rsidRPr="008376AF">
        <w:rPr>
          <w:rFonts w:cs="Arial"/>
          <w:sz w:val="18"/>
          <w:lang w:val="de-DE"/>
        </w:rPr>
        <w:t>Unterscheidungskraft</w:t>
      </w:r>
      <w:r w:rsidR="004F4848" w:rsidRPr="008376AF">
        <w:rPr>
          <w:rFonts w:cs="Arial"/>
          <w:sz w:val="18"/>
          <w:lang w:val="de-DE"/>
        </w:rPr>
        <w:t xml:space="preserve"> </w:t>
      </w:r>
      <w:r w:rsidR="00853BA4" w:rsidRPr="008376AF">
        <w:rPr>
          <w:rFonts w:cs="Arial"/>
          <w:sz w:val="18"/>
          <w:lang w:val="de-DE"/>
        </w:rPr>
        <w:t>bei</w:t>
      </w:r>
      <w:r w:rsidR="005B256B" w:rsidRPr="008376AF">
        <w:rPr>
          <w:rFonts w:cs="Arial"/>
          <w:sz w:val="18"/>
          <w:lang w:val="de-DE"/>
        </w:rPr>
        <w:t xml:space="preserve"> Weizen und</w:t>
      </w:r>
      <w:r w:rsidR="00A17B15" w:rsidRPr="008376AF">
        <w:rPr>
          <w:rFonts w:cs="Arial"/>
          <w:sz w:val="18"/>
          <w:lang w:val="de-DE"/>
        </w:rPr>
        <w:t xml:space="preserve"> </w:t>
      </w:r>
      <w:r w:rsidR="00DF3E77" w:rsidRPr="008376AF">
        <w:rPr>
          <w:rFonts w:cs="Arial"/>
          <w:sz w:val="18"/>
          <w:lang w:val="de-DE"/>
        </w:rPr>
        <w:t>Gerste</w:t>
      </w:r>
    </w:p>
    <w:p w:rsidR="00DE2411" w:rsidRPr="008376AF" w:rsidRDefault="000C210D" w:rsidP="004F4848">
      <w:pPr>
        <w:spacing w:before="120"/>
        <w:ind w:left="1134" w:hanging="1134"/>
        <w:rPr>
          <w:rFonts w:cs="Arial"/>
          <w:sz w:val="18"/>
          <w:lang w:val="de-DE"/>
        </w:rPr>
      </w:pPr>
      <w:r w:rsidRPr="008376AF">
        <w:rPr>
          <w:rFonts w:cs="Arial"/>
          <w:caps/>
          <w:sz w:val="18"/>
          <w:lang w:val="de-DE"/>
        </w:rPr>
        <w:t>ANLAGE</w:t>
      </w:r>
      <w:r w:rsidR="004F4848" w:rsidRPr="008376AF">
        <w:rPr>
          <w:rFonts w:cs="Arial"/>
          <w:caps/>
          <w:sz w:val="18"/>
          <w:lang w:val="de-DE"/>
        </w:rPr>
        <w:t xml:space="preserve"> II</w:t>
      </w:r>
      <w:r w:rsidR="004F4848" w:rsidRPr="008376AF">
        <w:rPr>
          <w:rFonts w:cs="Arial"/>
          <w:caps/>
          <w:sz w:val="18"/>
          <w:lang w:val="de-DE"/>
        </w:rPr>
        <w:tab/>
      </w:r>
      <w:r w:rsidR="00A6416E" w:rsidRPr="008376AF">
        <w:rPr>
          <w:rFonts w:cs="Arial"/>
          <w:sz w:val="18"/>
          <w:lang w:val="de-DE"/>
        </w:rPr>
        <w:t>Anzahl von Wachstumsperioden</w:t>
      </w:r>
      <w:r w:rsidR="004F4848" w:rsidRPr="008376AF">
        <w:rPr>
          <w:rFonts w:cs="Arial"/>
          <w:sz w:val="18"/>
          <w:lang w:val="de-DE"/>
        </w:rPr>
        <w:t xml:space="preserve">: </w:t>
      </w:r>
      <w:r w:rsidR="00194E97" w:rsidRPr="008376AF">
        <w:rPr>
          <w:rFonts w:cs="Arial"/>
          <w:sz w:val="18"/>
          <w:lang w:val="de-DE"/>
        </w:rPr>
        <w:t>die</w:t>
      </w:r>
      <w:r w:rsidR="004F4848" w:rsidRPr="008376AF">
        <w:rPr>
          <w:rFonts w:cs="Arial"/>
          <w:sz w:val="18"/>
          <w:lang w:val="de-DE"/>
        </w:rPr>
        <w:t xml:space="preserve"> </w:t>
      </w:r>
      <w:r w:rsidR="00522047" w:rsidRPr="008376AF">
        <w:rPr>
          <w:rFonts w:cs="Arial"/>
          <w:sz w:val="18"/>
          <w:lang w:val="de-DE"/>
        </w:rPr>
        <w:t>Auswirkung</w:t>
      </w:r>
      <w:r w:rsidR="00853BA4" w:rsidRPr="008376AF">
        <w:rPr>
          <w:rFonts w:cs="Arial"/>
          <w:sz w:val="18"/>
          <w:lang w:val="de-DE"/>
        </w:rPr>
        <w:t>en</w:t>
      </w:r>
      <w:r w:rsidR="005B256B" w:rsidRPr="008376AF">
        <w:rPr>
          <w:rFonts w:cs="Arial"/>
          <w:sz w:val="18"/>
          <w:lang w:val="de-DE"/>
        </w:rPr>
        <w:t xml:space="preserve"> auf</w:t>
      </w:r>
      <w:r w:rsidR="004F4848" w:rsidRPr="008376AF">
        <w:rPr>
          <w:rFonts w:cs="Arial"/>
          <w:sz w:val="18"/>
          <w:lang w:val="de-DE"/>
        </w:rPr>
        <w:t xml:space="preserve"> </w:t>
      </w:r>
      <w:r w:rsidR="00522047" w:rsidRPr="008376AF">
        <w:rPr>
          <w:rFonts w:cs="Arial"/>
          <w:sz w:val="18"/>
          <w:lang w:val="de-DE"/>
        </w:rPr>
        <w:t>Sortenbeschreibungen von Getreide</w:t>
      </w:r>
    </w:p>
    <w:p w:rsidR="00DE2411" w:rsidRPr="008376AF" w:rsidRDefault="000C210D" w:rsidP="004F4848">
      <w:pPr>
        <w:spacing w:before="120"/>
        <w:ind w:left="1134" w:hanging="1134"/>
        <w:rPr>
          <w:rFonts w:cs="Arial"/>
          <w:sz w:val="18"/>
          <w:lang w:val="de-DE"/>
        </w:rPr>
      </w:pPr>
      <w:r w:rsidRPr="008376AF">
        <w:rPr>
          <w:rFonts w:cs="Arial"/>
          <w:caps/>
          <w:sz w:val="18"/>
          <w:lang w:val="de-DE"/>
        </w:rPr>
        <w:t>ANLAGE</w:t>
      </w:r>
      <w:r w:rsidR="004F4848" w:rsidRPr="008376AF">
        <w:rPr>
          <w:rFonts w:cs="Arial"/>
          <w:caps/>
          <w:sz w:val="18"/>
          <w:lang w:val="de-DE"/>
        </w:rPr>
        <w:t xml:space="preserve"> III</w:t>
      </w:r>
      <w:r w:rsidR="004F4848" w:rsidRPr="008376AF">
        <w:rPr>
          <w:rFonts w:cs="Arial"/>
          <w:caps/>
          <w:sz w:val="18"/>
          <w:lang w:val="de-DE"/>
        </w:rPr>
        <w:tab/>
      </w:r>
      <w:r w:rsidR="00B404BB" w:rsidRPr="008376AF">
        <w:rPr>
          <w:rFonts w:cs="Arial"/>
          <w:sz w:val="18"/>
          <w:lang w:val="de-DE"/>
        </w:rPr>
        <w:t xml:space="preserve">Anzahl von </w:t>
      </w:r>
      <w:r w:rsidR="00853BA4" w:rsidRPr="008376AF">
        <w:rPr>
          <w:rFonts w:cs="Arial"/>
          <w:sz w:val="18"/>
          <w:lang w:val="de-DE"/>
        </w:rPr>
        <w:t>Wachstumsperioden bei</w:t>
      </w:r>
      <w:r w:rsidR="00B404BB" w:rsidRPr="008376AF">
        <w:rPr>
          <w:lang w:val="de-DE"/>
        </w:rPr>
        <w:t xml:space="preserve"> </w:t>
      </w:r>
      <w:r w:rsidR="00B404BB" w:rsidRPr="008376AF">
        <w:rPr>
          <w:rFonts w:cs="Arial"/>
          <w:sz w:val="18"/>
          <w:lang w:val="de-DE"/>
        </w:rPr>
        <w:t>Kartoffel</w:t>
      </w:r>
    </w:p>
    <w:p w:rsidR="00DE2411" w:rsidRPr="008376AF" w:rsidRDefault="000C210D" w:rsidP="004F4848">
      <w:pPr>
        <w:spacing w:before="120"/>
        <w:ind w:left="1134" w:hanging="1134"/>
        <w:rPr>
          <w:rFonts w:cs="Arial"/>
          <w:sz w:val="18"/>
          <w:lang w:val="de-DE"/>
        </w:rPr>
      </w:pPr>
      <w:r w:rsidRPr="008376AF">
        <w:rPr>
          <w:rFonts w:cs="Arial"/>
          <w:caps/>
          <w:sz w:val="18"/>
          <w:lang w:val="de-DE"/>
        </w:rPr>
        <w:t>ANLAGE</w:t>
      </w:r>
      <w:r w:rsidR="004F4848" w:rsidRPr="008376AF">
        <w:rPr>
          <w:rFonts w:cs="Arial"/>
          <w:caps/>
          <w:sz w:val="18"/>
          <w:lang w:val="de-DE"/>
        </w:rPr>
        <w:t xml:space="preserve"> IV</w:t>
      </w:r>
      <w:r w:rsidR="004F4848" w:rsidRPr="008376AF">
        <w:rPr>
          <w:rFonts w:cs="Arial"/>
          <w:caps/>
          <w:sz w:val="18"/>
          <w:lang w:val="de-DE"/>
        </w:rPr>
        <w:tab/>
      </w:r>
      <w:r w:rsidR="00853BA4" w:rsidRPr="008376AF">
        <w:rPr>
          <w:rFonts w:cs="Arial"/>
          <w:sz w:val="18"/>
          <w:lang w:val="de-DE"/>
        </w:rPr>
        <w:t>Anzahl von Wachstumsperioden bei</w:t>
      </w:r>
      <w:r w:rsidR="00A6416E" w:rsidRPr="008376AF">
        <w:rPr>
          <w:rFonts w:cs="Arial"/>
          <w:sz w:val="18"/>
          <w:lang w:val="de-DE"/>
        </w:rPr>
        <w:t xml:space="preserve"> Kartoffelsorten </w:t>
      </w:r>
      <w:r w:rsidR="003D755A" w:rsidRPr="008376AF">
        <w:rPr>
          <w:rFonts w:cs="Arial"/>
          <w:sz w:val="18"/>
          <w:lang w:val="de-DE"/>
        </w:rPr>
        <w:t>-</w:t>
      </w:r>
      <w:r w:rsidR="004F4848" w:rsidRPr="008376AF">
        <w:rPr>
          <w:rFonts w:cs="Arial"/>
          <w:sz w:val="18"/>
          <w:lang w:val="de-DE"/>
        </w:rPr>
        <w:t xml:space="preserve"> </w:t>
      </w:r>
      <w:r w:rsidR="00A6416E" w:rsidRPr="008376AF">
        <w:rPr>
          <w:rFonts w:cs="Arial"/>
          <w:sz w:val="18"/>
          <w:lang w:val="de-DE"/>
        </w:rPr>
        <w:t>DUS-Prüfung von Lichtkeime</w:t>
      </w:r>
      <w:r w:rsidR="00853BA4" w:rsidRPr="008376AF">
        <w:rPr>
          <w:rFonts w:cs="Arial"/>
          <w:sz w:val="18"/>
          <w:lang w:val="de-DE"/>
        </w:rPr>
        <w:t>n</w:t>
      </w:r>
    </w:p>
    <w:p w:rsidR="00DE2411" w:rsidRPr="008376AF" w:rsidRDefault="000C210D" w:rsidP="00937ED0">
      <w:pPr>
        <w:spacing w:before="120"/>
        <w:ind w:left="1134" w:hanging="1134"/>
        <w:rPr>
          <w:rFonts w:cs="Arial"/>
          <w:sz w:val="18"/>
          <w:lang w:val="de-DE"/>
        </w:rPr>
      </w:pPr>
      <w:r w:rsidRPr="008376AF">
        <w:rPr>
          <w:rFonts w:cs="Arial"/>
          <w:caps/>
          <w:sz w:val="18"/>
          <w:lang w:val="de-DE"/>
        </w:rPr>
        <w:t>ANLAGE</w:t>
      </w:r>
      <w:r w:rsidR="00937ED0" w:rsidRPr="008376AF">
        <w:rPr>
          <w:rFonts w:cs="Arial"/>
          <w:caps/>
          <w:sz w:val="18"/>
          <w:lang w:val="de-DE"/>
        </w:rPr>
        <w:t xml:space="preserve"> V</w:t>
      </w:r>
      <w:r w:rsidR="00937ED0" w:rsidRPr="008376AF">
        <w:rPr>
          <w:rFonts w:cs="Arial"/>
          <w:caps/>
          <w:sz w:val="18"/>
          <w:lang w:val="de-DE"/>
        </w:rPr>
        <w:tab/>
      </w:r>
      <w:r w:rsidR="00522047" w:rsidRPr="008376AF">
        <w:rPr>
          <w:rFonts w:cs="Arial"/>
          <w:sz w:val="18"/>
          <w:lang w:val="de-DE"/>
        </w:rPr>
        <w:t>Auswirkung</w:t>
      </w:r>
      <w:r w:rsidR="008E0082" w:rsidRPr="008376AF">
        <w:rPr>
          <w:rFonts w:cs="Arial"/>
          <w:sz w:val="18"/>
          <w:lang w:val="de-DE"/>
        </w:rPr>
        <w:t>en</w:t>
      </w:r>
      <w:r w:rsidR="00937ED0" w:rsidRPr="008376AF">
        <w:rPr>
          <w:rFonts w:cs="Arial"/>
          <w:sz w:val="18"/>
          <w:lang w:val="de-DE"/>
        </w:rPr>
        <w:t xml:space="preserve"> </w:t>
      </w:r>
      <w:r w:rsidR="00DF3E77" w:rsidRPr="008376AF">
        <w:rPr>
          <w:rFonts w:cs="Arial"/>
          <w:sz w:val="18"/>
          <w:lang w:val="de-DE"/>
        </w:rPr>
        <w:t>der Anzahl von</w:t>
      </w:r>
      <w:r w:rsidR="00937ED0" w:rsidRPr="008376AF">
        <w:rPr>
          <w:rFonts w:cs="Arial"/>
          <w:sz w:val="18"/>
          <w:lang w:val="de-DE"/>
        </w:rPr>
        <w:t xml:space="preserve"> </w:t>
      </w:r>
      <w:r w:rsidR="00522047" w:rsidRPr="008376AF">
        <w:rPr>
          <w:rFonts w:cs="Arial"/>
          <w:sz w:val="18"/>
          <w:lang w:val="de-DE"/>
        </w:rPr>
        <w:t>Wachstumsperioden</w:t>
      </w:r>
      <w:r w:rsidR="00DF3E77" w:rsidRPr="008376AF">
        <w:rPr>
          <w:rFonts w:cs="Arial"/>
          <w:sz w:val="18"/>
          <w:lang w:val="de-DE"/>
        </w:rPr>
        <w:t xml:space="preserve"> auf</w:t>
      </w:r>
      <w:r w:rsidR="00937ED0" w:rsidRPr="008376AF">
        <w:rPr>
          <w:rFonts w:cs="Arial"/>
          <w:sz w:val="18"/>
          <w:lang w:val="de-DE"/>
        </w:rPr>
        <w:t xml:space="preserve"> </w:t>
      </w:r>
      <w:r w:rsidR="00522047" w:rsidRPr="008376AF">
        <w:rPr>
          <w:rFonts w:cs="Arial"/>
          <w:sz w:val="18"/>
          <w:lang w:val="de-DE"/>
        </w:rPr>
        <w:t>Sortenbeschreibungen</w:t>
      </w:r>
      <w:r w:rsidR="00DF3E77" w:rsidRPr="008376AF">
        <w:rPr>
          <w:rFonts w:cs="Arial"/>
          <w:sz w:val="18"/>
          <w:lang w:val="de-DE"/>
        </w:rPr>
        <w:t xml:space="preserve"> und</w:t>
      </w:r>
      <w:r w:rsidR="00937ED0" w:rsidRPr="008376AF">
        <w:rPr>
          <w:rFonts w:cs="Arial"/>
          <w:sz w:val="18"/>
          <w:lang w:val="de-DE"/>
        </w:rPr>
        <w:t xml:space="preserve"> </w:t>
      </w:r>
      <w:r w:rsidR="00522047" w:rsidRPr="008376AF">
        <w:rPr>
          <w:rFonts w:cs="Arial"/>
          <w:sz w:val="18"/>
          <w:lang w:val="de-DE"/>
        </w:rPr>
        <w:t>Unterscheidungskraft</w:t>
      </w:r>
      <w:r w:rsidR="008E0082" w:rsidRPr="008376AF">
        <w:rPr>
          <w:rFonts w:cs="Arial"/>
          <w:sz w:val="18"/>
          <w:lang w:val="de-DE"/>
        </w:rPr>
        <w:t xml:space="preserve"> bei</w:t>
      </w:r>
      <w:r w:rsidR="00DF3E77" w:rsidRPr="008376AF">
        <w:rPr>
          <w:rFonts w:cs="Arial"/>
          <w:sz w:val="18"/>
          <w:lang w:val="de-DE"/>
        </w:rPr>
        <w:t xml:space="preserve"> Kartoffel</w:t>
      </w:r>
    </w:p>
    <w:p w:rsidR="00DE2411" w:rsidRPr="008376AF" w:rsidRDefault="000C210D" w:rsidP="00D902DE">
      <w:pPr>
        <w:spacing w:before="120"/>
        <w:ind w:left="1134" w:hanging="1134"/>
        <w:rPr>
          <w:rFonts w:cs="Arial"/>
          <w:sz w:val="18"/>
          <w:lang w:val="de-DE"/>
        </w:rPr>
      </w:pPr>
      <w:r w:rsidRPr="008376AF">
        <w:rPr>
          <w:rFonts w:cs="Arial"/>
          <w:caps/>
          <w:sz w:val="18"/>
          <w:lang w:val="de-DE"/>
        </w:rPr>
        <w:t>ANLAGE</w:t>
      </w:r>
      <w:r w:rsidR="00D902DE" w:rsidRPr="008376AF">
        <w:rPr>
          <w:rFonts w:cs="Arial"/>
          <w:caps/>
          <w:sz w:val="18"/>
          <w:lang w:val="de-DE"/>
        </w:rPr>
        <w:t xml:space="preserve"> VI</w:t>
      </w:r>
      <w:r w:rsidR="00D902DE" w:rsidRPr="008376AF">
        <w:rPr>
          <w:rFonts w:cs="Arial"/>
          <w:caps/>
          <w:sz w:val="18"/>
          <w:lang w:val="de-DE"/>
        </w:rPr>
        <w:tab/>
      </w:r>
      <w:r w:rsidR="00522047" w:rsidRPr="008376AF">
        <w:rPr>
          <w:rFonts w:cs="Arial"/>
          <w:sz w:val="18"/>
          <w:lang w:val="de-DE"/>
        </w:rPr>
        <w:t>Auswirkung</w:t>
      </w:r>
      <w:r w:rsidR="008E0082" w:rsidRPr="008376AF">
        <w:rPr>
          <w:rFonts w:cs="Arial"/>
          <w:sz w:val="18"/>
          <w:lang w:val="de-DE"/>
        </w:rPr>
        <w:t>en</w:t>
      </w:r>
      <w:r w:rsidR="00D902DE" w:rsidRPr="008376AF">
        <w:rPr>
          <w:rFonts w:cs="Arial"/>
          <w:sz w:val="18"/>
          <w:lang w:val="de-DE"/>
        </w:rPr>
        <w:t xml:space="preserve"> </w:t>
      </w:r>
      <w:r w:rsidR="00DF3E77" w:rsidRPr="008376AF">
        <w:rPr>
          <w:rFonts w:cs="Arial"/>
          <w:sz w:val="18"/>
          <w:lang w:val="de-DE"/>
        </w:rPr>
        <w:t>der Anzahl von</w:t>
      </w:r>
      <w:r w:rsidR="00D902DE" w:rsidRPr="008376AF">
        <w:rPr>
          <w:rFonts w:cs="Arial"/>
          <w:sz w:val="18"/>
          <w:lang w:val="de-DE"/>
        </w:rPr>
        <w:t xml:space="preserve"> </w:t>
      </w:r>
      <w:r w:rsidR="00522047" w:rsidRPr="008376AF">
        <w:rPr>
          <w:rFonts w:cs="Arial"/>
          <w:sz w:val="18"/>
          <w:lang w:val="de-DE"/>
        </w:rPr>
        <w:t>Wachstumsperioden</w:t>
      </w:r>
      <w:r w:rsidR="00DF3E77" w:rsidRPr="008376AF">
        <w:rPr>
          <w:rFonts w:cs="Arial"/>
          <w:sz w:val="18"/>
          <w:lang w:val="de-DE"/>
        </w:rPr>
        <w:t xml:space="preserve"> auf</w:t>
      </w:r>
      <w:r w:rsidR="00D902DE" w:rsidRPr="008376AF">
        <w:rPr>
          <w:rFonts w:cs="Arial"/>
          <w:sz w:val="18"/>
          <w:lang w:val="de-DE"/>
        </w:rPr>
        <w:t xml:space="preserve"> </w:t>
      </w:r>
      <w:r w:rsidR="00522047" w:rsidRPr="008376AF">
        <w:rPr>
          <w:rFonts w:cs="Arial"/>
          <w:sz w:val="18"/>
          <w:lang w:val="de-DE"/>
        </w:rPr>
        <w:t>Sortenbeschreibungen</w:t>
      </w:r>
      <w:r w:rsidR="00DF3E77" w:rsidRPr="008376AF">
        <w:rPr>
          <w:rFonts w:cs="Arial"/>
          <w:sz w:val="18"/>
          <w:lang w:val="de-DE"/>
        </w:rPr>
        <w:t xml:space="preserve"> und</w:t>
      </w:r>
      <w:r w:rsidR="00D902DE" w:rsidRPr="008376AF">
        <w:rPr>
          <w:rFonts w:cs="Arial"/>
          <w:sz w:val="18"/>
          <w:lang w:val="de-DE"/>
        </w:rPr>
        <w:t xml:space="preserve"> </w:t>
      </w:r>
      <w:r w:rsidR="00522047" w:rsidRPr="008376AF">
        <w:rPr>
          <w:rFonts w:cs="Arial"/>
          <w:sz w:val="18"/>
          <w:lang w:val="de-DE"/>
        </w:rPr>
        <w:t>Unterscheidungskraft</w:t>
      </w:r>
      <w:r w:rsidR="00D902DE" w:rsidRPr="008376AF">
        <w:rPr>
          <w:rFonts w:cs="Arial"/>
          <w:sz w:val="18"/>
          <w:lang w:val="de-DE"/>
        </w:rPr>
        <w:t xml:space="preserve"> </w:t>
      </w:r>
    </w:p>
    <w:p w:rsidR="00DE2411" w:rsidRPr="008376AF" w:rsidRDefault="00DE2411" w:rsidP="00416F6E">
      <w:pPr>
        <w:rPr>
          <w:rFonts w:cs="Arial"/>
          <w:color w:val="000000"/>
          <w:lang w:val="de-DE"/>
        </w:rPr>
      </w:pPr>
    </w:p>
    <w:p w:rsidR="00DE2411" w:rsidRPr="008376AF" w:rsidRDefault="00416F6E" w:rsidP="00DE2411">
      <w:pPr>
        <w:keepNext/>
        <w:keepLines/>
        <w:rPr>
          <w:rFonts w:cs="Arial"/>
          <w:color w:val="000000"/>
          <w:lang w:val="de-DE"/>
        </w:rPr>
      </w:pPr>
      <w:r w:rsidRPr="008376AF">
        <w:rPr>
          <w:rFonts w:cs="Arial"/>
          <w:color w:val="000000"/>
          <w:lang w:val="de-DE"/>
        </w:rPr>
        <w:fldChar w:fldCharType="begin"/>
      </w:r>
      <w:r w:rsidRPr="008376AF">
        <w:rPr>
          <w:rFonts w:cs="Arial"/>
          <w:color w:val="000000"/>
          <w:lang w:val="de-DE"/>
        </w:rPr>
        <w:instrText xml:space="preserve"> AUTONUM  </w:instrText>
      </w:r>
      <w:r w:rsidRPr="008376AF">
        <w:rPr>
          <w:rFonts w:cs="Arial"/>
          <w:color w:val="000000"/>
          <w:lang w:val="de-DE"/>
        </w:rPr>
        <w:fldChar w:fldCharType="end"/>
      </w:r>
      <w:r w:rsidRPr="008376AF">
        <w:rPr>
          <w:rFonts w:cs="Arial"/>
          <w:color w:val="000000"/>
          <w:lang w:val="de-DE"/>
        </w:rPr>
        <w:tab/>
      </w:r>
      <w:r w:rsidR="00DE2411" w:rsidRPr="008376AF">
        <w:rPr>
          <w:rFonts w:cs="Arial"/>
          <w:color w:val="000000"/>
          <w:lang w:val="de-DE"/>
        </w:rPr>
        <w:t>Folgende Abkürzungen werden in diesem Dokument verwendet:</w:t>
      </w:r>
    </w:p>
    <w:p w:rsidR="00DE2411" w:rsidRPr="008376AF" w:rsidRDefault="00DE2411" w:rsidP="00416F6E">
      <w:pPr>
        <w:keepNext/>
        <w:keepLines/>
        <w:rPr>
          <w:rFonts w:cs="Arial"/>
          <w:color w:val="000000"/>
          <w:lang w:val="de-DE"/>
        </w:rPr>
      </w:pPr>
    </w:p>
    <w:p w:rsidR="00DE2411" w:rsidRPr="008376AF" w:rsidRDefault="00416F6E" w:rsidP="00DE2411">
      <w:pPr>
        <w:rPr>
          <w:rFonts w:cs="Arial"/>
          <w:lang w:val="de-DE"/>
        </w:rPr>
      </w:pPr>
      <w:r w:rsidRPr="008376AF">
        <w:rPr>
          <w:rFonts w:cs="Arial"/>
          <w:lang w:val="de-DE"/>
        </w:rPr>
        <w:tab/>
      </w:r>
      <w:r w:rsidR="00DE2411" w:rsidRPr="008376AF">
        <w:rPr>
          <w:rFonts w:cs="Arial"/>
          <w:lang w:val="de-DE"/>
        </w:rPr>
        <w:t>TC:</w:t>
      </w:r>
      <w:r w:rsidR="00522047" w:rsidRPr="008376AF">
        <w:rPr>
          <w:rFonts w:cs="Arial"/>
          <w:lang w:val="de-DE"/>
        </w:rPr>
        <w:t xml:space="preserve"> </w:t>
      </w:r>
      <w:r w:rsidR="000C210D" w:rsidRPr="008376AF">
        <w:rPr>
          <w:rFonts w:cs="Arial"/>
          <w:lang w:val="de-DE"/>
        </w:rPr>
        <w:tab/>
      </w:r>
      <w:r w:rsidR="000C210D" w:rsidRPr="008376AF">
        <w:rPr>
          <w:rFonts w:cs="Arial"/>
          <w:lang w:val="de-DE"/>
        </w:rPr>
        <w:tab/>
      </w:r>
      <w:r w:rsidR="00DE2411" w:rsidRPr="008376AF">
        <w:rPr>
          <w:rFonts w:cs="Arial"/>
          <w:lang w:val="de-DE"/>
        </w:rPr>
        <w:t>Technischer Ausschuß</w:t>
      </w:r>
    </w:p>
    <w:p w:rsidR="00DE2411" w:rsidRPr="008376AF" w:rsidRDefault="00416F6E" w:rsidP="00DE2411">
      <w:pPr>
        <w:rPr>
          <w:rFonts w:eastAsia="PMingLiU" w:cs="Arial"/>
          <w:lang w:val="de-DE"/>
        </w:rPr>
      </w:pPr>
      <w:r w:rsidRPr="008376AF">
        <w:rPr>
          <w:rFonts w:eastAsia="PMingLiU" w:cs="Arial"/>
          <w:lang w:val="de-DE"/>
        </w:rPr>
        <w:tab/>
      </w:r>
      <w:r w:rsidR="00DE2411" w:rsidRPr="008376AF">
        <w:rPr>
          <w:rFonts w:eastAsia="PMingLiU" w:cs="Arial"/>
          <w:lang w:val="de-DE"/>
        </w:rPr>
        <w:t xml:space="preserve">TC-EDC: </w:t>
      </w:r>
      <w:r w:rsidR="000C210D" w:rsidRPr="008376AF">
        <w:rPr>
          <w:rFonts w:eastAsia="PMingLiU" w:cs="Arial"/>
          <w:lang w:val="de-DE"/>
        </w:rPr>
        <w:tab/>
      </w:r>
      <w:r w:rsidR="00DE2411" w:rsidRPr="008376AF">
        <w:rPr>
          <w:rFonts w:eastAsia="PMingLiU" w:cs="Arial"/>
          <w:lang w:val="de-DE"/>
        </w:rPr>
        <w:t>Erweiterter Redaktionsausschuß</w:t>
      </w:r>
    </w:p>
    <w:p w:rsidR="00DE2411" w:rsidRPr="008376AF" w:rsidRDefault="00416F6E" w:rsidP="00DE2411">
      <w:pPr>
        <w:rPr>
          <w:rFonts w:eastAsia="PMingLiU" w:cs="Arial"/>
          <w:lang w:val="de-DE"/>
        </w:rPr>
      </w:pPr>
      <w:r w:rsidRPr="008376AF">
        <w:rPr>
          <w:rFonts w:eastAsia="PMingLiU" w:cs="Arial"/>
          <w:lang w:val="de-DE"/>
        </w:rPr>
        <w:tab/>
      </w:r>
      <w:r w:rsidR="00DE2411" w:rsidRPr="008376AF">
        <w:rPr>
          <w:rFonts w:eastAsia="PMingLiU" w:cs="Arial"/>
          <w:lang w:val="de-DE"/>
        </w:rPr>
        <w:t>TWA:</w:t>
      </w:r>
      <w:r w:rsidR="00DE2411" w:rsidRPr="008376AF">
        <w:rPr>
          <w:rFonts w:eastAsia="PMingLiU" w:cs="Arial"/>
          <w:lang w:val="de-DE"/>
        </w:rPr>
        <w:tab/>
      </w:r>
      <w:r w:rsidR="000C210D" w:rsidRPr="008376AF">
        <w:rPr>
          <w:rFonts w:eastAsia="PMingLiU" w:cs="Arial"/>
          <w:lang w:val="de-DE"/>
        </w:rPr>
        <w:tab/>
      </w:r>
      <w:r w:rsidR="00DE2411" w:rsidRPr="008376AF">
        <w:rPr>
          <w:rFonts w:eastAsia="PMingLiU" w:cs="Arial"/>
          <w:lang w:val="de-DE"/>
        </w:rPr>
        <w:t>Technische Arbeitsgruppe für landwirtschaftliche Arten</w:t>
      </w:r>
    </w:p>
    <w:p w:rsidR="00DE2411" w:rsidRPr="008376AF" w:rsidRDefault="00416F6E" w:rsidP="00DE2411">
      <w:pPr>
        <w:rPr>
          <w:rFonts w:eastAsia="PMingLiU" w:cs="Arial"/>
          <w:lang w:val="de-DE"/>
        </w:rPr>
      </w:pPr>
      <w:r w:rsidRPr="008376AF">
        <w:rPr>
          <w:rFonts w:eastAsia="PMingLiU" w:cs="Arial"/>
          <w:lang w:val="de-DE"/>
        </w:rPr>
        <w:tab/>
      </w:r>
      <w:r w:rsidR="00DE2411" w:rsidRPr="008376AF">
        <w:rPr>
          <w:rFonts w:eastAsia="PMingLiU" w:cs="Arial"/>
          <w:lang w:val="de-DE"/>
        </w:rPr>
        <w:t xml:space="preserve">TWC: </w:t>
      </w:r>
      <w:r w:rsidR="000C210D" w:rsidRPr="008376AF">
        <w:rPr>
          <w:rFonts w:eastAsia="PMingLiU" w:cs="Arial"/>
          <w:lang w:val="de-DE"/>
        </w:rPr>
        <w:tab/>
      </w:r>
      <w:r w:rsidR="000C210D" w:rsidRPr="008376AF">
        <w:rPr>
          <w:rFonts w:eastAsia="PMingLiU" w:cs="Arial"/>
          <w:lang w:val="de-DE"/>
        </w:rPr>
        <w:tab/>
      </w:r>
      <w:r w:rsidR="00065157" w:rsidRPr="008376AF">
        <w:rPr>
          <w:rFonts w:eastAsia="PMingLiU" w:cs="Arial"/>
          <w:lang w:val="de-DE"/>
        </w:rPr>
        <w:t>Technische Arbeitsgruppe für Automatisierung und Computerprogramme</w:t>
      </w:r>
    </w:p>
    <w:p w:rsidR="00DE2411" w:rsidRPr="008376AF" w:rsidRDefault="00416F6E" w:rsidP="00DE241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973"/>
        </w:tabs>
        <w:rPr>
          <w:rFonts w:eastAsia="PMingLiU" w:cs="Arial"/>
          <w:lang w:val="de-DE"/>
        </w:rPr>
      </w:pPr>
      <w:r w:rsidRPr="008376AF">
        <w:rPr>
          <w:rFonts w:eastAsia="PMingLiU" w:cs="Arial"/>
          <w:lang w:val="de-DE"/>
        </w:rPr>
        <w:tab/>
      </w:r>
      <w:r w:rsidR="00DE2411" w:rsidRPr="008376AF">
        <w:rPr>
          <w:rFonts w:eastAsia="PMingLiU" w:cs="Arial"/>
          <w:lang w:val="de-DE"/>
        </w:rPr>
        <w:t>TWF:</w:t>
      </w:r>
      <w:r w:rsidR="000C210D" w:rsidRPr="008376AF">
        <w:rPr>
          <w:rFonts w:eastAsia="PMingLiU" w:cs="Arial"/>
          <w:lang w:val="de-DE"/>
        </w:rPr>
        <w:tab/>
      </w:r>
      <w:r w:rsidR="000C210D" w:rsidRPr="008376AF">
        <w:rPr>
          <w:rFonts w:eastAsia="PMingLiU" w:cs="Arial"/>
          <w:lang w:val="de-DE"/>
        </w:rPr>
        <w:tab/>
      </w:r>
      <w:r w:rsidR="00DE2411" w:rsidRPr="008376AF">
        <w:rPr>
          <w:rFonts w:eastAsia="PMingLiU" w:cs="Arial"/>
          <w:lang w:val="de-DE"/>
        </w:rPr>
        <w:t>Technische Arbeitsgruppe für Obstarten</w:t>
      </w:r>
      <w:r w:rsidRPr="008376AF">
        <w:rPr>
          <w:rFonts w:eastAsia="PMingLiU" w:cs="Arial"/>
          <w:lang w:val="de-DE"/>
        </w:rPr>
        <w:tab/>
      </w:r>
    </w:p>
    <w:p w:rsidR="00DE2411" w:rsidRPr="008376AF" w:rsidRDefault="00416F6E" w:rsidP="00DE2411">
      <w:pPr>
        <w:rPr>
          <w:rFonts w:eastAsia="PMingLiU" w:cs="Arial"/>
          <w:lang w:val="de-DE"/>
        </w:rPr>
      </w:pPr>
      <w:r w:rsidRPr="008376AF">
        <w:rPr>
          <w:rFonts w:eastAsia="PMingLiU" w:cs="Arial"/>
          <w:lang w:val="de-DE"/>
        </w:rPr>
        <w:tab/>
      </w:r>
      <w:r w:rsidR="00DE2411" w:rsidRPr="008376AF">
        <w:rPr>
          <w:rFonts w:eastAsia="PMingLiU" w:cs="Arial"/>
          <w:lang w:val="de-DE"/>
        </w:rPr>
        <w:t>TWO:</w:t>
      </w:r>
      <w:r w:rsidR="000C210D" w:rsidRPr="008376AF">
        <w:rPr>
          <w:rFonts w:eastAsia="PMingLiU" w:cs="Arial"/>
          <w:lang w:val="de-DE"/>
        </w:rPr>
        <w:tab/>
      </w:r>
      <w:r w:rsidR="000C210D" w:rsidRPr="008376AF">
        <w:rPr>
          <w:rFonts w:eastAsia="PMingLiU" w:cs="Arial"/>
          <w:lang w:val="de-DE"/>
        </w:rPr>
        <w:tab/>
      </w:r>
      <w:r w:rsidR="00DE2411" w:rsidRPr="008376AF">
        <w:rPr>
          <w:rFonts w:eastAsia="PMingLiU" w:cs="Arial"/>
          <w:lang w:val="de-DE"/>
        </w:rPr>
        <w:t>Technische Arbeitsgruppe für Zierpflanzen und forstliche Baumarten</w:t>
      </w:r>
    </w:p>
    <w:p w:rsidR="00DE2411" w:rsidRPr="008376AF" w:rsidRDefault="00416F6E" w:rsidP="00DE2411">
      <w:pPr>
        <w:rPr>
          <w:rFonts w:eastAsia="PMingLiU" w:cs="Arial"/>
          <w:lang w:val="de-DE"/>
        </w:rPr>
      </w:pPr>
      <w:r w:rsidRPr="008376AF">
        <w:rPr>
          <w:rFonts w:eastAsia="PMingLiU" w:cs="Arial"/>
          <w:lang w:val="de-DE"/>
        </w:rPr>
        <w:tab/>
      </w:r>
      <w:r w:rsidR="00DE2411" w:rsidRPr="008376AF">
        <w:rPr>
          <w:rFonts w:eastAsia="PMingLiU" w:cs="Arial"/>
          <w:lang w:val="de-DE"/>
        </w:rPr>
        <w:t>TWP:</w:t>
      </w:r>
      <w:r w:rsidR="000C210D" w:rsidRPr="008376AF">
        <w:rPr>
          <w:rFonts w:eastAsia="PMingLiU" w:cs="Arial"/>
          <w:lang w:val="de-DE"/>
        </w:rPr>
        <w:tab/>
      </w:r>
      <w:r w:rsidR="00DE2411" w:rsidRPr="008376AF">
        <w:rPr>
          <w:rFonts w:eastAsia="PMingLiU" w:cs="Arial"/>
          <w:lang w:val="de-DE"/>
        </w:rPr>
        <w:t xml:space="preserve"> </w:t>
      </w:r>
      <w:r w:rsidR="000C210D" w:rsidRPr="008376AF">
        <w:rPr>
          <w:rFonts w:eastAsia="PMingLiU" w:cs="Arial"/>
          <w:lang w:val="de-DE"/>
        </w:rPr>
        <w:tab/>
      </w:r>
      <w:r w:rsidR="00DE2411" w:rsidRPr="008376AF">
        <w:rPr>
          <w:rFonts w:eastAsia="PMingLiU" w:cs="Arial"/>
          <w:lang w:val="de-DE"/>
        </w:rPr>
        <w:t>Technische Arbeitsgruppen</w:t>
      </w:r>
    </w:p>
    <w:p w:rsidR="00DE2411" w:rsidRPr="008376AF" w:rsidRDefault="00416F6E" w:rsidP="00DE2411">
      <w:pPr>
        <w:rPr>
          <w:rFonts w:eastAsia="PMingLiU" w:cs="Arial"/>
          <w:lang w:val="de-DE"/>
        </w:rPr>
      </w:pPr>
      <w:r w:rsidRPr="008376AF">
        <w:rPr>
          <w:rFonts w:eastAsia="PMingLiU" w:cs="Arial"/>
          <w:lang w:val="de-DE"/>
        </w:rPr>
        <w:tab/>
      </w:r>
      <w:r w:rsidR="00DE2411" w:rsidRPr="008376AF">
        <w:rPr>
          <w:rFonts w:eastAsia="PMingLiU" w:cs="Arial"/>
          <w:lang w:val="de-DE"/>
        </w:rPr>
        <w:t xml:space="preserve">TWV: </w:t>
      </w:r>
      <w:r w:rsidR="000C210D" w:rsidRPr="008376AF">
        <w:rPr>
          <w:rFonts w:eastAsia="PMingLiU" w:cs="Arial"/>
          <w:lang w:val="de-DE"/>
        </w:rPr>
        <w:tab/>
      </w:r>
      <w:r w:rsidR="000C210D" w:rsidRPr="008376AF">
        <w:rPr>
          <w:rFonts w:eastAsia="PMingLiU" w:cs="Arial"/>
          <w:lang w:val="de-DE"/>
        </w:rPr>
        <w:tab/>
      </w:r>
      <w:r w:rsidR="00DE2411" w:rsidRPr="008376AF">
        <w:rPr>
          <w:rFonts w:eastAsia="PMingLiU" w:cs="Arial"/>
          <w:lang w:val="de-DE"/>
        </w:rPr>
        <w:t>Technische Arbeitsgruppe für Gemüsearten</w:t>
      </w:r>
    </w:p>
    <w:p w:rsidR="00DE2411" w:rsidRPr="008376AF" w:rsidRDefault="00DE2411" w:rsidP="00416F6E">
      <w:pPr>
        <w:rPr>
          <w:rFonts w:eastAsia="PMingLiU" w:cs="Arial"/>
          <w:lang w:val="de-DE"/>
        </w:rPr>
      </w:pPr>
    </w:p>
    <w:p w:rsidR="00DE2411" w:rsidRPr="008376AF" w:rsidRDefault="00DE2411" w:rsidP="00416F6E">
      <w:pPr>
        <w:rPr>
          <w:rFonts w:eastAsia="PMingLiU" w:cs="Arial"/>
          <w:lang w:val="de-DE"/>
        </w:rPr>
      </w:pPr>
    </w:p>
    <w:p w:rsidR="00DE2411" w:rsidRPr="008376AF" w:rsidRDefault="00DE2411" w:rsidP="00416F6E">
      <w:pPr>
        <w:rPr>
          <w:rFonts w:eastAsia="PMingLiU" w:cs="Arial"/>
          <w:lang w:val="de-DE"/>
        </w:rPr>
      </w:pPr>
    </w:p>
    <w:p w:rsidR="00DE2411" w:rsidRPr="008376AF" w:rsidRDefault="00DE2411" w:rsidP="00416F6E">
      <w:pPr>
        <w:rPr>
          <w:rFonts w:eastAsia="PMingLiU" w:cs="Arial"/>
          <w:lang w:val="de-DE"/>
        </w:rPr>
      </w:pPr>
    </w:p>
    <w:p w:rsidR="00DE2411" w:rsidRPr="008376AF" w:rsidRDefault="00DE2411" w:rsidP="0069769C">
      <w:pPr>
        <w:pStyle w:val="Heading1"/>
        <w:rPr>
          <w:lang w:val="de-DE"/>
        </w:rPr>
      </w:pPr>
      <w:bookmarkStart w:id="4" w:name="_Toc527462855"/>
      <w:r w:rsidRPr="008376AF">
        <w:rPr>
          <w:lang w:val="de-DE"/>
        </w:rPr>
        <w:lastRenderedPageBreak/>
        <w:t>Hintergrund</w:t>
      </w:r>
      <w:bookmarkEnd w:id="4"/>
    </w:p>
    <w:p w:rsidR="00DE2411" w:rsidRPr="008376AF" w:rsidRDefault="00DE2411" w:rsidP="00017E9D">
      <w:pPr>
        <w:rPr>
          <w:lang w:val="de-DE"/>
        </w:rPr>
      </w:pPr>
    </w:p>
    <w:p w:rsidR="00A02094" w:rsidRPr="008376AF" w:rsidRDefault="00BC2E6E" w:rsidP="00A02094">
      <w:pPr>
        <w:keepNext/>
        <w:rPr>
          <w:lang w:val="de-DE"/>
        </w:rPr>
      </w:pPr>
      <w:r w:rsidRPr="008376AF">
        <w:rPr>
          <w:lang w:val="de-DE"/>
        </w:rPr>
        <w:fldChar w:fldCharType="begin"/>
      </w:r>
      <w:r w:rsidRPr="008376AF">
        <w:rPr>
          <w:lang w:val="de-DE"/>
        </w:rPr>
        <w:instrText xml:space="preserve"> AUTONUM  </w:instrText>
      </w:r>
      <w:r w:rsidRPr="008376AF">
        <w:rPr>
          <w:lang w:val="de-DE"/>
        </w:rPr>
        <w:fldChar w:fldCharType="end"/>
      </w:r>
      <w:r w:rsidRPr="008376AF">
        <w:rPr>
          <w:lang w:val="de-DE"/>
        </w:rPr>
        <w:tab/>
      </w:r>
      <w:r w:rsidR="00A02094" w:rsidRPr="008376AF">
        <w:rPr>
          <w:lang w:val="de-DE"/>
        </w:rPr>
        <w:t>Der TC hörte auf seiner zweiundfünfzigsten Tagung vom 14. bis 16. März 2016 in Genf folgende Referate über Sorten</w:t>
      </w:r>
      <w:r w:rsidR="00BD27D1" w:rsidRPr="008376AF">
        <w:rPr>
          <w:lang w:val="de-DE"/>
        </w:rPr>
        <w:t>beschreibungen und die Rolle von</w:t>
      </w:r>
      <w:r w:rsidR="00A02094" w:rsidRPr="008376AF">
        <w:rPr>
          <w:lang w:val="de-DE"/>
        </w:rPr>
        <w:t xml:space="preserve"> </w:t>
      </w:r>
      <w:r w:rsidR="00BD27D1" w:rsidRPr="008376AF">
        <w:rPr>
          <w:lang w:val="de-DE"/>
        </w:rPr>
        <w:t>Pflanzenmaterial, einschließlich d</w:t>
      </w:r>
      <w:r w:rsidR="00A02094" w:rsidRPr="008376AF">
        <w:rPr>
          <w:lang w:val="de-DE"/>
        </w:rPr>
        <w:t xml:space="preserve">er Mindestanzahl </w:t>
      </w:r>
      <w:r w:rsidR="00BD27D1" w:rsidRPr="008376AF">
        <w:rPr>
          <w:lang w:val="de-DE"/>
        </w:rPr>
        <w:t xml:space="preserve">von </w:t>
      </w:r>
      <w:r w:rsidR="00A02094" w:rsidRPr="008376AF">
        <w:rPr>
          <w:lang w:val="de-DE"/>
        </w:rPr>
        <w:t xml:space="preserve">Wachstumsperioden für die DUS-Prüfung (in der Reihenfolge der Referate) </w:t>
      </w:r>
      <w:r w:rsidR="00A02094" w:rsidRPr="008376AF">
        <w:rPr>
          <w:rFonts w:cs="Arial"/>
          <w:lang w:val="de-DE" w:eastAsia="ja-JP"/>
        </w:rPr>
        <w:t xml:space="preserve">(vergleiche Dokument TC/52/29 Rev. </w:t>
      </w:r>
      <w:r w:rsidR="00065157" w:rsidRPr="008376AF">
        <w:rPr>
          <w:rFonts w:cs="Arial"/>
          <w:lang w:val="de-DE" w:eastAsia="ja-JP"/>
        </w:rPr>
        <w:t>„Überarbeiteter Bericht</w:t>
      </w:r>
      <w:r w:rsidR="003D1FE5" w:rsidRPr="008376AF">
        <w:rPr>
          <w:rFonts w:cs="Arial"/>
          <w:lang w:val="de-DE" w:eastAsia="ja-JP"/>
        </w:rPr>
        <w:t>“</w:t>
      </w:r>
      <w:r w:rsidR="00065157" w:rsidRPr="008376AF">
        <w:rPr>
          <w:rFonts w:cs="Arial"/>
          <w:lang w:val="de-DE" w:eastAsia="ja-JP"/>
        </w:rPr>
        <w:t xml:space="preserve">, </w:t>
      </w:r>
      <w:r w:rsidR="00A02094" w:rsidRPr="008376AF">
        <w:rPr>
          <w:rFonts w:cs="Arial"/>
          <w:lang w:val="de-DE" w:eastAsia="ja-JP"/>
        </w:rPr>
        <w:t>Absatz 204)</w:t>
      </w:r>
      <w:r w:rsidR="00A02094" w:rsidRPr="008376AF">
        <w:rPr>
          <w:lang w:val="de-DE"/>
        </w:rPr>
        <w:t>:</w:t>
      </w:r>
    </w:p>
    <w:p w:rsidR="00DE2411" w:rsidRPr="008376AF" w:rsidRDefault="00DE2411" w:rsidP="00DE2411">
      <w:pPr>
        <w:keepNext/>
        <w:rPr>
          <w:lang w:val="de-DE"/>
        </w:rPr>
      </w:pPr>
    </w:p>
    <w:p w:rsidR="00BC2E6E" w:rsidRPr="008376AF" w:rsidRDefault="00BC2E6E" w:rsidP="00BC2E6E">
      <w:pPr>
        <w:rPr>
          <w:lang w:val="de-DE"/>
        </w:rPr>
      </w:pPr>
    </w:p>
    <w:tbl>
      <w:tblPr>
        <w:tblStyle w:val="TableGrid"/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3544"/>
      </w:tblGrid>
      <w:tr w:rsidR="00BC2E6E" w:rsidRPr="008376AF" w:rsidTr="004B7A61">
        <w:tc>
          <w:tcPr>
            <w:tcW w:w="6237" w:type="dxa"/>
            <w:vAlign w:val="center"/>
          </w:tcPr>
          <w:p w:rsidR="00BC2E6E" w:rsidRPr="008376AF" w:rsidRDefault="00DE2411" w:rsidP="00DE2411">
            <w:pPr>
              <w:keepNext/>
              <w:spacing w:before="60" w:after="60"/>
              <w:ind w:right="34"/>
              <w:rPr>
                <w:lang w:val="de-DE"/>
              </w:rPr>
            </w:pPr>
            <w:r w:rsidRPr="008376AF">
              <w:rPr>
                <w:lang w:val="de-DE"/>
              </w:rPr>
              <w:t>Sortenbeschreibungen und die Rolle von Pflanzenmaterial, einschließlich der Mindestanzahl von Wachstumsperioden für die DUS-Prüfung</w:t>
            </w:r>
          </w:p>
        </w:tc>
        <w:tc>
          <w:tcPr>
            <w:tcW w:w="3544" w:type="dxa"/>
          </w:tcPr>
          <w:p w:rsidR="00BC2E6E" w:rsidRPr="008376AF" w:rsidRDefault="00DE2411" w:rsidP="00DE2411">
            <w:pPr>
              <w:keepNext/>
              <w:spacing w:before="60" w:after="60"/>
              <w:ind w:left="34" w:right="-108"/>
              <w:jc w:val="left"/>
              <w:rPr>
                <w:lang w:val="de-DE"/>
              </w:rPr>
            </w:pPr>
            <w:r w:rsidRPr="008376AF">
              <w:rPr>
                <w:lang w:val="de-DE"/>
              </w:rPr>
              <w:t>Frankreich (</w:t>
            </w:r>
            <w:r w:rsidR="0094172C" w:rsidRPr="008376AF">
              <w:rPr>
                <w:lang w:val="de-DE"/>
              </w:rPr>
              <w:t>Herr</w:t>
            </w:r>
            <w:r w:rsidRPr="008376AF">
              <w:rPr>
                <w:lang w:val="de-DE"/>
              </w:rPr>
              <w:t xml:space="preserve"> Richard Brand)</w:t>
            </w:r>
          </w:p>
        </w:tc>
      </w:tr>
      <w:tr w:rsidR="00BC2E6E" w:rsidRPr="008376AF" w:rsidTr="004B7A61">
        <w:tc>
          <w:tcPr>
            <w:tcW w:w="6237" w:type="dxa"/>
            <w:vAlign w:val="center"/>
          </w:tcPr>
          <w:p w:rsidR="00BC2E6E" w:rsidRPr="008376AF" w:rsidRDefault="007604AD" w:rsidP="007604AD">
            <w:pPr>
              <w:keepNext/>
              <w:spacing w:before="60" w:after="60"/>
              <w:ind w:right="34"/>
              <w:rPr>
                <w:lang w:val="de-DE"/>
              </w:rPr>
            </w:pPr>
            <w:r w:rsidRPr="008376AF">
              <w:rPr>
                <w:lang w:val="de-DE"/>
              </w:rPr>
              <w:t>Entwicklung und Verwendung von</w:t>
            </w:r>
            <w:r w:rsidR="00BC2E6E" w:rsidRPr="008376AF">
              <w:rPr>
                <w:lang w:val="de-DE"/>
              </w:rPr>
              <w:t xml:space="preserve"> </w:t>
            </w:r>
            <w:r w:rsidR="00522047" w:rsidRPr="008376AF">
              <w:rPr>
                <w:lang w:val="de-DE"/>
              </w:rPr>
              <w:t>Sortenbeschreibungen</w:t>
            </w:r>
          </w:p>
        </w:tc>
        <w:tc>
          <w:tcPr>
            <w:tcW w:w="3544" w:type="dxa"/>
          </w:tcPr>
          <w:p w:rsidR="00BC2E6E" w:rsidRPr="008376AF" w:rsidRDefault="000C210D" w:rsidP="00BC2E6E">
            <w:pPr>
              <w:keepNext/>
              <w:spacing w:before="60" w:after="60"/>
              <w:ind w:left="34" w:right="-108"/>
              <w:jc w:val="left"/>
              <w:rPr>
                <w:lang w:val="de-DE"/>
              </w:rPr>
            </w:pPr>
            <w:r w:rsidRPr="008376AF">
              <w:rPr>
                <w:lang w:val="de-DE"/>
              </w:rPr>
              <w:t>Deutschland</w:t>
            </w:r>
            <w:r w:rsidR="00BC2E6E" w:rsidRPr="008376AF">
              <w:rPr>
                <w:lang w:val="de-DE"/>
              </w:rPr>
              <w:t xml:space="preserve"> (</w:t>
            </w:r>
            <w:r w:rsidRPr="008376AF">
              <w:rPr>
                <w:lang w:val="de-DE"/>
              </w:rPr>
              <w:t xml:space="preserve">Frau </w:t>
            </w:r>
            <w:r w:rsidR="00BC2E6E" w:rsidRPr="008376AF">
              <w:rPr>
                <w:lang w:val="de-DE"/>
              </w:rPr>
              <w:t>Beate Rücker)</w:t>
            </w:r>
          </w:p>
        </w:tc>
      </w:tr>
      <w:tr w:rsidR="00BC2E6E" w:rsidRPr="00D129A2" w:rsidTr="004B7A61">
        <w:tc>
          <w:tcPr>
            <w:tcW w:w="6237" w:type="dxa"/>
            <w:vAlign w:val="center"/>
          </w:tcPr>
          <w:p w:rsidR="00BC2E6E" w:rsidRPr="008376AF" w:rsidRDefault="000C210D" w:rsidP="00DE2411">
            <w:pPr>
              <w:keepNext/>
              <w:spacing w:before="60" w:after="60"/>
              <w:ind w:right="34"/>
              <w:rPr>
                <w:lang w:val="de-DE"/>
              </w:rPr>
            </w:pPr>
            <w:r w:rsidRPr="008376AF">
              <w:rPr>
                <w:lang w:val="de-DE"/>
              </w:rPr>
              <w:t xml:space="preserve">Mindestanzahl </w:t>
            </w:r>
            <w:r w:rsidR="0094172C" w:rsidRPr="008376AF">
              <w:rPr>
                <w:lang w:val="de-DE"/>
              </w:rPr>
              <w:t xml:space="preserve">von </w:t>
            </w:r>
            <w:r w:rsidRPr="008376AF">
              <w:rPr>
                <w:lang w:val="de-DE"/>
              </w:rPr>
              <w:t>Wachstumsperioden</w:t>
            </w:r>
          </w:p>
        </w:tc>
        <w:tc>
          <w:tcPr>
            <w:tcW w:w="3544" w:type="dxa"/>
          </w:tcPr>
          <w:p w:rsidR="00BC2E6E" w:rsidRPr="008376AF" w:rsidRDefault="005B1753" w:rsidP="00DE2411">
            <w:pPr>
              <w:keepNext/>
              <w:spacing w:before="60" w:after="60"/>
              <w:ind w:left="34" w:right="-108"/>
              <w:jc w:val="left"/>
              <w:rPr>
                <w:lang w:val="de-DE"/>
              </w:rPr>
            </w:pPr>
            <w:r w:rsidRPr="008376AF">
              <w:rPr>
                <w:lang w:val="de-DE"/>
              </w:rPr>
              <w:t>Niederlande (</w:t>
            </w:r>
            <w:r w:rsidR="0094172C" w:rsidRPr="008376AF">
              <w:rPr>
                <w:lang w:val="de-DE"/>
              </w:rPr>
              <w:t>Herr</w:t>
            </w:r>
            <w:r w:rsidRPr="008376AF">
              <w:rPr>
                <w:lang w:val="de-DE"/>
              </w:rPr>
              <w:t xml:space="preserve"> Kees van </w:t>
            </w:r>
            <w:r w:rsidR="00DE2411" w:rsidRPr="008376AF">
              <w:rPr>
                <w:lang w:val="de-DE"/>
              </w:rPr>
              <w:t>Ettekoven)</w:t>
            </w:r>
          </w:p>
        </w:tc>
      </w:tr>
      <w:tr w:rsidR="00BC2E6E" w:rsidRPr="008376AF" w:rsidTr="004B7A61">
        <w:tc>
          <w:tcPr>
            <w:tcW w:w="6237" w:type="dxa"/>
            <w:vAlign w:val="center"/>
          </w:tcPr>
          <w:p w:rsidR="00BC2E6E" w:rsidRPr="008376AF" w:rsidRDefault="0094172C" w:rsidP="007604AD">
            <w:pPr>
              <w:keepNext/>
              <w:spacing w:before="60" w:after="60"/>
              <w:ind w:right="34"/>
              <w:rPr>
                <w:lang w:val="de-DE"/>
              </w:rPr>
            </w:pPr>
            <w:r w:rsidRPr="008376AF">
              <w:rPr>
                <w:lang w:val="de-DE"/>
              </w:rPr>
              <w:t>Verwendung von</w:t>
            </w:r>
            <w:r w:rsidR="00BC2E6E" w:rsidRPr="008376AF">
              <w:rPr>
                <w:lang w:val="de-DE"/>
              </w:rPr>
              <w:t xml:space="preserve"> </w:t>
            </w:r>
            <w:r w:rsidR="00522047" w:rsidRPr="008376AF">
              <w:rPr>
                <w:lang w:val="de-DE"/>
              </w:rPr>
              <w:t>Sortenbeschreibungen</w:t>
            </w:r>
            <w:r w:rsidR="00BC2E6E" w:rsidRPr="008376AF">
              <w:rPr>
                <w:lang w:val="de-DE"/>
              </w:rPr>
              <w:t xml:space="preserve"> </w:t>
            </w:r>
            <w:r w:rsidRPr="008376AF">
              <w:rPr>
                <w:lang w:val="de-DE"/>
              </w:rPr>
              <w:t>und Prüfungs</w:t>
            </w:r>
            <w:r w:rsidR="00C4083D" w:rsidRPr="008376AF">
              <w:rPr>
                <w:lang w:val="de-DE"/>
              </w:rPr>
              <w:t>dauer</w:t>
            </w:r>
            <w:r w:rsidR="007604AD" w:rsidRPr="008376AF">
              <w:rPr>
                <w:lang w:val="de-DE"/>
              </w:rPr>
              <w:t xml:space="preserve"> – Aus neuseeländ</w:t>
            </w:r>
            <w:r w:rsidRPr="008376AF">
              <w:rPr>
                <w:lang w:val="de-DE"/>
              </w:rPr>
              <w:t>ischer Perspektive</w:t>
            </w:r>
          </w:p>
        </w:tc>
        <w:tc>
          <w:tcPr>
            <w:tcW w:w="3544" w:type="dxa"/>
          </w:tcPr>
          <w:p w:rsidR="00BC2E6E" w:rsidRPr="008376AF" w:rsidRDefault="000C210D" w:rsidP="00BC2E6E">
            <w:pPr>
              <w:keepNext/>
              <w:spacing w:before="60" w:after="60"/>
              <w:ind w:left="34" w:right="-108"/>
              <w:jc w:val="left"/>
              <w:rPr>
                <w:lang w:val="de-DE"/>
              </w:rPr>
            </w:pPr>
            <w:r w:rsidRPr="008376AF">
              <w:rPr>
                <w:lang w:val="de-DE"/>
              </w:rPr>
              <w:t xml:space="preserve">Neuseeland </w:t>
            </w:r>
            <w:r w:rsidR="00BC2E6E" w:rsidRPr="008376AF">
              <w:rPr>
                <w:lang w:val="de-DE"/>
              </w:rPr>
              <w:t>(</w:t>
            </w:r>
            <w:r w:rsidR="0094172C" w:rsidRPr="008376AF">
              <w:rPr>
                <w:lang w:val="de-DE"/>
              </w:rPr>
              <w:t>Herr</w:t>
            </w:r>
            <w:r w:rsidRPr="008376AF">
              <w:rPr>
                <w:lang w:val="de-DE"/>
              </w:rPr>
              <w:t xml:space="preserve"> </w:t>
            </w:r>
            <w:r w:rsidR="00BC2E6E" w:rsidRPr="008376AF">
              <w:rPr>
                <w:lang w:val="de-DE"/>
              </w:rPr>
              <w:t>Chris Barnaby)</w:t>
            </w:r>
          </w:p>
        </w:tc>
      </w:tr>
    </w:tbl>
    <w:p w:rsidR="00DE2411" w:rsidRPr="008376AF" w:rsidRDefault="00DE2411" w:rsidP="00BC2E6E">
      <w:pPr>
        <w:ind w:firstLine="567"/>
        <w:rPr>
          <w:lang w:val="de-DE"/>
        </w:rPr>
      </w:pPr>
    </w:p>
    <w:p w:rsidR="00DE2411" w:rsidRPr="008376AF" w:rsidRDefault="00BC2E6E" w:rsidP="00DE2411">
      <w:pPr>
        <w:rPr>
          <w:lang w:val="de-DE"/>
        </w:rPr>
      </w:pPr>
      <w:r w:rsidRPr="008376AF">
        <w:rPr>
          <w:lang w:val="de-DE"/>
        </w:rPr>
        <w:fldChar w:fldCharType="begin"/>
      </w:r>
      <w:r w:rsidRPr="008376AF">
        <w:rPr>
          <w:lang w:val="de-DE"/>
        </w:rPr>
        <w:instrText xml:space="preserve"> AUTONUM  </w:instrText>
      </w:r>
      <w:r w:rsidRPr="008376AF">
        <w:rPr>
          <w:lang w:val="de-DE"/>
        </w:rPr>
        <w:fldChar w:fldCharType="end"/>
      </w:r>
      <w:r w:rsidRPr="008376AF">
        <w:rPr>
          <w:lang w:val="de-DE"/>
        </w:rPr>
        <w:tab/>
      </w:r>
      <w:r w:rsidR="00BB4AF0" w:rsidRPr="008376AF">
        <w:rPr>
          <w:lang w:val="de-DE"/>
        </w:rPr>
        <w:t xml:space="preserve">Der TC prüfte die Erörterung über die </w:t>
      </w:r>
      <w:r w:rsidR="0094172C" w:rsidRPr="008376AF">
        <w:rPr>
          <w:lang w:val="de-DE"/>
        </w:rPr>
        <w:t>Anzahl von</w:t>
      </w:r>
      <w:r w:rsidR="00BB4AF0" w:rsidRPr="008376AF">
        <w:rPr>
          <w:lang w:val="de-DE"/>
        </w:rPr>
        <w:t xml:space="preserve"> Wachstumsperioden in der DUS-Prüfung und vereinbarte, Verbandsmitglieder zu ersuchen, die Auswirkungen der Verwendung </w:t>
      </w:r>
      <w:r w:rsidR="0094172C" w:rsidRPr="008376AF">
        <w:rPr>
          <w:lang w:val="de-DE"/>
        </w:rPr>
        <w:t>einer unterschiedlichen Anzahl</w:t>
      </w:r>
      <w:r w:rsidR="00BB4AF0" w:rsidRPr="008376AF">
        <w:rPr>
          <w:lang w:val="de-DE"/>
        </w:rPr>
        <w:t xml:space="preserve"> von Wachstumsperioden auf </w:t>
      </w:r>
      <w:r w:rsidR="0094172C" w:rsidRPr="008376AF">
        <w:rPr>
          <w:lang w:val="de-DE"/>
        </w:rPr>
        <w:t>Entscheidungen über DUS</w:t>
      </w:r>
      <w:r w:rsidR="00BB4AF0" w:rsidRPr="008376AF">
        <w:rPr>
          <w:lang w:val="de-DE"/>
        </w:rPr>
        <w:t xml:space="preserve"> anhand aktueller Daten zu simulieren und auf den Tagungen der TWP im Jahre 2016 und auf der dreiundfünfzigsten Tagung des TC über ihre Ergebnisse zu berichten.</w:t>
      </w:r>
    </w:p>
    <w:p w:rsidR="00DE2411" w:rsidRPr="008376AF" w:rsidRDefault="00DE2411" w:rsidP="00017E9D">
      <w:pPr>
        <w:rPr>
          <w:rFonts w:cs="Arial"/>
          <w:color w:val="000000"/>
          <w:lang w:val="de-DE"/>
        </w:rPr>
      </w:pPr>
    </w:p>
    <w:p w:rsidR="00DE2411" w:rsidRPr="008376AF" w:rsidRDefault="00017E9D" w:rsidP="00DE2411">
      <w:pPr>
        <w:rPr>
          <w:snapToGrid w:val="0"/>
          <w:lang w:val="de-DE"/>
        </w:rPr>
      </w:pPr>
      <w:r w:rsidRPr="008376AF">
        <w:rPr>
          <w:lang w:val="de-DE"/>
        </w:rPr>
        <w:fldChar w:fldCharType="begin"/>
      </w:r>
      <w:r w:rsidRPr="008376AF">
        <w:rPr>
          <w:lang w:val="de-DE"/>
        </w:rPr>
        <w:instrText xml:space="preserve"> AUTONUM  </w:instrText>
      </w:r>
      <w:r w:rsidRPr="008376AF">
        <w:rPr>
          <w:lang w:val="de-DE"/>
        </w:rPr>
        <w:fldChar w:fldCharType="end"/>
      </w:r>
      <w:r w:rsidRPr="008376AF">
        <w:rPr>
          <w:lang w:val="de-DE"/>
        </w:rPr>
        <w:tab/>
      </w:r>
      <w:r w:rsidR="009070E3" w:rsidRPr="008376AF">
        <w:rPr>
          <w:lang w:val="de-DE"/>
        </w:rPr>
        <w:t xml:space="preserve">Der TC prüfte auf seiner dreiundfünfzigsten Tagung vom 3. bis 7. April 2017 in Genf das Dokument TC/53/21 „Anzahl von Wachstumsperioden“ </w:t>
      </w:r>
      <w:r w:rsidR="00DE2411" w:rsidRPr="008376AF">
        <w:rPr>
          <w:lang w:val="de-DE"/>
        </w:rPr>
        <w:t>(vergleiche Dokument</w:t>
      </w:r>
      <w:r w:rsidR="00522047" w:rsidRPr="008376AF">
        <w:rPr>
          <w:lang w:val="de-DE"/>
        </w:rPr>
        <w:t xml:space="preserve"> </w:t>
      </w:r>
      <w:r w:rsidR="00DE2411" w:rsidRPr="008376AF">
        <w:rPr>
          <w:lang w:val="de-DE"/>
        </w:rPr>
        <w:t>TC/53/31 „Bericht“, Absätze 183 bis 187).</w:t>
      </w:r>
    </w:p>
    <w:p w:rsidR="00DE2411" w:rsidRPr="008376AF" w:rsidRDefault="00DE2411" w:rsidP="00017E9D">
      <w:pPr>
        <w:rPr>
          <w:snapToGrid w:val="0"/>
          <w:lang w:val="de-DE"/>
        </w:rPr>
      </w:pPr>
    </w:p>
    <w:p w:rsidR="00DE2411" w:rsidRPr="008376AF" w:rsidRDefault="00017E9D" w:rsidP="00DE2411">
      <w:pPr>
        <w:rPr>
          <w:lang w:val="de-DE"/>
        </w:rPr>
      </w:pPr>
      <w:r w:rsidRPr="008376AF">
        <w:rPr>
          <w:color w:val="000000"/>
          <w:lang w:val="de-DE"/>
        </w:rPr>
        <w:fldChar w:fldCharType="begin"/>
      </w:r>
      <w:r w:rsidRPr="008376AF">
        <w:rPr>
          <w:color w:val="000000"/>
          <w:lang w:val="de-DE"/>
        </w:rPr>
        <w:instrText xml:space="preserve"> AUTONUM  </w:instrText>
      </w:r>
      <w:r w:rsidRPr="008376AF">
        <w:rPr>
          <w:color w:val="000000"/>
          <w:lang w:val="de-DE"/>
        </w:rPr>
        <w:fldChar w:fldCharType="end"/>
      </w:r>
      <w:r w:rsidRPr="008376AF">
        <w:rPr>
          <w:color w:val="000000"/>
          <w:lang w:val="de-DE"/>
        </w:rPr>
        <w:tab/>
      </w:r>
      <w:r w:rsidR="009070E3" w:rsidRPr="008376AF">
        <w:rPr>
          <w:color w:val="000000"/>
          <w:lang w:val="de-DE"/>
        </w:rPr>
        <w:t>Der TC prüfte die von Sachverständigen auf den Tagungen der TWP im Jahre 2016 gehaltenen Referate, die die Auswirkungen der Verwendung einer unterschiedlichen Anza</w:t>
      </w:r>
      <w:r w:rsidR="00A666E1" w:rsidRPr="008376AF">
        <w:rPr>
          <w:color w:val="000000"/>
          <w:lang w:val="de-DE"/>
        </w:rPr>
        <w:t>hl von Wachstumsperioden auf</w:t>
      </w:r>
      <w:r w:rsidR="009070E3" w:rsidRPr="008376AF">
        <w:rPr>
          <w:color w:val="000000"/>
          <w:lang w:val="de-DE"/>
        </w:rPr>
        <w:t xml:space="preserve"> </w:t>
      </w:r>
      <w:r w:rsidR="0094172C" w:rsidRPr="008376AF">
        <w:rPr>
          <w:color w:val="000000"/>
          <w:lang w:val="de-DE"/>
        </w:rPr>
        <w:t>Entscheidungen über DUS</w:t>
      </w:r>
      <w:r w:rsidR="009070E3" w:rsidRPr="008376AF">
        <w:rPr>
          <w:color w:val="000000"/>
          <w:lang w:val="de-DE"/>
        </w:rPr>
        <w:t xml:space="preserve"> anhand aktueller Daten simulieren, wie in den Anlagen des Dokuments TC/53/21 wiedergegeben.</w:t>
      </w:r>
    </w:p>
    <w:p w:rsidR="00DE2411" w:rsidRPr="008376AF" w:rsidRDefault="00DE2411" w:rsidP="00017E9D">
      <w:pPr>
        <w:rPr>
          <w:rFonts w:cs="Arial"/>
          <w:lang w:val="de-DE"/>
        </w:rPr>
      </w:pPr>
    </w:p>
    <w:p w:rsidR="00DE2411" w:rsidRPr="008376AF" w:rsidRDefault="00017E9D" w:rsidP="00DE2411">
      <w:pPr>
        <w:rPr>
          <w:lang w:val="de-DE"/>
        </w:rPr>
      </w:pPr>
      <w:r w:rsidRPr="008376AF">
        <w:rPr>
          <w:color w:val="000000"/>
          <w:lang w:val="de-DE"/>
        </w:rPr>
        <w:fldChar w:fldCharType="begin"/>
      </w:r>
      <w:r w:rsidRPr="008376AF">
        <w:rPr>
          <w:color w:val="000000"/>
          <w:lang w:val="de-DE"/>
        </w:rPr>
        <w:instrText xml:space="preserve"> AUTONUM  </w:instrText>
      </w:r>
      <w:r w:rsidRPr="008376AF">
        <w:rPr>
          <w:color w:val="000000"/>
          <w:lang w:val="de-DE"/>
        </w:rPr>
        <w:fldChar w:fldCharType="end"/>
      </w:r>
      <w:r w:rsidRPr="008376AF">
        <w:rPr>
          <w:color w:val="000000"/>
          <w:lang w:val="de-DE"/>
        </w:rPr>
        <w:tab/>
      </w:r>
      <w:r w:rsidR="00E6636E" w:rsidRPr="008376AF">
        <w:rPr>
          <w:color w:val="000000"/>
          <w:lang w:val="de-DE"/>
        </w:rPr>
        <w:t xml:space="preserve">Der TC nahm die Angebote von Verbandsmitgliedern zur Kenntnis, auf den Tagungen der TWP im Jahre 2017 Referate über die Auswirkungen der Verwendung einer unterschiedlichen Anzahl von Wachstumsperioden auf </w:t>
      </w:r>
      <w:r w:rsidR="0094172C" w:rsidRPr="008376AF">
        <w:rPr>
          <w:color w:val="000000"/>
          <w:lang w:val="de-DE"/>
        </w:rPr>
        <w:t>Entscheidungen über DUS</w:t>
      </w:r>
      <w:r w:rsidR="00E6636E" w:rsidRPr="008376AF">
        <w:rPr>
          <w:color w:val="000000"/>
          <w:lang w:val="de-DE"/>
        </w:rPr>
        <w:t xml:space="preserve"> anhand aktueller Daten zu halten, und vereinbarte, die TWP </w:t>
      </w:r>
      <w:r w:rsidR="00150501" w:rsidRPr="008376AF">
        <w:rPr>
          <w:color w:val="000000"/>
          <w:lang w:val="de-DE"/>
        </w:rPr>
        <w:t>zu ersuchen, dem TC auf seiner Tagung</w:t>
      </w:r>
      <w:r w:rsidR="00E6636E" w:rsidRPr="008376AF">
        <w:rPr>
          <w:color w:val="000000"/>
          <w:lang w:val="de-DE"/>
        </w:rPr>
        <w:t xml:space="preserve"> im</w:t>
      </w:r>
      <w:r w:rsidR="00183BBA" w:rsidRPr="008376AF">
        <w:rPr>
          <w:color w:val="000000"/>
          <w:lang w:val="de-DE"/>
        </w:rPr>
        <w:t xml:space="preserve"> Jahr 2018 Bericht zu erstatten.</w:t>
      </w:r>
    </w:p>
    <w:p w:rsidR="00DE2411" w:rsidRPr="008376AF" w:rsidRDefault="00DE2411" w:rsidP="00017E9D">
      <w:pPr>
        <w:rPr>
          <w:lang w:val="de-DE"/>
        </w:rPr>
      </w:pPr>
    </w:p>
    <w:p w:rsidR="00DE2411" w:rsidRPr="008376AF" w:rsidRDefault="00017E9D" w:rsidP="00DE2411">
      <w:pPr>
        <w:rPr>
          <w:lang w:val="de-DE"/>
        </w:rPr>
      </w:pPr>
      <w:r w:rsidRPr="008376AF">
        <w:rPr>
          <w:rFonts w:cs="Arial"/>
          <w:lang w:val="de-DE"/>
        </w:rPr>
        <w:fldChar w:fldCharType="begin"/>
      </w:r>
      <w:r w:rsidRPr="008376AF">
        <w:rPr>
          <w:rFonts w:cs="Arial"/>
          <w:lang w:val="de-DE"/>
        </w:rPr>
        <w:instrText xml:space="preserve"> AUTONUM  </w:instrText>
      </w:r>
      <w:r w:rsidRPr="008376AF">
        <w:rPr>
          <w:rFonts w:cs="Arial"/>
          <w:lang w:val="de-DE"/>
        </w:rPr>
        <w:fldChar w:fldCharType="end"/>
      </w:r>
      <w:r w:rsidRPr="008376AF">
        <w:rPr>
          <w:rFonts w:cs="Arial"/>
          <w:lang w:val="de-DE"/>
        </w:rPr>
        <w:tab/>
      </w:r>
      <w:r w:rsidR="00E6636E" w:rsidRPr="008376AF">
        <w:rPr>
          <w:rFonts w:cs="Arial"/>
          <w:lang w:val="de-DE"/>
        </w:rPr>
        <w:t>Der TC nahm die Interessensbekundung durch Behörden zur Kennt</w:t>
      </w:r>
      <w:r w:rsidR="00183BBA" w:rsidRPr="008376AF">
        <w:rPr>
          <w:rFonts w:cs="Arial"/>
          <w:lang w:val="de-DE"/>
        </w:rPr>
        <w:t xml:space="preserve">nis, die mit der DUS-Prüfung verbundenen </w:t>
      </w:r>
      <w:r w:rsidR="00E6636E" w:rsidRPr="008376AF">
        <w:rPr>
          <w:rFonts w:cs="Arial"/>
          <w:lang w:val="de-DE"/>
        </w:rPr>
        <w:t>Kosten zu reduzieren, und vereinbarte, daß die Anzahl vo</w:t>
      </w:r>
      <w:r w:rsidR="00DF643B">
        <w:rPr>
          <w:rFonts w:cs="Arial"/>
          <w:lang w:val="de-DE"/>
        </w:rPr>
        <w:t>n Wachstumsperioden für die DUS</w:t>
      </w:r>
      <w:r w:rsidR="00DF643B">
        <w:rPr>
          <w:rFonts w:cs="Arial"/>
          <w:lang w:val="de-DE"/>
        </w:rPr>
        <w:noBreakHyphen/>
      </w:r>
      <w:r w:rsidR="00E6636E" w:rsidRPr="008376AF">
        <w:rPr>
          <w:rFonts w:cs="Arial"/>
          <w:lang w:val="de-DE"/>
        </w:rPr>
        <w:t>Prüfung die notwendige Mindestanzahl für eine stabile Entscheidung über DUS und die Erstellung einer zuverlässigen Sortenbeschreibung betragen sollte</w:t>
      </w:r>
      <w:r w:rsidR="00183BBA" w:rsidRPr="008376AF">
        <w:rPr>
          <w:rFonts w:cs="Arial"/>
          <w:lang w:val="de-DE"/>
        </w:rPr>
        <w:t>.</w:t>
      </w:r>
    </w:p>
    <w:p w:rsidR="00DE2411" w:rsidRPr="008376AF" w:rsidRDefault="00DE2411" w:rsidP="00017E9D">
      <w:pPr>
        <w:rPr>
          <w:lang w:val="de-DE"/>
        </w:rPr>
      </w:pPr>
    </w:p>
    <w:p w:rsidR="00DE2411" w:rsidRPr="008376AF" w:rsidRDefault="00017E9D" w:rsidP="00DE2411">
      <w:pPr>
        <w:rPr>
          <w:lang w:val="de-DE"/>
        </w:rPr>
      </w:pPr>
      <w:r w:rsidRPr="008376AF">
        <w:rPr>
          <w:lang w:val="de-DE"/>
        </w:rPr>
        <w:fldChar w:fldCharType="begin"/>
      </w:r>
      <w:r w:rsidRPr="008376AF">
        <w:rPr>
          <w:lang w:val="de-DE"/>
        </w:rPr>
        <w:instrText xml:space="preserve"> AUTONUM  </w:instrText>
      </w:r>
      <w:r w:rsidRPr="008376AF">
        <w:rPr>
          <w:lang w:val="de-DE"/>
        </w:rPr>
        <w:fldChar w:fldCharType="end"/>
      </w:r>
      <w:r w:rsidRPr="008376AF">
        <w:rPr>
          <w:lang w:val="de-DE"/>
        </w:rPr>
        <w:tab/>
      </w:r>
      <w:r w:rsidR="00E6636E" w:rsidRPr="008376AF">
        <w:rPr>
          <w:lang w:val="de-DE"/>
        </w:rPr>
        <w:t>Der TC vereinbarte, daß es nicht zweckmäßig sei, zu verallgemeinern, daß Ziersorten in einer einzelnen Anbauprüfung geprüft werden so</w:t>
      </w:r>
      <w:r w:rsidR="00183BBA" w:rsidRPr="008376AF">
        <w:rPr>
          <w:lang w:val="de-DE"/>
        </w:rPr>
        <w:t xml:space="preserve">llten, während andere </w:t>
      </w:r>
      <w:r w:rsidR="00E6636E" w:rsidRPr="008376AF">
        <w:rPr>
          <w:lang w:val="de-DE"/>
        </w:rPr>
        <w:t>Pflanzen</w:t>
      </w:r>
      <w:r w:rsidR="00183BBA" w:rsidRPr="008376AF">
        <w:rPr>
          <w:lang w:val="de-DE"/>
        </w:rPr>
        <w:t>arten</w:t>
      </w:r>
      <w:r w:rsidR="00E6636E" w:rsidRPr="008376AF">
        <w:rPr>
          <w:lang w:val="de-DE"/>
        </w:rPr>
        <w:t xml:space="preserve"> in zwei Wachstumsperioden geprüft werden sollten, und vereinbarte, daß die übliche Anzahl von Wachstumsperioden je nach Pflanze festgelegt werden sollte.</w:t>
      </w:r>
    </w:p>
    <w:p w:rsidR="00DE2411" w:rsidRPr="008376AF" w:rsidRDefault="00DE2411" w:rsidP="000C17B3">
      <w:pPr>
        <w:ind w:left="567" w:hanging="567"/>
        <w:rPr>
          <w:lang w:val="de-DE"/>
        </w:rPr>
      </w:pPr>
    </w:p>
    <w:p w:rsidR="00DE2411" w:rsidRPr="008376AF" w:rsidRDefault="00DE2411" w:rsidP="0069769C">
      <w:pPr>
        <w:pStyle w:val="Heading1"/>
        <w:rPr>
          <w:lang w:val="de-DE"/>
        </w:rPr>
      </w:pPr>
    </w:p>
    <w:p w:rsidR="00DE2411" w:rsidRPr="008376AF" w:rsidRDefault="00183BBA" w:rsidP="0069769C">
      <w:pPr>
        <w:pStyle w:val="Heading1"/>
        <w:rPr>
          <w:lang w:val="de-DE"/>
        </w:rPr>
      </w:pPr>
      <w:bookmarkStart w:id="5" w:name="_Toc527462856"/>
      <w:r w:rsidRPr="008376AF">
        <w:rPr>
          <w:lang w:val="de-DE"/>
        </w:rPr>
        <w:t xml:space="preserve">REFERATE AUF DEN </w:t>
      </w:r>
      <w:r w:rsidR="00DC683C" w:rsidRPr="008376AF">
        <w:rPr>
          <w:lang w:val="de-DE"/>
        </w:rPr>
        <w:t>Tagunge</w:t>
      </w:r>
      <w:r w:rsidRPr="008376AF">
        <w:rPr>
          <w:lang w:val="de-DE"/>
        </w:rPr>
        <w:t>n der TWP im Jahre 2017</w:t>
      </w:r>
      <w:bookmarkEnd w:id="5"/>
    </w:p>
    <w:p w:rsidR="00DC683C" w:rsidRPr="008376AF" w:rsidRDefault="00DC683C" w:rsidP="00050E16">
      <w:pPr>
        <w:rPr>
          <w:lang w:val="de-DE"/>
        </w:rPr>
      </w:pPr>
    </w:p>
    <w:p w:rsidR="00DE2411" w:rsidRPr="008376AF" w:rsidRDefault="00DE2411" w:rsidP="00DE2411">
      <w:pPr>
        <w:pStyle w:val="Heading2"/>
        <w:rPr>
          <w:lang w:val="de-DE"/>
        </w:rPr>
      </w:pPr>
      <w:bookmarkStart w:id="6" w:name="_Toc527462857"/>
      <w:r w:rsidRPr="008376AF">
        <w:rPr>
          <w:lang w:val="de-DE"/>
        </w:rPr>
        <w:t>Technische Arbeitsgruppe für landwirtschaftliche Sorten</w:t>
      </w:r>
      <w:bookmarkEnd w:id="6"/>
    </w:p>
    <w:p w:rsidR="00DE2411" w:rsidRPr="008376AF" w:rsidRDefault="00DE2411" w:rsidP="00050E16">
      <w:pPr>
        <w:rPr>
          <w:lang w:val="de-DE"/>
        </w:rPr>
      </w:pPr>
    </w:p>
    <w:p w:rsidR="00DE2411" w:rsidRPr="0069769C" w:rsidRDefault="006C741E" w:rsidP="006C741E">
      <w:r w:rsidRPr="008376AF">
        <w:rPr>
          <w:snapToGrid w:val="0"/>
          <w:lang w:val="de-DE"/>
        </w:rPr>
        <w:fldChar w:fldCharType="begin"/>
      </w:r>
      <w:r w:rsidRPr="008376AF">
        <w:rPr>
          <w:snapToGrid w:val="0"/>
          <w:lang w:val="de-DE"/>
        </w:rPr>
        <w:instrText xml:space="preserve"> AUTONUM  </w:instrText>
      </w:r>
      <w:r w:rsidRPr="008376AF">
        <w:rPr>
          <w:snapToGrid w:val="0"/>
          <w:lang w:val="de-DE"/>
        </w:rPr>
        <w:fldChar w:fldCharType="end"/>
      </w:r>
      <w:r w:rsidRPr="008376AF">
        <w:rPr>
          <w:snapToGrid w:val="0"/>
          <w:lang w:val="de-DE"/>
        </w:rPr>
        <w:tab/>
      </w:r>
      <w:r w:rsidR="001E40E8" w:rsidRPr="008376AF">
        <w:rPr>
          <w:snapToGrid w:val="0"/>
          <w:lang w:val="de-DE"/>
        </w:rPr>
        <w:t>Die TWA prüfte auf ihrer sechsundvierzigsten Tagung vom 19. bis 23. </w:t>
      </w:r>
      <w:proofErr w:type="spellStart"/>
      <w:r w:rsidR="001E40E8" w:rsidRPr="0069769C">
        <w:rPr>
          <w:snapToGrid w:val="0"/>
        </w:rPr>
        <w:t>Juni</w:t>
      </w:r>
      <w:proofErr w:type="spellEnd"/>
      <w:r w:rsidR="001E40E8" w:rsidRPr="0069769C">
        <w:rPr>
          <w:snapToGrid w:val="0"/>
        </w:rPr>
        <w:t xml:space="preserve"> 2017 in Hannover, Deutschland, </w:t>
      </w:r>
      <w:proofErr w:type="spellStart"/>
      <w:r w:rsidR="001E40E8" w:rsidRPr="0069769C">
        <w:rPr>
          <w:snapToGrid w:val="0"/>
        </w:rPr>
        <w:t>Dokument</w:t>
      </w:r>
      <w:r w:rsidR="003D1FE5" w:rsidRPr="0069769C">
        <w:rPr>
          <w:snapToGrid w:val="0"/>
        </w:rPr>
        <w:t>e</w:t>
      </w:r>
      <w:proofErr w:type="spellEnd"/>
      <w:r w:rsidR="001E40E8" w:rsidRPr="0069769C">
        <w:rPr>
          <w:snapToGrid w:val="0"/>
        </w:rPr>
        <w:t xml:space="preserve"> </w:t>
      </w:r>
      <w:hyperlink r:id="rId7" w:history="1">
        <w:r w:rsidRPr="0069769C">
          <w:rPr>
            <w:rStyle w:val="Hyperlink"/>
          </w:rPr>
          <w:t>TWP/1/21</w:t>
        </w:r>
      </w:hyperlink>
      <w:r w:rsidR="00C03B0C" w:rsidRPr="0069769C">
        <w:t xml:space="preserve"> </w:t>
      </w:r>
      <w:r w:rsidR="00171269" w:rsidRPr="0069769C">
        <w:t>„</w:t>
      </w:r>
      <w:r w:rsidR="00183BBA" w:rsidRPr="0069769C">
        <w:t>Number of growing cycles</w:t>
      </w:r>
      <w:r w:rsidR="00171269" w:rsidRPr="0069769C">
        <w:t xml:space="preserve">“, </w:t>
      </w:r>
      <w:hyperlink r:id="rId8" w:history="1">
        <w:r w:rsidRPr="0069769C">
          <w:rPr>
            <w:rStyle w:val="Hyperlink"/>
          </w:rPr>
          <w:t>TWA/46/8</w:t>
        </w:r>
      </w:hyperlink>
      <w:r w:rsidR="00171269" w:rsidRPr="0069769C">
        <w:t xml:space="preserve"> u</w:t>
      </w:r>
      <w:r w:rsidRPr="0069769C">
        <w:t xml:space="preserve">nd </w:t>
      </w:r>
      <w:hyperlink r:id="rId9" w:history="1">
        <w:r w:rsidRPr="0069769C">
          <w:rPr>
            <w:rStyle w:val="Hyperlink"/>
          </w:rPr>
          <w:t>TWA/46/8 Add</w:t>
        </w:r>
      </w:hyperlink>
      <w:r w:rsidRPr="0069769C">
        <w:t xml:space="preserve"> </w:t>
      </w:r>
      <w:r w:rsidR="00C4083D" w:rsidRPr="0069769C">
        <w:t>„</w:t>
      </w:r>
      <w:r w:rsidR="00183BBA" w:rsidRPr="0069769C">
        <w:t>Impact of using different numbers of growing cycles on DUS decisions using actual data</w:t>
      </w:r>
      <w:r w:rsidR="00C4083D" w:rsidRPr="0069769C">
        <w:t>“</w:t>
      </w:r>
      <w:r w:rsidR="00183BBA" w:rsidRPr="0069769C">
        <w:t xml:space="preserve"> </w:t>
      </w:r>
      <w:r w:rsidRPr="0069769C">
        <w:t>(</w:t>
      </w:r>
      <w:proofErr w:type="spellStart"/>
      <w:r w:rsidR="00A02094" w:rsidRPr="0069769C">
        <w:t>vergleiche</w:t>
      </w:r>
      <w:proofErr w:type="spellEnd"/>
      <w:r w:rsidR="00A02094" w:rsidRPr="0069769C">
        <w:t xml:space="preserve"> </w:t>
      </w:r>
      <w:proofErr w:type="spellStart"/>
      <w:r w:rsidR="00A02094" w:rsidRPr="0069769C">
        <w:t>Dokument</w:t>
      </w:r>
      <w:proofErr w:type="spellEnd"/>
      <w:r w:rsidRPr="0069769C">
        <w:t xml:space="preserve"> TWA/46/10 </w:t>
      </w:r>
      <w:r w:rsidR="00A02094" w:rsidRPr="0069769C">
        <w:t>„</w:t>
      </w:r>
      <w:r w:rsidR="00183BBA" w:rsidRPr="0069769C">
        <w:t>Report</w:t>
      </w:r>
      <w:r w:rsidR="00A02094" w:rsidRPr="0069769C">
        <w:t xml:space="preserve">“, </w:t>
      </w:r>
      <w:proofErr w:type="spellStart"/>
      <w:r w:rsidR="00A02094" w:rsidRPr="0069769C">
        <w:t>Absätze</w:t>
      </w:r>
      <w:proofErr w:type="spellEnd"/>
      <w:r w:rsidRPr="0069769C">
        <w:t xml:space="preserve"> 36 </w:t>
      </w:r>
      <w:proofErr w:type="spellStart"/>
      <w:r w:rsidR="00A02094" w:rsidRPr="0069769C">
        <w:t>bis</w:t>
      </w:r>
      <w:proofErr w:type="spellEnd"/>
      <w:r w:rsidRPr="0069769C">
        <w:t xml:space="preserve"> 41).</w:t>
      </w:r>
    </w:p>
    <w:p w:rsidR="00DE2411" w:rsidRPr="0069769C" w:rsidRDefault="00DE2411" w:rsidP="006C741E"/>
    <w:p w:rsidR="00DE2411" w:rsidRPr="008376AF" w:rsidRDefault="006C741E" w:rsidP="006C741E">
      <w:pPr>
        <w:keepNext/>
        <w:rPr>
          <w:lang w:val="de-DE"/>
        </w:rPr>
      </w:pPr>
      <w:r w:rsidRPr="008376AF">
        <w:rPr>
          <w:snapToGrid w:val="0"/>
          <w:lang w:val="de-DE"/>
        </w:rPr>
        <w:lastRenderedPageBreak/>
        <w:fldChar w:fldCharType="begin"/>
      </w:r>
      <w:r w:rsidRPr="008376AF">
        <w:rPr>
          <w:snapToGrid w:val="0"/>
          <w:lang w:val="de-DE"/>
        </w:rPr>
        <w:instrText xml:space="preserve"> AUTONUM  </w:instrText>
      </w:r>
      <w:r w:rsidRPr="008376AF">
        <w:rPr>
          <w:snapToGrid w:val="0"/>
          <w:lang w:val="de-DE"/>
        </w:rPr>
        <w:fldChar w:fldCharType="end"/>
      </w:r>
      <w:r w:rsidRPr="008376AF">
        <w:rPr>
          <w:snapToGrid w:val="0"/>
          <w:lang w:val="de-DE"/>
        </w:rPr>
        <w:tab/>
      </w:r>
      <w:r w:rsidR="00FA56DF" w:rsidRPr="008376AF">
        <w:rPr>
          <w:snapToGrid w:val="0"/>
          <w:lang w:val="de-DE"/>
        </w:rPr>
        <w:t>Die TWA hörte die folgenden Referate</w:t>
      </w:r>
      <w:r w:rsidRPr="008376AF">
        <w:rPr>
          <w:lang w:val="de-DE"/>
        </w:rPr>
        <w:t xml:space="preserve">, </w:t>
      </w:r>
      <w:r w:rsidR="00522047" w:rsidRPr="008376AF">
        <w:rPr>
          <w:lang w:val="de-DE"/>
        </w:rPr>
        <w:t xml:space="preserve">wie </w:t>
      </w:r>
      <w:r w:rsidR="0065628C" w:rsidRPr="008376AF">
        <w:rPr>
          <w:lang w:val="de-DE"/>
        </w:rPr>
        <w:t>in den Dokumenten</w:t>
      </w:r>
      <w:r w:rsidRPr="008376AF">
        <w:rPr>
          <w:lang w:val="de-DE"/>
        </w:rPr>
        <w:t xml:space="preserve"> TWA/46/8 </w:t>
      </w:r>
      <w:r w:rsidR="00FA56DF" w:rsidRPr="008376AF">
        <w:rPr>
          <w:lang w:val="de-DE"/>
        </w:rPr>
        <w:t>u</w:t>
      </w:r>
      <w:r w:rsidRPr="008376AF">
        <w:rPr>
          <w:lang w:val="de-DE"/>
        </w:rPr>
        <w:t>nd TWA/46/8 Add.</w:t>
      </w:r>
      <w:r w:rsidR="00A209E0" w:rsidRPr="008376AF">
        <w:rPr>
          <w:lang w:val="de-DE"/>
        </w:rPr>
        <w:t xml:space="preserve"> </w:t>
      </w:r>
      <w:r w:rsidR="0065628C" w:rsidRPr="008376AF">
        <w:rPr>
          <w:lang w:val="de-DE"/>
        </w:rPr>
        <w:t>wiedergegeben</w:t>
      </w:r>
      <w:r w:rsidRPr="008376AF">
        <w:rPr>
          <w:lang w:val="de-DE"/>
        </w:rPr>
        <w:t>:</w:t>
      </w:r>
    </w:p>
    <w:p w:rsidR="006C741E" w:rsidRPr="008376AF" w:rsidRDefault="006C741E" w:rsidP="006C741E">
      <w:pPr>
        <w:keepNext/>
        <w:rPr>
          <w:lang w:val="de-DE"/>
        </w:rPr>
      </w:pPr>
    </w:p>
    <w:tbl>
      <w:tblPr>
        <w:tblW w:w="0" w:type="auto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6C741E" w:rsidRPr="00D129A2" w:rsidTr="004B7A61">
        <w:tc>
          <w:tcPr>
            <w:tcW w:w="8647" w:type="dxa"/>
            <w:vAlign w:val="center"/>
          </w:tcPr>
          <w:p w:rsidR="006C741E" w:rsidRPr="008376AF" w:rsidRDefault="00C91ECC" w:rsidP="00C91ECC">
            <w:pPr>
              <w:keepNext/>
              <w:tabs>
                <w:tab w:val="left" w:pos="1283"/>
              </w:tabs>
              <w:spacing w:before="120" w:after="120"/>
              <w:ind w:left="289" w:hanging="289"/>
              <w:jc w:val="left"/>
              <w:rPr>
                <w:lang w:val="de-DE"/>
              </w:rPr>
            </w:pPr>
            <w:r w:rsidRPr="008376AF">
              <w:rPr>
                <w:lang w:val="de-DE"/>
              </w:rPr>
              <w:t xml:space="preserve">a) </w:t>
            </w:r>
            <w:r w:rsidR="004069A2" w:rsidRPr="008376AF">
              <w:rPr>
                <w:lang w:val="de-DE"/>
              </w:rPr>
              <w:t>„</w:t>
            </w:r>
            <w:r w:rsidR="00522047" w:rsidRPr="008376AF">
              <w:rPr>
                <w:lang w:val="de-DE"/>
              </w:rPr>
              <w:t>Auswirkung</w:t>
            </w:r>
            <w:r w:rsidR="006C741E" w:rsidRPr="008376AF">
              <w:rPr>
                <w:lang w:val="de-DE"/>
              </w:rPr>
              <w:t xml:space="preserve"> </w:t>
            </w:r>
            <w:r w:rsidR="004F68AD" w:rsidRPr="008376AF">
              <w:rPr>
                <w:lang w:val="de-DE"/>
              </w:rPr>
              <w:t>der Anzahl</w:t>
            </w:r>
            <w:r w:rsidR="006C741E" w:rsidRPr="008376AF">
              <w:rPr>
                <w:lang w:val="de-DE"/>
              </w:rPr>
              <w:t xml:space="preserve"> </w:t>
            </w:r>
            <w:r w:rsidR="00C4083D" w:rsidRPr="008376AF">
              <w:rPr>
                <w:lang w:val="de-DE"/>
              </w:rPr>
              <w:t xml:space="preserve">von </w:t>
            </w:r>
            <w:r w:rsidR="00522047" w:rsidRPr="008376AF">
              <w:rPr>
                <w:lang w:val="de-DE"/>
              </w:rPr>
              <w:t>Wachstumsperioden</w:t>
            </w:r>
            <w:r w:rsidR="00A17B15" w:rsidRPr="008376AF">
              <w:rPr>
                <w:lang w:val="de-DE"/>
              </w:rPr>
              <w:t xml:space="preserve"> auf</w:t>
            </w:r>
            <w:r w:rsidR="006C741E" w:rsidRPr="008376AF">
              <w:rPr>
                <w:lang w:val="de-DE"/>
              </w:rPr>
              <w:t xml:space="preserve"> </w:t>
            </w:r>
            <w:r w:rsidR="00522047" w:rsidRPr="008376AF">
              <w:rPr>
                <w:lang w:val="de-DE"/>
              </w:rPr>
              <w:t>Sortenbeschreibungen</w:t>
            </w:r>
            <w:r w:rsidR="00A17B15" w:rsidRPr="008376AF">
              <w:rPr>
                <w:lang w:val="de-DE"/>
              </w:rPr>
              <w:t xml:space="preserve"> und</w:t>
            </w:r>
            <w:r w:rsidR="006C741E" w:rsidRPr="008376AF">
              <w:rPr>
                <w:lang w:val="de-DE"/>
              </w:rPr>
              <w:t xml:space="preserve"> </w:t>
            </w:r>
            <w:r w:rsidR="00522047" w:rsidRPr="008376AF">
              <w:rPr>
                <w:lang w:val="de-DE"/>
              </w:rPr>
              <w:t>Unterscheidungskraft</w:t>
            </w:r>
            <w:r w:rsidR="006C741E" w:rsidRPr="008376AF">
              <w:rPr>
                <w:lang w:val="de-DE"/>
              </w:rPr>
              <w:t xml:space="preserve"> </w:t>
            </w:r>
            <w:r w:rsidRPr="008376AF">
              <w:rPr>
                <w:lang w:val="de-DE"/>
              </w:rPr>
              <w:t>bei</w:t>
            </w:r>
            <w:r w:rsidR="00A17B15" w:rsidRPr="008376AF">
              <w:rPr>
                <w:lang w:val="de-DE"/>
              </w:rPr>
              <w:t xml:space="preserve"> Weizen und Gerste</w:t>
            </w:r>
            <w:r w:rsidR="003D1FE5" w:rsidRPr="008376AF">
              <w:rPr>
                <w:lang w:val="de-DE"/>
              </w:rPr>
              <w:t>“</w:t>
            </w:r>
            <w:r w:rsidR="006C741E" w:rsidRPr="008376AF">
              <w:rPr>
                <w:lang w:val="de-DE"/>
              </w:rPr>
              <w:t xml:space="preserve">, </w:t>
            </w:r>
            <w:r w:rsidR="00C91573" w:rsidRPr="008376AF">
              <w:rPr>
                <w:lang w:val="de-DE"/>
              </w:rPr>
              <w:t>erstellt von einem Sachverständigen aus Deutschland</w:t>
            </w:r>
          </w:p>
        </w:tc>
      </w:tr>
      <w:tr w:rsidR="006C741E" w:rsidRPr="00D129A2" w:rsidTr="004B7A61">
        <w:tc>
          <w:tcPr>
            <w:tcW w:w="8647" w:type="dxa"/>
            <w:vAlign w:val="center"/>
          </w:tcPr>
          <w:p w:rsidR="006C741E" w:rsidRPr="008376AF" w:rsidRDefault="00C91ECC" w:rsidP="00C91ECC">
            <w:pPr>
              <w:spacing w:before="120" w:after="120"/>
              <w:ind w:left="289" w:hanging="289"/>
              <w:jc w:val="left"/>
              <w:rPr>
                <w:lang w:val="de-DE"/>
              </w:rPr>
            </w:pPr>
            <w:r w:rsidRPr="008376AF">
              <w:rPr>
                <w:snapToGrid w:val="0"/>
                <w:lang w:val="de-DE"/>
              </w:rPr>
              <w:t xml:space="preserve">b) </w:t>
            </w:r>
            <w:r w:rsidR="004069A2" w:rsidRPr="008376AF">
              <w:rPr>
                <w:lang w:val="de-DE"/>
              </w:rPr>
              <w:t>„</w:t>
            </w:r>
            <w:r w:rsidR="00C057BB" w:rsidRPr="008376AF">
              <w:rPr>
                <w:snapToGrid w:val="0"/>
                <w:lang w:val="de-DE"/>
              </w:rPr>
              <w:t>Anz</w:t>
            </w:r>
            <w:r w:rsidR="00A75D00" w:rsidRPr="008376AF">
              <w:rPr>
                <w:snapToGrid w:val="0"/>
                <w:lang w:val="de-DE"/>
              </w:rPr>
              <w:t>ahl von Wachstumsperioden bei</w:t>
            </w:r>
            <w:r w:rsidR="00C057BB" w:rsidRPr="008376AF">
              <w:rPr>
                <w:snapToGrid w:val="0"/>
                <w:lang w:val="de-DE"/>
              </w:rPr>
              <w:t xml:space="preserve"> Kartoffel</w:t>
            </w:r>
            <w:r w:rsidR="003D1FE5" w:rsidRPr="008376AF">
              <w:rPr>
                <w:lang w:val="de-DE"/>
              </w:rPr>
              <w:t>“</w:t>
            </w:r>
            <w:r w:rsidR="00C057BB" w:rsidRPr="008376AF">
              <w:rPr>
                <w:lang w:val="de-DE"/>
              </w:rPr>
              <w:t>,</w:t>
            </w:r>
            <w:r w:rsidR="00522047" w:rsidRPr="008376AF">
              <w:rPr>
                <w:lang w:val="de-DE"/>
              </w:rPr>
              <w:t xml:space="preserve"> </w:t>
            </w:r>
            <w:r w:rsidR="00C91573" w:rsidRPr="008376AF">
              <w:rPr>
                <w:snapToGrid w:val="0"/>
                <w:lang w:val="de-DE"/>
              </w:rPr>
              <w:t>erstellt von einem Sachverständigen aus den Niederlanden</w:t>
            </w:r>
          </w:p>
        </w:tc>
      </w:tr>
      <w:tr w:rsidR="006C741E" w:rsidRPr="00D129A2" w:rsidTr="004B7A61">
        <w:tc>
          <w:tcPr>
            <w:tcW w:w="8647" w:type="dxa"/>
            <w:vAlign w:val="center"/>
          </w:tcPr>
          <w:p w:rsidR="006C741E" w:rsidRPr="008376AF" w:rsidRDefault="00C91ECC" w:rsidP="00C91ECC">
            <w:pPr>
              <w:spacing w:before="120" w:after="120"/>
              <w:ind w:left="289" w:hanging="289"/>
              <w:jc w:val="left"/>
              <w:rPr>
                <w:lang w:val="de-DE"/>
              </w:rPr>
            </w:pPr>
            <w:r w:rsidRPr="008376AF">
              <w:rPr>
                <w:lang w:val="de-DE"/>
              </w:rPr>
              <w:t xml:space="preserve">c) </w:t>
            </w:r>
            <w:r w:rsidR="004069A2" w:rsidRPr="008376AF">
              <w:rPr>
                <w:lang w:val="de-DE"/>
              </w:rPr>
              <w:t>„</w:t>
            </w:r>
            <w:r w:rsidR="00A75D00" w:rsidRPr="008376AF">
              <w:rPr>
                <w:lang w:val="de-DE"/>
              </w:rPr>
              <w:t>Anzahl von Wachstumsperioden bei</w:t>
            </w:r>
            <w:r w:rsidR="00C057BB" w:rsidRPr="008376AF">
              <w:rPr>
                <w:lang w:val="de-DE"/>
              </w:rPr>
              <w:t xml:space="preserve"> Kartoffelsorten </w:t>
            </w:r>
            <w:r w:rsidR="006C741E" w:rsidRPr="008376AF">
              <w:rPr>
                <w:lang w:val="de-DE"/>
              </w:rPr>
              <w:t xml:space="preserve">- </w:t>
            </w:r>
            <w:r w:rsidR="00C057BB" w:rsidRPr="008376AF">
              <w:rPr>
                <w:lang w:val="de-DE"/>
              </w:rPr>
              <w:t>DUS-Prüfung von Lichtkeime</w:t>
            </w:r>
            <w:r w:rsidR="00A75D00" w:rsidRPr="008376AF">
              <w:rPr>
                <w:lang w:val="de-DE"/>
              </w:rPr>
              <w:t>n</w:t>
            </w:r>
            <w:r w:rsidR="003D1FE5" w:rsidRPr="008376AF">
              <w:rPr>
                <w:lang w:val="de-DE"/>
              </w:rPr>
              <w:t>“</w:t>
            </w:r>
            <w:r w:rsidR="006C741E" w:rsidRPr="008376AF">
              <w:rPr>
                <w:lang w:val="de-DE"/>
              </w:rPr>
              <w:t>,</w:t>
            </w:r>
            <w:r w:rsidR="00C057BB" w:rsidRPr="008376AF">
              <w:rPr>
                <w:lang w:val="de-DE"/>
              </w:rPr>
              <w:t xml:space="preserve"> erstellt von einem Sachverständigen aus Polen</w:t>
            </w:r>
          </w:p>
        </w:tc>
      </w:tr>
      <w:tr w:rsidR="006C741E" w:rsidRPr="00D129A2" w:rsidTr="004B7A61">
        <w:tc>
          <w:tcPr>
            <w:tcW w:w="8647" w:type="dxa"/>
            <w:vAlign w:val="center"/>
          </w:tcPr>
          <w:p w:rsidR="006C741E" w:rsidRPr="008376AF" w:rsidRDefault="00C91ECC" w:rsidP="00C91ECC">
            <w:pPr>
              <w:spacing w:before="120" w:after="120"/>
              <w:ind w:left="289" w:hanging="289"/>
              <w:jc w:val="left"/>
              <w:rPr>
                <w:lang w:val="de-DE"/>
              </w:rPr>
            </w:pPr>
            <w:r w:rsidRPr="008376AF">
              <w:rPr>
                <w:snapToGrid w:val="0"/>
                <w:lang w:val="de-DE"/>
              </w:rPr>
              <w:t xml:space="preserve">d) </w:t>
            </w:r>
            <w:r w:rsidR="004069A2" w:rsidRPr="008376AF">
              <w:rPr>
                <w:lang w:val="de-DE"/>
              </w:rPr>
              <w:t>„</w:t>
            </w:r>
            <w:r w:rsidR="00171269" w:rsidRPr="008376AF">
              <w:rPr>
                <w:snapToGrid w:val="0"/>
                <w:lang w:val="de-DE"/>
              </w:rPr>
              <w:t>Anzahl von Wachstumsperioden</w:t>
            </w:r>
            <w:r w:rsidR="006C741E" w:rsidRPr="008376AF">
              <w:rPr>
                <w:snapToGrid w:val="0"/>
                <w:lang w:val="de-DE"/>
              </w:rPr>
              <w:t>:</w:t>
            </w:r>
            <w:r w:rsidR="00522047" w:rsidRPr="008376AF">
              <w:rPr>
                <w:snapToGrid w:val="0"/>
                <w:lang w:val="de-DE"/>
              </w:rPr>
              <w:t xml:space="preserve"> </w:t>
            </w:r>
            <w:r w:rsidR="00A17B15" w:rsidRPr="008376AF">
              <w:rPr>
                <w:snapToGrid w:val="0"/>
                <w:lang w:val="de-DE"/>
              </w:rPr>
              <w:t>die</w:t>
            </w:r>
            <w:r w:rsidR="006C741E" w:rsidRPr="008376AF">
              <w:rPr>
                <w:snapToGrid w:val="0"/>
                <w:lang w:val="de-DE"/>
              </w:rPr>
              <w:t xml:space="preserve"> </w:t>
            </w:r>
            <w:r w:rsidR="00522047" w:rsidRPr="008376AF">
              <w:rPr>
                <w:snapToGrid w:val="0"/>
                <w:lang w:val="de-DE"/>
              </w:rPr>
              <w:t>Auswirkung</w:t>
            </w:r>
            <w:r w:rsidR="00A17B15" w:rsidRPr="008376AF">
              <w:rPr>
                <w:snapToGrid w:val="0"/>
                <w:lang w:val="de-DE"/>
              </w:rPr>
              <w:t xml:space="preserve"> auf</w:t>
            </w:r>
            <w:r w:rsidR="006C741E" w:rsidRPr="008376AF">
              <w:rPr>
                <w:snapToGrid w:val="0"/>
                <w:lang w:val="de-DE"/>
              </w:rPr>
              <w:t xml:space="preserve"> </w:t>
            </w:r>
            <w:r w:rsidR="00522047" w:rsidRPr="008376AF">
              <w:rPr>
                <w:snapToGrid w:val="0"/>
                <w:lang w:val="de-DE"/>
              </w:rPr>
              <w:t>Sortenbeschreibungen von Getreide</w:t>
            </w:r>
            <w:r w:rsidR="003D1FE5" w:rsidRPr="008376AF">
              <w:rPr>
                <w:snapToGrid w:val="0"/>
                <w:lang w:val="de-DE"/>
              </w:rPr>
              <w:t>“</w:t>
            </w:r>
            <w:r w:rsidR="006C741E" w:rsidRPr="008376AF">
              <w:rPr>
                <w:snapToGrid w:val="0"/>
                <w:lang w:val="de-DE"/>
              </w:rPr>
              <w:t xml:space="preserve">, </w:t>
            </w:r>
            <w:r w:rsidR="00C057BB" w:rsidRPr="008376AF">
              <w:rPr>
                <w:lang w:val="de-DE"/>
              </w:rPr>
              <w:t>erstellt von einem Sachverständigen aus dem Vereinigten Königreich</w:t>
            </w:r>
          </w:p>
        </w:tc>
      </w:tr>
    </w:tbl>
    <w:p w:rsidR="00DE2411" w:rsidRPr="008376AF" w:rsidRDefault="00DE2411" w:rsidP="006C741E">
      <w:pPr>
        <w:rPr>
          <w:lang w:val="de-DE"/>
        </w:rPr>
      </w:pPr>
    </w:p>
    <w:p w:rsidR="00DE2411" w:rsidRPr="008376AF" w:rsidRDefault="006C741E" w:rsidP="006C741E">
      <w:pPr>
        <w:rPr>
          <w:snapToGrid w:val="0"/>
          <w:lang w:val="de-DE"/>
        </w:rPr>
      </w:pPr>
      <w:r w:rsidRPr="008376AF">
        <w:rPr>
          <w:snapToGrid w:val="0"/>
          <w:lang w:val="de-DE"/>
        </w:rPr>
        <w:fldChar w:fldCharType="begin"/>
      </w:r>
      <w:r w:rsidRPr="008376AF">
        <w:rPr>
          <w:snapToGrid w:val="0"/>
          <w:lang w:val="de-DE"/>
        </w:rPr>
        <w:instrText xml:space="preserve"> AUTONUM  </w:instrText>
      </w:r>
      <w:r w:rsidRPr="008376AF">
        <w:rPr>
          <w:snapToGrid w:val="0"/>
          <w:lang w:val="de-DE"/>
        </w:rPr>
        <w:fldChar w:fldCharType="end"/>
      </w:r>
      <w:r w:rsidRPr="008376AF">
        <w:rPr>
          <w:snapToGrid w:val="0"/>
          <w:lang w:val="de-DE"/>
        </w:rPr>
        <w:tab/>
      </w:r>
      <w:r w:rsidR="00452C10" w:rsidRPr="008376AF">
        <w:rPr>
          <w:snapToGrid w:val="0"/>
          <w:lang w:val="de-DE"/>
        </w:rPr>
        <w:t>Die</w:t>
      </w:r>
      <w:r w:rsidRPr="008376AF">
        <w:rPr>
          <w:snapToGrid w:val="0"/>
          <w:lang w:val="de-DE"/>
        </w:rPr>
        <w:t xml:space="preserve"> TWA </w:t>
      </w:r>
      <w:r w:rsidR="00522047" w:rsidRPr="008376AF">
        <w:rPr>
          <w:snapToGrid w:val="0"/>
          <w:lang w:val="de-DE"/>
        </w:rPr>
        <w:t>vereinbarte</w:t>
      </w:r>
      <w:r w:rsidR="00452C10" w:rsidRPr="008376AF">
        <w:rPr>
          <w:snapToGrid w:val="0"/>
          <w:lang w:val="de-DE"/>
        </w:rPr>
        <w:t xml:space="preserve">, </w:t>
      </w:r>
      <w:r w:rsidR="004D5CBE" w:rsidRPr="008376AF">
        <w:rPr>
          <w:snapToGrid w:val="0"/>
          <w:lang w:val="de-DE"/>
        </w:rPr>
        <w:t>daß</w:t>
      </w:r>
      <w:r w:rsidRPr="008376AF">
        <w:rPr>
          <w:snapToGrid w:val="0"/>
          <w:lang w:val="de-DE"/>
        </w:rPr>
        <w:t xml:space="preserve"> </w:t>
      </w:r>
      <w:r w:rsidR="00522047" w:rsidRPr="008376AF">
        <w:rPr>
          <w:snapToGrid w:val="0"/>
          <w:lang w:val="de-DE"/>
        </w:rPr>
        <w:t>Erörterungen</w:t>
      </w:r>
      <w:r w:rsidRPr="008376AF">
        <w:rPr>
          <w:snapToGrid w:val="0"/>
          <w:lang w:val="de-DE"/>
        </w:rPr>
        <w:t xml:space="preserve"> </w:t>
      </w:r>
      <w:r w:rsidR="00452C10" w:rsidRPr="008376AF">
        <w:rPr>
          <w:snapToGrid w:val="0"/>
          <w:lang w:val="de-DE"/>
        </w:rPr>
        <w:t>über die Anzahl der</w:t>
      </w:r>
      <w:r w:rsidRPr="008376AF">
        <w:rPr>
          <w:snapToGrid w:val="0"/>
          <w:lang w:val="de-DE"/>
        </w:rPr>
        <w:t xml:space="preserve"> </w:t>
      </w:r>
      <w:r w:rsidR="00522047" w:rsidRPr="008376AF">
        <w:rPr>
          <w:snapToGrid w:val="0"/>
          <w:lang w:val="de-DE"/>
        </w:rPr>
        <w:t>Wachstumsperioden</w:t>
      </w:r>
      <w:r w:rsidRPr="008376AF">
        <w:rPr>
          <w:snapToGrid w:val="0"/>
          <w:lang w:val="de-DE"/>
        </w:rPr>
        <w:t xml:space="preserve"> in </w:t>
      </w:r>
      <w:r w:rsidR="00452C10" w:rsidRPr="008376AF">
        <w:rPr>
          <w:snapToGrid w:val="0"/>
          <w:lang w:val="de-DE"/>
        </w:rPr>
        <w:t xml:space="preserve">der </w:t>
      </w:r>
      <w:r w:rsidR="00522047" w:rsidRPr="008376AF">
        <w:rPr>
          <w:snapToGrid w:val="0"/>
          <w:lang w:val="de-DE"/>
        </w:rPr>
        <w:t>DUS-Prüfung</w:t>
      </w:r>
      <w:r w:rsidR="00452C10" w:rsidRPr="008376AF">
        <w:rPr>
          <w:snapToGrid w:val="0"/>
          <w:lang w:val="de-DE"/>
        </w:rPr>
        <w:t xml:space="preserve"> für</w:t>
      </w:r>
      <w:r w:rsidRPr="008376AF">
        <w:rPr>
          <w:snapToGrid w:val="0"/>
          <w:lang w:val="de-DE"/>
        </w:rPr>
        <w:t xml:space="preserve"> </w:t>
      </w:r>
      <w:r w:rsidR="00522047" w:rsidRPr="008376AF">
        <w:rPr>
          <w:snapToGrid w:val="0"/>
          <w:lang w:val="de-DE"/>
        </w:rPr>
        <w:t>landwirtschaftliche Arten</w:t>
      </w:r>
      <w:r w:rsidRPr="008376AF">
        <w:rPr>
          <w:snapToGrid w:val="0"/>
          <w:lang w:val="de-DE"/>
        </w:rPr>
        <w:t xml:space="preserve"> </w:t>
      </w:r>
      <w:r w:rsidR="00452C10" w:rsidRPr="008376AF">
        <w:rPr>
          <w:snapToGrid w:val="0"/>
          <w:lang w:val="de-DE"/>
        </w:rPr>
        <w:t>fortgesetzt werden sollten</w:t>
      </w:r>
      <w:r w:rsidR="00C91ECC" w:rsidRPr="008376AF">
        <w:rPr>
          <w:snapToGrid w:val="0"/>
          <w:lang w:val="de-DE"/>
        </w:rPr>
        <w:t>,</w:t>
      </w:r>
      <w:r w:rsidRPr="008376AF">
        <w:rPr>
          <w:snapToGrid w:val="0"/>
          <w:lang w:val="de-DE"/>
        </w:rPr>
        <w:t xml:space="preserve"> </w:t>
      </w:r>
      <w:r w:rsidR="00452C10" w:rsidRPr="008376AF">
        <w:rPr>
          <w:snapToGrid w:val="0"/>
          <w:lang w:val="de-DE"/>
        </w:rPr>
        <w:t>und begrüßte die Angebote von Australien</w:t>
      </w:r>
      <w:r w:rsidR="00FA40B6" w:rsidRPr="008376AF">
        <w:rPr>
          <w:snapToGrid w:val="0"/>
          <w:lang w:val="de-DE"/>
        </w:rPr>
        <w:t>, Dä</w:t>
      </w:r>
      <w:r w:rsidRPr="008376AF">
        <w:rPr>
          <w:snapToGrid w:val="0"/>
          <w:lang w:val="de-DE"/>
        </w:rPr>
        <w:t>n</w:t>
      </w:r>
      <w:r w:rsidR="00452C10" w:rsidRPr="008376AF">
        <w:rPr>
          <w:snapToGrid w:val="0"/>
          <w:lang w:val="de-DE"/>
        </w:rPr>
        <w:t>e</w:t>
      </w:r>
      <w:r w:rsidR="00FA40B6" w:rsidRPr="008376AF">
        <w:rPr>
          <w:snapToGrid w:val="0"/>
          <w:lang w:val="de-DE"/>
        </w:rPr>
        <w:t>mark, Frankreich</w:t>
      </w:r>
      <w:r w:rsidRPr="008376AF">
        <w:rPr>
          <w:snapToGrid w:val="0"/>
          <w:lang w:val="de-DE"/>
        </w:rPr>
        <w:t xml:space="preserve">, </w:t>
      </w:r>
      <w:r w:rsidR="00C91ECC" w:rsidRPr="008376AF">
        <w:rPr>
          <w:snapToGrid w:val="0"/>
          <w:lang w:val="de-DE"/>
        </w:rPr>
        <w:t>Deutschland, dem</w:t>
      </w:r>
      <w:r w:rsidR="00FA40B6" w:rsidRPr="008376AF">
        <w:rPr>
          <w:snapToGrid w:val="0"/>
          <w:lang w:val="de-DE"/>
        </w:rPr>
        <w:t xml:space="preserve"> Vereinigte</w:t>
      </w:r>
      <w:r w:rsidR="00C91ECC" w:rsidRPr="008376AF">
        <w:rPr>
          <w:snapToGrid w:val="0"/>
          <w:lang w:val="de-DE"/>
        </w:rPr>
        <w:t>n Königreich und dem</w:t>
      </w:r>
      <w:r w:rsidRPr="008376AF">
        <w:rPr>
          <w:snapToGrid w:val="0"/>
          <w:lang w:val="de-DE"/>
        </w:rPr>
        <w:t xml:space="preserve"> ISF</w:t>
      </w:r>
      <w:r w:rsidR="00C91ECC" w:rsidRPr="008376AF">
        <w:rPr>
          <w:snapToGrid w:val="0"/>
          <w:lang w:val="de-DE"/>
        </w:rPr>
        <w:t>,</w:t>
      </w:r>
      <w:r w:rsidRPr="008376AF">
        <w:rPr>
          <w:snapToGrid w:val="0"/>
          <w:lang w:val="de-DE"/>
        </w:rPr>
        <w:t xml:space="preserve"> </w:t>
      </w:r>
      <w:r w:rsidR="00522047" w:rsidRPr="008376AF">
        <w:rPr>
          <w:snapToGrid w:val="0"/>
          <w:lang w:val="de-DE"/>
        </w:rPr>
        <w:t>Referate</w:t>
      </w:r>
      <w:r w:rsidRPr="008376AF">
        <w:rPr>
          <w:snapToGrid w:val="0"/>
          <w:lang w:val="de-DE"/>
        </w:rPr>
        <w:t xml:space="preserve"> </w:t>
      </w:r>
      <w:r w:rsidR="00C4083D" w:rsidRPr="008376AF">
        <w:rPr>
          <w:snapToGrid w:val="0"/>
          <w:lang w:val="de-DE"/>
        </w:rPr>
        <w:t>auf</w:t>
      </w:r>
      <w:r w:rsidR="00FA40B6" w:rsidRPr="008376AF">
        <w:rPr>
          <w:snapToGrid w:val="0"/>
          <w:lang w:val="de-DE"/>
        </w:rPr>
        <w:t xml:space="preserve"> ihrer </w:t>
      </w:r>
      <w:r w:rsidR="00C91ECC" w:rsidRPr="008376AF">
        <w:rPr>
          <w:snapToGrid w:val="0"/>
          <w:lang w:val="de-DE"/>
        </w:rPr>
        <w:t xml:space="preserve">siebenundvierzigsten </w:t>
      </w:r>
      <w:r w:rsidR="00773FB0" w:rsidRPr="008376AF">
        <w:rPr>
          <w:snapToGrid w:val="0"/>
          <w:lang w:val="de-DE"/>
        </w:rPr>
        <w:t>Tagung zu halten.</w:t>
      </w:r>
    </w:p>
    <w:p w:rsidR="00DE2411" w:rsidRPr="008376AF" w:rsidRDefault="00DE2411" w:rsidP="00E671E3">
      <w:pPr>
        <w:rPr>
          <w:lang w:val="de-DE"/>
        </w:rPr>
      </w:pPr>
    </w:p>
    <w:p w:rsidR="00DE2411" w:rsidRPr="008376AF" w:rsidRDefault="00DE2411" w:rsidP="00DE2411">
      <w:pPr>
        <w:pStyle w:val="Heading2"/>
        <w:rPr>
          <w:lang w:val="de-DE"/>
        </w:rPr>
      </w:pPr>
      <w:bookmarkStart w:id="7" w:name="_Toc527462858"/>
      <w:r w:rsidRPr="008376AF">
        <w:rPr>
          <w:lang w:val="de-DE"/>
        </w:rPr>
        <w:t>Technische Arbeitsgruppe für Obstarten</w:t>
      </w:r>
      <w:bookmarkEnd w:id="7"/>
    </w:p>
    <w:p w:rsidR="00DE2411" w:rsidRPr="008376AF" w:rsidRDefault="00DE2411" w:rsidP="00E671E3">
      <w:pPr>
        <w:rPr>
          <w:lang w:val="de-DE"/>
        </w:rPr>
      </w:pPr>
    </w:p>
    <w:p w:rsidR="00DE2411" w:rsidRPr="008376AF" w:rsidRDefault="00E02A18" w:rsidP="00E02A18">
      <w:pPr>
        <w:rPr>
          <w:lang w:val="de-DE"/>
        </w:rPr>
      </w:pPr>
      <w:r w:rsidRPr="008376AF">
        <w:rPr>
          <w:snapToGrid w:val="0"/>
          <w:lang w:val="de-DE"/>
        </w:rPr>
        <w:fldChar w:fldCharType="begin"/>
      </w:r>
      <w:r w:rsidRPr="008376AF">
        <w:rPr>
          <w:snapToGrid w:val="0"/>
          <w:lang w:val="de-DE"/>
        </w:rPr>
        <w:instrText xml:space="preserve"> AUTONUM  </w:instrText>
      </w:r>
      <w:r w:rsidRPr="008376AF">
        <w:rPr>
          <w:snapToGrid w:val="0"/>
          <w:lang w:val="de-DE"/>
        </w:rPr>
        <w:fldChar w:fldCharType="end"/>
      </w:r>
      <w:r w:rsidRPr="008376AF">
        <w:rPr>
          <w:snapToGrid w:val="0"/>
          <w:lang w:val="de-DE"/>
        </w:rPr>
        <w:tab/>
      </w:r>
      <w:r w:rsidR="00FA56DF" w:rsidRPr="008376AF">
        <w:rPr>
          <w:snapToGrid w:val="0"/>
          <w:lang w:val="de-DE"/>
        </w:rPr>
        <w:t xml:space="preserve">Die TWF prüfte Dokument </w:t>
      </w:r>
      <w:hyperlink r:id="rId10" w:history="1">
        <w:r w:rsidRPr="008376AF">
          <w:rPr>
            <w:rStyle w:val="Hyperlink"/>
            <w:lang w:val="de-DE"/>
          </w:rPr>
          <w:t>TWP/1/21</w:t>
        </w:r>
      </w:hyperlink>
      <w:r w:rsidRPr="008376AF">
        <w:rPr>
          <w:lang w:val="de-DE"/>
        </w:rPr>
        <w:t xml:space="preserve"> </w:t>
      </w:r>
      <w:r w:rsidR="000354F4" w:rsidRPr="008376AF">
        <w:rPr>
          <w:lang w:val="de-DE"/>
        </w:rPr>
        <w:t>„</w:t>
      </w:r>
      <w:r w:rsidR="00507773" w:rsidRPr="008376AF">
        <w:rPr>
          <w:lang w:val="de-DE"/>
        </w:rPr>
        <w:t>Number of growing cycles</w:t>
      </w:r>
      <w:r w:rsidR="000354F4" w:rsidRPr="008376AF">
        <w:rPr>
          <w:lang w:val="de-DE"/>
        </w:rPr>
        <w:t xml:space="preserve">“ </w:t>
      </w:r>
      <w:r w:rsidR="000C17B3" w:rsidRPr="008376AF">
        <w:rPr>
          <w:lang w:val="de-DE"/>
        </w:rPr>
        <w:t>(</w:t>
      </w:r>
      <w:r w:rsidR="00A02094" w:rsidRPr="008376AF">
        <w:rPr>
          <w:lang w:val="de-DE"/>
        </w:rPr>
        <w:t>vergleiche Dokument</w:t>
      </w:r>
      <w:r w:rsidR="000C17B3" w:rsidRPr="008376AF">
        <w:rPr>
          <w:lang w:val="de-DE"/>
        </w:rPr>
        <w:t xml:space="preserve"> TWF/48/13 </w:t>
      </w:r>
      <w:r w:rsidR="00A02094" w:rsidRPr="008376AF">
        <w:rPr>
          <w:lang w:val="de-DE"/>
        </w:rPr>
        <w:t>„</w:t>
      </w:r>
      <w:r w:rsidR="00C91ECC" w:rsidRPr="008376AF">
        <w:rPr>
          <w:lang w:val="de-DE"/>
        </w:rPr>
        <w:t>Report</w:t>
      </w:r>
      <w:r w:rsidR="00A02094" w:rsidRPr="008376AF">
        <w:rPr>
          <w:lang w:val="de-DE"/>
        </w:rPr>
        <w:t>“, Absätze</w:t>
      </w:r>
      <w:r w:rsidR="000C17B3" w:rsidRPr="008376AF">
        <w:rPr>
          <w:lang w:val="de-DE"/>
        </w:rPr>
        <w:t xml:space="preserve"> 81 </w:t>
      </w:r>
      <w:r w:rsidR="00A02094" w:rsidRPr="008376AF">
        <w:rPr>
          <w:lang w:val="de-DE"/>
        </w:rPr>
        <w:t>bis</w:t>
      </w:r>
      <w:r w:rsidR="000C17B3" w:rsidRPr="008376AF">
        <w:rPr>
          <w:lang w:val="de-DE"/>
        </w:rPr>
        <w:t xml:space="preserve"> 84)</w:t>
      </w:r>
    </w:p>
    <w:p w:rsidR="00DE2411" w:rsidRPr="008376AF" w:rsidRDefault="00DE2411" w:rsidP="00E02A18">
      <w:pPr>
        <w:rPr>
          <w:lang w:val="de-DE"/>
        </w:rPr>
      </w:pPr>
    </w:p>
    <w:p w:rsidR="00DE2411" w:rsidRPr="008376AF" w:rsidRDefault="00E02A18" w:rsidP="00E02A18">
      <w:pPr>
        <w:rPr>
          <w:lang w:val="de-DE"/>
        </w:rPr>
      </w:pPr>
      <w:r w:rsidRPr="008376AF">
        <w:rPr>
          <w:lang w:val="de-DE"/>
        </w:rPr>
        <w:fldChar w:fldCharType="begin"/>
      </w:r>
      <w:r w:rsidRPr="008376AF">
        <w:rPr>
          <w:lang w:val="de-DE"/>
        </w:rPr>
        <w:instrText xml:space="preserve"> AUTONUM  </w:instrText>
      </w:r>
      <w:r w:rsidRPr="008376AF">
        <w:rPr>
          <w:lang w:val="de-DE"/>
        </w:rPr>
        <w:fldChar w:fldCharType="end"/>
      </w:r>
      <w:r w:rsidRPr="008376AF">
        <w:rPr>
          <w:lang w:val="de-DE"/>
        </w:rPr>
        <w:tab/>
      </w:r>
      <w:r w:rsidR="004D5CBE" w:rsidRPr="008376AF">
        <w:rPr>
          <w:lang w:val="de-DE"/>
        </w:rPr>
        <w:t>Die</w:t>
      </w:r>
      <w:r w:rsidRPr="008376AF">
        <w:rPr>
          <w:lang w:val="de-DE"/>
        </w:rPr>
        <w:t xml:space="preserve"> TWF </w:t>
      </w:r>
      <w:r w:rsidR="00522047" w:rsidRPr="008376AF">
        <w:rPr>
          <w:lang w:val="de-DE"/>
        </w:rPr>
        <w:t>nahm zur Kenntnis, daß</w:t>
      </w:r>
      <w:r w:rsidR="004D5CBE" w:rsidRPr="008376AF">
        <w:rPr>
          <w:lang w:val="de-DE"/>
        </w:rPr>
        <w:t xml:space="preserve"> der TC</w:t>
      </w:r>
      <w:r w:rsidRPr="008376AF">
        <w:rPr>
          <w:lang w:val="de-DE"/>
        </w:rPr>
        <w:t xml:space="preserve"> </w:t>
      </w:r>
      <w:r w:rsidR="00522047" w:rsidRPr="008376AF">
        <w:rPr>
          <w:lang w:val="de-DE"/>
        </w:rPr>
        <w:t>vereinbart</w:t>
      </w:r>
      <w:r w:rsidRPr="008376AF">
        <w:rPr>
          <w:lang w:val="de-DE"/>
        </w:rPr>
        <w:t xml:space="preserve"> </w:t>
      </w:r>
      <w:r w:rsidR="004D5CBE" w:rsidRPr="008376AF">
        <w:rPr>
          <w:lang w:val="de-DE"/>
        </w:rPr>
        <w:t>hatte</w:t>
      </w:r>
      <w:r w:rsidR="00824B45" w:rsidRPr="008376AF">
        <w:rPr>
          <w:lang w:val="de-DE"/>
        </w:rPr>
        <w:t>, daß</w:t>
      </w:r>
      <w:r w:rsidRPr="008376AF">
        <w:rPr>
          <w:lang w:val="de-DE"/>
        </w:rPr>
        <w:t xml:space="preserve"> </w:t>
      </w:r>
      <w:r w:rsidR="004D5CBE" w:rsidRPr="008376AF">
        <w:rPr>
          <w:lang w:val="de-DE"/>
        </w:rPr>
        <w:t xml:space="preserve">es nicht </w:t>
      </w:r>
      <w:r w:rsidR="00C91ECC" w:rsidRPr="008376AF">
        <w:rPr>
          <w:lang w:val="de-DE"/>
        </w:rPr>
        <w:t>zweckmäßig sei,</w:t>
      </w:r>
      <w:r w:rsidR="004D5CBE" w:rsidRPr="008376AF">
        <w:rPr>
          <w:lang w:val="de-DE"/>
        </w:rPr>
        <w:t xml:space="preserve"> zu verallgemeinern, daß</w:t>
      </w:r>
      <w:r w:rsidRPr="008376AF">
        <w:rPr>
          <w:lang w:val="de-DE"/>
        </w:rPr>
        <w:t xml:space="preserve"> </w:t>
      </w:r>
      <w:r w:rsidR="00522047" w:rsidRPr="008376AF">
        <w:rPr>
          <w:lang w:val="de-DE"/>
        </w:rPr>
        <w:t>Ziersorten</w:t>
      </w:r>
      <w:r w:rsidR="004D5CBE" w:rsidRPr="008376AF">
        <w:rPr>
          <w:lang w:val="de-DE"/>
        </w:rPr>
        <w:t xml:space="preserve"> </w:t>
      </w:r>
      <w:r w:rsidRPr="008376AF">
        <w:rPr>
          <w:lang w:val="de-DE"/>
        </w:rPr>
        <w:t>in</w:t>
      </w:r>
      <w:r w:rsidR="00C91ECC" w:rsidRPr="008376AF">
        <w:rPr>
          <w:lang w:val="de-DE"/>
        </w:rPr>
        <w:t xml:space="preserve"> einer einzelnen</w:t>
      </w:r>
      <w:r w:rsidRPr="008376AF">
        <w:rPr>
          <w:lang w:val="de-DE"/>
        </w:rPr>
        <w:t xml:space="preserve"> </w:t>
      </w:r>
      <w:r w:rsidR="00522047" w:rsidRPr="008376AF">
        <w:rPr>
          <w:lang w:val="de-DE"/>
        </w:rPr>
        <w:t>Anbauprüfung</w:t>
      </w:r>
      <w:r w:rsidR="004D5CBE" w:rsidRPr="008376AF">
        <w:rPr>
          <w:lang w:val="de-DE"/>
        </w:rPr>
        <w:t xml:space="preserve"> geprüft werden sollten,</w:t>
      </w:r>
      <w:r w:rsidRPr="008376AF">
        <w:rPr>
          <w:lang w:val="de-DE"/>
        </w:rPr>
        <w:t xml:space="preserve"> </w:t>
      </w:r>
      <w:r w:rsidR="004D5CBE" w:rsidRPr="008376AF">
        <w:rPr>
          <w:lang w:val="de-DE"/>
        </w:rPr>
        <w:t>während andere</w:t>
      </w:r>
      <w:r w:rsidRPr="008376AF">
        <w:rPr>
          <w:lang w:val="de-DE"/>
        </w:rPr>
        <w:t xml:space="preserve"> </w:t>
      </w:r>
      <w:r w:rsidR="00C91ECC" w:rsidRPr="008376AF">
        <w:rPr>
          <w:lang w:val="de-DE"/>
        </w:rPr>
        <w:t>Pflanzenarten</w:t>
      </w:r>
      <w:r w:rsidRPr="008376AF">
        <w:rPr>
          <w:lang w:val="de-DE"/>
        </w:rPr>
        <w:t xml:space="preserve"> </w:t>
      </w:r>
      <w:r w:rsidR="007B7D28" w:rsidRPr="008376AF">
        <w:rPr>
          <w:lang w:val="de-DE"/>
        </w:rPr>
        <w:t xml:space="preserve">in zwei </w:t>
      </w:r>
      <w:r w:rsidR="00522047" w:rsidRPr="008376AF">
        <w:rPr>
          <w:lang w:val="de-DE"/>
        </w:rPr>
        <w:t>Wachstumsperioden</w:t>
      </w:r>
      <w:r w:rsidR="007B7D28" w:rsidRPr="008376AF">
        <w:rPr>
          <w:lang w:val="de-DE"/>
        </w:rPr>
        <w:t xml:space="preserve"> geprüft werden sollten</w:t>
      </w:r>
      <w:r w:rsidRPr="008376AF">
        <w:rPr>
          <w:lang w:val="de-DE"/>
        </w:rPr>
        <w:t>.</w:t>
      </w:r>
      <w:r w:rsidR="00522047" w:rsidRPr="008376AF">
        <w:rPr>
          <w:lang w:val="de-DE"/>
        </w:rPr>
        <w:t xml:space="preserve"> </w:t>
      </w:r>
      <w:r w:rsidR="003D1FE5" w:rsidRPr="008376AF">
        <w:rPr>
          <w:lang w:val="de-DE"/>
        </w:rPr>
        <w:t>Darüber hinaus</w:t>
      </w:r>
      <w:r w:rsidR="000B653A" w:rsidRPr="008376AF">
        <w:rPr>
          <w:lang w:val="de-DE"/>
        </w:rPr>
        <w:t xml:space="preserve"> nahm sie</w:t>
      </w:r>
      <w:r w:rsidRPr="008376AF">
        <w:rPr>
          <w:lang w:val="de-DE"/>
        </w:rPr>
        <w:t xml:space="preserve"> </w:t>
      </w:r>
      <w:r w:rsidR="000B653A" w:rsidRPr="008376AF">
        <w:rPr>
          <w:lang w:val="de-DE"/>
        </w:rPr>
        <w:t xml:space="preserve">zur Kenntnis, daß der TC </w:t>
      </w:r>
      <w:r w:rsidR="00522047" w:rsidRPr="008376AF">
        <w:rPr>
          <w:lang w:val="de-DE"/>
        </w:rPr>
        <w:t>vereinbart</w:t>
      </w:r>
      <w:r w:rsidR="000B653A" w:rsidRPr="008376AF">
        <w:rPr>
          <w:lang w:val="de-DE"/>
        </w:rPr>
        <w:t xml:space="preserve"> hatte, daß die </w:t>
      </w:r>
      <w:r w:rsidR="00C91ECC" w:rsidRPr="008376AF">
        <w:rPr>
          <w:lang w:val="de-DE"/>
        </w:rPr>
        <w:t>übliche</w:t>
      </w:r>
      <w:r w:rsidR="000B653A" w:rsidRPr="008376AF">
        <w:rPr>
          <w:lang w:val="de-DE"/>
        </w:rPr>
        <w:t xml:space="preserve"> Anzahl von</w:t>
      </w:r>
      <w:r w:rsidRPr="008376AF">
        <w:rPr>
          <w:lang w:val="de-DE"/>
        </w:rPr>
        <w:t xml:space="preserve"> </w:t>
      </w:r>
      <w:r w:rsidR="00522047" w:rsidRPr="008376AF">
        <w:rPr>
          <w:lang w:val="de-DE"/>
        </w:rPr>
        <w:t>Wachstumsperioden</w:t>
      </w:r>
      <w:r w:rsidRPr="008376AF">
        <w:rPr>
          <w:lang w:val="de-DE"/>
        </w:rPr>
        <w:t xml:space="preserve"> </w:t>
      </w:r>
      <w:r w:rsidR="00522047" w:rsidRPr="008376AF">
        <w:rPr>
          <w:lang w:val="de-DE"/>
        </w:rPr>
        <w:t>ja nach Pflanze</w:t>
      </w:r>
      <w:r w:rsidR="000B653A" w:rsidRPr="008376AF">
        <w:rPr>
          <w:lang w:val="de-DE"/>
        </w:rPr>
        <w:t xml:space="preserve"> festgelegt </w:t>
      </w:r>
      <w:r w:rsidR="00FD2A49" w:rsidRPr="008376AF">
        <w:rPr>
          <w:lang w:val="de-DE"/>
        </w:rPr>
        <w:t>we</w:t>
      </w:r>
      <w:r w:rsidR="000B653A" w:rsidRPr="008376AF">
        <w:rPr>
          <w:lang w:val="de-DE"/>
        </w:rPr>
        <w:t>rden sollte</w:t>
      </w:r>
      <w:r w:rsidRPr="008376AF">
        <w:rPr>
          <w:lang w:val="de-DE"/>
        </w:rPr>
        <w:t>.</w:t>
      </w:r>
      <w:r w:rsidR="00824B45" w:rsidRPr="008376AF">
        <w:rPr>
          <w:lang w:val="de-DE"/>
        </w:rPr>
        <w:t xml:space="preserve"> Dennoch vereinbarte die TWF</w:t>
      </w:r>
      <w:r w:rsidR="00C91ECC" w:rsidRPr="008376AF">
        <w:rPr>
          <w:lang w:val="de-DE"/>
        </w:rPr>
        <w:t>,</w:t>
      </w:r>
      <w:r w:rsidRPr="008376AF">
        <w:rPr>
          <w:lang w:val="de-DE"/>
        </w:rPr>
        <w:t xml:space="preserve"> </w:t>
      </w:r>
      <w:r w:rsidR="00824B45" w:rsidRPr="008376AF">
        <w:rPr>
          <w:lang w:val="de-DE"/>
        </w:rPr>
        <w:t>dem</w:t>
      </w:r>
      <w:r w:rsidRPr="008376AF">
        <w:rPr>
          <w:lang w:val="de-DE"/>
        </w:rPr>
        <w:t xml:space="preserve"> TC </w:t>
      </w:r>
      <w:r w:rsidR="00C91ECC" w:rsidRPr="008376AF">
        <w:rPr>
          <w:lang w:val="de-DE"/>
        </w:rPr>
        <w:t xml:space="preserve">gegenüber </w:t>
      </w:r>
      <w:r w:rsidR="00824B45" w:rsidRPr="008376AF">
        <w:rPr>
          <w:lang w:val="de-DE"/>
        </w:rPr>
        <w:t>klarzustellen</w:t>
      </w:r>
      <w:r w:rsidRPr="008376AF">
        <w:rPr>
          <w:lang w:val="de-DE"/>
        </w:rPr>
        <w:t>,</w:t>
      </w:r>
      <w:r w:rsidR="00824B45" w:rsidRPr="008376AF">
        <w:rPr>
          <w:lang w:val="de-DE"/>
        </w:rPr>
        <w:t xml:space="preserve"> daß</w:t>
      </w:r>
      <w:r w:rsidRPr="008376AF">
        <w:rPr>
          <w:lang w:val="de-DE"/>
        </w:rPr>
        <w:t xml:space="preserve"> in </w:t>
      </w:r>
      <w:r w:rsidR="00824B45" w:rsidRPr="008376AF">
        <w:rPr>
          <w:lang w:val="de-DE"/>
        </w:rPr>
        <w:t>einigen Fällen im</w:t>
      </w:r>
      <w:r w:rsidRPr="008376AF">
        <w:rPr>
          <w:lang w:val="de-DE"/>
        </w:rPr>
        <w:t xml:space="preserve"> </w:t>
      </w:r>
      <w:r w:rsidR="00C91ECC" w:rsidRPr="008376AF">
        <w:rPr>
          <w:lang w:val="de-DE"/>
        </w:rPr>
        <w:t>Obstsektor</w:t>
      </w:r>
      <w:r w:rsidRPr="008376AF">
        <w:rPr>
          <w:lang w:val="de-DE"/>
        </w:rPr>
        <w:t xml:space="preserve"> </w:t>
      </w:r>
      <w:r w:rsidR="00824B45" w:rsidRPr="008376AF">
        <w:rPr>
          <w:lang w:val="de-DE"/>
        </w:rPr>
        <w:t>die normale Anzahl der</w:t>
      </w:r>
      <w:r w:rsidRPr="008376AF">
        <w:rPr>
          <w:lang w:val="de-DE"/>
        </w:rPr>
        <w:t xml:space="preserve"> </w:t>
      </w:r>
      <w:r w:rsidR="00522047" w:rsidRPr="008376AF">
        <w:rPr>
          <w:lang w:val="de-DE"/>
        </w:rPr>
        <w:t>Wachstumsperioden</w:t>
      </w:r>
      <w:r w:rsidRPr="008376AF">
        <w:rPr>
          <w:lang w:val="de-DE"/>
        </w:rPr>
        <w:t xml:space="preserve"> </w:t>
      </w:r>
      <w:r w:rsidR="00522047" w:rsidRPr="008376AF">
        <w:rPr>
          <w:lang w:val="de-DE"/>
        </w:rPr>
        <w:t>je nach Sortentyp</w:t>
      </w:r>
      <w:r w:rsidR="00824B45" w:rsidRPr="008376AF">
        <w:rPr>
          <w:lang w:val="de-DE"/>
        </w:rPr>
        <w:t xml:space="preserve"> </w:t>
      </w:r>
      <w:r w:rsidR="00DE5296" w:rsidRPr="008376AF">
        <w:rPr>
          <w:lang w:val="de-DE"/>
        </w:rPr>
        <w:t xml:space="preserve">festgelegt </w:t>
      </w:r>
      <w:r w:rsidR="00FD2A49" w:rsidRPr="008376AF">
        <w:rPr>
          <w:lang w:val="de-DE"/>
        </w:rPr>
        <w:t>we</w:t>
      </w:r>
      <w:r w:rsidR="004069A2" w:rsidRPr="008376AF">
        <w:rPr>
          <w:lang w:val="de-DE"/>
        </w:rPr>
        <w:t>rden mü</w:t>
      </w:r>
      <w:r w:rsidR="00DE5296" w:rsidRPr="008376AF">
        <w:rPr>
          <w:lang w:val="de-DE"/>
        </w:rPr>
        <w:t>ss</w:t>
      </w:r>
      <w:r w:rsidR="004069A2" w:rsidRPr="008376AF">
        <w:rPr>
          <w:lang w:val="de-DE"/>
        </w:rPr>
        <w:t>e</w:t>
      </w:r>
      <w:r w:rsidRPr="008376AF">
        <w:rPr>
          <w:lang w:val="de-DE"/>
        </w:rPr>
        <w:t xml:space="preserve"> (</w:t>
      </w:r>
      <w:r w:rsidR="00DE5296" w:rsidRPr="008376AF">
        <w:rPr>
          <w:lang w:val="de-DE"/>
        </w:rPr>
        <w:t>zum Beispiel</w:t>
      </w:r>
      <w:r w:rsidRPr="008376AF">
        <w:rPr>
          <w:lang w:val="de-DE"/>
        </w:rPr>
        <w:t xml:space="preserve"> </w:t>
      </w:r>
      <w:r w:rsidR="00522047" w:rsidRPr="008376AF">
        <w:rPr>
          <w:lang w:val="de-DE"/>
        </w:rPr>
        <w:t>Unterlag</w:t>
      </w:r>
      <w:r w:rsidR="00C4083D" w:rsidRPr="008376AF">
        <w:rPr>
          <w:lang w:val="de-DE"/>
        </w:rPr>
        <w:t>en</w:t>
      </w:r>
      <w:r w:rsidR="00522047" w:rsidRPr="008376AF">
        <w:rPr>
          <w:lang w:val="de-DE"/>
        </w:rPr>
        <w:t>sorten</w:t>
      </w:r>
      <w:r w:rsidRPr="008376AF">
        <w:rPr>
          <w:lang w:val="de-DE"/>
        </w:rPr>
        <w:t xml:space="preserve">, </w:t>
      </w:r>
      <w:r w:rsidR="00DE5296" w:rsidRPr="008376AF">
        <w:rPr>
          <w:lang w:val="de-DE"/>
        </w:rPr>
        <w:t>männlich-weiblich</w:t>
      </w:r>
      <w:r w:rsidR="000E3765" w:rsidRPr="008376AF">
        <w:rPr>
          <w:lang w:val="de-DE"/>
        </w:rPr>
        <w:t>e</w:t>
      </w:r>
      <w:r w:rsidR="00DE5296" w:rsidRPr="008376AF">
        <w:rPr>
          <w:lang w:val="de-DE"/>
        </w:rPr>
        <w:t xml:space="preserve"> Sorten</w:t>
      </w:r>
      <w:r w:rsidRPr="008376AF">
        <w:rPr>
          <w:lang w:val="de-DE"/>
        </w:rPr>
        <w:t>).</w:t>
      </w:r>
    </w:p>
    <w:p w:rsidR="00DE2411" w:rsidRPr="008376AF" w:rsidRDefault="00DE2411" w:rsidP="00E02A18">
      <w:pPr>
        <w:rPr>
          <w:lang w:val="de-DE"/>
        </w:rPr>
      </w:pPr>
    </w:p>
    <w:p w:rsidR="00DE2411" w:rsidRPr="008376AF" w:rsidRDefault="00DE2411" w:rsidP="00DE2411">
      <w:pPr>
        <w:pStyle w:val="Heading2"/>
        <w:rPr>
          <w:lang w:val="de-DE"/>
        </w:rPr>
      </w:pPr>
      <w:bookmarkStart w:id="8" w:name="_Toc527462859"/>
      <w:r w:rsidRPr="008376AF">
        <w:rPr>
          <w:lang w:val="de-DE"/>
        </w:rPr>
        <w:t>Technische Arbeitsgruppe für Automatisierung und Computerprogramme</w:t>
      </w:r>
      <w:bookmarkEnd w:id="8"/>
    </w:p>
    <w:p w:rsidR="00DE2411" w:rsidRPr="008376AF" w:rsidRDefault="00DE2411" w:rsidP="00E02A18">
      <w:pPr>
        <w:rPr>
          <w:lang w:val="de-DE"/>
        </w:rPr>
      </w:pPr>
    </w:p>
    <w:p w:rsidR="00DE2411" w:rsidRPr="008376AF" w:rsidRDefault="00E02A18" w:rsidP="00E02A18">
      <w:pPr>
        <w:rPr>
          <w:lang w:val="de-DE"/>
        </w:rPr>
      </w:pPr>
      <w:r w:rsidRPr="008376AF">
        <w:rPr>
          <w:lang w:val="de-DE"/>
        </w:rPr>
        <w:fldChar w:fldCharType="begin"/>
      </w:r>
      <w:r w:rsidRPr="008376AF">
        <w:rPr>
          <w:lang w:val="de-DE"/>
        </w:rPr>
        <w:instrText xml:space="preserve"> AUTONUM  </w:instrText>
      </w:r>
      <w:r w:rsidRPr="008376AF">
        <w:rPr>
          <w:lang w:val="de-DE"/>
        </w:rPr>
        <w:fldChar w:fldCharType="end"/>
      </w:r>
      <w:r w:rsidRPr="008376AF">
        <w:rPr>
          <w:lang w:val="de-DE"/>
        </w:rPr>
        <w:tab/>
      </w:r>
      <w:r w:rsidR="00684602" w:rsidRPr="008376AF">
        <w:rPr>
          <w:lang w:val="de-DE"/>
        </w:rPr>
        <w:t xml:space="preserve">Die TWC prüfte Dokument </w:t>
      </w:r>
      <w:r w:rsidRPr="008376AF">
        <w:rPr>
          <w:lang w:val="de-DE"/>
        </w:rPr>
        <w:t xml:space="preserve">TWP/1/21 </w:t>
      </w:r>
      <w:r w:rsidR="00171269" w:rsidRPr="008376AF">
        <w:rPr>
          <w:lang w:val="de-DE"/>
        </w:rPr>
        <w:t>„</w:t>
      </w:r>
      <w:r w:rsidR="0040696A" w:rsidRPr="008376AF">
        <w:rPr>
          <w:lang w:val="de-DE"/>
        </w:rPr>
        <w:t>Number of growing cycles</w:t>
      </w:r>
      <w:r w:rsidR="00171269" w:rsidRPr="008376AF">
        <w:rPr>
          <w:lang w:val="de-DE"/>
        </w:rPr>
        <w:t>“</w:t>
      </w:r>
      <w:r w:rsidR="00684602" w:rsidRPr="008376AF">
        <w:rPr>
          <w:lang w:val="de-DE"/>
        </w:rPr>
        <w:t xml:space="preserve"> </w:t>
      </w:r>
      <w:r w:rsidR="000C17B3" w:rsidRPr="008376AF">
        <w:rPr>
          <w:lang w:val="de-DE"/>
        </w:rPr>
        <w:t>(</w:t>
      </w:r>
      <w:r w:rsidR="00A02094" w:rsidRPr="008376AF">
        <w:rPr>
          <w:lang w:val="de-DE"/>
        </w:rPr>
        <w:t>vergleiche Dokument</w:t>
      </w:r>
      <w:r w:rsidR="000C17B3" w:rsidRPr="008376AF">
        <w:rPr>
          <w:lang w:val="de-DE"/>
        </w:rPr>
        <w:t xml:space="preserve"> TWC/35/21 </w:t>
      </w:r>
      <w:r w:rsidR="00A02094" w:rsidRPr="008376AF">
        <w:rPr>
          <w:lang w:val="de-DE"/>
        </w:rPr>
        <w:t>„</w:t>
      </w:r>
      <w:r w:rsidR="004069A2" w:rsidRPr="008376AF">
        <w:rPr>
          <w:lang w:val="de-DE"/>
        </w:rPr>
        <w:t>Report</w:t>
      </w:r>
      <w:r w:rsidR="00A02094" w:rsidRPr="008376AF">
        <w:rPr>
          <w:lang w:val="de-DE"/>
        </w:rPr>
        <w:t>“</w:t>
      </w:r>
      <w:r w:rsidR="000C17B3" w:rsidRPr="008376AF">
        <w:rPr>
          <w:lang w:val="de-DE"/>
        </w:rPr>
        <w:t xml:space="preserve">, </w:t>
      </w:r>
      <w:r w:rsidR="00A02094" w:rsidRPr="008376AF">
        <w:rPr>
          <w:lang w:val="de-DE"/>
        </w:rPr>
        <w:t>Absätze</w:t>
      </w:r>
      <w:r w:rsidR="000C17B3" w:rsidRPr="008376AF">
        <w:rPr>
          <w:lang w:val="de-DE"/>
        </w:rPr>
        <w:t xml:space="preserve"> </w:t>
      </w:r>
      <w:r w:rsidRPr="008376AF">
        <w:rPr>
          <w:lang w:val="de-DE"/>
        </w:rPr>
        <w:t xml:space="preserve">45 </w:t>
      </w:r>
      <w:r w:rsidR="00A02094" w:rsidRPr="008376AF">
        <w:rPr>
          <w:lang w:val="de-DE"/>
        </w:rPr>
        <w:t>bis</w:t>
      </w:r>
      <w:r w:rsidRPr="008376AF">
        <w:rPr>
          <w:lang w:val="de-DE"/>
        </w:rPr>
        <w:t xml:space="preserve"> 51).</w:t>
      </w:r>
    </w:p>
    <w:p w:rsidR="00DE2411" w:rsidRPr="008376AF" w:rsidRDefault="00DE2411" w:rsidP="00E02A18">
      <w:pPr>
        <w:rPr>
          <w:lang w:val="de-DE"/>
        </w:rPr>
      </w:pPr>
    </w:p>
    <w:p w:rsidR="00DE2411" w:rsidRPr="008376AF" w:rsidRDefault="00E02A18" w:rsidP="00E02A18">
      <w:pPr>
        <w:rPr>
          <w:lang w:val="de-DE"/>
        </w:rPr>
      </w:pPr>
      <w:r w:rsidRPr="008376AF">
        <w:rPr>
          <w:lang w:val="de-DE"/>
        </w:rPr>
        <w:fldChar w:fldCharType="begin"/>
      </w:r>
      <w:r w:rsidRPr="008376AF">
        <w:rPr>
          <w:lang w:val="de-DE"/>
        </w:rPr>
        <w:instrText xml:space="preserve"> AUTONUM  </w:instrText>
      </w:r>
      <w:r w:rsidRPr="008376AF">
        <w:rPr>
          <w:lang w:val="de-DE"/>
        </w:rPr>
        <w:fldChar w:fldCharType="end"/>
      </w:r>
      <w:r w:rsidRPr="008376AF">
        <w:rPr>
          <w:lang w:val="de-DE"/>
        </w:rPr>
        <w:tab/>
      </w:r>
      <w:r w:rsidR="00ED53EE" w:rsidRPr="008376AF">
        <w:rPr>
          <w:lang w:val="de-DE"/>
        </w:rPr>
        <w:t xml:space="preserve">Die TWC prüfte Dokument </w:t>
      </w:r>
      <w:r w:rsidRPr="008376AF">
        <w:rPr>
          <w:lang w:val="de-DE"/>
        </w:rPr>
        <w:t xml:space="preserve">TWC/35/7 </w:t>
      </w:r>
      <w:r w:rsidR="00C057BB" w:rsidRPr="008376AF">
        <w:rPr>
          <w:bCs/>
          <w:lang w:val="de-DE"/>
        </w:rPr>
        <w:t>„</w:t>
      </w:r>
      <w:r w:rsidR="00086D91" w:rsidRPr="008376AF">
        <w:rPr>
          <w:bCs/>
          <w:lang w:val="de-DE"/>
        </w:rPr>
        <w:t>Number of growing cycles in potato</w:t>
      </w:r>
      <w:r w:rsidR="003D1FE5" w:rsidRPr="008376AF">
        <w:rPr>
          <w:bCs/>
          <w:lang w:val="de-DE"/>
        </w:rPr>
        <w:t>“</w:t>
      </w:r>
      <w:r w:rsidR="00C057BB" w:rsidRPr="008376AF">
        <w:rPr>
          <w:bCs/>
          <w:lang w:val="de-DE"/>
        </w:rPr>
        <w:t xml:space="preserve"> </w:t>
      </w:r>
      <w:r w:rsidR="000E3765" w:rsidRPr="008376AF">
        <w:rPr>
          <w:lang w:val="de-DE"/>
        </w:rPr>
        <w:t>und</w:t>
      </w:r>
      <w:r w:rsidRPr="008376AF">
        <w:rPr>
          <w:lang w:val="de-DE"/>
        </w:rPr>
        <w:t xml:space="preserve"> </w:t>
      </w:r>
      <w:r w:rsidR="00522047" w:rsidRPr="008376AF">
        <w:rPr>
          <w:lang w:val="de-DE"/>
        </w:rPr>
        <w:t>hörte ein Referat</w:t>
      </w:r>
      <w:r w:rsidR="00086D91" w:rsidRPr="008376AF">
        <w:rPr>
          <w:lang w:val="de-DE"/>
        </w:rPr>
        <w:t xml:space="preserve"> von einem</w:t>
      </w:r>
      <w:r w:rsidRPr="008376AF">
        <w:rPr>
          <w:lang w:val="de-DE"/>
        </w:rPr>
        <w:t xml:space="preserve"> </w:t>
      </w:r>
      <w:r w:rsidR="00522047" w:rsidRPr="008376AF">
        <w:rPr>
          <w:lang w:val="de-DE"/>
        </w:rPr>
        <w:t>Sachverständigen</w:t>
      </w:r>
      <w:r w:rsidR="00086D91" w:rsidRPr="008376AF">
        <w:rPr>
          <w:lang w:val="de-DE"/>
        </w:rPr>
        <w:t xml:space="preserve"> aus den Niederlanden, das</w:t>
      </w:r>
      <w:r w:rsidR="000E3765" w:rsidRPr="008376AF">
        <w:rPr>
          <w:lang w:val="de-DE"/>
        </w:rPr>
        <w:t xml:space="preserve"> die Ergebnisse</w:t>
      </w:r>
      <w:r w:rsidRPr="008376AF">
        <w:rPr>
          <w:lang w:val="de-DE"/>
        </w:rPr>
        <w:t xml:space="preserve"> </w:t>
      </w:r>
      <w:r w:rsidR="000E3765" w:rsidRPr="008376AF">
        <w:rPr>
          <w:lang w:val="de-DE"/>
        </w:rPr>
        <w:t>der Simulation über die</w:t>
      </w:r>
      <w:r w:rsidRPr="008376AF">
        <w:rPr>
          <w:lang w:val="de-DE"/>
        </w:rPr>
        <w:t xml:space="preserve"> </w:t>
      </w:r>
      <w:r w:rsidR="00522047" w:rsidRPr="008376AF">
        <w:rPr>
          <w:lang w:val="de-DE"/>
        </w:rPr>
        <w:t>Auswirkung</w:t>
      </w:r>
      <w:r w:rsidR="00086D91" w:rsidRPr="008376AF">
        <w:rPr>
          <w:lang w:val="de-DE"/>
        </w:rPr>
        <w:t>en</w:t>
      </w:r>
      <w:r w:rsidR="00FD26F5" w:rsidRPr="008376AF">
        <w:rPr>
          <w:lang w:val="de-DE"/>
        </w:rPr>
        <w:t xml:space="preserve"> der Verwendung einer unterschiedlichen</w:t>
      </w:r>
      <w:r w:rsidR="000E3765" w:rsidRPr="008376AF">
        <w:rPr>
          <w:lang w:val="de-DE"/>
        </w:rPr>
        <w:t xml:space="preserve"> Anzahl von</w:t>
      </w:r>
      <w:r w:rsidRPr="008376AF">
        <w:rPr>
          <w:lang w:val="de-DE"/>
        </w:rPr>
        <w:t xml:space="preserve"> </w:t>
      </w:r>
      <w:r w:rsidR="00522047" w:rsidRPr="008376AF">
        <w:rPr>
          <w:lang w:val="de-DE"/>
        </w:rPr>
        <w:t>Wachstumsperioden</w:t>
      </w:r>
      <w:r w:rsidR="00D30077" w:rsidRPr="008376AF">
        <w:rPr>
          <w:lang w:val="de-DE"/>
        </w:rPr>
        <w:t xml:space="preserve"> auf</w:t>
      </w:r>
      <w:r w:rsidRPr="008376AF">
        <w:rPr>
          <w:lang w:val="de-DE"/>
        </w:rPr>
        <w:t xml:space="preserve"> </w:t>
      </w:r>
      <w:r w:rsidR="0094172C" w:rsidRPr="008376AF">
        <w:rPr>
          <w:lang w:val="de-DE"/>
        </w:rPr>
        <w:t>Entscheidungen über DUS</w:t>
      </w:r>
      <w:r w:rsidRPr="008376AF">
        <w:rPr>
          <w:lang w:val="de-DE"/>
        </w:rPr>
        <w:t xml:space="preserve"> </w:t>
      </w:r>
      <w:r w:rsidR="00D30077" w:rsidRPr="008376AF">
        <w:rPr>
          <w:rFonts w:cs="Arial"/>
          <w:lang w:val="de-DE"/>
        </w:rPr>
        <w:t>anhand aktueller Daten</w:t>
      </w:r>
      <w:r w:rsidR="00D30077" w:rsidRPr="008376AF">
        <w:rPr>
          <w:color w:val="000000"/>
          <w:lang w:val="de-DE"/>
        </w:rPr>
        <w:t xml:space="preserve"> </w:t>
      </w:r>
      <w:r w:rsidR="00D30077" w:rsidRPr="008376AF">
        <w:rPr>
          <w:lang w:val="de-DE"/>
        </w:rPr>
        <w:t>für Kartoffel beinhaltete</w:t>
      </w:r>
      <w:r w:rsidRPr="008376AF">
        <w:rPr>
          <w:lang w:val="de-DE"/>
        </w:rPr>
        <w:t>.</w:t>
      </w:r>
      <w:r w:rsidR="00522047" w:rsidRPr="008376AF">
        <w:rPr>
          <w:lang w:val="de-DE"/>
        </w:rPr>
        <w:t xml:space="preserve"> </w:t>
      </w:r>
      <w:r w:rsidR="00D30077" w:rsidRPr="008376AF">
        <w:rPr>
          <w:lang w:val="de-DE"/>
        </w:rPr>
        <w:t>Eine Kopie des R</w:t>
      </w:r>
      <w:r w:rsidR="00522047" w:rsidRPr="008376AF">
        <w:rPr>
          <w:lang w:val="de-DE"/>
        </w:rPr>
        <w:t>eferat</w:t>
      </w:r>
      <w:r w:rsidR="00D30077" w:rsidRPr="008376AF">
        <w:rPr>
          <w:lang w:val="de-DE"/>
        </w:rPr>
        <w:t>es</w:t>
      </w:r>
      <w:r w:rsidRPr="008376AF">
        <w:rPr>
          <w:lang w:val="de-DE"/>
        </w:rPr>
        <w:t xml:space="preserve"> is</w:t>
      </w:r>
      <w:r w:rsidR="00D30077" w:rsidRPr="008376AF">
        <w:rPr>
          <w:lang w:val="de-DE"/>
        </w:rPr>
        <w:t>t</w:t>
      </w:r>
      <w:r w:rsidRPr="008376AF">
        <w:rPr>
          <w:lang w:val="de-DE"/>
        </w:rPr>
        <w:t xml:space="preserve"> </w:t>
      </w:r>
      <w:r w:rsidR="00D30077" w:rsidRPr="008376AF">
        <w:rPr>
          <w:lang w:val="de-DE"/>
        </w:rPr>
        <w:t>im Anhang des Dok</w:t>
      </w:r>
      <w:r w:rsidRPr="008376AF">
        <w:rPr>
          <w:lang w:val="de-DE"/>
        </w:rPr>
        <w:t>ument</w:t>
      </w:r>
      <w:r w:rsidR="00D30077" w:rsidRPr="008376AF">
        <w:rPr>
          <w:lang w:val="de-DE"/>
        </w:rPr>
        <w:t xml:space="preserve">es </w:t>
      </w:r>
      <w:r w:rsidRPr="008376AF">
        <w:rPr>
          <w:lang w:val="de-DE"/>
        </w:rPr>
        <w:t>TWC/35/7</w:t>
      </w:r>
      <w:r w:rsidR="00D30077" w:rsidRPr="008376AF">
        <w:rPr>
          <w:lang w:val="de-DE"/>
        </w:rPr>
        <w:t xml:space="preserve"> wiedergegeben</w:t>
      </w:r>
      <w:r w:rsidRPr="008376AF">
        <w:rPr>
          <w:lang w:val="de-DE"/>
        </w:rPr>
        <w:t>.</w:t>
      </w:r>
    </w:p>
    <w:p w:rsidR="00DE2411" w:rsidRPr="008376AF" w:rsidRDefault="00DE2411" w:rsidP="00E02A18">
      <w:pPr>
        <w:rPr>
          <w:lang w:val="de-DE"/>
        </w:rPr>
      </w:pPr>
    </w:p>
    <w:p w:rsidR="00DE2411" w:rsidRPr="008376AF" w:rsidRDefault="00E02A18" w:rsidP="00E02A18">
      <w:pPr>
        <w:rPr>
          <w:lang w:val="de-DE"/>
        </w:rPr>
      </w:pPr>
      <w:r w:rsidRPr="008376AF">
        <w:rPr>
          <w:lang w:val="de-DE"/>
        </w:rPr>
        <w:fldChar w:fldCharType="begin"/>
      </w:r>
      <w:r w:rsidRPr="008376AF">
        <w:rPr>
          <w:lang w:val="de-DE"/>
        </w:rPr>
        <w:instrText xml:space="preserve"> AUTONUM  </w:instrText>
      </w:r>
      <w:r w:rsidRPr="008376AF">
        <w:rPr>
          <w:lang w:val="de-DE"/>
        </w:rPr>
        <w:fldChar w:fldCharType="end"/>
      </w:r>
      <w:r w:rsidRPr="008376AF">
        <w:rPr>
          <w:lang w:val="de-DE"/>
        </w:rPr>
        <w:tab/>
      </w:r>
      <w:r w:rsidR="000102F1" w:rsidRPr="008376AF">
        <w:rPr>
          <w:lang w:val="de-DE"/>
        </w:rPr>
        <w:t>Die</w:t>
      </w:r>
      <w:r w:rsidRPr="008376AF">
        <w:rPr>
          <w:lang w:val="de-DE"/>
        </w:rPr>
        <w:t xml:space="preserve"> TWC </w:t>
      </w:r>
      <w:r w:rsidR="00522047" w:rsidRPr="008376AF">
        <w:rPr>
          <w:lang w:val="de-DE"/>
        </w:rPr>
        <w:t>nahm zur Kenntnis, daß</w:t>
      </w:r>
      <w:r w:rsidRPr="008376AF">
        <w:rPr>
          <w:lang w:val="de-DE"/>
        </w:rPr>
        <w:t xml:space="preserve"> </w:t>
      </w:r>
      <w:r w:rsidR="000102F1" w:rsidRPr="008376AF">
        <w:rPr>
          <w:lang w:val="de-DE"/>
        </w:rPr>
        <w:t>die Ergebnisse zeigten, daß von den</w:t>
      </w:r>
      <w:r w:rsidRPr="008376AF">
        <w:rPr>
          <w:lang w:val="de-DE"/>
        </w:rPr>
        <w:t xml:space="preserve"> 37 </w:t>
      </w:r>
      <w:r w:rsidR="00522047" w:rsidRPr="008376AF">
        <w:rPr>
          <w:lang w:val="de-DE"/>
        </w:rPr>
        <w:t>erfaßten Merkmale</w:t>
      </w:r>
      <w:r w:rsidR="000102F1" w:rsidRPr="008376AF">
        <w:rPr>
          <w:lang w:val="de-DE"/>
        </w:rPr>
        <w:t>n</w:t>
      </w:r>
      <w:r w:rsidRPr="008376AF">
        <w:rPr>
          <w:lang w:val="de-DE"/>
        </w:rPr>
        <w:t xml:space="preserve"> 73% </w:t>
      </w:r>
      <w:r w:rsidR="000102F1" w:rsidRPr="008376AF">
        <w:rPr>
          <w:lang w:val="de-DE"/>
        </w:rPr>
        <w:t>die gleiche</w:t>
      </w:r>
      <w:r w:rsidRPr="008376AF">
        <w:rPr>
          <w:lang w:val="de-DE"/>
        </w:rPr>
        <w:t xml:space="preserve"> </w:t>
      </w:r>
      <w:r w:rsidR="00943879" w:rsidRPr="008376AF">
        <w:rPr>
          <w:lang w:val="de-DE"/>
        </w:rPr>
        <w:t>Bewertung</w:t>
      </w:r>
      <w:r w:rsidR="00FD2A49" w:rsidRPr="008376AF">
        <w:rPr>
          <w:lang w:val="de-DE"/>
        </w:rPr>
        <w:t xml:space="preserve"> gehabt hä</w:t>
      </w:r>
      <w:r w:rsidR="000102F1" w:rsidRPr="008376AF">
        <w:rPr>
          <w:lang w:val="de-DE"/>
        </w:rPr>
        <w:t>tten und</w:t>
      </w:r>
      <w:r w:rsidRPr="008376AF">
        <w:rPr>
          <w:lang w:val="de-DE"/>
        </w:rPr>
        <w:t xml:space="preserve"> 24% </w:t>
      </w:r>
      <w:r w:rsidR="00DE10D1" w:rsidRPr="008376AF">
        <w:rPr>
          <w:lang w:val="de-DE"/>
        </w:rPr>
        <w:t xml:space="preserve">einen </w:t>
      </w:r>
      <w:r w:rsidR="000102F1" w:rsidRPr="008376AF">
        <w:rPr>
          <w:lang w:val="de-DE"/>
        </w:rPr>
        <w:t>Unterschied zwischen der ersten Wachstum</w:t>
      </w:r>
      <w:r w:rsidR="00C4083D" w:rsidRPr="008376AF">
        <w:rPr>
          <w:lang w:val="de-DE"/>
        </w:rPr>
        <w:t>s</w:t>
      </w:r>
      <w:r w:rsidR="000102F1" w:rsidRPr="008376AF">
        <w:rPr>
          <w:lang w:val="de-DE"/>
        </w:rPr>
        <w:t xml:space="preserve">periode und der </w:t>
      </w:r>
      <w:r w:rsidR="000F2B92" w:rsidRPr="008376AF">
        <w:rPr>
          <w:lang w:val="de-DE"/>
        </w:rPr>
        <w:t xml:space="preserve">Note aus der </w:t>
      </w:r>
      <w:r w:rsidR="000102F1" w:rsidRPr="008376AF">
        <w:rPr>
          <w:lang w:val="de-DE"/>
        </w:rPr>
        <w:t xml:space="preserve">kombinierten ersten und zweiten </w:t>
      </w:r>
      <w:r w:rsidR="000F2B92" w:rsidRPr="008376AF">
        <w:rPr>
          <w:lang w:val="de-DE"/>
        </w:rPr>
        <w:t>Wachstumsperiode</w:t>
      </w:r>
      <w:r w:rsidRPr="008376AF">
        <w:rPr>
          <w:lang w:val="de-DE"/>
        </w:rPr>
        <w:t xml:space="preserve"> </w:t>
      </w:r>
      <w:r w:rsidR="00C4083D" w:rsidRPr="008376AF">
        <w:rPr>
          <w:lang w:val="de-DE"/>
        </w:rPr>
        <w:t xml:space="preserve">von nur einer einzigen </w:t>
      </w:r>
      <w:r w:rsidR="003D1FE5" w:rsidRPr="008376AF">
        <w:rPr>
          <w:lang w:val="de-DE"/>
        </w:rPr>
        <w:t xml:space="preserve">Note </w:t>
      </w:r>
      <w:r w:rsidR="000102F1" w:rsidRPr="008376AF">
        <w:rPr>
          <w:lang w:val="de-DE"/>
        </w:rPr>
        <w:t>gehabt hätten.</w:t>
      </w:r>
    </w:p>
    <w:p w:rsidR="00DE2411" w:rsidRPr="008376AF" w:rsidRDefault="00DE2411" w:rsidP="00E02A18">
      <w:pPr>
        <w:rPr>
          <w:lang w:val="de-DE"/>
        </w:rPr>
      </w:pPr>
    </w:p>
    <w:p w:rsidR="00DE2411" w:rsidRPr="008376AF" w:rsidRDefault="00E02A18" w:rsidP="00E02A18">
      <w:pPr>
        <w:rPr>
          <w:lang w:val="de-DE"/>
        </w:rPr>
      </w:pPr>
      <w:r w:rsidRPr="008376AF">
        <w:rPr>
          <w:lang w:val="de-DE"/>
        </w:rPr>
        <w:fldChar w:fldCharType="begin"/>
      </w:r>
      <w:r w:rsidRPr="008376AF">
        <w:rPr>
          <w:lang w:val="de-DE"/>
        </w:rPr>
        <w:instrText xml:space="preserve"> AUTONUM  </w:instrText>
      </w:r>
      <w:r w:rsidRPr="008376AF">
        <w:rPr>
          <w:lang w:val="de-DE"/>
        </w:rPr>
        <w:fldChar w:fldCharType="end"/>
      </w:r>
      <w:r w:rsidRPr="008376AF">
        <w:rPr>
          <w:lang w:val="de-DE"/>
        </w:rPr>
        <w:tab/>
      </w:r>
      <w:r w:rsidR="00D46611" w:rsidRPr="008376AF">
        <w:rPr>
          <w:lang w:val="de-DE"/>
        </w:rPr>
        <w:t>Die</w:t>
      </w:r>
      <w:r w:rsidRPr="008376AF">
        <w:rPr>
          <w:lang w:val="de-DE"/>
        </w:rPr>
        <w:t xml:space="preserve"> TWC </w:t>
      </w:r>
      <w:r w:rsidR="00522047" w:rsidRPr="008376AF">
        <w:rPr>
          <w:lang w:val="de-DE"/>
        </w:rPr>
        <w:t>nahm zur Kenntnis, daß</w:t>
      </w:r>
      <w:r w:rsidR="00D46611" w:rsidRPr="008376AF">
        <w:rPr>
          <w:lang w:val="de-DE"/>
        </w:rPr>
        <w:t xml:space="preserve"> die Niederlande die Möglichkeit </w:t>
      </w:r>
      <w:r w:rsidR="00FD26F5" w:rsidRPr="008376AF">
        <w:rPr>
          <w:lang w:val="de-DE"/>
        </w:rPr>
        <w:t>der Verwendung von</w:t>
      </w:r>
      <w:r w:rsidRPr="008376AF">
        <w:rPr>
          <w:lang w:val="de-DE"/>
        </w:rPr>
        <w:t xml:space="preserve"> </w:t>
      </w:r>
      <w:r w:rsidR="00943879" w:rsidRPr="008376AF">
        <w:rPr>
          <w:lang w:val="de-DE"/>
        </w:rPr>
        <w:t>molekulare</w:t>
      </w:r>
      <w:r w:rsidR="00D46611" w:rsidRPr="008376AF">
        <w:rPr>
          <w:lang w:val="de-DE"/>
        </w:rPr>
        <w:t>n</w:t>
      </w:r>
      <w:r w:rsidR="00943879" w:rsidRPr="008376AF">
        <w:rPr>
          <w:lang w:val="de-DE"/>
        </w:rPr>
        <w:t xml:space="preserve"> Markerinformationen</w:t>
      </w:r>
      <w:r w:rsidRPr="008376AF">
        <w:rPr>
          <w:lang w:val="de-DE"/>
        </w:rPr>
        <w:t xml:space="preserve"> </w:t>
      </w:r>
      <w:r w:rsidR="00D46611" w:rsidRPr="008376AF">
        <w:rPr>
          <w:lang w:val="de-DE"/>
        </w:rPr>
        <w:t xml:space="preserve">untersuchten, um die Anzahl der </w:t>
      </w:r>
      <w:r w:rsidR="00522047" w:rsidRPr="008376AF">
        <w:rPr>
          <w:lang w:val="de-DE"/>
        </w:rPr>
        <w:t>Wachstumsperioden</w:t>
      </w:r>
      <w:r w:rsidRPr="008376AF">
        <w:rPr>
          <w:lang w:val="de-DE"/>
        </w:rPr>
        <w:t xml:space="preserve"> </w:t>
      </w:r>
      <w:r w:rsidR="00D46611" w:rsidRPr="008376AF">
        <w:rPr>
          <w:lang w:val="de-DE"/>
        </w:rPr>
        <w:t>für die</w:t>
      </w:r>
      <w:r w:rsidRPr="008376AF">
        <w:rPr>
          <w:lang w:val="de-DE"/>
        </w:rPr>
        <w:t xml:space="preserve"> </w:t>
      </w:r>
      <w:r w:rsidR="00522047" w:rsidRPr="008376AF">
        <w:rPr>
          <w:lang w:val="de-DE"/>
        </w:rPr>
        <w:t>DUS-Prüfung</w:t>
      </w:r>
      <w:r w:rsidR="00C4083D" w:rsidRPr="008376AF">
        <w:rPr>
          <w:lang w:val="de-DE"/>
        </w:rPr>
        <w:t xml:space="preserve"> von</w:t>
      </w:r>
      <w:r w:rsidR="00FD26F5" w:rsidRPr="008376AF">
        <w:rPr>
          <w:lang w:val="de-DE"/>
        </w:rPr>
        <w:t xml:space="preserve"> Kartoffels</w:t>
      </w:r>
      <w:r w:rsidR="00D46611" w:rsidRPr="008376AF">
        <w:rPr>
          <w:lang w:val="de-DE"/>
        </w:rPr>
        <w:t>orten zu reduzieren.</w:t>
      </w:r>
    </w:p>
    <w:p w:rsidR="00DE2411" w:rsidRPr="008376AF" w:rsidRDefault="00DE2411" w:rsidP="00050E16">
      <w:pPr>
        <w:rPr>
          <w:lang w:val="de-DE"/>
        </w:rPr>
      </w:pPr>
    </w:p>
    <w:p w:rsidR="00DE2411" w:rsidRPr="008376AF" w:rsidRDefault="00DE2411" w:rsidP="00050E16">
      <w:pPr>
        <w:rPr>
          <w:lang w:val="de-DE"/>
        </w:rPr>
      </w:pPr>
    </w:p>
    <w:p w:rsidR="00DE2411" w:rsidRPr="008376AF" w:rsidRDefault="00FD26F5" w:rsidP="0069769C">
      <w:pPr>
        <w:pStyle w:val="Heading1"/>
        <w:rPr>
          <w:lang w:val="de-DE"/>
        </w:rPr>
      </w:pPr>
      <w:bookmarkStart w:id="9" w:name="_Toc527462860"/>
      <w:r w:rsidRPr="008376AF">
        <w:rPr>
          <w:lang w:val="de-DE"/>
        </w:rPr>
        <w:t xml:space="preserve">Referate Auf den </w:t>
      </w:r>
      <w:r w:rsidR="00D54ABF" w:rsidRPr="008376AF">
        <w:rPr>
          <w:lang w:val="de-DE"/>
        </w:rPr>
        <w:t>Tagungen der TWP im Jahre 2018</w:t>
      </w:r>
      <w:bookmarkEnd w:id="9"/>
    </w:p>
    <w:p w:rsidR="00DE2411" w:rsidRPr="008376AF" w:rsidRDefault="00DE2411" w:rsidP="00FB1670">
      <w:pPr>
        <w:pStyle w:val="Heading2"/>
        <w:rPr>
          <w:lang w:val="de-DE"/>
        </w:rPr>
      </w:pPr>
    </w:p>
    <w:p w:rsidR="0022169D" w:rsidRPr="008376AF" w:rsidRDefault="00642225" w:rsidP="00FB1670">
      <w:pPr>
        <w:pStyle w:val="Heading2"/>
        <w:rPr>
          <w:lang w:val="de-DE"/>
        </w:rPr>
      </w:pPr>
      <w:bookmarkStart w:id="10" w:name="_Toc527462861"/>
      <w:r w:rsidRPr="008376AF">
        <w:rPr>
          <w:lang w:val="de-DE"/>
        </w:rPr>
        <w:t>Technische Arbeitsgruppe für landwirtschaftliche Arten</w:t>
      </w:r>
      <w:bookmarkEnd w:id="10"/>
    </w:p>
    <w:p w:rsidR="00642225" w:rsidRPr="008376AF" w:rsidRDefault="00642225" w:rsidP="000C17B3">
      <w:pPr>
        <w:rPr>
          <w:lang w:val="de-DE"/>
        </w:rPr>
      </w:pPr>
    </w:p>
    <w:p w:rsidR="00DE2411" w:rsidRPr="008376AF" w:rsidRDefault="006C741E" w:rsidP="00DE2411">
      <w:pPr>
        <w:rPr>
          <w:lang w:val="de-DE"/>
        </w:rPr>
      </w:pPr>
      <w:r w:rsidRPr="008376AF">
        <w:rPr>
          <w:lang w:val="de-DE"/>
        </w:rPr>
        <w:fldChar w:fldCharType="begin"/>
      </w:r>
      <w:r w:rsidRPr="008376AF">
        <w:rPr>
          <w:lang w:val="de-DE"/>
        </w:rPr>
        <w:instrText xml:space="preserve"> AUTONUM  </w:instrText>
      </w:r>
      <w:r w:rsidRPr="008376AF">
        <w:rPr>
          <w:lang w:val="de-DE"/>
        </w:rPr>
        <w:fldChar w:fldCharType="end"/>
      </w:r>
      <w:r w:rsidRPr="008376AF">
        <w:rPr>
          <w:lang w:val="de-DE"/>
        </w:rPr>
        <w:tab/>
      </w:r>
      <w:r w:rsidR="006657C5" w:rsidRPr="008376AF">
        <w:rPr>
          <w:lang w:val="de-DE"/>
        </w:rPr>
        <w:t xml:space="preserve">Die TWA prüfte auf ihrer siebenundvierzigsten Tagung vom 21. bis 25. Mai 2018 in Naivasha, Kenia, Dokument </w:t>
      </w:r>
      <w:hyperlink r:id="rId11" w:history="1">
        <w:r w:rsidRPr="008376AF">
          <w:rPr>
            <w:rStyle w:val="Hyperlink"/>
            <w:rFonts w:cs="Arial"/>
            <w:lang w:val="de-DE"/>
          </w:rPr>
          <w:t>TWA/47/5</w:t>
        </w:r>
      </w:hyperlink>
      <w:r w:rsidRPr="008376AF">
        <w:rPr>
          <w:lang w:val="de-DE"/>
        </w:rPr>
        <w:t xml:space="preserve"> </w:t>
      </w:r>
      <w:r w:rsidR="00FD26F5" w:rsidRPr="008376AF">
        <w:rPr>
          <w:lang w:val="de-DE"/>
        </w:rPr>
        <w:t>„</w:t>
      </w:r>
      <w:r w:rsidR="00FD26F5" w:rsidRPr="008376AF">
        <w:rPr>
          <w:rFonts w:cs="Arial"/>
          <w:lang w:val="de-DE"/>
        </w:rPr>
        <w:t xml:space="preserve">Impact of </w:t>
      </w:r>
      <w:r w:rsidR="00C4083D" w:rsidRPr="008376AF">
        <w:rPr>
          <w:rFonts w:cs="Arial"/>
          <w:lang w:val="de-DE"/>
        </w:rPr>
        <w:t xml:space="preserve">the </w:t>
      </w:r>
      <w:r w:rsidR="00FD26F5" w:rsidRPr="008376AF">
        <w:rPr>
          <w:rFonts w:cs="Arial"/>
          <w:lang w:val="de-DE"/>
        </w:rPr>
        <w:t xml:space="preserve">number of growing cycles on variety descriptions and discrimination power </w:t>
      </w:r>
      <w:r w:rsidR="00FD26F5" w:rsidRPr="008376AF">
        <w:rPr>
          <w:rFonts w:cs="Arial"/>
          <w:lang w:val="de-DE"/>
        </w:rPr>
        <w:lastRenderedPageBreak/>
        <w:t>in potato</w:t>
      </w:r>
      <w:r w:rsidR="003D1FE5" w:rsidRPr="008376AF">
        <w:rPr>
          <w:lang w:val="de-DE"/>
        </w:rPr>
        <w:t>“</w:t>
      </w:r>
      <w:r w:rsidR="001971AF" w:rsidRPr="008376AF">
        <w:rPr>
          <w:lang w:val="de-DE"/>
        </w:rPr>
        <w:t xml:space="preserve"> und</w:t>
      </w:r>
      <w:r w:rsidRPr="008376AF">
        <w:rPr>
          <w:lang w:val="de-DE"/>
        </w:rPr>
        <w:t xml:space="preserve"> </w:t>
      </w:r>
      <w:r w:rsidR="00522047" w:rsidRPr="008376AF">
        <w:rPr>
          <w:lang w:val="de-DE"/>
        </w:rPr>
        <w:t>hörte ein Referat</w:t>
      </w:r>
      <w:r w:rsidR="00FD26F5" w:rsidRPr="008376AF">
        <w:rPr>
          <w:lang w:val="de-DE"/>
        </w:rPr>
        <w:t xml:space="preserve"> von einem</w:t>
      </w:r>
      <w:r w:rsidRPr="008376AF">
        <w:rPr>
          <w:lang w:val="de-DE"/>
        </w:rPr>
        <w:t xml:space="preserve"> </w:t>
      </w:r>
      <w:r w:rsidR="00522047" w:rsidRPr="008376AF">
        <w:rPr>
          <w:lang w:val="de-DE"/>
        </w:rPr>
        <w:t>Sachverständigen</w:t>
      </w:r>
      <w:r w:rsidR="001971AF" w:rsidRPr="008376AF">
        <w:rPr>
          <w:lang w:val="de-DE"/>
        </w:rPr>
        <w:t xml:space="preserve"> aus Deutschland</w:t>
      </w:r>
      <w:r w:rsidR="00C2478D" w:rsidRPr="008376AF">
        <w:rPr>
          <w:lang w:val="de-DE"/>
        </w:rPr>
        <w:t>.</w:t>
      </w:r>
      <w:r w:rsidRPr="008376AF">
        <w:rPr>
          <w:lang w:val="de-DE"/>
        </w:rPr>
        <w:t xml:space="preserve"> </w:t>
      </w:r>
      <w:r w:rsidR="00C2478D" w:rsidRPr="008376AF">
        <w:rPr>
          <w:lang w:val="de-DE"/>
        </w:rPr>
        <w:t>E</w:t>
      </w:r>
      <w:r w:rsidR="001971AF" w:rsidRPr="008376AF">
        <w:rPr>
          <w:lang w:val="de-DE"/>
        </w:rPr>
        <w:t>ine Kopie</w:t>
      </w:r>
      <w:r w:rsidRPr="008376AF">
        <w:rPr>
          <w:lang w:val="de-DE"/>
        </w:rPr>
        <w:t xml:space="preserve"> </w:t>
      </w:r>
      <w:r w:rsidR="00C2478D" w:rsidRPr="008376AF">
        <w:rPr>
          <w:lang w:val="de-DE"/>
        </w:rPr>
        <w:t>davon würde</w:t>
      </w:r>
      <w:r w:rsidRPr="008376AF">
        <w:rPr>
          <w:lang w:val="de-DE"/>
        </w:rPr>
        <w:t xml:space="preserve"> </w:t>
      </w:r>
      <w:r w:rsidR="00C2478D" w:rsidRPr="008376AF">
        <w:rPr>
          <w:lang w:val="de-DE"/>
        </w:rPr>
        <w:t xml:space="preserve">als </w:t>
      </w:r>
      <w:r w:rsidR="00DE10D1" w:rsidRPr="008376AF">
        <w:rPr>
          <w:lang w:val="de-DE"/>
        </w:rPr>
        <w:t xml:space="preserve">Dokument TWA/47/5 Add. </w:t>
      </w:r>
      <w:r w:rsidR="00C2478D" w:rsidRPr="008376AF">
        <w:rPr>
          <w:lang w:val="de-DE"/>
        </w:rPr>
        <w:t>bereitgestellt werden</w:t>
      </w:r>
      <w:r w:rsidR="009957AA" w:rsidRPr="008376AF">
        <w:rPr>
          <w:lang w:val="de-DE"/>
        </w:rPr>
        <w:t xml:space="preserve">. </w:t>
      </w:r>
      <w:r w:rsidR="00DE2411" w:rsidRPr="008376AF">
        <w:rPr>
          <w:lang w:val="de-DE"/>
        </w:rPr>
        <w:t>(</w:t>
      </w:r>
      <w:r w:rsidR="00171269" w:rsidRPr="008376AF">
        <w:rPr>
          <w:lang w:val="de-DE"/>
        </w:rPr>
        <w:t xml:space="preserve">vergleiche Dokument </w:t>
      </w:r>
      <w:r w:rsidR="00DE2411" w:rsidRPr="008376AF">
        <w:rPr>
          <w:lang w:val="de-DE"/>
        </w:rPr>
        <w:t xml:space="preserve">TWA/47/7 </w:t>
      </w:r>
      <w:r w:rsidR="00A02094" w:rsidRPr="008376AF">
        <w:rPr>
          <w:lang w:val="de-DE"/>
        </w:rPr>
        <w:t>„</w:t>
      </w:r>
      <w:r w:rsidR="00DE10D1" w:rsidRPr="008376AF">
        <w:rPr>
          <w:lang w:val="de-DE"/>
        </w:rPr>
        <w:t>Report</w:t>
      </w:r>
      <w:r w:rsidR="00A02094" w:rsidRPr="008376AF">
        <w:rPr>
          <w:lang w:val="de-DE"/>
        </w:rPr>
        <w:t xml:space="preserve">“, </w:t>
      </w:r>
      <w:r w:rsidR="00DE2411" w:rsidRPr="008376AF">
        <w:rPr>
          <w:lang w:val="de-DE"/>
        </w:rPr>
        <w:t>Absätze 35 bis 38).</w:t>
      </w:r>
    </w:p>
    <w:p w:rsidR="00DE2411" w:rsidRPr="008376AF" w:rsidRDefault="00DE2411" w:rsidP="006C741E">
      <w:pPr>
        <w:rPr>
          <w:lang w:val="de-DE"/>
        </w:rPr>
      </w:pPr>
    </w:p>
    <w:p w:rsidR="00DE2411" w:rsidRPr="008376AF" w:rsidRDefault="006C741E" w:rsidP="006C741E">
      <w:pPr>
        <w:rPr>
          <w:lang w:val="de-DE"/>
        </w:rPr>
      </w:pPr>
      <w:r w:rsidRPr="008376AF">
        <w:rPr>
          <w:lang w:val="de-DE"/>
        </w:rPr>
        <w:fldChar w:fldCharType="begin"/>
      </w:r>
      <w:r w:rsidRPr="008376AF">
        <w:rPr>
          <w:lang w:val="de-DE"/>
        </w:rPr>
        <w:instrText xml:space="preserve"> AUTONUM  </w:instrText>
      </w:r>
      <w:r w:rsidRPr="008376AF">
        <w:rPr>
          <w:lang w:val="de-DE"/>
        </w:rPr>
        <w:fldChar w:fldCharType="end"/>
      </w:r>
      <w:r w:rsidRPr="008376AF">
        <w:rPr>
          <w:lang w:val="de-DE"/>
        </w:rPr>
        <w:tab/>
      </w:r>
      <w:r w:rsidR="00E16494" w:rsidRPr="008376AF">
        <w:rPr>
          <w:lang w:val="de-DE"/>
        </w:rPr>
        <w:t>Die</w:t>
      </w:r>
      <w:r w:rsidRPr="008376AF">
        <w:rPr>
          <w:lang w:val="de-DE"/>
        </w:rPr>
        <w:t xml:space="preserve"> TWA </w:t>
      </w:r>
      <w:r w:rsidR="00522047" w:rsidRPr="008376AF">
        <w:rPr>
          <w:lang w:val="de-DE"/>
        </w:rPr>
        <w:t>vereinbarte</w:t>
      </w:r>
      <w:r w:rsidR="00E16494" w:rsidRPr="008376AF">
        <w:rPr>
          <w:lang w:val="de-DE"/>
        </w:rPr>
        <w:t>, daß</w:t>
      </w:r>
      <w:r w:rsidRPr="008376AF">
        <w:rPr>
          <w:lang w:val="de-DE"/>
        </w:rPr>
        <w:t xml:space="preserve"> </w:t>
      </w:r>
      <w:r w:rsidR="00522047" w:rsidRPr="008376AF">
        <w:rPr>
          <w:lang w:val="de-DE"/>
        </w:rPr>
        <w:t>Sortenbeschreibungen</w:t>
      </w:r>
      <w:r w:rsidR="00DE10D1" w:rsidRPr="008376AF">
        <w:rPr>
          <w:lang w:val="de-DE"/>
        </w:rPr>
        <w:t>,</w:t>
      </w:r>
      <w:r w:rsidR="00E16494" w:rsidRPr="008376AF">
        <w:rPr>
          <w:lang w:val="de-DE"/>
        </w:rPr>
        <w:t xml:space="preserve"> die über zwei</w:t>
      </w:r>
      <w:r w:rsidRPr="008376AF">
        <w:rPr>
          <w:lang w:val="de-DE"/>
        </w:rPr>
        <w:t xml:space="preserve"> </w:t>
      </w:r>
      <w:r w:rsidR="00522047" w:rsidRPr="008376AF">
        <w:rPr>
          <w:lang w:val="de-DE"/>
        </w:rPr>
        <w:t>Wachstumsperioden</w:t>
      </w:r>
      <w:r w:rsidRPr="008376AF">
        <w:rPr>
          <w:lang w:val="de-DE"/>
        </w:rPr>
        <w:t xml:space="preserve"> </w:t>
      </w:r>
      <w:r w:rsidR="00DE10D1" w:rsidRPr="008376AF">
        <w:rPr>
          <w:lang w:val="de-DE"/>
        </w:rPr>
        <w:t>erstellt we</w:t>
      </w:r>
      <w:r w:rsidR="00E16494" w:rsidRPr="008376AF">
        <w:rPr>
          <w:lang w:val="de-DE"/>
        </w:rPr>
        <w:t xml:space="preserve">rden, </w:t>
      </w:r>
      <w:r w:rsidR="00DE10D1" w:rsidRPr="008376AF">
        <w:rPr>
          <w:lang w:val="de-DE"/>
        </w:rPr>
        <w:t>stabile</w:t>
      </w:r>
      <w:r w:rsidR="00C4083D" w:rsidRPr="008376AF">
        <w:rPr>
          <w:lang w:val="de-DE"/>
        </w:rPr>
        <w:t>r</w:t>
      </w:r>
      <w:r w:rsidR="00DE10D1" w:rsidRPr="008376AF">
        <w:rPr>
          <w:lang w:val="de-DE"/>
        </w:rPr>
        <w:t xml:space="preserve"> seien</w:t>
      </w:r>
      <w:r w:rsidR="00AC21BD" w:rsidRPr="008376AF">
        <w:rPr>
          <w:lang w:val="de-DE"/>
        </w:rPr>
        <w:t xml:space="preserve"> als die, die über eine einzige Wachstumsperiode erstellt w</w:t>
      </w:r>
      <w:r w:rsidR="003D1FE5" w:rsidRPr="008376AF">
        <w:rPr>
          <w:lang w:val="de-DE"/>
        </w:rPr>
        <w:t>e</w:t>
      </w:r>
      <w:r w:rsidR="00AC21BD" w:rsidRPr="008376AF">
        <w:rPr>
          <w:lang w:val="de-DE"/>
        </w:rPr>
        <w:t>rden.</w:t>
      </w:r>
      <w:r w:rsidR="00522047" w:rsidRPr="008376AF">
        <w:rPr>
          <w:lang w:val="de-DE"/>
        </w:rPr>
        <w:t xml:space="preserve"> </w:t>
      </w:r>
      <w:r w:rsidR="00AC21BD" w:rsidRPr="008376AF">
        <w:rPr>
          <w:lang w:val="de-DE"/>
        </w:rPr>
        <w:t>Die TWA</w:t>
      </w:r>
      <w:r w:rsidRPr="008376AF">
        <w:rPr>
          <w:lang w:val="de-DE"/>
        </w:rPr>
        <w:t xml:space="preserve"> </w:t>
      </w:r>
      <w:r w:rsidR="00522047" w:rsidRPr="008376AF">
        <w:rPr>
          <w:lang w:val="de-DE"/>
        </w:rPr>
        <w:t>vereinbarte</w:t>
      </w:r>
      <w:r w:rsidR="00AC21BD" w:rsidRPr="008376AF">
        <w:rPr>
          <w:lang w:val="de-DE"/>
        </w:rPr>
        <w:t xml:space="preserve"> auch, daß zwei Wa</w:t>
      </w:r>
      <w:r w:rsidR="00522047" w:rsidRPr="008376AF">
        <w:rPr>
          <w:lang w:val="de-DE"/>
        </w:rPr>
        <w:t>chstumsperioden</w:t>
      </w:r>
      <w:r w:rsidRPr="008376AF">
        <w:rPr>
          <w:lang w:val="de-DE"/>
        </w:rPr>
        <w:t xml:space="preserve"> </w:t>
      </w:r>
      <w:r w:rsidR="00E92C50" w:rsidRPr="008376AF">
        <w:rPr>
          <w:lang w:val="de-DE"/>
        </w:rPr>
        <w:t xml:space="preserve">eine </w:t>
      </w:r>
      <w:r w:rsidR="00DE10D1" w:rsidRPr="008376AF">
        <w:rPr>
          <w:lang w:val="de-DE"/>
        </w:rPr>
        <w:t>stabilere</w:t>
      </w:r>
      <w:r w:rsidRPr="008376AF">
        <w:rPr>
          <w:lang w:val="de-DE"/>
        </w:rPr>
        <w:t xml:space="preserve"> </w:t>
      </w:r>
      <w:r w:rsidR="00943879" w:rsidRPr="008376AF">
        <w:rPr>
          <w:lang w:val="de-DE"/>
        </w:rPr>
        <w:t>Bewertung</w:t>
      </w:r>
      <w:r w:rsidRPr="008376AF">
        <w:rPr>
          <w:lang w:val="de-DE"/>
        </w:rPr>
        <w:t xml:space="preserve"> </w:t>
      </w:r>
      <w:r w:rsidR="00AC21BD" w:rsidRPr="008376AF">
        <w:rPr>
          <w:lang w:val="de-DE"/>
        </w:rPr>
        <w:t xml:space="preserve">der </w:t>
      </w:r>
      <w:r w:rsidR="00DE10D1" w:rsidRPr="008376AF">
        <w:rPr>
          <w:lang w:val="de-DE"/>
        </w:rPr>
        <w:t>einzelnen</w:t>
      </w:r>
      <w:r w:rsidRPr="008376AF">
        <w:rPr>
          <w:lang w:val="de-DE"/>
        </w:rPr>
        <w:t xml:space="preserve"> </w:t>
      </w:r>
      <w:r w:rsidR="00522047" w:rsidRPr="008376AF">
        <w:rPr>
          <w:lang w:val="de-DE"/>
        </w:rPr>
        <w:t>Merkmale</w:t>
      </w:r>
      <w:r w:rsidR="00AC21BD" w:rsidRPr="008376AF">
        <w:rPr>
          <w:lang w:val="de-DE"/>
        </w:rPr>
        <w:t xml:space="preserve"> erlaubten.</w:t>
      </w:r>
    </w:p>
    <w:p w:rsidR="00DE2411" w:rsidRPr="008376AF" w:rsidRDefault="00DE2411" w:rsidP="006C741E">
      <w:pPr>
        <w:rPr>
          <w:lang w:val="de-DE"/>
        </w:rPr>
      </w:pPr>
    </w:p>
    <w:p w:rsidR="00DE2411" w:rsidRPr="008376AF" w:rsidRDefault="006C741E" w:rsidP="006C741E">
      <w:pPr>
        <w:rPr>
          <w:lang w:val="de-DE"/>
        </w:rPr>
      </w:pPr>
      <w:r w:rsidRPr="008376AF">
        <w:rPr>
          <w:lang w:val="de-DE"/>
        </w:rPr>
        <w:fldChar w:fldCharType="begin"/>
      </w:r>
      <w:r w:rsidRPr="008376AF">
        <w:rPr>
          <w:lang w:val="de-DE"/>
        </w:rPr>
        <w:instrText xml:space="preserve"> AUTONUM  </w:instrText>
      </w:r>
      <w:r w:rsidRPr="008376AF">
        <w:rPr>
          <w:lang w:val="de-DE"/>
        </w:rPr>
        <w:fldChar w:fldCharType="end"/>
      </w:r>
      <w:r w:rsidRPr="008376AF">
        <w:rPr>
          <w:lang w:val="de-DE"/>
        </w:rPr>
        <w:tab/>
      </w:r>
      <w:r w:rsidR="00AC21BD" w:rsidRPr="008376AF">
        <w:rPr>
          <w:lang w:val="de-DE"/>
        </w:rPr>
        <w:t>Die</w:t>
      </w:r>
      <w:r w:rsidRPr="008376AF">
        <w:rPr>
          <w:lang w:val="de-DE"/>
        </w:rPr>
        <w:t xml:space="preserve"> TWA </w:t>
      </w:r>
      <w:r w:rsidR="00522047" w:rsidRPr="008376AF">
        <w:rPr>
          <w:lang w:val="de-DE"/>
        </w:rPr>
        <w:t>vereinbarte</w:t>
      </w:r>
      <w:r w:rsidR="00E92C50" w:rsidRPr="008376AF">
        <w:rPr>
          <w:lang w:val="de-DE"/>
        </w:rPr>
        <w:t xml:space="preserve">, daß eine </w:t>
      </w:r>
      <w:r w:rsidR="00DE10D1" w:rsidRPr="008376AF">
        <w:rPr>
          <w:lang w:val="de-DE"/>
        </w:rPr>
        <w:t>stabile</w:t>
      </w:r>
      <w:r w:rsidR="00E92C50" w:rsidRPr="008376AF">
        <w:rPr>
          <w:lang w:val="de-DE"/>
        </w:rPr>
        <w:t xml:space="preserve"> Entscheidung</w:t>
      </w:r>
      <w:r w:rsidR="00772103" w:rsidRPr="008376AF">
        <w:rPr>
          <w:lang w:val="de-DE"/>
        </w:rPr>
        <w:t xml:space="preserve"> über die</w:t>
      </w:r>
      <w:r w:rsidRPr="008376AF">
        <w:rPr>
          <w:lang w:val="de-DE"/>
        </w:rPr>
        <w:t xml:space="preserve"> </w:t>
      </w:r>
      <w:r w:rsidR="00943879" w:rsidRPr="008376AF">
        <w:rPr>
          <w:lang w:val="de-DE"/>
        </w:rPr>
        <w:t>Unterscheidbarkeit</w:t>
      </w:r>
      <w:r w:rsidR="00772103" w:rsidRPr="008376AF">
        <w:rPr>
          <w:lang w:val="de-DE"/>
        </w:rPr>
        <w:t xml:space="preserve"> nach einer einzigen Wachstum</w:t>
      </w:r>
      <w:r w:rsidR="00C4083D" w:rsidRPr="008376AF">
        <w:rPr>
          <w:lang w:val="de-DE"/>
        </w:rPr>
        <w:t>s</w:t>
      </w:r>
      <w:r w:rsidR="00772103" w:rsidRPr="008376AF">
        <w:rPr>
          <w:lang w:val="de-DE"/>
        </w:rPr>
        <w:t xml:space="preserve">periode </w:t>
      </w:r>
      <w:r w:rsidR="00323A50" w:rsidRPr="008376AF">
        <w:rPr>
          <w:lang w:val="de-DE"/>
        </w:rPr>
        <w:t>auf Basis eines</w:t>
      </w:r>
      <w:r w:rsidR="00772103" w:rsidRPr="008376AF">
        <w:rPr>
          <w:lang w:val="de-DE"/>
        </w:rPr>
        <w:t xml:space="preserve"> </w:t>
      </w:r>
      <w:r w:rsidR="00DE10D1" w:rsidRPr="008376AF">
        <w:rPr>
          <w:lang w:val="de-DE"/>
        </w:rPr>
        <w:t>ausreichend</w:t>
      </w:r>
      <w:r w:rsidR="00772103" w:rsidRPr="008376AF">
        <w:rPr>
          <w:lang w:val="de-DE"/>
        </w:rPr>
        <w:t xml:space="preserve"> großen Unterschied</w:t>
      </w:r>
      <w:r w:rsidR="00323A50" w:rsidRPr="008376AF">
        <w:rPr>
          <w:lang w:val="de-DE"/>
        </w:rPr>
        <w:t>es</w:t>
      </w:r>
      <w:r w:rsidR="00772103" w:rsidRPr="008376AF">
        <w:rPr>
          <w:lang w:val="de-DE"/>
        </w:rPr>
        <w:t xml:space="preserve"> der</w:t>
      </w:r>
      <w:r w:rsidRPr="008376AF">
        <w:rPr>
          <w:lang w:val="de-DE"/>
        </w:rPr>
        <w:t xml:space="preserve"> </w:t>
      </w:r>
      <w:r w:rsidR="00522047" w:rsidRPr="008376AF">
        <w:rPr>
          <w:lang w:val="de-DE"/>
        </w:rPr>
        <w:t>Merkmale</w:t>
      </w:r>
      <w:r w:rsidR="00323A50" w:rsidRPr="008376AF">
        <w:rPr>
          <w:lang w:val="de-DE"/>
        </w:rPr>
        <w:t xml:space="preserve"> erreicht werden könne</w:t>
      </w:r>
      <w:r w:rsidRPr="008376AF">
        <w:rPr>
          <w:lang w:val="de-DE"/>
        </w:rPr>
        <w:t>.</w:t>
      </w:r>
    </w:p>
    <w:p w:rsidR="00DE2411" w:rsidRPr="008376AF" w:rsidRDefault="00DE2411" w:rsidP="006C741E">
      <w:pPr>
        <w:rPr>
          <w:lang w:val="de-DE"/>
        </w:rPr>
      </w:pPr>
    </w:p>
    <w:p w:rsidR="00DE2411" w:rsidRPr="008376AF" w:rsidRDefault="006C741E" w:rsidP="006C741E">
      <w:pPr>
        <w:rPr>
          <w:lang w:val="de-DE"/>
        </w:rPr>
      </w:pPr>
      <w:r w:rsidRPr="008376AF">
        <w:rPr>
          <w:lang w:val="de-DE"/>
        </w:rPr>
        <w:fldChar w:fldCharType="begin"/>
      </w:r>
      <w:r w:rsidRPr="008376AF">
        <w:rPr>
          <w:lang w:val="de-DE"/>
        </w:rPr>
        <w:instrText xml:space="preserve"> AUTONUM  </w:instrText>
      </w:r>
      <w:r w:rsidRPr="008376AF">
        <w:rPr>
          <w:lang w:val="de-DE"/>
        </w:rPr>
        <w:fldChar w:fldCharType="end"/>
      </w:r>
      <w:r w:rsidRPr="008376AF">
        <w:rPr>
          <w:lang w:val="de-DE"/>
        </w:rPr>
        <w:tab/>
      </w:r>
      <w:r w:rsidR="002F0306" w:rsidRPr="008376AF">
        <w:rPr>
          <w:lang w:val="de-DE"/>
        </w:rPr>
        <w:t>Die</w:t>
      </w:r>
      <w:r w:rsidRPr="008376AF">
        <w:rPr>
          <w:lang w:val="de-DE"/>
        </w:rPr>
        <w:t xml:space="preserve"> TWA </w:t>
      </w:r>
      <w:r w:rsidR="00522047" w:rsidRPr="008376AF">
        <w:rPr>
          <w:lang w:val="de-DE"/>
        </w:rPr>
        <w:t>nahm zur Kenntnis, daß</w:t>
      </w:r>
      <w:r w:rsidR="00943879" w:rsidRPr="008376AF">
        <w:rPr>
          <w:lang w:val="de-DE"/>
        </w:rPr>
        <w:t xml:space="preserve"> DNS</w:t>
      </w:r>
      <w:r w:rsidR="00DE10D1" w:rsidRPr="008376AF">
        <w:rPr>
          <w:lang w:val="de-DE"/>
        </w:rPr>
        <w:t>-Marker-</w:t>
      </w:r>
      <w:r w:rsidR="002F0306" w:rsidRPr="008376AF">
        <w:rPr>
          <w:lang w:val="de-DE"/>
        </w:rPr>
        <w:t>I</w:t>
      </w:r>
      <w:r w:rsidRPr="008376AF">
        <w:rPr>
          <w:lang w:val="de-DE"/>
        </w:rPr>
        <w:t>nformation</w:t>
      </w:r>
      <w:r w:rsidR="002F0306" w:rsidRPr="008376AF">
        <w:rPr>
          <w:lang w:val="de-DE"/>
        </w:rPr>
        <w:t>en</w:t>
      </w:r>
      <w:r w:rsidRPr="008376AF">
        <w:rPr>
          <w:lang w:val="de-DE"/>
        </w:rPr>
        <w:t xml:space="preserve"> </w:t>
      </w:r>
      <w:r w:rsidR="00DE10D1" w:rsidRPr="008376AF">
        <w:rPr>
          <w:lang w:val="de-DE"/>
        </w:rPr>
        <w:t>unterstützende</w:t>
      </w:r>
      <w:r w:rsidR="002F0306" w:rsidRPr="008376AF">
        <w:rPr>
          <w:lang w:val="de-DE"/>
        </w:rPr>
        <w:t xml:space="preserve"> Informationen in der</w:t>
      </w:r>
      <w:r w:rsidRPr="008376AF">
        <w:rPr>
          <w:lang w:val="de-DE"/>
        </w:rPr>
        <w:t xml:space="preserve"> </w:t>
      </w:r>
      <w:r w:rsidR="00522047" w:rsidRPr="008376AF">
        <w:rPr>
          <w:lang w:val="de-DE"/>
        </w:rPr>
        <w:t>DUS-Prüfung</w:t>
      </w:r>
      <w:r w:rsidR="002F0306" w:rsidRPr="008376AF">
        <w:rPr>
          <w:lang w:val="de-DE"/>
        </w:rPr>
        <w:t xml:space="preserve"> </w:t>
      </w:r>
      <w:r w:rsidR="0062221A" w:rsidRPr="008376AF">
        <w:rPr>
          <w:lang w:val="de-DE"/>
        </w:rPr>
        <w:t>zu</w:t>
      </w:r>
      <w:r w:rsidR="00DE10D1" w:rsidRPr="008376AF">
        <w:rPr>
          <w:lang w:val="de-DE"/>
        </w:rPr>
        <w:t>r</w:t>
      </w:r>
      <w:r w:rsidR="0062221A" w:rsidRPr="008376AF">
        <w:rPr>
          <w:lang w:val="de-DE"/>
        </w:rPr>
        <w:t xml:space="preserve"> Verfügung stellen könnten</w:t>
      </w:r>
      <w:r w:rsidRPr="008376AF">
        <w:rPr>
          <w:lang w:val="de-DE"/>
        </w:rPr>
        <w:t xml:space="preserve">, </w:t>
      </w:r>
      <w:r w:rsidR="0062221A" w:rsidRPr="008376AF">
        <w:rPr>
          <w:lang w:val="de-DE"/>
        </w:rPr>
        <w:t>wie i</w:t>
      </w:r>
      <w:r w:rsidR="00C4083D" w:rsidRPr="008376AF">
        <w:rPr>
          <w:lang w:val="de-DE"/>
        </w:rPr>
        <w:t>n</w:t>
      </w:r>
      <w:r w:rsidR="0062221A" w:rsidRPr="008376AF">
        <w:rPr>
          <w:lang w:val="de-DE"/>
        </w:rPr>
        <w:t xml:space="preserve"> Dok</w:t>
      </w:r>
      <w:r w:rsidRPr="008376AF">
        <w:rPr>
          <w:lang w:val="de-DE"/>
        </w:rPr>
        <w:t>ument TGP/15</w:t>
      </w:r>
      <w:r w:rsidR="0062221A" w:rsidRPr="008376AF">
        <w:rPr>
          <w:lang w:val="de-DE"/>
        </w:rPr>
        <w:t xml:space="preserve"> </w:t>
      </w:r>
      <w:r w:rsidR="004C3573" w:rsidRPr="008376AF">
        <w:rPr>
          <w:lang w:val="de-DE"/>
        </w:rPr>
        <w:t>„</w:t>
      </w:r>
      <w:r w:rsidR="00943879" w:rsidRPr="008376AF">
        <w:rPr>
          <w:lang w:val="de-DE"/>
        </w:rPr>
        <w:t>Anleitung zur Verwendung biochemischer und molekularer Marker bei der Prüfung der Unterscheidbarkeit, der Homogenität und der Beständigkeit</w:t>
      </w:r>
      <w:r w:rsidR="00C4083D" w:rsidRPr="008376AF">
        <w:rPr>
          <w:lang w:val="de-DE"/>
        </w:rPr>
        <w:t xml:space="preserve"> (DUS</w:t>
      </w:r>
      <w:r w:rsidR="00507773" w:rsidRPr="008376AF">
        <w:rPr>
          <w:lang w:val="de-DE"/>
        </w:rPr>
        <w:t>)</w:t>
      </w:r>
      <w:r w:rsidR="003D1FE5" w:rsidRPr="008376AF">
        <w:rPr>
          <w:lang w:val="de-DE"/>
        </w:rPr>
        <w:t>“</w:t>
      </w:r>
      <w:r w:rsidR="004C3573" w:rsidRPr="008376AF">
        <w:rPr>
          <w:lang w:val="de-DE"/>
        </w:rPr>
        <w:t xml:space="preserve"> dargelegt</w:t>
      </w:r>
      <w:r w:rsidRPr="008376AF">
        <w:rPr>
          <w:lang w:val="de-DE"/>
        </w:rPr>
        <w:t>.</w:t>
      </w:r>
      <w:r w:rsidR="00522047" w:rsidRPr="008376AF">
        <w:rPr>
          <w:lang w:val="de-DE"/>
        </w:rPr>
        <w:t xml:space="preserve"> </w:t>
      </w:r>
      <w:r w:rsidR="0062221A" w:rsidRPr="008376AF">
        <w:rPr>
          <w:lang w:val="de-DE"/>
        </w:rPr>
        <w:t>Die</w:t>
      </w:r>
      <w:r w:rsidRPr="008376AF">
        <w:rPr>
          <w:lang w:val="de-DE"/>
        </w:rPr>
        <w:t xml:space="preserve"> TWA </w:t>
      </w:r>
      <w:r w:rsidR="00EA35AE" w:rsidRPr="008376AF">
        <w:rPr>
          <w:lang w:val="de-DE"/>
        </w:rPr>
        <w:t xml:space="preserve">nahm </w:t>
      </w:r>
      <w:r w:rsidR="00170A49" w:rsidRPr="008376AF">
        <w:rPr>
          <w:lang w:val="de-DE"/>
        </w:rPr>
        <w:t xml:space="preserve">die </w:t>
      </w:r>
      <w:r w:rsidR="00EA35AE" w:rsidRPr="008376AF">
        <w:rPr>
          <w:lang w:val="de-DE"/>
        </w:rPr>
        <w:t xml:space="preserve">von den Niederlanden </w:t>
      </w:r>
      <w:r w:rsidR="004C3573" w:rsidRPr="008376AF">
        <w:rPr>
          <w:lang w:val="de-DE"/>
        </w:rPr>
        <w:t>berichtete Erfahrung</w:t>
      </w:r>
      <w:r w:rsidR="00170A49" w:rsidRPr="008376AF">
        <w:rPr>
          <w:lang w:val="de-DE"/>
        </w:rPr>
        <w:t xml:space="preserve"> </w:t>
      </w:r>
      <w:r w:rsidR="004C3573" w:rsidRPr="008376AF">
        <w:rPr>
          <w:lang w:val="de-DE"/>
        </w:rPr>
        <w:t>zur Kenntnis</w:t>
      </w:r>
      <w:r w:rsidR="00C4083D" w:rsidRPr="008376AF">
        <w:rPr>
          <w:lang w:val="de-DE"/>
        </w:rPr>
        <w:t>,</w:t>
      </w:r>
      <w:r w:rsidR="004C3573" w:rsidRPr="008376AF">
        <w:rPr>
          <w:lang w:val="de-DE"/>
        </w:rPr>
        <w:t xml:space="preserve"> </w:t>
      </w:r>
      <w:r w:rsidR="00170A49" w:rsidRPr="008376AF">
        <w:rPr>
          <w:lang w:val="de-DE"/>
        </w:rPr>
        <w:t>daß die</w:t>
      </w:r>
      <w:r w:rsidR="00943879" w:rsidRPr="008376AF">
        <w:rPr>
          <w:lang w:val="de-DE"/>
        </w:rPr>
        <w:t xml:space="preserve"> DNS</w:t>
      </w:r>
      <w:r w:rsidR="004C3573" w:rsidRPr="008376AF">
        <w:rPr>
          <w:lang w:val="de-DE"/>
        </w:rPr>
        <w:t>-Marker-</w:t>
      </w:r>
      <w:r w:rsidR="00170A49" w:rsidRPr="008376AF">
        <w:rPr>
          <w:lang w:val="de-DE"/>
        </w:rPr>
        <w:t>I</w:t>
      </w:r>
      <w:r w:rsidRPr="008376AF">
        <w:rPr>
          <w:lang w:val="de-DE"/>
        </w:rPr>
        <w:t>nformation</w:t>
      </w:r>
      <w:r w:rsidR="00170A49" w:rsidRPr="008376AF">
        <w:rPr>
          <w:lang w:val="de-DE"/>
        </w:rPr>
        <w:t>en</w:t>
      </w:r>
      <w:r w:rsidRPr="008376AF">
        <w:rPr>
          <w:lang w:val="de-DE"/>
        </w:rPr>
        <w:t xml:space="preserve"> </w:t>
      </w:r>
      <w:r w:rsidR="00F73159" w:rsidRPr="008376AF">
        <w:rPr>
          <w:lang w:val="de-DE"/>
        </w:rPr>
        <w:t>auch verwendet w</w:t>
      </w:r>
      <w:r w:rsidR="004C3573" w:rsidRPr="008376AF">
        <w:rPr>
          <w:lang w:val="de-DE"/>
        </w:rPr>
        <w:t>erde</w:t>
      </w:r>
      <w:r w:rsidR="00F73159" w:rsidRPr="008376AF">
        <w:rPr>
          <w:lang w:val="de-DE"/>
        </w:rPr>
        <w:t>, um</w:t>
      </w:r>
      <w:r w:rsidR="004C3573" w:rsidRPr="008376AF">
        <w:rPr>
          <w:lang w:val="de-DE"/>
        </w:rPr>
        <w:t xml:space="preserve"> die Rechte der Pflanzenzüchter</w:t>
      </w:r>
      <w:r w:rsidR="00F73159" w:rsidRPr="008376AF">
        <w:rPr>
          <w:lang w:val="de-DE"/>
        </w:rPr>
        <w:t xml:space="preserve"> durchzusetzen,</w:t>
      </w:r>
      <w:r w:rsidR="00D67088" w:rsidRPr="008376AF">
        <w:rPr>
          <w:lang w:val="de-DE"/>
        </w:rPr>
        <w:t xml:space="preserve"> in Kombination mit</w:t>
      </w:r>
      <w:r w:rsidRPr="008376AF">
        <w:rPr>
          <w:lang w:val="de-DE"/>
        </w:rPr>
        <w:t xml:space="preserve"> </w:t>
      </w:r>
      <w:r w:rsidR="004C3573" w:rsidRPr="008376AF">
        <w:rPr>
          <w:lang w:val="de-DE"/>
        </w:rPr>
        <w:t xml:space="preserve">einer </w:t>
      </w:r>
      <w:r w:rsidR="00943879" w:rsidRPr="008376AF">
        <w:rPr>
          <w:lang w:val="de-DE"/>
        </w:rPr>
        <w:t>Seite-an-Seite-Überprüfung</w:t>
      </w:r>
      <w:r w:rsidR="00D67088" w:rsidRPr="008376AF">
        <w:rPr>
          <w:lang w:val="de-DE"/>
        </w:rPr>
        <w:t xml:space="preserve"> der</w:t>
      </w:r>
      <w:r w:rsidRPr="008376AF">
        <w:rPr>
          <w:lang w:val="de-DE"/>
        </w:rPr>
        <w:t xml:space="preserve"> </w:t>
      </w:r>
      <w:r w:rsidR="00943879" w:rsidRPr="008376AF">
        <w:rPr>
          <w:lang w:val="de-DE"/>
        </w:rPr>
        <w:t>Übereinstimmung von Pflanzenmaterial</w:t>
      </w:r>
      <w:r w:rsidRPr="008376AF">
        <w:rPr>
          <w:lang w:val="de-DE"/>
        </w:rPr>
        <w:t xml:space="preserve"> </w:t>
      </w:r>
      <w:r w:rsidR="004C3573" w:rsidRPr="008376AF">
        <w:rPr>
          <w:lang w:val="de-DE"/>
        </w:rPr>
        <w:t>mit einer</w:t>
      </w:r>
      <w:r w:rsidR="00D67088" w:rsidRPr="008376AF">
        <w:rPr>
          <w:lang w:val="de-DE"/>
        </w:rPr>
        <w:t xml:space="preserve"> geschützte</w:t>
      </w:r>
      <w:r w:rsidR="004C3573" w:rsidRPr="008376AF">
        <w:rPr>
          <w:lang w:val="de-DE"/>
        </w:rPr>
        <w:t>n</w:t>
      </w:r>
      <w:r w:rsidRPr="008376AF">
        <w:rPr>
          <w:lang w:val="de-DE"/>
        </w:rPr>
        <w:t xml:space="preserve"> </w:t>
      </w:r>
      <w:r w:rsidR="00943879" w:rsidRPr="008376AF">
        <w:rPr>
          <w:lang w:val="de-DE"/>
        </w:rPr>
        <w:t>Sorte</w:t>
      </w:r>
      <w:r w:rsidRPr="008376AF">
        <w:rPr>
          <w:lang w:val="de-DE"/>
        </w:rPr>
        <w:t>.</w:t>
      </w:r>
    </w:p>
    <w:p w:rsidR="00DE2411" w:rsidRPr="008376AF" w:rsidRDefault="00DE2411" w:rsidP="006C741E">
      <w:pPr>
        <w:rPr>
          <w:lang w:val="de-DE"/>
        </w:rPr>
      </w:pPr>
    </w:p>
    <w:p w:rsidR="00DE2411" w:rsidRPr="008376AF" w:rsidRDefault="00DE2411" w:rsidP="006C741E">
      <w:pPr>
        <w:rPr>
          <w:lang w:val="de-DE"/>
        </w:rPr>
      </w:pPr>
    </w:p>
    <w:p w:rsidR="00DE2411" w:rsidRPr="008376AF" w:rsidRDefault="00DE2411" w:rsidP="00DE2411">
      <w:pPr>
        <w:pStyle w:val="Heading2"/>
        <w:rPr>
          <w:lang w:val="de-DE"/>
        </w:rPr>
      </w:pPr>
      <w:bookmarkStart w:id="11" w:name="_Toc527462862"/>
      <w:r w:rsidRPr="008376AF">
        <w:rPr>
          <w:lang w:val="de-DE"/>
        </w:rPr>
        <w:t>Technische Arbeitsgruppe für Automatisierung und Computerprogramme</w:t>
      </w:r>
      <w:bookmarkEnd w:id="11"/>
    </w:p>
    <w:p w:rsidR="00DE2411" w:rsidRPr="008376AF" w:rsidRDefault="00DE2411" w:rsidP="00E02A18">
      <w:pPr>
        <w:rPr>
          <w:lang w:val="de-DE"/>
        </w:rPr>
      </w:pPr>
    </w:p>
    <w:p w:rsidR="00DE2411" w:rsidRPr="008376AF" w:rsidRDefault="00E02A18" w:rsidP="00DE2411">
      <w:pPr>
        <w:rPr>
          <w:lang w:val="de-DE"/>
        </w:rPr>
      </w:pPr>
      <w:r w:rsidRPr="008376AF">
        <w:rPr>
          <w:lang w:val="de-DE"/>
        </w:rPr>
        <w:fldChar w:fldCharType="begin"/>
      </w:r>
      <w:r w:rsidRPr="008376AF">
        <w:rPr>
          <w:lang w:val="de-DE"/>
        </w:rPr>
        <w:instrText xml:space="preserve"> AUTONUM  </w:instrText>
      </w:r>
      <w:r w:rsidRPr="008376AF">
        <w:rPr>
          <w:lang w:val="de-DE"/>
        </w:rPr>
        <w:fldChar w:fldCharType="end"/>
      </w:r>
      <w:r w:rsidRPr="008376AF">
        <w:rPr>
          <w:lang w:val="de-DE"/>
        </w:rPr>
        <w:tab/>
      </w:r>
      <w:r w:rsidR="00DE2411" w:rsidRPr="008376AF">
        <w:rPr>
          <w:lang w:val="de-DE"/>
        </w:rPr>
        <w:t xml:space="preserve">Die TWO prüfte die Dokumente </w:t>
      </w:r>
      <w:hyperlink r:id="rId12" w:history="1">
        <w:r w:rsidR="00C4083D" w:rsidRPr="0069769C">
          <w:rPr>
            <w:color w:val="0000FF"/>
            <w:u w:val="single"/>
            <w:lang w:val="de-DE"/>
          </w:rPr>
          <w:t>TWC/36/6</w:t>
        </w:r>
      </w:hyperlink>
      <w:r w:rsidR="00C4083D" w:rsidRPr="0069769C">
        <w:rPr>
          <w:lang w:val="de-DE"/>
        </w:rPr>
        <w:t xml:space="preserve"> und </w:t>
      </w:r>
      <w:hyperlink r:id="rId13" w:history="1">
        <w:r w:rsidR="00C4083D" w:rsidRPr="0069769C">
          <w:rPr>
            <w:rStyle w:val="Hyperlink"/>
            <w:lang w:val="de-DE"/>
          </w:rPr>
          <w:t>TWC/36/6 Add.</w:t>
        </w:r>
      </w:hyperlink>
      <w:r w:rsidR="00C4083D" w:rsidRPr="0069769C">
        <w:rPr>
          <w:rStyle w:val="Hyperlink"/>
          <w:lang w:val="de-DE"/>
        </w:rPr>
        <w:t xml:space="preserve"> </w:t>
      </w:r>
      <w:r w:rsidR="004C3573" w:rsidRPr="008376AF">
        <w:rPr>
          <w:lang w:val="de-DE"/>
        </w:rPr>
        <w:t>„</w:t>
      </w:r>
      <w:r w:rsidR="004C3573" w:rsidRPr="008376AF">
        <w:rPr>
          <w:rFonts w:cs="Arial"/>
          <w:lang w:val="de-DE"/>
        </w:rPr>
        <w:t xml:space="preserve">Impact </w:t>
      </w:r>
      <w:proofErr w:type="spellStart"/>
      <w:r w:rsidR="004C3573" w:rsidRPr="008376AF">
        <w:rPr>
          <w:rFonts w:cs="Arial"/>
          <w:lang w:val="de-DE"/>
        </w:rPr>
        <w:t>of</w:t>
      </w:r>
      <w:proofErr w:type="spellEnd"/>
      <w:r w:rsidR="00C4083D" w:rsidRPr="008376AF">
        <w:rPr>
          <w:rFonts w:cs="Arial"/>
          <w:lang w:val="de-DE"/>
        </w:rPr>
        <w:t xml:space="preserve"> </w:t>
      </w:r>
      <w:proofErr w:type="spellStart"/>
      <w:r w:rsidR="00C4083D" w:rsidRPr="008376AF">
        <w:rPr>
          <w:rFonts w:cs="Arial"/>
          <w:lang w:val="de-DE"/>
        </w:rPr>
        <w:t>the</w:t>
      </w:r>
      <w:proofErr w:type="spellEnd"/>
      <w:r w:rsidR="004C3573" w:rsidRPr="008376AF">
        <w:rPr>
          <w:rFonts w:cs="Arial"/>
          <w:lang w:val="de-DE"/>
        </w:rPr>
        <w:t xml:space="preserve"> </w:t>
      </w:r>
      <w:proofErr w:type="spellStart"/>
      <w:r w:rsidR="004C3573" w:rsidRPr="008376AF">
        <w:rPr>
          <w:rFonts w:cs="Arial"/>
          <w:lang w:val="de-DE"/>
        </w:rPr>
        <w:t>number</w:t>
      </w:r>
      <w:proofErr w:type="spellEnd"/>
      <w:r w:rsidR="004C3573" w:rsidRPr="008376AF">
        <w:rPr>
          <w:rFonts w:cs="Arial"/>
          <w:lang w:val="de-DE"/>
        </w:rPr>
        <w:t xml:space="preserve"> </w:t>
      </w:r>
      <w:proofErr w:type="spellStart"/>
      <w:r w:rsidR="004C3573" w:rsidRPr="008376AF">
        <w:rPr>
          <w:rFonts w:cs="Arial"/>
          <w:lang w:val="de-DE"/>
        </w:rPr>
        <w:t>of</w:t>
      </w:r>
      <w:proofErr w:type="spellEnd"/>
      <w:r w:rsidR="004C3573" w:rsidRPr="008376AF">
        <w:rPr>
          <w:rFonts w:cs="Arial"/>
          <w:lang w:val="de-DE"/>
        </w:rPr>
        <w:t xml:space="preserve"> growing cycles on variety descriptions and discrimination power in potato</w:t>
      </w:r>
      <w:r w:rsidR="003D1FE5" w:rsidRPr="008376AF">
        <w:rPr>
          <w:lang w:val="de-DE"/>
        </w:rPr>
        <w:t>“</w:t>
      </w:r>
      <w:r w:rsidR="00D67088" w:rsidRPr="008376AF">
        <w:rPr>
          <w:lang w:val="de-DE"/>
        </w:rPr>
        <w:t xml:space="preserve"> und</w:t>
      </w:r>
      <w:r w:rsidRPr="008376AF">
        <w:rPr>
          <w:lang w:val="de-DE"/>
        </w:rPr>
        <w:t xml:space="preserve"> </w:t>
      </w:r>
      <w:r w:rsidR="00522047" w:rsidRPr="008376AF">
        <w:rPr>
          <w:lang w:val="de-DE"/>
        </w:rPr>
        <w:t>hörte ein Referat</w:t>
      </w:r>
      <w:r w:rsidRPr="008376AF">
        <w:rPr>
          <w:lang w:val="de-DE"/>
        </w:rPr>
        <w:t xml:space="preserve"> </w:t>
      </w:r>
      <w:r w:rsidR="004C3573" w:rsidRPr="008376AF">
        <w:rPr>
          <w:lang w:val="de-DE"/>
        </w:rPr>
        <w:t>von einem</w:t>
      </w:r>
      <w:r w:rsidRPr="008376AF">
        <w:rPr>
          <w:lang w:val="de-DE"/>
        </w:rPr>
        <w:t xml:space="preserve"> </w:t>
      </w:r>
      <w:r w:rsidR="00522047" w:rsidRPr="008376AF">
        <w:rPr>
          <w:lang w:val="de-DE"/>
        </w:rPr>
        <w:t>Sachverständigen</w:t>
      </w:r>
      <w:r w:rsidR="00D67088" w:rsidRPr="008376AF">
        <w:rPr>
          <w:lang w:val="de-DE"/>
        </w:rPr>
        <w:t xml:space="preserve"> aus Deutschland</w:t>
      </w:r>
      <w:r w:rsidR="009957AA" w:rsidRPr="008376AF">
        <w:rPr>
          <w:lang w:val="de-DE"/>
        </w:rPr>
        <w:t xml:space="preserve"> (</w:t>
      </w:r>
      <w:r w:rsidR="00A02094" w:rsidRPr="008376AF">
        <w:rPr>
          <w:lang w:val="de-DE"/>
        </w:rPr>
        <w:t>vergleiche Dokument</w:t>
      </w:r>
      <w:r w:rsidR="009957AA" w:rsidRPr="008376AF">
        <w:rPr>
          <w:lang w:val="de-DE"/>
        </w:rPr>
        <w:t xml:space="preserve"> TWC/36/15 </w:t>
      </w:r>
      <w:r w:rsidR="00A02094" w:rsidRPr="008376AF">
        <w:rPr>
          <w:lang w:val="de-DE"/>
        </w:rPr>
        <w:t>„</w:t>
      </w:r>
      <w:r w:rsidR="004C3573" w:rsidRPr="008376AF">
        <w:rPr>
          <w:lang w:val="de-DE"/>
        </w:rPr>
        <w:t>Report</w:t>
      </w:r>
      <w:r w:rsidR="00A02094" w:rsidRPr="008376AF">
        <w:rPr>
          <w:lang w:val="de-DE"/>
        </w:rPr>
        <w:t>“, Absätze</w:t>
      </w:r>
      <w:r w:rsidR="009957AA" w:rsidRPr="008376AF">
        <w:rPr>
          <w:lang w:val="de-DE"/>
        </w:rPr>
        <w:t xml:space="preserve"> </w:t>
      </w:r>
      <w:r w:rsidR="006657C5" w:rsidRPr="008376AF">
        <w:rPr>
          <w:lang w:val="de-DE"/>
        </w:rPr>
        <w:t>24 bis</w:t>
      </w:r>
      <w:r w:rsidRPr="008376AF">
        <w:rPr>
          <w:lang w:val="de-DE"/>
        </w:rPr>
        <w:t xml:space="preserve"> 28).</w:t>
      </w:r>
    </w:p>
    <w:p w:rsidR="00DE2411" w:rsidRPr="008376AF" w:rsidRDefault="00DE2411" w:rsidP="00E02A18">
      <w:pPr>
        <w:rPr>
          <w:lang w:val="de-DE"/>
        </w:rPr>
      </w:pPr>
    </w:p>
    <w:p w:rsidR="00DE2411" w:rsidRPr="008376AF" w:rsidRDefault="00E02A18" w:rsidP="00E02A18">
      <w:pPr>
        <w:rPr>
          <w:lang w:val="de-DE"/>
        </w:rPr>
      </w:pPr>
      <w:r w:rsidRPr="008376AF">
        <w:rPr>
          <w:lang w:val="de-DE"/>
        </w:rPr>
        <w:fldChar w:fldCharType="begin"/>
      </w:r>
      <w:r w:rsidRPr="008376AF">
        <w:rPr>
          <w:lang w:val="de-DE"/>
        </w:rPr>
        <w:instrText xml:space="preserve"> AUTONUM  </w:instrText>
      </w:r>
      <w:r w:rsidRPr="008376AF">
        <w:rPr>
          <w:lang w:val="de-DE"/>
        </w:rPr>
        <w:fldChar w:fldCharType="end"/>
      </w:r>
      <w:r w:rsidRPr="008376AF">
        <w:rPr>
          <w:lang w:val="de-DE"/>
        </w:rPr>
        <w:tab/>
      </w:r>
      <w:r w:rsidR="00D67088" w:rsidRPr="008376AF">
        <w:rPr>
          <w:lang w:val="de-DE"/>
        </w:rPr>
        <w:t>Die</w:t>
      </w:r>
      <w:r w:rsidR="00F2027E" w:rsidRPr="008376AF">
        <w:rPr>
          <w:lang w:val="de-DE"/>
        </w:rPr>
        <w:t xml:space="preserve"> TWC begrüßte die statistische Analyse, die den </w:t>
      </w:r>
      <w:r w:rsidR="00943879" w:rsidRPr="008376AF">
        <w:rPr>
          <w:lang w:val="de-DE"/>
        </w:rPr>
        <w:t xml:space="preserve">Genotyp nach Interaktion mit der Umwelt </w:t>
      </w:r>
      <w:r w:rsidR="00F2027E" w:rsidRPr="008376AF">
        <w:rPr>
          <w:lang w:val="de-DE"/>
        </w:rPr>
        <w:t>für über Jahre erstellte Beschreibungen quantifiziert.</w:t>
      </w:r>
    </w:p>
    <w:p w:rsidR="00DE2411" w:rsidRPr="008376AF" w:rsidRDefault="00DE2411" w:rsidP="00E02A18">
      <w:pPr>
        <w:rPr>
          <w:lang w:val="de-DE"/>
        </w:rPr>
      </w:pPr>
    </w:p>
    <w:p w:rsidR="00DE2411" w:rsidRPr="008376AF" w:rsidRDefault="00E02A18" w:rsidP="00E02A18">
      <w:pPr>
        <w:rPr>
          <w:lang w:val="de-DE"/>
        </w:rPr>
      </w:pPr>
      <w:r w:rsidRPr="008376AF">
        <w:rPr>
          <w:lang w:val="de-DE"/>
        </w:rPr>
        <w:fldChar w:fldCharType="begin"/>
      </w:r>
      <w:r w:rsidRPr="008376AF">
        <w:rPr>
          <w:lang w:val="de-DE"/>
        </w:rPr>
        <w:instrText xml:space="preserve"> AUTONUM  </w:instrText>
      </w:r>
      <w:r w:rsidRPr="008376AF">
        <w:rPr>
          <w:lang w:val="de-DE"/>
        </w:rPr>
        <w:fldChar w:fldCharType="end"/>
      </w:r>
      <w:r w:rsidRPr="008376AF">
        <w:rPr>
          <w:lang w:val="de-DE"/>
        </w:rPr>
        <w:tab/>
      </w:r>
      <w:r w:rsidR="001A5895" w:rsidRPr="008376AF">
        <w:rPr>
          <w:lang w:val="de-DE"/>
        </w:rPr>
        <w:t>Die</w:t>
      </w:r>
      <w:r w:rsidRPr="008376AF">
        <w:rPr>
          <w:lang w:val="de-DE"/>
        </w:rPr>
        <w:t xml:space="preserve"> TWC </w:t>
      </w:r>
      <w:r w:rsidR="001A5895" w:rsidRPr="008376AF">
        <w:rPr>
          <w:lang w:val="de-DE"/>
        </w:rPr>
        <w:t>vereinbart</w:t>
      </w:r>
      <w:r w:rsidR="004C3573" w:rsidRPr="008376AF">
        <w:rPr>
          <w:lang w:val="de-DE"/>
        </w:rPr>
        <w:t>e</w:t>
      </w:r>
      <w:r w:rsidR="001A5895" w:rsidRPr="008376AF">
        <w:rPr>
          <w:lang w:val="de-DE"/>
        </w:rPr>
        <w:t>,</w:t>
      </w:r>
      <w:r w:rsidR="004C3573" w:rsidRPr="008376AF">
        <w:rPr>
          <w:lang w:val="de-DE"/>
        </w:rPr>
        <w:t xml:space="preserve"> </w:t>
      </w:r>
      <w:r w:rsidR="001A5895" w:rsidRPr="008376AF">
        <w:rPr>
          <w:lang w:val="de-DE"/>
        </w:rPr>
        <w:t>daß</w:t>
      </w:r>
      <w:r w:rsidRPr="008376AF">
        <w:rPr>
          <w:lang w:val="de-DE"/>
        </w:rPr>
        <w:t xml:space="preserve"> </w:t>
      </w:r>
      <w:r w:rsidR="00522047" w:rsidRPr="008376AF">
        <w:rPr>
          <w:lang w:val="de-DE"/>
        </w:rPr>
        <w:t>Sortenbeschreibungen</w:t>
      </w:r>
      <w:r w:rsidR="001A5895" w:rsidRPr="008376AF">
        <w:rPr>
          <w:lang w:val="de-DE"/>
        </w:rPr>
        <w:t>, die über zwei</w:t>
      </w:r>
      <w:r w:rsidRPr="008376AF">
        <w:rPr>
          <w:lang w:val="de-DE"/>
        </w:rPr>
        <w:t xml:space="preserve"> </w:t>
      </w:r>
      <w:r w:rsidR="00522047" w:rsidRPr="008376AF">
        <w:rPr>
          <w:lang w:val="de-DE"/>
        </w:rPr>
        <w:t>Wachstumsperioden</w:t>
      </w:r>
      <w:r w:rsidR="001A5895" w:rsidRPr="008376AF">
        <w:rPr>
          <w:lang w:val="de-DE"/>
        </w:rPr>
        <w:t xml:space="preserve"> erstellt w</w:t>
      </w:r>
      <w:r w:rsidR="003D1FE5" w:rsidRPr="008376AF">
        <w:rPr>
          <w:lang w:val="de-DE"/>
        </w:rPr>
        <w:t>e</w:t>
      </w:r>
      <w:r w:rsidR="001A5895" w:rsidRPr="008376AF">
        <w:rPr>
          <w:lang w:val="de-DE"/>
        </w:rPr>
        <w:t xml:space="preserve">rden, </w:t>
      </w:r>
      <w:r w:rsidR="004C3573" w:rsidRPr="008376AF">
        <w:rPr>
          <w:lang w:val="de-DE"/>
        </w:rPr>
        <w:t>stabiler seien</w:t>
      </w:r>
      <w:r w:rsidR="001A5895" w:rsidRPr="008376AF">
        <w:rPr>
          <w:lang w:val="de-DE"/>
        </w:rPr>
        <w:t xml:space="preserve"> als die, die in einer </w:t>
      </w:r>
      <w:r w:rsidR="004C3573" w:rsidRPr="008376AF">
        <w:rPr>
          <w:lang w:val="de-DE"/>
        </w:rPr>
        <w:t>einzelnen</w:t>
      </w:r>
      <w:r w:rsidR="001A5895" w:rsidRPr="008376AF">
        <w:rPr>
          <w:lang w:val="de-DE"/>
        </w:rPr>
        <w:t xml:space="preserve"> </w:t>
      </w:r>
      <w:r w:rsidR="00C4083D" w:rsidRPr="008376AF">
        <w:rPr>
          <w:lang w:val="de-DE"/>
        </w:rPr>
        <w:t>Wachstumsperiode</w:t>
      </w:r>
      <w:r w:rsidR="001A5895" w:rsidRPr="008376AF">
        <w:rPr>
          <w:lang w:val="de-DE"/>
        </w:rPr>
        <w:t xml:space="preserve"> erstellt werden.</w:t>
      </w:r>
    </w:p>
    <w:p w:rsidR="00DE2411" w:rsidRPr="008376AF" w:rsidRDefault="00DE2411" w:rsidP="00E02A18">
      <w:pPr>
        <w:rPr>
          <w:lang w:val="de-DE"/>
        </w:rPr>
      </w:pPr>
    </w:p>
    <w:p w:rsidR="00DE2411" w:rsidRPr="008376AF" w:rsidRDefault="00E02A18" w:rsidP="00E02A18">
      <w:pPr>
        <w:rPr>
          <w:lang w:val="de-DE"/>
        </w:rPr>
      </w:pPr>
      <w:r w:rsidRPr="008376AF">
        <w:rPr>
          <w:lang w:val="de-DE"/>
        </w:rPr>
        <w:fldChar w:fldCharType="begin"/>
      </w:r>
      <w:r w:rsidRPr="008376AF">
        <w:rPr>
          <w:lang w:val="de-DE"/>
        </w:rPr>
        <w:instrText xml:space="preserve"> AUTONUM  </w:instrText>
      </w:r>
      <w:r w:rsidRPr="008376AF">
        <w:rPr>
          <w:lang w:val="de-DE"/>
        </w:rPr>
        <w:fldChar w:fldCharType="end"/>
      </w:r>
      <w:r w:rsidR="001A5895" w:rsidRPr="008376AF">
        <w:rPr>
          <w:lang w:val="de-DE"/>
        </w:rPr>
        <w:tab/>
        <w:t>Die</w:t>
      </w:r>
      <w:r w:rsidRPr="008376AF">
        <w:rPr>
          <w:lang w:val="de-DE"/>
        </w:rPr>
        <w:t xml:space="preserve"> TWC </w:t>
      </w:r>
      <w:r w:rsidR="00522047" w:rsidRPr="008376AF">
        <w:rPr>
          <w:lang w:val="de-DE"/>
        </w:rPr>
        <w:t>vereinbarte</w:t>
      </w:r>
      <w:r w:rsidR="004C3573" w:rsidRPr="008376AF">
        <w:rPr>
          <w:lang w:val="de-DE"/>
        </w:rPr>
        <w:t>, daß</w:t>
      </w:r>
      <w:r w:rsidR="001A5895" w:rsidRPr="008376AF">
        <w:rPr>
          <w:lang w:val="de-DE"/>
        </w:rPr>
        <w:t xml:space="preserve"> kla</w:t>
      </w:r>
      <w:r w:rsidR="004C3573" w:rsidRPr="008376AF">
        <w:rPr>
          <w:lang w:val="de-DE"/>
        </w:rPr>
        <w:t>rgestellt werden sollte, daß</w:t>
      </w:r>
      <w:r w:rsidR="001A5895" w:rsidRPr="008376AF">
        <w:rPr>
          <w:lang w:val="de-DE"/>
        </w:rPr>
        <w:t xml:space="preserve"> Dokument TWC/36/6</w:t>
      </w:r>
      <w:r w:rsidR="005F33CE" w:rsidRPr="008376AF">
        <w:rPr>
          <w:lang w:val="de-DE"/>
        </w:rPr>
        <w:t xml:space="preserve"> Add.</w:t>
      </w:r>
      <w:r w:rsidR="001A5895" w:rsidRPr="008376AF">
        <w:rPr>
          <w:lang w:val="de-DE"/>
        </w:rPr>
        <w:t xml:space="preserve"> und Dokument TWC/36/6 </w:t>
      </w:r>
      <w:r w:rsidR="00507773" w:rsidRPr="008376AF">
        <w:rPr>
          <w:lang w:val="de-DE"/>
        </w:rPr>
        <w:t xml:space="preserve">Add. </w:t>
      </w:r>
      <w:r w:rsidR="001A5895" w:rsidRPr="008376AF">
        <w:rPr>
          <w:lang w:val="de-DE"/>
        </w:rPr>
        <w:t xml:space="preserve">Unterschiede in </w:t>
      </w:r>
      <w:r w:rsidR="005F33CE" w:rsidRPr="008376AF">
        <w:rPr>
          <w:lang w:val="de-DE"/>
        </w:rPr>
        <w:t>einzelnen</w:t>
      </w:r>
      <w:r w:rsidR="001A5895" w:rsidRPr="008376AF">
        <w:rPr>
          <w:lang w:val="de-DE"/>
        </w:rPr>
        <w:t xml:space="preserve"> </w:t>
      </w:r>
      <w:r w:rsidR="00522047" w:rsidRPr="008376AF">
        <w:rPr>
          <w:lang w:val="de-DE"/>
        </w:rPr>
        <w:t>Merkmale</w:t>
      </w:r>
      <w:r w:rsidR="00C4083D" w:rsidRPr="008376AF">
        <w:rPr>
          <w:lang w:val="de-DE"/>
        </w:rPr>
        <w:t>n</w:t>
      </w:r>
      <w:r w:rsidRPr="008376AF">
        <w:rPr>
          <w:lang w:val="de-DE"/>
        </w:rPr>
        <w:t xml:space="preserve"> </w:t>
      </w:r>
      <w:r w:rsidR="001A5895" w:rsidRPr="008376AF">
        <w:rPr>
          <w:lang w:val="de-DE"/>
        </w:rPr>
        <w:t xml:space="preserve">über Perioden </w:t>
      </w:r>
      <w:r w:rsidR="003D1FE5" w:rsidRPr="008376AF">
        <w:rPr>
          <w:lang w:val="de-DE"/>
        </w:rPr>
        <w:t xml:space="preserve">hinweg </w:t>
      </w:r>
      <w:r w:rsidR="001A5895" w:rsidRPr="008376AF">
        <w:rPr>
          <w:lang w:val="de-DE"/>
        </w:rPr>
        <w:t xml:space="preserve">analysiert und </w:t>
      </w:r>
      <w:r w:rsidR="005F49CD" w:rsidRPr="008376AF">
        <w:rPr>
          <w:lang w:val="de-DE"/>
        </w:rPr>
        <w:t xml:space="preserve">keine Unterschiede </w:t>
      </w:r>
      <w:r w:rsidR="005F33CE" w:rsidRPr="008376AF">
        <w:rPr>
          <w:lang w:val="de-DE"/>
        </w:rPr>
        <w:t>zwischen</w:t>
      </w:r>
      <w:r w:rsidR="005F49CD" w:rsidRPr="008376AF">
        <w:rPr>
          <w:lang w:val="de-DE"/>
        </w:rPr>
        <w:t xml:space="preserve"> Sorten </w:t>
      </w:r>
      <w:r w:rsidR="00C4083D" w:rsidRPr="008376AF">
        <w:rPr>
          <w:lang w:val="de-DE"/>
        </w:rPr>
        <w:t>für</w:t>
      </w:r>
      <w:r w:rsidR="005F49CD" w:rsidRPr="008376AF">
        <w:rPr>
          <w:lang w:val="de-DE"/>
        </w:rPr>
        <w:t xml:space="preserve"> alle Merkmale </w:t>
      </w:r>
      <w:r w:rsidR="003D1FE5" w:rsidRPr="008376AF">
        <w:rPr>
          <w:lang w:val="de-DE"/>
        </w:rPr>
        <w:t>be</w:t>
      </w:r>
      <w:r w:rsidR="001A5895" w:rsidRPr="008376AF">
        <w:rPr>
          <w:lang w:val="de-DE"/>
        </w:rPr>
        <w:t>wertet haben</w:t>
      </w:r>
      <w:r w:rsidRPr="008376AF">
        <w:rPr>
          <w:lang w:val="de-DE"/>
        </w:rPr>
        <w:t>.</w:t>
      </w:r>
    </w:p>
    <w:p w:rsidR="00DE2411" w:rsidRPr="008376AF" w:rsidRDefault="00DE2411" w:rsidP="00E02A18">
      <w:pPr>
        <w:rPr>
          <w:lang w:val="de-DE"/>
        </w:rPr>
      </w:pPr>
    </w:p>
    <w:p w:rsidR="00DE2411" w:rsidRPr="008376AF" w:rsidRDefault="00E02A18" w:rsidP="00E02A18">
      <w:pPr>
        <w:rPr>
          <w:lang w:val="de-DE"/>
        </w:rPr>
      </w:pPr>
      <w:r w:rsidRPr="008376AF">
        <w:rPr>
          <w:lang w:val="de-DE"/>
        </w:rPr>
        <w:fldChar w:fldCharType="begin"/>
      </w:r>
      <w:r w:rsidRPr="008376AF">
        <w:rPr>
          <w:lang w:val="de-DE"/>
        </w:rPr>
        <w:instrText xml:space="preserve"> AUTONUM  </w:instrText>
      </w:r>
      <w:r w:rsidRPr="008376AF">
        <w:rPr>
          <w:lang w:val="de-DE"/>
        </w:rPr>
        <w:fldChar w:fldCharType="end"/>
      </w:r>
      <w:r w:rsidRPr="008376AF">
        <w:rPr>
          <w:lang w:val="de-DE"/>
        </w:rPr>
        <w:tab/>
      </w:r>
      <w:r w:rsidR="00182975" w:rsidRPr="008376AF">
        <w:rPr>
          <w:lang w:val="de-DE"/>
        </w:rPr>
        <w:t>Die</w:t>
      </w:r>
      <w:r w:rsidRPr="008376AF">
        <w:rPr>
          <w:lang w:val="de-DE"/>
        </w:rPr>
        <w:t xml:space="preserve"> TWC </w:t>
      </w:r>
      <w:r w:rsidR="00182975" w:rsidRPr="008376AF">
        <w:rPr>
          <w:lang w:val="de-DE"/>
        </w:rPr>
        <w:t xml:space="preserve">nahm </w:t>
      </w:r>
      <w:r w:rsidR="005F33CE" w:rsidRPr="008376AF">
        <w:rPr>
          <w:lang w:val="de-DE"/>
        </w:rPr>
        <w:t>den</w:t>
      </w:r>
      <w:r w:rsidR="00447F87" w:rsidRPr="008376AF">
        <w:rPr>
          <w:lang w:val="de-DE"/>
        </w:rPr>
        <w:t xml:space="preserve"> mündliche</w:t>
      </w:r>
      <w:r w:rsidR="005F33CE" w:rsidRPr="008376AF">
        <w:rPr>
          <w:lang w:val="de-DE"/>
        </w:rPr>
        <w:t>n</w:t>
      </w:r>
      <w:r w:rsidR="00447F87" w:rsidRPr="008376AF">
        <w:rPr>
          <w:lang w:val="de-DE"/>
        </w:rPr>
        <w:t xml:space="preserve"> Bericht von den Niederlanden</w:t>
      </w:r>
      <w:r w:rsidR="005F33CE" w:rsidRPr="008376AF">
        <w:rPr>
          <w:lang w:val="de-DE"/>
        </w:rPr>
        <w:t xml:space="preserve"> zur Kenntnis</w:t>
      </w:r>
      <w:r w:rsidR="00447F87" w:rsidRPr="008376AF">
        <w:rPr>
          <w:lang w:val="de-DE"/>
        </w:rPr>
        <w:t xml:space="preserve">, daß eine Studie über </w:t>
      </w:r>
      <w:r w:rsidR="005F33CE" w:rsidRPr="008376AF">
        <w:rPr>
          <w:lang w:val="de-DE"/>
        </w:rPr>
        <w:t>die Verwendung</w:t>
      </w:r>
      <w:r w:rsidR="00447F87" w:rsidRPr="008376AF">
        <w:rPr>
          <w:lang w:val="de-DE"/>
        </w:rPr>
        <w:t xml:space="preserve"> von DNS</w:t>
      </w:r>
      <w:r w:rsidR="00447F87" w:rsidRPr="008376AF">
        <w:rPr>
          <w:lang w:val="de-DE"/>
        </w:rPr>
        <w:noBreakHyphen/>
        <w:t>Marker</w:t>
      </w:r>
      <w:r w:rsidR="005F33CE" w:rsidRPr="008376AF">
        <w:rPr>
          <w:lang w:val="de-DE"/>
        </w:rPr>
        <w:t>n</w:t>
      </w:r>
      <w:r w:rsidR="00447F87" w:rsidRPr="008376AF">
        <w:rPr>
          <w:lang w:val="de-DE"/>
        </w:rPr>
        <w:t xml:space="preserve"> als u</w:t>
      </w:r>
      <w:r w:rsidR="005F33CE" w:rsidRPr="008376AF">
        <w:rPr>
          <w:lang w:val="de-DE"/>
        </w:rPr>
        <w:t>nterstützende Information für</w:t>
      </w:r>
      <w:r w:rsidR="00447F87" w:rsidRPr="008376AF">
        <w:rPr>
          <w:lang w:val="de-DE"/>
        </w:rPr>
        <w:t xml:space="preserve"> Entscheidungen über die Unterscheidbarkeit </w:t>
      </w:r>
      <w:r w:rsidR="005F33CE" w:rsidRPr="008376AF">
        <w:rPr>
          <w:lang w:val="de-DE"/>
        </w:rPr>
        <w:t>durchgeführt werde</w:t>
      </w:r>
      <w:r w:rsidR="00C4083D" w:rsidRPr="008376AF">
        <w:rPr>
          <w:lang w:val="de-DE"/>
        </w:rPr>
        <w:t>,</w:t>
      </w:r>
      <w:r w:rsidR="00447F87" w:rsidRPr="008376AF">
        <w:rPr>
          <w:lang w:val="de-DE"/>
        </w:rPr>
        <w:t xml:space="preserve"> und die </w:t>
      </w:r>
      <w:r w:rsidRPr="008376AF">
        <w:rPr>
          <w:lang w:val="de-DE"/>
        </w:rPr>
        <w:t xml:space="preserve">TWC </w:t>
      </w:r>
      <w:r w:rsidR="00522047" w:rsidRPr="008376AF">
        <w:rPr>
          <w:lang w:val="de-DE"/>
        </w:rPr>
        <w:t>vereinbarte</w:t>
      </w:r>
      <w:r w:rsidR="005F33CE" w:rsidRPr="008376AF">
        <w:rPr>
          <w:lang w:val="de-DE"/>
        </w:rPr>
        <w:t>,</w:t>
      </w:r>
      <w:r w:rsidRPr="008376AF">
        <w:rPr>
          <w:lang w:val="de-DE"/>
        </w:rPr>
        <w:t xml:space="preserve"> </w:t>
      </w:r>
      <w:r w:rsidR="00447F87" w:rsidRPr="008376AF">
        <w:rPr>
          <w:lang w:val="de-DE"/>
        </w:rPr>
        <w:t>die Niederlande</w:t>
      </w:r>
      <w:r w:rsidRPr="008376AF">
        <w:rPr>
          <w:lang w:val="de-DE"/>
        </w:rPr>
        <w:t xml:space="preserve"> </w:t>
      </w:r>
      <w:r w:rsidR="00447F87" w:rsidRPr="008376AF">
        <w:rPr>
          <w:lang w:val="de-DE"/>
        </w:rPr>
        <w:t>zu ersuchen,</w:t>
      </w:r>
      <w:r w:rsidR="005F33CE" w:rsidRPr="008376AF">
        <w:rPr>
          <w:lang w:val="de-DE"/>
        </w:rPr>
        <w:t xml:space="preserve"> auf einer </w:t>
      </w:r>
      <w:r w:rsidR="00CC176D" w:rsidRPr="008376AF">
        <w:rPr>
          <w:lang w:val="de-DE"/>
        </w:rPr>
        <w:t>k</w:t>
      </w:r>
      <w:r w:rsidR="00C4083D" w:rsidRPr="008376AF">
        <w:rPr>
          <w:lang w:val="de-DE"/>
        </w:rPr>
        <w:t>ü</w:t>
      </w:r>
      <w:r w:rsidR="00CC176D" w:rsidRPr="008376AF">
        <w:rPr>
          <w:lang w:val="de-DE"/>
        </w:rPr>
        <w:t xml:space="preserve">nftigen </w:t>
      </w:r>
      <w:r w:rsidR="005F33CE" w:rsidRPr="008376AF">
        <w:rPr>
          <w:lang w:val="de-DE"/>
        </w:rPr>
        <w:t>Sitzung</w:t>
      </w:r>
      <w:r w:rsidR="00CC176D" w:rsidRPr="008376AF">
        <w:rPr>
          <w:lang w:val="de-DE"/>
        </w:rPr>
        <w:t xml:space="preserve"> </w:t>
      </w:r>
      <w:r w:rsidR="00C4083D" w:rsidRPr="008376AF">
        <w:rPr>
          <w:lang w:val="de-DE"/>
        </w:rPr>
        <w:t xml:space="preserve">über ihre Arbeit </w:t>
      </w:r>
      <w:r w:rsidR="00CC176D" w:rsidRPr="008376AF">
        <w:rPr>
          <w:lang w:val="de-DE"/>
        </w:rPr>
        <w:t>zu berichten.</w:t>
      </w:r>
    </w:p>
    <w:p w:rsidR="00DE2411" w:rsidRPr="008376AF" w:rsidRDefault="00DE2411" w:rsidP="00E02A18">
      <w:pPr>
        <w:keepNext/>
        <w:rPr>
          <w:lang w:val="de-DE"/>
        </w:rPr>
      </w:pPr>
    </w:p>
    <w:p w:rsidR="00DE2411" w:rsidRPr="008376AF" w:rsidRDefault="00DE2411" w:rsidP="00E02A18">
      <w:pPr>
        <w:keepNext/>
        <w:rPr>
          <w:lang w:val="de-DE"/>
        </w:rPr>
      </w:pPr>
    </w:p>
    <w:p w:rsidR="005F33CE" w:rsidRPr="008376AF" w:rsidRDefault="00336EAF" w:rsidP="00CC176D">
      <w:pPr>
        <w:tabs>
          <w:tab w:val="left" w:pos="5387"/>
          <w:tab w:val="left" w:pos="5954"/>
        </w:tabs>
        <w:ind w:left="4820"/>
        <w:rPr>
          <w:i/>
          <w:lang w:val="de-DE"/>
        </w:rPr>
      </w:pPr>
      <w:r w:rsidRPr="008376AF">
        <w:rPr>
          <w:i/>
          <w:color w:val="000000"/>
          <w:lang w:val="de-DE"/>
        </w:rPr>
        <w:fldChar w:fldCharType="begin"/>
      </w:r>
      <w:r w:rsidRPr="008376AF">
        <w:rPr>
          <w:i/>
          <w:color w:val="000000"/>
          <w:lang w:val="de-DE"/>
        </w:rPr>
        <w:instrText xml:space="preserve"> AUTONUM  </w:instrText>
      </w:r>
      <w:r w:rsidRPr="008376AF">
        <w:rPr>
          <w:i/>
          <w:color w:val="000000"/>
          <w:lang w:val="de-DE"/>
        </w:rPr>
        <w:fldChar w:fldCharType="end"/>
      </w:r>
      <w:r w:rsidR="00773FB0" w:rsidRPr="008376AF">
        <w:rPr>
          <w:i/>
          <w:color w:val="000000"/>
          <w:lang w:val="de-DE"/>
        </w:rPr>
        <w:tab/>
      </w:r>
      <w:r w:rsidR="005F33CE" w:rsidRPr="008376AF">
        <w:rPr>
          <w:i/>
          <w:color w:val="000000"/>
          <w:lang w:val="de-DE"/>
        </w:rPr>
        <w:t>Der TC wird ersucht, die Erörterun</w:t>
      </w:r>
      <w:r w:rsidR="00C4083D" w:rsidRPr="008376AF">
        <w:rPr>
          <w:i/>
          <w:color w:val="000000"/>
          <w:lang w:val="de-DE"/>
        </w:rPr>
        <w:t>gen</w:t>
      </w:r>
      <w:r w:rsidR="005F33CE" w:rsidRPr="008376AF">
        <w:rPr>
          <w:i/>
          <w:color w:val="000000"/>
          <w:lang w:val="de-DE"/>
        </w:rPr>
        <w:t xml:space="preserve"> der TWP auf deren Tagungen in</w:t>
      </w:r>
      <w:r w:rsidR="00C4083D" w:rsidRPr="008376AF">
        <w:rPr>
          <w:i/>
          <w:color w:val="000000"/>
          <w:lang w:val="de-DE"/>
        </w:rPr>
        <w:t xml:space="preserve"> den Jahren</w:t>
      </w:r>
      <w:r w:rsidR="005F33CE" w:rsidRPr="008376AF">
        <w:rPr>
          <w:i/>
          <w:color w:val="000000"/>
          <w:lang w:val="de-DE"/>
        </w:rPr>
        <w:t xml:space="preserve"> 2017 und 2018 über die </w:t>
      </w:r>
      <w:r w:rsidR="005F33CE" w:rsidRPr="008376AF">
        <w:rPr>
          <w:rFonts w:cs="Arial"/>
          <w:i/>
          <w:lang w:val="de-DE"/>
        </w:rPr>
        <w:t>Auswirkungen der Verwendung einer unterschiedlichen Anzahl von Wachstumsperioden auf die Entscheidungen über DUS anhand aktueller Daten</w:t>
      </w:r>
      <w:r w:rsidR="005F33CE" w:rsidRPr="008376AF">
        <w:rPr>
          <w:i/>
          <w:color w:val="000000"/>
          <w:lang w:val="de-DE"/>
        </w:rPr>
        <w:t xml:space="preserve"> zur Kenntnis zu nehmen.</w:t>
      </w:r>
    </w:p>
    <w:p w:rsidR="00CC176D" w:rsidRPr="008376AF" w:rsidRDefault="00CC176D" w:rsidP="00DE67D3">
      <w:pPr>
        <w:tabs>
          <w:tab w:val="left" w:pos="5387"/>
          <w:tab w:val="left" w:pos="5954"/>
        </w:tabs>
        <w:ind w:left="4820"/>
        <w:rPr>
          <w:i/>
          <w:lang w:val="de-DE"/>
        </w:rPr>
      </w:pPr>
    </w:p>
    <w:p w:rsidR="00DE2411" w:rsidRPr="008376AF" w:rsidRDefault="00DE2411" w:rsidP="00336EAF">
      <w:pPr>
        <w:ind w:left="4820"/>
        <w:rPr>
          <w:i/>
          <w:lang w:val="de-DE"/>
        </w:rPr>
      </w:pPr>
    </w:p>
    <w:p w:rsidR="00DE2411" w:rsidRPr="008376AF" w:rsidRDefault="00DE2411" w:rsidP="00336EAF">
      <w:pPr>
        <w:ind w:left="4820"/>
        <w:rPr>
          <w:i/>
          <w:lang w:val="de-DE"/>
        </w:rPr>
      </w:pPr>
    </w:p>
    <w:p w:rsidR="00DE2411" w:rsidRPr="00C4083D" w:rsidRDefault="00DE2411" w:rsidP="00DE2411">
      <w:pPr>
        <w:jc w:val="right"/>
        <w:rPr>
          <w:lang w:val="de-DE"/>
        </w:rPr>
      </w:pPr>
      <w:r w:rsidRPr="008376AF">
        <w:rPr>
          <w:lang w:val="de-DE"/>
        </w:rPr>
        <w:t>[Anlagen folgen]</w:t>
      </w:r>
    </w:p>
    <w:p w:rsidR="00050E16" w:rsidRDefault="00050E16" w:rsidP="00942232">
      <w:pPr>
        <w:jc w:val="right"/>
        <w:rPr>
          <w:lang w:val="de-DE"/>
        </w:rPr>
      </w:pPr>
    </w:p>
    <w:p w:rsidR="009C40F8" w:rsidRDefault="009C40F8" w:rsidP="009C40F8">
      <w:pPr>
        <w:rPr>
          <w:lang w:val="de-DE"/>
        </w:rPr>
        <w:sectPr w:rsidR="009C40F8" w:rsidSect="00906DDC">
          <w:headerReference w:type="default" r:id="rId14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9C40F8" w:rsidRDefault="009C40F8" w:rsidP="009C40F8">
      <w:pPr>
        <w:rPr>
          <w:lang w:val="de-DE"/>
        </w:rPr>
      </w:pPr>
    </w:p>
    <w:p w:rsidR="009C40F8" w:rsidRDefault="009C40F8" w:rsidP="009C40F8">
      <w:pPr>
        <w:rPr>
          <w:lang w:val="de-DE"/>
        </w:rPr>
      </w:pPr>
    </w:p>
    <w:p w:rsidR="009C40F8" w:rsidRPr="009C40F8" w:rsidRDefault="009C40F8" w:rsidP="009C40F8">
      <w:pPr>
        <w:jc w:val="center"/>
        <w:rPr>
          <w:i/>
          <w:lang w:val="de-DE"/>
        </w:rPr>
      </w:pPr>
      <w:r w:rsidRPr="009C40F8">
        <w:rPr>
          <w:i/>
          <w:lang w:val="de-DE"/>
        </w:rPr>
        <w:t>siehe das PDF Dokument</w:t>
      </w:r>
    </w:p>
    <w:p w:rsidR="009C40F8" w:rsidRDefault="009C40F8" w:rsidP="009C40F8">
      <w:pPr>
        <w:rPr>
          <w:lang w:val="de-DE"/>
        </w:rPr>
      </w:pPr>
    </w:p>
    <w:p w:rsidR="009C40F8" w:rsidRDefault="009C40F8" w:rsidP="009C40F8">
      <w:pPr>
        <w:rPr>
          <w:lang w:val="de-DE"/>
        </w:rPr>
      </w:pPr>
    </w:p>
    <w:p w:rsidR="009C40F8" w:rsidRDefault="009C40F8" w:rsidP="009C40F8">
      <w:pPr>
        <w:rPr>
          <w:lang w:val="de-DE"/>
        </w:rPr>
      </w:pPr>
    </w:p>
    <w:p w:rsidR="009C40F8" w:rsidRPr="00C4083D" w:rsidRDefault="009C40F8" w:rsidP="009C40F8">
      <w:pPr>
        <w:jc w:val="right"/>
        <w:rPr>
          <w:lang w:val="de-DE"/>
        </w:rPr>
      </w:pPr>
      <w:r w:rsidRPr="00D129A2">
        <w:rPr>
          <w:lang w:val="de-DE"/>
        </w:rPr>
        <w:t>[Ende des Dokuments]</w:t>
      </w:r>
    </w:p>
    <w:sectPr w:rsidR="009C40F8" w:rsidRPr="00C4083D" w:rsidSect="00906DDC">
      <w:headerReference w:type="first" r:id="rId15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B5B" w:rsidRDefault="00225B5B" w:rsidP="006655D3">
      <w:r>
        <w:separator/>
      </w:r>
    </w:p>
    <w:p w:rsidR="00225B5B" w:rsidRDefault="00225B5B" w:rsidP="006655D3"/>
    <w:p w:rsidR="00225B5B" w:rsidRDefault="00225B5B" w:rsidP="006655D3"/>
  </w:endnote>
  <w:endnote w:type="continuationSeparator" w:id="0">
    <w:p w:rsidR="00225B5B" w:rsidRDefault="00225B5B" w:rsidP="006655D3">
      <w:r>
        <w:separator/>
      </w:r>
    </w:p>
    <w:p w:rsidR="00225B5B" w:rsidRPr="00294751" w:rsidRDefault="00225B5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225B5B" w:rsidRPr="00294751" w:rsidRDefault="00225B5B" w:rsidP="006655D3">
      <w:pPr>
        <w:rPr>
          <w:lang w:val="fr-FR"/>
        </w:rPr>
      </w:pPr>
    </w:p>
    <w:p w:rsidR="00225B5B" w:rsidRPr="00294751" w:rsidRDefault="00225B5B" w:rsidP="006655D3">
      <w:pPr>
        <w:rPr>
          <w:lang w:val="fr-FR"/>
        </w:rPr>
      </w:pPr>
    </w:p>
  </w:endnote>
  <w:endnote w:type="continuationNotice" w:id="1">
    <w:p w:rsidR="00225B5B" w:rsidRPr="00294751" w:rsidRDefault="00225B5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225B5B" w:rsidRPr="00294751" w:rsidRDefault="00225B5B" w:rsidP="006655D3">
      <w:pPr>
        <w:rPr>
          <w:lang w:val="fr-FR"/>
        </w:rPr>
      </w:pPr>
    </w:p>
    <w:p w:rsidR="00225B5B" w:rsidRPr="00294751" w:rsidRDefault="00225B5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B5B" w:rsidRDefault="00225B5B" w:rsidP="006655D3">
      <w:r>
        <w:separator/>
      </w:r>
    </w:p>
  </w:footnote>
  <w:footnote w:type="continuationSeparator" w:id="0">
    <w:p w:rsidR="00225B5B" w:rsidRDefault="00225B5B" w:rsidP="006655D3">
      <w:r>
        <w:separator/>
      </w:r>
    </w:p>
  </w:footnote>
  <w:footnote w:type="continuationNotice" w:id="1">
    <w:p w:rsidR="00225B5B" w:rsidRPr="00AB530F" w:rsidRDefault="00225B5B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A61" w:rsidRPr="00C5280D" w:rsidRDefault="004B7A61" w:rsidP="00DE2411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TC/54/27</w:t>
    </w:r>
  </w:p>
  <w:p w:rsidR="004B7A61" w:rsidRPr="00C5280D" w:rsidRDefault="004B7A61" w:rsidP="00DE2411">
    <w:pPr>
      <w:pStyle w:val="Header"/>
      <w:rPr>
        <w:lang w:val="en-US"/>
      </w:rPr>
    </w:pPr>
    <w:r>
      <w:rPr>
        <w:lang w:val="en-US"/>
      </w:rPr>
      <w:t xml:space="preserve">Seite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129A2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4B7A61" w:rsidRPr="00C5280D" w:rsidRDefault="004B7A61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9A2" w:rsidRDefault="00D129A2">
    <w:pPr>
      <w:pStyle w:val="Header"/>
    </w:pPr>
    <w:r>
      <w:t>TC/54/27</w:t>
    </w:r>
  </w:p>
  <w:p w:rsidR="00D129A2" w:rsidRDefault="00D129A2">
    <w:pPr>
      <w:pStyle w:val="Header"/>
    </w:pPr>
  </w:p>
  <w:p w:rsidR="00D129A2" w:rsidRDefault="00D129A2">
    <w:pPr>
      <w:pStyle w:val="Header"/>
    </w:pPr>
    <w:r>
      <w:t>ANLAGE</w:t>
    </w:r>
  </w:p>
  <w:p w:rsidR="00D129A2" w:rsidRDefault="00D129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deu"/>
    <w:docVar w:name="TermBases" w:val="WIPOLDTERM"/>
    <w:docVar w:name="TermBaseURL" w:val="empty"/>
    <w:docVar w:name="TextBases" w:val="TextBase TMs\WorkspaceETS\UPOV\UPOV_ETS"/>
    <w:docVar w:name="TextBaseURL" w:val="empty"/>
    <w:docVar w:name="UILng" w:val="en"/>
  </w:docVars>
  <w:rsids>
    <w:rsidRoot w:val="00E55D79"/>
    <w:rsid w:val="00005D56"/>
    <w:rsid w:val="000102F1"/>
    <w:rsid w:val="00010CF3"/>
    <w:rsid w:val="00011E27"/>
    <w:rsid w:val="000148BC"/>
    <w:rsid w:val="00017E9D"/>
    <w:rsid w:val="00024AB8"/>
    <w:rsid w:val="0003025D"/>
    <w:rsid w:val="00030854"/>
    <w:rsid w:val="000354F4"/>
    <w:rsid w:val="00036028"/>
    <w:rsid w:val="00036359"/>
    <w:rsid w:val="00044642"/>
    <w:rsid w:val="000446B9"/>
    <w:rsid w:val="00047CEE"/>
    <w:rsid w:val="00047E21"/>
    <w:rsid w:val="00050E16"/>
    <w:rsid w:val="00065157"/>
    <w:rsid w:val="00071756"/>
    <w:rsid w:val="00085505"/>
    <w:rsid w:val="00086D91"/>
    <w:rsid w:val="000A61EF"/>
    <w:rsid w:val="000B653A"/>
    <w:rsid w:val="000C17B3"/>
    <w:rsid w:val="000C210D"/>
    <w:rsid w:val="000C4E25"/>
    <w:rsid w:val="000C7021"/>
    <w:rsid w:val="000C77BD"/>
    <w:rsid w:val="000D6BBC"/>
    <w:rsid w:val="000D7780"/>
    <w:rsid w:val="000E3765"/>
    <w:rsid w:val="000E636A"/>
    <w:rsid w:val="000F2B92"/>
    <w:rsid w:val="000F2F11"/>
    <w:rsid w:val="001054A9"/>
    <w:rsid w:val="00105929"/>
    <w:rsid w:val="00110C36"/>
    <w:rsid w:val="00111D22"/>
    <w:rsid w:val="001131D5"/>
    <w:rsid w:val="00141DB8"/>
    <w:rsid w:val="00150501"/>
    <w:rsid w:val="00170A49"/>
    <w:rsid w:val="00171269"/>
    <w:rsid w:val="00172084"/>
    <w:rsid w:val="0017474A"/>
    <w:rsid w:val="001758C6"/>
    <w:rsid w:val="00182975"/>
    <w:rsid w:val="00182B99"/>
    <w:rsid w:val="00183BBA"/>
    <w:rsid w:val="00194E97"/>
    <w:rsid w:val="001971AF"/>
    <w:rsid w:val="001A5895"/>
    <w:rsid w:val="001D05DB"/>
    <w:rsid w:val="001D4052"/>
    <w:rsid w:val="001E40E8"/>
    <w:rsid w:val="0021332C"/>
    <w:rsid w:val="00213982"/>
    <w:rsid w:val="0022169D"/>
    <w:rsid w:val="00225B5B"/>
    <w:rsid w:val="0024416D"/>
    <w:rsid w:val="00262C7D"/>
    <w:rsid w:val="00271911"/>
    <w:rsid w:val="002800A0"/>
    <w:rsid w:val="002801B3"/>
    <w:rsid w:val="00281060"/>
    <w:rsid w:val="002940E8"/>
    <w:rsid w:val="00294751"/>
    <w:rsid w:val="002A5622"/>
    <w:rsid w:val="002A6E50"/>
    <w:rsid w:val="002B4298"/>
    <w:rsid w:val="002C256A"/>
    <w:rsid w:val="002D63A8"/>
    <w:rsid w:val="002F0306"/>
    <w:rsid w:val="00304827"/>
    <w:rsid w:val="00305A7F"/>
    <w:rsid w:val="003152FE"/>
    <w:rsid w:val="00323A50"/>
    <w:rsid w:val="00327436"/>
    <w:rsid w:val="00336EAF"/>
    <w:rsid w:val="00344BD6"/>
    <w:rsid w:val="0035528D"/>
    <w:rsid w:val="00361821"/>
    <w:rsid w:val="00361E9E"/>
    <w:rsid w:val="003A6D0D"/>
    <w:rsid w:val="003C7FBE"/>
    <w:rsid w:val="003D1FE5"/>
    <w:rsid w:val="003D227C"/>
    <w:rsid w:val="003D2B4D"/>
    <w:rsid w:val="003D3DC0"/>
    <w:rsid w:val="003D755A"/>
    <w:rsid w:val="00400E8F"/>
    <w:rsid w:val="0040696A"/>
    <w:rsid w:val="004069A2"/>
    <w:rsid w:val="00416F6E"/>
    <w:rsid w:val="00444A88"/>
    <w:rsid w:val="00447F87"/>
    <w:rsid w:val="00452C10"/>
    <w:rsid w:val="00474DA4"/>
    <w:rsid w:val="00476B4D"/>
    <w:rsid w:val="004805FA"/>
    <w:rsid w:val="004935D2"/>
    <w:rsid w:val="004B1215"/>
    <w:rsid w:val="004B7A61"/>
    <w:rsid w:val="004C3573"/>
    <w:rsid w:val="004D047D"/>
    <w:rsid w:val="004D5CBE"/>
    <w:rsid w:val="004F1E9E"/>
    <w:rsid w:val="004F305A"/>
    <w:rsid w:val="004F4848"/>
    <w:rsid w:val="004F68AD"/>
    <w:rsid w:val="00507773"/>
    <w:rsid w:val="00512164"/>
    <w:rsid w:val="00520297"/>
    <w:rsid w:val="00522047"/>
    <w:rsid w:val="005320CB"/>
    <w:rsid w:val="005338F9"/>
    <w:rsid w:val="0054281C"/>
    <w:rsid w:val="00544581"/>
    <w:rsid w:val="0055268D"/>
    <w:rsid w:val="00571019"/>
    <w:rsid w:val="005716AC"/>
    <w:rsid w:val="00576BE4"/>
    <w:rsid w:val="005A400A"/>
    <w:rsid w:val="005B1753"/>
    <w:rsid w:val="005B256B"/>
    <w:rsid w:val="005B58F1"/>
    <w:rsid w:val="005C1162"/>
    <w:rsid w:val="005F33CE"/>
    <w:rsid w:val="005F49CD"/>
    <w:rsid w:val="005F7B92"/>
    <w:rsid w:val="00612379"/>
    <w:rsid w:val="006153B6"/>
    <w:rsid w:val="0061555F"/>
    <w:rsid w:val="00621523"/>
    <w:rsid w:val="0062221A"/>
    <w:rsid w:val="00636CA6"/>
    <w:rsid w:val="00641200"/>
    <w:rsid w:val="00642225"/>
    <w:rsid w:val="00645CA8"/>
    <w:rsid w:val="0065628C"/>
    <w:rsid w:val="006655D3"/>
    <w:rsid w:val="006657C5"/>
    <w:rsid w:val="00667404"/>
    <w:rsid w:val="00684602"/>
    <w:rsid w:val="00687EB4"/>
    <w:rsid w:val="00695C56"/>
    <w:rsid w:val="0069769C"/>
    <w:rsid w:val="006A5CDE"/>
    <w:rsid w:val="006A644A"/>
    <w:rsid w:val="006B17D2"/>
    <w:rsid w:val="006C224E"/>
    <w:rsid w:val="006C741E"/>
    <w:rsid w:val="006D780A"/>
    <w:rsid w:val="0071271E"/>
    <w:rsid w:val="00732DEC"/>
    <w:rsid w:val="00735BD5"/>
    <w:rsid w:val="00751613"/>
    <w:rsid w:val="007556F6"/>
    <w:rsid w:val="007604AD"/>
    <w:rsid w:val="00760EEF"/>
    <w:rsid w:val="00772103"/>
    <w:rsid w:val="00773FB0"/>
    <w:rsid w:val="00777EE5"/>
    <w:rsid w:val="00784836"/>
    <w:rsid w:val="0079023E"/>
    <w:rsid w:val="007A06CE"/>
    <w:rsid w:val="007A2854"/>
    <w:rsid w:val="007B7D28"/>
    <w:rsid w:val="007C1D92"/>
    <w:rsid w:val="007C4CB9"/>
    <w:rsid w:val="007D0B9D"/>
    <w:rsid w:val="007D19B0"/>
    <w:rsid w:val="007E08CD"/>
    <w:rsid w:val="007F498F"/>
    <w:rsid w:val="0080679D"/>
    <w:rsid w:val="008108B0"/>
    <w:rsid w:val="00811B20"/>
    <w:rsid w:val="008211B5"/>
    <w:rsid w:val="0082296E"/>
    <w:rsid w:val="00824099"/>
    <w:rsid w:val="00824749"/>
    <w:rsid w:val="00824B45"/>
    <w:rsid w:val="008376AF"/>
    <w:rsid w:val="00846D7C"/>
    <w:rsid w:val="00853BA4"/>
    <w:rsid w:val="00867AC1"/>
    <w:rsid w:val="00890DF8"/>
    <w:rsid w:val="00893C3D"/>
    <w:rsid w:val="008A743F"/>
    <w:rsid w:val="008B0B1D"/>
    <w:rsid w:val="008B6E60"/>
    <w:rsid w:val="008C0970"/>
    <w:rsid w:val="008D0BC5"/>
    <w:rsid w:val="008D2CF7"/>
    <w:rsid w:val="008D7E86"/>
    <w:rsid w:val="008E0082"/>
    <w:rsid w:val="00900C26"/>
    <w:rsid w:val="0090197F"/>
    <w:rsid w:val="00906DDC"/>
    <w:rsid w:val="009070E3"/>
    <w:rsid w:val="0092099E"/>
    <w:rsid w:val="00934E09"/>
    <w:rsid w:val="00936253"/>
    <w:rsid w:val="00937ED0"/>
    <w:rsid w:val="00940D46"/>
    <w:rsid w:val="0094172C"/>
    <w:rsid w:val="00942232"/>
    <w:rsid w:val="00943879"/>
    <w:rsid w:val="00952DD4"/>
    <w:rsid w:val="009629E1"/>
    <w:rsid w:val="00965AE7"/>
    <w:rsid w:val="00970FED"/>
    <w:rsid w:val="00992D82"/>
    <w:rsid w:val="009957AA"/>
    <w:rsid w:val="00997029"/>
    <w:rsid w:val="009A7339"/>
    <w:rsid w:val="009B440E"/>
    <w:rsid w:val="009C40F8"/>
    <w:rsid w:val="009D690D"/>
    <w:rsid w:val="009E65B6"/>
    <w:rsid w:val="00A02094"/>
    <w:rsid w:val="00A17B15"/>
    <w:rsid w:val="00A209E0"/>
    <w:rsid w:val="00A24C10"/>
    <w:rsid w:val="00A42AC3"/>
    <w:rsid w:val="00A430CF"/>
    <w:rsid w:val="00A54309"/>
    <w:rsid w:val="00A6416E"/>
    <w:rsid w:val="00A666E1"/>
    <w:rsid w:val="00A75D00"/>
    <w:rsid w:val="00AA435B"/>
    <w:rsid w:val="00AB2B93"/>
    <w:rsid w:val="00AB530F"/>
    <w:rsid w:val="00AB7E5B"/>
    <w:rsid w:val="00AC21BD"/>
    <w:rsid w:val="00AC2883"/>
    <w:rsid w:val="00AD109B"/>
    <w:rsid w:val="00AD4672"/>
    <w:rsid w:val="00AE0EF1"/>
    <w:rsid w:val="00AE2937"/>
    <w:rsid w:val="00B07301"/>
    <w:rsid w:val="00B11F3E"/>
    <w:rsid w:val="00B224DE"/>
    <w:rsid w:val="00B324D4"/>
    <w:rsid w:val="00B404BB"/>
    <w:rsid w:val="00B46575"/>
    <w:rsid w:val="00B52BD2"/>
    <w:rsid w:val="00B61777"/>
    <w:rsid w:val="00B82AE6"/>
    <w:rsid w:val="00B84BBD"/>
    <w:rsid w:val="00BA43FB"/>
    <w:rsid w:val="00BA6842"/>
    <w:rsid w:val="00BB4AF0"/>
    <w:rsid w:val="00BC127D"/>
    <w:rsid w:val="00BC1FE6"/>
    <w:rsid w:val="00BC2E6E"/>
    <w:rsid w:val="00BD27D1"/>
    <w:rsid w:val="00BF4A4B"/>
    <w:rsid w:val="00C03B0C"/>
    <w:rsid w:val="00C057BB"/>
    <w:rsid w:val="00C061B6"/>
    <w:rsid w:val="00C2446C"/>
    <w:rsid w:val="00C2478D"/>
    <w:rsid w:val="00C36AE5"/>
    <w:rsid w:val="00C4083D"/>
    <w:rsid w:val="00C41F17"/>
    <w:rsid w:val="00C527FA"/>
    <w:rsid w:val="00C5280D"/>
    <w:rsid w:val="00C53EB3"/>
    <w:rsid w:val="00C5791C"/>
    <w:rsid w:val="00C66290"/>
    <w:rsid w:val="00C72B7A"/>
    <w:rsid w:val="00C80AEC"/>
    <w:rsid w:val="00C82547"/>
    <w:rsid w:val="00C91573"/>
    <w:rsid w:val="00C91ECC"/>
    <w:rsid w:val="00C973F2"/>
    <w:rsid w:val="00CA304C"/>
    <w:rsid w:val="00CA44D9"/>
    <w:rsid w:val="00CA774A"/>
    <w:rsid w:val="00CC11B0"/>
    <w:rsid w:val="00CC176D"/>
    <w:rsid w:val="00CC2841"/>
    <w:rsid w:val="00CD5110"/>
    <w:rsid w:val="00CF1330"/>
    <w:rsid w:val="00CF7E36"/>
    <w:rsid w:val="00D129A2"/>
    <w:rsid w:val="00D13778"/>
    <w:rsid w:val="00D30077"/>
    <w:rsid w:val="00D3708D"/>
    <w:rsid w:val="00D40426"/>
    <w:rsid w:val="00D46611"/>
    <w:rsid w:val="00D54ABF"/>
    <w:rsid w:val="00D57C96"/>
    <w:rsid w:val="00D57D18"/>
    <w:rsid w:val="00D67088"/>
    <w:rsid w:val="00D902DE"/>
    <w:rsid w:val="00D91203"/>
    <w:rsid w:val="00D95174"/>
    <w:rsid w:val="00DA4973"/>
    <w:rsid w:val="00DA6F36"/>
    <w:rsid w:val="00DB596E"/>
    <w:rsid w:val="00DB74CE"/>
    <w:rsid w:val="00DB7773"/>
    <w:rsid w:val="00DC00EA"/>
    <w:rsid w:val="00DC03A1"/>
    <w:rsid w:val="00DC3802"/>
    <w:rsid w:val="00DC683C"/>
    <w:rsid w:val="00DE0AE3"/>
    <w:rsid w:val="00DE10D1"/>
    <w:rsid w:val="00DE2411"/>
    <w:rsid w:val="00DE5296"/>
    <w:rsid w:val="00DE67D3"/>
    <w:rsid w:val="00DF3E77"/>
    <w:rsid w:val="00DF643B"/>
    <w:rsid w:val="00E02A18"/>
    <w:rsid w:val="00E07D87"/>
    <w:rsid w:val="00E16494"/>
    <w:rsid w:val="00E20288"/>
    <w:rsid w:val="00E32F7E"/>
    <w:rsid w:val="00E5267B"/>
    <w:rsid w:val="00E55D79"/>
    <w:rsid w:val="00E63C0E"/>
    <w:rsid w:val="00E6636E"/>
    <w:rsid w:val="00E671E3"/>
    <w:rsid w:val="00E72D49"/>
    <w:rsid w:val="00E7593C"/>
    <w:rsid w:val="00E7678A"/>
    <w:rsid w:val="00E92C50"/>
    <w:rsid w:val="00E935F1"/>
    <w:rsid w:val="00E94A81"/>
    <w:rsid w:val="00EA1FFB"/>
    <w:rsid w:val="00EA35AE"/>
    <w:rsid w:val="00EB048E"/>
    <w:rsid w:val="00EB4E9C"/>
    <w:rsid w:val="00ED0802"/>
    <w:rsid w:val="00ED53EE"/>
    <w:rsid w:val="00EE34DF"/>
    <w:rsid w:val="00EF2F89"/>
    <w:rsid w:val="00F03E98"/>
    <w:rsid w:val="00F1237A"/>
    <w:rsid w:val="00F12958"/>
    <w:rsid w:val="00F2027E"/>
    <w:rsid w:val="00F22CBD"/>
    <w:rsid w:val="00F272F1"/>
    <w:rsid w:val="00F45372"/>
    <w:rsid w:val="00F560F7"/>
    <w:rsid w:val="00F6323E"/>
    <w:rsid w:val="00F6334D"/>
    <w:rsid w:val="00F73159"/>
    <w:rsid w:val="00FA40B6"/>
    <w:rsid w:val="00FA49AB"/>
    <w:rsid w:val="00FA56DF"/>
    <w:rsid w:val="00FB1670"/>
    <w:rsid w:val="00FD26F5"/>
    <w:rsid w:val="00FD2A49"/>
    <w:rsid w:val="00FD3FE8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AE68CE59-1B8C-40B7-B7CC-5E4F69B5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69769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qFormat/>
    <w:rsid w:val="0069769C"/>
    <w:pPr>
      <w:tabs>
        <w:tab w:val="right" w:leader="dot" w:pos="9639"/>
      </w:tabs>
      <w:ind w:left="568" w:right="851" w:hanging="284"/>
      <w:contextualSpacing/>
    </w:pPr>
    <w:rPr>
      <w:sz w:val="18"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69769C"/>
    <w:pPr>
      <w:tabs>
        <w:tab w:val="right" w:leader="dot" w:pos="9639"/>
      </w:tabs>
      <w:spacing w:before="60"/>
      <w:ind w:right="1418"/>
      <w:contextualSpacing/>
      <w:jc w:val="center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link w:val="Heading1"/>
    <w:rsid w:val="0069769C"/>
    <w:rPr>
      <w:rFonts w:ascii="Arial" w:hAnsi="Arial"/>
      <w:caps/>
    </w:rPr>
  </w:style>
  <w:style w:type="character" w:styleId="FollowedHyperlink">
    <w:name w:val="FollowedHyperlink"/>
    <w:basedOn w:val="DefaultParagraphFont"/>
    <w:semiHidden/>
    <w:unhideWhenUsed/>
    <w:rsid w:val="00C03B0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36EAF"/>
    <w:pPr>
      <w:ind w:left="720"/>
      <w:contextualSpacing/>
    </w:pPr>
  </w:style>
  <w:style w:type="table" w:styleId="TableGrid">
    <w:name w:val="Table Grid"/>
    <w:basedOn w:val="TableNormal"/>
    <w:uiPriority w:val="59"/>
    <w:rsid w:val="00BC2E6E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9C40F8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ov.int/edocs/mdocs/upov/en/twa_46/twa_46_8.pdf" TargetMode="External"/><Relationship Id="rId13" Type="http://schemas.openxmlformats.org/officeDocument/2006/relationships/hyperlink" Target="http://www.upov.int/meetings/en/doc_details.jsp?meeting_id=47210&amp;doc_id=4095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pov.int/edocs/mdocs/upov/en/twa_46/twp_1_21.pdf" TargetMode="External"/><Relationship Id="rId12" Type="http://schemas.openxmlformats.org/officeDocument/2006/relationships/hyperlink" Target="http://www.upov.int/meetings/en/doc_details.jsp?meeting_id=47210&amp;doc_id=408937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upov.int/meetings/en/doc_details.jsp?meeting_id=47206&amp;doc_id=405872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upov.int/edocs/mdocs/upov/en/twa_46/twp_1_21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pov.int/edocs/mdocs/upov/en/twa_46/twa_46_8_add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1544</Words>
  <Characters>11722</Characters>
  <Application>Microsoft Office Word</Application>
  <DocSecurity>0</DocSecurity>
  <Lines>272</Lines>
  <Paragraphs>113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TC/54</vt:lpstr>
      <vt:lpstr>TC/54</vt:lpstr>
    </vt:vector>
  </TitlesOfParts>
  <Company>UPOV</Company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TC/54</dc:title>
  <dc:creator>REZENDE TAVEIRA Leontino</dc:creator>
  <cp:lastModifiedBy>MAY Jessica</cp:lastModifiedBy>
  <cp:revision>6</cp:revision>
  <cp:lastPrinted>2018-10-16T11:33:00Z</cp:lastPrinted>
  <dcterms:created xsi:type="dcterms:W3CDTF">2018-10-16T12:31:00Z</dcterms:created>
  <dcterms:modified xsi:type="dcterms:W3CDTF">2018-10-16T13:27:00Z</dcterms:modified>
</cp:coreProperties>
</file>