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5D5995" w:rsidRPr="005D5995" w14:paraId="486AD2F5" w14:textId="77777777" w:rsidTr="00EB4E9C">
        <w:tc>
          <w:tcPr>
            <w:tcW w:w="6522" w:type="dxa"/>
          </w:tcPr>
          <w:p w14:paraId="6735BD36" w14:textId="77777777" w:rsidR="00DC3802" w:rsidRPr="005D5995" w:rsidRDefault="00DC3802" w:rsidP="00AC2883">
            <w:r w:rsidRPr="005D5995">
              <w:rPr>
                <w:noProof/>
              </w:rPr>
              <w:drawing>
                <wp:inline distT="0" distB="0" distL="0" distR="0" wp14:anchorId="6CB2E233" wp14:editId="259CBDAF">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3A8A912" w14:textId="77777777" w:rsidR="00DC3802" w:rsidRPr="005D5995" w:rsidRDefault="0082052A" w:rsidP="00AC2883">
            <w:pPr>
              <w:pStyle w:val="Lettrine"/>
            </w:pPr>
            <w:r w:rsidRPr="005D5995">
              <w:t>G</w:t>
            </w:r>
          </w:p>
        </w:tc>
      </w:tr>
      <w:tr w:rsidR="00DC3802" w:rsidRPr="00C96F4D" w14:paraId="10C3882D" w14:textId="77777777" w:rsidTr="00645CA8">
        <w:trPr>
          <w:trHeight w:val="219"/>
        </w:trPr>
        <w:tc>
          <w:tcPr>
            <w:tcW w:w="6522" w:type="dxa"/>
          </w:tcPr>
          <w:p w14:paraId="452BDC6B" w14:textId="77777777" w:rsidR="00DC3802" w:rsidRPr="00477C3F" w:rsidRDefault="0082052A" w:rsidP="00AC2883">
            <w:pPr>
              <w:pStyle w:val="upove"/>
              <w:rPr>
                <w:lang w:val="de-DE"/>
              </w:rPr>
            </w:pPr>
            <w:r w:rsidRPr="005D5995">
              <w:rPr>
                <w:lang w:val="de-DE"/>
              </w:rPr>
              <w:t>Internationaler Verband zum Schutz von Pflanzenzüchtungen</w:t>
            </w:r>
          </w:p>
        </w:tc>
        <w:tc>
          <w:tcPr>
            <w:tcW w:w="3117" w:type="dxa"/>
          </w:tcPr>
          <w:p w14:paraId="3EB3BF6D" w14:textId="77777777" w:rsidR="00DC3802" w:rsidRPr="00477C3F" w:rsidRDefault="00DC3802" w:rsidP="00DA4973">
            <w:pPr>
              <w:rPr>
                <w:lang w:val="de-DE"/>
              </w:rPr>
            </w:pPr>
          </w:p>
        </w:tc>
      </w:tr>
    </w:tbl>
    <w:p w14:paraId="384BD614" w14:textId="77777777" w:rsidR="00DC3802" w:rsidRPr="00477C3F" w:rsidRDefault="00DC3802" w:rsidP="00DC3802">
      <w:pPr>
        <w:rPr>
          <w:lang w:val="de-DE"/>
        </w:rPr>
      </w:pPr>
    </w:p>
    <w:p w14:paraId="50608BCA" w14:textId="77777777" w:rsidR="00DA4973" w:rsidRPr="00477C3F" w:rsidRDefault="00DA4973" w:rsidP="00DC3802">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D5995" w:rsidRPr="00C96F4D" w14:paraId="5A17CC73" w14:textId="77777777" w:rsidTr="00EB4E9C">
        <w:tc>
          <w:tcPr>
            <w:tcW w:w="6512" w:type="dxa"/>
          </w:tcPr>
          <w:p w14:paraId="22DFAC03" w14:textId="77777777" w:rsidR="0082052A" w:rsidRPr="005D5995" w:rsidRDefault="0082052A" w:rsidP="0082052A">
            <w:pPr>
              <w:pStyle w:val="Sessiontc"/>
              <w:spacing w:line="240" w:lineRule="auto"/>
              <w:rPr>
                <w:lang w:val="de-DE"/>
              </w:rPr>
            </w:pPr>
            <w:r w:rsidRPr="005D5995">
              <w:rPr>
                <w:lang w:val="de-DE"/>
              </w:rPr>
              <w:t xml:space="preserve">Technischer </w:t>
            </w:r>
            <w:proofErr w:type="spellStart"/>
            <w:r w:rsidRPr="005D5995">
              <w:rPr>
                <w:lang w:val="de-DE"/>
              </w:rPr>
              <w:t>Ausschuß</w:t>
            </w:r>
            <w:proofErr w:type="spellEnd"/>
          </w:p>
          <w:p w14:paraId="79D6AA94" w14:textId="77777777" w:rsidR="00EB4E9C" w:rsidRPr="005D5995" w:rsidRDefault="00853536" w:rsidP="0082052A">
            <w:pPr>
              <w:pStyle w:val="Sessiontcplacedate"/>
              <w:rPr>
                <w:sz w:val="22"/>
              </w:rPr>
            </w:pPr>
            <w:r w:rsidRPr="005D5995">
              <w:rPr>
                <w:lang w:val="de-DE"/>
              </w:rPr>
              <w:t>Vierundfünfzigste Tagung</w:t>
            </w:r>
            <w:r w:rsidR="0082052A" w:rsidRPr="005D5995">
              <w:rPr>
                <w:lang w:val="de-DE"/>
              </w:rPr>
              <w:br/>
              <w:t>Genf</w:t>
            </w:r>
            <w:r w:rsidR="00EB4E9C" w:rsidRPr="005D5995">
              <w:rPr>
                <w:lang w:val="de-DE"/>
              </w:rPr>
              <w:t xml:space="preserve">, </w:t>
            </w:r>
            <w:r w:rsidR="0082052A" w:rsidRPr="005D5995">
              <w:rPr>
                <w:lang w:val="de-DE"/>
              </w:rPr>
              <w:t xml:space="preserve">29 und 30. </w:t>
            </w:r>
            <w:proofErr w:type="spellStart"/>
            <w:r w:rsidR="0082052A" w:rsidRPr="005D5995">
              <w:t>Oktober</w:t>
            </w:r>
            <w:proofErr w:type="spellEnd"/>
            <w:r w:rsidR="0082052A" w:rsidRPr="005D5995">
              <w:t xml:space="preserve"> </w:t>
            </w:r>
            <w:r w:rsidR="008B6E60" w:rsidRPr="005D5995">
              <w:t>2018</w:t>
            </w:r>
          </w:p>
        </w:tc>
        <w:tc>
          <w:tcPr>
            <w:tcW w:w="3127" w:type="dxa"/>
          </w:tcPr>
          <w:p w14:paraId="3B5AF883" w14:textId="77777777" w:rsidR="00EB4E9C" w:rsidRPr="005D5995" w:rsidRDefault="008B6E60" w:rsidP="003C7FBE">
            <w:pPr>
              <w:pStyle w:val="Doccode"/>
              <w:rPr>
                <w:lang w:val="de-DE"/>
              </w:rPr>
            </w:pPr>
            <w:r w:rsidRPr="005D5995">
              <w:rPr>
                <w:lang w:val="de-DE"/>
              </w:rPr>
              <w:t>TC/54</w:t>
            </w:r>
            <w:r w:rsidR="00EB4E9C" w:rsidRPr="005D5995">
              <w:rPr>
                <w:lang w:val="de-DE"/>
              </w:rPr>
              <w:t>/</w:t>
            </w:r>
            <w:r w:rsidR="00B91E18" w:rsidRPr="005D5995">
              <w:rPr>
                <w:lang w:val="de-DE"/>
              </w:rPr>
              <w:t>20</w:t>
            </w:r>
          </w:p>
          <w:p w14:paraId="2BFC8019" w14:textId="77777777" w:rsidR="00EB4E9C" w:rsidRPr="005D5995" w:rsidRDefault="00EB4E9C" w:rsidP="003C7FBE">
            <w:pPr>
              <w:pStyle w:val="Docoriginal"/>
              <w:rPr>
                <w:lang w:val="de-DE"/>
              </w:rPr>
            </w:pPr>
            <w:r w:rsidRPr="005D5995">
              <w:rPr>
                <w:lang w:val="de-DE"/>
              </w:rPr>
              <w:t>Original:</w:t>
            </w:r>
            <w:r w:rsidR="002C64EC" w:rsidRPr="005D5995">
              <w:rPr>
                <w:b w:val="0"/>
                <w:spacing w:val="0"/>
                <w:lang w:val="de-DE"/>
              </w:rPr>
              <w:t xml:space="preserve"> </w:t>
            </w:r>
            <w:r w:rsidR="0082052A" w:rsidRPr="005D5995">
              <w:rPr>
                <w:b w:val="0"/>
                <w:spacing w:val="0"/>
                <w:lang w:val="de-DE"/>
              </w:rPr>
              <w:t>englisch</w:t>
            </w:r>
          </w:p>
          <w:p w14:paraId="10CB1601" w14:textId="4863A7E0" w:rsidR="00EB4E9C" w:rsidRPr="005D5995" w:rsidRDefault="0082052A" w:rsidP="00477C3F">
            <w:pPr>
              <w:pStyle w:val="Docoriginal"/>
              <w:rPr>
                <w:lang w:val="de-DE"/>
              </w:rPr>
            </w:pPr>
            <w:r w:rsidRPr="005D5995">
              <w:rPr>
                <w:lang w:val="de-DE"/>
              </w:rPr>
              <w:t>Datum</w:t>
            </w:r>
            <w:r w:rsidR="00EB4E9C" w:rsidRPr="005D5995">
              <w:rPr>
                <w:lang w:val="de-DE"/>
              </w:rPr>
              <w:t>:</w:t>
            </w:r>
            <w:r w:rsidR="002C64EC" w:rsidRPr="005D5995">
              <w:rPr>
                <w:b w:val="0"/>
                <w:spacing w:val="0"/>
                <w:lang w:val="de-DE"/>
              </w:rPr>
              <w:t xml:space="preserve"> </w:t>
            </w:r>
            <w:r w:rsidRPr="00477C3F">
              <w:rPr>
                <w:b w:val="0"/>
                <w:spacing w:val="0"/>
                <w:lang w:val="de-DE"/>
              </w:rPr>
              <w:t>2</w:t>
            </w:r>
            <w:r w:rsidR="00477C3F" w:rsidRPr="00477C3F">
              <w:rPr>
                <w:b w:val="0"/>
                <w:spacing w:val="0"/>
                <w:lang w:val="de-DE"/>
              </w:rPr>
              <w:t>3</w:t>
            </w:r>
            <w:r w:rsidRPr="00477C3F">
              <w:rPr>
                <w:b w:val="0"/>
                <w:spacing w:val="0"/>
                <w:lang w:val="de-DE"/>
              </w:rPr>
              <w:t xml:space="preserve">. </w:t>
            </w:r>
            <w:r w:rsidR="003851A9" w:rsidRPr="00477C3F">
              <w:rPr>
                <w:b w:val="0"/>
                <w:spacing w:val="0"/>
                <w:lang w:val="de-DE"/>
              </w:rPr>
              <w:t>August</w:t>
            </w:r>
            <w:r w:rsidR="008B6E60" w:rsidRPr="005D5995">
              <w:rPr>
                <w:b w:val="0"/>
                <w:spacing w:val="0"/>
                <w:lang w:val="de-DE"/>
              </w:rPr>
              <w:t xml:space="preserve"> 2018</w:t>
            </w:r>
          </w:p>
        </w:tc>
      </w:tr>
    </w:tbl>
    <w:p w14:paraId="5E0B386F" w14:textId="77777777" w:rsidR="00B91E18" w:rsidRPr="005D5995" w:rsidRDefault="00D50FFE" w:rsidP="00B91E18">
      <w:pPr>
        <w:pStyle w:val="Titleofdoc0"/>
        <w:tabs>
          <w:tab w:val="left" w:pos="5760"/>
        </w:tabs>
        <w:rPr>
          <w:lang w:val="de-DE"/>
        </w:rPr>
      </w:pPr>
      <w:bookmarkStart w:id="0" w:name="TitleOfDoc"/>
      <w:bookmarkEnd w:id="0"/>
      <w:r w:rsidRPr="005D5995">
        <w:rPr>
          <w:rFonts w:cs="Arial"/>
          <w:lang w:val="de-DE"/>
        </w:rPr>
        <w:t>Prüfung der Homogenität anhand von Abweichern aufgrund von mehr als einer Wachstumsperiode oder aufgrund von Unterproben</w:t>
      </w:r>
    </w:p>
    <w:p w14:paraId="6F80E04D" w14:textId="77777777" w:rsidR="003042CA" w:rsidRPr="005D5995" w:rsidRDefault="003042CA" w:rsidP="003042CA">
      <w:pPr>
        <w:pStyle w:val="preparedby1"/>
        <w:jc w:val="left"/>
        <w:rPr>
          <w:lang w:val="de-DE"/>
        </w:rPr>
      </w:pPr>
      <w:bookmarkStart w:id="1" w:name="Prepared"/>
      <w:bookmarkStart w:id="2" w:name="_Toc474683600"/>
      <w:bookmarkEnd w:id="1"/>
      <w:r w:rsidRPr="005D5995">
        <w:rPr>
          <w:lang w:val="de-DE"/>
        </w:rPr>
        <w:t>vom Verbandsbüro erstelltes Dokument</w:t>
      </w:r>
    </w:p>
    <w:p w14:paraId="3E29CBFB" w14:textId="77777777" w:rsidR="003042CA" w:rsidRPr="004743FD" w:rsidRDefault="003042CA" w:rsidP="003042CA">
      <w:pPr>
        <w:pStyle w:val="Disclaimer"/>
        <w:rPr>
          <w:color w:val="808080" w:themeColor="background1" w:themeShade="80"/>
          <w:lang w:val="de-DE"/>
        </w:rPr>
      </w:pPr>
      <w:proofErr w:type="spellStart"/>
      <w:r w:rsidRPr="004743FD">
        <w:rPr>
          <w:color w:val="808080" w:themeColor="background1" w:themeShade="80"/>
          <w:lang w:val="de-DE"/>
        </w:rPr>
        <w:t>Haftungsausschluß</w:t>
      </w:r>
      <w:proofErr w:type="spellEnd"/>
      <w:r w:rsidRPr="004743FD">
        <w:rPr>
          <w:color w:val="808080" w:themeColor="background1" w:themeShade="80"/>
          <w:lang w:val="de-DE"/>
        </w:rPr>
        <w:t>: dieses Dokument gibt nicht die Grundsätze oder eine Anleitung der UPOV wieder</w:t>
      </w:r>
    </w:p>
    <w:p w14:paraId="64832623" w14:textId="77777777" w:rsidR="003042CA" w:rsidRPr="005D5995" w:rsidRDefault="003042CA" w:rsidP="003042CA">
      <w:pPr>
        <w:autoSpaceDE w:val="0"/>
        <w:autoSpaceDN w:val="0"/>
        <w:adjustRightInd w:val="0"/>
        <w:rPr>
          <w:szCs w:val="24"/>
          <w:lang w:val="de-DE"/>
        </w:rPr>
      </w:pPr>
      <w:r w:rsidRPr="005D5995">
        <w:rPr>
          <w:lang w:val="de-DE"/>
        </w:rPr>
        <w:t>ZUSAMMENFASSUNG</w:t>
      </w:r>
      <w:bookmarkEnd w:id="2"/>
    </w:p>
    <w:p w14:paraId="165AF145" w14:textId="77777777" w:rsidR="00B91E18" w:rsidRPr="005D5995" w:rsidRDefault="00B91E18" w:rsidP="00B91E18">
      <w:pPr>
        <w:autoSpaceDE w:val="0"/>
        <w:autoSpaceDN w:val="0"/>
        <w:adjustRightInd w:val="0"/>
        <w:rPr>
          <w:szCs w:val="24"/>
          <w:lang w:val="de-DE"/>
        </w:rPr>
      </w:pPr>
    </w:p>
    <w:p w14:paraId="39E6B4C4" w14:textId="77777777" w:rsidR="00B91E18" w:rsidRPr="005D5995" w:rsidRDefault="00B91E18" w:rsidP="00B91E18">
      <w:pPr>
        <w:autoSpaceDE w:val="0"/>
        <w:autoSpaceDN w:val="0"/>
        <w:adjustRightInd w:val="0"/>
        <w:rPr>
          <w:rFonts w:eastAsia="MS Mincho"/>
          <w:szCs w:val="24"/>
          <w:lang w:val="de-DE" w:eastAsia="ja-JP"/>
        </w:rPr>
      </w:pPr>
      <w:r w:rsidRPr="005D5995">
        <w:rPr>
          <w:szCs w:val="24"/>
        </w:rPr>
        <w:fldChar w:fldCharType="begin"/>
      </w:r>
      <w:r w:rsidRPr="005D5995">
        <w:rPr>
          <w:szCs w:val="24"/>
          <w:lang w:val="de-DE"/>
        </w:rPr>
        <w:instrText xml:space="preserve"> AUTONUM  </w:instrText>
      </w:r>
      <w:r w:rsidRPr="005D5995">
        <w:rPr>
          <w:szCs w:val="24"/>
        </w:rPr>
        <w:fldChar w:fldCharType="end"/>
      </w:r>
      <w:r w:rsidRPr="005D5995">
        <w:rPr>
          <w:szCs w:val="24"/>
          <w:lang w:val="de-DE"/>
        </w:rPr>
        <w:tab/>
      </w:r>
      <w:r w:rsidR="00BB0852" w:rsidRPr="005D5995">
        <w:rPr>
          <w:rFonts w:cs="Arial"/>
          <w:lang w:val="de-DE" w:eastAsia="ja-JP"/>
        </w:rPr>
        <w:t>Zweck dieses Dokuments ist es, einen Vorschlag für die Überarbeitung von Dokument TGP/10 „Prüfung der Homogenität</w:t>
      </w:r>
      <w:r w:rsidR="00D50FFE" w:rsidRPr="005D5995">
        <w:rPr>
          <w:rFonts w:cs="Arial"/>
          <w:lang w:val="de-DE" w:eastAsia="ja-JP"/>
        </w:rPr>
        <w:t>“</w:t>
      </w:r>
      <w:r w:rsidR="00BB0852" w:rsidRPr="005D5995">
        <w:rPr>
          <w:rFonts w:cs="Arial"/>
          <w:lang w:val="de-DE" w:eastAsia="ja-JP"/>
        </w:rPr>
        <w:t xml:space="preserve"> zur Erteilung von Anleitung für die Prüfung der Homogenität anhand von </w:t>
      </w:r>
      <w:proofErr w:type="spellStart"/>
      <w:r w:rsidR="00BB0852" w:rsidRPr="00C96F4D">
        <w:rPr>
          <w:rFonts w:cs="Arial"/>
          <w:lang w:val="de-DE" w:eastAsia="ja-JP"/>
        </w:rPr>
        <w:t>Abweichern</w:t>
      </w:r>
      <w:bookmarkStart w:id="3" w:name="_GoBack"/>
      <w:bookmarkEnd w:id="3"/>
      <w:proofErr w:type="spellEnd"/>
      <w:r w:rsidR="00BB0852" w:rsidRPr="005D5995">
        <w:rPr>
          <w:rFonts w:cs="Arial"/>
          <w:lang w:val="de-DE" w:eastAsia="ja-JP"/>
        </w:rPr>
        <w:t xml:space="preserve"> aufgrund von mehr als einer Wachstumsperiode oder aufgrund von Unterproben vorzulegen</w:t>
      </w:r>
      <w:r w:rsidR="00BB0852" w:rsidRPr="005D5995">
        <w:rPr>
          <w:rFonts w:eastAsia="MS Mincho"/>
          <w:szCs w:val="24"/>
          <w:lang w:val="de-DE" w:eastAsia="ja-JP"/>
        </w:rPr>
        <w:t>.</w:t>
      </w:r>
    </w:p>
    <w:p w14:paraId="62B18EBB" w14:textId="77777777" w:rsidR="00B91E18" w:rsidRPr="005D5995" w:rsidRDefault="00B91E18" w:rsidP="00B91E18">
      <w:pPr>
        <w:autoSpaceDE w:val="0"/>
        <w:autoSpaceDN w:val="0"/>
        <w:adjustRightInd w:val="0"/>
        <w:rPr>
          <w:rFonts w:eastAsia="MS Mincho"/>
          <w:szCs w:val="24"/>
          <w:lang w:val="de-DE" w:eastAsia="ja-JP"/>
        </w:rPr>
      </w:pPr>
    </w:p>
    <w:p w14:paraId="50BD795E" w14:textId="77777777" w:rsidR="004B36EC" w:rsidRPr="005D5995" w:rsidRDefault="004B36EC" w:rsidP="004B36EC">
      <w:pPr>
        <w:pStyle w:val="DecisionParagraphs"/>
        <w:keepNext/>
        <w:tabs>
          <w:tab w:val="left" w:pos="567"/>
          <w:tab w:val="left" w:pos="1134"/>
        </w:tabs>
        <w:ind w:left="0"/>
        <w:rPr>
          <w:i w:val="0"/>
          <w:lang w:val="de-DE"/>
        </w:rPr>
      </w:pPr>
      <w:r w:rsidRPr="005D5995">
        <w:rPr>
          <w:i w:val="0"/>
        </w:rPr>
        <w:fldChar w:fldCharType="begin"/>
      </w:r>
      <w:r w:rsidRPr="005D5995">
        <w:rPr>
          <w:i w:val="0"/>
          <w:lang w:val="de-DE"/>
        </w:rPr>
        <w:instrText xml:space="preserve"> AUTONUM  </w:instrText>
      </w:r>
      <w:r w:rsidRPr="005D5995">
        <w:rPr>
          <w:i w:val="0"/>
        </w:rPr>
        <w:fldChar w:fldCharType="end"/>
      </w:r>
      <w:r w:rsidRPr="005D5995">
        <w:rPr>
          <w:i w:val="0"/>
          <w:lang w:val="de-DE"/>
        </w:rPr>
        <w:tab/>
      </w:r>
      <w:r w:rsidR="00BB0852" w:rsidRPr="005D5995">
        <w:rPr>
          <w:i w:val="0"/>
          <w:lang w:val="de-DE"/>
        </w:rPr>
        <w:t>Der TC wird ersucht:</w:t>
      </w:r>
    </w:p>
    <w:p w14:paraId="0FE5F866" w14:textId="77777777" w:rsidR="004B36EC" w:rsidRPr="005D5995" w:rsidRDefault="004B36EC" w:rsidP="004B36EC">
      <w:pPr>
        <w:pStyle w:val="DecisionParagraphs"/>
        <w:keepLines/>
        <w:tabs>
          <w:tab w:val="left" w:pos="567"/>
          <w:tab w:val="left" w:pos="1134"/>
        </w:tabs>
        <w:ind w:left="0" w:firstLine="567"/>
        <w:rPr>
          <w:i w:val="0"/>
          <w:highlight w:val="cyan"/>
          <w:lang w:val="de-DE"/>
        </w:rPr>
      </w:pPr>
    </w:p>
    <w:p w14:paraId="04770E17" w14:textId="4A644A92" w:rsidR="004B36EC" w:rsidRPr="005D5995" w:rsidRDefault="004B36EC" w:rsidP="004B36EC">
      <w:pPr>
        <w:pStyle w:val="DecisionParagraphs"/>
        <w:keepLines/>
        <w:tabs>
          <w:tab w:val="left" w:pos="567"/>
          <w:tab w:val="left" w:pos="1134"/>
          <w:tab w:val="left" w:pos="5954"/>
        </w:tabs>
        <w:ind w:left="0" w:firstLine="567"/>
        <w:rPr>
          <w:i w:val="0"/>
          <w:lang w:val="de-DE"/>
        </w:rPr>
      </w:pPr>
      <w:r w:rsidRPr="005D5995">
        <w:rPr>
          <w:i w:val="0"/>
          <w:lang w:val="de-DE"/>
        </w:rPr>
        <w:t>a)</w:t>
      </w:r>
      <w:r w:rsidRPr="005D5995">
        <w:rPr>
          <w:i w:val="0"/>
          <w:lang w:val="de-DE"/>
        </w:rPr>
        <w:tab/>
      </w:r>
      <w:r w:rsidR="00990CEE" w:rsidRPr="005D5995">
        <w:rPr>
          <w:i w:val="0"/>
          <w:lang w:val="de-DE"/>
        </w:rPr>
        <w:t xml:space="preserve">den </w:t>
      </w:r>
      <w:r w:rsidR="00996B66" w:rsidRPr="005D5995">
        <w:rPr>
          <w:i w:val="0"/>
          <w:lang w:val="de-DE"/>
        </w:rPr>
        <w:t>Entwurf einer Anleitun</w:t>
      </w:r>
      <w:r w:rsidR="00990CEE" w:rsidRPr="005D5995">
        <w:rPr>
          <w:i w:val="0"/>
          <w:lang w:val="de-DE"/>
        </w:rPr>
        <w:t xml:space="preserve">g, </w:t>
      </w:r>
      <w:r w:rsidR="00DF2DE8" w:rsidRPr="005D5995">
        <w:rPr>
          <w:i w:val="0"/>
          <w:lang w:val="de-DE"/>
        </w:rPr>
        <w:t>w</w:t>
      </w:r>
      <w:r w:rsidR="00990CEE" w:rsidRPr="005D5995">
        <w:rPr>
          <w:i w:val="0"/>
          <w:lang w:val="de-DE"/>
        </w:rPr>
        <w:t xml:space="preserve">ie in Anlagen </w:t>
      </w:r>
      <w:r w:rsidRPr="005D5995">
        <w:rPr>
          <w:i w:val="0"/>
          <w:lang w:val="de-DE"/>
        </w:rPr>
        <w:t xml:space="preserve">I </w:t>
      </w:r>
      <w:r w:rsidR="00990CEE" w:rsidRPr="005D5995">
        <w:rPr>
          <w:i w:val="0"/>
          <w:lang w:val="de-DE"/>
        </w:rPr>
        <w:t>u</w:t>
      </w:r>
      <w:r w:rsidRPr="005D5995">
        <w:rPr>
          <w:i w:val="0"/>
          <w:lang w:val="de-DE"/>
        </w:rPr>
        <w:t xml:space="preserve">nd II </w:t>
      </w:r>
      <w:r w:rsidR="00990CEE" w:rsidRPr="005D5995">
        <w:rPr>
          <w:i w:val="0"/>
          <w:lang w:val="de-DE"/>
        </w:rPr>
        <w:t xml:space="preserve">dieses Dokuments </w:t>
      </w:r>
      <w:r w:rsidR="002D1622" w:rsidRPr="005D5995">
        <w:rPr>
          <w:i w:val="0"/>
          <w:lang w:val="de-DE"/>
        </w:rPr>
        <w:t>dargelegt</w:t>
      </w:r>
      <w:r w:rsidR="00990CEE" w:rsidRPr="005D5995">
        <w:rPr>
          <w:i w:val="0"/>
          <w:lang w:val="de-DE"/>
        </w:rPr>
        <w:t xml:space="preserve">, </w:t>
      </w:r>
      <w:r w:rsidR="00996B66" w:rsidRPr="005D5995">
        <w:rPr>
          <w:i w:val="0"/>
          <w:lang w:val="de-DE"/>
        </w:rPr>
        <w:t>zur Aufnahme in eine künftige Überarbeitung</w:t>
      </w:r>
      <w:r w:rsidRPr="005D5995">
        <w:rPr>
          <w:i w:val="0"/>
          <w:lang w:val="de-DE"/>
        </w:rPr>
        <w:t xml:space="preserve"> </w:t>
      </w:r>
      <w:r w:rsidR="00990CEE" w:rsidRPr="005D5995">
        <w:rPr>
          <w:i w:val="0"/>
          <w:lang w:val="de-DE"/>
        </w:rPr>
        <w:t xml:space="preserve">des Dokuments </w:t>
      </w:r>
      <w:r w:rsidRPr="005D5995">
        <w:rPr>
          <w:i w:val="0"/>
          <w:lang w:val="de-DE"/>
        </w:rPr>
        <w:t xml:space="preserve">TGP/10 </w:t>
      </w:r>
      <w:r w:rsidR="00D50FFE" w:rsidRPr="005D5995">
        <w:rPr>
          <w:i w:val="0"/>
          <w:lang w:val="de-DE"/>
        </w:rPr>
        <w:t>„</w:t>
      </w:r>
      <w:r w:rsidR="00996B66" w:rsidRPr="005D5995">
        <w:rPr>
          <w:i w:val="0"/>
          <w:lang w:val="de-DE"/>
        </w:rPr>
        <w:t>Prüfung der Homogenität</w:t>
      </w:r>
      <w:r w:rsidR="009E3A70" w:rsidRPr="005D5995">
        <w:rPr>
          <w:i w:val="0"/>
          <w:lang w:val="de-DE"/>
        </w:rPr>
        <w:t>“</w:t>
      </w:r>
      <w:r w:rsidR="00DF2DE8" w:rsidRPr="005D5995">
        <w:rPr>
          <w:i w:val="0"/>
          <w:lang w:val="de-DE"/>
        </w:rPr>
        <w:t>,</w:t>
      </w:r>
      <w:r w:rsidR="00990CEE" w:rsidRPr="005D5995">
        <w:rPr>
          <w:i w:val="0"/>
          <w:lang w:val="de-DE"/>
        </w:rPr>
        <w:t xml:space="preserve"> </w:t>
      </w:r>
      <w:r w:rsidR="002D1622" w:rsidRPr="005D5995">
        <w:rPr>
          <w:i w:val="0"/>
          <w:lang w:val="de-DE"/>
        </w:rPr>
        <w:t>wie</w:t>
      </w:r>
      <w:r w:rsidR="00990CEE" w:rsidRPr="005D5995">
        <w:rPr>
          <w:i w:val="0"/>
          <w:lang w:val="de-DE"/>
        </w:rPr>
        <w:t xml:space="preserve"> vom</w:t>
      </w:r>
      <w:r w:rsidRPr="005D5995">
        <w:rPr>
          <w:i w:val="0"/>
          <w:lang w:val="de-DE"/>
        </w:rPr>
        <w:t xml:space="preserve"> TC-EDC</w:t>
      </w:r>
      <w:r w:rsidR="002D1622" w:rsidRPr="005D5995">
        <w:rPr>
          <w:i w:val="0"/>
          <w:lang w:val="de-DE"/>
        </w:rPr>
        <w:t xml:space="preserve"> vorgeschlagen</w:t>
      </w:r>
      <w:r w:rsidR="00DF2DE8" w:rsidRPr="005D5995">
        <w:rPr>
          <w:i w:val="0"/>
          <w:lang w:val="de-DE"/>
        </w:rPr>
        <w:t xml:space="preserve">, </w:t>
      </w:r>
      <w:r w:rsidR="004743FD">
        <w:rPr>
          <w:i w:val="0"/>
          <w:lang w:val="de-DE"/>
        </w:rPr>
        <w:t>zu prüfen</w:t>
      </w:r>
      <w:r w:rsidRPr="005D5995">
        <w:rPr>
          <w:i w:val="0"/>
          <w:lang w:val="de-DE"/>
        </w:rPr>
        <w:t>;</w:t>
      </w:r>
    </w:p>
    <w:p w14:paraId="66644233" w14:textId="77777777" w:rsidR="004B36EC" w:rsidRPr="005D5995" w:rsidRDefault="004B36EC" w:rsidP="004B36EC">
      <w:pPr>
        <w:pStyle w:val="DecisionParagraphs"/>
        <w:keepLines/>
        <w:tabs>
          <w:tab w:val="left" w:pos="567"/>
          <w:tab w:val="left" w:pos="1134"/>
        </w:tabs>
        <w:ind w:left="0" w:firstLine="567"/>
        <w:rPr>
          <w:i w:val="0"/>
          <w:highlight w:val="cyan"/>
          <w:lang w:val="de-DE"/>
        </w:rPr>
      </w:pPr>
    </w:p>
    <w:p w14:paraId="2F4C810F" w14:textId="2400CAE1" w:rsidR="004B36EC" w:rsidRPr="005D5995" w:rsidRDefault="004B36EC" w:rsidP="004B36EC">
      <w:pPr>
        <w:pStyle w:val="DecisionParagraphs"/>
        <w:keepLines/>
        <w:tabs>
          <w:tab w:val="left" w:pos="567"/>
          <w:tab w:val="left" w:pos="1134"/>
          <w:tab w:val="left" w:pos="5954"/>
        </w:tabs>
        <w:ind w:left="0" w:firstLine="567"/>
        <w:rPr>
          <w:i w:val="0"/>
          <w:lang w:val="de-DE"/>
        </w:rPr>
      </w:pPr>
      <w:r w:rsidRPr="005D5995">
        <w:rPr>
          <w:i w:val="0"/>
          <w:lang w:val="de-DE"/>
        </w:rPr>
        <w:t>b)</w:t>
      </w:r>
      <w:r w:rsidRPr="005D5995">
        <w:rPr>
          <w:i w:val="0"/>
          <w:lang w:val="de-DE"/>
        </w:rPr>
        <w:tab/>
      </w:r>
      <w:r w:rsidR="00990CEE" w:rsidRPr="005D5995">
        <w:rPr>
          <w:i w:val="0"/>
          <w:lang w:val="de-DE"/>
        </w:rPr>
        <w:t xml:space="preserve">zur Kenntnis zu nehmen, </w:t>
      </w:r>
      <w:proofErr w:type="spellStart"/>
      <w:r w:rsidR="00990CEE" w:rsidRPr="005D5995">
        <w:rPr>
          <w:i w:val="0"/>
          <w:lang w:val="de-DE"/>
        </w:rPr>
        <w:t>da</w:t>
      </w:r>
      <w:r w:rsidR="009006B1" w:rsidRPr="005D5995">
        <w:rPr>
          <w:i w:val="0"/>
          <w:lang w:val="de-DE"/>
        </w:rPr>
        <w:t>ß</w:t>
      </w:r>
      <w:proofErr w:type="spellEnd"/>
      <w:r w:rsidR="00990CEE" w:rsidRPr="005D5995">
        <w:rPr>
          <w:i w:val="0"/>
          <w:lang w:val="de-DE"/>
        </w:rPr>
        <w:t xml:space="preserve"> die</w:t>
      </w:r>
      <w:r w:rsidRPr="005D5995">
        <w:rPr>
          <w:i w:val="0"/>
          <w:lang w:val="de-DE"/>
        </w:rPr>
        <w:t xml:space="preserve"> TWC </w:t>
      </w:r>
      <w:r w:rsidR="00BE7F94" w:rsidRPr="005D5995">
        <w:rPr>
          <w:i w:val="0"/>
          <w:lang w:val="de-DE"/>
        </w:rPr>
        <w:t>vereinbart</w:t>
      </w:r>
      <w:r w:rsidR="00DF2DE8" w:rsidRPr="005D5995">
        <w:rPr>
          <w:i w:val="0"/>
          <w:lang w:val="de-DE"/>
        </w:rPr>
        <w:t xml:space="preserve"> hat,</w:t>
      </w:r>
      <w:r w:rsidR="009006B1" w:rsidRPr="005D5995">
        <w:rPr>
          <w:i w:val="0"/>
          <w:lang w:val="de-DE"/>
        </w:rPr>
        <w:t xml:space="preserve"> </w:t>
      </w:r>
      <w:proofErr w:type="spellStart"/>
      <w:r w:rsidR="009006B1" w:rsidRPr="005D5995">
        <w:rPr>
          <w:i w:val="0"/>
          <w:lang w:val="de-DE"/>
        </w:rPr>
        <w:t>daß</w:t>
      </w:r>
      <w:proofErr w:type="spellEnd"/>
      <w:r w:rsidR="009006B1" w:rsidRPr="005D5995">
        <w:rPr>
          <w:i w:val="0"/>
          <w:lang w:val="de-DE"/>
        </w:rPr>
        <w:t xml:space="preserve"> die verschiedenen </w:t>
      </w:r>
      <w:r w:rsidR="00D50FFE" w:rsidRPr="005D5995">
        <w:rPr>
          <w:i w:val="0"/>
          <w:lang w:val="de-DE"/>
        </w:rPr>
        <w:t>Ansätze</w:t>
      </w:r>
      <w:r w:rsidR="009006B1" w:rsidRPr="005D5995">
        <w:rPr>
          <w:i w:val="0"/>
          <w:lang w:val="de-DE"/>
        </w:rPr>
        <w:t xml:space="preserve"> in manchen Fällen </w:t>
      </w:r>
      <w:r w:rsidR="0030431F">
        <w:rPr>
          <w:i w:val="0"/>
          <w:lang w:val="de-DE"/>
        </w:rPr>
        <w:t xml:space="preserve">verschiedene Ergebnisse hervorbrächten </w:t>
      </w:r>
      <w:r w:rsidR="009006B1" w:rsidRPr="005D5995">
        <w:rPr>
          <w:i w:val="0"/>
          <w:lang w:val="de-DE"/>
        </w:rPr>
        <w:t xml:space="preserve">und </w:t>
      </w:r>
      <w:proofErr w:type="spellStart"/>
      <w:r w:rsidR="009006B1" w:rsidRPr="005D5995">
        <w:rPr>
          <w:i w:val="0"/>
          <w:lang w:val="de-DE"/>
        </w:rPr>
        <w:t>daß</w:t>
      </w:r>
      <w:proofErr w:type="spellEnd"/>
      <w:r w:rsidR="009006B1" w:rsidRPr="005D5995">
        <w:rPr>
          <w:i w:val="0"/>
          <w:lang w:val="de-DE"/>
        </w:rPr>
        <w:t xml:space="preserve"> k</w:t>
      </w:r>
      <w:r w:rsidR="00D50FFE" w:rsidRPr="005D5995">
        <w:rPr>
          <w:i w:val="0"/>
          <w:lang w:val="de-DE"/>
        </w:rPr>
        <w:t>leinere Probengrößen</w:t>
      </w:r>
      <w:r w:rsidRPr="005D5995">
        <w:rPr>
          <w:i w:val="0"/>
          <w:lang w:val="de-DE"/>
        </w:rPr>
        <w:t xml:space="preserve"> </w:t>
      </w:r>
      <w:r w:rsidR="009006B1" w:rsidRPr="005D5995">
        <w:rPr>
          <w:i w:val="0"/>
          <w:lang w:val="de-DE"/>
        </w:rPr>
        <w:t>u</w:t>
      </w:r>
      <w:r w:rsidRPr="005D5995">
        <w:rPr>
          <w:i w:val="0"/>
          <w:lang w:val="de-DE"/>
        </w:rPr>
        <w:t xml:space="preserve">nd </w:t>
      </w:r>
      <w:r w:rsidR="00DF2DE8" w:rsidRPr="005D5995">
        <w:rPr>
          <w:i w:val="0"/>
          <w:lang w:val="de-DE"/>
        </w:rPr>
        <w:t>die</w:t>
      </w:r>
      <w:r w:rsidR="00025932" w:rsidRPr="005D5995">
        <w:rPr>
          <w:i w:val="0"/>
          <w:lang w:val="de-DE"/>
        </w:rPr>
        <w:t xml:space="preserve"> </w:t>
      </w:r>
      <w:r w:rsidR="00D50FFE" w:rsidRPr="005D5995">
        <w:rPr>
          <w:i w:val="0"/>
          <w:lang w:val="de-DE"/>
        </w:rPr>
        <w:t xml:space="preserve">zulässige Zahl von </w:t>
      </w:r>
      <w:proofErr w:type="spellStart"/>
      <w:r w:rsidR="00D50FFE" w:rsidRPr="005D5995">
        <w:rPr>
          <w:i w:val="0"/>
          <w:lang w:val="de-DE"/>
        </w:rPr>
        <w:t>Abweichern</w:t>
      </w:r>
      <w:proofErr w:type="spellEnd"/>
      <w:r w:rsidRPr="005D5995">
        <w:rPr>
          <w:i w:val="0"/>
          <w:lang w:val="de-DE"/>
        </w:rPr>
        <w:t xml:space="preserve"> (</w:t>
      </w:r>
      <w:r w:rsidR="009006B1" w:rsidRPr="005D5995">
        <w:rPr>
          <w:i w:val="0"/>
          <w:lang w:val="de-DE"/>
        </w:rPr>
        <w:t>z.B. Gemüse</w:t>
      </w:r>
      <w:r w:rsidR="0054021C" w:rsidRPr="005D5995">
        <w:rPr>
          <w:i w:val="0"/>
          <w:lang w:val="de-DE"/>
        </w:rPr>
        <w:t>ar</w:t>
      </w:r>
      <w:r w:rsidR="009006B1" w:rsidRPr="005D5995">
        <w:rPr>
          <w:i w:val="0"/>
          <w:lang w:val="de-DE"/>
        </w:rPr>
        <w:t>ten</w:t>
      </w:r>
      <w:r w:rsidRPr="005D5995">
        <w:rPr>
          <w:i w:val="0"/>
          <w:lang w:val="de-DE"/>
        </w:rPr>
        <w:t xml:space="preserve">) </w:t>
      </w:r>
      <w:r w:rsidR="009006B1" w:rsidRPr="005D5995">
        <w:rPr>
          <w:i w:val="0"/>
          <w:lang w:val="de-DE"/>
        </w:rPr>
        <w:t xml:space="preserve">Grenzfälle hervorheben </w:t>
      </w:r>
      <w:r w:rsidR="00BE7F94" w:rsidRPr="005D5995">
        <w:rPr>
          <w:i w:val="0"/>
          <w:lang w:val="de-DE"/>
        </w:rPr>
        <w:t>könnten</w:t>
      </w:r>
      <w:r w:rsidR="009006B1" w:rsidRPr="005D5995">
        <w:rPr>
          <w:i w:val="0"/>
          <w:lang w:val="de-DE"/>
        </w:rPr>
        <w:t xml:space="preserve">, in denen durch die </w:t>
      </w:r>
      <w:r w:rsidR="00DA63DA" w:rsidRPr="005D5995">
        <w:rPr>
          <w:i w:val="0"/>
          <w:lang w:val="de-DE"/>
        </w:rPr>
        <w:t>Verwendung</w:t>
      </w:r>
      <w:r w:rsidR="009006B1" w:rsidRPr="005D5995">
        <w:rPr>
          <w:i w:val="0"/>
          <w:lang w:val="de-DE"/>
        </w:rPr>
        <w:t xml:space="preserve"> verschiedener </w:t>
      </w:r>
      <w:r w:rsidR="00D50FFE" w:rsidRPr="005D5995">
        <w:rPr>
          <w:i w:val="0"/>
          <w:lang w:val="de-DE"/>
        </w:rPr>
        <w:t>Ansätze</w:t>
      </w:r>
      <w:r w:rsidR="009006B1" w:rsidRPr="005D5995">
        <w:rPr>
          <w:i w:val="0"/>
          <w:lang w:val="de-DE"/>
        </w:rPr>
        <w:t xml:space="preserve"> </w:t>
      </w:r>
      <w:r w:rsidR="00DF2DE8" w:rsidRPr="005D5995">
        <w:rPr>
          <w:i w:val="0"/>
          <w:lang w:val="de-DE"/>
        </w:rPr>
        <w:t xml:space="preserve">verschiedene Ergebnisse </w:t>
      </w:r>
      <w:r w:rsidR="009006B1" w:rsidRPr="005D5995">
        <w:rPr>
          <w:i w:val="0"/>
          <w:lang w:val="de-DE"/>
        </w:rPr>
        <w:t xml:space="preserve">hervorgebracht werden </w:t>
      </w:r>
      <w:r w:rsidR="00BE7F94" w:rsidRPr="005D5995">
        <w:rPr>
          <w:i w:val="0"/>
          <w:lang w:val="de-DE"/>
        </w:rPr>
        <w:t>könnten</w:t>
      </w:r>
      <w:r w:rsidRPr="005D5995">
        <w:rPr>
          <w:i w:val="0"/>
          <w:lang w:val="de-DE"/>
        </w:rPr>
        <w:t xml:space="preserve">; </w:t>
      </w:r>
      <w:r w:rsidR="009006B1" w:rsidRPr="005D5995">
        <w:rPr>
          <w:i w:val="0"/>
          <w:lang w:val="de-DE"/>
        </w:rPr>
        <w:t>u</w:t>
      </w:r>
      <w:r w:rsidRPr="005D5995">
        <w:rPr>
          <w:i w:val="0"/>
          <w:lang w:val="de-DE"/>
        </w:rPr>
        <w:t>nd</w:t>
      </w:r>
    </w:p>
    <w:p w14:paraId="24FFF0D2" w14:textId="77777777" w:rsidR="004B36EC" w:rsidRPr="005D5995" w:rsidRDefault="004B36EC" w:rsidP="004B36EC">
      <w:pPr>
        <w:pStyle w:val="DecisionParagraphs"/>
        <w:keepLines/>
        <w:tabs>
          <w:tab w:val="left" w:pos="567"/>
          <w:tab w:val="left" w:pos="1134"/>
          <w:tab w:val="left" w:pos="5954"/>
        </w:tabs>
        <w:ind w:left="0" w:firstLine="567"/>
        <w:rPr>
          <w:i w:val="0"/>
          <w:lang w:val="de-DE"/>
        </w:rPr>
      </w:pPr>
    </w:p>
    <w:p w14:paraId="09C67000" w14:textId="091775CE" w:rsidR="004B36EC" w:rsidRPr="005D5995" w:rsidRDefault="004B36EC" w:rsidP="004B36EC">
      <w:pPr>
        <w:pStyle w:val="DecisionParagraphs"/>
        <w:keepLines/>
        <w:tabs>
          <w:tab w:val="left" w:pos="567"/>
          <w:tab w:val="left" w:pos="1134"/>
          <w:tab w:val="left" w:pos="5954"/>
        </w:tabs>
        <w:ind w:left="0" w:firstLine="567"/>
        <w:rPr>
          <w:i w:val="0"/>
          <w:lang w:val="de-DE"/>
        </w:rPr>
      </w:pPr>
      <w:r w:rsidRPr="005D5995">
        <w:rPr>
          <w:i w:val="0"/>
          <w:lang w:val="de-DE"/>
        </w:rPr>
        <w:t>c)</w:t>
      </w:r>
      <w:r w:rsidRPr="005D5995">
        <w:rPr>
          <w:i w:val="0"/>
          <w:lang w:val="de-DE"/>
        </w:rPr>
        <w:tab/>
      </w:r>
      <w:r w:rsidR="009006B1" w:rsidRPr="005D5995">
        <w:rPr>
          <w:i w:val="0"/>
          <w:lang w:val="de-DE"/>
        </w:rPr>
        <w:t xml:space="preserve">zur Kenntnis zu nehmen, </w:t>
      </w:r>
      <w:proofErr w:type="spellStart"/>
      <w:r w:rsidR="009006B1" w:rsidRPr="005D5995">
        <w:rPr>
          <w:i w:val="0"/>
          <w:lang w:val="de-DE"/>
        </w:rPr>
        <w:t>daß</w:t>
      </w:r>
      <w:proofErr w:type="spellEnd"/>
      <w:r w:rsidR="009006B1" w:rsidRPr="005D5995">
        <w:rPr>
          <w:i w:val="0"/>
          <w:lang w:val="de-DE"/>
        </w:rPr>
        <w:t xml:space="preserve"> die</w:t>
      </w:r>
      <w:r w:rsidRPr="005D5995">
        <w:rPr>
          <w:i w:val="0"/>
          <w:lang w:val="de-DE"/>
        </w:rPr>
        <w:t xml:space="preserve"> TWC</w:t>
      </w:r>
      <w:r w:rsidR="009006B1" w:rsidRPr="005D5995">
        <w:rPr>
          <w:i w:val="0"/>
          <w:lang w:val="de-DE"/>
        </w:rPr>
        <w:t xml:space="preserve"> </w:t>
      </w:r>
      <w:r w:rsidR="00BE7F94" w:rsidRPr="005D5995">
        <w:rPr>
          <w:i w:val="0"/>
          <w:lang w:val="de-DE"/>
        </w:rPr>
        <w:t>vereinbart</w:t>
      </w:r>
      <w:r w:rsidR="004743FD">
        <w:rPr>
          <w:i w:val="0"/>
          <w:lang w:val="de-DE"/>
        </w:rPr>
        <w:t xml:space="preserve"> hat</w:t>
      </w:r>
      <w:r w:rsidR="009006B1" w:rsidRPr="005D5995">
        <w:rPr>
          <w:i w:val="0"/>
          <w:lang w:val="de-DE"/>
        </w:rPr>
        <w:t xml:space="preserve">, </w:t>
      </w:r>
      <w:proofErr w:type="spellStart"/>
      <w:r w:rsidR="009006B1" w:rsidRPr="005D5995">
        <w:rPr>
          <w:i w:val="0"/>
          <w:lang w:val="de-DE"/>
        </w:rPr>
        <w:t>daß</w:t>
      </w:r>
      <w:proofErr w:type="spellEnd"/>
      <w:r w:rsidR="009006B1" w:rsidRPr="005D5995">
        <w:rPr>
          <w:i w:val="0"/>
          <w:lang w:val="de-DE"/>
        </w:rPr>
        <w:t xml:space="preserve"> es nicht praktisch wäre, Tabellen mit der</w:t>
      </w:r>
      <w:r w:rsidRPr="005D5995">
        <w:rPr>
          <w:i w:val="0"/>
          <w:lang w:val="de-DE"/>
        </w:rPr>
        <w:t xml:space="preserve"> </w:t>
      </w:r>
      <w:r w:rsidR="00E57049" w:rsidRPr="005D5995">
        <w:rPr>
          <w:i w:val="0"/>
          <w:lang w:val="de-DE"/>
        </w:rPr>
        <w:t>zulässige</w:t>
      </w:r>
      <w:r w:rsidR="009006B1" w:rsidRPr="005D5995">
        <w:rPr>
          <w:i w:val="0"/>
          <w:lang w:val="de-DE"/>
        </w:rPr>
        <w:t>n</w:t>
      </w:r>
      <w:r w:rsidR="00E57049" w:rsidRPr="005D5995">
        <w:rPr>
          <w:i w:val="0"/>
          <w:lang w:val="de-DE"/>
        </w:rPr>
        <w:t xml:space="preserve"> Zahl von</w:t>
      </w:r>
      <w:r w:rsidRPr="005D5995">
        <w:rPr>
          <w:i w:val="0"/>
          <w:lang w:val="de-DE"/>
        </w:rPr>
        <w:t xml:space="preserve"> </w:t>
      </w:r>
      <w:proofErr w:type="spellStart"/>
      <w:r w:rsidR="003077D7" w:rsidRPr="005D5995">
        <w:rPr>
          <w:i w:val="0"/>
          <w:lang w:val="de-DE"/>
        </w:rPr>
        <w:t>Abweichern</w:t>
      </w:r>
      <w:proofErr w:type="spellEnd"/>
      <w:r w:rsidRPr="005D5995">
        <w:rPr>
          <w:i w:val="0"/>
          <w:lang w:val="de-DE"/>
        </w:rPr>
        <w:t xml:space="preserve"> </w:t>
      </w:r>
      <w:r w:rsidR="009006B1" w:rsidRPr="005D5995">
        <w:rPr>
          <w:i w:val="0"/>
          <w:lang w:val="de-DE"/>
        </w:rPr>
        <w:t xml:space="preserve">für </w:t>
      </w:r>
      <w:r w:rsidR="00DF2DE8" w:rsidRPr="005D5995">
        <w:rPr>
          <w:i w:val="0"/>
          <w:lang w:val="de-DE"/>
        </w:rPr>
        <w:t>die Gesamtprüfung</w:t>
      </w:r>
      <w:r w:rsidR="009006B1" w:rsidRPr="005D5995">
        <w:rPr>
          <w:i w:val="0"/>
          <w:lang w:val="de-DE"/>
        </w:rPr>
        <w:t xml:space="preserve"> </w:t>
      </w:r>
      <w:r w:rsidR="00025932" w:rsidRPr="005D5995">
        <w:rPr>
          <w:i w:val="0"/>
          <w:lang w:val="de-DE"/>
        </w:rPr>
        <w:t xml:space="preserve">zur </w:t>
      </w:r>
      <w:r w:rsidR="00D50FFE" w:rsidRPr="005D5995">
        <w:rPr>
          <w:i w:val="0"/>
          <w:lang w:val="de-DE"/>
        </w:rPr>
        <w:t xml:space="preserve">Prüfung der Homogenität anhand von </w:t>
      </w:r>
      <w:proofErr w:type="spellStart"/>
      <w:r w:rsidR="00D50FFE" w:rsidRPr="005D5995">
        <w:rPr>
          <w:i w:val="0"/>
          <w:lang w:val="de-DE"/>
        </w:rPr>
        <w:t>Abweichern</w:t>
      </w:r>
      <w:proofErr w:type="spellEnd"/>
      <w:r w:rsidR="00D50FFE" w:rsidRPr="005D5995">
        <w:rPr>
          <w:i w:val="0"/>
          <w:lang w:val="de-DE"/>
        </w:rPr>
        <w:t xml:space="preserve"> aufgrund von mehr als einer Wachstumsperiode </w:t>
      </w:r>
      <w:r w:rsidR="00025932" w:rsidRPr="005D5995">
        <w:rPr>
          <w:i w:val="0"/>
          <w:lang w:val="de-DE"/>
        </w:rPr>
        <w:t>zu e</w:t>
      </w:r>
      <w:r w:rsidR="006B1CCC" w:rsidRPr="005D5995">
        <w:rPr>
          <w:i w:val="0"/>
          <w:lang w:val="de-DE"/>
        </w:rPr>
        <w:t>rstellen</w:t>
      </w:r>
      <w:r w:rsidR="00025932" w:rsidRPr="005D5995">
        <w:rPr>
          <w:i w:val="0"/>
          <w:lang w:val="de-DE"/>
        </w:rPr>
        <w:t xml:space="preserve">, und </w:t>
      </w:r>
      <w:proofErr w:type="spellStart"/>
      <w:r w:rsidR="00025932" w:rsidRPr="005D5995">
        <w:rPr>
          <w:i w:val="0"/>
          <w:lang w:val="de-DE"/>
        </w:rPr>
        <w:t>daß</w:t>
      </w:r>
      <w:proofErr w:type="spellEnd"/>
      <w:r w:rsidRPr="005D5995">
        <w:rPr>
          <w:i w:val="0"/>
          <w:lang w:val="de-DE"/>
        </w:rPr>
        <w:t xml:space="preserve"> </w:t>
      </w:r>
      <w:r w:rsidR="00025932" w:rsidRPr="005D5995">
        <w:rPr>
          <w:i w:val="0"/>
          <w:lang w:val="de-DE"/>
        </w:rPr>
        <w:t xml:space="preserve">künftig </w:t>
      </w:r>
      <w:r w:rsidR="00DF2DE8" w:rsidRPr="005D5995">
        <w:rPr>
          <w:i w:val="0"/>
          <w:lang w:val="de-DE"/>
        </w:rPr>
        <w:t>Software nötig sein könnte</w:t>
      </w:r>
      <w:r w:rsidR="00025932" w:rsidRPr="005D5995">
        <w:rPr>
          <w:i w:val="0"/>
          <w:lang w:val="de-DE"/>
        </w:rPr>
        <w:t>, um solche Risiken zu berechnen.</w:t>
      </w:r>
    </w:p>
    <w:p w14:paraId="1CC35CF6" w14:textId="77777777" w:rsidR="008D307C" w:rsidRPr="005D5995" w:rsidRDefault="008D307C" w:rsidP="008D307C">
      <w:pPr>
        <w:pStyle w:val="DecisionParagraphs"/>
        <w:keepLines/>
        <w:tabs>
          <w:tab w:val="left" w:pos="567"/>
          <w:tab w:val="left" w:pos="1134"/>
        </w:tabs>
        <w:ind w:left="0"/>
        <w:rPr>
          <w:rFonts w:cs="Arial"/>
          <w:i w:val="0"/>
          <w:lang w:val="de-DE"/>
        </w:rPr>
      </w:pPr>
    </w:p>
    <w:p w14:paraId="0DD1FC3F" w14:textId="77777777" w:rsidR="00B91E18" w:rsidRPr="00477C3F" w:rsidRDefault="00B91E18" w:rsidP="00B91E18">
      <w:pPr>
        <w:keepNext/>
        <w:rPr>
          <w:rFonts w:eastAsia="MS Mincho"/>
          <w:lang w:val="de-DE" w:eastAsia="ja-JP"/>
        </w:rPr>
      </w:pPr>
      <w:r w:rsidRPr="005D5995">
        <w:rPr>
          <w:rFonts w:eastAsia="MS Mincho"/>
          <w:lang w:eastAsia="ja-JP"/>
        </w:rPr>
        <w:fldChar w:fldCharType="begin"/>
      </w:r>
      <w:r w:rsidRPr="00477C3F">
        <w:rPr>
          <w:rFonts w:eastAsia="MS Mincho"/>
          <w:lang w:val="de-DE" w:eastAsia="ja-JP"/>
        </w:rPr>
        <w:instrText xml:space="preserve"> AUTONUM  </w:instrText>
      </w:r>
      <w:r w:rsidRPr="005D5995">
        <w:rPr>
          <w:rFonts w:eastAsia="MS Mincho"/>
          <w:lang w:eastAsia="ja-JP"/>
        </w:rPr>
        <w:fldChar w:fldCharType="end"/>
      </w:r>
      <w:r w:rsidRPr="00477C3F">
        <w:rPr>
          <w:rFonts w:eastAsia="MS Mincho"/>
          <w:lang w:val="de-DE" w:eastAsia="ja-JP"/>
        </w:rPr>
        <w:tab/>
      </w:r>
      <w:r w:rsidR="00BB0852" w:rsidRPr="005D5995">
        <w:rPr>
          <w:rFonts w:cs="Arial"/>
          <w:snapToGrid w:val="0"/>
          <w:lang w:val="de-DE" w:eastAsia="ja-JP"/>
        </w:rPr>
        <w:t xml:space="preserve">Der Aufbau dieses Dokuments ist nachstehend </w:t>
      </w:r>
      <w:proofErr w:type="spellStart"/>
      <w:r w:rsidR="00BB0852" w:rsidRPr="005D5995">
        <w:rPr>
          <w:rFonts w:cs="Arial"/>
          <w:snapToGrid w:val="0"/>
          <w:lang w:val="de-DE" w:eastAsia="ja-JP"/>
        </w:rPr>
        <w:t>zusammengefaßt</w:t>
      </w:r>
      <w:proofErr w:type="spellEnd"/>
      <w:r w:rsidR="00BB0852" w:rsidRPr="005D5995">
        <w:rPr>
          <w:rFonts w:eastAsia="MS Mincho"/>
          <w:szCs w:val="24"/>
          <w:lang w:val="de-DE" w:eastAsia="ja-JP"/>
        </w:rPr>
        <w:t>:</w:t>
      </w:r>
    </w:p>
    <w:p w14:paraId="4BC6BD2D" w14:textId="77777777" w:rsidR="00B91E18" w:rsidRPr="00477C3F" w:rsidRDefault="00B91E18" w:rsidP="00B91E18">
      <w:pPr>
        <w:keepNext/>
        <w:autoSpaceDE w:val="0"/>
        <w:autoSpaceDN w:val="0"/>
        <w:adjustRightInd w:val="0"/>
        <w:rPr>
          <w:rFonts w:eastAsia="MS Mincho"/>
          <w:szCs w:val="24"/>
          <w:lang w:val="de-DE" w:eastAsia="ja-JP"/>
        </w:rPr>
      </w:pPr>
    </w:p>
    <w:p w14:paraId="6C537D8C" w14:textId="7E0422A9" w:rsidR="00A00D72" w:rsidRDefault="00B91E18" w:rsidP="00477C3F">
      <w:pPr>
        <w:pStyle w:val="TOC1"/>
        <w:rPr>
          <w:rFonts w:asciiTheme="minorHAnsi" w:eastAsiaTheme="minorEastAsia" w:hAnsiTheme="minorHAnsi" w:cstheme="minorBidi"/>
          <w:noProof/>
          <w:sz w:val="22"/>
          <w:szCs w:val="22"/>
          <w:lang w:val="de-DE" w:eastAsia="de-DE"/>
        </w:rPr>
      </w:pPr>
      <w:r w:rsidRPr="005D5995">
        <w:rPr>
          <w:noProof/>
          <w:snapToGrid w:val="0"/>
        </w:rPr>
        <w:fldChar w:fldCharType="begin"/>
      </w:r>
      <w:r w:rsidRPr="005D5995">
        <w:rPr>
          <w:snapToGrid w:val="0"/>
        </w:rPr>
        <w:instrText xml:space="preserve"> TOC \o "1-3" \h \z \u </w:instrText>
      </w:r>
      <w:r w:rsidRPr="005D5995">
        <w:rPr>
          <w:noProof/>
          <w:snapToGrid w:val="0"/>
        </w:rPr>
        <w:fldChar w:fldCharType="separate"/>
      </w:r>
      <w:hyperlink w:anchor="_Toc524518031" w:history="1">
        <w:r w:rsidR="00A00D72" w:rsidRPr="00DC57E8">
          <w:rPr>
            <w:rStyle w:val="Hyperlink"/>
            <w:noProof/>
            <w:lang w:val="de-DE"/>
          </w:rPr>
          <w:t>ENTWICKLUNGEN IM JAHR 2017</w:t>
        </w:r>
        <w:r w:rsidR="00A00D72">
          <w:rPr>
            <w:noProof/>
            <w:webHidden/>
          </w:rPr>
          <w:tab/>
        </w:r>
        <w:r w:rsidR="00A00D72">
          <w:rPr>
            <w:noProof/>
            <w:webHidden/>
          </w:rPr>
          <w:fldChar w:fldCharType="begin"/>
        </w:r>
        <w:r w:rsidR="00A00D72">
          <w:rPr>
            <w:noProof/>
            <w:webHidden/>
          </w:rPr>
          <w:instrText xml:space="preserve"> PAGEREF _Toc524518031 \h </w:instrText>
        </w:r>
        <w:r w:rsidR="00A00D72">
          <w:rPr>
            <w:noProof/>
            <w:webHidden/>
          </w:rPr>
        </w:r>
        <w:r w:rsidR="00A00D72">
          <w:rPr>
            <w:noProof/>
            <w:webHidden/>
          </w:rPr>
          <w:fldChar w:fldCharType="separate"/>
        </w:r>
        <w:r w:rsidR="00A00D72">
          <w:rPr>
            <w:noProof/>
            <w:webHidden/>
          </w:rPr>
          <w:t>2</w:t>
        </w:r>
        <w:r w:rsidR="00A00D72">
          <w:rPr>
            <w:noProof/>
            <w:webHidden/>
          </w:rPr>
          <w:fldChar w:fldCharType="end"/>
        </w:r>
      </w:hyperlink>
    </w:p>
    <w:p w14:paraId="5A044304" w14:textId="23D72664" w:rsidR="00A00D72" w:rsidRDefault="00C96F4D">
      <w:pPr>
        <w:pStyle w:val="TOC2"/>
        <w:rPr>
          <w:rFonts w:asciiTheme="minorHAnsi" w:eastAsiaTheme="minorEastAsia" w:hAnsiTheme="minorHAnsi" w:cstheme="minorBidi"/>
          <w:smallCaps/>
          <w:noProof/>
          <w:sz w:val="22"/>
          <w:szCs w:val="22"/>
          <w:lang w:val="de-DE" w:eastAsia="de-DE"/>
        </w:rPr>
      </w:pPr>
      <w:hyperlink w:anchor="_Toc524518032" w:history="1">
        <w:r w:rsidR="00A00D72" w:rsidRPr="00DC57E8">
          <w:rPr>
            <w:rStyle w:val="Hyperlink"/>
            <w:noProof/>
            <w:lang w:val="de-DE"/>
          </w:rPr>
          <w:t>Bemerkungen der Technischen Arbeitsgruppen</w:t>
        </w:r>
        <w:r w:rsidR="00A00D72">
          <w:rPr>
            <w:noProof/>
            <w:webHidden/>
          </w:rPr>
          <w:tab/>
        </w:r>
        <w:r w:rsidR="00A00D72">
          <w:rPr>
            <w:noProof/>
            <w:webHidden/>
          </w:rPr>
          <w:fldChar w:fldCharType="begin"/>
        </w:r>
        <w:r w:rsidR="00A00D72">
          <w:rPr>
            <w:noProof/>
            <w:webHidden/>
          </w:rPr>
          <w:instrText xml:space="preserve"> PAGEREF _Toc524518032 \h </w:instrText>
        </w:r>
        <w:r w:rsidR="00A00D72">
          <w:rPr>
            <w:noProof/>
            <w:webHidden/>
          </w:rPr>
        </w:r>
        <w:r w:rsidR="00A00D72">
          <w:rPr>
            <w:noProof/>
            <w:webHidden/>
          </w:rPr>
          <w:fldChar w:fldCharType="separate"/>
        </w:r>
        <w:r w:rsidR="00A00D72">
          <w:rPr>
            <w:noProof/>
            <w:webHidden/>
          </w:rPr>
          <w:t>2</w:t>
        </w:r>
        <w:r w:rsidR="00A00D72">
          <w:rPr>
            <w:noProof/>
            <w:webHidden/>
          </w:rPr>
          <w:fldChar w:fldCharType="end"/>
        </w:r>
      </w:hyperlink>
    </w:p>
    <w:p w14:paraId="708BE4AA" w14:textId="7C5E4FD0" w:rsidR="00A00D72" w:rsidRDefault="00C96F4D">
      <w:pPr>
        <w:pStyle w:val="TOC3"/>
        <w:rPr>
          <w:rFonts w:asciiTheme="minorHAnsi" w:eastAsiaTheme="minorEastAsia" w:hAnsiTheme="minorHAnsi" w:cstheme="minorBidi"/>
          <w:noProof/>
          <w:sz w:val="22"/>
          <w:szCs w:val="22"/>
          <w:lang w:val="de-DE" w:eastAsia="de-DE"/>
        </w:rPr>
      </w:pPr>
      <w:hyperlink w:anchor="_Toc524518033" w:history="1">
        <w:r w:rsidR="00A00D72" w:rsidRPr="00DC57E8">
          <w:rPr>
            <w:rStyle w:val="Hyperlink"/>
            <w:rFonts w:eastAsia="MS Mincho"/>
            <w:noProof/>
            <w:lang w:eastAsia="ja-JP"/>
          </w:rPr>
          <w:t>Umweltvariation</w:t>
        </w:r>
        <w:r w:rsidR="00A00D72">
          <w:rPr>
            <w:noProof/>
            <w:webHidden/>
          </w:rPr>
          <w:tab/>
        </w:r>
        <w:r w:rsidR="00A00D72">
          <w:rPr>
            <w:noProof/>
            <w:webHidden/>
          </w:rPr>
          <w:fldChar w:fldCharType="begin"/>
        </w:r>
        <w:r w:rsidR="00A00D72">
          <w:rPr>
            <w:noProof/>
            <w:webHidden/>
          </w:rPr>
          <w:instrText xml:space="preserve"> PAGEREF _Toc524518033 \h </w:instrText>
        </w:r>
        <w:r w:rsidR="00A00D72">
          <w:rPr>
            <w:noProof/>
            <w:webHidden/>
          </w:rPr>
        </w:r>
        <w:r w:rsidR="00A00D72">
          <w:rPr>
            <w:noProof/>
            <w:webHidden/>
          </w:rPr>
          <w:fldChar w:fldCharType="separate"/>
        </w:r>
        <w:r w:rsidR="00A00D72">
          <w:rPr>
            <w:noProof/>
            <w:webHidden/>
          </w:rPr>
          <w:t>2</w:t>
        </w:r>
        <w:r w:rsidR="00A00D72">
          <w:rPr>
            <w:noProof/>
            <w:webHidden/>
          </w:rPr>
          <w:fldChar w:fldCharType="end"/>
        </w:r>
      </w:hyperlink>
    </w:p>
    <w:p w14:paraId="41D04365" w14:textId="5AA9B12B" w:rsidR="00A00D72" w:rsidRDefault="00C96F4D">
      <w:pPr>
        <w:pStyle w:val="TOC3"/>
        <w:rPr>
          <w:rFonts w:asciiTheme="minorHAnsi" w:eastAsiaTheme="minorEastAsia" w:hAnsiTheme="minorHAnsi" w:cstheme="minorBidi"/>
          <w:noProof/>
          <w:sz w:val="22"/>
          <w:szCs w:val="22"/>
          <w:lang w:val="de-DE" w:eastAsia="de-DE"/>
        </w:rPr>
      </w:pPr>
      <w:hyperlink w:anchor="_Toc524518034" w:history="1">
        <w:r w:rsidR="00A00D72" w:rsidRPr="00DC57E8">
          <w:rPr>
            <w:rStyle w:val="Hyperlink"/>
            <w:rFonts w:eastAsia="MS Mincho"/>
            <w:noProof/>
            <w:lang w:val="de-DE" w:eastAsia="ja-JP"/>
          </w:rPr>
          <w:t>Kriterien für die Zurückweisung einer Sorte nach einer Wachstumsperiode</w:t>
        </w:r>
        <w:r w:rsidR="00A00D72">
          <w:rPr>
            <w:noProof/>
            <w:webHidden/>
          </w:rPr>
          <w:tab/>
        </w:r>
        <w:r w:rsidR="00A00D72">
          <w:rPr>
            <w:noProof/>
            <w:webHidden/>
          </w:rPr>
          <w:fldChar w:fldCharType="begin"/>
        </w:r>
        <w:r w:rsidR="00A00D72">
          <w:rPr>
            <w:noProof/>
            <w:webHidden/>
          </w:rPr>
          <w:instrText xml:space="preserve"> PAGEREF _Toc524518034 \h </w:instrText>
        </w:r>
        <w:r w:rsidR="00A00D72">
          <w:rPr>
            <w:noProof/>
            <w:webHidden/>
          </w:rPr>
        </w:r>
        <w:r w:rsidR="00A00D72">
          <w:rPr>
            <w:noProof/>
            <w:webHidden/>
          </w:rPr>
          <w:fldChar w:fldCharType="separate"/>
        </w:r>
        <w:r w:rsidR="00A00D72">
          <w:rPr>
            <w:noProof/>
            <w:webHidden/>
          </w:rPr>
          <w:t>2</w:t>
        </w:r>
        <w:r w:rsidR="00A00D72">
          <w:rPr>
            <w:noProof/>
            <w:webHidden/>
          </w:rPr>
          <w:fldChar w:fldCharType="end"/>
        </w:r>
      </w:hyperlink>
    </w:p>
    <w:p w14:paraId="6DB65A6C" w14:textId="266B255C" w:rsidR="00A00D72" w:rsidRDefault="00C96F4D">
      <w:pPr>
        <w:pStyle w:val="TOC3"/>
        <w:rPr>
          <w:rFonts w:asciiTheme="minorHAnsi" w:eastAsiaTheme="minorEastAsia" w:hAnsiTheme="minorHAnsi" w:cstheme="minorBidi"/>
          <w:noProof/>
          <w:sz w:val="22"/>
          <w:szCs w:val="22"/>
          <w:lang w:val="de-DE" w:eastAsia="de-DE"/>
        </w:rPr>
      </w:pPr>
      <w:hyperlink w:anchor="_Toc524518035" w:history="1">
        <w:r w:rsidR="00A00D72" w:rsidRPr="00DC57E8">
          <w:rPr>
            <w:rStyle w:val="Hyperlink"/>
            <w:noProof/>
            <w:lang w:val="de-DE"/>
          </w:rPr>
          <w:t>Informationen über die Kriterien zur Auswahl des geeignetsten Ansatzes</w:t>
        </w:r>
        <w:r w:rsidR="00A00D72">
          <w:rPr>
            <w:noProof/>
            <w:webHidden/>
          </w:rPr>
          <w:tab/>
        </w:r>
        <w:r w:rsidR="00A00D72">
          <w:rPr>
            <w:noProof/>
            <w:webHidden/>
          </w:rPr>
          <w:fldChar w:fldCharType="begin"/>
        </w:r>
        <w:r w:rsidR="00A00D72">
          <w:rPr>
            <w:noProof/>
            <w:webHidden/>
          </w:rPr>
          <w:instrText xml:space="preserve"> PAGEREF _Toc524518035 \h </w:instrText>
        </w:r>
        <w:r w:rsidR="00A00D72">
          <w:rPr>
            <w:noProof/>
            <w:webHidden/>
          </w:rPr>
        </w:r>
        <w:r w:rsidR="00A00D72">
          <w:rPr>
            <w:noProof/>
            <w:webHidden/>
          </w:rPr>
          <w:fldChar w:fldCharType="separate"/>
        </w:r>
        <w:r w:rsidR="00A00D72">
          <w:rPr>
            <w:noProof/>
            <w:webHidden/>
          </w:rPr>
          <w:t>3</w:t>
        </w:r>
        <w:r w:rsidR="00A00D72">
          <w:rPr>
            <w:noProof/>
            <w:webHidden/>
          </w:rPr>
          <w:fldChar w:fldCharType="end"/>
        </w:r>
      </w:hyperlink>
    </w:p>
    <w:p w14:paraId="07B7CE2F" w14:textId="3515CD5D" w:rsidR="00A00D72" w:rsidRDefault="00C96F4D">
      <w:pPr>
        <w:pStyle w:val="TOC2"/>
        <w:rPr>
          <w:rFonts w:asciiTheme="minorHAnsi" w:eastAsiaTheme="minorEastAsia" w:hAnsiTheme="minorHAnsi" w:cstheme="minorBidi"/>
          <w:smallCaps/>
          <w:noProof/>
          <w:sz w:val="22"/>
          <w:szCs w:val="22"/>
          <w:lang w:val="de-DE" w:eastAsia="de-DE"/>
        </w:rPr>
      </w:pPr>
      <w:hyperlink w:anchor="_Toc524518036" w:history="1">
        <w:r w:rsidR="00A00D72" w:rsidRPr="00DC57E8">
          <w:rPr>
            <w:rStyle w:val="Hyperlink"/>
            <w:noProof/>
            <w:lang w:val="de-DE"/>
          </w:rPr>
          <w:t>Erweiterter Redaktionsausschuß</w:t>
        </w:r>
        <w:r w:rsidR="00A00D72">
          <w:rPr>
            <w:noProof/>
            <w:webHidden/>
          </w:rPr>
          <w:tab/>
        </w:r>
        <w:r w:rsidR="00A00D72">
          <w:rPr>
            <w:noProof/>
            <w:webHidden/>
          </w:rPr>
          <w:fldChar w:fldCharType="begin"/>
        </w:r>
        <w:r w:rsidR="00A00D72">
          <w:rPr>
            <w:noProof/>
            <w:webHidden/>
          </w:rPr>
          <w:instrText xml:space="preserve"> PAGEREF _Toc524518036 \h </w:instrText>
        </w:r>
        <w:r w:rsidR="00A00D72">
          <w:rPr>
            <w:noProof/>
            <w:webHidden/>
          </w:rPr>
        </w:r>
        <w:r w:rsidR="00A00D72">
          <w:rPr>
            <w:noProof/>
            <w:webHidden/>
          </w:rPr>
          <w:fldChar w:fldCharType="separate"/>
        </w:r>
        <w:r w:rsidR="00A00D72">
          <w:rPr>
            <w:noProof/>
            <w:webHidden/>
          </w:rPr>
          <w:t>4</w:t>
        </w:r>
        <w:r w:rsidR="00A00D72">
          <w:rPr>
            <w:noProof/>
            <w:webHidden/>
          </w:rPr>
          <w:fldChar w:fldCharType="end"/>
        </w:r>
      </w:hyperlink>
    </w:p>
    <w:p w14:paraId="316D98BF" w14:textId="4F4717CE" w:rsidR="00A00D72" w:rsidRDefault="00C96F4D">
      <w:pPr>
        <w:pStyle w:val="TOC2"/>
        <w:rPr>
          <w:rFonts w:asciiTheme="minorHAnsi" w:eastAsiaTheme="minorEastAsia" w:hAnsiTheme="minorHAnsi" w:cstheme="minorBidi"/>
          <w:smallCaps/>
          <w:noProof/>
          <w:sz w:val="22"/>
          <w:szCs w:val="22"/>
          <w:lang w:val="de-DE" w:eastAsia="de-DE"/>
        </w:rPr>
      </w:pPr>
      <w:hyperlink w:anchor="_Toc524518037" w:history="1">
        <w:r w:rsidR="00A00D72" w:rsidRPr="00DC57E8">
          <w:rPr>
            <w:rStyle w:val="Hyperlink"/>
            <w:rFonts w:eastAsia="PMingLiU"/>
            <w:noProof/>
            <w:lang w:val="de-DE"/>
          </w:rPr>
          <w:t>Technische Arbeitsgruppe für Automatisierung und Computerprogramme</w:t>
        </w:r>
        <w:r w:rsidR="00A00D72">
          <w:rPr>
            <w:noProof/>
            <w:webHidden/>
          </w:rPr>
          <w:tab/>
        </w:r>
        <w:r w:rsidR="00A00D72">
          <w:rPr>
            <w:noProof/>
            <w:webHidden/>
          </w:rPr>
          <w:fldChar w:fldCharType="begin"/>
        </w:r>
        <w:r w:rsidR="00A00D72">
          <w:rPr>
            <w:noProof/>
            <w:webHidden/>
          </w:rPr>
          <w:instrText xml:space="preserve"> PAGEREF _Toc524518037 \h </w:instrText>
        </w:r>
        <w:r w:rsidR="00A00D72">
          <w:rPr>
            <w:noProof/>
            <w:webHidden/>
          </w:rPr>
        </w:r>
        <w:r w:rsidR="00A00D72">
          <w:rPr>
            <w:noProof/>
            <w:webHidden/>
          </w:rPr>
          <w:fldChar w:fldCharType="separate"/>
        </w:r>
        <w:r w:rsidR="00A00D72">
          <w:rPr>
            <w:noProof/>
            <w:webHidden/>
          </w:rPr>
          <w:t>4</w:t>
        </w:r>
        <w:r w:rsidR="00A00D72">
          <w:rPr>
            <w:noProof/>
            <w:webHidden/>
          </w:rPr>
          <w:fldChar w:fldCharType="end"/>
        </w:r>
      </w:hyperlink>
    </w:p>
    <w:p w14:paraId="5489AFA7" w14:textId="003053AD" w:rsidR="00A00D72" w:rsidRDefault="00C96F4D" w:rsidP="00477C3F">
      <w:pPr>
        <w:pStyle w:val="TOC1"/>
        <w:rPr>
          <w:rFonts w:asciiTheme="minorHAnsi" w:eastAsiaTheme="minorEastAsia" w:hAnsiTheme="minorHAnsi" w:cstheme="minorBidi"/>
          <w:noProof/>
          <w:sz w:val="22"/>
          <w:szCs w:val="22"/>
          <w:lang w:val="de-DE" w:eastAsia="de-DE"/>
        </w:rPr>
      </w:pPr>
      <w:hyperlink w:anchor="_Toc524518038" w:history="1">
        <w:r w:rsidR="00A00D72" w:rsidRPr="00DC57E8">
          <w:rPr>
            <w:rStyle w:val="Hyperlink"/>
            <w:noProof/>
            <w:lang w:val="de-DE"/>
          </w:rPr>
          <w:t>Zusammenfassung der Ansätze</w:t>
        </w:r>
        <w:r w:rsidR="00A00D72">
          <w:rPr>
            <w:noProof/>
            <w:webHidden/>
          </w:rPr>
          <w:tab/>
        </w:r>
        <w:r w:rsidR="00A00D72">
          <w:rPr>
            <w:noProof/>
            <w:webHidden/>
          </w:rPr>
          <w:fldChar w:fldCharType="begin"/>
        </w:r>
        <w:r w:rsidR="00A00D72">
          <w:rPr>
            <w:noProof/>
            <w:webHidden/>
          </w:rPr>
          <w:instrText xml:space="preserve"> PAGEREF _Toc524518038 \h </w:instrText>
        </w:r>
        <w:r w:rsidR="00A00D72">
          <w:rPr>
            <w:noProof/>
            <w:webHidden/>
          </w:rPr>
        </w:r>
        <w:r w:rsidR="00A00D72">
          <w:rPr>
            <w:noProof/>
            <w:webHidden/>
          </w:rPr>
          <w:fldChar w:fldCharType="separate"/>
        </w:r>
        <w:r w:rsidR="00A00D72">
          <w:rPr>
            <w:noProof/>
            <w:webHidden/>
          </w:rPr>
          <w:t>5</w:t>
        </w:r>
        <w:r w:rsidR="00A00D72">
          <w:rPr>
            <w:noProof/>
            <w:webHidden/>
          </w:rPr>
          <w:fldChar w:fldCharType="end"/>
        </w:r>
      </w:hyperlink>
    </w:p>
    <w:p w14:paraId="3A560A09" w14:textId="55A10FEA" w:rsidR="00BB0852" w:rsidRPr="00EF6308" w:rsidRDefault="00B91E18" w:rsidP="00BB0852">
      <w:pPr>
        <w:spacing w:before="120"/>
        <w:ind w:left="1276" w:hanging="1276"/>
        <w:rPr>
          <w:rFonts w:eastAsia="MS Mincho"/>
          <w:sz w:val="18"/>
          <w:szCs w:val="24"/>
          <w:lang w:val="de-DE" w:eastAsia="ja-JP"/>
        </w:rPr>
      </w:pPr>
      <w:r w:rsidRPr="005D5995">
        <w:rPr>
          <w:snapToGrid w:val="0"/>
        </w:rPr>
        <w:fldChar w:fldCharType="end"/>
      </w:r>
      <w:r w:rsidR="00BB0852" w:rsidRPr="00EF6308">
        <w:rPr>
          <w:rFonts w:eastAsia="MS Mincho"/>
          <w:sz w:val="18"/>
          <w:szCs w:val="24"/>
          <w:lang w:val="de-DE" w:eastAsia="ja-JP"/>
        </w:rPr>
        <w:t xml:space="preserve">ANLAGE I: </w:t>
      </w:r>
      <w:r w:rsidR="00BB0852" w:rsidRPr="00EF6308">
        <w:rPr>
          <w:rFonts w:eastAsia="MS Mincho"/>
          <w:sz w:val="18"/>
          <w:szCs w:val="24"/>
          <w:lang w:val="de-DE" w:eastAsia="ja-JP"/>
        </w:rPr>
        <w:tab/>
        <w:t xml:space="preserve">Prüfung der Homogenität anhand von </w:t>
      </w:r>
      <w:proofErr w:type="spellStart"/>
      <w:r w:rsidR="00BB0852" w:rsidRPr="00EF6308">
        <w:rPr>
          <w:rFonts w:eastAsia="MS Mincho"/>
          <w:sz w:val="18"/>
          <w:szCs w:val="24"/>
          <w:lang w:val="de-DE" w:eastAsia="ja-JP"/>
        </w:rPr>
        <w:t>Abweichern</w:t>
      </w:r>
      <w:proofErr w:type="spellEnd"/>
      <w:r w:rsidR="00BB0852" w:rsidRPr="00EF6308">
        <w:rPr>
          <w:rFonts w:eastAsia="MS Mincho"/>
          <w:sz w:val="18"/>
          <w:szCs w:val="24"/>
          <w:lang w:val="de-DE" w:eastAsia="ja-JP"/>
        </w:rPr>
        <w:t xml:space="preserve"> aufgrund von mehr als einer Wachstumsperiode</w:t>
      </w:r>
    </w:p>
    <w:p w14:paraId="11CBCB25" w14:textId="77777777" w:rsidR="00BB0852" w:rsidRPr="00EF6308" w:rsidRDefault="00BB0852" w:rsidP="00BB0852">
      <w:pPr>
        <w:tabs>
          <w:tab w:val="left" w:pos="1701"/>
        </w:tabs>
        <w:autoSpaceDE w:val="0"/>
        <w:autoSpaceDN w:val="0"/>
        <w:adjustRightInd w:val="0"/>
        <w:ind w:left="1276" w:hanging="1276"/>
        <w:rPr>
          <w:rFonts w:eastAsia="MS Mincho"/>
          <w:sz w:val="18"/>
          <w:szCs w:val="24"/>
          <w:lang w:val="de-DE" w:eastAsia="ja-JP"/>
        </w:rPr>
      </w:pPr>
    </w:p>
    <w:p w14:paraId="523D160B" w14:textId="77777777" w:rsidR="00BB0852" w:rsidRPr="00EF6308" w:rsidRDefault="00BB0852" w:rsidP="00BB0852">
      <w:pPr>
        <w:tabs>
          <w:tab w:val="left" w:pos="1701"/>
        </w:tabs>
        <w:autoSpaceDE w:val="0"/>
        <w:autoSpaceDN w:val="0"/>
        <w:adjustRightInd w:val="0"/>
        <w:ind w:left="1276" w:hanging="1276"/>
        <w:rPr>
          <w:rFonts w:eastAsia="MS Mincho"/>
          <w:sz w:val="18"/>
          <w:szCs w:val="24"/>
          <w:lang w:val="de-DE" w:eastAsia="ja-JP"/>
        </w:rPr>
      </w:pPr>
      <w:r w:rsidRPr="00EF6308">
        <w:rPr>
          <w:rFonts w:eastAsia="MS Mincho"/>
          <w:sz w:val="18"/>
          <w:szCs w:val="24"/>
          <w:lang w:val="de-DE" w:eastAsia="ja-JP"/>
        </w:rPr>
        <w:t>ANLAGE II:</w:t>
      </w:r>
      <w:r w:rsidRPr="00EF6308">
        <w:rPr>
          <w:rFonts w:eastAsia="MS Mincho"/>
          <w:sz w:val="18"/>
          <w:szCs w:val="24"/>
          <w:lang w:val="de-DE" w:eastAsia="ja-JP"/>
        </w:rPr>
        <w:tab/>
        <w:t xml:space="preserve">Prüfung der Homogenität anhand von </w:t>
      </w:r>
      <w:proofErr w:type="spellStart"/>
      <w:r w:rsidRPr="00EF6308">
        <w:rPr>
          <w:rFonts w:eastAsia="MS Mincho"/>
          <w:sz w:val="18"/>
          <w:szCs w:val="24"/>
          <w:lang w:val="de-DE" w:eastAsia="ja-JP"/>
        </w:rPr>
        <w:t>Abweichern</w:t>
      </w:r>
      <w:proofErr w:type="spellEnd"/>
      <w:r w:rsidRPr="00EF6308">
        <w:rPr>
          <w:rFonts w:eastAsia="MS Mincho"/>
          <w:sz w:val="18"/>
          <w:szCs w:val="24"/>
          <w:lang w:val="de-DE" w:eastAsia="ja-JP"/>
        </w:rPr>
        <w:t xml:space="preserve"> aufgrund von Unterproben in einer Prüfung / einem Versuch</w:t>
      </w:r>
    </w:p>
    <w:p w14:paraId="0C838867" w14:textId="0F0B62D2" w:rsidR="00B91E18" w:rsidRPr="00EF6308" w:rsidRDefault="00B91E18" w:rsidP="00BB0852">
      <w:pPr>
        <w:spacing w:before="120" w:after="120"/>
        <w:ind w:left="1276" w:hanging="1276"/>
        <w:rPr>
          <w:rFonts w:eastAsia="MS Mincho"/>
          <w:sz w:val="18"/>
          <w:szCs w:val="24"/>
          <w:lang w:val="de-DE" w:eastAsia="ja-JP"/>
        </w:rPr>
      </w:pPr>
    </w:p>
    <w:p w14:paraId="42DABDD3" w14:textId="77777777" w:rsidR="00E57049" w:rsidRPr="005D5995" w:rsidRDefault="00E57049" w:rsidP="00BB0852">
      <w:pPr>
        <w:spacing w:before="120" w:after="120"/>
        <w:ind w:left="1276" w:hanging="1276"/>
        <w:rPr>
          <w:rFonts w:eastAsia="MS Mincho"/>
          <w:szCs w:val="24"/>
          <w:lang w:val="de-DE" w:eastAsia="ja-JP"/>
        </w:rPr>
      </w:pPr>
    </w:p>
    <w:p w14:paraId="2D149A2E" w14:textId="77777777" w:rsidR="00D50FFE" w:rsidRPr="005D5995" w:rsidRDefault="00D50FFE" w:rsidP="00BB0852">
      <w:pPr>
        <w:spacing w:before="120" w:after="120"/>
        <w:ind w:left="1276" w:hanging="1276"/>
        <w:rPr>
          <w:rFonts w:eastAsia="MS Mincho"/>
          <w:szCs w:val="24"/>
          <w:lang w:val="de-DE" w:eastAsia="ja-JP"/>
        </w:rPr>
      </w:pPr>
    </w:p>
    <w:p w14:paraId="0A6BAA7C" w14:textId="020C1063" w:rsidR="00EF6308" w:rsidRDefault="00EF6308" w:rsidP="00BB0852">
      <w:pPr>
        <w:spacing w:before="120" w:after="120"/>
        <w:ind w:left="1276" w:hanging="1276"/>
        <w:rPr>
          <w:rFonts w:eastAsia="MS Mincho"/>
          <w:szCs w:val="24"/>
          <w:lang w:val="de-DE" w:eastAsia="ja-JP"/>
        </w:rPr>
      </w:pPr>
      <w:r>
        <w:rPr>
          <w:rFonts w:eastAsia="MS Mincho"/>
          <w:szCs w:val="24"/>
          <w:lang w:val="de-DE" w:eastAsia="ja-JP"/>
        </w:rPr>
        <w:br w:type="page"/>
      </w:r>
    </w:p>
    <w:bookmarkStart w:id="4" w:name="_Toc380150989"/>
    <w:p w14:paraId="5F780D5E" w14:textId="77777777" w:rsidR="00B91E18" w:rsidRPr="005D5995" w:rsidRDefault="00B91E18" w:rsidP="00B91E18">
      <w:pPr>
        <w:autoSpaceDE w:val="0"/>
        <w:autoSpaceDN w:val="0"/>
        <w:adjustRightInd w:val="0"/>
        <w:ind w:left="567" w:hanging="567"/>
        <w:rPr>
          <w:rFonts w:cs="Arial"/>
          <w:lang w:val="de-DE"/>
        </w:rPr>
      </w:pPr>
      <w:r w:rsidRPr="005D5995">
        <w:lastRenderedPageBreak/>
        <w:fldChar w:fldCharType="begin"/>
      </w:r>
      <w:r w:rsidRPr="005D5995">
        <w:rPr>
          <w:lang w:val="de-DE"/>
        </w:rPr>
        <w:instrText xml:space="preserve"> AUTONUM  </w:instrText>
      </w:r>
      <w:r w:rsidRPr="005D5995">
        <w:fldChar w:fldCharType="end"/>
      </w:r>
      <w:r w:rsidRPr="005D5995">
        <w:rPr>
          <w:lang w:val="de-DE"/>
        </w:rPr>
        <w:tab/>
      </w:r>
      <w:r w:rsidR="00BB0852" w:rsidRPr="005D5995">
        <w:rPr>
          <w:rFonts w:cs="Arial"/>
          <w:lang w:val="de-DE"/>
        </w:rPr>
        <w:t>Folgende Abkürzungen werden in diesem Dokument verwendet:</w:t>
      </w:r>
    </w:p>
    <w:p w14:paraId="1BA5C371" w14:textId="77777777" w:rsidR="00B91E18" w:rsidRPr="005D5995" w:rsidRDefault="00B91E18" w:rsidP="00B91E18">
      <w:pPr>
        <w:keepNext/>
        <w:rPr>
          <w:rFonts w:cs="Arial"/>
          <w:lang w:val="de-DE"/>
        </w:rPr>
      </w:pPr>
    </w:p>
    <w:p w14:paraId="414775EE" w14:textId="77777777" w:rsidR="00BB0852" w:rsidRPr="005D5995" w:rsidRDefault="00BB0852" w:rsidP="00BB0852">
      <w:pPr>
        <w:autoSpaceDE w:val="0"/>
        <w:autoSpaceDN w:val="0"/>
        <w:adjustRightInd w:val="0"/>
        <w:ind w:left="567"/>
        <w:rPr>
          <w:rFonts w:cs="Arial"/>
          <w:lang w:val="de-DE"/>
        </w:rPr>
      </w:pPr>
      <w:r w:rsidRPr="005D5995">
        <w:rPr>
          <w:rFonts w:cs="Arial"/>
          <w:lang w:val="de-DE"/>
        </w:rPr>
        <w:t xml:space="preserve">TC: </w:t>
      </w:r>
      <w:r w:rsidRPr="005D5995">
        <w:rPr>
          <w:rFonts w:cs="Arial"/>
          <w:lang w:val="de-DE"/>
        </w:rPr>
        <w:tab/>
      </w:r>
      <w:r w:rsidRPr="005D5995">
        <w:rPr>
          <w:rFonts w:cs="Arial"/>
          <w:lang w:val="de-DE"/>
        </w:rPr>
        <w:tab/>
        <w:t xml:space="preserve">Technischer </w:t>
      </w:r>
      <w:proofErr w:type="spellStart"/>
      <w:r w:rsidRPr="005D5995">
        <w:rPr>
          <w:rFonts w:cs="Arial"/>
          <w:lang w:val="de-DE"/>
        </w:rPr>
        <w:t>Ausschuß</w:t>
      </w:r>
      <w:proofErr w:type="spellEnd"/>
    </w:p>
    <w:p w14:paraId="6D8407EC" w14:textId="77777777" w:rsidR="00BB0852" w:rsidRPr="005D5995" w:rsidRDefault="00BB0852" w:rsidP="00BB0852">
      <w:pPr>
        <w:autoSpaceDE w:val="0"/>
        <w:autoSpaceDN w:val="0"/>
        <w:adjustRightInd w:val="0"/>
        <w:ind w:left="567"/>
        <w:rPr>
          <w:rFonts w:cs="Arial"/>
          <w:lang w:val="de-DE"/>
        </w:rPr>
      </w:pPr>
      <w:r w:rsidRPr="005D5995">
        <w:rPr>
          <w:rFonts w:cs="Arial"/>
          <w:lang w:val="de-DE"/>
        </w:rPr>
        <w:t xml:space="preserve">TC-EDC: </w:t>
      </w:r>
      <w:r w:rsidRPr="005D5995">
        <w:rPr>
          <w:rFonts w:cs="Arial"/>
          <w:lang w:val="de-DE"/>
        </w:rPr>
        <w:tab/>
        <w:t xml:space="preserve">Erweiterter </w:t>
      </w:r>
      <w:proofErr w:type="spellStart"/>
      <w:r w:rsidRPr="005D5995">
        <w:rPr>
          <w:rFonts w:cs="Arial"/>
          <w:lang w:val="de-DE"/>
        </w:rPr>
        <w:t>Redaktionsausschuß</w:t>
      </w:r>
      <w:proofErr w:type="spellEnd"/>
    </w:p>
    <w:p w14:paraId="7D30C81D" w14:textId="77777777" w:rsidR="00BB0852" w:rsidRPr="005D5995" w:rsidRDefault="00BB0852" w:rsidP="00BB0852">
      <w:pPr>
        <w:autoSpaceDE w:val="0"/>
        <w:autoSpaceDN w:val="0"/>
        <w:adjustRightInd w:val="0"/>
        <w:ind w:left="567"/>
        <w:rPr>
          <w:rFonts w:cs="Arial"/>
          <w:lang w:val="de-DE"/>
        </w:rPr>
      </w:pPr>
      <w:r w:rsidRPr="005D5995">
        <w:rPr>
          <w:rFonts w:cs="Arial"/>
          <w:lang w:val="de-DE"/>
        </w:rPr>
        <w:t xml:space="preserve">TWA: </w:t>
      </w:r>
      <w:r w:rsidRPr="005D5995">
        <w:rPr>
          <w:rFonts w:cs="Arial"/>
          <w:lang w:val="de-DE"/>
        </w:rPr>
        <w:tab/>
      </w:r>
      <w:r w:rsidRPr="005D5995">
        <w:rPr>
          <w:rFonts w:cs="Arial"/>
          <w:lang w:val="de-DE"/>
        </w:rPr>
        <w:tab/>
        <w:t>Technische Arbeitsgruppe für landwirtschaftliche Arten</w:t>
      </w:r>
    </w:p>
    <w:p w14:paraId="537A0994" w14:textId="77777777" w:rsidR="00BB0852" w:rsidRPr="005D5995" w:rsidRDefault="00BB0852" w:rsidP="00BB0852">
      <w:pPr>
        <w:autoSpaceDE w:val="0"/>
        <w:autoSpaceDN w:val="0"/>
        <w:adjustRightInd w:val="0"/>
        <w:ind w:left="567"/>
        <w:rPr>
          <w:rFonts w:cs="Arial"/>
          <w:lang w:val="de-DE"/>
        </w:rPr>
      </w:pPr>
      <w:r w:rsidRPr="005D5995">
        <w:rPr>
          <w:rFonts w:cs="Arial"/>
          <w:lang w:val="de-DE"/>
        </w:rPr>
        <w:t xml:space="preserve">TWC: </w:t>
      </w:r>
      <w:r w:rsidRPr="005D5995">
        <w:rPr>
          <w:rFonts w:cs="Arial"/>
          <w:lang w:val="de-DE"/>
        </w:rPr>
        <w:tab/>
      </w:r>
      <w:r w:rsidRPr="005D5995">
        <w:rPr>
          <w:rFonts w:cs="Arial"/>
          <w:lang w:val="de-DE"/>
        </w:rPr>
        <w:tab/>
        <w:t>Technische Arbeitsgruppe für Automatisierung und Computerprogramme</w:t>
      </w:r>
    </w:p>
    <w:p w14:paraId="0BCE5526" w14:textId="77777777" w:rsidR="00BB0852" w:rsidRPr="005D5995" w:rsidRDefault="00BB0852" w:rsidP="00BB0852">
      <w:pPr>
        <w:autoSpaceDE w:val="0"/>
        <w:autoSpaceDN w:val="0"/>
        <w:adjustRightInd w:val="0"/>
        <w:ind w:left="567"/>
        <w:rPr>
          <w:rFonts w:cs="Arial"/>
          <w:lang w:val="de-DE"/>
        </w:rPr>
      </w:pPr>
      <w:r w:rsidRPr="005D5995">
        <w:rPr>
          <w:rFonts w:cs="Arial"/>
          <w:lang w:val="de-DE"/>
        </w:rPr>
        <w:t xml:space="preserve">TWF: </w:t>
      </w:r>
      <w:r w:rsidRPr="005D5995">
        <w:rPr>
          <w:rFonts w:cs="Arial"/>
          <w:lang w:val="de-DE"/>
        </w:rPr>
        <w:tab/>
      </w:r>
      <w:r w:rsidRPr="005D5995">
        <w:rPr>
          <w:rFonts w:cs="Arial"/>
          <w:lang w:val="de-DE"/>
        </w:rPr>
        <w:tab/>
        <w:t>Technische Arbeitsgruppe für Obstarten</w:t>
      </w:r>
    </w:p>
    <w:p w14:paraId="05A5593E" w14:textId="77777777" w:rsidR="00BB0852" w:rsidRPr="005D5995" w:rsidRDefault="00BB0852" w:rsidP="00BB0852">
      <w:pPr>
        <w:autoSpaceDE w:val="0"/>
        <w:autoSpaceDN w:val="0"/>
        <w:adjustRightInd w:val="0"/>
        <w:ind w:left="567"/>
        <w:rPr>
          <w:rFonts w:cs="Arial"/>
          <w:lang w:val="de-DE"/>
        </w:rPr>
      </w:pPr>
      <w:r w:rsidRPr="005D5995">
        <w:rPr>
          <w:rFonts w:cs="Arial"/>
          <w:lang w:val="de-DE"/>
        </w:rPr>
        <w:t xml:space="preserve">TWO: </w:t>
      </w:r>
      <w:r w:rsidRPr="005D5995">
        <w:rPr>
          <w:rFonts w:cs="Arial"/>
          <w:lang w:val="de-DE"/>
        </w:rPr>
        <w:tab/>
        <w:t>Technische Arbeitsgruppe für Zierpflanzen und forstliche Baumarten</w:t>
      </w:r>
    </w:p>
    <w:p w14:paraId="335D491C" w14:textId="77777777" w:rsidR="00BB0852" w:rsidRPr="005D5995" w:rsidRDefault="00BB0852" w:rsidP="00BB0852">
      <w:pPr>
        <w:autoSpaceDE w:val="0"/>
        <w:autoSpaceDN w:val="0"/>
        <w:adjustRightInd w:val="0"/>
        <w:ind w:left="567"/>
        <w:rPr>
          <w:rFonts w:cs="Arial"/>
          <w:lang w:val="de-DE"/>
        </w:rPr>
      </w:pPr>
      <w:r w:rsidRPr="005D5995">
        <w:rPr>
          <w:rFonts w:cs="Arial"/>
          <w:lang w:val="de-DE"/>
        </w:rPr>
        <w:t>TWP:</w:t>
      </w:r>
      <w:r w:rsidRPr="005D5995">
        <w:rPr>
          <w:rFonts w:cs="Arial"/>
          <w:lang w:val="de-DE"/>
        </w:rPr>
        <w:tab/>
      </w:r>
      <w:r w:rsidRPr="005D5995">
        <w:rPr>
          <w:rFonts w:cs="Arial"/>
          <w:lang w:val="de-DE"/>
        </w:rPr>
        <w:tab/>
        <w:t>Technische Arbeitsgruppen</w:t>
      </w:r>
    </w:p>
    <w:p w14:paraId="1CCA89BF" w14:textId="77777777" w:rsidR="00BB0852" w:rsidRPr="005D5995" w:rsidRDefault="00BB0852" w:rsidP="00BB0852">
      <w:pPr>
        <w:autoSpaceDE w:val="0"/>
        <w:autoSpaceDN w:val="0"/>
        <w:adjustRightInd w:val="0"/>
        <w:ind w:left="567"/>
        <w:rPr>
          <w:rFonts w:cs="Arial"/>
          <w:lang w:val="de-DE"/>
        </w:rPr>
      </w:pPr>
      <w:r w:rsidRPr="005D5995">
        <w:rPr>
          <w:rFonts w:cs="Arial"/>
          <w:lang w:val="de-DE"/>
        </w:rPr>
        <w:t xml:space="preserve">TWV: </w:t>
      </w:r>
      <w:r w:rsidRPr="005D5995">
        <w:rPr>
          <w:rFonts w:cs="Arial"/>
          <w:lang w:val="de-DE"/>
        </w:rPr>
        <w:tab/>
      </w:r>
      <w:r w:rsidRPr="005D5995">
        <w:rPr>
          <w:rFonts w:cs="Arial"/>
          <w:lang w:val="de-DE"/>
        </w:rPr>
        <w:tab/>
        <w:t>Technische Arbeitsgruppe für Gemüsearten</w:t>
      </w:r>
    </w:p>
    <w:p w14:paraId="21131E4F" w14:textId="61E702EF" w:rsidR="00B91E18" w:rsidRPr="005D5995" w:rsidRDefault="00B91E18" w:rsidP="00BB0852">
      <w:pPr>
        <w:keepNext/>
        <w:rPr>
          <w:lang w:val="de-DE"/>
        </w:rPr>
      </w:pPr>
    </w:p>
    <w:p w14:paraId="76687299" w14:textId="77777777" w:rsidR="00E57049" w:rsidRPr="005D5995" w:rsidRDefault="00E57049" w:rsidP="00BB0852">
      <w:pPr>
        <w:keepNext/>
        <w:rPr>
          <w:lang w:val="de-DE"/>
        </w:rPr>
      </w:pPr>
    </w:p>
    <w:bookmarkEnd w:id="4"/>
    <w:p w14:paraId="757E7FD5" w14:textId="77777777" w:rsidR="001939F1" w:rsidRPr="005D5995" w:rsidRDefault="001939F1" w:rsidP="001939F1">
      <w:pPr>
        <w:autoSpaceDE w:val="0"/>
        <w:autoSpaceDN w:val="0"/>
        <w:adjustRightInd w:val="0"/>
        <w:ind w:left="567" w:hanging="567"/>
        <w:rPr>
          <w:rFonts w:eastAsia="MS Mincho"/>
          <w:lang w:val="de-DE" w:eastAsia="ja-JP"/>
        </w:rPr>
      </w:pPr>
      <w:r w:rsidRPr="005D5995">
        <w:rPr>
          <w:rFonts w:cs="Arial"/>
          <w:lang w:val="de-DE"/>
        </w:rPr>
        <w:t>HINTERGRUND</w:t>
      </w:r>
    </w:p>
    <w:p w14:paraId="10FB04FE" w14:textId="77777777" w:rsidR="00B91E18" w:rsidRPr="005D5995" w:rsidRDefault="00B91E18" w:rsidP="00B91E18">
      <w:pPr>
        <w:rPr>
          <w:rFonts w:eastAsia="MS Mincho"/>
          <w:lang w:val="de-DE" w:eastAsia="ja-JP"/>
        </w:rPr>
      </w:pPr>
    </w:p>
    <w:p w14:paraId="08FB4C6F" w14:textId="4BF23086" w:rsidR="00B91E18" w:rsidRPr="005D5995" w:rsidRDefault="00B91E18" w:rsidP="00B91E18">
      <w:pPr>
        <w:rPr>
          <w:lang w:val="de-DE"/>
        </w:rPr>
      </w:pPr>
      <w:r w:rsidRPr="005D5995">
        <w:fldChar w:fldCharType="begin"/>
      </w:r>
      <w:r w:rsidRPr="005D5995">
        <w:rPr>
          <w:lang w:val="de-DE"/>
        </w:rPr>
        <w:instrText xml:space="preserve"> AUTONUM  </w:instrText>
      </w:r>
      <w:r w:rsidRPr="005D5995">
        <w:fldChar w:fldCharType="end"/>
      </w:r>
      <w:r w:rsidRPr="005D5995">
        <w:rPr>
          <w:lang w:val="de-DE"/>
        </w:rPr>
        <w:tab/>
      </w:r>
      <w:r w:rsidR="00D50FFE" w:rsidRPr="005D5995">
        <w:rPr>
          <w:szCs w:val="24"/>
          <w:lang w:val="de-DE"/>
        </w:rPr>
        <w:t>Der Hintergrund zu dieser Angelegenheit ist</w:t>
      </w:r>
      <w:r w:rsidR="00025932" w:rsidRPr="005D5995">
        <w:rPr>
          <w:szCs w:val="24"/>
          <w:lang w:val="de-DE"/>
        </w:rPr>
        <w:t xml:space="preserve"> in Dokument </w:t>
      </w:r>
      <w:r w:rsidR="002A5517" w:rsidRPr="005D5995">
        <w:rPr>
          <w:szCs w:val="24"/>
          <w:lang w:val="de-DE"/>
        </w:rPr>
        <w:t>TC/53/19</w:t>
      </w:r>
      <w:r w:rsidRPr="005D5995">
        <w:rPr>
          <w:szCs w:val="24"/>
          <w:lang w:val="de-DE"/>
        </w:rPr>
        <w:t xml:space="preserve"> </w:t>
      </w:r>
      <w:r w:rsidR="00D50FFE" w:rsidRPr="005D5995">
        <w:rPr>
          <w:lang w:val="de-DE"/>
        </w:rPr>
        <w:t>„</w:t>
      </w:r>
      <w:r w:rsidR="00996B66" w:rsidRPr="005D5995">
        <w:rPr>
          <w:lang w:val="de-DE"/>
        </w:rPr>
        <w:t xml:space="preserve">Prüfung der Homogenität anhand von </w:t>
      </w:r>
      <w:proofErr w:type="spellStart"/>
      <w:r w:rsidR="00996B66" w:rsidRPr="005D5995">
        <w:rPr>
          <w:lang w:val="de-DE"/>
        </w:rPr>
        <w:t>Abweichern</w:t>
      </w:r>
      <w:proofErr w:type="spellEnd"/>
      <w:r w:rsidR="00996B66" w:rsidRPr="005D5995">
        <w:rPr>
          <w:lang w:val="de-DE"/>
        </w:rPr>
        <w:t xml:space="preserve"> aufgrund von mehr als einer Wachstumsperiode oder aufgrund von Unterproben</w:t>
      </w:r>
      <w:r w:rsidR="00D50FFE" w:rsidRPr="005D5995">
        <w:rPr>
          <w:lang w:val="de-DE"/>
        </w:rPr>
        <w:t>“</w:t>
      </w:r>
      <w:r w:rsidR="001E698B" w:rsidRPr="005D5995">
        <w:rPr>
          <w:lang w:val="de-DE"/>
        </w:rPr>
        <w:t xml:space="preserve"> dargelegt</w:t>
      </w:r>
      <w:r w:rsidRPr="005D5995">
        <w:rPr>
          <w:lang w:val="de-DE"/>
        </w:rPr>
        <w:t>.</w:t>
      </w:r>
    </w:p>
    <w:p w14:paraId="2BAFEEBB" w14:textId="77777777" w:rsidR="00B91E18" w:rsidRPr="005D5995" w:rsidRDefault="00B91E18" w:rsidP="00B91E18">
      <w:pPr>
        <w:rPr>
          <w:lang w:val="de-DE"/>
        </w:rPr>
      </w:pPr>
      <w:bookmarkStart w:id="5" w:name="_Toc380151005"/>
    </w:p>
    <w:p w14:paraId="17663C73" w14:textId="77777777" w:rsidR="00B91E18" w:rsidRPr="005D5995" w:rsidRDefault="00B91E18" w:rsidP="00B91E18">
      <w:pPr>
        <w:rPr>
          <w:lang w:val="de-DE"/>
        </w:rPr>
      </w:pPr>
    </w:p>
    <w:p w14:paraId="4829CA50" w14:textId="77777777" w:rsidR="00B91E18" w:rsidRPr="005D5995" w:rsidRDefault="001939F1" w:rsidP="005357F0">
      <w:pPr>
        <w:pStyle w:val="Heading1"/>
        <w:rPr>
          <w:lang w:val="de-DE"/>
        </w:rPr>
      </w:pPr>
      <w:bookmarkStart w:id="6" w:name="_Toc524518031"/>
      <w:r w:rsidRPr="005D5995">
        <w:rPr>
          <w:lang w:val="de-DE"/>
        </w:rPr>
        <w:t xml:space="preserve">ENTWICKLUNGEN IM </w:t>
      </w:r>
      <w:r w:rsidR="00996B66" w:rsidRPr="005D5995">
        <w:rPr>
          <w:lang w:val="de-DE"/>
        </w:rPr>
        <w:t xml:space="preserve">JAHR </w:t>
      </w:r>
      <w:r w:rsidR="00B91E18" w:rsidRPr="005D5995">
        <w:rPr>
          <w:lang w:val="de-DE"/>
        </w:rPr>
        <w:t>2017</w:t>
      </w:r>
      <w:bookmarkEnd w:id="6"/>
    </w:p>
    <w:p w14:paraId="0643444B" w14:textId="77777777" w:rsidR="00B91E18" w:rsidRPr="005D5995" w:rsidRDefault="00B91E18" w:rsidP="00B91E18">
      <w:pPr>
        <w:keepNext/>
        <w:rPr>
          <w:lang w:val="de-DE"/>
        </w:rPr>
      </w:pPr>
    </w:p>
    <w:p w14:paraId="5D9FB3EE" w14:textId="06697DDC" w:rsidR="00B91E18" w:rsidRPr="005D5995" w:rsidRDefault="00996B66" w:rsidP="00B91E18">
      <w:pPr>
        <w:pStyle w:val="Heading2"/>
        <w:rPr>
          <w:lang w:val="de-DE"/>
        </w:rPr>
      </w:pPr>
      <w:bookmarkStart w:id="7" w:name="_Toc524518032"/>
      <w:r w:rsidRPr="005D5995">
        <w:rPr>
          <w:lang w:val="de-DE"/>
        </w:rPr>
        <w:t>Bemerkungen</w:t>
      </w:r>
      <w:r w:rsidR="00B91E18" w:rsidRPr="005D5995">
        <w:rPr>
          <w:lang w:val="de-DE"/>
        </w:rPr>
        <w:t xml:space="preserve"> </w:t>
      </w:r>
      <w:r w:rsidR="00025932" w:rsidRPr="005D5995">
        <w:rPr>
          <w:lang w:val="de-DE"/>
        </w:rPr>
        <w:t>der Technischen Arbeitsgruppen</w:t>
      </w:r>
      <w:bookmarkEnd w:id="7"/>
    </w:p>
    <w:p w14:paraId="52C6A4A0" w14:textId="77777777" w:rsidR="00B91E18" w:rsidRPr="005D5995" w:rsidRDefault="00B91E18" w:rsidP="00B91E18">
      <w:pPr>
        <w:rPr>
          <w:lang w:val="de-DE"/>
        </w:rPr>
      </w:pPr>
    </w:p>
    <w:p w14:paraId="29A66EEF" w14:textId="1F454996" w:rsidR="00B91E18" w:rsidRPr="00477C3F" w:rsidRDefault="00B91E18" w:rsidP="00B91E18">
      <w:r w:rsidRPr="005D5995">
        <w:fldChar w:fldCharType="begin"/>
      </w:r>
      <w:r w:rsidRPr="005D5995">
        <w:rPr>
          <w:lang w:val="de-DE"/>
        </w:rPr>
        <w:instrText xml:space="preserve"> AUTONUM  </w:instrText>
      </w:r>
      <w:r w:rsidRPr="005D5995">
        <w:fldChar w:fldCharType="end"/>
      </w:r>
      <w:r w:rsidRPr="005D5995">
        <w:rPr>
          <w:lang w:val="de-DE"/>
        </w:rPr>
        <w:tab/>
      </w:r>
      <w:r w:rsidR="00025932" w:rsidRPr="005D5995">
        <w:rPr>
          <w:lang w:val="de-DE"/>
        </w:rPr>
        <w:t>Die</w:t>
      </w:r>
      <w:r w:rsidRPr="005D5995">
        <w:rPr>
          <w:lang w:val="de-DE"/>
        </w:rPr>
        <w:t xml:space="preserve"> TWA, TWV, TWO, TWF </w:t>
      </w:r>
      <w:r w:rsidR="00025932" w:rsidRPr="005D5995">
        <w:rPr>
          <w:lang w:val="de-DE"/>
        </w:rPr>
        <w:t>u</w:t>
      </w:r>
      <w:r w:rsidR="00AF4F5F" w:rsidRPr="005D5995">
        <w:rPr>
          <w:lang w:val="de-DE"/>
        </w:rPr>
        <w:t xml:space="preserve">nd TWC </w:t>
      </w:r>
      <w:r w:rsidR="0094207D" w:rsidRPr="005D5995">
        <w:rPr>
          <w:lang w:val="de-DE"/>
        </w:rPr>
        <w:t>prüften auf</w:t>
      </w:r>
      <w:r w:rsidR="00DA063D" w:rsidRPr="005D5995">
        <w:rPr>
          <w:lang w:val="de-DE"/>
        </w:rPr>
        <w:t xml:space="preserve"> ihre</w:t>
      </w:r>
      <w:r w:rsidR="009C2FFD" w:rsidRPr="005D5995">
        <w:rPr>
          <w:lang w:val="de-DE"/>
        </w:rPr>
        <w:t>n</w:t>
      </w:r>
      <w:r w:rsidR="00025932" w:rsidRPr="005D5995">
        <w:rPr>
          <w:lang w:val="de-DE"/>
        </w:rPr>
        <w:t xml:space="preserve"> Tagung</w:t>
      </w:r>
      <w:r w:rsidR="00551DCF" w:rsidRPr="005D5995">
        <w:rPr>
          <w:lang w:val="de-DE"/>
        </w:rPr>
        <w:t>en</w:t>
      </w:r>
      <w:r w:rsidR="00025932" w:rsidRPr="005D5995">
        <w:rPr>
          <w:lang w:val="de-DE"/>
        </w:rPr>
        <w:t xml:space="preserve"> im Jahr </w:t>
      </w:r>
      <w:r w:rsidRPr="005D5995">
        <w:rPr>
          <w:lang w:val="de-DE"/>
        </w:rPr>
        <w:t>2017</w:t>
      </w:r>
      <w:r w:rsidR="00025932" w:rsidRPr="005D5995">
        <w:rPr>
          <w:lang w:val="de-DE"/>
        </w:rPr>
        <w:t xml:space="preserve"> </w:t>
      </w:r>
      <w:r w:rsidR="004743FD">
        <w:rPr>
          <w:lang w:val="de-DE"/>
        </w:rPr>
        <w:t xml:space="preserve">das </w:t>
      </w:r>
      <w:r w:rsidR="00025932" w:rsidRPr="005D5995">
        <w:rPr>
          <w:lang w:val="de-DE"/>
        </w:rPr>
        <w:t>Dok</w:t>
      </w:r>
      <w:r w:rsidR="0075446C" w:rsidRPr="005D5995">
        <w:rPr>
          <w:lang w:val="de-DE"/>
        </w:rPr>
        <w:t>u</w:t>
      </w:r>
      <w:r w:rsidR="00025932" w:rsidRPr="005D5995">
        <w:rPr>
          <w:lang w:val="de-DE"/>
        </w:rPr>
        <w:t>ment</w:t>
      </w:r>
      <w:r w:rsidRPr="005D5995">
        <w:rPr>
          <w:lang w:val="de-DE"/>
        </w:rPr>
        <w:t> TWP/1/17 </w:t>
      </w:r>
      <w:proofErr w:type="spellStart"/>
      <w:r w:rsidRPr="005D5995">
        <w:rPr>
          <w:lang w:val="de-DE"/>
        </w:rPr>
        <w:t>Rev</w:t>
      </w:r>
      <w:proofErr w:type="spellEnd"/>
      <w:r w:rsidRPr="005D5995">
        <w:rPr>
          <w:lang w:val="de-DE"/>
        </w:rPr>
        <w:t xml:space="preserve">. </w:t>
      </w:r>
      <w:proofErr w:type="gramStart"/>
      <w:r w:rsidR="00D50FFE" w:rsidRPr="00477C3F">
        <w:t>„</w:t>
      </w:r>
      <w:r w:rsidR="00DF2DE8" w:rsidRPr="005D5995">
        <w:t>Assessing Uniformity by Off-Types on the Basis of More than One Growing Cycle or on the Basis of Sub-Samples</w:t>
      </w:r>
      <w:r w:rsidR="00D50FFE" w:rsidRPr="00477C3F">
        <w:t>“</w:t>
      </w:r>
      <w:r w:rsidRPr="00477C3F">
        <w:t xml:space="preserve"> (</w:t>
      </w:r>
      <w:proofErr w:type="spellStart"/>
      <w:r w:rsidR="00025932" w:rsidRPr="00477C3F">
        <w:t>vergleiche</w:t>
      </w:r>
      <w:proofErr w:type="spellEnd"/>
      <w:r w:rsidRPr="00477C3F">
        <w:t xml:space="preserve"> </w:t>
      </w:r>
      <w:proofErr w:type="spellStart"/>
      <w:r w:rsidR="00025932" w:rsidRPr="00477C3F">
        <w:t>Dokumente</w:t>
      </w:r>
      <w:proofErr w:type="spellEnd"/>
      <w:r w:rsidRPr="00477C3F">
        <w:t xml:space="preserve"> TWA/46/10 </w:t>
      </w:r>
      <w:r w:rsidR="00D50FFE" w:rsidRPr="00477C3F">
        <w:t>„</w:t>
      </w:r>
      <w:r w:rsidR="00AB7348" w:rsidRPr="00477C3F">
        <w:t>Report</w:t>
      </w:r>
      <w:r w:rsidR="00D50FFE" w:rsidRPr="00477C3F">
        <w:t>“</w:t>
      </w:r>
      <w:r w:rsidRPr="00477C3F">
        <w:t xml:space="preserve">, </w:t>
      </w:r>
      <w:proofErr w:type="spellStart"/>
      <w:r w:rsidR="00025932" w:rsidRPr="00477C3F">
        <w:t>Absätze</w:t>
      </w:r>
      <w:proofErr w:type="spellEnd"/>
      <w:r w:rsidR="00025932" w:rsidRPr="00477C3F">
        <w:t xml:space="preserve"> </w:t>
      </w:r>
      <w:r w:rsidRPr="00477C3F">
        <w:t xml:space="preserve">28 </w:t>
      </w:r>
      <w:proofErr w:type="spellStart"/>
      <w:r w:rsidR="00025932" w:rsidRPr="00477C3F">
        <w:t>bis</w:t>
      </w:r>
      <w:proofErr w:type="spellEnd"/>
      <w:r w:rsidRPr="00477C3F">
        <w:t xml:space="preserve"> 35; TWV/51/16</w:t>
      </w:r>
      <w:r w:rsidR="002A5517" w:rsidRPr="00477C3F">
        <w:t xml:space="preserve"> </w:t>
      </w:r>
      <w:r w:rsidR="00D50FFE" w:rsidRPr="00477C3F">
        <w:t>„</w:t>
      </w:r>
      <w:r w:rsidR="004C797C" w:rsidRPr="00477C3F">
        <w:t>Report</w:t>
      </w:r>
      <w:r w:rsidR="00D50FFE" w:rsidRPr="00477C3F">
        <w:t>“</w:t>
      </w:r>
      <w:r w:rsidRPr="00477C3F">
        <w:t xml:space="preserve">, </w:t>
      </w:r>
      <w:proofErr w:type="spellStart"/>
      <w:r w:rsidR="0075446C" w:rsidRPr="00477C3F">
        <w:t>Absätze</w:t>
      </w:r>
      <w:proofErr w:type="spellEnd"/>
      <w:r w:rsidRPr="00477C3F">
        <w:t xml:space="preserve"> 39 </w:t>
      </w:r>
      <w:proofErr w:type="spellStart"/>
      <w:r w:rsidR="0075446C" w:rsidRPr="00477C3F">
        <w:t>bis</w:t>
      </w:r>
      <w:proofErr w:type="spellEnd"/>
      <w:r w:rsidRPr="00477C3F">
        <w:t xml:space="preserve"> 47; TWO/50/14 </w:t>
      </w:r>
      <w:r w:rsidR="00D50FFE" w:rsidRPr="00477C3F">
        <w:t>„</w:t>
      </w:r>
      <w:r w:rsidR="00C93693" w:rsidRPr="00477C3F">
        <w:t>Report</w:t>
      </w:r>
      <w:r w:rsidRPr="00477C3F">
        <w:t xml:space="preserve">, </w:t>
      </w:r>
      <w:proofErr w:type="spellStart"/>
      <w:r w:rsidR="0075446C" w:rsidRPr="00477C3F">
        <w:t>Absätze</w:t>
      </w:r>
      <w:proofErr w:type="spellEnd"/>
      <w:r w:rsidRPr="00477C3F">
        <w:t xml:space="preserve"> 19 </w:t>
      </w:r>
      <w:proofErr w:type="spellStart"/>
      <w:r w:rsidR="0075446C" w:rsidRPr="00477C3F">
        <w:t>bis</w:t>
      </w:r>
      <w:proofErr w:type="spellEnd"/>
      <w:r w:rsidRPr="00477C3F">
        <w:t xml:space="preserve"> 21; TWF/48/13 </w:t>
      </w:r>
      <w:r w:rsidR="00D50FFE" w:rsidRPr="00477C3F">
        <w:t>„</w:t>
      </w:r>
      <w:r w:rsidR="000E2C88" w:rsidRPr="00477C3F">
        <w:t>Report</w:t>
      </w:r>
      <w:r w:rsidR="00D50FFE" w:rsidRPr="00477C3F">
        <w:t>“</w:t>
      </w:r>
      <w:r w:rsidRPr="00477C3F">
        <w:t xml:space="preserve">, </w:t>
      </w:r>
      <w:proofErr w:type="spellStart"/>
      <w:r w:rsidR="0075446C" w:rsidRPr="00477C3F">
        <w:t>Absätze</w:t>
      </w:r>
      <w:proofErr w:type="spellEnd"/>
      <w:r w:rsidR="002A5517" w:rsidRPr="00477C3F">
        <w:t> </w:t>
      </w:r>
      <w:r w:rsidRPr="00477C3F">
        <w:t xml:space="preserve">22 </w:t>
      </w:r>
      <w:proofErr w:type="spellStart"/>
      <w:r w:rsidR="0075446C" w:rsidRPr="00477C3F">
        <w:t>bis</w:t>
      </w:r>
      <w:proofErr w:type="spellEnd"/>
      <w:r w:rsidRPr="00477C3F">
        <w:t xml:space="preserve"> 25; </w:t>
      </w:r>
      <w:r w:rsidR="0075446C" w:rsidRPr="00477C3F">
        <w:t>u</w:t>
      </w:r>
      <w:r w:rsidRPr="00477C3F">
        <w:t xml:space="preserve">nd TWC/35/21 </w:t>
      </w:r>
      <w:r w:rsidR="00D50FFE" w:rsidRPr="00477C3F">
        <w:t>„</w:t>
      </w:r>
      <w:r w:rsidR="00200C3D" w:rsidRPr="00477C3F">
        <w:t>Report</w:t>
      </w:r>
      <w:r w:rsidR="00D50FFE" w:rsidRPr="00477C3F">
        <w:t>“</w:t>
      </w:r>
      <w:r w:rsidRPr="00477C3F">
        <w:t xml:space="preserve">, </w:t>
      </w:r>
      <w:proofErr w:type="spellStart"/>
      <w:r w:rsidR="0075446C" w:rsidRPr="00477C3F">
        <w:t>Absätze</w:t>
      </w:r>
      <w:proofErr w:type="spellEnd"/>
      <w:r w:rsidRPr="00477C3F">
        <w:t xml:space="preserve"> 32 </w:t>
      </w:r>
      <w:proofErr w:type="spellStart"/>
      <w:r w:rsidR="0075446C" w:rsidRPr="00477C3F">
        <w:t>bis</w:t>
      </w:r>
      <w:proofErr w:type="spellEnd"/>
      <w:r w:rsidR="0075446C" w:rsidRPr="00477C3F">
        <w:t xml:space="preserve"> </w:t>
      </w:r>
      <w:r w:rsidRPr="00477C3F">
        <w:t>35).</w:t>
      </w:r>
      <w:proofErr w:type="gramEnd"/>
    </w:p>
    <w:p w14:paraId="70FA945F" w14:textId="77777777" w:rsidR="00B91E18" w:rsidRPr="00477C3F" w:rsidRDefault="00B91E18" w:rsidP="00B91E18"/>
    <w:p w14:paraId="581B00A3" w14:textId="240AE43A" w:rsidR="00B91E18" w:rsidRPr="005D5995" w:rsidRDefault="00B91E18" w:rsidP="00B91E18">
      <w:pPr>
        <w:rPr>
          <w:lang w:val="de-DE"/>
        </w:rPr>
      </w:pPr>
      <w:r w:rsidRPr="005D5995">
        <w:fldChar w:fldCharType="begin"/>
      </w:r>
      <w:r w:rsidRPr="005D5995">
        <w:rPr>
          <w:lang w:val="de-DE"/>
        </w:rPr>
        <w:instrText xml:space="preserve"> AUTONUM  </w:instrText>
      </w:r>
      <w:r w:rsidRPr="005D5995">
        <w:fldChar w:fldCharType="end"/>
      </w:r>
      <w:r w:rsidRPr="005D5995">
        <w:rPr>
          <w:lang w:val="de-DE"/>
        </w:rPr>
        <w:tab/>
      </w:r>
      <w:r w:rsidR="0075446C" w:rsidRPr="005D5995">
        <w:rPr>
          <w:lang w:val="de-DE"/>
        </w:rPr>
        <w:t>Die</w:t>
      </w:r>
      <w:r w:rsidR="00F63867" w:rsidRPr="005D5995">
        <w:rPr>
          <w:lang w:val="de-DE"/>
        </w:rPr>
        <w:t xml:space="preserve"> TWP</w:t>
      </w:r>
      <w:r w:rsidRPr="005D5995">
        <w:rPr>
          <w:lang w:val="de-DE"/>
        </w:rPr>
        <w:t xml:space="preserve"> </w:t>
      </w:r>
      <w:r w:rsidR="0075446C" w:rsidRPr="005D5995">
        <w:rPr>
          <w:lang w:val="de-DE"/>
        </w:rPr>
        <w:t xml:space="preserve">prüften den </w:t>
      </w:r>
      <w:r w:rsidR="00996B66" w:rsidRPr="005D5995">
        <w:rPr>
          <w:lang w:val="de-DE"/>
        </w:rPr>
        <w:t>Entwurf einer Anleitung</w:t>
      </w:r>
      <w:r w:rsidRPr="005D5995">
        <w:rPr>
          <w:lang w:val="de-DE"/>
        </w:rPr>
        <w:t xml:space="preserve"> in </w:t>
      </w:r>
      <w:r w:rsidR="0075446C" w:rsidRPr="005D5995">
        <w:rPr>
          <w:lang w:val="de-DE"/>
        </w:rPr>
        <w:t>Dok</w:t>
      </w:r>
      <w:r w:rsidRPr="005D5995">
        <w:rPr>
          <w:lang w:val="de-DE"/>
        </w:rPr>
        <w:t xml:space="preserve">ument TWP/1/17 </w:t>
      </w:r>
      <w:proofErr w:type="spellStart"/>
      <w:r w:rsidRPr="005D5995">
        <w:rPr>
          <w:lang w:val="de-DE"/>
        </w:rPr>
        <w:t>Rev</w:t>
      </w:r>
      <w:proofErr w:type="spellEnd"/>
      <w:r w:rsidRPr="005D5995">
        <w:rPr>
          <w:lang w:val="de-DE"/>
        </w:rPr>
        <w:t xml:space="preserve">. </w:t>
      </w:r>
      <w:r w:rsidR="00996B66" w:rsidRPr="005D5995">
        <w:rPr>
          <w:lang w:val="de-DE"/>
        </w:rPr>
        <w:t>zur Aufnahme in eine künftige Überarbeitung</w:t>
      </w:r>
      <w:r w:rsidRPr="005D5995">
        <w:rPr>
          <w:lang w:val="de-DE"/>
        </w:rPr>
        <w:t xml:space="preserve"> </w:t>
      </w:r>
      <w:r w:rsidR="0075446C" w:rsidRPr="005D5995">
        <w:rPr>
          <w:lang w:val="de-DE"/>
        </w:rPr>
        <w:t>des Dokuments</w:t>
      </w:r>
      <w:r w:rsidRPr="005D5995">
        <w:rPr>
          <w:lang w:val="de-DE"/>
        </w:rPr>
        <w:t xml:space="preserve"> TGP/10 </w:t>
      </w:r>
      <w:r w:rsidR="00D50FFE" w:rsidRPr="005D5995">
        <w:rPr>
          <w:lang w:val="de-DE"/>
        </w:rPr>
        <w:t>„</w:t>
      </w:r>
      <w:r w:rsidR="00996B66" w:rsidRPr="005D5995">
        <w:rPr>
          <w:lang w:val="de-DE"/>
        </w:rPr>
        <w:t>Prüfung der Homogenität</w:t>
      </w:r>
      <w:r w:rsidR="00D50FFE" w:rsidRPr="005D5995">
        <w:rPr>
          <w:lang w:val="de-DE"/>
        </w:rPr>
        <w:t>“</w:t>
      </w:r>
      <w:r w:rsidRPr="005D5995">
        <w:rPr>
          <w:lang w:val="de-DE"/>
        </w:rPr>
        <w:t xml:space="preserve"> </w:t>
      </w:r>
      <w:r w:rsidR="0075446C" w:rsidRPr="005D5995">
        <w:rPr>
          <w:lang w:val="de-DE"/>
        </w:rPr>
        <w:t xml:space="preserve">und </w:t>
      </w:r>
      <w:r w:rsidR="00DF2DE8" w:rsidRPr="005D5995">
        <w:rPr>
          <w:lang w:val="de-DE"/>
        </w:rPr>
        <w:t>gaben</w:t>
      </w:r>
      <w:r w:rsidR="0075446C" w:rsidRPr="005D5995">
        <w:rPr>
          <w:lang w:val="de-DE"/>
        </w:rPr>
        <w:t xml:space="preserve"> die folgenden Be</w:t>
      </w:r>
      <w:r w:rsidR="00996B66" w:rsidRPr="005D5995">
        <w:rPr>
          <w:lang w:val="de-DE"/>
        </w:rPr>
        <w:t>merkungen</w:t>
      </w:r>
      <w:r w:rsidR="0075446C" w:rsidRPr="005D5995">
        <w:rPr>
          <w:lang w:val="de-DE"/>
        </w:rPr>
        <w:t xml:space="preserve"> </w:t>
      </w:r>
      <w:r w:rsidR="00DF2DE8" w:rsidRPr="005D5995">
        <w:rPr>
          <w:lang w:val="de-DE"/>
        </w:rPr>
        <w:t>ab</w:t>
      </w:r>
      <w:r w:rsidRPr="005D5995">
        <w:rPr>
          <w:lang w:val="de-DE"/>
        </w:rPr>
        <w:t>:</w:t>
      </w:r>
    </w:p>
    <w:p w14:paraId="1EF45E6F" w14:textId="77777777" w:rsidR="00B91E18" w:rsidRPr="005D5995" w:rsidRDefault="00B91E18" w:rsidP="00B91E18">
      <w:pPr>
        <w:rPr>
          <w:lang w:val="de-DE"/>
        </w:rPr>
      </w:pPr>
    </w:p>
    <w:p w14:paraId="1FD78D69" w14:textId="77777777" w:rsidR="00B91E18" w:rsidRPr="00477C3F" w:rsidRDefault="00996B66" w:rsidP="00B91E18">
      <w:pPr>
        <w:pStyle w:val="Heading3"/>
        <w:rPr>
          <w:lang w:val="de-DE"/>
        </w:rPr>
      </w:pPr>
      <w:bookmarkStart w:id="8" w:name="_Toc524518033"/>
      <w:r w:rsidRPr="00477C3F">
        <w:rPr>
          <w:rFonts w:eastAsia="MS Mincho"/>
          <w:szCs w:val="24"/>
          <w:lang w:val="de-DE" w:eastAsia="ja-JP"/>
        </w:rPr>
        <w:t>Umweltvariation</w:t>
      </w:r>
      <w:bookmarkEnd w:id="8"/>
    </w:p>
    <w:p w14:paraId="2B58BAC1" w14:textId="77777777" w:rsidR="00B91E18" w:rsidRPr="00477C3F" w:rsidRDefault="00B91E18" w:rsidP="00B91E18">
      <w:pPr>
        <w:rPr>
          <w:lang w:val="de-DE"/>
        </w:rPr>
      </w:pPr>
    </w:p>
    <w:p w14:paraId="06014E24" w14:textId="4BEA7C73" w:rsidR="00B91E18" w:rsidRPr="005D5995" w:rsidRDefault="00B91E18" w:rsidP="00B91E18">
      <w:pPr>
        <w:rPr>
          <w:lang w:val="de-DE"/>
        </w:rPr>
      </w:pPr>
      <w:r w:rsidRPr="005D5995">
        <w:fldChar w:fldCharType="begin"/>
      </w:r>
      <w:r w:rsidRPr="005D5995">
        <w:rPr>
          <w:lang w:val="de-DE"/>
        </w:rPr>
        <w:instrText xml:space="preserve"> AUTONUM  </w:instrText>
      </w:r>
      <w:r w:rsidRPr="005D5995">
        <w:fldChar w:fldCharType="end"/>
      </w:r>
      <w:r w:rsidRPr="005D5995">
        <w:rPr>
          <w:lang w:val="de-DE"/>
        </w:rPr>
        <w:tab/>
      </w:r>
      <w:r w:rsidR="0075446C" w:rsidRPr="005D5995">
        <w:rPr>
          <w:lang w:val="de-DE"/>
        </w:rPr>
        <w:t>Die</w:t>
      </w:r>
      <w:r w:rsidRPr="005D5995">
        <w:rPr>
          <w:lang w:val="de-DE"/>
        </w:rPr>
        <w:t xml:space="preserve"> TWV, TWF </w:t>
      </w:r>
      <w:proofErr w:type="spellStart"/>
      <w:r w:rsidRPr="005D5995">
        <w:rPr>
          <w:lang w:val="de-DE"/>
        </w:rPr>
        <w:t>and</w:t>
      </w:r>
      <w:proofErr w:type="spellEnd"/>
      <w:r w:rsidRPr="005D5995">
        <w:rPr>
          <w:lang w:val="de-DE"/>
        </w:rPr>
        <w:t xml:space="preserve"> TWC </w:t>
      </w:r>
      <w:r w:rsidR="00C12316" w:rsidRPr="005D5995">
        <w:rPr>
          <w:lang w:val="de-DE"/>
        </w:rPr>
        <w:t>stimmten</w:t>
      </w:r>
      <w:r w:rsidR="0075446C" w:rsidRPr="005D5995">
        <w:rPr>
          <w:lang w:val="de-DE"/>
        </w:rPr>
        <w:t xml:space="preserve"> mit der </w:t>
      </w:r>
      <w:r w:rsidRPr="005D5995">
        <w:rPr>
          <w:lang w:val="de-DE"/>
        </w:rPr>
        <w:t>TWA</w:t>
      </w:r>
      <w:r w:rsidR="008A5EA6" w:rsidRPr="005D5995">
        <w:rPr>
          <w:lang w:val="de-DE"/>
        </w:rPr>
        <w:t xml:space="preserve"> darin überein</w:t>
      </w:r>
      <w:r w:rsidR="002C6B1D" w:rsidRPr="005D5995">
        <w:rPr>
          <w:lang w:val="de-DE"/>
        </w:rPr>
        <w:t xml:space="preserve">, vorzuschlagen, </w:t>
      </w:r>
      <w:r w:rsidR="00DF2DE8" w:rsidRPr="005D5995">
        <w:rPr>
          <w:lang w:val="de-DE"/>
        </w:rPr>
        <w:t>den</w:t>
      </w:r>
      <w:r w:rsidR="002C6B1D" w:rsidRPr="005D5995">
        <w:rPr>
          <w:lang w:val="de-DE"/>
        </w:rPr>
        <w:t xml:space="preserve"> neue</w:t>
      </w:r>
      <w:r w:rsidR="00DF2DE8" w:rsidRPr="005D5995">
        <w:rPr>
          <w:lang w:val="de-DE"/>
        </w:rPr>
        <w:t>n in</w:t>
      </w:r>
      <w:r w:rsidR="002C6B1D" w:rsidRPr="005D5995">
        <w:rPr>
          <w:lang w:val="de-DE"/>
        </w:rPr>
        <w:t xml:space="preserve"> </w:t>
      </w:r>
      <w:r w:rsidR="0075446C" w:rsidRPr="005D5995">
        <w:rPr>
          <w:lang w:val="de-DE"/>
        </w:rPr>
        <w:t>den</w:t>
      </w:r>
      <w:r w:rsidRPr="005D5995">
        <w:rPr>
          <w:lang w:val="de-DE"/>
        </w:rPr>
        <w:t xml:space="preserve"> </w:t>
      </w:r>
      <w:r w:rsidR="00996B66" w:rsidRPr="005D5995">
        <w:rPr>
          <w:lang w:val="de-DE"/>
        </w:rPr>
        <w:t>Entwurf einer Anleitung</w:t>
      </w:r>
      <w:r w:rsidRPr="005D5995">
        <w:rPr>
          <w:lang w:val="de-DE"/>
        </w:rPr>
        <w:t>, An</w:t>
      </w:r>
      <w:r w:rsidR="0075446C" w:rsidRPr="005D5995">
        <w:rPr>
          <w:lang w:val="de-DE"/>
        </w:rPr>
        <w:t xml:space="preserve">lage </w:t>
      </w:r>
      <w:r w:rsidRPr="005D5995">
        <w:rPr>
          <w:lang w:val="de-DE"/>
        </w:rPr>
        <w:t xml:space="preserve">I, </w:t>
      </w:r>
      <w:r w:rsidR="002C6B1D" w:rsidRPr="005D5995">
        <w:rPr>
          <w:lang w:val="de-DE"/>
        </w:rPr>
        <w:t>eingeführte</w:t>
      </w:r>
      <w:r w:rsidR="00DF2DE8" w:rsidRPr="005D5995">
        <w:rPr>
          <w:lang w:val="de-DE"/>
        </w:rPr>
        <w:t xml:space="preserve">n </w:t>
      </w:r>
      <w:r w:rsidR="004743FD">
        <w:rPr>
          <w:lang w:val="de-DE"/>
        </w:rPr>
        <w:t xml:space="preserve">Satz </w:t>
      </w:r>
      <w:r w:rsidR="00DF2DE8" w:rsidRPr="005D5995">
        <w:rPr>
          <w:lang w:val="de-DE"/>
        </w:rPr>
        <w:t>so zu ändern</w:t>
      </w:r>
      <w:r w:rsidR="00413F36" w:rsidRPr="005D5995">
        <w:rPr>
          <w:lang w:val="de-DE"/>
        </w:rPr>
        <w:t xml:space="preserve">, </w:t>
      </w:r>
      <w:proofErr w:type="spellStart"/>
      <w:r w:rsidR="00413F36" w:rsidRPr="005D5995">
        <w:rPr>
          <w:lang w:val="de-DE"/>
        </w:rPr>
        <w:t>daß</w:t>
      </w:r>
      <w:proofErr w:type="spellEnd"/>
      <w:r w:rsidR="00413F36" w:rsidRPr="005D5995">
        <w:rPr>
          <w:lang w:val="de-DE"/>
        </w:rPr>
        <w:t xml:space="preserve"> er</w:t>
      </w:r>
      <w:r w:rsidR="00996B66" w:rsidRPr="005D5995">
        <w:rPr>
          <w:lang w:val="de-DE"/>
        </w:rPr>
        <w:t xml:space="preserve"> lautet</w:t>
      </w:r>
      <w:r w:rsidRPr="005D5995">
        <w:rPr>
          <w:lang w:val="de-DE"/>
        </w:rPr>
        <w:t>:</w:t>
      </w:r>
    </w:p>
    <w:p w14:paraId="7B1F6E40" w14:textId="77777777" w:rsidR="00B91E18" w:rsidRPr="005D5995" w:rsidRDefault="00B91E18" w:rsidP="00B91E18">
      <w:pPr>
        <w:rPr>
          <w:lang w:val="de-DE"/>
        </w:rPr>
      </w:pPr>
    </w:p>
    <w:p w14:paraId="7FD58FC6" w14:textId="43EEB74E" w:rsidR="00B91E18" w:rsidRPr="005D5995" w:rsidRDefault="00D50FFE" w:rsidP="00B91E18">
      <w:pPr>
        <w:ind w:left="567" w:right="567"/>
        <w:rPr>
          <w:sz w:val="18"/>
          <w:szCs w:val="18"/>
          <w:u w:val="single"/>
          <w:lang w:val="de-DE" w:eastAsia="zh-CN"/>
        </w:rPr>
      </w:pPr>
      <w:r w:rsidRPr="005D5995">
        <w:rPr>
          <w:sz w:val="18"/>
          <w:szCs w:val="18"/>
          <w:lang w:val="de-DE"/>
        </w:rPr>
        <w:t>„</w:t>
      </w:r>
      <w:r w:rsidR="0075446C" w:rsidRPr="005D5995">
        <w:rPr>
          <w:sz w:val="18"/>
          <w:szCs w:val="18"/>
          <w:lang w:val="de-DE"/>
        </w:rPr>
        <w:t xml:space="preserve">Es ist wichtig, zu identifizieren, ob Unterschiede in der Anzahl von </w:t>
      </w:r>
      <w:proofErr w:type="spellStart"/>
      <w:r w:rsidR="0075446C" w:rsidRPr="005D5995">
        <w:rPr>
          <w:sz w:val="18"/>
          <w:szCs w:val="18"/>
          <w:lang w:val="de-DE"/>
        </w:rPr>
        <w:t>Abweichern</w:t>
      </w:r>
      <w:proofErr w:type="spellEnd"/>
      <w:r w:rsidR="0075446C" w:rsidRPr="005D5995">
        <w:rPr>
          <w:sz w:val="18"/>
          <w:szCs w:val="18"/>
          <w:lang w:val="de-DE"/>
        </w:rPr>
        <w:t xml:space="preserve"> zwischen Wachstumsperioden durch </w:t>
      </w:r>
      <w:r w:rsidR="0075446C" w:rsidRPr="005D5995">
        <w:rPr>
          <w:strike/>
          <w:sz w:val="18"/>
          <w:szCs w:val="18"/>
          <w:highlight w:val="lightGray"/>
          <w:lang w:val="de-DE"/>
        </w:rPr>
        <w:t>biologische Ursachen</w:t>
      </w:r>
      <w:r w:rsidR="0075446C" w:rsidRPr="005D5995">
        <w:rPr>
          <w:sz w:val="18"/>
          <w:szCs w:val="18"/>
          <w:highlight w:val="lightGray"/>
          <w:lang w:val="de-DE"/>
        </w:rPr>
        <w:t xml:space="preserve"> </w:t>
      </w:r>
      <w:r w:rsidR="0054021C" w:rsidRPr="005D5995">
        <w:rPr>
          <w:sz w:val="18"/>
          <w:szCs w:val="18"/>
          <w:highlight w:val="lightGray"/>
          <w:u w:val="single"/>
          <w:lang w:val="de-DE"/>
        </w:rPr>
        <w:t>Umweltursachen</w:t>
      </w:r>
      <w:r w:rsidR="0054021C" w:rsidRPr="005D5995">
        <w:rPr>
          <w:sz w:val="18"/>
          <w:szCs w:val="18"/>
          <w:lang w:val="de-DE"/>
        </w:rPr>
        <w:t xml:space="preserve"> </w:t>
      </w:r>
      <w:r w:rsidR="0075446C" w:rsidRPr="005D5995">
        <w:rPr>
          <w:sz w:val="18"/>
          <w:szCs w:val="18"/>
          <w:lang w:val="de-DE"/>
        </w:rPr>
        <w:t>oder durch Unterschiede in der Art der Probennahme bedingt sind</w:t>
      </w:r>
      <w:r w:rsidR="0054021C" w:rsidRPr="005D5995">
        <w:rPr>
          <w:sz w:val="18"/>
          <w:szCs w:val="18"/>
          <w:lang w:val="de-DE"/>
        </w:rPr>
        <w:t>.“</w:t>
      </w:r>
    </w:p>
    <w:p w14:paraId="3EF988F4" w14:textId="77777777" w:rsidR="00B91E18" w:rsidRPr="005D5995" w:rsidRDefault="00B91E18" w:rsidP="00B91E18">
      <w:pPr>
        <w:rPr>
          <w:lang w:val="de-DE"/>
        </w:rPr>
      </w:pPr>
    </w:p>
    <w:p w14:paraId="0607D362" w14:textId="38380C97" w:rsidR="00B91E18" w:rsidRPr="005D5995" w:rsidRDefault="00B91E18" w:rsidP="00B91E18">
      <w:pPr>
        <w:rPr>
          <w:lang w:val="de-DE"/>
        </w:rPr>
      </w:pPr>
      <w:r w:rsidRPr="005D5995">
        <w:fldChar w:fldCharType="begin"/>
      </w:r>
      <w:r w:rsidRPr="005D5995">
        <w:rPr>
          <w:lang w:val="de-DE"/>
        </w:rPr>
        <w:instrText xml:space="preserve"> AUTONUM  </w:instrText>
      </w:r>
      <w:r w:rsidRPr="005D5995">
        <w:fldChar w:fldCharType="end"/>
      </w:r>
      <w:r w:rsidRPr="005D5995">
        <w:rPr>
          <w:lang w:val="de-DE"/>
        </w:rPr>
        <w:tab/>
      </w:r>
      <w:r w:rsidR="0054021C" w:rsidRPr="005D5995">
        <w:rPr>
          <w:lang w:val="de-DE"/>
        </w:rPr>
        <w:t>Die</w:t>
      </w:r>
      <w:r w:rsidRPr="005D5995">
        <w:rPr>
          <w:lang w:val="de-DE"/>
        </w:rPr>
        <w:t xml:space="preserve"> </w:t>
      </w:r>
      <w:r w:rsidRPr="005D5995">
        <w:rPr>
          <w:lang w:val="de-DE" w:eastAsia="zh-CN"/>
        </w:rPr>
        <w:t xml:space="preserve">TWF </w:t>
      </w:r>
      <w:r w:rsidR="0054021C" w:rsidRPr="005D5995">
        <w:rPr>
          <w:lang w:val="de-DE" w:eastAsia="zh-CN"/>
        </w:rPr>
        <w:t>u</w:t>
      </w:r>
      <w:r w:rsidRPr="005D5995">
        <w:rPr>
          <w:lang w:val="de-DE" w:eastAsia="zh-CN"/>
        </w:rPr>
        <w:t>nd</w:t>
      </w:r>
      <w:r w:rsidRPr="005D5995">
        <w:rPr>
          <w:lang w:val="de-DE"/>
        </w:rPr>
        <w:t xml:space="preserve"> TWV </w:t>
      </w:r>
      <w:r w:rsidR="0054021C" w:rsidRPr="005D5995">
        <w:rPr>
          <w:lang w:val="de-DE"/>
        </w:rPr>
        <w:t xml:space="preserve">vereinbarten, eine weitere </w:t>
      </w:r>
      <w:r w:rsidR="00315F79" w:rsidRPr="005D5995">
        <w:rPr>
          <w:lang w:val="de-DE"/>
        </w:rPr>
        <w:t>Klarstellung</w:t>
      </w:r>
      <w:r w:rsidR="00DF2DE8" w:rsidRPr="005D5995">
        <w:rPr>
          <w:lang w:val="de-DE"/>
        </w:rPr>
        <w:t xml:space="preserve"> für den in den</w:t>
      </w:r>
      <w:r w:rsidR="00386121" w:rsidRPr="005D5995">
        <w:rPr>
          <w:lang w:val="de-DE"/>
        </w:rPr>
        <w:t xml:space="preserve"> neue</w:t>
      </w:r>
      <w:r w:rsidR="00DF2DE8" w:rsidRPr="005D5995">
        <w:rPr>
          <w:lang w:val="de-DE"/>
        </w:rPr>
        <w:t>n</w:t>
      </w:r>
      <w:r w:rsidRPr="005D5995">
        <w:rPr>
          <w:lang w:val="de-DE"/>
        </w:rPr>
        <w:t xml:space="preserve"> </w:t>
      </w:r>
      <w:r w:rsidR="00996B66" w:rsidRPr="005D5995">
        <w:rPr>
          <w:lang w:val="de-DE"/>
        </w:rPr>
        <w:t>Entwurf einer Anleitung</w:t>
      </w:r>
      <w:r w:rsidRPr="005D5995">
        <w:rPr>
          <w:lang w:val="de-DE"/>
        </w:rPr>
        <w:t>, A</w:t>
      </w:r>
      <w:r w:rsidR="0054021C" w:rsidRPr="005D5995">
        <w:rPr>
          <w:lang w:val="de-DE"/>
        </w:rPr>
        <w:t>nlage</w:t>
      </w:r>
      <w:r w:rsidRPr="005D5995">
        <w:rPr>
          <w:lang w:val="de-DE"/>
        </w:rPr>
        <w:t xml:space="preserve"> I,</w:t>
      </w:r>
      <w:r w:rsidR="00386121" w:rsidRPr="005D5995">
        <w:rPr>
          <w:lang w:val="de-DE"/>
        </w:rPr>
        <w:t xml:space="preserve"> eingeführt</w:t>
      </w:r>
      <w:r w:rsidR="00DF2DE8" w:rsidRPr="005D5995">
        <w:rPr>
          <w:lang w:val="de-DE"/>
        </w:rPr>
        <w:t xml:space="preserve">en </w:t>
      </w:r>
      <w:r w:rsidR="00386121" w:rsidRPr="005D5995">
        <w:rPr>
          <w:lang w:val="de-DE"/>
        </w:rPr>
        <w:t xml:space="preserve">Satz </w:t>
      </w:r>
      <w:r w:rsidRPr="005D5995">
        <w:rPr>
          <w:lang w:val="de-DE"/>
        </w:rPr>
        <w:t>f</w:t>
      </w:r>
      <w:r w:rsidR="0054021C" w:rsidRPr="005D5995">
        <w:rPr>
          <w:lang w:val="de-DE"/>
        </w:rPr>
        <w:t>ür</w:t>
      </w:r>
      <w:r w:rsidRPr="005D5995">
        <w:rPr>
          <w:lang w:val="de-DE"/>
        </w:rPr>
        <w:t xml:space="preserve"> all</w:t>
      </w:r>
      <w:r w:rsidR="0054021C" w:rsidRPr="005D5995">
        <w:rPr>
          <w:lang w:val="de-DE"/>
        </w:rPr>
        <w:t>e</w:t>
      </w:r>
      <w:r w:rsidRPr="005D5995">
        <w:rPr>
          <w:lang w:val="de-DE"/>
        </w:rPr>
        <w:t xml:space="preserve"> </w:t>
      </w:r>
      <w:r w:rsidR="00D50FFE" w:rsidRPr="005D5995">
        <w:rPr>
          <w:lang w:val="de-DE"/>
        </w:rPr>
        <w:t>Ansätze</w:t>
      </w:r>
      <w:r w:rsidRPr="005D5995">
        <w:rPr>
          <w:lang w:val="de-DE"/>
        </w:rPr>
        <w:t xml:space="preserve"> </w:t>
      </w:r>
      <w:r w:rsidR="0054021C" w:rsidRPr="005D5995">
        <w:rPr>
          <w:lang w:val="de-DE"/>
        </w:rPr>
        <w:t>vorzuschlagen</w:t>
      </w:r>
      <w:r w:rsidR="00996B66" w:rsidRPr="005D5995">
        <w:rPr>
          <w:lang w:val="de-DE"/>
        </w:rPr>
        <w:t xml:space="preserve">, so </w:t>
      </w:r>
      <w:proofErr w:type="spellStart"/>
      <w:r w:rsidR="00996B66" w:rsidRPr="005D5995">
        <w:rPr>
          <w:lang w:val="de-DE"/>
        </w:rPr>
        <w:t>daß</w:t>
      </w:r>
      <w:proofErr w:type="spellEnd"/>
      <w:r w:rsidR="00996B66" w:rsidRPr="005D5995">
        <w:rPr>
          <w:lang w:val="de-DE"/>
        </w:rPr>
        <w:t xml:space="preserve"> </w:t>
      </w:r>
      <w:r w:rsidR="00A23626" w:rsidRPr="005D5995">
        <w:rPr>
          <w:lang w:val="de-DE"/>
        </w:rPr>
        <w:t xml:space="preserve">er </w:t>
      </w:r>
      <w:r w:rsidR="00996B66" w:rsidRPr="005D5995">
        <w:rPr>
          <w:lang w:val="de-DE"/>
        </w:rPr>
        <w:t>lautet</w:t>
      </w:r>
      <w:r w:rsidRPr="005D5995">
        <w:rPr>
          <w:lang w:val="de-DE"/>
        </w:rPr>
        <w:t>:</w:t>
      </w:r>
    </w:p>
    <w:p w14:paraId="754508CD" w14:textId="77777777" w:rsidR="00B91E18" w:rsidRPr="005D5995" w:rsidRDefault="00B91E18" w:rsidP="00B91E18">
      <w:pPr>
        <w:rPr>
          <w:lang w:val="de-DE"/>
        </w:rPr>
      </w:pPr>
    </w:p>
    <w:p w14:paraId="746F9522" w14:textId="77ADB205" w:rsidR="00B91E18" w:rsidRPr="005D5995" w:rsidRDefault="00D50FFE" w:rsidP="0054021C">
      <w:pPr>
        <w:pStyle w:val="CommentText"/>
        <w:ind w:left="567" w:firstLine="3"/>
        <w:rPr>
          <w:sz w:val="18"/>
          <w:szCs w:val="18"/>
          <w:lang w:val="de-DE"/>
        </w:rPr>
      </w:pPr>
      <w:r w:rsidRPr="005D5995">
        <w:rPr>
          <w:sz w:val="18"/>
          <w:szCs w:val="18"/>
          <w:lang w:val="de-DE"/>
        </w:rPr>
        <w:t>„</w:t>
      </w:r>
      <w:r w:rsidR="0075446C" w:rsidRPr="005D5995">
        <w:rPr>
          <w:sz w:val="18"/>
          <w:szCs w:val="18"/>
          <w:lang w:val="de-DE"/>
        </w:rPr>
        <w:t xml:space="preserve">Es ist wichtig, zu identifizieren, ob Unterschiede in der Anzahl von </w:t>
      </w:r>
      <w:proofErr w:type="spellStart"/>
      <w:r w:rsidR="0075446C" w:rsidRPr="005D5995">
        <w:rPr>
          <w:sz w:val="18"/>
          <w:szCs w:val="18"/>
          <w:lang w:val="de-DE"/>
        </w:rPr>
        <w:t>Abweichern</w:t>
      </w:r>
      <w:proofErr w:type="spellEnd"/>
      <w:r w:rsidR="0075446C" w:rsidRPr="005D5995">
        <w:rPr>
          <w:sz w:val="18"/>
          <w:szCs w:val="18"/>
          <w:lang w:val="de-DE"/>
        </w:rPr>
        <w:t xml:space="preserve"> zwischen Wachstumsperioden </w:t>
      </w:r>
      <w:r w:rsidR="0054021C" w:rsidRPr="005D5995">
        <w:rPr>
          <w:sz w:val="18"/>
          <w:szCs w:val="18"/>
          <w:highlight w:val="lightGray"/>
          <w:u w:val="single"/>
          <w:lang w:val="de-DE"/>
        </w:rPr>
        <w:t>nicht</w:t>
      </w:r>
      <w:r w:rsidR="0054021C" w:rsidRPr="005D5995">
        <w:rPr>
          <w:sz w:val="18"/>
          <w:szCs w:val="18"/>
          <w:lang w:val="de-DE"/>
        </w:rPr>
        <w:t xml:space="preserve"> </w:t>
      </w:r>
      <w:r w:rsidR="0075446C" w:rsidRPr="005D5995">
        <w:rPr>
          <w:sz w:val="18"/>
          <w:szCs w:val="18"/>
          <w:lang w:val="de-DE"/>
        </w:rPr>
        <w:t xml:space="preserve">durch </w:t>
      </w:r>
      <w:r w:rsidR="0075446C" w:rsidRPr="005D5995">
        <w:rPr>
          <w:strike/>
          <w:sz w:val="18"/>
          <w:szCs w:val="18"/>
          <w:highlight w:val="lightGray"/>
          <w:lang w:val="de-DE"/>
        </w:rPr>
        <w:t>biologische Ursachen</w:t>
      </w:r>
      <w:r w:rsidR="0054021C" w:rsidRPr="005D5995">
        <w:rPr>
          <w:sz w:val="18"/>
          <w:szCs w:val="18"/>
          <w:highlight w:val="lightGray"/>
          <w:lang w:val="de-DE"/>
        </w:rPr>
        <w:t xml:space="preserve"> </w:t>
      </w:r>
      <w:r w:rsidR="0054021C" w:rsidRPr="005D5995">
        <w:rPr>
          <w:sz w:val="18"/>
          <w:szCs w:val="18"/>
          <w:highlight w:val="lightGray"/>
          <w:u w:val="single"/>
          <w:lang w:val="de-DE"/>
        </w:rPr>
        <w:t>Umweltursachen</w:t>
      </w:r>
      <w:r w:rsidR="0075446C" w:rsidRPr="005D5995">
        <w:rPr>
          <w:sz w:val="18"/>
          <w:szCs w:val="18"/>
          <w:lang w:val="de-DE"/>
        </w:rPr>
        <w:t xml:space="preserve"> oder durch Unterschiede in der Art der Probennahme bedingt sind</w:t>
      </w:r>
      <w:r w:rsidR="00B91E18" w:rsidRPr="005D5995">
        <w:rPr>
          <w:sz w:val="18"/>
          <w:szCs w:val="18"/>
          <w:lang w:val="de-DE"/>
        </w:rPr>
        <w:t>.</w:t>
      </w:r>
      <w:r w:rsidRPr="005D5995">
        <w:rPr>
          <w:sz w:val="18"/>
          <w:szCs w:val="18"/>
          <w:lang w:val="de-DE"/>
        </w:rPr>
        <w:t>“</w:t>
      </w:r>
      <w:r w:rsidR="00B91E18" w:rsidRPr="005D5995">
        <w:rPr>
          <w:sz w:val="18"/>
          <w:szCs w:val="18"/>
          <w:u w:val="single"/>
          <w:lang w:val="de-DE"/>
        </w:rPr>
        <w:t xml:space="preserve"> </w:t>
      </w:r>
    </w:p>
    <w:p w14:paraId="77B93282" w14:textId="77777777" w:rsidR="00B91E18" w:rsidRPr="005D5995" w:rsidRDefault="00B91E18" w:rsidP="00B91E18">
      <w:pPr>
        <w:keepNext/>
        <w:keepLines/>
        <w:rPr>
          <w:lang w:val="de-DE"/>
        </w:rPr>
      </w:pPr>
    </w:p>
    <w:p w14:paraId="16D39A7E" w14:textId="780CD927" w:rsidR="00B91E18" w:rsidRPr="005D5995" w:rsidRDefault="0054021C" w:rsidP="00B91E18">
      <w:pPr>
        <w:pStyle w:val="Heading3"/>
        <w:keepLines/>
        <w:rPr>
          <w:lang w:val="de-DE"/>
        </w:rPr>
      </w:pPr>
      <w:bookmarkStart w:id="9" w:name="_Toc524518034"/>
      <w:r w:rsidRPr="005D5995">
        <w:rPr>
          <w:rFonts w:eastAsia="MS Mincho"/>
          <w:szCs w:val="24"/>
          <w:lang w:val="de-DE" w:eastAsia="ja-JP"/>
        </w:rPr>
        <w:t>Kriterien für</w:t>
      </w:r>
      <w:r w:rsidR="00B91E18" w:rsidRPr="005D5995">
        <w:rPr>
          <w:rFonts w:eastAsia="MS Mincho"/>
          <w:szCs w:val="24"/>
          <w:lang w:val="de-DE" w:eastAsia="ja-JP"/>
        </w:rPr>
        <w:t xml:space="preserve"> </w:t>
      </w:r>
      <w:r w:rsidRPr="005D5995">
        <w:rPr>
          <w:rFonts w:eastAsia="MS Mincho"/>
          <w:szCs w:val="24"/>
          <w:lang w:val="de-DE" w:eastAsia="ja-JP"/>
        </w:rPr>
        <w:t xml:space="preserve">die </w:t>
      </w:r>
      <w:r w:rsidR="00996B66" w:rsidRPr="005D5995">
        <w:rPr>
          <w:rFonts w:eastAsia="MS Mincho"/>
          <w:szCs w:val="24"/>
          <w:lang w:val="de-DE" w:eastAsia="ja-JP"/>
        </w:rPr>
        <w:t>Zurückweisung einer Sorte</w:t>
      </w:r>
      <w:r w:rsidR="00B91E18" w:rsidRPr="005D5995">
        <w:rPr>
          <w:rFonts w:eastAsia="MS Mincho"/>
          <w:szCs w:val="24"/>
          <w:lang w:val="de-DE" w:eastAsia="ja-JP"/>
        </w:rPr>
        <w:t xml:space="preserve"> </w:t>
      </w:r>
      <w:r w:rsidRPr="005D5995">
        <w:rPr>
          <w:rFonts w:eastAsia="MS Mincho"/>
          <w:szCs w:val="24"/>
          <w:lang w:val="de-DE" w:eastAsia="ja-JP"/>
        </w:rPr>
        <w:t>nach</w:t>
      </w:r>
      <w:r w:rsidR="00B91E18" w:rsidRPr="005D5995">
        <w:rPr>
          <w:rFonts w:eastAsia="MS Mincho"/>
          <w:szCs w:val="24"/>
          <w:lang w:val="de-DE" w:eastAsia="ja-JP"/>
        </w:rPr>
        <w:t xml:space="preserve"> </w:t>
      </w:r>
      <w:r w:rsidR="00996B66" w:rsidRPr="005D5995">
        <w:rPr>
          <w:rFonts w:eastAsia="MS Mincho"/>
          <w:szCs w:val="24"/>
          <w:lang w:val="de-DE" w:eastAsia="ja-JP"/>
        </w:rPr>
        <w:t>einer Wachstumsperiode</w:t>
      </w:r>
      <w:bookmarkEnd w:id="9"/>
    </w:p>
    <w:p w14:paraId="4EDA9197" w14:textId="77777777" w:rsidR="00B91E18" w:rsidRPr="005D5995" w:rsidRDefault="00B91E18" w:rsidP="00B91E18">
      <w:pPr>
        <w:keepNext/>
        <w:keepLines/>
        <w:rPr>
          <w:lang w:val="de-DE"/>
        </w:rPr>
      </w:pPr>
    </w:p>
    <w:p w14:paraId="32102213" w14:textId="059F0628" w:rsidR="00B91E18" w:rsidRPr="005D5995" w:rsidRDefault="00B91E18" w:rsidP="00B91E18">
      <w:pPr>
        <w:keepNext/>
        <w:keepLines/>
        <w:rPr>
          <w:lang w:val="de-DE"/>
        </w:rPr>
      </w:pPr>
      <w:r w:rsidRPr="005D5995">
        <w:fldChar w:fldCharType="begin"/>
      </w:r>
      <w:r w:rsidRPr="005D5995">
        <w:rPr>
          <w:lang w:val="de-DE"/>
        </w:rPr>
        <w:instrText xml:space="preserve"> AUTONUM  </w:instrText>
      </w:r>
      <w:r w:rsidRPr="005D5995">
        <w:fldChar w:fldCharType="end"/>
      </w:r>
      <w:r w:rsidRPr="005D5995">
        <w:rPr>
          <w:lang w:val="de-DE"/>
        </w:rPr>
        <w:tab/>
      </w:r>
      <w:r w:rsidR="0054021C" w:rsidRPr="005D5995">
        <w:rPr>
          <w:lang w:val="de-DE"/>
        </w:rPr>
        <w:t>Die</w:t>
      </w:r>
      <w:r w:rsidR="0053458C" w:rsidRPr="005D5995">
        <w:rPr>
          <w:lang w:val="de-DE"/>
        </w:rPr>
        <w:t xml:space="preserve"> TWP</w:t>
      </w:r>
      <w:r w:rsidRPr="005D5995">
        <w:rPr>
          <w:lang w:val="de-DE"/>
        </w:rPr>
        <w:t xml:space="preserve"> </w:t>
      </w:r>
      <w:r w:rsidR="0054021C" w:rsidRPr="005D5995">
        <w:rPr>
          <w:lang w:val="de-DE"/>
        </w:rPr>
        <w:t xml:space="preserve">prüften, </w:t>
      </w:r>
      <w:r w:rsidR="003077D7" w:rsidRPr="005D5995">
        <w:rPr>
          <w:lang w:val="de-DE"/>
        </w:rPr>
        <w:t xml:space="preserve">ob allgemeinere Kriterien </w:t>
      </w:r>
      <w:r w:rsidR="00772BC1" w:rsidRPr="005D5995">
        <w:rPr>
          <w:lang w:val="de-DE"/>
        </w:rPr>
        <w:t>in Anlage I für die Zurückweisung</w:t>
      </w:r>
      <w:r w:rsidR="003077D7" w:rsidRPr="005D5995">
        <w:rPr>
          <w:lang w:val="de-DE"/>
        </w:rPr>
        <w:t xml:space="preserve"> eine</w:t>
      </w:r>
      <w:r w:rsidR="00772BC1" w:rsidRPr="005D5995">
        <w:rPr>
          <w:lang w:val="de-DE"/>
        </w:rPr>
        <w:t>r</w:t>
      </w:r>
      <w:r w:rsidR="003077D7" w:rsidRPr="005D5995">
        <w:rPr>
          <w:lang w:val="de-DE"/>
        </w:rPr>
        <w:t xml:space="preserve"> Sorte nach einer einzigen Wachstumsperiode</w:t>
      </w:r>
      <w:r w:rsidR="00DF2DE8" w:rsidRPr="005D5995">
        <w:rPr>
          <w:lang w:val="de-DE"/>
        </w:rPr>
        <w:t xml:space="preserve"> verwendet werden sollten</w:t>
      </w:r>
      <w:r w:rsidR="003077D7" w:rsidRPr="005D5995">
        <w:rPr>
          <w:lang w:val="de-DE"/>
        </w:rPr>
        <w:t xml:space="preserve"> als der spezielle Fall einer Überschreitung der zulässigen Anzahl von </w:t>
      </w:r>
      <w:proofErr w:type="spellStart"/>
      <w:r w:rsidR="003077D7" w:rsidRPr="005D5995">
        <w:rPr>
          <w:lang w:val="de-DE"/>
        </w:rPr>
        <w:t>Abweichern</w:t>
      </w:r>
      <w:proofErr w:type="spellEnd"/>
      <w:r w:rsidR="003077D7" w:rsidRPr="005D5995">
        <w:rPr>
          <w:lang w:val="de-DE"/>
        </w:rPr>
        <w:t xml:space="preserve"> in zwei Wachstumsperioden</w:t>
      </w:r>
      <w:r w:rsidRPr="005D5995">
        <w:rPr>
          <w:lang w:val="de-DE"/>
        </w:rPr>
        <w:t>.</w:t>
      </w:r>
      <w:r w:rsidR="002C64EC" w:rsidRPr="005D5995">
        <w:rPr>
          <w:lang w:val="de-DE"/>
        </w:rPr>
        <w:t xml:space="preserve"> </w:t>
      </w:r>
      <w:r w:rsidR="00C00085" w:rsidRPr="005D5995">
        <w:rPr>
          <w:lang w:val="de-DE"/>
        </w:rPr>
        <w:t>Der</w:t>
      </w:r>
      <w:r w:rsidR="00772BC1" w:rsidRPr="005D5995">
        <w:rPr>
          <w:lang w:val="de-DE"/>
        </w:rPr>
        <w:t xml:space="preserve"> </w:t>
      </w:r>
      <w:r w:rsidR="00DF2DE8" w:rsidRPr="005D5995">
        <w:rPr>
          <w:lang w:val="de-DE"/>
        </w:rPr>
        <w:t>derzeitig</w:t>
      </w:r>
      <w:r w:rsidR="00772BC1" w:rsidRPr="005D5995">
        <w:rPr>
          <w:lang w:val="de-DE"/>
        </w:rPr>
        <w:t xml:space="preserve">e </w:t>
      </w:r>
      <w:r w:rsidR="00C00085" w:rsidRPr="005D5995">
        <w:rPr>
          <w:lang w:val="de-DE"/>
        </w:rPr>
        <w:t>Wortlaut</w:t>
      </w:r>
      <w:r w:rsidR="00772BC1" w:rsidRPr="005D5995">
        <w:rPr>
          <w:lang w:val="de-DE"/>
        </w:rPr>
        <w:t xml:space="preserve"> lautet:</w:t>
      </w:r>
      <w:r w:rsidRPr="005D5995">
        <w:rPr>
          <w:lang w:val="de-DE"/>
        </w:rPr>
        <w:t xml:space="preserve"> </w:t>
      </w:r>
    </w:p>
    <w:p w14:paraId="2FF81309" w14:textId="77777777" w:rsidR="00B91E18" w:rsidRPr="005D5995" w:rsidRDefault="00B91E18" w:rsidP="00B91E18">
      <w:pPr>
        <w:keepNext/>
        <w:keepLines/>
        <w:rPr>
          <w:lang w:val="de-DE"/>
        </w:rPr>
      </w:pPr>
    </w:p>
    <w:p w14:paraId="5AFF1BD5" w14:textId="77777777" w:rsidR="00B91E18" w:rsidRPr="005D5995" w:rsidRDefault="00D50FFE" w:rsidP="00B91E18">
      <w:pPr>
        <w:keepNext/>
        <w:keepLines/>
        <w:ind w:left="567" w:right="567"/>
        <w:rPr>
          <w:sz w:val="18"/>
          <w:lang w:val="de-DE"/>
        </w:rPr>
      </w:pPr>
      <w:r w:rsidRPr="005D5995">
        <w:rPr>
          <w:rFonts w:eastAsia="SimSun"/>
          <w:sz w:val="18"/>
          <w:szCs w:val="24"/>
          <w:lang w:val="de-DE" w:eastAsia="zh-CN"/>
        </w:rPr>
        <w:t>„</w:t>
      </w:r>
      <w:r w:rsidR="00B91E18" w:rsidRPr="005D5995">
        <w:rPr>
          <w:rFonts w:eastAsia="SimSun"/>
          <w:sz w:val="18"/>
          <w:szCs w:val="24"/>
          <w:lang w:val="de-DE" w:eastAsia="zh-CN"/>
        </w:rPr>
        <w:t xml:space="preserve">[…] </w:t>
      </w:r>
      <w:r w:rsidR="003077D7" w:rsidRPr="005D5995">
        <w:rPr>
          <w:rFonts w:eastAsia="SimSun"/>
          <w:sz w:val="18"/>
          <w:szCs w:val="24"/>
          <w:lang w:val="de-DE" w:eastAsia="zh-CN"/>
        </w:rPr>
        <w:t xml:space="preserve">Außerdem kann, wenn die Anzahl der erlaubten </w:t>
      </w:r>
      <w:proofErr w:type="spellStart"/>
      <w:r w:rsidR="003077D7" w:rsidRPr="005D5995">
        <w:rPr>
          <w:rFonts w:eastAsia="SimSun"/>
          <w:sz w:val="18"/>
          <w:szCs w:val="24"/>
          <w:lang w:val="de-DE" w:eastAsia="zh-CN"/>
        </w:rPr>
        <w:t>Abweicher</w:t>
      </w:r>
      <w:proofErr w:type="spellEnd"/>
      <w:r w:rsidR="003077D7" w:rsidRPr="005D5995">
        <w:rPr>
          <w:rFonts w:eastAsia="SimSun"/>
          <w:sz w:val="18"/>
          <w:szCs w:val="24"/>
          <w:lang w:val="de-DE" w:eastAsia="zh-CN"/>
        </w:rPr>
        <w:t xml:space="preserve"> einer Sorte in der ersten Wachstumsperiode die Anzahl der erlaubten </w:t>
      </w:r>
      <w:proofErr w:type="spellStart"/>
      <w:r w:rsidR="003077D7" w:rsidRPr="005D5995">
        <w:rPr>
          <w:rFonts w:eastAsia="SimSun"/>
          <w:sz w:val="18"/>
          <w:szCs w:val="24"/>
          <w:lang w:val="de-DE" w:eastAsia="zh-CN"/>
        </w:rPr>
        <w:t>Abweicher</w:t>
      </w:r>
      <w:proofErr w:type="spellEnd"/>
      <w:r w:rsidR="003077D7" w:rsidRPr="005D5995">
        <w:rPr>
          <w:rFonts w:eastAsia="SimSun"/>
          <w:sz w:val="18"/>
          <w:szCs w:val="24"/>
          <w:lang w:val="de-DE" w:eastAsia="zh-CN"/>
        </w:rPr>
        <w:t xml:space="preserve"> in zwei Wachstumsperioden übersteigt, die Sorte nach einer Wachstumsperiode zurückgewiesen werden</w:t>
      </w:r>
      <w:r w:rsidR="00B91E18" w:rsidRPr="005D5995">
        <w:rPr>
          <w:rFonts w:eastAsia="SimSun"/>
          <w:sz w:val="18"/>
          <w:szCs w:val="24"/>
          <w:lang w:val="de-DE" w:eastAsia="zh-CN"/>
        </w:rPr>
        <w:t>.</w:t>
      </w:r>
      <w:r w:rsidRPr="005D5995">
        <w:rPr>
          <w:rFonts w:eastAsia="SimSun"/>
          <w:sz w:val="18"/>
          <w:szCs w:val="24"/>
          <w:lang w:val="de-DE" w:eastAsia="zh-CN"/>
        </w:rPr>
        <w:t>“</w:t>
      </w:r>
    </w:p>
    <w:p w14:paraId="07DB92DF" w14:textId="77777777" w:rsidR="00B91E18" w:rsidRPr="005D5995" w:rsidRDefault="00B91E18" w:rsidP="00B91E18">
      <w:pPr>
        <w:rPr>
          <w:lang w:val="de-DE"/>
        </w:rPr>
      </w:pPr>
    </w:p>
    <w:p w14:paraId="0D9E3C59" w14:textId="5EC1375B" w:rsidR="00B91E18" w:rsidRPr="005D5995" w:rsidRDefault="00B91E18" w:rsidP="00B91E18">
      <w:pPr>
        <w:rPr>
          <w:rFonts w:cs="Arial"/>
          <w:lang w:val="de-DE"/>
        </w:rPr>
      </w:pPr>
      <w:r w:rsidRPr="005D5995">
        <w:rPr>
          <w:snapToGrid w:val="0"/>
        </w:rPr>
        <w:fldChar w:fldCharType="begin"/>
      </w:r>
      <w:r w:rsidRPr="005D5995">
        <w:rPr>
          <w:snapToGrid w:val="0"/>
          <w:lang w:val="de-DE"/>
        </w:rPr>
        <w:instrText xml:space="preserve"> AUTONUM  </w:instrText>
      </w:r>
      <w:r w:rsidRPr="005D5995">
        <w:rPr>
          <w:snapToGrid w:val="0"/>
        </w:rPr>
        <w:fldChar w:fldCharType="end"/>
      </w:r>
      <w:r w:rsidRPr="005D5995">
        <w:rPr>
          <w:snapToGrid w:val="0"/>
          <w:lang w:val="de-DE"/>
        </w:rPr>
        <w:tab/>
      </w:r>
      <w:r w:rsidR="00772BC1" w:rsidRPr="005D5995">
        <w:rPr>
          <w:snapToGrid w:val="0"/>
          <w:lang w:val="de-DE"/>
        </w:rPr>
        <w:t>Die</w:t>
      </w:r>
      <w:r w:rsidRPr="005D5995">
        <w:rPr>
          <w:snapToGrid w:val="0"/>
          <w:lang w:val="de-DE"/>
        </w:rPr>
        <w:t xml:space="preserve"> TWA </w:t>
      </w:r>
      <w:r w:rsidR="00772BC1" w:rsidRPr="005D5995">
        <w:rPr>
          <w:snapToGrid w:val="0"/>
          <w:lang w:val="de-DE"/>
        </w:rPr>
        <w:t xml:space="preserve">vereinbarte, ein allgemeineres Kriterium für die Zurückweisung einer Sorte nach </w:t>
      </w:r>
      <w:r w:rsidR="00996B66" w:rsidRPr="005D5995">
        <w:rPr>
          <w:lang w:val="de-DE"/>
        </w:rPr>
        <w:t>einer Wachstumsperiode</w:t>
      </w:r>
      <w:r w:rsidRPr="005D5995">
        <w:rPr>
          <w:lang w:val="de-DE"/>
        </w:rPr>
        <w:t xml:space="preserve"> </w:t>
      </w:r>
      <w:r w:rsidR="00772BC1" w:rsidRPr="005D5995">
        <w:rPr>
          <w:lang w:val="de-DE"/>
        </w:rPr>
        <w:t xml:space="preserve">zur Aufnahme in </w:t>
      </w:r>
      <w:r w:rsidR="00DF2DE8" w:rsidRPr="005D5995">
        <w:rPr>
          <w:lang w:val="de-DE"/>
        </w:rPr>
        <w:t xml:space="preserve">die </w:t>
      </w:r>
      <w:r w:rsidR="00772BC1" w:rsidRPr="005D5995">
        <w:rPr>
          <w:lang w:val="de-DE"/>
        </w:rPr>
        <w:t>verschiedene</w:t>
      </w:r>
      <w:r w:rsidR="00DF2DE8" w:rsidRPr="005D5995">
        <w:rPr>
          <w:lang w:val="de-DE"/>
        </w:rPr>
        <w:t>n</w:t>
      </w:r>
      <w:r w:rsidR="00772BC1" w:rsidRPr="005D5995">
        <w:rPr>
          <w:lang w:val="de-DE"/>
        </w:rPr>
        <w:t xml:space="preserve"> </w:t>
      </w:r>
      <w:r w:rsidR="00D50FFE" w:rsidRPr="005D5995">
        <w:rPr>
          <w:lang w:val="de-DE"/>
        </w:rPr>
        <w:t>Ansätze</w:t>
      </w:r>
      <w:r w:rsidRPr="005D5995">
        <w:rPr>
          <w:lang w:val="de-DE"/>
        </w:rPr>
        <w:t xml:space="preserve"> </w:t>
      </w:r>
      <w:r w:rsidR="00772BC1" w:rsidRPr="005D5995">
        <w:rPr>
          <w:lang w:val="de-DE"/>
        </w:rPr>
        <w:t xml:space="preserve">des </w:t>
      </w:r>
      <w:r w:rsidR="00996B66" w:rsidRPr="005D5995">
        <w:rPr>
          <w:lang w:val="de-DE"/>
        </w:rPr>
        <w:t>Entwurf</w:t>
      </w:r>
      <w:r w:rsidR="00772BC1" w:rsidRPr="005D5995">
        <w:rPr>
          <w:lang w:val="de-DE"/>
        </w:rPr>
        <w:t>s</w:t>
      </w:r>
      <w:r w:rsidR="00996B66" w:rsidRPr="005D5995">
        <w:rPr>
          <w:lang w:val="de-DE"/>
        </w:rPr>
        <w:t xml:space="preserve"> einer Anleitung</w:t>
      </w:r>
      <w:r w:rsidR="00772BC1" w:rsidRPr="005D5995">
        <w:rPr>
          <w:lang w:val="de-DE"/>
        </w:rPr>
        <w:t xml:space="preserve"> vorzuschlagen</w:t>
      </w:r>
      <w:r w:rsidR="00996B66" w:rsidRPr="005D5995">
        <w:rPr>
          <w:lang w:val="de-DE"/>
        </w:rPr>
        <w:t xml:space="preserve">, so </w:t>
      </w:r>
      <w:proofErr w:type="spellStart"/>
      <w:r w:rsidR="00996B66" w:rsidRPr="005D5995">
        <w:rPr>
          <w:lang w:val="de-DE"/>
        </w:rPr>
        <w:t>daß</w:t>
      </w:r>
      <w:proofErr w:type="spellEnd"/>
      <w:r w:rsidR="00996B66" w:rsidRPr="005D5995">
        <w:rPr>
          <w:lang w:val="de-DE"/>
        </w:rPr>
        <w:t xml:space="preserve"> </w:t>
      </w:r>
      <w:r w:rsidR="00DF2DE8" w:rsidRPr="005D5995">
        <w:rPr>
          <w:lang w:val="de-DE"/>
        </w:rPr>
        <w:t>sie</w:t>
      </w:r>
      <w:r w:rsidR="00996B66" w:rsidRPr="005D5995">
        <w:rPr>
          <w:lang w:val="de-DE"/>
        </w:rPr>
        <w:t xml:space="preserve"> lautet</w:t>
      </w:r>
      <w:r w:rsidRPr="005D5995">
        <w:rPr>
          <w:lang w:val="de-DE"/>
        </w:rPr>
        <w:t>:</w:t>
      </w:r>
    </w:p>
    <w:p w14:paraId="0A7DD2D0" w14:textId="77777777" w:rsidR="00B91E18" w:rsidRPr="005D5995" w:rsidRDefault="00B91E18" w:rsidP="00B91E18">
      <w:pPr>
        <w:rPr>
          <w:lang w:val="de-DE"/>
        </w:rPr>
      </w:pPr>
    </w:p>
    <w:p w14:paraId="180D3D0C" w14:textId="1320D7C1" w:rsidR="00B91E18" w:rsidRPr="005D5995" w:rsidRDefault="00D50FFE" w:rsidP="00B91E18">
      <w:pPr>
        <w:ind w:left="567" w:right="567"/>
        <w:rPr>
          <w:sz w:val="18"/>
          <w:szCs w:val="18"/>
          <w:u w:val="single"/>
          <w:lang w:val="de-DE" w:eastAsia="zh-CN"/>
        </w:rPr>
      </w:pPr>
      <w:r w:rsidRPr="005D5995">
        <w:rPr>
          <w:rFonts w:eastAsia="SimSun"/>
          <w:sz w:val="18"/>
          <w:szCs w:val="22"/>
          <w:highlight w:val="lightGray"/>
          <w:u w:val="single"/>
          <w:lang w:val="de-DE" w:eastAsia="zh-CN"/>
        </w:rPr>
        <w:t>„</w:t>
      </w:r>
      <w:r w:rsidR="00772BC1" w:rsidRPr="005D5995">
        <w:rPr>
          <w:rFonts w:eastAsia="SimSun"/>
          <w:sz w:val="18"/>
          <w:szCs w:val="22"/>
          <w:highlight w:val="lightGray"/>
          <w:u w:val="single"/>
          <w:lang w:val="de-DE" w:eastAsia="zh-CN"/>
        </w:rPr>
        <w:t xml:space="preserve">Falls eine Sorte in der ersten Wachstumsperiode </w:t>
      </w:r>
      <w:r w:rsidR="00DF2DE8" w:rsidRPr="005D5995">
        <w:rPr>
          <w:rFonts w:eastAsia="SimSun"/>
          <w:sz w:val="18"/>
          <w:szCs w:val="22"/>
          <w:highlight w:val="lightGray"/>
          <w:u w:val="single"/>
          <w:lang w:val="de-DE" w:eastAsia="zh-CN"/>
        </w:rPr>
        <w:t xml:space="preserve">einen festgelegten oberen </w:t>
      </w:r>
      <w:r w:rsidR="00A00D72">
        <w:rPr>
          <w:rFonts w:eastAsia="SimSun"/>
          <w:sz w:val="18"/>
          <w:szCs w:val="22"/>
          <w:highlight w:val="lightGray"/>
          <w:u w:val="single"/>
          <w:lang w:val="de-DE" w:eastAsia="zh-CN"/>
        </w:rPr>
        <w:t xml:space="preserve">Grenzwert für </w:t>
      </w:r>
      <w:proofErr w:type="spellStart"/>
      <w:r w:rsidR="00A00D72">
        <w:rPr>
          <w:rFonts w:eastAsia="SimSun"/>
          <w:sz w:val="18"/>
          <w:szCs w:val="22"/>
          <w:highlight w:val="lightGray"/>
          <w:u w:val="single"/>
          <w:lang w:val="de-DE" w:eastAsia="zh-CN"/>
        </w:rPr>
        <w:t>Abweicher</w:t>
      </w:r>
      <w:proofErr w:type="spellEnd"/>
      <w:r w:rsidR="00A00D72">
        <w:rPr>
          <w:rFonts w:eastAsia="SimSun"/>
          <w:sz w:val="18"/>
          <w:szCs w:val="22"/>
          <w:highlight w:val="lightGray"/>
          <w:u w:val="single"/>
          <w:lang w:val="de-DE" w:eastAsia="zh-CN"/>
        </w:rPr>
        <w:t xml:space="preserve"> </w:t>
      </w:r>
      <w:r w:rsidR="00DF2DE8" w:rsidRPr="005D5995">
        <w:rPr>
          <w:rFonts w:eastAsia="SimSun"/>
          <w:sz w:val="18"/>
          <w:szCs w:val="22"/>
          <w:highlight w:val="lightGray"/>
          <w:u w:val="single"/>
          <w:lang w:val="de-DE" w:eastAsia="zh-CN"/>
        </w:rPr>
        <w:t>übersteigt</w:t>
      </w:r>
      <w:r w:rsidR="00685740" w:rsidRPr="005D5995">
        <w:rPr>
          <w:rFonts w:eastAsia="SimSun"/>
          <w:sz w:val="18"/>
          <w:szCs w:val="22"/>
          <w:u w:val="single"/>
          <w:lang w:val="de-DE" w:eastAsia="zh-CN"/>
        </w:rPr>
        <w:t>,</w:t>
      </w:r>
      <w:r w:rsidR="00685740" w:rsidRPr="005D5995">
        <w:rPr>
          <w:rFonts w:eastAsia="SimSun"/>
          <w:sz w:val="18"/>
          <w:szCs w:val="22"/>
          <w:lang w:val="de-DE" w:eastAsia="zh-CN"/>
        </w:rPr>
        <w:t xml:space="preserve"> kann die Sorte</w:t>
      </w:r>
      <w:r w:rsidR="00B91E18" w:rsidRPr="005D5995">
        <w:rPr>
          <w:sz w:val="18"/>
          <w:szCs w:val="18"/>
          <w:lang w:val="de-DE"/>
        </w:rPr>
        <w:t xml:space="preserve"> </w:t>
      </w:r>
      <w:r w:rsidR="00685740" w:rsidRPr="005D5995">
        <w:rPr>
          <w:sz w:val="18"/>
          <w:szCs w:val="18"/>
          <w:lang w:val="de-DE"/>
        </w:rPr>
        <w:t xml:space="preserve">nach einer </w:t>
      </w:r>
      <w:r w:rsidR="00996B66" w:rsidRPr="005D5995">
        <w:rPr>
          <w:sz w:val="18"/>
          <w:szCs w:val="18"/>
          <w:lang w:val="de-DE"/>
        </w:rPr>
        <w:t>Wachstumsperiode</w:t>
      </w:r>
      <w:r w:rsidR="00685740" w:rsidRPr="005D5995">
        <w:rPr>
          <w:sz w:val="18"/>
          <w:szCs w:val="18"/>
          <w:lang w:val="de-DE"/>
        </w:rPr>
        <w:t xml:space="preserve"> zurückgewiesen werden</w:t>
      </w:r>
      <w:r w:rsidR="00B91E18" w:rsidRPr="005D5995">
        <w:rPr>
          <w:sz w:val="18"/>
          <w:szCs w:val="18"/>
          <w:lang w:val="de-DE"/>
        </w:rPr>
        <w:t>.</w:t>
      </w:r>
      <w:r w:rsidRPr="005D5995">
        <w:rPr>
          <w:sz w:val="18"/>
          <w:szCs w:val="18"/>
          <w:lang w:val="de-DE"/>
        </w:rPr>
        <w:t>“</w:t>
      </w:r>
    </w:p>
    <w:p w14:paraId="4EEBB3C6" w14:textId="77777777" w:rsidR="00B91E18" w:rsidRPr="005D5995" w:rsidRDefault="00B91E18" w:rsidP="00B91E18">
      <w:pPr>
        <w:rPr>
          <w:lang w:val="de-DE"/>
        </w:rPr>
      </w:pPr>
    </w:p>
    <w:p w14:paraId="435C9888" w14:textId="1D2A7509" w:rsidR="00B91E18" w:rsidRPr="005D5995" w:rsidRDefault="00B91E18" w:rsidP="00B91E18">
      <w:pPr>
        <w:rPr>
          <w:lang w:val="de-DE"/>
        </w:rPr>
      </w:pPr>
      <w:r w:rsidRPr="005D5995">
        <w:rPr>
          <w:snapToGrid w:val="0"/>
        </w:rPr>
        <w:lastRenderedPageBreak/>
        <w:fldChar w:fldCharType="begin"/>
      </w:r>
      <w:r w:rsidRPr="005D5995">
        <w:rPr>
          <w:snapToGrid w:val="0"/>
          <w:lang w:val="de-DE"/>
        </w:rPr>
        <w:instrText xml:space="preserve"> AUTONUM  </w:instrText>
      </w:r>
      <w:r w:rsidRPr="005D5995">
        <w:rPr>
          <w:snapToGrid w:val="0"/>
        </w:rPr>
        <w:fldChar w:fldCharType="end"/>
      </w:r>
      <w:r w:rsidRPr="005D5995">
        <w:rPr>
          <w:snapToGrid w:val="0"/>
          <w:lang w:val="de-DE"/>
        </w:rPr>
        <w:tab/>
      </w:r>
      <w:r w:rsidR="00685740" w:rsidRPr="005D5995">
        <w:rPr>
          <w:lang w:val="de-DE"/>
        </w:rPr>
        <w:t>Die</w:t>
      </w:r>
      <w:r w:rsidRPr="005D5995">
        <w:rPr>
          <w:lang w:val="de-DE"/>
        </w:rPr>
        <w:t xml:space="preserve"> TWA </w:t>
      </w:r>
      <w:r w:rsidR="00685740" w:rsidRPr="005D5995">
        <w:rPr>
          <w:lang w:val="de-DE"/>
        </w:rPr>
        <w:t xml:space="preserve">vereinbarte, </w:t>
      </w:r>
      <w:proofErr w:type="spellStart"/>
      <w:r w:rsidR="00685740" w:rsidRPr="005D5995">
        <w:rPr>
          <w:lang w:val="de-DE"/>
        </w:rPr>
        <w:t>daß</w:t>
      </w:r>
      <w:proofErr w:type="spellEnd"/>
      <w:r w:rsidR="00685740" w:rsidRPr="005D5995">
        <w:rPr>
          <w:lang w:val="de-DE"/>
        </w:rPr>
        <w:t xml:space="preserve"> </w:t>
      </w:r>
      <w:r w:rsidR="004743FD">
        <w:rPr>
          <w:lang w:val="de-DE"/>
        </w:rPr>
        <w:t xml:space="preserve">der obere </w:t>
      </w:r>
      <w:r w:rsidR="00A00D72">
        <w:rPr>
          <w:lang w:val="de-DE"/>
        </w:rPr>
        <w:t xml:space="preserve">Grenzwert für </w:t>
      </w:r>
      <w:proofErr w:type="spellStart"/>
      <w:r w:rsidR="00A00D72">
        <w:rPr>
          <w:lang w:val="de-DE"/>
        </w:rPr>
        <w:t>Abweicher</w:t>
      </w:r>
      <w:proofErr w:type="spellEnd"/>
      <w:r w:rsidR="00A00D72">
        <w:rPr>
          <w:lang w:val="de-DE"/>
        </w:rPr>
        <w:t xml:space="preserve"> </w:t>
      </w:r>
      <w:r w:rsidR="00685740" w:rsidRPr="005D5995">
        <w:rPr>
          <w:rFonts w:eastAsia="SimSun"/>
          <w:szCs w:val="24"/>
          <w:lang w:val="de-DE" w:eastAsia="zh-CN"/>
        </w:rPr>
        <w:t xml:space="preserve">von jeder Behörde gemäß den </w:t>
      </w:r>
      <w:r w:rsidR="00D50FFE" w:rsidRPr="005D5995">
        <w:rPr>
          <w:rFonts w:eastAsia="SimSun"/>
          <w:szCs w:val="24"/>
          <w:lang w:val="de-DE" w:eastAsia="zh-CN"/>
        </w:rPr>
        <w:t>Ansätz</w:t>
      </w:r>
      <w:r w:rsidR="00685740" w:rsidRPr="005D5995">
        <w:rPr>
          <w:rFonts w:eastAsia="SimSun"/>
          <w:szCs w:val="24"/>
          <w:lang w:val="de-DE" w:eastAsia="zh-CN"/>
        </w:rPr>
        <w:t xml:space="preserve">en, die zur </w:t>
      </w:r>
      <w:r w:rsidR="003077D7" w:rsidRPr="005D5995">
        <w:rPr>
          <w:rFonts w:eastAsia="SimSun"/>
          <w:szCs w:val="24"/>
          <w:lang w:val="de-DE" w:eastAsia="zh-CN"/>
        </w:rPr>
        <w:t xml:space="preserve">Prüfung der Homogenität anhand von </w:t>
      </w:r>
      <w:proofErr w:type="spellStart"/>
      <w:r w:rsidR="003077D7" w:rsidRPr="005D5995">
        <w:rPr>
          <w:rFonts w:eastAsia="SimSun"/>
          <w:szCs w:val="24"/>
          <w:lang w:val="de-DE" w:eastAsia="zh-CN"/>
        </w:rPr>
        <w:t>Abweichern</w:t>
      </w:r>
      <w:proofErr w:type="spellEnd"/>
      <w:r w:rsidR="00685740" w:rsidRPr="005D5995">
        <w:rPr>
          <w:rFonts w:eastAsia="SimSun"/>
          <w:szCs w:val="24"/>
          <w:lang w:val="de-DE" w:eastAsia="zh-CN"/>
        </w:rPr>
        <w:t xml:space="preserve"> </w:t>
      </w:r>
      <w:r w:rsidR="00F26AC8" w:rsidRPr="005D5995">
        <w:rPr>
          <w:rFonts w:eastAsia="SimSun"/>
          <w:szCs w:val="24"/>
          <w:lang w:val="de-DE" w:eastAsia="zh-CN"/>
        </w:rPr>
        <w:t>verwendet</w:t>
      </w:r>
      <w:r w:rsidR="00685740" w:rsidRPr="005D5995">
        <w:rPr>
          <w:rFonts w:eastAsia="SimSun"/>
          <w:szCs w:val="24"/>
          <w:lang w:val="de-DE" w:eastAsia="zh-CN"/>
        </w:rPr>
        <w:t xml:space="preserve"> werden, definiert werden könnte</w:t>
      </w:r>
      <w:r w:rsidRPr="005D5995">
        <w:rPr>
          <w:rFonts w:eastAsia="SimSun"/>
          <w:szCs w:val="24"/>
          <w:lang w:val="de-DE" w:eastAsia="zh-CN"/>
        </w:rPr>
        <w:t>.</w:t>
      </w:r>
    </w:p>
    <w:p w14:paraId="52547EEF" w14:textId="77777777" w:rsidR="00B91E18" w:rsidRPr="005D5995" w:rsidRDefault="00B91E18" w:rsidP="00B91E18">
      <w:pPr>
        <w:rPr>
          <w:lang w:val="de-DE"/>
        </w:rPr>
      </w:pPr>
    </w:p>
    <w:p w14:paraId="0E967563" w14:textId="70F15B7F" w:rsidR="00B91E18" w:rsidRPr="005D5995" w:rsidRDefault="00B91E18" w:rsidP="00B91E18">
      <w:pPr>
        <w:rPr>
          <w:lang w:val="de-DE"/>
        </w:rPr>
      </w:pPr>
      <w:r w:rsidRPr="005D5995">
        <w:fldChar w:fldCharType="begin"/>
      </w:r>
      <w:r w:rsidRPr="005D5995">
        <w:rPr>
          <w:lang w:val="de-DE"/>
        </w:rPr>
        <w:instrText xml:space="preserve"> AUTONUM  </w:instrText>
      </w:r>
      <w:r w:rsidRPr="005D5995">
        <w:fldChar w:fldCharType="end"/>
      </w:r>
      <w:r w:rsidRPr="005D5995">
        <w:rPr>
          <w:lang w:val="de-DE"/>
        </w:rPr>
        <w:tab/>
      </w:r>
      <w:r w:rsidR="00A62F7D" w:rsidRPr="005D5995">
        <w:rPr>
          <w:lang w:val="de-DE"/>
        </w:rPr>
        <w:t>Die</w:t>
      </w:r>
      <w:r w:rsidRPr="005D5995">
        <w:rPr>
          <w:lang w:val="de-DE"/>
        </w:rPr>
        <w:t xml:space="preserve"> TWF</w:t>
      </w:r>
      <w:r w:rsidR="00A62F7D" w:rsidRPr="005D5995">
        <w:rPr>
          <w:lang w:val="de-DE"/>
        </w:rPr>
        <w:t xml:space="preserve"> </w:t>
      </w:r>
      <w:r w:rsidR="002A6F3E" w:rsidRPr="005D5995">
        <w:rPr>
          <w:lang w:val="de-DE"/>
        </w:rPr>
        <w:t>stimmten</w:t>
      </w:r>
      <w:r w:rsidR="00A62F7D" w:rsidRPr="005D5995">
        <w:rPr>
          <w:lang w:val="de-DE"/>
        </w:rPr>
        <w:t xml:space="preserve"> mit der </w:t>
      </w:r>
      <w:r w:rsidRPr="005D5995">
        <w:rPr>
          <w:lang w:val="de-DE"/>
        </w:rPr>
        <w:t>TWV</w:t>
      </w:r>
      <w:r w:rsidR="009967B2" w:rsidRPr="005D5995">
        <w:rPr>
          <w:lang w:val="de-DE"/>
        </w:rPr>
        <w:t xml:space="preserve"> darin überein</w:t>
      </w:r>
      <w:r w:rsidR="00A62F7D" w:rsidRPr="005D5995">
        <w:rPr>
          <w:lang w:val="de-DE"/>
        </w:rPr>
        <w:t>, vorzuschlagen, den Satz für Ansatz 1 wie folgt zu ändern:</w:t>
      </w:r>
    </w:p>
    <w:p w14:paraId="3D221348" w14:textId="77777777" w:rsidR="00B91E18" w:rsidRPr="005D5995" w:rsidRDefault="00B91E18" w:rsidP="00B91E18">
      <w:pPr>
        <w:keepNext/>
        <w:keepLines/>
        <w:rPr>
          <w:rFonts w:eastAsia="SimSun"/>
          <w:szCs w:val="24"/>
          <w:lang w:val="de-DE" w:eastAsia="zh-CN"/>
        </w:rPr>
      </w:pPr>
    </w:p>
    <w:p w14:paraId="5F4A9376" w14:textId="50A54875" w:rsidR="00B91E18" w:rsidRPr="005D5995" w:rsidRDefault="00D50FFE" w:rsidP="00B91E18">
      <w:pPr>
        <w:keepNext/>
        <w:keepLines/>
        <w:ind w:left="567" w:right="567"/>
        <w:rPr>
          <w:rFonts w:eastAsia="SimSun"/>
          <w:sz w:val="18"/>
          <w:szCs w:val="18"/>
          <w:lang w:val="de-DE" w:eastAsia="zh-CN"/>
        </w:rPr>
      </w:pPr>
      <w:r w:rsidRPr="005D5995">
        <w:rPr>
          <w:rFonts w:eastAsia="SimSun"/>
          <w:sz w:val="18"/>
          <w:szCs w:val="18"/>
          <w:lang w:val="de-DE" w:eastAsia="zh-CN"/>
        </w:rPr>
        <w:t>„</w:t>
      </w:r>
      <w:r w:rsidR="00A62F7D" w:rsidRPr="005D5995">
        <w:rPr>
          <w:sz w:val="18"/>
          <w:szCs w:val="18"/>
          <w:lang w:val="de-DE"/>
        </w:rPr>
        <w:t xml:space="preserve">Außerdem kann, wenn die Anzahl der erlaubten </w:t>
      </w:r>
      <w:proofErr w:type="spellStart"/>
      <w:r w:rsidR="00A62F7D" w:rsidRPr="005D5995">
        <w:rPr>
          <w:sz w:val="18"/>
          <w:szCs w:val="18"/>
          <w:lang w:val="de-DE"/>
        </w:rPr>
        <w:t>Abweicher</w:t>
      </w:r>
      <w:proofErr w:type="spellEnd"/>
      <w:r w:rsidR="00A62F7D" w:rsidRPr="005D5995">
        <w:rPr>
          <w:sz w:val="18"/>
          <w:szCs w:val="18"/>
          <w:lang w:val="de-DE"/>
        </w:rPr>
        <w:t xml:space="preserve"> einer Sorte in der ersten Wachstumsperiode die Anzahl der erlaubten </w:t>
      </w:r>
      <w:proofErr w:type="spellStart"/>
      <w:r w:rsidR="00A62F7D" w:rsidRPr="005D5995">
        <w:rPr>
          <w:sz w:val="18"/>
          <w:szCs w:val="18"/>
          <w:lang w:val="de-DE"/>
        </w:rPr>
        <w:t>Abweicher</w:t>
      </w:r>
      <w:proofErr w:type="spellEnd"/>
      <w:r w:rsidR="00A62F7D" w:rsidRPr="005D5995">
        <w:rPr>
          <w:sz w:val="18"/>
          <w:szCs w:val="18"/>
          <w:lang w:val="de-DE"/>
        </w:rPr>
        <w:t xml:space="preserve"> in zwei Wachstumsperioden </w:t>
      </w:r>
      <w:r w:rsidR="00DF2DE8" w:rsidRPr="005D5995">
        <w:rPr>
          <w:sz w:val="18"/>
          <w:szCs w:val="18"/>
          <w:highlight w:val="lightGray"/>
          <w:u w:val="single"/>
          <w:lang w:val="de-DE"/>
        </w:rPr>
        <w:t>deutlich</w:t>
      </w:r>
      <w:r w:rsidR="00DF2DE8" w:rsidRPr="005D5995">
        <w:rPr>
          <w:sz w:val="18"/>
          <w:szCs w:val="18"/>
          <w:lang w:val="de-DE"/>
        </w:rPr>
        <w:t xml:space="preserve"> </w:t>
      </w:r>
      <w:r w:rsidR="00A62F7D" w:rsidRPr="005D5995">
        <w:rPr>
          <w:sz w:val="18"/>
          <w:szCs w:val="18"/>
          <w:lang w:val="de-DE"/>
        </w:rPr>
        <w:t>übersteigt, die Sorte nach einer Wachstumsperiode zurückgewiesen werden</w:t>
      </w:r>
      <w:r w:rsidR="00B91E18" w:rsidRPr="005D5995">
        <w:rPr>
          <w:rFonts w:eastAsia="SimSun"/>
          <w:sz w:val="18"/>
          <w:szCs w:val="18"/>
          <w:lang w:val="de-DE" w:eastAsia="zh-CN"/>
        </w:rPr>
        <w:t>.</w:t>
      </w:r>
      <w:r w:rsidR="00A62F7D" w:rsidRPr="005D5995">
        <w:rPr>
          <w:rFonts w:eastAsia="SimSun"/>
          <w:sz w:val="18"/>
          <w:szCs w:val="18"/>
          <w:lang w:val="de-DE" w:eastAsia="zh-CN"/>
        </w:rPr>
        <w:t>“</w:t>
      </w:r>
    </w:p>
    <w:p w14:paraId="4B07FBB2" w14:textId="77777777" w:rsidR="00B91E18" w:rsidRPr="005D5995" w:rsidRDefault="00B91E18" w:rsidP="00B91E18">
      <w:pPr>
        <w:rPr>
          <w:sz w:val="18"/>
          <w:szCs w:val="18"/>
          <w:lang w:val="de-DE"/>
        </w:rPr>
      </w:pPr>
    </w:p>
    <w:p w14:paraId="0C4FAFBD" w14:textId="5E941B9C" w:rsidR="00B91E18" w:rsidRPr="005D5995" w:rsidRDefault="00B91E18" w:rsidP="00B91E18">
      <w:pPr>
        <w:rPr>
          <w:rFonts w:eastAsia="SimSun"/>
          <w:sz w:val="18"/>
          <w:szCs w:val="24"/>
          <w:lang w:val="de-DE" w:eastAsia="zh-CN"/>
        </w:rPr>
      </w:pPr>
      <w:r w:rsidRPr="005D5995">
        <w:fldChar w:fldCharType="begin"/>
      </w:r>
      <w:r w:rsidRPr="005D5995">
        <w:rPr>
          <w:lang w:val="de-DE"/>
        </w:rPr>
        <w:instrText xml:space="preserve"> AUTONUM  </w:instrText>
      </w:r>
      <w:r w:rsidRPr="005D5995">
        <w:fldChar w:fldCharType="end"/>
      </w:r>
      <w:r w:rsidRPr="005D5995">
        <w:rPr>
          <w:lang w:val="de-DE"/>
        </w:rPr>
        <w:tab/>
      </w:r>
      <w:r w:rsidR="00A62F7D" w:rsidRPr="005D5995">
        <w:rPr>
          <w:lang w:val="de-DE"/>
        </w:rPr>
        <w:t>Die</w:t>
      </w:r>
      <w:r w:rsidRPr="005D5995">
        <w:rPr>
          <w:lang w:val="de-DE"/>
        </w:rPr>
        <w:t xml:space="preserve"> TWC</w:t>
      </w:r>
      <w:r w:rsidR="00A62F7D" w:rsidRPr="005D5995">
        <w:rPr>
          <w:lang w:val="de-DE"/>
        </w:rPr>
        <w:t xml:space="preserve"> </w:t>
      </w:r>
      <w:r w:rsidR="005E3B9B" w:rsidRPr="005D5995">
        <w:rPr>
          <w:lang w:val="de-DE"/>
        </w:rPr>
        <w:t>vereinbarte</w:t>
      </w:r>
      <w:r w:rsidR="00A62F7D" w:rsidRPr="005D5995">
        <w:rPr>
          <w:lang w:val="de-DE"/>
        </w:rPr>
        <w:t xml:space="preserve">, </w:t>
      </w:r>
      <w:proofErr w:type="spellStart"/>
      <w:r w:rsidR="00A62F7D" w:rsidRPr="005D5995">
        <w:rPr>
          <w:lang w:val="de-DE"/>
        </w:rPr>
        <w:t>daß</w:t>
      </w:r>
      <w:proofErr w:type="spellEnd"/>
      <w:r w:rsidR="00A62F7D" w:rsidRPr="005D5995">
        <w:rPr>
          <w:lang w:val="de-DE"/>
        </w:rPr>
        <w:t xml:space="preserve"> </w:t>
      </w:r>
      <w:r w:rsidR="00DF2DE8" w:rsidRPr="005D5995">
        <w:rPr>
          <w:lang w:val="de-DE"/>
        </w:rPr>
        <w:t>der festgelegte obere Grenzwert</w:t>
      </w:r>
      <w:r w:rsidR="00A62F7D" w:rsidRPr="005D5995">
        <w:rPr>
          <w:lang w:val="de-DE"/>
        </w:rPr>
        <w:t xml:space="preserve"> für die </w:t>
      </w:r>
      <w:r w:rsidR="00E57049" w:rsidRPr="005D5995">
        <w:rPr>
          <w:lang w:val="de-DE"/>
        </w:rPr>
        <w:t>zulässige Zahl von</w:t>
      </w:r>
      <w:r w:rsidRPr="005D5995">
        <w:rPr>
          <w:lang w:val="de-DE"/>
        </w:rPr>
        <w:t xml:space="preserve"> </w:t>
      </w:r>
      <w:proofErr w:type="spellStart"/>
      <w:r w:rsidR="003077D7" w:rsidRPr="005D5995">
        <w:rPr>
          <w:lang w:val="de-DE"/>
        </w:rPr>
        <w:t>Abweichern</w:t>
      </w:r>
      <w:proofErr w:type="spellEnd"/>
      <w:r w:rsidRPr="005D5995">
        <w:rPr>
          <w:lang w:val="de-DE"/>
        </w:rPr>
        <w:t xml:space="preserve"> in </w:t>
      </w:r>
      <w:r w:rsidR="00A62F7D" w:rsidRPr="005D5995">
        <w:rPr>
          <w:lang w:val="de-DE"/>
        </w:rPr>
        <w:t>zwei Wachstumsperioden ein</w:t>
      </w:r>
      <w:r w:rsidR="00DF2DE8" w:rsidRPr="005D5995">
        <w:rPr>
          <w:lang w:val="de-DE"/>
        </w:rPr>
        <w:t>e</w:t>
      </w:r>
      <w:r w:rsidR="00A62F7D" w:rsidRPr="005D5995">
        <w:rPr>
          <w:lang w:val="de-DE"/>
        </w:rPr>
        <w:t xml:space="preserve"> nützlic</w:t>
      </w:r>
      <w:r w:rsidR="003F7B23" w:rsidRPr="005D5995">
        <w:rPr>
          <w:lang w:val="de-DE"/>
        </w:rPr>
        <w:t>he</w:t>
      </w:r>
      <w:r w:rsidR="00DF2DE8" w:rsidRPr="005D5995">
        <w:rPr>
          <w:lang w:val="de-DE"/>
        </w:rPr>
        <w:t xml:space="preserve"> Referenz</w:t>
      </w:r>
      <w:r w:rsidR="003F7B23" w:rsidRPr="005D5995">
        <w:rPr>
          <w:lang w:val="de-DE"/>
        </w:rPr>
        <w:t xml:space="preserve"> für viele Sorten</w:t>
      </w:r>
      <w:r w:rsidR="00E43B6B" w:rsidRPr="005D5995">
        <w:rPr>
          <w:lang w:val="de-DE"/>
        </w:rPr>
        <w:t xml:space="preserve"> sei</w:t>
      </w:r>
      <w:r w:rsidR="00EF2002" w:rsidRPr="005D5995">
        <w:rPr>
          <w:lang w:val="de-DE"/>
        </w:rPr>
        <w:t xml:space="preserve">, und </w:t>
      </w:r>
      <w:r w:rsidR="00DF2DE8" w:rsidRPr="005D5995">
        <w:rPr>
          <w:lang w:val="de-DE"/>
        </w:rPr>
        <w:t>vereinbarte vorzuschlagen</w:t>
      </w:r>
      <w:r w:rsidR="00EF2002" w:rsidRPr="005D5995">
        <w:rPr>
          <w:lang w:val="de-DE"/>
        </w:rPr>
        <w:t xml:space="preserve">, </w:t>
      </w:r>
      <w:proofErr w:type="spellStart"/>
      <w:r w:rsidR="004743FD">
        <w:rPr>
          <w:lang w:val="de-DE"/>
        </w:rPr>
        <w:t>daß</w:t>
      </w:r>
      <w:proofErr w:type="spellEnd"/>
      <w:r w:rsidR="004743FD">
        <w:rPr>
          <w:lang w:val="de-DE"/>
        </w:rPr>
        <w:t xml:space="preserve"> </w:t>
      </w:r>
      <w:r w:rsidR="00EF2002" w:rsidRPr="005D5995">
        <w:rPr>
          <w:lang w:val="de-DE"/>
        </w:rPr>
        <w:t>der</w:t>
      </w:r>
      <w:r w:rsidRPr="005D5995">
        <w:rPr>
          <w:lang w:val="de-DE"/>
        </w:rPr>
        <w:t xml:space="preserve"> </w:t>
      </w:r>
      <w:r w:rsidR="00996B66" w:rsidRPr="005D5995">
        <w:rPr>
          <w:lang w:val="de-DE"/>
        </w:rPr>
        <w:t>Entwurf einer Anleitung</w:t>
      </w:r>
      <w:r w:rsidRPr="005D5995">
        <w:rPr>
          <w:lang w:val="de-DE"/>
        </w:rPr>
        <w:t xml:space="preserve"> in </w:t>
      </w:r>
      <w:r w:rsidR="00D50FFE" w:rsidRPr="005D5995">
        <w:rPr>
          <w:lang w:val="de-DE"/>
        </w:rPr>
        <w:t>Ansätze</w:t>
      </w:r>
      <w:r w:rsidR="00A62F7D" w:rsidRPr="005D5995">
        <w:rPr>
          <w:lang w:val="de-DE"/>
        </w:rPr>
        <w:t>n</w:t>
      </w:r>
      <w:r w:rsidR="00E53A91" w:rsidRPr="005D5995">
        <w:rPr>
          <w:lang w:val="de-DE"/>
        </w:rPr>
        <w:t xml:space="preserve"> 1 u</w:t>
      </w:r>
      <w:r w:rsidRPr="005D5995">
        <w:rPr>
          <w:lang w:val="de-DE"/>
        </w:rPr>
        <w:t xml:space="preserve">nd 2 </w:t>
      </w:r>
      <w:r w:rsidR="00A62F7D" w:rsidRPr="005D5995">
        <w:rPr>
          <w:lang w:val="de-DE"/>
        </w:rPr>
        <w:t xml:space="preserve">lauten </w:t>
      </w:r>
      <w:r w:rsidR="00453593" w:rsidRPr="005D5995">
        <w:rPr>
          <w:lang w:val="de-DE"/>
        </w:rPr>
        <w:t>soll</w:t>
      </w:r>
      <w:r w:rsidR="00E31E19" w:rsidRPr="005D5995">
        <w:rPr>
          <w:lang w:val="de-DE"/>
        </w:rPr>
        <w:t>e</w:t>
      </w:r>
      <w:r w:rsidR="004743FD">
        <w:rPr>
          <w:lang w:val="de-DE"/>
        </w:rPr>
        <w:t>,</w:t>
      </w:r>
      <w:r w:rsidR="00E31E19" w:rsidRPr="005D5995">
        <w:rPr>
          <w:lang w:val="de-DE"/>
        </w:rPr>
        <w:t xml:space="preserve"> </w:t>
      </w:r>
      <w:r w:rsidR="00A62F7D" w:rsidRPr="005D5995">
        <w:rPr>
          <w:lang w:val="de-DE"/>
        </w:rPr>
        <w:t xml:space="preserve">wie von der </w:t>
      </w:r>
      <w:r w:rsidRPr="005D5995">
        <w:rPr>
          <w:lang w:val="de-DE"/>
        </w:rPr>
        <w:t xml:space="preserve">TWV </w:t>
      </w:r>
      <w:r w:rsidR="00A62F7D" w:rsidRPr="005D5995">
        <w:rPr>
          <w:lang w:val="de-DE"/>
        </w:rPr>
        <w:t>und der</w:t>
      </w:r>
      <w:r w:rsidRPr="005D5995">
        <w:rPr>
          <w:lang w:val="de-DE"/>
        </w:rPr>
        <w:t xml:space="preserve"> TWF</w:t>
      </w:r>
      <w:r w:rsidR="00A62F7D" w:rsidRPr="005D5995">
        <w:rPr>
          <w:lang w:val="de-DE"/>
        </w:rPr>
        <w:t xml:space="preserve"> </w:t>
      </w:r>
      <w:r w:rsidR="00DF2DE8" w:rsidRPr="005D5995">
        <w:rPr>
          <w:lang w:val="de-DE"/>
        </w:rPr>
        <w:t>vorgeschlagen</w:t>
      </w:r>
      <w:r w:rsidRPr="005D5995">
        <w:rPr>
          <w:lang w:val="de-DE"/>
        </w:rPr>
        <w:t xml:space="preserve">. </w:t>
      </w:r>
    </w:p>
    <w:p w14:paraId="6815917E" w14:textId="77777777" w:rsidR="00B91E18" w:rsidRPr="005D5995" w:rsidRDefault="00B91E18" w:rsidP="00B91E18">
      <w:pPr>
        <w:rPr>
          <w:lang w:val="de-DE"/>
        </w:rPr>
      </w:pPr>
    </w:p>
    <w:p w14:paraId="1E7B7295" w14:textId="77777777" w:rsidR="00B91E18" w:rsidRPr="005D5995" w:rsidRDefault="003077D7" w:rsidP="00B91E18">
      <w:pPr>
        <w:pStyle w:val="Heading3"/>
        <w:rPr>
          <w:lang w:val="de-DE"/>
        </w:rPr>
      </w:pPr>
      <w:bookmarkStart w:id="10" w:name="_Toc524518035"/>
      <w:r w:rsidRPr="005D5995">
        <w:rPr>
          <w:lang w:val="de-DE"/>
        </w:rPr>
        <w:t>Informationen über die Kriterien zur Auswahl des geeignetsten Ansatzes</w:t>
      </w:r>
      <w:bookmarkEnd w:id="10"/>
    </w:p>
    <w:p w14:paraId="00E76F83" w14:textId="77777777" w:rsidR="00B91E18" w:rsidRPr="005D5995" w:rsidRDefault="00B91E18" w:rsidP="00B91E18">
      <w:pPr>
        <w:tabs>
          <w:tab w:val="left" w:pos="3852"/>
        </w:tabs>
        <w:rPr>
          <w:lang w:val="de-DE"/>
        </w:rPr>
      </w:pPr>
      <w:r w:rsidRPr="005D5995">
        <w:rPr>
          <w:lang w:val="de-DE"/>
        </w:rPr>
        <w:tab/>
      </w:r>
    </w:p>
    <w:p w14:paraId="49AD9C9A" w14:textId="4E481A45" w:rsidR="00B91E18" w:rsidRPr="005D5995" w:rsidRDefault="00B91E18" w:rsidP="00B91E18">
      <w:pPr>
        <w:rPr>
          <w:lang w:val="de-DE"/>
        </w:rPr>
      </w:pPr>
      <w:r w:rsidRPr="005D5995">
        <w:rPr>
          <w:snapToGrid w:val="0"/>
        </w:rPr>
        <w:fldChar w:fldCharType="begin"/>
      </w:r>
      <w:r w:rsidRPr="005D5995">
        <w:rPr>
          <w:snapToGrid w:val="0"/>
          <w:lang w:val="de-DE"/>
        </w:rPr>
        <w:instrText xml:space="preserve"> AUTONUM  </w:instrText>
      </w:r>
      <w:r w:rsidRPr="005D5995">
        <w:rPr>
          <w:snapToGrid w:val="0"/>
        </w:rPr>
        <w:fldChar w:fldCharType="end"/>
      </w:r>
      <w:r w:rsidRPr="005D5995">
        <w:rPr>
          <w:snapToGrid w:val="0"/>
          <w:lang w:val="de-DE"/>
        </w:rPr>
        <w:tab/>
      </w:r>
      <w:r w:rsidR="00A62F7D" w:rsidRPr="005D5995">
        <w:rPr>
          <w:snapToGrid w:val="0"/>
          <w:lang w:val="de-DE"/>
        </w:rPr>
        <w:t>Die</w:t>
      </w:r>
      <w:r w:rsidRPr="005D5995">
        <w:rPr>
          <w:snapToGrid w:val="0"/>
          <w:lang w:val="de-DE"/>
        </w:rPr>
        <w:t xml:space="preserve"> TWA </w:t>
      </w:r>
      <w:r w:rsidR="00C03272" w:rsidRPr="005D5995">
        <w:rPr>
          <w:snapToGrid w:val="0"/>
          <w:lang w:val="de-DE"/>
        </w:rPr>
        <w:t>hörte</w:t>
      </w:r>
      <w:r w:rsidR="00AF08B6" w:rsidRPr="005D5995">
        <w:rPr>
          <w:snapToGrid w:val="0"/>
          <w:lang w:val="de-DE"/>
        </w:rPr>
        <w:t xml:space="preserve"> die folgenden </w:t>
      </w:r>
      <w:r w:rsidR="003077D7" w:rsidRPr="005D5995">
        <w:rPr>
          <w:snapToGrid w:val="0"/>
          <w:lang w:val="de-DE"/>
        </w:rPr>
        <w:t>Referate</w:t>
      </w:r>
      <w:r w:rsidR="00AF08B6" w:rsidRPr="005D5995">
        <w:rPr>
          <w:snapToGrid w:val="0"/>
          <w:lang w:val="de-DE"/>
        </w:rPr>
        <w:t>,</w:t>
      </w:r>
      <w:r w:rsidRPr="005D5995">
        <w:rPr>
          <w:snapToGrid w:val="0"/>
          <w:lang w:val="de-DE"/>
        </w:rPr>
        <w:t xml:space="preserve"> </w:t>
      </w:r>
      <w:r w:rsidR="003077D7" w:rsidRPr="005D5995">
        <w:rPr>
          <w:lang w:val="de-DE"/>
        </w:rPr>
        <w:t>die die mögliche Auswirkung auf Entscheidungen üb</w:t>
      </w:r>
      <w:r w:rsidR="005A79FB" w:rsidRPr="005D5995">
        <w:rPr>
          <w:lang w:val="de-DE"/>
        </w:rPr>
        <w:t>er die Homogenität zwischen Ansä</w:t>
      </w:r>
      <w:r w:rsidR="003077D7" w:rsidRPr="005D5995">
        <w:rPr>
          <w:lang w:val="de-DE"/>
        </w:rPr>
        <w:t>tz</w:t>
      </w:r>
      <w:r w:rsidR="005A79FB" w:rsidRPr="005D5995">
        <w:rPr>
          <w:lang w:val="de-DE"/>
        </w:rPr>
        <w:t>en</w:t>
      </w:r>
      <w:r w:rsidR="003077D7" w:rsidRPr="005D5995">
        <w:rPr>
          <w:lang w:val="de-DE"/>
        </w:rPr>
        <w:t xml:space="preserve"> 1 und 3</w:t>
      </w:r>
      <w:r w:rsidRPr="005D5995">
        <w:rPr>
          <w:lang w:val="de-DE"/>
        </w:rPr>
        <w:t xml:space="preserve"> in </w:t>
      </w:r>
      <w:r w:rsidR="00AF08B6" w:rsidRPr="005D5995">
        <w:rPr>
          <w:lang w:val="de-DE"/>
        </w:rPr>
        <w:t>Dok</w:t>
      </w:r>
      <w:r w:rsidRPr="005D5995">
        <w:rPr>
          <w:lang w:val="de-DE"/>
        </w:rPr>
        <w:t xml:space="preserve">ument TWP/1/17 </w:t>
      </w:r>
      <w:proofErr w:type="spellStart"/>
      <w:r w:rsidRPr="005D5995">
        <w:rPr>
          <w:lang w:val="de-DE"/>
        </w:rPr>
        <w:t>Rev</w:t>
      </w:r>
      <w:proofErr w:type="spellEnd"/>
      <w:r w:rsidRPr="005D5995">
        <w:rPr>
          <w:lang w:val="de-DE"/>
        </w:rPr>
        <w:t>.</w:t>
      </w:r>
      <w:r w:rsidR="00AF08B6" w:rsidRPr="005D5995">
        <w:rPr>
          <w:lang w:val="de-DE"/>
        </w:rPr>
        <w:t xml:space="preserve"> vergleichen</w:t>
      </w:r>
      <w:r w:rsidRPr="005D5995">
        <w:rPr>
          <w:lang w:val="de-DE"/>
        </w:rPr>
        <w:t xml:space="preserve">, </w:t>
      </w:r>
      <w:r w:rsidR="00AF08B6" w:rsidRPr="005D5995">
        <w:rPr>
          <w:lang w:val="de-DE"/>
        </w:rPr>
        <w:t xml:space="preserve">wie in den Anlagen der Dokumente </w:t>
      </w:r>
      <w:r w:rsidRPr="005D5995">
        <w:rPr>
          <w:lang w:val="de-DE"/>
        </w:rPr>
        <w:t xml:space="preserve">TWA/46/4 </w:t>
      </w:r>
      <w:r w:rsidR="00AF08B6" w:rsidRPr="005D5995">
        <w:rPr>
          <w:lang w:val="de-DE"/>
        </w:rPr>
        <w:t>u</w:t>
      </w:r>
      <w:r w:rsidRPr="005D5995">
        <w:rPr>
          <w:lang w:val="de-DE"/>
        </w:rPr>
        <w:t>nd TWA/46/4 Add.</w:t>
      </w:r>
      <w:r w:rsidR="00A45275" w:rsidRPr="005D5995">
        <w:rPr>
          <w:lang w:val="de-DE"/>
        </w:rPr>
        <w:t xml:space="preserve"> wiedergegeben</w:t>
      </w:r>
      <w:r w:rsidRPr="005D5995">
        <w:rPr>
          <w:lang w:val="de-DE"/>
        </w:rPr>
        <w:t xml:space="preserve"> (in alphabe</w:t>
      </w:r>
      <w:r w:rsidR="00AF08B6" w:rsidRPr="005D5995">
        <w:rPr>
          <w:lang w:val="de-DE"/>
        </w:rPr>
        <w:t>tischer Reihenfolge</w:t>
      </w:r>
      <w:r w:rsidRPr="005D5995">
        <w:rPr>
          <w:lang w:val="de-DE"/>
        </w:rPr>
        <w:t>):</w:t>
      </w:r>
    </w:p>
    <w:p w14:paraId="245D99A3" w14:textId="77777777" w:rsidR="00B91E18" w:rsidRPr="005D5995" w:rsidRDefault="00B91E18" w:rsidP="00B91E18">
      <w:pPr>
        <w:rPr>
          <w:lang w:val="de-DE"/>
        </w:rPr>
      </w:pPr>
    </w:p>
    <w:p w14:paraId="35DBD16A" w14:textId="60144EB9" w:rsidR="00B91E18" w:rsidRPr="005D5995" w:rsidRDefault="00D50FFE" w:rsidP="00B91E18">
      <w:pPr>
        <w:pStyle w:val="ListParagraph"/>
        <w:numPr>
          <w:ilvl w:val="0"/>
          <w:numId w:val="1"/>
        </w:numPr>
        <w:spacing w:line="276" w:lineRule="auto"/>
        <w:ind w:left="1134" w:right="567" w:hanging="567"/>
        <w:rPr>
          <w:lang w:val="de-DE"/>
        </w:rPr>
      </w:pPr>
      <w:r w:rsidRPr="005D5995">
        <w:rPr>
          <w:sz w:val="18"/>
          <w:lang w:val="de-DE"/>
        </w:rPr>
        <w:t>„</w:t>
      </w:r>
      <w:r w:rsidR="00AF08B6" w:rsidRPr="005D5995">
        <w:rPr>
          <w:sz w:val="18"/>
          <w:lang w:val="de-DE"/>
        </w:rPr>
        <w:t xml:space="preserve">Auswirkung verschiedener </w:t>
      </w:r>
      <w:r w:rsidRPr="005D5995">
        <w:rPr>
          <w:sz w:val="18"/>
          <w:lang w:val="de-DE"/>
        </w:rPr>
        <w:t>Ansätze</w:t>
      </w:r>
      <w:r w:rsidR="00B91E18" w:rsidRPr="005D5995">
        <w:rPr>
          <w:sz w:val="18"/>
          <w:lang w:val="de-DE"/>
        </w:rPr>
        <w:t xml:space="preserve"> </w:t>
      </w:r>
      <w:r w:rsidR="00AF08B6" w:rsidRPr="005D5995">
        <w:rPr>
          <w:sz w:val="18"/>
          <w:lang w:val="de-DE"/>
        </w:rPr>
        <w:t xml:space="preserve">zur </w:t>
      </w:r>
      <w:r w:rsidR="003077D7" w:rsidRPr="005D5995">
        <w:rPr>
          <w:sz w:val="18"/>
          <w:lang w:val="de-DE"/>
        </w:rPr>
        <w:t xml:space="preserve">Prüfung der Homogenität anhand von </w:t>
      </w:r>
      <w:proofErr w:type="spellStart"/>
      <w:r w:rsidR="003077D7" w:rsidRPr="005D5995">
        <w:rPr>
          <w:sz w:val="18"/>
          <w:lang w:val="de-DE"/>
        </w:rPr>
        <w:t>Abweichern</w:t>
      </w:r>
      <w:proofErr w:type="spellEnd"/>
      <w:r w:rsidR="00B91E18" w:rsidRPr="005D5995">
        <w:rPr>
          <w:sz w:val="18"/>
          <w:lang w:val="de-DE"/>
        </w:rPr>
        <w:t xml:space="preserve"> – </w:t>
      </w:r>
      <w:r w:rsidR="00AF08B6" w:rsidRPr="005D5995">
        <w:rPr>
          <w:sz w:val="18"/>
          <w:lang w:val="de-DE"/>
        </w:rPr>
        <w:t>Beispiele für Gerste</w:t>
      </w:r>
      <w:r w:rsidRPr="005D5995">
        <w:rPr>
          <w:sz w:val="18"/>
          <w:lang w:val="de-DE"/>
        </w:rPr>
        <w:t>“</w:t>
      </w:r>
      <w:r w:rsidR="00B91E18" w:rsidRPr="005D5995">
        <w:rPr>
          <w:sz w:val="18"/>
          <w:lang w:val="de-DE"/>
        </w:rPr>
        <w:t xml:space="preserve">, </w:t>
      </w:r>
      <w:proofErr w:type="spellStart"/>
      <w:r w:rsidR="003077D7" w:rsidRPr="005D5995">
        <w:rPr>
          <w:sz w:val="18"/>
          <w:lang w:val="de-DE"/>
        </w:rPr>
        <w:t>verfaßt</w:t>
      </w:r>
      <w:proofErr w:type="spellEnd"/>
      <w:r w:rsidR="003077D7" w:rsidRPr="005D5995">
        <w:rPr>
          <w:sz w:val="18"/>
          <w:lang w:val="de-DE"/>
        </w:rPr>
        <w:t xml:space="preserve"> von einem Sachverständigen</w:t>
      </w:r>
      <w:r w:rsidR="00B91E18" w:rsidRPr="005D5995">
        <w:rPr>
          <w:sz w:val="18"/>
          <w:lang w:val="de-DE"/>
        </w:rPr>
        <w:t xml:space="preserve"> </w:t>
      </w:r>
      <w:r w:rsidR="00792CEC" w:rsidRPr="005D5995">
        <w:rPr>
          <w:sz w:val="18"/>
          <w:lang w:val="de-DE"/>
        </w:rPr>
        <w:t>aus</w:t>
      </w:r>
      <w:r w:rsidR="00AF08B6" w:rsidRPr="005D5995">
        <w:rPr>
          <w:sz w:val="18"/>
          <w:lang w:val="de-DE"/>
        </w:rPr>
        <w:t xml:space="preserve"> Deutschland</w:t>
      </w:r>
    </w:p>
    <w:p w14:paraId="4CFDA91F" w14:textId="6A98D6C8" w:rsidR="00B91E18" w:rsidRPr="005D5995" w:rsidRDefault="00D50FFE" w:rsidP="00B91E18">
      <w:pPr>
        <w:pStyle w:val="ListParagraph"/>
        <w:numPr>
          <w:ilvl w:val="0"/>
          <w:numId w:val="1"/>
        </w:numPr>
        <w:spacing w:line="276" w:lineRule="auto"/>
        <w:ind w:left="1134" w:right="567" w:hanging="567"/>
        <w:rPr>
          <w:lang w:val="de-DE"/>
        </w:rPr>
      </w:pPr>
      <w:r w:rsidRPr="005D5995">
        <w:rPr>
          <w:snapToGrid w:val="0"/>
          <w:sz w:val="18"/>
          <w:lang w:val="de-DE"/>
        </w:rPr>
        <w:t xml:space="preserve">„Prüfung der Homogenität anhand von </w:t>
      </w:r>
      <w:proofErr w:type="spellStart"/>
      <w:r w:rsidRPr="005D5995">
        <w:rPr>
          <w:snapToGrid w:val="0"/>
          <w:sz w:val="18"/>
          <w:lang w:val="de-DE"/>
        </w:rPr>
        <w:t>Abweichern</w:t>
      </w:r>
      <w:proofErr w:type="spellEnd"/>
      <w:r w:rsidRPr="005D5995">
        <w:rPr>
          <w:snapToGrid w:val="0"/>
          <w:sz w:val="18"/>
          <w:lang w:val="de-DE"/>
        </w:rPr>
        <w:t xml:space="preserve"> aufgrund von mehr als einer Wachstumsperiode</w:t>
      </w:r>
      <w:r w:rsidR="00404268" w:rsidRPr="005D5995">
        <w:rPr>
          <w:snapToGrid w:val="0"/>
          <w:sz w:val="18"/>
          <w:lang w:val="de-DE"/>
        </w:rPr>
        <w:t>:</w:t>
      </w:r>
      <w:r w:rsidRPr="005D5995">
        <w:rPr>
          <w:snapToGrid w:val="0"/>
          <w:sz w:val="18"/>
          <w:lang w:val="de-DE"/>
        </w:rPr>
        <w:t xml:space="preserve"> </w:t>
      </w:r>
      <w:r w:rsidR="00AF08B6" w:rsidRPr="005D5995">
        <w:rPr>
          <w:snapToGrid w:val="0"/>
          <w:sz w:val="18"/>
          <w:lang w:val="de-DE"/>
        </w:rPr>
        <w:t>Beispiele aus den Niederlanden</w:t>
      </w:r>
      <w:r w:rsidRPr="005D5995">
        <w:rPr>
          <w:snapToGrid w:val="0"/>
          <w:sz w:val="18"/>
          <w:lang w:val="de-DE"/>
        </w:rPr>
        <w:t>“</w:t>
      </w:r>
      <w:r w:rsidR="00B91E18" w:rsidRPr="005D5995">
        <w:rPr>
          <w:snapToGrid w:val="0"/>
          <w:sz w:val="18"/>
          <w:lang w:val="de-DE"/>
        </w:rPr>
        <w:t xml:space="preserve">, </w:t>
      </w:r>
      <w:proofErr w:type="spellStart"/>
      <w:r w:rsidR="003077D7" w:rsidRPr="005D5995">
        <w:rPr>
          <w:snapToGrid w:val="0"/>
          <w:sz w:val="18"/>
          <w:lang w:val="de-DE"/>
        </w:rPr>
        <w:t>verfaßt</w:t>
      </w:r>
      <w:proofErr w:type="spellEnd"/>
      <w:r w:rsidR="003077D7" w:rsidRPr="005D5995">
        <w:rPr>
          <w:snapToGrid w:val="0"/>
          <w:sz w:val="18"/>
          <w:lang w:val="de-DE"/>
        </w:rPr>
        <w:t xml:space="preserve"> von einem Sachverständigen</w:t>
      </w:r>
      <w:r w:rsidR="00B91E18" w:rsidRPr="005D5995">
        <w:rPr>
          <w:snapToGrid w:val="0"/>
          <w:sz w:val="18"/>
          <w:lang w:val="de-DE"/>
        </w:rPr>
        <w:t xml:space="preserve"> </w:t>
      </w:r>
      <w:r w:rsidR="00AF08B6" w:rsidRPr="005D5995">
        <w:rPr>
          <w:snapToGrid w:val="0"/>
          <w:sz w:val="18"/>
          <w:lang w:val="de-DE"/>
        </w:rPr>
        <w:t>aus den Niederlanden</w:t>
      </w:r>
    </w:p>
    <w:p w14:paraId="3A4DED64" w14:textId="077F748B" w:rsidR="00B91E18" w:rsidRPr="005D5995" w:rsidRDefault="00D50FFE" w:rsidP="00B91E18">
      <w:pPr>
        <w:pStyle w:val="ListParagraph"/>
        <w:numPr>
          <w:ilvl w:val="0"/>
          <w:numId w:val="1"/>
        </w:numPr>
        <w:spacing w:line="276" w:lineRule="auto"/>
        <w:ind w:left="1134" w:right="567" w:hanging="567"/>
        <w:rPr>
          <w:lang w:val="de-DE"/>
        </w:rPr>
      </w:pPr>
      <w:r w:rsidRPr="005D5995">
        <w:rPr>
          <w:snapToGrid w:val="0"/>
          <w:sz w:val="18"/>
          <w:lang w:val="de-DE"/>
        </w:rPr>
        <w:t xml:space="preserve">„Prüfung der Homogenität anhand von </w:t>
      </w:r>
      <w:proofErr w:type="spellStart"/>
      <w:r w:rsidRPr="005D5995">
        <w:rPr>
          <w:snapToGrid w:val="0"/>
          <w:sz w:val="18"/>
          <w:lang w:val="de-DE"/>
        </w:rPr>
        <w:t>Abweichern</w:t>
      </w:r>
      <w:proofErr w:type="spellEnd"/>
      <w:r w:rsidRPr="005D5995">
        <w:rPr>
          <w:snapToGrid w:val="0"/>
          <w:sz w:val="18"/>
          <w:lang w:val="de-DE"/>
        </w:rPr>
        <w:t xml:space="preserve"> aufgrund von mehr als einer Wachs</w:t>
      </w:r>
      <w:r w:rsidR="00404268" w:rsidRPr="005D5995">
        <w:rPr>
          <w:snapToGrid w:val="0"/>
          <w:sz w:val="18"/>
          <w:lang w:val="de-DE"/>
        </w:rPr>
        <w:t xml:space="preserve">tumsperiode bei </w:t>
      </w:r>
      <w:r w:rsidR="00AF08B6" w:rsidRPr="005D5995">
        <w:rPr>
          <w:snapToGrid w:val="0"/>
          <w:sz w:val="18"/>
          <w:lang w:val="de-DE"/>
        </w:rPr>
        <w:t>Weizen</w:t>
      </w:r>
      <w:r w:rsidRPr="005D5995">
        <w:rPr>
          <w:snapToGrid w:val="0"/>
          <w:sz w:val="18"/>
          <w:lang w:val="de-DE"/>
        </w:rPr>
        <w:t>“</w:t>
      </w:r>
      <w:r w:rsidR="000453E2" w:rsidRPr="005D5995">
        <w:rPr>
          <w:snapToGrid w:val="0"/>
          <w:sz w:val="18"/>
          <w:lang w:val="de-DE"/>
        </w:rPr>
        <w:t xml:space="preserve">, </w:t>
      </w:r>
      <w:proofErr w:type="spellStart"/>
      <w:r w:rsidR="003077D7" w:rsidRPr="005D5995">
        <w:rPr>
          <w:snapToGrid w:val="0"/>
          <w:sz w:val="18"/>
          <w:lang w:val="de-DE"/>
        </w:rPr>
        <w:t>verfaßt</w:t>
      </w:r>
      <w:proofErr w:type="spellEnd"/>
      <w:r w:rsidR="003077D7" w:rsidRPr="005D5995">
        <w:rPr>
          <w:snapToGrid w:val="0"/>
          <w:sz w:val="18"/>
          <w:lang w:val="de-DE"/>
        </w:rPr>
        <w:t xml:space="preserve"> von einem Sachverständigen</w:t>
      </w:r>
      <w:r w:rsidR="00B91E18" w:rsidRPr="005D5995">
        <w:rPr>
          <w:snapToGrid w:val="0"/>
          <w:sz w:val="18"/>
          <w:lang w:val="de-DE"/>
        </w:rPr>
        <w:t xml:space="preserve"> </w:t>
      </w:r>
      <w:r w:rsidR="00AF08B6" w:rsidRPr="005D5995">
        <w:rPr>
          <w:snapToGrid w:val="0"/>
          <w:sz w:val="18"/>
          <w:lang w:val="de-DE"/>
        </w:rPr>
        <w:t>aus Polen</w:t>
      </w:r>
    </w:p>
    <w:p w14:paraId="5A98FB14" w14:textId="144D55EE" w:rsidR="00B91E18" w:rsidRPr="005D5995" w:rsidRDefault="00D50FFE" w:rsidP="00B91E18">
      <w:pPr>
        <w:pStyle w:val="ListParagraph"/>
        <w:numPr>
          <w:ilvl w:val="0"/>
          <w:numId w:val="1"/>
        </w:numPr>
        <w:spacing w:line="276" w:lineRule="auto"/>
        <w:ind w:left="1134" w:right="567" w:hanging="567"/>
        <w:rPr>
          <w:lang w:val="de-DE"/>
        </w:rPr>
      </w:pPr>
      <w:r w:rsidRPr="005D5995">
        <w:rPr>
          <w:snapToGrid w:val="0"/>
          <w:sz w:val="18"/>
          <w:lang w:val="de-DE"/>
        </w:rPr>
        <w:t>„</w:t>
      </w:r>
      <w:r w:rsidR="00AF08B6" w:rsidRPr="005D5995">
        <w:rPr>
          <w:snapToGrid w:val="0"/>
          <w:sz w:val="18"/>
          <w:lang w:val="de-DE"/>
        </w:rPr>
        <w:t xml:space="preserve">Erfahrungen des Vereinigten Königreichs mit Winterraps </w:t>
      </w:r>
      <w:r w:rsidR="00B91E18" w:rsidRPr="005D5995">
        <w:rPr>
          <w:snapToGrid w:val="0"/>
          <w:sz w:val="18"/>
          <w:lang w:val="de-DE"/>
        </w:rPr>
        <w:t>(WOSR)</w:t>
      </w:r>
      <w:r w:rsidRPr="005D5995">
        <w:rPr>
          <w:snapToGrid w:val="0"/>
          <w:sz w:val="18"/>
          <w:lang w:val="de-DE"/>
        </w:rPr>
        <w:t>“</w:t>
      </w:r>
      <w:r w:rsidR="009402EB" w:rsidRPr="005D5995">
        <w:rPr>
          <w:snapToGrid w:val="0"/>
          <w:sz w:val="18"/>
          <w:lang w:val="de-DE"/>
        </w:rPr>
        <w:t>,</w:t>
      </w:r>
      <w:r w:rsidR="00B91E18" w:rsidRPr="005D5995">
        <w:rPr>
          <w:snapToGrid w:val="0"/>
          <w:sz w:val="18"/>
          <w:lang w:val="de-DE"/>
        </w:rPr>
        <w:t xml:space="preserve"> </w:t>
      </w:r>
      <w:proofErr w:type="spellStart"/>
      <w:r w:rsidR="003077D7" w:rsidRPr="005D5995">
        <w:rPr>
          <w:snapToGrid w:val="0"/>
          <w:sz w:val="18"/>
          <w:lang w:val="de-DE"/>
        </w:rPr>
        <w:t>verfaßt</w:t>
      </w:r>
      <w:proofErr w:type="spellEnd"/>
      <w:r w:rsidR="003077D7" w:rsidRPr="005D5995">
        <w:rPr>
          <w:snapToGrid w:val="0"/>
          <w:sz w:val="18"/>
          <w:lang w:val="de-DE"/>
        </w:rPr>
        <w:t xml:space="preserve"> von einem Sachverständigen</w:t>
      </w:r>
      <w:r w:rsidR="00B91E18" w:rsidRPr="005D5995">
        <w:rPr>
          <w:snapToGrid w:val="0"/>
          <w:sz w:val="18"/>
          <w:lang w:val="de-DE"/>
        </w:rPr>
        <w:t xml:space="preserve"> </w:t>
      </w:r>
      <w:r w:rsidR="00AF08B6" w:rsidRPr="005D5995">
        <w:rPr>
          <w:snapToGrid w:val="0"/>
          <w:sz w:val="18"/>
          <w:lang w:val="de-DE"/>
        </w:rPr>
        <w:t>aus dem Vereinigten Königreich</w:t>
      </w:r>
    </w:p>
    <w:p w14:paraId="39E521BB" w14:textId="2295983E" w:rsidR="00B91E18" w:rsidRPr="005D5995" w:rsidRDefault="00B91E18" w:rsidP="00B91E18">
      <w:pPr>
        <w:spacing w:before="120"/>
        <w:rPr>
          <w:snapToGrid w:val="0"/>
          <w:lang w:val="de-DE"/>
        </w:rPr>
      </w:pPr>
      <w:r w:rsidRPr="005D5995">
        <w:rPr>
          <w:snapToGrid w:val="0"/>
        </w:rPr>
        <w:fldChar w:fldCharType="begin"/>
      </w:r>
      <w:r w:rsidRPr="005D5995">
        <w:rPr>
          <w:snapToGrid w:val="0"/>
          <w:lang w:val="de-DE"/>
        </w:rPr>
        <w:instrText xml:space="preserve"> AUTONUM  </w:instrText>
      </w:r>
      <w:r w:rsidRPr="005D5995">
        <w:rPr>
          <w:snapToGrid w:val="0"/>
        </w:rPr>
        <w:fldChar w:fldCharType="end"/>
      </w:r>
      <w:r w:rsidRPr="005D5995">
        <w:rPr>
          <w:snapToGrid w:val="0"/>
          <w:lang w:val="de-DE"/>
        </w:rPr>
        <w:tab/>
      </w:r>
      <w:r w:rsidR="00AF08B6" w:rsidRPr="005D5995">
        <w:rPr>
          <w:snapToGrid w:val="0"/>
          <w:lang w:val="de-DE"/>
        </w:rPr>
        <w:t>Die</w:t>
      </w:r>
      <w:r w:rsidRPr="005D5995">
        <w:rPr>
          <w:snapToGrid w:val="0"/>
          <w:lang w:val="de-DE"/>
        </w:rPr>
        <w:t xml:space="preserve"> TWA </w:t>
      </w:r>
      <w:r w:rsidR="00AF08B6" w:rsidRPr="005D5995">
        <w:rPr>
          <w:snapToGrid w:val="0"/>
          <w:lang w:val="de-DE"/>
        </w:rPr>
        <w:t>nahm die</w:t>
      </w:r>
      <w:r w:rsidRPr="005D5995">
        <w:rPr>
          <w:snapToGrid w:val="0"/>
          <w:lang w:val="de-DE"/>
        </w:rPr>
        <w:t xml:space="preserve"> </w:t>
      </w:r>
      <w:r w:rsidR="00D50FFE" w:rsidRPr="005D5995">
        <w:rPr>
          <w:snapToGrid w:val="0"/>
          <w:lang w:val="de-DE"/>
        </w:rPr>
        <w:t>Ansätze</w:t>
      </w:r>
      <w:r w:rsidR="00AF08B6" w:rsidRPr="005D5995">
        <w:rPr>
          <w:snapToGrid w:val="0"/>
          <w:lang w:val="de-DE"/>
        </w:rPr>
        <w:t xml:space="preserve">, die zur </w:t>
      </w:r>
      <w:r w:rsidR="003077D7" w:rsidRPr="005D5995">
        <w:rPr>
          <w:snapToGrid w:val="0"/>
          <w:lang w:val="de-DE"/>
        </w:rPr>
        <w:t xml:space="preserve">Prüfung der Homogenität anhand von </w:t>
      </w:r>
      <w:proofErr w:type="spellStart"/>
      <w:r w:rsidR="003077D7" w:rsidRPr="005D5995">
        <w:rPr>
          <w:snapToGrid w:val="0"/>
          <w:lang w:val="de-DE"/>
        </w:rPr>
        <w:t>Abweichern</w:t>
      </w:r>
      <w:proofErr w:type="spellEnd"/>
      <w:r w:rsidRPr="005D5995">
        <w:rPr>
          <w:snapToGrid w:val="0"/>
          <w:lang w:val="de-DE"/>
        </w:rPr>
        <w:t xml:space="preserve"> in </w:t>
      </w:r>
      <w:r w:rsidR="00AF08B6" w:rsidRPr="005D5995">
        <w:rPr>
          <w:snapToGrid w:val="0"/>
          <w:lang w:val="de-DE"/>
        </w:rPr>
        <w:t xml:space="preserve">Deutschland und Polen für </w:t>
      </w:r>
      <w:r w:rsidR="003077D7" w:rsidRPr="005D5995">
        <w:rPr>
          <w:snapToGrid w:val="0"/>
          <w:lang w:val="de-DE"/>
        </w:rPr>
        <w:t>Getreide</w:t>
      </w:r>
      <w:r w:rsidRPr="005D5995">
        <w:rPr>
          <w:snapToGrid w:val="0"/>
          <w:lang w:val="de-DE"/>
        </w:rPr>
        <w:t xml:space="preserve">, </w:t>
      </w:r>
      <w:r w:rsidR="00F26AC8" w:rsidRPr="005D5995">
        <w:rPr>
          <w:snapToGrid w:val="0"/>
          <w:lang w:val="de-DE"/>
        </w:rPr>
        <w:t>in den Niederlanden für Tomate</w:t>
      </w:r>
      <w:r w:rsidR="00AF08B6" w:rsidRPr="005D5995">
        <w:rPr>
          <w:snapToGrid w:val="0"/>
          <w:lang w:val="de-DE"/>
        </w:rPr>
        <w:t xml:space="preserve"> und im Vereinigten Königreich für Winterraps </w:t>
      </w:r>
      <w:r w:rsidR="00F26AC8" w:rsidRPr="005D5995">
        <w:rPr>
          <w:snapToGrid w:val="0"/>
          <w:lang w:val="de-DE"/>
        </w:rPr>
        <w:t>verwendet</w:t>
      </w:r>
      <w:r w:rsidR="00AF08B6" w:rsidRPr="005D5995">
        <w:rPr>
          <w:snapToGrid w:val="0"/>
          <w:lang w:val="de-DE"/>
        </w:rPr>
        <w:t xml:space="preserve"> werden, zur Kenntnis</w:t>
      </w:r>
      <w:r w:rsidRPr="005D5995">
        <w:rPr>
          <w:snapToGrid w:val="0"/>
          <w:lang w:val="de-DE"/>
        </w:rPr>
        <w:t>.</w:t>
      </w:r>
    </w:p>
    <w:p w14:paraId="264BD941" w14:textId="77777777" w:rsidR="00B91E18" w:rsidRPr="005D5995" w:rsidRDefault="00B91E18" w:rsidP="00B91E18">
      <w:pPr>
        <w:rPr>
          <w:lang w:val="de-DE"/>
        </w:rPr>
      </w:pPr>
    </w:p>
    <w:p w14:paraId="46DA4FAE" w14:textId="0DFE2EEC" w:rsidR="00B91E18" w:rsidRPr="005D5995" w:rsidRDefault="00B91E18" w:rsidP="00B91E18">
      <w:pPr>
        <w:rPr>
          <w:rFonts w:cs="Arial"/>
          <w:lang w:val="de-DE"/>
        </w:rPr>
      </w:pPr>
      <w:r w:rsidRPr="005D5995">
        <w:fldChar w:fldCharType="begin"/>
      </w:r>
      <w:r w:rsidRPr="005D5995">
        <w:rPr>
          <w:lang w:val="de-DE"/>
        </w:rPr>
        <w:instrText xml:space="preserve"> AUTONUM  </w:instrText>
      </w:r>
      <w:r w:rsidRPr="005D5995">
        <w:fldChar w:fldCharType="end"/>
      </w:r>
      <w:r w:rsidRPr="005D5995">
        <w:rPr>
          <w:lang w:val="de-DE"/>
        </w:rPr>
        <w:tab/>
      </w:r>
      <w:r w:rsidR="00AF08B6" w:rsidRPr="005D5995">
        <w:rPr>
          <w:lang w:val="de-DE"/>
        </w:rPr>
        <w:t>Die</w:t>
      </w:r>
      <w:r w:rsidRPr="005D5995">
        <w:rPr>
          <w:lang w:val="de-DE"/>
        </w:rPr>
        <w:t xml:space="preserve"> TWV </w:t>
      </w:r>
      <w:r w:rsidR="00AF08B6" w:rsidRPr="005D5995">
        <w:rPr>
          <w:lang w:val="de-DE"/>
        </w:rPr>
        <w:t>und die</w:t>
      </w:r>
      <w:r w:rsidRPr="005D5995">
        <w:rPr>
          <w:lang w:val="de-DE"/>
        </w:rPr>
        <w:t xml:space="preserve"> TWC </w:t>
      </w:r>
      <w:r w:rsidR="00F26AC8" w:rsidRPr="005D5995">
        <w:rPr>
          <w:lang w:val="de-DE"/>
        </w:rPr>
        <w:t xml:space="preserve">hörten </w:t>
      </w:r>
      <w:r w:rsidR="00DF2DE8" w:rsidRPr="005D5995">
        <w:rPr>
          <w:lang w:val="de-DE"/>
        </w:rPr>
        <w:t xml:space="preserve">das </w:t>
      </w:r>
      <w:r w:rsidR="00AF08B6" w:rsidRPr="005D5995">
        <w:rPr>
          <w:lang w:val="de-DE"/>
        </w:rPr>
        <w:t>folgende Referat</w:t>
      </w:r>
      <w:r w:rsidRPr="005D5995">
        <w:rPr>
          <w:lang w:val="de-DE"/>
        </w:rPr>
        <w:t xml:space="preserve">, </w:t>
      </w:r>
      <w:r w:rsidR="00AF08B6" w:rsidRPr="005D5995">
        <w:rPr>
          <w:lang w:val="de-DE"/>
        </w:rPr>
        <w:t xml:space="preserve">wie </w:t>
      </w:r>
      <w:r w:rsidR="00CC1355" w:rsidRPr="005D5995">
        <w:rPr>
          <w:lang w:val="de-DE"/>
        </w:rPr>
        <w:t>in der Anlage de</w:t>
      </w:r>
      <w:r w:rsidR="00DF2DE8" w:rsidRPr="005D5995">
        <w:rPr>
          <w:lang w:val="de-DE"/>
        </w:rPr>
        <w:t>r</w:t>
      </w:r>
      <w:r w:rsidR="00CC1355" w:rsidRPr="005D5995">
        <w:rPr>
          <w:lang w:val="de-DE"/>
        </w:rPr>
        <w:t xml:space="preserve"> Dokument</w:t>
      </w:r>
      <w:r w:rsidR="00DF2DE8" w:rsidRPr="005D5995">
        <w:rPr>
          <w:lang w:val="de-DE"/>
        </w:rPr>
        <w:t>e</w:t>
      </w:r>
      <w:r w:rsidR="00CC1355" w:rsidRPr="005D5995">
        <w:rPr>
          <w:lang w:val="de-DE"/>
        </w:rPr>
        <w:t xml:space="preserve"> </w:t>
      </w:r>
      <w:r w:rsidRPr="005D5995">
        <w:rPr>
          <w:rFonts w:cs="Arial"/>
          <w:lang w:val="de-DE"/>
        </w:rPr>
        <w:t xml:space="preserve">TWV/51/5 </w:t>
      </w:r>
      <w:r w:rsidR="00CC1355" w:rsidRPr="005D5995">
        <w:rPr>
          <w:rFonts w:cs="Arial"/>
          <w:lang w:val="de-DE"/>
        </w:rPr>
        <w:t>u</w:t>
      </w:r>
      <w:r w:rsidRPr="005D5995">
        <w:rPr>
          <w:rFonts w:cs="Arial"/>
          <w:lang w:val="de-DE"/>
        </w:rPr>
        <w:t xml:space="preserve">nd </w:t>
      </w:r>
      <w:r w:rsidRPr="005D5995">
        <w:rPr>
          <w:lang w:val="de-DE"/>
        </w:rPr>
        <w:t>TWC/35/8</w:t>
      </w:r>
      <w:r w:rsidR="00BC32B8" w:rsidRPr="005D5995">
        <w:rPr>
          <w:lang w:val="de-DE"/>
        </w:rPr>
        <w:t xml:space="preserve"> wiedergegeben</w:t>
      </w:r>
      <w:r w:rsidRPr="005D5995">
        <w:rPr>
          <w:rFonts w:cs="Arial"/>
          <w:lang w:val="de-DE"/>
        </w:rPr>
        <w:t>:</w:t>
      </w:r>
    </w:p>
    <w:p w14:paraId="402FA179" w14:textId="77777777" w:rsidR="00B91E18" w:rsidRPr="005D5995" w:rsidRDefault="00B91E18" w:rsidP="00B91E18">
      <w:pPr>
        <w:rPr>
          <w:rFonts w:cs="Arial"/>
          <w:lang w:val="de-DE"/>
        </w:rPr>
      </w:pPr>
    </w:p>
    <w:p w14:paraId="7E5281EF" w14:textId="11E61959" w:rsidR="00B91E18" w:rsidRPr="005D5995" w:rsidRDefault="00D50FFE" w:rsidP="00B91E18">
      <w:pPr>
        <w:pStyle w:val="ListParagraph"/>
        <w:numPr>
          <w:ilvl w:val="0"/>
          <w:numId w:val="1"/>
        </w:numPr>
        <w:spacing w:line="276" w:lineRule="auto"/>
        <w:ind w:left="1134" w:right="567" w:hanging="567"/>
        <w:rPr>
          <w:snapToGrid w:val="0"/>
          <w:sz w:val="18"/>
          <w:lang w:val="de-DE"/>
        </w:rPr>
      </w:pPr>
      <w:r w:rsidRPr="005D5995">
        <w:rPr>
          <w:snapToGrid w:val="0"/>
          <w:sz w:val="18"/>
          <w:lang w:val="de-DE"/>
        </w:rPr>
        <w:t xml:space="preserve">„Prüfung der Homogenität anhand von </w:t>
      </w:r>
      <w:proofErr w:type="spellStart"/>
      <w:r w:rsidRPr="005D5995">
        <w:rPr>
          <w:snapToGrid w:val="0"/>
          <w:sz w:val="18"/>
          <w:lang w:val="de-DE"/>
        </w:rPr>
        <w:t>Abweichern</w:t>
      </w:r>
      <w:proofErr w:type="spellEnd"/>
      <w:r w:rsidRPr="005D5995">
        <w:rPr>
          <w:snapToGrid w:val="0"/>
          <w:sz w:val="18"/>
          <w:lang w:val="de-DE"/>
        </w:rPr>
        <w:t xml:space="preserve"> aufgrund von mehr als einer Wachstumsperiode</w:t>
      </w:r>
      <w:r w:rsidR="00B91E18" w:rsidRPr="005D5995">
        <w:rPr>
          <w:snapToGrid w:val="0"/>
          <w:sz w:val="18"/>
          <w:lang w:val="de-DE"/>
        </w:rPr>
        <w:t>:</w:t>
      </w:r>
      <w:r w:rsidR="002C64EC" w:rsidRPr="005D5995">
        <w:rPr>
          <w:snapToGrid w:val="0"/>
          <w:sz w:val="18"/>
          <w:lang w:val="de-DE"/>
        </w:rPr>
        <w:t xml:space="preserve"> </w:t>
      </w:r>
      <w:r w:rsidR="00CC1355" w:rsidRPr="005D5995">
        <w:rPr>
          <w:snapToGrid w:val="0"/>
          <w:sz w:val="18"/>
          <w:lang w:val="de-DE"/>
        </w:rPr>
        <w:t>Beispiele aus den Niederlanden</w:t>
      </w:r>
      <w:r w:rsidRPr="005D5995">
        <w:rPr>
          <w:snapToGrid w:val="0"/>
          <w:sz w:val="18"/>
          <w:lang w:val="de-DE"/>
        </w:rPr>
        <w:t>“</w:t>
      </w:r>
      <w:r w:rsidR="00B91E18" w:rsidRPr="005D5995">
        <w:rPr>
          <w:snapToGrid w:val="0"/>
          <w:sz w:val="18"/>
          <w:lang w:val="de-DE"/>
        </w:rPr>
        <w:t xml:space="preserve"> </w:t>
      </w:r>
      <w:r w:rsidR="00CC1355" w:rsidRPr="005D5995">
        <w:rPr>
          <w:snapToGrid w:val="0"/>
          <w:sz w:val="18"/>
          <w:lang w:val="de-DE"/>
        </w:rPr>
        <w:t>von einem Sachverständigen aus den Niederlanden</w:t>
      </w:r>
      <w:r w:rsidR="00B91E18" w:rsidRPr="005D5995">
        <w:rPr>
          <w:snapToGrid w:val="0"/>
          <w:sz w:val="18"/>
          <w:lang w:val="de-DE"/>
        </w:rPr>
        <w:t>.</w:t>
      </w:r>
      <w:r w:rsidR="002C64EC" w:rsidRPr="005D5995">
        <w:rPr>
          <w:snapToGrid w:val="0"/>
          <w:sz w:val="18"/>
          <w:lang w:val="de-DE"/>
        </w:rPr>
        <w:t xml:space="preserve"> </w:t>
      </w:r>
    </w:p>
    <w:p w14:paraId="3E4FAC01" w14:textId="77777777" w:rsidR="00B91E18" w:rsidRPr="005D5995" w:rsidRDefault="00B91E18" w:rsidP="00B91E18">
      <w:pPr>
        <w:rPr>
          <w:rFonts w:cs="Arial"/>
          <w:lang w:val="de-DE"/>
        </w:rPr>
      </w:pPr>
    </w:p>
    <w:p w14:paraId="118677B6" w14:textId="6C1D94BE" w:rsidR="00B91E18" w:rsidRPr="005D5995" w:rsidRDefault="00B91E18" w:rsidP="00B91E18">
      <w:pPr>
        <w:rPr>
          <w:snapToGrid w:val="0"/>
          <w:lang w:val="de-DE"/>
        </w:rPr>
      </w:pPr>
      <w:r w:rsidRPr="005D5995">
        <w:rPr>
          <w:snapToGrid w:val="0"/>
        </w:rPr>
        <w:fldChar w:fldCharType="begin"/>
      </w:r>
      <w:r w:rsidRPr="005D5995">
        <w:rPr>
          <w:snapToGrid w:val="0"/>
          <w:lang w:val="de-DE"/>
        </w:rPr>
        <w:instrText xml:space="preserve"> AUTONUM  </w:instrText>
      </w:r>
      <w:r w:rsidRPr="005D5995">
        <w:rPr>
          <w:snapToGrid w:val="0"/>
        </w:rPr>
        <w:fldChar w:fldCharType="end"/>
      </w:r>
      <w:r w:rsidRPr="005D5995">
        <w:rPr>
          <w:snapToGrid w:val="0"/>
          <w:lang w:val="de-DE"/>
        </w:rPr>
        <w:tab/>
      </w:r>
      <w:r w:rsidR="00CC1355" w:rsidRPr="005D5995">
        <w:rPr>
          <w:snapToGrid w:val="0"/>
          <w:lang w:val="de-DE"/>
        </w:rPr>
        <w:t>Die</w:t>
      </w:r>
      <w:r w:rsidRPr="005D5995">
        <w:rPr>
          <w:snapToGrid w:val="0"/>
          <w:lang w:val="de-DE"/>
        </w:rPr>
        <w:t xml:space="preserve"> TWV</w:t>
      </w:r>
      <w:r w:rsidR="00CC1355" w:rsidRPr="005D5995">
        <w:rPr>
          <w:snapToGrid w:val="0"/>
          <w:lang w:val="de-DE"/>
        </w:rPr>
        <w:t xml:space="preserve"> </w:t>
      </w:r>
      <w:r w:rsidR="005E3B9B" w:rsidRPr="005D5995">
        <w:rPr>
          <w:snapToGrid w:val="0"/>
          <w:lang w:val="de-DE"/>
        </w:rPr>
        <w:t>vereinbarte</w:t>
      </w:r>
      <w:r w:rsidR="00CC1355" w:rsidRPr="005D5995">
        <w:rPr>
          <w:snapToGrid w:val="0"/>
          <w:lang w:val="de-DE"/>
        </w:rPr>
        <w:t xml:space="preserve">, </w:t>
      </w:r>
      <w:r w:rsidR="00E03AD4" w:rsidRPr="005D5995">
        <w:rPr>
          <w:snapToGrid w:val="0"/>
          <w:lang w:val="de-DE"/>
        </w:rPr>
        <w:t>daran zu erinnern,</w:t>
      </w:r>
      <w:r w:rsidR="00C94B3B" w:rsidRPr="005D5995">
        <w:rPr>
          <w:snapToGrid w:val="0"/>
          <w:lang w:val="de-DE"/>
        </w:rPr>
        <w:t xml:space="preserve"> </w:t>
      </w:r>
      <w:proofErr w:type="spellStart"/>
      <w:r w:rsidR="00C94B3B" w:rsidRPr="005D5995">
        <w:rPr>
          <w:snapToGrid w:val="0"/>
          <w:lang w:val="de-DE"/>
        </w:rPr>
        <w:t>daß</w:t>
      </w:r>
      <w:proofErr w:type="spellEnd"/>
      <w:r w:rsidR="00C94B3B" w:rsidRPr="005D5995">
        <w:rPr>
          <w:snapToGrid w:val="0"/>
          <w:lang w:val="de-DE"/>
        </w:rPr>
        <w:t xml:space="preserve"> Ansatz 1 auf dem</w:t>
      </w:r>
      <w:r w:rsidR="00CC1355" w:rsidRPr="005D5995">
        <w:rPr>
          <w:snapToGrid w:val="0"/>
          <w:lang w:val="de-DE"/>
        </w:rPr>
        <w:t xml:space="preserve"> Gemüsesektor</w:t>
      </w:r>
      <w:r w:rsidR="00DF2DE8" w:rsidRPr="005D5995">
        <w:rPr>
          <w:snapToGrid w:val="0"/>
          <w:lang w:val="de-DE"/>
        </w:rPr>
        <w:t xml:space="preserve"> der meistverwendete</w:t>
      </w:r>
      <w:r w:rsidRPr="005D5995">
        <w:rPr>
          <w:snapToGrid w:val="0"/>
          <w:lang w:val="de-DE"/>
        </w:rPr>
        <w:t xml:space="preserve"> </w:t>
      </w:r>
      <w:r w:rsidR="00CC1355" w:rsidRPr="005D5995">
        <w:rPr>
          <w:snapToGrid w:val="0"/>
          <w:lang w:val="de-DE"/>
        </w:rPr>
        <w:t>ist</w:t>
      </w:r>
      <w:r w:rsidRPr="005D5995">
        <w:rPr>
          <w:snapToGrid w:val="0"/>
          <w:lang w:val="de-DE"/>
        </w:rPr>
        <w:t>.</w:t>
      </w:r>
    </w:p>
    <w:p w14:paraId="6EAB3052" w14:textId="77777777" w:rsidR="00B91E18" w:rsidRPr="005D5995" w:rsidRDefault="00B91E18" w:rsidP="00B91E18">
      <w:pPr>
        <w:rPr>
          <w:lang w:val="de-DE"/>
        </w:rPr>
      </w:pPr>
    </w:p>
    <w:p w14:paraId="3869A443" w14:textId="340F52D4" w:rsidR="00B91E18" w:rsidRPr="005D5995" w:rsidRDefault="00B91E18" w:rsidP="00B91E18">
      <w:pPr>
        <w:rPr>
          <w:lang w:val="de-DE"/>
        </w:rPr>
      </w:pPr>
      <w:r w:rsidRPr="005D5995">
        <w:fldChar w:fldCharType="begin"/>
      </w:r>
      <w:r w:rsidRPr="005D5995">
        <w:rPr>
          <w:lang w:val="de-DE"/>
        </w:rPr>
        <w:instrText xml:space="preserve"> AUTONUM  </w:instrText>
      </w:r>
      <w:r w:rsidRPr="005D5995">
        <w:fldChar w:fldCharType="end"/>
      </w:r>
      <w:r w:rsidRPr="005D5995">
        <w:rPr>
          <w:lang w:val="de-DE"/>
        </w:rPr>
        <w:tab/>
      </w:r>
      <w:r w:rsidR="00CC1355" w:rsidRPr="005D5995">
        <w:rPr>
          <w:lang w:val="de-DE"/>
        </w:rPr>
        <w:t>Die</w:t>
      </w:r>
      <w:r w:rsidRPr="005D5995">
        <w:rPr>
          <w:lang w:val="de-DE"/>
        </w:rPr>
        <w:t xml:space="preserve"> TWC </w:t>
      </w:r>
      <w:r w:rsidR="005E3B9B" w:rsidRPr="005D5995">
        <w:rPr>
          <w:lang w:val="de-DE"/>
        </w:rPr>
        <w:t>vereinbarte</w:t>
      </w:r>
      <w:r w:rsidR="00CC1355" w:rsidRPr="005D5995">
        <w:rPr>
          <w:lang w:val="de-DE"/>
        </w:rPr>
        <w:t xml:space="preserve">, </w:t>
      </w:r>
      <w:proofErr w:type="spellStart"/>
      <w:r w:rsidR="00CC1355" w:rsidRPr="005D5995">
        <w:rPr>
          <w:lang w:val="de-DE"/>
        </w:rPr>
        <w:t>daß</w:t>
      </w:r>
      <w:proofErr w:type="spellEnd"/>
      <w:r w:rsidR="00CC1355" w:rsidRPr="005D5995">
        <w:rPr>
          <w:lang w:val="de-DE"/>
        </w:rPr>
        <w:t xml:space="preserve"> die verschiedenen </w:t>
      </w:r>
      <w:r w:rsidR="00D50FFE" w:rsidRPr="005D5995">
        <w:rPr>
          <w:lang w:val="de-DE"/>
        </w:rPr>
        <w:t>Ansät</w:t>
      </w:r>
      <w:r w:rsidR="00CC1355" w:rsidRPr="005D5995">
        <w:rPr>
          <w:lang w:val="de-DE"/>
        </w:rPr>
        <w:t xml:space="preserve">ze, die zur </w:t>
      </w:r>
      <w:r w:rsidR="00E57049" w:rsidRPr="005D5995">
        <w:rPr>
          <w:lang w:val="de-DE"/>
        </w:rPr>
        <w:t xml:space="preserve">Prüfung von </w:t>
      </w:r>
      <w:proofErr w:type="spellStart"/>
      <w:r w:rsidR="00E57049" w:rsidRPr="005D5995">
        <w:rPr>
          <w:lang w:val="de-DE"/>
        </w:rPr>
        <w:t>Abweichern</w:t>
      </w:r>
      <w:proofErr w:type="spellEnd"/>
      <w:r w:rsidR="00E57049" w:rsidRPr="005D5995">
        <w:rPr>
          <w:lang w:val="de-DE"/>
        </w:rPr>
        <w:t xml:space="preserve"> aufgrund von mehr als einer Wachstumsperiode</w:t>
      </w:r>
      <w:r w:rsidR="00CC1355" w:rsidRPr="005D5995">
        <w:rPr>
          <w:lang w:val="de-DE"/>
        </w:rPr>
        <w:t xml:space="preserve"> </w:t>
      </w:r>
      <w:r w:rsidR="00F26AC8" w:rsidRPr="005D5995">
        <w:rPr>
          <w:lang w:val="de-DE"/>
        </w:rPr>
        <w:t>verwendet</w:t>
      </w:r>
      <w:r w:rsidR="007A2703" w:rsidRPr="005D5995">
        <w:rPr>
          <w:lang w:val="de-DE"/>
        </w:rPr>
        <w:t xml:space="preserve"> werden, </w:t>
      </w:r>
      <w:r w:rsidR="00CC1355" w:rsidRPr="005D5995">
        <w:rPr>
          <w:lang w:val="de-DE"/>
        </w:rPr>
        <w:t xml:space="preserve">in manchen Fällen verschiedene </w:t>
      </w:r>
      <w:r w:rsidR="00BE7F94" w:rsidRPr="005D5995">
        <w:rPr>
          <w:lang w:val="de-DE"/>
        </w:rPr>
        <w:t>Ergebnisse</w:t>
      </w:r>
      <w:r w:rsidR="00CC1355" w:rsidRPr="005D5995">
        <w:rPr>
          <w:lang w:val="de-DE"/>
        </w:rPr>
        <w:t xml:space="preserve"> hervorbrachten</w:t>
      </w:r>
      <w:r w:rsidRPr="005D5995">
        <w:rPr>
          <w:lang w:val="de-DE"/>
        </w:rPr>
        <w:t>.</w:t>
      </w:r>
      <w:r w:rsidR="002C64EC" w:rsidRPr="005D5995">
        <w:rPr>
          <w:lang w:val="de-DE"/>
        </w:rPr>
        <w:t xml:space="preserve"> </w:t>
      </w:r>
      <w:r w:rsidR="00CC1355" w:rsidRPr="005D5995">
        <w:rPr>
          <w:lang w:val="de-DE"/>
        </w:rPr>
        <w:t>Die</w:t>
      </w:r>
      <w:r w:rsidRPr="005D5995">
        <w:rPr>
          <w:lang w:val="de-DE"/>
        </w:rPr>
        <w:t xml:space="preserve"> TWC </w:t>
      </w:r>
      <w:r w:rsidR="005E3B9B" w:rsidRPr="005D5995">
        <w:rPr>
          <w:lang w:val="de-DE"/>
        </w:rPr>
        <w:t>vereinbarte</w:t>
      </w:r>
      <w:r w:rsidR="00CC1355" w:rsidRPr="005D5995">
        <w:rPr>
          <w:lang w:val="de-DE"/>
        </w:rPr>
        <w:t xml:space="preserve">, </w:t>
      </w:r>
      <w:proofErr w:type="spellStart"/>
      <w:r w:rsidR="00CC1355" w:rsidRPr="005D5995">
        <w:rPr>
          <w:lang w:val="de-DE"/>
        </w:rPr>
        <w:t>daß</w:t>
      </w:r>
      <w:proofErr w:type="spellEnd"/>
      <w:r w:rsidRPr="005D5995">
        <w:rPr>
          <w:lang w:val="de-DE"/>
        </w:rPr>
        <w:t xml:space="preserve"> </w:t>
      </w:r>
      <w:r w:rsidR="00D50FFE" w:rsidRPr="005D5995">
        <w:rPr>
          <w:lang w:val="de-DE"/>
        </w:rPr>
        <w:t>kleinere Probengrößen</w:t>
      </w:r>
      <w:r w:rsidR="007A2703" w:rsidRPr="005D5995">
        <w:rPr>
          <w:lang w:val="de-DE"/>
        </w:rPr>
        <w:t xml:space="preserve"> und </w:t>
      </w:r>
      <w:r w:rsidR="005D5995" w:rsidRPr="005D5995">
        <w:rPr>
          <w:lang w:val="de-DE"/>
        </w:rPr>
        <w:t>die</w:t>
      </w:r>
      <w:r w:rsidRPr="005D5995">
        <w:rPr>
          <w:lang w:val="de-DE"/>
        </w:rPr>
        <w:t xml:space="preserve"> </w:t>
      </w:r>
      <w:r w:rsidR="00D50FFE" w:rsidRPr="005D5995">
        <w:rPr>
          <w:lang w:val="de-DE"/>
        </w:rPr>
        <w:t xml:space="preserve">zulässige Zahl von </w:t>
      </w:r>
      <w:proofErr w:type="spellStart"/>
      <w:r w:rsidR="00D50FFE" w:rsidRPr="005D5995">
        <w:rPr>
          <w:lang w:val="de-DE"/>
        </w:rPr>
        <w:t>Abweichern</w:t>
      </w:r>
      <w:proofErr w:type="spellEnd"/>
      <w:r w:rsidRPr="005D5995">
        <w:rPr>
          <w:lang w:val="de-DE"/>
        </w:rPr>
        <w:t xml:space="preserve"> (</w:t>
      </w:r>
      <w:r w:rsidR="00CC1355" w:rsidRPr="005D5995">
        <w:rPr>
          <w:lang w:val="de-DE"/>
        </w:rPr>
        <w:t>z.B. Gemüsearten</w:t>
      </w:r>
      <w:r w:rsidRPr="005D5995">
        <w:rPr>
          <w:lang w:val="de-DE"/>
        </w:rPr>
        <w:t xml:space="preserve">) </w:t>
      </w:r>
      <w:r w:rsidR="00CC1355" w:rsidRPr="005D5995">
        <w:rPr>
          <w:lang w:val="de-DE"/>
        </w:rPr>
        <w:t xml:space="preserve">Grenzfälle hervorheben </w:t>
      </w:r>
      <w:r w:rsidR="00F74FAE" w:rsidRPr="005D5995">
        <w:rPr>
          <w:lang w:val="de-DE"/>
        </w:rPr>
        <w:t>könnten</w:t>
      </w:r>
      <w:r w:rsidR="00CC1355" w:rsidRPr="005D5995">
        <w:rPr>
          <w:lang w:val="de-DE"/>
        </w:rPr>
        <w:t xml:space="preserve">, in denen durch die </w:t>
      </w:r>
      <w:r w:rsidR="00DA63DA" w:rsidRPr="005D5995">
        <w:rPr>
          <w:lang w:val="de-DE"/>
        </w:rPr>
        <w:t>Verwendung</w:t>
      </w:r>
      <w:r w:rsidR="00CC1355" w:rsidRPr="005D5995">
        <w:rPr>
          <w:lang w:val="de-DE"/>
        </w:rPr>
        <w:t xml:space="preserve"> verschiedene</w:t>
      </w:r>
      <w:r w:rsidR="00F74FAE" w:rsidRPr="005D5995">
        <w:rPr>
          <w:lang w:val="de-DE"/>
        </w:rPr>
        <w:t xml:space="preserve">r Ansätze </w:t>
      </w:r>
      <w:r w:rsidR="004743FD" w:rsidRPr="005D5995">
        <w:rPr>
          <w:lang w:val="de-DE"/>
        </w:rPr>
        <w:t xml:space="preserve">verschiedene Ergebnisse </w:t>
      </w:r>
      <w:r w:rsidR="00F74FAE" w:rsidRPr="005D5995">
        <w:rPr>
          <w:lang w:val="de-DE"/>
        </w:rPr>
        <w:t xml:space="preserve">hervorgebracht werden </w:t>
      </w:r>
      <w:r w:rsidR="00CC1355" w:rsidRPr="005D5995">
        <w:rPr>
          <w:lang w:val="de-DE"/>
        </w:rPr>
        <w:t>könn</w:t>
      </w:r>
      <w:r w:rsidR="00F74FAE" w:rsidRPr="005D5995">
        <w:rPr>
          <w:lang w:val="de-DE"/>
        </w:rPr>
        <w:t>t</w:t>
      </w:r>
      <w:r w:rsidR="00CC1355" w:rsidRPr="005D5995">
        <w:rPr>
          <w:lang w:val="de-DE"/>
        </w:rPr>
        <w:t>en</w:t>
      </w:r>
      <w:r w:rsidRPr="005D5995">
        <w:rPr>
          <w:lang w:val="de-DE"/>
        </w:rPr>
        <w:t>.</w:t>
      </w:r>
      <w:r w:rsidR="002C64EC" w:rsidRPr="005D5995">
        <w:rPr>
          <w:lang w:val="de-DE"/>
        </w:rPr>
        <w:t xml:space="preserve"> </w:t>
      </w:r>
    </w:p>
    <w:p w14:paraId="47CF7C86" w14:textId="77777777" w:rsidR="00B91E18" w:rsidRPr="005D5995" w:rsidRDefault="00B91E18" w:rsidP="00B91E18">
      <w:pPr>
        <w:rPr>
          <w:lang w:val="de-DE"/>
        </w:rPr>
      </w:pPr>
    </w:p>
    <w:p w14:paraId="7DE906E1" w14:textId="0CB722D9" w:rsidR="00B91E18" w:rsidRPr="005D5995" w:rsidRDefault="00B91E18" w:rsidP="00B91E18">
      <w:pPr>
        <w:rPr>
          <w:lang w:val="de-DE"/>
        </w:rPr>
      </w:pPr>
      <w:r w:rsidRPr="005D5995">
        <w:fldChar w:fldCharType="begin"/>
      </w:r>
      <w:r w:rsidRPr="005D5995">
        <w:rPr>
          <w:lang w:val="de-DE"/>
        </w:rPr>
        <w:instrText xml:space="preserve"> AUTONUM  </w:instrText>
      </w:r>
      <w:r w:rsidRPr="005D5995">
        <w:fldChar w:fldCharType="end"/>
      </w:r>
      <w:r w:rsidRPr="005D5995">
        <w:rPr>
          <w:lang w:val="de-DE"/>
        </w:rPr>
        <w:tab/>
      </w:r>
      <w:r w:rsidR="00CC1355" w:rsidRPr="005D5995">
        <w:rPr>
          <w:lang w:val="de-DE"/>
        </w:rPr>
        <w:t>Die</w:t>
      </w:r>
      <w:r w:rsidRPr="005D5995">
        <w:rPr>
          <w:lang w:val="de-DE"/>
        </w:rPr>
        <w:t xml:space="preserve"> TWC </w:t>
      </w:r>
      <w:r w:rsidR="005E3B9B" w:rsidRPr="005D5995">
        <w:rPr>
          <w:lang w:val="de-DE"/>
        </w:rPr>
        <w:t>vereinbarte</w:t>
      </w:r>
      <w:r w:rsidR="0026212D" w:rsidRPr="005D5995">
        <w:rPr>
          <w:lang w:val="de-DE"/>
        </w:rPr>
        <w:t xml:space="preserve">, </w:t>
      </w:r>
      <w:proofErr w:type="spellStart"/>
      <w:r w:rsidR="0026212D" w:rsidRPr="005D5995">
        <w:rPr>
          <w:lang w:val="de-DE"/>
        </w:rPr>
        <w:t>daß</w:t>
      </w:r>
      <w:proofErr w:type="spellEnd"/>
      <w:r w:rsidR="0026212D" w:rsidRPr="005D5995">
        <w:rPr>
          <w:lang w:val="de-DE"/>
        </w:rPr>
        <w:t xml:space="preserve"> die verschiedenen </w:t>
      </w:r>
      <w:r w:rsidR="00BE7F94" w:rsidRPr="005D5995">
        <w:rPr>
          <w:lang w:val="de-DE"/>
        </w:rPr>
        <w:t>Ergebnisse</w:t>
      </w:r>
      <w:r w:rsidR="0026212D" w:rsidRPr="005D5995">
        <w:rPr>
          <w:lang w:val="de-DE"/>
        </w:rPr>
        <w:t xml:space="preserve">, die durch die </w:t>
      </w:r>
      <w:r w:rsidR="00DA63DA" w:rsidRPr="005D5995">
        <w:rPr>
          <w:lang w:val="de-DE"/>
        </w:rPr>
        <w:t>Verwendung</w:t>
      </w:r>
      <w:r w:rsidR="0026212D" w:rsidRPr="005D5995">
        <w:rPr>
          <w:lang w:val="de-DE"/>
        </w:rPr>
        <w:t xml:space="preserve"> der verschiedenen</w:t>
      </w:r>
      <w:r w:rsidRPr="005D5995">
        <w:rPr>
          <w:lang w:val="de-DE"/>
        </w:rPr>
        <w:t xml:space="preserve"> </w:t>
      </w:r>
      <w:r w:rsidR="00D50FFE" w:rsidRPr="005D5995">
        <w:rPr>
          <w:lang w:val="de-DE"/>
        </w:rPr>
        <w:t>Ansätze</w:t>
      </w:r>
      <w:r w:rsidRPr="005D5995">
        <w:rPr>
          <w:lang w:val="de-DE"/>
        </w:rPr>
        <w:t xml:space="preserve"> </w:t>
      </w:r>
      <w:r w:rsidR="0026212D" w:rsidRPr="005D5995">
        <w:rPr>
          <w:lang w:val="de-DE"/>
        </w:rPr>
        <w:t>zur</w:t>
      </w:r>
      <w:r w:rsidRPr="005D5995">
        <w:rPr>
          <w:lang w:val="de-DE"/>
        </w:rPr>
        <w:t xml:space="preserve"> </w:t>
      </w:r>
      <w:r w:rsidR="00E57049" w:rsidRPr="005D5995">
        <w:rPr>
          <w:lang w:val="de-DE"/>
        </w:rPr>
        <w:t xml:space="preserve">Prüfung von </w:t>
      </w:r>
      <w:proofErr w:type="spellStart"/>
      <w:r w:rsidR="00E57049" w:rsidRPr="005D5995">
        <w:rPr>
          <w:lang w:val="de-DE"/>
        </w:rPr>
        <w:t>Abweichern</w:t>
      </w:r>
      <w:proofErr w:type="spellEnd"/>
      <w:r w:rsidR="00E57049" w:rsidRPr="005D5995">
        <w:rPr>
          <w:lang w:val="de-DE"/>
        </w:rPr>
        <w:t xml:space="preserve"> aufgrund von mehr als einer Wachstumsperiode</w:t>
      </w:r>
      <w:r w:rsidR="0026212D" w:rsidRPr="005D5995">
        <w:rPr>
          <w:lang w:val="de-DE"/>
        </w:rPr>
        <w:t xml:space="preserve"> erhalten wurden,</w:t>
      </w:r>
      <w:r w:rsidRPr="005D5995">
        <w:rPr>
          <w:lang w:val="de-DE"/>
        </w:rPr>
        <w:t xml:space="preserve"> </w:t>
      </w:r>
      <w:r w:rsidR="0026212D" w:rsidRPr="005D5995">
        <w:rPr>
          <w:lang w:val="de-DE"/>
        </w:rPr>
        <w:t xml:space="preserve">sich teilweise aus den verschiedenen Risiken von Fehlern </w:t>
      </w:r>
      <w:r w:rsidR="00A56F43" w:rsidRPr="005D5995">
        <w:rPr>
          <w:lang w:val="de-DE"/>
        </w:rPr>
        <w:t xml:space="preserve">von Typ I und Typ II </w:t>
      </w:r>
      <w:r w:rsidR="00FA6755" w:rsidRPr="005D5995">
        <w:rPr>
          <w:lang w:val="de-DE"/>
        </w:rPr>
        <w:t xml:space="preserve">ergeben, </w:t>
      </w:r>
      <w:r w:rsidR="005D5995" w:rsidRPr="005D5995">
        <w:rPr>
          <w:lang w:val="de-DE"/>
        </w:rPr>
        <w:t>die in Verbindung mit jedem Ansatz stehen</w:t>
      </w:r>
      <w:r w:rsidRPr="005D5995">
        <w:rPr>
          <w:lang w:val="de-DE"/>
        </w:rPr>
        <w:t>.</w:t>
      </w:r>
      <w:r w:rsidR="002C64EC" w:rsidRPr="005D5995">
        <w:rPr>
          <w:lang w:val="de-DE"/>
        </w:rPr>
        <w:t xml:space="preserve"> </w:t>
      </w:r>
    </w:p>
    <w:p w14:paraId="6FB9DCA6" w14:textId="77777777" w:rsidR="00B91E18" w:rsidRPr="005D5995" w:rsidRDefault="00B91E18" w:rsidP="00B91E18">
      <w:pPr>
        <w:rPr>
          <w:lang w:val="de-DE"/>
        </w:rPr>
      </w:pPr>
    </w:p>
    <w:p w14:paraId="4852B055" w14:textId="3F5D8B00" w:rsidR="00B91E18" w:rsidRPr="005D5995" w:rsidRDefault="00B91E18" w:rsidP="00B91E18">
      <w:pPr>
        <w:rPr>
          <w:lang w:val="de-DE"/>
        </w:rPr>
      </w:pPr>
      <w:r w:rsidRPr="005D5995">
        <w:fldChar w:fldCharType="begin"/>
      </w:r>
      <w:r w:rsidRPr="005D5995">
        <w:rPr>
          <w:lang w:val="de-DE"/>
        </w:rPr>
        <w:instrText xml:space="preserve"> AUTONUM  </w:instrText>
      </w:r>
      <w:r w:rsidRPr="005D5995">
        <w:fldChar w:fldCharType="end"/>
      </w:r>
      <w:r w:rsidRPr="005D5995">
        <w:rPr>
          <w:lang w:val="de-DE"/>
        </w:rPr>
        <w:tab/>
      </w:r>
      <w:r w:rsidR="00FA6755" w:rsidRPr="005D5995">
        <w:rPr>
          <w:lang w:val="de-DE"/>
        </w:rPr>
        <w:t>Die</w:t>
      </w:r>
      <w:r w:rsidRPr="005D5995">
        <w:rPr>
          <w:lang w:val="de-DE"/>
        </w:rPr>
        <w:t xml:space="preserve"> TWC </w:t>
      </w:r>
      <w:r w:rsidR="005E3B9B" w:rsidRPr="005D5995">
        <w:rPr>
          <w:lang w:val="de-DE"/>
        </w:rPr>
        <w:t>vereinbarte</w:t>
      </w:r>
      <w:r w:rsidR="00FA6755" w:rsidRPr="005D5995">
        <w:rPr>
          <w:lang w:val="de-DE"/>
        </w:rPr>
        <w:t xml:space="preserve">, die Sachverständigen aus Deutschland, dem Vereinigten Königreich und anderen </w:t>
      </w:r>
      <w:r w:rsidR="00611EC9" w:rsidRPr="005D5995">
        <w:rPr>
          <w:lang w:val="de-DE"/>
        </w:rPr>
        <w:t>Verbandsmitgliedern</w:t>
      </w:r>
      <w:r w:rsidR="00FA6755" w:rsidRPr="005D5995">
        <w:rPr>
          <w:lang w:val="de-DE"/>
        </w:rPr>
        <w:t xml:space="preserve"> </w:t>
      </w:r>
      <w:r w:rsidR="00611EC9" w:rsidRPr="005D5995">
        <w:rPr>
          <w:lang w:val="de-DE"/>
        </w:rPr>
        <w:t>zu ersuchen</w:t>
      </w:r>
      <w:r w:rsidR="00FA6755" w:rsidRPr="005D5995">
        <w:rPr>
          <w:lang w:val="de-DE"/>
        </w:rPr>
        <w:t>, Arbeiten über die Analyse der</w:t>
      </w:r>
      <w:r w:rsidR="00670546" w:rsidRPr="005D5995">
        <w:rPr>
          <w:lang w:val="de-DE"/>
        </w:rPr>
        <w:t xml:space="preserve"> Risiken, </w:t>
      </w:r>
      <w:r w:rsidR="005D5995" w:rsidRPr="005D5995">
        <w:rPr>
          <w:lang w:val="de-DE"/>
        </w:rPr>
        <w:t>die in Verbindung mit jedem Ansatz stehen</w:t>
      </w:r>
      <w:r w:rsidR="00FA6755" w:rsidRPr="005D5995">
        <w:rPr>
          <w:lang w:val="de-DE"/>
        </w:rPr>
        <w:t>, zur Prüfung auf ihrer sechsunddreißigsten Tagung einzureichen.</w:t>
      </w:r>
    </w:p>
    <w:p w14:paraId="2743999A" w14:textId="77777777" w:rsidR="00B91E18" w:rsidRPr="005D5995" w:rsidRDefault="00B91E18" w:rsidP="00B91E18">
      <w:pPr>
        <w:rPr>
          <w:lang w:val="de-DE"/>
        </w:rPr>
      </w:pPr>
    </w:p>
    <w:p w14:paraId="676871EC" w14:textId="77777777" w:rsidR="00BA0125" w:rsidRPr="005D5995" w:rsidRDefault="00BA0125" w:rsidP="00BA0125">
      <w:pPr>
        <w:rPr>
          <w:lang w:val="de-DE"/>
        </w:rPr>
      </w:pPr>
    </w:p>
    <w:p w14:paraId="2CE767CB" w14:textId="77777777" w:rsidR="00BA0125" w:rsidRPr="005D5995" w:rsidRDefault="005357F0" w:rsidP="00BA0125">
      <w:pPr>
        <w:keepNext/>
        <w:rPr>
          <w:lang w:val="de-DE"/>
        </w:rPr>
      </w:pPr>
      <w:r w:rsidRPr="005D5995">
        <w:rPr>
          <w:lang w:val="de-DE"/>
        </w:rPr>
        <w:t>ENTWICKLUNGEN IM</w:t>
      </w:r>
      <w:r w:rsidR="003077D7" w:rsidRPr="005D5995">
        <w:rPr>
          <w:lang w:val="de-DE"/>
        </w:rPr>
        <w:t xml:space="preserve"> JAHR 2018</w:t>
      </w:r>
    </w:p>
    <w:p w14:paraId="4485904B" w14:textId="77777777" w:rsidR="005357F0" w:rsidRPr="005D5995" w:rsidRDefault="005357F0" w:rsidP="00BA0125">
      <w:pPr>
        <w:keepNext/>
        <w:rPr>
          <w:lang w:val="de-DE"/>
        </w:rPr>
      </w:pPr>
    </w:p>
    <w:p w14:paraId="52FD53E7" w14:textId="7EC64527" w:rsidR="00BA0125" w:rsidRPr="005D5995" w:rsidRDefault="00FA6755" w:rsidP="00BA0125">
      <w:pPr>
        <w:pStyle w:val="Heading2"/>
        <w:rPr>
          <w:lang w:val="de-DE"/>
        </w:rPr>
      </w:pPr>
      <w:bookmarkStart w:id="11" w:name="_Toc524518036"/>
      <w:r w:rsidRPr="005D5995">
        <w:rPr>
          <w:lang w:val="de-DE"/>
        </w:rPr>
        <w:t xml:space="preserve">Erweiterter </w:t>
      </w:r>
      <w:proofErr w:type="spellStart"/>
      <w:r w:rsidRPr="005D5995">
        <w:rPr>
          <w:lang w:val="de-DE"/>
        </w:rPr>
        <w:t>Redaktionsausschuß</w:t>
      </w:r>
      <w:bookmarkEnd w:id="11"/>
      <w:proofErr w:type="spellEnd"/>
    </w:p>
    <w:p w14:paraId="5B88A9C5" w14:textId="77777777" w:rsidR="003851A9" w:rsidRPr="005D5995" w:rsidRDefault="003851A9" w:rsidP="003851A9">
      <w:pPr>
        <w:rPr>
          <w:iCs/>
          <w:lang w:val="de-DE"/>
        </w:rPr>
      </w:pPr>
    </w:p>
    <w:p w14:paraId="24E5D724" w14:textId="45532BF9" w:rsidR="003851A9" w:rsidRPr="005D5995" w:rsidRDefault="003851A9" w:rsidP="003077D7">
      <w:pPr>
        <w:rPr>
          <w:lang w:val="de-DE"/>
        </w:rPr>
      </w:pPr>
      <w:r w:rsidRPr="005D5995">
        <w:fldChar w:fldCharType="begin"/>
      </w:r>
      <w:r w:rsidRPr="005D5995">
        <w:rPr>
          <w:lang w:val="de-DE"/>
        </w:rPr>
        <w:instrText xml:space="preserve"> AUTONUM  </w:instrText>
      </w:r>
      <w:r w:rsidRPr="005D5995">
        <w:fldChar w:fldCharType="end"/>
      </w:r>
      <w:r w:rsidRPr="005D5995">
        <w:rPr>
          <w:lang w:val="de-DE"/>
        </w:rPr>
        <w:tab/>
      </w:r>
      <w:r w:rsidR="003077D7" w:rsidRPr="005D5995">
        <w:rPr>
          <w:lang w:val="de-DE"/>
        </w:rPr>
        <w:t xml:space="preserve">Auf seiner vierunddreißigsten außerordentlichen Tagung am 6. April 2017 in Genf entschied der Rat, </w:t>
      </w:r>
      <w:r w:rsidR="005D5995" w:rsidRPr="005D5995">
        <w:rPr>
          <w:lang w:val="de-DE"/>
        </w:rPr>
        <w:t xml:space="preserve">ab </w:t>
      </w:r>
      <w:r w:rsidR="004743FD">
        <w:rPr>
          <w:lang w:val="de-DE"/>
        </w:rPr>
        <w:t xml:space="preserve">dem Jahr </w:t>
      </w:r>
      <w:r w:rsidR="005D5995" w:rsidRPr="005D5995">
        <w:rPr>
          <w:lang w:val="de-DE"/>
        </w:rPr>
        <w:t xml:space="preserve">2018 </w:t>
      </w:r>
      <w:r w:rsidR="003077D7" w:rsidRPr="005D5995">
        <w:rPr>
          <w:lang w:val="de-DE"/>
        </w:rPr>
        <w:t>eine einzige Tagungsreihe in dem Zeitraum Oktober</w:t>
      </w:r>
      <w:r w:rsidR="005D5995" w:rsidRPr="005D5995">
        <w:rPr>
          <w:lang w:val="de-DE"/>
        </w:rPr>
        <w:t>/</w:t>
      </w:r>
      <w:r w:rsidR="003077D7" w:rsidRPr="005D5995">
        <w:rPr>
          <w:lang w:val="de-DE"/>
        </w:rPr>
        <w:t xml:space="preserve">November zu organisieren </w:t>
      </w:r>
      <w:r w:rsidR="003077D7" w:rsidRPr="005D5995">
        <w:rPr>
          <w:lang w:val="de-DE"/>
        </w:rPr>
        <w:lastRenderedPageBreak/>
        <w:t>(vergleiche</w:t>
      </w:r>
      <w:r w:rsidR="00952C68">
        <w:rPr>
          <w:lang w:val="de-DE"/>
        </w:rPr>
        <w:t> </w:t>
      </w:r>
      <w:r w:rsidR="003077D7" w:rsidRPr="005D5995">
        <w:rPr>
          <w:lang w:val="de-DE"/>
        </w:rPr>
        <w:t>Dokument C(</w:t>
      </w:r>
      <w:proofErr w:type="spellStart"/>
      <w:r w:rsidR="003077D7" w:rsidRPr="005D5995">
        <w:rPr>
          <w:lang w:val="de-DE"/>
        </w:rPr>
        <w:t>Extr</w:t>
      </w:r>
      <w:proofErr w:type="spellEnd"/>
      <w:proofErr w:type="gramStart"/>
      <w:r w:rsidR="003077D7" w:rsidRPr="005D5995">
        <w:rPr>
          <w:lang w:val="de-DE"/>
        </w:rPr>
        <w:t>.)/</w:t>
      </w:r>
      <w:proofErr w:type="gramEnd"/>
      <w:r w:rsidR="003077D7" w:rsidRPr="005D5995">
        <w:rPr>
          <w:lang w:val="de-DE"/>
        </w:rPr>
        <w:t xml:space="preserve">34/6 „Bericht über die Entschließungen”, Absätze 12 bis 14). </w:t>
      </w:r>
      <w:r w:rsidR="009230D2" w:rsidRPr="005D5995">
        <w:rPr>
          <w:lang w:val="de-DE"/>
        </w:rPr>
        <w:t>Ab dem</w:t>
      </w:r>
      <w:r w:rsidR="003077D7" w:rsidRPr="005D5995">
        <w:rPr>
          <w:lang w:val="de-DE"/>
        </w:rPr>
        <w:t xml:space="preserve"> Jahr 2018 werden die Treffen des TC im Oktober/November anstatt im März/April stattfinden. Der TC-EDC wird sich zweimal im Jahr treffen, einmal im Zeitraum März/April und einmal später im Jahr in Verbindung mit den Tagungen des TC</w:t>
      </w:r>
      <w:r w:rsidRPr="005D5995">
        <w:rPr>
          <w:lang w:val="de-DE"/>
        </w:rPr>
        <w:t>.</w:t>
      </w:r>
    </w:p>
    <w:p w14:paraId="207B3B20" w14:textId="77777777" w:rsidR="003851A9" w:rsidRPr="005D5995" w:rsidRDefault="003851A9" w:rsidP="003851A9">
      <w:pPr>
        <w:rPr>
          <w:lang w:val="de-DE"/>
        </w:rPr>
      </w:pPr>
    </w:p>
    <w:p w14:paraId="3297F332" w14:textId="4CA904A9" w:rsidR="003851A9" w:rsidRPr="005D5995" w:rsidRDefault="003851A9" w:rsidP="007A4CA9">
      <w:pPr>
        <w:rPr>
          <w:iCs/>
          <w:lang w:val="de-DE"/>
        </w:rPr>
      </w:pPr>
      <w:r w:rsidRPr="005D5995">
        <w:fldChar w:fldCharType="begin"/>
      </w:r>
      <w:r w:rsidRPr="005D5995">
        <w:rPr>
          <w:lang w:val="de-DE"/>
        </w:rPr>
        <w:instrText xml:space="preserve"> AUTONUM  </w:instrText>
      </w:r>
      <w:r w:rsidRPr="005D5995">
        <w:fldChar w:fldCharType="end"/>
      </w:r>
      <w:r w:rsidRPr="005D5995">
        <w:rPr>
          <w:lang w:val="de-DE"/>
        </w:rPr>
        <w:tab/>
      </w:r>
      <w:r w:rsidR="007A4CA9" w:rsidRPr="005D5995">
        <w:rPr>
          <w:lang w:val="de-DE"/>
        </w:rPr>
        <w:t>Aufgrund der Empfehlung des Beratenden Ausschusses entschied der Rat, die Vorschläge des TC auf seiner dreiundfünfzigsten Tagung, eventuelle Maßnahmen in der Übergangsphase bis zur vierundfünfzigsten Tagung des TC im Oktober 2018 zu verwenden, anzunehmen; der TC-EDC würde für TGP-Dokumente von den TWP bei ihren Tagungen im Jahr 2017 erstellte Bemerkungen zusammenfassen und, sollte keine Einigung der TWP zustande kommen, Vorschläge zur weiteren Prüfung durch die TWP auf ihren Tagungen im Jahr 2018 formulieren (vergleiche Dokument C(</w:t>
      </w:r>
      <w:proofErr w:type="spellStart"/>
      <w:r w:rsidR="007A4CA9" w:rsidRPr="005D5995">
        <w:rPr>
          <w:lang w:val="de-DE"/>
        </w:rPr>
        <w:t>Extr</w:t>
      </w:r>
      <w:proofErr w:type="spellEnd"/>
      <w:r w:rsidR="007A4CA9" w:rsidRPr="005D5995">
        <w:rPr>
          <w:lang w:val="de-DE"/>
        </w:rPr>
        <w:t>.)/34/6 „Bericht über die Entschließungen”, Absätze 12 bis 14)</w:t>
      </w:r>
      <w:r w:rsidRPr="005D5995">
        <w:rPr>
          <w:iCs/>
          <w:lang w:val="de-DE"/>
        </w:rPr>
        <w:t>.</w:t>
      </w:r>
      <w:r w:rsidR="002C64EC" w:rsidRPr="005D5995">
        <w:rPr>
          <w:iCs/>
          <w:lang w:val="de-DE"/>
        </w:rPr>
        <w:t xml:space="preserve"> </w:t>
      </w:r>
    </w:p>
    <w:p w14:paraId="0A59A454" w14:textId="77777777" w:rsidR="003851A9" w:rsidRPr="005D5995" w:rsidRDefault="003851A9" w:rsidP="00804655">
      <w:pPr>
        <w:rPr>
          <w:lang w:val="de-DE"/>
        </w:rPr>
      </w:pPr>
    </w:p>
    <w:p w14:paraId="2C01D1DB" w14:textId="61DE17F1" w:rsidR="00804655" w:rsidRPr="005D5995" w:rsidRDefault="00804655" w:rsidP="00804655">
      <w:pPr>
        <w:rPr>
          <w:rFonts w:cs="Arial"/>
          <w:bCs/>
          <w:snapToGrid w:val="0"/>
          <w:lang w:val="de-DE"/>
        </w:rPr>
      </w:pPr>
      <w:r w:rsidRPr="005D5995">
        <w:rPr>
          <w:rFonts w:cs="Arial"/>
          <w:bCs/>
          <w:snapToGrid w:val="0"/>
        </w:rPr>
        <w:fldChar w:fldCharType="begin"/>
      </w:r>
      <w:r w:rsidRPr="005D5995">
        <w:rPr>
          <w:rFonts w:cs="Arial"/>
          <w:bCs/>
          <w:snapToGrid w:val="0"/>
          <w:lang w:val="de-DE"/>
        </w:rPr>
        <w:instrText xml:space="preserve"> AUTONUM  </w:instrText>
      </w:r>
      <w:r w:rsidRPr="005D5995">
        <w:rPr>
          <w:rFonts w:cs="Arial"/>
          <w:bCs/>
          <w:snapToGrid w:val="0"/>
        </w:rPr>
        <w:fldChar w:fldCharType="end"/>
      </w:r>
      <w:r w:rsidRPr="005D5995">
        <w:rPr>
          <w:rFonts w:cs="Arial"/>
          <w:bCs/>
          <w:snapToGrid w:val="0"/>
          <w:lang w:val="de-DE"/>
        </w:rPr>
        <w:tab/>
      </w:r>
      <w:r w:rsidR="00FA6755" w:rsidRPr="005D5995">
        <w:rPr>
          <w:rFonts w:cs="Arial"/>
          <w:bCs/>
          <w:snapToGrid w:val="0"/>
          <w:lang w:val="de-DE"/>
        </w:rPr>
        <w:t>Der T</w:t>
      </w:r>
      <w:r w:rsidRPr="005D5995">
        <w:rPr>
          <w:rFonts w:cs="Arial"/>
          <w:bCs/>
          <w:snapToGrid w:val="0"/>
          <w:lang w:val="de-DE"/>
        </w:rPr>
        <w:t>C-EDC</w:t>
      </w:r>
      <w:r w:rsidR="00FA6755" w:rsidRPr="005D5995">
        <w:rPr>
          <w:rFonts w:cs="Arial"/>
          <w:bCs/>
          <w:snapToGrid w:val="0"/>
          <w:lang w:val="de-DE"/>
        </w:rPr>
        <w:t xml:space="preserve"> prüfte auf seiner Tagung am 26. und 27. März 2018 in Genf</w:t>
      </w:r>
      <w:r w:rsidR="00BA0125" w:rsidRPr="005D5995">
        <w:rPr>
          <w:rFonts w:cs="Arial"/>
          <w:bCs/>
          <w:snapToGrid w:val="0"/>
          <w:lang w:val="de-DE"/>
        </w:rPr>
        <w:t xml:space="preserve"> </w:t>
      </w:r>
      <w:r w:rsidR="004743FD">
        <w:rPr>
          <w:rFonts w:cs="Arial"/>
          <w:bCs/>
          <w:snapToGrid w:val="0"/>
          <w:lang w:val="de-DE"/>
        </w:rPr>
        <w:t xml:space="preserve">das </w:t>
      </w:r>
      <w:r w:rsidR="00FA6755" w:rsidRPr="005D5995">
        <w:rPr>
          <w:rFonts w:cs="Arial"/>
          <w:bCs/>
          <w:snapToGrid w:val="0"/>
          <w:lang w:val="de-DE"/>
        </w:rPr>
        <w:t>Dok</w:t>
      </w:r>
      <w:r w:rsidRPr="005D5995">
        <w:rPr>
          <w:rFonts w:cs="Arial"/>
          <w:bCs/>
          <w:snapToGrid w:val="0"/>
          <w:lang w:val="de-DE"/>
        </w:rPr>
        <w:t>ument</w:t>
      </w:r>
      <w:r w:rsidR="00BA0125" w:rsidRPr="005D5995">
        <w:rPr>
          <w:rFonts w:cs="Arial"/>
          <w:bCs/>
          <w:snapToGrid w:val="0"/>
          <w:lang w:val="de-DE"/>
        </w:rPr>
        <w:t> </w:t>
      </w:r>
      <w:r w:rsidRPr="005D5995">
        <w:rPr>
          <w:rFonts w:cs="Arial"/>
          <w:bCs/>
          <w:snapToGrid w:val="0"/>
          <w:lang w:val="de-DE"/>
        </w:rPr>
        <w:t>TC</w:t>
      </w:r>
      <w:r w:rsidR="00BA0125" w:rsidRPr="005D5995">
        <w:rPr>
          <w:rFonts w:cs="Arial"/>
          <w:bCs/>
          <w:snapToGrid w:val="0"/>
          <w:lang w:val="de-DE"/>
        </w:rPr>
        <w:noBreakHyphen/>
      </w:r>
      <w:r w:rsidRPr="005D5995">
        <w:rPr>
          <w:rFonts w:cs="Arial"/>
          <w:bCs/>
          <w:snapToGrid w:val="0"/>
          <w:lang w:val="de-DE"/>
        </w:rPr>
        <w:t xml:space="preserve">EDC/Mar18/17 </w:t>
      </w:r>
      <w:r w:rsidR="00D50FFE" w:rsidRPr="005D5995">
        <w:rPr>
          <w:rFonts w:cs="Arial"/>
          <w:bCs/>
          <w:snapToGrid w:val="0"/>
          <w:lang w:val="de-DE"/>
        </w:rPr>
        <w:t xml:space="preserve">„Prüfung der Homogenität anhand von </w:t>
      </w:r>
      <w:proofErr w:type="spellStart"/>
      <w:r w:rsidR="00D50FFE" w:rsidRPr="005D5995">
        <w:rPr>
          <w:rFonts w:cs="Arial"/>
          <w:bCs/>
          <w:snapToGrid w:val="0"/>
          <w:lang w:val="de-DE"/>
        </w:rPr>
        <w:t>Abweichern</w:t>
      </w:r>
      <w:proofErr w:type="spellEnd"/>
      <w:r w:rsidR="00D50FFE" w:rsidRPr="005D5995">
        <w:rPr>
          <w:rFonts w:cs="Arial"/>
          <w:bCs/>
          <w:snapToGrid w:val="0"/>
          <w:lang w:val="de-DE"/>
        </w:rPr>
        <w:t xml:space="preserve"> aufgrund von mehr als einer Wachstumsperiode oder aufgrund von Unterproben“</w:t>
      </w:r>
      <w:r w:rsidR="00C63DA6" w:rsidRPr="005D5995">
        <w:rPr>
          <w:rFonts w:cs="Arial"/>
          <w:bCs/>
          <w:snapToGrid w:val="0"/>
          <w:lang w:val="de-DE"/>
        </w:rPr>
        <w:t xml:space="preserve"> (</w:t>
      </w:r>
      <w:r w:rsidR="00FA6755" w:rsidRPr="005D5995">
        <w:rPr>
          <w:rFonts w:cs="Arial"/>
          <w:bCs/>
          <w:snapToGrid w:val="0"/>
          <w:lang w:val="de-DE"/>
        </w:rPr>
        <w:t>vergleiche Dokument</w:t>
      </w:r>
      <w:r w:rsidR="00C63DA6" w:rsidRPr="005D5995">
        <w:rPr>
          <w:rFonts w:cs="Arial"/>
          <w:bCs/>
          <w:snapToGrid w:val="0"/>
          <w:lang w:val="de-DE"/>
        </w:rPr>
        <w:t> TC</w:t>
      </w:r>
      <w:r w:rsidR="00C63DA6" w:rsidRPr="005D5995">
        <w:rPr>
          <w:rFonts w:cs="Arial"/>
          <w:bCs/>
          <w:snapToGrid w:val="0"/>
          <w:lang w:val="de-DE"/>
        </w:rPr>
        <w:noBreakHyphen/>
        <w:t xml:space="preserve">EDC/Mar18/11 </w:t>
      </w:r>
      <w:r w:rsidR="00D50FFE" w:rsidRPr="005D5995">
        <w:rPr>
          <w:rFonts w:cs="Arial"/>
          <w:bCs/>
          <w:snapToGrid w:val="0"/>
          <w:lang w:val="de-DE"/>
        </w:rPr>
        <w:t>„</w:t>
      </w:r>
      <w:r w:rsidR="00FA6755" w:rsidRPr="005D5995">
        <w:rPr>
          <w:rFonts w:cs="Arial"/>
          <w:bCs/>
          <w:snapToGrid w:val="0"/>
          <w:lang w:val="de-DE"/>
        </w:rPr>
        <w:t>Bericht</w:t>
      </w:r>
      <w:r w:rsidR="00D50FFE" w:rsidRPr="005D5995">
        <w:rPr>
          <w:rFonts w:cs="Arial"/>
          <w:bCs/>
          <w:snapToGrid w:val="0"/>
          <w:lang w:val="de-DE"/>
        </w:rPr>
        <w:t>“</w:t>
      </w:r>
      <w:r w:rsidR="00C63DA6" w:rsidRPr="005D5995">
        <w:rPr>
          <w:rFonts w:cs="Arial"/>
          <w:bCs/>
          <w:snapToGrid w:val="0"/>
          <w:lang w:val="de-DE"/>
        </w:rPr>
        <w:t xml:space="preserve">, </w:t>
      </w:r>
      <w:r w:rsidR="0075446C" w:rsidRPr="005D5995">
        <w:rPr>
          <w:rFonts w:cs="Arial"/>
          <w:bCs/>
          <w:snapToGrid w:val="0"/>
          <w:lang w:val="de-DE"/>
        </w:rPr>
        <w:t>Absätze</w:t>
      </w:r>
      <w:r w:rsidR="00C63DA6" w:rsidRPr="005D5995">
        <w:rPr>
          <w:rFonts w:cs="Arial"/>
          <w:bCs/>
          <w:snapToGrid w:val="0"/>
          <w:lang w:val="de-DE"/>
        </w:rPr>
        <w:t xml:space="preserve"> 31 </w:t>
      </w:r>
      <w:r w:rsidR="00FA6755" w:rsidRPr="005D5995">
        <w:rPr>
          <w:rFonts w:cs="Arial"/>
          <w:bCs/>
          <w:snapToGrid w:val="0"/>
          <w:lang w:val="de-DE"/>
        </w:rPr>
        <w:t>bis</w:t>
      </w:r>
      <w:r w:rsidR="00C63DA6" w:rsidRPr="005D5995">
        <w:rPr>
          <w:rFonts w:cs="Arial"/>
          <w:bCs/>
          <w:snapToGrid w:val="0"/>
          <w:lang w:val="de-DE"/>
        </w:rPr>
        <w:t xml:space="preserve"> 35)</w:t>
      </w:r>
      <w:r w:rsidRPr="005D5995">
        <w:rPr>
          <w:rFonts w:cs="Arial"/>
          <w:bCs/>
          <w:snapToGrid w:val="0"/>
          <w:lang w:val="de-DE"/>
        </w:rPr>
        <w:t xml:space="preserve">. </w:t>
      </w:r>
    </w:p>
    <w:p w14:paraId="5CDC7FE5" w14:textId="77777777" w:rsidR="00804655" w:rsidRPr="005D5995" w:rsidRDefault="00804655" w:rsidP="00804655">
      <w:pPr>
        <w:rPr>
          <w:rFonts w:cs="Arial"/>
          <w:bCs/>
          <w:snapToGrid w:val="0"/>
          <w:lang w:val="de-DE"/>
        </w:rPr>
      </w:pPr>
    </w:p>
    <w:p w14:paraId="40F1E83B" w14:textId="1DFF1459" w:rsidR="00C217E7" w:rsidRPr="005D5995" w:rsidRDefault="00804655" w:rsidP="00C217E7">
      <w:pPr>
        <w:rPr>
          <w:lang w:val="de-DE"/>
        </w:rPr>
      </w:pPr>
      <w:r w:rsidRPr="005D5995">
        <w:rPr>
          <w:rFonts w:cs="Arial"/>
          <w:bCs/>
          <w:snapToGrid w:val="0"/>
        </w:rPr>
        <w:fldChar w:fldCharType="begin"/>
      </w:r>
      <w:r w:rsidRPr="005D5995">
        <w:rPr>
          <w:rFonts w:cs="Arial"/>
          <w:bCs/>
          <w:snapToGrid w:val="0"/>
          <w:lang w:val="de-DE"/>
        </w:rPr>
        <w:instrText xml:space="preserve"> AUTONUM  </w:instrText>
      </w:r>
      <w:r w:rsidRPr="005D5995">
        <w:rPr>
          <w:rFonts w:cs="Arial"/>
          <w:bCs/>
          <w:snapToGrid w:val="0"/>
        </w:rPr>
        <w:fldChar w:fldCharType="end"/>
      </w:r>
      <w:r w:rsidRPr="005D5995">
        <w:rPr>
          <w:rFonts w:cs="Arial"/>
          <w:bCs/>
          <w:snapToGrid w:val="0"/>
          <w:lang w:val="de-DE"/>
        </w:rPr>
        <w:tab/>
      </w:r>
      <w:r w:rsidR="00C217E7" w:rsidRPr="005D5995">
        <w:rPr>
          <w:rFonts w:cs="Arial"/>
          <w:bCs/>
          <w:snapToGrid w:val="0"/>
          <w:lang w:val="de-DE"/>
        </w:rPr>
        <w:t>Der</w:t>
      </w:r>
      <w:r w:rsidRPr="005D5995">
        <w:rPr>
          <w:rFonts w:cs="Arial"/>
          <w:bCs/>
          <w:snapToGrid w:val="0"/>
          <w:lang w:val="de-DE"/>
        </w:rPr>
        <w:t xml:space="preserve"> TC-EDC</w:t>
      </w:r>
      <w:r w:rsidR="00C217E7" w:rsidRPr="005D5995">
        <w:rPr>
          <w:rFonts w:cs="Arial"/>
          <w:bCs/>
          <w:snapToGrid w:val="0"/>
          <w:lang w:val="de-DE"/>
        </w:rPr>
        <w:t xml:space="preserve"> nahm zur Kenntnis, </w:t>
      </w:r>
      <w:proofErr w:type="spellStart"/>
      <w:r w:rsidR="00C217E7" w:rsidRPr="005D5995">
        <w:rPr>
          <w:rFonts w:cs="Arial"/>
          <w:bCs/>
          <w:snapToGrid w:val="0"/>
          <w:lang w:val="de-DE"/>
        </w:rPr>
        <w:t>daß</w:t>
      </w:r>
      <w:proofErr w:type="spellEnd"/>
      <w:r w:rsidR="00C217E7" w:rsidRPr="005D5995">
        <w:rPr>
          <w:rFonts w:cs="Arial"/>
          <w:bCs/>
          <w:snapToGrid w:val="0"/>
          <w:lang w:val="de-DE"/>
        </w:rPr>
        <w:t xml:space="preserve"> die </w:t>
      </w:r>
      <w:r w:rsidRPr="005D5995">
        <w:rPr>
          <w:rFonts w:cs="Arial"/>
          <w:bCs/>
          <w:snapToGrid w:val="0"/>
          <w:lang w:val="de-DE"/>
        </w:rPr>
        <w:t xml:space="preserve">TWC </w:t>
      </w:r>
      <w:r w:rsidR="00382E84" w:rsidRPr="005D5995">
        <w:rPr>
          <w:rFonts w:cs="Arial"/>
          <w:bCs/>
          <w:snapToGrid w:val="0"/>
          <w:lang w:val="de-DE"/>
        </w:rPr>
        <w:t>vereinbart</w:t>
      </w:r>
      <w:r w:rsidR="00C217E7" w:rsidRPr="005D5995">
        <w:rPr>
          <w:rFonts w:cs="Arial"/>
          <w:bCs/>
          <w:snapToGrid w:val="0"/>
          <w:lang w:val="de-DE"/>
        </w:rPr>
        <w:t xml:space="preserve"> hatte, Sachverständige aus </w:t>
      </w:r>
      <w:r w:rsidR="00C217E7" w:rsidRPr="005D5995">
        <w:rPr>
          <w:lang w:val="de-DE"/>
        </w:rPr>
        <w:t xml:space="preserve">Deutschland, dem Vereinigten Königreich und anderen </w:t>
      </w:r>
      <w:r w:rsidR="00611EC9" w:rsidRPr="005D5995">
        <w:rPr>
          <w:lang w:val="de-DE"/>
        </w:rPr>
        <w:t>Verbandsmitgliedern</w:t>
      </w:r>
      <w:r w:rsidR="00C217E7" w:rsidRPr="005D5995">
        <w:rPr>
          <w:lang w:val="de-DE"/>
        </w:rPr>
        <w:t xml:space="preserve"> </w:t>
      </w:r>
      <w:r w:rsidR="00611EC9" w:rsidRPr="005D5995">
        <w:rPr>
          <w:lang w:val="de-DE"/>
        </w:rPr>
        <w:t>zu ersuchen</w:t>
      </w:r>
      <w:r w:rsidR="00C217E7" w:rsidRPr="005D5995">
        <w:rPr>
          <w:lang w:val="de-DE"/>
        </w:rPr>
        <w:t>, Arbeiten über die Analyse der Risiken, die mit jedem Ansatz</w:t>
      </w:r>
      <w:r w:rsidR="00897A47" w:rsidRPr="005D5995">
        <w:rPr>
          <w:lang w:val="de-DE"/>
        </w:rPr>
        <w:t xml:space="preserve"> </w:t>
      </w:r>
      <w:r w:rsidR="00897A47" w:rsidRPr="005D5995">
        <w:rPr>
          <w:rFonts w:cs="Arial"/>
          <w:lang w:val="de-DE" w:eastAsia="ja-JP"/>
        </w:rPr>
        <w:t xml:space="preserve">für die Prüfung der Homogenität anhand von </w:t>
      </w:r>
      <w:proofErr w:type="spellStart"/>
      <w:r w:rsidR="00897A47" w:rsidRPr="005D5995">
        <w:rPr>
          <w:rFonts w:cs="Arial"/>
          <w:lang w:val="de-DE" w:eastAsia="ja-JP"/>
        </w:rPr>
        <w:t>Abweichern</w:t>
      </w:r>
      <w:proofErr w:type="spellEnd"/>
      <w:r w:rsidR="00897A47" w:rsidRPr="005D5995">
        <w:rPr>
          <w:rFonts w:cs="Arial"/>
          <w:lang w:val="de-DE" w:eastAsia="ja-JP"/>
        </w:rPr>
        <w:t xml:space="preserve"> aufgrund von mehr als einer Wachstumsperiode</w:t>
      </w:r>
      <w:r w:rsidR="00C217E7" w:rsidRPr="005D5995">
        <w:rPr>
          <w:lang w:val="de-DE"/>
        </w:rPr>
        <w:t xml:space="preserve"> </w:t>
      </w:r>
      <w:r w:rsidR="005D5995" w:rsidRPr="005D5995">
        <w:rPr>
          <w:lang w:val="de-DE"/>
        </w:rPr>
        <w:t>in Verbindung stehen</w:t>
      </w:r>
      <w:r w:rsidR="00C217E7" w:rsidRPr="005D5995">
        <w:rPr>
          <w:lang w:val="de-DE"/>
        </w:rPr>
        <w:t>, zur Prüfung auf ihrer sechsunddreißigsten Tagung einzureichen.</w:t>
      </w:r>
    </w:p>
    <w:p w14:paraId="71B440B6" w14:textId="77777777" w:rsidR="00804655" w:rsidRPr="005D5995" w:rsidRDefault="00804655" w:rsidP="00804655">
      <w:pPr>
        <w:rPr>
          <w:rFonts w:cs="Arial"/>
          <w:bCs/>
          <w:snapToGrid w:val="0"/>
          <w:lang w:val="de-DE"/>
        </w:rPr>
      </w:pPr>
    </w:p>
    <w:p w14:paraId="2B23734A" w14:textId="1989D82D" w:rsidR="00804655" w:rsidRPr="005D5995" w:rsidRDefault="00804655" w:rsidP="00804655">
      <w:pPr>
        <w:rPr>
          <w:rFonts w:cs="Arial"/>
          <w:bCs/>
          <w:snapToGrid w:val="0"/>
          <w:lang w:val="de-DE"/>
        </w:rPr>
      </w:pPr>
      <w:r w:rsidRPr="005D5995">
        <w:rPr>
          <w:rFonts w:cs="Arial"/>
          <w:bCs/>
          <w:snapToGrid w:val="0"/>
        </w:rPr>
        <w:fldChar w:fldCharType="begin"/>
      </w:r>
      <w:r w:rsidRPr="005D5995">
        <w:rPr>
          <w:rFonts w:cs="Arial"/>
          <w:bCs/>
          <w:snapToGrid w:val="0"/>
          <w:lang w:val="de-DE"/>
        </w:rPr>
        <w:instrText xml:space="preserve"> AUTONUM  </w:instrText>
      </w:r>
      <w:r w:rsidRPr="005D5995">
        <w:rPr>
          <w:rFonts w:cs="Arial"/>
          <w:bCs/>
          <w:snapToGrid w:val="0"/>
        </w:rPr>
        <w:fldChar w:fldCharType="end"/>
      </w:r>
      <w:r w:rsidRPr="005D5995">
        <w:rPr>
          <w:rFonts w:cs="Arial"/>
          <w:bCs/>
          <w:snapToGrid w:val="0"/>
          <w:lang w:val="de-DE"/>
        </w:rPr>
        <w:tab/>
      </w:r>
      <w:r w:rsidR="00897A47" w:rsidRPr="005D5995">
        <w:rPr>
          <w:rFonts w:cs="Arial"/>
          <w:bCs/>
          <w:snapToGrid w:val="0"/>
          <w:lang w:val="de-DE"/>
        </w:rPr>
        <w:t>Der</w:t>
      </w:r>
      <w:r w:rsidRPr="005D5995">
        <w:rPr>
          <w:rFonts w:cs="Arial"/>
          <w:bCs/>
          <w:snapToGrid w:val="0"/>
          <w:lang w:val="de-DE"/>
        </w:rPr>
        <w:t xml:space="preserve"> TC-EDC </w:t>
      </w:r>
      <w:r w:rsidR="00897A47" w:rsidRPr="005D5995">
        <w:rPr>
          <w:rFonts w:cs="Arial"/>
          <w:bCs/>
          <w:snapToGrid w:val="0"/>
          <w:lang w:val="de-DE"/>
        </w:rPr>
        <w:t xml:space="preserve">prüfte die </w:t>
      </w:r>
      <w:r w:rsidR="00996B66" w:rsidRPr="005D5995">
        <w:rPr>
          <w:rFonts w:cs="Arial"/>
          <w:bCs/>
          <w:snapToGrid w:val="0"/>
          <w:lang w:val="de-DE"/>
        </w:rPr>
        <w:t>Bemerkunge</w:t>
      </w:r>
      <w:r w:rsidR="00897A47" w:rsidRPr="005D5995">
        <w:rPr>
          <w:rFonts w:cs="Arial"/>
          <w:bCs/>
          <w:snapToGrid w:val="0"/>
          <w:lang w:val="de-DE"/>
        </w:rPr>
        <w:t xml:space="preserve">n, die die </w:t>
      </w:r>
      <w:r w:rsidR="00316648" w:rsidRPr="005D5995">
        <w:rPr>
          <w:rFonts w:cs="Arial"/>
          <w:bCs/>
          <w:snapToGrid w:val="0"/>
          <w:lang w:val="de-DE"/>
        </w:rPr>
        <w:t>TWP</w:t>
      </w:r>
      <w:r w:rsidR="00897A47" w:rsidRPr="005D5995">
        <w:rPr>
          <w:rFonts w:cs="Arial"/>
          <w:bCs/>
          <w:snapToGrid w:val="0"/>
          <w:lang w:val="de-DE"/>
        </w:rPr>
        <w:t xml:space="preserve"> </w:t>
      </w:r>
      <w:r w:rsidR="00316648" w:rsidRPr="005D5995">
        <w:rPr>
          <w:rFonts w:cs="Arial"/>
          <w:bCs/>
          <w:snapToGrid w:val="0"/>
          <w:lang w:val="de-DE"/>
        </w:rPr>
        <w:t>auf ihren</w:t>
      </w:r>
      <w:r w:rsidR="00897A47" w:rsidRPr="005D5995">
        <w:rPr>
          <w:rFonts w:cs="Arial"/>
          <w:bCs/>
          <w:snapToGrid w:val="0"/>
          <w:lang w:val="de-DE"/>
        </w:rPr>
        <w:t xml:space="preserve"> Tagung</w:t>
      </w:r>
      <w:r w:rsidR="00CE6BC3" w:rsidRPr="005D5995">
        <w:rPr>
          <w:rFonts w:cs="Arial"/>
          <w:bCs/>
          <w:snapToGrid w:val="0"/>
          <w:lang w:val="de-DE"/>
        </w:rPr>
        <w:t>en</w:t>
      </w:r>
      <w:r w:rsidR="00897A47" w:rsidRPr="005D5995">
        <w:rPr>
          <w:rFonts w:cs="Arial"/>
          <w:bCs/>
          <w:snapToGrid w:val="0"/>
          <w:lang w:val="de-DE"/>
        </w:rPr>
        <w:t xml:space="preserve"> im Jahr </w:t>
      </w:r>
      <w:r w:rsidRPr="005D5995">
        <w:rPr>
          <w:rFonts w:cs="Arial"/>
          <w:bCs/>
          <w:snapToGrid w:val="0"/>
          <w:lang w:val="de-DE"/>
        </w:rPr>
        <w:t>2017</w:t>
      </w:r>
      <w:r w:rsidR="00897A47" w:rsidRPr="005D5995">
        <w:rPr>
          <w:rFonts w:cs="Arial"/>
          <w:bCs/>
          <w:snapToGrid w:val="0"/>
          <w:lang w:val="de-DE"/>
        </w:rPr>
        <w:t xml:space="preserve"> gemacht hatten</w:t>
      </w:r>
      <w:r w:rsidRPr="005D5995">
        <w:rPr>
          <w:rFonts w:cs="Arial"/>
          <w:bCs/>
          <w:snapToGrid w:val="0"/>
          <w:lang w:val="de-DE"/>
        </w:rPr>
        <w:t xml:space="preserve">, </w:t>
      </w:r>
      <w:r w:rsidR="00897A47" w:rsidRPr="005D5995">
        <w:rPr>
          <w:rFonts w:cs="Arial"/>
          <w:bCs/>
          <w:snapToGrid w:val="0"/>
          <w:lang w:val="de-DE"/>
        </w:rPr>
        <w:t xml:space="preserve">und </w:t>
      </w:r>
      <w:r w:rsidR="00382E84" w:rsidRPr="005D5995">
        <w:rPr>
          <w:rFonts w:cs="Arial"/>
          <w:bCs/>
          <w:snapToGrid w:val="0"/>
          <w:lang w:val="de-DE"/>
        </w:rPr>
        <w:t>vereinbarte</w:t>
      </w:r>
      <w:r w:rsidR="00201434" w:rsidRPr="005D5995">
        <w:rPr>
          <w:rFonts w:cs="Arial"/>
          <w:bCs/>
          <w:snapToGrid w:val="0"/>
          <w:lang w:val="de-DE"/>
        </w:rPr>
        <w:t xml:space="preserve"> auf dieser Grundlage</w:t>
      </w:r>
      <w:r w:rsidR="00897A47" w:rsidRPr="005D5995">
        <w:rPr>
          <w:rFonts w:cs="Arial"/>
          <w:bCs/>
          <w:snapToGrid w:val="0"/>
          <w:lang w:val="de-DE"/>
        </w:rPr>
        <w:t xml:space="preserve">, den </w:t>
      </w:r>
      <w:r w:rsidR="00996B66" w:rsidRPr="005D5995">
        <w:rPr>
          <w:rFonts w:cs="Arial"/>
          <w:bCs/>
          <w:snapToGrid w:val="0"/>
          <w:lang w:val="de-DE"/>
        </w:rPr>
        <w:t>Entwurf einer Anleitung</w:t>
      </w:r>
      <w:r w:rsidRPr="005D5995">
        <w:rPr>
          <w:rFonts w:cs="Arial"/>
          <w:bCs/>
          <w:snapToGrid w:val="0"/>
          <w:lang w:val="de-DE"/>
        </w:rPr>
        <w:t xml:space="preserve"> </w:t>
      </w:r>
      <w:r w:rsidR="00897A47" w:rsidRPr="005D5995">
        <w:rPr>
          <w:rFonts w:cs="Arial"/>
          <w:bCs/>
          <w:snapToGrid w:val="0"/>
          <w:lang w:val="de-DE"/>
        </w:rPr>
        <w:t>zur Prüfung durch den T</w:t>
      </w:r>
      <w:r w:rsidRPr="005D5995">
        <w:rPr>
          <w:rFonts w:cs="Arial"/>
          <w:bCs/>
          <w:snapToGrid w:val="0"/>
          <w:lang w:val="de-DE"/>
        </w:rPr>
        <w:t>C</w:t>
      </w:r>
      <w:r w:rsidR="00897A47" w:rsidRPr="005D5995">
        <w:rPr>
          <w:rFonts w:cs="Arial"/>
          <w:bCs/>
          <w:snapToGrid w:val="0"/>
          <w:lang w:val="de-DE"/>
        </w:rPr>
        <w:t xml:space="preserve"> auf seiner vierundfünfzigsten Tagung mit den folgenden </w:t>
      </w:r>
      <w:r w:rsidR="00591451" w:rsidRPr="005D5995">
        <w:rPr>
          <w:rFonts w:cs="Arial"/>
          <w:bCs/>
          <w:snapToGrid w:val="0"/>
          <w:lang w:val="de-DE"/>
        </w:rPr>
        <w:t>Ä</w:t>
      </w:r>
      <w:r w:rsidR="00897A47" w:rsidRPr="005D5995">
        <w:rPr>
          <w:rFonts w:cs="Arial"/>
          <w:bCs/>
          <w:snapToGrid w:val="0"/>
          <w:lang w:val="de-DE"/>
        </w:rPr>
        <w:t>nderungen zu empfehlen</w:t>
      </w:r>
      <w:r w:rsidRPr="005D5995">
        <w:rPr>
          <w:rFonts w:cs="Arial"/>
          <w:bCs/>
          <w:snapToGrid w:val="0"/>
          <w:lang w:val="de-DE"/>
        </w:rPr>
        <w:t>:</w:t>
      </w:r>
    </w:p>
    <w:p w14:paraId="0A0AAA63" w14:textId="77777777" w:rsidR="00804655" w:rsidRPr="005D5995" w:rsidRDefault="00804655" w:rsidP="00804655">
      <w:pPr>
        <w:rPr>
          <w:rFonts w:cs="Arial"/>
          <w:bCs/>
          <w:snapToGrid w:val="0"/>
          <w:lang w:val="de-DE"/>
        </w:rPr>
      </w:pPr>
    </w:p>
    <w:p w14:paraId="56375CE6" w14:textId="1F1070E0" w:rsidR="00804655" w:rsidRPr="005D5995" w:rsidRDefault="00D50FFE" w:rsidP="00804655">
      <w:pPr>
        <w:ind w:left="567" w:right="568"/>
        <w:rPr>
          <w:rFonts w:cs="Arial"/>
          <w:bCs/>
          <w:snapToGrid w:val="0"/>
          <w:sz w:val="18"/>
          <w:szCs w:val="18"/>
          <w:lang w:val="de-DE"/>
        </w:rPr>
      </w:pPr>
      <w:r w:rsidRPr="005D5995">
        <w:rPr>
          <w:rFonts w:cs="Arial"/>
          <w:bCs/>
          <w:snapToGrid w:val="0"/>
          <w:sz w:val="18"/>
          <w:szCs w:val="18"/>
          <w:lang w:val="de-DE"/>
        </w:rPr>
        <w:t>„</w:t>
      </w:r>
      <w:r w:rsidR="00804655" w:rsidRPr="005D5995">
        <w:rPr>
          <w:rFonts w:cs="Arial"/>
          <w:bCs/>
          <w:snapToGrid w:val="0"/>
          <w:sz w:val="18"/>
          <w:szCs w:val="18"/>
          <w:lang w:val="de-DE"/>
        </w:rPr>
        <w:t xml:space="preserve">[…] </w:t>
      </w:r>
      <w:r w:rsidR="00897A47" w:rsidRPr="005D5995">
        <w:rPr>
          <w:sz w:val="18"/>
          <w:szCs w:val="18"/>
          <w:lang w:val="de-DE"/>
        </w:rPr>
        <w:t xml:space="preserve">Es ist wichtig, zu identifizieren, ob Unterschiede in der Anzahl von </w:t>
      </w:r>
      <w:proofErr w:type="spellStart"/>
      <w:r w:rsidR="00897A47" w:rsidRPr="005D5995">
        <w:rPr>
          <w:sz w:val="18"/>
          <w:szCs w:val="18"/>
          <w:lang w:val="de-DE"/>
        </w:rPr>
        <w:t>Abweichern</w:t>
      </w:r>
      <w:proofErr w:type="spellEnd"/>
      <w:r w:rsidR="00897A47" w:rsidRPr="005D5995">
        <w:rPr>
          <w:sz w:val="18"/>
          <w:szCs w:val="18"/>
          <w:lang w:val="de-DE"/>
        </w:rPr>
        <w:t xml:space="preserve"> zwischen Wachstumsperioden </w:t>
      </w:r>
      <w:r w:rsidR="00897A47" w:rsidRPr="004743FD">
        <w:rPr>
          <w:strike/>
          <w:sz w:val="18"/>
          <w:szCs w:val="18"/>
          <w:highlight w:val="lightGray"/>
          <w:lang w:val="de-DE"/>
        </w:rPr>
        <w:t>nicht</w:t>
      </w:r>
      <w:r w:rsidR="00897A47" w:rsidRPr="005D5995">
        <w:rPr>
          <w:sz w:val="18"/>
          <w:szCs w:val="18"/>
          <w:lang w:val="de-DE"/>
        </w:rPr>
        <w:t xml:space="preserve"> durch </w:t>
      </w:r>
      <w:r w:rsidR="00897A47" w:rsidRPr="004743FD">
        <w:rPr>
          <w:sz w:val="18"/>
          <w:szCs w:val="18"/>
          <w:highlight w:val="lightGray"/>
          <w:u w:val="single"/>
          <w:lang w:val="de-DE"/>
        </w:rPr>
        <w:t>Umwelt</w:t>
      </w:r>
      <w:r w:rsidR="00897A47" w:rsidRPr="004743FD">
        <w:rPr>
          <w:sz w:val="18"/>
          <w:szCs w:val="18"/>
          <w:lang w:val="de-DE"/>
        </w:rPr>
        <w:t>ursachen</w:t>
      </w:r>
      <w:r w:rsidR="00897A47" w:rsidRPr="005D5995">
        <w:rPr>
          <w:sz w:val="18"/>
          <w:szCs w:val="18"/>
          <w:lang w:val="de-DE"/>
        </w:rPr>
        <w:t xml:space="preserve"> oder durch Unterschiede in der Art der Probennahme bedingt sind</w:t>
      </w:r>
      <w:r w:rsidR="00804655" w:rsidRPr="005D5995">
        <w:rPr>
          <w:rFonts w:cs="Arial"/>
          <w:bCs/>
          <w:snapToGrid w:val="0"/>
          <w:sz w:val="18"/>
          <w:szCs w:val="18"/>
          <w:lang w:val="de-DE"/>
        </w:rPr>
        <w:t>.</w:t>
      </w:r>
      <w:r w:rsidR="002C64EC" w:rsidRPr="005D5995">
        <w:rPr>
          <w:rFonts w:cs="Arial"/>
          <w:bCs/>
          <w:snapToGrid w:val="0"/>
          <w:sz w:val="18"/>
          <w:szCs w:val="18"/>
          <w:lang w:val="de-DE"/>
        </w:rPr>
        <w:t xml:space="preserve"> </w:t>
      </w:r>
    </w:p>
    <w:p w14:paraId="24F3C197" w14:textId="77777777" w:rsidR="00804655" w:rsidRPr="005D5995" w:rsidRDefault="00804655" w:rsidP="00804655">
      <w:pPr>
        <w:ind w:left="567" w:right="568"/>
        <w:rPr>
          <w:rFonts w:cs="Arial"/>
          <w:bCs/>
          <w:snapToGrid w:val="0"/>
          <w:sz w:val="18"/>
          <w:lang w:val="de-DE"/>
        </w:rPr>
      </w:pPr>
    </w:p>
    <w:p w14:paraId="3656961F" w14:textId="5E688047" w:rsidR="00804655" w:rsidRPr="005D5995" w:rsidRDefault="00804655" w:rsidP="00804655">
      <w:pPr>
        <w:rPr>
          <w:rFonts w:cs="Arial"/>
          <w:bCs/>
          <w:snapToGrid w:val="0"/>
          <w:lang w:val="de-DE"/>
        </w:rPr>
      </w:pPr>
      <w:r w:rsidRPr="005D5995">
        <w:rPr>
          <w:rFonts w:cs="Arial"/>
          <w:bCs/>
          <w:snapToGrid w:val="0"/>
        </w:rPr>
        <w:fldChar w:fldCharType="begin"/>
      </w:r>
      <w:r w:rsidRPr="005D5995">
        <w:rPr>
          <w:rFonts w:cs="Arial"/>
          <w:bCs/>
          <w:snapToGrid w:val="0"/>
          <w:lang w:val="de-DE"/>
        </w:rPr>
        <w:instrText xml:space="preserve"> AUTONUM  </w:instrText>
      </w:r>
      <w:r w:rsidRPr="005D5995">
        <w:rPr>
          <w:rFonts w:cs="Arial"/>
          <w:bCs/>
          <w:snapToGrid w:val="0"/>
        </w:rPr>
        <w:fldChar w:fldCharType="end"/>
      </w:r>
      <w:r w:rsidRPr="005D5995">
        <w:rPr>
          <w:rFonts w:cs="Arial"/>
          <w:bCs/>
          <w:snapToGrid w:val="0"/>
          <w:lang w:val="de-DE"/>
        </w:rPr>
        <w:tab/>
      </w:r>
      <w:r w:rsidR="00897A47" w:rsidRPr="005D5995">
        <w:rPr>
          <w:rFonts w:cs="Arial"/>
          <w:bCs/>
          <w:snapToGrid w:val="0"/>
          <w:lang w:val="de-DE"/>
        </w:rPr>
        <w:t>Der</w:t>
      </w:r>
      <w:r w:rsidRPr="005D5995">
        <w:rPr>
          <w:rFonts w:cs="Arial"/>
          <w:bCs/>
          <w:snapToGrid w:val="0"/>
          <w:lang w:val="de-DE"/>
        </w:rPr>
        <w:t xml:space="preserve"> TC-EDC </w:t>
      </w:r>
      <w:r w:rsidR="00897A47" w:rsidRPr="005D5995">
        <w:rPr>
          <w:rFonts w:cs="Arial"/>
          <w:bCs/>
          <w:snapToGrid w:val="0"/>
          <w:lang w:val="de-DE"/>
        </w:rPr>
        <w:t xml:space="preserve">nahm </w:t>
      </w:r>
      <w:r w:rsidR="00860445" w:rsidRPr="005D5995">
        <w:rPr>
          <w:rFonts w:cs="Arial"/>
          <w:bCs/>
          <w:snapToGrid w:val="0"/>
          <w:lang w:val="de-DE"/>
        </w:rPr>
        <w:t xml:space="preserve">das Gesuch </w:t>
      </w:r>
      <w:r w:rsidR="00A77E40" w:rsidRPr="005D5995">
        <w:rPr>
          <w:rFonts w:cs="Arial"/>
          <w:bCs/>
          <w:snapToGrid w:val="0"/>
          <w:lang w:val="de-DE"/>
        </w:rPr>
        <w:t xml:space="preserve">des TC </w:t>
      </w:r>
      <w:r w:rsidR="00897A47" w:rsidRPr="005D5995">
        <w:rPr>
          <w:rFonts w:cs="Arial"/>
          <w:bCs/>
          <w:snapToGrid w:val="0"/>
          <w:lang w:val="de-DE"/>
        </w:rPr>
        <w:t>zur Kenntnis</w:t>
      </w:r>
      <w:r w:rsidRPr="005D5995">
        <w:rPr>
          <w:rFonts w:cs="Arial"/>
          <w:bCs/>
          <w:snapToGrid w:val="0"/>
          <w:lang w:val="de-DE"/>
        </w:rPr>
        <w:t>,</w:t>
      </w:r>
      <w:r w:rsidR="004743FD" w:rsidRPr="004743FD">
        <w:rPr>
          <w:rFonts w:cs="Arial"/>
          <w:bCs/>
          <w:snapToGrid w:val="0"/>
          <w:lang w:val="de-DE"/>
        </w:rPr>
        <w:t xml:space="preserve"> </w:t>
      </w:r>
      <w:proofErr w:type="spellStart"/>
      <w:r w:rsidR="004743FD">
        <w:rPr>
          <w:rFonts w:cs="Arial"/>
          <w:bCs/>
          <w:snapToGrid w:val="0"/>
          <w:lang w:val="de-DE"/>
        </w:rPr>
        <w:t>daß</w:t>
      </w:r>
      <w:proofErr w:type="spellEnd"/>
      <w:r w:rsidR="004743FD">
        <w:rPr>
          <w:rFonts w:cs="Arial"/>
          <w:bCs/>
          <w:snapToGrid w:val="0"/>
          <w:lang w:val="de-DE"/>
        </w:rPr>
        <w:t xml:space="preserve"> </w:t>
      </w:r>
      <w:r w:rsidR="004743FD" w:rsidRPr="005D5995">
        <w:rPr>
          <w:rFonts w:cs="Arial"/>
          <w:bCs/>
          <w:snapToGrid w:val="0"/>
          <w:lang w:val="de-DE"/>
        </w:rPr>
        <w:t>die TWP</w:t>
      </w:r>
      <w:r w:rsidRPr="005D5995">
        <w:rPr>
          <w:rFonts w:cs="Arial"/>
          <w:bCs/>
          <w:snapToGrid w:val="0"/>
          <w:lang w:val="de-DE"/>
        </w:rPr>
        <w:t xml:space="preserve"> </w:t>
      </w:r>
      <w:r w:rsidR="002C64EC" w:rsidRPr="005D5995">
        <w:rPr>
          <w:rFonts w:cs="Arial"/>
          <w:bCs/>
          <w:snapToGrid w:val="0"/>
          <w:lang w:val="de-DE"/>
        </w:rPr>
        <w:t>auf deren Tagungen im Jahr 2017</w:t>
      </w:r>
      <w:r w:rsidR="002A50DE" w:rsidRPr="005D5995">
        <w:rPr>
          <w:rFonts w:cs="Arial"/>
          <w:bCs/>
          <w:snapToGrid w:val="0"/>
          <w:lang w:val="de-DE"/>
        </w:rPr>
        <w:t xml:space="preserve"> prüfen</w:t>
      </w:r>
      <w:r w:rsidR="004743FD">
        <w:rPr>
          <w:rFonts w:cs="Arial"/>
          <w:bCs/>
          <w:snapToGrid w:val="0"/>
          <w:lang w:val="de-DE"/>
        </w:rPr>
        <w:t xml:space="preserve"> sollen</w:t>
      </w:r>
      <w:r w:rsidR="002C64EC" w:rsidRPr="005D5995">
        <w:rPr>
          <w:rFonts w:cs="Arial"/>
          <w:bCs/>
          <w:snapToGrid w:val="0"/>
          <w:lang w:val="de-DE"/>
        </w:rPr>
        <w:t xml:space="preserve">, ob </w:t>
      </w:r>
      <w:r w:rsidR="005D5995" w:rsidRPr="005D5995">
        <w:rPr>
          <w:rFonts w:cs="Arial"/>
          <w:bCs/>
          <w:snapToGrid w:val="0"/>
          <w:lang w:val="de-DE"/>
        </w:rPr>
        <w:t xml:space="preserve">ein </w:t>
      </w:r>
      <w:r w:rsidR="002C64EC" w:rsidRPr="005D5995">
        <w:rPr>
          <w:rFonts w:cs="Arial"/>
          <w:bCs/>
          <w:snapToGrid w:val="0"/>
          <w:lang w:val="de-DE"/>
        </w:rPr>
        <w:t>allgemeinere</w:t>
      </w:r>
      <w:r w:rsidR="005D5995" w:rsidRPr="005D5995">
        <w:rPr>
          <w:rFonts w:cs="Arial"/>
          <w:bCs/>
          <w:snapToGrid w:val="0"/>
          <w:lang w:val="de-DE"/>
        </w:rPr>
        <w:t xml:space="preserve">s </w:t>
      </w:r>
      <w:r w:rsidR="002C64EC" w:rsidRPr="005D5995">
        <w:rPr>
          <w:rFonts w:cs="Arial"/>
          <w:bCs/>
          <w:snapToGrid w:val="0"/>
          <w:lang w:val="de-DE"/>
        </w:rPr>
        <w:t>Kriteri</w:t>
      </w:r>
      <w:r w:rsidR="005D5995" w:rsidRPr="005D5995">
        <w:rPr>
          <w:rFonts w:cs="Arial"/>
          <w:bCs/>
          <w:snapToGrid w:val="0"/>
          <w:lang w:val="de-DE"/>
        </w:rPr>
        <w:t>um</w:t>
      </w:r>
      <w:r w:rsidR="002C64EC" w:rsidRPr="005D5995">
        <w:rPr>
          <w:rFonts w:cs="Arial"/>
          <w:bCs/>
          <w:snapToGrid w:val="0"/>
          <w:lang w:val="de-DE"/>
        </w:rPr>
        <w:t xml:space="preserve"> dafür </w:t>
      </w:r>
      <w:r w:rsidR="008122FB" w:rsidRPr="005D5995">
        <w:rPr>
          <w:rFonts w:cs="Arial"/>
          <w:bCs/>
          <w:snapToGrid w:val="0"/>
          <w:lang w:val="de-DE"/>
        </w:rPr>
        <w:t>verwendet</w:t>
      </w:r>
      <w:r w:rsidR="002C64EC" w:rsidRPr="005D5995">
        <w:rPr>
          <w:rFonts w:cs="Arial"/>
          <w:bCs/>
          <w:snapToGrid w:val="0"/>
          <w:lang w:val="de-DE"/>
        </w:rPr>
        <w:t xml:space="preserve"> werden sollte, eine Sorte nach einer Wachstumsperiode zurückzuweisen, als der spezielle Fall einer Überschreitung der zulässigen Anzahl von </w:t>
      </w:r>
      <w:proofErr w:type="spellStart"/>
      <w:r w:rsidR="002C64EC" w:rsidRPr="005D5995">
        <w:rPr>
          <w:rFonts w:cs="Arial"/>
          <w:bCs/>
          <w:snapToGrid w:val="0"/>
          <w:lang w:val="de-DE"/>
        </w:rPr>
        <w:t>Abweichern</w:t>
      </w:r>
      <w:proofErr w:type="spellEnd"/>
      <w:r w:rsidR="002C64EC" w:rsidRPr="005D5995">
        <w:rPr>
          <w:rFonts w:cs="Arial"/>
          <w:bCs/>
          <w:snapToGrid w:val="0"/>
          <w:lang w:val="de-DE"/>
        </w:rPr>
        <w:t xml:space="preserve"> in zwei Wachstumsperioden</w:t>
      </w:r>
      <w:r w:rsidRPr="005D5995">
        <w:rPr>
          <w:rFonts w:cs="Arial"/>
          <w:bCs/>
          <w:snapToGrid w:val="0"/>
          <w:lang w:val="de-DE"/>
        </w:rPr>
        <w:t>.</w:t>
      </w:r>
      <w:r w:rsidR="002C64EC" w:rsidRPr="005D5995">
        <w:rPr>
          <w:rFonts w:cs="Arial"/>
          <w:bCs/>
          <w:snapToGrid w:val="0"/>
          <w:lang w:val="de-DE"/>
        </w:rPr>
        <w:t xml:space="preserve"> </w:t>
      </w:r>
      <w:r w:rsidR="00897A47" w:rsidRPr="005D5995">
        <w:rPr>
          <w:rFonts w:cs="Arial"/>
          <w:bCs/>
          <w:snapToGrid w:val="0"/>
          <w:lang w:val="de-DE"/>
        </w:rPr>
        <w:t>Der</w:t>
      </w:r>
      <w:r w:rsidRPr="005D5995">
        <w:rPr>
          <w:rFonts w:cs="Arial"/>
          <w:bCs/>
          <w:snapToGrid w:val="0"/>
          <w:lang w:val="de-DE"/>
        </w:rPr>
        <w:t xml:space="preserve"> TC</w:t>
      </w:r>
      <w:r w:rsidRPr="005D5995">
        <w:rPr>
          <w:rFonts w:cs="Arial"/>
          <w:bCs/>
          <w:snapToGrid w:val="0"/>
          <w:lang w:val="de-DE"/>
        </w:rPr>
        <w:noBreakHyphen/>
        <w:t xml:space="preserve">EDC </w:t>
      </w:r>
      <w:r w:rsidR="00897A47" w:rsidRPr="005D5995">
        <w:rPr>
          <w:rFonts w:cs="Arial"/>
          <w:bCs/>
          <w:snapToGrid w:val="0"/>
          <w:lang w:val="de-DE"/>
        </w:rPr>
        <w:t xml:space="preserve">nahm die </w:t>
      </w:r>
      <w:r w:rsidR="005D5995" w:rsidRPr="005D5995">
        <w:rPr>
          <w:rFonts w:cs="Arial"/>
          <w:bCs/>
          <w:snapToGrid w:val="0"/>
          <w:lang w:val="de-DE"/>
        </w:rPr>
        <w:t xml:space="preserve">von den </w:t>
      </w:r>
      <w:r w:rsidR="00BD04D0" w:rsidRPr="005D5995">
        <w:rPr>
          <w:rFonts w:cs="Arial"/>
          <w:bCs/>
          <w:snapToGrid w:val="0"/>
          <w:lang w:val="de-DE"/>
        </w:rPr>
        <w:t>TWP</w:t>
      </w:r>
      <w:r w:rsidR="00252994" w:rsidRPr="005D5995">
        <w:rPr>
          <w:rFonts w:cs="Arial"/>
          <w:bCs/>
          <w:snapToGrid w:val="0"/>
          <w:lang w:val="de-DE"/>
        </w:rPr>
        <w:t xml:space="preserve"> auf ihren</w:t>
      </w:r>
      <w:r w:rsidR="001A3A47" w:rsidRPr="005D5995">
        <w:rPr>
          <w:rFonts w:cs="Arial"/>
          <w:bCs/>
          <w:snapToGrid w:val="0"/>
          <w:lang w:val="de-DE"/>
        </w:rPr>
        <w:t xml:space="preserve"> Tagung</w:t>
      </w:r>
      <w:r w:rsidR="00252994" w:rsidRPr="005D5995">
        <w:rPr>
          <w:rFonts w:cs="Arial"/>
          <w:bCs/>
          <w:snapToGrid w:val="0"/>
          <w:lang w:val="de-DE"/>
        </w:rPr>
        <w:t>en</w:t>
      </w:r>
      <w:r w:rsidR="001A3A47" w:rsidRPr="005D5995">
        <w:rPr>
          <w:rFonts w:cs="Arial"/>
          <w:bCs/>
          <w:snapToGrid w:val="0"/>
          <w:lang w:val="de-DE"/>
        </w:rPr>
        <w:t xml:space="preserve"> im Jahr 2017</w:t>
      </w:r>
      <w:r w:rsidR="00897A47" w:rsidRPr="005D5995">
        <w:rPr>
          <w:rFonts w:cs="Arial"/>
          <w:bCs/>
          <w:snapToGrid w:val="0"/>
          <w:lang w:val="de-DE"/>
        </w:rPr>
        <w:t xml:space="preserve"> </w:t>
      </w:r>
      <w:r w:rsidR="001958B8" w:rsidRPr="005D5995">
        <w:rPr>
          <w:rFonts w:cs="Arial"/>
          <w:bCs/>
          <w:snapToGrid w:val="0"/>
          <w:lang w:val="de-DE"/>
        </w:rPr>
        <w:t>aus</w:t>
      </w:r>
      <w:r w:rsidR="004743FD">
        <w:rPr>
          <w:rFonts w:cs="Arial"/>
          <w:bCs/>
          <w:snapToGrid w:val="0"/>
          <w:lang w:val="de-DE"/>
        </w:rPr>
        <w:t>ge</w:t>
      </w:r>
      <w:r w:rsidR="001958B8" w:rsidRPr="005D5995">
        <w:rPr>
          <w:rFonts w:cs="Arial"/>
          <w:bCs/>
          <w:snapToGrid w:val="0"/>
          <w:lang w:val="de-DE"/>
        </w:rPr>
        <w:t xml:space="preserve">drückte Präferenz </w:t>
      </w:r>
      <w:r w:rsidR="00897A47" w:rsidRPr="005D5995">
        <w:rPr>
          <w:rFonts w:cs="Arial"/>
          <w:bCs/>
          <w:snapToGrid w:val="0"/>
          <w:lang w:val="de-DE"/>
        </w:rPr>
        <w:t>zur Ken</w:t>
      </w:r>
      <w:r w:rsidR="001A3A47" w:rsidRPr="005D5995">
        <w:rPr>
          <w:rFonts w:cs="Arial"/>
          <w:bCs/>
          <w:snapToGrid w:val="0"/>
          <w:lang w:val="de-DE"/>
        </w:rPr>
        <w:t>ntnis,</w:t>
      </w:r>
      <w:r w:rsidR="00897A47" w:rsidRPr="005D5995">
        <w:rPr>
          <w:rFonts w:cs="Arial"/>
          <w:bCs/>
          <w:snapToGrid w:val="0"/>
          <w:lang w:val="de-DE"/>
        </w:rPr>
        <w:t xml:space="preserve"> </w:t>
      </w:r>
      <w:r w:rsidR="001A3A47" w:rsidRPr="005D5995">
        <w:rPr>
          <w:rFonts w:cs="Arial"/>
          <w:bCs/>
          <w:snapToGrid w:val="0"/>
          <w:lang w:val="de-DE"/>
        </w:rPr>
        <w:t>die</w:t>
      </w:r>
      <w:r w:rsidRPr="005D5995">
        <w:rPr>
          <w:rFonts w:cs="Arial"/>
          <w:bCs/>
          <w:snapToGrid w:val="0"/>
          <w:lang w:val="de-DE"/>
        </w:rPr>
        <w:t xml:space="preserve"> </w:t>
      </w:r>
      <w:r w:rsidR="001A3A47" w:rsidRPr="005D5995">
        <w:rPr>
          <w:rFonts w:cs="Arial"/>
          <w:bCs/>
          <w:snapToGrid w:val="0"/>
          <w:lang w:val="de-DE"/>
        </w:rPr>
        <w:t xml:space="preserve">zuvor durch den TC geprüften </w:t>
      </w:r>
      <w:r w:rsidR="0054021C" w:rsidRPr="005D5995">
        <w:rPr>
          <w:rFonts w:cs="Arial"/>
          <w:bCs/>
          <w:snapToGrid w:val="0"/>
          <w:lang w:val="de-DE"/>
        </w:rPr>
        <w:t xml:space="preserve">Kriterien </w:t>
      </w:r>
      <w:r w:rsidR="001A3A47" w:rsidRPr="005D5995">
        <w:rPr>
          <w:rFonts w:cs="Arial"/>
          <w:bCs/>
          <w:snapToGrid w:val="0"/>
          <w:lang w:val="de-DE"/>
        </w:rPr>
        <w:t xml:space="preserve">zur Zurückweisung einer Sorte nach </w:t>
      </w:r>
      <w:r w:rsidR="00996B66" w:rsidRPr="005D5995">
        <w:rPr>
          <w:rFonts w:cs="Arial"/>
          <w:bCs/>
          <w:snapToGrid w:val="0"/>
          <w:lang w:val="de-DE"/>
        </w:rPr>
        <w:t>einer Wachstumsperiode</w:t>
      </w:r>
      <w:r w:rsidRPr="005D5995">
        <w:rPr>
          <w:rFonts w:cs="Arial"/>
          <w:bCs/>
          <w:snapToGrid w:val="0"/>
          <w:lang w:val="de-DE"/>
        </w:rPr>
        <w:t xml:space="preserve"> </w:t>
      </w:r>
      <w:r w:rsidR="001A3A47" w:rsidRPr="005D5995">
        <w:rPr>
          <w:rFonts w:cs="Arial"/>
          <w:bCs/>
          <w:snapToGrid w:val="0"/>
          <w:lang w:val="de-DE"/>
        </w:rPr>
        <w:t>wie folgt</w:t>
      </w:r>
      <w:r w:rsidR="004743FD">
        <w:rPr>
          <w:rFonts w:cs="Arial"/>
          <w:bCs/>
          <w:snapToGrid w:val="0"/>
          <w:lang w:val="de-DE"/>
        </w:rPr>
        <w:t xml:space="preserve"> </w:t>
      </w:r>
      <w:r w:rsidR="004743FD" w:rsidRPr="005D5995">
        <w:rPr>
          <w:rFonts w:cs="Arial"/>
          <w:bCs/>
          <w:snapToGrid w:val="0"/>
          <w:lang w:val="de-DE"/>
        </w:rPr>
        <w:t>bestehen zu lassen</w:t>
      </w:r>
      <w:r w:rsidRPr="005D5995">
        <w:rPr>
          <w:rFonts w:cs="Arial"/>
          <w:bCs/>
          <w:snapToGrid w:val="0"/>
          <w:lang w:val="de-DE"/>
        </w:rPr>
        <w:t>:</w:t>
      </w:r>
    </w:p>
    <w:p w14:paraId="32C9FC0E" w14:textId="77777777" w:rsidR="00804655" w:rsidRPr="005D5995" w:rsidRDefault="00804655" w:rsidP="00804655">
      <w:pPr>
        <w:ind w:left="567" w:right="568"/>
        <w:rPr>
          <w:rFonts w:cs="Arial"/>
          <w:bCs/>
          <w:snapToGrid w:val="0"/>
          <w:sz w:val="18"/>
          <w:lang w:val="de-DE"/>
        </w:rPr>
      </w:pPr>
    </w:p>
    <w:p w14:paraId="09D761EE" w14:textId="724DD040" w:rsidR="00804655" w:rsidRPr="005D5995" w:rsidRDefault="00D50FFE" w:rsidP="00804655">
      <w:pPr>
        <w:ind w:left="567" w:right="568"/>
        <w:rPr>
          <w:rFonts w:cs="Arial"/>
          <w:bCs/>
          <w:snapToGrid w:val="0"/>
          <w:sz w:val="18"/>
          <w:lang w:val="de-DE"/>
        </w:rPr>
      </w:pPr>
      <w:r w:rsidRPr="005D5995">
        <w:rPr>
          <w:rFonts w:cs="Arial"/>
          <w:bCs/>
          <w:snapToGrid w:val="0"/>
          <w:sz w:val="18"/>
          <w:lang w:val="de-DE"/>
        </w:rPr>
        <w:t>„</w:t>
      </w:r>
      <w:r w:rsidR="001A3A47" w:rsidRPr="005D5995">
        <w:rPr>
          <w:rFonts w:cs="Arial"/>
          <w:bCs/>
          <w:snapToGrid w:val="0"/>
          <w:sz w:val="18"/>
          <w:lang w:val="de-DE"/>
        </w:rPr>
        <w:t xml:space="preserve">Außerdem kann eine Sorte, falls sie in der ersten Wachstumsperiode </w:t>
      </w:r>
      <w:r w:rsidR="00DF2DE8" w:rsidRPr="005D5995">
        <w:rPr>
          <w:rFonts w:cs="Arial"/>
          <w:bCs/>
          <w:snapToGrid w:val="0"/>
          <w:sz w:val="18"/>
          <w:lang w:val="de-DE"/>
        </w:rPr>
        <w:t>einen festgelegten oberen Grenzwert</w:t>
      </w:r>
      <w:r w:rsidR="001A3A47" w:rsidRPr="005D5995">
        <w:rPr>
          <w:rFonts w:cs="Arial"/>
          <w:bCs/>
          <w:snapToGrid w:val="0"/>
          <w:sz w:val="18"/>
          <w:lang w:val="de-DE"/>
        </w:rPr>
        <w:t xml:space="preserve"> für </w:t>
      </w:r>
      <w:proofErr w:type="spellStart"/>
      <w:r w:rsidR="001A3A47" w:rsidRPr="005D5995">
        <w:rPr>
          <w:rFonts w:cs="Arial"/>
          <w:bCs/>
          <w:snapToGrid w:val="0"/>
          <w:sz w:val="18"/>
          <w:lang w:val="de-DE"/>
        </w:rPr>
        <w:t>Abweicher</w:t>
      </w:r>
      <w:proofErr w:type="spellEnd"/>
      <w:r w:rsidR="001A3A47" w:rsidRPr="005D5995">
        <w:rPr>
          <w:rFonts w:cs="Arial"/>
          <w:bCs/>
          <w:snapToGrid w:val="0"/>
          <w:sz w:val="18"/>
          <w:lang w:val="de-DE"/>
        </w:rPr>
        <w:t xml:space="preserve"> </w:t>
      </w:r>
      <w:r w:rsidR="00DF2DE8" w:rsidRPr="005D5995">
        <w:rPr>
          <w:rFonts w:cs="Arial"/>
          <w:bCs/>
          <w:snapToGrid w:val="0"/>
          <w:sz w:val="18"/>
          <w:lang w:val="de-DE"/>
        </w:rPr>
        <w:t>übersteigt</w:t>
      </w:r>
      <w:r w:rsidR="001A3A47" w:rsidRPr="005D5995">
        <w:rPr>
          <w:rFonts w:cs="Arial"/>
          <w:bCs/>
          <w:snapToGrid w:val="0"/>
          <w:sz w:val="18"/>
          <w:lang w:val="de-DE"/>
        </w:rPr>
        <w:t>, nach</w:t>
      </w:r>
      <w:r w:rsidR="00804655" w:rsidRPr="005D5995">
        <w:rPr>
          <w:rFonts w:cs="Arial"/>
          <w:bCs/>
          <w:snapToGrid w:val="0"/>
          <w:sz w:val="18"/>
          <w:lang w:val="de-DE"/>
        </w:rPr>
        <w:t xml:space="preserve"> </w:t>
      </w:r>
      <w:r w:rsidR="00996B66" w:rsidRPr="005D5995">
        <w:rPr>
          <w:rFonts w:cs="Arial"/>
          <w:bCs/>
          <w:snapToGrid w:val="0"/>
          <w:sz w:val="18"/>
          <w:lang w:val="de-DE"/>
        </w:rPr>
        <w:t>einer Wachstumsperiode</w:t>
      </w:r>
      <w:r w:rsidR="001A3A47" w:rsidRPr="005D5995">
        <w:rPr>
          <w:rFonts w:cs="Arial"/>
          <w:bCs/>
          <w:snapToGrid w:val="0"/>
          <w:sz w:val="18"/>
          <w:lang w:val="de-DE"/>
        </w:rPr>
        <w:t xml:space="preserve"> zurückgewiesen werden</w:t>
      </w:r>
      <w:r w:rsidR="00804655" w:rsidRPr="005D5995">
        <w:rPr>
          <w:rFonts w:cs="Arial"/>
          <w:bCs/>
          <w:snapToGrid w:val="0"/>
          <w:sz w:val="18"/>
          <w:lang w:val="de-DE"/>
        </w:rPr>
        <w:t>.</w:t>
      </w:r>
      <w:r w:rsidRPr="005D5995">
        <w:rPr>
          <w:rFonts w:cs="Arial"/>
          <w:bCs/>
          <w:snapToGrid w:val="0"/>
          <w:sz w:val="18"/>
          <w:lang w:val="de-DE"/>
        </w:rPr>
        <w:t>“</w:t>
      </w:r>
    </w:p>
    <w:p w14:paraId="26D4ADD2" w14:textId="77777777" w:rsidR="00804655" w:rsidRPr="005D5995" w:rsidRDefault="00804655" w:rsidP="00804655">
      <w:pPr>
        <w:tabs>
          <w:tab w:val="left" w:pos="1528"/>
        </w:tabs>
        <w:rPr>
          <w:rFonts w:cs="Arial"/>
          <w:bCs/>
          <w:snapToGrid w:val="0"/>
          <w:lang w:val="de-DE"/>
        </w:rPr>
      </w:pPr>
      <w:r w:rsidRPr="005D5995">
        <w:rPr>
          <w:rFonts w:cs="Arial"/>
          <w:bCs/>
          <w:snapToGrid w:val="0"/>
          <w:lang w:val="de-DE"/>
        </w:rPr>
        <w:tab/>
      </w:r>
    </w:p>
    <w:p w14:paraId="481D1A45" w14:textId="69C1CC2D" w:rsidR="00804655" w:rsidRPr="005D5995" w:rsidRDefault="00804655" w:rsidP="00804655">
      <w:pPr>
        <w:rPr>
          <w:rFonts w:cs="Arial"/>
          <w:bCs/>
          <w:snapToGrid w:val="0"/>
          <w:lang w:val="de-DE"/>
        </w:rPr>
      </w:pPr>
      <w:r w:rsidRPr="005D5995">
        <w:rPr>
          <w:rFonts w:cs="Arial"/>
          <w:bCs/>
          <w:snapToGrid w:val="0"/>
        </w:rPr>
        <w:fldChar w:fldCharType="begin"/>
      </w:r>
      <w:r w:rsidRPr="005D5995">
        <w:rPr>
          <w:rFonts w:cs="Arial"/>
          <w:bCs/>
          <w:snapToGrid w:val="0"/>
          <w:lang w:val="de-DE"/>
        </w:rPr>
        <w:instrText xml:space="preserve"> AUTONUM  </w:instrText>
      </w:r>
      <w:r w:rsidRPr="005D5995">
        <w:rPr>
          <w:rFonts w:cs="Arial"/>
          <w:bCs/>
          <w:snapToGrid w:val="0"/>
        </w:rPr>
        <w:fldChar w:fldCharType="end"/>
      </w:r>
      <w:r w:rsidRPr="005D5995">
        <w:rPr>
          <w:rFonts w:cs="Arial"/>
          <w:bCs/>
          <w:snapToGrid w:val="0"/>
          <w:lang w:val="de-DE"/>
        </w:rPr>
        <w:tab/>
      </w:r>
      <w:r w:rsidR="001A3A47" w:rsidRPr="005D5995">
        <w:rPr>
          <w:rFonts w:cs="Arial"/>
          <w:bCs/>
          <w:snapToGrid w:val="0"/>
          <w:lang w:val="de-DE"/>
        </w:rPr>
        <w:t>Der</w:t>
      </w:r>
      <w:r w:rsidRPr="005D5995">
        <w:rPr>
          <w:rFonts w:cs="Arial"/>
          <w:bCs/>
          <w:snapToGrid w:val="0"/>
          <w:lang w:val="de-DE"/>
        </w:rPr>
        <w:t xml:space="preserve"> TC-EDC </w:t>
      </w:r>
      <w:r w:rsidR="005E3B9B" w:rsidRPr="005D5995">
        <w:rPr>
          <w:rFonts w:cs="Arial"/>
          <w:bCs/>
          <w:snapToGrid w:val="0"/>
          <w:lang w:val="de-DE"/>
        </w:rPr>
        <w:t>vereinbarte</w:t>
      </w:r>
      <w:r w:rsidR="001A3A47" w:rsidRPr="005D5995">
        <w:rPr>
          <w:rFonts w:cs="Arial"/>
          <w:bCs/>
          <w:snapToGrid w:val="0"/>
          <w:lang w:val="de-DE"/>
        </w:rPr>
        <w:t xml:space="preserve">, </w:t>
      </w:r>
      <w:proofErr w:type="spellStart"/>
      <w:r w:rsidR="001A3A47" w:rsidRPr="005D5995">
        <w:rPr>
          <w:rFonts w:cs="Arial"/>
          <w:bCs/>
          <w:snapToGrid w:val="0"/>
          <w:lang w:val="de-DE"/>
        </w:rPr>
        <w:t>daß</w:t>
      </w:r>
      <w:proofErr w:type="spellEnd"/>
      <w:r w:rsidR="001A3A47" w:rsidRPr="005D5995">
        <w:rPr>
          <w:rFonts w:cs="Arial"/>
          <w:bCs/>
          <w:snapToGrid w:val="0"/>
          <w:lang w:val="de-DE"/>
        </w:rPr>
        <w:t xml:space="preserve"> der </w:t>
      </w:r>
      <w:r w:rsidR="005D5995" w:rsidRPr="005D5995">
        <w:rPr>
          <w:rFonts w:cs="Arial"/>
          <w:bCs/>
          <w:snapToGrid w:val="0"/>
          <w:lang w:val="de-DE"/>
        </w:rPr>
        <w:t>vorstehende</w:t>
      </w:r>
      <w:r w:rsidR="001A3A47" w:rsidRPr="005D5995">
        <w:rPr>
          <w:rFonts w:cs="Arial"/>
          <w:bCs/>
          <w:snapToGrid w:val="0"/>
          <w:lang w:val="de-DE"/>
        </w:rPr>
        <w:t xml:space="preserve"> Vorschlag vom TC geprüft werden soll.</w:t>
      </w:r>
    </w:p>
    <w:p w14:paraId="1F859FC3" w14:textId="77777777" w:rsidR="00804655" w:rsidRPr="005D5995" w:rsidRDefault="00804655" w:rsidP="00B91E18">
      <w:pPr>
        <w:rPr>
          <w:lang w:val="de-DE"/>
        </w:rPr>
      </w:pPr>
    </w:p>
    <w:p w14:paraId="644EB562" w14:textId="0752D568" w:rsidR="00126DA7" w:rsidRPr="005D5995" w:rsidRDefault="001A3A47" w:rsidP="00126DA7">
      <w:pPr>
        <w:pStyle w:val="Heading2"/>
        <w:rPr>
          <w:lang w:val="de-DE"/>
        </w:rPr>
      </w:pPr>
      <w:bookmarkStart w:id="12" w:name="_Toc524518037"/>
      <w:r w:rsidRPr="005D5995">
        <w:rPr>
          <w:rFonts w:eastAsia="PMingLiU"/>
          <w:lang w:val="de-DE"/>
        </w:rPr>
        <w:t>Technische Arbeitsgruppe für Automatisierung und Computerprogramme</w:t>
      </w:r>
      <w:bookmarkEnd w:id="12"/>
    </w:p>
    <w:p w14:paraId="3A915D9F" w14:textId="77777777" w:rsidR="00903098" w:rsidRPr="005D5995" w:rsidRDefault="00903098" w:rsidP="00B91E18">
      <w:pPr>
        <w:rPr>
          <w:lang w:val="de-DE"/>
        </w:rPr>
      </w:pPr>
    </w:p>
    <w:p w14:paraId="75C1819D" w14:textId="7BA85F73" w:rsidR="001C55EE" w:rsidRPr="005D5995" w:rsidRDefault="001C55EE" w:rsidP="001C55EE">
      <w:pPr>
        <w:rPr>
          <w:lang w:val="de-DE"/>
        </w:rPr>
      </w:pPr>
      <w:r w:rsidRPr="005D5995">
        <w:fldChar w:fldCharType="begin"/>
      </w:r>
      <w:r w:rsidRPr="005D5995">
        <w:rPr>
          <w:lang w:val="de-DE"/>
        </w:rPr>
        <w:instrText xml:space="preserve"> AUTONUM  </w:instrText>
      </w:r>
      <w:r w:rsidRPr="005D5995">
        <w:fldChar w:fldCharType="end"/>
      </w:r>
      <w:r w:rsidRPr="005D5995">
        <w:rPr>
          <w:lang w:val="de-DE"/>
        </w:rPr>
        <w:tab/>
      </w:r>
      <w:r w:rsidR="0090047C" w:rsidRPr="005D5995">
        <w:rPr>
          <w:lang w:val="de-DE"/>
        </w:rPr>
        <w:t>Die</w:t>
      </w:r>
      <w:r w:rsidRPr="005D5995">
        <w:rPr>
          <w:lang w:val="de-DE"/>
        </w:rPr>
        <w:t xml:space="preserve"> TWC</w:t>
      </w:r>
      <w:r w:rsidR="001A3A47" w:rsidRPr="005D5995">
        <w:rPr>
          <w:lang w:val="de-DE"/>
        </w:rPr>
        <w:t xml:space="preserve"> prüfte Dokument </w:t>
      </w:r>
      <w:r w:rsidR="00C96F4D">
        <w:rPr>
          <w:color w:val="0000FF"/>
          <w:u w:val="single"/>
        </w:rPr>
        <w:fldChar w:fldCharType="begin"/>
      </w:r>
      <w:r w:rsidR="00C96F4D" w:rsidRPr="00C96F4D">
        <w:rPr>
          <w:color w:val="0000FF"/>
          <w:u w:val="single"/>
          <w:lang w:val="de-DE"/>
        </w:rPr>
        <w:instrText xml:space="preserve"> HYPERLINK "http://upov.int/meetings/de/doc_details.jsp?meeting_id=47210&amp;doc_id=409249" </w:instrText>
      </w:r>
      <w:r w:rsidR="00C96F4D">
        <w:rPr>
          <w:color w:val="0000FF"/>
          <w:u w:val="single"/>
        </w:rPr>
        <w:fldChar w:fldCharType="separate"/>
      </w:r>
      <w:r w:rsidRPr="00C96F4D">
        <w:rPr>
          <w:color w:val="0000FF"/>
          <w:u w:val="single"/>
          <w:lang w:val="de-DE"/>
        </w:rPr>
        <w:t>TWC/36/7</w:t>
      </w:r>
      <w:r w:rsidR="00C96F4D">
        <w:rPr>
          <w:color w:val="0000FF"/>
          <w:u w:val="single"/>
        </w:rPr>
        <w:fldChar w:fldCharType="end"/>
      </w:r>
      <w:r w:rsidRPr="005D5995">
        <w:rPr>
          <w:lang w:val="de-DE"/>
        </w:rPr>
        <w:t xml:space="preserve"> </w:t>
      </w:r>
      <w:r w:rsidR="00D50FFE" w:rsidRPr="005D5995">
        <w:rPr>
          <w:lang w:val="de-DE"/>
        </w:rPr>
        <w:t>„</w:t>
      </w:r>
      <w:proofErr w:type="spellStart"/>
      <w:r w:rsidR="001A3A47" w:rsidRPr="005D5995">
        <w:rPr>
          <w:lang w:val="de-DE"/>
        </w:rPr>
        <w:t>Risks</w:t>
      </w:r>
      <w:proofErr w:type="spellEnd"/>
      <w:r w:rsidR="001A3A47" w:rsidRPr="005D5995">
        <w:rPr>
          <w:lang w:val="de-DE"/>
        </w:rPr>
        <w:t xml:space="preserve"> </w:t>
      </w:r>
      <w:proofErr w:type="spellStart"/>
      <w:r w:rsidR="001A3A47" w:rsidRPr="005D5995">
        <w:rPr>
          <w:lang w:val="de-DE"/>
        </w:rPr>
        <w:t>associated</w:t>
      </w:r>
      <w:proofErr w:type="spellEnd"/>
      <w:r w:rsidR="001A3A47" w:rsidRPr="005D5995">
        <w:rPr>
          <w:lang w:val="de-DE"/>
        </w:rPr>
        <w:t xml:space="preserve"> </w:t>
      </w:r>
      <w:proofErr w:type="spellStart"/>
      <w:r w:rsidR="001A3A47" w:rsidRPr="005D5995">
        <w:rPr>
          <w:lang w:val="de-DE"/>
        </w:rPr>
        <w:t>with</w:t>
      </w:r>
      <w:proofErr w:type="spellEnd"/>
      <w:r w:rsidR="001A3A47" w:rsidRPr="005D5995">
        <w:rPr>
          <w:lang w:val="de-DE"/>
        </w:rPr>
        <w:t xml:space="preserve"> </w:t>
      </w:r>
      <w:proofErr w:type="spellStart"/>
      <w:r w:rsidR="001A3A47" w:rsidRPr="005D5995">
        <w:rPr>
          <w:lang w:val="de-DE"/>
        </w:rPr>
        <w:t>assessment</w:t>
      </w:r>
      <w:proofErr w:type="spellEnd"/>
      <w:r w:rsidR="001A3A47" w:rsidRPr="005D5995">
        <w:rPr>
          <w:lang w:val="de-DE"/>
        </w:rPr>
        <w:t xml:space="preserve"> </w:t>
      </w:r>
      <w:proofErr w:type="spellStart"/>
      <w:r w:rsidR="001A3A47" w:rsidRPr="005D5995">
        <w:rPr>
          <w:lang w:val="de-DE"/>
        </w:rPr>
        <w:t>of</w:t>
      </w:r>
      <w:proofErr w:type="spellEnd"/>
      <w:r w:rsidR="001A3A47" w:rsidRPr="005D5995">
        <w:rPr>
          <w:lang w:val="de-DE"/>
        </w:rPr>
        <w:t xml:space="preserve"> </w:t>
      </w:r>
      <w:proofErr w:type="spellStart"/>
      <w:r w:rsidR="001A3A47" w:rsidRPr="005D5995">
        <w:rPr>
          <w:lang w:val="de-DE"/>
        </w:rPr>
        <w:t>uniformity</w:t>
      </w:r>
      <w:proofErr w:type="spellEnd"/>
      <w:r w:rsidR="001A3A47" w:rsidRPr="005D5995">
        <w:rPr>
          <w:lang w:val="de-DE"/>
        </w:rPr>
        <w:t xml:space="preserve"> </w:t>
      </w:r>
      <w:proofErr w:type="spellStart"/>
      <w:r w:rsidR="001A3A47" w:rsidRPr="005D5995">
        <w:rPr>
          <w:lang w:val="de-DE"/>
        </w:rPr>
        <w:t>by</w:t>
      </w:r>
      <w:proofErr w:type="spellEnd"/>
      <w:r w:rsidR="001A3A47" w:rsidRPr="005D5995">
        <w:rPr>
          <w:lang w:val="de-DE"/>
        </w:rPr>
        <w:t xml:space="preserve"> </w:t>
      </w:r>
      <w:r w:rsidR="001A3A47" w:rsidRPr="005D5995">
        <w:rPr>
          <w:fitText w:val="765" w:id="1766170112"/>
          <w:lang w:val="de-DE"/>
        </w:rPr>
        <w:t>off-</w:t>
      </w:r>
      <w:proofErr w:type="spellStart"/>
      <w:r w:rsidR="001A3A47" w:rsidRPr="005D5995">
        <w:rPr>
          <w:fitText w:val="765" w:id="1766170112"/>
          <w:lang w:val="de-DE"/>
        </w:rPr>
        <w:t>types</w:t>
      </w:r>
      <w:proofErr w:type="spellEnd"/>
      <w:r w:rsidR="001A3A47" w:rsidRPr="005D5995">
        <w:rPr>
          <w:lang w:val="de-DE"/>
        </w:rPr>
        <w:t xml:space="preserve"> on </w:t>
      </w:r>
      <w:proofErr w:type="spellStart"/>
      <w:r w:rsidR="001A3A47" w:rsidRPr="005D5995">
        <w:rPr>
          <w:lang w:val="de-DE"/>
        </w:rPr>
        <w:t>the</w:t>
      </w:r>
      <w:proofErr w:type="spellEnd"/>
      <w:r w:rsidR="001A3A47" w:rsidRPr="005D5995">
        <w:rPr>
          <w:lang w:val="de-DE"/>
        </w:rPr>
        <w:t xml:space="preserve"> </w:t>
      </w:r>
      <w:proofErr w:type="spellStart"/>
      <w:r w:rsidR="001A3A47" w:rsidRPr="005D5995">
        <w:rPr>
          <w:lang w:val="de-DE"/>
        </w:rPr>
        <w:t>basis</w:t>
      </w:r>
      <w:proofErr w:type="spellEnd"/>
      <w:r w:rsidR="001A3A47" w:rsidRPr="005D5995">
        <w:rPr>
          <w:lang w:val="de-DE"/>
        </w:rPr>
        <w:t xml:space="preserve"> </w:t>
      </w:r>
      <w:proofErr w:type="spellStart"/>
      <w:r w:rsidR="001A3A47" w:rsidRPr="005D5995">
        <w:rPr>
          <w:lang w:val="de-DE"/>
        </w:rPr>
        <w:t>of</w:t>
      </w:r>
      <w:proofErr w:type="spellEnd"/>
      <w:r w:rsidR="001A3A47" w:rsidRPr="005D5995">
        <w:rPr>
          <w:lang w:val="de-DE"/>
        </w:rPr>
        <w:t xml:space="preserve"> </w:t>
      </w:r>
      <w:proofErr w:type="spellStart"/>
      <w:r w:rsidR="001A3A47" w:rsidRPr="005D5995">
        <w:rPr>
          <w:lang w:val="de-DE"/>
        </w:rPr>
        <w:t>more</w:t>
      </w:r>
      <w:proofErr w:type="spellEnd"/>
      <w:r w:rsidR="001A3A47" w:rsidRPr="005D5995">
        <w:rPr>
          <w:lang w:val="de-DE"/>
        </w:rPr>
        <w:t xml:space="preserve"> </w:t>
      </w:r>
      <w:proofErr w:type="spellStart"/>
      <w:r w:rsidR="001A3A47" w:rsidRPr="005D5995">
        <w:rPr>
          <w:lang w:val="de-DE"/>
        </w:rPr>
        <w:t>than</w:t>
      </w:r>
      <w:proofErr w:type="spellEnd"/>
      <w:r w:rsidR="001A3A47" w:rsidRPr="005D5995">
        <w:rPr>
          <w:lang w:val="de-DE"/>
        </w:rPr>
        <w:t xml:space="preserve"> </w:t>
      </w:r>
      <w:proofErr w:type="spellStart"/>
      <w:r w:rsidR="001A3A47" w:rsidRPr="005D5995">
        <w:rPr>
          <w:lang w:val="de-DE"/>
        </w:rPr>
        <w:t>one</w:t>
      </w:r>
      <w:proofErr w:type="spellEnd"/>
      <w:r w:rsidR="001A3A47" w:rsidRPr="005D5995">
        <w:rPr>
          <w:lang w:val="de-DE"/>
        </w:rPr>
        <w:t xml:space="preserve"> </w:t>
      </w:r>
      <w:proofErr w:type="spellStart"/>
      <w:r w:rsidR="001A3A47" w:rsidRPr="005D5995">
        <w:rPr>
          <w:lang w:val="de-DE"/>
        </w:rPr>
        <w:t>growing</w:t>
      </w:r>
      <w:proofErr w:type="spellEnd"/>
      <w:r w:rsidR="001A3A47" w:rsidRPr="005D5995">
        <w:rPr>
          <w:lang w:val="de-DE"/>
        </w:rPr>
        <w:t xml:space="preserve"> </w:t>
      </w:r>
      <w:proofErr w:type="spellStart"/>
      <w:r w:rsidR="001A3A47" w:rsidRPr="005D5995">
        <w:rPr>
          <w:lang w:val="de-DE"/>
        </w:rPr>
        <w:t>cycle</w:t>
      </w:r>
      <w:proofErr w:type="spellEnd"/>
      <w:r w:rsidR="00D50FFE" w:rsidRPr="005D5995">
        <w:rPr>
          <w:lang w:val="de-DE"/>
        </w:rPr>
        <w:t>“</w:t>
      </w:r>
      <w:r w:rsidRPr="005D5995">
        <w:rPr>
          <w:lang w:val="de-DE"/>
        </w:rPr>
        <w:t xml:space="preserve"> </w:t>
      </w:r>
      <w:r w:rsidR="001A3A47" w:rsidRPr="005D5995">
        <w:rPr>
          <w:lang w:val="de-DE"/>
        </w:rPr>
        <w:t>u</w:t>
      </w:r>
      <w:r w:rsidRPr="005D5995">
        <w:rPr>
          <w:lang w:val="de-DE"/>
        </w:rPr>
        <w:t xml:space="preserve">nd </w:t>
      </w:r>
      <w:r w:rsidR="002C64EC" w:rsidRPr="005D5995">
        <w:rPr>
          <w:lang w:val="de-DE"/>
        </w:rPr>
        <w:t>hörte ein Referat von Sachverständigen aus Deutschland und dem Vereinigten Königreich</w:t>
      </w:r>
      <w:r w:rsidRPr="005D5995">
        <w:rPr>
          <w:lang w:val="de-DE"/>
        </w:rPr>
        <w:t>,</w:t>
      </w:r>
      <w:r w:rsidR="002C64EC" w:rsidRPr="005D5995">
        <w:rPr>
          <w:lang w:val="de-DE"/>
        </w:rPr>
        <w:t xml:space="preserve"> das in Kopie</w:t>
      </w:r>
      <w:r w:rsidR="001A3A47" w:rsidRPr="005D5995">
        <w:rPr>
          <w:lang w:val="de-DE"/>
        </w:rPr>
        <w:t xml:space="preserve"> als Dokument</w:t>
      </w:r>
      <w:r w:rsidRPr="005D5995">
        <w:rPr>
          <w:lang w:val="de-DE"/>
        </w:rPr>
        <w:t xml:space="preserve"> TWC/36/7 Add. (</w:t>
      </w:r>
      <w:r w:rsidR="001A3A47" w:rsidRPr="005D5995">
        <w:rPr>
          <w:lang w:val="de-DE"/>
        </w:rPr>
        <w:t xml:space="preserve">vergleiche Dokument </w:t>
      </w:r>
      <w:r w:rsidRPr="005D5995">
        <w:rPr>
          <w:lang w:val="de-DE"/>
        </w:rPr>
        <w:t xml:space="preserve">TWC/36/15 </w:t>
      </w:r>
      <w:r w:rsidR="00D50FFE" w:rsidRPr="005D5995">
        <w:rPr>
          <w:lang w:val="de-DE"/>
        </w:rPr>
        <w:t>„</w:t>
      </w:r>
      <w:r w:rsidR="00A64914" w:rsidRPr="005D5995">
        <w:rPr>
          <w:lang w:val="de-DE"/>
        </w:rPr>
        <w:t>Report</w:t>
      </w:r>
      <w:r w:rsidR="00D50FFE" w:rsidRPr="005D5995">
        <w:rPr>
          <w:lang w:val="de-DE"/>
        </w:rPr>
        <w:t>“</w:t>
      </w:r>
      <w:r w:rsidRPr="005D5995">
        <w:rPr>
          <w:lang w:val="de-DE"/>
        </w:rPr>
        <w:t xml:space="preserve">, </w:t>
      </w:r>
      <w:r w:rsidR="0075446C" w:rsidRPr="005D5995">
        <w:rPr>
          <w:lang w:val="de-DE"/>
        </w:rPr>
        <w:t>Absätze</w:t>
      </w:r>
      <w:r w:rsidRPr="005D5995">
        <w:rPr>
          <w:lang w:val="de-DE"/>
        </w:rPr>
        <w:t xml:space="preserve"> 54 </w:t>
      </w:r>
      <w:r w:rsidR="001A3A47" w:rsidRPr="005D5995">
        <w:rPr>
          <w:lang w:val="de-DE"/>
        </w:rPr>
        <w:t>bis</w:t>
      </w:r>
      <w:r w:rsidRPr="005D5995">
        <w:rPr>
          <w:lang w:val="de-DE"/>
        </w:rPr>
        <w:t xml:space="preserve"> 56)</w:t>
      </w:r>
      <w:r w:rsidR="001A3A47" w:rsidRPr="005D5995">
        <w:rPr>
          <w:lang w:val="de-DE"/>
        </w:rPr>
        <w:t xml:space="preserve"> wiedergegeben würde</w:t>
      </w:r>
      <w:r w:rsidRPr="005D5995">
        <w:rPr>
          <w:lang w:val="de-DE"/>
        </w:rPr>
        <w:t>.</w:t>
      </w:r>
    </w:p>
    <w:p w14:paraId="1B96509C" w14:textId="77777777" w:rsidR="001C55EE" w:rsidRPr="005D5995" w:rsidRDefault="001C55EE" w:rsidP="001C55EE">
      <w:pPr>
        <w:rPr>
          <w:lang w:val="de-DE"/>
        </w:rPr>
      </w:pPr>
    </w:p>
    <w:p w14:paraId="709F2BCA" w14:textId="6219D488" w:rsidR="001C55EE" w:rsidRPr="005D5995" w:rsidRDefault="001C55EE" w:rsidP="001C55EE">
      <w:pPr>
        <w:rPr>
          <w:lang w:val="de-DE"/>
        </w:rPr>
      </w:pPr>
      <w:r w:rsidRPr="005D5995">
        <w:fldChar w:fldCharType="begin"/>
      </w:r>
      <w:r w:rsidRPr="005D5995">
        <w:rPr>
          <w:lang w:val="de-DE"/>
        </w:rPr>
        <w:instrText xml:space="preserve"> AUTONUM  </w:instrText>
      </w:r>
      <w:r w:rsidRPr="005D5995">
        <w:fldChar w:fldCharType="end"/>
      </w:r>
      <w:r w:rsidRPr="005D5995">
        <w:rPr>
          <w:lang w:val="de-DE"/>
        </w:rPr>
        <w:tab/>
      </w:r>
      <w:r w:rsidR="00305102" w:rsidRPr="005D5995">
        <w:rPr>
          <w:lang w:val="de-DE"/>
        </w:rPr>
        <w:t>D</w:t>
      </w:r>
      <w:r w:rsidR="0000489D" w:rsidRPr="005D5995">
        <w:rPr>
          <w:lang w:val="de-DE"/>
        </w:rPr>
        <w:t>ie</w:t>
      </w:r>
      <w:r w:rsidRPr="005D5995">
        <w:rPr>
          <w:lang w:val="de-DE"/>
        </w:rPr>
        <w:t xml:space="preserve"> TWC </w:t>
      </w:r>
      <w:r w:rsidR="005E3B9B" w:rsidRPr="005D5995">
        <w:rPr>
          <w:lang w:val="de-DE"/>
        </w:rPr>
        <w:t>vereinbarte</w:t>
      </w:r>
      <w:r w:rsidR="00305102" w:rsidRPr="005D5995">
        <w:rPr>
          <w:lang w:val="de-DE"/>
        </w:rPr>
        <w:t xml:space="preserve">, </w:t>
      </w:r>
      <w:r w:rsidR="005D5995" w:rsidRPr="005D5995">
        <w:rPr>
          <w:lang w:val="de-DE"/>
        </w:rPr>
        <w:t xml:space="preserve">die </w:t>
      </w:r>
      <w:r w:rsidR="00305102" w:rsidRPr="005D5995">
        <w:rPr>
          <w:lang w:val="de-DE"/>
        </w:rPr>
        <w:t>Sachverständige</w:t>
      </w:r>
      <w:r w:rsidR="005D5995" w:rsidRPr="005D5995">
        <w:rPr>
          <w:lang w:val="de-DE"/>
        </w:rPr>
        <w:t>n</w:t>
      </w:r>
      <w:r w:rsidR="00305102" w:rsidRPr="005D5995">
        <w:rPr>
          <w:lang w:val="de-DE"/>
        </w:rPr>
        <w:t xml:space="preserve"> aus Deutschland und dem Vereinigten Königreich </w:t>
      </w:r>
      <w:r w:rsidR="00611EC9" w:rsidRPr="005D5995">
        <w:rPr>
          <w:lang w:val="de-DE"/>
        </w:rPr>
        <w:t>zu ersuchen</w:t>
      </w:r>
      <w:r w:rsidR="004B220C" w:rsidRPr="005D5995">
        <w:rPr>
          <w:lang w:val="de-DE"/>
        </w:rPr>
        <w:t xml:space="preserve">, Beispiele, die die Risiken und Konsequenzen für Entscheidungen </w:t>
      </w:r>
      <w:r w:rsidR="005D5995" w:rsidRPr="005D5995">
        <w:rPr>
          <w:lang w:val="de-DE"/>
        </w:rPr>
        <w:t>über die</w:t>
      </w:r>
      <w:r w:rsidR="004B220C" w:rsidRPr="005D5995">
        <w:rPr>
          <w:lang w:val="de-DE"/>
        </w:rPr>
        <w:t xml:space="preserve"> Homogenität </w:t>
      </w:r>
      <w:r w:rsidR="00ED166D" w:rsidRPr="005D5995">
        <w:rPr>
          <w:lang w:val="de-DE"/>
        </w:rPr>
        <w:t>zeigen</w:t>
      </w:r>
      <w:r w:rsidR="004B220C" w:rsidRPr="005D5995">
        <w:rPr>
          <w:lang w:val="de-DE"/>
        </w:rPr>
        <w:t>, zur Vor</w:t>
      </w:r>
      <w:r w:rsidR="0078487C" w:rsidRPr="005D5995">
        <w:rPr>
          <w:lang w:val="de-DE"/>
        </w:rPr>
        <w:t>lage</w:t>
      </w:r>
      <w:r w:rsidR="00147022" w:rsidRPr="005D5995">
        <w:rPr>
          <w:lang w:val="de-DE"/>
        </w:rPr>
        <w:t xml:space="preserve"> auf </w:t>
      </w:r>
      <w:r w:rsidR="004743FD">
        <w:rPr>
          <w:lang w:val="de-DE"/>
        </w:rPr>
        <w:t>ihrer</w:t>
      </w:r>
      <w:r w:rsidR="00147022" w:rsidRPr="005D5995">
        <w:rPr>
          <w:lang w:val="de-DE"/>
        </w:rPr>
        <w:t xml:space="preserve"> nächsten Tagung auszuarbeiten</w:t>
      </w:r>
      <w:r w:rsidRPr="005D5995">
        <w:rPr>
          <w:lang w:val="de-DE"/>
        </w:rPr>
        <w:t>.</w:t>
      </w:r>
    </w:p>
    <w:p w14:paraId="255FCA4A" w14:textId="77777777" w:rsidR="001C55EE" w:rsidRPr="005D5995" w:rsidRDefault="001C55EE" w:rsidP="001C55EE">
      <w:pPr>
        <w:rPr>
          <w:lang w:val="de-DE"/>
        </w:rPr>
      </w:pPr>
    </w:p>
    <w:p w14:paraId="41409506" w14:textId="79BE4E5D" w:rsidR="00126DA7" w:rsidRPr="005D5995" w:rsidRDefault="001C55EE" w:rsidP="00B91E18">
      <w:pPr>
        <w:rPr>
          <w:lang w:val="de-DE"/>
        </w:rPr>
      </w:pPr>
      <w:r w:rsidRPr="005D5995">
        <w:fldChar w:fldCharType="begin"/>
      </w:r>
      <w:r w:rsidRPr="005D5995">
        <w:rPr>
          <w:lang w:val="de-DE"/>
        </w:rPr>
        <w:instrText xml:space="preserve"> AUTONUM  </w:instrText>
      </w:r>
      <w:r w:rsidRPr="005D5995">
        <w:fldChar w:fldCharType="end"/>
      </w:r>
      <w:r w:rsidRPr="005D5995">
        <w:rPr>
          <w:lang w:val="de-DE"/>
        </w:rPr>
        <w:tab/>
      </w:r>
      <w:r w:rsidR="004B220C" w:rsidRPr="005D5995">
        <w:rPr>
          <w:lang w:val="de-DE"/>
        </w:rPr>
        <w:t>Die</w:t>
      </w:r>
      <w:r w:rsidRPr="005D5995">
        <w:rPr>
          <w:lang w:val="de-DE"/>
        </w:rPr>
        <w:t xml:space="preserve"> TWC </w:t>
      </w:r>
      <w:r w:rsidR="004B220C" w:rsidRPr="005D5995">
        <w:rPr>
          <w:lang w:val="de-DE"/>
        </w:rPr>
        <w:t xml:space="preserve">nahm die </w:t>
      </w:r>
      <w:r w:rsidR="005D5995" w:rsidRPr="005D5995">
        <w:rPr>
          <w:lang w:val="de-DE"/>
        </w:rPr>
        <w:t>Bedeutung</w:t>
      </w:r>
      <w:r w:rsidR="004B220C" w:rsidRPr="005D5995">
        <w:rPr>
          <w:lang w:val="de-DE"/>
        </w:rPr>
        <w:t xml:space="preserve"> zur Kenntnis, die mit der </w:t>
      </w:r>
      <w:r w:rsidR="003077D7" w:rsidRPr="005D5995">
        <w:rPr>
          <w:lang w:val="de-DE"/>
        </w:rPr>
        <w:t xml:space="preserve">Prüfung der Homogenität anhand von </w:t>
      </w:r>
      <w:proofErr w:type="spellStart"/>
      <w:r w:rsidR="003077D7" w:rsidRPr="005D5995">
        <w:rPr>
          <w:lang w:val="de-DE"/>
        </w:rPr>
        <w:t>Abweichern</w:t>
      </w:r>
      <w:proofErr w:type="spellEnd"/>
      <w:r w:rsidRPr="005D5995">
        <w:rPr>
          <w:lang w:val="de-DE"/>
        </w:rPr>
        <w:t xml:space="preserve"> </w:t>
      </w:r>
      <w:r w:rsidR="004B220C" w:rsidRPr="005D5995">
        <w:rPr>
          <w:lang w:val="de-DE"/>
        </w:rPr>
        <w:t xml:space="preserve">aufgrund von mehr als einer Wachstumsperiode </w:t>
      </w:r>
      <w:r w:rsidR="004E64FA" w:rsidRPr="005D5995">
        <w:rPr>
          <w:lang w:val="de-DE"/>
        </w:rPr>
        <w:t>verbundenen Risiken zu prüfen</w:t>
      </w:r>
      <w:r w:rsidR="005D5995" w:rsidRPr="005D5995">
        <w:rPr>
          <w:lang w:val="de-DE"/>
        </w:rPr>
        <w:t>,</w:t>
      </w:r>
      <w:r w:rsidR="004B220C" w:rsidRPr="005D5995">
        <w:rPr>
          <w:lang w:val="de-DE"/>
        </w:rPr>
        <w:t xml:space="preserve"> und </w:t>
      </w:r>
      <w:r w:rsidR="005E3B9B" w:rsidRPr="005D5995">
        <w:rPr>
          <w:lang w:val="de-DE"/>
        </w:rPr>
        <w:t>vereinbarte</w:t>
      </w:r>
      <w:r w:rsidR="00617E0A" w:rsidRPr="005D5995">
        <w:rPr>
          <w:lang w:val="de-DE"/>
        </w:rPr>
        <w:t xml:space="preserve">, </w:t>
      </w:r>
      <w:proofErr w:type="spellStart"/>
      <w:r w:rsidR="00617E0A" w:rsidRPr="005D5995">
        <w:rPr>
          <w:lang w:val="de-DE"/>
        </w:rPr>
        <w:t>daß</w:t>
      </w:r>
      <w:proofErr w:type="spellEnd"/>
      <w:r w:rsidR="00617E0A" w:rsidRPr="005D5995">
        <w:rPr>
          <w:lang w:val="de-DE"/>
        </w:rPr>
        <w:t xml:space="preserve"> es nicht praktisch sei</w:t>
      </w:r>
      <w:r w:rsidR="004B220C" w:rsidRPr="005D5995">
        <w:rPr>
          <w:lang w:val="de-DE"/>
        </w:rPr>
        <w:t xml:space="preserve">, Tabellen mit der </w:t>
      </w:r>
      <w:r w:rsidR="00E57049" w:rsidRPr="005D5995">
        <w:rPr>
          <w:lang w:val="de-DE"/>
        </w:rPr>
        <w:t>zulässige</w:t>
      </w:r>
      <w:r w:rsidR="006E189B" w:rsidRPr="005D5995">
        <w:rPr>
          <w:lang w:val="de-DE"/>
        </w:rPr>
        <w:t>n</w:t>
      </w:r>
      <w:r w:rsidR="00E57049" w:rsidRPr="005D5995">
        <w:rPr>
          <w:lang w:val="de-DE"/>
        </w:rPr>
        <w:t xml:space="preserve"> Zahl von</w:t>
      </w:r>
      <w:r w:rsidRPr="005D5995">
        <w:rPr>
          <w:lang w:val="de-DE"/>
        </w:rPr>
        <w:t xml:space="preserve"> </w:t>
      </w:r>
      <w:proofErr w:type="spellStart"/>
      <w:r w:rsidR="003077D7" w:rsidRPr="005D5995">
        <w:rPr>
          <w:lang w:val="de-DE"/>
        </w:rPr>
        <w:t>Abweichern</w:t>
      </w:r>
      <w:proofErr w:type="spellEnd"/>
      <w:r w:rsidRPr="005D5995">
        <w:rPr>
          <w:lang w:val="de-DE"/>
        </w:rPr>
        <w:t xml:space="preserve"> </w:t>
      </w:r>
      <w:r w:rsidR="004B220C" w:rsidRPr="005D5995">
        <w:rPr>
          <w:lang w:val="de-DE"/>
        </w:rPr>
        <w:t xml:space="preserve">für solche Fälle zu </w:t>
      </w:r>
      <w:r w:rsidR="00F41A8F" w:rsidRPr="005D5995">
        <w:rPr>
          <w:lang w:val="de-DE"/>
        </w:rPr>
        <w:t>erstellen</w:t>
      </w:r>
      <w:r w:rsidRPr="005D5995">
        <w:rPr>
          <w:lang w:val="de-DE"/>
        </w:rPr>
        <w:t>.</w:t>
      </w:r>
      <w:r w:rsidR="002C64EC" w:rsidRPr="005D5995">
        <w:rPr>
          <w:lang w:val="de-DE"/>
        </w:rPr>
        <w:t xml:space="preserve"> </w:t>
      </w:r>
      <w:r w:rsidR="004B220C" w:rsidRPr="005D5995">
        <w:rPr>
          <w:lang w:val="de-DE"/>
        </w:rPr>
        <w:t xml:space="preserve">Die </w:t>
      </w:r>
      <w:r w:rsidRPr="005D5995">
        <w:rPr>
          <w:lang w:val="de-DE"/>
        </w:rPr>
        <w:t xml:space="preserve">TWC </w:t>
      </w:r>
      <w:r w:rsidR="005072D5" w:rsidRPr="005D5995">
        <w:rPr>
          <w:lang w:val="de-DE"/>
        </w:rPr>
        <w:t xml:space="preserve">nahm zur Kenntnis, </w:t>
      </w:r>
      <w:proofErr w:type="spellStart"/>
      <w:r w:rsidR="005072D5" w:rsidRPr="005D5995">
        <w:rPr>
          <w:lang w:val="de-DE"/>
        </w:rPr>
        <w:t>daß</w:t>
      </w:r>
      <w:proofErr w:type="spellEnd"/>
      <w:r w:rsidR="005072D5" w:rsidRPr="005D5995">
        <w:rPr>
          <w:lang w:val="de-DE"/>
        </w:rPr>
        <w:t xml:space="preserve"> </w:t>
      </w:r>
      <w:r w:rsidR="004B220C" w:rsidRPr="005D5995">
        <w:rPr>
          <w:lang w:val="de-DE"/>
        </w:rPr>
        <w:t xml:space="preserve">künftig </w:t>
      </w:r>
      <w:r w:rsidR="004743FD">
        <w:rPr>
          <w:lang w:val="de-DE"/>
        </w:rPr>
        <w:t>Software</w:t>
      </w:r>
      <w:r w:rsidR="004B220C" w:rsidRPr="005D5995">
        <w:rPr>
          <w:lang w:val="de-DE"/>
        </w:rPr>
        <w:t xml:space="preserve"> zur Berechnung solcher Risiken nötig sein könnte.</w:t>
      </w:r>
    </w:p>
    <w:p w14:paraId="5D6BF59F" w14:textId="77777777" w:rsidR="004B220C" w:rsidRPr="005D5995" w:rsidRDefault="004B220C" w:rsidP="00B91E18">
      <w:pPr>
        <w:rPr>
          <w:lang w:val="de-DE"/>
        </w:rPr>
      </w:pPr>
    </w:p>
    <w:p w14:paraId="65A1EB5B" w14:textId="77777777" w:rsidR="00126DA7" w:rsidRPr="005D5995" w:rsidRDefault="00126DA7" w:rsidP="00B91E18">
      <w:pPr>
        <w:rPr>
          <w:lang w:val="de-DE"/>
        </w:rPr>
      </w:pPr>
    </w:p>
    <w:p w14:paraId="0FCEFCA5" w14:textId="12CF242D" w:rsidR="0004010E" w:rsidRPr="005D5995" w:rsidRDefault="0004010E" w:rsidP="005357F0">
      <w:pPr>
        <w:pStyle w:val="Heading1"/>
        <w:rPr>
          <w:lang w:val="de-DE"/>
        </w:rPr>
      </w:pPr>
      <w:bookmarkStart w:id="13" w:name="_Toc475085392"/>
      <w:bookmarkStart w:id="14" w:name="_Toc524518038"/>
      <w:bookmarkEnd w:id="5"/>
      <w:r w:rsidRPr="005D5995">
        <w:rPr>
          <w:lang w:val="de-DE"/>
        </w:rPr>
        <w:lastRenderedPageBreak/>
        <w:t>Zusammenfassung der Ansätze</w:t>
      </w:r>
      <w:bookmarkEnd w:id="13"/>
      <w:bookmarkEnd w:id="14"/>
    </w:p>
    <w:p w14:paraId="12BEFFB7" w14:textId="77777777" w:rsidR="00B91E18" w:rsidRPr="005D5995" w:rsidRDefault="00B91E18" w:rsidP="00B91E18">
      <w:pPr>
        <w:keepNext/>
        <w:rPr>
          <w:rFonts w:cs="Arial"/>
          <w:caps/>
          <w:snapToGrid w:val="0"/>
          <w:lang w:val="de-DE"/>
        </w:rPr>
      </w:pPr>
    </w:p>
    <w:p w14:paraId="4464C4AE" w14:textId="381B5340" w:rsidR="00B91E18" w:rsidRPr="005D5995" w:rsidRDefault="00B91E18" w:rsidP="00B91E18">
      <w:pPr>
        <w:rPr>
          <w:szCs w:val="24"/>
          <w:lang w:val="de-DE"/>
        </w:rPr>
      </w:pPr>
      <w:r w:rsidRPr="005D5995">
        <w:fldChar w:fldCharType="begin"/>
      </w:r>
      <w:r w:rsidRPr="005D5995">
        <w:rPr>
          <w:lang w:val="de-DE"/>
        </w:rPr>
        <w:instrText xml:space="preserve"> AUTONUM  </w:instrText>
      </w:r>
      <w:r w:rsidRPr="005D5995">
        <w:fldChar w:fldCharType="end"/>
      </w:r>
      <w:r w:rsidRPr="005D5995">
        <w:rPr>
          <w:lang w:val="de-DE"/>
        </w:rPr>
        <w:tab/>
      </w:r>
      <w:r w:rsidR="002C64EC" w:rsidRPr="005D5995">
        <w:rPr>
          <w:szCs w:val="24"/>
          <w:lang w:val="de-DE"/>
        </w:rPr>
        <w:t xml:space="preserve">Anlagen I und II dieses Dokuments fassen verschiedene Situationen, in denen unterschiedliche Proben für die Gesamtprüfung der Homogenität einer Sorte </w:t>
      </w:r>
      <w:r w:rsidR="0023676B" w:rsidRPr="005D5995">
        <w:rPr>
          <w:szCs w:val="24"/>
          <w:lang w:val="de-DE"/>
        </w:rPr>
        <w:t xml:space="preserve">kombiniert </w:t>
      </w:r>
      <w:r w:rsidR="001B7732" w:rsidRPr="005D5995">
        <w:rPr>
          <w:szCs w:val="24"/>
          <w:lang w:val="de-DE"/>
        </w:rPr>
        <w:t>werden</w:t>
      </w:r>
      <w:r w:rsidR="004743FD">
        <w:rPr>
          <w:szCs w:val="24"/>
          <w:lang w:val="de-DE"/>
        </w:rPr>
        <w:t>,</w:t>
      </w:r>
      <w:r w:rsidR="001B7732" w:rsidRPr="005D5995">
        <w:rPr>
          <w:szCs w:val="24"/>
          <w:lang w:val="de-DE"/>
        </w:rPr>
        <w:t xml:space="preserve"> </w:t>
      </w:r>
      <w:r w:rsidR="002C64EC" w:rsidRPr="005D5995">
        <w:rPr>
          <w:szCs w:val="24"/>
          <w:lang w:val="de-DE"/>
        </w:rPr>
        <w:t xml:space="preserve">gemäß den Entschließungen des TC auf seiner </w:t>
      </w:r>
      <w:r w:rsidR="00C14C96" w:rsidRPr="005D5995">
        <w:rPr>
          <w:szCs w:val="24"/>
          <w:lang w:val="de-DE"/>
        </w:rPr>
        <w:t>drei</w:t>
      </w:r>
      <w:r w:rsidR="002C64EC" w:rsidRPr="005D5995">
        <w:rPr>
          <w:szCs w:val="24"/>
          <w:lang w:val="de-DE"/>
        </w:rPr>
        <w:t xml:space="preserve">undfünfzigsten Tagung </w:t>
      </w:r>
      <w:r w:rsidR="005D5995" w:rsidRPr="005D5995">
        <w:rPr>
          <w:szCs w:val="24"/>
          <w:lang w:val="de-DE"/>
        </w:rPr>
        <w:t xml:space="preserve">und </w:t>
      </w:r>
      <w:r w:rsidR="002C64EC" w:rsidRPr="005D5995">
        <w:rPr>
          <w:szCs w:val="24"/>
          <w:lang w:val="de-DE"/>
        </w:rPr>
        <w:t xml:space="preserve">aufgrund der Vorschläge von den TWP </w:t>
      </w:r>
      <w:r w:rsidR="004B220C" w:rsidRPr="005D5995">
        <w:rPr>
          <w:szCs w:val="24"/>
          <w:lang w:val="de-DE"/>
        </w:rPr>
        <w:t xml:space="preserve">auf ihren Tagungen im Jahr </w:t>
      </w:r>
      <w:r w:rsidR="002C64EC" w:rsidRPr="005D5995">
        <w:rPr>
          <w:szCs w:val="24"/>
          <w:lang w:val="de-DE"/>
        </w:rPr>
        <w:t>2017</w:t>
      </w:r>
      <w:r w:rsidR="00757738" w:rsidRPr="005D5995">
        <w:rPr>
          <w:szCs w:val="24"/>
          <w:lang w:val="de-DE"/>
        </w:rPr>
        <w:t xml:space="preserve"> und dem </w:t>
      </w:r>
      <w:r w:rsidR="002C64EC" w:rsidRPr="005D5995">
        <w:rPr>
          <w:szCs w:val="24"/>
          <w:lang w:val="de-DE"/>
        </w:rPr>
        <w:t>TC-EDC</w:t>
      </w:r>
      <w:r w:rsidR="00757738" w:rsidRPr="005D5995">
        <w:rPr>
          <w:szCs w:val="24"/>
          <w:lang w:val="de-DE"/>
        </w:rPr>
        <w:t xml:space="preserve"> auf seiner Tagung im März</w:t>
      </w:r>
      <w:r w:rsidR="002C64EC" w:rsidRPr="005D5995">
        <w:rPr>
          <w:szCs w:val="24"/>
          <w:lang w:val="de-DE"/>
        </w:rPr>
        <w:t xml:space="preserve"> 2018 zusammen</w:t>
      </w:r>
      <w:r w:rsidR="00126DA7" w:rsidRPr="005D5995">
        <w:rPr>
          <w:szCs w:val="24"/>
          <w:lang w:val="de-DE"/>
        </w:rPr>
        <w:t>.</w:t>
      </w:r>
    </w:p>
    <w:p w14:paraId="68DA1FB3" w14:textId="77777777" w:rsidR="00B91E18" w:rsidRPr="005D5995" w:rsidRDefault="00B91E18" w:rsidP="00B91E18">
      <w:pPr>
        <w:rPr>
          <w:rFonts w:cs="Arial"/>
          <w:sz w:val="18"/>
          <w:szCs w:val="22"/>
          <w:u w:val="single"/>
          <w:lang w:val="de-DE"/>
        </w:rPr>
      </w:pPr>
    </w:p>
    <w:p w14:paraId="12FF03BA" w14:textId="7BE50626" w:rsidR="00B91E18" w:rsidRPr="005D5995" w:rsidRDefault="00B91E18" w:rsidP="00B91E18">
      <w:pPr>
        <w:rPr>
          <w:lang w:val="de-DE"/>
        </w:rPr>
      </w:pPr>
      <w:r w:rsidRPr="005D5995">
        <w:fldChar w:fldCharType="begin"/>
      </w:r>
      <w:r w:rsidRPr="005D5995">
        <w:rPr>
          <w:lang w:val="de-DE"/>
        </w:rPr>
        <w:instrText xml:space="preserve"> AUTONUM  </w:instrText>
      </w:r>
      <w:r w:rsidRPr="005D5995">
        <w:fldChar w:fldCharType="end"/>
      </w:r>
      <w:r w:rsidRPr="005D5995">
        <w:rPr>
          <w:lang w:val="de-DE"/>
        </w:rPr>
        <w:tab/>
      </w:r>
      <w:r w:rsidR="0004010E" w:rsidRPr="005D5995">
        <w:rPr>
          <w:lang w:val="de-DE"/>
        </w:rPr>
        <w:t xml:space="preserve">Die Zusammenfassung in den Anlagen I und II bezieht sich lediglich auf Situationen, in denen mehr als eine Probe oder Unterprobe die Prüfung desselben Merkmals betreffen. Im Falle verschiedener Proben oder Unterproben (z. B. Sonderprüfung) zur Prüfung eines unterschiedlichen Merkmals gibt es keine Anforderung </w:t>
      </w:r>
      <w:r w:rsidR="004743FD">
        <w:rPr>
          <w:lang w:val="de-DE"/>
        </w:rPr>
        <w:t>zur</w:t>
      </w:r>
      <w:r w:rsidR="0004010E" w:rsidRPr="005D5995">
        <w:rPr>
          <w:lang w:val="de-DE"/>
        </w:rPr>
        <w:t xml:space="preserve"> Kombination der Ergebnisse, da eine Sorte in allen maßgeblichen Merkmalen homogen sein </w:t>
      </w:r>
      <w:proofErr w:type="spellStart"/>
      <w:r w:rsidR="0004010E" w:rsidRPr="005D5995">
        <w:rPr>
          <w:lang w:val="de-DE"/>
        </w:rPr>
        <w:t>muß</w:t>
      </w:r>
      <w:proofErr w:type="spellEnd"/>
      <w:r w:rsidR="0004010E" w:rsidRPr="005D5995">
        <w:rPr>
          <w:lang w:val="de-DE"/>
        </w:rPr>
        <w:t>.</w:t>
      </w:r>
    </w:p>
    <w:p w14:paraId="5C3EA70C" w14:textId="77777777" w:rsidR="00903098" w:rsidRPr="005D5995" w:rsidRDefault="00903098" w:rsidP="00B91E18">
      <w:pPr>
        <w:jc w:val="left"/>
        <w:rPr>
          <w:szCs w:val="24"/>
          <w:lang w:val="de-DE"/>
        </w:rPr>
      </w:pPr>
    </w:p>
    <w:p w14:paraId="6A9B6534" w14:textId="77777777" w:rsidR="00903098" w:rsidRPr="005D5995" w:rsidRDefault="00903098" w:rsidP="00B91E18">
      <w:pPr>
        <w:jc w:val="left"/>
        <w:rPr>
          <w:szCs w:val="24"/>
          <w:lang w:val="de-DE"/>
        </w:rPr>
      </w:pPr>
    </w:p>
    <w:p w14:paraId="668660AB" w14:textId="77777777" w:rsidR="00B91E18" w:rsidRPr="005D5995" w:rsidRDefault="00B91E18" w:rsidP="00B91E18">
      <w:pPr>
        <w:pStyle w:val="DecisionParagraphs"/>
        <w:keepNext/>
        <w:tabs>
          <w:tab w:val="left" w:pos="567"/>
          <w:tab w:val="left" w:pos="1134"/>
        </w:tabs>
        <w:rPr>
          <w:lang w:val="de-DE"/>
        </w:rPr>
      </w:pPr>
      <w:r w:rsidRPr="005D5995">
        <w:fldChar w:fldCharType="begin"/>
      </w:r>
      <w:r w:rsidRPr="005D5995">
        <w:rPr>
          <w:lang w:val="de-DE"/>
        </w:rPr>
        <w:instrText xml:space="preserve"> AUTONUM  </w:instrText>
      </w:r>
      <w:r w:rsidRPr="005D5995">
        <w:fldChar w:fldCharType="end"/>
      </w:r>
      <w:r w:rsidRPr="005D5995">
        <w:rPr>
          <w:lang w:val="de-DE"/>
        </w:rPr>
        <w:tab/>
      </w:r>
      <w:r w:rsidR="0004010E" w:rsidRPr="005D5995">
        <w:rPr>
          <w:lang w:val="de-DE"/>
        </w:rPr>
        <w:t>Der TC wird ersucht:</w:t>
      </w:r>
    </w:p>
    <w:p w14:paraId="4C3765B9" w14:textId="77777777" w:rsidR="00B91E18" w:rsidRPr="005D5995" w:rsidRDefault="00B91E18" w:rsidP="00B91E18">
      <w:pPr>
        <w:pStyle w:val="DecisionParagraphs"/>
        <w:keepLines/>
        <w:tabs>
          <w:tab w:val="left" w:pos="567"/>
          <w:tab w:val="left" w:pos="1134"/>
        </w:tabs>
        <w:ind w:firstLine="567"/>
        <w:rPr>
          <w:lang w:val="de-DE"/>
        </w:rPr>
      </w:pPr>
    </w:p>
    <w:p w14:paraId="04464FBD" w14:textId="27E1C319" w:rsidR="003851A9" w:rsidRPr="005D5995" w:rsidRDefault="003851A9" w:rsidP="003851A9">
      <w:pPr>
        <w:pStyle w:val="DecisionParagraphs"/>
        <w:keepLines/>
        <w:tabs>
          <w:tab w:val="left" w:pos="567"/>
          <w:tab w:val="left" w:pos="1134"/>
          <w:tab w:val="left" w:pos="5954"/>
        </w:tabs>
        <w:ind w:firstLine="567"/>
        <w:rPr>
          <w:lang w:val="de-DE"/>
        </w:rPr>
      </w:pPr>
      <w:r w:rsidRPr="005D5995">
        <w:rPr>
          <w:lang w:val="de-DE"/>
        </w:rPr>
        <w:t>a)</w:t>
      </w:r>
      <w:r w:rsidRPr="005D5995">
        <w:rPr>
          <w:lang w:val="de-DE"/>
        </w:rPr>
        <w:tab/>
      </w:r>
      <w:r w:rsidR="00031DEA" w:rsidRPr="005D5995">
        <w:rPr>
          <w:lang w:val="de-DE"/>
        </w:rPr>
        <w:t xml:space="preserve">den Entwurf einer Anleitung, </w:t>
      </w:r>
      <w:r w:rsidR="005D5995" w:rsidRPr="005D5995">
        <w:rPr>
          <w:lang w:val="de-DE"/>
        </w:rPr>
        <w:t>w</w:t>
      </w:r>
      <w:r w:rsidR="00031DEA" w:rsidRPr="005D5995">
        <w:rPr>
          <w:lang w:val="de-DE"/>
        </w:rPr>
        <w:t xml:space="preserve">ie in den Anlagen I und II dieses Dokuments </w:t>
      </w:r>
      <w:r w:rsidR="002D1622" w:rsidRPr="005D5995">
        <w:rPr>
          <w:lang w:val="de-DE"/>
        </w:rPr>
        <w:t>dargelegt</w:t>
      </w:r>
      <w:r w:rsidR="00031DEA" w:rsidRPr="005D5995">
        <w:rPr>
          <w:lang w:val="de-DE"/>
        </w:rPr>
        <w:t xml:space="preserve">, zur Aufnahme in eine künftige Überarbeitung des Dokuments TGP/10 „Prüfung der Homogenität, </w:t>
      </w:r>
      <w:r w:rsidR="004743FD">
        <w:rPr>
          <w:lang w:val="de-DE"/>
        </w:rPr>
        <w:t>zu prüfen</w:t>
      </w:r>
      <w:r w:rsidR="00031DEA" w:rsidRPr="005D5995">
        <w:rPr>
          <w:lang w:val="de-DE"/>
        </w:rPr>
        <w:t>“</w:t>
      </w:r>
      <w:r w:rsidR="004743FD">
        <w:rPr>
          <w:lang w:val="de-DE"/>
        </w:rPr>
        <w:t>,</w:t>
      </w:r>
      <w:r w:rsidR="00031DEA" w:rsidRPr="005D5995">
        <w:rPr>
          <w:lang w:val="de-DE"/>
        </w:rPr>
        <w:t xml:space="preserve"> wie vom TC-EDC</w:t>
      </w:r>
      <w:r w:rsidR="007D2706" w:rsidRPr="005D5995">
        <w:rPr>
          <w:lang w:val="de-DE"/>
        </w:rPr>
        <w:t xml:space="preserve"> vorgeschlagen</w:t>
      </w:r>
      <w:r w:rsidRPr="005D5995">
        <w:rPr>
          <w:lang w:val="de-DE"/>
        </w:rPr>
        <w:t>;</w:t>
      </w:r>
    </w:p>
    <w:p w14:paraId="186DBDDC" w14:textId="77777777" w:rsidR="003851A9" w:rsidRPr="005D5995" w:rsidRDefault="003851A9" w:rsidP="00B91E18">
      <w:pPr>
        <w:pStyle w:val="DecisionParagraphs"/>
        <w:keepLines/>
        <w:tabs>
          <w:tab w:val="left" w:pos="567"/>
          <w:tab w:val="left" w:pos="1134"/>
        </w:tabs>
        <w:ind w:firstLine="567"/>
        <w:rPr>
          <w:lang w:val="de-DE"/>
        </w:rPr>
      </w:pPr>
    </w:p>
    <w:p w14:paraId="45195D3D" w14:textId="71632851" w:rsidR="00002AF6" w:rsidRPr="005D5995" w:rsidRDefault="003851A9" w:rsidP="00002AF6">
      <w:pPr>
        <w:pStyle w:val="DecisionParagraphs"/>
        <w:keepLines/>
        <w:tabs>
          <w:tab w:val="left" w:pos="567"/>
          <w:tab w:val="left" w:pos="1134"/>
          <w:tab w:val="left" w:pos="5954"/>
        </w:tabs>
        <w:ind w:firstLine="567"/>
        <w:rPr>
          <w:lang w:val="de-DE"/>
        </w:rPr>
      </w:pPr>
      <w:r w:rsidRPr="005D5995">
        <w:rPr>
          <w:lang w:val="de-DE"/>
        </w:rPr>
        <w:t>b</w:t>
      </w:r>
      <w:r w:rsidR="00002AF6" w:rsidRPr="005D5995">
        <w:rPr>
          <w:lang w:val="de-DE"/>
        </w:rPr>
        <w:t>)</w:t>
      </w:r>
      <w:r w:rsidR="00002AF6" w:rsidRPr="005D5995">
        <w:rPr>
          <w:lang w:val="de-DE"/>
        </w:rPr>
        <w:tab/>
      </w:r>
      <w:r w:rsidR="00031DEA" w:rsidRPr="005D5995">
        <w:rPr>
          <w:lang w:val="de-DE"/>
        </w:rPr>
        <w:t xml:space="preserve">zur Kenntnis zu nehmen, </w:t>
      </w:r>
      <w:proofErr w:type="spellStart"/>
      <w:r w:rsidR="00031DEA" w:rsidRPr="005D5995">
        <w:rPr>
          <w:lang w:val="de-DE"/>
        </w:rPr>
        <w:t>daß</w:t>
      </w:r>
      <w:proofErr w:type="spellEnd"/>
      <w:r w:rsidR="00031DEA" w:rsidRPr="005D5995">
        <w:rPr>
          <w:lang w:val="de-DE"/>
        </w:rPr>
        <w:t xml:space="preserve"> die TWC </w:t>
      </w:r>
      <w:r w:rsidR="00BE7F94" w:rsidRPr="005D5995">
        <w:rPr>
          <w:lang w:val="de-DE"/>
        </w:rPr>
        <w:t>vereinbart</w:t>
      </w:r>
      <w:r w:rsidR="004743FD">
        <w:rPr>
          <w:lang w:val="de-DE"/>
        </w:rPr>
        <w:t xml:space="preserve"> hat</w:t>
      </w:r>
      <w:r w:rsidR="00031DEA" w:rsidRPr="005D5995">
        <w:rPr>
          <w:lang w:val="de-DE"/>
        </w:rPr>
        <w:t xml:space="preserve">, </w:t>
      </w:r>
      <w:proofErr w:type="spellStart"/>
      <w:r w:rsidR="00031DEA" w:rsidRPr="005D5995">
        <w:rPr>
          <w:lang w:val="de-DE"/>
        </w:rPr>
        <w:t>daß</w:t>
      </w:r>
      <w:proofErr w:type="spellEnd"/>
      <w:r w:rsidR="00031DEA" w:rsidRPr="005D5995">
        <w:rPr>
          <w:lang w:val="de-DE"/>
        </w:rPr>
        <w:t xml:space="preserve"> die verschiedenen Ansätze in manchen Fällen </w:t>
      </w:r>
      <w:r w:rsidR="0030431F">
        <w:rPr>
          <w:lang w:val="de-DE"/>
        </w:rPr>
        <w:t xml:space="preserve">verschiedene Ergebnisse hervorbrächten </w:t>
      </w:r>
      <w:r w:rsidR="00031DEA" w:rsidRPr="005D5995">
        <w:rPr>
          <w:lang w:val="de-DE"/>
        </w:rPr>
        <w:t xml:space="preserve">und </w:t>
      </w:r>
      <w:proofErr w:type="spellStart"/>
      <w:r w:rsidR="00031DEA" w:rsidRPr="005D5995">
        <w:rPr>
          <w:lang w:val="de-DE"/>
        </w:rPr>
        <w:t>daß</w:t>
      </w:r>
      <w:proofErr w:type="spellEnd"/>
      <w:r w:rsidR="00031DEA" w:rsidRPr="005D5995">
        <w:rPr>
          <w:lang w:val="de-DE"/>
        </w:rPr>
        <w:t xml:space="preserve"> kleinere Probengrößen und </w:t>
      </w:r>
      <w:r w:rsidR="005D5995" w:rsidRPr="005D5995">
        <w:rPr>
          <w:lang w:val="de-DE"/>
        </w:rPr>
        <w:t>die</w:t>
      </w:r>
      <w:r w:rsidR="00031DEA" w:rsidRPr="005D5995">
        <w:rPr>
          <w:lang w:val="de-DE"/>
        </w:rPr>
        <w:t xml:space="preserve"> zulässige Zahl von </w:t>
      </w:r>
      <w:proofErr w:type="spellStart"/>
      <w:r w:rsidR="00031DEA" w:rsidRPr="005D5995">
        <w:rPr>
          <w:lang w:val="de-DE"/>
        </w:rPr>
        <w:t>Abweichern</w:t>
      </w:r>
      <w:proofErr w:type="spellEnd"/>
      <w:r w:rsidR="00031DEA" w:rsidRPr="005D5995">
        <w:rPr>
          <w:lang w:val="de-DE"/>
        </w:rPr>
        <w:t xml:space="preserve"> (z.B. Gemüsearten) Grenzfälle hervorheben könn</w:t>
      </w:r>
      <w:r w:rsidR="00292E90" w:rsidRPr="005D5995">
        <w:rPr>
          <w:lang w:val="de-DE"/>
        </w:rPr>
        <w:t>t</w:t>
      </w:r>
      <w:r w:rsidR="00031DEA" w:rsidRPr="005D5995">
        <w:rPr>
          <w:lang w:val="de-DE"/>
        </w:rPr>
        <w:t xml:space="preserve">en, in denen durch die </w:t>
      </w:r>
      <w:r w:rsidR="00DA63DA" w:rsidRPr="005D5995">
        <w:rPr>
          <w:lang w:val="de-DE"/>
        </w:rPr>
        <w:t>Verwendung</w:t>
      </w:r>
      <w:r w:rsidR="00031DEA" w:rsidRPr="005D5995">
        <w:rPr>
          <w:lang w:val="de-DE"/>
        </w:rPr>
        <w:t xml:space="preserve"> verschiedener Ansätze </w:t>
      </w:r>
      <w:r w:rsidR="005D5995" w:rsidRPr="005D5995">
        <w:rPr>
          <w:lang w:val="de-DE"/>
        </w:rPr>
        <w:t xml:space="preserve">verschiedene Ergebnisse </w:t>
      </w:r>
      <w:r w:rsidR="00031DEA" w:rsidRPr="005D5995">
        <w:rPr>
          <w:lang w:val="de-DE"/>
        </w:rPr>
        <w:t>hervorgebracht werden könn</w:t>
      </w:r>
      <w:r w:rsidR="0026649C" w:rsidRPr="005D5995">
        <w:rPr>
          <w:lang w:val="de-DE"/>
        </w:rPr>
        <w:t>t</w:t>
      </w:r>
      <w:r w:rsidR="00031DEA" w:rsidRPr="005D5995">
        <w:rPr>
          <w:lang w:val="de-DE"/>
        </w:rPr>
        <w:t>en; und</w:t>
      </w:r>
    </w:p>
    <w:p w14:paraId="791ACF77" w14:textId="77777777" w:rsidR="00002AF6" w:rsidRPr="005D5995" w:rsidRDefault="00002AF6" w:rsidP="00002AF6">
      <w:pPr>
        <w:pStyle w:val="DecisionParagraphs"/>
        <w:keepLines/>
        <w:tabs>
          <w:tab w:val="left" w:pos="567"/>
          <w:tab w:val="left" w:pos="1134"/>
          <w:tab w:val="left" w:pos="5954"/>
        </w:tabs>
        <w:ind w:firstLine="567"/>
        <w:rPr>
          <w:lang w:val="de-DE"/>
        </w:rPr>
      </w:pPr>
    </w:p>
    <w:p w14:paraId="1495EE10" w14:textId="3C266447" w:rsidR="00B91E18" w:rsidRPr="005D5995" w:rsidRDefault="003851A9" w:rsidP="00C63DA6">
      <w:pPr>
        <w:pStyle w:val="DecisionParagraphs"/>
        <w:keepLines/>
        <w:tabs>
          <w:tab w:val="left" w:pos="567"/>
          <w:tab w:val="left" w:pos="1134"/>
          <w:tab w:val="left" w:pos="5954"/>
        </w:tabs>
        <w:ind w:firstLine="567"/>
        <w:rPr>
          <w:lang w:val="de-DE"/>
        </w:rPr>
      </w:pPr>
      <w:r w:rsidRPr="005D5995">
        <w:rPr>
          <w:lang w:val="de-DE"/>
        </w:rPr>
        <w:t>c</w:t>
      </w:r>
      <w:r w:rsidR="00B91E18" w:rsidRPr="005D5995">
        <w:rPr>
          <w:lang w:val="de-DE"/>
        </w:rPr>
        <w:t>)</w:t>
      </w:r>
      <w:r w:rsidR="00B91E18" w:rsidRPr="005D5995">
        <w:rPr>
          <w:lang w:val="de-DE"/>
        </w:rPr>
        <w:tab/>
      </w:r>
      <w:r w:rsidR="00031DEA" w:rsidRPr="005D5995">
        <w:rPr>
          <w:lang w:val="de-DE"/>
        </w:rPr>
        <w:t xml:space="preserve">zur Kenntnis zu nehmen, </w:t>
      </w:r>
      <w:proofErr w:type="spellStart"/>
      <w:r w:rsidR="00031DEA" w:rsidRPr="005D5995">
        <w:rPr>
          <w:lang w:val="de-DE"/>
        </w:rPr>
        <w:t>daß</w:t>
      </w:r>
      <w:proofErr w:type="spellEnd"/>
      <w:r w:rsidR="00031DEA" w:rsidRPr="005D5995">
        <w:rPr>
          <w:lang w:val="de-DE"/>
        </w:rPr>
        <w:t xml:space="preserve"> die TWC </w:t>
      </w:r>
      <w:r w:rsidR="00BE7F94" w:rsidRPr="005D5995">
        <w:rPr>
          <w:lang w:val="de-DE"/>
        </w:rPr>
        <w:t>vereinbart</w:t>
      </w:r>
      <w:r w:rsidR="004743FD">
        <w:rPr>
          <w:lang w:val="de-DE"/>
        </w:rPr>
        <w:t xml:space="preserve"> hat</w:t>
      </w:r>
      <w:r w:rsidR="00031DEA" w:rsidRPr="005D5995">
        <w:rPr>
          <w:lang w:val="de-DE"/>
        </w:rPr>
        <w:t xml:space="preserve">, </w:t>
      </w:r>
      <w:proofErr w:type="spellStart"/>
      <w:r w:rsidR="00031DEA" w:rsidRPr="005D5995">
        <w:rPr>
          <w:lang w:val="de-DE"/>
        </w:rPr>
        <w:t>daß</w:t>
      </w:r>
      <w:proofErr w:type="spellEnd"/>
      <w:r w:rsidR="00031DEA" w:rsidRPr="005D5995">
        <w:rPr>
          <w:lang w:val="de-DE"/>
        </w:rPr>
        <w:t xml:space="preserve"> es nicht praktisch wäre, Tabellen mit der zulässigen Zahl von </w:t>
      </w:r>
      <w:proofErr w:type="spellStart"/>
      <w:r w:rsidR="00031DEA" w:rsidRPr="005D5995">
        <w:rPr>
          <w:lang w:val="de-DE"/>
        </w:rPr>
        <w:t>Abweichern</w:t>
      </w:r>
      <w:proofErr w:type="spellEnd"/>
      <w:r w:rsidR="00031DEA" w:rsidRPr="005D5995">
        <w:rPr>
          <w:lang w:val="de-DE"/>
        </w:rPr>
        <w:t xml:space="preserve"> für </w:t>
      </w:r>
      <w:r w:rsidR="00DF2DE8" w:rsidRPr="005D5995">
        <w:rPr>
          <w:lang w:val="de-DE"/>
        </w:rPr>
        <w:t>die Gesamtprüfung</w:t>
      </w:r>
      <w:r w:rsidR="00031DEA" w:rsidRPr="005D5995">
        <w:rPr>
          <w:lang w:val="de-DE"/>
        </w:rPr>
        <w:t xml:space="preserve"> zur Prüfung der Homogenität anhand von </w:t>
      </w:r>
      <w:proofErr w:type="spellStart"/>
      <w:r w:rsidR="00031DEA" w:rsidRPr="005D5995">
        <w:rPr>
          <w:lang w:val="de-DE"/>
        </w:rPr>
        <w:t>Abweichern</w:t>
      </w:r>
      <w:proofErr w:type="spellEnd"/>
      <w:r w:rsidR="00031DEA" w:rsidRPr="005D5995">
        <w:rPr>
          <w:lang w:val="de-DE"/>
        </w:rPr>
        <w:t xml:space="preserve"> aufgrund von mehr als einer Wachstumsperiode </w:t>
      </w:r>
      <w:r w:rsidR="00B8174E" w:rsidRPr="005D5995">
        <w:rPr>
          <w:lang w:val="de-DE"/>
        </w:rPr>
        <w:t>zu erstellen</w:t>
      </w:r>
      <w:r w:rsidR="00C05D68" w:rsidRPr="005D5995">
        <w:rPr>
          <w:lang w:val="de-DE"/>
        </w:rPr>
        <w:t xml:space="preserve">, und </w:t>
      </w:r>
      <w:proofErr w:type="spellStart"/>
      <w:r w:rsidR="00C05D68" w:rsidRPr="005D5995">
        <w:rPr>
          <w:lang w:val="de-DE"/>
        </w:rPr>
        <w:t>daß</w:t>
      </w:r>
      <w:proofErr w:type="spellEnd"/>
      <w:r w:rsidR="00C05D68" w:rsidRPr="005D5995">
        <w:rPr>
          <w:lang w:val="de-DE"/>
        </w:rPr>
        <w:t xml:space="preserve"> </w:t>
      </w:r>
      <w:r w:rsidR="00031DEA" w:rsidRPr="005D5995">
        <w:rPr>
          <w:lang w:val="de-DE"/>
        </w:rPr>
        <w:t xml:space="preserve">künftig </w:t>
      </w:r>
      <w:r w:rsidR="00DF2DE8" w:rsidRPr="005D5995">
        <w:rPr>
          <w:lang w:val="de-DE"/>
        </w:rPr>
        <w:t>Software nötig sein könnte</w:t>
      </w:r>
      <w:r w:rsidR="00031DEA" w:rsidRPr="005D5995">
        <w:rPr>
          <w:lang w:val="de-DE"/>
        </w:rPr>
        <w:t>, um solche Risiken zu berechnen</w:t>
      </w:r>
      <w:r w:rsidRPr="005D5995">
        <w:rPr>
          <w:lang w:val="de-DE"/>
        </w:rPr>
        <w:t>.</w:t>
      </w:r>
    </w:p>
    <w:p w14:paraId="56DA8998" w14:textId="77777777" w:rsidR="00B91E18" w:rsidRPr="005D5995" w:rsidRDefault="00B91E18" w:rsidP="00B91E18">
      <w:pPr>
        <w:pStyle w:val="DecisionParagraphs"/>
        <w:keepLines/>
        <w:tabs>
          <w:tab w:val="clear" w:pos="5387"/>
        </w:tabs>
        <w:ind w:left="4536" w:firstLine="567"/>
        <w:rPr>
          <w:lang w:val="de-DE"/>
        </w:rPr>
      </w:pPr>
    </w:p>
    <w:p w14:paraId="18DD6563" w14:textId="77777777" w:rsidR="00B91E18" w:rsidRPr="005D5995" w:rsidRDefault="00B91E18" w:rsidP="00B91E18">
      <w:pPr>
        <w:pStyle w:val="DecisionParagraphs"/>
        <w:keepLines/>
        <w:tabs>
          <w:tab w:val="clear" w:pos="5387"/>
        </w:tabs>
        <w:ind w:left="4536" w:firstLine="567"/>
        <w:rPr>
          <w:lang w:val="de-DE"/>
        </w:rPr>
      </w:pPr>
    </w:p>
    <w:p w14:paraId="0087404A" w14:textId="77777777" w:rsidR="00B91E18" w:rsidRPr="005D5995" w:rsidRDefault="00B91E18" w:rsidP="00B91E18">
      <w:pPr>
        <w:pStyle w:val="DecisionParagraphs"/>
        <w:keepLines/>
        <w:tabs>
          <w:tab w:val="clear" w:pos="5387"/>
        </w:tabs>
        <w:ind w:left="4536" w:firstLine="567"/>
        <w:rPr>
          <w:lang w:val="de-DE"/>
        </w:rPr>
      </w:pPr>
    </w:p>
    <w:p w14:paraId="5FBA08A2" w14:textId="77777777" w:rsidR="00B91E18" w:rsidRPr="005D5995" w:rsidRDefault="00C602C9" w:rsidP="00C602C9">
      <w:pPr>
        <w:jc w:val="right"/>
      </w:pPr>
      <w:r w:rsidRPr="005D5995">
        <w:t xml:space="preserve">[Anlagen </w:t>
      </w:r>
      <w:proofErr w:type="spellStart"/>
      <w:r w:rsidRPr="005D5995">
        <w:t>folgen</w:t>
      </w:r>
      <w:proofErr w:type="spellEnd"/>
      <w:r w:rsidRPr="005D5995">
        <w:t>]</w:t>
      </w:r>
    </w:p>
    <w:p w14:paraId="7EEA2011" w14:textId="77777777" w:rsidR="00B91E18" w:rsidRPr="005D5995" w:rsidRDefault="00B91E18" w:rsidP="00B91E18">
      <w:pPr>
        <w:jc w:val="left"/>
        <w:sectPr w:rsidR="00B91E18" w:rsidRPr="005D5995" w:rsidSect="003077D7">
          <w:headerReference w:type="default" r:id="rId8"/>
          <w:pgSz w:w="11907" w:h="16840" w:code="9"/>
          <w:pgMar w:top="510" w:right="1134" w:bottom="993" w:left="1134" w:header="510" w:footer="680" w:gutter="0"/>
          <w:cols w:space="720"/>
          <w:titlePg/>
        </w:sectPr>
      </w:pPr>
    </w:p>
    <w:tbl>
      <w:tblPr>
        <w:tblW w:w="10206"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206"/>
      </w:tblGrid>
      <w:tr w:rsidR="005D5995" w:rsidRPr="00C96F4D" w14:paraId="6870521C" w14:textId="77777777" w:rsidTr="0075446C">
        <w:trPr>
          <w:trHeight w:val="350"/>
        </w:trPr>
        <w:tc>
          <w:tcPr>
            <w:tcW w:w="10206" w:type="dxa"/>
          </w:tcPr>
          <w:p w14:paraId="76DD2315" w14:textId="77777777" w:rsidR="002C64EC" w:rsidRPr="005D5995" w:rsidRDefault="002C64EC" w:rsidP="0075446C">
            <w:pPr>
              <w:autoSpaceDE w:val="0"/>
              <w:autoSpaceDN w:val="0"/>
              <w:adjustRightInd w:val="0"/>
              <w:jc w:val="center"/>
              <w:rPr>
                <w:rFonts w:eastAsia="SimSun"/>
                <w:szCs w:val="24"/>
                <w:lang w:val="de-DE" w:eastAsia="zh-CN"/>
              </w:rPr>
            </w:pPr>
          </w:p>
          <w:p w14:paraId="1C97E706" w14:textId="77777777" w:rsidR="002C64EC" w:rsidRPr="005D5995" w:rsidRDefault="002C64EC" w:rsidP="0075446C">
            <w:pPr>
              <w:autoSpaceDE w:val="0"/>
              <w:autoSpaceDN w:val="0"/>
              <w:adjustRightInd w:val="0"/>
              <w:jc w:val="center"/>
              <w:rPr>
                <w:rFonts w:eastAsia="SimSun"/>
                <w:szCs w:val="24"/>
                <w:lang w:val="de-DE" w:eastAsia="zh-CN"/>
              </w:rPr>
            </w:pPr>
            <w:r w:rsidRPr="005D5995">
              <w:rPr>
                <w:rFonts w:eastAsia="SimSun"/>
                <w:szCs w:val="24"/>
                <w:lang w:val="de-DE" w:eastAsia="zh-CN"/>
              </w:rPr>
              <w:t xml:space="preserve">PRÜFUNG DER HOMOGENITÄT ANHAND VON ABWEICHERN AUFGRUND VON MEHR ALS EINER WACHSTUMSPERIODE </w:t>
            </w:r>
          </w:p>
          <w:p w14:paraId="0A86978A" w14:textId="77777777" w:rsidR="002C64EC" w:rsidRPr="005D5995" w:rsidRDefault="002C64EC" w:rsidP="0075446C">
            <w:pPr>
              <w:autoSpaceDE w:val="0"/>
              <w:autoSpaceDN w:val="0"/>
              <w:adjustRightInd w:val="0"/>
              <w:jc w:val="center"/>
              <w:rPr>
                <w:rFonts w:eastAsia="SimSun"/>
                <w:szCs w:val="24"/>
                <w:lang w:val="de-DE" w:eastAsia="zh-CN"/>
              </w:rPr>
            </w:pPr>
          </w:p>
        </w:tc>
      </w:tr>
      <w:tr w:rsidR="002C64EC" w:rsidRPr="00C96F4D" w14:paraId="534F6F93" w14:textId="77777777" w:rsidTr="0075446C">
        <w:trPr>
          <w:trHeight w:val="8239"/>
        </w:trPr>
        <w:tc>
          <w:tcPr>
            <w:tcW w:w="10206" w:type="dxa"/>
          </w:tcPr>
          <w:p w14:paraId="380AF93A" w14:textId="77777777" w:rsidR="002C64EC" w:rsidRPr="005D5995" w:rsidRDefault="002C64EC" w:rsidP="0075446C">
            <w:pPr>
              <w:rPr>
                <w:lang w:val="de-DE"/>
              </w:rPr>
            </w:pPr>
          </w:p>
          <w:p w14:paraId="180805FB" w14:textId="77777777" w:rsidR="002C64EC" w:rsidRPr="005D5995" w:rsidRDefault="002C64EC" w:rsidP="0075446C">
            <w:pPr>
              <w:rPr>
                <w:szCs w:val="24"/>
                <w:lang w:val="de-DE"/>
              </w:rPr>
            </w:pPr>
            <w:r w:rsidRPr="005D5995">
              <w:rPr>
                <w:lang w:val="de-DE"/>
              </w:rPr>
              <w:t>Zwei unabhängige Wachstumsperioden könnten an einem einzigen Prüfungsort in verschiedenen Jahren oder an unterschiedlichen Prüfungsorten im selben Jahr stattfinden gemäß Dokument TGP/8 Teil I, Abschnitte 1.2 und 1.3.</w:t>
            </w:r>
          </w:p>
          <w:p w14:paraId="06DA34D8" w14:textId="77777777" w:rsidR="002C64EC" w:rsidRPr="005D5995" w:rsidRDefault="002C64EC" w:rsidP="0075446C">
            <w:pPr>
              <w:rPr>
                <w:szCs w:val="24"/>
                <w:lang w:val="de-DE"/>
              </w:rPr>
            </w:pPr>
          </w:p>
          <w:p w14:paraId="7C2A00F5" w14:textId="77777777" w:rsidR="002C64EC" w:rsidRPr="005D5995" w:rsidRDefault="002C64EC" w:rsidP="0075446C">
            <w:pPr>
              <w:rPr>
                <w:szCs w:val="24"/>
                <w:lang w:val="de-DE"/>
              </w:rPr>
            </w:pPr>
            <w:r w:rsidRPr="005D5995">
              <w:rPr>
                <w:lang w:val="de-DE"/>
              </w:rPr>
              <w:t xml:space="preserve">Die folgende Anleitung ist nicht für die Verwendung zur Prüfung der Homogenität anhand von </w:t>
            </w:r>
            <w:proofErr w:type="spellStart"/>
            <w:r w:rsidRPr="005D5995">
              <w:rPr>
                <w:lang w:val="de-DE"/>
              </w:rPr>
              <w:t>Abweichern</w:t>
            </w:r>
            <w:proofErr w:type="spellEnd"/>
            <w:r w:rsidRPr="005D5995">
              <w:rPr>
                <w:lang w:val="de-DE"/>
              </w:rPr>
              <w:t xml:space="preserve"> an den gleichen Pflanzen in zwei Wachstumsperioden vorgesehen. Ergebnisse aus Wachstumsperioden unter Verwendung verschiedener Partien von Vermehrungsmaterial sollten nicht kombiniert werden.</w:t>
            </w:r>
          </w:p>
          <w:p w14:paraId="59571FE2" w14:textId="77777777" w:rsidR="002C64EC" w:rsidRPr="005D5995" w:rsidRDefault="002C64EC" w:rsidP="0075446C">
            <w:pPr>
              <w:rPr>
                <w:szCs w:val="24"/>
                <w:lang w:val="de-DE"/>
              </w:rPr>
            </w:pPr>
          </w:p>
          <w:p w14:paraId="7E6F0713" w14:textId="77777777" w:rsidR="002C64EC" w:rsidRPr="005D5995" w:rsidRDefault="002C64EC" w:rsidP="0075446C">
            <w:pPr>
              <w:rPr>
                <w:b/>
                <w:szCs w:val="24"/>
                <w:lang w:val="de-DE"/>
              </w:rPr>
            </w:pPr>
            <w:r w:rsidRPr="005D5995">
              <w:rPr>
                <w:b/>
                <w:szCs w:val="24"/>
                <w:lang w:val="de-DE"/>
              </w:rPr>
              <w:t xml:space="preserve">Ansatz 1: Dritte Wachstumsperiode im Fall widersprüchlicher Ergebnisse </w:t>
            </w:r>
          </w:p>
          <w:p w14:paraId="046F6C47" w14:textId="77777777" w:rsidR="002C64EC" w:rsidRPr="005D5995" w:rsidRDefault="002C64EC" w:rsidP="0075446C">
            <w:pPr>
              <w:rPr>
                <w:b/>
                <w:szCs w:val="24"/>
                <w:lang w:val="de-DE"/>
              </w:rPr>
            </w:pPr>
          </w:p>
          <w:p w14:paraId="41998362" w14:textId="77777777" w:rsidR="002C64EC" w:rsidRPr="005D5995" w:rsidRDefault="002C64EC" w:rsidP="0075446C">
            <w:pPr>
              <w:rPr>
                <w:rFonts w:eastAsia="SimSun"/>
                <w:szCs w:val="24"/>
                <w:lang w:val="de-DE" w:eastAsia="zh-CN"/>
              </w:rPr>
            </w:pPr>
            <w:r w:rsidRPr="005D5995">
              <w:rPr>
                <w:rFonts w:eastAsia="SimSun"/>
                <w:szCs w:val="24"/>
                <w:lang w:val="de-DE" w:eastAsia="zh-CN"/>
              </w:rPr>
              <w:t>Eine Sorte wird als homogen betrachtet, wenn sie in beiden Wachstumsperioden dem Homogenitätsstandard entspricht.</w:t>
            </w:r>
          </w:p>
          <w:p w14:paraId="39522B28" w14:textId="77777777" w:rsidR="002C64EC" w:rsidRPr="005D5995" w:rsidRDefault="002C64EC" w:rsidP="0075446C">
            <w:pPr>
              <w:rPr>
                <w:rFonts w:eastAsia="SimSun"/>
                <w:szCs w:val="24"/>
                <w:lang w:val="de-DE" w:eastAsia="zh-CN"/>
              </w:rPr>
            </w:pPr>
          </w:p>
          <w:p w14:paraId="204E6E3B" w14:textId="77777777" w:rsidR="002C64EC" w:rsidRPr="005D5995" w:rsidRDefault="002C64EC" w:rsidP="0075446C">
            <w:pPr>
              <w:rPr>
                <w:rFonts w:eastAsia="SimSun"/>
                <w:szCs w:val="24"/>
                <w:lang w:val="de-DE" w:eastAsia="zh-CN"/>
              </w:rPr>
            </w:pPr>
            <w:r w:rsidRPr="005D5995">
              <w:rPr>
                <w:rFonts w:eastAsia="SimSun"/>
                <w:szCs w:val="24"/>
                <w:lang w:val="de-DE" w:eastAsia="zh-CN"/>
              </w:rPr>
              <w:t>Eine Sorte wird als nicht homogen betrachtet, wenn sie in beiden Wachstumsperioden nicht dem Homogenitätsstandard entspricht.</w:t>
            </w:r>
          </w:p>
          <w:p w14:paraId="7BE798F5" w14:textId="77777777" w:rsidR="002C64EC" w:rsidRPr="005D5995" w:rsidRDefault="002C64EC" w:rsidP="0075446C">
            <w:pPr>
              <w:rPr>
                <w:rFonts w:eastAsia="SimSun"/>
                <w:szCs w:val="24"/>
                <w:lang w:val="de-DE" w:eastAsia="zh-CN"/>
              </w:rPr>
            </w:pPr>
          </w:p>
          <w:p w14:paraId="7EE3F2CD" w14:textId="77777777" w:rsidR="002C64EC" w:rsidRPr="005D5995" w:rsidRDefault="002C64EC" w:rsidP="0075446C">
            <w:pPr>
              <w:rPr>
                <w:rFonts w:eastAsia="SimSun"/>
                <w:szCs w:val="24"/>
                <w:lang w:val="de-DE" w:eastAsia="zh-CN"/>
              </w:rPr>
            </w:pPr>
            <w:r w:rsidRPr="005D5995">
              <w:rPr>
                <w:rFonts w:eastAsia="SimSun"/>
                <w:szCs w:val="24"/>
                <w:lang w:val="de-DE" w:eastAsia="zh-CN"/>
              </w:rPr>
              <w:t>Entspricht die Sorte am Ende der beiden Wachstumsperioden in einer Wachstumsperiode dem Homogenitätsstandard, in der anderen Wachstumsperiode aber nicht, dann wird die Homogenität in einer dritten Wachstumsperiode geprüft. Liegt die Sorte in der dritten Wachstumsperiode im Homogenitätsstandard, so wird die Sorte als homogen betrachtet. Entspricht die Sorte in der dritten Wachstumsperiode nicht dem Homogenitätsstandard, so wird die Sorte als nicht homogen betrachtet.</w:t>
            </w:r>
          </w:p>
          <w:p w14:paraId="09E68FCC" w14:textId="77777777" w:rsidR="002C64EC" w:rsidRPr="005D5995" w:rsidRDefault="002C64EC" w:rsidP="0075446C">
            <w:pPr>
              <w:rPr>
                <w:rFonts w:eastAsia="SimSun"/>
                <w:szCs w:val="24"/>
                <w:lang w:val="de-DE" w:eastAsia="zh-CN"/>
              </w:rPr>
            </w:pPr>
          </w:p>
          <w:p w14:paraId="6D27392F" w14:textId="60D8A10C" w:rsidR="002C64EC" w:rsidRPr="005D5995" w:rsidRDefault="002C64EC" w:rsidP="0075446C">
            <w:pPr>
              <w:keepNext/>
              <w:keepLines/>
              <w:rPr>
                <w:rFonts w:eastAsia="SimSun"/>
                <w:lang w:val="de-DE" w:eastAsia="zh-CN"/>
              </w:rPr>
            </w:pPr>
            <w:r w:rsidRPr="005D5995">
              <w:rPr>
                <w:rFonts w:eastAsia="SimSun"/>
                <w:lang w:val="de-DE" w:eastAsia="zh-CN"/>
              </w:rPr>
              <w:t xml:space="preserve">Bei der Prüfung von Ergebnissen, die in jeder der Wachstumsperioden sehr unterschiedlich sind, </w:t>
            </w:r>
            <w:proofErr w:type="spellStart"/>
            <w:r w:rsidRPr="005D5995">
              <w:rPr>
                <w:rFonts w:eastAsia="SimSun"/>
                <w:lang w:val="de-DE" w:eastAsia="zh-CN"/>
              </w:rPr>
              <w:t>muß</w:t>
            </w:r>
            <w:proofErr w:type="spellEnd"/>
            <w:r w:rsidRPr="005D5995">
              <w:rPr>
                <w:rFonts w:eastAsia="SimSun"/>
                <w:lang w:val="de-DE" w:eastAsia="zh-CN"/>
              </w:rPr>
              <w:t xml:space="preserve"> mit größter Sorgfalt verfahren werden, </w:t>
            </w:r>
            <w:proofErr w:type="gramStart"/>
            <w:r w:rsidRPr="005D5995">
              <w:rPr>
                <w:rFonts w:eastAsia="SimSun"/>
                <w:lang w:val="de-DE" w:eastAsia="zh-CN"/>
              </w:rPr>
              <w:t>etwa</w:t>
            </w:r>
            <w:proofErr w:type="gramEnd"/>
            <w:r w:rsidRPr="005D5995">
              <w:rPr>
                <w:rFonts w:eastAsia="SimSun"/>
                <w:lang w:val="de-DE" w:eastAsia="zh-CN"/>
              </w:rPr>
              <w:t xml:space="preserve"> wenn ein </w:t>
            </w:r>
            <w:proofErr w:type="spellStart"/>
            <w:r w:rsidRPr="005D5995">
              <w:rPr>
                <w:rFonts w:eastAsia="SimSun"/>
                <w:lang w:val="de-DE" w:eastAsia="zh-CN"/>
              </w:rPr>
              <w:t>Abweichertyp</w:t>
            </w:r>
            <w:proofErr w:type="spellEnd"/>
            <w:r w:rsidRPr="005D5995">
              <w:rPr>
                <w:rFonts w:eastAsia="SimSun"/>
                <w:lang w:val="de-DE" w:eastAsia="zh-CN"/>
              </w:rPr>
              <w:t xml:space="preserve"> in einer Wachstumsperiode sehr häufig und in einer anderen überhaupt nicht vorkommt</w:t>
            </w:r>
            <w:r w:rsidRPr="005D5995">
              <w:rPr>
                <w:lang w:val="de-DE"/>
              </w:rPr>
              <w:t xml:space="preserve">. Es ist wichtig, zu identifizieren, ob Unterschiede in der Anzahl von </w:t>
            </w:r>
            <w:proofErr w:type="spellStart"/>
            <w:r w:rsidRPr="005D5995">
              <w:rPr>
                <w:lang w:val="de-DE"/>
              </w:rPr>
              <w:t>Abweichern</w:t>
            </w:r>
            <w:proofErr w:type="spellEnd"/>
            <w:r w:rsidRPr="005D5995">
              <w:rPr>
                <w:lang w:val="de-DE"/>
              </w:rPr>
              <w:t xml:space="preserve"> zwischen Wachstumsperioden durch </w:t>
            </w:r>
            <w:r w:rsidR="005F166F" w:rsidRPr="005D5995">
              <w:rPr>
                <w:rFonts w:eastAsia="SimSun"/>
                <w:lang w:val="de-DE" w:eastAsia="zh-CN"/>
              </w:rPr>
              <w:t>Umweltursachen und Unterschiede in der Art der Probennahme bedingt sind.</w:t>
            </w:r>
          </w:p>
          <w:p w14:paraId="1BB1134B" w14:textId="733DE0DC" w:rsidR="005F166F" w:rsidRPr="005D5995" w:rsidRDefault="005F166F" w:rsidP="0075446C">
            <w:pPr>
              <w:keepNext/>
              <w:keepLines/>
              <w:rPr>
                <w:rFonts w:eastAsia="SimSun"/>
                <w:lang w:val="de-DE" w:eastAsia="zh-CN"/>
              </w:rPr>
            </w:pPr>
          </w:p>
          <w:p w14:paraId="0CB63524" w14:textId="77777777" w:rsidR="005D5995" w:rsidRDefault="005F166F" w:rsidP="0075446C">
            <w:pPr>
              <w:rPr>
                <w:rFonts w:cs="Arial"/>
                <w:bCs/>
                <w:snapToGrid w:val="0"/>
                <w:lang w:val="de-DE"/>
              </w:rPr>
            </w:pPr>
            <w:r w:rsidRPr="005D5995">
              <w:rPr>
                <w:rFonts w:cs="Arial"/>
                <w:bCs/>
                <w:snapToGrid w:val="0"/>
                <w:lang w:val="de-DE"/>
              </w:rPr>
              <w:t xml:space="preserve">Außerdem kann eine Sorte, falls sie in der ersten Wachstumsperiode </w:t>
            </w:r>
            <w:r w:rsidR="00DF2DE8" w:rsidRPr="005D5995">
              <w:rPr>
                <w:rFonts w:cs="Arial"/>
                <w:bCs/>
                <w:snapToGrid w:val="0"/>
                <w:lang w:val="de-DE"/>
              </w:rPr>
              <w:t>einen festgelegten oberen Grenzwert</w:t>
            </w:r>
            <w:r w:rsidRPr="005D5995">
              <w:rPr>
                <w:rFonts w:cs="Arial"/>
                <w:bCs/>
                <w:snapToGrid w:val="0"/>
                <w:lang w:val="de-DE"/>
              </w:rPr>
              <w:t xml:space="preserve"> für </w:t>
            </w:r>
            <w:proofErr w:type="spellStart"/>
            <w:r w:rsidRPr="005D5995">
              <w:rPr>
                <w:rFonts w:cs="Arial"/>
                <w:bCs/>
                <w:snapToGrid w:val="0"/>
                <w:lang w:val="de-DE"/>
              </w:rPr>
              <w:t>Abweicher</w:t>
            </w:r>
            <w:proofErr w:type="spellEnd"/>
            <w:r w:rsidRPr="005D5995">
              <w:rPr>
                <w:rFonts w:cs="Arial"/>
                <w:bCs/>
                <w:snapToGrid w:val="0"/>
                <w:lang w:val="de-DE"/>
              </w:rPr>
              <w:t xml:space="preserve"> </w:t>
            </w:r>
            <w:r w:rsidR="00DF2DE8" w:rsidRPr="005D5995">
              <w:rPr>
                <w:rFonts w:cs="Arial"/>
                <w:bCs/>
                <w:snapToGrid w:val="0"/>
                <w:lang w:val="de-DE"/>
              </w:rPr>
              <w:t>übersteigt</w:t>
            </w:r>
            <w:r w:rsidRPr="005D5995">
              <w:rPr>
                <w:rFonts w:cs="Arial"/>
                <w:bCs/>
                <w:snapToGrid w:val="0"/>
                <w:lang w:val="de-DE"/>
              </w:rPr>
              <w:t>, nach einer Wachstumsperiode zurückgewiesen werden.</w:t>
            </w:r>
            <w:r w:rsidR="005D5995">
              <w:rPr>
                <w:rFonts w:cs="Arial"/>
                <w:bCs/>
                <w:snapToGrid w:val="0"/>
                <w:lang w:val="de-DE"/>
              </w:rPr>
              <w:t xml:space="preserve"> </w:t>
            </w:r>
          </w:p>
          <w:p w14:paraId="373772E6" w14:textId="77777777" w:rsidR="00441385" w:rsidRDefault="00441385" w:rsidP="0075446C">
            <w:pPr>
              <w:rPr>
                <w:b/>
                <w:szCs w:val="24"/>
                <w:lang w:val="de-DE"/>
              </w:rPr>
            </w:pPr>
          </w:p>
          <w:p w14:paraId="6230C7E4" w14:textId="452152E3" w:rsidR="002C64EC" w:rsidRPr="005D5995" w:rsidRDefault="002C64EC" w:rsidP="0075446C">
            <w:pPr>
              <w:rPr>
                <w:b/>
                <w:szCs w:val="24"/>
                <w:lang w:val="de-DE"/>
              </w:rPr>
            </w:pPr>
            <w:r w:rsidRPr="005D5995">
              <w:rPr>
                <w:b/>
                <w:szCs w:val="24"/>
                <w:lang w:val="de-DE"/>
              </w:rPr>
              <w:t>Ansatz 2: Kombination der Ergebnisse aus zwei Wachstumsperioden im Fall widersprüchlicher Ergebnisse</w:t>
            </w:r>
          </w:p>
          <w:p w14:paraId="047169E5" w14:textId="77777777" w:rsidR="002C64EC" w:rsidRPr="005D5995" w:rsidRDefault="002C64EC" w:rsidP="0075446C">
            <w:pPr>
              <w:keepNext/>
              <w:keepLines/>
              <w:rPr>
                <w:rFonts w:eastAsia="MS Mincho"/>
                <w:lang w:val="de-DE" w:eastAsia="ja-JP"/>
              </w:rPr>
            </w:pPr>
          </w:p>
          <w:p w14:paraId="0DF83788" w14:textId="77777777" w:rsidR="002C64EC" w:rsidRPr="005D5995" w:rsidRDefault="002C64EC" w:rsidP="0075446C">
            <w:pPr>
              <w:rPr>
                <w:rFonts w:eastAsia="SimSun"/>
                <w:lang w:val="de-DE"/>
              </w:rPr>
            </w:pPr>
            <w:r w:rsidRPr="005D5995">
              <w:rPr>
                <w:lang w:val="de-DE"/>
              </w:rPr>
              <w:t>Eine Sorte wird als homogen betrachtet, wenn sie in beiden Wachstumsperioden dem Homogenitätsstandard entspricht.</w:t>
            </w:r>
          </w:p>
          <w:p w14:paraId="06771EDF" w14:textId="77777777" w:rsidR="002C64EC" w:rsidRPr="005D5995" w:rsidRDefault="002C64EC" w:rsidP="0075446C">
            <w:pPr>
              <w:rPr>
                <w:rFonts w:eastAsia="SimSun"/>
                <w:lang w:val="de-DE"/>
              </w:rPr>
            </w:pPr>
          </w:p>
          <w:p w14:paraId="22E808E9" w14:textId="77777777" w:rsidR="002C64EC" w:rsidRPr="005D5995" w:rsidRDefault="002C64EC" w:rsidP="0075446C">
            <w:pPr>
              <w:rPr>
                <w:rFonts w:eastAsia="SimSun"/>
                <w:lang w:val="de-DE"/>
              </w:rPr>
            </w:pPr>
            <w:r w:rsidRPr="005D5995">
              <w:rPr>
                <w:lang w:val="de-DE"/>
              </w:rPr>
              <w:t>Eine Sorte wird als nicht homogen betrachtet, wenn sie in beiden Wachstumsperioden nicht dem Homogenitätsstandard entspricht.</w:t>
            </w:r>
          </w:p>
          <w:p w14:paraId="3AAA9974" w14:textId="77777777" w:rsidR="002C64EC" w:rsidRPr="005D5995" w:rsidRDefault="002C64EC" w:rsidP="0075446C">
            <w:pPr>
              <w:rPr>
                <w:rFonts w:eastAsia="SimSun"/>
                <w:lang w:val="de-DE"/>
              </w:rPr>
            </w:pPr>
          </w:p>
          <w:p w14:paraId="3DCDC391" w14:textId="77777777" w:rsidR="002C64EC" w:rsidRPr="005D5995" w:rsidRDefault="002C64EC" w:rsidP="0075446C">
            <w:pPr>
              <w:keepNext/>
              <w:keepLines/>
              <w:rPr>
                <w:rFonts w:eastAsia="SimSun"/>
                <w:lang w:val="de-DE"/>
              </w:rPr>
            </w:pPr>
            <w:r w:rsidRPr="005D5995">
              <w:rPr>
                <w:lang w:val="de-DE"/>
              </w:rPr>
              <w:t xml:space="preserve">Entspricht die Sorte am Ende der beiden Wachstumsperioden in einer Wachstumsperiode dem Homogenitätsstandard, in der anderen Wachstumsperiode aber nicht, wird eine Sorte als homogen betrachtet, wenn die Gesamtanzahl der </w:t>
            </w:r>
            <w:proofErr w:type="spellStart"/>
            <w:r w:rsidRPr="005D5995">
              <w:rPr>
                <w:lang w:val="de-DE"/>
              </w:rPr>
              <w:t>Abweicher</w:t>
            </w:r>
            <w:proofErr w:type="spellEnd"/>
            <w:r w:rsidRPr="005D5995">
              <w:rPr>
                <w:lang w:val="de-DE"/>
              </w:rPr>
              <w:t xml:space="preserve"> am Ende der beiden Wachstumsperioden die Anzahl der erlaubten </w:t>
            </w:r>
            <w:proofErr w:type="spellStart"/>
            <w:r w:rsidRPr="005D5995">
              <w:rPr>
                <w:lang w:val="de-DE"/>
              </w:rPr>
              <w:t>Abweicher</w:t>
            </w:r>
            <w:proofErr w:type="spellEnd"/>
            <w:r w:rsidRPr="005D5995">
              <w:rPr>
                <w:lang w:val="de-DE"/>
              </w:rPr>
              <w:t xml:space="preserve"> der Probengröße in den kombinierten Wachstumsperioden 1 und 2 nicht übersteigt.</w:t>
            </w:r>
          </w:p>
          <w:p w14:paraId="19D47602" w14:textId="77777777" w:rsidR="002C64EC" w:rsidRPr="005D5995" w:rsidRDefault="002C64EC" w:rsidP="0075446C">
            <w:pPr>
              <w:keepNext/>
              <w:keepLines/>
              <w:ind w:right="459"/>
              <w:rPr>
                <w:rFonts w:eastAsia="SimSun"/>
                <w:lang w:val="de-DE"/>
              </w:rPr>
            </w:pPr>
          </w:p>
          <w:p w14:paraId="06BFE686" w14:textId="71A72D9C" w:rsidR="002C64EC" w:rsidRPr="005D5995" w:rsidRDefault="002C64EC" w:rsidP="0075446C">
            <w:pPr>
              <w:keepNext/>
              <w:keepLines/>
              <w:rPr>
                <w:rFonts w:eastAsia="SimSun"/>
                <w:lang w:val="de-DE" w:eastAsia="zh-CN"/>
              </w:rPr>
            </w:pPr>
            <w:r w:rsidRPr="005D5995">
              <w:rPr>
                <w:lang w:val="de-DE"/>
              </w:rPr>
              <w:t xml:space="preserve">Bei der Prüfung von Ergebnissen, die in jeder der Wachstumsperioden sehr unterschiedlich sind, </w:t>
            </w:r>
            <w:proofErr w:type="spellStart"/>
            <w:r w:rsidRPr="005D5995">
              <w:rPr>
                <w:lang w:val="de-DE"/>
              </w:rPr>
              <w:t>muß</w:t>
            </w:r>
            <w:proofErr w:type="spellEnd"/>
            <w:r w:rsidRPr="005D5995">
              <w:rPr>
                <w:lang w:val="de-DE"/>
              </w:rPr>
              <w:t xml:space="preserve"> mit größter Sorgfalt verfahren werden, </w:t>
            </w:r>
            <w:proofErr w:type="gramStart"/>
            <w:r w:rsidRPr="005D5995">
              <w:rPr>
                <w:lang w:val="de-DE"/>
              </w:rPr>
              <w:t>etwa</w:t>
            </w:r>
            <w:proofErr w:type="gramEnd"/>
            <w:r w:rsidRPr="005D5995">
              <w:rPr>
                <w:lang w:val="de-DE"/>
              </w:rPr>
              <w:t xml:space="preserve"> wenn ein </w:t>
            </w:r>
            <w:proofErr w:type="spellStart"/>
            <w:r w:rsidRPr="005D5995">
              <w:rPr>
                <w:lang w:val="de-DE"/>
              </w:rPr>
              <w:t>Abweichertyp</w:t>
            </w:r>
            <w:proofErr w:type="spellEnd"/>
            <w:r w:rsidRPr="005D5995">
              <w:rPr>
                <w:lang w:val="de-DE"/>
              </w:rPr>
              <w:t xml:space="preserve"> in einer Wachstumsperiode sehr häufig und in einer anderen überhaupt nicht vorkommt</w:t>
            </w:r>
            <w:r w:rsidRPr="005D5995">
              <w:rPr>
                <w:rFonts w:eastAsia="SimSun"/>
                <w:lang w:val="de-DE" w:eastAsia="zh-CN"/>
              </w:rPr>
              <w:t xml:space="preserve">. </w:t>
            </w:r>
            <w:r w:rsidRPr="005D5995">
              <w:rPr>
                <w:lang w:val="de-DE"/>
              </w:rPr>
              <w:t xml:space="preserve">Gegebenenfalls sollte eine statistische Prüfung auf Einheitlichkeit durchgeführt werden. Es ist wichtig, zu identifizieren, ob Unterschiede in der Anzahl von </w:t>
            </w:r>
            <w:proofErr w:type="spellStart"/>
            <w:r w:rsidRPr="005D5995">
              <w:rPr>
                <w:lang w:val="de-DE"/>
              </w:rPr>
              <w:t>Abweichern</w:t>
            </w:r>
            <w:proofErr w:type="spellEnd"/>
            <w:r w:rsidRPr="005D5995">
              <w:rPr>
                <w:lang w:val="de-DE"/>
              </w:rPr>
              <w:t xml:space="preserve"> zwischen Wachstumsperioden durch </w:t>
            </w:r>
            <w:r w:rsidR="00FF4D2A" w:rsidRPr="005D5995">
              <w:rPr>
                <w:rFonts w:eastAsia="SimSun"/>
                <w:lang w:val="de-DE" w:eastAsia="zh-CN"/>
              </w:rPr>
              <w:t>Umweltursachen und Unterschiede in der Art der Probennahme bedingt sind.</w:t>
            </w:r>
          </w:p>
          <w:p w14:paraId="7AD5EF26" w14:textId="7C4472CC" w:rsidR="00FF4D2A" w:rsidRPr="005D5995" w:rsidRDefault="00FF4D2A" w:rsidP="0075446C">
            <w:pPr>
              <w:keepNext/>
              <w:keepLines/>
              <w:rPr>
                <w:rFonts w:eastAsia="SimSun"/>
                <w:lang w:val="de-DE" w:eastAsia="zh-CN"/>
              </w:rPr>
            </w:pPr>
          </w:p>
          <w:p w14:paraId="104D0955" w14:textId="6A0E1C6D" w:rsidR="005D5995" w:rsidRDefault="00FF4D2A" w:rsidP="0075446C">
            <w:pPr>
              <w:keepNext/>
              <w:ind w:left="34"/>
              <w:rPr>
                <w:rFonts w:cs="Arial"/>
                <w:bCs/>
                <w:snapToGrid w:val="0"/>
                <w:lang w:val="de-DE"/>
              </w:rPr>
            </w:pPr>
            <w:r w:rsidRPr="005D5995">
              <w:rPr>
                <w:rFonts w:cs="Arial"/>
                <w:bCs/>
                <w:snapToGrid w:val="0"/>
                <w:lang w:val="de-DE"/>
              </w:rPr>
              <w:t xml:space="preserve">Außerdem kann eine Sorte, falls sie in der ersten Wachstumsperiode </w:t>
            </w:r>
            <w:r w:rsidR="00DF2DE8" w:rsidRPr="005D5995">
              <w:rPr>
                <w:rFonts w:cs="Arial"/>
                <w:bCs/>
                <w:snapToGrid w:val="0"/>
                <w:lang w:val="de-DE"/>
              </w:rPr>
              <w:t>einen festgelegten oberen Grenzwert</w:t>
            </w:r>
            <w:r w:rsidRPr="005D5995">
              <w:rPr>
                <w:rFonts w:cs="Arial"/>
                <w:bCs/>
                <w:snapToGrid w:val="0"/>
                <w:lang w:val="de-DE"/>
              </w:rPr>
              <w:t xml:space="preserve"> für </w:t>
            </w:r>
            <w:proofErr w:type="spellStart"/>
            <w:r w:rsidRPr="005D5995">
              <w:rPr>
                <w:rFonts w:cs="Arial"/>
                <w:bCs/>
                <w:snapToGrid w:val="0"/>
                <w:lang w:val="de-DE"/>
              </w:rPr>
              <w:t>Abweicher</w:t>
            </w:r>
            <w:proofErr w:type="spellEnd"/>
            <w:r w:rsidRPr="005D5995">
              <w:rPr>
                <w:rFonts w:cs="Arial"/>
                <w:bCs/>
                <w:snapToGrid w:val="0"/>
                <w:lang w:val="de-DE"/>
              </w:rPr>
              <w:t xml:space="preserve"> </w:t>
            </w:r>
            <w:r w:rsidR="00DF2DE8" w:rsidRPr="005D5995">
              <w:rPr>
                <w:rFonts w:cs="Arial"/>
                <w:bCs/>
                <w:snapToGrid w:val="0"/>
                <w:lang w:val="de-DE"/>
              </w:rPr>
              <w:t>übersteigt</w:t>
            </w:r>
            <w:r w:rsidRPr="005D5995">
              <w:rPr>
                <w:rFonts w:cs="Arial"/>
                <w:bCs/>
                <w:snapToGrid w:val="0"/>
                <w:lang w:val="de-DE"/>
              </w:rPr>
              <w:t>, nach einer Wachstumsperiode zurückgewiesen werden.</w:t>
            </w:r>
          </w:p>
          <w:p w14:paraId="1BF9C2AA" w14:textId="77777777" w:rsidR="005D5995" w:rsidRDefault="005D5995" w:rsidP="0075446C">
            <w:pPr>
              <w:keepNext/>
              <w:ind w:left="34"/>
              <w:rPr>
                <w:b/>
                <w:bCs/>
                <w:lang w:val="de-DE"/>
              </w:rPr>
            </w:pPr>
          </w:p>
          <w:p w14:paraId="759D051B" w14:textId="766BADDC" w:rsidR="002C64EC" w:rsidRPr="005D5995" w:rsidRDefault="002C64EC" w:rsidP="0075446C">
            <w:pPr>
              <w:keepNext/>
              <w:ind w:left="34"/>
              <w:rPr>
                <w:b/>
                <w:bCs/>
                <w:lang w:val="de-DE"/>
              </w:rPr>
            </w:pPr>
            <w:r w:rsidRPr="005D5995">
              <w:rPr>
                <w:b/>
                <w:bCs/>
                <w:lang w:val="de-DE"/>
              </w:rPr>
              <w:t>Ansatz 3: Kombination der Ergebnisse aus zwei Wachstumsperioden</w:t>
            </w:r>
          </w:p>
          <w:p w14:paraId="23D9DDC3" w14:textId="77777777" w:rsidR="002C64EC" w:rsidRPr="005D5995" w:rsidRDefault="002C64EC" w:rsidP="0075446C">
            <w:pPr>
              <w:keepNext/>
              <w:ind w:left="34"/>
              <w:rPr>
                <w:lang w:val="de-DE"/>
              </w:rPr>
            </w:pPr>
          </w:p>
          <w:p w14:paraId="781D4C8A" w14:textId="77777777" w:rsidR="002C64EC" w:rsidRPr="005D5995" w:rsidRDefault="002C64EC" w:rsidP="0075446C">
            <w:pPr>
              <w:ind w:left="34"/>
              <w:rPr>
                <w:lang w:val="de-DE"/>
              </w:rPr>
            </w:pPr>
            <w:r w:rsidRPr="005D5995">
              <w:rPr>
                <w:lang w:val="de-DE"/>
              </w:rPr>
              <w:t xml:space="preserve">Eine Sorte wird als homogen betrachtet, wenn die Gesamtzahl der </w:t>
            </w:r>
            <w:proofErr w:type="spellStart"/>
            <w:r w:rsidRPr="005D5995">
              <w:rPr>
                <w:lang w:val="de-DE"/>
              </w:rPr>
              <w:t>Abweicher</w:t>
            </w:r>
            <w:proofErr w:type="spellEnd"/>
            <w:r w:rsidRPr="005D5995">
              <w:rPr>
                <w:lang w:val="de-DE"/>
              </w:rPr>
              <w:t xml:space="preserve"> am Ende der beiden Wachstumsperioden die Anzahl der erlaubten </w:t>
            </w:r>
            <w:proofErr w:type="spellStart"/>
            <w:r w:rsidRPr="005D5995">
              <w:rPr>
                <w:lang w:val="de-DE"/>
              </w:rPr>
              <w:t>Abweicher</w:t>
            </w:r>
            <w:proofErr w:type="spellEnd"/>
            <w:r w:rsidRPr="005D5995">
              <w:rPr>
                <w:lang w:val="de-DE"/>
              </w:rPr>
              <w:t xml:space="preserve"> in der kombinierten Probe nicht übersteigt.</w:t>
            </w:r>
          </w:p>
          <w:p w14:paraId="170E4E02" w14:textId="77777777" w:rsidR="002C64EC" w:rsidRPr="005D5995" w:rsidRDefault="002C64EC" w:rsidP="0075446C">
            <w:pPr>
              <w:ind w:left="34"/>
              <w:rPr>
                <w:lang w:val="de-DE"/>
              </w:rPr>
            </w:pPr>
          </w:p>
          <w:p w14:paraId="1AD37094" w14:textId="77777777" w:rsidR="002C64EC" w:rsidRPr="005D5995" w:rsidRDefault="002C64EC" w:rsidP="0075446C">
            <w:pPr>
              <w:ind w:left="34"/>
              <w:rPr>
                <w:lang w:val="de-DE"/>
              </w:rPr>
            </w:pPr>
            <w:r w:rsidRPr="005D5995">
              <w:rPr>
                <w:lang w:val="de-DE"/>
              </w:rPr>
              <w:t xml:space="preserve">Eine Sorte wird als nicht homogen betrachtet, wenn die Gesamtanzahl der </w:t>
            </w:r>
            <w:proofErr w:type="spellStart"/>
            <w:r w:rsidRPr="005D5995">
              <w:rPr>
                <w:lang w:val="de-DE"/>
              </w:rPr>
              <w:t>Abweicher</w:t>
            </w:r>
            <w:proofErr w:type="spellEnd"/>
            <w:r w:rsidRPr="005D5995">
              <w:rPr>
                <w:lang w:val="de-DE"/>
              </w:rPr>
              <w:t xml:space="preserve"> am Ende der beiden Wachstumsperioden die Anzahl der erlaubten </w:t>
            </w:r>
            <w:proofErr w:type="spellStart"/>
            <w:r w:rsidRPr="005D5995">
              <w:rPr>
                <w:lang w:val="de-DE"/>
              </w:rPr>
              <w:t>Abweicher</w:t>
            </w:r>
            <w:proofErr w:type="spellEnd"/>
            <w:r w:rsidRPr="005D5995">
              <w:rPr>
                <w:lang w:val="de-DE"/>
              </w:rPr>
              <w:t xml:space="preserve"> der kombinierten Probe übersteigt.</w:t>
            </w:r>
          </w:p>
          <w:p w14:paraId="3C92AD0A" w14:textId="77777777" w:rsidR="002C64EC" w:rsidRPr="005D5995" w:rsidRDefault="002C64EC" w:rsidP="0075446C">
            <w:pPr>
              <w:ind w:left="34"/>
              <w:rPr>
                <w:lang w:val="de-DE"/>
              </w:rPr>
            </w:pPr>
          </w:p>
          <w:p w14:paraId="62053937" w14:textId="77777777" w:rsidR="002C64EC" w:rsidRPr="005D5995" w:rsidRDefault="002C64EC" w:rsidP="0075446C">
            <w:pPr>
              <w:ind w:left="34"/>
              <w:rPr>
                <w:lang w:val="de-DE"/>
              </w:rPr>
            </w:pPr>
            <w:r w:rsidRPr="005D5995">
              <w:rPr>
                <w:lang w:val="de-DE"/>
              </w:rPr>
              <w:t xml:space="preserve">Eine Sorte kann nach einer Wachstumsperiode zurückgewiesen werden, wenn die Anzahl der </w:t>
            </w:r>
            <w:proofErr w:type="spellStart"/>
            <w:r w:rsidRPr="005D5995">
              <w:rPr>
                <w:lang w:val="de-DE"/>
              </w:rPr>
              <w:t>Abweicher</w:t>
            </w:r>
            <w:proofErr w:type="spellEnd"/>
            <w:r w:rsidRPr="005D5995">
              <w:rPr>
                <w:lang w:val="de-DE"/>
              </w:rPr>
              <w:t xml:space="preserve"> die Anzahl der erlaubten </w:t>
            </w:r>
            <w:proofErr w:type="spellStart"/>
            <w:r w:rsidRPr="005D5995">
              <w:rPr>
                <w:lang w:val="de-DE"/>
              </w:rPr>
              <w:t>Abweicher</w:t>
            </w:r>
            <w:proofErr w:type="spellEnd"/>
            <w:r w:rsidRPr="005D5995">
              <w:rPr>
                <w:lang w:val="de-DE"/>
              </w:rPr>
              <w:t xml:space="preserve"> der kombinierten Probe (über zwei Perioden) übersteigt.</w:t>
            </w:r>
          </w:p>
          <w:p w14:paraId="7D70D1FC" w14:textId="77777777" w:rsidR="002C64EC" w:rsidRPr="005D5995" w:rsidRDefault="002C64EC" w:rsidP="0075446C">
            <w:pPr>
              <w:ind w:left="34"/>
              <w:rPr>
                <w:u w:val="single"/>
                <w:lang w:val="de-DE"/>
              </w:rPr>
            </w:pPr>
          </w:p>
          <w:p w14:paraId="3E44F24A" w14:textId="19AD2006" w:rsidR="002C64EC" w:rsidRPr="005D5995" w:rsidRDefault="002C64EC" w:rsidP="001A5F8C">
            <w:pPr>
              <w:ind w:left="34"/>
              <w:rPr>
                <w:lang w:val="de-DE"/>
              </w:rPr>
            </w:pPr>
            <w:r w:rsidRPr="005D5995">
              <w:rPr>
                <w:lang w:val="de-DE"/>
              </w:rPr>
              <w:t xml:space="preserve">Bei der Prüfung von Ergebnissen, die in jeder der Wachstumsperioden sehr unterschiedlich sind, </w:t>
            </w:r>
            <w:proofErr w:type="spellStart"/>
            <w:r w:rsidRPr="005D5995">
              <w:rPr>
                <w:lang w:val="de-DE"/>
              </w:rPr>
              <w:t>muß</w:t>
            </w:r>
            <w:proofErr w:type="spellEnd"/>
            <w:r w:rsidRPr="005D5995">
              <w:rPr>
                <w:lang w:val="de-DE"/>
              </w:rPr>
              <w:t xml:space="preserve"> mit größter Sorgfalt verfahren werden, </w:t>
            </w:r>
            <w:proofErr w:type="gramStart"/>
            <w:r w:rsidRPr="005D5995">
              <w:rPr>
                <w:lang w:val="de-DE"/>
              </w:rPr>
              <w:t>etwa</w:t>
            </w:r>
            <w:proofErr w:type="gramEnd"/>
            <w:r w:rsidRPr="005D5995">
              <w:rPr>
                <w:lang w:val="de-DE"/>
              </w:rPr>
              <w:t xml:space="preserve"> wenn ein </w:t>
            </w:r>
            <w:proofErr w:type="spellStart"/>
            <w:r w:rsidRPr="005D5995">
              <w:rPr>
                <w:lang w:val="de-DE"/>
              </w:rPr>
              <w:t>Abweichertyp</w:t>
            </w:r>
            <w:proofErr w:type="spellEnd"/>
            <w:r w:rsidRPr="005D5995">
              <w:rPr>
                <w:lang w:val="de-DE"/>
              </w:rPr>
              <w:t xml:space="preserve"> in einer Wachstumsperiode sehr häufig und in einer anderen überhaupt nicht vorkommt. Wenn es möglich ist, sollte </w:t>
            </w:r>
            <w:r w:rsidR="005D5995" w:rsidRPr="005D5995">
              <w:rPr>
                <w:lang w:val="de-DE"/>
              </w:rPr>
              <w:t xml:space="preserve">gegebenenfalls </w:t>
            </w:r>
            <w:r w:rsidRPr="005D5995">
              <w:rPr>
                <w:lang w:val="de-DE"/>
              </w:rPr>
              <w:t xml:space="preserve">eine statistische Prüfung auf Einheitlichkeit durchgeführt werden. Es ist wichtig, zu identifizieren, ob Unterschiede in der Anzahl von </w:t>
            </w:r>
            <w:proofErr w:type="spellStart"/>
            <w:r w:rsidRPr="005D5995">
              <w:rPr>
                <w:lang w:val="de-DE"/>
              </w:rPr>
              <w:t>Abweichern</w:t>
            </w:r>
            <w:proofErr w:type="spellEnd"/>
            <w:r w:rsidRPr="005D5995">
              <w:rPr>
                <w:lang w:val="de-DE"/>
              </w:rPr>
              <w:t xml:space="preserve"> zwischen Wachstumsperioden durch </w:t>
            </w:r>
            <w:r w:rsidR="00FF4D2A" w:rsidRPr="005D5995">
              <w:rPr>
                <w:lang w:val="de-DE"/>
              </w:rPr>
              <w:t>Umweltursachen</w:t>
            </w:r>
            <w:r w:rsidRPr="005D5995">
              <w:rPr>
                <w:lang w:val="de-DE"/>
              </w:rPr>
              <w:t xml:space="preserve"> oder durch Unterschiede in der Art der Probennahme bedingt sind</w:t>
            </w:r>
          </w:p>
          <w:p w14:paraId="760FC9A3" w14:textId="77777777" w:rsidR="002C64EC" w:rsidRPr="005D5995" w:rsidRDefault="002C64EC" w:rsidP="0075446C">
            <w:pPr>
              <w:keepNext/>
              <w:keepLines/>
              <w:rPr>
                <w:rFonts w:eastAsia="SimSun"/>
                <w:lang w:val="de-DE" w:eastAsia="zh-CN"/>
              </w:rPr>
            </w:pPr>
          </w:p>
          <w:p w14:paraId="56B75A5D" w14:textId="04412648" w:rsidR="002C64EC" w:rsidRDefault="002C64EC" w:rsidP="0075446C">
            <w:pPr>
              <w:keepNext/>
              <w:keepLines/>
              <w:jc w:val="left"/>
              <w:rPr>
                <w:szCs w:val="24"/>
                <w:lang w:val="de-DE"/>
              </w:rPr>
            </w:pPr>
            <w:r w:rsidRPr="005D5995">
              <w:rPr>
                <w:szCs w:val="24"/>
                <w:lang w:val="de-DE"/>
              </w:rPr>
              <w:t>Beispiel:</w:t>
            </w:r>
          </w:p>
          <w:p w14:paraId="52665752" w14:textId="77777777" w:rsidR="00441385" w:rsidRPr="005D5995" w:rsidRDefault="00441385" w:rsidP="0075446C">
            <w:pPr>
              <w:keepNext/>
              <w:keepLines/>
              <w:jc w:val="left"/>
              <w:rPr>
                <w:szCs w:val="24"/>
                <w:lang w:val="de-DE"/>
              </w:rPr>
            </w:pPr>
          </w:p>
          <w:tbl>
            <w:tblPr>
              <w:tblW w:w="9124" w:type="dxa"/>
              <w:tblInd w:w="600" w:type="dxa"/>
              <w:tblLook w:val="04A0" w:firstRow="1" w:lastRow="0" w:firstColumn="1" w:lastColumn="0" w:noHBand="0" w:noVBand="1"/>
            </w:tblPr>
            <w:tblGrid>
              <w:gridCol w:w="424"/>
              <w:gridCol w:w="696"/>
              <w:gridCol w:w="1134"/>
              <w:gridCol w:w="180"/>
              <w:gridCol w:w="954"/>
              <w:gridCol w:w="1807"/>
              <w:gridCol w:w="320"/>
              <w:gridCol w:w="1985"/>
              <w:gridCol w:w="1624"/>
            </w:tblGrid>
            <w:tr w:rsidR="005D5995" w:rsidRPr="005D5995" w14:paraId="65335262" w14:textId="77777777" w:rsidTr="0075446C">
              <w:trPr>
                <w:gridAfter w:val="1"/>
                <w:wAfter w:w="1624" w:type="dxa"/>
                <w:trHeight w:val="255"/>
              </w:trPr>
              <w:tc>
                <w:tcPr>
                  <w:tcW w:w="1120" w:type="dxa"/>
                  <w:gridSpan w:val="2"/>
                  <w:tcBorders>
                    <w:top w:val="nil"/>
                    <w:left w:val="nil"/>
                    <w:bottom w:val="nil"/>
                  </w:tcBorders>
                  <w:shd w:val="clear" w:color="auto" w:fill="auto"/>
                  <w:noWrap/>
                  <w:vAlign w:val="bottom"/>
                </w:tcPr>
                <w:p w14:paraId="53128E35" w14:textId="77777777" w:rsidR="002C64EC" w:rsidRPr="005D5995" w:rsidRDefault="002C64EC" w:rsidP="0075446C">
                  <w:pPr>
                    <w:jc w:val="left"/>
                    <w:rPr>
                      <w:rFonts w:cs="Arial"/>
                      <w:lang w:val="de-DE"/>
                    </w:rPr>
                  </w:pPr>
                </w:p>
              </w:tc>
              <w:tc>
                <w:tcPr>
                  <w:tcW w:w="6380" w:type="dxa"/>
                  <w:gridSpan w:val="6"/>
                  <w:tcBorders>
                    <w:top w:val="nil"/>
                    <w:right w:val="nil"/>
                  </w:tcBorders>
                  <w:shd w:val="clear" w:color="auto" w:fill="auto"/>
                  <w:vAlign w:val="bottom"/>
                </w:tcPr>
                <w:p w14:paraId="09E65ABA" w14:textId="77777777" w:rsidR="002C64EC" w:rsidRPr="005D5995" w:rsidRDefault="002C64EC" w:rsidP="0075446C">
                  <w:pPr>
                    <w:jc w:val="left"/>
                    <w:rPr>
                      <w:rFonts w:cs="Arial"/>
                      <w:lang w:val="de-DE"/>
                    </w:rPr>
                  </w:pPr>
                  <w:r w:rsidRPr="005D5995">
                    <w:rPr>
                      <w:lang w:val="de-DE"/>
                    </w:rPr>
                    <w:t xml:space="preserve">Populationsstandard = 1% </w:t>
                  </w:r>
                </w:p>
              </w:tc>
            </w:tr>
            <w:tr w:rsidR="005D5995" w:rsidRPr="005D5995" w14:paraId="2212B901" w14:textId="77777777" w:rsidTr="0075446C">
              <w:trPr>
                <w:gridAfter w:val="1"/>
                <w:wAfter w:w="1624" w:type="dxa"/>
                <w:trHeight w:val="270"/>
              </w:trPr>
              <w:tc>
                <w:tcPr>
                  <w:tcW w:w="1120" w:type="dxa"/>
                  <w:gridSpan w:val="2"/>
                  <w:tcBorders>
                    <w:top w:val="nil"/>
                    <w:left w:val="nil"/>
                    <w:bottom w:val="nil"/>
                  </w:tcBorders>
                  <w:shd w:val="clear" w:color="auto" w:fill="auto"/>
                  <w:noWrap/>
                  <w:vAlign w:val="bottom"/>
                  <w:hideMark/>
                </w:tcPr>
                <w:p w14:paraId="7CEC5802" w14:textId="77777777" w:rsidR="002C64EC" w:rsidRPr="005D5995" w:rsidRDefault="002C64EC" w:rsidP="0075446C">
                  <w:pPr>
                    <w:jc w:val="left"/>
                    <w:rPr>
                      <w:rFonts w:cs="Arial"/>
                      <w:lang w:val="de-DE"/>
                    </w:rPr>
                  </w:pPr>
                </w:p>
              </w:tc>
              <w:tc>
                <w:tcPr>
                  <w:tcW w:w="6380" w:type="dxa"/>
                  <w:gridSpan w:val="6"/>
                  <w:tcBorders>
                    <w:top w:val="nil"/>
                    <w:bottom w:val="single" w:sz="4" w:space="0" w:color="auto"/>
                    <w:right w:val="nil"/>
                  </w:tcBorders>
                  <w:shd w:val="clear" w:color="auto" w:fill="auto"/>
                  <w:vAlign w:val="bottom"/>
                </w:tcPr>
                <w:p w14:paraId="11F93FD6" w14:textId="77777777" w:rsidR="002C64EC" w:rsidRPr="005D5995" w:rsidRDefault="002C64EC" w:rsidP="0075446C">
                  <w:pPr>
                    <w:jc w:val="left"/>
                    <w:rPr>
                      <w:rFonts w:cs="Arial"/>
                      <w:lang w:val="de-DE"/>
                    </w:rPr>
                  </w:pPr>
                  <w:r w:rsidRPr="005D5995">
                    <w:rPr>
                      <w:lang w:val="de-DE"/>
                    </w:rPr>
                    <w:t>Akzeptanzwahrscheinlichkeit ≥ 95%</w:t>
                  </w:r>
                </w:p>
              </w:tc>
            </w:tr>
            <w:tr w:rsidR="005D5995" w:rsidRPr="00C96F4D" w14:paraId="7410A059" w14:textId="77777777" w:rsidTr="0075446C">
              <w:trPr>
                <w:gridBefore w:val="2"/>
                <w:gridAfter w:val="1"/>
                <w:wBefore w:w="1120" w:type="dxa"/>
                <w:wAfter w:w="1624" w:type="dxa"/>
                <w:trHeight w:val="255"/>
              </w:trPr>
              <w:tc>
                <w:tcPr>
                  <w:tcW w:w="6380" w:type="dxa"/>
                  <w:gridSpan w:val="6"/>
                  <w:tcBorders>
                    <w:top w:val="single" w:sz="4" w:space="0" w:color="auto"/>
                    <w:left w:val="single" w:sz="4" w:space="0" w:color="auto"/>
                    <w:bottom w:val="nil"/>
                    <w:right w:val="single" w:sz="8" w:space="0" w:color="000000"/>
                  </w:tcBorders>
                  <w:shd w:val="clear" w:color="auto" w:fill="auto"/>
                  <w:vAlign w:val="bottom"/>
                </w:tcPr>
                <w:p w14:paraId="4350210C" w14:textId="77777777" w:rsidR="002C64EC" w:rsidRPr="005D5995" w:rsidRDefault="002C64EC" w:rsidP="0075446C">
                  <w:pPr>
                    <w:jc w:val="left"/>
                    <w:rPr>
                      <w:rFonts w:cs="Arial"/>
                      <w:lang w:val="de-DE"/>
                    </w:rPr>
                  </w:pPr>
                  <w:r w:rsidRPr="005D5995">
                    <w:rPr>
                      <w:rFonts w:cs="Arial"/>
                      <w:lang w:val="de-DE"/>
                    </w:rPr>
                    <w:t>Probengröße in jeder der Wachstumsperioden 1 und 2 = 50</w:t>
                  </w:r>
                </w:p>
              </w:tc>
            </w:tr>
            <w:tr w:rsidR="005D5995" w:rsidRPr="005D5995" w14:paraId="22FA9F13" w14:textId="77777777" w:rsidTr="0075446C">
              <w:trPr>
                <w:gridBefore w:val="2"/>
                <w:gridAfter w:val="1"/>
                <w:wBefore w:w="1120" w:type="dxa"/>
                <w:wAfter w:w="1624" w:type="dxa"/>
                <w:trHeight w:val="270"/>
              </w:trPr>
              <w:tc>
                <w:tcPr>
                  <w:tcW w:w="6380" w:type="dxa"/>
                  <w:gridSpan w:val="6"/>
                  <w:tcBorders>
                    <w:top w:val="nil"/>
                    <w:left w:val="single" w:sz="4" w:space="0" w:color="auto"/>
                    <w:bottom w:val="single" w:sz="8" w:space="0" w:color="auto"/>
                    <w:right w:val="single" w:sz="8" w:space="0" w:color="000000"/>
                  </w:tcBorders>
                  <w:shd w:val="clear" w:color="auto" w:fill="auto"/>
                  <w:vAlign w:val="bottom"/>
                </w:tcPr>
                <w:p w14:paraId="3CE4721D" w14:textId="77777777" w:rsidR="002C64EC" w:rsidRPr="005D5995" w:rsidRDefault="002C64EC" w:rsidP="0075446C">
                  <w:pPr>
                    <w:jc w:val="left"/>
                    <w:rPr>
                      <w:rFonts w:cs="Arial"/>
                      <w:lang w:val="de-DE"/>
                    </w:rPr>
                  </w:pPr>
                  <w:r w:rsidRPr="005D5995">
                    <w:rPr>
                      <w:rFonts w:cs="Arial"/>
                      <w:lang w:val="de-DE"/>
                    </w:rPr>
                    <w:t xml:space="preserve">Höchstzahl an </w:t>
                  </w:r>
                  <w:proofErr w:type="spellStart"/>
                  <w:r w:rsidRPr="005D5995">
                    <w:rPr>
                      <w:rFonts w:cs="Arial"/>
                      <w:lang w:val="de-DE"/>
                    </w:rPr>
                    <w:t>Abweichern</w:t>
                  </w:r>
                  <w:proofErr w:type="spellEnd"/>
                  <w:r w:rsidRPr="005D5995">
                    <w:rPr>
                      <w:rFonts w:cs="Arial"/>
                      <w:lang w:val="de-DE"/>
                    </w:rPr>
                    <w:t xml:space="preserve"> = 2</w:t>
                  </w:r>
                </w:p>
              </w:tc>
            </w:tr>
            <w:tr w:rsidR="005D5995" w:rsidRPr="00C96F4D" w14:paraId="5F931850" w14:textId="77777777" w:rsidTr="0075446C">
              <w:trPr>
                <w:gridBefore w:val="2"/>
                <w:gridAfter w:val="1"/>
                <w:wBefore w:w="1120" w:type="dxa"/>
                <w:wAfter w:w="1624" w:type="dxa"/>
                <w:trHeight w:val="270"/>
              </w:trPr>
              <w:tc>
                <w:tcPr>
                  <w:tcW w:w="6380" w:type="dxa"/>
                  <w:gridSpan w:val="6"/>
                  <w:tcBorders>
                    <w:top w:val="nil"/>
                    <w:left w:val="single" w:sz="4" w:space="0" w:color="auto"/>
                    <w:bottom w:val="nil"/>
                    <w:right w:val="single" w:sz="4" w:space="0" w:color="auto"/>
                  </w:tcBorders>
                  <w:shd w:val="clear" w:color="auto" w:fill="auto"/>
                  <w:vAlign w:val="bottom"/>
                </w:tcPr>
                <w:p w14:paraId="03B55BE5" w14:textId="77777777" w:rsidR="002C64EC" w:rsidRPr="005D5995" w:rsidRDefault="002C64EC" w:rsidP="0075446C">
                  <w:pPr>
                    <w:jc w:val="left"/>
                    <w:rPr>
                      <w:rFonts w:cs="Arial"/>
                      <w:lang w:val="de-DE"/>
                    </w:rPr>
                  </w:pPr>
                  <w:r w:rsidRPr="005D5995">
                    <w:rPr>
                      <w:rFonts w:cs="Arial"/>
                      <w:lang w:val="de-DE"/>
                    </w:rPr>
                    <w:t>Probengröße in Wachstumsperioden 1 und 2 kombiniert = 100</w:t>
                  </w:r>
                </w:p>
              </w:tc>
            </w:tr>
            <w:tr w:rsidR="005D5995" w:rsidRPr="00477C3F" w14:paraId="2E76E25C" w14:textId="77777777" w:rsidTr="0075446C">
              <w:trPr>
                <w:gridBefore w:val="2"/>
                <w:gridAfter w:val="1"/>
                <w:wBefore w:w="1120" w:type="dxa"/>
                <w:wAfter w:w="1624" w:type="dxa"/>
                <w:trHeight w:val="270"/>
              </w:trPr>
              <w:tc>
                <w:tcPr>
                  <w:tcW w:w="6380" w:type="dxa"/>
                  <w:gridSpan w:val="6"/>
                  <w:tcBorders>
                    <w:top w:val="nil"/>
                    <w:left w:val="single" w:sz="4" w:space="0" w:color="auto"/>
                    <w:bottom w:val="single" w:sz="4" w:space="0" w:color="auto"/>
                    <w:right w:val="single" w:sz="4" w:space="0" w:color="auto"/>
                  </w:tcBorders>
                  <w:shd w:val="clear" w:color="auto" w:fill="auto"/>
                  <w:vAlign w:val="bottom"/>
                </w:tcPr>
                <w:p w14:paraId="291890C7" w14:textId="77777777" w:rsidR="002C64EC" w:rsidRPr="005D5995" w:rsidRDefault="002C64EC" w:rsidP="0075446C">
                  <w:pPr>
                    <w:jc w:val="left"/>
                    <w:rPr>
                      <w:rFonts w:cs="Arial"/>
                      <w:lang w:val="de-DE"/>
                    </w:rPr>
                  </w:pPr>
                  <w:r w:rsidRPr="005D5995">
                    <w:rPr>
                      <w:rFonts w:cs="Arial"/>
                      <w:lang w:val="de-DE"/>
                    </w:rPr>
                    <w:t xml:space="preserve">Höchstzahl an </w:t>
                  </w:r>
                  <w:proofErr w:type="spellStart"/>
                  <w:r w:rsidRPr="005D5995">
                    <w:rPr>
                      <w:rFonts w:cs="Arial"/>
                      <w:lang w:val="de-DE"/>
                    </w:rPr>
                    <w:t>Abweichern</w:t>
                  </w:r>
                  <w:proofErr w:type="spellEnd"/>
                  <w:r w:rsidRPr="005D5995">
                    <w:rPr>
                      <w:rFonts w:cs="Arial"/>
                      <w:lang w:val="de-DE"/>
                    </w:rPr>
                    <w:t xml:space="preserve"> = 3</w:t>
                  </w:r>
                </w:p>
              </w:tc>
            </w:tr>
            <w:tr w:rsidR="005D5995" w:rsidRPr="00477C3F" w14:paraId="7A5E70AA" w14:textId="77777777" w:rsidTr="0075446C">
              <w:trPr>
                <w:gridBefore w:val="2"/>
                <w:gridAfter w:val="1"/>
                <w:wBefore w:w="1120" w:type="dxa"/>
                <w:wAfter w:w="1624" w:type="dxa"/>
                <w:trHeight w:val="239"/>
              </w:trPr>
              <w:tc>
                <w:tcPr>
                  <w:tcW w:w="1314" w:type="dxa"/>
                  <w:gridSpan w:val="2"/>
                  <w:tcBorders>
                    <w:top w:val="nil"/>
                    <w:left w:val="nil"/>
                    <w:bottom w:val="single" w:sz="4" w:space="0" w:color="auto"/>
                    <w:right w:val="nil"/>
                  </w:tcBorders>
                  <w:shd w:val="clear" w:color="auto" w:fill="auto"/>
                  <w:noWrap/>
                  <w:vAlign w:val="bottom"/>
                  <w:hideMark/>
                </w:tcPr>
                <w:p w14:paraId="21D6A283" w14:textId="77777777" w:rsidR="002C64EC" w:rsidRPr="005D5995" w:rsidRDefault="002C64EC" w:rsidP="0075446C">
                  <w:pPr>
                    <w:jc w:val="left"/>
                    <w:rPr>
                      <w:rFonts w:cs="Arial"/>
                      <w:lang w:val="de-DE"/>
                    </w:rPr>
                  </w:pPr>
                  <w:r w:rsidRPr="005D5995">
                    <w:rPr>
                      <w:rFonts w:cs="Arial"/>
                      <w:lang w:val="de-DE"/>
                    </w:rPr>
                    <w:t> </w:t>
                  </w:r>
                </w:p>
              </w:tc>
              <w:tc>
                <w:tcPr>
                  <w:tcW w:w="954" w:type="dxa"/>
                  <w:tcBorders>
                    <w:top w:val="nil"/>
                    <w:left w:val="nil"/>
                    <w:bottom w:val="single" w:sz="4" w:space="0" w:color="auto"/>
                    <w:right w:val="nil"/>
                  </w:tcBorders>
                  <w:shd w:val="clear" w:color="auto" w:fill="auto"/>
                  <w:noWrap/>
                  <w:vAlign w:val="bottom"/>
                  <w:hideMark/>
                </w:tcPr>
                <w:p w14:paraId="4225532E" w14:textId="77777777" w:rsidR="002C64EC" w:rsidRPr="005D5995" w:rsidRDefault="002C64EC" w:rsidP="0075446C">
                  <w:pPr>
                    <w:jc w:val="left"/>
                    <w:rPr>
                      <w:rFonts w:cs="Arial"/>
                      <w:lang w:val="de-DE"/>
                    </w:rPr>
                  </w:pPr>
                  <w:r w:rsidRPr="005D5995">
                    <w:rPr>
                      <w:rFonts w:cs="Arial"/>
                      <w:lang w:val="de-DE"/>
                    </w:rPr>
                    <w:t> </w:t>
                  </w:r>
                </w:p>
              </w:tc>
              <w:tc>
                <w:tcPr>
                  <w:tcW w:w="1807" w:type="dxa"/>
                  <w:tcBorders>
                    <w:top w:val="nil"/>
                    <w:left w:val="nil"/>
                    <w:bottom w:val="single" w:sz="4" w:space="0" w:color="auto"/>
                    <w:right w:val="nil"/>
                  </w:tcBorders>
                  <w:shd w:val="clear" w:color="auto" w:fill="auto"/>
                  <w:noWrap/>
                  <w:vAlign w:val="bottom"/>
                  <w:hideMark/>
                </w:tcPr>
                <w:p w14:paraId="2CF4F284" w14:textId="77777777" w:rsidR="002C64EC" w:rsidRPr="005D5995" w:rsidRDefault="002C64EC" w:rsidP="0075446C">
                  <w:pPr>
                    <w:jc w:val="left"/>
                    <w:rPr>
                      <w:rFonts w:cs="Arial"/>
                      <w:lang w:val="de-DE"/>
                    </w:rPr>
                  </w:pPr>
                  <w:r w:rsidRPr="005D5995">
                    <w:rPr>
                      <w:rFonts w:cs="Arial"/>
                      <w:lang w:val="de-DE"/>
                    </w:rPr>
                    <w:t> </w:t>
                  </w:r>
                </w:p>
              </w:tc>
              <w:tc>
                <w:tcPr>
                  <w:tcW w:w="2305" w:type="dxa"/>
                  <w:gridSpan w:val="2"/>
                  <w:tcBorders>
                    <w:top w:val="nil"/>
                    <w:left w:val="nil"/>
                    <w:bottom w:val="single" w:sz="4" w:space="0" w:color="auto"/>
                    <w:right w:val="nil"/>
                  </w:tcBorders>
                  <w:shd w:val="clear" w:color="auto" w:fill="auto"/>
                  <w:noWrap/>
                  <w:vAlign w:val="bottom"/>
                  <w:hideMark/>
                </w:tcPr>
                <w:p w14:paraId="4C086D85" w14:textId="77777777" w:rsidR="002C64EC" w:rsidRPr="005D5995" w:rsidRDefault="002C64EC" w:rsidP="0075446C">
                  <w:pPr>
                    <w:jc w:val="left"/>
                    <w:rPr>
                      <w:rFonts w:cs="Arial"/>
                      <w:lang w:val="de-DE"/>
                    </w:rPr>
                  </w:pPr>
                  <w:r w:rsidRPr="005D5995">
                    <w:rPr>
                      <w:rFonts w:cs="Arial"/>
                      <w:lang w:val="de-DE"/>
                    </w:rPr>
                    <w:t> </w:t>
                  </w:r>
                </w:p>
              </w:tc>
            </w:tr>
            <w:tr w:rsidR="005D5995" w:rsidRPr="00477C3F" w14:paraId="43CD47A0" w14:textId="77777777" w:rsidTr="0075446C">
              <w:trPr>
                <w:gridBefore w:val="1"/>
                <w:wBefore w:w="424" w:type="dxa"/>
                <w:trHeight w:val="380"/>
              </w:trPr>
              <w:tc>
                <w:tcPr>
                  <w:tcW w:w="696" w:type="dxa"/>
                  <w:tcBorders>
                    <w:top w:val="nil"/>
                    <w:left w:val="nil"/>
                    <w:bottom w:val="nil"/>
                    <w:right w:val="single" w:sz="4" w:space="0" w:color="auto"/>
                  </w:tcBorders>
                  <w:shd w:val="clear" w:color="auto" w:fill="auto"/>
                  <w:noWrap/>
                  <w:vAlign w:val="bottom"/>
                  <w:hideMark/>
                </w:tcPr>
                <w:p w14:paraId="14151270" w14:textId="77777777" w:rsidR="002C64EC" w:rsidRPr="005D5995" w:rsidRDefault="002C64EC" w:rsidP="0075446C">
                  <w:pPr>
                    <w:jc w:val="left"/>
                    <w:rPr>
                      <w:rFonts w:cs="Arial"/>
                      <w:lang w:val="de-DE"/>
                    </w:rPr>
                  </w:pPr>
                  <w:r w:rsidRPr="005D5995">
                    <w:rPr>
                      <w:rFonts w:cs="Arial"/>
                      <w:lang w:val="de-DE"/>
                    </w:rPr>
                    <w:t> </w:t>
                  </w:r>
                </w:p>
              </w:tc>
              <w:tc>
                <w:tcPr>
                  <w:tcW w:w="2268" w:type="dxa"/>
                  <w:gridSpan w:val="3"/>
                  <w:tcBorders>
                    <w:top w:val="nil"/>
                    <w:left w:val="nil"/>
                    <w:bottom w:val="single" w:sz="4" w:space="0" w:color="auto"/>
                    <w:right w:val="single" w:sz="4" w:space="0" w:color="000000"/>
                  </w:tcBorders>
                  <w:shd w:val="clear" w:color="auto" w:fill="auto"/>
                  <w:noWrap/>
                  <w:vAlign w:val="center"/>
                  <w:hideMark/>
                </w:tcPr>
                <w:p w14:paraId="0770FCBA" w14:textId="77777777" w:rsidR="002C64EC" w:rsidRPr="005D5995" w:rsidRDefault="002C64EC" w:rsidP="0075446C">
                  <w:pPr>
                    <w:jc w:val="center"/>
                    <w:rPr>
                      <w:rFonts w:cs="Arial"/>
                      <w:lang w:val="de-DE"/>
                    </w:rPr>
                  </w:pPr>
                  <w:r w:rsidRPr="005D5995">
                    <w:rPr>
                      <w:rFonts w:cs="Arial"/>
                      <w:lang w:val="de-DE"/>
                    </w:rPr>
                    <w:t>Wachstumsperiode</w:t>
                  </w:r>
                </w:p>
              </w:tc>
              <w:tc>
                <w:tcPr>
                  <w:tcW w:w="5736" w:type="dxa"/>
                  <w:gridSpan w:val="4"/>
                  <w:tcBorders>
                    <w:top w:val="single" w:sz="4" w:space="0" w:color="auto"/>
                    <w:left w:val="nil"/>
                    <w:bottom w:val="single" w:sz="4" w:space="0" w:color="auto"/>
                    <w:right w:val="single" w:sz="4" w:space="0" w:color="auto"/>
                  </w:tcBorders>
                  <w:shd w:val="clear" w:color="auto" w:fill="auto"/>
                  <w:noWrap/>
                  <w:vAlign w:val="center"/>
                  <w:hideMark/>
                </w:tcPr>
                <w:p w14:paraId="149C1B3A" w14:textId="77777777" w:rsidR="002C64EC" w:rsidRPr="005D5995" w:rsidRDefault="002C64EC" w:rsidP="0075446C">
                  <w:pPr>
                    <w:jc w:val="center"/>
                    <w:rPr>
                      <w:lang w:val="de-DE"/>
                    </w:rPr>
                  </w:pPr>
                  <w:r w:rsidRPr="005D5995">
                    <w:rPr>
                      <w:lang w:val="de-DE"/>
                    </w:rPr>
                    <w:t>Entscheidung</w:t>
                  </w:r>
                </w:p>
              </w:tc>
            </w:tr>
            <w:tr w:rsidR="005D5995" w:rsidRPr="00477C3F" w14:paraId="715D0D2B" w14:textId="77777777" w:rsidTr="0075446C">
              <w:trPr>
                <w:gridBefore w:val="1"/>
                <w:wBefore w:w="424" w:type="dxa"/>
                <w:trHeight w:val="236"/>
              </w:trPr>
              <w:tc>
                <w:tcPr>
                  <w:tcW w:w="696" w:type="dxa"/>
                  <w:tcBorders>
                    <w:top w:val="nil"/>
                    <w:left w:val="nil"/>
                    <w:bottom w:val="single" w:sz="4" w:space="0" w:color="auto"/>
                    <w:right w:val="single" w:sz="4" w:space="0" w:color="auto"/>
                  </w:tcBorders>
                  <w:shd w:val="clear" w:color="auto" w:fill="auto"/>
                  <w:noWrap/>
                  <w:vAlign w:val="bottom"/>
                  <w:hideMark/>
                </w:tcPr>
                <w:p w14:paraId="3541B0DF" w14:textId="77777777" w:rsidR="002C64EC" w:rsidRPr="005D5995" w:rsidRDefault="002C64EC" w:rsidP="0075446C">
                  <w:pPr>
                    <w:jc w:val="left"/>
                    <w:rPr>
                      <w:rFonts w:cs="Arial"/>
                      <w:lang w:val="de-DE"/>
                    </w:rPr>
                  </w:pPr>
                  <w:r w:rsidRPr="005D5995">
                    <w:rPr>
                      <w:rFonts w:cs="Arial"/>
                      <w:lang w:val="de-DE"/>
                    </w:rPr>
                    <w:t> </w:t>
                  </w:r>
                </w:p>
              </w:tc>
              <w:tc>
                <w:tcPr>
                  <w:tcW w:w="1134" w:type="dxa"/>
                  <w:tcBorders>
                    <w:top w:val="nil"/>
                    <w:left w:val="nil"/>
                    <w:bottom w:val="single" w:sz="8" w:space="0" w:color="auto"/>
                    <w:right w:val="single" w:sz="4" w:space="0" w:color="auto"/>
                  </w:tcBorders>
                  <w:shd w:val="clear" w:color="auto" w:fill="auto"/>
                  <w:noWrap/>
                  <w:vAlign w:val="bottom"/>
                  <w:hideMark/>
                </w:tcPr>
                <w:p w14:paraId="342B3C7F" w14:textId="77777777" w:rsidR="002C64EC" w:rsidRPr="005D5995" w:rsidRDefault="002C64EC" w:rsidP="0075446C">
                  <w:pPr>
                    <w:spacing w:after="100" w:afterAutospacing="1"/>
                    <w:jc w:val="center"/>
                    <w:rPr>
                      <w:rFonts w:cs="Arial"/>
                      <w:lang w:val="de-DE"/>
                    </w:rPr>
                  </w:pPr>
                  <w:r w:rsidRPr="005D5995">
                    <w:rPr>
                      <w:rFonts w:cs="Arial"/>
                      <w:lang w:val="de-DE"/>
                    </w:rPr>
                    <w:t>Erste</w:t>
                  </w:r>
                </w:p>
              </w:tc>
              <w:tc>
                <w:tcPr>
                  <w:tcW w:w="1134" w:type="dxa"/>
                  <w:gridSpan w:val="2"/>
                  <w:tcBorders>
                    <w:top w:val="nil"/>
                    <w:left w:val="nil"/>
                    <w:bottom w:val="single" w:sz="8" w:space="0" w:color="auto"/>
                    <w:right w:val="single" w:sz="4" w:space="0" w:color="auto"/>
                  </w:tcBorders>
                  <w:shd w:val="clear" w:color="auto" w:fill="auto"/>
                  <w:noWrap/>
                  <w:vAlign w:val="center"/>
                  <w:hideMark/>
                </w:tcPr>
                <w:p w14:paraId="79BC93AC" w14:textId="77777777" w:rsidR="002C64EC" w:rsidRPr="005D5995" w:rsidRDefault="002C64EC" w:rsidP="0075446C">
                  <w:pPr>
                    <w:jc w:val="center"/>
                    <w:rPr>
                      <w:rFonts w:cs="Arial"/>
                      <w:lang w:val="de-DE"/>
                    </w:rPr>
                  </w:pPr>
                  <w:r w:rsidRPr="005D5995">
                    <w:rPr>
                      <w:rFonts w:cs="Arial"/>
                      <w:lang w:val="de-DE"/>
                    </w:rPr>
                    <w:t>Zweite</w:t>
                  </w:r>
                </w:p>
              </w:tc>
              <w:tc>
                <w:tcPr>
                  <w:tcW w:w="2127" w:type="dxa"/>
                  <w:gridSpan w:val="2"/>
                  <w:tcBorders>
                    <w:top w:val="nil"/>
                    <w:left w:val="nil"/>
                    <w:bottom w:val="single" w:sz="8" w:space="0" w:color="auto"/>
                    <w:right w:val="single" w:sz="4" w:space="0" w:color="auto"/>
                  </w:tcBorders>
                  <w:shd w:val="clear" w:color="auto" w:fill="auto"/>
                  <w:noWrap/>
                  <w:vAlign w:val="center"/>
                  <w:hideMark/>
                </w:tcPr>
                <w:p w14:paraId="527A2EE2" w14:textId="77777777" w:rsidR="002C64EC" w:rsidRPr="005D5995" w:rsidRDefault="002C64EC" w:rsidP="0075446C">
                  <w:pPr>
                    <w:jc w:val="center"/>
                    <w:rPr>
                      <w:rFonts w:cs="Arial"/>
                      <w:lang w:val="de-DE"/>
                    </w:rPr>
                  </w:pPr>
                  <w:r w:rsidRPr="005D5995">
                    <w:rPr>
                      <w:rFonts w:cs="Arial"/>
                      <w:lang w:val="de-DE"/>
                    </w:rPr>
                    <w:t>Ansatz 1</w:t>
                  </w:r>
                </w:p>
              </w:tc>
              <w:tc>
                <w:tcPr>
                  <w:tcW w:w="1985" w:type="dxa"/>
                  <w:tcBorders>
                    <w:top w:val="nil"/>
                    <w:left w:val="nil"/>
                    <w:bottom w:val="single" w:sz="8" w:space="0" w:color="auto"/>
                    <w:right w:val="single" w:sz="4" w:space="0" w:color="auto"/>
                  </w:tcBorders>
                  <w:shd w:val="clear" w:color="auto" w:fill="auto"/>
                  <w:noWrap/>
                  <w:vAlign w:val="center"/>
                  <w:hideMark/>
                </w:tcPr>
                <w:p w14:paraId="3465889E" w14:textId="77777777" w:rsidR="002C64EC" w:rsidRPr="005D5995" w:rsidRDefault="002C64EC" w:rsidP="0075446C">
                  <w:pPr>
                    <w:jc w:val="center"/>
                    <w:rPr>
                      <w:rFonts w:cs="Arial"/>
                      <w:lang w:val="de-DE"/>
                    </w:rPr>
                  </w:pPr>
                  <w:r w:rsidRPr="005D5995">
                    <w:rPr>
                      <w:rFonts w:cs="Arial"/>
                      <w:lang w:val="de-DE"/>
                    </w:rPr>
                    <w:t>Ansatz 2</w:t>
                  </w:r>
                </w:p>
              </w:tc>
              <w:tc>
                <w:tcPr>
                  <w:tcW w:w="1624" w:type="dxa"/>
                  <w:tcBorders>
                    <w:top w:val="single" w:sz="4" w:space="0" w:color="auto"/>
                    <w:bottom w:val="single" w:sz="4" w:space="0" w:color="auto"/>
                    <w:right w:val="single" w:sz="4" w:space="0" w:color="auto"/>
                  </w:tcBorders>
                  <w:shd w:val="clear" w:color="auto" w:fill="auto"/>
                </w:tcPr>
                <w:p w14:paraId="3636DA2F" w14:textId="77777777" w:rsidR="002C64EC" w:rsidRPr="005D5995" w:rsidRDefault="002C64EC" w:rsidP="0075446C">
                  <w:pPr>
                    <w:jc w:val="center"/>
                    <w:rPr>
                      <w:lang w:val="de-DE"/>
                    </w:rPr>
                  </w:pPr>
                  <w:r w:rsidRPr="005D5995">
                    <w:rPr>
                      <w:lang w:val="de-DE"/>
                    </w:rPr>
                    <w:t>Ansatz 3</w:t>
                  </w:r>
                </w:p>
              </w:tc>
            </w:tr>
            <w:tr w:rsidR="005D5995" w:rsidRPr="00477C3F" w14:paraId="1FF5DE7E" w14:textId="77777777" w:rsidTr="0075446C">
              <w:trPr>
                <w:gridBefore w:val="1"/>
                <w:wBefore w:w="424" w:type="dxa"/>
                <w:trHeight w:val="240"/>
              </w:trPr>
              <w:tc>
                <w:tcPr>
                  <w:tcW w:w="696" w:type="dxa"/>
                  <w:vMerge w:val="restart"/>
                  <w:tcBorders>
                    <w:top w:val="nil"/>
                    <w:left w:val="single" w:sz="4" w:space="0" w:color="auto"/>
                    <w:right w:val="single" w:sz="4" w:space="0" w:color="000000"/>
                  </w:tcBorders>
                  <w:shd w:val="clear" w:color="auto" w:fill="auto"/>
                  <w:textDirection w:val="btLr"/>
                  <w:vAlign w:val="center"/>
                </w:tcPr>
                <w:p w14:paraId="19CF317F" w14:textId="77777777" w:rsidR="002C64EC" w:rsidRPr="005D5995" w:rsidRDefault="002C64EC" w:rsidP="0075446C">
                  <w:pPr>
                    <w:jc w:val="center"/>
                    <w:rPr>
                      <w:rFonts w:cs="Arial"/>
                      <w:lang w:val="de-DE"/>
                    </w:rPr>
                  </w:pPr>
                  <w:r w:rsidRPr="005D5995">
                    <w:rPr>
                      <w:rFonts w:cs="Arial"/>
                      <w:lang w:val="de-DE"/>
                    </w:rPr>
                    <w:t xml:space="preserve">Anzahl der </w:t>
                  </w:r>
                  <w:r w:rsidRPr="005D5995">
                    <w:rPr>
                      <w:rFonts w:cs="Arial"/>
                      <w:lang w:val="de-DE"/>
                    </w:rPr>
                    <w:br/>
                  </w:r>
                  <w:proofErr w:type="spellStart"/>
                  <w:r w:rsidRPr="005D5995">
                    <w:rPr>
                      <w:rFonts w:cs="Arial"/>
                      <w:lang w:val="de-DE"/>
                    </w:rPr>
                    <w:t>Abweicher</w:t>
                  </w:r>
                  <w:proofErr w:type="spellEnd"/>
                </w:p>
              </w:tc>
              <w:tc>
                <w:tcPr>
                  <w:tcW w:w="1134" w:type="dxa"/>
                  <w:tcBorders>
                    <w:top w:val="nil"/>
                    <w:left w:val="single" w:sz="8" w:space="0" w:color="auto"/>
                    <w:bottom w:val="single" w:sz="8" w:space="0" w:color="auto"/>
                    <w:right w:val="single" w:sz="4" w:space="0" w:color="auto"/>
                  </w:tcBorders>
                  <w:shd w:val="clear" w:color="auto" w:fill="auto"/>
                  <w:noWrap/>
                  <w:vAlign w:val="center"/>
                </w:tcPr>
                <w:p w14:paraId="3CAA86D1" w14:textId="77777777" w:rsidR="002C64EC" w:rsidRPr="005D5995" w:rsidRDefault="002C64EC" w:rsidP="0075446C">
                  <w:pPr>
                    <w:jc w:val="center"/>
                    <w:rPr>
                      <w:rFonts w:cs="Arial"/>
                      <w:lang w:val="de-DE"/>
                    </w:rPr>
                  </w:pPr>
                  <w:r w:rsidRPr="005D5995">
                    <w:rPr>
                      <w:rFonts w:cs="Arial"/>
                      <w:lang w:val="de-DE"/>
                    </w:rPr>
                    <w:t>1</w:t>
                  </w:r>
                </w:p>
              </w:tc>
              <w:tc>
                <w:tcPr>
                  <w:tcW w:w="1134" w:type="dxa"/>
                  <w:gridSpan w:val="2"/>
                  <w:tcBorders>
                    <w:top w:val="nil"/>
                    <w:left w:val="nil"/>
                    <w:bottom w:val="single" w:sz="8" w:space="0" w:color="auto"/>
                    <w:right w:val="single" w:sz="4" w:space="0" w:color="auto"/>
                  </w:tcBorders>
                  <w:shd w:val="clear" w:color="auto" w:fill="auto"/>
                  <w:noWrap/>
                  <w:vAlign w:val="center"/>
                </w:tcPr>
                <w:p w14:paraId="7502C3CF" w14:textId="77777777" w:rsidR="002C64EC" w:rsidRPr="005D5995" w:rsidRDefault="002C64EC" w:rsidP="0075446C">
                  <w:pPr>
                    <w:jc w:val="center"/>
                    <w:rPr>
                      <w:rFonts w:cs="Arial"/>
                      <w:lang w:val="de-DE"/>
                    </w:rPr>
                  </w:pPr>
                  <w:r w:rsidRPr="005D5995">
                    <w:rPr>
                      <w:rFonts w:cs="Arial"/>
                      <w:lang w:val="de-DE"/>
                    </w:rPr>
                    <w:t>1</w:t>
                  </w:r>
                </w:p>
              </w:tc>
              <w:tc>
                <w:tcPr>
                  <w:tcW w:w="2127" w:type="dxa"/>
                  <w:gridSpan w:val="2"/>
                  <w:tcBorders>
                    <w:top w:val="nil"/>
                    <w:left w:val="nil"/>
                    <w:bottom w:val="single" w:sz="8" w:space="0" w:color="auto"/>
                    <w:right w:val="single" w:sz="4" w:space="0" w:color="auto"/>
                  </w:tcBorders>
                  <w:shd w:val="clear" w:color="auto" w:fill="auto"/>
                  <w:noWrap/>
                  <w:vAlign w:val="center"/>
                </w:tcPr>
                <w:p w14:paraId="061ECBC5" w14:textId="77777777" w:rsidR="002C64EC" w:rsidRPr="005D5995" w:rsidRDefault="002C64EC" w:rsidP="0075446C">
                  <w:pPr>
                    <w:jc w:val="center"/>
                    <w:rPr>
                      <w:rFonts w:cs="Arial"/>
                      <w:lang w:val="de-DE"/>
                    </w:rPr>
                  </w:pPr>
                  <w:r w:rsidRPr="005D5995">
                    <w:rPr>
                      <w:rFonts w:cs="Arial"/>
                      <w:lang w:val="de-DE"/>
                    </w:rPr>
                    <w:t>homogen</w:t>
                  </w:r>
                </w:p>
              </w:tc>
              <w:tc>
                <w:tcPr>
                  <w:tcW w:w="1985" w:type="dxa"/>
                  <w:tcBorders>
                    <w:top w:val="nil"/>
                    <w:left w:val="nil"/>
                    <w:bottom w:val="single" w:sz="8" w:space="0" w:color="auto"/>
                    <w:right w:val="single" w:sz="8" w:space="0" w:color="auto"/>
                  </w:tcBorders>
                  <w:shd w:val="clear" w:color="auto" w:fill="auto"/>
                  <w:vAlign w:val="center"/>
                </w:tcPr>
                <w:p w14:paraId="667C09E0" w14:textId="77777777" w:rsidR="002C64EC" w:rsidRPr="005D5995" w:rsidRDefault="002C64EC" w:rsidP="0075446C">
                  <w:pPr>
                    <w:jc w:val="center"/>
                    <w:rPr>
                      <w:rFonts w:cs="Arial"/>
                      <w:lang w:val="de-DE"/>
                    </w:rPr>
                  </w:pPr>
                  <w:r w:rsidRPr="005D5995">
                    <w:rPr>
                      <w:rFonts w:cs="Arial"/>
                      <w:lang w:val="de-DE"/>
                    </w:rPr>
                    <w:t>homogen</w:t>
                  </w:r>
                </w:p>
              </w:tc>
              <w:tc>
                <w:tcPr>
                  <w:tcW w:w="1624" w:type="dxa"/>
                  <w:tcBorders>
                    <w:top w:val="single" w:sz="4" w:space="0" w:color="auto"/>
                    <w:bottom w:val="single" w:sz="4" w:space="0" w:color="auto"/>
                    <w:right w:val="single" w:sz="4" w:space="0" w:color="auto"/>
                  </w:tcBorders>
                  <w:shd w:val="clear" w:color="auto" w:fill="auto"/>
                </w:tcPr>
                <w:p w14:paraId="3F93B0E4" w14:textId="77777777" w:rsidR="002C64EC" w:rsidRPr="005D5995" w:rsidRDefault="002C64EC" w:rsidP="0075446C">
                  <w:pPr>
                    <w:jc w:val="center"/>
                    <w:rPr>
                      <w:lang w:val="de-DE"/>
                    </w:rPr>
                  </w:pPr>
                  <w:r w:rsidRPr="005D5995">
                    <w:rPr>
                      <w:rFonts w:cs="Arial"/>
                      <w:lang w:val="de-DE"/>
                    </w:rPr>
                    <w:t>homogen</w:t>
                  </w:r>
                </w:p>
              </w:tc>
            </w:tr>
            <w:tr w:rsidR="005D5995" w:rsidRPr="00477C3F" w14:paraId="3C475CF5" w14:textId="77777777" w:rsidTr="0075446C">
              <w:trPr>
                <w:gridBefore w:val="1"/>
                <w:wBefore w:w="424" w:type="dxa"/>
                <w:trHeight w:val="240"/>
              </w:trPr>
              <w:tc>
                <w:tcPr>
                  <w:tcW w:w="696" w:type="dxa"/>
                  <w:vMerge/>
                  <w:tcBorders>
                    <w:left w:val="single" w:sz="4" w:space="0" w:color="auto"/>
                    <w:right w:val="single" w:sz="4" w:space="0" w:color="000000"/>
                  </w:tcBorders>
                  <w:shd w:val="clear" w:color="auto" w:fill="auto"/>
                  <w:textDirection w:val="btLr"/>
                  <w:vAlign w:val="center"/>
                  <w:hideMark/>
                </w:tcPr>
                <w:p w14:paraId="36653C13" w14:textId="77777777" w:rsidR="002C64EC" w:rsidRPr="005D5995" w:rsidRDefault="002C64EC" w:rsidP="0075446C">
                  <w:pPr>
                    <w:jc w:val="center"/>
                    <w:rPr>
                      <w:rFonts w:cs="Arial"/>
                      <w:lang w:val="de-DE"/>
                    </w:rPr>
                  </w:pPr>
                </w:p>
              </w:tc>
              <w:tc>
                <w:tcPr>
                  <w:tcW w:w="1134" w:type="dxa"/>
                  <w:tcBorders>
                    <w:top w:val="nil"/>
                    <w:left w:val="single" w:sz="8" w:space="0" w:color="auto"/>
                    <w:bottom w:val="single" w:sz="8" w:space="0" w:color="auto"/>
                    <w:right w:val="single" w:sz="4" w:space="0" w:color="auto"/>
                  </w:tcBorders>
                  <w:shd w:val="clear" w:color="auto" w:fill="auto"/>
                  <w:noWrap/>
                  <w:vAlign w:val="center"/>
                  <w:hideMark/>
                </w:tcPr>
                <w:p w14:paraId="64BE767F" w14:textId="77777777" w:rsidR="002C64EC" w:rsidRPr="005D5995" w:rsidRDefault="002C64EC" w:rsidP="0075446C">
                  <w:pPr>
                    <w:jc w:val="center"/>
                    <w:rPr>
                      <w:rFonts w:cs="Arial"/>
                      <w:lang w:val="de-DE"/>
                    </w:rPr>
                  </w:pPr>
                  <w:r w:rsidRPr="005D5995">
                    <w:rPr>
                      <w:rFonts w:cs="Arial"/>
                      <w:lang w:val="de-DE"/>
                    </w:rPr>
                    <w:t>2</w:t>
                  </w:r>
                </w:p>
              </w:tc>
              <w:tc>
                <w:tcPr>
                  <w:tcW w:w="1134" w:type="dxa"/>
                  <w:gridSpan w:val="2"/>
                  <w:tcBorders>
                    <w:top w:val="nil"/>
                    <w:left w:val="nil"/>
                    <w:bottom w:val="single" w:sz="8" w:space="0" w:color="auto"/>
                    <w:right w:val="single" w:sz="4" w:space="0" w:color="auto"/>
                  </w:tcBorders>
                  <w:shd w:val="clear" w:color="auto" w:fill="auto"/>
                  <w:noWrap/>
                  <w:vAlign w:val="center"/>
                  <w:hideMark/>
                </w:tcPr>
                <w:p w14:paraId="79D4DEEB" w14:textId="77777777" w:rsidR="002C64EC" w:rsidRPr="005D5995" w:rsidRDefault="002C64EC" w:rsidP="0075446C">
                  <w:pPr>
                    <w:jc w:val="center"/>
                    <w:rPr>
                      <w:rFonts w:cs="Arial"/>
                      <w:lang w:val="de-DE"/>
                    </w:rPr>
                  </w:pPr>
                  <w:r w:rsidRPr="005D5995">
                    <w:rPr>
                      <w:rFonts w:cs="Arial"/>
                      <w:lang w:val="de-DE"/>
                    </w:rPr>
                    <w:t>2</w:t>
                  </w:r>
                </w:p>
              </w:tc>
              <w:tc>
                <w:tcPr>
                  <w:tcW w:w="2127" w:type="dxa"/>
                  <w:gridSpan w:val="2"/>
                  <w:tcBorders>
                    <w:top w:val="nil"/>
                    <w:left w:val="nil"/>
                    <w:bottom w:val="single" w:sz="8" w:space="0" w:color="auto"/>
                    <w:right w:val="single" w:sz="4" w:space="0" w:color="auto"/>
                  </w:tcBorders>
                  <w:shd w:val="clear" w:color="auto" w:fill="auto"/>
                  <w:noWrap/>
                  <w:vAlign w:val="center"/>
                  <w:hideMark/>
                </w:tcPr>
                <w:p w14:paraId="7678D614" w14:textId="77777777" w:rsidR="002C64EC" w:rsidRPr="005D5995" w:rsidRDefault="002C64EC" w:rsidP="0075446C">
                  <w:pPr>
                    <w:jc w:val="center"/>
                    <w:rPr>
                      <w:rFonts w:cs="Arial"/>
                      <w:lang w:val="de-DE"/>
                    </w:rPr>
                  </w:pPr>
                  <w:r w:rsidRPr="005D5995">
                    <w:rPr>
                      <w:rFonts w:cs="Arial"/>
                      <w:lang w:val="de-DE"/>
                    </w:rPr>
                    <w:t>homogen</w:t>
                  </w:r>
                </w:p>
              </w:tc>
              <w:tc>
                <w:tcPr>
                  <w:tcW w:w="1985" w:type="dxa"/>
                  <w:tcBorders>
                    <w:top w:val="nil"/>
                    <w:left w:val="nil"/>
                    <w:bottom w:val="single" w:sz="8" w:space="0" w:color="auto"/>
                    <w:right w:val="single" w:sz="8" w:space="0" w:color="auto"/>
                  </w:tcBorders>
                  <w:shd w:val="clear" w:color="auto" w:fill="auto"/>
                  <w:vAlign w:val="center"/>
                  <w:hideMark/>
                </w:tcPr>
                <w:p w14:paraId="14B9AF16" w14:textId="77777777" w:rsidR="002C64EC" w:rsidRPr="005D5995" w:rsidRDefault="002C64EC" w:rsidP="0075446C">
                  <w:pPr>
                    <w:jc w:val="center"/>
                    <w:rPr>
                      <w:rFonts w:cs="Arial"/>
                      <w:lang w:val="de-DE"/>
                    </w:rPr>
                  </w:pPr>
                  <w:r w:rsidRPr="005D5995">
                    <w:rPr>
                      <w:rFonts w:cs="Arial"/>
                      <w:lang w:val="de-DE"/>
                    </w:rPr>
                    <w:t>homogen</w:t>
                  </w:r>
                </w:p>
              </w:tc>
              <w:tc>
                <w:tcPr>
                  <w:tcW w:w="1624" w:type="dxa"/>
                  <w:tcBorders>
                    <w:top w:val="single" w:sz="4" w:space="0" w:color="auto"/>
                    <w:bottom w:val="single" w:sz="4" w:space="0" w:color="auto"/>
                    <w:right w:val="single" w:sz="4" w:space="0" w:color="auto"/>
                  </w:tcBorders>
                  <w:shd w:val="clear" w:color="auto" w:fill="auto"/>
                </w:tcPr>
                <w:p w14:paraId="327E8F2C" w14:textId="77777777" w:rsidR="002C64EC" w:rsidRPr="005D5995" w:rsidRDefault="002C64EC" w:rsidP="0075446C">
                  <w:pPr>
                    <w:jc w:val="center"/>
                    <w:rPr>
                      <w:lang w:val="de-DE"/>
                    </w:rPr>
                  </w:pPr>
                  <w:r w:rsidRPr="005D5995">
                    <w:rPr>
                      <w:lang w:val="de-DE"/>
                    </w:rPr>
                    <w:t>nicht homogen</w:t>
                  </w:r>
                </w:p>
              </w:tc>
            </w:tr>
            <w:tr w:rsidR="005D5995" w:rsidRPr="00477C3F" w14:paraId="308D5CE3" w14:textId="77777777" w:rsidTr="0075446C">
              <w:trPr>
                <w:gridBefore w:val="1"/>
                <w:wBefore w:w="424" w:type="dxa"/>
                <w:trHeight w:val="273"/>
              </w:trPr>
              <w:tc>
                <w:tcPr>
                  <w:tcW w:w="696" w:type="dxa"/>
                  <w:vMerge/>
                  <w:tcBorders>
                    <w:left w:val="single" w:sz="4" w:space="0" w:color="auto"/>
                    <w:right w:val="single" w:sz="4" w:space="0" w:color="000000"/>
                  </w:tcBorders>
                  <w:vAlign w:val="center"/>
                  <w:hideMark/>
                </w:tcPr>
                <w:p w14:paraId="18C5F1E8" w14:textId="77777777" w:rsidR="002C64EC" w:rsidRPr="005D5995" w:rsidRDefault="002C64EC" w:rsidP="0075446C">
                  <w:pPr>
                    <w:jc w:val="left"/>
                    <w:rPr>
                      <w:rFonts w:cs="Arial"/>
                      <w:lang w:val="de-DE"/>
                    </w:rPr>
                  </w:pPr>
                </w:p>
              </w:tc>
              <w:tc>
                <w:tcPr>
                  <w:tcW w:w="1134" w:type="dxa"/>
                  <w:tcBorders>
                    <w:top w:val="nil"/>
                    <w:left w:val="nil"/>
                    <w:bottom w:val="single" w:sz="8" w:space="0" w:color="auto"/>
                    <w:right w:val="single" w:sz="4" w:space="0" w:color="auto"/>
                  </w:tcBorders>
                  <w:shd w:val="clear" w:color="auto" w:fill="auto"/>
                  <w:vAlign w:val="center"/>
                  <w:hideMark/>
                </w:tcPr>
                <w:p w14:paraId="7CDE0F05" w14:textId="77777777" w:rsidR="002C64EC" w:rsidRPr="005D5995" w:rsidRDefault="002C64EC" w:rsidP="0075446C">
                  <w:pPr>
                    <w:jc w:val="center"/>
                    <w:rPr>
                      <w:rFonts w:cs="Arial"/>
                      <w:lang w:val="de-DE"/>
                    </w:rPr>
                  </w:pPr>
                  <w:r w:rsidRPr="005D5995">
                    <w:rPr>
                      <w:rFonts w:cs="Arial"/>
                      <w:lang w:val="de-DE"/>
                    </w:rPr>
                    <w:t>0</w:t>
                  </w:r>
                </w:p>
              </w:tc>
              <w:tc>
                <w:tcPr>
                  <w:tcW w:w="1134" w:type="dxa"/>
                  <w:gridSpan w:val="2"/>
                  <w:tcBorders>
                    <w:top w:val="nil"/>
                    <w:left w:val="nil"/>
                    <w:bottom w:val="single" w:sz="8" w:space="0" w:color="auto"/>
                    <w:right w:val="single" w:sz="4" w:space="0" w:color="auto"/>
                  </w:tcBorders>
                  <w:shd w:val="clear" w:color="auto" w:fill="auto"/>
                  <w:vAlign w:val="center"/>
                  <w:hideMark/>
                </w:tcPr>
                <w:p w14:paraId="6DF3266E" w14:textId="77777777" w:rsidR="002C64EC" w:rsidRPr="005D5995" w:rsidRDefault="002C64EC" w:rsidP="0075446C">
                  <w:pPr>
                    <w:jc w:val="center"/>
                    <w:rPr>
                      <w:rFonts w:cs="Arial"/>
                      <w:lang w:val="de-DE"/>
                    </w:rPr>
                  </w:pPr>
                  <w:r w:rsidRPr="005D5995">
                    <w:rPr>
                      <w:rFonts w:cs="Arial"/>
                      <w:lang w:val="de-DE"/>
                    </w:rPr>
                    <w:t>3*</w:t>
                  </w:r>
                </w:p>
              </w:tc>
              <w:tc>
                <w:tcPr>
                  <w:tcW w:w="2127" w:type="dxa"/>
                  <w:gridSpan w:val="2"/>
                  <w:tcBorders>
                    <w:top w:val="nil"/>
                    <w:left w:val="nil"/>
                    <w:bottom w:val="single" w:sz="8" w:space="0" w:color="auto"/>
                    <w:right w:val="single" w:sz="4" w:space="0" w:color="auto"/>
                  </w:tcBorders>
                  <w:shd w:val="clear" w:color="auto" w:fill="auto"/>
                  <w:vAlign w:val="center"/>
                  <w:hideMark/>
                </w:tcPr>
                <w:p w14:paraId="24162E4B" w14:textId="77777777" w:rsidR="002C64EC" w:rsidRPr="005D5995" w:rsidRDefault="002C64EC" w:rsidP="0075446C">
                  <w:pPr>
                    <w:rPr>
                      <w:rFonts w:cs="Arial"/>
                      <w:lang w:val="de-DE"/>
                    </w:rPr>
                  </w:pPr>
                  <w:r w:rsidRPr="005D5995">
                    <w:rPr>
                      <w:rFonts w:cs="Arial"/>
                      <w:lang w:val="de-DE"/>
                    </w:rPr>
                    <w:t>dritte Wachstumsperiode*</w:t>
                  </w:r>
                </w:p>
              </w:tc>
              <w:tc>
                <w:tcPr>
                  <w:tcW w:w="1985" w:type="dxa"/>
                  <w:tcBorders>
                    <w:top w:val="nil"/>
                    <w:left w:val="nil"/>
                    <w:bottom w:val="single" w:sz="8" w:space="0" w:color="auto"/>
                    <w:right w:val="single" w:sz="4" w:space="0" w:color="auto"/>
                  </w:tcBorders>
                  <w:shd w:val="clear" w:color="auto" w:fill="auto"/>
                  <w:vAlign w:val="center"/>
                  <w:hideMark/>
                </w:tcPr>
                <w:p w14:paraId="01FAAF1E" w14:textId="77777777" w:rsidR="002C64EC" w:rsidRPr="005D5995" w:rsidRDefault="002C64EC" w:rsidP="0075446C">
                  <w:pPr>
                    <w:jc w:val="center"/>
                    <w:rPr>
                      <w:rFonts w:cs="Arial"/>
                      <w:lang w:val="de-DE"/>
                    </w:rPr>
                  </w:pPr>
                  <w:r w:rsidRPr="005D5995">
                    <w:rPr>
                      <w:rFonts w:cs="Arial"/>
                      <w:lang w:val="de-DE"/>
                    </w:rPr>
                    <w:t>homogen*</w:t>
                  </w:r>
                </w:p>
              </w:tc>
              <w:tc>
                <w:tcPr>
                  <w:tcW w:w="1624" w:type="dxa"/>
                  <w:tcBorders>
                    <w:top w:val="single" w:sz="4" w:space="0" w:color="auto"/>
                    <w:bottom w:val="single" w:sz="4" w:space="0" w:color="auto"/>
                    <w:right w:val="single" w:sz="4" w:space="0" w:color="auto"/>
                  </w:tcBorders>
                  <w:shd w:val="clear" w:color="auto" w:fill="auto"/>
                </w:tcPr>
                <w:p w14:paraId="091CCA66" w14:textId="77777777" w:rsidR="002C64EC" w:rsidRPr="005D5995" w:rsidRDefault="002C64EC" w:rsidP="0075446C">
                  <w:pPr>
                    <w:jc w:val="center"/>
                    <w:rPr>
                      <w:lang w:val="de-DE"/>
                    </w:rPr>
                  </w:pPr>
                  <w:r w:rsidRPr="005D5995">
                    <w:rPr>
                      <w:lang w:val="de-DE"/>
                    </w:rPr>
                    <w:t>homogen*</w:t>
                  </w:r>
                </w:p>
              </w:tc>
            </w:tr>
            <w:tr w:rsidR="005D5995" w:rsidRPr="00477C3F" w14:paraId="737F7F97" w14:textId="77777777" w:rsidTr="0075446C">
              <w:trPr>
                <w:gridBefore w:val="1"/>
                <w:wBefore w:w="424" w:type="dxa"/>
                <w:trHeight w:val="248"/>
              </w:trPr>
              <w:tc>
                <w:tcPr>
                  <w:tcW w:w="696" w:type="dxa"/>
                  <w:vMerge/>
                  <w:tcBorders>
                    <w:left w:val="single" w:sz="4" w:space="0" w:color="auto"/>
                    <w:right w:val="single" w:sz="4" w:space="0" w:color="000000"/>
                  </w:tcBorders>
                  <w:vAlign w:val="center"/>
                  <w:hideMark/>
                </w:tcPr>
                <w:p w14:paraId="3A3132EB" w14:textId="77777777" w:rsidR="002C64EC" w:rsidRPr="005D5995" w:rsidRDefault="002C64EC" w:rsidP="0075446C">
                  <w:pPr>
                    <w:jc w:val="left"/>
                    <w:rPr>
                      <w:rFonts w:cs="Arial"/>
                      <w:lang w:val="de-DE"/>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14:paraId="0C7B3063" w14:textId="77777777" w:rsidR="002C64EC" w:rsidRPr="005D5995" w:rsidRDefault="002C64EC" w:rsidP="0075446C">
                  <w:pPr>
                    <w:jc w:val="center"/>
                    <w:rPr>
                      <w:rFonts w:cs="Arial"/>
                      <w:lang w:val="de-DE"/>
                    </w:rPr>
                  </w:pPr>
                  <w:r w:rsidRPr="005D5995">
                    <w:rPr>
                      <w:rFonts w:cs="Arial"/>
                      <w:lang w:val="de-DE"/>
                    </w:rPr>
                    <w:t>1</w:t>
                  </w:r>
                </w:p>
              </w:tc>
              <w:tc>
                <w:tcPr>
                  <w:tcW w:w="1134" w:type="dxa"/>
                  <w:gridSpan w:val="2"/>
                  <w:tcBorders>
                    <w:top w:val="nil"/>
                    <w:left w:val="nil"/>
                    <w:bottom w:val="single" w:sz="8" w:space="0" w:color="auto"/>
                    <w:right w:val="single" w:sz="4" w:space="0" w:color="auto"/>
                  </w:tcBorders>
                  <w:shd w:val="clear" w:color="auto" w:fill="auto"/>
                  <w:vAlign w:val="center"/>
                  <w:hideMark/>
                </w:tcPr>
                <w:p w14:paraId="6CFBFB03" w14:textId="77777777" w:rsidR="002C64EC" w:rsidRPr="005D5995" w:rsidRDefault="002C64EC" w:rsidP="0075446C">
                  <w:pPr>
                    <w:jc w:val="center"/>
                    <w:rPr>
                      <w:rFonts w:cs="Arial"/>
                      <w:lang w:val="de-DE"/>
                    </w:rPr>
                  </w:pPr>
                  <w:r w:rsidRPr="005D5995">
                    <w:rPr>
                      <w:rFonts w:cs="Arial"/>
                      <w:lang w:val="de-DE"/>
                    </w:rPr>
                    <w:t>3*</w:t>
                  </w:r>
                </w:p>
              </w:tc>
              <w:tc>
                <w:tcPr>
                  <w:tcW w:w="2127" w:type="dxa"/>
                  <w:gridSpan w:val="2"/>
                  <w:tcBorders>
                    <w:top w:val="nil"/>
                    <w:left w:val="nil"/>
                    <w:bottom w:val="single" w:sz="8" w:space="0" w:color="auto"/>
                    <w:right w:val="single" w:sz="4" w:space="0" w:color="auto"/>
                  </w:tcBorders>
                  <w:shd w:val="clear" w:color="auto" w:fill="auto"/>
                  <w:vAlign w:val="center"/>
                  <w:hideMark/>
                </w:tcPr>
                <w:p w14:paraId="19D99302" w14:textId="77777777" w:rsidR="002C64EC" w:rsidRPr="005D5995" w:rsidRDefault="002C64EC" w:rsidP="0075446C">
                  <w:pPr>
                    <w:rPr>
                      <w:rFonts w:cs="Arial"/>
                      <w:lang w:val="de-DE"/>
                    </w:rPr>
                  </w:pPr>
                  <w:r w:rsidRPr="005D5995">
                    <w:rPr>
                      <w:rFonts w:cs="Arial"/>
                      <w:lang w:val="de-DE"/>
                    </w:rPr>
                    <w:t>dritte Wachstumsperiode*</w:t>
                  </w:r>
                </w:p>
              </w:tc>
              <w:tc>
                <w:tcPr>
                  <w:tcW w:w="1985" w:type="dxa"/>
                  <w:tcBorders>
                    <w:top w:val="nil"/>
                    <w:left w:val="nil"/>
                    <w:bottom w:val="single" w:sz="4" w:space="0" w:color="auto"/>
                    <w:right w:val="single" w:sz="8" w:space="0" w:color="auto"/>
                  </w:tcBorders>
                  <w:shd w:val="clear" w:color="auto" w:fill="auto"/>
                  <w:vAlign w:val="center"/>
                  <w:hideMark/>
                </w:tcPr>
                <w:p w14:paraId="4AE98360" w14:textId="77777777" w:rsidR="002C64EC" w:rsidRPr="005D5995" w:rsidRDefault="002C64EC" w:rsidP="0075446C">
                  <w:pPr>
                    <w:jc w:val="center"/>
                    <w:rPr>
                      <w:rFonts w:cs="Arial"/>
                      <w:lang w:val="de-DE"/>
                    </w:rPr>
                  </w:pPr>
                  <w:r w:rsidRPr="005D5995">
                    <w:rPr>
                      <w:rFonts w:cs="Arial"/>
                      <w:lang w:val="de-DE"/>
                    </w:rPr>
                    <w:t>nicht homogen*</w:t>
                  </w:r>
                </w:p>
              </w:tc>
              <w:tc>
                <w:tcPr>
                  <w:tcW w:w="1624" w:type="dxa"/>
                  <w:tcBorders>
                    <w:top w:val="single" w:sz="4" w:space="0" w:color="auto"/>
                    <w:bottom w:val="single" w:sz="4" w:space="0" w:color="auto"/>
                    <w:right w:val="single" w:sz="4" w:space="0" w:color="auto"/>
                  </w:tcBorders>
                  <w:shd w:val="clear" w:color="auto" w:fill="auto"/>
                </w:tcPr>
                <w:p w14:paraId="7B61D6EF" w14:textId="77777777" w:rsidR="002C64EC" w:rsidRPr="005D5995" w:rsidRDefault="002C64EC" w:rsidP="0075446C">
                  <w:pPr>
                    <w:jc w:val="center"/>
                    <w:rPr>
                      <w:lang w:val="de-DE"/>
                    </w:rPr>
                  </w:pPr>
                  <w:r w:rsidRPr="005D5995">
                    <w:rPr>
                      <w:lang w:val="de-DE"/>
                    </w:rPr>
                    <w:t>nicht homogen*</w:t>
                  </w:r>
                </w:p>
              </w:tc>
            </w:tr>
            <w:tr w:rsidR="005D5995" w:rsidRPr="00477C3F" w14:paraId="3688C640" w14:textId="77777777" w:rsidTr="0075446C">
              <w:trPr>
                <w:gridBefore w:val="1"/>
                <w:wBefore w:w="424" w:type="dxa"/>
                <w:trHeight w:val="267"/>
              </w:trPr>
              <w:tc>
                <w:tcPr>
                  <w:tcW w:w="696" w:type="dxa"/>
                  <w:vMerge/>
                  <w:tcBorders>
                    <w:left w:val="single" w:sz="4" w:space="0" w:color="auto"/>
                    <w:right w:val="single" w:sz="4" w:space="0" w:color="000000"/>
                  </w:tcBorders>
                  <w:vAlign w:val="center"/>
                  <w:hideMark/>
                </w:tcPr>
                <w:p w14:paraId="7D4EABED" w14:textId="77777777" w:rsidR="002C64EC" w:rsidRPr="005D5995" w:rsidRDefault="002C64EC" w:rsidP="0075446C">
                  <w:pPr>
                    <w:jc w:val="left"/>
                    <w:rPr>
                      <w:rFonts w:cs="Arial"/>
                      <w:lang w:val="de-DE"/>
                    </w:rPr>
                  </w:pPr>
                </w:p>
              </w:tc>
              <w:tc>
                <w:tcPr>
                  <w:tcW w:w="1134" w:type="dxa"/>
                  <w:tcBorders>
                    <w:top w:val="nil"/>
                    <w:left w:val="nil"/>
                    <w:bottom w:val="single" w:sz="4" w:space="0" w:color="auto"/>
                    <w:right w:val="single" w:sz="4" w:space="0" w:color="auto"/>
                  </w:tcBorders>
                  <w:shd w:val="clear" w:color="auto" w:fill="auto"/>
                  <w:noWrap/>
                  <w:vAlign w:val="center"/>
                  <w:hideMark/>
                </w:tcPr>
                <w:p w14:paraId="4E26AED7" w14:textId="77777777" w:rsidR="002C64EC" w:rsidRPr="005D5995" w:rsidRDefault="002C64EC" w:rsidP="0075446C">
                  <w:pPr>
                    <w:jc w:val="center"/>
                    <w:rPr>
                      <w:rFonts w:cs="Arial"/>
                      <w:lang w:val="de-DE"/>
                    </w:rPr>
                  </w:pPr>
                  <w:r w:rsidRPr="005D5995">
                    <w:rPr>
                      <w:rFonts w:cs="Arial"/>
                      <w:lang w:val="de-DE"/>
                    </w:rPr>
                    <w:t>1</w:t>
                  </w:r>
                </w:p>
              </w:tc>
              <w:tc>
                <w:tcPr>
                  <w:tcW w:w="1134" w:type="dxa"/>
                  <w:gridSpan w:val="2"/>
                  <w:tcBorders>
                    <w:top w:val="nil"/>
                    <w:left w:val="nil"/>
                    <w:bottom w:val="single" w:sz="4" w:space="0" w:color="auto"/>
                    <w:right w:val="single" w:sz="4" w:space="0" w:color="auto"/>
                  </w:tcBorders>
                  <w:shd w:val="clear" w:color="auto" w:fill="auto"/>
                  <w:noWrap/>
                  <w:vAlign w:val="center"/>
                  <w:hideMark/>
                </w:tcPr>
                <w:p w14:paraId="3D0E3ECE" w14:textId="77777777" w:rsidR="002C64EC" w:rsidRPr="005D5995" w:rsidRDefault="002C64EC" w:rsidP="0075446C">
                  <w:pPr>
                    <w:ind w:left="49"/>
                    <w:jc w:val="center"/>
                    <w:rPr>
                      <w:rFonts w:cs="Arial"/>
                      <w:lang w:val="de-DE"/>
                    </w:rPr>
                  </w:pPr>
                  <w:r w:rsidRPr="005D5995">
                    <w:rPr>
                      <w:rFonts w:cs="Arial"/>
                      <w:lang w:val="de-DE"/>
                    </w:rPr>
                    <w:t>4*</w:t>
                  </w:r>
                </w:p>
              </w:tc>
              <w:tc>
                <w:tcPr>
                  <w:tcW w:w="2127" w:type="dxa"/>
                  <w:gridSpan w:val="2"/>
                  <w:tcBorders>
                    <w:top w:val="nil"/>
                    <w:left w:val="nil"/>
                    <w:bottom w:val="single" w:sz="4" w:space="0" w:color="auto"/>
                    <w:right w:val="single" w:sz="4" w:space="0" w:color="auto"/>
                  </w:tcBorders>
                  <w:shd w:val="clear" w:color="auto" w:fill="auto"/>
                  <w:vAlign w:val="center"/>
                  <w:hideMark/>
                </w:tcPr>
                <w:p w14:paraId="668C305D" w14:textId="77777777" w:rsidR="002C64EC" w:rsidRPr="005D5995" w:rsidRDefault="002C64EC" w:rsidP="0075446C">
                  <w:pPr>
                    <w:rPr>
                      <w:rFonts w:cs="Arial"/>
                      <w:lang w:val="de-DE"/>
                    </w:rPr>
                  </w:pPr>
                  <w:r w:rsidRPr="005D5995">
                    <w:rPr>
                      <w:rFonts w:cs="Arial"/>
                      <w:lang w:val="de-DE"/>
                    </w:rPr>
                    <w:t>dritte Wachstumsperiode*</w:t>
                  </w:r>
                </w:p>
              </w:tc>
              <w:tc>
                <w:tcPr>
                  <w:tcW w:w="1985" w:type="dxa"/>
                  <w:tcBorders>
                    <w:top w:val="nil"/>
                    <w:left w:val="nil"/>
                    <w:bottom w:val="single" w:sz="4" w:space="0" w:color="auto"/>
                    <w:right w:val="single" w:sz="4" w:space="0" w:color="auto"/>
                  </w:tcBorders>
                  <w:shd w:val="clear" w:color="auto" w:fill="auto"/>
                  <w:vAlign w:val="center"/>
                  <w:hideMark/>
                </w:tcPr>
                <w:p w14:paraId="2B283D39" w14:textId="77777777" w:rsidR="002C64EC" w:rsidRPr="005D5995" w:rsidRDefault="002C64EC" w:rsidP="0075446C">
                  <w:pPr>
                    <w:jc w:val="center"/>
                    <w:rPr>
                      <w:rFonts w:cs="Arial"/>
                      <w:lang w:val="de-DE"/>
                    </w:rPr>
                  </w:pPr>
                  <w:r w:rsidRPr="005D5995">
                    <w:rPr>
                      <w:rFonts w:cs="Arial"/>
                      <w:lang w:val="de-DE"/>
                    </w:rPr>
                    <w:t>nicht homogen*</w:t>
                  </w:r>
                </w:p>
              </w:tc>
              <w:tc>
                <w:tcPr>
                  <w:tcW w:w="1624" w:type="dxa"/>
                  <w:tcBorders>
                    <w:top w:val="single" w:sz="4" w:space="0" w:color="auto"/>
                    <w:bottom w:val="single" w:sz="4" w:space="0" w:color="auto"/>
                    <w:right w:val="single" w:sz="4" w:space="0" w:color="auto"/>
                  </w:tcBorders>
                  <w:shd w:val="clear" w:color="auto" w:fill="auto"/>
                </w:tcPr>
                <w:p w14:paraId="41C17A97" w14:textId="77777777" w:rsidR="002C64EC" w:rsidRPr="005D5995" w:rsidRDefault="002C64EC" w:rsidP="0075446C">
                  <w:pPr>
                    <w:jc w:val="center"/>
                    <w:rPr>
                      <w:lang w:val="de-DE"/>
                    </w:rPr>
                  </w:pPr>
                  <w:r w:rsidRPr="005D5995">
                    <w:rPr>
                      <w:lang w:val="de-DE"/>
                    </w:rPr>
                    <w:t>nicht homogen*</w:t>
                  </w:r>
                </w:p>
              </w:tc>
            </w:tr>
            <w:tr w:rsidR="005D5995" w:rsidRPr="00477C3F" w14:paraId="2E0FCE9F" w14:textId="77777777" w:rsidTr="0075446C">
              <w:trPr>
                <w:gridBefore w:val="1"/>
                <w:wBefore w:w="424" w:type="dxa"/>
                <w:trHeight w:val="266"/>
              </w:trPr>
              <w:tc>
                <w:tcPr>
                  <w:tcW w:w="696" w:type="dxa"/>
                  <w:vMerge/>
                  <w:tcBorders>
                    <w:left w:val="single" w:sz="4" w:space="0" w:color="auto"/>
                    <w:bottom w:val="single" w:sz="4" w:space="0" w:color="auto"/>
                    <w:right w:val="single" w:sz="4" w:space="0" w:color="000000"/>
                  </w:tcBorders>
                  <w:shd w:val="clear" w:color="auto" w:fill="auto"/>
                  <w:noWrap/>
                  <w:vAlign w:val="bottom"/>
                  <w:hideMark/>
                </w:tcPr>
                <w:p w14:paraId="382A6575" w14:textId="77777777" w:rsidR="002C64EC" w:rsidRPr="005D5995" w:rsidRDefault="002C64EC" w:rsidP="0075446C">
                  <w:pPr>
                    <w:jc w:val="left"/>
                    <w:rPr>
                      <w:rFonts w:cs="Arial"/>
                      <w:lang w:val="de-DE"/>
                    </w:rPr>
                  </w:pPr>
                </w:p>
              </w:tc>
              <w:tc>
                <w:tcPr>
                  <w:tcW w:w="1134" w:type="dxa"/>
                  <w:tcBorders>
                    <w:top w:val="nil"/>
                    <w:left w:val="single" w:sz="4" w:space="0" w:color="000000"/>
                    <w:bottom w:val="single" w:sz="4" w:space="0" w:color="auto"/>
                    <w:right w:val="single" w:sz="4" w:space="0" w:color="auto"/>
                  </w:tcBorders>
                  <w:shd w:val="clear" w:color="auto" w:fill="auto"/>
                  <w:noWrap/>
                  <w:vAlign w:val="center"/>
                  <w:hideMark/>
                </w:tcPr>
                <w:p w14:paraId="4D831C09" w14:textId="77777777" w:rsidR="002C64EC" w:rsidRPr="005D5995" w:rsidRDefault="002C64EC" w:rsidP="0075446C">
                  <w:pPr>
                    <w:ind w:left="49"/>
                    <w:jc w:val="center"/>
                    <w:rPr>
                      <w:rFonts w:cs="Arial"/>
                      <w:lang w:val="de-DE"/>
                    </w:rPr>
                  </w:pPr>
                  <w:r w:rsidRPr="005D5995">
                    <w:rPr>
                      <w:rFonts w:cs="Arial"/>
                      <w:lang w:val="de-DE"/>
                    </w:rPr>
                    <w:t>4**</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14:paraId="39D759A4" w14:textId="77777777" w:rsidR="002C64EC" w:rsidRPr="005D5995" w:rsidRDefault="002C64EC" w:rsidP="0075446C">
                  <w:pPr>
                    <w:ind w:right="-123"/>
                    <w:jc w:val="center"/>
                    <w:rPr>
                      <w:rFonts w:cs="Arial"/>
                      <w:lang w:val="de-DE"/>
                    </w:rPr>
                  </w:pPr>
                  <w:r w:rsidRPr="005D5995">
                    <w:rPr>
                      <w:rFonts w:cs="Arial"/>
                      <w:lang w:val="de-DE"/>
                    </w:rPr>
                    <w:t>1*</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14:paraId="1596B04A" w14:textId="77777777" w:rsidR="002C64EC" w:rsidRPr="005D5995" w:rsidRDefault="002C64EC" w:rsidP="0075446C">
                  <w:pPr>
                    <w:ind w:right="-122"/>
                    <w:rPr>
                      <w:rFonts w:cs="Arial"/>
                      <w:lang w:val="de-DE"/>
                    </w:rPr>
                  </w:pPr>
                  <w:r w:rsidRPr="005D5995">
                    <w:rPr>
                      <w:rFonts w:cs="Arial"/>
                      <w:lang w:val="de-DE"/>
                    </w:rPr>
                    <w:t xml:space="preserve">dritte Wachstumsperiode*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14:paraId="50F5B3D7" w14:textId="77777777" w:rsidR="002C64EC" w:rsidRPr="005D5995" w:rsidRDefault="002C64EC" w:rsidP="0075446C">
                  <w:pPr>
                    <w:jc w:val="center"/>
                    <w:rPr>
                      <w:rFonts w:cs="Arial"/>
                      <w:lang w:val="de-DE"/>
                    </w:rPr>
                  </w:pPr>
                  <w:r w:rsidRPr="005D5995">
                    <w:rPr>
                      <w:rFonts w:cs="Arial"/>
                      <w:lang w:val="de-DE"/>
                    </w:rPr>
                    <w:t>nicht homogen*</w:t>
                  </w:r>
                </w:p>
              </w:tc>
              <w:tc>
                <w:tcPr>
                  <w:tcW w:w="1624" w:type="dxa"/>
                  <w:tcBorders>
                    <w:top w:val="single" w:sz="4" w:space="0" w:color="auto"/>
                    <w:bottom w:val="single" w:sz="4" w:space="0" w:color="auto"/>
                    <w:right w:val="single" w:sz="4" w:space="0" w:color="auto"/>
                  </w:tcBorders>
                  <w:shd w:val="clear" w:color="auto" w:fill="auto"/>
                </w:tcPr>
                <w:p w14:paraId="7D011857" w14:textId="77777777" w:rsidR="002C64EC" w:rsidRPr="005D5995" w:rsidRDefault="002C64EC" w:rsidP="0075446C">
                  <w:pPr>
                    <w:jc w:val="center"/>
                    <w:rPr>
                      <w:lang w:val="de-DE"/>
                    </w:rPr>
                  </w:pPr>
                  <w:r w:rsidRPr="005D5995">
                    <w:rPr>
                      <w:lang w:val="de-DE"/>
                    </w:rPr>
                    <w:t>nicht homogen*</w:t>
                  </w:r>
                </w:p>
              </w:tc>
            </w:tr>
          </w:tbl>
          <w:p w14:paraId="2F767DE8" w14:textId="77777777" w:rsidR="002C64EC" w:rsidRPr="005D5995" w:rsidRDefault="002C64EC" w:rsidP="0075446C">
            <w:pPr>
              <w:pStyle w:val="Titleofdoc0"/>
              <w:spacing w:before="0"/>
              <w:jc w:val="both"/>
              <w:rPr>
                <w:sz w:val="18"/>
                <w:szCs w:val="18"/>
                <w:lang w:val="de-DE"/>
              </w:rPr>
            </w:pPr>
          </w:p>
          <w:p w14:paraId="6FC90671" w14:textId="5A231537" w:rsidR="002C64EC" w:rsidRPr="005D5995" w:rsidRDefault="002C64EC" w:rsidP="0075446C">
            <w:pPr>
              <w:keepNext/>
              <w:keepLines/>
              <w:rPr>
                <w:rFonts w:eastAsia="SimSun"/>
                <w:sz w:val="18"/>
                <w:szCs w:val="18"/>
                <w:u w:val="single"/>
                <w:lang w:val="de-DE" w:eastAsia="zh-CN"/>
              </w:rPr>
            </w:pPr>
            <w:r w:rsidRPr="005D5995">
              <w:rPr>
                <w:sz w:val="18"/>
                <w:szCs w:val="18"/>
                <w:lang w:val="de-DE"/>
              </w:rPr>
              <w:t xml:space="preserve">* </w:t>
            </w:r>
            <w:r w:rsidRPr="005D5995">
              <w:rPr>
                <w:rFonts w:eastAsia="SimSun"/>
                <w:sz w:val="18"/>
                <w:szCs w:val="18"/>
                <w:lang w:val="de-DE" w:eastAsia="zh-CN"/>
              </w:rPr>
              <w:t xml:space="preserve">Bei der Prüfung von Ergebnissen, die in jeder der Wachstumsperioden sehr unterschiedlich sind, </w:t>
            </w:r>
            <w:proofErr w:type="spellStart"/>
            <w:r w:rsidRPr="005D5995">
              <w:rPr>
                <w:rFonts w:eastAsia="SimSun"/>
                <w:sz w:val="18"/>
                <w:szCs w:val="18"/>
                <w:lang w:val="de-DE" w:eastAsia="zh-CN"/>
              </w:rPr>
              <w:t>muß</w:t>
            </w:r>
            <w:proofErr w:type="spellEnd"/>
            <w:r w:rsidRPr="005D5995">
              <w:rPr>
                <w:rFonts w:eastAsia="SimSun"/>
                <w:sz w:val="18"/>
                <w:szCs w:val="18"/>
                <w:lang w:val="de-DE" w:eastAsia="zh-CN"/>
              </w:rPr>
              <w:t xml:space="preserve"> mit größter Sorgfalt verfahren werden, </w:t>
            </w:r>
            <w:proofErr w:type="gramStart"/>
            <w:r w:rsidRPr="005D5995">
              <w:rPr>
                <w:rFonts w:eastAsia="SimSun"/>
                <w:sz w:val="18"/>
                <w:szCs w:val="18"/>
                <w:lang w:val="de-DE" w:eastAsia="zh-CN"/>
              </w:rPr>
              <w:t>etwa</w:t>
            </w:r>
            <w:proofErr w:type="gramEnd"/>
            <w:r w:rsidRPr="005D5995">
              <w:rPr>
                <w:rFonts w:eastAsia="SimSun"/>
                <w:sz w:val="18"/>
                <w:szCs w:val="18"/>
                <w:lang w:val="de-DE" w:eastAsia="zh-CN"/>
              </w:rPr>
              <w:t xml:space="preserve"> wenn ein </w:t>
            </w:r>
            <w:proofErr w:type="spellStart"/>
            <w:r w:rsidRPr="005D5995">
              <w:rPr>
                <w:rFonts w:eastAsia="SimSun"/>
                <w:sz w:val="18"/>
                <w:szCs w:val="18"/>
                <w:lang w:val="de-DE" w:eastAsia="zh-CN"/>
              </w:rPr>
              <w:t>Abweichertyp</w:t>
            </w:r>
            <w:proofErr w:type="spellEnd"/>
            <w:r w:rsidRPr="005D5995">
              <w:rPr>
                <w:rFonts w:eastAsia="SimSun"/>
                <w:sz w:val="18"/>
                <w:szCs w:val="18"/>
                <w:lang w:val="de-DE" w:eastAsia="zh-CN"/>
              </w:rPr>
              <w:t xml:space="preserve"> in einer Wachstumsperiode sehr häufig und in einer anderen überhaupt nicht vorkommt. </w:t>
            </w:r>
            <w:r w:rsidRPr="005D5995">
              <w:rPr>
                <w:sz w:val="18"/>
                <w:szCs w:val="18"/>
                <w:lang w:val="de-DE"/>
              </w:rPr>
              <w:t xml:space="preserve">Gegebenenfalls sollte eine statistische Prüfung auf Einheitlichkeit durchgeführt werden. Es ist wichtig, zu identifizieren, ob Unterschiede in der Anzahl von </w:t>
            </w:r>
            <w:proofErr w:type="spellStart"/>
            <w:r w:rsidRPr="005D5995">
              <w:rPr>
                <w:sz w:val="18"/>
                <w:szCs w:val="18"/>
                <w:lang w:val="de-DE"/>
              </w:rPr>
              <w:t>Abweichern</w:t>
            </w:r>
            <w:proofErr w:type="spellEnd"/>
            <w:r w:rsidRPr="005D5995">
              <w:rPr>
                <w:sz w:val="18"/>
                <w:szCs w:val="18"/>
                <w:lang w:val="de-DE"/>
              </w:rPr>
              <w:t xml:space="preserve"> zwischen Wachstumsperioden durch </w:t>
            </w:r>
            <w:r w:rsidR="00FF4D2A" w:rsidRPr="005D5995">
              <w:rPr>
                <w:sz w:val="18"/>
                <w:szCs w:val="18"/>
                <w:lang w:val="de-DE"/>
              </w:rPr>
              <w:t xml:space="preserve">Umweltursachen </w:t>
            </w:r>
            <w:r w:rsidRPr="005D5995">
              <w:rPr>
                <w:sz w:val="18"/>
                <w:szCs w:val="18"/>
                <w:lang w:val="de-DE"/>
              </w:rPr>
              <w:t>oder durch Unterschiede in der Art der Probennahme bedingt sind.</w:t>
            </w:r>
          </w:p>
          <w:p w14:paraId="0E09231A" w14:textId="77777777" w:rsidR="002C64EC" w:rsidRPr="005D5995" w:rsidRDefault="002C64EC" w:rsidP="0075446C">
            <w:pPr>
              <w:keepNext/>
              <w:keepLines/>
              <w:rPr>
                <w:sz w:val="18"/>
                <w:szCs w:val="18"/>
                <w:u w:val="single"/>
                <w:lang w:val="de-DE"/>
              </w:rPr>
            </w:pPr>
          </w:p>
          <w:p w14:paraId="0F944E47" w14:textId="57ADC368" w:rsidR="002C64EC" w:rsidRPr="005D5995" w:rsidRDefault="002C64EC" w:rsidP="0075446C">
            <w:pPr>
              <w:keepNext/>
              <w:keepLines/>
              <w:rPr>
                <w:rFonts w:eastAsia="SimSun"/>
                <w:sz w:val="18"/>
                <w:szCs w:val="18"/>
                <w:u w:val="single"/>
                <w:lang w:val="de-DE" w:eastAsia="zh-CN"/>
              </w:rPr>
            </w:pPr>
            <w:r w:rsidRPr="004743FD">
              <w:rPr>
                <w:sz w:val="18"/>
                <w:szCs w:val="18"/>
                <w:lang w:val="de-DE"/>
              </w:rPr>
              <w:t xml:space="preserve">** </w:t>
            </w:r>
            <w:r w:rsidR="005D5995" w:rsidRPr="004743FD">
              <w:rPr>
                <w:sz w:val="18"/>
                <w:szCs w:val="18"/>
                <w:lang w:val="de-DE"/>
              </w:rPr>
              <w:t xml:space="preserve">Wenn </w:t>
            </w:r>
            <w:r w:rsidR="005D5995" w:rsidRPr="005D5995">
              <w:rPr>
                <w:rFonts w:cs="Arial"/>
                <w:bCs/>
                <w:snapToGrid w:val="0"/>
                <w:sz w:val="18"/>
                <w:szCs w:val="18"/>
                <w:lang w:val="de-DE"/>
              </w:rPr>
              <w:t xml:space="preserve">eine Sorte in der ersten Wachstumsperiode einen festgelegten oberen Grenzwert für </w:t>
            </w:r>
            <w:proofErr w:type="spellStart"/>
            <w:r w:rsidR="005D5995" w:rsidRPr="005D5995">
              <w:rPr>
                <w:rFonts w:cs="Arial"/>
                <w:bCs/>
                <w:snapToGrid w:val="0"/>
                <w:sz w:val="18"/>
                <w:szCs w:val="18"/>
                <w:lang w:val="de-DE"/>
              </w:rPr>
              <w:t>Abweicher</w:t>
            </w:r>
            <w:proofErr w:type="spellEnd"/>
            <w:r w:rsidR="005D5995" w:rsidRPr="005D5995">
              <w:rPr>
                <w:rFonts w:cs="Arial"/>
                <w:bCs/>
                <w:snapToGrid w:val="0"/>
                <w:sz w:val="18"/>
                <w:szCs w:val="18"/>
                <w:lang w:val="de-DE"/>
              </w:rPr>
              <w:t xml:space="preserve"> übersteigt,</w:t>
            </w:r>
            <w:r w:rsidR="005D5995">
              <w:rPr>
                <w:rFonts w:cs="Arial"/>
                <w:bCs/>
                <w:snapToGrid w:val="0"/>
                <w:sz w:val="18"/>
                <w:szCs w:val="18"/>
                <w:lang w:val="de-DE"/>
              </w:rPr>
              <w:t xml:space="preserve"> </w:t>
            </w:r>
            <w:r w:rsidR="005D5995" w:rsidRPr="005D5995">
              <w:rPr>
                <w:rFonts w:cs="Arial"/>
                <w:bCs/>
                <w:snapToGrid w:val="0"/>
                <w:sz w:val="18"/>
                <w:szCs w:val="18"/>
                <w:lang w:val="de-DE"/>
              </w:rPr>
              <w:t>kann die Sorte nach einer Wachstumsperiode zurückgewiesen werden.</w:t>
            </w:r>
          </w:p>
          <w:p w14:paraId="478BA540" w14:textId="77777777" w:rsidR="002C64EC" w:rsidRPr="005D5995" w:rsidRDefault="002C64EC" w:rsidP="0075446C">
            <w:pPr>
              <w:keepNext/>
              <w:keepLines/>
              <w:ind w:left="34"/>
              <w:rPr>
                <w:rFonts w:eastAsia="SimSun"/>
                <w:sz w:val="18"/>
                <w:lang w:val="de-DE" w:eastAsia="zh-CN"/>
              </w:rPr>
            </w:pPr>
          </w:p>
        </w:tc>
      </w:tr>
    </w:tbl>
    <w:p w14:paraId="297846C0" w14:textId="77777777" w:rsidR="00B91E18" w:rsidRPr="005D5995" w:rsidRDefault="00B91E18" w:rsidP="00B91E18">
      <w:pPr>
        <w:jc w:val="left"/>
        <w:rPr>
          <w:lang w:val="de-DE"/>
        </w:rPr>
      </w:pPr>
    </w:p>
    <w:p w14:paraId="063F0041" w14:textId="77777777" w:rsidR="00B91E18" w:rsidRPr="005D5995" w:rsidRDefault="00B91E18" w:rsidP="00B91E18">
      <w:pPr>
        <w:jc w:val="left"/>
        <w:rPr>
          <w:lang w:val="de-DE"/>
        </w:rPr>
      </w:pPr>
    </w:p>
    <w:p w14:paraId="39F9828C" w14:textId="77777777" w:rsidR="00B91E18" w:rsidRPr="005D5995" w:rsidRDefault="00B91E18" w:rsidP="00B91E18">
      <w:pPr>
        <w:jc w:val="left"/>
        <w:rPr>
          <w:lang w:val="de-DE"/>
        </w:rPr>
      </w:pPr>
    </w:p>
    <w:p w14:paraId="341212E5" w14:textId="77777777" w:rsidR="00543999" w:rsidRPr="005D5995" w:rsidRDefault="00543999" w:rsidP="00543999">
      <w:pPr>
        <w:jc w:val="right"/>
      </w:pPr>
      <w:r w:rsidRPr="005D5995">
        <w:rPr>
          <w:rFonts w:eastAsia="MS Mincho"/>
          <w:lang w:eastAsia="ja-JP"/>
        </w:rPr>
        <w:t xml:space="preserve">[Anlage II </w:t>
      </w:r>
      <w:proofErr w:type="spellStart"/>
      <w:r w:rsidRPr="005D5995">
        <w:rPr>
          <w:rFonts w:eastAsia="MS Mincho"/>
          <w:lang w:eastAsia="ja-JP"/>
        </w:rPr>
        <w:t>folgt</w:t>
      </w:r>
      <w:proofErr w:type="spellEnd"/>
      <w:r w:rsidRPr="005D5995">
        <w:rPr>
          <w:rFonts w:eastAsia="MS Mincho"/>
          <w:lang w:eastAsia="ja-JP"/>
        </w:rPr>
        <w:t>]</w:t>
      </w:r>
    </w:p>
    <w:p w14:paraId="346BB375" w14:textId="77777777" w:rsidR="00B91E18" w:rsidRPr="005D5995" w:rsidRDefault="00B91E18" w:rsidP="00B91E18">
      <w:pPr>
        <w:jc w:val="right"/>
        <w:sectPr w:rsidR="00B91E18" w:rsidRPr="005D5995" w:rsidSect="003077D7">
          <w:headerReference w:type="default" r:id="rId9"/>
          <w:headerReference w:type="first" r:id="rId10"/>
          <w:pgSz w:w="11907" w:h="16840" w:code="9"/>
          <w:pgMar w:top="510" w:right="1134" w:bottom="993" w:left="1134" w:header="510" w:footer="680" w:gutter="0"/>
          <w:pgNumType w:start="1"/>
          <w:cols w:space="720"/>
          <w:titlePg/>
        </w:sectPr>
      </w:pPr>
    </w:p>
    <w:p w14:paraId="22D0684C" w14:textId="77777777" w:rsidR="00B91E18" w:rsidRPr="005D5995" w:rsidRDefault="00B91E18" w:rsidP="00B91E18"/>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5D5995" w:rsidRPr="00C96F4D" w14:paraId="2110F061" w14:textId="77777777" w:rsidTr="0075446C">
        <w:trPr>
          <w:trHeight w:val="350"/>
        </w:trPr>
        <w:tc>
          <w:tcPr>
            <w:tcW w:w="10206" w:type="dxa"/>
          </w:tcPr>
          <w:p w14:paraId="303DE874" w14:textId="77777777" w:rsidR="002C64EC" w:rsidRPr="005D5995" w:rsidRDefault="002C64EC" w:rsidP="0075446C">
            <w:pPr>
              <w:autoSpaceDE w:val="0"/>
              <w:autoSpaceDN w:val="0"/>
              <w:adjustRightInd w:val="0"/>
              <w:jc w:val="center"/>
              <w:rPr>
                <w:rFonts w:eastAsia="SimSun"/>
                <w:szCs w:val="24"/>
                <w:lang w:val="de-DE" w:eastAsia="zh-CN"/>
              </w:rPr>
            </w:pPr>
          </w:p>
          <w:p w14:paraId="520B707F" w14:textId="77777777" w:rsidR="002C64EC" w:rsidRPr="005D5995" w:rsidRDefault="002C64EC" w:rsidP="0075446C">
            <w:pPr>
              <w:autoSpaceDE w:val="0"/>
              <w:autoSpaceDN w:val="0"/>
              <w:adjustRightInd w:val="0"/>
              <w:jc w:val="center"/>
              <w:rPr>
                <w:szCs w:val="24"/>
                <w:lang w:val="de-DE"/>
              </w:rPr>
            </w:pPr>
            <w:r w:rsidRPr="005D5995">
              <w:rPr>
                <w:rFonts w:eastAsia="SimSun"/>
                <w:szCs w:val="24"/>
                <w:lang w:val="de-DE" w:eastAsia="zh-CN"/>
              </w:rPr>
              <w:t xml:space="preserve">SITUATION: PRÜFUNG DER HOMOGENITÄT ANHAND VON ABWEICHERN AUFGRUND VON </w:t>
            </w:r>
            <w:r w:rsidRPr="005D5995">
              <w:rPr>
                <w:szCs w:val="24"/>
                <w:lang w:val="de-DE"/>
              </w:rPr>
              <w:t xml:space="preserve">UNTERPROBEN </w:t>
            </w:r>
            <w:r w:rsidRPr="005D5995">
              <w:rPr>
                <w:rFonts w:eastAsia="MS Mincho"/>
                <w:szCs w:val="24"/>
                <w:lang w:val="de-DE" w:eastAsia="ja-JP"/>
              </w:rPr>
              <w:t>IN EINER PRÜFUNG / EINEM VERSUCH</w:t>
            </w:r>
          </w:p>
          <w:p w14:paraId="1BE7A77C" w14:textId="77777777" w:rsidR="002C64EC" w:rsidRPr="005D5995" w:rsidRDefault="002C64EC" w:rsidP="0075446C">
            <w:pPr>
              <w:autoSpaceDE w:val="0"/>
              <w:autoSpaceDN w:val="0"/>
              <w:adjustRightInd w:val="0"/>
              <w:jc w:val="center"/>
              <w:rPr>
                <w:rFonts w:eastAsia="SimSun"/>
                <w:szCs w:val="24"/>
                <w:lang w:val="de-DE" w:eastAsia="zh-CN"/>
              </w:rPr>
            </w:pPr>
          </w:p>
        </w:tc>
      </w:tr>
      <w:tr w:rsidR="002C64EC" w:rsidRPr="00C96F4D" w14:paraId="43BB0861" w14:textId="77777777" w:rsidTr="0075446C">
        <w:trPr>
          <w:trHeight w:val="6949"/>
        </w:trPr>
        <w:tc>
          <w:tcPr>
            <w:tcW w:w="10206" w:type="dxa"/>
          </w:tcPr>
          <w:p w14:paraId="21E272C9" w14:textId="77777777" w:rsidR="002C64EC" w:rsidRPr="005D5995" w:rsidRDefault="002C64EC" w:rsidP="0075446C">
            <w:pPr>
              <w:rPr>
                <w:lang w:val="de-DE"/>
              </w:rPr>
            </w:pPr>
          </w:p>
          <w:p w14:paraId="075A4FAE" w14:textId="77777777" w:rsidR="002C64EC" w:rsidRPr="005D5995" w:rsidRDefault="002C64EC" w:rsidP="0075446C">
            <w:pPr>
              <w:rPr>
                <w:b/>
                <w:lang w:val="de-DE"/>
              </w:rPr>
            </w:pPr>
            <w:r w:rsidRPr="005D5995">
              <w:rPr>
                <w:b/>
                <w:lang w:val="de-DE"/>
              </w:rPr>
              <w:t>Ansatz: Verwendung von Unterproben als erster Prüfungsschritt</w:t>
            </w:r>
          </w:p>
          <w:p w14:paraId="2EAF84B4" w14:textId="77777777" w:rsidR="002C64EC" w:rsidRPr="005D5995" w:rsidRDefault="002C64EC" w:rsidP="0075446C">
            <w:pPr>
              <w:rPr>
                <w:b/>
                <w:lang w:val="de-DE"/>
              </w:rPr>
            </w:pPr>
          </w:p>
          <w:p w14:paraId="1E82B39A" w14:textId="77777777" w:rsidR="002C64EC" w:rsidRPr="005D5995" w:rsidRDefault="002C64EC" w:rsidP="0075446C">
            <w:pPr>
              <w:rPr>
                <w:lang w:val="de-DE"/>
              </w:rPr>
            </w:pPr>
            <w:r w:rsidRPr="005D5995">
              <w:rPr>
                <w:lang w:val="de-DE"/>
              </w:rPr>
              <w:t xml:space="preserve">Eine Sorte wird als homogen betrachtet, wenn die Anzahl der </w:t>
            </w:r>
            <w:proofErr w:type="spellStart"/>
            <w:r w:rsidRPr="005D5995">
              <w:rPr>
                <w:lang w:val="de-DE"/>
              </w:rPr>
              <w:t>Abweicher</w:t>
            </w:r>
            <w:proofErr w:type="spellEnd"/>
            <w:r w:rsidRPr="005D5995">
              <w:rPr>
                <w:lang w:val="de-DE"/>
              </w:rPr>
              <w:t xml:space="preserve"> einen festgelegten unteren Grenzwert in der Unterprobe nicht übersteigt.</w:t>
            </w:r>
          </w:p>
          <w:p w14:paraId="1730D5FE" w14:textId="77777777" w:rsidR="002C64EC" w:rsidRPr="005D5995" w:rsidRDefault="002C64EC" w:rsidP="0075446C">
            <w:pPr>
              <w:rPr>
                <w:lang w:val="de-DE"/>
              </w:rPr>
            </w:pPr>
          </w:p>
          <w:p w14:paraId="478E29D8" w14:textId="77777777" w:rsidR="002C64EC" w:rsidRPr="005D5995" w:rsidRDefault="002C64EC" w:rsidP="0075446C">
            <w:pPr>
              <w:rPr>
                <w:lang w:val="de-DE"/>
              </w:rPr>
            </w:pPr>
            <w:r w:rsidRPr="005D5995">
              <w:rPr>
                <w:lang w:val="de-DE"/>
              </w:rPr>
              <w:t xml:space="preserve">Eine Sorte wird als nicht homogen betrachtet, wenn die Anzahl der </w:t>
            </w:r>
            <w:proofErr w:type="spellStart"/>
            <w:r w:rsidRPr="005D5995">
              <w:rPr>
                <w:lang w:val="de-DE"/>
              </w:rPr>
              <w:t>Abweicher</w:t>
            </w:r>
            <w:proofErr w:type="spellEnd"/>
            <w:r w:rsidRPr="005D5995">
              <w:rPr>
                <w:lang w:val="de-DE"/>
              </w:rPr>
              <w:t xml:space="preserve"> einen festgelegten oberen Grenzwert in der Unterprobe übersteigt.</w:t>
            </w:r>
          </w:p>
          <w:p w14:paraId="33E822A1" w14:textId="77777777" w:rsidR="002C64EC" w:rsidRPr="005D5995" w:rsidRDefault="002C64EC" w:rsidP="0075446C">
            <w:pPr>
              <w:rPr>
                <w:lang w:val="de-DE"/>
              </w:rPr>
            </w:pPr>
          </w:p>
          <w:p w14:paraId="6B854830" w14:textId="77777777" w:rsidR="002C64EC" w:rsidRPr="005D5995" w:rsidRDefault="002C64EC" w:rsidP="0075446C">
            <w:pPr>
              <w:rPr>
                <w:lang w:val="de-DE"/>
              </w:rPr>
            </w:pPr>
            <w:r w:rsidRPr="005D5995">
              <w:rPr>
                <w:lang w:val="de-DE"/>
              </w:rPr>
              <w:t xml:space="preserve">Ist die Anzahl an </w:t>
            </w:r>
            <w:proofErr w:type="spellStart"/>
            <w:r w:rsidRPr="005D5995">
              <w:rPr>
                <w:lang w:val="de-DE"/>
              </w:rPr>
              <w:t>Abweichern</w:t>
            </w:r>
            <w:proofErr w:type="spellEnd"/>
            <w:r w:rsidRPr="005D5995">
              <w:rPr>
                <w:lang w:val="de-DE"/>
              </w:rPr>
              <w:t xml:space="preserve"> zwischen den festgelegten unteren und oberen Grenzwerten, wird die gesamte Probe geprüft. Die unteren und oberen Grenzwerte müssen unter Berücksichtigung vergleichbarer Fehler vom Typ I und Typ II in der Unterprobe und der gesamten Probe gewählt werden.</w:t>
            </w:r>
          </w:p>
          <w:p w14:paraId="732F4123" w14:textId="77777777" w:rsidR="002C64EC" w:rsidRPr="005D5995" w:rsidRDefault="00C96F4D" w:rsidP="0075446C">
            <w:pPr>
              <w:rPr>
                <w:lang w:val="de-DE"/>
              </w:rPr>
            </w:pPr>
            <w:r>
              <w:rPr>
                <w:rFonts w:eastAsia="SimSun"/>
                <w:szCs w:val="24"/>
                <w:lang w:val="de-DE" w:eastAsia="zh-CN"/>
              </w:rPr>
              <w:pict w14:anchorId="09259F7F">
                <v:rect id="_x0000_i1025" style="width:0;height:1.5pt" o:hralign="center" o:hrstd="t" o:hr="t" fillcolor="#a0a0a0" stroked="f"/>
              </w:pict>
            </w:r>
          </w:p>
          <w:p w14:paraId="76E2C489" w14:textId="77777777" w:rsidR="002C64EC" w:rsidRPr="005D5995" w:rsidRDefault="002C64EC" w:rsidP="0075446C">
            <w:pPr>
              <w:rPr>
                <w:szCs w:val="24"/>
                <w:lang w:val="de-DE"/>
              </w:rPr>
            </w:pPr>
          </w:p>
          <w:p w14:paraId="749AC077" w14:textId="77777777" w:rsidR="002C64EC" w:rsidRPr="005D5995" w:rsidRDefault="002C64EC" w:rsidP="0075446C">
            <w:pPr>
              <w:rPr>
                <w:szCs w:val="24"/>
                <w:lang w:val="de-DE"/>
              </w:rPr>
            </w:pPr>
            <w:r w:rsidRPr="005D5995">
              <w:rPr>
                <w:lang w:val="de-DE"/>
              </w:rPr>
              <w:t>Beispiel:</w:t>
            </w:r>
          </w:p>
          <w:p w14:paraId="6FD68971" w14:textId="77777777" w:rsidR="002C64EC" w:rsidRPr="005D5995" w:rsidRDefault="002C64EC" w:rsidP="0075446C">
            <w:pPr>
              <w:rPr>
                <w:szCs w:val="24"/>
                <w:lang w:val="de-DE"/>
              </w:rPr>
            </w:pPr>
          </w:p>
          <w:p w14:paraId="1463A9C4" w14:textId="77777777" w:rsidR="002C64EC" w:rsidRPr="005D5995" w:rsidRDefault="002C64EC" w:rsidP="0075446C">
            <w:pPr>
              <w:autoSpaceDE w:val="0"/>
              <w:autoSpaceDN w:val="0"/>
              <w:adjustRightInd w:val="0"/>
              <w:rPr>
                <w:szCs w:val="24"/>
                <w:lang w:val="de-DE"/>
              </w:rPr>
            </w:pPr>
            <w:r w:rsidRPr="005D5995">
              <w:rPr>
                <w:lang w:val="de-DE"/>
              </w:rPr>
              <w:t xml:space="preserve">In einer Probengröße von 100 Pflanzen beträgt die akzeptierte Anzahl an </w:t>
            </w:r>
            <w:proofErr w:type="spellStart"/>
            <w:r w:rsidRPr="005D5995">
              <w:rPr>
                <w:lang w:val="de-DE"/>
              </w:rPr>
              <w:t>Abweichern</w:t>
            </w:r>
            <w:proofErr w:type="spellEnd"/>
            <w:r w:rsidRPr="005D5995">
              <w:rPr>
                <w:lang w:val="de-DE"/>
              </w:rPr>
              <w:t xml:space="preserve"> 3 (ausgehend von einem Populationsstandard von 1% und einer Akzeptanzwahrscheinlichkeit von mindestens 95%).</w:t>
            </w:r>
          </w:p>
          <w:p w14:paraId="4E748577" w14:textId="77777777" w:rsidR="002C64EC" w:rsidRPr="005D5995" w:rsidRDefault="002C64EC" w:rsidP="0075446C">
            <w:pPr>
              <w:autoSpaceDE w:val="0"/>
              <w:autoSpaceDN w:val="0"/>
              <w:adjustRightInd w:val="0"/>
              <w:ind w:firstLine="567"/>
              <w:rPr>
                <w:szCs w:val="24"/>
                <w:lang w:val="de-DE"/>
              </w:rPr>
            </w:pPr>
          </w:p>
          <w:p w14:paraId="67310816" w14:textId="77777777" w:rsidR="002C64EC" w:rsidRPr="005D5995" w:rsidRDefault="002C64EC" w:rsidP="0075446C">
            <w:pPr>
              <w:autoSpaceDE w:val="0"/>
              <w:autoSpaceDN w:val="0"/>
              <w:adjustRightInd w:val="0"/>
              <w:rPr>
                <w:szCs w:val="24"/>
                <w:lang w:val="de-DE"/>
              </w:rPr>
            </w:pPr>
            <w:r w:rsidRPr="005D5995">
              <w:rPr>
                <w:lang w:val="de-DE"/>
              </w:rPr>
              <w:t>In einer Unterprobe von 20 Pflanzen, die in Zusammenhang mit der oben genannten Probengröße von 100 Pflanzen verwendet wird, gilt folgendes:</w:t>
            </w:r>
          </w:p>
          <w:p w14:paraId="5F10165F" w14:textId="77777777" w:rsidR="002C64EC" w:rsidRPr="005D5995" w:rsidRDefault="002C64EC" w:rsidP="0075446C">
            <w:pPr>
              <w:autoSpaceDE w:val="0"/>
              <w:autoSpaceDN w:val="0"/>
              <w:adjustRightInd w:val="0"/>
              <w:rPr>
                <w:szCs w:val="24"/>
                <w:lang w:val="de-DE"/>
              </w:rPr>
            </w:pPr>
          </w:p>
          <w:p w14:paraId="07372750" w14:textId="77777777" w:rsidR="002C64EC" w:rsidRPr="005D5995" w:rsidRDefault="002C64EC" w:rsidP="0075446C">
            <w:pPr>
              <w:ind w:left="567"/>
              <w:rPr>
                <w:lang w:val="de-DE"/>
              </w:rPr>
            </w:pPr>
            <w:r w:rsidRPr="005D5995">
              <w:rPr>
                <w:lang w:val="de-DE"/>
              </w:rPr>
              <w:t xml:space="preserve">Eine Sorte wird als homogen betrachtet, wenn die Unterprobe keine </w:t>
            </w:r>
            <w:proofErr w:type="spellStart"/>
            <w:r w:rsidRPr="005D5995">
              <w:rPr>
                <w:lang w:val="de-DE"/>
              </w:rPr>
              <w:t>Abweicher</w:t>
            </w:r>
            <w:proofErr w:type="spellEnd"/>
            <w:r w:rsidRPr="005D5995">
              <w:rPr>
                <w:lang w:val="de-DE"/>
              </w:rPr>
              <w:t xml:space="preserve"> aufweist.</w:t>
            </w:r>
          </w:p>
          <w:p w14:paraId="69EBD1A5" w14:textId="77777777" w:rsidR="002C64EC" w:rsidRPr="005D5995" w:rsidRDefault="002C64EC" w:rsidP="0075446C">
            <w:pPr>
              <w:rPr>
                <w:lang w:val="de-DE"/>
              </w:rPr>
            </w:pPr>
          </w:p>
          <w:p w14:paraId="16D69FE1" w14:textId="77777777" w:rsidR="002C64EC" w:rsidRPr="005D5995" w:rsidRDefault="002C64EC" w:rsidP="0075446C">
            <w:pPr>
              <w:ind w:left="567"/>
              <w:rPr>
                <w:lang w:val="de-DE"/>
              </w:rPr>
            </w:pPr>
            <w:r w:rsidRPr="005D5995">
              <w:rPr>
                <w:lang w:val="de-DE"/>
              </w:rPr>
              <w:t xml:space="preserve">Eine Sorte wird als nicht homogen betrachtet, wenn die Unterprobe mehr als 3 </w:t>
            </w:r>
            <w:proofErr w:type="spellStart"/>
            <w:r w:rsidRPr="005D5995">
              <w:rPr>
                <w:lang w:val="de-DE"/>
              </w:rPr>
              <w:t>Abweicher</w:t>
            </w:r>
            <w:proofErr w:type="spellEnd"/>
            <w:r w:rsidRPr="005D5995">
              <w:rPr>
                <w:lang w:val="de-DE"/>
              </w:rPr>
              <w:t xml:space="preserve"> aufweist.</w:t>
            </w:r>
          </w:p>
          <w:p w14:paraId="42C034A8" w14:textId="77777777" w:rsidR="002C64EC" w:rsidRPr="005D5995" w:rsidRDefault="002C64EC" w:rsidP="0075446C">
            <w:pPr>
              <w:rPr>
                <w:lang w:val="de-DE"/>
              </w:rPr>
            </w:pPr>
          </w:p>
          <w:p w14:paraId="62B0FA87" w14:textId="77777777" w:rsidR="002C64EC" w:rsidRPr="005D5995" w:rsidRDefault="002C64EC" w:rsidP="0075446C">
            <w:pPr>
              <w:ind w:left="567"/>
              <w:rPr>
                <w:lang w:val="de-DE"/>
              </w:rPr>
            </w:pPr>
            <w:r w:rsidRPr="005D5995">
              <w:rPr>
                <w:lang w:val="de-DE"/>
              </w:rPr>
              <w:t xml:space="preserve">Ist die Anzahl der </w:t>
            </w:r>
            <w:proofErr w:type="spellStart"/>
            <w:r w:rsidRPr="005D5995">
              <w:rPr>
                <w:lang w:val="de-DE"/>
              </w:rPr>
              <w:t>Abweicher</w:t>
            </w:r>
            <w:proofErr w:type="spellEnd"/>
            <w:r w:rsidRPr="005D5995">
              <w:rPr>
                <w:lang w:val="de-DE"/>
              </w:rPr>
              <w:t xml:space="preserve"> 1 bis 3, so wird die gesamte Probe von 100 Pflanzen geprüft.</w:t>
            </w:r>
          </w:p>
          <w:p w14:paraId="3A8803A8" w14:textId="77777777" w:rsidR="002C64EC" w:rsidRPr="005D5995" w:rsidRDefault="002C64EC" w:rsidP="0075446C">
            <w:pPr>
              <w:ind w:left="567"/>
              <w:rPr>
                <w:lang w:val="de-DE"/>
              </w:rPr>
            </w:pPr>
          </w:p>
          <w:p w14:paraId="0F010C1E" w14:textId="77777777" w:rsidR="002C64EC" w:rsidRPr="005D5995" w:rsidRDefault="002C64EC" w:rsidP="0075446C">
            <w:pPr>
              <w:ind w:left="567"/>
              <w:rPr>
                <w:lang w:val="de-DE"/>
              </w:rPr>
            </w:pPr>
            <w:r w:rsidRPr="005D5995">
              <w:rPr>
                <w:lang w:val="de-DE"/>
              </w:rPr>
              <w:t xml:space="preserve">Die Sorte wird als nicht homogen betrachtet, wenn die Anzahl der </w:t>
            </w:r>
            <w:proofErr w:type="spellStart"/>
            <w:r w:rsidRPr="005D5995">
              <w:rPr>
                <w:lang w:val="de-DE"/>
              </w:rPr>
              <w:t>Abweicher</w:t>
            </w:r>
            <w:proofErr w:type="spellEnd"/>
            <w:r w:rsidRPr="005D5995">
              <w:rPr>
                <w:lang w:val="de-DE"/>
              </w:rPr>
              <w:t xml:space="preserve"> in der Probe mit 100 Pflanzen größer als 3 ist.</w:t>
            </w:r>
          </w:p>
          <w:p w14:paraId="363A8456" w14:textId="77777777" w:rsidR="002C64EC" w:rsidRPr="005D5995" w:rsidRDefault="002C64EC" w:rsidP="0075446C">
            <w:pPr>
              <w:ind w:left="34" w:right="600"/>
              <w:rPr>
                <w:lang w:val="de-DE"/>
              </w:rPr>
            </w:pPr>
          </w:p>
          <w:p w14:paraId="05AFC8E7" w14:textId="77777777" w:rsidR="002C64EC" w:rsidRPr="005D5995" w:rsidRDefault="002C64EC" w:rsidP="006E189B">
            <w:pPr>
              <w:ind w:left="34" w:right="600"/>
              <w:rPr>
                <w:szCs w:val="24"/>
                <w:lang w:val="de-DE"/>
              </w:rPr>
            </w:pPr>
          </w:p>
        </w:tc>
      </w:tr>
    </w:tbl>
    <w:p w14:paraId="793D4F7F" w14:textId="77777777" w:rsidR="00B91E18" w:rsidRPr="005D5995" w:rsidRDefault="00B91E18" w:rsidP="00B91E18">
      <w:pPr>
        <w:rPr>
          <w:lang w:val="de-DE"/>
        </w:rPr>
      </w:pPr>
    </w:p>
    <w:p w14:paraId="401FA84F" w14:textId="7174A42B" w:rsidR="00B91E18" w:rsidRDefault="00B91E18" w:rsidP="00B91E18">
      <w:pPr>
        <w:rPr>
          <w:lang w:val="de-DE"/>
        </w:rPr>
      </w:pPr>
    </w:p>
    <w:p w14:paraId="22CAF33E" w14:textId="77777777" w:rsidR="002473C4" w:rsidRPr="005D5995" w:rsidRDefault="002473C4" w:rsidP="00B91E18">
      <w:pPr>
        <w:rPr>
          <w:lang w:val="de-DE"/>
        </w:rPr>
      </w:pPr>
    </w:p>
    <w:p w14:paraId="1988AB34" w14:textId="77777777" w:rsidR="00CD5E39" w:rsidRPr="005D5995" w:rsidRDefault="00B91E18" w:rsidP="00CD5E39">
      <w:pPr>
        <w:jc w:val="right"/>
        <w:rPr>
          <w:lang w:val="de-DE"/>
        </w:rPr>
      </w:pPr>
      <w:r w:rsidRPr="00477C3F">
        <w:rPr>
          <w:lang w:val="de-DE"/>
        </w:rPr>
        <w:t xml:space="preserve"> </w:t>
      </w:r>
      <w:r w:rsidR="00CD5E39" w:rsidRPr="005D5995">
        <w:rPr>
          <w:lang w:val="de-DE"/>
        </w:rPr>
        <w:t>[Ende der Anlage II und des Dokuments]</w:t>
      </w:r>
    </w:p>
    <w:p w14:paraId="2B1CAED4" w14:textId="77777777" w:rsidR="00B91E18" w:rsidRPr="005D5995" w:rsidRDefault="00B91E18" w:rsidP="00B91E18">
      <w:pPr>
        <w:jc w:val="right"/>
        <w:rPr>
          <w:lang w:val="de-DE"/>
        </w:rPr>
      </w:pPr>
    </w:p>
    <w:sectPr w:rsidR="00B91E18" w:rsidRPr="005D5995" w:rsidSect="00906DDC">
      <w:headerReference w:type="default" r:id="rId11"/>
      <w:headerReference w:type="first" r:id="rId12"/>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0391BD" w14:textId="77777777" w:rsidR="00910327" w:rsidRDefault="00910327" w:rsidP="006655D3">
      <w:r>
        <w:separator/>
      </w:r>
    </w:p>
    <w:p w14:paraId="32FAF693" w14:textId="77777777" w:rsidR="00910327" w:rsidRDefault="00910327" w:rsidP="006655D3"/>
    <w:p w14:paraId="60D222FE" w14:textId="77777777" w:rsidR="00910327" w:rsidRDefault="00910327" w:rsidP="006655D3"/>
  </w:endnote>
  <w:endnote w:type="continuationSeparator" w:id="0">
    <w:p w14:paraId="132909C7" w14:textId="77777777" w:rsidR="00910327" w:rsidRDefault="00910327" w:rsidP="006655D3">
      <w:r>
        <w:separator/>
      </w:r>
    </w:p>
    <w:p w14:paraId="2868CB5F" w14:textId="77777777" w:rsidR="00910327" w:rsidRPr="00294751" w:rsidRDefault="00910327">
      <w:pPr>
        <w:pStyle w:val="Footer"/>
        <w:spacing w:after="60"/>
        <w:rPr>
          <w:sz w:val="18"/>
          <w:lang w:val="fr-FR"/>
        </w:rPr>
      </w:pPr>
      <w:r w:rsidRPr="00294751">
        <w:rPr>
          <w:sz w:val="18"/>
          <w:lang w:val="fr-FR"/>
        </w:rPr>
        <w:t>[Suite de la note de la page précédente]</w:t>
      </w:r>
    </w:p>
    <w:p w14:paraId="574EB834" w14:textId="77777777" w:rsidR="00910327" w:rsidRPr="00294751" w:rsidRDefault="00910327" w:rsidP="006655D3">
      <w:pPr>
        <w:rPr>
          <w:lang w:val="fr-FR"/>
        </w:rPr>
      </w:pPr>
    </w:p>
    <w:p w14:paraId="01FD81AE" w14:textId="77777777" w:rsidR="00910327" w:rsidRPr="00294751" w:rsidRDefault="00910327" w:rsidP="006655D3">
      <w:pPr>
        <w:rPr>
          <w:lang w:val="fr-FR"/>
        </w:rPr>
      </w:pPr>
    </w:p>
  </w:endnote>
  <w:endnote w:type="continuationNotice" w:id="1">
    <w:p w14:paraId="2F9DD77C" w14:textId="77777777" w:rsidR="00910327" w:rsidRPr="00294751" w:rsidRDefault="00910327" w:rsidP="006655D3">
      <w:pPr>
        <w:rPr>
          <w:lang w:val="fr-FR"/>
        </w:rPr>
      </w:pPr>
      <w:r w:rsidRPr="00294751">
        <w:rPr>
          <w:lang w:val="fr-FR"/>
        </w:rPr>
        <w:t>[Suite de la note page suivante]</w:t>
      </w:r>
    </w:p>
    <w:p w14:paraId="556087A3" w14:textId="77777777" w:rsidR="00910327" w:rsidRPr="00294751" w:rsidRDefault="00910327" w:rsidP="006655D3">
      <w:pPr>
        <w:rPr>
          <w:lang w:val="fr-FR"/>
        </w:rPr>
      </w:pPr>
    </w:p>
    <w:p w14:paraId="73405F03" w14:textId="77777777" w:rsidR="00910327" w:rsidRPr="00294751" w:rsidRDefault="0091032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A7A23F" w14:textId="77777777" w:rsidR="00910327" w:rsidRDefault="00910327" w:rsidP="006655D3">
      <w:r>
        <w:separator/>
      </w:r>
    </w:p>
  </w:footnote>
  <w:footnote w:type="continuationSeparator" w:id="0">
    <w:p w14:paraId="5E823547" w14:textId="77777777" w:rsidR="00910327" w:rsidRDefault="00910327" w:rsidP="006655D3">
      <w:r>
        <w:separator/>
      </w:r>
    </w:p>
  </w:footnote>
  <w:footnote w:type="continuationNotice" w:id="1">
    <w:p w14:paraId="5050163F" w14:textId="77777777" w:rsidR="00910327" w:rsidRPr="00AB530F" w:rsidRDefault="00910327"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55870A" w14:textId="77777777" w:rsidR="004D3E55" w:rsidRDefault="004D3E55" w:rsidP="003077D7">
    <w:pPr>
      <w:pStyle w:val="Header"/>
      <w:rPr>
        <w:lang w:val="en-US"/>
      </w:rPr>
    </w:pPr>
    <w:r w:rsidRPr="002A5517">
      <w:rPr>
        <w:lang w:val="en-US"/>
      </w:rPr>
      <w:t>TC/54/20</w:t>
    </w:r>
  </w:p>
  <w:p w14:paraId="492A4108" w14:textId="79B40473" w:rsidR="004D3E55" w:rsidRPr="00C5280D" w:rsidRDefault="004D3E55" w:rsidP="00EB048E">
    <w:pPr>
      <w:pStyle w:val="Header"/>
      <w:rPr>
        <w:lang w:val="en-US"/>
      </w:rPr>
    </w:pP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96F4D">
      <w:rPr>
        <w:rStyle w:val="PageNumber"/>
        <w:noProof/>
        <w:lang w:val="en-US"/>
      </w:rPr>
      <w:t>2</w:t>
    </w:r>
    <w:r w:rsidRPr="00C5280D">
      <w:rPr>
        <w:rStyle w:val="PageNumber"/>
        <w:lang w:val="en-US"/>
      </w:rPr>
      <w:fldChar w:fldCharType="end"/>
    </w:r>
  </w:p>
  <w:p w14:paraId="750DA4CC" w14:textId="77777777" w:rsidR="004D3E55" w:rsidRPr="00C5280D" w:rsidRDefault="004D3E55"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25658" w14:textId="77777777" w:rsidR="004D3E55" w:rsidRPr="00C906FF" w:rsidRDefault="004D3E55" w:rsidP="00EB048E">
    <w:pPr>
      <w:pStyle w:val="Header"/>
      <w:rPr>
        <w:rStyle w:val="PageNumber"/>
        <w:lang w:val="pt-BR"/>
      </w:rPr>
    </w:pPr>
    <w:r w:rsidRPr="002A5517">
      <w:rPr>
        <w:lang w:val="en-US"/>
      </w:rPr>
      <w:t>TC/54/20</w:t>
    </w:r>
  </w:p>
  <w:p w14:paraId="36E74017" w14:textId="652EAEEF" w:rsidR="004D3E55" w:rsidRPr="0061523C" w:rsidRDefault="004D3E55" w:rsidP="00EB048E">
    <w:pPr>
      <w:pStyle w:val="Header"/>
      <w:rPr>
        <w:lang w:val="pt-BR"/>
      </w:rPr>
    </w:pPr>
    <w:r w:rsidRPr="00C906FF">
      <w:rPr>
        <w:lang w:val="pt-BR"/>
      </w:rPr>
      <w:t>An</w:t>
    </w:r>
    <w:r>
      <w:rPr>
        <w:lang w:val="pt-BR"/>
      </w:rPr>
      <w:t>lage</w:t>
    </w:r>
    <w:r w:rsidRPr="00C906FF">
      <w:rPr>
        <w:lang w:val="pt-BR"/>
      </w:rPr>
      <w:t xml:space="preserve"> I, </w:t>
    </w:r>
    <w:r>
      <w:rPr>
        <w:lang w:val="pt-BR"/>
      </w:rPr>
      <w:t>Seite</w:t>
    </w:r>
    <w:r w:rsidRPr="00C906FF">
      <w:rPr>
        <w:lang w:val="pt-BR"/>
      </w:rPr>
      <w:t xml:space="preserve"> </w:t>
    </w:r>
    <w:r w:rsidRPr="00C5280D">
      <w:rPr>
        <w:rStyle w:val="PageNumber"/>
        <w:lang w:val="en-US"/>
      </w:rPr>
      <w:fldChar w:fldCharType="begin"/>
    </w:r>
    <w:r w:rsidRPr="0061523C">
      <w:rPr>
        <w:rStyle w:val="PageNumber"/>
        <w:lang w:val="pt-BR"/>
      </w:rPr>
      <w:instrText xml:space="preserve"> PAGE </w:instrText>
    </w:r>
    <w:r w:rsidRPr="00C5280D">
      <w:rPr>
        <w:rStyle w:val="PageNumber"/>
        <w:lang w:val="en-US"/>
      </w:rPr>
      <w:fldChar w:fldCharType="separate"/>
    </w:r>
    <w:r w:rsidR="00C96F4D">
      <w:rPr>
        <w:rStyle w:val="PageNumber"/>
        <w:noProof/>
        <w:lang w:val="pt-BR"/>
      </w:rPr>
      <w:t>2</w:t>
    </w:r>
    <w:r w:rsidRPr="00C5280D">
      <w:rPr>
        <w:rStyle w:val="PageNumber"/>
        <w:lang w:val="en-US"/>
      </w:rPr>
      <w:fldChar w:fldCharType="end"/>
    </w:r>
  </w:p>
  <w:p w14:paraId="60928F31" w14:textId="77777777" w:rsidR="004D3E55" w:rsidRPr="0061523C" w:rsidRDefault="004D3E55" w:rsidP="006655D3">
    <w:pPr>
      <w:rPr>
        <w:lang w:val="pt-BR"/>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415C3" w14:textId="77777777" w:rsidR="004D3E55" w:rsidRDefault="004D3E55">
    <w:pPr>
      <w:pStyle w:val="Header"/>
      <w:rPr>
        <w:lang w:val="en-US"/>
      </w:rPr>
    </w:pPr>
    <w:r w:rsidRPr="002A5517">
      <w:rPr>
        <w:lang w:val="en-US"/>
      </w:rPr>
      <w:t>TC/54/20</w:t>
    </w:r>
  </w:p>
  <w:p w14:paraId="1FB390C4" w14:textId="77777777" w:rsidR="004D3E55" w:rsidRPr="00C906FF" w:rsidRDefault="004D3E55">
    <w:pPr>
      <w:pStyle w:val="Header"/>
      <w:rPr>
        <w:lang w:val="pt-BR"/>
      </w:rPr>
    </w:pPr>
  </w:p>
  <w:p w14:paraId="46C56826" w14:textId="77777777" w:rsidR="004D3E55" w:rsidRPr="00C906FF" w:rsidRDefault="004D3E55">
    <w:pPr>
      <w:pStyle w:val="Header"/>
      <w:rPr>
        <w:lang w:val="pt-BR"/>
      </w:rPr>
    </w:pPr>
    <w:r w:rsidRPr="00C906FF">
      <w:rPr>
        <w:lang w:val="pt-BR"/>
      </w:rPr>
      <w:t>AN</w:t>
    </w:r>
    <w:r>
      <w:rPr>
        <w:lang w:val="pt-BR"/>
      </w:rPr>
      <w:t xml:space="preserve">LAGE </w:t>
    </w:r>
    <w:r w:rsidRPr="00C906FF">
      <w:rPr>
        <w:lang w:val="pt-BR"/>
      </w:rPr>
      <w:t>I</w:t>
    </w:r>
  </w:p>
  <w:p w14:paraId="1E395572" w14:textId="77777777" w:rsidR="004D3E55" w:rsidRPr="00C906FF" w:rsidRDefault="004D3E55">
    <w:pPr>
      <w:pStyle w:val="Header"/>
      <w:rPr>
        <w:lang w:val="pt-BR"/>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CF7CD" w14:textId="77777777" w:rsidR="004D3E55" w:rsidRPr="00C5280D" w:rsidRDefault="004D3E55" w:rsidP="00EB048E">
    <w:pPr>
      <w:pStyle w:val="Header"/>
      <w:rPr>
        <w:rStyle w:val="PageNumber"/>
        <w:lang w:val="en-US"/>
      </w:rPr>
    </w:pPr>
    <w:r>
      <w:rPr>
        <w:rStyle w:val="PageNumber"/>
        <w:lang w:val="en-US"/>
      </w:rPr>
      <w:t>TC/54/</w:t>
    </w:r>
  </w:p>
  <w:p w14:paraId="32CB4AB1" w14:textId="77777777" w:rsidR="004D3E55" w:rsidRPr="00C5280D" w:rsidRDefault="004D3E55"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3BFD2C43" w14:textId="77777777" w:rsidR="004D3E55" w:rsidRPr="00C5280D" w:rsidRDefault="004D3E55"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D4711" w14:textId="77777777" w:rsidR="004D3E55" w:rsidRDefault="004D3E55">
    <w:pPr>
      <w:pStyle w:val="Header"/>
      <w:rPr>
        <w:lang w:val="en-US"/>
      </w:rPr>
    </w:pPr>
    <w:r w:rsidRPr="002A5517">
      <w:rPr>
        <w:lang w:val="en-US"/>
      </w:rPr>
      <w:t>TC/54/20</w:t>
    </w:r>
  </w:p>
  <w:p w14:paraId="4E6C2B2B" w14:textId="77777777" w:rsidR="004D3E55" w:rsidRPr="00C906FF" w:rsidRDefault="004D3E55">
    <w:pPr>
      <w:pStyle w:val="Header"/>
      <w:rPr>
        <w:lang w:val="pt-BR"/>
      </w:rPr>
    </w:pPr>
  </w:p>
  <w:p w14:paraId="26C10237" w14:textId="77777777" w:rsidR="004D3E55" w:rsidRPr="00C906FF" w:rsidRDefault="004D3E55">
    <w:pPr>
      <w:pStyle w:val="Header"/>
      <w:rPr>
        <w:lang w:val="pt-BR"/>
      </w:rPr>
    </w:pPr>
    <w:r w:rsidRPr="00C906FF">
      <w:rPr>
        <w:lang w:val="pt-BR"/>
      </w:rPr>
      <w:t>AN</w:t>
    </w:r>
    <w:r>
      <w:rPr>
        <w:lang w:val="pt-BR"/>
      </w:rPr>
      <w:t>LAGE</w:t>
    </w:r>
    <w:r w:rsidRPr="00C906FF">
      <w:rPr>
        <w:lang w:val="pt-BR"/>
      </w:rPr>
      <w:t xml:space="preserve"> I</w:t>
    </w:r>
    <w:r>
      <w:rPr>
        <w:lang w:val="pt-BR"/>
      </w:rPr>
      <w:t>I</w:t>
    </w:r>
  </w:p>
  <w:p w14:paraId="557EB98B" w14:textId="77777777" w:rsidR="004D3E55" w:rsidRPr="00C906FF" w:rsidRDefault="004D3E55">
    <w:pPr>
      <w:pStyle w:val="Header"/>
      <w:rPr>
        <w:lang w:val="pt-B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8B7878"/>
    <w:multiLevelType w:val="hybridMultilevel"/>
    <w:tmpl w:val="B652F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E18"/>
    <w:rsid w:val="00002AF6"/>
    <w:rsid w:val="0000489D"/>
    <w:rsid w:val="00010CF3"/>
    <w:rsid w:val="00011E27"/>
    <w:rsid w:val="000148BC"/>
    <w:rsid w:val="00015057"/>
    <w:rsid w:val="00024AB8"/>
    <w:rsid w:val="00025932"/>
    <w:rsid w:val="00030854"/>
    <w:rsid w:val="00031DEA"/>
    <w:rsid w:val="00036028"/>
    <w:rsid w:val="0004010E"/>
    <w:rsid w:val="00044642"/>
    <w:rsid w:val="000446B9"/>
    <w:rsid w:val="000453E2"/>
    <w:rsid w:val="00047E21"/>
    <w:rsid w:val="000504AE"/>
    <w:rsid w:val="00050E16"/>
    <w:rsid w:val="00056F77"/>
    <w:rsid w:val="000575D4"/>
    <w:rsid w:val="00057BB4"/>
    <w:rsid w:val="000779E7"/>
    <w:rsid w:val="00085505"/>
    <w:rsid w:val="000B60FC"/>
    <w:rsid w:val="000C4E25"/>
    <w:rsid w:val="000C7021"/>
    <w:rsid w:val="000D6BBC"/>
    <w:rsid w:val="000D7780"/>
    <w:rsid w:val="000E2C88"/>
    <w:rsid w:val="000E62B2"/>
    <w:rsid w:val="000E636A"/>
    <w:rsid w:val="000F2F11"/>
    <w:rsid w:val="0010579D"/>
    <w:rsid w:val="00105929"/>
    <w:rsid w:val="00110C36"/>
    <w:rsid w:val="001131D5"/>
    <w:rsid w:val="00126DA7"/>
    <w:rsid w:val="00141DB8"/>
    <w:rsid w:val="00147022"/>
    <w:rsid w:val="00172084"/>
    <w:rsid w:val="0017474A"/>
    <w:rsid w:val="001758C6"/>
    <w:rsid w:val="00182B99"/>
    <w:rsid w:val="001939F1"/>
    <w:rsid w:val="001958B8"/>
    <w:rsid w:val="001A3A47"/>
    <w:rsid w:val="001A5F8C"/>
    <w:rsid w:val="001B7732"/>
    <w:rsid w:val="001C55EE"/>
    <w:rsid w:val="001E698B"/>
    <w:rsid w:val="00200C3D"/>
    <w:rsid w:val="00201434"/>
    <w:rsid w:val="00201CD8"/>
    <w:rsid w:val="0021332C"/>
    <w:rsid w:val="00213982"/>
    <w:rsid w:val="0023676B"/>
    <w:rsid w:val="0024416D"/>
    <w:rsid w:val="002473C4"/>
    <w:rsid w:val="00252994"/>
    <w:rsid w:val="0026212D"/>
    <w:rsid w:val="0026649C"/>
    <w:rsid w:val="00271911"/>
    <w:rsid w:val="002800A0"/>
    <w:rsid w:val="002801B3"/>
    <w:rsid w:val="00281060"/>
    <w:rsid w:val="00292E90"/>
    <w:rsid w:val="002940E8"/>
    <w:rsid w:val="00294751"/>
    <w:rsid w:val="002A50DE"/>
    <w:rsid w:val="002A5517"/>
    <w:rsid w:val="002A5D37"/>
    <w:rsid w:val="002A6E50"/>
    <w:rsid w:val="002A6F3E"/>
    <w:rsid w:val="002B4298"/>
    <w:rsid w:val="002C256A"/>
    <w:rsid w:val="002C64EC"/>
    <w:rsid w:val="002C6B1D"/>
    <w:rsid w:val="002D151E"/>
    <w:rsid w:val="002D1622"/>
    <w:rsid w:val="002F0C97"/>
    <w:rsid w:val="003042CA"/>
    <w:rsid w:val="0030431F"/>
    <w:rsid w:val="00304827"/>
    <w:rsid w:val="00305102"/>
    <w:rsid w:val="00305A7F"/>
    <w:rsid w:val="003077D7"/>
    <w:rsid w:val="003152FE"/>
    <w:rsid w:val="00315F79"/>
    <w:rsid w:val="00316648"/>
    <w:rsid w:val="00327436"/>
    <w:rsid w:val="00342FFD"/>
    <w:rsid w:val="00344BD6"/>
    <w:rsid w:val="00350070"/>
    <w:rsid w:val="0035528D"/>
    <w:rsid w:val="00360AC6"/>
    <w:rsid w:val="00361821"/>
    <w:rsid w:val="00361E9E"/>
    <w:rsid w:val="00382E84"/>
    <w:rsid w:val="003851A9"/>
    <w:rsid w:val="00386121"/>
    <w:rsid w:val="003C7FBE"/>
    <w:rsid w:val="003D227C"/>
    <w:rsid w:val="003D2B4D"/>
    <w:rsid w:val="003E7EB0"/>
    <w:rsid w:val="003F7B23"/>
    <w:rsid w:val="0040147A"/>
    <w:rsid w:val="00404268"/>
    <w:rsid w:val="00413F36"/>
    <w:rsid w:val="00425CC1"/>
    <w:rsid w:val="00430849"/>
    <w:rsid w:val="00433556"/>
    <w:rsid w:val="00441385"/>
    <w:rsid w:val="00444A88"/>
    <w:rsid w:val="00453593"/>
    <w:rsid w:val="004605F2"/>
    <w:rsid w:val="0046087D"/>
    <w:rsid w:val="004652A6"/>
    <w:rsid w:val="004743FD"/>
    <w:rsid w:val="00474DA4"/>
    <w:rsid w:val="00476B4D"/>
    <w:rsid w:val="00477C3F"/>
    <w:rsid w:val="004805FA"/>
    <w:rsid w:val="004935D2"/>
    <w:rsid w:val="004B1215"/>
    <w:rsid w:val="004B220C"/>
    <w:rsid w:val="004B36EC"/>
    <w:rsid w:val="004C797C"/>
    <w:rsid w:val="004D047D"/>
    <w:rsid w:val="004D3E55"/>
    <w:rsid w:val="004E64FA"/>
    <w:rsid w:val="004F1E9E"/>
    <w:rsid w:val="004F305A"/>
    <w:rsid w:val="005072D5"/>
    <w:rsid w:val="00512164"/>
    <w:rsid w:val="00520297"/>
    <w:rsid w:val="005338F9"/>
    <w:rsid w:val="0053458C"/>
    <w:rsid w:val="005357F0"/>
    <w:rsid w:val="0054021C"/>
    <w:rsid w:val="0054281C"/>
    <w:rsid w:val="00543999"/>
    <w:rsid w:val="00544581"/>
    <w:rsid w:val="00551DCF"/>
    <w:rsid w:val="0055268D"/>
    <w:rsid w:val="00566B3C"/>
    <w:rsid w:val="00576BE4"/>
    <w:rsid w:val="00591451"/>
    <w:rsid w:val="005A400A"/>
    <w:rsid w:val="005A79FB"/>
    <w:rsid w:val="005D33BF"/>
    <w:rsid w:val="005D5995"/>
    <w:rsid w:val="005E3B9B"/>
    <w:rsid w:val="005F166F"/>
    <w:rsid w:val="005F7B92"/>
    <w:rsid w:val="00611EC9"/>
    <w:rsid w:val="00612379"/>
    <w:rsid w:val="006153B6"/>
    <w:rsid w:val="0061555F"/>
    <w:rsid w:val="00617E0A"/>
    <w:rsid w:val="00636CA6"/>
    <w:rsid w:val="00641200"/>
    <w:rsid w:val="00645CA8"/>
    <w:rsid w:val="006655D3"/>
    <w:rsid w:val="00667404"/>
    <w:rsid w:val="00670546"/>
    <w:rsid w:val="00685740"/>
    <w:rsid w:val="00687EB4"/>
    <w:rsid w:val="00695C56"/>
    <w:rsid w:val="006A5CDE"/>
    <w:rsid w:val="006A644A"/>
    <w:rsid w:val="006B17D2"/>
    <w:rsid w:val="006B1CCC"/>
    <w:rsid w:val="006C224E"/>
    <w:rsid w:val="006D780A"/>
    <w:rsid w:val="006E189B"/>
    <w:rsid w:val="006E4F78"/>
    <w:rsid w:val="0071271E"/>
    <w:rsid w:val="00725D05"/>
    <w:rsid w:val="00732DEC"/>
    <w:rsid w:val="00735BD5"/>
    <w:rsid w:val="00751613"/>
    <w:rsid w:val="0075446C"/>
    <w:rsid w:val="007556F6"/>
    <w:rsid w:val="00757738"/>
    <w:rsid w:val="00760EEF"/>
    <w:rsid w:val="00772BC1"/>
    <w:rsid w:val="00777EE5"/>
    <w:rsid w:val="00784836"/>
    <w:rsid w:val="0078487C"/>
    <w:rsid w:val="0078721B"/>
    <w:rsid w:val="0079023E"/>
    <w:rsid w:val="00792CEC"/>
    <w:rsid w:val="007A05AB"/>
    <w:rsid w:val="007A2703"/>
    <w:rsid w:val="007A2854"/>
    <w:rsid w:val="007A4CA9"/>
    <w:rsid w:val="007B327F"/>
    <w:rsid w:val="007C1D92"/>
    <w:rsid w:val="007C4CB9"/>
    <w:rsid w:val="007D0B9D"/>
    <w:rsid w:val="007D19B0"/>
    <w:rsid w:val="007D2706"/>
    <w:rsid w:val="007F498F"/>
    <w:rsid w:val="00803EAD"/>
    <w:rsid w:val="00804655"/>
    <w:rsid w:val="0080679D"/>
    <w:rsid w:val="008108B0"/>
    <w:rsid w:val="00811B20"/>
    <w:rsid w:val="008122FB"/>
    <w:rsid w:val="0082047B"/>
    <w:rsid w:val="0082052A"/>
    <w:rsid w:val="008211B5"/>
    <w:rsid w:val="0082296E"/>
    <w:rsid w:val="00824099"/>
    <w:rsid w:val="00846D7C"/>
    <w:rsid w:val="00853536"/>
    <w:rsid w:val="00860445"/>
    <w:rsid w:val="008608C4"/>
    <w:rsid w:val="00867AC1"/>
    <w:rsid w:val="00890DF8"/>
    <w:rsid w:val="00897A47"/>
    <w:rsid w:val="008A5EA6"/>
    <w:rsid w:val="008A743F"/>
    <w:rsid w:val="008B6E60"/>
    <w:rsid w:val="008C0970"/>
    <w:rsid w:val="008C50D2"/>
    <w:rsid w:val="008C5B59"/>
    <w:rsid w:val="008D0BC5"/>
    <w:rsid w:val="008D2CF7"/>
    <w:rsid w:val="008D307C"/>
    <w:rsid w:val="008D7E86"/>
    <w:rsid w:val="00900243"/>
    <w:rsid w:val="0090047C"/>
    <w:rsid w:val="009006B1"/>
    <w:rsid w:val="00900C26"/>
    <w:rsid w:val="0090197F"/>
    <w:rsid w:val="00903098"/>
    <w:rsid w:val="00906DDC"/>
    <w:rsid w:val="00910327"/>
    <w:rsid w:val="009230D2"/>
    <w:rsid w:val="00934E09"/>
    <w:rsid w:val="00936253"/>
    <w:rsid w:val="009402EB"/>
    <w:rsid w:val="00940D46"/>
    <w:rsid w:val="0094207D"/>
    <w:rsid w:val="00952C68"/>
    <w:rsid w:val="00952DD4"/>
    <w:rsid w:val="00955C34"/>
    <w:rsid w:val="00965AE7"/>
    <w:rsid w:val="00970FED"/>
    <w:rsid w:val="0097112E"/>
    <w:rsid w:val="00977D8E"/>
    <w:rsid w:val="00990CEE"/>
    <w:rsid w:val="00992D82"/>
    <w:rsid w:val="009967B2"/>
    <w:rsid w:val="00996B66"/>
    <w:rsid w:val="00997029"/>
    <w:rsid w:val="009A33CC"/>
    <w:rsid w:val="009A7339"/>
    <w:rsid w:val="009B392D"/>
    <w:rsid w:val="009B440E"/>
    <w:rsid w:val="009B6B5C"/>
    <w:rsid w:val="009C1CE1"/>
    <w:rsid w:val="009C2FFD"/>
    <w:rsid w:val="009D690D"/>
    <w:rsid w:val="009E3A70"/>
    <w:rsid w:val="009E65B6"/>
    <w:rsid w:val="00A00D72"/>
    <w:rsid w:val="00A23626"/>
    <w:rsid w:val="00A24C10"/>
    <w:rsid w:val="00A34A4B"/>
    <w:rsid w:val="00A42AC3"/>
    <w:rsid w:val="00A430CF"/>
    <w:rsid w:val="00A45275"/>
    <w:rsid w:val="00A54309"/>
    <w:rsid w:val="00A56F43"/>
    <w:rsid w:val="00A62F7D"/>
    <w:rsid w:val="00A64914"/>
    <w:rsid w:val="00A77E40"/>
    <w:rsid w:val="00AB2B93"/>
    <w:rsid w:val="00AB530F"/>
    <w:rsid w:val="00AB7348"/>
    <w:rsid w:val="00AB7E5B"/>
    <w:rsid w:val="00AC2883"/>
    <w:rsid w:val="00AC55EE"/>
    <w:rsid w:val="00AE0EF1"/>
    <w:rsid w:val="00AE2937"/>
    <w:rsid w:val="00AF08B6"/>
    <w:rsid w:val="00AF4F5F"/>
    <w:rsid w:val="00B07301"/>
    <w:rsid w:val="00B11F3E"/>
    <w:rsid w:val="00B224DE"/>
    <w:rsid w:val="00B324D4"/>
    <w:rsid w:val="00B46575"/>
    <w:rsid w:val="00B61777"/>
    <w:rsid w:val="00B8174E"/>
    <w:rsid w:val="00B84BBD"/>
    <w:rsid w:val="00B91E18"/>
    <w:rsid w:val="00BA0125"/>
    <w:rsid w:val="00BA43FB"/>
    <w:rsid w:val="00BA4A19"/>
    <w:rsid w:val="00BB0852"/>
    <w:rsid w:val="00BC127D"/>
    <w:rsid w:val="00BC1FE6"/>
    <w:rsid w:val="00BC32B8"/>
    <w:rsid w:val="00BD04D0"/>
    <w:rsid w:val="00BD0AED"/>
    <w:rsid w:val="00BE7F94"/>
    <w:rsid w:val="00C00085"/>
    <w:rsid w:val="00C03272"/>
    <w:rsid w:val="00C05D68"/>
    <w:rsid w:val="00C061B6"/>
    <w:rsid w:val="00C12316"/>
    <w:rsid w:val="00C14C96"/>
    <w:rsid w:val="00C16E0D"/>
    <w:rsid w:val="00C217E7"/>
    <w:rsid w:val="00C2446C"/>
    <w:rsid w:val="00C27A42"/>
    <w:rsid w:val="00C36AE5"/>
    <w:rsid w:val="00C41F17"/>
    <w:rsid w:val="00C527FA"/>
    <w:rsid w:val="00C5280D"/>
    <w:rsid w:val="00C53EB3"/>
    <w:rsid w:val="00C5791C"/>
    <w:rsid w:val="00C602C9"/>
    <w:rsid w:val="00C63DA6"/>
    <w:rsid w:val="00C66290"/>
    <w:rsid w:val="00C72B7A"/>
    <w:rsid w:val="00C77E0F"/>
    <w:rsid w:val="00C81118"/>
    <w:rsid w:val="00C93693"/>
    <w:rsid w:val="00C94B3B"/>
    <w:rsid w:val="00C96F4D"/>
    <w:rsid w:val="00C973F2"/>
    <w:rsid w:val="00CA304C"/>
    <w:rsid w:val="00CA774A"/>
    <w:rsid w:val="00CC11B0"/>
    <w:rsid w:val="00CC1355"/>
    <w:rsid w:val="00CC1824"/>
    <w:rsid w:val="00CC2841"/>
    <w:rsid w:val="00CD326D"/>
    <w:rsid w:val="00CD5E39"/>
    <w:rsid w:val="00CE6BC3"/>
    <w:rsid w:val="00CF1330"/>
    <w:rsid w:val="00CF2572"/>
    <w:rsid w:val="00CF7E36"/>
    <w:rsid w:val="00D14168"/>
    <w:rsid w:val="00D3708D"/>
    <w:rsid w:val="00D40426"/>
    <w:rsid w:val="00D50FFE"/>
    <w:rsid w:val="00D57C96"/>
    <w:rsid w:val="00D57D18"/>
    <w:rsid w:val="00D66C97"/>
    <w:rsid w:val="00D91203"/>
    <w:rsid w:val="00D95174"/>
    <w:rsid w:val="00DA063D"/>
    <w:rsid w:val="00DA4973"/>
    <w:rsid w:val="00DA63DA"/>
    <w:rsid w:val="00DA6F36"/>
    <w:rsid w:val="00DB0C34"/>
    <w:rsid w:val="00DB596E"/>
    <w:rsid w:val="00DB7773"/>
    <w:rsid w:val="00DC00EA"/>
    <w:rsid w:val="00DC3802"/>
    <w:rsid w:val="00DF2DE8"/>
    <w:rsid w:val="00E03AD4"/>
    <w:rsid w:val="00E07D87"/>
    <w:rsid w:val="00E27E8A"/>
    <w:rsid w:val="00E31E19"/>
    <w:rsid w:val="00E32F7E"/>
    <w:rsid w:val="00E43B6B"/>
    <w:rsid w:val="00E5267B"/>
    <w:rsid w:val="00E53A91"/>
    <w:rsid w:val="00E57049"/>
    <w:rsid w:val="00E63C0E"/>
    <w:rsid w:val="00E71F9B"/>
    <w:rsid w:val="00E72D49"/>
    <w:rsid w:val="00E7593C"/>
    <w:rsid w:val="00E7678A"/>
    <w:rsid w:val="00E935F1"/>
    <w:rsid w:val="00E94A81"/>
    <w:rsid w:val="00E94C4E"/>
    <w:rsid w:val="00EA1FFB"/>
    <w:rsid w:val="00EB048E"/>
    <w:rsid w:val="00EB0EBB"/>
    <w:rsid w:val="00EB4E9C"/>
    <w:rsid w:val="00ED166D"/>
    <w:rsid w:val="00EE34DF"/>
    <w:rsid w:val="00EF2002"/>
    <w:rsid w:val="00EF2F89"/>
    <w:rsid w:val="00EF493C"/>
    <w:rsid w:val="00EF6308"/>
    <w:rsid w:val="00F03E98"/>
    <w:rsid w:val="00F1237A"/>
    <w:rsid w:val="00F22CBD"/>
    <w:rsid w:val="00F26AC8"/>
    <w:rsid w:val="00F272F1"/>
    <w:rsid w:val="00F379CD"/>
    <w:rsid w:val="00F41A8F"/>
    <w:rsid w:val="00F45372"/>
    <w:rsid w:val="00F478CA"/>
    <w:rsid w:val="00F52756"/>
    <w:rsid w:val="00F5595B"/>
    <w:rsid w:val="00F560F7"/>
    <w:rsid w:val="00F6334D"/>
    <w:rsid w:val="00F63867"/>
    <w:rsid w:val="00F74FAE"/>
    <w:rsid w:val="00F95848"/>
    <w:rsid w:val="00FA49AB"/>
    <w:rsid w:val="00FA6755"/>
    <w:rsid w:val="00FC7601"/>
    <w:rsid w:val="00FE0EF8"/>
    <w:rsid w:val="00FE39C7"/>
    <w:rsid w:val="00FF4D07"/>
    <w:rsid w:val="00FF4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92BFC6E"/>
  <w15:docId w15:val="{4DA3FAC3-6B0A-461D-A680-C562FD76D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5357F0"/>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477C3F"/>
    <w:pPr>
      <w:tabs>
        <w:tab w:val="right" w:leader="dot" w:pos="9639"/>
      </w:tabs>
      <w:ind w:left="568" w:right="851" w:hanging="284"/>
      <w:contextualSpacing/>
    </w:pPr>
    <w:rPr>
      <w:sz w:val="18"/>
    </w:rPr>
  </w:style>
  <w:style w:type="paragraph" w:styleId="TOC3">
    <w:name w:val="toc 3"/>
    <w:next w:val="Normal"/>
    <w:autoRedefine/>
    <w:uiPriority w:val="39"/>
    <w:rsid w:val="00477C3F"/>
    <w:pPr>
      <w:tabs>
        <w:tab w:val="right" w:leader="dot" w:pos="9639"/>
      </w:tabs>
      <w:spacing w:after="60"/>
      <w:ind w:left="851" w:right="1418" w:hanging="284"/>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477C3F"/>
    <w:pPr>
      <w:tabs>
        <w:tab w:val="right" w:leader="dot" w:pos="9639"/>
      </w:tabs>
      <w:spacing w:before="60"/>
      <w:ind w:right="1418"/>
      <w:contextualSpacing/>
      <w:jc w:val="center"/>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5357F0"/>
    <w:rPr>
      <w:rFonts w:ascii="Arial" w:hAnsi="Arial"/>
      <w:caps/>
    </w:rPr>
  </w:style>
  <w:style w:type="character" w:customStyle="1" w:styleId="Heading2Char">
    <w:name w:val="Heading 2 Char"/>
    <w:basedOn w:val="DefaultParagraphFont"/>
    <w:link w:val="Heading2"/>
    <w:rsid w:val="00B91E18"/>
    <w:rPr>
      <w:rFonts w:ascii="Arial" w:hAnsi="Arial"/>
      <w:u w:val="single"/>
    </w:rPr>
  </w:style>
  <w:style w:type="character" w:customStyle="1" w:styleId="HeaderChar">
    <w:name w:val="Header Char"/>
    <w:basedOn w:val="DefaultParagraphFont"/>
    <w:link w:val="Header"/>
    <w:rsid w:val="00B91E18"/>
    <w:rPr>
      <w:rFonts w:ascii="Arial" w:hAnsi="Arial"/>
      <w:lang w:val="fr-FR"/>
    </w:rPr>
  </w:style>
  <w:style w:type="paragraph" w:styleId="ListParagraph">
    <w:name w:val="List Paragraph"/>
    <w:basedOn w:val="Normal"/>
    <w:uiPriority w:val="34"/>
    <w:qFormat/>
    <w:rsid w:val="00B91E18"/>
    <w:pPr>
      <w:ind w:left="720"/>
      <w:contextualSpacing/>
    </w:pPr>
    <w:rPr>
      <w:rFonts w:eastAsiaTheme="minorEastAsia"/>
    </w:rPr>
  </w:style>
  <w:style w:type="table" w:styleId="TableGrid">
    <w:name w:val="Table Grid"/>
    <w:basedOn w:val="TableNormal"/>
    <w:rsid w:val="00B91E1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996B66"/>
    <w:rPr>
      <w:sz w:val="16"/>
      <w:szCs w:val="16"/>
    </w:rPr>
  </w:style>
  <w:style w:type="paragraph" w:styleId="CommentText">
    <w:name w:val="annotation text"/>
    <w:basedOn w:val="Normal"/>
    <w:link w:val="CommentTextChar"/>
    <w:unhideWhenUsed/>
    <w:rsid w:val="00996B66"/>
  </w:style>
  <w:style w:type="character" w:customStyle="1" w:styleId="CommentTextChar">
    <w:name w:val="Comment Text Char"/>
    <w:basedOn w:val="DefaultParagraphFont"/>
    <w:link w:val="CommentText"/>
    <w:rsid w:val="00996B66"/>
    <w:rPr>
      <w:rFonts w:ascii="Arial" w:hAnsi="Arial"/>
    </w:rPr>
  </w:style>
  <w:style w:type="paragraph" w:styleId="CommentSubject">
    <w:name w:val="annotation subject"/>
    <w:basedOn w:val="CommentText"/>
    <w:next w:val="CommentText"/>
    <w:link w:val="CommentSubjectChar"/>
    <w:semiHidden/>
    <w:unhideWhenUsed/>
    <w:rsid w:val="00996B66"/>
    <w:rPr>
      <w:b/>
      <w:bCs/>
    </w:rPr>
  </w:style>
  <w:style w:type="character" w:customStyle="1" w:styleId="CommentSubjectChar">
    <w:name w:val="Comment Subject Char"/>
    <w:basedOn w:val="CommentTextChar"/>
    <w:link w:val="CommentSubject"/>
    <w:semiHidden/>
    <w:rsid w:val="00996B66"/>
    <w:rPr>
      <w:rFonts w:ascii="Arial" w:hAnsi="Arial"/>
      <w:b/>
      <w:bCs/>
    </w:rPr>
  </w:style>
  <w:style w:type="paragraph" w:styleId="Revision">
    <w:name w:val="Revision"/>
    <w:hidden/>
    <w:uiPriority w:val="99"/>
    <w:semiHidden/>
    <w:rsid w:val="001A5F8C"/>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3120</Words>
  <Characters>20630</Characters>
  <Application>Microsoft Office Word</Application>
  <DocSecurity>0</DocSecurity>
  <Lines>171</Lines>
  <Paragraphs>47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TC/54</vt:lpstr>
      <vt:lpstr>TC/54</vt:lpstr>
    </vt:vector>
  </TitlesOfParts>
  <Company>UPOV</Company>
  <LinksUpToDate>false</LinksUpToDate>
  <CharactersWithSpaces>23703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dc:title>
  <dc:creator>TAVEIRA Leontino</dc:creator>
  <cp:lastModifiedBy>MAY Jessica</cp:lastModifiedBy>
  <cp:revision>8</cp:revision>
  <cp:lastPrinted>2018-08-20T17:13:00Z</cp:lastPrinted>
  <dcterms:created xsi:type="dcterms:W3CDTF">2018-09-12T13:08:00Z</dcterms:created>
  <dcterms:modified xsi:type="dcterms:W3CDTF">2018-10-10T13:01:00Z</dcterms:modified>
</cp:coreProperties>
</file>