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993B98" w:rsidP="00AC2883">
            <w:pPr>
              <w:pStyle w:val="Lettrine"/>
            </w:pPr>
            <w:r>
              <w:t>G</w:t>
            </w:r>
          </w:p>
        </w:tc>
      </w:tr>
      <w:tr w:rsidR="00DC3802" w:rsidRPr="00675675" w:rsidTr="00645CA8">
        <w:trPr>
          <w:trHeight w:val="219"/>
        </w:trPr>
        <w:tc>
          <w:tcPr>
            <w:tcW w:w="6522" w:type="dxa"/>
          </w:tcPr>
          <w:p w:rsidR="00DC3802" w:rsidRPr="00413F36" w:rsidRDefault="00993B98" w:rsidP="00AC2883">
            <w:pPr>
              <w:pStyle w:val="upove"/>
              <w:rPr>
                <w:lang w:val="de-DE"/>
              </w:rPr>
            </w:pPr>
            <w:r w:rsidRPr="00413F36">
              <w:rPr>
                <w:lang w:val="de-DE"/>
              </w:rPr>
              <w:t>Internationaler Verband zum Schutz von Pflanzenzüchtungen</w:t>
            </w:r>
          </w:p>
        </w:tc>
        <w:tc>
          <w:tcPr>
            <w:tcW w:w="3117" w:type="dxa"/>
          </w:tcPr>
          <w:p w:rsidR="00DC3802" w:rsidRPr="00413F36" w:rsidRDefault="00DC3802" w:rsidP="00DA4973">
            <w:pPr>
              <w:rPr>
                <w:lang w:val="de-DE"/>
              </w:rPr>
            </w:pPr>
          </w:p>
        </w:tc>
      </w:tr>
    </w:tbl>
    <w:p w:rsidR="00DC3802" w:rsidRPr="00413F36" w:rsidRDefault="00DC3802" w:rsidP="00DC3802">
      <w:pPr>
        <w:rPr>
          <w:lang w:val="de-DE"/>
        </w:rPr>
      </w:pPr>
    </w:p>
    <w:p w:rsidR="00DA4973" w:rsidRPr="00413F36" w:rsidRDefault="00DA4973" w:rsidP="00DC3802">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675675" w:rsidTr="00EB4E9C">
        <w:tc>
          <w:tcPr>
            <w:tcW w:w="6512" w:type="dxa"/>
          </w:tcPr>
          <w:p w:rsidR="00C11565" w:rsidRPr="00A227DA" w:rsidRDefault="00C11565" w:rsidP="00C11565">
            <w:pPr>
              <w:pStyle w:val="Sessiontc"/>
              <w:spacing w:line="240" w:lineRule="auto"/>
              <w:rPr>
                <w:lang w:val="de-DE"/>
              </w:rPr>
            </w:pPr>
            <w:r w:rsidRPr="00A227DA">
              <w:rPr>
                <w:lang w:val="de-DE"/>
              </w:rPr>
              <w:t>Technischer Ausschuss</w:t>
            </w:r>
          </w:p>
          <w:p w:rsidR="00EB4E9C" w:rsidRPr="00413F36" w:rsidRDefault="00C11565" w:rsidP="00C11565">
            <w:pPr>
              <w:pStyle w:val="Sessiontcplacedate"/>
              <w:rPr>
                <w:sz w:val="22"/>
                <w:lang w:val="de-DE"/>
              </w:rPr>
            </w:pPr>
            <w:r w:rsidRPr="00A227DA">
              <w:rPr>
                <w:lang w:val="de-DE"/>
              </w:rPr>
              <w:t>Vierundfünfzigste Tagung</w:t>
            </w:r>
            <w:r w:rsidRPr="00A227DA">
              <w:rPr>
                <w:lang w:val="de-DE"/>
              </w:rPr>
              <w:br/>
              <w:t>Genf, 29 und 30. Oktober 2018</w:t>
            </w:r>
          </w:p>
        </w:tc>
        <w:tc>
          <w:tcPr>
            <w:tcW w:w="3127" w:type="dxa"/>
          </w:tcPr>
          <w:p w:rsidR="00EB4E9C" w:rsidRPr="00413F36" w:rsidRDefault="008B6E60" w:rsidP="003C7FBE">
            <w:pPr>
              <w:pStyle w:val="Doccode"/>
              <w:rPr>
                <w:lang w:val="de-DE"/>
              </w:rPr>
            </w:pPr>
            <w:r w:rsidRPr="00413F36">
              <w:rPr>
                <w:lang w:val="de-DE"/>
              </w:rPr>
              <w:t>TC/54</w:t>
            </w:r>
            <w:r w:rsidR="00EB4E9C" w:rsidRPr="00413F36">
              <w:rPr>
                <w:lang w:val="de-DE"/>
              </w:rPr>
              <w:t>/</w:t>
            </w:r>
            <w:r w:rsidR="00843D12" w:rsidRPr="00413F36">
              <w:rPr>
                <w:lang w:val="de-DE"/>
              </w:rPr>
              <w:t>14</w:t>
            </w:r>
          </w:p>
          <w:p w:rsidR="00EB4E9C" w:rsidRPr="00413F36" w:rsidRDefault="00EB4E9C" w:rsidP="003C7FBE">
            <w:pPr>
              <w:pStyle w:val="Docoriginal"/>
              <w:rPr>
                <w:lang w:val="de-DE"/>
              </w:rPr>
            </w:pPr>
            <w:r w:rsidRPr="00413F36">
              <w:rPr>
                <w:lang w:val="de-DE"/>
              </w:rPr>
              <w:t>Original:</w:t>
            </w:r>
            <w:r w:rsidR="00993B98" w:rsidRPr="00413F36">
              <w:rPr>
                <w:b w:val="0"/>
                <w:spacing w:val="0"/>
                <w:lang w:val="de-DE"/>
              </w:rPr>
              <w:t xml:space="preserve">  e</w:t>
            </w:r>
            <w:r w:rsidRPr="00413F36">
              <w:rPr>
                <w:b w:val="0"/>
                <w:spacing w:val="0"/>
                <w:lang w:val="de-DE"/>
              </w:rPr>
              <w:t>nglis</w:t>
            </w:r>
            <w:r w:rsidR="00413F36">
              <w:rPr>
                <w:b w:val="0"/>
                <w:spacing w:val="0"/>
                <w:lang w:val="de-DE"/>
              </w:rPr>
              <w:t>c</w:t>
            </w:r>
            <w:r w:rsidRPr="00413F36">
              <w:rPr>
                <w:b w:val="0"/>
                <w:spacing w:val="0"/>
                <w:lang w:val="de-DE"/>
              </w:rPr>
              <w:t>h</w:t>
            </w:r>
          </w:p>
          <w:p w:rsidR="00EB4E9C" w:rsidRPr="00413F36" w:rsidRDefault="00993B98" w:rsidP="00E01423">
            <w:pPr>
              <w:pStyle w:val="Docoriginal"/>
              <w:rPr>
                <w:lang w:val="de-DE"/>
              </w:rPr>
            </w:pPr>
            <w:r w:rsidRPr="00413F36">
              <w:rPr>
                <w:lang w:val="de-DE"/>
              </w:rPr>
              <w:t>Datum</w:t>
            </w:r>
            <w:r w:rsidR="00EB4E9C" w:rsidRPr="00413F36">
              <w:rPr>
                <w:lang w:val="de-DE"/>
              </w:rPr>
              <w:t>:</w:t>
            </w:r>
            <w:r w:rsidR="008B6E60" w:rsidRPr="00413F36">
              <w:rPr>
                <w:b w:val="0"/>
                <w:spacing w:val="0"/>
                <w:lang w:val="de-DE"/>
              </w:rPr>
              <w:t xml:space="preserve">  </w:t>
            </w:r>
            <w:r w:rsidRPr="00413F36">
              <w:rPr>
                <w:b w:val="0"/>
                <w:spacing w:val="0"/>
                <w:lang w:val="de-DE"/>
              </w:rPr>
              <w:t>24. September</w:t>
            </w:r>
            <w:r w:rsidR="008B6E60" w:rsidRPr="00413F36">
              <w:rPr>
                <w:b w:val="0"/>
                <w:spacing w:val="0"/>
                <w:lang w:val="de-DE"/>
              </w:rPr>
              <w:t xml:space="preserve"> 2018</w:t>
            </w:r>
          </w:p>
        </w:tc>
      </w:tr>
    </w:tbl>
    <w:p w:rsidR="00857EC8" w:rsidRPr="00413F36" w:rsidRDefault="00CB281E" w:rsidP="00095A58">
      <w:pPr>
        <w:pStyle w:val="Titleofdoc0"/>
        <w:rPr>
          <w:lang w:val="de-DE"/>
        </w:rPr>
      </w:pPr>
      <w:bookmarkStart w:id="0" w:name="TitleOfDoc"/>
      <w:bookmarkEnd w:id="0"/>
      <w:r w:rsidRPr="00413F36">
        <w:rPr>
          <w:lang w:val="de-DE"/>
        </w:rPr>
        <w:t>Dauer von DUS-Prüfungen</w:t>
      </w:r>
    </w:p>
    <w:p w:rsidR="00857EC8" w:rsidRPr="00413F36" w:rsidRDefault="00CB281E" w:rsidP="00095A58">
      <w:pPr>
        <w:pStyle w:val="preparedby1"/>
        <w:jc w:val="both"/>
        <w:rPr>
          <w:lang w:val="de-DE"/>
        </w:rPr>
      </w:pPr>
      <w:r w:rsidRPr="00413F36">
        <w:rPr>
          <w:lang w:val="de-DE"/>
        </w:rPr>
        <w:t>vom Verbandsbüro erstelltes Dokument</w:t>
      </w:r>
    </w:p>
    <w:p w:rsidR="00857EC8" w:rsidRPr="00413F36" w:rsidRDefault="00CB281E" w:rsidP="00095A58">
      <w:pPr>
        <w:pStyle w:val="Disclaimer"/>
        <w:rPr>
          <w:lang w:val="de-DE"/>
        </w:rPr>
      </w:pPr>
      <w:r w:rsidRPr="00413F36">
        <w:rPr>
          <w:lang w:val="de-DE"/>
        </w:rPr>
        <w:t>Haftungsausschluss:  dieses Dokument gibt nicht die Grundsätze oder eine Anleitung der UPOV wieder</w:t>
      </w:r>
    </w:p>
    <w:p w:rsidR="00857EC8" w:rsidRDefault="00CB281E" w:rsidP="001C600C">
      <w:pPr>
        <w:pStyle w:val="Heading1"/>
      </w:pPr>
      <w:bookmarkStart w:id="1" w:name="_Toc526858768"/>
      <w:r w:rsidRPr="00CB281E">
        <w:t>ZUSAMMENFASSUNG</w:t>
      </w:r>
      <w:bookmarkEnd w:id="1"/>
    </w:p>
    <w:p w:rsidR="00CB281E" w:rsidRPr="006E434C" w:rsidRDefault="00CB281E" w:rsidP="00857EC8">
      <w:pPr>
        <w:autoSpaceDE w:val="0"/>
        <w:autoSpaceDN w:val="0"/>
        <w:adjustRightInd w:val="0"/>
        <w:rPr>
          <w:szCs w:val="24"/>
          <w:lang w:val="de-DE"/>
        </w:rPr>
      </w:pPr>
    </w:p>
    <w:p w:rsidR="00857EC8" w:rsidRPr="00BE47C2" w:rsidRDefault="00857EC8" w:rsidP="00857EC8">
      <w:pPr>
        <w:autoSpaceDE w:val="0"/>
        <w:autoSpaceDN w:val="0"/>
        <w:adjustRightInd w:val="0"/>
        <w:rPr>
          <w:rFonts w:eastAsia="MS Mincho"/>
          <w:color w:val="000000"/>
          <w:szCs w:val="24"/>
          <w:lang w:val="de-DE"/>
        </w:rPr>
      </w:pPr>
      <w:r w:rsidRPr="00857EC8">
        <w:rPr>
          <w:szCs w:val="24"/>
        </w:rPr>
        <w:fldChar w:fldCharType="begin"/>
      </w:r>
      <w:r w:rsidRPr="00ED65FC">
        <w:rPr>
          <w:szCs w:val="24"/>
          <w:lang w:val="de-DE"/>
        </w:rPr>
        <w:instrText xml:space="preserve"> AUTONUM  </w:instrText>
      </w:r>
      <w:r w:rsidRPr="00857EC8">
        <w:rPr>
          <w:szCs w:val="24"/>
        </w:rPr>
        <w:fldChar w:fldCharType="end"/>
      </w:r>
      <w:r w:rsidRPr="00ED65FC">
        <w:rPr>
          <w:szCs w:val="24"/>
          <w:lang w:val="de-DE"/>
        </w:rPr>
        <w:tab/>
      </w:r>
      <w:r w:rsidR="00ED65FC" w:rsidRPr="00BE47C2">
        <w:rPr>
          <w:color w:val="212121"/>
          <w:shd w:val="clear" w:color="auto" w:fill="FFFFFF"/>
          <w:lang w:val="de-DE"/>
        </w:rPr>
        <w:t>Zweck dieses Dokuments ist es, über Entwicklungen betreffend einen Vorschlag zur Änderung der Anleitung in Dokument TGP/7 zur Gesamtdauer der DUS-Prüfung zu berichten</w:t>
      </w:r>
      <w:r w:rsidR="00ED65FC" w:rsidRPr="00BE47C2">
        <w:rPr>
          <w:lang w:val="de-DE"/>
        </w:rPr>
        <w:t>.</w:t>
      </w:r>
    </w:p>
    <w:p w:rsidR="00857EC8" w:rsidRPr="00BE47C2" w:rsidRDefault="00857EC8" w:rsidP="00857EC8">
      <w:pPr>
        <w:tabs>
          <w:tab w:val="left" w:pos="567"/>
          <w:tab w:val="left" w:pos="1134"/>
        </w:tabs>
        <w:rPr>
          <w:lang w:val="de-DE"/>
        </w:rPr>
      </w:pPr>
    </w:p>
    <w:p w:rsidR="00857EC8" w:rsidRPr="00BE47C2" w:rsidRDefault="00857EC8" w:rsidP="00857EC8">
      <w:pPr>
        <w:tabs>
          <w:tab w:val="left" w:pos="567"/>
          <w:tab w:val="left" w:pos="1134"/>
          <w:tab w:val="left" w:pos="5387"/>
        </w:tabs>
        <w:rPr>
          <w:lang w:val="de-DE"/>
        </w:rPr>
      </w:pPr>
      <w:r w:rsidRPr="00BE47C2">
        <w:fldChar w:fldCharType="begin"/>
      </w:r>
      <w:r w:rsidRPr="00BE47C2">
        <w:rPr>
          <w:lang w:val="de-DE"/>
        </w:rPr>
        <w:instrText xml:space="preserve"> AUTONUM  </w:instrText>
      </w:r>
      <w:r w:rsidRPr="00BE47C2">
        <w:fldChar w:fldCharType="end"/>
      </w:r>
      <w:r w:rsidRPr="00BE47C2">
        <w:rPr>
          <w:lang w:val="de-DE"/>
        </w:rPr>
        <w:tab/>
      </w:r>
      <w:r w:rsidR="00EB09EC" w:rsidRPr="00BE47C2">
        <w:rPr>
          <w:lang w:val="de-DE"/>
        </w:rPr>
        <w:t xml:space="preserve">Der TC wird ersucht, </w:t>
      </w:r>
      <w:r w:rsidR="001C600C">
        <w:rPr>
          <w:lang w:val="de-DE"/>
        </w:rPr>
        <w:t xml:space="preserve">folgendes </w:t>
      </w:r>
      <w:r w:rsidR="00EB09EC" w:rsidRPr="00BE47C2">
        <w:rPr>
          <w:lang w:val="de-DE"/>
        </w:rPr>
        <w:t>zu prüfen:</w:t>
      </w:r>
    </w:p>
    <w:p w:rsidR="00857EC8" w:rsidRPr="00BE47C2" w:rsidRDefault="00857EC8" w:rsidP="00857EC8">
      <w:pPr>
        <w:tabs>
          <w:tab w:val="left" w:pos="567"/>
          <w:tab w:val="left" w:pos="1134"/>
          <w:tab w:val="left" w:pos="5387"/>
        </w:tabs>
        <w:rPr>
          <w:lang w:val="de-DE"/>
        </w:rPr>
      </w:pPr>
    </w:p>
    <w:p w:rsidR="00ED65FC" w:rsidRPr="00BE47C2" w:rsidRDefault="00857EC8" w:rsidP="00ED65FC">
      <w:pPr>
        <w:tabs>
          <w:tab w:val="left" w:pos="567"/>
          <w:tab w:val="left" w:pos="1134"/>
          <w:tab w:val="left" w:pos="5387"/>
        </w:tabs>
        <w:rPr>
          <w:lang w:val="de-DE"/>
        </w:rPr>
      </w:pPr>
      <w:r w:rsidRPr="00BE47C2">
        <w:rPr>
          <w:lang w:val="de-DE"/>
        </w:rPr>
        <w:tab/>
        <w:t>a)</w:t>
      </w:r>
      <w:r w:rsidRPr="00BE47C2">
        <w:rPr>
          <w:lang w:val="de-DE"/>
        </w:rPr>
        <w:tab/>
      </w:r>
      <w:r w:rsidR="00ED65FC" w:rsidRPr="00BE47C2">
        <w:rPr>
          <w:lang w:val="de-DE"/>
        </w:rPr>
        <w:t>den Vorschlag zur Änderung der Anleitung in Dokument TGP/7 GN 8, um klarzustellen, daß die „Prüfung einer Sorte abgebrochen werden kann, wenn die zuständige Behörde das Ergebnis der Prüfung</w:t>
      </w:r>
      <w:r w:rsidR="00BE47C2" w:rsidRPr="00BE47C2">
        <w:rPr>
          <w:lang w:val="de-DE"/>
        </w:rPr>
        <w:t xml:space="preserve"> mit Sicherheit bestimmen kann“,</w:t>
      </w:r>
      <w:r w:rsidR="00ED65FC" w:rsidRPr="00BE47C2">
        <w:rPr>
          <w:lang w:val="de-DE"/>
        </w:rPr>
        <w:t xml:space="preserve"> und </w:t>
      </w:r>
    </w:p>
    <w:p w:rsidR="00ED65FC" w:rsidRPr="00BE47C2" w:rsidRDefault="00ED65FC" w:rsidP="00ED65FC">
      <w:pPr>
        <w:tabs>
          <w:tab w:val="left" w:pos="567"/>
          <w:tab w:val="left" w:pos="1134"/>
          <w:tab w:val="left" w:pos="5387"/>
        </w:tabs>
        <w:rPr>
          <w:lang w:val="de-DE"/>
        </w:rPr>
      </w:pPr>
    </w:p>
    <w:p w:rsidR="00857EC8" w:rsidRPr="00ED65FC" w:rsidRDefault="00ED65FC" w:rsidP="00857EC8">
      <w:pPr>
        <w:tabs>
          <w:tab w:val="left" w:pos="567"/>
          <w:tab w:val="left" w:pos="1134"/>
          <w:tab w:val="left" w:pos="5387"/>
        </w:tabs>
        <w:rPr>
          <w:lang w:val="de-DE"/>
        </w:rPr>
      </w:pPr>
      <w:r w:rsidRPr="00BE47C2">
        <w:rPr>
          <w:lang w:val="de-DE"/>
        </w:rPr>
        <w:tab/>
        <w:t>b)</w:t>
      </w:r>
      <w:r w:rsidRPr="00BE47C2">
        <w:rPr>
          <w:lang w:val="de-DE"/>
        </w:rPr>
        <w:tab/>
        <w:t>ob der vorgeschlagene Text als Standard- oder als zusätzlicher Standardwortlaut in der Prüfungsrichtlinie angegeben werden soll, um von Lesern der Richtlinie gesehen zu werden.</w:t>
      </w:r>
    </w:p>
    <w:p w:rsidR="00857EC8" w:rsidRPr="00ED65FC" w:rsidRDefault="00857EC8" w:rsidP="00857EC8">
      <w:pPr>
        <w:tabs>
          <w:tab w:val="left" w:pos="567"/>
          <w:tab w:val="left" w:pos="1134"/>
          <w:tab w:val="left" w:pos="5387"/>
        </w:tabs>
        <w:rPr>
          <w:lang w:val="de-DE"/>
        </w:rPr>
      </w:pPr>
    </w:p>
    <w:p w:rsidR="00857EC8" w:rsidRPr="00413F36" w:rsidRDefault="00857EC8" w:rsidP="00857EC8">
      <w:pPr>
        <w:rPr>
          <w:lang w:val="de-DE"/>
        </w:rPr>
      </w:pPr>
      <w:r w:rsidRPr="00857EC8">
        <w:fldChar w:fldCharType="begin"/>
      </w:r>
      <w:r w:rsidRPr="00413F36">
        <w:rPr>
          <w:lang w:val="de-DE"/>
        </w:rPr>
        <w:instrText xml:space="preserve"> AUTONUM  </w:instrText>
      </w:r>
      <w:r w:rsidRPr="00857EC8">
        <w:fldChar w:fldCharType="end"/>
      </w:r>
      <w:r w:rsidRPr="00413F36">
        <w:rPr>
          <w:lang w:val="de-DE"/>
        </w:rPr>
        <w:tab/>
      </w:r>
      <w:r w:rsidR="00EB09EC" w:rsidRPr="00413F36">
        <w:rPr>
          <w:lang w:val="de-DE"/>
        </w:rPr>
        <w:t xml:space="preserve">Der Aufbau dieses Dokuments ist nachstehend </w:t>
      </w:r>
      <w:proofErr w:type="spellStart"/>
      <w:r w:rsidR="00EB09EC" w:rsidRPr="00413F36">
        <w:rPr>
          <w:lang w:val="de-DE"/>
        </w:rPr>
        <w:t>zusammengefaßt</w:t>
      </w:r>
      <w:proofErr w:type="spellEnd"/>
      <w:r w:rsidR="00EB09EC" w:rsidRPr="00413F36">
        <w:rPr>
          <w:lang w:val="de-DE"/>
        </w:rPr>
        <w:t>:</w:t>
      </w:r>
    </w:p>
    <w:p w:rsidR="00323F3F" w:rsidRPr="00413F36" w:rsidRDefault="00323F3F" w:rsidP="00857EC8">
      <w:pPr>
        <w:rPr>
          <w:lang w:val="de-DE"/>
        </w:rPr>
      </w:pPr>
    </w:p>
    <w:p w:rsidR="00BF6283" w:rsidRDefault="00857EC8" w:rsidP="00BF6283">
      <w:pPr>
        <w:pStyle w:val="TOC1"/>
        <w:rPr>
          <w:rFonts w:asciiTheme="minorHAnsi" w:eastAsiaTheme="minorEastAsia" w:hAnsiTheme="minorHAnsi" w:cstheme="minorBidi"/>
          <w:sz w:val="22"/>
          <w:szCs w:val="22"/>
          <w:lang w:val="en-US"/>
        </w:rPr>
      </w:pPr>
      <w:r w:rsidRPr="00E01423">
        <w:rPr>
          <w:rFonts w:cs="Arial"/>
          <w:bCs/>
          <w:caps/>
        </w:rPr>
        <w:fldChar w:fldCharType="begin"/>
      </w:r>
      <w:r w:rsidRPr="00E01423">
        <w:rPr>
          <w:rFonts w:cs="Arial"/>
          <w:bCs/>
        </w:rPr>
        <w:instrText xml:space="preserve"> TOC \o "1-3" \h \z \u </w:instrText>
      </w:r>
      <w:r w:rsidRPr="00E01423">
        <w:rPr>
          <w:rFonts w:cs="Arial"/>
          <w:bCs/>
          <w:caps/>
        </w:rPr>
        <w:fldChar w:fldCharType="separate"/>
      </w:r>
      <w:hyperlink w:anchor="_Toc526858768" w:history="1">
        <w:r w:rsidR="00BF6283" w:rsidRPr="00A513F9">
          <w:rPr>
            <w:rStyle w:val="Hyperlink"/>
          </w:rPr>
          <w:t>ZUSAMMENFASSUNG</w:t>
        </w:r>
        <w:r w:rsidR="00BF6283">
          <w:rPr>
            <w:webHidden/>
          </w:rPr>
          <w:tab/>
        </w:r>
        <w:r w:rsidR="00BF6283">
          <w:rPr>
            <w:webHidden/>
          </w:rPr>
          <w:fldChar w:fldCharType="begin"/>
        </w:r>
        <w:r w:rsidR="00BF6283">
          <w:rPr>
            <w:webHidden/>
          </w:rPr>
          <w:instrText xml:space="preserve"> PAGEREF _Toc526858768 \h </w:instrText>
        </w:r>
        <w:r w:rsidR="00BF6283">
          <w:rPr>
            <w:webHidden/>
          </w:rPr>
        </w:r>
        <w:r w:rsidR="00BF6283">
          <w:rPr>
            <w:webHidden/>
          </w:rPr>
          <w:fldChar w:fldCharType="separate"/>
        </w:r>
        <w:r w:rsidR="00BF6283">
          <w:rPr>
            <w:webHidden/>
          </w:rPr>
          <w:t>1</w:t>
        </w:r>
        <w:r w:rsidR="00BF6283">
          <w:rPr>
            <w:webHidden/>
          </w:rPr>
          <w:fldChar w:fldCharType="end"/>
        </w:r>
      </w:hyperlink>
    </w:p>
    <w:p w:rsidR="00BF6283" w:rsidRDefault="00675675" w:rsidP="00BF6283">
      <w:pPr>
        <w:pStyle w:val="TOC1"/>
        <w:rPr>
          <w:rFonts w:asciiTheme="minorHAnsi" w:eastAsiaTheme="minorEastAsia" w:hAnsiTheme="minorHAnsi" w:cstheme="minorBidi"/>
          <w:sz w:val="22"/>
          <w:szCs w:val="22"/>
          <w:lang w:val="en-US"/>
        </w:rPr>
      </w:pPr>
      <w:hyperlink w:anchor="_Toc526858769" w:history="1">
        <w:r w:rsidR="00BF6283" w:rsidRPr="00A513F9">
          <w:rPr>
            <w:rStyle w:val="Hyperlink"/>
            <w:rFonts w:eastAsia="MS Mincho"/>
            <w:caps/>
            <w:lang w:eastAsia="ja-JP"/>
          </w:rPr>
          <w:t>HINTERGRUND</w:t>
        </w:r>
        <w:r w:rsidR="00BF6283">
          <w:rPr>
            <w:webHidden/>
          </w:rPr>
          <w:tab/>
        </w:r>
        <w:r w:rsidR="00BF6283">
          <w:rPr>
            <w:webHidden/>
          </w:rPr>
          <w:fldChar w:fldCharType="begin"/>
        </w:r>
        <w:r w:rsidR="00BF6283">
          <w:rPr>
            <w:webHidden/>
          </w:rPr>
          <w:instrText xml:space="preserve"> PAGEREF _Toc526858769 \h </w:instrText>
        </w:r>
        <w:r w:rsidR="00BF6283">
          <w:rPr>
            <w:webHidden/>
          </w:rPr>
        </w:r>
        <w:r w:rsidR="00BF6283">
          <w:rPr>
            <w:webHidden/>
          </w:rPr>
          <w:fldChar w:fldCharType="separate"/>
        </w:r>
        <w:r w:rsidR="00BF6283">
          <w:rPr>
            <w:webHidden/>
          </w:rPr>
          <w:t>1</w:t>
        </w:r>
        <w:r w:rsidR="00BF6283">
          <w:rPr>
            <w:webHidden/>
          </w:rPr>
          <w:fldChar w:fldCharType="end"/>
        </w:r>
      </w:hyperlink>
    </w:p>
    <w:p w:rsidR="00BF6283" w:rsidRDefault="00675675" w:rsidP="00BF6283">
      <w:pPr>
        <w:pStyle w:val="TOC1"/>
        <w:rPr>
          <w:rFonts w:asciiTheme="minorHAnsi" w:eastAsiaTheme="minorEastAsia" w:hAnsiTheme="minorHAnsi" w:cstheme="minorBidi"/>
          <w:sz w:val="22"/>
          <w:szCs w:val="22"/>
          <w:lang w:val="en-US"/>
        </w:rPr>
      </w:pPr>
      <w:hyperlink w:anchor="_Toc526858770" w:history="1">
        <w:r w:rsidR="00BF6283" w:rsidRPr="00A513F9">
          <w:rPr>
            <w:rStyle w:val="Hyperlink"/>
            <w:caps/>
          </w:rPr>
          <w:t>Entwicklungen im Jahr 2017</w:t>
        </w:r>
        <w:r w:rsidR="00BF6283">
          <w:rPr>
            <w:webHidden/>
          </w:rPr>
          <w:tab/>
        </w:r>
        <w:r w:rsidR="00BF6283">
          <w:rPr>
            <w:webHidden/>
          </w:rPr>
          <w:fldChar w:fldCharType="begin"/>
        </w:r>
        <w:r w:rsidR="00BF6283">
          <w:rPr>
            <w:webHidden/>
          </w:rPr>
          <w:instrText xml:space="preserve"> PAGEREF _Toc526858770 \h </w:instrText>
        </w:r>
        <w:r w:rsidR="00BF6283">
          <w:rPr>
            <w:webHidden/>
          </w:rPr>
        </w:r>
        <w:r w:rsidR="00BF6283">
          <w:rPr>
            <w:webHidden/>
          </w:rPr>
          <w:fldChar w:fldCharType="separate"/>
        </w:r>
        <w:r w:rsidR="00BF6283">
          <w:rPr>
            <w:webHidden/>
          </w:rPr>
          <w:t>2</w:t>
        </w:r>
        <w:r w:rsidR="00BF6283">
          <w:rPr>
            <w:webHidden/>
          </w:rPr>
          <w:fldChar w:fldCharType="end"/>
        </w:r>
      </w:hyperlink>
    </w:p>
    <w:p w:rsidR="00BF6283" w:rsidRDefault="00675675">
      <w:pPr>
        <w:pStyle w:val="TOC2"/>
        <w:rPr>
          <w:rFonts w:asciiTheme="minorHAnsi" w:eastAsiaTheme="minorEastAsia" w:hAnsiTheme="minorHAnsi" w:cstheme="minorBidi"/>
          <w:sz w:val="22"/>
          <w:szCs w:val="22"/>
          <w:lang w:eastAsia="en-US"/>
        </w:rPr>
      </w:pPr>
      <w:hyperlink w:anchor="_Toc526858771" w:history="1">
        <w:r w:rsidR="00BF6283" w:rsidRPr="00A513F9">
          <w:rPr>
            <w:rStyle w:val="Hyperlink"/>
            <w:lang w:val="de-DE"/>
          </w:rPr>
          <w:t>Technischer Ausschuß</w:t>
        </w:r>
        <w:r w:rsidR="00BF6283">
          <w:rPr>
            <w:webHidden/>
          </w:rPr>
          <w:tab/>
        </w:r>
        <w:r w:rsidR="00BF6283">
          <w:rPr>
            <w:webHidden/>
          </w:rPr>
          <w:fldChar w:fldCharType="begin"/>
        </w:r>
        <w:r w:rsidR="00BF6283">
          <w:rPr>
            <w:webHidden/>
          </w:rPr>
          <w:instrText xml:space="preserve"> PAGEREF _Toc526858771 \h </w:instrText>
        </w:r>
        <w:r w:rsidR="00BF6283">
          <w:rPr>
            <w:webHidden/>
          </w:rPr>
        </w:r>
        <w:r w:rsidR="00BF6283">
          <w:rPr>
            <w:webHidden/>
          </w:rPr>
          <w:fldChar w:fldCharType="separate"/>
        </w:r>
        <w:r w:rsidR="00BF6283">
          <w:rPr>
            <w:webHidden/>
          </w:rPr>
          <w:t>2</w:t>
        </w:r>
        <w:r w:rsidR="00BF6283">
          <w:rPr>
            <w:webHidden/>
          </w:rPr>
          <w:fldChar w:fldCharType="end"/>
        </w:r>
      </w:hyperlink>
    </w:p>
    <w:p w:rsidR="00BF6283" w:rsidRDefault="00675675">
      <w:pPr>
        <w:pStyle w:val="TOC2"/>
        <w:rPr>
          <w:rFonts w:asciiTheme="minorHAnsi" w:eastAsiaTheme="minorEastAsia" w:hAnsiTheme="minorHAnsi" w:cstheme="minorBidi"/>
          <w:sz w:val="22"/>
          <w:szCs w:val="22"/>
          <w:lang w:eastAsia="en-US"/>
        </w:rPr>
      </w:pPr>
      <w:hyperlink w:anchor="_Toc526858772" w:history="1">
        <w:r w:rsidR="00BF6283" w:rsidRPr="00A513F9">
          <w:rPr>
            <w:rStyle w:val="Hyperlink"/>
            <w:lang w:val="de-DE"/>
          </w:rPr>
          <w:t>Bemerkungen der technischen Arbeitsgruppen</w:t>
        </w:r>
        <w:r w:rsidR="00BF6283">
          <w:rPr>
            <w:webHidden/>
          </w:rPr>
          <w:tab/>
        </w:r>
        <w:r w:rsidR="00BF6283">
          <w:rPr>
            <w:webHidden/>
          </w:rPr>
          <w:fldChar w:fldCharType="begin"/>
        </w:r>
        <w:r w:rsidR="00BF6283">
          <w:rPr>
            <w:webHidden/>
          </w:rPr>
          <w:instrText xml:space="preserve"> PAGEREF _Toc526858772 \h </w:instrText>
        </w:r>
        <w:r w:rsidR="00BF6283">
          <w:rPr>
            <w:webHidden/>
          </w:rPr>
        </w:r>
        <w:r w:rsidR="00BF6283">
          <w:rPr>
            <w:webHidden/>
          </w:rPr>
          <w:fldChar w:fldCharType="separate"/>
        </w:r>
        <w:r w:rsidR="00BF6283">
          <w:rPr>
            <w:webHidden/>
          </w:rPr>
          <w:t>3</w:t>
        </w:r>
        <w:r w:rsidR="00BF6283">
          <w:rPr>
            <w:webHidden/>
          </w:rPr>
          <w:fldChar w:fldCharType="end"/>
        </w:r>
      </w:hyperlink>
    </w:p>
    <w:p w:rsidR="00BF6283" w:rsidRDefault="00675675" w:rsidP="00BF6283">
      <w:pPr>
        <w:pStyle w:val="TOC1"/>
        <w:rPr>
          <w:rFonts w:asciiTheme="minorHAnsi" w:eastAsiaTheme="minorEastAsia" w:hAnsiTheme="minorHAnsi" w:cstheme="minorBidi"/>
          <w:sz w:val="22"/>
          <w:szCs w:val="22"/>
          <w:lang w:val="en-US"/>
        </w:rPr>
      </w:pPr>
      <w:hyperlink w:anchor="_Toc526858773" w:history="1">
        <w:r w:rsidR="00BF6283" w:rsidRPr="00A513F9">
          <w:rPr>
            <w:rStyle w:val="Hyperlink"/>
            <w:caps/>
          </w:rPr>
          <w:t>Entwicklungen im Jahr 2018</w:t>
        </w:r>
        <w:r w:rsidR="00BF6283">
          <w:rPr>
            <w:webHidden/>
          </w:rPr>
          <w:tab/>
        </w:r>
        <w:r w:rsidR="00BF6283">
          <w:rPr>
            <w:webHidden/>
          </w:rPr>
          <w:fldChar w:fldCharType="begin"/>
        </w:r>
        <w:r w:rsidR="00BF6283">
          <w:rPr>
            <w:webHidden/>
          </w:rPr>
          <w:instrText xml:space="preserve"> PAGEREF _Toc526858773 \h </w:instrText>
        </w:r>
        <w:r w:rsidR="00BF6283">
          <w:rPr>
            <w:webHidden/>
          </w:rPr>
        </w:r>
        <w:r w:rsidR="00BF6283">
          <w:rPr>
            <w:webHidden/>
          </w:rPr>
          <w:fldChar w:fldCharType="separate"/>
        </w:r>
        <w:r w:rsidR="00BF6283">
          <w:rPr>
            <w:webHidden/>
          </w:rPr>
          <w:t>4</w:t>
        </w:r>
        <w:r w:rsidR="00BF6283">
          <w:rPr>
            <w:webHidden/>
          </w:rPr>
          <w:fldChar w:fldCharType="end"/>
        </w:r>
      </w:hyperlink>
    </w:p>
    <w:p w:rsidR="00BF6283" w:rsidRDefault="00675675">
      <w:pPr>
        <w:pStyle w:val="TOC2"/>
        <w:rPr>
          <w:rFonts w:asciiTheme="minorHAnsi" w:eastAsiaTheme="minorEastAsia" w:hAnsiTheme="minorHAnsi" w:cstheme="minorBidi"/>
          <w:sz w:val="22"/>
          <w:szCs w:val="22"/>
          <w:lang w:eastAsia="en-US"/>
        </w:rPr>
      </w:pPr>
      <w:hyperlink w:anchor="_Toc526858774" w:history="1">
        <w:r w:rsidR="00BF6283" w:rsidRPr="00A513F9">
          <w:rPr>
            <w:rStyle w:val="Hyperlink"/>
            <w:lang w:val="de-DE"/>
          </w:rPr>
          <w:t>Erweiterter Redaktionsausschuß</w:t>
        </w:r>
        <w:r w:rsidR="00BF6283">
          <w:rPr>
            <w:webHidden/>
          </w:rPr>
          <w:tab/>
        </w:r>
        <w:r w:rsidR="00BF6283">
          <w:rPr>
            <w:webHidden/>
          </w:rPr>
          <w:fldChar w:fldCharType="begin"/>
        </w:r>
        <w:r w:rsidR="00BF6283">
          <w:rPr>
            <w:webHidden/>
          </w:rPr>
          <w:instrText xml:space="preserve"> PAGEREF _Toc526858774 \h </w:instrText>
        </w:r>
        <w:r w:rsidR="00BF6283">
          <w:rPr>
            <w:webHidden/>
          </w:rPr>
        </w:r>
        <w:r w:rsidR="00BF6283">
          <w:rPr>
            <w:webHidden/>
          </w:rPr>
          <w:fldChar w:fldCharType="separate"/>
        </w:r>
        <w:r w:rsidR="00BF6283">
          <w:rPr>
            <w:webHidden/>
          </w:rPr>
          <w:t>4</w:t>
        </w:r>
        <w:r w:rsidR="00BF6283">
          <w:rPr>
            <w:webHidden/>
          </w:rPr>
          <w:fldChar w:fldCharType="end"/>
        </w:r>
      </w:hyperlink>
    </w:p>
    <w:p w:rsidR="00BF6283" w:rsidRDefault="00675675">
      <w:pPr>
        <w:pStyle w:val="TOC2"/>
        <w:rPr>
          <w:rFonts w:asciiTheme="minorHAnsi" w:eastAsiaTheme="minorEastAsia" w:hAnsiTheme="minorHAnsi" w:cstheme="minorBidi"/>
          <w:sz w:val="22"/>
          <w:szCs w:val="22"/>
          <w:lang w:eastAsia="en-US"/>
        </w:rPr>
      </w:pPr>
      <w:hyperlink w:anchor="_Toc526858775" w:history="1">
        <w:r w:rsidR="00BF6283" w:rsidRPr="00A513F9">
          <w:rPr>
            <w:rStyle w:val="Hyperlink"/>
          </w:rPr>
          <w:t>Bemerkungen der technischen Arbeitsgruppen</w:t>
        </w:r>
        <w:r w:rsidR="00BF6283">
          <w:rPr>
            <w:webHidden/>
          </w:rPr>
          <w:tab/>
        </w:r>
        <w:r w:rsidR="00BF6283">
          <w:rPr>
            <w:webHidden/>
          </w:rPr>
          <w:fldChar w:fldCharType="begin"/>
        </w:r>
        <w:r w:rsidR="00BF6283">
          <w:rPr>
            <w:webHidden/>
          </w:rPr>
          <w:instrText xml:space="preserve"> PAGEREF _Toc526858775 \h </w:instrText>
        </w:r>
        <w:r w:rsidR="00BF6283">
          <w:rPr>
            <w:webHidden/>
          </w:rPr>
        </w:r>
        <w:r w:rsidR="00BF6283">
          <w:rPr>
            <w:webHidden/>
          </w:rPr>
          <w:fldChar w:fldCharType="separate"/>
        </w:r>
        <w:r w:rsidR="00BF6283">
          <w:rPr>
            <w:webHidden/>
          </w:rPr>
          <w:t>5</w:t>
        </w:r>
        <w:r w:rsidR="00BF6283">
          <w:rPr>
            <w:webHidden/>
          </w:rPr>
          <w:fldChar w:fldCharType="end"/>
        </w:r>
      </w:hyperlink>
    </w:p>
    <w:p w:rsidR="00857EC8" w:rsidRPr="00413F36" w:rsidRDefault="00857EC8" w:rsidP="00857EC8">
      <w:pPr>
        <w:ind w:left="1134" w:hanging="1134"/>
        <w:jc w:val="left"/>
        <w:rPr>
          <w:sz w:val="18"/>
          <w:lang w:val="de-DE"/>
        </w:rPr>
      </w:pPr>
      <w:r w:rsidRPr="00E01423">
        <w:rPr>
          <w:sz w:val="18"/>
          <w:szCs w:val="18"/>
        </w:rPr>
        <w:fldChar w:fldCharType="end"/>
      </w:r>
      <w:r w:rsidRPr="00413F36">
        <w:rPr>
          <w:sz w:val="18"/>
          <w:lang w:val="de-DE"/>
        </w:rPr>
        <w:t>AN</w:t>
      </w:r>
      <w:r w:rsidR="00EB09EC" w:rsidRPr="00413F36">
        <w:rPr>
          <w:sz w:val="18"/>
          <w:lang w:val="de-DE"/>
        </w:rPr>
        <w:t>LAGE</w:t>
      </w:r>
      <w:r w:rsidRPr="00413F36">
        <w:rPr>
          <w:sz w:val="18"/>
          <w:lang w:val="de-DE"/>
        </w:rPr>
        <w:tab/>
      </w:r>
      <w:r w:rsidR="00733705" w:rsidRPr="00413F36">
        <w:rPr>
          <w:sz w:val="18"/>
          <w:lang w:val="de-DE"/>
        </w:rPr>
        <w:t xml:space="preserve">AUSZUG AUS DOKUMENT </w:t>
      </w:r>
      <w:r w:rsidRPr="00413F36">
        <w:rPr>
          <w:sz w:val="18"/>
          <w:lang w:val="de-DE"/>
        </w:rPr>
        <w:t xml:space="preserve">TGP/7 </w:t>
      </w:r>
      <w:r w:rsidR="00733705" w:rsidRPr="00413F36">
        <w:rPr>
          <w:sz w:val="18"/>
          <w:lang w:val="de-DE"/>
        </w:rPr>
        <w:t>„ERSTELLUNG VON PRÜFUNGSRICHTLINIEN</w:t>
      </w:r>
      <w:r w:rsidR="00821604" w:rsidRPr="00413F36">
        <w:rPr>
          <w:lang w:val="de-DE"/>
        </w:rPr>
        <w:t>“</w:t>
      </w:r>
      <w:r w:rsidR="00733705" w:rsidRPr="00413F36">
        <w:rPr>
          <w:sz w:val="18"/>
          <w:lang w:val="de-DE"/>
        </w:rPr>
        <w:t xml:space="preserve"> </w:t>
      </w:r>
      <w:r w:rsidRPr="00413F36">
        <w:rPr>
          <w:sz w:val="18"/>
          <w:lang w:val="de-DE"/>
        </w:rPr>
        <w:t>(ASW 2, ASW 3, GN 8)</w:t>
      </w:r>
    </w:p>
    <w:p w:rsidR="00857EC8" w:rsidRPr="00413F36" w:rsidRDefault="00857EC8" w:rsidP="00857EC8">
      <w:pPr>
        <w:rPr>
          <w:lang w:val="de-DE"/>
        </w:rPr>
      </w:pPr>
      <w:bookmarkStart w:id="2" w:name="_Toc484625147"/>
    </w:p>
    <w:p w:rsidR="00857EC8" w:rsidRPr="00413F36" w:rsidRDefault="00857EC8" w:rsidP="00857EC8">
      <w:pPr>
        <w:rPr>
          <w:lang w:val="de-DE"/>
        </w:rPr>
      </w:pPr>
      <w:r w:rsidRPr="00857EC8">
        <w:fldChar w:fldCharType="begin"/>
      </w:r>
      <w:r w:rsidRPr="00413F36">
        <w:rPr>
          <w:lang w:val="de-DE"/>
        </w:rPr>
        <w:instrText xml:space="preserve"> AUTONUM  </w:instrText>
      </w:r>
      <w:r w:rsidRPr="00857EC8">
        <w:fldChar w:fldCharType="end"/>
      </w:r>
      <w:r w:rsidRPr="00413F36">
        <w:rPr>
          <w:lang w:val="de-DE"/>
        </w:rPr>
        <w:tab/>
      </w:r>
      <w:r w:rsidR="00CB281E" w:rsidRPr="00413F36">
        <w:rPr>
          <w:lang w:val="de-DE"/>
        </w:rPr>
        <w:t>In diesem Dokument werden folgende Abkürzungen verwendet:</w:t>
      </w:r>
    </w:p>
    <w:p w:rsidR="00857EC8" w:rsidRPr="00413F36" w:rsidRDefault="00857EC8" w:rsidP="00857EC8">
      <w:pPr>
        <w:rPr>
          <w:lang w:val="de-DE"/>
        </w:rPr>
      </w:pPr>
    </w:p>
    <w:p w:rsidR="00857EC8" w:rsidRPr="00413F36" w:rsidRDefault="00857EC8" w:rsidP="00857EC8">
      <w:pPr>
        <w:rPr>
          <w:lang w:val="de-DE"/>
        </w:rPr>
      </w:pPr>
      <w:r w:rsidRPr="00413F36">
        <w:rPr>
          <w:lang w:val="de-DE"/>
        </w:rPr>
        <w:t xml:space="preserve">TC:  </w:t>
      </w:r>
      <w:r w:rsidRPr="00413F36">
        <w:rPr>
          <w:lang w:val="de-DE"/>
        </w:rPr>
        <w:tab/>
      </w:r>
      <w:r w:rsidRPr="00413F36">
        <w:rPr>
          <w:lang w:val="de-DE"/>
        </w:rPr>
        <w:tab/>
      </w:r>
      <w:r w:rsidR="00CB281E" w:rsidRPr="00413F36">
        <w:rPr>
          <w:lang w:val="de-DE"/>
        </w:rPr>
        <w:t>Technischer Ausschuß</w:t>
      </w:r>
    </w:p>
    <w:p w:rsidR="00857EC8" w:rsidRPr="00413F36" w:rsidRDefault="00857EC8" w:rsidP="00857EC8">
      <w:pPr>
        <w:rPr>
          <w:lang w:val="de-DE"/>
        </w:rPr>
      </w:pPr>
      <w:r w:rsidRPr="00413F36">
        <w:rPr>
          <w:lang w:val="de-DE"/>
        </w:rPr>
        <w:t xml:space="preserve">TC-EDC:  </w:t>
      </w:r>
      <w:r w:rsidRPr="00413F36">
        <w:rPr>
          <w:lang w:val="de-DE"/>
        </w:rPr>
        <w:tab/>
      </w:r>
      <w:r w:rsidR="00CB281E" w:rsidRPr="00413F36">
        <w:rPr>
          <w:lang w:val="de-DE"/>
        </w:rPr>
        <w:t xml:space="preserve">Erweiterter </w:t>
      </w:r>
      <w:proofErr w:type="spellStart"/>
      <w:r w:rsidR="00CB281E" w:rsidRPr="00413F36">
        <w:rPr>
          <w:lang w:val="de-DE"/>
        </w:rPr>
        <w:t>Redaktionsausschuß</w:t>
      </w:r>
      <w:proofErr w:type="spellEnd"/>
    </w:p>
    <w:p w:rsidR="00857EC8" w:rsidRPr="00413F36" w:rsidRDefault="00857EC8" w:rsidP="00857EC8">
      <w:pPr>
        <w:rPr>
          <w:lang w:val="de-DE"/>
        </w:rPr>
      </w:pPr>
      <w:r w:rsidRPr="00413F36">
        <w:rPr>
          <w:lang w:val="de-DE"/>
        </w:rPr>
        <w:t xml:space="preserve">TWA:  </w:t>
      </w:r>
      <w:r w:rsidRPr="00413F36">
        <w:rPr>
          <w:lang w:val="de-DE"/>
        </w:rPr>
        <w:tab/>
      </w:r>
      <w:r w:rsidR="00CB281E" w:rsidRPr="00413F36">
        <w:rPr>
          <w:lang w:val="de-DE"/>
        </w:rPr>
        <w:t>Technische Arbeitsgruppe für landwirtschaftliche Arten</w:t>
      </w:r>
    </w:p>
    <w:p w:rsidR="00857EC8" w:rsidRPr="00413F36" w:rsidRDefault="00857EC8" w:rsidP="00857EC8">
      <w:pPr>
        <w:rPr>
          <w:lang w:val="de-DE"/>
        </w:rPr>
      </w:pPr>
      <w:r w:rsidRPr="00413F36">
        <w:rPr>
          <w:lang w:val="de-DE"/>
        </w:rPr>
        <w:t xml:space="preserve">TWC:  </w:t>
      </w:r>
      <w:r w:rsidRPr="00413F36">
        <w:rPr>
          <w:lang w:val="de-DE"/>
        </w:rPr>
        <w:tab/>
      </w:r>
      <w:r w:rsidR="00CB281E" w:rsidRPr="00413F36">
        <w:rPr>
          <w:lang w:val="de-DE"/>
        </w:rPr>
        <w:t>Technische Arbeitsgruppe für Automatisierung und Computerprogramme</w:t>
      </w:r>
    </w:p>
    <w:p w:rsidR="00857EC8" w:rsidRPr="00413F36" w:rsidRDefault="00857EC8" w:rsidP="00857EC8">
      <w:pPr>
        <w:rPr>
          <w:lang w:val="de-DE"/>
        </w:rPr>
      </w:pPr>
      <w:r w:rsidRPr="00413F36">
        <w:rPr>
          <w:lang w:val="de-DE"/>
        </w:rPr>
        <w:t xml:space="preserve">TWF:  </w:t>
      </w:r>
      <w:r w:rsidRPr="00413F36">
        <w:rPr>
          <w:lang w:val="de-DE"/>
        </w:rPr>
        <w:tab/>
      </w:r>
      <w:r w:rsidR="00CB281E" w:rsidRPr="00413F36">
        <w:rPr>
          <w:lang w:val="de-DE"/>
        </w:rPr>
        <w:t>Technische Arbeitsgruppe für Obstarten</w:t>
      </w:r>
    </w:p>
    <w:p w:rsidR="00857EC8" w:rsidRPr="00413F36" w:rsidRDefault="00857EC8" w:rsidP="00857EC8">
      <w:pPr>
        <w:rPr>
          <w:lang w:val="de-DE"/>
        </w:rPr>
      </w:pPr>
      <w:r w:rsidRPr="00413F36">
        <w:rPr>
          <w:lang w:val="de-DE"/>
        </w:rPr>
        <w:t xml:space="preserve">TWO:  </w:t>
      </w:r>
      <w:r w:rsidRPr="00413F36">
        <w:rPr>
          <w:lang w:val="de-DE"/>
        </w:rPr>
        <w:tab/>
      </w:r>
      <w:r w:rsidR="00CB281E" w:rsidRPr="00413F36">
        <w:rPr>
          <w:lang w:val="de-DE"/>
        </w:rPr>
        <w:t>Technische Arbeitsgruppe für Zierpflanzen und forstliche Baumarten</w:t>
      </w:r>
    </w:p>
    <w:p w:rsidR="00857EC8" w:rsidRPr="00413F36" w:rsidRDefault="00857EC8" w:rsidP="00857EC8">
      <w:pPr>
        <w:rPr>
          <w:lang w:val="de-DE"/>
        </w:rPr>
      </w:pPr>
      <w:r w:rsidRPr="00413F36">
        <w:rPr>
          <w:lang w:val="de-DE"/>
        </w:rPr>
        <w:t xml:space="preserve">TWV:  </w:t>
      </w:r>
      <w:r w:rsidRPr="00413F36">
        <w:rPr>
          <w:lang w:val="de-DE"/>
        </w:rPr>
        <w:tab/>
      </w:r>
      <w:r w:rsidR="00CB281E" w:rsidRPr="00413F36">
        <w:rPr>
          <w:lang w:val="de-DE"/>
        </w:rPr>
        <w:t>Technische Arbeitsgruppe für Gemüsearten</w:t>
      </w:r>
    </w:p>
    <w:p w:rsidR="00857EC8" w:rsidRPr="00413F36" w:rsidRDefault="00857EC8" w:rsidP="00857EC8">
      <w:pPr>
        <w:rPr>
          <w:lang w:val="de-DE"/>
        </w:rPr>
      </w:pPr>
      <w:r w:rsidRPr="00413F36">
        <w:rPr>
          <w:lang w:val="de-DE"/>
        </w:rPr>
        <w:t>TWP:</w:t>
      </w:r>
      <w:r w:rsidRPr="00413F36">
        <w:rPr>
          <w:lang w:val="de-DE"/>
        </w:rPr>
        <w:tab/>
      </w:r>
      <w:r w:rsidR="00CB281E" w:rsidRPr="00413F36">
        <w:rPr>
          <w:lang w:val="de-DE"/>
        </w:rPr>
        <w:t xml:space="preserve">          Technische Arbeitsgruppen</w:t>
      </w:r>
    </w:p>
    <w:p w:rsidR="00857EC8" w:rsidRDefault="00857EC8" w:rsidP="00857EC8">
      <w:pPr>
        <w:keepNext/>
        <w:outlineLvl w:val="0"/>
        <w:rPr>
          <w:rFonts w:eastAsia="MS Mincho"/>
          <w:caps/>
          <w:lang w:val="de-DE" w:eastAsia="ja-JP"/>
        </w:rPr>
      </w:pPr>
    </w:p>
    <w:p w:rsidR="002A5149" w:rsidRPr="00413F36" w:rsidRDefault="002A5149" w:rsidP="00857EC8">
      <w:pPr>
        <w:keepNext/>
        <w:outlineLvl w:val="0"/>
        <w:rPr>
          <w:rFonts w:eastAsia="MS Mincho"/>
          <w:caps/>
          <w:lang w:val="de-DE" w:eastAsia="ja-JP"/>
        </w:rPr>
      </w:pPr>
    </w:p>
    <w:p w:rsidR="00465079" w:rsidRDefault="00465079">
      <w:pPr>
        <w:jc w:val="left"/>
        <w:rPr>
          <w:rFonts w:eastAsia="MS Mincho"/>
          <w:caps/>
          <w:lang w:val="de-DE" w:eastAsia="ja-JP"/>
        </w:rPr>
      </w:pPr>
      <w:bookmarkStart w:id="3" w:name="_Toc525564225"/>
      <w:bookmarkStart w:id="4" w:name="_Toc526858769"/>
      <w:r>
        <w:rPr>
          <w:rFonts w:eastAsia="MS Mincho"/>
          <w:caps/>
          <w:lang w:val="de-DE" w:eastAsia="ja-JP"/>
        </w:rPr>
        <w:br w:type="page"/>
      </w:r>
    </w:p>
    <w:p w:rsidR="00857EC8" w:rsidRPr="006E434C" w:rsidRDefault="002A5149" w:rsidP="002A5149">
      <w:pPr>
        <w:keepNext/>
        <w:outlineLvl w:val="0"/>
        <w:rPr>
          <w:rFonts w:eastAsia="MS Mincho"/>
          <w:caps/>
          <w:lang w:val="de-DE" w:eastAsia="ja-JP"/>
        </w:rPr>
      </w:pPr>
      <w:r w:rsidRPr="006E434C">
        <w:rPr>
          <w:rFonts w:eastAsia="MS Mincho"/>
          <w:caps/>
          <w:lang w:val="de-DE" w:eastAsia="ja-JP"/>
        </w:rPr>
        <w:lastRenderedPageBreak/>
        <w:t>HINTERGRUND</w:t>
      </w:r>
      <w:bookmarkEnd w:id="3"/>
      <w:bookmarkEnd w:id="4"/>
    </w:p>
    <w:bookmarkEnd w:id="2"/>
    <w:p w:rsidR="00CB281E" w:rsidRPr="00413F36" w:rsidRDefault="00CB281E" w:rsidP="00857EC8">
      <w:pPr>
        <w:rPr>
          <w:lang w:val="de-DE"/>
        </w:rPr>
      </w:pPr>
    </w:p>
    <w:p w:rsidR="00857EC8" w:rsidRPr="00413F36" w:rsidRDefault="00975F08" w:rsidP="00857EC8">
      <w:pPr>
        <w:rPr>
          <w:u w:val="single"/>
          <w:lang w:val="de-DE"/>
        </w:rPr>
      </w:pPr>
      <w:r w:rsidRPr="00413F36">
        <w:rPr>
          <w:u w:val="single"/>
          <w:lang w:val="de-DE"/>
        </w:rPr>
        <w:t>Programm für die Erstellung von TGP-Dokumenten</w:t>
      </w:r>
    </w:p>
    <w:p w:rsidR="00975F08" w:rsidRPr="00413F36" w:rsidRDefault="00975F08" w:rsidP="00857EC8">
      <w:pPr>
        <w:rPr>
          <w:iCs/>
          <w:lang w:val="de-DE"/>
        </w:rPr>
      </w:pPr>
    </w:p>
    <w:p w:rsidR="00772F6D" w:rsidRDefault="00857EC8" w:rsidP="00857EC8">
      <w:pPr>
        <w:rPr>
          <w:lang w:val="de-DE"/>
        </w:rPr>
      </w:pPr>
      <w:r w:rsidRPr="00857EC8">
        <w:fldChar w:fldCharType="begin"/>
      </w:r>
      <w:r w:rsidRPr="00413F36">
        <w:rPr>
          <w:lang w:val="de-DE"/>
        </w:rPr>
        <w:instrText xml:space="preserve"> AUTONUM  </w:instrText>
      </w:r>
      <w:r w:rsidRPr="00857EC8">
        <w:fldChar w:fldCharType="end"/>
      </w:r>
      <w:r w:rsidRPr="00413F36">
        <w:rPr>
          <w:lang w:val="de-DE"/>
        </w:rPr>
        <w:tab/>
      </w:r>
      <w:r w:rsidR="00085EF2" w:rsidRPr="00413F36">
        <w:rPr>
          <w:lang w:val="de-DE"/>
        </w:rPr>
        <w:t xml:space="preserve">Der Rat entschied auf seiner vierunddreißigsten außerordentlichen Tagung in Genf am 6. April 2017, ab 2018 eine einzige Tagungsreihe im Zeitraum Oktober/November abzuhalten </w:t>
      </w:r>
      <w:r w:rsidRPr="00413F36">
        <w:rPr>
          <w:lang w:val="de-DE"/>
        </w:rPr>
        <w:t>(</w:t>
      </w:r>
      <w:r w:rsidR="00002F87" w:rsidRPr="00413F36">
        <w:rPr>
          <w:lang w:val="de-DE"/>
        </w:rPr>
        <w:t>vergleiche Dokument</w:t>
      </w:r>
      <w:r w:rsidR="00A941B6">
        <w:rPr>
          <w:lang w:val="de-DE"/>
        </w:rPr>
        <w:t> </w:t>
      </w:r>
      <w:r w:rsidRPr="00413F36">
        <w:rPr>
          <w:lang w:val="de-DE"/>
        </w:rPr>
        <w:t>C(</w:t>
      </w:r>
      <w:proofErr w:type="spellStart"/>
      <w:r w:rsidRPr="00413F36">
        <w:rPr>
          <w:lang w:val="de-DE"/>
        </w:rPr>
        <w:t>Extr</w:t>
      </w:r>
      <w:proofErr w:type="spellEnd"/>
      <w:proofErr w:type="gramStart"/>
      <w:r w:rsidRPr="00413F36">
        <w:rPr>
          <w:lang w:val="de-DE"/>
        </w:rPr>
        <w:t>.)/</w:t>
      </w:r>
      <w:proofErr w:type="gramEnd"/>
      <w:r w:rsidRPr="00413F36">
        <w:rPr>
          <w:lang w:val="de-DE"/>
        </w:rPr>
        <w:t xml:space="preserve">34/6 </w:t>
      </w:r>
      <w:r w:rsidR="00002F87" w:rsidRPr="00413F36">
        <w:rPr>
          <w:lang w:val="de-DE"/>
        </w:rPr>
        <w:t>„Bericht über die Entscheidungen</w:t>
      </w:r>
      <w:r w:rsidR="00085EF2" w:rsidRPr="00413F36">
        <w:rPr>
          <w:lang w:val="de-DE"/>
        </w:rPr>
        <w:t>“</w:t>
      </w:r>
      <w:r w:rsidR="00BE47C2">
        <w:rPr>
          <w:lang w:val="de-DE"/>
        </w:rPr>
        <w:t>,</w:t>
      </w:r>
      <w:r w:rsidR="00085EF2" w:rsidRPr="00413F36">
        <w:rPr>
          <w:lang w:val="de-DE"/>
        </w:rPr>
        <w:t xml:space="preserve"> </w:t>
      </w:r>
      <w:r w:rsidR="00002F87" w:rsidRPr="00413F36">
        <w:rPr>
          <w:lang w:val="de-DE"/>
        </w:rPr>
        <w:t>Absätze</w:t>
      </w:r>
      <w:r w:rsidRPr="00413F36">
        <w:rPr>
          <w:lang w:val="de-DE"/>
        </w:rPr>
        <w:t xml:space="preserve"> 12 </w:t>
      </w:r>
      <w:r w:rsidR="00002F87" w:rsidRPr="00413F36">
        <w:rPr>
          <w:lang w:val="de-DE"/>
        </w:rPr>
        <w:t>bis</w:t>
      </w:r>
      <w:r w:rsidRPr="00413F36">
        <w:rPr>
          <w:lang w:val="de-DE"/>
        </w:rPr>
        <w:t xml:space="preserve"> 14).  </w:t>
      </w:r>
      <w:r w:rsidR="00002F87" w:rsidRPr="00413F36">
        <w:rPr>
          <w:lang w:val="de-DE"/>
        </w:rPr>
        <w:t>Ab 2018 sollen die Tagungen des TC im Oktober/November anstelle von März/April stattfinden</w:t>
      </w:r>
      <w:r w:rsidRPr="00413F36">
        <w:rPr>
          <w:lang w:val="de-DE"/>
        </w:rPr>
        <w:t xml:space="preserve">. </w:t>
      </w:r>
      <w:r w:rsidR="00ED65FC" w:rsidRPr="00ED65FC">
        <w:rPr>
          <w:lang w:val="de-DE"/>
        </w:rPr>
        <w:t>Der TC-EDC wird sich zweimal im Jahr treffen, einmal im Zeitraum März/April und einmal später im Jahr in Verbindung mit den Tagungen des TC.</w:t>
      </w:r>
    </w:p>
    <w:p w:rsidR="00ED65FC" w:rsidRPr="00ED65FC" w:rsidRDefault="00ED65FC" w:rsidP="00857EC8">
      <w:pPr>
        <w:rPr>
          <w:lang w:val="de-DE"/>
        </w:rPr>
      </w:pPr>
    </w:p>
    <w:p w:rsidR="00857EC8" w:rsidRPr="00413F36" w:rsidRDefault="00857EC8" w:rsidP="00857EC8">
      <w:pPr>
        <w:rPr>
          <w:iCs/>
          <w:lang w:val="de-DE"/>
        </w:rPr>
      </w:pPr>
      <w:r w:rsidRPr="00857EC8">
        <w:fldChar w:fldCharType="begin"/>
      </w:r>
      <w:r w:rsidRPr="00413F36">
        <w:rPr>
          <w:lang w:val="de-DE"/>
        </w:rPr>
        <w:instrText xml:space="preserve"> AUTONUM  </w:instrText>
      </w:r>
      <w:r w:rsidRPr="00857EC8">
        <w:fldChar w:fldCharType="end"/>
      </w:r>
      <w:r w:rsidRPr="00413F36">
        <w:rPr>
          <w:lang w:val="de-DE"/>
        </w:rPr>
        <w:tab/>
      </w:r>
      <w:r w:rsidR="00413F36">
        <w:rPr>
          <w:lang w:val="de-DE"/>
        </w:rPr>
        <w:t>D</w:t>
      </w:r>
      <w:r w:rsidR="006D3B88" w:rsidRPr="00413F36">
        <w:rPr>
          <w:lang w:val="de-DE"/>
        </w:rPr>
        <w:t>er Rat</w:t>
      </w:r>
      <w:r w:rsidR="00413F36">
        <w:rPr>
          <w:lang w:val="de-DE"/>
        </w:rPr>
        <w:t xml:space="preserve"> entschied</w:t>
      </w:r>
      <w:r w:rsidR="006D3B88" w:rsidRPr="00413F36">
        <w:rPr>
          <w:lang w:val="de-DE"/>
        </w:rPr>
        <w:t>, die Vorschläge des TC auf seiner dreiundfünfzigsten Tagung, eventuelle Maßnahmen in der Übergangsphase bis zur vierundfünfzigsten Tagung des TC im Oktober 2018 zu verwenden, anzunehmen</w:t>
      </w:r>
      <w:r w:rsidRPr="00413F36">
        <w:rPr>
          <w:lang w:val="de-DE"/>
        </w:rPr>
        <w:t xml:space="preserve">; </w:t>
      </w:r>
      <w:r w:rsidR="003D3AA4" w:rsidRPr="00413F36">
        <w:rPr>
          <w:lang w:val="de-DE"/>
        </w:rPr>
        <w:t>der TC-EDC würde für TGP-Dokumente von den TWP bei ihren Tagungen im Jahr 2017 erstellte Bemerkungen zusammenfassen und, sollte keine Einigung der TWP zustande kommen, Vorschläge zur weiteren Prüfung durch die TWP auf ihren Tagungen im Jahr 2018 formulieren</w:t>
      </w:r>
      <w:r w:rsidRPr="00413F36">
        <w:rPr>
          <w:iCs/>
          <w:lang w:val="de-DE"/>
        </w:rPr>
        <w:t xml:space="preserve">.  </w:t>
      </w:r>
    </w:p>
    <w:p w:rsidR="002A1EA0" w:rsidRPr="00413F36" w:rsidRDefault="002A1EA0" w:rsidP="002A1EA0">
      <w:pPr>
        <w:rPr>
          <w:lang w:val="de-DE"/>
        </w:rPr>
      </w:pPr>
    </w:p>
    <w:p w:rsidR="00772F6D" w:rsidRPr="00413F36" w:rsidRDefault="00772F6D" w:rsidP="002A1EA0">
      <w:pPr>
        <w:rPr>
          <w:lang w:val="de-DE"/>
        </w:rPr>
      </w:pPr>
    </w:p>
    <w:p w:rsidR="002A1EA0" w:rsidRPr="00413F36" w:rsidRDefault="003A7853" w:rsidP="002A1EA0">
      <w:pPr>
        <w:keepNext/>
        <w:outlineLvl w:val="0"/>
        <w:rPr>
          <w:caps/>
          <w:lang w:val="de-DE"/>
        </w:rPr>
      </w:pPr>
      <w:bookmarkStart w:id="5" w:name="_Toc484625149"/>
      <w:bookmarkStart w:id="6" w:name="_Toc526858770"/>
      <w:r w:rsidRPr="00413F36">
        <w:rPr>
          <w:caps/>
          <w:lang w:val="de-DE"/>
        </w:rPr>
        <w:t xml:space="preserve">Entwicklungen im Jahr </w:t>
      </w:r>
      <w:r w:rsidR="002A1EA0" w:rsidRPr="00413F36">
        <w:rPr>
          <w:caps/>
          <w:lang w:val="de-DE"/>
        </w:rPr>
        <w:t>2017</w:t>
      </w:r>
      <w:bookmarkEnd w:id="5"/>
      <w:bookmarkEnd w:id="6"/>
    </w:p>
    <w:p w:rsidR="002A1EA0" w:rsidRPr="00413F36" w:rsidRDefault="002A1EA0" w:rsidP="002A1EA0">
      <w:pPr>
        <w:jc w:val="left"/>
        <w:rPr>
          <w:lang w:val="de-DE"/>
        </w:rPr>
      </w:pPr>
    </w:p>
    <w:p w:rsidR="00857EC8" w:rsidRPr="00413F36" w:rsidRDefault="007974DE" w:rsidP="00857EC8">
      <w:pPr>
        <w:keepNext/>
        <w:outlineLvl w:val="1"/>
        <w:rPr>
          <w:iCs/>
          <w:u w:val="single"/>
          <w:lang w:val="de-DE"/>
        </w:rPr>
      </w:pPr>
      <w:bookmarkStart w:id="7" w:name="_Toc526858771"/>
      <w:r w:rsidRPr="00413F36">
        <w:rPr>
          <w:rFonts w:eastAsia="MS Mincho"/>
          <w:u w:val="single"/>
          <w:lang w:val="de-DE" w:eastAsia="ja-JP"/>
        </w:rPr>
        <w:t>Technischer Ausschuß</w:t>
      </w:r>
      <w:bookmarkEnd w:id="7"/>
    </w:p>
    <w:p w:rsidR="00857EC8" w:rsidRPr="00413F36" w:rsidRDefault="00857EC8" w:rsidP="00857EC8">
      <w:pPr>
        <w:rPr>
          <w:lang w:val="de-DE"/>
        </w:rPr>
      </w:pPr>
    </w:p>
    <w:p w:rsidR="002A1EA0" w:rsidRPr="00413F36" w:rsidRDefault="002A1EA0" w:rsidP="002A1EA0">
      <w:pPr>
        <w:rPr>
          <w:lang w:val="de-DE"/>
        </w:rPr>
      </w:pPr>
      <w:r w:rsidRPr="00D51062">
        <w:fldChar w:fldCharType="begin"/>
      </w:r>
      <w:r w:rsidRPr="00413F36">
        <w:rPr>
          <w:lang w:val="de-DE"/>
        </w:rPr>
        <w:instrText xml:space="preserve"> AUTONUM  </w:instrText>
      </w:r>
      <w:r w:rsidRPr="00D51062">
        <w:fldChar w:fldCharType="end"/>
      </w:r>
      <w:r w:rsidRPr="00413F36">
        <w:rPr>
          <w:lang w:val="de-DE"/>
        </w:rPr>
        <w:tab/>
      </w:r>
      <w:r w:rsidR="00413F36">
        <w:rPr>
          <w:lang w:val="de-DE"/>
        </w:rPr>
        <w:t>Der TC</w:t>
      </w:r>
      <w:r w:rsidR="00E11412" w:rsidRPr="00413F36">
        <w:rPr>
          <w:lang w:val="de-DE"/>
        </w:rPr>
        <w:t xml:space="preserve"> prüfte auf seiner dreiundfünfzigsten Tagung vom 3. bis 6. April 2017 in Genf das Dokument</w:t>
      </w:r>
      <w:r w:rsidR="00A941B6">
        <w:rPr>
          <w:lang w:val="de-DE"/>
        </w:rPr>
        <w:t> </w:t>
      </w:r>
      <w:r w:rsidRPr="00413F36">
        <w:rPr>
          <w:lang w:val="de-DE"/>
        </w:rPr>
        <w:t xml:space="preserve">TC/53/5 </w:t>
      </w:r>
      <w:r w:rsidR="00E11412" w:rsidRPr="00413F36">
        <w:rPr>
          <w:lang w:val="de-DE"/>
        </w:rPr>
        <w:t>„TGP-Dokumente</w:t>
      </w:r>
      <w:r w:rsidR="00CE4BB4" w:rsidRPr="00413F36">
        <w:rPr>
          <w:lang w:val="de-DE"/>
        </w:rPr>
        <w:t>“</w:t>
      </w:r>
      <w:r w:rsidR="00E11412" w:rsidRPr="00413F36">
        <w:rPr>
          <w:lang w:val="de-DE"/>
        </w:rPr>
        <w:t xml:space="preserve"> </w:t>
      </w:r>
      <w:r w:rsidRPr="00413F36">
        <w:rPr>
          <w:lang w:val="de-DE"/>
        </w:rPr>
        <w:t>(</w:t>
      </w:r>
      <w:r w:rsidR="00E11412" w:rsidRPr="00413F36">
        <w:rPr>
          <w:lang w:val="de-DE"/>
        </w:rPr>
        <w:t xml:space="preserve">vergleiche </w:t>
      </w:r>
      <w:proofErr w:type="gramStart"/>
      <w:r w:rsidR="00E11412" w:rsidRPr="00413F36">
        <w:rPr>
          <w:lang w:val="de-DE"/>
        </w:rPr>
        <w:t xml:space="preserve">Dokument </w:t>
      </w:r>
      <w:r w:rsidRPr="00413F36">
        <w:rPr>
          <w:lang w:val="de-DE"/>
        </w:rPr>
        <w:t xml:space="preserve"> TC</w:t>
      </w:r>
      <w:proofErr w:type="gramEnd"/>
      <w:r w:rsidRPr="00413F36">
        <w:rPr>
          <w:lang w:val="de-DE"/>
        </w:rPr>
        <w:t xml:space="preserve">/53/31 </w:t>
      </w:r>
      <w:r w:rsidR="00E11412" w:rsidRPr="00413F36">
        <w:rPr>
          <w:rFonts w:eastAsia="Cambria" w:cs="Arial"/>
          <w:sz w:val="18"/>
          <w:szCs w:val="18"/>
          <w:lang w:val="de-DE" w:eastAsia="fr-FR"/>
        </w:rPr>
        <w:t>„</w:t>
      </w:r>
      <w:r w:rsidR="00D30F31" w:rsidRPr="00413F36">
        <w:rPr>
          <w:lang w:val="de-DE"/>
        </w:rPr>
        <w:t>Bericht</w:t>
      </w:r>
      <w:r w:rsidR="00E11412" w:rsidRPr="00413F36">
        <w:rPr>
          <w:lang w:val="de-DE"/>
        </w:rPr>
        <w:t>“</w:t>
      </w:r>
      <w:r w:rsidR="00320C96">
        <w:rPr>
          <w:lang w:val="de-DE"/>
        </w:rPr>
        <w:t>,</w:t>
      </w:r>
      <w:r w:rsidRPr="00413F36">
        <w:rPr>
          <w:lang w:val="de-DE"/>
        </w:rPr>
        <w:t xml:space="preserve"> </w:t>
      </w:r>
      <w:r w:rsidR="00D30F31" w:rsidRPr="00413F36">
        <w:rPr>
          <w:lang w:val="de-DE"/>
        </w:rPr>
        <w:t>Absätze</w:t>
      </w:r>
      <w:r w:rsidRPr="00413F36">
        <w:rPr>
          <w:lang w:val="de-DE"/>
        </w:rPr>
        <w:t xml:space="preserve"> 126 </w:t>
      </w:r>
      <w:r w:rsidR="00D30F31" w:rsidRPr="00413F36">
        <w:rPr>
          <w:lang w:val="de-DE"/>
        </w:rPr>
        <w:t>bis</w:t>
      </w:r>
      <w:r w:rsidRPr="00413F36">
        <w:rPr>
          <w:lang w:val="de-DE"/>
        </w:rPr>
        <w:t xml:space="preserve"> 128).</w:t>
      </w:r>
    </w:p>
    <w:p w:rsidR="002A1EA0" w:rsidRPr="00413F36" w:rsidRDefault="002A1EA0" w:rsidP="002A1EA0">
      <w:pPr>
        <w:rPr>
          <w:lang w:val="de-DE"/>
        </w:rPr>
      </w:pPr>
    </w:p>
    <w:p w:rsidR="002A1EA0" w:rsidRPr="00413F36" w:rsidRDefault="002A1EA0" w:rsidP="002A1EA0">
      <w:pPr>
        <w:rPr>
          <w:lang w:val="de-DE"/>
        </w:rPr>
      </w:pPr>
      <w:r w:rsidRPr="00D51062">
        <w:fldChar w:fldCharType="begin"/>
      </w:r>
      <w:r w:rsidRPr="00413F36">
        <w:rPr>
          <w:lang w:val="de-DE"/>
        </w:rPr>
        <w:instrText xml:space="preserve"> AUTONUM  </w:instrText>
      </w:r>
      <w:r w:rsidRPr="00D51062">
        <w:fldChar w:fldCharType="end"/>
      </w:r>
      <w:r w:rsidRPr="00413F36">
        <w:rPr>
          <w:lang w:val="de-DE"/>
        </w:rPr>
        <w:tab/>
      </w:r>
      <w:r w:rsidR="00EF32FB" w:rsidRPr="00413F36">
        <w:rPr>
          <w:lang w:val="de-DE"/>
        </w:rPr>
        <w:t>Der TC prüfte den Vorschlag der TWF, das Dokument TGP/7 „Erstellung von Prüfungsrichtlinien“ folgendermaßen zu überarbeiten, um einen neuen Standardwortlaut in die Mustervorlage für Prüfungsrichtlinien aufzunehmen und den Zusätzlichen Standardwortlaut 2 anzupassen, um die Dauer der DUS-Prüfung klarzustellen:</w:t>
      </w:r>
    </w:p>
    <w:p w:rsidR="002A1EA0" w:rsidRPr="00413F36" w:rsidRDefault="002A1EA0" w:rsidP="002A1EA0">
      <w:pPr>
        <w:rPr>
          <w:lang w:val="de-DE"/>
        </w:rPr>
      </w:pPr>
    </w:p>
    <w:p w:rsidR="002A1EA0" w:rsidRPr="00413F36" w:rsidRDefault="00D678C4" w:rsidP="00D678C4">
      <w:pPr>
        <w:numPr>
          <w:ilvl w:val="0"/>
          <w:numId w:val="1"/>
        </w:numPr>
        <w:autoSpaceDE w:val="0"/>
        <w:autoSpaceDN w:val="0"/>
        <w:adjustRightInd w:val="0"/>
        <w:spacing w:after="120"/>
        <w:jc w:val="left"/>
        <w:rPr>
          <w:rFonts w:eastAsia="Cambria" w:cs="Arial"/>
          <w:b/>
          <w:i/>
          <w:sz w:val="18"/>
          <w:szCs w:val="18"/>
          <w:lang w:val="de-DE"/>
        </w:rPr>
      </w:pPr>
      <w:r w:rsidRPr="00413F36">
        <w:rPr>
          <w:rFonts w:eastAsia="Cambria" w:cs="Arial"/>
          <w:b/>
          <w:i/>
          <w:sz w:val="18"/>
          <w:szCs w:val="18"/>
          <w:lang w:val="de-DE"/>
        </w:rPr>
        <w:t>Hinzufügung eines Standardsatzes zu Punkt 3 der UPOV-TG-Mustervorlage, so daß diese lautet</w:t>
      </w:r>
      <w:r w:rsidR="002A1EA0" w:rsidRPr="00413F36">
        <w:rPr>
          <w:rFonts w:eastAsia="Cambria" w:cs="Arial"/>
          <w:b/>
          <w:i/>
          <w:sz w:val="18"/>
          <w:szCs w:val="18"/>
          <w:lang w:val="de-DE"/>
        </w:rPr>
        <w:t>:</w:t>
      </w:r>
    </w:p>
    <w:p w:rsidR="002A1EA0" w:rsidRPr="00413F36" w:rsidRDefault="004C148E" w:rsidP="002A1EA0">
      <w:pPr>
        <w:autoSpaceDE w:val="0"/>
        <w:autoSpaceDN w:val="0"/>
        <w:adjustRightInd w:val="0"/>
        <w:ind w:right="567" w:firstLine="360"/>
        <w:jc w:val="left"/>
        <w:rPr>
          <w:rFonts w:eastAsia="Cambria" w:cs="Arial"/>
          <w:sz w:val="18"/>
          <w:szCs w:val="18"/>
          <w:lang w:val="de-DE"/>
        </w:rPr>
      </w:pPr>
      <w:r w:rsidRPr="00413F36">
        <w:rPr>
          <w:rFonts w:eastAsia="Cambria" w:cs="Arial"/>
          <w:sz w:val="18"/>
          <w:szCs w:val="18"/>
          <w:lang w:val="de-DE" w:eastAsia="fr-FR"/>
        </w:rPr>
        <w:t>„</w:t>
      </w:r>
      <w:r w:rsidR="002A1EA0" w:rsidRPr="00413F36">
        <w:rPr>
          <w:rFonts w:eastAsia="Cambria" w:cs="Arial"/>
          <w:sz w:val="18"/>
          <w:szCs w:val="18"/>
          <w:lang w:val="de-DE"/>
        </w:rPr>
        <w:t xml:space="preserve">3. </w:t>
      </w:r>
      <w:r w:rsidRPr="00413F36">
        <w:rPr>
          <w:rFonts w:eastAsia="Cambria" w:cs="Arial"/>
          <w:sz w:val="18"/>
          <w:szCs w:val="18"/>
          <w:lang w:val="de-DE"/>
        </w:rPr>
        <w:t>Durchführung der Prüfung</w:t>
      </w:r>
    </w:p>
    <w:p w:rsidR="002A1EA0" w:rsidRPr="00413F36" w:rsidRDefault="002A1EA0" w:rsidP="002A1EA0">
      <w:pPr>
        <w:autoSpaceDE w:val="0"/>
        <w:autoSpaceDN w:val="0"/>
        <w:adjustRightInd w:val="0"/>
        <w:ind w:right="567" w:firstLine="360"/>
        <w:jc w:val="left"/>
        <w:rPr>
          <w:rFonts w:eastAsia="Cambria" w:cs="Arial"/>
          <w:sz w:val="18"/>
          <w:szCs w:val="18"/>
          <w:lang w:val="de-DE"/>
        </w:rPr>
      </w:pPr>
    </w:p>
    <w:p w:rsidR="002A1EA0" w:rsidRPr="00413F36" w:rsidRDefault="002A1EA0" w:rsidP="002A1EA0">
      <w:pPr>
        <w:autoSpaceDE w:val="0"/>
        <w:autoSpaceDN w:val="0"/>
        <w:adjustRightInd w:val="0"/>
        <w:ind w:left="567" w:right="567"/>
        <w:jc w:val="left"/>
        <w:rPr>
          <w:rFonts w:eastAsia="Cambria" w:cs="Arial"/>
          <w:i/>
          <w:iCs/>
          <w:sz w:val="18"/>
          <w:szCs w:val="18"/>
          <w:lang w:val="de-DE"/>
        </w:rPr>
      </w:pPr>
      <w:r w:rsidRPr="00413F36">
        <w:rPr>
          <w:rFonts w:eastAsia="Cambria" w:cs="Arial"/>
          <w:i/>
          <w:iCs/>
          <w:sz w:val="18"/>
          <w:szCs w:val="18"/>
          <w:lang w:val="de-DE"/>
        </w:rPr>
        <w:t xml:space="preserve">3.1 </w:t>
      </w:r>
      <w:r w:rsidR="00FC2937" w:rsidRPr="00413F36">
        <w:rPr>
          <w:rFonts w:eastAsia="Cambria" w:cs="Arial"/>
          <w:i/>
          <w:iCs/>
          <w:sz w:val="18"/>
          <w:szCs w:val="18"/>
          <w:lang w:val="de-DE"/>
        </w:rPr>
        <w:t>Anzahl von Wachstumsperioden</w:t>
      </w:r>
    </w:p>
    <w:p w:rsidR="002A1EA0" w:rsidRPr="00413F36" w:rsidRDefault="002A1EA0" w:rsidP="002A1EA0">
      <w:pPr>
        <w:autoSpaceDE w:val="0"/>
        <w:autoSpaceDN w:val="0"/>
        <w:adjustRightInd w:val="0"/>
        <w:ind w:left="567" w:right="567"/>
        <w:jc w:val="left"/>
        <w:rPr>
          <w:rFonts w:eastAsia="Cambria" w:cs="Arial"/>
          <w:i/>
          <w:iCs/>
          <w:sz w:val="18"/>
          <w:szCs w:val="18"/>
          <w:lang w:val="de-DE"/>
        </w:rPr>
      </w:pPr>
    </w:p>
    <w:p w:rsidR="002A1EA0" w:rsidRPr="00413F36" w:rsidRDefault="004C148E" w:rsidP="002A1EA0">
      <w:pPr>
        <w:autoSpaceDE w:val="0"/>
        <w:autoSpaceDN w:val="0"/>
        <w:adjustRightInd w:val="0"/>
        <w:ind w:left="567" w:right="567" w:firstLine="567"/>
        <w:jc w:val="left"/>
        <w:rPr>
          <w:rFonts w:eastAsia="Cambria" w:cs="Arial"/>
          <w:sz w:val="18"/>
          <w:szCs w:val="18"/>
          <w:lang w:val="de-DE"/>
        </w:rPr>
      </w:pPr>
      <w:r w:rsidRPr="00413F36">
        <w:rPr>
          <w:rFonts w:eastAsia="Cambria" w:cs="Arial"/>
          <w:sz w:val="18"/>
          <w:szCs w:val="18"/>
          <w:lang w:val="de-DE"/>
        </w:rPr>
        <w:t>Die Mindestprüfungsdauer sollte in der Regel betragen:</w:t>
      </w:r>
    </w:p>
    <w:p w:rsidR="004C148E" w:rsidRPr="00413F36" w:rsidRDefault="004C148E" w:rsidP="002A1EA0">
      <w:pPr>
        <w:autoSpaceDE w:val="0"/>
        <w:autoSpaceDN w:val="0"/>
        <w:adjustRightInd w:val="0"/>
        <w:ind w:left="567" w:right="567" w:firstLine="567"/>
        <w:jc w:val="left"/>
        <w:rPr>
          <w:rFonts w:eastAsia="Cambria" w:cs="Arial"/>
          <w:sz w:val="18"/>
          <w:szCs w:val="18"/>
          <w:lang w:val="de-DE"/>
        </w:rPr>
      </w:pPr>
    </w:p>
    <w:p w:rsidR="002A1EA0" w:rsidRPr="00413F36" w:rsidRDefault="002A1EA0" w:rsidP="002A1EA0">
      <w:pPr>
        <w:autoSpaceDE w:val="0"/>
        <w:autoSpaceDN w:val="0"/>
        <w:adjustRightInd w:val="0"/>
        <w:ind w:left="567" w:right="567" w:firstLine="567"/>
        <w:jc w:val="left"/>
        <w:rPr>
          <w:rFonts w:eastAsia="Cambria" w:cs="Arial"/>
          <w:sz w:val="18"/>
          <w:szCs w:val="18"/>
          <w:lang w:val="de-DE"/>
        </w:rPr>
      </w:pPr>
      <w:proofErr w:type="gramStart"/>
      <w:r w:rsidRPr="00413F36">
        <w:rPr>
          <w:rFonts w:eastAsia="Cambria" w:cs="Arial"/>
          <w:sz w:val="18"/>
          <w:szCs w:val="18"/>
          <w:lang w:val="de-DE"/>
        </w:rPr>
        <w:t xml:space="preserve">{ </w:t>
      </w:r>
      <w:r w:rsidRPr="00413F36">
        <w:rPr>
          <w:rFonts w:eastAsia="Cambria" w:cs="Arial"/>
          <w:b/>
          <w:bCs/>
          <w:sz w:val="18"/>
          <w:szCs w:val="18"/>
          <w:lang w:val="de-DE"/>
        </w:rPr>
        <w:t>ASW</w:t>
      </w:r>
      <w:proofErr w:type="gramEnd"/>
      <w:r w:rsidRPr="00413F36">
        <w:rPr>
          <w:rFonts w:eastAsia="Cambria" w:cs="Arial"/>
          <w:b/>
          <w:bCs/>
          <w:sz w:val="18"/>
          <w:szCs w:val="18"/>
          <w:lang w:val="de-DE"/>
        </w:rPr>
        <w:t xml:space="preserve"> 2 </w:t>
      </w:r>
      <w:r w:rsidRPr="00413F36">
        <w:rPr>
          <w:rFonts w:eastAsia="Cambria" w:cs="Arial"/>
          <w:sz w:val="18"/>
          <w:szCs w:val="18"/>
          <w:lang w:val="de-DE"/>
        </w:rPr>
        <w:t>(</w:t>
      </w:r>
      <w:r w:rsidR="00F51FFB" w:rsidRPr="00413F36">
        <w:rPr>
          <w:rFonts w:eastAsia="Cambria" w:cs="Arial"/>
          <w:sz w:val="18"/>
          <w:szCs w:val="18"/>
          <w:lang w:val="de-DE"/>
        </w:rPr>
        <w:t>Kapite</w:t>
      </w:r>
      <w:r w:rsidR="00413F36">
        <w:rPr>
          <w:rFonts w:eastAsia="Cambria" w:cs="Arial"/>
          <w:sz w:val="18"/>
          <w:szCs w:val="18"/>
          <w:lang w:val="de-DE"/>
        </w:rPr>
        <w:t>l</w:t>
      </w:r>
      <w:r w:rsidRPr="00413F36">
        <w:rPr>
          <w:rFonts w:eastAsia="Cambria" w:cs="Arial"/>
          <w:sz w:val="18"/>
          <w:szCs w:val="18"/>
          <w:lang w:val="de-DE"/>
        </w:rPr>
        <w:t xml:space="preserve"> 3.1(.1)) – </w:t>
      </w:r>
      <w:r w:rsidR="004C148E" w:rsidRPr="00413F36">
        <w:rPr>
          <w:rFonts w:eastAsia="Cambria" w:cs="Arial"/>
          <w:sz w:val="18"/>
          <w:szCs w:val="18"/>
          <w:lang w:val="de-DE"/>
        </w:rPr>
        <w:t>Anzahl Wachstumsperioden</w:t>
      </w:r>
      <w:r w:rsidRPr="00413F36">
        <w:rPr>
          <w:rFonts w:eastAsia="Cambria" w:cs="Arial"/>
          <w:sz w:val="18"/>
          <w:szCs w:val="18"/>
          <w:lang w:val="de-DE"/>
        </w:rPr>
        <w:t>}</w:t>
      </w:r>
    </w:p>
    <w:p w:rsidR="002A1EA0" w:rsidRPr="00413F36" w:rsidRDefault="002A1EA0" w:rsidP="002A1EA0">
      <w:pPr>
        <w:autoSpaceDE w:val="0"/>
        <w:autoSpaceDN w:val="0"/>
        <w:adjustRightInd w:val="0"/>
        <w:ind w:left="567" w:right="567" w:firstLine="567"/>
        <w:jc w:val="left"/>
        <w:rPr>
          <w:rFonts w:eastAsia="Cambria" w:cs="Arial"/>
          <w:sz w:val="18"/>
          <w:szCs w:val="18"/>
          <w:lang w:val="de-DE"/>
        </w:rPr>
      </w:pPr>
      <w:proofErr w:type="gramStart"/>
      <w:r w:rsidRPr="00413F36">
        <w:rPr>
          <w:rFonts w:eastAsia="Cambria" w:cs="Arial"/>
          <w:sz w:val="18"/>
          <w:szCs w:val="18"/>
          <w:lang w:val="de-DE"/>
        </w:rPr>
        <w:t>{ GN</w:t>
      </w:r>
      <w:proofErr w:type="gramEnd"/>
      <w:r w:rsidRPr="00413F36">
        <w:rPr>
          <w:rFonts w:eastAsia="Cambria" w:cs="Arial"/>
          <w:sz w:val="18"/>
          <w:szCs w:val="18"/>
          <w:lang w:val="de-DE"/>
        </w:rPr>
        <w:t xml:space="preserve"> 8 (</w:t>
      </w:r>
      <w:r w:rsidR="00F51FFB" w:rsidRPr="00413F36">
        <w:rPr>
          <w:rFonts w:eastAsia="Cambria" w:cs="Arial"/>
          <w:sz w:val="18"/>
          <w:szCs w:val="18"/>
          <w:lang w:val="de-DE"/>
        </w:rPr>
        <w:t>Kapite</w:t>
      </w:r>
      <w:r w:rsidR="00413F36">
        <w:rPr>
          <w:rFonts w:eastAsia="Cambria" w:cs="Arial"/>
          <w:sz w:val="18"/>
          <w:szCs w:val="18"/>
          <w:lang w:val="de-DE"/>
        </w:rPr>
        <w:t>l</w:t>
      </w:r>
      <w:r w:rsidRPr="00413F36">
        <w:rPr>
          <w:rFonts w:eastAsia="Cambria" w:cs="Arial"/>
          <w:sz w:val="18"/>
          <w:szCs w:val="18"/>
          <w:lang w:val="de-DE"/>
        </w:rPr>
        <w:t xml:space="preserve"> 3.1.2) – </w:t>
      </w:r>
      <w:r w:rsidR="004C148E" w:rsidRPr="00413F36">
        <w:rPr>
          <w:rFonts w:eastAsia="Cambria" w:cs="Arial"/>
          <w:sz w:val="18"/>
          <w:szCs w:val="18"/>
          <w:lang w:val="de-DE"/>
        </w:rPr>
        <w:t>Erläuterung der Wachstumsperiode</w:t>
      </w:r>
      <w:r w:rsidRPr="00413F36">
        <w:rPr>
          <w:rFonts w:eastAsia="Cambria" w:cs="Arial"/>
          <w:sz w:val="18"/>
          <w:szCs w:val="18"/>
          <w:lang w:val="de-DE"/>
        </w:rPr>
        <w:t>}</w:t>
      </w:r>
    </w:p>
    <w:p w:rsidR="002A1EA0" w:rsidRPr="00413F36" w:rsidRDefault="002A1EA0" w:rsidP="002A1EA0">
      <w:pPr>
        <w:autoSpaceDE w:val="0"/>
        <w:autoSpaceDN w:val="0"/>
        <w:adjustRightInd w:val="0"/>
        <w:ind w:left="567" w:right="567" w:firstLine="567"/>
        <w:rPr>
          <w:rFonts w:eastAsia="Cambria" w:cs="Arial"/>
          <w:sz w:val="18"/>
          <w:szCs w:val="18"/>
          <w:lang w:val="de-DE"/>
        </w:rPr>
      </w:pPr>
      <w:proofErr w:type="gramStart"/>
      <w:r w:rsidRPr="00413F36">
        <w:rPr>
          <w:rFonts w:eastAsia="Cambria" w:cs="Arial"/>
          <w:sz w:val="18"/>
          <w:szCs w:val="18"/>
          <w:lang w:val="de-DE"/>
        </w:rPr>
        <w:t xml:space="preserve">{ </w:t>
      </w:r>
      <w:r w:rsidRPr="00413F36">
        <w:rPr>
          <w:rFonts w:eastAsia="Cambria" w:cs="Arial"/>
          <w:b/>
          <w:bCs/>
          <w:sz w:val="18"/>
          <w:szCs w:val="18"/>
          <w:lang w:val="de-DE"/>
        </w:rPr>
        <w:t>ASW</w:t>
      </w:r>
      <w:proofErr w:type="gramEnd"/>
      <w:r w:rsidRPr="00413F36">
        <w:rPr>
          <w:rFonts w:eastAsia="Cambria" w:cs="Arial"/>
          <w:b/>
          <w:bCs/>
          <w:sz w:val="18"/>
          <w:szCs w:val="18"/>
          <w:lang w:val="de-DE"/>
        </w:rPr>
        <w:t xml:space="preserve"> 3 </w:t>
      </w:r>
      <w:r w:rsidRPr="00413F36">
        <w:rPr>
          <w:rFonts w:eastAsia="Cambria" w:cs="Arial"/>
          <w:sz w:val="18"/>
          <w:szCs w:val="18"/>
          <w:lang w:val="de-DE"/>
        </w:rPr>
        <w:t>(</w:t>
      </w:r>
      <w:r w:rsidR="00F51FFB" w:rsidRPr="00413F36">
        <w:rPr>
          <w:rFonts w:eastAsia="Cambria" w:cs="Arial"/>
          <w:sz w:val="18"/>
          <w:szCs w:val="18"/>
          <w:lang w:val="de-DE"/>
        </w:rPr>
        <w:t>Kapite</w:t>
      </w:r>
      <w:r w:rsidR="00413F36">
        <w:rPr>
          <w:rFonts w:eastAsia="Cambria" w:cs="Arial"/>
          <w:sz w:val="18"/>
          <w:szCs w:val="18"/>
          <w:lang w:val="de-DE"/>
        </w:rPr>
        <w:t>l</w:t>
      </w:r>
      <w:r w:rsidRPr="00413F36">
        <w:rPr>
          <w:rFonts w:eastAsia="Cambria" w:cs="Arial"/>
          <w:sz w:val="18"/>
          <w:szCs w:val="18"/>
          <w:lang w:val="de-DE"/>
        </w:rPr>
        <w:t xml:space="preserve"> 3.1.2) – </w:t>
      </w:r>
      <w:r w:rsidR="004C148E" w:rsidRPr="00413F36">
        <w:rPr>
          <w:rFonts w:eastAsia="Cambria" w:cs="Arial"/>
          <w:sz w:val="18"/>
          <w:szCs w:val="18"/>
          <w:lang w:val="de-DE"/>
        </w:rPr>
        <w:t>Erläuterung der Wachstumsperiode</w:t>
      </w:r>
      <w:r w:rsidRPr="00413F36">
        <w:rPr>
          <w:rFonts w:eastAsia="Cambria" w:cs="Arial"/>
          <w:sz w:val="18"/>
          <w:szCs w:val="18"/>
          <w:lang w:val="de-DE"/>
        </w:rPr>
        <w:t>}</w:t>
      </w:r>
    </w:p>
    <w:p w:rsidR="002A1EA0" w:rsidRPr="00413F36" w:rsidRDefault="002A1EA0" w:rsidP="002A1EA0">
      <w:pPr>
        <w:autoSpaceDE w:val="0"/>
        <w:autoSpaceDN w:val="0"/>
        <w:adjustRightInd w:val="0"/>
        <w:ind w:left="567" w:right="567" w:firstLine="567"/>
        <w:rPr>
          <w:rFonts w:eastAsia="Cambria" w:cs="Arial"/>
          <w:color w:val="000000"/>
          <w:sz w:val="18"/>
          <w:szCs w:val="18"/>
          <w:lang w:val="de-DE"/>
        </w:rPr>
      </w:pPr>
    </w:p>
    <w:p w:rsidR="002A1EA0" w:rsidRPr="00413F36" w:rsidRDefault="005441BB" w:rsidP="002A1EA0">
      <w:pPr>
        <w:shd w:val="clear" w:color="auto" w:fill="FFFFFF" w:themeFill="background1"/>
        <w:autoSpaceDE w:val="0"/>
        <w:autoSpaceDN w:val="0"/>
        <w:adjustRightInd w:val="0"/>
        <w:ind w:left="567" w:right="567" w:firstLine="567"/>
        <w:rPr>
          <w:rFonts w:eastAsia="Cambria" w:cs="Arial"/>
          <w:sz w:val="18"/>
          <w:szCs w:val="18"/>
          <w:u w:val="single"/>
          <w:lang w:val="de-DE" w:eastAsia="fr-FR"/>
        </w:rPr>
      </w:pPr>
      <w:r w:rsidRPr="00413F36">
        <w:rPr>
          <w:rFonts w:eastAsia="Cambria" w:cs="Arial"/>
          <w:sz w:val="18"/>
          <w:szCs w:val="18"/>
          <w:highlight w:val="lightGray"/>
          <w:u w:val="single"/>
          <w:lang w:val="de-DE" w:eastAsia="fr-FR"/>
        </w:rPr>
        <w:t>Sobald mit einer bestimmten Gewissheit festgestellt werden kann, daß das Resultat der DUS-Prüfung negativ sein wird, kann diese unabhängig von der Anzahl bereits durchgeführter Wachstumsperioden gestoppt werden</w:t>
      </w:r>
      <w:r w:rsidRPr="00413F36">
        <w:rPr>
          <w:rFonts w:eastAsia="Cambria" w:cs="Arial"/>
          <w:sz w:val="18"/>
          <w:szCs w:val="18"/>
          <w:u w:val="single"/>
          <w:lang w:val="de-DE" w:eastAsia="fr-FR"/>
        </w:rPr>
        <w:t>.</w:t>
      </w:r>
    </w:p>
    <w:p w:rsidR="002A1EA0" w:rsidRPr="00413F36" w:rsidRDefault="002A1EA0" w:rsidP="002A1EA0">
      <w:pPr>
        <w:autoSpaceDE w:val="0"/>
        <w:autoSpaceDN w:val="0"/>
        <w:adjustRightInd w:val="0"/>
        <w:ind w:right="567"/>
        <w:rPr>
          <w:rFonts w:eastAsia="Cambria" w:cs="Arial"/>
          <w:sz w:val="18"/>
          <w:szCs w:val="18"/>
          <w:lang w:val="de-DE"/>
        </w:rPr>
      </w:pPr>
    </w:p>
    <w:p w:rsidR="002A1EA0" w:rsidRPr="00320C96" w:rsidRDefault="00002E93" w:rsidP="00002E93">
      <w:pPr>
        <w:keepNext/>
        <w:numPr>
          <w:ilvl w:val="0"/>
          <w:numId w:val="1"/>
        </w:numPr>
        <w:autoSpaceDE w:val="0"/>
        <w:autoSpaceDN w:val="0"/>
        <w:adjustRightInd w:val="0"/>
        <w:spacing w:after="120"/>
        <w:ind w:right="567"/>
        <w:jc w:val="left"/>
        <w:rPr>
          <w:rFonts w:eastAsia="Cambria" w:cs="Arial"/>
          <w:sz w:val="18"/>
          <w:szCs w:val="18"/>
          <w:lang w:val="de-DE"/>
        </w:rPr>
      </w:pPr>
      <w:r w:rsidRPr="00320C96">
        <w:rPr>
          <w:rFonts w:eastAsia="Cambria" w:cs="Arial"/>
          <w:b/>
          <w:i/>
          <w:sz w:val="18"/>
          <w:szCs w:val="18"/>
          <w:lang w:val="de-DE"/>
        </w:rPr>
        <w:t>Zusätzliche Option(en) für die Einfügung in ASW 2</w:t>
      </w:r>
    </w:p>
    <w:p w:rsidR="002A1EA0" w:rsidRPr="00320C96" w:rsidRDefault="002A1EA0" w:rsidP="002A1EA0">
      <w:pPr>
        <w:autoSpaceDE w:val="0"/>
        <w:autoSpaceDN w:val="0"/>
        <w:adjustRightInd w:val="0"/>
        <w:ind w:left="567" w:right="567"/>
        <w:jc w:val="left"/>
        <w:rPr>
          <w:rFonts w:eastAsia="Cambria" w:cs="Arial"/>
          <w:sz w:val="18"/>
          <w:szCs w:val="18"/>
          <w:lang w:val="de-DE"/>
        </w:rPr>
      </w:pPr>
      <w:r w:rsidRPr="00320C96">
        <w:rPr>
          <w:rFonts w:eastAsia="Cambria" w:cs="Arial"/>
          <w:sz w:val="18"/>
          <w:szCs w:val="18"/>
          <w:lang w:val="de-DE"/>
        </w:rPr>
        <w:t>ASW 2 (</w:t>
      </w:r>
      <w:r w:rsidR="00F54568" w:rsidRPr="00320C96">
        <w:rPr>
          <w:rFonts w:eastAsia="Cambria" w:cs="Arial"/>
          <w:sz w:val="18"/>
          <w:szCs w:val="18"/>
          <w:lang w:val="de-DE"/>
        </w:rPr>
        <w:t>TG-Mustervorlage:</w:t>
      </w:r>
      <w:r w:rsidRPr="00320C96">
        <w:rPr>
          <w:rFonts w:eastAsia="Cambria" w:cs="Arial"/>
          <w:sz w:val="18"/>
          <w:szCs w:val="18"/>
          <w:lang w:val="de-DE"/>
        </w:rPr>
        <w:t xml:space="preserve"> </w:t>
      </w:r>
      <w:r w:rsidR="00F51FFB" w:rsidRPr="00320C96">
        <w:rPr>
          <w:rFonts w:eastAsia="Cambria" w:cs="Arial"/>
          <w:sz w:val="18"/>
          <w:szCs w:val="18"/>
          <w:lang w:val="de-DE"/>
        </w:rPr>
        <w:t>Kapite</w:t>
      </w:r>
      <w:r w:rsidR="00413F36" w:rsidRPr="00320C96">
        <w:rPr>
          <w:rFonts w:eastAsia="Cambria" w:cs="Arial"/>
          <w:sz w:val="18"/>
          <w:szCs w:val="18"/>
          <w:lang w:val="de-DE"/>
        </w:rPr>
        <w:t>l</w:t>
      </w:r>
      <w:r w:rsidRPr="00320C96">
        <w:rPr>
          <w:rFonts w:eastAsia="Cambria" w:cs="Arial"/>
          <w:sz w:val="18"/>
          <w:szCs w:val="18"/>
          <w:lang w:val="de-DE"/>
        </w:rPr>
        <w:t xml:space="preserve"> 3.1) – </w:t>
      </w:r>
      <w:r w:rsidR="00002E93" w:rsidRPr="00320C96">
        <w:rPr>
          <w:rFonts w:eastAsia="Cambria" w:cs="Arial"/>
          <w:sz w:val="18"/>
          <w:szCs w:val="18"/>
          <w:lang w:val="de-DE"/>
        </w:rPr>
        <w:t>Anzahl von Wachstumsperioden</w:t>
      </w:r>
    </w:p>
    <w:p w:rsidR="002A1EA0" w:rsidRPr="00320C96" w:rsidRDefault="002A1EA0" w:rsidP="002A1EA0">
      <w:pPr>
        <w:autoSpaceDE w:val="0"/>
        <w:autoSpaceDN w:val="0"/>
        <w:adjustRightInd w:val="0"/>
        <w:ind w:left="567" w:right="567"/>
        <w:jc w:val="left"/>
        <w:rPr>
          <w:rFonts w:eastAsia="Cambria" w:cs="Arial"/>
          <w:sz w:val="18"/>
          <w:szCs w:val="18"/>
          <w:lang w:val="de-DE"/>
        </w:rPr>
      </w:pPr>
    </w:p>
    <w:p w:rsidR="002A1EA0" w:rsidRPr="00320C96" w:rsidRDefault="00002E93" w:rsidP="00002E93">
      <w:pPr>
        <w:pStyle w:val="ListParagraph"/>
        <w:numPr>
          <w:ilvl w:val="0"/>
          <w:numId w:val="2"/>
        </w:numPr>
        <w:autoSpaceDE w:val="0"/>
        <w:autoSpaceDN w:val="0"/>
        <w:adjustRightInd w:val="0"/>
        <w:spacing w:after="0" w:line="240" w:lineRule="auto"/>
        <w:ind w:right="567"/>
        <w:rPr>
          <w:rFonts w:ascii="Arial" w:eastAsia="Cambria" w:hAnsi="Arial" w:cs="Arial"/>
          <w:i/>
          <w:iCs/>
          <w:sz w:val="18"/>
          <w:szCs w:val="18"/>
          <w:lang w:val="de-DE"/>
        </w:rPr>
      </w:pPr>
      <w:r w:rsidRPr="00320C96">
        <w:rPr>
          <w:rFonts w:ascii="Arial" w:eastAsia="Cambria" w:hAnsi="Arial" w:cs="Arial"/>
          <w:i/>
          <w:iCs/>
          <w:sz w:val="18"/>
          <w:szCs w:val="18"/>
          <w:lang w:val="de-DE"/>
        </w:rPr>
        <w:t>Eine einzige Wachstumsperiode</w:t>
      </w:r>
    </w:p>
    <w:p w:rsidR="002A1EA0" w:rsidRPr="00320C96" w:rsidRDefault="002A1EA0" w:rsidP="002A1EA0">
      <w:pPr>
        <w:pStyle w:val="ListParagraph"/>
        <w:ind w:left="927"/>
        <w:rPr>
          <w:rFonts w:ascii="Arial" w:hAnsi="Arial" w:cs="Arial"/>
          <w:sz w:val="18"/>
          <w:szCs w:val="18"/>
          <w:lang w:val="de-DE"/>
        </w:rPr>
      </w:pPr>
    </w:p>
    <w:p w:rsidR="002A1EA0" w:rsidRPr="00413F36" w:rsidRDefault="002A1EA0" w:rsidP="000176B3">
      <w:pPr>
        <w:pStyle w:val="ListParagraph"/>
        <w:numPr>
          <w:ilvl w:val="0"/>
          <w:numId w:val="2"/>
        </w:numPr>
        <w:autoSpaceDE w:val="0"/>
        <w:autoSpaceDN w:val="0"/>
        <w:adjustRightInd w:val="0"/>
        <w:spacing w:after="0"/>
        <w:ind w:right="567"/>
        <w:rPr>
          <w:rFonts w:ascii="Arial" w:eastAsia="Cambria" w:hAnsi="Arial" w:cs="Arial"/>
          <w:sz w:val="18"/>
          <w:szCs w:val="18"/>
          <w:lang w:val="de-DE"/>
        </w:rPr>
      </w:pPr>
      <w:r w:rsidRPr="00320C96">
        <w:rPr>
          <w:rFonts w:ascii="Arial" w:eastAsia="Cambria" w:hAnsi="Arial" w:cs="Arial"/>
          <w:sz w:val="18"/>
          <w:szCs w:val="18"/>
          <w:lang w:val="de-DE"/>
        </w:rPr>
        <w:t xml:space="preserve"> </w:t>
      </w:r>
      <w:r w:rsidR="000176B3" w:rsidRPr="00320C96">
        <w:rPr>
          <w:rFonts w:ascii="Arial" w:eastAsia="Cambria" w:hAnsi="Arial" w:cs="Arial"/>
          <w:sz w:val="18"/>
          <w:szCs w:val="18"/>
          <w:lang w:val="de-DE" w:eastAsia="fr-FR"/>
        </w:rPr>
        <w:t xml:space="preserve">„Die </w:t>
      </w:r>
      <w:proofErr w:type="spellStart"/>
      <w:r w:rsidR="000176B3" w:rsidRPr="00320C96">
        <w:rPr>
          <w:rFonts w:ascii="Arial" w:eastAsia="Cambria" w:hAnsi="Arial" w:cs="Arial"/>
          <w:strike/>
          <w:sz w:val="18"/>
          <w:szCs w:val="18"/>
          <w:highlight w:val="lightGray"/>
          <w:lang w:val="de-DE" w:eastAsia="fr-FR"/>
        </w:rPr>
        <w:t>Mindes</w:t>
      </w:r>
      <w:r w:rsidR="00A941B6" w:rsidRPr="00413F36">
        <w:rPr>
          <w:rFonts w:eastAsia="Cambria" w:cs="Arial"/>
          <w:strike/>
          <w:sz w:val="18"/>
          <w:szCs w:val="18"/>
          <w:highlight w:val="lightGray"/>
          <w:lang w:val="de-DE"/>
        </w:rPr>
        <w:t>t</w:t>
      </w:r>
      <w:r w:rsidR="000176B3" w:rsidRPr="00320C96">
        <w:rPr>
          <w:rFonts w:ascii="Arial" w:eastAsia="Cambria" w:hAnsi="Arial" w:cs="Arial"/>
          <w:sz w:val="18"/>
          <w:szCs w:val="18"/>
          <w:lang w:val="de-DE" w:eastAsia="fr-FR"/>
        </w:rPr>
        <w:t>Dauer</w:t>
      </w:r>
      <w:proofErr w:type="spellEnd"/>
      <w:r w:rsidR="000176B3" w:rsidRPr="00413F36">
        <w:rPr>
          <w:rFonts w:ascii="Arial" w:eastAsia="Cambria" w:hAnsi="Arial" w:cs="Arial"/>
          <w:sz w:val="18"/>
          <w:szCs w:val="18"/>
          <w:lang w:val="de-DE" w:eastAsia="fr-FR"/>
        </w:rPr>
        <w:t xml:space="preserve"> von Prüfungen sollte </w:t>
      </w:r>
      <w:r w:rsidR="000176B3" w:rsidRPr="00413F36">
        <w:rPr>
          <w:rFonts w:ascii="Arial" w:eastAsia="Cambria" w:hAnsi="Arial" w:cs="Arial"/>
          <w:strike/>
          <w:sz w:val="18"/>
          <w:szCs w:val="18"/>
          <w:highlight w:val="lightGray"/>
          <w:lang w:val="de-DE" w:eastAsia="fr-FR"/>
        </w:rPr>
        <w:t>normalerweise</w:t>
      </w:r>
      <w:r w:rsidR="000176B3" w:rsidRPr="00413F36">
        <w:rPr>
          <w:rFonts w:ascii="Arial" w:eastAsia="Cambria" w:hAnsi="Arial" w:cs="Arial"/>
          <w:sz w:val="18"/>
          <w:szCs w:val="18"/>
          <w:lang w:val="de-DE" w:eastAsia="fr-FR"/>
        </w:rPr>
        <w:t xml:space="preserve"> </w:t>
      </w:r>
      <w:r w:rsidR="000176B3" w:rsidRPr="00413F36">
        <w:rPr>
          <w:rFonts w:ascii="Arial" w:eastAsia="Cambria" w:hAnsi="Arial" w:cs="Arial"/>
          <w:sz w:val="18"/>
          <w:szCs w:val="18"/>
          <w:highlight w:val="lightGray"/>
          <w:u w:val="single"/>
          <w:lang w:val="de-DE" w:eastAsia="fr-FR"/>
        </w:rPr>
        <w:t>in der Regel</w:t>
      </w:r>
      <w:r w:rsidR="000176B3" w:rsidRPr="00413F36">
        <w:rPr>
          <w:rFonts w:ascii="Arial" w:eastAsia="Cambria" w:hAnsi="Arial" w:cs="Arial"/>
          <w:sz w:val="18"/>
          <w:szCs w:val="18"/>
          <w:u w:val="single"/>
          <w:lang w:val="de-DE" w:eastAsia="fr-FR"/>
        </w:rPr>
        <w:t xml:space="preserve"> </w:t>
      </w:r>
      <w:r w:rsidR="000176B3" w:rsidRPr="00413F36">
        <w:rPr>
          <w:rFonts w:ascii="Arial" w:eastAsia="Cambria" w:hAnsi="Arial" w:cs="Arial"/>
          <w:sz w:val="18"/>
          <w:szCs w:val="18"/>
          <w:lang w:val="de-DE" w:eastAsia="fr-FR"/>
        </w:rPr>
        <w:t xml:space="preserve">eine einzige Wachstumsperiode betragen. </w:t>
      </w:r>
      <w:r w:rsidR="000176B3" w:rsidRPr="00413F36">
        <w:rPr>
          <w:rFonts w:ascii="Arial" w:eastAsia="Cambria" w:hAnsi="Arial" w:cs="Arial"/>
          <w:sz w:val="18"/>
          <w:szCs w:val="18"/>
          <w:highlight w:val="lightGray"/>
          <w:u w:val="single"/>
          <w:lang w:val="de-DE" w:eastAsia="fr-FR"/>
        </w:rPr>
        <w:t>Am Ende der Wachstumsperiode bestimmt die zuständige Behörde, ob eine folgende Wachstumsperiode erforderlich ist</w:t>
      </w:r>
      <w:r w:rsidR="000176B3" w:rsidRPr="00320C96">
        <w:rPr>
          <w:rFonts w:ascii="Arial" w:eastAsia="Cambria" w:hAnsi="Arial" w:cs="Arial"/>
          <w:sz w:val="18"/>
          <w:szCs w:val="18"/>
          <w:highlight w:val="lightGray"/>
          <w:lang w:val="de-DE" w:eastAsia="fr-FR"/>
        </w:rPr>
        <w:t>.“</w:t>
      </w:r>
    </w:p>
    <w:p w:rsidR="002A1EA0" w:rsidRPr="00413F36" w:rsidRDefault="002A1EA0" w:rsidP="002A1EA0">
      <w:pPr>
        <w:autoSpaceDE w:val="0"/>
        <w:autoSpaceDN w:val="0"/>
        <w:adjustRightInd w:val="0"/>
        <w:ind w:left="567" w:right="567"/>
        <w:jc w:val="left"/>
        <w:rPr>
          <w:rFonts w:eastAsia="Cambria" w:cs="Arial"/>
          <w:sz w:val="18"/>
          <w:szCs w:val="18"/>
          <w:lang w:val="de-DE"/>
        </w:rPr>
      </w:pPr>
    </w:p>
    <w:p w:rsidR="002A1EA0" w:rsidRPr="00413F36" w:rsidRDefault="003B3494" w:rsidP="002A1EA0">
      <w:pPr>
        <w:pStyle w:val="ListParagraph"/>
        <w:autoSpaceDE w:val="0"/>
        <w:autoSpaceDN w:val="0"/>
        <w:adjustRightInd w:val="0"/>
        <w:spacing w:after="0"/>
        <w:ind w:left="924" w:right="567"/>
        <w:rPr>
          <w:rFonts w:ascii="Arial" w:eastAsia="Cambria" w:hAnsi="Arial" w:cs="Arial"/>
          <w:i/>
          <w:iCs/>
          <w:sz w:val="18"/>
          <w:szCs w:val="18"/>
          <w:lang w:val="de-DE"/>
        </w:rPr>
      </w:pPr>
      <w:r w:rsidRPr="00413F36">
        <w:rPr>
          <w:rFonts w:ascii="Arial" w:eastAsia="Cambria" w:hAnsi="Arial" w:cs="Arial"/>
          <w:i/>
          <w:iCs/>
          <w:sz w:val="18"/>
          <w:szCs w:val="18"/>
          <w:lang w:val="de-DE"/>
        </w:rPr>
        <w:t>Zwei unabhängige Wachstumsperioden</w:t>
      </w:r>
    </w:p>
    <w:p w:rsidR="003B3494" w:rsidRPr="00413F36" w:rsidRDefault="003B3494" w:rsidP="002A1EA0">
      <w:pPr>
        <w:pStyle w:val="ListParagraph"/>
        <w:autoSpaceDE w:val="0"/>
        <w:autoSpaceDN w:val="0"/>
        <w:adjustRightInd w:val="0"/>
        <w:spacing w:after="0"/>
        <w:ind w:left="924" w:right="567"/>
        <w:rPr>
          <w:rFonts w:ascii="Arial" w:eastAsia="Cambria" w:hAnsi="Arial" w:cs="Arial"/>
          <w:i/>
          <w:iCs/>
          <w:sz w:val="18"/>
          <w:szCs w:val="18"/>
          <w:lang w:val="de-DE"/>
        </w:rPr>
      </w:pPr>
    </w:p>
    <w:p w:rsidR="006A1ACF" w:rsidRPr="00413F36" w:rsidRDefault="006A1ACF" w:rsidP="002A1EA0">
      <w:pPr>
        <w:autoSpaceDE w:val="0"/>
        <w:autoSpaceDN w:val="0"/>
        <w:adjustRightInd w:val="0"/>
        <w:ind w:left="567" w:right="567"/>
        <w:rPr>
          <w:rFonts w:eastAsia="Cambria" w:cs="Arial"/>
          <w:sz w:val="18"/>
          <w:szCs w:val="18"/>
          <w:u w:val="single"/>
          <w:lang w:val="de-DE"/>
        </w:rPr>
      </w:pPr>
      <w:r w:rsidRPr="00413F36">
        <w:rPr>
          <w:rFonts w:eastAsia="Cambria" w:cs="Arial"/>
          <w:sz w:val="18"/>
          <w:szCs w:val="18"/>
          <w:lang w:val="de-DE"/>
        </w:rPr>
        <w:t xml:space="preserve">„Die </w:t>
      </w:r>
      <w:proofErr w:type="spellStart"/>
      <w:r w:rsidRPr="00413F36">
        <w:rPr>
          <w:rFonts w:eastAsia="Cambria" w:cs="Arial"/>
          <w:strike/>
          <w:sz w:val="18"/>
          <w:szCs w:val="18"/>
          <w:highlight w:val="lightGray"/>
          <w:lang w:val="de-DE"/>
        </w:rPr>
        <w:t>Mindest</w:t>
      </w:r>
      <w:r w:rsidRPr="00413F36">
        <w:rPr>
          <w:rFonts w:eastAsia="Cambria" w:cs="Arial"/>
          <w:sz w:val="18"/>
          <w:szCs w:val="18"/>
          <w:lang w:val="de-DE"/>
        </w:rPr>
        <w:t>Dauer</w:t>
      </w:r>
      <w:proofErr w:type="spellEnd"/>
      <w:r w:rsidRPr="00413F36">
        <w:rPr>
          <w:rFonts w:eastAsia="Cambria" w:cs="Arial"/>
          <w:sz w:val="18"/>
          <w:szCs w:val="18"/>
          <w:lang w:val="de-DE"/>
        </w:rPr>
        <w:t xml:space="preserve"> von Prüfungen sollte </w:t>
      </w:r>
      <w:r w:rsidRPr="00413F36">
        <w:rPr>
          <w:rFonts w:eastAsia="Cambria" w:cs="Arial"/>
          <w:strike/>
          <w:sz w:val="18"/>
          <w:szCs w:val="18"/>
          <w:highlight w:val="lightGray"/>
          <w:lang w:val="de-DE"/>
        </w:rPr>
        <w:t>normalerweise</w:t>
      </w:r>
      <w:r w:rsidRPr="00413F36">
        <w:rPr>
          <w:rFonts w:eastAsia="Cambria" w:cs="Arial"/>
          <w:sz w:val="18"/>
          <w:szCs w:val="18"/>
          <w:lang w:val="de-DE"/>
        </w:rPr>
        <w:t xml:space="preserve"> </w:t>
      </w:r>
      <w:r w:rsidRPr="00413F36">
        <w:rPr>
          <w:rFonts w:eastAsia="Cambria" w:cs="Arial"/>
          <w:sz w:val="18"/>
          <w:szCs w:val="18"/>
          <w:highlight w:val="lightGray"/>
          <w:u w:val="single"/>
          <w:lang w:val="de-DE"/>
        </w:rPr>
        <w:t>in der Regel</w:t>
      </w:r>
      <w:r w:rsidRPr="00413F36">
        <w:rPr>
          <w:rFonts w:eastAsia="Cambria" w:cs="Arial"/>
          <w:sz w:val="18"/>
          <w:szCs w:val="18"/>
          <w:lang w:val="de-DE"/>
        </w:rPr>
        <w:t xml:space="preserve"> zwei unabhängige </w:t>
      </w:r>
      <w:r w:rsidRPr="00413F36">
        <w:rPr>
          <w:rFonts w:eastAsia="Cambria" w:cs="Arial"/>
          <w:sz w:val="18"/>
          <w:szCs w:val="18"/>
          <w:highlight w:val="lightGray"/>
          <w:u w:val="single"/>
          <w:lang w:val="de-DE"/>
        </w:rPr>
        <w:t>Wachstumsperioden betragen. Nichtsdestotrotz bestimmt am Ende jeder Wachstumsperiode die zuständige Behörde, ob eine folgende Wachstumsperiode erforderlich ist.</w:t>
      </w:r>
    </w:p>
    <w:p w:rsidR="002A1EA0" w:rsidRPr="00413F36" w:rsidRDefault="002A1EA0" w:rsidP="002A1EA0">
      <w:pPr>
        <w:rPr>
          <w:lang w:val="de-DE"/>
        </w:rPr>
      </w:pPr>
    </w:p>
    <w:p w:rsidR="002A1EA0" w:rsidRPr="00413F36" w:rsidRDefault="002A1EA0" w:rsidP="002A1EA0">
      <w:pPr>
        <w:rPr>
          <w:lang w:val="de-DE"/>
        </w:rPr>
      </w:pPr>
      <w:r>
        <w:fldChar w:fldCharType="begin"/>
      </w:r>
      <w:r w:rsidRPr="00413F36">
        <w:rPr>
          <w:lang w:val="de-DE"/>
        </w:rPr>
        <w:instrText xml:space="preserve"> AUTONUM  </w:instrText>
      </w:r>
      <w:r>
        <w:fldChar w:fldCharType="end"/>
      </w:r>
      <w:r w:rsidRPr="00413F36">
        <w:rPr>
          <w:lang w:val="de-DE"/>
        </w:rPr>
        <w:tab/>
      </w:r>
      <w:r w:rsidR="00A80FE7" w:rsidRPr="00413F36">
        <w:rPr>
          <w:lang w:val="de-DE"/>
        </w:rPr>
        <w:t>Der TC vereinbarte, daß es wichtig sei, klarzustellen, daß es möglich ist, eine DUS-Prüfung abzubrechen, sobald eine Zurückweisung unvermeidbar ist, anstatt die Prüfung bis zum Ende der normalen Wachstumsperiode fortzuführen.</w:t>
      </w:r>
      <w:r w:rsidRPr="00413F36">
        <w:rPr>
          <w:lang w:val="de-DE"/>
        </w:rPr>
        <w:t xml:space="preserve"> </w:t>
      </w:r>
      <w:r w:rsidR="00A80FE7" w:rsidRPr="00413F36">
        <w:rPr>
          <w:lang w:val="de-DE"/>
        </w:rPr>
        <w:t xml:space="preserve">Er vereinbarte, daß der Standardwortlaut in den Prüfungsrichtlinien in dieser Hinsicht nicht völlig klar sei und verbessert werden sollte. Er vereinbarte jedoch, daß der vorgeschlagene Wortlaut derart ausgelegt werden könnte, daß er zur Durchführung von zusätzlichen Wachstumsperioden über </w:t>
      </w:r>
      <w:r w:rsidR="00A80FE7" w:rsidRPr="00413F36">
        <w:rPr>
          <w:lang w:val="de-DE"/>
        </w:rPr>
        <w:lastRenderedPageBreak/>
        <w:t>die normale Wachstumsperiode hinaus anrege, und ersuchte die TWP, auf deren Tagungen im Jahr 2017 eine verbesserte Fassung des Wortlauts auszuarbeiten</w:t>
      </w:r>
      <w:r w:rsidRPr="00413F36">
        <w:rPr>
          <w:lang w:val="de-DE"/>
        </w:rPr>
        <w:t>.</w:t>
      </w:r>
    </w:p>
    <w:p w:rsidR="002A5149" w:rsidRDefault="002A5149" w:rsidP="001C600C">
      <w:pPr>
        <w:pStyle w:val="Heading1"/>
      </w:pPr>
    </w:p>
    <w:p w:rsidR="00857EC8" w:rsidRPr="00413F36" w:rsidRDefault="00AA5D8C" w:rsidP="001C600C">
      <w:pPr>
        <w:pStyle w:val="Heading2"/>
        <w:rPr>
          <w:lang w:val="de-DE"/>
        </w:rPr>
      </w:pPr>
      <w:bookmarkStart w:id="8" w:name="_Toc526858772"/>
      <w:r w:rsidRPr="00413F36">
        <w:rPr>
          <w:lang w:val="de-DE"/>
        </w:rPr>
        <w:t>Bemerkungen der technischen Arbeitsgruppen</w:t>
      </w:r>
      <w:bookmarkEnd w:id="8"/>
    </w:p>
    <w:p w:rsidR="00857EC8" w:rsidRPr="00413F36" w:rsidRDefault="00857EC8" w:rsidP="00857EC8">
      <w:pPr>
        <w:jc w:val="left"/>
        <w:rPr>
          <w:lang w:val="de-DE"/>
        </w:rPr>
      </w:pPr>
    </w:p>
    <w:p w:rsidR="00857EC8" w:rsidRPr="00413F36" w:rsidRDefault="00857EC8" w:rsidP="00857EC8">
      <w:pPr>
        <w:keepNext/>
        <w:rPr>
          <w:rFonts w:cs="Arial"/>
          <w:snapToGrid w:val="0"/>
          <w:lang w:val="de-DE"/>
        </w:rPr>
      </w:pPr>
      <w:r w:rsidRPr="00857EC8">
        <w:rPr>
          <w:snapToGrid w:val="0"/>
        </w:rPr>
        <w:fldChar w:fldCharType="begin"/>
      </w:r>
      <w:r w:rsidRPr="00413F36">
        <w:rPr>
          <w:snapToGrid w:val="0"/>
          <w:lang w:val="de-DE"/>
        </w:rPr>
        <w:instrText xml:space="preserve"> AUTONUM  </w:instrText>
      </w:r>
      <w:r w:rsidRPr="00857EC8">
        <w:rPr>
          <w:snapToGrid w:val="0"/>
        </w:rPr>
        <w:fldChar w:fldCharType="end"/>
      </w:r>
      <w:r w:rsidRPr="00413F36">
        <w:rPr>
          <w:snapToGrid w:val="0"/>
          <w:lang w:val="de-DE"/>
        </w:rPr>
        <w:tab/>
      </w:r>
      <w:r w:rsidR="00F64B3F" w:rsidRPr="00413F36">
        <w:rPr>
          <w:lang w:val="de-DE"/>
        </w:rPr>
        <w:t>Die</w:t>
      </w:r>
      <w:r w:rsidRPr="00413F36">
        <w:rPr>
          <w:snapToGrid w:val="0"/>
          <w:lang w:val="de-DE"/>
        </w:rPr>
        <w:t xml:space="preserve"> TWA, TWV,</w:t>
      </w:r>
      <w:r w:rsidRPr="00413F36">
        <w:rPr>
          <w:snapToGrid w:val="0"/>
          <w:lang w:val="de-DE" w:eastAsia="zh-CN"/>
        </w:rPr>
        <w:t xml:space="preserve"> </w:t>
      </w:r>
      <w:r w:rsidRPr="00413F36">
        <w:rPr>
          <w:snapToGrid w:val="0"/>
          <w:lang w:val="de-DE"/>
        </w:rPr>
        <w:t xml:space="preserve">TWO, </w:t>
      </w:r>
      <w:r w:rsidR="00F64B3F" w:rsidRPr="00413F36">
        <w:rPr>
          <w:snapToGrid w:val="0"/>
          <w:lang w:val="de-DE" w:eastAsia="zh-CN"/>
        </w:rPr>
        <w:t>TWF u</w:t>
      </w:r>
      <w:r w:rsidRPr="00413F36">
        <w:rPr>
          <w:snapToGrid w:val="0"/>
          <w:lang w:val="de-DE" w:eastAsia="zh-CN"/>
        </w:rPr>
        <w:t xml:space="preserve">nd </w:t>
      </w:r>
      <w:r w:rsidR="00F64B3F" w:rsidRPr="00413F36">
        <w:rPr>
          <w:snapToGrid w:val="0"/>
          <w:lang w:val="de-DE" w:eastAsia="zh-CN"/>
        </w:rPr>
        <w:t>TWC</w:t>
      </w:r>
      <w:r w:rsidRPr="00413F36">
        <w:rPr>
          <w:snapToGrid w:val="0"/>
          <w:lang w:val="de-DE" w:eastAsia="zh-CN"/>
        </w:rPr>
        <w:t xml:space="preserve"> </w:t>
      </w:r>
      <w:r w:rsidR="00F64B3F" w:rsidRPr="00413F36">
        <w:rPr>
          <w:snapToGrid w:val="0"/>
          <w:lang w:val="de-DE" w:eastAsia="zh-CN"/>
        </w:rPr>
        <w:t>prüften auf ihren Tagungen im Jahr 2017 Dokument</w:t>
      </w:r>
      <w:r w:rsidR="00413F36">
        <w:rPr>
          <w:snapToGrid w:val="0"/>
          <w:lang w:val="de-DE" w:eastAsia="zh-CN"/>
        </w:rPr>
        <w:t xml:space="preserve"> </w:t>
      </w:r>
      <w:r w:rsidRPr="00413F36">
        <w:rPr>
          <w:lang w:val="de-DE"/>
        </w:rPr>
        <w:t>TWP/1/</w:t>
      </w:r>
      <w:r w:rsidRPr="00413F36">
        <w:rPr>
          <w:rFonts w:cs="Arial"/>
          <w:lang w:val="de-DE"/>
        </w:rPr>
        <w:t xml:space="preserve">11 </w:t>
      </w:r>
      <w:r w:rsidR="00F64B3F" w:rsidRPr="00413F36">
        <w:rPr>
          <w:rFonts w:eastAsia="Cambria" w:cs="Arial"/>
          <w:lang w:val="de-DE"/>
        </w:rPr>
        <w:t>„</w:t>
      </w:r>
      <w:r w:rsidR="00F64B3F" w:rsidRPr="00413F36">
        <w:rPr>
          <w:rFonts w:cs="Arial"/>
          <w:lang w:val="de-DE"/>
        </w:rPr>
        <w:t>Dauer von DUS-Prüfungen</w:t>
      </w:r>
      <w:r w:rsidR="00F64B3F" w:rsidRPr="00413F36">
        <w:rPr>
          <w:lang w:val="de-DE"/>
        </w:rPr>
        <w:t>“</w:t>
      </w:r>
      <w:r w:rsidRPr="00413F36">
        <w:rPr>
          <w:rFonts w:cs="Arial"/>
          <w:lang w:val="de-DE"/>
        </w:rPr>
        <w:t xml:space="preserve"> </w:t>
      </w:r>
      <w:r w:rsidR="00F719E2" w:rsidRPr="00413F36">
        <w:rPr>
          <w:rFonts w:cs="Arial"/>
          <w:lang w:val="de-DE"/>
        </w:rPr>
        <w:t>u</w:t>
      </w:r>
      <w:r w:rsidRPr="00413F36">
        <w:rPr>
          <w:rFonts w:cs="Arial"/>
          <w:lang w:val="de-DE"/>
        </w:rPr>
        <w:t xml:space="preserve">nd </w:t>
      </w:r>
      <w:r w:rsidR="00F719E2" w:rsidRPr="00413F36">
        <w:rPr>
          <w:rFonts w:cs="Arial"/>
          <w:snapToGrid w:val="0"/>
          <w:lang w:val="de-DE"/>
        </w:rPr>
        <w:t xml:space="preserve">die vorgeschlagene Überarbeitung von Dokument </w:t>
      </w:r>
      <w:r w:rsidRPr="00413F36">
        <w:rPr>
          <w:rFonts w:cs="Arial"/>
          <w:snapToGrid w:val="0"/>
          <w:lang w:val="de-DE"/>
        </w:rPr>
        <w:t>TGP/7</w:t>
      </w:r>
      <w:r w:rsidR="00F719E2" w:rsidRPr="00413F36">
        <w:rPr>
          <w:rFonts w:cs="Arial"/>
          <w:snapToGrid w:val="0"/>
          <w:lang w:val="de-DE"/>
        </w:rPr>
        <w:t>,</w:t>
      </w:r>
      <w:r w:rsidRPr="00413F36">
        <w:rPr>
          <w:rFonts w:cs="Arial"/>
          <w:snapToGrid w:val="0"/>
          <w:lang w:val="de-DE"/>
        </w:rPr>
        <w:t xml:space="preserve"> </w:t>
      </w:r>
      <w:r w:rsidR="00F719E2" w:rsidRPr="00413F36">
        <w:rPr>
          <w:rFonts w:cs="Arial"/>
          <w:snapToGrid w:val="0"/>
          <w:lang w:val="de-DE"/>
        </w:rPr>
        <w:t xml:space="preserve">wie folgt </w:t>
      </w:r>
      <w:r w:rsidRPr="00413F36">
        <w:rPr>
          <w:rFonts w:cs="Arial"/>
          <w:lang w:val="de-DE"/>
        </w:rPr>
        <w:t>(</w:t>
      </w:r>
      <w:r w:rsidR="00D30F31" w:rsidRPr="00413F36">
        <w:rPr>
          <w:rFonts w:cs="Arial"/>
          <w:lang w:val="de-DE"/>
        </w:rPr>
        <w:t>vergleiche Dokumente</w:t>
      </w:r>
      <w:r w:rsidRPr="00413F36">
        <w:rPr>
          <w:rFonts w:cs="Arial"/>
          <w:lang w:val="de-DE"/>
        </w:rPr>
        <w:t xml:space="preserve"> TWA/46/10 </w:t>
      </w:r>
      <w:r w:rsidR="00F64B3F" w:rsidRPr="00413F36">
        <w:rPr>
          <w:rFonts w:eastAsia="Cambria" w:cs="Arial"/>
          <w:lang w:val="de-DE"/>
        </w:rPr>
        <w:t>„</w:t>
      </w:r>
      <w:r w:rsidR="00D30F31" w:rsidRPr="00413F36">
        <w:rPr>
          <w:rFonts w:cs="Arial"/>
          <w:lang w:val="de-DE"/>
        </w:rPr>
        <w:t>Bericht</w:t>
      </w:r>
      <w:r w:rsidR="00F64B3F" w:rsidRPr="00413F36">
        <w:rPr>
          <w:lang w:val="de-DE"/>
        </w:rPr>
        <w:t>“</w:t>
      </w:r>
      <w:r w:rsidRPr="00413F36">
        <w:rPr>
          <w:rFonts w:cs="Arial"/>
          <w:lang w:val="de-DE"/>
        </w:rPr>
        <w:t xml:space="preserve">, </w:t>
      </w:r>
      <w:r w:rsidR="00D30F31" w:rsidRPr="00413F36">
        <w:rPr>
          <w:rFonts w:cs="Arial"/>
          <w:lang w:val="de-DE"/>
        </w:rPr>
        <w:t>Absätze 20 u</w:t>
      </w:r>
      <w:r w:rsidRPr="00413F36">
        <w:rPr>
          <w:rFonts w:cs="Arial"/>
          <w:lang w:val="de-DE"/>
        </w:rPr>
        <w:t xml:space="preserve">nd 23; TWV/51/16, </w:t>
      </w:r>
      <w:r w:rsidR="00D30F31" w:rsidRPr="00413F36">
        <w:rPr>
          <w:rFonts w:cs="Arial"/>
          <w:lang w:val="de-DE"/>
        </w:rPr>
        <w:t>Absätze</w:t>
      </w:r>
      <w:r w:rsidRPr="00413F36">
        <w:rPr>
          <w:rFonts w:cs="Arial"/>
          <w:lang w:val="de-DE"/>
        </w:rPr>
        <w:t xml:space="preserve"> 26 </w:t>
      </w:r>
      <w:r w:rsidR="00D30F31" w:rsidRPr="00413F36">
        <w:rPr>
          <w:rFonts w:cs="Arial"/>
          <w:lang w:val="de-DE"/>
        </w:rPr>
        <w:t>bis</w:t>
      </w:r>
      <w:r w:rsidRPr="00413F36">
        <w:rPr>
          <w:rFonts w:cs="Arial"/>
          <w:lang w:val="de-DE"/>
        </w:rPr>
        <w:t xml:space="preserve"> 30; TWO/50/14 </w:t>
      </w:r>
      <w:r w:rsidR="00F64B3F" w:rsidRPr="00413F36">
        <w:rPr>
          <w:rFonts w:eastAsia="Cambria" w:cs="Arial"/>
          <w:lang w:val="de-DE"/>
        </w:rPr>
        <w:t>„</w:t>
      </w:r>
      <w:r w:rsidR="00D30F31" w:rsidRPr="00413F36">
        <w:rPr>
          <w:rFonts w:cs="Arial"/>
          <w:lang w:val="de-DE"/>
        </w:rPr>
        <w:t>Bericht</w:t>
      </w:r>
      <w:r w:rsidR="00F64B3F" w:rsidRPr="00413F36">
        <w:rPr>
          <w:lang w:val="de-DE"/>
        </w:rPr>
        <w:t>“</w:t>
      </w:r>
      <w:r w:rsidRPr="00413F36">
        <w:rPr>
          <w:rFonts w:cs="Arial"/>
          <w:lang w:val="de-DE"/>
        </w:rPr>
        <w:t xml:space="preserve">, </w:t>
      </w:r>
      <w:r w:rsidR="00D30F31" w:rsidRPr="00413F36">
        <w:rPr>
          <w:rFonts w:cs="Arial"/>
          <w:lang w:val="de-DE"/>
        </w:rPr>
        <w:t>Absätze</w:t>
      </w:r>
      <w:r w:rsidRPr="00413F36">
        <w:rPr>
          <w:rFonts w:cs="Arial"/>
          <w:lang w:val="de-DE"/>
        </w:rPr>
        <w:t xml:space="preserve"> 22 </w:t>
      </w:r>
      <w:r w:rsidR="00D30F31" w:rsidRPr="00413F36">
        <w:rPr>
          <w:rFonts w:cs="Arial"/>
          <w:lang w:val="de-DE"/>
        </w:rPr>
        <w:t xml:space="preserve">bis </w:t>
      </w:r>
      <w:r w:rsidRPr="00413F36">
        <w:rPr>
          <w:rFonts w:cs="Arial"/>
          <w:lang w:val="de-DE"/>
        </w:rPr>
        <w:t xml:space="preserve">28; TWF/48/13 </w:t>
      </w:r>
      <w:r w:rsidR="00F64B3F" w:rsidRPr="00413F36">
        <w:rPr>
          <w:rFonts w:eastAsia="Cambria" w:cs="Arial"/>
          <w:lang w:val="de-DE"/>
        </w:rPr>
        <w:t>„</w:t>
      </w:r>
      <w:r w:rsidR="00D30F31" w:rsidRPr="00413F36">
        <w:rPr>
          <w:rFonts w:cs="Arial"/>
          <w:lang w:val="de-DE"/>
        </w:rPr>
        <w:t>Bericht</w:t>
      </w:r>
      <w:r w:rsidR="00F64B3F" w:rsidRPr="00413F36">
        <w:rPr>
          <w:lang w:val="de-DE"/>
        </w:rPr>
        <w:t>“</w:t>
      </w:r>
      <w:r w:rsidRPr="00413F36">
        <w:rPr>
          <w:rFonts w:cs="Arial"/>
          <w:lang w:val="de-DE"/>
        </w:rPr>
        <w:t xml:space="preserve">, </w:t>
      </w:r>
      <w:r w:rsidR="00D30F31" w:rsidRPr="00413F36">
        <w:rPr>
          <w:rFonts w:cs="Arial"/>
          <w:lang w:val="de-DE"/>
        </w:rPr>
        <w:t>Absätze 26 bis 36; u</w:t>
      </w:r>
      <w:r w:rsidRPr="00413F36">
        <w:rPr>
          <w:rFonts w:cs="Arial"/>
          <w:lang w:val="de-DE"/>
        </w:rPr>
        <w:t xml:space="preserve">nd TWC/35/21 </w:t>
      </w:r>
      <w:r w:rsidR="00F64B3F" w:rsidRPr="00413F36">
        <w:rPr>
          <w:rFonts w:eastAsia="Cambria" w:cs="Arial"/>
          <w:lang w:val="de-DE"/>
        </w:rPr>
        <w:t>„</w:t>
      </w:r>
      <w:r w:rsidR="00D30F31" w:rsidRPr="00413F36">
        <w:rPr>
          <w:rFonts w:cs="Arial"/>
          <w:lang w:val="de-DE"/>
        </w:rPr>
        <w:t>Bericht</w:t>
      </w:r>
      <w:r w:rsidR="00F64B3F" w:rsidRPr="00413F36">
        <w:rPr>
          <w:lang w:val="de-DE"/>
        </w:rPr>
        <w:t>“</w:t>
      </w:r>
      <w:r w:rsidRPr="00413F36">
        <w:rPr>
          <w:rFonts w:cs="Arial"/>
          <w:lang w:val="de-DE"/>
        </w:rPr>
        <w:t xml:space="preserve">, </w:t>
      </w:r>
      <w:r w:rsidR="00D30F31" w:rsidRPr="00413F36">
        <w:rPr>
          <w:rFonts w:cs="Arial"/>
          <w:lang w:val="de-DE"/>
        </w:rPr>
        <w:t>Absätze</w:t>
      </w:r>
      <w:r w:rsidRPr="00413F36">
        <w:rPr>
          <w:rFonts w:cs="Arial"/>
          <w:lang w:val="de-DE"/>
        </w:rPr>
        <w:t xml:space="preserve"> 36 </w:t>
      </w:r>
      <w:r w:rsidR="00D30F31" w:rsidRPr="00413F36">
        <w:rPr>
          <w:rFonts w:cs="Arial"/>
          <w:lang w:val="de-DE"/>
        </w:rPr>
        <w:t>bis</w:t>
      </w:r>
      <w:r w:rsidRPr="00413F36">
        <w:rPr>
          <w:rFonts w:cs="Arial"/>
          <w:lang w:val="de-DE"/>
        </w:rPr>
        <w:t xml:space="preserve"> 39):</w:t>
      </w:r>
    </w:p>
    <w:p w:rsidR="00857EC8" w:rsidRPr="00413F36" w:rsidRDefault="00857EC8" w:rsidP="00857EC8">
      <w:pPr>
        <w:rPr>
          <w:rFonts w:cs="Arial"/>
          <w:snapToGrid w:val="0"/>
          <w:lang w:val="de-DE"/>
        </w:rPr>
      </w:pPr>
    </w:p>
    <w:p w:rsidR="00857EC8" w:rsidRPr="00413F36" w:rsidRDefault="00857EC8" w:rsidP="00772F6D">
      <w:pPr>
        <w:keepNext/>
        <w:rPr>
          <w:lang w:val="de-DE"/>
        </w:rPr>
      </w:pPr>
      <w:bookmarkStart w:id="9" w:name="_Toc485133361"/>
      <w:r w:rsidRPr="00413F36">
        <w:rPr>
          <w:lang w:val="de-DE"/>
        </w:rPr>
        <w:t>ASW 2(a):</w:t>
      </w:r>
      <w:bookmarkEnd w:id="9"/>
    </w:p>
    <w:p w:rsidR="00857EC8" w:rsidRPr="00413F36" w:rsidRDefault="00857EC8" w:rsidP="00772F6D">
      <w:pPr>
        <w:keepNext/>
        <w:jc w:val="left"/>
        <w:rPr>
          <w:lang w:val="de-DE"/>
        </w:rPr>
      </w:pPr>
    </w:p>
    <w:p w:rsidR="00857EC8" w:rsidRPr="00413F36" w:rsidRDefault="00A16D9B" w:rsidP="00857EC8">
      <w:pPr>
        <w:ind w:left="567"/>
        <w:jc w:val="left"/>
        <w:rPr>
          <w:lang w:val="de-DE"/>
        </w:rPr>
      </w:pPr>
      <w:r w:rsidRPr="00413F36">
        <w:rPr>
          <w:rFonts w:eastAsia="Cambria" w:cs="Arial"/>
          <w:lang w:val="de-DE"/>
        </w:rPr>
        <w:t>„</w:t>
      </w:r>
      <w:r w:rsidR="00857EC8" w:rsidRPr="00413F36">
        <w:rPr>
          <w:lang w:val="de-DE"/>
        </w:rPr>
        <w:t>3.</w:t>
      </w:r>
      <w:r w:rsidR="00857EC8" w:rsidRPr="00413F36">
        <w:rPr>
          <w:lang w:val="de-DE"/>
        </w:rPr>
        <w:tab/>
      </w:r>
      <w:r w:rsidR="00F20788" w:rsidRPr="00413F36">
        <w:rPr>
          <w:lang w:val="de-DE"/>
        </w:rPr>
        <w:t>Durchführung der Prüfung</w:t>
      </w:r>
    </w:p>
    <w:p w:rsidR="00857EC8" w:rsidRPr="00413F36" w:rsidRDefault="00857EC8" w:rsidP="00857EC8">
      <w:pPr>
        <w:ind w:left="567"/>
        <w:jc w:val="left"/>
        <w:rPr>
          <w:lang w:val="de-DE"/>
        </w:rPr>
      </w:pPr>
    </w:p>
    <w:p w:rsidR="00857EC8" w:rsidRPr="00413F36" w:rsidRDefault="00857EC8" w:rsidP="00857EC8">
      <w:pPr>
        <w:ind w:left="567"/>
        <w:jc w:val="left"/>
        <w:rPr>
          <w:lang w:val="de-DE"/>
        </w:rPr>
      </w:pPr>
      <w:r w:rsidRPr="00413F36">
        <w:rPr>
          <w:lang w:val="de-DE"/>
        </w:rPr>
        <w:t>3.1</w:t>
      </w:r>
      <w:r w:rsidRPr="00413F36">
        <w:rPr>
          <w:lang w:val="de-DE"/>
        </w:rPr>
        <w:tab/>
      </w:r>
      <w:r w:rsidR="00F20788" w:rsidRPr="00413F36">
        <w:rPr>
          <w:lang w:val="de-DE"/>
        </w:rPr>
        <w:t>Anzahl von Wachstumsperioden</w:t>
      </w:r>
    </w:p>
    <w:p w:rsidR="00857EC8" w:rsidRPr="00413F36" w:rsidRDefault="00857EC8" w:rsidP="00857EC8">
      <w:pPr>
        <w:ind w:left="567"/>
        <w:rPr>
          <w:lang w:val="de-DE"/>
        </w:rPr>
      </w:pPr>
    </w:p>
    <w:p w:rsidR="00857EC8" w:rsidRPr="00413F36" w:rsidRDefault="00D30F31" w:rsidP="00857EC8">
      <w:pPr>
        <w:autoSpaceDE w:val="0"/>
        <w:autoSpaceDN w:val="0"/>
        <w:adjustRightInd w:val="0"/>
        <w:ind w:left="567" w:right="567"/>
        <w:rPr>
          <w:rFonts w:eastAsia="Cambria" w:cs="Arial"/>
          <w:lang w:val="de-DE" w:eastAsia="fr-FR"/>
        </w:rPr>
      </w:pPr>
      <w:r w:rsidRPr="00413F36">
        <w:rPr>
          <w:rFonts w:eastAsia="Cambria" w:cs="Arial"/>
          <w:lang w:val="de-DE"/>
        </w:rPr>
        <w:t>„</w:t>
      </w:r>
      <w:r w:rsidR="00257A80" w:rsidRPr="00413F36">
        <w:rPr>
          <w:rFonts w:eastAsia="Cambria" w:cs="Arial"/>
          <w:lang w:val="de-DE"/>
        </w:rPr>
        <w:t xml:space="preserve">Die </w:t>
      </w:r>
      <w:proofErr w:type="spellStart"/>
      <w:r w:rsidR="00A16D9B" w:rsidRPr="00413F36">
        <w:rPr>
          <w:rFonts w:eastAsia="Cambria" w:cs="Arial"/>
          <w:strike/>
          <w:highlight w:val="lightGray"/>
          <w:lang w:val="de-DE"/>
        </w:rPr>
        <w:t>Mindest</w:t>
      </w:r>
      <w:r w:rsidR="00A16D9B" w:rsidRPr="00413F36">
        <w:rPr>
          <w:rFonts w:eastAsia="Cambria" w:cs="Arial"/>
          <w:lang w:val="de-DE"/>
        </w:rPr>
        <w:t>Dauer</w:t>
      </w:r>
      <w:proofErr w:type="spellEnd"/>
      <w:r w:rsidR="00A16D9B" w:rsidRPr="00413F36">
        <w:rPr>
          <w:rFonts w:eastAsia="Cambria" w:cs="Arial"/>
          <w:lang w:val="de-DE"/>
        </w:rPr>
        <w:t xml:space="preserve"> von Prüfungen sollte</w:t>
      </w:r>
      <w:r w:rsidR="00D022DD">
        <w:rPr>
          <w:rFonts w:eastAsia="Cambria" w:cs="Arial"/>
          <w:lang w:val="de-DE"/>
        </w:rPr>
        <w:t xml:space="preserve"> </w:t>
      </w:r>
      <w:r w:rsidR="00D022DD" w:rsidRPr="00D022DD">
        <w:rPr>
          <w:rFonts w:eastAsia="Cambria" w:cs="Arial"/>
          <w:lang w:val="de-DE"/>
        </w:rPr>
        <w:t>[</w:t>
      </w:r>
      <w:r w:rsidR="00D022DD" w:rsidRPr="00D022DD">
        <w:rPr>
          <w:rFonts w:eastAsia="Cambria" w:cs="Arial"/>
          <w:highlight w:val="lightGray"/>
          <w:lang w:val="de-DE"/>
        </w:rPr>
        <w:t xml:space="preserve">in der </w:t>
      </w:r>
      <w:proofErr w:type="gramStart"/>
      <w:r w:rsidR="00D022DD" w:rsidRPr="00D022DD">
        <w:rPr>
          <w:rFonts w:eastAsia="Cambria" w:cs="Arial"/>
          <w:highlight w:val="lightGray"/>
          <w:lang w:val="de-DE"/>
        </w:rPr>
        <w:t>Regel</w:t>
      </w:r>
      <w:r w:rsidR="00D022DD" w:rsidRPr="00D022DD">
        <w:rPr>
          <w:rFonts w:eastAsia="Cambria" w:cs="Arial"/>
          <w:lang w:val="de-DE"/>
        </w:rPr>
        <w:t>]/</w:t>
      </w:r>
      <w:proofErr w:type="gramEnd"/>
      <w:r w:rsidR="00D022DD" w:rsidRPr="00D022DD">
        <w:rPr>
          <w:rFonts w:eastAsia="Cambria" w:cs="Arial"/>
          <w:lang w:val="de-DE"/>
        </w:rPr>
        <w:t>[</w:t>
      </w:r>
      <w:r w:rsidR="00D022DD" w:rsidRPr="00D022DD">
        <w:rPr>
          <w:rFonts w:eastAsia="Cambria" w:cs="Arial"/>
          <w:highlight w:val="lightGray"/>
          <w:u w:val="single"/>
          <w:lang w:val="de-DE"/>
        </w:rPr>
        <w:t>typischerweise</w:t>
      </w:r>
      <w:r w:rsidR="00D022DD" w:rsidRPr="00413F36">
        <w:rPr>
          <w:rFonts w:eastAsia="Cambria" w:cs="Arial"/>
          <w:lang w:val="de-DE"/>
        </w:rPr>
        <w:t>]</w:t>
      </w:r>
      <w:r w:rsidR="00A16D9B" w:rsidRPr="00413F36">
        <w:rPr>
          <w:rFonts w:eastAsia="Cambria" w:cs="Arial"/>
          <w:lang w:val="de-DE"/>
        </w:rPr>
        <w:t xml:space="preserve"> eine einzige Wachstumsperiode betragen</w:t>
      </w:r>
      <w:r w:rsidR="00857EC8" w:rsidRPr="00413F36">
        <w:rPr>
          <w:rFonts w:eastAsia="Cambria" w:cs="Arial"/>
          <w:lang w:val="de-DE"/>
        </w:rPr>
        <w:t>.</w:t>
      </w:r>
    </w:p>
    <w:p w:rsidR="00857EC8" w:rsidRPr="00413F36" w:rsidRDefault="00857EC8" w:rsidP="00857EC8">
      <w:pPr>
        <w:rPr>
          <w:rFonts w:eastAsia="Cambria"/>
          <w:lang w:val="de-DE"/>
        </w:rPr>
      </w:pPr>
    </w:p>
    <w:p w:rsidR="00ED65FC" w:rsidRPr="00320C96" w:rsidRDefault="00ED65FC" w:rsidP="00ED65FC">
      <w:pPr>
        <w:autoSpaceDE w:val="0"/>
        <w:autoSpaceDN w:val="0"/>
        <w:adjustRightInd w:val="0"/>
        <w:ind w:left="567" w:right="567"/>
        <w:rPr>
          <w:lang w:val="de-DE"/>
        </w:rPr>
      </w:pPr>
      <w:r w:rsidRPr="00ED65FC">
        <w:rPr>
          <w:highlight w:val="lightGray"/>
          <w:u w:val="single"/>
          <w:lang w:val="de-DE"/>
        </w:rPr>
        <w:t xml:space="preserve">Die Prüfung einer Sorte kann jedoch früher abgebrochen werden, wenn bereits eine negative Entscheidung über die Unterscheidbarkeit, </w:t>
      </w:r>
      <w:r>
        <w:rPr>
          <w:highlight w:val="lightGray"/>
          <w:u w:val="single"/>
          <w:lang w:val="de-DE"/>
        </w:rPr>
        <w:t>Homogenität und Beständigkeit</w:t>
      </w:r>
      <w:r w:rsidRPr="00ED65FC">
        <w:rPr>
          <w:highlight w:val="lightGray"/>
          <w:u w:val="single"/>
          <w:lang w:val="de-DE"/>
        </w:rPr>
        <w:t xml:space="preserve"> getroffen wurde</w:t>
      </w:r>
      <w:r w:rsidR="00320C96">
        <w:rPr>
          <w:highlight w:val="lightGray"/>
          <w:lang w:val="de-DE"/>
        </w:rPr>
        <w:t>.</w:t>
      </w:r>
    </w:p>
    <w:p w:rsidR="00857EC8" w:rsidRPr="00ED65FC" w:rsidRDefault="00857EC8" w:rsidP="00857EC8">
      <w:pPr>
        <w:shd w:val="clear" w:color="auto" w:fill="FFFFFF" w:themeFill="background1"/>
        <w:autoSpaceDE w:val="0"/>
        <w:autoSpaceDN w:val="0"/>
        <w:adjustRightInd w:val="0"/>
        <w:ind w:left="567" w:right="567"/>
        <w:rPr>
          <w:rFonts w:eastAsia="Cambria" w:cs="Arial"/>
          <w:szCs w:val="18"/>
          <w:u w:val="single"/>
          <w:lang w:val="de-DE" w:eastAsia="fr-FR"/>
        </w:rPr>
      </w:pPr>
    </w:p>
    <w:p w:rsidR="00857EC8" w:rsidRPr="00ED65FC" w:rsidRDefault="00ED65FC" w:rsidP="00857EC8">
      <w:pPr>
        <w:shd w:val="clear" w:color="auto" w:fill="FFFFFF" w:themeFill="background1"/>
        <w:autoSpaceDE w:val="0"/>
        <w:autoSpaceDN w:val="0"/>
        <w:adjustRightInd w:val="0"/>
        <w:ind w:left="567" w:right="567"/>
        <w:rPr>
          <w:rFonts w:eastAsia="Cambria" w:cs="Arial"/>
          <w:szCs w:val="18"/>
          <w:lang w:val="de-DE" w:eastAsia="fr-FR"/>
        </w:rPr>
      </w:pPr>
      <w:r w:rsidRPr="00ED65FC">
        <w:rPr>
          <w:szCs w:val="18"/>
          <w:highlight w:val="lightGray"/>
          <w:u w:val="single"/>
          <w:lang w:val="de-DE"/>
        </w:rPr>
        <w:t>Alternativ kann die Prüfung einer Sorte fortgesetzt werden, wenn nach der [normalen</w:t>
      </w:r>
      <w:r w:rsidR="00D022DD">
        <w:rPr>
          <w:highlight w:val="lightGray"/>
          <w:u w:val="single"/>
          <w:lang w:val="de-DE"/>
        </w:rPr>
        <w:t>]/[typisch</w:t>
      </w:r>
      <w:r w:rsidRPr="00ED65FC">
        <w:rPr>
          <w:highlight w:val="lightGray"/>
          <w:u w:val="single"/>
          <w:lang w:val="de-DE"/>
        </w:rPr>
        <w:t xml:space="preserve">en] Dauer der Prüfungen </w:t>
      </w:r>
      <w:r w:rsidRPr="00ED65FC">
        <w:rPr>
          <w:szCs w:val="18"/>
          <w:highlight w:val="lightGray"/>
          <w:u w:val="single"/>
          <w:lang w:val="de-DE"/>
        </w:rPr>
        <w:t>keine Entscheidung über die Unterscheidbarkeit, Homogenität un</w:t>
      </w:r>
      <w:r>
        <w:rPr>
          <w:szCs w:val="18"/>
          <w:highlight w:val="lightGray"/>
          <w:u w:val="single"/>
          <w:lang w:val="de-DE"/>
        </w:rPr>
        <w:t>d Beständigkeit getroffen wurde</w:t>
      </w:r>
      <w:r w:rsidR="00857EC8" w:rsidRPr="00ED65FC">
        <w:rPr>
          <w:rFonts w:eastAsia="Cambria" w:cs="Arial"/>
          <w:highlight w:val="lightGray"/>
          <w:lang w:val="de-DE"/>
        </w:rPr>
        <w:t>.</w:t>
      </w:r>
      <w:r w:rsidRPr="00ED65FC">
        <w:rPr>
          <w:rFonts w:eastAsia="Cambria" w:cs="Arial"/>
          <w:lang w:val="de-DE"/>
        </w:rPr>
        <w:t>“</w:t>
      </w:r>
    </w:p>
    <w:p w:rsidR="00857EC8" w:rsidRPr="00ED65FC" w:rsidRDefault="00857EC8" w:rsidP="00857EC8">
      <w:pPr>
        <w:keepNext/>
        <w:outlineLvl w:val="1"/>
        <w:rPr>
          <w:u w:val="single"/>
          <w:lang w:val="de-DE"/>
        </w:rPr>
      </w:pPr>
    </w:p>
    <w:p w:rsidR="00857EC8" w:rsidRPr="00413F36" w:rsidRDefault="00857EC8" w:rsidP="00857EC8">
      <w:pPr>
        <w:rPr>
          <w:lang w:val="de-DE"/>
        </w:rPr>
      </w:pPr>
      <w:bookmarkStart w:id="10" w:name="_Toc485133362"/>
      <w:r w:rsidRPr="00413F36">
        <w:rPr>
          <w:lang w:val="de-DE"/>
        </w:rPr>
        <w:t>ASW 2(b):</w:t>
      </w:r>
      <w:bookmarkEnd w:id="10"/>
    </w:p>
    <w:p w:rsidR="00857EC8" w:rsidRPr="00413F36" w:rsidRDefault="00857EC8" w:rsidP="00857EC8">
      <w:pPr>
        <w:jc w:val="left"/>
        <w:rPr>
          <w:lang w:val="de-DE"/>
        </w:rPr>
      </w:pPr>
    </w:p>
    <w:p w:rsidR="00857EC8" w:rsidRPr="00413F36" w:rsidRDefault="00A16D9B" w:rsidP="00857EC8">
      <w:pPr>
        <w:ind w:left="567"/>
        <w:jc w:val="left"/>
        <w:rPr>
          <w:lang w:val="de-DE"/>
        </w:rPr>
      </w:pPr>
      <w:r w:rsidRPr="00413F36">
        <w:rPr>
          <w:rFonts w:eastAsia="Cambria" w:cs="Arial"/>
          <w:lang w:val="de-DE"/>
        </w:rPr>
        <w:t>„</w:t>
      </w:r>
      <w:r w:rsidR="00857EC8" w:rsidRPr="00413F36">
        <w:rPr>
          <w:lang w:val="de-DE"/>
        </w:rPr>
        <w:t>3.</w:t>
      </w:r>
      <w:r w:rsidR="00857EC8" w:rsidRPr="00413F36">
        <w:rPr>
          <w:lang w:val="de-DE"/>
        </w:rPr>
        <w:tab/>
      </w:r>
      <w:r w:rsidR="00F20788" w:rsidRPr="00413F36">
        <w:rPr>
          <w:lang w:val="de-DE"/>
        </w:rPr>
        <w:t>Durchführung der Prüfung</w:t>
      </w:r>
    </w:p>
    <w:p w:rsidR="00857EC8" w:rsidRPr="00413F36" w:rsidRDefault="00857EC8" w:rsidP="00857EC8">
      <w:pPr>
        <w:ind w:left="567"/>
        <w:jc w:val="left"/>
        <w:rPr>
          <w:lang w:val="de-DE"/>
        </w:rPr>
      </w:pPr>
    </w:p>
    <w:p w:rsidR="00857EC8" w:rsidRPr="00413F36" w:rsidRDefault="00857EC8" w:rsidP="00857EC8">
      <w:pPr>
        <w:ind w:left="567"/>
        <w:jc w:val="left"/>
        <w:rPr>
          <w:lang w:val="de-DE"/>
        </w:rPr>
      </w:pPr>
      <w:r w:rsidRPr="00413F36">
        <w:rPr>
          <w:lang w:val="de-DE"/>
        </w:rPr>
        <w:t>3.1</w:t>
      </w:r>
      <w:r w:rsidRPr="00413F36">
        <w:rPr>
          <w:lang w:val="de-DE"/>
        </w:rPr>
        <w:tab/>
      </w:r>
      <w:r w:rsidR="00F20788" w:rsidRPr="00413F36">
        <w:rPr>
          <w:lang w:val="de-DE"/>
        </w:rPr>
        <w:t>Anzahl von Wachstumsperioden</w:t>
      </w:r>
    </w:p>
    <w:p w:rsidR="00857EC8" w:rsidRPr="00413F36" w:rsidRDefault="00857EC8" w:rsidP="00857EC8">
      <w:pPr>
        <w:ind w:left="567"/>
        <w:jc w:val="left"/>
        <w:rPr>
          <w:lang w:val="de-DE"/>
        </w:rPr>
      </w:pPr>
    </w:p>
    <w:p w:rsidR="00857EC8" w:rsidRPr="00413F36" w:rsidRDefault="00257A80" w:rsidP="00857EC8">
      <w:pPr>
        <w:autoSpaceDE w:val="0"/>
        <w:autoSpaceDN w:val="0"/>
        <w:adjustRightInd w:val="0"/>
        <w:ind w:left="567" w:right="567"/>
        <w:rPr>
          <w:rFonts w:eastAsia="Cambria" w:cs="Arial"/>
          <w:lang w:val="de-DE"/>
        </w:rPr>
      </w:pPr>
      <w:r w:rsidRPr="00413F36">
        <w:rPr>
          <w:rFonts w:eastAsia="Cambria" w:cs="Arial"/>
          <w:lang w:val="de-DE"/>
        </w:rPr>
        <w:t xml:space="preserve">Die </w:t>
      </w:r>
      <w:proofErr w:type="spellStart"/>
      <w:r w:rsidRPr="00413F36">
        <w:rPr>
          <w:rFonts w:eastAsia="Cambria" w:cs="Arial"/>
          <w:strike/>
          <w:highlight w:val="lightGray"/>
          <w:lang w:val="de-DE"/>
        </w:rPr>
        <w:t>Mindestp</w:t>
      </w:r>
      <w:r w:rsidRPr="00413F36">
        <w:rPr>
          <w:rFonts w:eastAsia="Cambria" w:cs="Arial"/>
          <w:lang w:val="de-DE"/>
        </w:rPr>
        <w:t>Prüfungsdauer</w:t>
      </w:r>
      <w:proofErr w:type="spellEnd"/>
      <w:r w:rsidRPr="00413F36">
        <w:rPr>
          <w:rFonts w:eastAsia="Cambria" w:cs="Arial"/>
          <w:lang w:val="de-DE"/>
        </w:rPr>
        <w:t xml:space="preserve"> sollte </w:t>
      </w:r>
      <w:r w:rsidR="00D022DD" w:rsidRPr="00D022DD">
        <w:rPr>
          <w:rFonts w:eastAsia="Cambria" w:cs="Arial"/>
          <w:lang w:val="de-DE"/>
        </w:rPr>
        <w:t>[</w:t>
      </w:r>
      <w:r w:rsidR="00D022DD" w:rsidRPr="00D022DD">
        <w:rPr>
          <w:rFonts w:eastAsia="Cambria" w:cs="Arial"/>
          <w:highlight w:val="lightGray"/>
          <w:lang w:val="de-DE"/>
        </w:rPr>
        <w:t xml:space="preserve">in der </w:t>
      </w:r>
      <w:proofErr w:type="gramStart"/>
      <w:r w:rsidR="00D022DD" w:rsidRPr="00D022DD">
        <w:rPr>
          <w:rFonts w:eastAsia="Cambria" w:cs="Arial"/>
          <w:highlight w:val="lightGray"/>
          <w:lang w:val="de-DE"/>
        </w:rPr>
        <w:t>Regel</w:t>
      </w:r>
      <w:r w:rsidR="00D022DD" w:rsidRPr="00D022DD">
        <w:rPr>
          <w:rFonts w:eastAsia="Cambria" w:cs="Arial"/>
          <w:lang w:val="de-DE"/>
        </w:rPr>
        <w:t>]/</w:t>
      </w:r>
      <w:proofErr w:type="gramEnd"/>
      <w:r w:rsidR="00D022DD" w:rsidRPr="00D022DD">
        <w:rPr>
          <w:rFonts w:eastAsia="Cambria" w:cs="Arial"/>
          <w:lang w:val="de-DE"/>
        </w:rPr>
        <w:t>[</w:t>
      </w:r>
      <w:r w:rsidRPr="00D022DD">
        <w:rPr>
          <w:rFonts w:eastAsia="Cambria" w:cs="Arial"/>
          <w:highlight w:val="lightGray"/>
          <w:u w:val="single"/>
          <w:lang w:val="de-DE"/>
        </w:rPr>
        <w:t>typischerweise</w:t>
      </w:r>
      <w:r w:rsidRPr="00413F36">
        <w:rPr>
          <w:rFonts w:eastAsia="Cambria" w:cs="Arial"/>
          <w:lang w:val="de-DE"/>
        </w:rPr>
        <w:t>] zwei unabhängige Wachstumsperioden betragen.</w:t>
      </w:r>
    </w:p>
    <w:p w:rsidR="00857EC8" w:rsidRPr="00413F36" w:rsidRDefault="00857EC8" w:rsidP="00857EC8">
      <w:pPr>
        <w:rPr>
          <w:rFonts w:eastAsia="Cambria"/>
          <w:lang w:val="de-DE"/>
        </w:rPr>
      </w:pPr>
    </w:p>
    <w:p w:rsidR="00857EC8" w:rsidRPr="00ED65FC" w:rsidRDefault="00ED65FC" w:rsidP="00857EC8">
      <w:pPr>
        <w:autoSpaceDE w:val="0"/>
        <w:autoSpaceDN w:val="0"/>
        <w:adjustRightInd w:val="0"/>
        <w:ind w:left="567" w:right="567"/>
        <w:rPr>
          <w:lang w:val="de-DE"/>
        </w:rPr>
      </w:pPr>
      <w:r w:rsidRPr="00ED65FC">
        <w:rPr>
          <w:highlight w:val="lightGray"/>
          <w:u w:val="single"/>
          <w:lang w:val="de-DE"/>
        </w:rPr>
        <w:t xml:space="preserve">Die Prüfung einer Sorte kann jedoch früher abgebrochen werden, wenn bereits eine negative Entscheidung über die Unterscheidbarkeit, </w:t>
      </w:r>
      <w:r>
        <w:rPr>
          <w:highlight w:val="lightGray"/>
          <w:u w:val="single"/>
          <w:lang w:val="de-DE"/>
        </w:rPr>
        <w:t>Homogenität und Beständigkeit getroffen wurde</w:t>
      </w:r>
      <w:r w:rsidR="00857EC8" w:rsidRPr="00ED65FC">
        <w:rPr>
          <w:highlight w:val="lightGray"/>
          <w:lang w:val="de-DE"/>
        </w:rPr>
        <w:t>.</w:t>
      </w:r>
    </w:p>
    <w:p w:rsidR="00857EC8" w:rsidRPr="00ED65FC" w:rsidRDefault="00857EC8" w:rsidP="00857EC8">
      <w:pPr>
        <w:shd w:val="clear" w:color="auto" w:fill="FFFFFF" w:themeFill="background1"/>
        <w:autoSpaceDE w:val="0"/>
        <w:autoSpaceDN w:val="0"/>
        <w:adjustRightInd w:val="0"/>
        <w:ind w:left="567" w:right="567"/>
        <w:rPr>
          <w:rFonts w:eastAsia="Cambria" w:cs="Arial"/>
          <w:szCs w:val="18"/>
          <w:u w:val="single"/>
          <w:lang w:val="de-DE" w:eastAsia="fr-FR"/>
        </w:rPr>
      </w:pPr>
    </w:p>
    <w:p w:rsidR="00857EC8" w:rsidRPr="00ED65FC" w:rsidRDefault="00ED65FC" w:rsidP="00857EC8">
      <w:pPr>
        <w:shd w:val="clear" w:color="auto" w:fill="FFFFFF" w:themeFill="background1"/>
        <w:autoSpaceDE w:val="0"/>
        <w:autoSpaceDN w:val="0"/>
        <w:adjustRightInd w:val="0"/>
        <w:ind w:left="567" w:right="567"/>
        <w:rPr>
          <w:rFonts w:eastAsia="Cambria" w:cs="Arial"/>
          <w:szCs w:val="18"/>
          <w:lang w:val="de-DE" w:eastAsia="fr-FR"/>
        </w:rPr>
      </w:pPr>
      <w:r w:rsidRPr="00ED65FC">
        <w:rPr>
          <w:szCs w:val="18"/>
          <w:highlight w:val="lightGray"/>
          <w:u w:val="single"/>
          <w:lang w:val="de-DE"/>
        </w:rPr>
        <w:t>Alternativ kann die Prüfung einer Sorte fortgesetzt werden, wenn nach der [normalen</w:t>
      </w:r>
      <w:r w:rsidR="00D022DD">
        <w:rPr>
          <w:highlight w:val="lightGray"/>
          <w:u w:val="single"/>
          <w:lang w:val="de-DE"/>
        </w:rPr>
        <w:t>]/[typisch</w:t>
      </w:r>
      <w:r w:rsidRPr="00ED65FC">
        <w:rPr>
          <w:highlight w:val="lightGray"/>
          <w:u w:val="single"/>
          <w:lang w:val="de-DE"/>
        </w:rPr>
        <w:t xml:space="preserve">en] Dauer der Prüfungen </w:t>
      </w:r>
      <w:r w:rsidRPr="00ED65FC">
        <w:rPr>
          <w:szCs w:val="18"/>
          <w:highlight w:val="lightGray"/>
          <w:u w:val="single"/>
          <w:lang w:val="de-DE"/>
        </w:rPr>
        <w:t>keine Entscheidung über die Unterscheidbarkeit, Homogenität un</w:t>
      </w:r>
      <w:r>
        <w:rPr>
          <w:szCs w:val="18"/>
          <w:highlight w:val="lightGray"/>
          <w:u w:val="single"/>
          <w:lang w:val="de-DE"/>
        </w:rPr>
        <w:t>d Beständigkeit getroffen wurde</w:t>
      </w:r>
      <w:r w:rsidR="00857EC8" w:rsidRPr="00ED65FC">
        <w:rPr>
          <w:rFonts w:eastAsia="Cambria" w:cs="Arial"/>
          <w:highlight w:val="lightGray"/>
          <w:lang w:val="de-DE"/>
        </w:rPr>
        <w:t>.</w:t>
      </w:r>
      <w:r w:rsidRPr="00ED65FC">
        <w:rPr>
          <w:rFonts w:eastAsia="Cambria" w:cs="Arial"/>
          <w:lang w:val="de-DE"/>
        </w:rPr>
        <w:t>“</w:t>
      </w:r>
    </w:p>
    <w:p w:rsidR="00857EC8" w:rsidRPr="00ED65FC" w:rsidRDefault="00857EC8" w:rsidP="00857EC8">
      <w:pPr>
        <w:rPr>
          <w:rFonts w:eastAsia="Cambria"/>
          <w:lang w:val="de-DE" w:eastAsia="fr-FR"/>
        </w:rPr>
      </w:pPr>
    </w:p>
    <w:p w:rsidR="004533FE" w:rsidRPr="00EC55B3" w:rsidRDefault="00857EC8" w:rsidP="004533FE">
      <w:pPr>
        <w:rPr>
          <w:rFonts w:eastAsia="Cambria" w:cs="Arial"/>
          <w:lang w:val="de-DE"/>
        </w:rPr>
      </w:pPr>
      <w:r w:rsidRPr="00857EC8">
        <w:rPr>
          <w:rFonts w:cs="Arial"/>
          <w:snapToGrid w:val="0"/>
        </w:rPr>
        <w:fldChar w:fldCharType="begin"/>
      </w:r>
      <w:r w:rsidRPr="004533FE">
        <w:rPr>
          <w:rFonts w:cs="Arial"/>
          <w:snapToGrid w:val="0"/>
          <w:lang w:val="de-DE"/>
        </w:rPr>
        <w:instrText xml:space="preserve"> AUTONUM  </w:instrText>
      </w:r>
      <w:r w:rsidRPr="00857EC8">
        <w:rPr>
          <w:rFonts w:cs="Arial"/>
          <w:snapToGrid w:val="0"/>
        </w:rPr>
        <w:fldChar w:fldCharType="end"/>
      </w:r>
      <w:r w:rsidRPr="004533FE">
        <w:rPr>
          <w:rFonts w:cs="Arial"/>
          <w:snapToGrid w:val="0"/>
          <w:lang w:val="de-DE"/>
        </w:rPr>
        <w:tab/>
      </w:r>
      <w:r w:rsidR="004533FE" w:rsidRPr="00EC55B3">
        <w:rPr>
          <w:snapToGrid w:val="0"/>
          <w:lang w:val="de-DE"/>
        </w:rPr>
        <w:t xml:space="preserve">Die TWP vereinbarten auf ihren Tagungen im </w:t>
      </w:r>
      <w:r w:rsidR="004234E1" w:rsidRPr="00EC55B3">
        <w:rPr>
          <w:snapToGrid w:val="0"/>
          <w:lang w:val="de-DE"/>
        </w:rPr>
        <w:t>Jahr 2017, daß der Begriff „in der Regel</w:t>
      </w:r>
      <w:r w:rsidR="004533FE" w:rsidRPr="00EC55B3">
        <w:rPr>
          <w:snapToGrid w:val="0"/>
          <w:lang w:val="de-DE"/>
        </w:rPr>
        <w:t xml:space="preserve">“ bevorzugt werde und in der Anleitung im ASW 2 durchgehend verwendet werden sollte. </w:t>
      </w:r>
    </w:p>
    <w:p w:rsidR="004533FE" w:rsidRPr="00EC55B3" w:rsidRDefault="004533FE" w:rsidP="004533FE">
      <w:pPr>
        <w:rPr>
          <w:rFonts w:cs="Arial"/>
          <w:snapToGrid w:val="0"/>
          <w:lang w:val="de-DE"/>
        </w:rPr>
      </w:pPr>
    </w:p>
    <w:p w:rsidR="004533FE" w:rsidRPr="00EC55B3" w:rsidRDefault="004533FE" w:rsidP="004533FE">
      <w:pPr>
        <w:rPr>
          <w:spacing w:val="-2"/>
          <w:lang w:val="de-DE"/>
        </w:rPr>
      </w:pPr>
      <w:r w:rsidRPr="00EC55B3">
        <w:rPr>
          <w:rFonts w:cs="Arial"/>
          <w:snapToGrid w:val="0"/>
        </w:rPr>
        <w:fldChar w:fldCharType="begin"/>
      </w:r>
      <w:r w:rsidRPr="00EC55B3">
        <w:rPr>
          <w:rFonts w:cs="Arial"/>
          <w:snapToGrid w:val="0"/>
          <w:lang w:val="de-DE"/>
        </w:rPr>
        <w:instrText xml:space="preserve"> AUTONUM  </w:instrText>
      </w:r>
      <w:r w:rsidRPr="00EC55B3">
        <w:rPr>
          <w:rFonts w:cs="Arial"/>
          <w:snapToGrid w:val="0"/>
        </w:rPr>
        <w:fldChar w:fldCharType="end"/>
      </w:r>
      <w:r w:rsidRPr="00EC55B3">
        <w:rPr>
          <w:snapToGrid w:val="0"/>
          <w:lang w:val="de-DE"/>
        </w:rPr>
        <w:tab/>
        <w:t>Die TWA, TWV</w:t>
      </w:r>
      <w:r w:rsidRPr="00EC55B3">
        <w:rPr>
          <w:lang w:val="de-DE"/>
        </w:rPr>
        <w:t xml:space="preserve"> und TWO waren sich einig, daß es der derzeitige Standardwortlaut in Prüfungsrichtlinien ermögliche, die Prüfung </w:t>
      </w:r>
      <w:r w:rsidR="004234E1" w:rsidRPr="00EC55B3">
        <w:rPr>
          <w:lang w:val="de-DE"/>
        </w:rPr>
        <w:t xml:space="preserve">einer Kandidatensorte früher </w:t>
      </w:r>
      <w:r w:rsidRPr="00EC55B3">
        <w:rPr>
          <w:lang w:val="de-DE"/>
        </w:rPr>
        <w:t xml:space="preserve">abzubrechen, wenn die zwischen den Sorten </w:t>
      </w:r>
      <w:proofErr w:type="spellStart"/>
      <w:r w:rsidRPr="00EC55B3">
        <w:rPr>
          <w:lang w:val="de-DE"/>
        </w:rPr>
        <w:t>erfaßte</w:t>
      </w:r>
      <w:r w:rsidR="004234E1" w:rsidRPr="00EC55B3">
        <w:rPr>
          <w:lang w:val="de-DE"/>
        </w:rPr>
        <w:t>n</w:t>
      </w:r>
      <w:proofErr w:type="spellEnd"/>
      <w:r w:rsidR="004234E1" w:rsidRPr="00EC55B3">
        <w:rPr>
          <w:lang w:val="de-DE"/>
        </w:rPr>
        <w:t xml:space="preserve"> Unterschiede so deutlich s</w:t>
      </w:r>
      <w:r w:rsidR="001C600C">
        <w:rPr>
          <w:lang w:val="de-DE"/>
        </w:rPr>
        <w:t>eien</w:t>
      </w:r>
      <w:r w:rsidRPr="00EC55B3">
        <w:rPr>
          <w:lang w:val="de-DE"/>
        </w:rPr>
        <w:t>, daß nicht mehr als eine Wach</w:t>
      </w:r>
      <w:r w:rsidR="004234E1" w:rsidRPr="00EC55B3">
        <w:rPr>
          <w:lang w:val="de-DE"/>
        </w:rPr>
        <w:t xml:space="preserve">stumsperiode erforderlich </w:t>
      </w:r>
      <w:r w:rsidR="001C600C">
        <w:rPr>
          <w:lang w:val="de-DE"/>
        </w:rPr>
        <w:t>sei</w:t>
      </w:r>
      <w:r w:rsidRPr="00EC55B3">
        <w:rPr>
          <w:lang w:val="de-DE"/>
        </w:rPr>
        <w:t xml:space="preserve">. </w:t>
      </w:r>
    </w:p>
    <w:p w:rsidR="004533FE" w:rsidRPr="00EC55B3" w:rsidRDefault="004533FE" w:rsidP="004533FE">
      <w:pPr>
        <w:rPr>
          <w:rFonts w:eastAsia="Cambria"/>
          <w:lang w:val="de-DE" w:eastAsia="fr-FR"/>
        </w:rPr>
      </w:pPr>
    </w:p>
    <w:p w:rsidR="004533FE" w:rsidRPr="00EC55B3" w:rsidRDefault="004533FE" w:rsidP="004533FE">
      <w:pPr>
        <w:rPr>
          <w:rFonts w:cs="Arial"/>
          <w:snapToGrid w:val="0"/>
          <w:spacing w:val="-2"/>
          <w:lang w:val="de-DE"/>
        </w:rPr>
      </w:pPr>
      <w:r w:rsidRPr="00EC55B3">
        <w:rPr>
          <w:rFonts w:cs="Arial"/>
          <w:snapToGrid w:val="0"/>
        </w:rPr>
        <w:fldChar w:fldCharType="begin"/>
      </w:r>
      <w:r w:rsidRPr="00EC55B3">
        <w:rPr>
          <w:rFonts w:cs="Arial"/>
          <w:snapToGrid w:val="0"/>
          <w:lang w:val="de-DE"/>
        </w:rPr>
        <w:instrText xml:space="preserve"> AUTONUM  </w:instrText>
      </w:r>
      <w:r w:rsidRPr="00EC55B3">
        <w:rPr>
          <w:rFonts w:cs="Arial"/>
          <w:snapToGrid w:val="0"/>
        </w:rPr>
        <w:fldChar w:fldCharType="end"/>
      </w:r>
      <w:r w:rsidRPr="00EC55B3">
        <w:rPr>
          <w:snapToGrid w:val="0"/>
          <w:lang w:val="de-DE"/>
        </w:rPr>
        <w:tab/>
        <w:t>Die TWV und die TWF stimmten darin überein, daß der Verweis auf eine negative Entscheidung gestrichen werden sollte, da es sich nach wie vor um Ausnahmefälle handele, und daß in den meisten Fällen die Prüfung einer Sorte mit einer positiven Entscheidung üb</w:t>
      </w:r>
      <w:r w:rsidR="00EC55B3" w:rsidRPr="00EC55B3">
        <w:rPr>
          <w:snapToGrid w:val="0"/>
          <w:lang w:val="de-DE"/>
        </w:rPr>
        <w:t>er DUS abgeschlossen</w:t>
      </w:r>
      <w:r w:rsidRPr="00EC55B3">
        <w:rPr>
          <w:snapToGrid w:val="0"/>
          <w:lang w:val="de-DE"/>
        </w:rPr>
        <w:t xml:space="preserve"> werden kann. </w:t>
      </w:r>
    </w:p>
    <w:p w:rsidR="004533FE" w:rsidRPr="00EC55B3" w:rsidRDefault="004533FE" w:rsidP="004533FE">
      <w:pPr>
        <w:rPr>
          <w:lang w:val="de-DE"/>
        </w:rPr>
      </w:pPr>
    </w:p>
    <w:p w:rsidR="004533FE" w:rsidRPr="00EC55B3" w:rsidRDefault="004533FE" w:rsidP="004533FE">
      <w:pPr>
        <w:rPr>
          <w:lang w:val="de-DE"/>
        </w:rPr>
      </w:pPr>
      <w:r w:rsidRPr="00EC55B3">
        <w:rPr>
          <w:rFonts w:cs="Arial"/>
          <w:snapToGrid w:val="0"/>
        </w:rPr>
        <w:fldChar w:fldCharType="begin"/>
      </w:r>
      <w:r w:rsidRPr="00EC55B3">
        <w:rPr>
          <w:rFonts w:cs="Arial"/>
          <w:snapToGrid w:val="0"/>
          <w:lang w:val="de-DE"/>
        </w:rPr>
        <w:instrText xml:space="preserve"> AUTONUM  </w:instrText>
      </w:r>
      <w:r w:rsidRPr="00EC55B3">
        <w:rPr>
          <w:rFonts w:cs="Arial"/>
          <w:snapToGrid w:val="0"/>
        </w:rPr>
        <w:fldChar w:fldCharType="end"/>
      </w:r>
      <w:r w:rsidRPr="00EC55B3">
        <w:rPr>
          <w:snapToGrid w:val="0"/>
          <w:lang w:val="de-DE"/>
        </w:rPr>
        <w:tab/>
      </w:r>
      <w:r w:rsidRPr="00EC55B3">
        <w:rPr>
          <w:lang w:val="de-DE"/>
        </w:rPr>
        <w:t>Die TWA und die TWV kamen darin überein, daß es möglich sein sollte, die Prüfung einer Kandidatensorte vorzeitig abzubrechen (z. B. während der Etablierungsphase des Anbauversuchs).</w:t>
      </w:r>
    </w:p>
    <w:p w:rsidR="004533FE" w:rsidRPr="00EC55B3" w:rsidRDefault="004533FE" w:rsidP="004533FE">
      <w:pPr>
        <w:rPr>
          <w:lang w:val="de-DE"/>
        </w:rPr>
      </w:pPr>
    </w:p>
    <w:p w:rsidR="004533FE" w:rsidRPr="00EC55B3" w:rsidRDefault="004533FE" w:rsidP="004533FE">
      <w:pPr>
        <w:rPr>
          <w:lang w:val="de-DE"/>
        </w:rPr>
      </w:pPr>
      <w:r w:rsidRPr="00EC55B3">
        <w:fldChar w:fldCharType="begin"/>
      </w:r>
      <w:r w:rsidRPr="00EC55B3">
        <w:rPr>
          <w:lang w:val="de-DE"/>
        </w:rPr>
        <w:instrText xml:space="preserve"> AUTONUM  </w:instrText>
      </w:r>
      <w:r w:rsidRPr="00EC55B3">
        <w:fldChar w:fldCharType="end"/>
      </w:r>
      <w:r w:rsidRPr="00EC55B3">
        <w:rPr>
          <w:lang w:val="de-DE"/>
        </w:rPr>
        <w:tab/>
        <w:t>Die TWO und die TWF waren sich darin einig, daß es ferner auch möglich sein sollte, die Prüfung einer Kandidatensorte aus anderen Gründen als dem, daß eine Entscheidung über die DUS-Prüfung getroffen wurde, abzubrechen, etwa wenn es Probleme mit dem eingereichten Pflanzenmaterial gebe.</w:t>
      </w:r>
    </w:p>
    <w:p w:rsidR="004533FE" w:rsidRPr="00EC55B3" w:rsidRDefault="004533FE" w:rsidP="004533FE">
      <w:pPr>
        <w:jc w:val="left"/>
        <w:rPr>
          <w:lang w:val="de-DE"/>
        </w:rPr>
      </w:pPr>
    </w:p>
    <w:p w:rsidR="004533FE" w:rsidRPr="004533FE" w:rsidRDefault="004533FE" w:rsidP="004533FE">
      <w:pPr>
        <w:jc w:val="left"/>
        <w:rPr>
          <w:lang w:val="de-DE"/>
        </w:rPr>
      </w:pPr>
      <w:r w:rsidRPr="00EC55B3">
        <w:fldChar w:fldCharType="begin"/>
      </w:r>
      <w:r w:rsidRPr="00EC55B3">
        <w:rPr>
          <w:lang w:val="de-DE"/>
        </w:rPr>
        <w:instrText xml:space="preserve"> AUTONUM  </w:instrText>
      </w:r>
      <w:r w:rsidRPr="00EC55B3">
        <w:fldChar w:fldCharType="end"/>
      </w:r>
      <w:r w:rsidRPr="00EC55B3">
        <w:rPr>
          <w:lang w:val="de-DE"/>
        </w:rPr>
        <w:tab/>
        <w:t xml:space="preserve">Die TWC nahm die unterschiedlichen, von der TWA, TWV, TWO und TWF in Bezug auf den Text im zusätzlichen Standardwortlaut (ASW) 2 und der Erläuternden Anmerkung (GN) 8 zur Kenntnis und war sich </w:t>
      </w:r>
      <w:r w:rsidRPr="00EC55B3">
        <w:rPr>
          <w:lang w:val="de-DE"/>
        </w:rPr>
        <w:lastRenderedPageBreak/>
        <w:t>darin einig, daß es für die Behörde möglich sein sollte, die Prüfung abzubrechen, wenn das Ergebnis der Prüfung feststehe.</w:t>
      </w:r>
    </w:p>
    <w:p w:rsidR="004533FE" w:rsidRPr="004533FE" w:rsidRDefault="004533FE" w:rsidP="004533FE">
      <w:pPr>
        <w:rPr>
          <w:lang w:val="de-DE"/>
        </w:rPr>
      </w:pPr>
    </w:p>
    <w:p w:rsidR="004533FE" w:rsidRPr="0029344D" w:rsidRDefault="004533FE" w:rsidP="004533FE">
      <w:pPr>
        <w:autoSpaceDE w:val="0"/>
        <w:autoSpaceDN w:val="0"/>
        <w:adjustRightInd w:val="0"/>
        <w:spacing w:after="240"/>
        <w:rPr>
          <w:rFonts w:cs="Arial"/>
          <w:snapToGrid w:val="0"/>
          <w:lang w:val="de-DE"/>
        </w:rPr>
      </w:pPr>
      <w:r w:rsidRPr="00857EC8">
        <w:rPr>
          <w:rFonts w:cs="Arial"/>
          <w:snapToGrid w:val="0"/>
        </w:rPr>
        <w:fldChar w:fldCharType="begin"/>
      </w:r>
      <w:r w:rsidRPr="004533FE">
        <w:rPr>
          <w:rFonts w:cs="Arial"/>
          <w:snapToGrid w:val="0"/>
          <w:lang w:val="de-DE"/>
        </w:rPr>
        <w:instrText xml:space="preserve"> AUTONUM  </w:instrText>
      </w:r>
      <w:r w:rsidRPr="00857EC8">
        <w:rPr>
          <w:rFonts w:cs="Arial"/>
          <w:snapToGrid w:val="0"/>
        </w:rPr>
        <w:fldChar w:fldCharType="end"/>
      </w:r>
      <w:r w:rsidRPr="004533FE">
        <w:rPr>
          <w:snapToGrid w:val="0"/>
          <w:lang w:val="de-DE"/>
        </w:rPr>
        <w:tab/>
      </w:r>
      <w:r w:rsidRPr="0029344D">
        <w:rPr>
          <w:snapToGrid w:val="0"/>
          <w:lang w:val="de-DE"/>
        </w:rPr>
        <w:t>Die TWO stimmte darin überein, daß der Begriff „Wachstumsperiode“ zur Erläuterung der Dauer der DUS-P</w:t>
      </w:r>
      <w:r w:rsidR="001C600C">
        <w:rPr>
          <w:snapToGrid w:val="0"/>
          <w:lang w:val="de-DE"/>
        </w:rPr>
        <w:t>rüfung nicht präzise sei, da er</w:t>
      </w:r>
      <w:r w:rsidRPr="0029344D">
        <w:rPr>
          <w:snapToGrid w:val="0"/>
          <w:lang w:val="de-DE"/>
        </w:rPr>
        <w:t xml:space="preserve"> sich in erster Linie auf den Lebenszyklus einer Pflanze beziehe. Die TWO vereinbarte, die Möglichkeit zu prüfen, den Begriff „Wachstumsperiode“ in ASW 2(a) und (b) durch „Prüfungsperiode“ zu ersetzen, um klarzustellen, daß sich die Dauer der DUS-Prüfung auf den Zeitraum der Prüfung einer Sorte beziehe, unabhängig von der Anzahl der Lebenszyklen, die die Pflanze während de</w:t>
      </w:r>
      <w:r w:rsidR="00EC55B3" w:rsidRPr="0029344D">
        <w:rPr>
          <w:snapToGrid w:val="0"/>
          <w:lang w:val="de-DE"/>
        </w:rPr>
        <w:t>r DUS-Prüfung abgeschlossen hab</w:t>
      </w:r>
      <w:r w:rsidRPr="0029344D">
        <w:rPr>
          <w:snapToGrid w:val="0"/>
          <w:lang w:val="de-DE"/>
        </w:rPr>
        <w:t xml:space="preserve">e. </w:t>
      </w:r>
    </w:p>
    <w:p w:rsidR="004533FE" w:rsidRPr="0029344D" w:rsidRDefault="004533FE" w:rsidP="004533FE">
      <w:pPr>
        <w:autoSpaceDE w:val="0"/>
        <w:autoSpaceDN w:val="0"/>
        <w:adjustRightInd w:val="0"/>
        <w:spacing w:after="240"/>
        <w:rPr>
          <w:rFonts w:cs="Arial"/>
          <w:snapToGrid w:val="0"/>
          <w:lang w:val="de-DE"/>
        </w:rPr>
      </w:pPr>
      <w:r w:rsidRPr="0029344D">
        <w:rPr>
          <w:rFonts w:cs="Arial"/>
          <w:snapToGrid w:val="0"/>
        </w:rPr>
        <w:fldChar w:fldCharType="begin"/>
      </w:r>
      <w:r w:rsidRPr="0029344D">
        <w:rPr>
          <w:rFonts w:cs="Arial"/>
          <w:snapToGrid w:val="0"/>
          <w:lang w:val="de-DE"/>
        </w:rPr>
        <w:instrText xml:space="preserve"> AUTONUM  </w:instrText>
      </w:r>
      <w:r w:rsidRPr="0029344D">
        <w:rPr>
          <w:rFonts w:cs="Arial"/>
          <w:snapToGrid w:val="0"/>
        </w:rPr>
        <w:fldChar w:fldCharType="end"/>
      </w:r>
      <w:r w:rsidRPr="0029344D">
        <w:rPr>
          <w:snapToGrid w:val="0"/>
          <w:lang w:val="de-DE"/>
        </w:rPr>
        <w:tab/>
        <w:t>Die TWF kam überein, daß die Wachstumsperiode im Falle von Obst nicht unbedingt dem Lebenszyklus der Pflan</w:t>
      </w:r>
      <w:r w:rsidR="00EC55B3" w:rsidRPr="0029344D">
        <w:rPr>
          <w:snapToGrid w:val="0"/>
          <w:lang w:val="de-DE"/>
        </w:rPr>
        <w:t>ze entspreche</w:t>
      </w:r>
      <w:r w:rsidRPr="0029344D">
        <w:rPr>
          <w:snapToGrid w:val="0"/>
          <w:lang w:val="de-DE"/>
        </w:rPr>
        <w:t xml:space="preserve"> und bestätigte, daß es einen Unterschied zwischen dem Et</w:t>
      </w:r>
      <w:r w:rsidR="00EC55B3" w:rsidRPr="0029344D">
        <w:rPr>
          <w:snapToGrid w:val="0"/>
          <w:lang w:val="de-DE"/>
        </w:rPr>
        <w:t>ablierungszeitraum und dem Bewert</w:t>
      </w:r>
      <w:r w:rsidRPr="0029344D">
        <w:rPr>
          <w:snapToGrid w:val="0"/>
          <w:lang w:val="de-DE"/>
        </w:rPr>
        <w:t>ungszeitraum gebe.</w:t>
      </w:r>
    </w:p>
    <w:p w:rsidR="00EC55B3" w:rsidRPr="0029344D" w:rsidRDefault="004533FE" w:rsidP="004533FE">
      <w:pPr>
        <w:rPr>
          <w:lang w:val="de-DE"/>
        </w:rPr>
      </w:pPr>
      <w:r w:rsidRPr="0029344D">
        <w:rPr>
          <w:rFonts w:cs="Arial"/>
          <w:snapToGrid w:val="0"/>
        </w:rPr>
        <w:fldChar w:fldCharType="begin"/>
      </w:r>
      <w:r w:rsidRPr="0029344D">
        <w:rPr>
          <w:rFonts w:cs="Arial"/>
          <w:snapToGrid w:val="0"/>
          <w:lang w:val="de-DE"/>
        </w:rPr>
        <w:instrText xml:space="preserve"> AUTONUM  </w:instrText>
      </w:r>
      <w:r w:rsidRPr="0029344D">
        <w:rPr>
          <w:rFonts w:cs="Arial"/>
          <w:snapToGrid w:val="0"/>
        </w:rPr>
        <w:fldChar w:fldCharType="end"/>
      </w:r>
      <w:r w:rsidRPr="0029344D">
        <w:rPr>
          <w:snapToGrid w:val="0"/>
          <w:lang w:val="de-DE"/>
        </w:rPr>
        <w:tab/>
        <w:t>Die TWO begrüßte das Angebot eines Sachverständigen aus der Europäischen Union,</w:t>
      </w:r>
      <w:r w:rsidRPr="0029344D">
        <w:rPr>
          <w:lang w:val="de-DE"/>
        </w:rPr>
        <w:t xml:space="preserve"> Definitionen für Wachstumsperiode und Prüfungsperiode für Zierpflanzen vorzuschlagen, die auf ihrer nächsten Tagung vorgestellt werden sollen.</w:t>
      </w:r>
    </w:p>
    <w:p w:rsidR="004533FE" w:rsidRPr="0029344D" w:rsidRDefault="004533FE" w:rsidP="004533FE">
      <w:pPr>
        <w:rPr>
          <w:lang w:val="de-DE"/>
        </w:rPr>
      </w:pPr>
    </w:p>
    <w:p w:rsidR="004533FE" w:rsidRPr="0029344D" w:rsidRDefault="004533FE" w:rsidP="004533FE">
      <w:pPr>
        <w:rPr>
          <w:lang w:val="de-DE"/>
        </w:rPr>
      </w:pPr>
      <w:r w:rsidRPr="0029344D">
        <w:fldChar w:fldCharType="begin"/>
      </w:r>
      <w:r w:rsidRPr="0029344D">
        <w:rPr>
          <w:lang w:val="de-DE"/>
        </w:rPr>
        <w:instrText xml:space="preserve"> AUTONUM  </w:instrText>
      </w:r>
      <w:r w:rsidRPr="0029344D">
        <w:fldChar w:fldCharType="end"/>
      </w:r>
      <w:r w:rsidRPr="0029344D">
        <w:rPr>
          <w:lang w:val="de-DE"/>
        </w:rPr>
        <w:tab/>
        <w:t>Die TWA, TWV und TWF kamen überein, vorzuschlagen, daß besondere Situationen im Dokument TGP/7 als Erläuternde Anmerkung behandelt werden sollten, anstatt den Standardwortlaut zu ändern, wobei klarge</w:t>
      </w:r>
      <w:r w:rsidR="00EC55B3" w:rsidRPr="0029344D">
        <w:rPr>
          <w:lang w:val="de-DE"/>
        </w:rPr>
        <w:t>stellt wird, daß es Sache</w:t>
      </w:r>
      <w:r w:rsidRPr="0029344D">
        <w:rPr>
          <w:lang w:val="de-DE"/>
        </w:rPr>
        <w:t xml:space="preserve"> der Behörden ist, zu entscheiden, ob sie die Prüfung früher abbrechen oder nicht.</w:t>
      </w:r>
    </w:p>
    <w:p w:rsidR="004533FE" w:rsidRPr="0029344D" w:rsidRDefault="004533FE" w:rsidP="004533FE">
      <w:pPr>
        <w:rPr>
          <w:lang w:val="de-DE"/>
        </w:rPr>
      </w:pPr>
    </w:p>
    <w:p w:rsidR="00857EC8" w:rsidRPr="004533FE" w:rsidRDefault="004533FE" w:rsidP="00857EC8">
      <w:pPr>
        <w:rPr>
          <w:rFonts w:cs="Arial"/>
          <w:snapToGrid w:val="0"/>
          <w:lang w:val="de-DE"/>
        </w:rPr>
      </w:pPr>
      <w:r w:rsidRPr="0029344D">
        <w:rPr>
          <w:rFonts w:cs="Arial"/>
          <w:snapToGrid w:val="0"/>
        </w:rPr>
        <w:fldChar w:fldCharType="begin"/>
      </w:r>
      <w:r w:rsidRPr="0029344D">
        <w:rPr>
          <w:rFonts w:cs="Arial"/>
          <w:snapToGrid w:val="0"/>
          <w:lang w:val="de-DE"/>
        </w:rPr>
        <w:instrText xml:space="preserve"> AUTONUM  </w:instrText>
      </w:r>
      <w:r w:rsidRPr="0029344D">
        <w:rPr>
          <w:rFonts w:cs="Arial"/>
          <w:snapToGrid w:val="0"/>
        </w:rPr>
        <w:fldChar w:fldCharType="end"/>
      </w:r>
      <w:r w:rsidRPr="0029344D">
        <w:rPr>
          <w:snapToGrid w:val="0"/>
          <w:lang w:val="de-DE"/>
        </w:rPr>
        <w:tab/>
        <w:t>Die TWF vereinbarte, dem TC vorzuschlagen, den ASW2 unverändert zu belassen, aber vorzuschlagen, die GN 8 wie folgt zu ändern</w:t>
      </w:r>
      <w:r w:rsidRPr="004533FE">
        <w:rPr>
          <w:snapToGrid w:val="0"/>
          <w:lang w:val="de-DE"/>
        </w:rPr>
        <w:t xml:space="preserve"> </w:t>
      </w:r>
      <w:r w:rsidRPr="004533FE">
        <w:rPr>
          <w:lang w:val="de-DE"/>
        </w:rPr>
        <w:t xml:space="preserve">(vorgeschlagene Einfügung von Wortlaut wird durch </w:t>
      </w:r>
      <w:r w:rsidRPr="004533FE">
        <w:rPr>
          <w:highlight w:val="lightGray"/>
          <w:u w:val="single"/>
          <w:lang w:val="de-DE"/>
        </w:rPr>
        <w:t>Hervorheben und Unterstreichen</w:t>
      </w:r>
      <w:r w:rsidRPr="001C600C">
        <w:rPr>
          <w:lang w:val="de-DE"/>
        </w:rPr>
        <w:t xml:space="preserve"> </w:t>
      </w:r>
      <w:r w:rsidRPr="004533FE">
        <w:rPr>
          <w:lang w:val="de-DE"/>
        </w:rPr>
        <w:t>angezeigt</w:t>
      </w:r>
      <w:r w:rsidRPr="00EC55B3">
        <w:rPr>
          <w:lang w:val="de-DE"/>
        </w:rPr>
        <w:t>)</w:t>
      </w:r>
      <w:r w:rsidRPr="00EC55B3">
        <w:rPr>
          <w:snapToGrid w:val="0"/>
          <w:lang w:val="de-DE"/>
        </w:rPr>
        <w:t>:</w:t>
      </w:r>
    </w:p>
    <w:p w:rsidR="00857EC8" w:rsidRPr="004533FE" w:rsidRDefault="00857EC8" w:rsidP="00857EC8">
      <w:pPr>
        <w:rPr>
          <w:rFonts w:cs="Arial"/>
          <w:snapToGrid w:val="0"/>
          <w:lang w:val="de-DE"/>
        </w:rPr>
      </w:pPr>
    </w:p>
    <w:p w:rsidR="00857EC8" w:rsidRPr="00413F36" w:rsidRDefault="00857EC8" w:rsidP="00857EC8">
      <w:pPr>
        <w:ind w:left="567" w:right="567"/>
        <w:rPr>
          <w:u w:val="single"/>
          <w:lang w:val="de-DE"/>
        </w:rPr>
      </w:pPr>
      <w:r w:rsidRPr="00413F36">
        <w:rPr>
          <w:u w:val="single"/>
          <w:lang w:val="de-DE"/>
        </w:rPr>
        <w:t>GN 8 (</w:t>
      </w:r>
      <w:r w:rsidR="00F54568" w:rsidRPr="00413F36">
        <w:rPr>
          <w:u w:val="single"/>
          <w:lang w:val="de-DE"/>
        </w:rPr>
        <w:t>TG-Mustervorlage:</w:t>
      </w:r>
      <w:r w:rsidRPr="00413F36">
        <w:rPr>
          <w:u w:val="single"/>
          <w:lang w:val="de-DE"/>
        </w:rPr>
        <w:t xml:space="preserve"> </w:t>
      </w:r>
      <w:r w:rsidR="0063354F" w:rsidRPr="00413F36">
        <w:rPr>
          <w:u w:val="single"/>
          <w:lang w:val="de-DE"/>
        </w:rPr>
        <w:t>Kapitel</w:t>
      </w:r>
      <w:r w:rsidRPr="00413F36">
        <w:rPr>
          <w:u w:val="single"/>
          <w:lang w:val="de-DE"/>
        </w:rPr>
        <w:t xml:space="preserve"> 3.1.2) – </w:t>
      </w:r>
      <w:r w:rsidR="0063354F" w:rsidRPr="00413F36">
        <w:rPr>
          <w:u w:val="single"/>
          <w:lang w:val="de-DE"/>
        </w:rPr>
        <w:t>Erläuterung der Wachstumsperiode</w:t>
      </w:r>
    </w:p>
    <w:p w:rsidR="00857EC8" w:rsidRPr="00413F36" w:rsidRDefault="00857EC8" w:rsidP="00857EC8">
      <w:pPr>
        <w:ind w:left="567" w:right="567"/>
        <w:rPr>
          <w:u w:val="single"/>
          <w:lang w:val="de-DE"/>
        </w:rPr>
      </w:pPr>
    </w:p>
    <w:p w:rsidR="00857EC8" w:rsidRPr="00413F36" w:rsidRDefault="0063354F" w:rsidP="00857EC8">
      <w:pPr>
        <w:ind w:left="567" w:right="567"/>
        <w:rPr>
          <w:lang w:val="de-DE"/>
        </w:rPr>
      </w:pPr>
      <w:r w:rsidRPr="006C13A1">
        <w:rPr>
          <w:lang w:val="de-DE"/>
        </w:rPr>
        <w:t>Kapitel</w:t>
      </w:r>
      <w:r w:rsidR="00857EC8" w:rsidRPr="006C13A1">
        <w:rPr>
          <w:lang w:val="de-DE"/>
        </w:rPr>
        <w:t xml:space="preserve"> </w:t>
      </w:r>
      <w:r w:rsidR="00857EC8" w:rsidRPr="00413F36">
        <w:rPr>
          <w:lang w:val="de-DE"/>
        </w:rPr>
        <w:t xml:space="preserve">3.1 </w:t>
      </w:r>
      <w:r w:rsidR="00634B2E" w:rsidRPr="00413F36">
        <w:rPr>
          <w:lang w:val="de-DE"/>
        </w:rPr>
        <w:t>gibt die Anzahl Wachstumsperioden an</w:t>
      </w:r>
      <w:r w:rsidR="00857EC8" w:rsidRPr="00413F36">
        <w:rPr>
          <w:lang w:val="de-DE"/>
        </w:rPr>
        <w:t xml:space="preserve">. </w:t>
      </w:r>
      <w:r w:rsidR="00634B2E" w:rsidRPr="00413F36">
        <w:rPr>
          <w:lang w:val="de-DE"/>
        </w:rPr>
        <w:t>In einigen Fällen kann es notwendig sein</w:t>
      </w:r>
      <w:r w:rsidR="001C600C">
        <w:rPr>
          <w:lang w:val="de-DE"/>
        </w:rPr>
        <w:t>,</w:t>
      </w:r>
      <w:r w:rsidR="00634B2E" w:rsidRPr="00413F36">
        <w:rPr>
          <w:lang w:val="de-DE"/>
        </w:rPr>
        <w:t xml:space="preserve"> zu klären, was unter einer „Wachstumsperiode“ zu verstehen ist. Für bestimmte Situationen wurde ein zusätzlicher Standardwortlaut entwickelt </w:t>
      </w:r>
      <w:r w:rsidR="00857EC8" w:rsidRPr="00413F36">
        <w:rPr>
          <w:lang w:val="de-DE"/>
        </w:rPr>
        <w:t>(</w:t>
      </w:r>
      <w:r w:rsidR="00634B2E" w:rsidRPr="00413F36">
        <w:rPr>
          <w:bCs/>
          <w:lang w:val="de-DE"/>
        </w:rPr>
        <w:t>vergleiche</w:t>
      </w:r>
      <w:r w:rsidR="00857EC8" w:rsidRPr="00413F36">
        <w:rPr>
          <w:lang w:val="de-DE"/>
        </w:rPr>
        <w:t xml:space="preserve"> ASW 3).</w:t>
      </w:r>
    </w:p>
    <w:p w:rsidR="00857EC8" w:rsidRPr="00413F36" w:rsidRDefault="00857EC8" w:rsidP="00857EC8">
      <w:pPr>
        <w:ind w:left="567" w:right="567"/>
        <w:rPr>
          <w:highlight w:val="yellow"/>
          <w:lang w:val="de-DE"/>
        </w:rPr>
      </w:pPr>
    </w:p>
    <w:p w:rsidR="004533FE" w:rsidRPr="004533FE" w:rsidRDefault="004533FE" w:rsidP="004533FE">
      <w:pPr>
        <w:ind w:left="567" w:right="567"/>
        <w:rPr>
          <w:lang w:val="de-DE"/>
        </w:rPr>
      </w:pPr>
      <w:r w:rsidRPr="004533FE">
        <w:rPr>
          <w:highlight w:val="lightGray"/>
          <w:u w:val="single"/>
          <w:lang w:val="de-DE"/>
        </w:rPr>
        <w:t>„Die Prüfung einer Sorte kann zu dem Zeitpunkt, zu dem die zuständige Behörde das Ergebnis der Prüfung mit Sicherheit bestimmen kann, früher oder später abgebrochen werden</w:t>
      </w:r>
      <w:r w:rsidRPr="004533FE">
        <w:rPr>
          <w:highlight w:val="lightGray"/>
          <w:lang w:val="de-DE"/>
        </w:rPr>
        <w:t>.“</w:t>
      </w:r>
    </w:p>
    <w:p w:rsidR="00857EC8" w:rsidRPr="006E434C" w:rsidRDefault="004533FE" w:rsidP="004533FE">
      <w:pPr>
        <w:ind w:left="567" w:right="567"/>
        <w:rPr>
          <w:u w:val="single"/>
          <w:lang w:val="de-DE"/>
        </w:rPr>
      </w:pPr>
      <w:r w:rsidRPr="004533FE">
        <w:rPr>
          <w:highlight w:val="lightGray"/>
          <w:u w:val="single"/>
          <w:lang w:val="de-DE"/>
        </w:rPr>
        <w:t xml:space="preserve"> </w:t>
      </w:r>
    </w:p>
    <w:p w:rsidR="00857EC8" w:rsidRPr="006E434C" w:rsidRDefault="00857EC8" w:rsidP="00857EC8">
      <w:pPr>
        <w:jc w:val="left"/>
        <w:rPr>
          <w:lang w:val="de-DE"/>
        </w:rPr>
      </w:pPr>
    </w:p>
    <w:p w:rsidR="00772F6D" w:rsidRPr="006E434C" w:rsidRDefault="00772F6D" w:rsidP="00857EC8">
      <w:pPr>
        <w:jc w:val="left"/>
        <w:rPr>
          <w:lang w:val="de-DE"/>
        </w:rPr>
      </w:pPr>
    </w:p>
    <w:p w:rsidR="006E27FE" w:rsidRPr="00413F36" w:rsidRDefault="007B2559" w:rsidP="006E27FE">
      <w:pPr>
        <w:keepNext/>
        <w:outlineLvl w:val="0"/>
        <w:rPr>
          <w:caps/>
          <w:lang w:val="de-DE"/>
        </w:rPr>
      </w:pPr>
      <w:bookmarkStart w:id="11" w:name="_Toc526858773"/>
      <w:r w:rsidRPr="00413F36">
        <w:rPr>
          <w:caps/>
          <w:lang w:val="de-DE"/>
        </w:rPr>
        <w:t xml:space="preserve">Entwicklungen im Jahr </w:t>
      </w:r>
      <w:r w:rsidR="006E27FE" w:rsidRPr="00413F36">
        <w:rPr>
          <w:caps/>
          <w:lang w:val="de-DE"/>
        </w:rPr>
        <w:t>2018</w:t>
      </w:r>
      <w:bookmarkEnd w:id="11"/>
    </w:p>
    <w:p w:rsidR="00857EC8" w:rsidRPr="00413F36" w:rsidRDefault="00857EC8" w:rsidP="00857EC8">
      <w:pPr>
        <w:jc w:val="left"/>
        <w:rPr>
          <w:lang w:val="de-DE"/>
        </w:rPr>
      </w:pPr>
    </w:p>
    <w:p w:rsidR="00857EC8" w:rsidRPr="00413F36" w:rsidRDefault="00F20788" w:rsidP="00857EC8">
      <w:pPr>
        <w:keepNext/>
        <w:outlineLvl w:val="1"/>
        <w:rPr>
          <w:u w:val="single"/>
          <w:lang w:val="de-DE"/>
        </w:rPr>
      </w:pPr>
      <w:bookmarkStart w:id="12" w:name="_Toc526858774"/>
      <w:r w:rsidRPr="00413F36">
        <w:rPr>
          <w:u w:val="single"/>
          <w:lang w:val="de-DE"/>
        </w:rPr>
        <w:t>Erweiterter Redaktionsausschuß</w:t>
      </w:r>
      <w:bookmarkEnd w:id="12"/>
    </w:p>
    <w:p w:rsidR="00857EC8" w:rsidRPr="00413F36" w:rsidRDefault="00857EC8" w:rsidP="00857EC8">
      <w:pPr>
        <w:jc w:val="left"/>
        <w:rPr>
          <w:bCs/>
          <w:lang w:val="de-DE"/>
        </w:rPr>
      </w:pPr>
    </w:p>
    <w:p w:rsidR="00857EC8" w:rsidRPr="00413F36" w:rsidRDefault="00857EC8" w:rsidP="00857EC8">
      <w:pPr>
        <w:rPr>
          <w:bCs/>
          <w:lang w:val="de-DE"/>
        </w:rPr>
      </w:pPr>
      <w:r w:rsidRPr="00857EC8">
        <w:rPr>
          <w:bCs/>
        </w:rPr>
        <w:fldChar w:fldCharType="begin"/>
      </w:r>
      <w:r w:rsidRPr="00413F36">
        <w:rPr>
          <w:bCs/>
          <w:lang w:val="de-DE"/>
        </w:rPr>
        <w:instrText xml:space="preserve"> AUTONUM  </w:instrText>
      </w:r>
      <w:r w:rsidRPr="00857EC8">
        <w:fldChar w:fldCharType="end"/>
      </w:r>
      <w:r w:rsidRPr="00413F36">
        <w:rPr>
          <w:bCs/>
          <w:lang w:val="de-DE"/>
        </w:rPr>
        <w:tab/>
      </w:r>
      <w:r w:rsidR="0001133D" w:rsidRPr="00413F36">
        <w:rPr>
          <w:bCs/>
          <w:lang w:val="de-DE"/>
        </w:rPr>
        <w:t xml:space="preserve">Der TC-EDC prüfte auf seiner Sitzung am 26. und 27. März 2018 in Genf Dokument </w:t>
      </w:r>
      <w:r w:rsidRPr="00413F36">
        <w:rPr>
          <w:bCs/>
          <w:lang w:val="de-DE"/>
        </w:rPr>
        <w:t>TC</w:t>
      </w:r>
      <w:r w:rsidRPr="00413F36">
        <w:rPr>
          <w:bCs/>
          <w:lang w:val="de-DE"/>
        </w:rPr>
        <w:noBreakHyphen/>
        <w:t xml:space="preserve">EDC/Mar18/12 </w:t>
      </w:r>
      <w:r w:rsidR="0001133D" w:rsidRPr="00413F36">
        <w:rPr>
          <w:bCs/>
          <w:lang w:val="de-DE"/>
        </w:rPr>
        <w:t>„Dauer von DUS-Prüfungen</w:t>
      </w:r>
      <w:r w:rsidR="008C5389" w:rsidRPr="00413F36">
        <w:rPr>
          <w:bCs/>
          <w:lang w:val="de-DE"/>
        </w:rPr>
        <w:t xml:space="preserve">“ </w:t>
      </w:r>
      <w:r w:rsidRPr="00413F36">
        <w:rPr>
          <w:bCs/>
          <w:lang w:val="de-DE"/>
        </w:rPr>
        <w:t>(</w:t>
      </w:r>
      <w:r w:rsidR="00B849FF" w:rsidRPr="00413F36">
        <w:rPr>
          <w:bCs/>
          <w:lang w:val="de-DE"/>
        </w:rPr>
        <w:t xml:space="preserve">vergleiche Dokument </w:t>
      </w:r>
      <w:r w:rsidR="00822AA6" w:rsidRPr="00413F36">
        <w:rPr>
          <w:bCs/>
          <w:lang w:val="de-DE"/>
        </w:rPr>
        <w:t>TC</w:t>
      </w:r>
      <w:r w:rsidR="00822AA6" w:rsidRPr="00413F36">
        <w:rPr>
          <w:bCs/>
          <w:lang w:val="de-DE"/>
        </w:rPr>
        <w:noBreakHyphen/>
        <w:t xml:space="preserve">EDC/Mar18/11 </w:t>
      </w:r>
      <w:r w:rsidR="0001133D" w:rsidRPr="00413F36">
        <w:rPr>
          <w:bCs/>
          <w:lang w:val="de-DE"/>
        </w:rPr>
        <w:t>„</w:t>
      </w:r>
      <w:r w:rsidR="00D30F31" w:rsidRPr="00413F36">
        <w:rPr>
          <w:bCs/>
          <w:lang w:val="de-DE"/>
        </w:rPr>
        <w:t>Bericht</w:t>
      </w:r>
      <w:r w:rsidR="008C5389" w:rsidRPr="00413F36">
        <w:rPr>
          <w:bCs/>
          <w:lang w:val="de-DE"/>
        </w:rPr>
        <w:t>“</w:t>
      </w:r>
      <w:r w:rsidRPr="00413F36">
        <w:rPr>
          <w:bCs/>
          <w:lang w:val="de-DE"/>
        </w:rPr>
        <w:t xml:space="preserve">, </w:t>
      </w:r>
      <w:r w:rsidR="00D30F31" w:rsidRPr="00413F36">
        <w:rPr>
          <w:bCs/>
          <w:lang w:val="de-DE"/>
        </w:rPr>
        <w:t>Absätze</w:t>
      </w:r>
      <w:r w:rsidRPr="00413F36">
        <w:rPr>
          <w:bCs/>
          <w:lang w:val="de-DE"/>
        </w:rPr>
        <w:t xml:space="preserve"> 14 </w:t>
      </w:r>
      <w:r w:rsidR="00D30F31" w:rsidRPr="00413F36">
        <w:rPr>
          <w:bCs/>
          <w:lang w:val="de-DE"/>
        </w:rPr>
        <w:t>bis</w:t>
      </w:r>
      <w:r w:rsidRPr="00413F36">
        <w:rPr>
          <w:bCs/>
          <w:lang w:val="de-DE"/>
        </w:rPr>
        <w:t xml:space="preserve"> 16). </w:t>
      </w:r>
    </w:p>
    <w:p w:rsidR="00857EC8" w:rsidRPr="00413F36" w:rsidRDefault="00857EC8" w:rsidP="00857EC8">
      <w:pPr>
        <w:rPr>
          <w:bCs/>
          <w:lang w:val="de-DE"/>
        </w:rPr>
      </w:pPr>
    </w:p>
    <w:p w:rsidR="004533FE" w:rsidRPr="00B34ED9" w:rsidRDefault="00857EC8" w:rsidP="004533FE">
      <w:pPr>
        <w:rPr>
          <w:bCs/>
          <w:lang w:val="de-DE"/>
        </w:rPr>
      </w:pPr>
      <w:r w:rsidRPr="00857EC8">
        <w:rPr>
          <w:bCs/>
        </w:rPr>
        <w:fldChar w:fldCharType="begin"/>
      </w:r>
      <w:r w:rsidRPr="004533FE">
        <w:rPr>
          <w:bCs/>
          <w:lang w:val="de-DE"/>
        </w:rPr>
        <w:instrText xml:space="preserve"> AUTONUM  </w:instrText>
      </w:r>
      <w:r w:rsidRPr="00857EC8">
        <w:fldChar w:fldCharType="end"/>
      </w:r>
      <w:r w:rsidRPr="004533FE">
        <w:rPr>
          <w:bCs/>
          <w:lang w:val="de-DE"/>
        </w:rPr>
        <w:tab/>
      </w:r>
      <w:r w:rsidR="004533FE" w:rsidRPr="00B34ED9">
        <w:rPr>
          <w:bCs/>
          <w:lang w:val="de-DE"/>
        </w:rPr>
        <w:t>Der TC-EDC prüfte den Vorschlag zur Änderung des Dokuments TGP/7, um klarzustellen, daß es Entscheidung der Behörden sei, die DUS-Prüfung vor dem normalen Zeitraum abzubrechen oder nicht. Der TC-EDC nahm zur Kenntnis, daß der vorgeschlagene Text für eine Erläuternde Anmerkung (GN8) als Standard- oder als zusätzlicher Standardwortlaut in der Prüfungsrichtlinie angegeben werden soll, um von Lesern der Richtlinie gesehen zu werden.</w:t>
      </w:r>
      <w:r w:rsidR="004533FE" w:rsidRPr="00B34ED9">
        <w:rPr>
          <w:lang w:val="de-DE"/>
        </w:rPr>
        <w:t xml:space="preserve"> </w:t>
      </w:r>
    </w:p>
    <w:p w:rsidR="004533FE" w:rsidRPr="00B34ED9" w:rsidRDefault="004533FE" w:rsidP="004533FE">
      <w:pPr>
        <w:rPr>
          <w:bCs/>
          <w:lang w:val="de-DE"/>
        </w:rPr>
      </w:pPr>
    </w:p>
    <w:p w:rsidR="00857EC8" w:rsidRPr="004533FE" w:rsidRDefault="004533FE" w:rsidP="00857EC8">
      <w:pPr>
        <w:rPr>
          <w:bCs/>
          <w:lang w:val="de-DE"/>
        </w:rPr>
      </w:pPr>
      <w:r w:rsidRPr="00B34ED9">
        <w:rPr>
          <w:bCs/>
        </w:rPr>
        <w:fldChar w:fldCharType="begin"/>
      </w:r>
      <w:r w:rsidRPr="00B34ED9">
        <w:rPr>
          <w:bCs/>
          <w:lang w:val="de-DE"/>
        </w:rPr>
        <w:instrText xml:space="preserve"> AUTONUM  </w:instrText>
      </w:r>
      <w:r w:rsidRPr="00B34ED9">
        <w:fldChar w:fldCharType="end"/>
      </w:r>
      <w:r w:rsidRPr="00B34ED9">
        <w:rPr>
          <w:lang w:val="de-DE"/>
        </w:rPr>
        <w:tab/>
      </w:r>
      <w:r w:rsidRPr="00B34ED9">
        <w:rPr>
          <w:bCs/>
          <w:lang w:val="de-DE"/>
        </w:rPr>
        <w:t>Der TC-EDC nahm die möglichen Auswirkungen der Anzahl der Wachstumsperioden auf die Qualität der Sortenbeschreibungen zur Kenntnis und kam darin überein, die TWP zu ersuchen, folgenden Vorschlag der TWF auf ihren Tagungen im Jahr 2018 zu prüfen</w:t>
      </w:r>
      <w:r w:rsidRPr="004533FE">
        <w:rPr>
          <w:lang w:val="de-DE"/>
        </w:rPr>
        <w:t xml:space="preserve"> (vorgeschlagene Einfügung von Wortlaut wird angezeigt durch </w:t>
      </w:r>
      <w:r w:rsidRPr="004533FE">
        <w:rPr>
          <w:highlight w:val="lightGray"/>
          <w:u w:val="single"/>
          <w:lang w:val="de-DE"/>
        </w:rPr>
        <w:t>Hervorheben und Unterstreichen)</w:t>
      </w:r>
      <w:r w:rsidRPr="001C600C">
        <w:rPr>
          <w:snapToGrid w:val="0"/>
          <w:lang w:val="de-DE"/>
        </w:rPr>
        <w:t>:</w:t>
      </w:r>
    </w:p>
    <w:p w:rsidR="00857EC8" w:rsidRPr="004533FE" w:rsidRDefault="00857EC8" w:rsidP="00857EC8">
      <w:pPr>
        <w:rPr>
          <w:rFonts w:cs="Arial"/>
          <w:snapToGrid w:val="0"/>
          <w:lang w:val="de-DE"/>
        </w:rPr>
      </w:pPr>
    </w:p>
    <w:p w:rsidR="00857EC8" w:rsidRPr="00413F36" w:rsidRDefault="0001133D" w:rsidP="00857EC8">
      <w:pPr>
        <w:ind w:left="567" w:right="567"/>
        <w:rPr>
          <w:sz w:val="18"/>
          <w:u w:val="single"/>
          <w:lang w:val="de-DE"/>
        </w:rPr>
      </w:pPr>
      <w:r w:rsidRPr="00413F36">
        <w:rPr>
          <w:bCs/>
          <w:lang w:val="de-DE"/>
        </w:rPr>
        <w:t>„</w:t>
      </w:r>
      <w:r w:rsidR="00857EC8" w:rsidRPr="00413F36">
        <w:rPr>
          <w:sz w:val="18"/>
          <w:u w:val="single"/>
          <w:lang w:val="de-DE"/>
        </w:rPr>
        <w:t>GN 8 (</w:t>
      </w:r>
      <w:r w:rsidR="00F54568" w:rsidRPr="00413F36">
        <w:rPr>
          <w:sz w:val="18"/>
          <w:u w:val="single"/>
          <w:lang w:val="de-DE"/>
        </w:rPr>
        <w:t>TG-Mustervorlage:</w:t>
      </w:r>
      <w:r w:rsidR="00857EC8" w:rsidRPr="00413F36">
        <w:rPr>
          <w:sz w:val="18"/>
          <w:u w:val="single"/>
          <w:lang w:val="de-DE"/>
        </w:rPr>
        <w:t xml:space="preserve"> </w:t>
      </w:r>
      <w:r w:rsidR="00D27EBB" w:rsidRPr="00413F36">
        <w:rPr>
          <w:sz w:val="18"/>
          <w:u w:val="single"/>
          <w:lang w:val="de-DE"/>
        </w:rPr>
        <w:t>Kapitel</w:t>
      </w:r>
      <w:r w:rsidR="00857EC8" w:rsidRPr="00413F36">
        <w:rPr>
          <w:sz w:val="18"/>
          <w:u w:val="single"/>
          <w:lang w:val="de-DE"/>
        </w:rPr>
        <w:t xml:space="preserve"> 3.1.2) – </w:t>
      </w:r>
      <w:r w:rsidR="00D27EBB" w:rsidRPr="00413F36">
        <w:rPr>
          <w:sz w:val="18"/>
          <w:u w:val="single"/>
          <w:lang w:val="de-DE"/>
        </w:rPr>
        <w:t>Erläuterung der Wachstumsperiode</w:t>
      </w:r>
    </w:p>
    <w:p w:rsidR="00857EC8" w:rsidRPr="00413F36" w:rsidRDefault="00857EC8" w:rsidP="00857EC8">
      <w:pPr>
        <w:ind w:left="567" w:right="567"/>
        <w:rPr>
          <w:sz w:val="18"/>
          <w:u w:val="single"/>
          <w:lang w:val="de-DE"/>
        </w:rPr>
      </w:pPr>
    </w:p>
    <w:p w:rsidR="00857EC8" w:rsidRPr="00413F36" w:rsidRDefault="00D27EBB" w:rsidP="00857EC8">
      <w:pPr>
        <w:ind w:left="567" w:right="567"/>
        <w:rPr>
          <w:sz w:val="18"/>
          <w:lang w:val="de-DE"/>
        </w:rPr>
      </w:pPr>
      <w:r w:rsidRPr="00413F36">
        <w:rPr>
          <w:sz w:val="18"/>
          <w:lang w:val="de-DE"/>
        </w:rPr>
        <w:t>Kapitel</w:t>
      </w:r>
      <w:r w:rsidR="00857EC8" w:rsidRPr="00413F36">
        <w:rPr>
          <w:sz w:val="18"/>
          <w:lang w:val="de-DE"/>
        </w:rPr>
        <w:t xml:space="preserve"> 3.1 </w:t>
      </w:r>
      <w:r w:rsidR="00F74E1A" w:rsidRPr="00413F36">
        <w:rPr>
          <w:sz w:val="18"/>
          <w:lang w:val="de-DE"/>
        </w:rPr>
        <w:t>gibt die Anzahl Wachstumsperioden an</w:t>
      </w:r>
      <w:r w:rsidR="00857EC8" w:rsidRPr="00413F36">
        <w:rPr>
          <w:sz w:val="18"/>
          <w:lang w:val="de-DE"/>
        </w:rPr>
        <w:t xml:space="preserve">. </w:t>
      </w:r>
      <w:r w:rsidR="00F74E1A" w:rsidRPr="00413F36">
        <w:rPr>
          <w:sz w:val="18"/>
          <w:lang w:val="de-DE"/>
        </w:rPr>
        <w:t xml:space="preserve">In einigen Fällen kann es notwendig sein zu klären, was unter einer „Wachstumsperiode“ zu verstehen ist. Für bestimmte Situationen wurde ein zusätzlicher Standardwortlaut entwickelt </w:t>
      </w:r>
      <w:r w:rsidR="00857EC8" w:rsidRPr="00413F36">
        <w:rPr>
          <w:sz w:val="18"/>
          <w:lang w:val="de-DE"/>
        </w:rPr>
        <w:t>(</w:t>
      </w:r>
      <w:r w:rsidR="00F74E1A" w:rsidRPr="00413F36">
        <w:rPr>
          <w:sz w:val="18"/>
          <w:lang w:val="de-DE"/>
        </w:rPr>
        <w:t>vergleiche</w:t>
      </w:r>
      <w:r w:rsidR="00857EC8" w:rsidRPr="00413F36">
        <w:rPr>
          <w:sz w:val="18"/>
          <w:lang w:val="de-DE"/>
        </w:rPr>
        <w:t xml:space="preserve"> ASW 3).</w:t>
      </w:r>
    </w:p>
    <w:p w:rsidR="00857EC8" w:rsidRPr="00413F36" w:rsidRDefault="00857EC8" w:rsidP="00857EC8">
      <w:pPr>
        <w:ind w:left="567" w:right="567"/>
        <w:rPr>
          <w:sz w:val="18"/>
          <w:highlight w:val="yellow"/>
          <w:lang w:val="de-DE"/>
        </w:rPr>
      </w:pPr>
    </w:p>
    <w:p w:rsidR="004533FE" w:rsidRPr="001C600C" w:rsidRDefault="008C5389" w:rsidP="004533FE">
      <w:pPr>
        <w:ind w:left="567" w:right="567"/>
        <w:rPr>
          <w:sz w:val="18"/>
          <w:lang w:val="de-DE"/>
        </w:rPr>
      </w:pPr>
      <w:r w:rsidRPr="004533FE">
        <w:rPr>
          <w:bCs/>
          <w:lang w:val="de-DE"/>
        </w:rPr>
        <w:lastRenderedPageBreak/>
        <w:t>„</w:t>
      </w:r>
      <w:r w:rsidR="004533FE" w:rsidRPr="004533FE">
        <w:rPr>
          <w:sz w:val="18"/>
          <w:highlight w:val="lightGray"/>
          <w:u w:val="single"/>
          <w:lang w:val="de-DE"/>
        </w:rPr>
        <w:t xml:space="preserve">Die Prüfung einer Sorte kann </w:t>
      </w:r>
      <w:r w:rsidR="00B34ED9" w:rsidRPr="004533FE">
        <w:rPr>
          <w:sz w:val="18"/>
          <w:highlight w:val="lightGray"/>
          <w:u w:val="single"/>
          <w:lang w:val="de-DE"/>
        </w:rPr>
        <w:t xml:space="preserve">früher oder später </w:t>
      </w:r>
      <w:r w:rsidR="004533FE" w:rsidRPr="004533FE">
        <w:rPr>
          <w:sz w:val="18"/>
          <w:highlight w:val="lightGray"/>
          <w:u w:val="single"/>
          <w:lang w:val="de-DE"/>
        </w:rPr>
        <w:t xml:space="preserve">zu dem Zeitpunkt, zu dem die zuständige Behörde das Ergebnis der Prüfung mit Sicherheit bestimmen kann, </w:t>
      </w:r>
      <w:r w:rsidR="00B34ED9">
        <w:rPr>
          <w:sz w:val="18"/>
          <w:highlight w:val="lightGray"/>
          <w:u w:val="single"/>
          <w:lang w:val="de-DE"/>
        </w:rPr>
        <w:t>abgeschlossen</w:t>
      </w:r>
      <w:r w:rsidR="004533FE" w:rsidRPr="004533FE">
        <w:rPr>
          <w:sz w:val="18"/>
          <w:highlight w:val="lightGray"/>
          <w:u w:val="single"/>
          <w:lang w:val="de-DE"/>
        </w:rPr>
        <w:t xml:space="preserve"> werden</w:t>
      </w:r>
      <w:r w:rsidR="004533FE" w:rsidRPr="001C600C">
        <w:rPr>
          <w:sz w:val="18"/>
          <w:lang w:val="de-DE"/>
        </w:rPr>
        <w:t>.“</w:t>
      </w:r>
    </w:p>
    <w:p w:rsidR="00857EC8" w:rsidRPr="00B34ED9" w:rsidRDefault="00857EC8" w:rsidP="00857EC8">
      <w:pPr>
        <w:autoSpaceDE w:val="0"/>
        <w:autoSpaceDN w:val="0"/>
        <w:adjustRightInd w:val="0"/>
        <w:rPr>
          <w:lang w:val="de-DE"/>
        </w:rPr>
      </w:pPr>
    </w:p>
    <w:p w:rsidR="006E27FE" w:rsidRPr="00086743" w:rsidRDefault="00056A2E" w:rsidP="00BF6283">
      <w:pPr>
        <w:pStyle w:val="Heading2"/>
        <w:rPr>
          <w:lang w:val="de-DE"/>
        </w:rPr>
      </w:pPr>
      <w:bookmarkStart w:id="13" w:name="_Toc526858775"/>
      <w:r w:rsidRPr="00086743">
        <w:rPr>
          <w:lang w:val="de-DE"/>
        </w:rPr>
        <w:t>Bemerkungen der technischen Arbeitsgruppen</w:t>
      </w:r>
      <w:bookmarkEnd w:id="13"/>
    </w:p>
    <w:p w:rsidR="00056A2E" w:rsidRPr="00413F36" w:rsidRDefault="00056A2E" w:rsidP="00857EC8">
      <w:pPr>
        <w:autoSpaceDE w:val="0"/>
        <w:autoSpaceDN w:val="0"/>
        <w:adjustRightInd w:val="0"/>
        <w:rPr>
          <w:lang w:val="de-DE"/>
        </w:rPr>
      </w:pPr>
    </w:p>
    <w:p w:rsidR="002A1EA0" w:rsidRPr="00413F36" w:rsidRDefault="002A1EA0" w:rsidP="002A1EA0">
      <w:pPr>
        <w:keepNext/>
        <w:rPr>
          <w:lang w:val="de-DE"/>
        </w:rPr>
      </w:pPr>
      <w:r w:rsidRPr="002E42C1">
        <w:fldChar w:fldCharType="begin"/>
      </w:r>
      <w:r w:rsidRPr="00413F36">
        <w:rPr>
          <w:lang w:val="de-DE"/>
        </w:rPr>
        <w:instrText xml:space="preserve"> AUTONUM  </w:instrText>
      </w:r>
      <w:r w:rsidRPr="002E42C1">
        <w:fldChar w:fldCharType="end"/>
      </w:r>
      <w:r w:rsidRPr="00413F36">
        <w:rPr>
          <w:lang w:val="de-DE"/>
        </w:rPr>
        <w:tab/>
      </w:r>
      <w:r w:rsidR="00EA786C" w:rsidRPr="00413F36">
        <w:rPr>
          <w:lang w:val="de-DE"/>
        </w:rPr>
        <w:t>Die</w:t>
      </w:r>
      <w:r w:rsidRPr="00413F36">
        <w:rPr>
          <w:lang w:val="de-DE"/>
        </w:rPr>
        <w:t xml:space="preserve"> TWA</w:t>
      </w:r>
      <w:r w:rsidR="00EA786C" w:rsidRPr="00413F36">
        <w:rPr>
          <w:lang w:val="de-DE"/>
        </w:rPr>
        <w:t>, TWC u</w:t>
      </w:r>
      <w:r w:rsidR="00C33C7B" w:rsidRPr="00413F36">
        <w:rPr>
          <w:lang w:val="de-DE"/>
        </w:rPr>
        <w:t xml:space="preserve">nd </w:t>
      </w:r>
      <w:r w:rsidR="00EA786C" w:rsidRPr="00413F36">
        <w:rPr>
          <w:lang w:val="de-DE"/>
        </w:rPr>
        <w:t xml:space="preserve">die </w:t>
      </w:r>
      <w:r w:rsidR="00C33C7B" w:rsidRPr="00413F36">
        <w:rPr>
          <w:lang w:val="de-DE"/>
        </w:rPr>
        <w:t>TWV</w:t>
      </w:r>
      <w:r w:rsidRPr="00413F36">
        <w:rPr>
          <w:lang w:val="de-DE"/>
        </w:rPr>
        <w:t xml:space="preserve"> </w:t>
      </w:r>
      <w:r w:rsidR="00EA786C" w:rsidRPr="00413F36">
        <w:rPr>
          <w:lang w:val="de-DE"/>
        </w:rPr>
        <w:t xml:space="preserve">prüften Dokument </w:t>
      </w:r>
      <w:hyperlink r:id="rId9" w:history="1">
        <w:r w:rsidRPr="00086743">
          <w:rPr>
            <w:rStyle w:val="Hyperlink"/>
            <w:lang w:val="de-DE"/>
          </w:rPr>
          <w:t>TWP/2/9</w:t>
        </w:r>
      </w:hyperlink>
      <w:r w:rsidRPr="00413F36">
        <w:rPr>
          <w:lang w:val="de-DE"/>
        </w:rPr>
        <w:t xml:space="preserve"> </w:t>
      </w:r>
      <w:r w:rsidR="007939BF" w:rsidRPr="00413F36">
        <w:rPr>
          <w:bCs/>
          <w:lang w:val="de-DE"/>
        </w:rPr>
        <w:t>„</w:t>
      </w:r>
      <w:r w:rsidR="00D30F31" w:rsidRPr="00413F36">
        <w:rPr>
          <w:lang w:val="de-DE"/>
        </w:rPr>
        <w:t>Dauer von DUS-Prüfungen</w:t>
      </w:r>
      <w:r w:rsidR="00CE4BB4" w:rsidRPr="00413F36">
        <w:rPr>
          <w:sz w:val="18"/>
          <w:lang w:val="de-DE"/>
        </w:rPr>
        <w:t>“</w:t>
      </w:r>
      <w:r w:rsidRPr="00413F36">
        <w:rPr>
          <w:lang w:val="de-DE"/>
        </w:rPr>
        <w:t xml:space="preserve"> (</w:t>
      </w:r>
      <w:r w:rsidR="00D30F31" w:rsidRPr="00413F36">
        <w:rPr>
          <w:lang w:val="de-DE"/>
        </w:rPr>
        <w:t>vergleiche Dokumente</w:t>
      </w:r>
      <w:r w:rsidR="008F326C" w:rsidRPr="00413F36">
        <w:rPr>
          <w:lang w:val="de-DE"/>
        </w:rPr>
        <w:t> </w:t>
      </w:r>
      <w:r w:rsidRPr="00413F36">
        <w:rPr>
          <w:lang w:val="de-DE"/>
        </w:rPr>
        <w:t xml:space="preserve">TWA/47/7 </w:t>
      </w:r>
      <w:r w:rsidR="00D30F31" w:rsidRPr="00413F36">
        <w:rPr>
          <w:lang w:val="de-DE"/>
        </w:rPr>
        <w:t>„Bericht</w:t>
      </w:r>
      <w:r w:rsidR="00CE4BB4" w:rsidRPr="00413F36">
        <w:rPr>
          <w:sz w:val="18"/>
          <w:lang w:val="de-DE"/>
        </w:rPr>
        <w:t>“</w:t>
      </w:r>
      <w:r w:rsidR="00D30F31" w:rsidRPr="00413F36">
        <w:rPr>
          <w:lang w:val="de-DE"/>
        </w:rPr>
        <w:t>, Absätze</w:t>
      </w:r>
      <w:r w:rsidRPr="00413F36">
        <w:rPr>
          <w:lang w:val="de-DE"/>
        </w:rPr>
        <w:t xml:space="preserve"> 26 </w:t>
      </w:r>
      <w:r w:rsidR="00D30F31" w:rsidRPr="00413F36">
        <w:rPr>
          <w:lang w:val="de-DE"/>
        </w:rPr>
        <w:t>bis</w:t>
      </w:r>
      <w:r w:rsidRPr="00413F36">
        <w:rPr>
          <w:lang w:val="de-DE"/>
        </w:rPr>
        <w:t xml:space="preserve"> 29</w:t>
      </w:r>
      <w:r w:rsidR="008F326C" w:rsidRPr="00413F36">
        <w:rPr>
          <w:lang w:val="de-DE"/>
        </w:rPr>
        <w:t xml:space="preserve">; TWC/36/15 </w:t>
      </w:r>
      <w:r w:rsidR="00D30F31" w:rsidRPr="00413F36">
        <w:rPr>
          <w:lang w:val="de-DE"/>
        </w:rPr>
        <w:t>„Bericht</w:t>
      </w:r>
      <w:r w:rsidR="00CE4BB4" w:rsidRPr="00413F36">
        <w:rPr>
          <w:sz w:val="18"/>
          <w:lang w:val="de-DE"/>
        </w:rPr>
        <w:t>“</w:t>
      </w:r>
      <w:r w:rsidR="00D30F31" w:rsidRPr="00413F36">
        <w:rPr>
          <w:lang w:val="de-DE"/>
        </w:rPr>
        <w:t>, Absätze</w:t>
      </w:r>
      <w:r w:rsidR="008F326C" w:rsidRPr="00413F36">
        <w:rPr>
          <w:lang w:val="de-DE"/>
        </w:rPr>
        <w:t xml:space="preserve"> 46 </w:t>
      </w:r>
      <w:r w:rsidR="001C600C">
        <w:rPr>
          <w:lang w:val="de-DE"/>
        </w:rPr>
        <w:t>bis 49,</w:t>
      </w:r>
      <w:r w:rsidR="00D30F31" w:rsidRPr="00413F36">
        <w:rPr>
          <w:lang w:val="de-DE"/>
        </w:rPr>
        <w:t xml:space="preserve"> u</w:t>
      </w:r>
      <w:r w:rsidR="008F326C" w:rsidRPr="00413F36">
        <w:rPr>
          <w:lang w:val="de-DE"/>
        </w:rPr>
        <w:t xml:space="preserve">nd TWV/52/20 </w:t>
      </w:r>
      <w:r w:rsidR="007939BF" w:rsidRPr="00413F36">
        <w:rPr>
          <w:bCs/>
          <w:lang w:val="de-DE"/>
        </w:rPr>
        <w:t>„</w:t>
      </w:r>
      <w:r w:rsidR="00D30F31" w:rsidRPr="00413F36">
        <w:rPr>
          <w:lang w:val="de-DE"/>
        </w:rPr>
        <w:t>Bericht</w:t>
      </w:r>
      <w:r w:rsidR="00CE4BB4" w:rsidRPr="00413F36">
        <w:rPr>
          <w:sz w:val="18"/>
          <w:lang w:val="de-DE"/>
        </w:rPr>
        <w:t>“</w:t>
      </w:r>
      <w:r w:rsidR="008F326C" w:rsidRPr="00413F36">
        <w:rPr>
          <w:lang w:val="de-DE"/>
        </w:rPr>
        <w:t xml:space="preserve">, </w:t>
      </w:r>
      <w:r w:rsidR="00D30F31" w:rsidRPr="00413F36">
        <w:rPr>
          <w:lang w:val="de-DE"/>
        </w:rPr>
        <w:t>Absätze</w:t>
      </w:r>
      <w:r w:rsidR="008F326C" w:rsidRPr="00413F36">
        <w:rPr>
          <w:lang w:val="de-DE"/>
        </w:rPr>
        <w:t xml:space="preserve"> 27 </w:t>
      </w:r>
      <w:r w:rsidR="00D30F31" w:rsidRPr="00413F36">
        <w:rPr>
          <w:lang w:val="de-DE"/>
        </w:rPr>
        <w:t>bis</w:t>
      </w:r>
      <w:r w:rsidR="008F326C" w:rsidRPr="00413F36">
        <w:rPr>
          <w:lang w:val="de-DE"/>
        </w:rPr>
        <w:t xml:space="preserve"> 30</w:t>
      </w:r>
      <w:r w:rsidRPr="00413F36">
        <w:rPr>
          <w:lang w:val="de-DE"/>
        </w:rPr>
        <w:t>).</w:t>
      </w:r>
    </w:p>
    <w:p w:rsidR="002A1EA0" w:rsidRPr="00413F36" w:rsidRDefault="002A1EA0" w:rsidP="002A1EA0">
      <w:pPr>
        <w:rPr>
          <w:lang w:val="de-DE"/>
        </w:rPr>
      </w:pPr>
    </w:p>
    <w:p w:rsidR="004533FE" w:rsidRPr="00981171" w:rsidRDefault="002A1EA0" w:rsidP="004533FE">
      <w:pPr>
        <w:rPr>
          <w:lang w:val="de-DE"/>
        </w:rPr>
      </w:pPr>
      <w:r w:rsidRPr="002E42C1">
        <w:fldChar w:fldCharType="begin"/>
      </w:r>
      <w:r w:rsidRPr="004533FE">
        <w:rPr>
          <w:lang w:val="de-DE"/>
        </w:rPr>
        <w:instrText xml:space="preserve"> AUTONUM  </w:instrText>
      </w:r>
      <w:r w:rsidRPr="002E42C1">
        <w:fldChar w:fldCharType="end"/>
      </w:r>
      <w:r w:rsidRPr="004533FE">
        <w:rPr>
          <w:lang w:val="de-DE"/>
        </w:rPr>
        <w:tab/>
      </w:r>
      <w:r w:rsidR="004533FE" w:rsidRPr="00981171">
        <w:rPr>
          <w:lang w:val="de-DE"/>
        </w:rPr>
        <w:t xml:space="preserve">Die TWA, TWC und TWV prüften den Vorschlag zur Änderung der Anleitung in Dokument TGP/7 GN 8, um klarzustellen, daß die „Prüfung einer Sorte </w:t>
      </w:r>
      <w:r w:rsidR="00B34ED9" w:rsidRPr="00981171">
        <w:rPr>
          <w:lang w:val="de-DE"/>
        </w:rPr>
        <w:t xml:space="preserve">früher oder später </w:t>
      </w:r>
      <w:r w:rsidR="004533FE" w:rsidRPr="00981171">
        <w:rPr>
          <w:lang w:val="de-DE"/>
        </w:rPr>
        <w:t xml:space="preserve">zu dem Zeitpunkt, zu dem die zuständige Behörde das Ergebnis der Prüfung mit Sicherheit bestimmen kann, </w:t>
      </w:r>
      <w:r w:rsidR="00B34ED9" w:rsidRPr="00981171">
        <w:rPr>
          <w:lang w:val="de-DE"/>
        </w:rPr>
        <w:t>abgeschloss</w:t>
      </w:r>
      <w:r w:rsidR="004533FE" w:rsidRPr="00981171">
        <w:rPr>
          <w:lang w:val="de-DE"/>
        </w:rPr>
        <w:t>en werden kann“.</w:t>
      </w:r>
    </w:p>
    <w:p w:rsidR="004533FE" w:rsidRPr="00981171" w:rsidRDefault="004533FE" w:rsidP="004533FE">
      <w:pPr>
        <w:rPr>
          <w:lang w:val="de-DE"/>
        </w:rPr>
      </w:pPr>
    </w:p>
    <w:p w:rsidR="004533FE" w:rsidRPr="00981171" w:rsidRDefault="004533FE" w:rsidP="004533FE">
      <w:pPr>
        <w:rPr>
          <w:lang w:val="de-DE"/>
        </w:rPr>
      </w:pPr>
      <w:r w:rsidRPr="00981171">
        <w:fldChar w:fldCharType="begin"/>
      </w:r>
      <w:r w:rsidRPr="00981171">
        <w:rPr>
          <w:lang w:val="de-DE"/>
        </w:rPr>
        <w:instrText xml:space="preserve"> AUTONUM  </w:instrText>
      </w:r>
      <w:r w:rsidRPr="00981171">
        <w:fldChar w:fldCharType="end"/>
      </w:r>
      <w:r w:rsidRPr="00981171">
        <w:rPr>
          <w:lang w:val="de-DE"/>
        </w:rPr>
        <w:tab/>
        <w:t>Die TWA, TWC und TWV nahmen zur Kenntnis, daß der vorgeschlagene Text für die Erläuternde Anmerkung (GN8) als Standard- oder als zusätzlicher Standardwortlaut in der Prüfungsrichtlinie angegeben werden soll, um von Lesern der Richtlinie gesehen zu werden.</w:t>
      </w:r>
    </w:p>
    <w:p w:rsidR="004533FE" w:rsidRPr="00981171" w:rsidRDefault="004533FE" w:rsidP="004533FE">
      <w:pPr>
        <w:rPr>
          <w:lang w:val="de-DE"/>
        </w:rPr>
      </w:pPr>
    </w:p>
    <w:p w:rsidR="004533FE" w:rsidRPr="00981171" w:rsidRDefault="004533FE" w:rsidP="004533FE">
      <w:pPr>
        <w:rPr>
          <w:lang w:val="de-DE"/>
        </w:rPr>
      </w:pPr>
      <w:r w:rsidRPr="00981171">
        <w:fldChar w:fldCharType="begin"/>
      </w:r>
      <w:r w:rsidRPr="00981171">
        <w:rPr>
          <w:lang w:val="de-DE"/>
        </w:rPr>
        <w:instrText xml:space="preserve"> AUTONUM  </w:instrText>
      </w:r>
      <w:r w:rsidRPr="00981171">
        <w:fldChar w:fldCharType="end"/>
      </w:r>
      <w:r w:rsidRPr="00981171">
        <w:rPr>
          <w:lang w:val="de-DE"/>
        </w:rPr>
        <w:tab/>
        <w:t>Die TWC und TWV stimmten mit der TWA darin überein, daß der vorgeschlagene Text für eine Erläuternde Anmerkung (GN8) wie folgt lauten sollte:</w:t>
      </w:r>
    </w:p>
    <w:p w:rsidR="004533FE" w:rsidRPr="00981171" w:rsidRDefault="004533FE" w:rsidP="004533FE">
      <w:pPr>
        <w:ind w:left="567" w:right="567"/>
        <w:rPr>
          <w:lang w:val="de-DE"/>
        </w:rPr>
      </w:pPr>
    </w:p>
    <w:p w:rsidR="004533FE" w:rsidRPr="00981171" w:rsidRDefault="004533FE" w:rsidP="004533FE">
      <w:pPr>
        <w:ind w:left="567" w:right="567"/>
        <w:rPr>
          <w:lang w:val="de-DE"/>
        </w:rPr>
      </w:pPr>
      <w:r w:rsidRPr="00981171">
        <w:rPr>
          <w:lang w:val="de-DE"/>
        </w:rPr>
        <w:t xml:space="preserve">„Die Prüfung einer Sorte kann </w:t>
      </w:r>
      <w:r w:rsidRPr="004533FE">
        <w:rPr>
          <w:strike/>
          <w:highlight w:val="lightGray"/>
          <w:lang w:val="de-DE"/>
        </w:rPr>
        <w:t xml:space="preserve">früher oder später </w:t>
      </w:r>
      <w:r w:rsidRPr="00B34ED9">
        <w:rPr>
          <w:strike/>
          <w:highlight w:val="lightGray"/>
          <w:lang w:val="de-DE"/>
        </w:rPr>
        <w:t>zu</w:t>
      </w:r>
      <w:r w:rsidRPr="004533FE">
        <w:rPr>
          <w:strike/>
          <w:highlight w:val="lightGray"/>
          <w:lang w:val="de-DE"/>
        </w:rPr>
        <w:t xml:space="preserve"> dem Zeitpunkt, zu dem </w:t>
      </w:r>
      <w:r w:rsidR="00B34ED9" w:rsidRPr="00981171">
        <w:rPr>
          <w:lang w:val="de-DE"/>
        </w:rPr>
        <w:t>abgeschloss</w:t>
      </w:r>
      <w:r w:rsidRPr="00981171">
        <w:rPr>
          <w:lang w:val="de-DE"/>
        </w:rPr>
        <w:t>en werden, wenn die zuständige Behörde das Ergebnis der Prüfung mit Sicherheit bestimmen kann.</w:t>
      </w:r>
    </w:p>
    <w:p w:rsidR="006E27FE" w:rsidRPr="00981171" w:rsidRDefault="006E27FE" w:rsidP="00857EC8">
      <w:pPr>
        <w:autoSpaceDE w:val="0"/>
        <w:autoSpaceDN w:val="0"/>
        <w:adjustRightInd w:val="0"/>
        <w:rPr>
          <w:lang w:val="de-DE"/>
        </w:rPr>
      </w:pPr>
    </w:p>
    <w:p w:rsidR="00857EC8" w:rsidRPr="00981171" w:rsidRDefault="00857EC8" w:rsidP="00583EDD">
      <w:pPr>
        <w:keepNext/>
        <w:keepLines/>
        <w:tabs>
          <w:tab w:val="left" w:pos="5387"/>
        </w:tabs>
        <w:ind w:left="4820"/>
        <w:rPr>
          <w:i/>
          <w:lang w:val="de-DE"/>
        </w:rPr>
      </w:pPr>
      <w:r w:rsidRPr="00981171">
        <w:rPr>
          <w:i/>
        </w:rPr>
        <w:fldChar w:fldCharType="begin"/>
      </w:r>
      <w:r w:rsidRPr="00981171">
        <w:rPr>
          <w:i/>
          <w:lang w:val="de-DE"/>
        </w:rPr>
        <w:instrText xml:space="preserve"> AUTONUM  </w:instrText>
      </w:r>
      <w:r w:rsidRPr="00981171">
        <w:rPr>
          <w:i/>
        </w:rPr>
        <w:fldChar w:fldCharType="end"/>
      </w:r>
      <w:r w:rsidRPr="00981171">
        <w:rPr>
          <w:i/>
          <w:lang w:val="de-DE"/>
        </w:rPr>
        <w:tab/>
      </w:r>
      <w:r w:rsidR="006A476D" w:rsidRPr="00981171">
        <w:rPr>
          <w:i/>
          <w:lang w:val="de-DE"/>
        </w:rPr>
        <w:t>Der TC wird ersucht</w:t>
      </w:r>
      <w:r w:rsidR="004533FE" w:rsidRPr="00981171">
        <w:rPr>
          <w:i/>
          <w:lang w:val="de-DE"/>
        </w:rPr>
        <w:t>, folgendes</w:t>
      </w:r>
      <w:r w:rsidR="006A476D" w:rsidRPr="00981171">
        <w:rPr>
          <w:i/>
          <w:lang w:val="de-DE"/>
        </w:rPr>
        <w:t xml:space="preserve"> zu prüfen</w:t>
      </w:r>
      <w:r w:rsidR="00583EDD" w:rsidRPr="00981171">
        <w:rPr>
          <w:i/>
          <w:lang w:val="de-DE"/>
        </w:rPr>
        <w:t>:</w:t>
      </w:r>
      <w:r w:rsidRPr="00981171">
        <w:rPr>
          <w:i/>
          <w:lang w:val="de-DE"/>
        </w:rPr>
        <w:t xml:space="preserve"> </w:t>
      </w:r>
    </w:p>
    <w:p w:rsidR="00857EC8" w:rsidRPr="00981171" w:rsidRDefault="00857EC8" w:rsidP="00583EDD">
      <w:pPr>
        <w:keepNext/>
        <w:keepLines/>
        <w:tabs>
          <w:tab w:val="left" w:pos="5387"/>
        </w:tabs>
        <w:ind w:left="4820"/>
        <w:rPr>
          <w:i/>
          <w:lang w:val="de-DE"/>
        </w:rPr>
      </w:pPr>
    </w:p>
    <w:p w:rsidR="004533FE" w:rsidRPr="00981171" w:rsidRDefault="00583EDD" w:rsidP="004533FE">
      <w:pPr>
        <w:keepNext/>
        <w:keepLines/>
        <w:tabs>
          <w:tab w:val="left" w:pos="5387"/>
          <w:tab w:val="left" w:pos="5954"/>
        </w:tabs>
        <w:ind w:left="4820"/>
        <w:rPr>
          <w:i/>
          <w:lang w:val="de-DE"/>
        </w:rPr>
      </w:pPr>
      <w:r w:rsidRPr="00981171">
        <w:rPr>
          <w:i/>
          <w:lang w:val="de-DE"/>
        </w:rPr>
        <w:tab/>
        <w:t>a)</w:t>
      </w:r>
      <w:r w:rsidRPr="00981171">
        <w:rPr>
          <w:i/>
          <w:lang w:val="de-DE"/>
        </w:rPr>
        <w:tab/>
      </w:r>
      <w:r w:rsidR="004533FE" w:rsidRPr="00981171">
        <w:rPr>
          <w:i/>
          <w:lang w:val="de-DE"/>
        </w:rPr>
        <w:t>den Vorschlag zur Änderung der Anleitung in Dokument TGP/7 GN 8, um klarzustellen, daß „die Prüfung einer Sorte ab</w:t>
      </w:r>
      <w:r w:rsidR="00981171">
        <w:rPr>
          <w:i/>
          <w:lang w:val="de-DE"/>
        </w:rPr>
        <w:t>geschloss</w:t>
      </w:r>
      <w:r w:rsidR="004533FE" w:rsidRPr="00981171">
        <w:rPr>
          <w:i/>
          <w:lang w:val="de-DE"/>
        </w:rPr>
        <w:t>en werden kann, wenn die zuständige Behörde das Ergebnis der Prüfung mit Sicherheit bestimmen kann</w:t>
      </w:r>
      <w:r w:rsidR="00981171">
        <w:rPr>
          <w:i/>
          <w:lang w:val="de-DE"/>
        </w:rPr>
        <w:t>“,</w:t>
      </w:r>
      <w:r w:rsidR="004533FE" w:rsidRPr="00981171">
        <w:rPr>
          <w:i/>
          <w:lang w:val="de-DE"/>
        </w:rPr>
        <w:t xml:space="preserve"> und </w:t>
      </w:r>
    </w:p>
    <w:p w:rsidR="004533FE" w:rsidRPr="00981171" w:rsidRDefault="004533FE" w:rsidP="004533FE">
      <w:pPr>
        <w:tabs>
          <w:tab w:val="left" w:pos="5387"/>
          <w:tab w:val="left" w:pos="5954"/>
        </w:tabs>
        <w:ind w:left="4820"/>
        <w:rPr>
          <w:i/>
          <w:lang w:val="de-DE"/>
        </w:rPr>
      </w:pPr>
    </w:p>
    <w:p w:rsidR="004533FE" w:rsidRPr="004533FE" w:rsidRDefault="004533FE" w:rsidP="004533FE">
      <w:pPr>
        <w:keepNext/>
        <w:keepLines/>
        <w:tabs>
          <w:tab w:val="left" w:pos="5387"/>
          <w:tab w:val="left" w:pos="5954"/>
        </w:tabs>
        <w:ind w:left="4820"/>
        <w:rPr>
          <w:i/>
          <w:lang w:val="de-DE"/>
        </w:rPr>
      </w:pPr>
      <w:r w:rsidRPr="00981171">
        <w:rPr>
          <w:i/>
          <w:lang w:val="de-DE"/>
        </w:rPr>
        <w:tab/>
        <w:t>b)</w:t>
      </w:r>
      <w:r w:rsidRPr="00981171">
        <w:rPr>
          <w:i/>
          <w:lang w:val="de-DE"/>
        </w:rPr>
        <w:tab/>
        <w:t>ob der vorgeschlagene Text als Standard- oder als zusätzlicher Standardwortlaut in der Prüfungsrichtlinie angegeben werden soll, um von Lesern der Richtlinie gesehen zu werden.</w:t>
      </w:r>
    </w:p>
    <w:p w:rsidR="00583EDD" w:rsidRPr="006E434C" w:rsidRDefault="00583EDD" w:rsidP="00583EDD">
      <w:pPr>
        <w:tabs>
          <w:tab w:val="left" w:pos="5387"/>
          <w:tab w:val="left" w:pos="5954"/>
        </w:tabs>
        <w:ind w:left="4820"/>
        <w:rPr>
          <w:i/>
          <w:lang w:val="de-DE"/>
        </w:rPr>
      </w:pPr>
    </w:p>
    <w:p w:rsidR="00857EC8" w:rsidRPr="006E434C" w:rsidRDefault="00857EC8" w:rsidP="00857EC8">
      <w:pPr>
        <w:rPr>
          <w:lang w:val="de-DE"/>
        </w:rPr>
      </w:pPr>
    </w:p>
    <w:p w:rsidR="00857EC8" w:rsidRPr="006E434C" w:rsidRDefault="00857EC8" w:rsidP="00857EC8">
      <w:pPr>
        <w:rPr>
          <w:lang w:val="de-DE"/>
        </w:rPr>
      </w:pPr>
    </w:p>
    <w:p w:rsidR="00857EC8" w:rsidRPr="006E434C" w:rsidRDefault="00857EC8" w:rsidP="00857EC8">
      <w:pPr>
        <w:rPr>
          <w:lang w:val="de-DE"/>
        </w:rPr>
      </w:pPr>
    </w:p>
    <w:p w:rsidR="00857EC8" w:rsidRPr="00413F36" w:rsidRDefault="00857EC8" w:rsidP="00857EC8">
      <w:pPr>
        <w:jc w:val="right"/>
        <w:rPr>
          <w:lang w:val="de-DE"/>
        </w:rPr>
      </w:pPr>
      <w:r w:rsidRPr="00413F36">
        <w:rPr>
          <w:lang w:val="de-DE"/>
        </w:rPr>
        <w:t>[</w:t>
      </w:r>
      <w:r w:rsidR="007974DE" w:rsidRPr="00413F36">
        <w:rPr>
          <w:lang w:val="de-DE"/>
        </w:rPr>
        <w:t>Anlage folgt</w:t>
      </w:r>
      <w:r w:rsidRPr="00413F36">
        <w:rPr>
          <w:lang w:val="de-DE"/>
        </w:rPr>
        <w:t>]</w:t>
      </w:r>
    </w:p>
    <w:p w:rsidR="00857EC8" w:rsidRPr="00413F36" w:rsidRDefault="00857EC8" w:rsidP="00857EC8">
      <w:pPr>
        <w:rPr>
          <w:lang w:val="de-DE"/>
        </w:rPr>
        <w:sectPr w:rsidR="00857EC8" w:rsidRPr="00413F36" w:rsidSect="00906DDC">
          <w:headerReference w:type="default" r:id="rId10"/>
          <w:pgSz w:w="11907" w:h="16840" w:code="9"/>
          <w:pgMar w:top="510" w:right="1134" w:bottom="1134" w:left="1134" w:header="510" w:footer="680" w:gutter="0"/>
          <w:cols w:space="720"/>
          <w:titlePg/>
        </w:sectPr>
      </w:pPr>
    </w:p>
    <w:p w:rsidR="00857EC8" w:rsidRPr="00413F36" w:rsidRDefault="00ED0032" w:rsidP="00857EC8">
      <w:pPr>
        <w:jc w:val="center"/>
        <w:rPr>
          <w:lang w:val="de-DE"/>
        </w:rPr>
      </w:pPr>
      <w:r w:rsidRPr="00413F36">
        <w:rPr>
          <w:lang w:val="de-DE"/>
        </w:rPr>
        <w:lastRenderedPageBreak/>
        <w:t xml:space="preserve">AUSZUG AUS DOKUMENT </w:t>
      </w:r>
      <w:r w:rsidR="00857EC8" w:rsidRPr="00413F36">
        <w:rPr>
          <w:lang w:val="de-DE"/>
        </w:rPr>
        <w:t xml:space="preserve">TGP/7 </w:t>
      </w:r>
      <w:r w:rsidRPr="00413F36">
        <w:rPr>
          <w:lang w:val="de-DE"/>
        </w:rPr>
        <w:t>„ERSTELLUNG VON PRÜFUNGSRICHTLINIEN</w:t>
      </w:r>
      <w:r w:rsidR="00A16D9B" w:rsidRPr="00413F36">
        <w:rPr>
          <w:lang w:val="de-DE"/>
        </w:rPr>
        <w:t>”</w:t>
      </w:r>
    </w:p>
    <w:p w:rsidR="00857EC8" w:rsidRPr="00413F36" w:rsidRDefault="00857EC8" w:rsidP="00857EC8">
      <w:pPr>
        <w:rPr>
          <w:lang w:val="de-DE"/>
        </w:rPr>
      </w:pPr>
    </w:p>
    <w:p w:rsidR="00857EC8" w:rsidRPr="00413F36" w:rsidRDefault="00857EC8" w:rsidP="00857EC8">
      <w:pPr>
        <w:rPr>
          <w:u w:val="single"/>
          <w:lang w:val="de-DE"/>
        </w:rPr>
      </w:pPr>
      <w:bookmarkStart w:id="14" w:name="_Toc27819131"/>
      <w:bookmarkStart w:id="15" w:name="_Toc27819312"/>
      <w:bookmarkStart w:id="16" w:name="_Toc27819493"/>
      <w:bookmarkStart w:id="17" w:name="_Toc463342919"/>
      <w:r w:rsidRPr="00413F36">
        <w:rPr>
          <w:u w:val="single"/>
          <w:lang w:val="de-DE"/>
        </w:rPr>
        <w:t xml:space="preserve">ASW </w:t>
      </w:r>
      <w:proofErr w:type="gramStart"/>
      <w:r w:rsidRPr="00413F36">
        <w:rPr>
          <w:u w:val="single"/>
          <w:lang w:val="de-DE"/>
        </w:rPr>
        <w:t>2  (</w:t>
      </w:r>
      <w:proofErr w:type="gramEnd"/>
      <w:r w:rsidR="00F54568" w:rsidRPr="00413F36">
        <w:rPr>
          <w:u w:val="single"/>
          <w:lang w:val="de-DE"/>
        </w:rPr>
        <w:t>TG-Mustervorlage:</w:t>
      </w:r>
      <w:r w:rsidRPr="00413F36">
        <w:rPr>
          <w:u w:val="single"/>
          <w:lang w:val="de-DE"/>
        </w:rPr>
        <w:t xml:space="preserve">  </w:t>
      </w:r>
      <w:r w:rsidR="00ED0032" w:rsidRPr="00413F36">
        <w:rPr>
          <w:u w:val="single"/>
          <w:lang w:val="de-DE"/>
        </w:rPr>
        <w:t>Kapite</w:t>
      </w:r>
      <w:r w:rsidR="006E434C">
        <w:rPr>
          <w:u w:val="single"/>
          <w:lang w:val="de-DE"/>
        </w:rPr>
        <w:t>l</w:t>
      </w:r>
      <w:r w:rsidRPr="00413F36">
        <w:rPr>
          <w:u w:val="single"/>
          <w:lang w:val="de-DE"/>
        </w:rPr>
        <w:t xml:space="preserve"> 3.1) – </w:t>
      </w:r>
      <w:bookmarkEnd w:id="14"/>
      <w:bookmarkEnd w:id="15"/>
      <w:bookmarkEnd w:id="16"/>
      <w:bookmarkEnd w:id="17"/>
      <w:r w:rsidR="00ED0032" w:rsidRPr="00413F36">
        <w:rPr>
          <w:u w:val="single"/>
          <w:lang w:val="de-DE"/>
        </w:rPr>
        <w:t>Anzahl von Wachstumsperioden</w:t>
      </w:r>
    </w:p>
    <w:p w:rsidR="00857EC8" w:rsidRPr="00413F36" w:rsidRDefault="00857EC8" w:rsidP="00857EC8">
      <w:pPr>
        <w:rPr>
          <w:lang w:val="de-DE"/>
        </w:rPr>
      </w:pPr>
    </w:p>
    <w:p w:rsidR="00857EC8" w:rsidRPr="00413F36" w:rsidRDefault="00857EC8" w:rsidP="00857EC8">
      <w:pPr>
        <w:rPr>
          <w:lang w:val="de-DE"/>
        </w:rPr>
      </w:pPr>
      <w:bookmarkStart w:id="18" w:name="_Toc27819132"/>
      <w:bookmarkStart w:id="19" w:name="_Toc27819313"/>
      <w:bookmarkStart w:id="20" w:name="_Toc27819494"/>
      <w:bookmarkStart w:id="21" w:name="_Toc463342920"/>
      <w:r w:rsidRPr="00413F36">
        <w:rPr>
          <w:lang w:val="de-DE"/>
        </w:rPr>
        <w:t>a)</w:t>
      </w:r>
      <w:r w:rsidRPr="00413F36">
        <w:rPr>
          <w:lang w:val="de-DE"/>
        </w:rPr>
        <w:tab/>
      </w:r>
      <w:bookmarkEnd w:id="18"/>
      <w:bookmarkEnd w:id="19"/>
      <w:bookmarkEnd w:id="20"/>
      <w:bookmarkEnd w:id="21"/>
      <w:r w:rsidR="00194AF3" w:rsidRPr="00413F36">
        <w:rPr>
          <w:lang w:val="de-DE"/>
        </w:rPr>
        <w:t>Eine Wachstumsperiode</w:t>
      </w:r>
    </w:p>
    <w:p w:rsidR="00857EC8" w:rsidRPr="00413F36" w:rsidRDefault="00857EC8" w:rsidP="00857EC8">
      <w:pPr>
        <w:rPr>
          <w:lang w:val="de-DE"/>
        </w:rPr>
      </w:pPr>
    </w:p>
    <w:p w:rsidR="00857EC8" w:rsidRPr="00413F36" w:rsidRDefault="00194AF3" w:rsidP="00857EC8">
      <w:pPr>
        <w:rPr>
          <w:lang w:val="de-DE"/>
        </w:rPr>
      </w:pPr>
      <w:r w:rsidRPr="00413F36">
        <w:rPr>
          <w:lang w:val="de-DE"/>
        </w:rPr>
        <w:t>„Die Mindestprüfungsdauer sollte in der Regel</w:t>
      </w:r>
      <w:r w:rsidR="00EA786C" w:rsidRPr="00413F36">
        <w:rPr>
          <w:lang w:val="de-DE"/>
        </w:rPr>
        <w:t xml:space="preserve"> eine Wachstumsperiode betragen.</w:t>
      </w:r>
      <w:r w:rsidRPr="00413F36">
        <w:rPr>
          <w:lang w:val="de-DE"/>
        </w:rPr>
        <w:t>“</w:t>
      </w:r>
    </w:p>
    <w:p w:rsidR="00194AF3" w:rsidRPr="00413F36" w:rsidRDefault="00194AF3" w:rsidP="00857EC8">
      <w:pPr>
        <w:rPr>
          <w:i/>
          <w:lang w:val="de-DE"/>
        </w:rPr>
      </w:pPr>
    </w:p>
    <w:p w:rsidR="00857EC8" w:rsidRPr="00413F36" w:rsidRDefault="00857EC8" w:rsidP="00857EC8">
      <w:pPr>
        <w:rPr>
          <w:lang w:val="de-DE"/>
        </w:rPr>
      </w:pPr>
      <w:bookmarkStart w:id="22" w:name="_Toc27819133"/>
      <w:bookmarkStart w:id="23" w:name="_Toc27819314"/>
      <w:bookmarkStart w:id="24" w:name="_Toc27819495"/>
      <w:bookmarkStart w:id="25" w:name="_Toc463342921"/>
      <w:r w:rsidRPr="00413F36">
        <w:rPr>
          <w:lang w:val="de-DE"/>
        </w:rPr>
        <w:t>b)</w:t>
      </w:r>
      <w:r w:rsidRPr="00413F36">
        <w:rPr>
          <w:lang w:val="de-DE"/>
        </w:rPr>
        <w:tab/>
      </w:r>
      <w:bookmarkEnd w:id="22"/>
      <w:bookmarkEnd w:id="23"/>
      <w:bookmarkEnd w:id="24"/>
      <w:bookmarkEnd w:id="25"/>
      <w:r w:rsidR="00194AF3" w:rsidRPr="00413F36">
        <w:rPr>
          <w:lang w:val="de-DE"/>
        </w:rPr>
        <w:t>Zwei unabhängige Wachstumsperioden</w:t>
      </w:r>
    </w:p>
    <w:p w:rsidR="00857EC8" w:rsidRPr="00413F36" w:rsidRDefault="00857EC8" w:rsidP="00857EC8">
      <w:pPr>
        <w:rPr>
          <w:lang w:val="de-DE"/>
        </w:rPr>
      </w:pPr>
    </w:p>
    <w:p w:rsidR="00857EC8" w:rsidRPr="00413F36" w:rsidRDefault="00480575" w:rsidP="00857EC8">
      <w:pPr>
        <w:rPr>
          <w:lang w:val="de-DE"/>
        </w:rPr>
      </w:pPr>
      <w:r w:rsidRPr="00413F36">
        <w:rPr>
          <w:lang w:val="de-DE"/>
        </w:rPr>
        <w:t>„Die Mindestprüfungsdauer sollte in der Regel zwei unabhän</w:t>
      </w:r>
      <w:r w:rsidR="00EA786C" w:rsidRPr="00413F36">
        <w:rPr>
          <w:lang w:val="de-DE"/>
        </w:rPr>
        <w:t>gige Wachstumsperioden betragen.</w:t>
      </w:r>
      <w:r w:rsidRPr="00413F36">
        <w:rPr>
          <w:lang w:val="de-DE"/>
        </w:rPr>
        <w:t>“</w:t>
      </w:r>
    </w:p>
    <w:p w:rsidR="00480575" w:rsidRPr="00413F36" w:rsidRDefault="00480575" w:rsidP="00857EC8">
      <w:pPr>
        <w:rPr>
          <w:lang w:val="de-DE"/>
        </w:rPr>
      </w:pPr>
    </w:p>
    <w:p w:rsidR="00857EC8" w:rsidRPr="00413F36" w:rsidRDefault="00857EC8" w:rsidP="00857EC8">
      <w:pPr>
        <w:rPr>
          <w:lang w:val="de-DE"/>
        </w:rPr>
      </w:pPr>
    </w:p>
    <w:p w:rsidR="00857EC8" w:rsidRPr="00413F36" w:rsidRDefault="00857EC8" w:rsidP="00857EC8">
      <w:pPr>
        <w:rPr>
          <w:u w:val="single"/>
          <w:lang w:val="de-DE"/>
        </w:rPr>
      </w:pPr>
      <w:bookmarkStart w:id="26" w:name="_Toc463342922"/>
      <w:r w:rsidRPr="00413F36">
        <w:rPr>
          <w:u w:val="single"/>
          <w:lang w:val="de-DE"/>
        </w:rPr>
        <w:t xml:space="preserve">ASW </w:t>
      </w:r>
      <w:proofErr w:type="gramStart"/>
      <w:r w:rsidRPr="00413F36">
        <w:rPr>
          <w:u w:val="single"/>
          <w:lang w:val="de-DE"/>
        </w:rPr>
        <w:t>3  (</w:t>
      </w:r>
      <w:proofErr w:type="gramEnd"/>
      <w:r w:rsidR="00F54568" w:rsidRPr="00413F36">
        <w:rPr>
          <w:u w:val="single"/>
          <w:lang w:val="de-DE"/>
        </w:rPr>
        <w:t>TG-Mustervorlage:</w:t>
      </w:r>
      <w:r w:rsidRPr="00413F36">
        <w:rPr>
          <w:u w:val="single"/>
          <w:lang w:val="de-DE"/>
        </w:rPr>
        <w:t xml:space="preserve">  </w:t>
      </w:r>
      <w:r w:rsidR="00ED0032" w:rsidRPr="00413F36">
        <w:rPr>
          <w:u w:val="single"/>
          <w:lang w:val="de-DE"/>
        </w:rPr>
        <w:t>Kapite</w:t>
      </w:r>
      <w:r w:rsidR="00981171">
        <w:rPr>
          <w:u w:val="single"/>
          <w:lang w:val="de-DE"/>
        </w:rPr>
        <w:t>l</w:t>
      </w:r>
      <w:r w:rsidRPr="00413F36">
        <w:rPr>
          <w:u w:val="single"/>
          <w:lang w:val="de-DE"/>
        </w:rPr>
        <w:t xml:space="preserve"> 3.1.2) – </w:t>
      </w:r>
      <w:bookmarkEnd w:id="26"/>
      <w:r w:rsidR="00ED0032" w:rsidRPr="00413F36">
        <w:rPr>
          <w:u w:val="single"/>
          <w:lang w:val="de-DE"/>
        </w:rPr>
        <w:t>Erläuterung der Wachstumsperiode</w:t>
      </w:r>
    </w:p>
    <w:p w:rsidR="00857EC8" w:rsidRPr="00413F36" w:rsidRDefault="00857EC8" w:rsidP="00857EC8">
      <w:pPr>
        <w:rPr>
          <w:lang w:val="de-DE"/>
        </w:rPr>
      </w:pPr>
    </w:p>
    <w:p w:rsidR="00857EC8" w:rsidRPr="00413F36" w:rsidRDefault="00857EC8" w:rsidP="00857EC8">
      <w:pPr>
        <w:rPr>
          <w:lang w:val="de-DE"/>
        </w:rPr>
      </w:pPr>
      <w:bookmarkStart w:id="27" w:name="_Toc463342923"/>
      <w:r w:rsidRPr="00413F36">
        <w:rPr>
          <w:lang w:val="de-DE"/>
        </w:rPr>
        <w:t>a)</w:t>
      </w:r>
      <w:r w:rsidRPr="00413F36">
        <w:rPr>
          <w:lang w:val="de-DE"/>
        </w:rPr>
        <w:tab/>
      </w:r>
      <w:bookmarkEnd w:id="27"/>
      <w:r w:rsidR="00D56F0B" w:rsidRPr="00413F36">
        <w:rPr>
          <w:lang w:val="de-DE"/>
        </w:rPr>
        <w:t>Obstarten mit deutlich abgegrenzter Ruheperiode</w:t>
      </w:r>
    </w:p>
    <w:p w:rsidR="00857EC8" w:rsidRPr="00413F36" w:rsidRDefault="00857EC8" w:rsidP="00857EC8">
      <w:pPr>
        <w:rPr>
          <w:lang w:val="de-DE"/>
        </w:rPr>
      </w:pPr>
    </w:p>
    <w:p w:rsidR="00857EC8" w:rsidRPr="00413F36" w:rsidRDefault="00D56F0B" w:rsidP="00857EC8">
      <w:pPr>
        <w:rPr>
          <w:lang w:val="de-DE"/>
        </w:rPr>
      </w:pPr>
      <w:r w:rsidRPr="00413F36">
        <w:rPr>
          <w:lang w:val="de-DE"/>
        </w:rPr>
        <w:t>„3.1.2</w:t>
      </w:r>
      <w:r w:rsidR="00792E1F">
        <w:rPr>
          <w:lang w:val="de-DE"/>
        </w:rPr>
        <w:tab/>
      </w:r>
      <w:r w:rsidRPr="00413F36">
        <w:rPr>
          <w:lang w:val="de-DE"/>
        </w:rPr>
        <w:t>Als Wachstumsperiode wird die Dauer einer Vegetationsperiode angesehen, die mit dem Knospenaufbruch (blühend und/oder vegetativ) beginnt, sich mit der Blüte und der Ernte der Früchte fortsetzt und am Ende der darauffolgenden Ruheperiode mit dem Schwellen neuer Jahresknospen endet.“</w:t>
      </w:r>
    </w:p>
    <w:p w:rsidR="00D56F0B" w:rsidRPr="00413F36" w:rsidRDefault="00D56F0B" w:rsidP="00857EC8">
      <w:pPr>
        <w:rPr>
          <w:lang w:val="de-DE"/>
        </w:rPr>
      </w:pPr>
    </w:p>
    <w:p w:rsidR="00857EC8" w:rsidRPr="00413F36" w:rsidRDefault="00857EC8" w:rsidP="00857EC8">
      <w:pPr>
        <w:rPr>
          <w:lang w:val="de-DE"/>
        </w:rPr>
      </w:pPr>
      <w:bookmarkStart w:id="28" w:name="_Toc463342924"/>
      <w:r w:rsidRPr="00413F36">
        <w:rPr>
          <w:lang w:val="de-DE"/>
        </w:rPr>
        <w:t>b)</w:t>
      </w:r>
      <w:r w:rsidRPr="00413F36">
        <w:rPr>
          <w:lang w:val="de-DE"/>
        </w:rPr>
        <w:tab/>
      </w:r>
      <w:bookmarkEnd w:id="28"/>
      <w:r w:rsidR="00D56F0B" w:rsidRPr="00413F36">
        <w:rPr>
          <w:lang w:val="de-DE"/>
        </w:rPr>
        <w:t>Obstarten mit nicht deutlich abgegrenzter Ruheperiode</w:t>
      </w:r>
    </w:p>
    <w:p w:rsidR="00857EC8" w:rsidRPr="00413F36" w:rsidRDefault="00857EC8" w:rsidP="00857EC8">
      <w:pPr>
        <w:rPr>
          <w:lang w:val="de-DE"/>
        </w:rPr>
      </w:pPr>
    </w:p>
    <w:p w:rsidR="00857EC8" w:rsidRPr="00413F36" w:rsidRDefault="00D56F0B" w:rsidP="00857EC8">
      <w:pPr>
        <w:rPr>
          <w:lang w:val="de-DE"/>
        </w:rPr>
      </w:pPr>
      <w:r w:rsidRPr="00413F36">
        <w:rPr>
          <w:lang w:val="de-DE"/>
        </w:rPr>
        <w:t>„3.1.2</w:t>
      </w:r>
      <w:r w:rsidR="00792E1F">
        <w:rPr>
          <w:lang w:val="de-DE"/>
        </w:rPr>
        <w:tab/>
      </w:r>
      <w:r w:rsidRPr="00413F36">
        <w:rPr>
          <w:lang w:val="de-DE"/>
        </w:rPr>
        <w:t>Als Wachstumsperiode wird die Periode angesehen, die zum Beginn des aktiven vegetativen Wachstums oder der Blüte anfängt, sich während des aktiven vegetativen Wachstums oder der Blüte und Fruchtentwicklung fortsetzt und mit der Ernte der Früchte endet.“</w:t>
      </w:r>
    </w:p>
    <w:p w:rsidR="00D56F0B" w:rsidRPr="00413F36" w:rsidRDefault="00D56F0B" w:rsidP="00857EC8">
      <w:pPr>
        <w:rPr>
          <w:i/>
          <w:lang w:val="de-DE"/>
        </w:rPr>
      </w:pPr>
    </w:p>
    <w:p w:rsidR="00857EC8" w:rsidRPr="00413F36" w:rsidRDefault="00857EC8" w:rsidP="00857EC8">
      <w:pPr>
        <w:rPr>
          <w:highlight w:val="yellow"/>
          <w:lang w:val="de-DE"/>
        </w:rPr>
      </w:pPr>
      <w:bookmarkStart w:id="29" w:name="_Toc463342925"/>
      <w:r w:rsidRPr="00413F36">
        <w:rPr>
          <w:iCs/>
          <w:lang w:val="de-DE"/>
        </w:rPr>
        <w:t>c)</w:t>
      </w:r>
      <w:r w:rsidRPr="00413F36">
        <w:rPr>
          <w:iCs/>
          <w:lang w:val="de-DE"/>
        </w:rPr>
        <w:tab/>
      </w:r>
      <w:bookmarkEnd w:id="29"/>
      <w:r w:rsidR="00CD5BBB" w:rsidRPr="00413F36">
        <w:rPr>
          <w:lang w:val="de-DE"/>
        </w:rPr>
        <w:t>Immergrüne Arten mit unbestimmtem Wachstum</w:t>
      </w:r>
    </w:p>
    <w:p w:rsidR="00857EC8" w:rsidRPr="00413F36" w:rsidRDefault="00857EC8" w:rsidP="00857EC8">
      <w:pPr>
        <w:rPr>
          <w:highlight w:val="yellow"/>
          <w:lang w:val="de-DE"/>
        </w:rPr>
      </w:pPr>
    </w:p>
    <w:p w:rsidR="00857EC8" w:rsidRPr="00413F36" w:rsidRDefault="00CD5BBB" w:rsidP="00857EC8">
      <w:pPr>
        <w:rPr>
          <w:lang w:val="de-DE"/>
        </w:rPr>
      </w:pPr>
      <w:r w:rsidRPr="00413F36">
        <w:rPr>
          <w:lang w:val="de-DE"/>
        </w:rPr>
        <w:t>„Als Wachstumsperiode wird die Periode betrachtet, die vom Beginn der Blüte einer einzelnen Blüte oder eines einzelnen Blütenstandes über die Fruchtentwicklung reicht und mit der Ernte der Früchte aus der entsprechenden einzelnen Blüte oder dem einzelnen Blütenstand endet.“</w:t>
      </w:r>
    </w:p>
    <w:p w:rsidR="00CD5BBB" w:rsidRPr="00413F36" w:rsidRDefault="00CD5BBB" w:rsidP="00857EC8">
      <w:pPr>
        <w:rPr>
          <w:i/>
          <w:lang w:val="de-DE"/>
        </w:rPr>
      </w:pPr>
    </w:p>
    <w:p w:rsidR="00857EC8" w:rsidRPr="00413F36" w:rsidRDefault="00857EC8" w:rsidP="00857EC8">
      <w:pPr>
        <w:rPr>
          <w:lang w:val="de-DE"/>
        </w:rPr>
      </w:pPr>
      <w:bookmarkStart w:id="30" w:name="_Toc463342926"/>
      <w:r w:rsidRPr="00413F36">
        <w:rPr>
          <w:lang w:val="de-DE"/>
        </w:rPr>
        <w:t>d)</w:t>
      </w:r>
      <w:r w:rsidRPr="00413F36">
        <w:rPr>
          <w:lang w:val="de-DE"/>
        </w:rPr>
        <w:tab/>
      </w:r>
      <w:bookmarkEnd w:id="30"/>
      <w:r w:rsidR="00D74206" w:rsidRPr="00413F36">
        <w:rPr>
          <w:lang w:val="de-DE"/>
        </w:rPr>
        <w:t>Obstarten</w:t>
      </w:r>
    </w:p>
    <w:p w:rsidR="00857EC8" w:rsidRPr="00413F36" w:rsidRDefault="00857EC8" w:rsidP="00857EC8">
      <w:pPr>
        <w:rPr>
          <w:lang w:val="de-DE"/>
        </w:rPr>
      </w:pPr>
    </w:p>
    <w:p w:rsidR="00857EC8" w:rsidRPr="00413F36" w:rsidRDefault="00333DB1" w:rsidP="00857EC8">
      <w:pPr>
        <w:rPr>
          <w:lang w:val="de-DE"/>
        </w:rPr>
      </w:pPr>
      <w:r w:rsidRPr="00413F36">
        <w:rPr>
          <w:lang w:val="de-DE"/>
        </w:rPr>
        <w:t>Bei Prüfungsrichtlinien, die Obstarten betreffen, kann in Kapitel 3.1 folgender Satz hinzugefügt werden:</w:t>
      </w:r>
    </w:p>
    <w:p w:rsidR="00333DB1" w:rsidRPr="00413F36" w:rsidRDefault="00333DB1" w:rsidP="00857EC8">
      <w:pPr>
        <w:rPr>
          <w:lang w:val="de-DE"/>
        </w:rPr>
      </w:pPr>
    </w:p>
    <w:p w:rsidR="00857EC8" w:rsidRPr="00413F36" w:rsidRDefault="008A1703" w:rsidP="00857EC8">
      <w:pPr>
        <w:rPr>
          <w:lang w:val="de-DE"/>
        </w:rPr>
      </w:pPr>
      <w:r w:rsidRPr="00413F36">
        <w:rPr>
          <w:lang w:val="de-DE"/>
        </w:rPr>
        <w:t>„Insbesondere ist es erforderlich, daß die [Bäume] / [Pflanzen] in jeder der beiden Wachstumsp</w:t>
      </w:r>
      <w:r w:rsidR="00EA786C" w:rsidRPr="00413F36">
        <w:rPr>
          <w:lang w:val="de-DE"/>
        </w:rPr>
        <w:t>erioden genügend Früchte tragen.</w:t>
      </w:r>
      <w:r w:rsidRPr="00413F36">
        <w:rPr>
          <w:lang w:val="de-DE"/>
        </w:rPr>
        <w:t>“</w:t>
      </w:r>
    </w:p>
    <w:p w:rsidR="008A1703" w:rsidRPr="00413F36" w:rsidRDefault="008A1703" w:rsidP="00857EC8">
      <w:pPr>
        <w:rPr>
          <w:lang w:val="de-DE"/>
        </w:rPr>
      </w:pPr>
    </w:p>
    <w:p w:rsidR="00857EC8" w:rsidRPr="00413F36" w:rsidRDefault="00857EC8" w:rsidP="00857EC8">
      <w:pPr>
        <w:rPr>
          <w:lang w:val="de-DE"/>
        </w:rPr>
      </w:pPr>
      <w:bookmarkStart w:id="31" w:name="_Toc463342927"/>
      <w:r w:rsidRPr="00413F36">
        <w:rPr>
          <w:lang w:val="de-DE"/>
        </w:rPr>
        <w:t>e)</w:t>
      </w:r>
      <w:r w:rsidRPr="00413F36">
        <w:rPr>
          <w:lang w:val="de-DE"/>
        </w:rPr>
        <w:tab/>
      </w:r>
      <w:bookmarkEnd w:id="31"/>
      <w:r w:rsidR="008A1703" w:rsidRPr="00413F36">
        <w:rPr>
          <w:lang w:val="de-DE"/>
        </w:rPr>
        <w:t>Zwei unabhängige Wachstumsperioden in Form von zwei getrennten Anbauten</w:t>
      </w:r>
    </w:p>
    <w:p w:rsidR="00857EC8" w:rsidRPr="00413F36" w:rsidRDefault="00857EC8" w:rsidP="00857EC8">
      <w:pPr>
        <w:rPr>
          <w:lang w:val="de-DE"/>
        </w:rPr>
      </w:pPr>
    </w:p>
    <w:p w:rsidR="00857EC8" w:rsidRPr="00413F36" w:rsidRDefault="008A1703" w:rsidP="00857EC8">
      <w:pPr>
        <w:rPr>
          <w:lang w:val="de-DE"/>
        </w:rPr>
      </w:pPr>
      <w:r w:rsidRPr="00413F36">
        <w:rPr>
          <w:lang w:val="de-DE"/>
        </w:rPr>
        <w:t>Gegebenenfalls kann in Kapitel 3.1. folgender Satz hinzugefügt werden:</w:t>
      </w:r>
    </w:p>
    <w:p w:rsidR="008A1703" w:rsidRPr="00413F36" w:rsidRDefault="008A1703" w:rsidP="00857EC8">
      <w:pPr>
        <w:rPr>
          <w:lang w:val="de-DE"/>
        </w:rPr>
      </w:pPr>
    </w:p>
    <w:p w:rsidR="00857EC8" w:rsidRPr="00413F36" w:rsidRDefault="008A1703" w:rsidP="00857EC8">
      <w:pPr>
        <w:rPr>
          <w:lang w:val="de-DE"/>
        </w:rPr>
      </w:pPr>
      <w:r w:rsidRPr="00413F36">
        <w:rPr>
          <w:lang w:val="de-DE"/>
        </w:rPr>
        <w:t>„Die zwei unabhängigen Wachstumsperioden sollten in Form von zwei getrennten Anbauten erfolgen.“</w:t>
      </w:r>
    </w:p>
    <w:p w:rsidR="00857EC8" w:rsidRPr="00413F36" w:rsidRDefault="00857EC8" w:rsidP="00857EC8">
      <w:pPr>
        <w:rPr>
          <w:lang w:val="de-DE"/>
        </w:rPr>
      </w:pPr>
    </w:p>
    <w:p w:rsidR="00857EC8" w:rsidRPr="00413F36" w:rsidRDefault="00857EC8" w:rsidP="00857EC8">
      <w:pPr>
        <w:rPr>
          <w:lang w:val="de-DE"/>
        </w:rPr>
      </w:pPr>
      <w:bookmarkStart w:id="32" w:name="_Toc463342928"/>
      <w:r w:rsidRPr="00413F36">
        <w:rPr>
          <w:lang w:val="de-DE"/>
        </w:rPr>
        <w:t>f)</w:t>
      </w:r>
      <w:r w:rsidRPr="00413F36">
        <w:rPr>
          <w:lang w:val="de-DE"/>
        </w:rPr>
        <w:tab/>
      </w:r>
      <w:bookmarkEnd w:id="32"/>
      <w:r w:rsidR="005C3D8D" w:rsidRPr="00413F36">
        <w:rPr>
          <w:lang w:val="de-DE"/>
        </w:rPr>
        <w:t>Zwei unabhängige Wachstumsperioden aus einem einzigen Anbau</w:t>
      </w:r>
    </w:p>
    <w:p w:rsidR="00857EC8" w:rsidRPr="00413F36" w:rsidRDefault="00857EC8" w:rsidP="00857EC8">
      <w:pPr>
        <w:rPr>
          <w:lang w:val="de-DE"/>
        </w:rPr>
      </w:pPr>
    </w:p>
    <w:p w:rsidR="00857EC8" w:rsidRPr="00413F36" w:rsidRDefault="005C3D8D" w:rsidP="00857EC8">
      <w:pPr>
        <w:rPr>
          <w:lang w:val="de-DE"/>
        </w:rPr>
      </w:pPr>
      <w:r w:rsidRPr="00413F36">
        <w:rPr>
          <w:lang w:val="de-DE"/>
        </w:rPr>
        <w:t>Gegebenenfalls kann in Kapitel 3.1. folgender Satz hinzugefügt werden:</w:t>
      </w:r>
    </w:p>
    <w:p w:rsidR="005C3D8D" w:rsidRPr="00413F36" w:rsidRDefault="005C3D8D" w:rsidP="00857EC8">
      <w:pPr>
        <w:rPr>
          <w:lang w:val="de-DE"/>
        </w:rPr>
      </w:pPr>
    </w:p>
    <w:p w:rsidR="00857EC8" w:rsidRPr="00413F36" w:rsidRDefault="005C3D8D" w:rsidP="00857EC8">
      <w:pPr>
        <w:rPr>
          <w:lang w:val="de-DE"/>
        </w:rPr>
      </w:pPr>
      <w:r w:rsidRPr="00413F36">
        <w:rPr>
          <w:lang w:val="de-DE"/>
        </w:rPr>
        <w:t>„Die zwei unabhängigen Wachstumsperioden können an einem einzigen Anbau erfaßt werden, der in zwei getrennten Wachstumsperioden geprüft wird.“</w:t>
      </w:r>
    </w:p>
    <w:p w:rsidR="005C3D8D" w:rsidRPr="00413F36" w:rsidRDefault="005C3D8D" w:rsidP="00857EC8">
      <w:pPr>
        <w:rPr>
          <w:lang w:val="de-DE"/>
        </w:rPr>
      </w:pPr>
    </w:p>
    <w:p w:rsidR="00857EC8" w:rsidRPr="00413F36" w:rsidRDefault="00857EC8" w:rsidP="00857EC8">
      <w:pPr>
        <w:rPr>
          <w:lang w:val="de-DE"/>
        </w:rPr>
      </w:pPr>
    </w:p>
    <w:p w:rsidR="00857EC8" w:rsidRPr="00413F36" w:rsidRDefault="00857EC8" w:rsidP="00857EC8">
      <w:pPr>
        <w:rPr>
          <w:u w:val="single"/>
          <w:lang w:val="de-DE"/>
        </w:rPr>
      </w:pPr>
      <w:bookmarkStart w:id="33" w:name="_Toc463342976"/>
      <w:r w:rsidRPr="00413F36">
        <w:rPr>
          <w:u w:val="single"/>
          <w:lang w:val="de-DE"/>
        </w:rPr>
        <w:t>GN 8</w:t>
      </w:r>
      <w:r w:rsidRPr="00413F36">
        <w:rPr>
          <w:u w:val="single"/>
          <w:lang w:val="de-DE"/>
        </w:rPr>
        <w:tab/>
        <w:t>(</w:t>
      </w:r>
      <w:r w:rsidR="00F54568" w:rsidRPr="00413F36">
        <w:rPr>
          <w:u w:val="single"/>
          <w:lang w:val="de-DE"/>
        </w:rPr>
        <w:t>TG-Mustervorlage:</w:t>
      </w:r>
      <w:r w:rsidRPr="00413F36">
        <w:rPr>
          <w:u w:val="single"/>
          <w:lang w:val="de-DE"/>
        </w:rPr>
        <w:t xml:space="preserve">  </w:t>
      </w:r>
      <w:r w:rsidR="00F54568" w:rsidRPr="00413F36">
        <w:rPr>
          <w:u w:val="single"/>
          <w:lang w:val="de-DE"/>
        </w:rPr>
        <w:t>Kapite</w:t>
      </w:r>
      <w:r w:rsidR="006E434C">
        <w:rPr>
          <w:u w:val="single"/>
          <w:lang w:val="de-DE"/>
        </w:rPr>
        <w:t>l</w:t>
      </w:r>
      <w:r w:rsidRPr="00413F36">
        <w:rPr>
          <w:u w:val="single"/>
          <w:lang w:val="de-DE"/>
        </w:rPr>
        <w:t xml:space="preserve"> 3.1.2) – </w:t>
      </w:r>
      <w:bookmarkEnd w:id="33"/>
      <w:r w:rsidR="00F54568" w:rsidRPr="00413F36">
        <w:rPr>
          <w:u w:val="single"/>
          <w:lang w:val="de-DE"/>
        </w:rPr>
        <w:t>Erläuterung der Wachstumsperiode</w:t>
      </w:r>
    </w:p>
    <w:p w:rsidR="00857EC8" w:rsidRPr="00413F36" w:rsidRDefault="00857EC8" w:rsidP="00857EC8">
      <w:pPr>
        <w:rPr>
          <w:u w:val="single"/>
          <w:lang w:val="de-DE"/>
        </w:rPr>
      </w:pPr>
    </w:p>
    <w:p w:rsidR="00857EC8" w:rsidRPr="00413F36" w:rsidRDefault="00C55B24" w:rsidP="00857EC8">
      <w:pPr>
        <w:rPr>
          <w:lang w:val="de-DE"/>
        </w:rPr>
      </w:pPr>
      <w:r w:rsidRPr="00413F36">
        <w:rPr>
          <w:lang w:val="de-DE"/>
        </w:rPr>
        <w:t>„Kapitel 3.1 gibt die Anzahl Wachstumsperioden an</w:t>
      </w:r>
      <w:r w:rsidR="00792E1F">
        <w:rPr>
          <w:lang w:val="de-DE"/>
        </w:rPr>
        <w:t>.</w:t>
      </w:r>
      <w:r w:rsidR="00857EC8" w:rsidRPr="00413F36">
        <w:rPr>
          <w:lang w:val="de-DE"/>
        </w:rPr>
        <w:t xml:space="preserve"> </w:t>
      </w:r>
      <w:r w:rsidRPr="00413F36">
        <w:rPr>
          <w:lang w:val="de-DE"/>
        </w:rPr>
        <w:t xml:space="preserve">In einigen Fällen kann es notwendig sein zu klären, was unter einer „Wachstumsperiode“ zu verstehen ist. Für bestimmte Situationen wurde ein zusätzlicher Standardwortlaut entwickelt </w:t>
      </w:r>
      <w:r w:rsidR="00857EC8" w:rsidRPr="00413F36">
        <w:rPr>
          <w:lang w:val="de-DE"/>
        </w:rPr>
        <w:t>(</w:t>
      </w:r>
      <w:r w:rsidRPr="00413F36">
        <w:rPr>
          <w:lang w:val="de-DE"/>
        </w:rPr>
        <w:t>vergleiche</w:t>
      </w:r>
      <w:r w:rsidR="00857EC8" w:rsidRPr="00413F36">
        <w:rPr>
          <w:lang w:val="de-DE"/>
        </w:rPr>
        <w:t xml:space="preserve"> ASW 3).</w:t>
      </w:r>
      <w:r w:rsidR="00B65C84" w:rsidRPr="00413F36">
        <w:rPr>
          <w:lang w:val="de-DE"/>
        </w:rPr>
        <w:t>“</w:t>
      </w:r>
    </w:p>
    <w:p w:rsidR="00675675" w:rsidRPr="00413F36" w:rsidRDefault="00675675" w:rsidP="00857EC8">
      <w:pPr>
        <w:rPr>
          <w:lang w:val="de-DE"/>
        </w:rPr>
      </w:pPr>
      <w:bookmarkStart w:id="34" w:name="_GoBack"/>
      <w:bookmarkEnd w:id="34"/>
    </w:p>
    <w:p w:rsidR="00857EC8" w:rsidRPr="00413F36" w:rsidRDefault="00857EC8" w:rsidP="00857EC8">
      <w:pPr>
        <w:rPr>
          <w:lang w:val="de-DE"/>
        </w:rPr>
      </w:pPr>
    </w:p>
    <w:p w:rsidR="00050E16" w:rsidRPr="00413F36" w:rsidRDefault="00857EC8" w:rsidP="00EC34D6">
      <w:pPr>
        <w:jc w:val="right"/>
        <w:rPr>
          <w:lang w:val="de-DE"/>
        </w:rPr>
      </w:pPr>
      <w:r w:rsidRPr="00413F36">
        <w:rPr>
          <w:lang w:val="de-DE"/>
        </w:rPr>
        <w:t xml:space="preserve"> [</w:t>
      </w:r>
      <w:r w:rsidR="00BF4149" w:rsidRPr="00413F36">
        <w:rPr>
          <w:lang w:val="de-DE"/>
        </w:rPr>
        <w:t xml:space="preserve">Ende der Anlage </w:t>
      </w:r>
      <w:r w:rsidR="00614D9D">
        <w:rPr>
          <w:lang w:val="de-DE"/>
        </w:rPr>
        <w:t xml:space="preserve">und </w:t>
      </w:r>
      <w:r w:rsidR="00BF4149" w:rsidRPr="00413F36">
        <w:rPr>
          <w:lang w:val="de-DE"/>
        </w:rPr>
        <w:t>des Dokuments</w:t>
      </w:r>
      <w:r w:rsidRPr="00413F36">
        <w:rPr>
          <w:lang w:val="de-DE"/>
        </w:rPr>
        <w:t>]</w:t>
      </w:r>
    </w:p>
    <w:sectPr w:rsidR="00050E16" w:rsidRPr="00413F36" w:rsidSect="00906DDC">
      <w:headerReference w:type="default" r:id="rId11"/>
      <w:headerReference w:type="first" r:id="rId12"/>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FF0" w:rsidRDefault="00CA4FF0" w:rsidP="006655D3">
      <w:r>
        <w:separator/>
      </w:r>
    </w:p>
    <w:p w:rsidR="00CA4FF0" w:rsidRDefault="00CA4FF0" w:rsidP="006655D3"/>
    <w:p w:rsidR="00CA4FF0" w:rsidRDefault="00CA4FF0" w:rsidP="006655D3"/>
  </w:endnote>
  <w:endnote w:type="continuationSeparator" w:id="0">
    <w:p w:rsidR="00CA4FF0" w:rsidRDefault="00CA4FF0" w:rsidP="006655D3">
      <w:r>
        <w:separator/>
      </w:r>
    </w:p>
    <w:p w:rsidR="00CA4FF0" w:rsidRPr="00294751" w:rsidRDefault="00CA4FF0">
      <w:pPr>
        <w:pStyle w:val="Footer"/>
        <w:spacing w:after="60"/>
        <w:rPr>
          <w:sz w:val="18"/>
          <w:lang w:val="fr-FR"/>
        </w:rPr>
      </w:pPr>
      <w:r w:rsidRPr="00294751">
        <w:rPr>
          <w:sz w:val="18"/>
          <w:lang w:val="fr-FR"/>
        </w:rPr>
        <w:t>[Suite de la note de la page précédente]</w:t>
      </w:r>
    </w:p>
    <w:p w:rsidR="00CA4FF0" w:rsidRPr="00294751" w:rsidRDefault="00CA4FF0" w:rsidP="006655D3">
      <w:pPr>
        <w:rPr>
          <w:lang w:val="fr-FR"/>
        </w:rPr>
      </w:pPr>
    </w:p>
    <w:p w:rsidR="00CA4FF0" w:rsidRPr="00294751" w:rsidRDefault="00CA4FF0" w:rsidP="006655D3">
      <w:pPr>
        <w:rPr>
          <w:lang w:val="fr-FR"/>
        </w:rPr>
      </w:pPr>
    </w:p>
  </w:endnote>
  <w:endnote w:type="continuationNotice" w:id="1">
    <w:p w:rsidR="00CA4FF0" w:rsidRPr="00294751" w:rsidRDefault="00CA4FF0" w:rsidP="006655D3">
      <w:pPr>
        <w:rPr>
          <w:lang w:val="fr-FR"/>
        </w:rPr>
      </w:pPr>
      <w:r w:rsidRPr="00294751">
        <w:rPr>
          <w:lang w:val="fr-FR"/>
        </w:rPr>
        <w:t>[Suite de la note page suivante]</w:t>
      </w:r>
    </w:p>
    <w:p w:rsidR="00CA4FF0" w:rsidRPr="00294751" w:rsidRDefault="00CA4FF0" w:rsidP="006655D3">
      <w:pPr>
        <w:rPr>
          <w:lang w:val="fr-FR"/>
        </w:rPr>
      </w:pPr>
    </w:p>
    <w:p w:rsidR="00CA4FF0" w:rsidRPr="00294751" w:rsidRDefault="00CA4FF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FF0" w:rsidRDefault="00CA4FF0" w:rsidP="006655D3">
      <w:r>
        <w:separator/>
      </w:r>
    </w:p>
  </w:footnote>
  <w:footnote w:type="continuationSeparator" w:id="0">
    <w:p w:rsidR="00CA4FF0" w:rsidRDefault="00CA4FF0" w:rsidP="006655D3">
      <w:r>
        <w:separator/>
      </w:r>
    </w:p>
  </w:footnote>
  <w:footnote w:type="continuationNotice" w:id="1">
    <w:p w:rsidR="00CA4FF0" w:rsidRPr="00AB530F" w:rsidRDefault="00CA4FF0"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EC8" w:rsidRDefault="00EC34D6" w:rsidP="00C11DD6">
    <w:pPr>
      <w:jc w:val="center"/>
    </w:pPr>
    <w:r>
      <w:t>TC</w:t>
    </w:r>
    <w:r w:rsidR="00857EC8">
      <w:t>/</w:t>
    </w:r>
    <w:r>
      <w:t>54</w:t>
    </w:r>
    <w:r w:rsidR="00857EC8">
      <w:t>/</w:t>
    </w:r>
    <w:r>
      <w:t>14</w:t>
    </w:r>
  </w:p>
  <w:p w:rsidR="00857EC8" w:rsidRPr="00C5280D" w:rsidRDefault="00002F87" w:rsidP="00C11DD6">
    <w:pPr>
      <w:jc w:val="center"/>
    </w:pPr>
    <w:proofErr w:type="spellStart"/>
    <w:r>
      <w:t>Seite</w:t>
    </w:r>
    <w:proofErr w:type="spellEnd"/>
    <w:r w:rsidR="00857EC8" w:rsidRPr="00C5280D">
      <w:t xml:space="preserve"> </w:t>
    </w:r>
    <w:r w:rsidR="00857EC8" w:rsidRPr="00C5280D">
      <w:fldChar w:fldCharType="begin"/>
    </w:r>
    <w:r w:rsidR="00857EC8" w:rsidRPr="00C5280D">
      <w:instrText xml:space="preserve"> PAGE </w:instrText>
    </w:r>
    <w:r w:rsidR="00857EC8" w:rsidRPr="00C5280D">
      <w:fldChar w:fldCharType="separate"/>
    </w:r>
    <w:r w:rsidR="00675675">
      <w:rPr>
        <w:noProof/>
      </w:rPr>
      <w:t>5</w:t>
    </w:r>
    <w:r w:rsidR="00857EC8" w:rsidRPr="00C5280D">
      <w:fldChar w:fldCharType="end"/>
    </w:r>
  </w:p>
  <w:p w:rsidR="00857EC8" w:rsidRPr="00C5280D" w:rsidRDefault="00857EC8"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8B6E60" w:rsidP="00EB048E">
    <w:pPr>
      <w:pStyle w:val="Header"/>
      <w:rPr>
        <w:rStyle w:val="PageNumber"/>
        <w:lang w:val="en-US"/>
      </w:rPr>
    </w:pPr>
    <w:r>
      <w:rPr>
        <w:rStyle w:val="PageNumber"/>
        <w:lang w:val="en-US"/>
      </w:rPr>
      <w:t>TC/54</w:t>
    </w:r>
    <w:r w:rsidR="00667404">
      <w:rPr>
        <w:rStyle w:val="PageNumber"/>
        <w:lang w:val="en-US"/>
      </w:rPr>
      <w:t>/</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75675">
      <w:rPr>
        <w:rStyle w:val="PageNumber"/>
        <w:noProof/>
        <w:lang w:val="en-US"/>
      </w:rPr>
      <w:t>7</w:t>
    </w:r>
    <w:r w:rsidRPr="00C5280D">
      <w:rPr>
        <w:rStyle w:val="PageNumber"/>
        <w:lang w:val="en-US"/>
      </w:rPr>
      <w:fldChar w:fldCharType="end"/>
    </w:r>
  </w:p>
  <w:p w:rsidR="00182B99" w:rsidRPr="00C5280D" w:rsidRDefault="00182B99" w:rsidP="006655D3"/>
  <w:p w:rsidR="00EF21FA" w:rsidRDefault="00EF21F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4D6" w:rsidRDefault="00EC34D6" w:rsidP="00EC34D6">
    <w:pPr>
      <w:jc w:val="center"/>
    </w:pPr>
    <w:r>
      <w:t>TC/54/14</w:t>
    </w:r>
  </w:p>
  <w:p w:rsidR="00EC34D6" w:rsidRDefault="00EC34D6">
    <w:pPr>
      <w:pStyle w:val="Header"/>
    </w:pPr>
  </w:p>
  <w:p w:rsidR="00EC34D6" w:rsidRDefault="00EC34D6">
    <w:pPr>
      <w:pStyle w:val="Header"/>
    </w:pPr>
    <w:r>
      <w:t>AN</w:t>
    </w:r>
    <w:r w:rsidR="00BF4149">
      <w:t>LAGE</w:t>
    </w:r>
  </w:p>
  <w:p w:rsidR="00EC34D6" w:rsidRDefault="00EC34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E47C9"/>
    <w:multiLevelType w:val="hybridMultilevel"/>
    <w:tmpl w:val="233402B6"/>
    <w:lvl w:ilvl="0" w:tplc="371EFC48">
      <w:start w:val="3"/>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5F35BB"/>
    <w:multiLevelType w:val="hybridMultilevel"/>
    <w:tmpl w:val="7E3EA7E0"/>
    <w:lvl w:ilvl="0" w:tplc="04070017">
      <w:start w:val="1"/>
      <w:numFmt w:val="lowerLetter"/>
      <w:lvlText w:val="%1)"/>
      <w:lvlJc w:val="left"/>
      <w:pPr>
        <w:ind w:left="927" w:hanging="360"/>
      </w:pPr>
      <w:rPr>
        <w:rFonts w:hint="default"/>
        <w:lang w:val="de-D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EC8"/>
    <w:rsid w:val="00002E93"/>
    <w:rsid w:val="00002F87"/>
    <w:rsid w:val="00010CF3"/>
    <w:rsid w:val="0001133D"/>
    <w:rsid w:val="00011E27"/>
    <w:rsid w:val="000148BC"/>
    <w:rsid w:val="000176B3"/>
    <w:rsid w:val="00024AB8"/>
    <w:rsid w:val="00030854"/>
    <w:rsid w:val="00036028"/>
    <w:rsid w:val="00044642"/>
    <w:rsid w:val="000446B9"/>
    <w:rsid w:val="00047E21"/>
    <w:rsid w:val="00050E16"/>
    <w:rsid w:val="00056A2E"/>
    <w:rsid w:val="00085505"/>
    <w:rsid w:val="00085EF2"/>
    <w:rsid w:val="00086743"/>
    <w:rsid w:val="00095A58"/>
    <w:rsid w:val="000C4E25"/>
    <w:rsid w:val="000C7021"/>
    <w:rsid w:val="000D6BBC"/>
    <w:rsid w:val="000D7780"/>
    <w:rsid w:val="000E636A"/>
    <w:rsid w:val="000F2F11"/>
    <w:rsid w:val="00105929"/>
    <w:rsid w:val="00110C36"/>
    <w:rsid w:val="001131D5"/>
    <w:rsid w:val="00141DB8"/>
    <w:rsid w:val="00172084"/>
    <w:rsid w:val="0017474A"/>
    <w:rsid w:val="001758C6"/>
    <w:rsid w:val="00182B99"/>
    <w:rsid w:val="00194AF3"/>
    <w:rsid w:val="001C600C"/>
    <w:rsid w:val="001F15B3"/>
    <w:rsid w:val="00201ABC"/>
    <w:rsid w:val="0021332C"/>
    <w:rsid w:val="00213982"/>
    <w:rsid w:val="0024416D"/>
    <w:rsid w:val="00257A80"/>
    <w:rsid w:val="00271911"/>
    <w:rsid w:val="002800A0"/>
    <w:rsid w:val="002801B3"/>
    <w:rsid w:val="00281060"/>
    <w:rsid w:val="0029344D"/>
    <w:rsid w:val="002940E8"/>
    <w:rsid w:val="00294751"/>
    <w:rsid w:val="002A1EA0"/>
    <w:rsid w:val="002A5149"/>
    <w:rsid w:val="002A6E50"/>
    <w:rsid w:val="002B4298"/>
    <w:rsid w:val="002B4FA1"/>
    <w:rsid w:val="002C256A"/>
    <w:rsid w:val="002E1F2A"/>
    <w:rsid w:val="00304827"/>
    <w:rsid w:val="00305A7F"/>
    <w:rsid w:val="003152FE"/>
    <w:rsid w:val="00320C96"/>
    <w:rsid w:val="00323F3F"/>
    <w:rsid w:val="00327436"/>
    <w:rsid w:val="00333DB1"/>
    <w:rsid w:val="00344BD6"/>
    <w:rsid w:val="0035528D"/>
    <w:rsid w:val="0036114B"/>
    <w:rsid w:val="00361821"/>
    <w:rsid w:val="00361E9E"/>
    <w:rsid w:val="003A7853"/>
    <w:rsid w:val="003B3494"/>
    <w:rsid w:val="003C7FBE"/>
    <w:rsid w:val="003D227C"/>
    <w:rsid w:val="003D2B4D"/>
    <w:rsid w:val="003D3AA4"/>
    <w:rsid w:val="00413F36"/>
    <w:rsid w:val="004234E1"/>
    <w:rsid w:val="00425A37"/>
    <w:rsid w:val="00431AEE"/>
    <w:rsid w:val="00444A88"/>
    <w:rsid w:val="004533FE"/>
    <w:rsid w:val="00465079"/>
    <w:rsid w:val="00466815"/>
    <w:rsid w:val="00474DA4"/>
    <w:rsid w:val="00476B4D"/>
    <w:rsid w:val="00480575"/>
    <w:rsid w:val="004805FA"/>
    <w:rsid w:val="004935D2"/>
    <w:rsid w:val="004B1215"/>
    <w:rsid w:val="004C148E"/>
    <w:rsid w:val="004D047D"/>
    <w:rsid w:val="004E3C69"/>
    <w:rsid w:val="004F1E9E"/>
    <w:rsid w:val="004F305A"/>
    <w:rsid w:val="00512164"/>
    <w:rsid w:val="00520297"/>
    <w:rsid w:val="005338F9"/>
    <w:rsid w:val="0054281C"/>
    <w:rsid w:val="005441BB"/>
    <w:rsid w:val="00544581"/>
    <w:rsid w:val="0055268D"/>
    <w:rsid w:val="00576BE4"/>
    <w:rsid w:val="00583EDD"/>
    <w:rsid w:val="005A400A"/>
    <w:rsid w:val="005B57FE"/>
    <w:rsid w:val="005C3D8D"/>
    <w:rsid w:val="005C5BDD"/>
    <w:rsid w:val="005F0E14"/>
    <w:rsid w:val="005F7B92"/>
    <w:rsid w:val="00612379"/>
    <w:rsid w:val="00614D9D"/>
    <w:rsid w:val="006153B6"/>
    <w:rsid w:val="0061555F"/>
    <w:rsid w:val="0063354F"/>
    <w:rsid w:val="00634B2E"/>
    <w:rsid w:val="00636A52"/>
    <w:rsid w:val="00636CA6"/>
    <w:rsid w:val="00641200"/>
    <w:rsid w:val="00645CA8"/>
    <w:rsid w:val="006655D3"/>
    <w:rsid w:val="00667404"/>
    <w:rsid w:val="00675675"/>
    <w:rsid w:val="00687EB4"/>
    <w:rsid w:val="00695C56"/>
    <w:rsid w:val="006A1ACF"/>
    <w:rsid w:val="006A476D"/>
    <w:rsid w:val="006A5CDE"/>
    <w:rsid w:val="006A644A"/>
    <w:rsid w:val="006B17D2"/>
    <w:rsid w:val="006C13A1"/>
    <w:rsid w:val="006C224E"/>
    <w:rsid w:val="006D3B88"/>
    <w:rsid w:val="006D780A"/>
    <w:rsid w:val="006E27FE"/>
    <w:rsid w:val="006E434C"/>
    <w:rsid w:val="0071271E"/>
    <w:rsid w:val="00714960"/>
    <w:rsid w:val="00724686"/>
    <w:rsid w:val="00732DEC"/>
    <w:rsid w:val="00733705"/>
    <w:rsid w:val="00735BD5"/>
    <w:rsid w:val="00751613"/>
    <w:rsid w:val="007556F6"/>
    <w:rsid w:val="00760EEF"/>
    <w:rsid w:val="00772F6D"/>
    <w:rsid w:val="00777EE5"/>
    <w:rsid w:val="00784836"/>
    <w:rsid w:val="0079023E"/>
    <w:rsid w:val="00792E1F"/>
    <w:rsid w:val="007939BF"/>
    <w:rsid w:val="007974DE"/>
    <w:rsid w:val="007A2854"/>
    <w:rsid w:val="007B2559"/>
    <w:rsid w:val="007C1D92"/>
    <w:rsid w:val="007C4CB9"/>
    <w:rsid w:val="007D0B9D"/>
    <w:rsid w:val="007D19B0"/>
    <w:rsid w:val="007F498F"/>
    <w:rsid w:val="0080679D"/>
    <w:rsid w:val="008108B0"/>
    <w:rsid w:val="00811B20"/>
    <w:rsid w:val="008211B5"/>
    <w:rsid w:val="00821604"/>
    <w:rsid w:val="0082296E"/>
    <w:rsid w:val="00822AA6"/>
    <w:rsid w:val="00824099"/>
    <w:rsid w:val="00843D12"/>
    <w:rsid w:val="00846D7C"/>
    <w:rsid w:val="00857EC8"/>
    <w:rsid w:val="00867AC1"/>
    <w:rsid w:val="00887137"/>
    <w:rsid w:val="00890DF8"/>
    <w:rsid w:val="008A1703"/>
    <w:rsid w:val="008A743F"/>
    <w:rsid w:val="008B6E60"/>
    <w:rsid w:val="008C029F"/>
    <w:rsid w:val="008C0970"/>
    <w:rsid w:val="008C5389"/>
    <w:rsid w:val="008D0BC5"/>
    <w:rsid w:val="008D2CF7"/>
    <w:rsid w:val="008D7E86"/>
    <w:rsid w:val="008F326C"/>
    <w:rsid w:val="00900C26"/>
    <w:rsid w:val="0090197F"/>
    <w:rsid w:val="00906DDC"/>
    <w:rsid w:val="00934E09"/>
    <w:rsid w:val="00936253"/>
    <w:rsid w:val="00940D46"/>
    <w:rsid w:val="00952DD4"/>
    <w:rsid w:val="00965AE7"/>
    <w:rsid w:val="00970FED"/>
    <w:rsid w:val="00975F08"/>
    <w:rsid w:val="00981171"/>
    <w:rsid w:val="00992D82"/>
    <w:rsid w:val="00993B98"/>
    <w:rsid w:val="00997029"/>
    <w:rsid w:val="009A4CAC"/>
    <w:rsid w:val="009A7339"/>
    <w:rsid w:val="009B440E"/>
    <w:rsid w:val="009D690D"/>
    <w:rsid w:val="009E65B6"/>
    <w:rsid w:val="00A16D9B"/>
    <w:rsid w:val="00A24C10"/>
    <w:rsid w:val="00A42AC3"/>
    <w:rsid w:val="00A430CF"/>
    <w:rsid w:val="00A54309"/>
    <w:rsid w:val="00A80FE7"/>
    <w:rsid w:val="00A941B6"/>
    <w:rsid w:val="00AA5D8C"/>
    <w:rsid w:val="00AB2B93"/>
    <w:rsid w:val="00AB530F"/>
    <w:rsid w:val="00AB7E5B"/>
    <w:rsid w:val="00AC2883"/>
    <w:rsid w:val="00AD1A1C"/>
    <w:rsid w:val="00AE0EF1"/>
    <w:rsid w:val="00AE2937"/>
    <w:rsid w:val="00B07301"/>
    <w:rsid w:val="00B11F3E"/>
    <w:rsid w:val="00B224DE"/>
    <w:rsid w:val="00B324D4"/>
    <w:rsid w:val="00B34ED9"/>
    <w:rsid w:val="00B46575"/>
    <w:rsid w:val="00B61777"/>
    <w:rsid w:val="00B65C84"/>
    <w:rsid w:val="00B849FF"/>
    <w:rsid w:val="00B84BBD"/>
    <w:rsid w:val="00BA43FB"/>
    <w:rsid w:val="00BC127D"/>
    <w:rsid w:val="00BC1FE6"/>
    <w:rsid w:val="00BE47C2"/>
    <w:rsid w:val="00BF4149"/>
    <w:rsid w:val="00BF6283"/>
    <w:rsid w:val="00C061B6"/>
    <w:rsid w:val="00C06909"/>
    <w:rsid w:val="00C11565"/>
    <w:rsid w:val="00C2446C"/>
    <w:rsid w:val="00C33C7B"/>
    <w:rsid w:val="00C36AE5"/>
    <w:rsid w:val="00C410DF"/>
    <w:rsid w:val="00C41F17"/>
    <w:rsid w:val="00C527FA"/>
    <w:rsid w:val="00C5280D"/>
    <w:rsid w:val="00C53EB3"/>
    <w:rsid w:val="00C55B24"/>
    <w:rsid w:val="00C5791C"/>
    <w:rsid w:val="00C62CF6"/>
    <w:rsid w:val="00C66290"/>
    <w:rsid w:val="00C72B7A"/>
    <w:rsid w:val="00C973F2"/>
    <w:rsid w:val="00CA0CF9"/>
    <w:rsid w:val="00CA304C"/>
    <w:rsid w:val="00CA4FF0"/>
    <w:rsid w:val="00CA774A"/>
    <w:rsid w:val="00CB281E"/>
    <w:rsid w:val="00CC11B0"/>
    <w:rsid w:val="00CC2841"/>
    <w:rsid w:val="00CD5BBB"/>
    <w:rsid w:val="00CE4BB4"/>
    <w:rsid w:val="00CF1330"/>
    <w:rsid w:val="00CF44F6"/>
    <w:rsid w:val="00CF7E36"/>
    <w:rsid w:val="00D022DD"/>
    <w:rsid w:val="00D27EBB"/>
    <w:rsid w:val="00D30F31"/>
    <w:rsid w:val="00D3708D"/>
    <w:rsid w:val="00D40426"/>
    <w:rsid w:val="00D56F0B"/>
    <w:rsid w:val="00D57C96"/>
    <w:rsid w:val="00D57D18"/>
    <w:rsid w:val="00D678C4"/>
    <w:rsid w:val="00D74206"/>
    <w:rsid w:val="00D91203"/>
    <w:rsid w:val="00D95174"/>
    <w:rsid w:val="00DA4973"/>
    <w:rsid w:val="00DA6F36"/>
    <w:rsid w:val="00DB596E"/>
    <w:rsid w:val="00DB7773"/>
    <w:rsid w:val="00DC00EA"/>
    <w:rsid w:val="00DC3802"/>
    <w:rsid w:val="00E01423"/>
    <w:rsid w:val="00E04A6F"/>
    <w:rsid w:val="00E07D87"/>
    <w:rsid w:val="00E11412"/>
    <w:rsid w:val="00E32F7E"/>
    <w:rsid w:val="00E5267B"/>
    <w:rsid w:val="00E63C0E"/>
    <w:rsid w:val="00E72D49"/>
    <w:rsid w:val="00E7593C"/>
    <w:rsid w:val="00E7678A"/>
    <w:rsid w:val="00E935F1"/>
    <w:rsid w:val="00E94A81"/>
    <w:rsid w:val="00EA1FFB"/>
    <w:rsid w:val="00EA786C"/>
    <w:rsid w:val="00EB048E"/>
    <w:rsid w:val="00EB09EC"/>
    <w:rsid w:val="00EB4E9C"/>
    <w:rsid w:val="00EC34D6"/>
    <w:rsid w:val="00EC55B3"/>
    <w:rsid w:val="00ED0032"/>
    <w:rsid w:val="00ED65FC"/>
    <w:rsid w:val="00EE34DF"/>
    <w:rsid w:val="00EF21FA"/>
    <w:rsid w:val="00EF2F89"/>
    <w:rsid w:val="00EF32FB"/>
    <w:rsid w:val="00F03E98"/>
    <w:rsid w:val="00F1237A"/>
    <w:rsid w:val="00F20788"/>
    <w:rsid w:val="00F22CBD"/>
    <w:rsid w:val="00F272F1"/>
    <w:rsid w:val="00F45372"/>
    <w:rsid w:val="00F51FFB"/>
    <w:rsid w:val="00F54568"/>
    <w:rsid w:val="00F560F7"/>
    <w:rsid w:val="00F6334D"/>
    <w:rsid w:val="00F64B3F"/>
    <w:rsid w:val="00F719E2"/>
    <w:rsid w:val="00F74E1A"/>
    <w:rsid w:val="00FA49AB"/>
    <w:rsid w:val="00FC293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0338BA"/>
  <w15:docId w15:val="{8D4C4462-7123-47D4-AC7B-333B59459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1C600C"/>
    <w:pPr>
      <w:keepNext/>
      <w:jc w:val="both"/>
      <w:outlineLvl w:val="0"/>
    </w:pPr>
    <w:rPr>
      <w:rFonts w:ascii="Arial" w:hAnsi="Arial"/>
      <w:u w:val="single"/>
      <w:lang w:val="de-DE"/>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BF6283"/>
    <w:pPr>
      <w:tabs>
        <w:tab w:val="right" w:leader="dot" w:pos="9639"/>
      </w:tabs>
      <w:spacing w:after="120"/>
      <w:ind w:left="568" w:right="851" w:hanging="284"/>
      <w:contextualSpacing/>
    </w:pPr>
    <w:rPr>
      <w:rFonts w:eastAsia="MS Mincho"/>
      <w:noProof/>
      <w:sz w:val="18"/>
      <w:szCs w:val="18"/>
      <w:lang w:eastAsia="ja-JP"/>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F6283"/>
    <w:pPr>
      <w:tabs>
        <w:tab w:val="right" w:leader="dot" w:pos="9639"/>
      </w:tabs>
      <w:spacing w:after="120"/>
      <w:contextualSpacing/>
      <w:jc w:val="center"/>
    </w:pPr>
    <w:rPr>
      <w:rFonts w:ascii="Arial" w:hAnsi="Arial"/>
      <w:noProof/>
      <w:sz w:val="18"/>
      <w:szCs w:val="18"/>
      <w:lang w:val="de-DE"/>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2A1EA0"/>
    <w:pPr>
      <w:spacing w:after="200" w:line="276" w:lineRule="auto"/>
      <w:ind w:left="720"/>
      <w:contextualSpacing/>
      <w:jc w:val="left"/>
    </w:pPr>
    <w:rPr>
      <w:rFonts w:asciiTheme="minorHAnsi" w:eastAsiaTheme="minorEastAsia" w:hAnsiTheme="minorHAnsi" w:cstheme="minorBidi"/>
      <w:sz w:val="22"/>
      <w:szCs w:val="22"/>
    </w:rPr>
  </w:style>
  <w:style w:type="character" w:styleId="HTMLDefinition">
    <w:name w:val="HTML Definition"/>
    <w:basedOn w:val="DefaultParagraphFont"/>
    <w:semiHidden/>
    <w:rsid w:val="00C11565"/>
    <w:rPr>
      <w:i/>
      <w:iCs/>
    </w:rPr>
  </w:style>
  <w:style w:type="character" w:styleId="FollowedHyperlink">
    <w:name w:val="FollowedHyperlink"/>
    <w:basedOn w:val="DefaultParagraphFont"/>
    <w:semiHidden/>
    <w:unhideWhenUsed/>
    <w:rsid w:val="000867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pov.int/meetings/de/doc_details.jsp?meeting_id=47206&amp;doc_id=405391"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ontino\Desktop\Tc54\templates\TC_54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7B7A6-87CF-44CE-9087-1DB0C35BA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TC_54_EN</Template>
  <TotalTime>0</TotalTime>
  <Pages>6</Pages>
  <Words>2357</Words>
  <Characters>14925</Characters>
  <Application>Microsoft Office Word</Application>
  <DocSecurity>0</DocSecurity>
  <Lines>552</Lines>
  <Paragraphs>367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TC/54</vt:lpstr>
      <vt:lpstr>TC/54</vt:lpstr>
    </vt:vector>
  </TitlesOfParts>
  <Company>UPOV</Company>
  <LinksUpToDate>false</LinksUpToDate>
  <CharactersWithSpaces>16915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dc:title>
  <dc:creator>Leontino Taveira</dc:creator>
  <cp:lastModifiedBy>MAY Jessica</cp:lastModifiedBy>
  <cp:revision>10</cp:revision>
  <cp:lastPrinted>2018-10-02T14:35:00Z</cp:lastPrinted>
  <dcterms:created xsi:type="dcterms:W3CDTF">2018-10-09T12:27:00Z</dcterms:created>
  <dcterms:modified xsi:type="dcterms:W3CDTF">2018-10-11T07:42:00Z</dcterms:modified>
</cp:coreProperties>
</file>