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EB4E9C" w:rsidRPr="00DC3802" w:rsidRDefault="00BC0BD4" w:rsidP="00BC0BD4">
            <w:pPr>
              <w:pStyle w:val="Sessiontcplacedate"/>
              <w:rPr>
                <w:sz w:val="22"/>
              </w:rPr>
            </w:pPr>
            <w:r>
              <w:t>Dreiundfünfzigste Tagung</w:t>
            </w:r>
            <w:r w:rsidR="00EB4E9C" w:rsidRPr="00DA4973">
              <w:br/>
              <w:t>Gen</w:t>
            </w:r>
            <w:r>
              <w:t>f</w:t>
            </w:r>
            <w:r w:rsidR="00EB4E9C" w:rsidRPr="00DA4973">
              <w:t xml:space="preserve">, </w:t>
            </w:r>
            <w:r w:rsidR="00A706D3">
              <w:t>3</w:t>
            </w:r>
            <w:r>
              <w:t xml:space="preserve">. bis </w:t>
            </w:r>
            <w:r w:rsidR="00A706D3">
              <w:t>5</w:t>
            </w:r>
            <w:r>
              <w:t>.</w:t>
            </w:r>
            <w:r w:rsidR="00A706D3">
              <w:t xml:space="preserve"> </w:t>
            </w:r>
            <w:r>
              <w:t>April</w:t>
            </w:r>
            <w:r w:rsidR="00A706D3">
              <w:t xml:space="preserve">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F56683" w:rsidRDefault="00EB4E9C" w:rsidP="003C7FBE">
            <w:pPr>
              <w:pStyle w:val="Doccode"/>
              <w:rPr>
                <w:lang w:val="de-CH"/>
              </w:rPr>
            </w:pPr>
            <w:r w:rsidRPr="00F56683">
              <w:rPr>
                <w:lang w:val="de-CH"/>
              </w:rPr>
              <w:t>TC/53/</w:t>
            </w:r>
            <w:r w:rsidR="00872310">
              <w:rPr>
                <w:lang w:val="de-CH"/>
              </w:rPr>
              <w:t>27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BC0BD4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700A5" w:rsidRPr="006700A5">
              <w:rPr>
                <w:b w:val="0"/>
                <w:spacing w:val="0"/>
              </w:rPr>
              <w:t>10</w:t>
            </w:r>
            <w:r w:rsidR="00B21AD9" w:rsidRPr="006700A5">
              <w:rPr>
                <w:b w:val="0"/>
                <w:spacing w:val="0"/>
              </w:rPr>
              <w:t xml:space="preserve">. März </w:t>
            </w:r>
            <w:r w:rsidRPr="006700A5">
              <w:rPr>
                <w:b w:val="0"/>
                <w:spacing w:val="0"/>
              </w:rPr>
              <w:t>2</w:t>
            </w:r>
            <w:r w:rsidRPr="000E636A">
              <w:rPr>
                <w:b w:val="0"/>
                <w:spacing w:val="0"/>
              </w:rPr>
              <w:t>017</w:t>
            </w:r>
          </w:p>
        </w:tc>
      </w:tr>
    </w:tbl>
    <w:p w:rsidR="000D7780" w:rsidRPr="006A644A" w:rsidRDefault="00872310" w:rsidP="006A644A">
      <w:pPr>
        <w:pStyle w:val="Titleofdoc0"/>
      </w:pPr>
      <w:bookmarkStart w:id="0" w:name="TitleOfDoc"/>
      <w:bookmarkEnd w:id="0"/>
      <w:r w:rsidRPr="007361EC">
        <w:t>TEILÜBERARBEITUNG DER PRÜFUNGSRICHTLINIEN FÜR TomatE</w:t>
      </w:r>
    </w:p>
    <w:p w:rsidR="006A644A" w:rsidRPr="006A644A" w:rsidRDefault="00BC0BD4" w:rsidP="006A644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872310" w:rsidRPr="007361EC" w:rsidRDefault="00872310" w:rsidP="00872310">
      <w:pPr>
        <w:rPr>
          <w:rFonts w:cs="Arial"/>
        </w:rPr>
      </w:pPr>
      <w:r w:rsidRPr="007361EC">
        <w:rPr>
          <w:rFonts w:cs="Arial"/>
        </w:rPr>
        <w:fldChar w:fldCharType="begin"/>
      </w:r>
      <w:r w:rsidRPr="007361EC">
        <w:rPr>
          <w:rFonts w:cs="Arial"/>
        </w:rPr>
        <w:instrText xml:space="preserve"> AUTONUM  </w:instrText>
      </w:r>
      <w:r w:rsidRPr="007361EC">
        <w:rPr>
          <w:rFonts w:cs="Arial"/>
        </w:rPr>
        <w:fldChar w:fldCharType="end"/>
      </w:r>
      <w:r w:rsidRPr="007361EC">
        <w:rPr>
          <w:rFonts w:cs="Arial"/>
        </w:rPr>
        <w:tab/>
        <w:t xml:space="preserve">Auf seiner zweiundfünfzigsten Tagung vom 14. bis zum 16. März 2016 in Genf hatte der TC vereinbart, auf der fünfzigsten Tagung der </w:t>
      </w:r>
      <w:r w:rsidRPr="00DC2498">
        <w:rPr>
          <w:rFonts w:cs="Arial"/>
        </w:rPr>
        <w:t xml:space="preserve">Technischen Arbeitsgruppe für Gemüsearten </w:t>
      </w:r>
      <w:r>
        <w:rPr>
          <w:rFonts w:cs="Arial"/>
        </w:rPr>
        <w:t>(</w:t>
      </w:r>
      <w:r w:rsidRPr="007361EC">
        <w:rPr>
          <w:rFonts w:cs="Arial"/>
        </w:rPr>
        <w:t>TWV</w:t>
      </w:r>
      <w:r>
        <w:rPr>
          <w:rFonts w:cs="Arial"/>
        </w:rPr>
        <w:t>)</w:t>
      </w:r>
      <w:r w:rsidRPr="007361EC">
        <w:rPr>
          <w:rFonts w:cs="Arial"/>
        </w:rPr>
        <w:t xml:space="preserve"> in Brno, Tschechische Republik</w:t>
      </w:r>
      <w:r>
        <w:rPr>
          <w:rFonts w:cs="Arial"/>
        </w:rPr>
        <w:t>,</w:t>
      </w:r>
      <w:r w:rsidRPr="007361EC">
        <w:rPr>
          <w:rFonts w:cs="Arial"/>
        </w:rPr>
        <w:t xml:space="preserve"> vom 27. Juni bis </w:t>
      </w:r>
      <w:r>
        <w:rPr>
          <w:rFonts w:cs="Arial"/>
        </w:rPr>
        <w:t xml:space="preserve">zum </w:t>
      </w:r>
      <w:r w:rsidRPr="007361EC">
        <w:rPr>
          <w:rFonts w:cs="Arial"/>
        </w:rPr>
        <w:t xml:space="preserve">1. Juli 2016 auf der Grundlage eines Dokuments, das von einem Sachverständigen aus der Europäischen Union erstellt werden soll, Erörterungen über die Teilüberarbeitung der Prüfungsrichtlinien für Tomate (Dokument TG/44/11 Rev.), Merkmal 57 „Resistenz </w:t>
      </w:r>
      <w:r w:rsidRPr="00B21AD9">
        <w:rPr>
          <w:rFonts w:cs="Arial"/>
          <w:spacing w:val="-2"/>
        </w:rPr>
        <w:t>gegen gelbes Tomatenblattrollvirus (TYLCV)“, aufzunehmen (vergleiche Dokument TC/52/29 Rev.</w:t>
      </w:r>
      <w:r w:rsidRPr="007361EC">
        <w:rPr>
          <w:rFonts w:cs="Arial"/>
        </w:rPr>
        <w:t xml:space="preserve"> „</w:t>
      </w:r>
      <w:r w:rsidR="00B21AD9">
        <w:t>Revidierter </w:t>
      </w:r>
      <w:r w:rsidRPr="007361EC">
        <w:rPr>
          <w:rFonts w:cs="Arial"/>
        </w:rPr>
        <w:t>Bericht“, Absatz 197).</w:t>
      </w:r>
    </w:p>
    <w:p w:rsidR="00872310" w:rsidRPr="007361EC" w:rsidRDefault="00872310" w:rsidP="00872310">
      <w:pPr>
        <w:rPr>
          <w:rFonts w:cs="Arial"/>
        </w:rPr>
      </w:pPr>
    </w:p>
    <w:p w:rsidR="00872310" w:rsidRPr="007361EC" w:rsidRDefault="00872310" w:rsidP="00872310">
      <w:pPr>
        <w:rPr>
          <w:rFonts w:cs="Arial"/>
        </w:rPr>
      </w:pPr>
      <w:r w:rsidRPr="007361EC">
        <w:rPr>
          <w:rFonts w:cs="Arial"/>
        </w:rPr>
        <w:fldChar w:fldCharType="begin"/>
      </w:r>
      <w:r w:rsidRPr="007361EC">
        <w:rPr>
          <w:rFonts w:cs="Arial"/>
        </w:rPr>
        <w:instrText xml:space="preserve"> AUTONUM  </w:instrText>
      </w:r>
      <w:r w:rsidRPr="007361EC">
        <w:rPr>
          <w:rFonts w:cs="Arial"/>
        </w:rPr>
        <w:fldChar w:fldCharType="end"/>
      </w:r>
      <w:r w:rsidRPr="007361EC">
        <w:rPr>
          <w:rFonts w:cs="Arial"/>
        </w:rPr>
        <w:tab/>
        <w:t>Auf ihrer fünfzigsten Tagung prüfte die TWV einen Vorschlag für eine Teilüberarbeitung der Prüfungsrichtlinien für Tomate aufgrund von Dokumenten TG/44/11 Rev. und TWV/50/20 „</w:t>
      </w:r>
      <w:r w:rsidRPr="00B740E5">
        <w:rPr>
          <w:rFonts w:cs="Arial"/>
          <w:i/>
        </w:rPr>
        <w:t>Partial Revision of the Test Guidelines for Tomato (Dokument TG/44/11 Rev.)</w:t>
      </w:r>
      <w:r w:rsidRPr="007361EC">
        <w:rPr>
          <w:rFonts w:cs="Arial"/>
        </w:rPr>
        <w:t>“ und schlug vor, die Prüfungsrichtlinien für Tomate wie folgt zu überarbeiten (vergleiche Dokument TWV/50/25 „</w:t>
      </w:r>
      <w:r w:rsidRPr="00B740E5">
        <w:rPr>
          <w:rFonts w:cs="Arial"/>
          <w:i/>
        </w:rPr>
        <w:t>Report</w:t>
      </w:r>
      <w:r w:rsidRPr="007361EC">
        <w:rPr>
          <w:rFonts w:cs="Arial"/>
        </w:rPr>
        <w:t>“, Absatz 90):</w:t>
      </w:r>
    </w:p>
    <w:p w:rsidR="00872310" w:rsidRPr="007361EC" w:rsidRDefault="00872310" w:rsidP="00872310">
      <w:pPr>
        <w:rPr>
          <w:rFonts w:cs="Arial"/>
        </w:rPr>
      </w:pPr>
    </w:p>
    <w:p w:rsidR="00872310" w:rsidRPr="007361EC" w:rsidRDefault="00872310" w:rsidP="00872310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7361EC">
        <w:rPr>
          <w:lang w:val="de-DE"/>
        </w:rPr>
        <w:t xml:space="preserve">Überarbeitung von </w:t>
      </w:r>
      <w:r w:rsidRPr="007361EC">
        <w:rPr>
          <w:rFonts w:cs="Arial"/>
          <w:lang w:val="de-DE"/>
        </w:rPr>
        <w:t>Merkmal 57 „</w:t>
      </w:r>
      <w:r w:rsidRPr="007361EC">
        <w:rPr>
          <w:lang w:val="de-DE"/>
        </w:rPr>
        <w:t xml:space="preserve">Resistenz gegen gelbes </w:t>
      </w:r>
      <w:r>
        <w:rPr>
          <w:lang w:val="de-DE"/>
        </w:rPr>
        <w:t>Tomatenblattrollvirus</w:t>
      </w:r>
      <w:r w:rsidRPr="007361EC">
        <w:rPr>
          <w:lang w:val="de-DE"/>
        </w:rPr>
        <w:t xml:space="preserve"> </w:t>
      </w:r>
      <w:r w:rsidRPr="007361EC">
        <w:rPr>
          <w:iCs/>
          <w:lang w:val="de-DE"/>
        </w:rPr>
        <w:t>(TYLCV)</w:t>
      </w:r>
      <w:r w:rsidRPr="007361EC">
        <w:rPr>
          <w:rFonts w:cs="Arial"/>
          <w:lang w:val="de-DE"/>
        </w:rPr>
        <w:t>“</w:t>
      </w:r>
      <w:r w:rsidRPr="007361EC">
        <w:rPr>
          <w:lang w:val="de-DE"/>
        </w:rPr>
        <w:t>:</w:t>
      </w:r>
    </w:p>
    <w:p w:rsidR="00872310" w:rsidRPr="007361EC" w:rsidRDefault="00872310" w:rsidP="00872310">
      <w:pPr>
        <w:pStyle w:val="ListParagraph"/>
        <w:numPr>
          <w:ilvl w:val="0"/>
          <w:numId w:val="2"/>
        </w:numPr>
        <w:rPr>
          <w:lang w:val="de-DE"/>
        </w:rPr>
      </w:pPr>
      <w:r w:rsidRPr="007361EC">
        <w:rPr>
          <w:lang w:val="de-DE"/>
        </w:rPr>
        <w:t>Überarbeitung der Beispielssorten für Stufe 1 „f</w:t>
      </w:r>
      <w:bookmarkStart w:id="2" w:name="_GoBack"/>
      <w:bookmarkEnd w:id="2"/>
      <w:r w:rsidRPr="007361EC">
        <w:rPr>
          <w:lang w:val="de-DE"/>
        </w:rPr>
        <w:t>ehlend“</w:t>
      </w:r>
    </w:p>
    <w:p w:rsidR="00872310" w:rsidRPr="007361EC" w:rsidRDefault="00872310" w:rsidP="00872310">
      <w:pPr>
        <w:pStyle w:val="ListParagraph"/>
        <w:numPr>
          <w:ilvl w:val="0"/>
          <w:numId w:val="2"/>
        </w:numPr>
        <w:rPr>
          <w:lang w:val="de-DE"/>
        </w:rPr>
      </w:pPr>
      <w:r w:rsidRPr="007361EC">
        <w:rPr>
          <w:lang w:val="de-DE"/>
        </w:rPr>
        <w:t>Überarbeitung der derzeitigen Methodik für TYLCV</w:t>
      </w:r>
      <w:r>
        <w:rPr>
          <w:lang w:val="de-DE"/>
        </w:rPr>
        <w:t>,</w:t>
      </w:r>
      <w:r w:rsidRPr="007361EC">
        <w:rPr>
          <w:lang w:val="de-DE"/>
        </w:rPr>
        <w:t xml:space="preserve"> wie in Zu 57 i)</w:t>
      </w:r>
      <w:r w:rsidRPr="00DC2498">
        <w:rPr>
          <w:lang w:val="de-DE"/>
        </w:rPr>
        <w:t xml:space="preserve"> </w:t>
      </w:r>
      <w:r w:rsidRPr="007361EC">
        <w:rPr>
          <w:lang w:val="de-DE"/>
        </w:rPr>
        <w:t>angegeben</w:t>
      </w:r>
      <w:r>
        <w:rPr>
          <w:lang w:val="de-DE"/>
        </w:rPr>
        <w:t>,</w:t>
      </w:r>
      <w:r w:rsidRPr="007361EC">
        <w:rPr>
          <w:lang w:val="de-DE"/>
        </w:rPr>
        <w:t xml:space="preserve"> und </w:t>
      </w:r>
      <w:r>
        <w:rPr>
          <w:lang w:val="de-DE"/>
        </w:rPr>
        <w:t xml:space="preserve">Hinzufügung </w:t>
      </w:r>
      <w:r w:rsidRPr="007361EC">
        <w:rPr>
          <w:lang w:val="de-DE"/>
        </w:rPr>
        <w:t>eine</w:t>
      </w:r>
      <w:r>
        <w:rPr>
          <w:lang w:val="de-DE"/>
        </w:rPr>
        <w:t>r</w:t>
      </w:r>
      <w:r w:rsidRPr="007361EC">
        <w:rPr>
          <w:lang w:val="de-DE"/>
        </w:rPr>
        <w:t xml:space="preserve"> alternative</w:t>
      </w:r>
      <w:r>
        <w:rPr>
          <w:lang w:val="de-DE"/>
        </w:rPr>
        <w:t>n</w:t>
      </w:r>
      <w:r w:rsidRPr="007361EC">
        <w:rPr>
          <w:lang w:val="de-DE"/>
        </w:rPr>
        <w:t xml:space="preserve">  Methodik, in der Inokulation durch Weiße Fliege</w:t>
      </w:r>
      <w:r>
        <w:rPr>
          <w:lang w:val="de-DE"/>
        </w:rPr>
        <w:t>n</w:t>
      </w:r>
      <w:r w:rsidRPr="007361EC">
        <w:rPr>
          <w:lang w:val="de-DE"/>
        </w:rPr>
        <w:t xml:space="preserve"> </w:t>
      </w:r>
      <w:r>
        <w:rPr>
          <w:lang w:val="de-DE"/>
        </w:rPr>
        <w:t>verw</w:t>
      </w:r>
      <w:r w:rsidRPr="007361EC">
        <w:rPr>
          <w:lang w:val="de-DE"/>
        </w:rPr>
        <w:t>endet wird, wie in Zu 57 ii)</w:t>
      </w:r>
      <w:r>
        <w:rPr>
          <w:lang w:val="de-DE"/>
        </w:rPr>
        <w:t xml:space="preserve"> </w:t>
      </w:r>
      <w:r w:rsidRPr="007361EC">
        <w:rPr>
          <w:lang w:val="de-DE"/>
        </w:rPr>
        <w:t>angegeben</w:t>
      </w:r>
      <w:r>
        <w:rPr>
          <w:lang w:val="de-DE"/>
        </w:rPr>
        <w:t>.</w:t>
      </w:r>
    </w:p>
    <w:p w:rsidR="00872310" w:rsidRPr="007361EC" w:rsidRDefault="00872310" w:rsidP="00872310"/>
    <w:p w:rsidR="00872310" w:rsidRPr="007361EC" w:rsidRDefault="00872310" w:rsidP="00872310">
      <w:pPr>
        <w:pStyle w:val="Default"/>
        <w:jc w:val="both"/>
        <w:rPr>
          <w:sz w:val="20"/>
          <w:szCs w:val="20"/>
          <w:lang w:val="de-DE"/>
        </w:rPr>
      </w:pPr>
      <w:r w:rsidRPr="007361EC">
        <w:rPr>
          <w:sz w:val="20"/>
          <w:szCs w:val="20"/>
          <w:lang w:val="de-DE"/>
        </w:rPr>
        <w:fldChar w:fldCharType="begin"/>
      </w:r>
      <w:r w:rsidRPr="007361EC">
        <w:rPr>
          <w:sz w:val="20"/>
          <w:szCs w:val="20"/>
          <w:lang w:val="de-DE"/>
        </w:rPr>
        <w:instrText xml:space="preserve"> AUTONUM  </w:instrText>
      </w:r>
      <w:r w:rsidRPr="007361EC">
        <w:rPr>
          <w:sz w:val="20"/>
          <w:szCs w:val="20"/>
          <w:lang w:val="de-DE"/>
        </w:rPr>
        <w:fldChar w:fldCharType="end"/>
      </w:r>
      <w:r w:rsidRPr="007361EC">
        <w:rPr>
          <w:sz w:val="20"/>
          <w:szCs w:val="20"/>
          <w:lang w:val="de-DE"/>
        </w:rPr>
        <w:tab/>
        <w:t>Di</w:t>
      </w:r>
      <w:r w:rsidRPr="007361EC">
        <w:rPr>
          <w:snapToGrid w:val="0"/>
          <w:sz w:val="20"/>
          <w:szCs w:val="20"/>
          <w:lang w:val="de-DE"/>
        </w:rPr>
        <w:t xml:space="preserve">e vorgeschlagenen Änderungen sind nachfolgend durch </w:t>
      </w:r>
      <w:r w:rsidRPr="007361EC">
        <w:rPr>
          <w:snapToGrid w:val="0"/>
          <w:sz w:val="20"/>
          <w:szCs w:val="20"/>
          <w:highlight w:val="lightGray"/>
          <w:u w:val="single"/>
          <w:lang w:val="de-DE"/>
        </w:rPr>
        <w:t>Unterstreichen</w:t>
      </w:r>
      <w:r w:rsidRPr="007361EC">
        <w:rPr>
          <w:snapToGrid w:val="0"/>
          <w:sz w:val="20"/>
          <w:szCs w:val="20"/>
          <w:lang w:val="de-DE"/>
        </w:rPr>
        <w:t xml:space="preserve"> (Einfügungen) und </w:t>
      </w:r>
      <w:r w:rsidRPr="007361EC">
        <w:rPr>
          <w:strike/>
          <w:snapToGrid w:val="0"/>
          <w:sz w:val="20"/>
          <w:szCs w:val="20"/>
          <w:highlight w:val="lightGray"/>
          <w:lang w:val="de-DE"/>
        </w:rPr>
        <w:t>Durchstreichen</w:t>
      </w:r>
      <w:r w:rsidRPr="007361EC">
        <w:rPr>
          <w:snapToGrid w:val="0"/>
          <w:sz w:val="20"/>
          <w:szCs w:val="20"/>
          <w:lang w:val="de-DE"/>
        </w:rPr>
        <w:t xml:space="preserve"> (Streichungen) angegeben</w:t>
      </w:r>
      <w:r w:rsidRPr="007361EC">
        <w:rPr>
          <w:sz w:val="20"/>
          <w:szCs w:val="20"/>
          <w:lang w:val="de-DE"/>
        </w:rPr>
        <w:t>.</w:t>
      </w:r>
      <w:r w:rsidRPr="007361EC">
        <w:rPr>
          <w:sz w:val="20"/>
          <w:szCs w:val="20"/>
          <w:lang w:val="de-DE"/>
        </w:rPr>
        <w:br w:type="page"/>
      </w:r>
    </w:p>
    <w:p w:rsidR="00872310" w:rsidRPr="007361EC" w:rsidRDefault="00872310" w:rsidP="00872310">
      <w:pPr>
        <w:pStyle w:val="Heading2"/>
        <w:rPr>
          <w:lang w:val="de-DE"/>
        </w:rPr>
      </w:pPr>
      <w:r w:rsidRPr="007361EC">
        <w:rPr>
          <w:lang w:val="de-DE"/>
        </w:rPr>
        <w:lastRenderedPageBreak/>
        <w:t>Vorschlag für eine Überarbeitung der Beispielssorte für Stufe 1 „fehlend“</w:t>
      </w:r>
    </w:p>
    <w:p w:rsidR="00872310" w:rsidRPr="007361EC" w:rsidRDefault="00872310" w:rsidP="00872310">
      <w:pPr>
        <w:jc w:val="left"/>
      </w:pPr>
    </w:p>
    <w:p w:rsidR="00872310" w:rsidRPr="007361EC" w:rsidRDefault="00872310" w:rsidP="00872310">
      <w:pPr>
        <w:jc w:val="left"/>
        <w:rPr>
          <w:i/>
        </w:rPr>
      </w:pPr>
      <w:r w:rsidRPr="007361EC">
        <w:rPr>
          <w:i/>
        </w:rPr>
        <w:t>Derzeitiger Wortlaut:</w:t>
      </w:r>
    </w:p>
    <w:p w:rsidR="00872310" w:rsidRPr="007361EC" w:rsidRDefault="00872310" w:rsidP="00872310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872310" w:rsidRPr="00061AF5" w:rsidTr="00D23974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2310" w:rsidRPr="00286AC9" w:rsidRDefault="00872310" w:rsidP="00D23974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872310" w:rsidRPr="006700A5" w:rsidTr="00D23974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872310" w:rsidRPr="00061AF5" w:rsidRDefault="00872310" w:rsidP="00D23974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872310" w:rsidRPr="00061AF5" w:rsidRDefault="00872310" w:rsidP="00D23974">
            <w:pPr>
              <w:pStyle w:val="Normaltb"/>
              <w:jc w:val="center"/>
              <w:rPr>
                <w:lang w:val="es-ES"/>
              </w:rPr>
            </w:pPr>
          </w:p>
        </w:tc>
      </w:tr>
      <w:tr w:rsidR="00872310" w:rsidRPr="00061AF5" w:rsidTr="00D23974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872310" w:rsidRPr="00061AF5" w:rsidRDefault="00872310" w:rsidP="00D23974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  <w:widowControl w:val="0"/>
            </w:pPr>
            <w:proofErr w:type="spellStart"/>
            <w:r w:rsidRPr="00061AF5">
              <w:t>Montfavet</w:t>
            </w:r>
            <w:proofErr w:type="spellEnd"/>
            <w:r w:rsidRPr="00061AF5">
              <w:t xml:space="preserve"> H 63.5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872310" w:rsidRPr="00061AF5" w:rsidRDefault="00872310" w:rsidP="00D23974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872310" w:rsidRPr="00061AF5" w:rsidTr="00D23974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872310" w:rsidRPr="00061AF5" w:rsidRDefault="00872310" w:rsidP="00D23974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872310" w:rsidRPr="007361EC" w:rsidRDefault="00872310" w:rsidP="00872310">
      <w:pPr>
        <w:jc w:val="left"/>
        <w:rPr>
          <w:i/>
        </w:rPr>
      </w:pPr>
    </w:p>
    <w:p w:rsidR="00872310" w:rsidRPr="007361EC" w:rsidRDefault="00872310" w:rsidP="00872310">
      <w:pPr>
        <w:jc w:val="left"/>
        <w:rPr>
          <w:i/>
        </w:rPr>
      </w:pPr>
    </w:p>
    <w:p w:rsidR="00872310" w:rsidRPr="007361EC" w:rsidRDefault="00872310" w:rsidP="00872310">
      <w:pPr>
        <w:rPr>
          <w:i/>
        </w:rPr>
      </w:pPr>
      <w:r w:rsidRPr="007361EC">
        <w:rPr>
          <w:i/>
        </w:rPr>
        <w:t>Vorgeschlagener neuer Wortlaut:</w:t>
      </w:r>
    </w:p>
    <w:p w:rsidR="00872310" w:rsidRPr="007361EC" w:rsidRDefault="00872310" w:rsidP="00872310">
      <w:pPr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872310" w:rsidRPr="00061AF5" w:rsidTr="00D23974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872310" w:rsidRPr="00286AC9" w:rsidRDefault="00872310" w:rsidP="00D23974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72310" w:rsidRPr="00286AC9" w:rsidRDefault="00872310" w:rsidP="00D23974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872310" w:rsidRPr="006700A5" w:rsidTr="00D23974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872310" w:rsidRPr="00061AF5" w:rsidRDefault="00872310" w:rsidP="00D23974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872310" w:rsidRPr="00061AF5" w:rsidRDefault="00872310" w:rsidP="00D23974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872310" w:rsidRPr="00061AF5" w:rsidRDefault="00872310" w:rsidP="00D23974">
            <w:pPr>
              <w:pStyle w:val="Normaltb"/>
              <w:jc w:val="center"/>
              <w:rPr>
                <w:lang w:val="es-ES"/>
              </w:rPr>
            </w:pPr>
          </w:p>
        </w:tc>
      </w:tr>
      <w:tr w:rsidR="00872310" w:rsidRPr="00061AF5" w:rsidTr="00D23974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872310" w:rsidRPr="00061AF5" w:rsidRDefault="00872310" w:rsidP="00D23974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872310" w:rsidRPr="00061AF5" w:rsidRDefault="00872310" w:rsidP="00D23974">
            <w:pPr>
              <w:pStyle w:val="Normalt"/>
              <w:widowControl w:val="0"/>
            </w:pPr>
            <w:proofErr w:type="spellStart"/>
            <w:r w:rsidRPr="006F2A80">
              <w:rPr>
                <w:strike/>
                <w:highlight w:val="lightGray"/>
              </w:rPr>
              <w:t>Montfavet</w:t>
            </w:r>
            <w:proofErr w:type="spellEnd"/>
            <w:r w:rsidRPr="006F2A80">
              <w:rPr>
                <w:strike/>
                <w:highlight w:val="lightGray"/>
              </w:rPr>
              <w:t xml:space="preserve"> H 63.5</w:t>
            </w:r>
            <w:r w:rsidRPr="006F2A80">
              <w:rPr>
                <w:highlight w:val="lightGray"/>
              </w:rPr>
              <w:br/>
            </w:r>
            <w:r w:rsidRPr="006F2A80">
              <w:rPr>
                <w:rFonts w:cs="Tahoma"/>
                <w:szCs w:val="18"/>
                <w:highlight w:val="lightGray"/>
                <w:u w:val="single"/>
              </w:rPr>
              <w:t>Marmande, Moneymaker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872310" w:rsidRPr="00061AF5" w:rsidRDefault="00872310" w:rsidP="00D23974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872310" w:rsidRPr="00061AF5" w:rsidTr="00D23974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872310" w:rsidRPr="00061AF5" w:rsidRDefault="00872310" w:rsidP="00D23974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872310" w:rsidRPr="00061AF5" w:rsidRDefault="00872310" w:rsidP="00D23974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872310" w:rsidRPr="007361EC" w:rsidRDefault="00872310" w:rsidP="00872310">
      <w:pPr>
        <w:jc w:val="left"/>
        <w:rPr>
          <w:i/>
        </w:rPr>
      </w:pPr>
    </w:p>
    <w:p w:rsidR="00872310" w:rsidRPr="007361EC" w:rsidRDefault="00872310" w:rsidP="00872310">
      <w:pPr>
        <w:pStyle w:val="Heading2"/>
        <w:rPr>
          <w:lang w:val="de-DE"/>
        </w:rPr>
      </w:pPr>
    </w:p>
    <w:p w:rsidR="00872310" w:rsidRPr="007361EC" w:rsidRDefault="00872310" w:rsidP="00872310">
      <w:pPr>
        <w:jc w:val="left"/>
        <w:rPr>
          <w:u w:val="single"/>
        </w:rPr>
      </w:pPr>
      <w:r w:rsidRPr="007361EC">
        <w:br w:type="page"/>
      </w:r>
    </w:p>
    <w:p w:rsidR="00872310" w:rsidRPr="007361EC" w:rsidRDefault="00872310" w:rsidP="00872310">
      <w:pPr>
        <w:pStyle w:val="Heading2"/>
        <w:rPr>
          <w:lang w:val="de-DE"/>
        </w:rPr>
      </w:pPr>
      <w:r w:rsidRPr="007361EC">
        <w:rPr>
          <w:lang w:val="de-DE"/>
        </w:rPr>
        <w:lastRenderedPageBreak/>
        <w:t xml:space="preserve">Vorschlag für </w:t>
      </w:r>
      <w:r>
        <w:rPr>
          <w:lang w:val="de-DE"/>
        </w:rPr>
        <w:t>eine</w:t>
      </w:r>
      <w:r w:rsidRPr="007361EC">
        <w:rPr>
          <w:lang w:val="de-DE"/>
        </w:rPr>
        <w:t xml:space="preserve"> Überarbeitung der derzeitigen Methodik für TYLCV</w:t>
      </w:r>
      <w:r>
        <w:rPr>
          <w:lang w:val="de-DE"/>
        </w:rPr>
        <w:t>,</w:t>
      </w:r>
      <w:r w:rsidRPr="007361EC">
        <w:rPr>
          <w:lang w:val="de-DE"/>
        </w:rPr>
        <w:t xml:space="preserve"> wie in Zu 57 i)</w:t>
      </w:r>
      <w:r w:rsidRPr="00DC2498">
        <w:rPr>
          <w:lang w:val="de-DE"/>
        </w:rPr>
        <w:t xml:space="preserve"> </w:t>
      </w:r>
      <w:r w:rsidRPr="007361EC">
        <w:rPr>
          <w:lang w:val="de-DE"/>
        </w:rPr>
        <w:t>angegeben</w:t>
      </w:r>
      <w:r>
        <w:rPr>
          <w:lang w:val="de-DE"/>
        </w:rPr>
        <w:t>,</w:t>
      </w:r>
      <w:r w:rsidRPr="007361EC">
        <w:rPr>
          <w:lang w:val="de-DE"/>
        </w:rPr>
        <w:t xml:space="preserve"> und </w:t>
      </w:r>
      <w:r>
        <w:rPr>
          <w:lang w:val="de-DE"/>
        </w:rPr>
        <w:t xml:space="preserve">Hinzufügung </w:t>
      </w:r>
      <w:r w:rsidRPr="007361EC">
        <w:rPr>
          <w:lang w:val="de-DE"/>
        </w:rPr>
        <w:t>eine</w:t>
      </w:r>
      <w:r>
        <w:rPr>
          <w:lang w:val="de-DE"/>
        </w:rPr>
        <w:t>r</w:t>
      </w:r>
      <w:r w:rsidRPr="007361EC">
        <w:rPr>
          <w:lang w:val="de-DE"/>
        </w:rPr>
        <w:t xml:space="preserve"> alternative</w:t>
      </w:r>
      <w:r>
        <w:rPr>
          <w:lang w:val="de-DE"/>
        </w:rPr>
        <w:t>n</w:t>
      </w:r>
      <w:r w:rsidRPr="007361EC">
        <w:rPr>
          <w:lang w:val="de-DE"/>
        </w:rPr>
        <w:t xml:space="preserve">  Methodik, in der Inokulation durch Weiße Fliege</w:t>
      </w:r>
      <w:r>
        <w:rPr>
          <w:lang w:val="de-DE"/>
        </w:rPr>
        <w:t>n</w:t>
      </w:r>
      <w:r w:rsidRPr="007361EC">
        <w:rPr>
          <w:lang w:val="de-DE"/>
        </w:rPr>
        <w:t xml:space="preserve"> </w:t>
      </w:r>
      <w:r>
        <w:rPr>
          <w:lang w:val="de-DE"/>
        </w:rPr>
        <w:t>verw</w:t>
      </w:r>
      <w:r w:rsidRPr="007361EC">
        <w:rPr>
          <w:lang w:val="de-DE"/>
        </w:rPr>
        <w:t>endet wird, wie in Zu</w:t>
      </w:r>
      <w:r w:rsidR="00B21AD9">
        <w:rPr>
          <w:lang w:val="de-DE"/>
        </w:rPr>
        <w:t> </w:t>
      </w:r>
      <w:r w:rsidRPr="007361EC">
        <w:rPr>
          <w:lang w:val="de-DE"/>
        </w:rPr>
        <w:t>57 ii)</w:t>
      </w:r>
      <w:r>
        <w:rPr>
          <w:lang w:val="de-DE"/>
        </w:rPr>
        <w:t xml:space="preserve"> </w:t>
      </w:r>
      <w:r w:rsidRPr="007361EC">
        <w:rPr>
          <w:lang w:val="de-DE"/>
        </w:rPr>
        <w:t>angegeben</w:t>
      </w:r>
    </w:p>
    <w:p w:rsidR="00872310" w:rsidRPr="007361EC" w:rsidRDefault="00872310" w:rsidP="00872310">
      <w:pPr>
        <w:jc w:val="left"/>
      </w:pPr>
    </w:p>
    <w:p w:rsidR="00872310" w:rsidRPr="007361EC" w:rsidRDefault="00872310" w:rsidP="00872310">
      <w:pPr>
        <w:jc w:val="left"/>
        <w:rPr>
          <w:i/>
        </w:rPr>
      </w:pPr>
      <w:r w:rsidRPr="007361EC">
        <w:rPr>
          <w:i/>
        </w:rPr>
        <w:t>Derzeitiger Wortlaut:</w:t>
      </w:r>
    </w:p>
    <w:p w:rsidR="00872310" w:rsidRPr="007361EC" w:rsidRDefault="00872310" w:rsidP="00872310">
      <w:pPr>
        <w:jc w:val="left"/>
        <w:rPr>
          <w:i/>
        </w:rPr>
      </w:pPr>
    </w:p>
    <w:p w:rsidR="00872310" w:rsidRPr="007361EC" w:rsidRDefault="00872310" w:rsidP="00872310">
      <w:pPr>
        <w:widowControl w:val="0"/>
        <w:outlineLvl w:val="0"/>
        <w:rPr>
          <w:rFonts w:cs="Arial"/>
          <w:u w:val="single"/>
        </w:rPr>
      </w:pPr>
      <w:r>
        <w:rPr>
          <w:rFonts w:cs="Arial"/>
          <w:u w:val="single"/>
        </w:rPr>
        <w:t>Zu</w:t>
      </w:r>
      <w:r w:rsidRPr="007361EC">
        <w:rPr>
          <w:rFonts w:cs="Arial"/>
          <w:u w:val="single"/>
        </w:rPr>
        <w:t xml:space="preserve"> 57:  </w:t>
      </w:r>
      <w:r w:rsidRPr="007361EC">
        <w:rPr>
          <w:u w:val="single"/>
        </w:rPr>
        <w:t xml:space="preserve">Resistenz gegen gelbes </w:t>
      </w:r>
      <w:r>
        <w:rPr>
          <w:u w:val="single"/>
        </w:rPr>
        <w:t>Tomatenblattrollvirus</w:t>
      </w:r>
      <w:r w:rsidRPr="007361EC">
        <w:rPr>
          <w:u w:val="single"/>
        </w:rPr>
        <w:t xml:space="preserve"> </w:t>
      </w:r>
      <w:r w:rsidRPr="007361EC">
        <w:rPr>
          <w:iCs/>
          <w:u w:val="single"/>
        </w:rPr>
        <w:t>(TYLC</w:t>
      </w:r>
      <w:r w:rsidRPr="007361EC">
        <w:rPr>
          <w:iCs/>
        </w:rPr>
        <w:t>V)</w:t>
      </w:r>
      <w:r w:rsidRPr="007361EC">
        <w:rPr>
          <w:rFonts w:cs="Arial"/>
          <w:u w:val="single"/>
        </w:rPr>
        <w:t xml:space="preserve"> </w:t>
      </w:r>
    </w:p>
    <w:p w:rsidR="00872310" w:rsidRPr="007361EC" w:rsidRDefault="00872310" w:rsidP="00872310">
      <w:pPr>
        <w:widowControl w:val="0"/>
        <w:outlineLvl w:val="0"/>
        <w:rPr>
          <w:rFonts w:cs="Arial"/>
          <w:u w:val="single"/>
        </w:rPr>
      </w:pPr>
    </w:p>
    <w:p w:rsidR="00872310" w:rsidRPr="007361EC" w:rsidRDefault="00872310" w:rsidP="00872310">
      <w:pPr>
        <w:widowControl w:val="0"/>
        <w:tabs>
          <w:tab w:val="left" w:leader="dot" w:pos="3402"/>
        </w:tabs>
        <w:ind w:left="482" w:hanging="482"/>
        <w:outlineLvl w:val="0"/>
        <w:rPr>
          <w:rFonts w:cs="Arial"/>
          <w:lang w:eastAsia="nl-NL"/>
        </w:rPr>
      </w:pPr>
      <w:r w:rsidRPr="007361EC">
        <w:rPr>
          <w:rFonts w:cs="Arial"/>
          <w:bCs/>
          <w:lang w:eastAsia="nl-NL"/>
        </w:rPr>
        <w:t xml:space="preserve">1. Pathogen 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 xml:space="preserve">Gelbes Tomatenblattrollvirus 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lang w:eastAsia="nl-NL"/>
        </w:rPr>
        <w:t>2. Quarantänestatus</w:t>
      </w:r>
      <w:r w:rsidRPr="007361EC">
        <w:rPr>
          <w:rFonts w:cs="Arial"/>
          <w:lang w:eastAsia="nl-NL"/>
        </w:rPr>
        <w:tab/>
      </w:r>
      <w:r w:rsidRPr="007361EC">
        <w:rPr>
          <w:rFonts w:cs="Arial"/>
          <w:lang w:eastAsia="nl-NL"/>
        </w:rPr>
        <w:tab/>
        <w:t xml:space="preserve">Ja 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3. Wirtsarten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i/>
          <w:lang w:eastAsia="nl-NL"/>
        </w:rPr>
        <w:t xml:space="preserve">Solanum lycopersicum 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4. Quelle des Inokulums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-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5. Isolat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-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lang w:eastAsia="nl-NL"/>
        </w:rPr>
        <w:t>8. Vermehrung des Inokulums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lang w:eastAsia="nl-NL"/>
        </w:rPr>
        <w:t>8.6 Ernte des Inokulums</w:t>
      </w:r>
      <w:r w:rsidRPr="007361EC">
        <w:rPr>
          <w:rFonts w:cs="Arial"/>
          <w:lang w:eastAsia="nl-NL"/>
        </w:rPr>
        <w:tab/>
        <w:t>symptomatische Blätter können bei -70°C aufbewahrt werden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lang w:eastAsia="nl-NL"/>
        </w:rPr>
        <w:t>9. Prüfungsanlage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9.1 Anzahl der Pflanzen pro Genotyp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20 Pflanzen</w:t>
      </w:r>
    </w:p>
    <w:p w:rsidR="00872310" w:rsidRPr="007361EC" w:rsidRDefault="00872310" w:rsidP="00872310">
      <w:pPr>
        <w:tabs>
          <w:tab w:val="left" w:leader="dot" w:pos="3402"/>
        </w:tabs>
        <w:outlineLvl w:val="0"/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9.2 Anzahl der Wiederholungen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1 Wiederholung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9.3 Kontrollsorten</w:t>
      </w:r>
    </w:p>
    <w:p w:rsidR="00872310" w:rsidRPr="007361EC" w:rsidRDefault="00872310" w:rsidP="00872310">
      <w:pPr>
        <w:tabs>
          <w:tab w:val="left" w:leader="dot" w:pos="3402"/>
        </w:tabs>
        <w:outlineLvl w:val="0"/>
        <w:rPr>
          <w:rFonts w:cs="Arial"/>
        </w:rPr>
      </w:pPr>
      <w:r w:rsidRPr="007361EC">
        <w:rPr>
          <w:rFonts w:cs="Arial"/>
        </w:rPr>
        <w:t>Anfällig</w:t>
      </w:r>
      <w:r w:rsidRPr="007361EC">
        <w:rPr>
          <w:rFonts w:cs="Arial"/>
        </w:rPr>
        <w:tab/>
      </w:r>
      <w:r w:rsidRPr="007361EC">
        <w:rPr>
          <w:rFonts w:cs="Arial"/>
        </w:rPr>
        <w:tab/>
        <w:t>Montfavet H 63.5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</w:rPr>
      </w:pPr>
      <w:r w:rsidRPr="007361EC">
        <w:rPr>
          <w:rFonts w:cs="Arial"/>
        </w:rPr>
        <w:t>Resistent</w:t>
      </w:r>
      <w:r w:rsidRPr="007361EC">
        <w:rPr>
          <w:rFonts w:cs="Arial"/>
        </w:rPr>
        <w:tab/>
      </w:r>
      <w:r w:rsidRPr="007361EC">
        <w:rPr>
          <w:rFonts w:cs="Arial"/>
        </w:rPr>
        <w:tab/>
        <w:t>TY 20, Anastasia, Mohawk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lang w:eastAsia="nl-NL"/>
        </w:rPr>
        <w:t>9.5 Prüfungseinrichtung</w:t>
      </w:r>
      <w:r w:rsidRPr="007361EC">
        <w:rPr>
          <w:rFonts w:cs="Arial"/>
          <w:lang w:eastAsia="nl-NL"/>
        </w:rPr>
        <w:tab/>
        <w:t>Feld mit natürlichem Krankheitsdruck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lang w:eastAsia="nl-NL"/>
        </w:rPr>
        <w:t>9.9 Besondere Maßnahmen</w:t>
      </w:r>
      <w:r w:rsidRPr="007361EC">
        <w:rPr>
          <w:rFonts w:cs="Arial"/>
          <w:lang w:eastAsia="nl-NL"/>
        </w:rPr>
        <w:tab/>
      </w:r>
      <w:r w:rsidRPr="007361EC">
        <w:rPr>
          <w:rFonts w:cs="Arial"/>
          <w:lang w:eastAsia="nl-NL"/>
        </w:rPr>
        <w:tab/>
        <w:t>Verbreitung von weißen Fliegen verhindern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lang w:eastAsia="nl-NL"/>
        </w:rPr>
        <w:t>10. Inokulation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bCs/>
          <w:lang w:eastAsia="nl-NL"/>
        </w:rPr>
        <w:t>10.3 Pflanzenstadium bei Inokulation</w:t>
      </w:r>
      <w:r w:rsidRPr="007361EC">
        <w:rPr>
          <w:rFonts w:cs="Arial"/>
          <w:bCs/>
          <w:lang w:eastAsia="nl-NL"/>
        </w:rPr>
        <w:tab/>
        <w:t xml:space="preserve"> </w:t>
      </w:r>
      <w:r w:rsidRPr="007361EC">
        <w:rPr>
          <w:rFonts w:cs="Arial"/>
          <w:lang w:eastAsia="nl-NL"/>
        </w:rPr>
        <w:t>6-12 Wochen (ausgewachsene Pflanzen)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bCs/>
          <w:lang w:eastAsia="nl-NL"/>
        </w:rPr>
        <w:t>10.4 Inokulationsmethode</w:t>
      </w:r>
      <w:r w:rsidRPr="007361EC">
        <w:rPr>
          <w:rFonts w:cs="Arial"/>
          <w:bCs/>
          <w:lang w:eastAsia="nl-NL"/>
        </w:rPr>
        <w:tab/>
        <w:t xml:space="preserve"> </w:t>
      </w:r>
      <w:r w:rsidRPr="007361EC">
        <w:rPr>
          <w:rFonts w:cs="Arial"/>
          <w:lang w:eastAsia="nl-NL"/>
        </w:rPr>
        <w:t>Vektor (weiße Fliege Bemisia, die das TYLCV trägt)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10.7 Abschließende Erfassungen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1-2 Monate nach Inokulation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rFonts w:cs="Arial"/>
          <w:lang w:eastAsia="nl-NL"/>
        </w:rPr>
        <w:t>11. Erfassungen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11.1 Methode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visuelle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11.2 Erfassungsskala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Symptome: Blätter vergilben und rollen sich ein</w:t>
      </w:r>
    </w:p>
    <w:p w:rsidR="00872310" w:rsidRPr="007361EC" w:rsidRDefault="00872310" w:rsidP="00872310">
      <w:pPr>
        <w:tabs>
          <w:tab w:val="left" w:leader="dot" w:pos="3402"/>
        </w:tabs>
        <w:ind w:left="3544" w:hanging="3544"/>
        <w:rPr>
          <w:rFonts w:cs="Arial"/>
        </w:rPr>
      </w:pPr>
      <w:r w:rsidRPr="007361EC">
        <w:rPr>
          <w:rFonts w:cs="Arial"/>
          <w:bCs/>
          <w:lang w:eastAsia="nl-NL"/>
        </w:rPr>
        <w:t>11.3 Validierung der Prüfung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</w:rPr>
        <w:t>Die Bewertung der Sortenresistenz sollte mit den Ergebnissen resistenter und anfälliger Kontrollen kalibriert werden</w:t>
      </w:r>
      <w:r w:rsidRPr="007361EC">
        <w:rPr>
          <w:rFonts w:cs="Arial"/>
        </w:rPr>
        <w:tab/>
      </w:r>
      <w:r w:rsidRPr="007361EC">
        <w:rPr>
          <w:rFonts w:cs="Arial"/>
        </w:rPr>
        <w:tab/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>12. Auswertung der Testergebnisse im Vergleich mit Kontrollsorten</w:t>
      </w:r>
    </w:p>
    <w:p w:rsidR="00872310" w:rsidRPr="007361EC" w:rsidRDefault="00872310" w:rsidP="00872310">
      <w:pPr>
        <w:tabs>
          <w:tab w:val="left" w:pos="720"/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ab/>
        <w:t>fehlend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[1]</w:t>
      </w:r>
      <w:r w:rsidRPr="007361EC">
        <w:rPr>
          <w:rFonts w:cs="Arial"/>
          <w:bCs/>
          <w:lang w:eastAsia="nl-NL"/>
        </w:rPr>
        <w:tab/>
        <w:t>ausgeprägte Symptome</w:t>
      </w:r>
    </w:p>
    <w:p w:rsidR="00872310" w:rsidRPr="007361EC" w:rsidRDefault="00872310" w:rsidP="00872310">
      <w:pPr>
        <w:tabs>
          <w:tab w:val="left" w:pos="720"/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ab/>
        <w:t>vorhanden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[9]</w:t>
      </w:r>
      <w:r w:rsidRPr="007361EC">
        <w:rPr>
          <w:rFonts w:cs="Arial"/>
          <w:bCs/>
          <w:lang w:eastAsia="nl-NL"/>
        </w:rPr>
        <w:tab/>
        <w:t>keine oder schwach ausgeprägte Symptome</w:t>
      </w:r>
    </w:p>
    <w:p w:rsidR="00872310" w:rsidRPr="007361EC" w:rsidRDefault="00872310" w:rsidP="00872310">
      <w:pPr>
        <w:ind w:left="480" w:hanging="480"/>
        <w:rPr>
          <w:rFonts w:cs="Arial"/>
          <w:lang w:eastAsia="nl-NL"/>
        </w:rPr>
      </w:pPr>
      <w:r w:rsidRPr="007361EC">
        <w:rPr>
          <w:rFonts w:cs="Arial"/>
          <w:lang w:eastAsia="nl-NL"/>
        </w:rPr>
        <w:t>13. Kritische Kontrollpunkte:</w:t>
      </w:r>
      <w:r w:rsidRPr="007361EC">
        <w:rPr>
          <w:rFonts w:cs="Arial"/>
          <w:lang w:eastAsia="nl-NL"/>
        </w:rPr>
        <w:tab/>
      </w:r>
    </w:p>
    <w:p w:rsidR="00872310" w:rsidRPr="007361EC" w:rsidRDefault="00872310" w:rsidP="00872310">
      <w:r w:rsidRPr="007361EC">
        <w:rPr>
          <w:rFonts w:cs="Arial"/>
        </w:rPr>
        <w:t>TYLCV ist in vielen tropischen und subtropischen Gebieten endemisch und hat in vielen Ländern mit gemäßigtem Klima Quarantänestatus. TYLCV steht auf der EPPO-Warnliste. Einige gegen TYLCV resistente Sorten können anfällig für das eng verwandte gelbe Tomatenblattroll-Sardinienvirus (TYLCSV) sein.</w:t>
      </w:r>
    </w:p>
    <w:p w:rsidR="00872310" w:rsidRPr="007361EC" w:rsidRDefault="00872310" w:rsidP="00872310">
      <w:pPr>
        <w:jc w:val="left"/>
      </w:pPr>
    </w:p>
    <w:p w:rsidR="00872310" w:rsidRPr="007361EC" w:rsidRDefault="00872310" w:rsidP="00872310">
      <w:pPr>
        <w:rPr>
          <w:i/>
        </w:rPr>
      </w:pPr>
      <w:r w:rsidRPr="007361EC">
        <w:rPr>
          <w:i/>
        </w:rPr>
        <w:t>Vorgeschlagener neuer Wortlaut:</w:t>
      </w:r>
    </w:p>
    <w:p w:rsidR="00872310" w:rsidRPr="007361EC" w:rsidRDefault="00872310" w:rsidP="00872310">
      <w:pPr>
        <w:rPr>
          <w:i/>
        </w:rPr>
      </w:pPr>
    </w:p>
    <w:p w:rsidR="00872310" w:rsidRPr="00B740E5" w:rsidRDefault="00872310" w:rsidP="00872310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u w:val="single"/>
        </w:rPr>
      </w:pPr>
      <w:r w:rsidRPr="00B740E5">
        <w:rPr>
          <w:rFonts w:cs="Tahoma"/>
          <w:szCs w:val="18"/>
          <w:u w:val="single"/>
        </w:rPr>
        <w:t xml:space="preserve">Zu 57: </w:t>
      </w:r>
      <w:r w:rsidRPr="00B740E5">
        <w:rPr>
          <w:u w:val="single"/>
        </w:rPr>
        <w:t xml:space="preserve">Resistenz gegen gelbes Tomatenblattrollvirus </w:t>
      </w:r>
      <w:r w:rsidRPr="00B740E5">
        <w:rPr>
          <w:iCs/>
          <w:u w:val="single"/>
        </w:rPr>
        <w:t>(TYLCV)</w:t>
      </w:r>
    </w:p>
    <w:p w:rsidR="00872310" w:rsidRPr="00B740E5" w:rsidRDefault="00872310" w:rsidP="00872310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  <w:r w:rsidRPr="00B740E5">
        <w:rPr>
          <w:rFonts w:cs="Tahoma"/>
          <w:szCs w:val="18"/>
        </w:rPr>
        <w:tab/>
      </w:r>
    </w:p>
    <w:p w:rsidR="00872310" w:rsidRPr="00B740E5" w:rsidRDefault="00872310" w:rsidP="00872310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i/>
          <w:szCs w:val="18"/>
        </w:rPr>
      </w:pPr>
      <w:r w:rsidRPr="00B740E5">
        <w:rPr>
          <w:rFonts w:cs="Tahoma"/>
          <w:szCs w:val="18"/>
        </w:rPr>
        <w:tab/>
      </w:r>
      <w:r w:rsidRPr="00B740E5">
        <w:rPr>
          <w:rFonts w:cs="Tahoma"/>
          <w:i/>
          <w:szCs w:val="18"/>
        </w:rPr>
        <w:t xml:space="preserve">i) </w:t>
      </w:r>
      <w:r w:rsidRPr="00B740E5">
        <w:rPr>
          <w:i/>
        </w:rPr>
        <w:t>Agroinokulationsmethode</w:t>
      </w:r>
    </w:p>
    <w:p w:rsidR="00872310" w:rsidRPr="00B740E5" w:rsidRDefault="00872310" w:rsidP="00872310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</w:p>
    <w:p w:rsidR="00872310" w:rsidRPr="00B740E5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740E5">
        <w:rPr>
          <w:rFonts w:cs="Tahoma"/>
          <w:bCs/>
          <w:szCs w:val="18"/>
        </w:rPr>
        <w:t>1. Pathogen</w:t>
      </w:r>
      <w:r w:rsidRPr="00B740E5">
        <w:rPr>
          <w:rFonts w:cs="Tahoma"/>
          <w:bCs/>
          <w:szCs w:val="18"/>
        </w:rPr>
        <w:tab/>
      </w:r>
      <w:r w:rsidRPr="00B740E5">
        <w:rPr>
          <w:rFonts w:cs="Tahoma"/>
          <w:szCs w:val="18"/>
        </w:rPr>
        <w:t xml:space="preserve">Gelbes Tomatenblattrollvirus (TYLCV) IL-Pathotyp. (vergleiche Anmerkung unten) 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740E5">
        <w:rPr>
          <w:rFonts w:cs="Tahoma"/>
          <w:szCs w:val="18"/>
        </w:rPr>
        <w:t>2. Quarantänestatus</w:t>
      </w:r>
      <w:r w:rsidRPr="00B740E5">
        <w:rPr>
          <w:rFonts w:cs="Tahoma"/>
          <w:szCs w:val="18"/>
        </w:rPr>
        <w:tab/>
      </w:r>
      <w:r w:rsidRPr="00B90D6F">
        <w:rPr>
          <w:rFonts w:cs="Tahoma"/>
          <w:szCs w:val="18"/>
        </w:rPr>
        <w:t>Ja</w:t>
      </w:r>
      <w:r w:rsidR="00F53051" w:rsidRPr="00B90D6F">
        <w:rPr>
          <w:rFonts w:cs="Tahoma"/>
          <w:szCs w:val="18"/>
        </w:rPr>
        <w:t xml:space="preserve"> (siehe 13.)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7361EC">
        <w:rPr>
          <w:rFonts w:cs="Tahoma"/>
          <w:bCs/>
          <w:szCs w:val="18"/>
        </w:rPr>
        <w:t xml:space="preserve">3. Wirtsarten </w:t>
      </w:r>
      <w:r w:rsidRPr="007361EC">
        <w:rPr>
          <w:rFonts w:cs="Tahoma"/>
          <w:bCs/>
          <w:szCs w:val="18"/>
        </w:rPr>
        <w:tab/>
      </w:r>
      <w:r w:rsidRPr="007361EC">
        <w:rPr>
          <w:rFonts w:cs="Tahoma"/>
          <w:bCs/>
          <w:i/>
          <w:szCs w:val="18"/>
        </w:rPr>
        <w:t xml:space="preserve"> Solanum lycopersicum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color w:val="FF0000"/>
          <w:szCs w:val="18"/>
        </w:rPr>
      </w:pPr>
      <w:r w:rsidRPr="007361EC">
        <w:rPr>
          <w:rFonts w:cs="Tahoma"/>
          <w:bCs/>
          <w:szCs w:val="18"/>
        </w:rPr>
        <w:t>4. Quelle des Inokulums</w:t>
      </w:r>
      <w:r w:rsidRPr="007361EC">
        <w:rPr>
          <w:rFonts w:cs="Tahoma"/>
          <w:bCs/>
          <w:szCs w:val="18"/>
        </w:rPr>
        <w:tab/>
        <w:t>Dr. Eduardo R. Bejarano, P</w:t>
      </w:r>
      <w:r>
        <w:rPr>
          <w:rFonts w:cs="Tahoma"/>
          <w:bCs/>
          <w:szCs w:val="18"/>
        </w:rPr>
        <w:t xml:space="preserve">lant </w:t>
      </w:r>
      <w:r w:rsidRPr="007361EC">
        <w:rPr>
          <w:rFonts w:cs="Tahoma"/>
          <w:bCs/>
          <w:szCs w:val="18"/>
        </w:rPr>
        <w:t xml:space="preserve">Genetics Laboratory, </w:t>
      </w:r>
      <w:r>
        <w:rPr>
          <w:rFonts w:cs="Tahoma"/>
          <w:bCs/>
          <w:szCs w:val="18"/>
        </w:rPr>
        <w:t>IH</w:t>
      </w:r>
      <w:r w:rsidRPr="00B325AB">
        <w:rPr>
          <w:rFonts w:cs="Tahoma"/>
          <w:bCs/>
          <w:szCs w:val="18"/>
        </w:rPr>
        <w:t>S</w:t>
      </w:r>
      <w:r>
        <w:rPr>
          <w:rFonts w:cs="Tahoma"/>
          <w:bCs/>
          <w:szCs w:val="18"/>
        </w:rPr>
        <w:t>M</w:t>
      </w:r>
      <w:r w:rsidRPr="007361EC">
        <w:rPr>
          <w:rFonts w:cs="Tahoma"/>
          <w:bCs/>
          <w:szCs w:val="18"/>
        </w:rPr>
        <w:t xml:space="preserve"> UMA-</w:t>
      </w:r>
      <w:r w:rsidRPr="007361EC">
        <w:rPr>
          <w:rFonts w:cs="Tahoma"/>
          <w:bCs/>
          <w:szCs w:val="18"/>
        </w:rPr>
        <w:tab/>
        <w:t>CSIC)</w:t>
      </w:r>
      <w:r w:rsidRPr="007361EC">
        <w:rPr>
          <w:rStyle w:val="FootnoteReference"/>
          <w:rFonts w:cs="Tahoma"/>
          <w:bCs/>
          <w:szCs w:val="18"/>
        </w:rPr>
        <w:footnoteReference w:id="2"/>
      </w:r>
      <w:r w:rsidRPr="007361EC">
        <w:rPr>
          <w:rFonts w:cs="Tahoma"/>
          <w:bCs/>
          <w:szCs w:val="18"/>
        </w:rPr>
        <w:t xml:space="preserve">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7361EC">
        <w:rPr>
          <w:rFonts w:cs="Tahoma"/>
          <w:bCs/>
          <w:szCs w:val="18"/>
        </w:rPr>
        <w:t>5. Isolat</w:t>
      </w:r>
      <w:r w:rsidRPr="007361EC">
        <w:rPr>
          <w:rFonts w:cs="Tahoma"/>
          <w:bCs/>
          <w:szCs w:val="18"/>
        </w:rPr>
        <w:tab/>
      </w:r>
      <w:r w:rsidRPr="007361EC">
        <w:rPr>
          <w:rFonts w:cs="Tahoma"/>
          <w:szCs w:val="18"/>
        </w:rPr>
        <w:t xml:space="preserve">Alm:Pep:99, </w:t>
      </w:r>
      <w:r w:rsidRPr="007361EC">
        <w:rPr>
          <w:rFonts w:eastAsia="Arial Unicode MS" w:cs="Tahoma"/>
          <w:szCs w:val="18"/>
        </w:rPr>
        <w:t>Pathotyp IL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 xml:space="preserve">6. Feststellung der Isolatidentität </w:t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7361EC">
        <w:rPr>
          <w:rFonts w:cs="Tahoma"/>
          <w:szCs w:val="18"/>
        </w:rPr>
        <w:t>7. Feststellung der Pathogenität</w:t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8. Vermehrung des Inokulums</w:t>
      </w:r>
    </w:p>
    <w:p w:rsidR="00872310" w:rsidRPr="007361EC" w:rsidRDefault="00872310" w:rsidP="00872310">
      <w:pPr>
        <w:tabs>
          <w:tab w:val="left" w:leader="dot" w:pos="3544"/>
        </w:tabs>
        <w:rPr>
          <w:rFonts w:cs="Tahoma"/>
          <w:szCs w:val="18"/>
        </w:rPr>
      </w:pPr>
      <w:r w:rsidRPr="007361EC">
        <w:rPr>
          <w:rFonts w:cs="Tahoma"/>
          <w:szCs w:val="18"/>
        </w:rPr>
        <w:t>8.1 Vermehrungsmedium</w:t>
      </w:r>
      <w:r w:rsidRPr="007361EC">
        <w:rPr>
          <w:rFonts w:cs="Tahoma"/>
          <w:szCs w:val="18"/>
        </w:rPr>
        <w:tab/>
        <w:t xml:space="preserve">YEP/Kanamycin.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8.2 Vermehrungssorte</w:t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lastRenderedPageBreak/>
        <w:t>8.3 Pflanzenstadium bei Inokulation</w:t>
      </w:r>
      <w:r w:rsidRPr="007361EC">
        <w:rPr>
          <w:rFonts w:cs="Tahoma"/>
          <w:szCs w:val="18"/>
        </w:rPr>
        <w:tab/>
        <w:t>3-4</w:t>
      </w:r>
      <w:r>
        <w:rPr>
          <w:rFonts w:cs="Tahoma"/>
          <w:szCs w:val="18"/>
        </w:rPr>
        <w:t>tes</w:t>
      </w:r>
      <w:r w:rsidRPr="007361EC">
        <w:rPr>
          <w:rFonts w:cs="Tahoma"/>
          <w:szCs w:val="18"/>
        </w:rPr>
        <w:t xml:space="preserve"> Blatt  </w:t>
      </w:r>
    </w:p>
    <w:p w:rsidR="00872310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2127" w:hanging="2127"/>
        <w:rPr>
          <w:rFonts w:cs="Tahoma"/>
          <w:color w:val="FF0000"/>
          <w:szCs w:val="18"/>
        </w:rPr>
      </w:pPr>
      <w:r w:rsidRPr="007361EC">
        <w:rPr>
          <w:rFonts w:cs="Tahoma"/>
          <w:szCs w:val="18"/>
        </w:rPr>
        <w:t>8.4 Inokulationsmedium</w:t>
      </w:r>
      <w:r w:rsidRPr="007361EC">
        <w:rPr>
          <w:rFonts w:cs="Tahoma"/>
          <w:szCs w:val="18"/>
        </w:rPr>
        <w:tab/>
        <w:t xml:space="preserve">………………… YEP </w:t>
      </w:r>
      <w:r w:rsidRPr="007361EC">
        <w:rPr>
          <w:rFonts w:cs="Tahoma"/>
          <w:color w:val="FF0000"/>
          <w:szCs w:val="18"/>
        </w:rPr>
        <w:t xml:space="preserve"> </w:t>
      </w:r>
    </w:p>
    <w:p w:rsidR="00872310" w:rsidRPr="00CF2D1E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CF2D1E">
        <w:rPr>
          <w:rFonts w:cs="Tahoma"/>
          <w:szCs w:val="18"/>
        </w:rPr>
        <w:t>8.5 Inokulationsmethode………………</w:t>
      </w:r>
      <w:r w:rsidRPr="007361EC">
        <w:rPr>
          <w:rFonts w:cs="Tahoma"/>
          <w:szCs w:val="18"/>
        </w:rPr>
        <w:t>Stengelpunkturagroinfiltration</w:t>
      </w:r>
      <w:r w:rsidRPr="00CF2D1E">
        <w:rPr>
          <w:rFonts w:cs="Tahoma"/>
          <w:szCs w:val="18"/>
        </w:rPr>
        <w:t xml:space="preserve">.  </w:t>
      </w:r>
      <w:r w:rsidRPr="00CF2D1E">
        <w:rPr>
          <w:rFonts w:cs="Tahoma"/>
          <w:bCs/>
          <w:szCs w:val="18"/>
        </w:rPr>
        <w:t>Pflanzenagroinokulation wird unter Verwendung von Agrobacterium tumefaciens, transformiert mit Plasmiden, die die infektiösen Klone enthalten, ausgeführt (Morilla, et al. 2005. Phytopathology 95: 1089-1097)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8.6 Ernte des Inokulums</w:t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8.7 Prüfung des geernteten Inokulums</w:t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7361EC">
        <w:rPr>
          <w:rFonts w:cs="Tahoma"/>
          <w:szCs w:val="18"/>
        </w:rPr>
        <w:t xml:space="preserve">8.8 Haltbarkeit/Lebensfähigkeit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7361EC">
        <w:rPr>
          <w:rFonts w:cs="Tahoma"/>
          <w:szCs w:val="18"/>
        </w:rPr>
        <w:t xml:space="preserve">      des Inokulums</w:t>
      </w:r>
      <w:r w:rsidRPr="007361EC">
        <w:rPr>
          <w:rFonts w:cs="Tahoma"/>
          <w:szCs w:val="18"/>
        </w:rPr>
        <w:tab/>
      </w:r>
      <w:r w:rsidRPr="007361EC">
        <w:rPr>
          <w:rFonts w:cs="Tahoma"/>
          <w:i/>
          <w:szCs w:val="18"/>
        </w:rPr>
        <w:t>A. tumefaciens</w:t>
      </w:r>
      <w:r w:rsidRPr="007361EC">
        <w:rPr>
          <w:rFonts w:cs="Tahoma"/>
          <w:szCs w:val="18"/>
        </w:rPr>
        <w:t xml:space="preserve"> Unterlagen werden für langfristige Lagerung in gefrorenem Zustand bei -80ºC in 15-20</w:t>
      </w:r>
      <w:r w:rsidRPr="00B740E5">
        <w:rPr>
          <w:rFonts w:cs="Tahoma"/>
          <w:szCs w:val="18"/>
        </w:rPr>
        <w:t>% Glyzerin aufbewahrt. Die aufzubewahrenden Kulturen werden in der Regel aus einer einzelnen Kolonie in 5 ml YEP +2.5 µl Kanamycin (100mg</w:t>
      </w:r>
      <w:r w:rsidRPr="007361EC">
        <w:rPr>
          <w:rFonts w:cs="Tahoma"/>
          <w:szCs w:val="18"/>
        </w:rPr>
        <w:t xml:space="preserve">/ml) </w:t>
      </w:r>
      <w:r>
        <w:rPr>
          <w:rFonts w:cs="Tahoma"/>
          <w:szCs w:val="18"/>
        </w:rPr>
        <w:t>48 h lang</w:t>
      </w:r>
      <w:r w:rsidRPr="007361EC">
        <w:rPr>
          <w:rFonts w:cs="Tahoma"/>
          <w:szCs w:val="18"/>
        </w:rPr>
        <w:t xml:space="preserve"> bei</w:t>
      </w:r>
      <w:r>
        <w:rPr>
          <w:rFonts w:cs="Tahoma"/>
          <w:szCs w:val="18"/>
        </w:rPr>
        <w:t xml:space="preserve"> 28</w:t>
      </w:r>
      <w:r w:rsidRPr="007361EC">
        <w:rPr>
          <w:rFonts w:cs="Tahoma"/>
          <w:szCs w:val="18"/>
        </w:rPr>
        <w:t xml:space="preserve">°C gezüchtet.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9. Prüfungsanlage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7361EC">
        <w:rPr>
          <w:rFonts w:cs="Tahoma"/>
          <w:bCs/>
          <w:szCs w:val="18"/>
        </w:rPr>
        <w:t>9.1 Anzahl der Pflanzen pro Genotyp</w:t>
      </w:r>
      <w:r w:rsidRPr="007361EC">
        <w:rPr>
          <w:rFonts w:cs="Tahoma"/>
          <w:bCs/>
          <w:szCs w:val="18"/>
        </w:rPr>
        <w:tab/>
        <w:t>20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7361EC">
        <w:rPr>
          <w:rFonts w:cs="Tahoma"/>
          <w:bCs/>
          <w:szCs w:val="18"/>
        </w:rPr>
        <w:t>9.2 Anzahl der Wiederholungen</w:t>
      </w:r>
      <w:r w:rsidRPr="007361EC">
        <w:rPr>
          <w:rFonts w:cs="Tahoma"/>
          <w:bCs/>
          <w:szCs w:val="18"/>
        </w:rPr>
        <w:tab/>
        <w:t>2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7361EC">
        <w:rPr>
          <w:rFonts w:cs="Tahoma"/>
          <w:bCs/>
          <w:szCs w:val="18"/>
        </w:rPr>
        <w:t>9.3 Kontrollsorten</w:t>
      </w:r>
      <w:r w:rsidRPr="007361EC">
        <w:rPr>
          <w:rFonts w:cs="Tahoma"/>
          <w:bCs/>
          <w:szCs w:val="18"/>
        </w:rPr>
        <w:tab/>
        <w:t xml:space="preserve">Anfällig: Moneymaker, Marmande, </w:t>
      </w:r>
    </w:p>
    <w:p w:rsidR="00872310" w:rsidRPr="00B21AD9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7361EC">
        <w:rPr>
          <w:rFonts w:cs="Tahoma"/>
          <w:bCs/>
          <w:szCs w:val="18"/>
        </w:rPr>
        <w:tab/>
      </w:r>
      <w:r w:rsidRPr="00B21AD9">
        <w:rPr>
          <w:rFonts w:cs="Tahoma"/>
          <w:bCs/>
          <w:szCs w:val="18"/>
        </w:rPr>
        <w:t>Resistent: Delyca, Montenegro, Anastasia, TY20, Mohawk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9.4 Gestaltung der Prüfung</w:t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7361EC">
        <w:rPr>
          <w:rFonts w:cs="Tahoma"/>
          <w:szCs w:val="18"/>
        </w:rPr>
        <w:t>9.5 Prüfungseinrichtung</w:t>
      </w:r>
      <w:r w:rsidRPr="007361EC">
        <w:rPr>
          <w:rFonts w:cs="Tahoma"/>
          <w:szCs w:val="18"/>
        </w:rPr>
        <w:tab/>
        <w:t>Gewächshaus oder Klimakammer mit Zulassung von beschränkter Verwendung von OGM, Einschränkungsgrad 1 (N-1)</w:t>
      </w:r>
      <w:r w:rsidRPr="007361EC">
        <w:rPr>
          <w:rFonts w:cs="Tahoma"/>
          <w:color w:val="FF0000"/>
          <w:szCs w:val="18"/>
        </w:rPr>
        <w:t>.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7361EC">
        <w:rPr>
          <w:rFonts w:cs="Tahoma"/>
          <w:szCs w:val="18"/>
        </w:rPr>
        <w:t>9.6 Temperatur</w:t>
      </w:r>
      <w:r w:rsidRPr="007361EC">
        <w:rPr>
          <w:rFonts w:cs="Tahoma"/>
          <w:szCs w:val="18"/>
        </w:rPr>
        <w:tab/>
        <w:t xml:space="preserve">23-25°C 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9.7 Licht</w:t>
      </w:r>
      <w:r w:rsidRPr="007361EC">
        <w:rPr>
          <w:rFonts w:cs="Tahoma"/>
          <w:szCs w:val="18"/>
        </w:rPr>
        <w:tab/>
        <w:t>16 h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 xml:space="preserve">9.8 </w:t>
      </w:r>
      <w:r>
        <w:rPr>
          <w:rFonts w:cs="Tahoma"/>
          <w:szCs w:val="18"/>
        </w:rPr>
        <w:t>Jahreszeit</w:t>
      </w:r>
      <w:r w:rsidRPr="007361EC">
        <w:rPr>
          <w:rFonts w:cs="Tahoma"/>
          <w:szCs w:val="18"/>
        </w:rPr>
        <w:tab/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9.9 Besondere Maßnahmen</w:t>
      </w:r>
      <w:r w:rsidRPr="007361EC">
        <w:rPr>
          <w:rFonts w:cs="Tahoma"/>
          <w:szCs w:val="18"/>
        </w:rPr>
        <w:tab/>
        <w:t xml:space="preserve">Zulassung von beschränkter Verwendung von OGM, mindestens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/>
        <w:rPr>
          <w:rFonts w:cs="Tahoma"/>
          <w:szCs w:val="18"/>
        </w:rPr>
      </w:pPr>
      <w:r w:rsidRPr="007361EC">
        <w:rPr>
          <w:rFonts w:cs="Tahoma"/>
          <w:szCs w:val="18"/>
        </w:rPr>
        <w:t>Grad 1 (N-1)</w:t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10. Inokulation</w:t>
      </w:r>
      <w:r w:rsidRPr="007361EC">
        <w:rPr>
          <w:rFonts w:cs="Tahoma"/>
          <w:szCs w:val="18"/>
        </w:rPr>
        <w:tab/>
      </w:r>
      <w:r w:rsidRPr="007361EC">
        <w:rPr>
          <w:rFonts w:cs="Tahoma"/>
          <w:szCs w:val="18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color w:val="FF0000"/>
          <w:szCs w:val="18"/>
        </w:rPr>
      </w:pPr>
      <w:r w:rsidRPr="007361EC">
        <w:rPr>
          <w:rFonts w:cs="Tahoma"/>
          <w:szCs w:val="18"/>
        </w:rPr>
        <w:t>10.1 Vorbereitung des Inokulums</w:t>
      </w:r>
      <w:r w:rsidRPr="007361EC">
        <w:rPr>
          <w:rFonts w:cs="Tahoma"/>
          <w:szCs w:val="18"/>
        </w:rPr>
        <w:tab/>
        <w:t xml:space="preserve">Ausstreichen der Oberfläche der Röhre mit </w:t>
      </w:r>
      <w:r>
        <w:rPr>
          <w:rFonts w:cs="Tahoma"/>
          <w:szCs w:val="18"/>
        </w:rPr>
        <w:t xml:space="preserve">dem </w:t>
      </w:r>
      <w:r w:rsidRPr="007361EC">
        <w:rPr>
          <w:rFonts w:cs="Tahoma"/>
          <w:szCs w:val="18"/>
        </w:rPr>
        <w:t>gefrorene</w:t>
      </w:r>
      <w:r>
        <w:rPr>
          <w:rFonts w:cs="Tahoma"/>
          <w:szCs w:val="18"/>
        </w:rPr>
        <w:t>n</w:t>
      </w:r>
      <w:r w:rsidRPr="007361EC">
        <w:rPr>
          <w:rFonts w:cs="Tahoma"/>
          <w:szCs w:val="18"/>
        </w:rPr>
        <w:t xml:space="preserve"> </w:t>
      </w:r>
      <w:r w:rsidRPr="007361EC">
        <w:rPr>
          <w:rFonts w:cs="Tahoma"/>
          <w:i/>
          <w:szCs w:val="18"/>
        </w:rPr>
        <w:t>A. tumefaciens</w:t>
      </w:r>
      <w:r w:rsidRPr="007361EC">
        <w:rPr>
          <w:rFonts w:cs="Tahoma"/>
          <w:szCs w:val="18"/>
        </w:rPr>
        <w:t xml:space="preserve"> Bestand und Eintauchen in 5 ml YEP+2.5 µl Kanamycin (100mg/ml) </w:t>
      </w:r>
      <w:r>
        <w:rPr>
          <w:rFonts w:cs="Tahoma"/>
          <w:szCs w:val="18"/>
        </w:rPr>
        <w:t>48 h lang</w:t>
      </w:r>
      <w:r w:rsidRPr="007361EC">
        <w:rPr>
          <w:rFonts w:cs="Tahoma"/>
          <w:szCs w:val="18"/>
        </w:rPr>
        <w:t xml:space="preserve"> bei 28ºC. </w:t>
      </w:r>
      <w:r>
        <w:rPr>
          <w:rFonts w:cs="Tahoma"/>
          <w:szCs w:val="18"/>
        </w:rPr>
        <w:t>Muß geschüttelt werden</w:t>
      </w:r>
      <w:r w:rsidRPr="007361EC">
        <w:rPr>
          <w:rFonts w:cs="Tahoma"/>
          <w:szCs w:val="18"/>
        </w:rPr>
        <w:t xml:space="preserve">. Entnahme von 100 µl und Platzieren in 100 ml YEP und 50 µl Kanamycin (100mg/ml). Schütteln </w:t>
      </w:r>
      <w:r>
        <w:rPr>
          <w:rFonts w:cs="Tahoma"/>
          <w:szCs w:val="18"/>
        </w:rPr>
        <w:t>48 h lang</w:t>
      </w:r>
      <w:r w:rsidRPr="007361EC">
        <w:rPr>
          <w:rFonts w:cs="Tahoma"/>
          <w:szCs w:val="18"/>
        </w:rPr>
        <w:t xml:space="preserve"> bei 28ºC. Zentrifugieren der gesättigten Kultur 20 min lang bei 3500 U/min und Verwerfen des Überstandes.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7361EC">
        <w:rPr>
          <w:rFonts w:cs="Tahoma"/>
          <w:szCs w:val="18"/>
        </w:rPr>
        <w:t>10.2 Quantifizierung des Inokulums</w:t>
      </w:r>
      <w:r w:rsidRPr="007361EC">
        <w:rPr>
          <w:rFonts w:cs="Tahoma"/>
          <w:szCs w:val="18"/>
        </w:rPr>
        <w:tab/>
        <w:t xml:space="preserve">Auflösung in sterilem deionisiertem Wasser auf endgültigen OD </w:t>
      </w:r>
      <w:r w:rsidRPr="007361EC">
        <w:rPr>
          <w:rFonts w:cs="Tahoma"/>
          <w:szCs w:val="18"/>
          <w:vertAlign w:val="subscript"/>
        </w:rPr>
        <w:t xml:space="preserve">600 </w:t>
      </w:r>
      <w:r w:rsidRPr="007361EC">
        <w:rPr>
          <w:rFonts w:cs="Tahoma"/>
          <w:szCs w:val="18"/>
        </w:rPr>
        <w:t>Wert von 1.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bCs/>
          <w:szCs w:val="18"/>
        </w:rPr>
        <w:t>10.3 Pflanzenstadium bei Inokulation</w:t>
      </w:r>
      <w:r w:rsidRPr="007361EC">
        <w:rPr>
          <w:rFonts w:cs="Tahoma"/>
          <w:bCs/>
          <w:szCs w:val="18"/>
        </w:rPr>
        <w:tab/>
      </w:r>
      <w:r w:rsidRPr="007361EC">
        <w:rPr>
          <w:rFonts w:cs="Tahoma"/>
          <w:szCs w:val="18"/>
        </w:rPr>
        <w:t>3-4</w:t>
      </w:r>
      <w:r>
        <w:rPr>
          <w:rFonts w:cs="Tahoma"/>
          <w:szCs w:val="18"/>
        </w:rPr>
        <w:t>tes</w:t>
      </w:r>
      <w:r w:rsidRPr="007361EC">
        <w:rPr>
          <w:rFonts w:cs="Tahoma"/>
          <w:szCs w:val="18"/>
        </w:rPr>
        <w:t xml:space="preserve"> Blatt 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0" w:hanging="3540"/>
        <w:rPr>
          <w:rFonts w:cs="Tahoma"/>
          <w:bCs/>
          <w:szCs w:val="18"/>
        </w:rPr>
      </w:pPr>
      <w:r w:rsidRPr="007361EC">
        <w:rPr>
          <w:rFonts w:cs="Tahoma"/>
          <w:bCs/>
          <w:szCs w:val="18"/>
        </w:rPr>
        <w:t>10.4 Inokulationsmethode</w:t>
      </w:r>
      <w:r>
        <w:rPr>
          <w:rFonts w:cs="Tahoma"/>
          <w:bCs/>
          <w:szCs w:val="18"/>
        </w:rPr>
        <w:t xml:space="preserve"> …………… </w:t>
      </w:r>
      <w:r w:rsidRPr="007361EC">
        <w:rPr>
          <w:rFonts w:cs="Tahoma"/>
          <w:bCs/>
          <w:szCs w:val="18"/>
        </w:rPr>
        <w:t>Auf</w:t>
      </w:r>
      <w:r>
        <w:rPr>
          <w:rFonts w:cs="Tahoma"/>
          <w:bCs/>
          <w:szCs w:val="18"/>
        </w:rPr>
        <w:t>ziehen</w:t>
      </w:r>
      <w:r w:rsidRPr="007361EC">
        <w:rPr>
          <w:rFonts w:cs="Tahoma"/>
          <w:bCs/>
          <w:szCs w:val="18"/>
        </w:rPr>
        <w:t xml:space="preserve"> in eine </w:t>
      </w:r>
      <w:r w:rsidRPr="007361EC">
        <w:rPr>
          <w:rFonts w:eastAsia="Arial Unicode MS" w:cs="Tahoma"/>
          <w:szCs w:val="18"/>
        </w:rPr>
        <w:t>1 ml Spritze mit einer Nadel der Stärke 27</w:t>
      </w:r>
      <w:r>
        <w:rPr>
          <w:rFonts w:eastAsia="Arial Unicode MS" w:cs="Tahoma"/>
          <w:szCs w:val="18"/>
        </w:rPr>
        <w:t xml:space="preserve">, woraufhin </w:t>
      </w:r>
      <w:r w:rsidRPr="007361EC">
        <w:rPr>
          <w:rFonts w:eastAsia="Arial Unicode MS" w:cs="Tahoma"/>
          <w:szCs w:val="18"/>
        </w:rPr>
        <w:t xml:space="preserve">einige Tropfen (etwa 20 µl der Kultur) </w:t>
      </w:r>
      <w:r>
        <w:rPr>
          <w:rFonts w:eastAsia="Arial Unicode MS" w:cs="Tahoma"/>
          <w:szCs w:val="18"/>
        </w:rPr>
        <w:t>a</w:t>
      </w:r>
      <w:r w:rsidRPr="007361EC">
        <w:rPr>
          <w:rFonts w:eastAsia="Arial Unicode MS" w:cs="Tahoma"/>
          <w:szCs w:val="18"/>
        </w:rPr>
        <w:t xml:space="preserve">uf 10-15 </w:t>
      </w:r>
      <w:r>
        <w:rPr>
          <w:rFonts w:eastAsia="Arial Unicode MS" w:cs="Tahoma"/>
          <w:szCs w:val="18"/>
        </w:rPr>
        <w:t>Einstich</w:t>
      </w:r>
      <w:r w:rsidRPr="007361EC">
        <w:rPr>
          <w:rFonts w:eastAsia="Arial Unicode MS" w:cs="Tahoma"/>
          <w:szCs w:val="18"/>
        </w:rPr>
        <w:t xml:space="preserve">verletzungen </w:t>
      </w:r>
      <w:r>
        <w:rPr>
          <w:rFonts w:eastAsia="Arial Unicode MS" w:cs="Tahoma"/>
          <w:szCs w:val="18"/>
        </w:rPr>
        <w:t>mittels der</w:t>
      </w:r>
      <w:r w:rsidRPr="007361EC">
        <w:rPr>
          <w:rFonts w:eastAsia="Arial Unicode MS" w:cs="Tahoma"/>
          <w:szCs w:val="18"/>
        </w:rPr>
        <w:t xml:space="preserve"> Nadel </w:t>
      </w:r>
      <w:r>
        <w:rPr>
          <w:rFonts w:eastAsia="Arial Unicode MS" w:cs="Tahoma"/>
          <w:szCs w:val="18"/>
        </w:rPr>
        <w:t>in dem</w:t>
      </w:r>
      <w:r w:rsidRPr="007361EC">
        <w:rPr>
          <w:rFonts w:eastAsia="Arial Unicode MS" w:cs="Tahoma"/>
          <w:szCs w:val="18"/>
        </w:rPr>
        <w:t xml:space="preserve"> Stengel der getesteten Tomatenpflanzen </w:t>
      </w:r>
      <w:r>
        <w:rPr>
          <w:rFonts w:eastAsia="Arial Unicode MS" w:cs="Tahoma"/>
          <w:szCs w:val="18"/>
        </w:rPr>
        <w:t>gegeben</w:t>
      </w:r>
      <w:r w:rsidRPr="007361EC">
        <w:rPr>
          <w:rFonts w:eastAsia="Arial Unicode MS" w:cs="Tahoma"/>
          <w:szCs w:val="18"/>
        </w:rPr>
        <w:t xml:space="preserve"> wurden. Während der Inokulation der Pflanzen sind diese </w:t>
      </w:r>
      <w:r>
        <w:rPr>
          <w:rFonts w:eastAsia="Arial Unicode MS" w:cs="Tahoma"/>
          <w:szCs w:val="18"/>
        </w:rPr>
        <w:t>auf</w:t>
      </w:r>
      <w:r w:rsidRPr="007361EC">
        <w:rPr>
          <w:rFonts w:eastAsia="Arial Unicode MS" w:cs="Tahoma"/>
          <w:szCs w:val="18"/>
        </w:rPr>
        <w:t xml:space="preserve"> Eis zu halten.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7361EC">
        <w:rPr>
          <w:rFonts w:cs="Tahoma"/>
          <w:bCs/>
          <w:szCs w:val="18"/>
        </w:rPr>
        <w:t xml:space="preserve">10.5 </w:t>
      </w:r>
      <w:r w:rsidRPr="007361EC">
        <w:rPr>
          <w:rFonts w:cs="Tahoma"/>
          <w:szCs w:val="18"/>
        </w:rPr>
        <w:t>Erste Erfassung</w:t>
      </w:r>
      <w:r w:rsidRPr="007361EC">
        <w:rPr>
          <w:rFonts w:cs="Tahoma"/>
          <w:szCs w:val="18"/>
        </w:rPr>
        <w:tab/>
      </w:r>
      <w:r w:rsidRPr="007361EC">
        <w:rPr>
          <w:rFonts w:eastAsia="Arial Unicode MS" w:cs="Tahoma"/>
          <w:szCs w:val="18"/>
        </w:rPr>
        <w:t>20 Tage nach Inokulation</w:t>
      </w:r>
    </w:p>
    <w:p w:rsidR="00872310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10.6 Zweite Erfassung</w:t>
      </w:r>
      <w:r w:rsidRPr="007361EC">
        <w:rPr>
          <w:rFonts w:cs="Tahoma"/>
          <w:szCs w:val="18"/>
        </w:rPr>
        <w:tab/>
      </w:r>
      <w:r w:rsidRPr="007361EC">
        <w:rPr>
          <w:rFonts w:eastAsia="Arial Unicode MS" w:cs="Tahoma"/>
          <w:szCs w:val="18"/>
        </w:rPr>
        <w:t>30 Tage nach Inokulation</w:t>
      </w:r>
      <w:r w:rsidRPr="007361EC">
        <w:rPr>
          <w:rFonts w:cs="Tahoma"/>
          <w:szCs w:val="18"/>
        </w:rPr>
        <w:t xml:space="preserve"> </w:t>
      </w:r>
    </w:p>
    <w:p w:rsidR="00872310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 xml:space="preserve">*10.7 Ende der Prüfung –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7361EC">
        <w:rPr>
          <w:rFonts w:cs="Tahoma"/>
          <w:szCs w:val="18"/>
        </w:rPr>
        <w:t>Abschließende Erfassung</w:t>
      </w:r>
      <w:r w:rsidRPr="007361EC">
        <w:rPr>
          <w:rFonts w:cs="Tahoma"/>
          <w:szCs w:val="18"/>
        </w:rPr>
        <w:tab/>
      </w:r>
      <w:r w:rsidRPr="007361EC">
        <w:rPr>
          <w:rFonts w:eastAsia="Arial Unicode MS" w:cs="Tahoma"/>
          <w:szCs w:val="18"/>
        </w:rPr>
        <w:t>45</w:t>
      </w:r>
      <w:r w:rsidRPr="007361EC">
        <w:rPr>
          <w:rFonts w:cs="Tahoma"/>
          <w:szCs w:val="18"/>
        </w:rPr>
        <w:t xml:space="preserve"> </w:t>
      </w:r>
      <w:r w:rsidRPr="007361EC">
        <w:rPr>
          <w:rFonts w:eastAsia="Arial Unicode MS" w:cs="Tahoma"/>
          <w:szCs w:val="18"/>
        </w:rPr>
        <w:t>Tage nach Inokulation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11. Erfassungen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7361EC">
        <w:rPr>
          <w:rFonts w:cs="Tahoma"/>
          <w:szCs w:val="18"/>
        </w:rPr>
        <w:t>11.1 Methode</w:t>
      </w:r>
      <w:r w:rsidRPr="007361EC">
        <w:rPr>
          <w:rFonts w:cs="Tahoma"/>
          <w:szCs w:val="18"/>
        </w:rPr>
        <w:tab/>
        <w:t>Visuelle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 xml:space="preserve">11.2 Erfassungsskala </w:t>
      </w:r>
      <w:r w:rsidRPr="007361EC">
        <w:rPr>
          <w:rFonts w:cs="Tahoma"/>
          <w:szCs w:val="18"/>
        </w:rPr>
        <w:tab/>
        <w:t>Symptome: Blätter vergilben und rollen sich ein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Arial"/>
        </w:rPr>
      </w:pPr>
      <w:r w:rsidRPr="007361EC">
        <w:rPr>
          <w:rFonts w:cs="Tahoma"/>
          <w:szCs w:val="18"/>
        </w:rPr>
        <w:t xml:space="preserve">11.3 Validierung der Prüfung </w:t>
      </w:r>
      <w:r w:rsidRPr="007361EC">
        <w:rPr>
          <w:rFonts w:cs="Tahoma"/>
          <w:szCs w:val="18"/>
        </w:rPr>
        <w:tab/>
      </w:r>
      <w:r w:rsidRPr="007361EC">
        <w:rPr>
          <w:rFonts w:cs="Arial"/>
        </w:rPr>
        <w:t xml:space="preserve">Die Bewertung der Sortenresistenz sollte mit den Ergebnissen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/>
        <w:rPr>
          <w:rFonts w:cs="Tahoma"/>
          <w:szCs w:val="18"/>
        </w:rPr>
      </w:pPr>
      <w:r w:rsidRPr="007361EC">
        <w:rPr>
          <w:rFonts w:cs="Arial"/>
        </w:rPr>
        <w:t>resistenter und anfälliger Kontrollen kalibriert werden</w:t>
      </w:r>
    </w:p>
    <w:p w:rsidR="00872310" w:rsidRPr="007361EC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12. Auswertung der Daten hinsichtlich der UPOV-Ausprägungsstufen</w:t>
      </w:r>
    </w:p>
    <w:p w:rsidR="00872310" w:rsidRPr="007361EC" w:rsidRDefault="00872310" w:rsidP="00872310">
      <w:pPr>
        <w:tabs>
          <w:tab w:val="left" w:pos="720"/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ab/>
      </w:r>
      <w:r w:rsidRPr="007361EC">
        <w:rPr>
          <w:rFonts w:cs="Tahoma"/>
          <w:szCs w:val="18"/>
        </w:rPr>
        <w:t>fehlend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[1]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Tahoma"/>
          <w:szCs w:val="18"/>
        </w:rPr>
        <w:t>ausgeprägte Symptome</w:t>
      </w:r>
    </w:p>
    <w:p w:rsidR="00872310" w:rsidRPr="007361EC" w:rsidRDefault="00872310" w:rsidP="00872310">
      <w:pPr>
        <w:tabs>
          <w:tab w:val="left" w:pos="720"/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ab/>
      </w:r>
      <w:r w:rsidRPr="007361EC">
        <w:rPr>
          <w:rFonts w:cs="Tahoma"/>
          <w:szCs w:val="18"/>
        </w:rPr>
        <w:t>vorhanden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[9]</w:t>
      </w:r>
      <w:r w:rsidRPr="007361EC">
        <w:rPr>
          <w:rFonts w:cs="Arial"/>
          <w:bCs/>
          <w:lang w:eastAsia="nl-NL"/>
        </w:rPr>
        <w:tab/>
        <w:t>keine Symptome</w:t>
      </w:r>
    </w:p>
    <w:p w:rsidR="00872310" w:rsidRPr="007361EC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13. Kritische Kontrollpunkte:</w:t>
      </w:r>
    </w:p>
    <w:p w:rsidR="00872310" w:rsidRPr="00B740E5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Arial"/>
        </w:rPr>
        <w:t xml:space="preserve">TYLCV ist </w:t>
      </w:r>
      <w:r w:rsidRPr="00B740E5">
        <w:rPr>
          <w:rFonts w:cs="Arial"/>
        </w:rPr>
        <w:t>in vielen tropischen und subtropischen Gebieten endemisch und hat in vielen Ländern mit gemäßigtem Klima Quarantänestatus</w:t>
      </w:r>
      <w:r w:rsidRPr="00B740E5">
        <w:rPr>
          <w:rFonts w:cs="Tahoma"/>
          <w:szCs w:val="18"/>
        </w:rPr>
        <w:t>.</w:t>
      </w:r>
    </w:p>
    <w:p w:rsidR="00872310" w:rsidRPr="00B740E5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B740E5">
        <w:rPr>
          <w:rFonts w:cs="Tahoma"/>
          <w:szCs w:val="18"/>
        </w:rPr>
        <w:t xml:space="preserve">TYLCV-IL ist der weltweit verbreitetste Pathotyp. Bei diesem Pathotyp treten Symptome nicht in Sorten mit Ty-1 und Ty-2 auf. </w:t>
      </w:r>
    </w:p>
    <w:p w:rsidR="00872310" w:rsidRPr="00B740E5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B740E5">
        <w:rPr>
          <w:rFonts w:cs="Arial"/>
        </w:rPr>
        <w:t>TYLCV steht auf der EPPO-Warnliste. Einige gegen TYLCV resistente Sorten können anfällig für das eng verwandte gelbe Tomatenblattroll-Sardinienvirus (TYLCSV) sein</w:t>
      </w:r>
      <w:r w:rsidRPr="00B740E5">
        <w:rPr>
          <w:rFonts w:cs="Tahoma"/>
          <w:szCs w:val="18"/>
        </w:rPr>
        <w:t xml:space="preserve">. </w:t>
      </w:r>
    </w:p>
    <w:p w:rsidR="00872310" w:rsidRPr="00B740E5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</w:p>
    <w:p w:rsidR="00872310" w:rsidRPr="00B740E5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</w:p>
    <w:p w:rsidR="00872310" w:rsidRPr="00B740E5" w:rsidRDefault="00872310" w:rsidP="00872310">
      <w:pPr>
        <w:keepNext/>
        <w:widowControl w:val="0"/>
        <w:ind w:left="482" w:hanging="482"/>
        <w:outlineLvl w:val="0"/>
        <w:rPr>
          <w:u w:val="single"/>
        </w:rPr>
      </w:pPr>
      <w:r w:rsidRPr="00B740E5">
        <w:rPr>
          <w:u w:val="single"/>
        </w:rPr>
        <w:t xml:space="preserve">Zu 57:  Resistenz gegen Gelbes Tomatenblattrollvirus (TYLCV) </w:t>
      </w:r>
    </w:p>
    <w:p w:rsidR="00872310" w:rsidRPr="00B740E5" w:rsidRDefault="00872310" w:rsidP="00872310">
      <w:pPr>
        <w:keepNext/>
        <w:widowControl w:val="0"/>
        <w:outlineLvl w:val="0"/>
        <w:rPr>
          <w:u w:val="single"/>
        </w:rPr>
      </w:pPr>
    </w:p>
    <w:p w:rsidR="00872310" w:rsidRPr="007361EC" w:rsidRDefault="00872310" w:rsidP="00872310">
      <w:pPr>
        <w:keepNext/>
        <w:rPr>
          <w:i/>
        </w:rPr>
      </w:pPr>
      <w:r w:rsidRPr="00B740E5">
        <w:tab/>
      </w:r>
      <w:r w:rsidRPr="00B740E5">
        <w:rPr>
          <w:i/>
        </w:rPr>
        <w:t>ii) Inokulationsmethode mit Weißen Fliegen</w:t>
      </w:r>
    </w:p>
    <w:p w:rsidR="00872310" w:rsidRPr="007361EC" w:rsidRDefault="00872310" w:rsidP="00872310">
      <w:pPr>
        <w:keepNext/>
        <w:rPr>
          <w:i/>
        </w:rPr>
      </w:pPr>
    </w:p>
    <w:p w:rsidR="00872310" w:rsidRPr="007361EC" w:rsidRDefault="00872310" w:rsidP="00872310">
      <w:pPr>
        <w:keepNext/>
        <w:widowControl w:val="0"/>
        <w:tabs>
          <w:tab w:val="left" w:leader="dot" w:pos="3458"/>
        </w:tabs>
        <w:ind w:left="482" w:hanging="482"/>
        <w:outlineLvl w:val="0"/>
        <w:rPr>
          <w:lang w:eastAsia="nl-NL"/>
        </w:rPr>
      </w:pPr>
      <w:r w:rsidRPr="007361EC">
        <w:rPr>
          <w:bCs/>
          <w:lang w:eastAsia="nl-NL"/>
        </w:rPr>
        <w:t>1. Pathogen</w:t>
      </w:r>
      <w:r w:rsidRPr="007361EC">
        <w:rPr>
          <w:bCs/>
          <w:lang w:eastAsia="nl-NL"/>
        </w:rPr>
        <w:tab/>
      </w:r>
      <w:r w:rsidRPr="007361EC">
        <w:t xml:space="preserve">Gelbes Tomatenblattrollvirus (TYLCV) </w:t>
      </w:r>
      <w:r>
        <w:t>IL-Pathotyp</w:t>
      </w:r>
    </w:p>
    <w:p w:rsidR="00872310" w:rsidRPr="007361EC" w:rsidRDefault="00872310" w:rsidP="00872310">
      <w:pPr>
        <w:tabs>
          <w:tab w:val="left" w:leader="dot" w:pos="3402"/>
        </w:tabs>
        <w:rPr>
          <w:lang w:eastAsia="nl-NL"/>
        </w:rPr>
      </w:pPr>
      <w:r w:rsidRPr="007361EC">
        <w:rPr>
          <w:lang w:eastAsia="nl-NL"/>
        </w:rPr>
        <w:t>2. Quarantänestatus</w:t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  <w:r w:rsidRPr="00B90D6F">
        <w:rPr>
          <w:lang w:eastAsia="nl-NL"/>
        </w:rPr>
        <w:t xml:space="preserve">Ja </w:t>
      </w:r>
      <w:r w:rsidR="00F53051" w:rsidRPr="00B90D6F">
        <w:rPr>
          <w:rFonts w:cs="Tahoma"/>
          <w:szCs w:val="18"/>
        </w:rPr>
        <w:t>(siehe 13.)</w:t>
      </w:r>
    </w:p>
    <w:p w:rsidR="00872310" w:rsidRPr="007361EC" w:rsidRDefault="00872310" w:rsidP="00872310">
      <w:pPr>
        <w:tabs>
          <w:tab w:val="left" w:leader="dot" w:pos="3402"/>
        </w:tabs>
        <w:rPr>
          <w:bCs/>
          <w:i/>
          <w:lang w:eastAsia="nl-NL"/>
        </w:rPr>
      </w:pPr>
      <w:r w:rsidRPr="007361EC">
        <w:rPr>
          <w:bCs/>
          <w:lang w:eastAsia="nl-NL"/>
        </w:rPr>
        <w:t>3. Wirtsarten</w:t>
      </w:r>
      <w:r w:rsidRPr="007361EC">
        <w:rPr>
          <w:bCs/>
          <w:lang w:eastAsia="nl-NL"/>
        </w:rPr>
        <w:tab/>
      </w:r>
      <w:r w:rsidRPr="007361EC">
        <w:rPr>
          <w:bCs/>
          <w:lang w:eastAsia="nl-NL"/>
        </w:rPr>
        <w:tab/>
      </w:r>
      <w:r w:rsidRPr="007361EC">
        <w:rPr>
          <w:bCs/>
          <w:i/>
          <w:lang w:eastAsia="nl-NL"/>
        </w:rPr>
        <w:t xml:space="preserve">Solanum lycopersicum </w:t>
      </w:r>
      <w:r w:rsidRPr="007361EC">
        <w:rPr>
          <w:bCs/>
          <w:i/>
          <w:lang w:eastAsia="nl-NL"/>
        </w:rPr>
        <w:tab/>
      </w:r>
    </w:p>
    <w:p w:rsidR="00872310" w:rsidRPr="00872310" w:rsidRDefault="00872310" w:rsidP="00872310">
      <w:pPr>
        <w:tabs>
          <w:tab w:val="left" w:leader="dot" w:pos="3402"/>
        </w:tabs>
        <w:rPr>
          <w:bCs/>
          <w:lang w:val="fr-CH" w:eastAsia="nl-NL"/>
        </w:rPr>
      </w:pPr>
      <w:r w:rsidRPr="00872310">
        <w:rPr>
          <w:bCs/>
          <w:lang w:val="fr-CH" w:eastAsia="nl-NL"/>
        </w:rPr>
        <w:t xml:space="preserve">4. Quelle des </w:t>
      </w:r>
      <w:proofErr w:type="spellStart"/>
      <w:r w:rsidRPr="00872310">
        <w:rPr>
          <w:bCs/>
          <w:lang w:val="fr-CH" w:eastAsia="nl-NL"/>
        </w:rPr>
        <w:t>Inokulums</w:t>
      </w:r>
      <w:proofErr w:type="spellEnd"/>
      <w:r w:rsidRPr="00872310">
        <w:rPr>
          <w:bCs/>
          <w:lang w:val="fr-CH" w:eastAsia="nl-NL"/>
        </w:rPr>
        <w:tab/>
      </w:r>
      <w:r w:rsidRPr="00872310">
        <w:rPr>
          <w:bCs/>
          <w:lang w:val="fr-CH" w:eastAsia="nl-NL"/>
        </w:rPr>
        <w:tab/>
        <w:t>-</w:t>
      </w:r>
      <w:proofErr w:type="spellStart"/>
      <w:r w:rsidRPr="00872310">
        <w:rPr>
          <w:bCs/>
          <w:lang w:val="fr-CH" w:eastAsia="nl-NL"/>
        </w:rPr>
        <w:t>Spanien</w:t>
      </w:r>
      <w:proofErr w:type="spellEnd"/>
      <w:r w:rsidRPr="00872310">
        <w:rPr>
          <w:bCs/>
          <w:lang w:val="fr-CH" w:eastAsia="nl-NL"/>
        </w:rPr>
        <w:tab/>
      </w:r>
      <w:r w:rsidRPr="00872310">
        <w:rPr>
          <w:bCs/>
          <w:lang w:val="fr-CH" w:eastAsia="nl-NL"/>
        </w:rPr>
        <w:tab/>
      </w:r>
    </w:p>
    <w:p w:rsidR="00872310" w:rsidRPr="00872310" w:rsidRDefault="00872310" w:rsidP="00872310">
      <w:pPr>
        <w:tabs>
          <w:tab w:val="left" w:leader="dot" w:pos="3402"/>
        </w:tabs>
        <w:rPr>
          <w:bCs/>
          <w:lang w:val="fr-CH" w:eastAsia="nl-NL"/>
        </w:rPr>
      </w:pPr>
      <w:r w:rsidRPr="00872310">
        <w:rPr>
          <w:bCs/>
          <w:lang w:val="fr-CH" w:eastAsia="nl-NL"/>
        </w:rPr>
        <w:t>5. Isolat</w:t>
      </w:r>
      <w:r w:rsidRPr="00872310">
        <w:rPr>
          <w:bCs/>
          <w:lang w:val="fr-CH" w:eastAsia="nl-NL"/>
        </w:rPr>
        <w:tab/>
      </w:r>
      <w:r w:rsidRPr="00872310">
        <w:rPr>
          <w:bCs/>
          <w:lang w:val="fr-CH" w:eastAsia="nl-NL"/>
        </w:rPr>
        <w:tab/>
        <w:t xml:space="preserve">-TYLCV-IL La </w:t>
      </w:r>
      <w:proofErr w:type="spellStart"/>
      <w:r w:rsidRPr="00872310">
        <w:rPr>
          <w:bCs/>
          <w:lang w:val="fr-CH" w:eastAsia="nl-NL"/>
        </w:rPr>
        <w:t>Mayora</w:t>
      </w:r>
      <w:proofErr w:type="spellEnd"/>
    </w:p>
    <w:p w:rsidR="00872310" w:rsidRPr="007361EC" w:rsidRDefault="00872310" w:rsidP="00872310">
      <w:pPr>
        <w:tabs>
          <w:tab w:val="left" w:leader="dot" w:pos="3402"/>
        </w:tabs>
        <w:rPr>
          <w:lang w:eastAsia="nl-NL"/>
        </w:rPr>
      </w:pPr>
      <w:r w:rsidRPr="007361EC">
        <w:rPr>
          <w:lang w:eastAsia="nl-NL"/>
        </w:rPr>
        <w:t>8. Vermehrung des Inokulums</w:t>
      </w:r>
      <w:r w:rsidRPr="007361EC">
        <w:rPr>
          <w:lang w:eastAsia="nl-NL"/>
        </w:rPr>
        <w:tab/>
      </w:r>
      <w:r w:rsidRPr="007361EC">
        <w:rPr>
          <w:lang w:eastAsia="nl-NL"/>
        </w:rPr>
        <w:tab/>
        <w:t>Weiße Fliegen</w:t>
      </w:r>
      <w:r w:rsidRPr="007361EC">
        <w:rPr>
          <w:lang w:eastAsia="nl-NL"/>
        </w:rPr>
        <w:tab/>
      </w:r>
    </w:p>
    <w:p w:rsidR="00872310" w:rsidRPr="007361EC" w:rsidRDefault="00872310" w:rsidP="00872310">
      <w:pPr>
        <w:tabs>
          <w:tab w:val="left" w:leader="dot" w:pos="3402"/>
        </w:tabs>
        <w:rPr>
          <w:lang w:eastAsia="nl-NL"/>
        </w:rPr>
      </w:pPr>
      <w:r w:rsidRPr="007361EC">
        <w:rPr>
          <w:lang w:eastAsia="nl-NL"/>
        </w:rPr>
        <w:t>8.6 Ernte des Inokulums</w:t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</w:p>
    <w:p w:rsidR="00872310" w:rsidRPr="007361EC" w:rsidRDefault="00872310" w:rsidP="00872310">
      <w:pPr>
        <w:tabs>
          <w:tab w:val="left" w:pos="3402"/>
        </w:tabs>
        <w:rPr>
          <w:lang w:eastAsia="nl-NL"/>
        </w:rPr>
      </w:pPr>
      <w:r w:rsidRPr="007361EC">
        <w:rPr>
          <w:lang w:eastAsia="nl-NL"/>
        </w:rPr>
        <w:t>9. Prüfungsanlage</w:t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</w:p>
    <w:p w:rsidR="00872310" w:rsidRPr="007361EC" w:rsidRDefault="00872310" w:rsidP="00872310">
      <w:pPr>
        <w:tabs>
          <w:tab w:val="left" w:leader="dot" w:pos="3402"/>
        </w:tabs>
        <w:rPr>
          <w:bCs/>
          <w:lang w:eastAsia="nl-NL"/>
        </w:rPr>
      </w:pPr>
      <w:r w:rsidRPr="007361EC">
        <w:rPr>
          <w:bCs/>
          <w:lang w:eastAsia="nl-NL"/>
        </w:rPr>
        <w:t>9.1 Anzahl der Pflanzen pro Genotyp</w:t>
      </w:r>
      <w:r w:rsidRPr="007361EC">
        <w:rPr>
          <w:bCs/>
          <w:lang w:eastAsia="nl-NL"/>
        </w:rPr>
        <w:tab/>
      </w:r>
      <w:r w:rsidRPr="007361EC">
        <w:rPr>
          <w:bCs/>
          <w:lang w:eastAsia="nl-NL"/>
        </w:rPr>
        <w:tab/>
        <w:t>20</w:t>
      </w:r>
      <w:r w:rsidRPr="007361EC">
        <w:rPr>
          <w:bCs/>
          <w:lang w:eastAsia="nl-NL"/>
        </w:rPr>
        <w:tab/>
      </w:r>
      <w:r w:rsidRPr="007361EC">
        <w:rPr>
          <w:bCs/>
          <w:lang w:eastAsia="nl-NL"/>
        </w:rPr>
        <w:tab/>
      </w:r>
    </w:p>
    <w:p w:rsidR="00872310" w:rsidRPr="007361EC" w:rsidRDefault="00872310" w:rsidP="00872310">
      <w:pPr>
        <w:tabs>
          <w:tab w:val="left" w:leader="dot" w:pos="3402"/>
        </w:tabs>
        <w:outlineLvl w:val="0"/>
        <w:rPr>
          <w:bCs/>
          <w:lang w:eastAsia="nl-NL"/>
        </w:rPr>
      </w:pPr>
      <w:r w:rsidRPr="007361EC">
        <w:rPr>
          <w:bCs/>
          <w:lang w:eastAsia="nl-NL"/>
        </w:rPr>
        <w:t>9.2 Anzahl der Wiederholungen………Zwei Wiederholungen</w:t>
      </w:r>
    </w:p>
    <w:p w:rsidR="00872310" w:rsidRPr="007361EC" w:rsidRDefault="00872310" w:rsidP="00872310">
      <w:pPr>
        <w:tabs>
          <w:tab w:val="left" w:leader="dot" w:pos="3402"/>
        </w:tabs>
        <w:rPr>
          <w:bCs/>
          <w:lang w:eastAsia="nl-NL"/>
        </w:rPr>
      </w:pPr>
      <w:r w:rsidRPr="007361EC">
        <w:rPr>
          <w:bCs/>
          <w:lang w:eastAsia="nl-NL"/>
        </w:rPr>
        <w:t>9.3 Kontrollsorten</w:t>
      </w:r>
    </w:p>
    <w:p w:rsidR="00872310" w:rsidRPr="007361EC" w:rsidRDefault="00872310" w:rsidP="00872310">
      <w:pPr>
        <w:tabs>
          <w:tab w:val="left" w:leader="dot" w:pos="3402"/>
        </w:tabs>
        <w:autoSpaceDE w:val="0"/>
        <w:autoSpaceDN w:val="0"/>
        <w:adjustRightInd w:val="0"/>
        <w:rPr>
          <w:bCs/>
        </w:rPr>
      </w:pPr>
      <w:r w:rsidRPr="007361EC">
        <w:t xml:space="preserve">Anfällig: </w:t>
      </w:r>
      <w:r w:rsidRPr="007361EC">
        <w:tab/>
      </w:r>
      <w:r w:rsidRPr="007361EC">
        <w:rPr>
          <w:bCs/>
        </w:rPr>
        <w:t xml:space="preserve">Moneymaker, Marmande, </w:t>
      </w:r>
    </w:p>
    <w:p w:rsidR="00872310" w:rsidRPr="007361EC" w:rsidRDefault="00872310" w:rsidP="00872310">
      <w:pPr>
        <w:tabs>
          <w:tab w:val="left" w:leader="dot" w:pos="3402"/>
        </w:tabs>
        <w:outlineLvl w:val="0"/>
      </w:pPr>
    </w:p>
    <w:p w:rsidR="00872310" w:rsidRPr="007361EC" w:rsidRDefault="00872310" w:rsidP="00872310">
      <w:pPr>
        <w:tabs>
          <w:tab w:val="left" w:leader="dot" w:pos="3402"/>
        </w:tabs>
      </w:pPr>
      <w:r w:rsidRPr="007361EC">
        <w:t xml:space="preserve">Resistent: </w:t>
      </w:r>
      <w:r w:rsidRPr="007361EC">
        <w:tab/>
      </w:r>
      <w:r w:rsidRPr="007361EC">
        <w:tab/>
      </w:r>
      <w:r w:rsidRPr="007361EC">
        <w:rPr>
          <w:bCs/>
        </w:rPr>
        <w:t>Delyca, Montenegro, Anastasia, TY20, Mohawk</w:t>
      </w:r>
    </w:p>
    <w:p w:rsidR="00872310" w:rsidRPr="007361EC" w:rsidRDefault="00872310" w:rsidP="00872310">
      <w:pPr>
        <w:tabs>
          <w:tab w:val="left" w:leader="dot" w:pos="3402"/>
        </w:tabs>
        <w:rPr>
          <w:strike/>
          <w:lang w:eastAsia="nl-NL"/>
        </w:rPr>
      </w:pPr>
      <w:r w:rsidRPr="007361EC">
        <w:rPr>
          <w:lang w:eastAsia="nl-NL"/>
        </w:rPr>
        <w:t>9.5 Prüfungseinrichtung</w:t>
      </w:r>
      <w:r w:rsidRPr="007361EC">
        <w:rPr>
          <w:lang w:eastAsia="nl-NL"/>
        </w:rPr>
        <w:tab/>
        <w:t xml:space="preserve">Gewächshaus/Kunststofftunnel 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lang w:eastAsia="nl-NL"/>
        </w:rPr>
        <w:t>9.9 Besondere Maßnahmen</w:t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  <w:r w:rsidRPr="007361EC">
        <w:rPr>
          <w:rFonts w:cs="Arial"/>
          <w:lang w:eastAsia="nl-NL"/>
        </w:rPr>
        <w:t>Verbreitung von weißen Fliegen verhindern</w:t>
      </w:r>
    </w:p>
    <w:p w:rsidR="00872310" w:rsidRPr="007361EC" w:rsidRDefault="00872310" w:rsidP="00872310">
      <w:pPr>
        <w:tabs>
          <w:tab w:val="left" w:pos="3402"/>
        </w:tabs>
        <w:rPr>
          <w:lang w:eastAsia="nl-NL"/>
        </w:rPr>
      </w:pPr>
      <w:r w:rsidRPr="007361EC">
        <w:rPr>
          <w:lang w:eastAsia="nl-NL"/>
        </w:rPr>
        <w:t>10. Inokulation</w:t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</w:p>
    <w:p w:rsidR="00872310" w:rsidRPr="007361EC" w:rsidRDefault="00872310" w:rsidP="00872310">
      <w:pPr>
        <w:tabs>
          <w:tab w:val="left" w:leader="dot" w:pos="3402"/>
        </w:tabs>
        <w:rPr>
          <w:lang w:eastAsia="nl-NL"/>
        </w:rPr>
      </w:pPr>
      <w:r w:rsidRPr="007361EC">
        <w:rPr>
          <w:bCs/>
          <w:lang w:eastAsia="nl-NL"/>
        </w:rPr>
        <w:t>10.3 Pflanzenstadium bei Inokulation</w:t>
      </w:r>
      <w:r w:rsidRPr="007361EC">
        <w:rPr>
          <w:bCs/>
          <w:lang w:eastAsia="nl-NL"/>
        </w:rPr>
        <w:tab/>
      </w:r>
      <w:r w:rsidRPr="007361EC">
        <w:rPr>
          <w:lang w:eastAsia="nl-NL"/>
        </w:rPr>
        <w:t>2-4 Wochen</w:t>
      </w:r>
    </w:p>
    <w:p w:rsidR="00872310" w:rsidRPr="007361EC" w:rsidRDefault="00872310" w:rsidP="00872310">
      <w:pPr>
        <w:tabs>
          <w:tab w:val="left" w:leader="dot" w:pos="3402"/>
        </w:tabs>
        <w:rPr>
          <w:rFonts w:cs="Arial"/>
          <w:lang w:eastAsia="nl-NL"/>
        </w:rPr>
      </w:pPr>
      <w:r w:rsidRPr="007361EC">
        <w:rPr>
          <w:bCs/>
          <w:lang w:eastAsia="nl-NL"/>
        </w:rPr>
        <w:t>10.4 Inokulationsmethode</w:t>
      </w:r>
      <w:r w:rsidRPr="007361EC">
        <w:rPr>
          <w:bCs/>
          <w:lang w:eastAsia="nl-NL"/>
        </w:rPr>
        <w:tab/>
      </w:r>
      <w:r w:rsidRPr="007361EC">
        <w:rPr>
          <w:bCs/>
          <w:lang w:eastAsia="nl-NL"/>
        </w:rPr>
        <w:tab/>
      </w:r>
      <w:r w:rsidRPr="007361EC">
        <w:rPr>
          <w:rFonts w:cs="Arial"/>
          <w:lang w:eastAsia="nl-NL"/>
        </w:rPr>
        <w:t>Vektor (weiße Fliege Bemisia, die das TYLCV trägt)</w:t>
      </w:r>
    </w:p>
    <w:p w:rsidR="00872310" w:rsidRPr="007361EC" w:rsidRDefault="00872310" w:rsidP="00872310">
      <w:pPr>
        <w:tabs>
          <w:tab w:val="left" w:leader="dot" w:pos="3402"/>
        </w:tabs>
        <w:rPr>
          <w:bCs/>
          <w:lang w:eastAsia="nl-NL"/>
        </w:rPr>
      </w:pPr>
      <w:r w:rsidRPr="007361EC">
        <w:rPr>
          <w:bCs/>
          <w:lang w:eastAsia="nl-NL"/>
        </w:rPr>
        <w:t>10.7 Abschließende Erfassungen</w:t>
      </w:r>
      <w:r w:rsidRPr="007361EC">
        <w:rPr>
          <w:bCs/>
          <w:lang w:eastAsia="nl-NL"/>
        </w:rPr>
        <w:tab/>
      </w:r>
      <w:r w:rsidRPr="007361EC">
        <w:rPr>
          <w:bCs/>
          <w:lang w:eastAsia="nl-NL"/>
        </w:rPr>
        <w:tab/>
        <w:t>1-2 Monate nach Inokulation</w:t>
      </w:r>
      <w:r w:rsidRPr="007361EC">
        <w:rPr>
          <w:bCs/>
          <w:lang w:eastAsia="nl-NL"/>
        </w:rPr>
        <w:tab/>
      </w:r>
      <w:r w:rsidRPr="007361EC">
        <w:rPr>
          <w:bCs/>
          <w:lang w:eastAsia="nl-NL"/>
        </w:rPr>
        <w:tab/>
      </w:r>
    </w:p>
    <w:p w:rsidR="00872310" w:rsidRPr="007361EC" w:rsidRDefault="00872310" w:rsidP="00872310">
      <w:pPr>
        <w:tabs>
          <w:tab w:val="left" w:pos="3402"/>
        </w:tabs>
        <w:rPr>
          <w:lang w:eastAsia="nl-NL"/>
        </w:rPr>
      </w:pPr>
      <w:r w:rsidRPr="007361EC">
        <w:rPr>
          <w:lang w:eastAsia="nl-NL"/>
        </w:rPr>
        <w:t>11. Erfassungen</w:t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  <w:r w:rsidRPr="007361EC">
        <w:rPr>
          <w:lang w:eastAsia="nl-NL"/>
        </w:rPr>
        <w:tab/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7361EC">
        <w:rPr>
          <w:rFonts w:cs="Tahoma"/>
          <w:szCs w:val="18"/>
        </w:rPr>
        <w:t>11.1 Methode</w:t>
      </w:r>
      <w:r w:rsidRPr="007361EC">
        <w:rPr>
          <w:rFonts w:cs="Tahoma"/>
          <w:szCs w:val="18"/>
        </w:rPr>
        <w:tab/>
        <w:t>Visuelle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 xml:space="preserve">11.2 Erfassungsskala </w:t>
      </w:r>
      <w:r w:rsidRPr="007361EC">
        <w:rPr>
          <w:rFonts w:cs="Tahoma"/>
          <w:szCs w:val="18"/>
        </w:rPr>
        <w:tab/>
        <w:t>Symptome: Blätter vergilben und rollen sich ein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rPr>
          <w:rFonts w:cs="Arial"/>
        </w:rPr>
      </w:pPr>
      <w:r w:rsidRPr="007361EC">
        <w:rPr>
          <w:rFonts w:cs="Tahoma"/>
          <w:szCs w:val="18"/>
        </w:rPr>
        <w:t xml:space="preserve">11.3 Validierung der Prüfung </w:t>
      </w:r>
      <w:r w:rsidRPr="007361EC">
        <w:rPr>
          <w:rFonts w:cs="Tahoma"/>
          <w:szCs w:val="18"/>
        </w:rPr>
        <w:tab/>
      </w:r>
      <w:r w:rsidRPr="007361EC">
        <w:rPr>
          <w:rFonts w:cs="Arial"/>
        </w:rPr>
        <w:t xml:space="preserve">Die Bewertung der Sortenresistenz sollte mit den Ergebnissen </w:t>
      </w:r>
    </w:p>
    <w:p w:rsidR="00872310" w:rsidRPr="007361EC" w:rsidRDefault="00872310" w:rsidP="00872310">
      <w:pPr>
        <w:tabs>
          <w:tab w:val="left" w:leader="dot" w:pos="3544"/>
        </w:tabs>
        <w:autoSpaceDE w:val="0"/>
        <w:autoSpaceDN w:val="0"/>
        <w:adjustRightInd w:val="0"/>
        <w:ind w:left="3544"/>
        <w:rPr>
          <w:rFonts w:cs="Tahoma"/>
          <w:szCs w:val="18"/>
        </w:rPr>
      </w:pPr>
      <w:r w:rsidRPr="007361EC">
        <w:rPr>
          <w:rFonts w:cs="Arial"/>
        </w:rPr>
        <w:t>resistenter und anfälliger Kontrollen kalibriert werden</w:t>
      </w:r>
    </w:p>
    <w:p w:rsidR="00872310" w:rsidRPr="007361EC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12. Auswertung der Daten hinsichtlich der UPOV-Ausprägungsstufen</w:t>
      </w:r>
    </w:p>
    <w:p w:rsidR="00872310" w:rsidRPr="007361EC" w:rsidRDefault="00872310" w:rsidP="00872310">
      <w:pPr>
        <w:tabs>
          <w:tab w:val="left" w:pos="720"/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ab/>
      </w:r>
      <w:r w:rsidRPr="007361EC">
        <w:rPr>
          <w:rFonts w:cs="Tahoma"/>
          <w:szCs w:val="18"/>
        </w:rPr>
        <w:t>fehlend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[1]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Tahoma"/>
          <w:szCs w:val="18"/>
        </w:rPr>
        <w:t>ausgeprägte Symptome</w:t>
      </w:r>
    </w:p>
    <w:p w:rsidR="00872310" w:rsidRPr="007361EC" w:rsidRDefault="00872310" w:rsidP="00872310">
      <w:pPr>
        <w:tabs>
          <w:tab w:val="left" w:pos="720"/>
          <w:tab w:val="left" w:leader="dot" w:pos="3402"/>
        </w:tabs>
        <w:rPr>
          <w:rFonts w:cs="Arial"/>
          <w:bCs/>
          <w:lang w:eastAsia="nl-NL"/>
        </w:rPr>
      </w:pPr>
      <w:r w:rsidRPr="007361EC">
        <w:rPr>
          <w:rFonts w:cs="Arial"/>
          <w:bCs/>
          <w:lang w:eastAsia="nl-NL"/>
        </w:rPr>
        <w:tab/>
      </w:r>
      <w:r w:rsidRPr="007361EC">
        <w:rPr>
          <w:rFonts w:cs="Tahoma"/>
          <w:szCs w:val="18"/>
        </w:rPr>
        <w:t>vorhanden</w:t>
      </w:r>
      <w:r w:rsidRPr="007361EC">
        <w:rPr>
          <w:rFonts w:cs="Arial"/>
          <w:bCs/>
          <w:lang w:eastAsia="nl-NL"/>
        </w:rPr>
        <w:tab/>
      </w:r>
      <w:r w:rsidRPr="007361EC">
        <w:rPr>
          <w:rFonts w:cs="Arial"/>
          <w:bCs/>
          <w:lang w:eastAsia="nl-NL"/>
        </w:rPr>
        <w:tab/>
        <w:t>[9]</w:t>
      </w:r>
      <w:r w:rsidRPr="007361EC">
        <w:rPr>
          <w:rFonts w:cs="Arial"/>
          <w:bCs/>
          <w:lang w:eastAsia="nl-NL"/>
        </w:rPr>
        <w:tab/>
        <w:t>keine oder schwach ausgeprägte Symptome</w:t>
      </w:r>
    </w:p>
    <w:p w:rsidR="00872310" w:rsidRPr="007361EC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Tahoma"/>
          <w:szCs w:val="18"/>
        </w:rPr>
        <w:t>13. Kritische Kontrollpunkte:</w:t>
      </w:r>
    </w:p>
    <w:p w:rsidR="00872310" w:rsidRPr="00B740E5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7361EC">
        <w:rPr>
          <w:rFonts w:cs="Arial"/>
        </w:rPr>
        <w:t xml:space="preserve">TYLCV ist in vielen tropischen und subtropischen Gebieten endemisch und hat in vielen Ländern mit gemäßigtem Klima </w:t>
      </w:r>
      <w:r w:rsidRPr="00B740E5">
        <w:rPr>
          <w:rFonts w:cs="Arial"/>
        </w:rPr>
        <w:t>Quarantänestatus</w:t>
      </w:r>
      <w:r w:rsidRPr="00B740E5">
        <w:rPr>
          <w:rFonts w:cs="Tahoma"/>
          <w:szCs w:val="18"/>
        </w:rPr>
        <w:t>.</w:t>
      </w:r>
    </w:p>
    <w:p w:rsidR="00872310" w:rsidRPr="00B740E5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B740E5">
        <w:rPr>
          <w:rFonts w:cs="Tahoma"/>
          <w:szCs w:val="18"/>
        </w:rPr>
        <w:t xml:space="preserve">TYLCV-IL ist der weltweit verbreitetste Pathotyp. Bei diesem Pathotyp treten Symptome nicht in Sorten mit Ty-1 und Ty-2 auf. </w:t>
      </w:r>
    </w:p>
    <w:p w:rsidR="00872310" w:rsidRPr="00B740E5" w:rsidRDefault="00872310" w:rsidP="00872310">
      <w:pPr>
        <w:autoSpaceDE w:val="0"/>
        <w:autoSpaceDN w:val="0"/>
        <w:adjustRightInd w:val="0"/>
        <w:rPr>
          <w:rFonts w:cs="Tahoma"/>
          <w:szCs w:val="18"/>
        </w:rPr>
      </w:pPr>
      <w:r w:rsidRPr="00B740E5">
        <w:rPr>
          <w:rFonts w:cs="Arial"/>
        </w:rPr>
        <w:t>Einige gegen TYLCV resistente Sorten können anfällig für das eng verwandte gelbe Tomatenblattroll-Sardinienvirus (TYLCSV) sein</w:t>
      </w:r>
      <w:r w:rsidRPr="00B740E5">
        <w:rPr>
          <w:rFonts w:cs="Tahoma"/>
          <w:szCs w:val="18"/>
        </w:rPr>
        <w:t xml:space="preserve">. </w:t>
      </w:r>
    </w:p>
    <w:p w:rsidR="00872310" w:rsidRPr="007361EC" w:rsidRDefault="00872310" w:rsidP="00872310">
      <w:pPr>
        <w:tabs>
          <w:tab w:val="left" w:leader="dot" w:pos="3402"/>
        </w:tabs>
        <w:rPr>
          <w:bCs/>
          <w:lang w:eastAsia="nl-NL"/>
        </w:rPr>
      </w:pPr>
      <w:r w:rsidRPr="00B740E5">
        <w:t>Quelle des Inokulums:</w:t>
      </w:r>
      <w:r w:rsidRPr="00B740E5">
        <w:rPr>
          <w:bCs/>
          <w:lang w:eastAsia="nl-NL"/>
        </w:rPr>
        <w:t xml:space="preserve"> IHSM, </w:t>
      </w:r>
      <w:r w:rsidRPr="00B740E5">
        <w:t>CSIC</w:t>
      </w:r>
      <w:r w:rsidRPr="00B740E5">
        <w:rPr>
          <w:bCs/>
          <w:lang w:eastAsia="nl-NL"/>
        </w:rPr>
        <w:t xml:space="preserve"> guillamon@eelm.csic.es or </w:t>
      </w:r>
      <w:r w:rsidRPr="00B740E5">
        <w:t>INIA cardaba@inia.es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DE5973" w:rsidRDefault="00DE59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83" w:rsidRDefault="00F56683" w:rsidP="006655D3">
      <w:r>
        <w:separator/>
      </w:r>
    </w:p>
    <w:p w:rsidR="00F56683" w:rsidRDefault="00F56683" w:rsidP="006655D3"/>
    <w:p w:rsidR="00F56683" w:rsidRDefault="00F56683" w:rsidP="006655D3"/>
  </w:endnote>
  <w:endnote w:type="continuationSeparator" w:id="0">
    <w:p w:rsidR="00F56683" w:rsidRDefault="00F56683" w:rsidP="006655D3">
      <w:r>
        <w:separator/>
      </w:r>
    </w:p>
    <w:p w:rsidR="00F56683" w:rsidRPr="00294751" w:rsidRDefault="00F5668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56683" w:rsidRPr="00294751" w:rsidRDefault="00F56683" w:rsidP="006655D3">
      <w:pPr>
        <w:rPr>
          <w:lang w:val="fr-FR"/>
        </w:rPr>
      </w:pPr>
    </w:p>
    <w:p w:rsidR="00F56683" w:rsidRPr="00294751" w:rsidRDefault="00F56683" w:rsidP="006655D3">
      <w:pPr>
        <w:rPr>
          <w:lang w:val="fr-FR"/>
        </w:rPr>
      </w:pPr>
    </w:p>
  </w:endnote>
  <w:endnote w:type="continuationNotice" w:id="1">
    <w:p w:rsidR="00F56683" w:rsidRPr="00294751" w:rsidRDefault="00F5668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56683" w:rsidRPr="00294751" w:rsidRDefault="00F56683" w:rsidP="006655D3">
      <w:pPr>
        <w:rPr>
          <w:lang w:val="fr-FR"/>
        </w:rPr>
      </w:pPr>
    </w:p>
    <w:p w:rsidR="00F56683" w:rsidRPr="00294751" w:rsidRDefault="00F5668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83" w:rsidRDefault="00F56683" w:rsidP="006655D3">
      <w:r>
        <w:separator/>
      </w:r>
    </w:p>
  </w:footnote>
  <w:footnote w:type="continuationSeparator" w:id="0">
    <w:p w:rsidR="00F56683" w:rsidRDefault="00F56683" w:rsidP="006655D3">
      <w:r>
        <w:separator/>
      </w:r>
    </w:p>
  </w:footnote>
  <w:footnote w:type="continuationNotice" w:id="1">
    <w:p w:rsidR="00F56683" w:rsidRPr="00AB530F" w:rsidRDefault="00F56683" w:rsidP="00AB530F">
      <w:pPr>
        <w:pStyle w:val="Footer"/>
      </w:pPr>
    </w:p>
  </w:footnote>
  <w:footnote w:id="2">
    <w:p w:rsidR="00872310" w:rsidRPr="00CF2D1E" w:rsidRDefault="00872310" w:rsidP="00872310">
      <w:pPr>
        <w:pStyle w:val="ListParagraph"/>
        <w:spacing w:after="200" w:line="276" w:lineRule="auto"/>
        <w:ind w:left="0"/>
        <w:rPr>
          <w:rFonts w:cs="Arial"/>
          <w:lang w:val="fr-CH"/>
        </w:rPr>
      </w:pPr>
      <w:r>
        <w:rPr>
          <w:rStyle w:val="FootnoteReference"/>
        </w:rPr>
        <w:footnoteRef/>
      </w:r>
      <w:r w:rsidRPr="00CF2D1E">
        <w:rPr>
          <w:lang w:val="fr-CH"/>
        </w:rPr>
        <w:t xml:space="preserve"> </w:t>
      </w:r>
      <w:r w:rsidRPr="00872310">
        <w:rPr>
          <w:rFonts w:cs="Tahoma"/>
          <w:bCs/>
          <w:szCs w:val="18"/>
          <w:lang w:val="fr-CH"/>
        </w:rPr>
        <w:t xml:space="preserve">Quelle des </w:t>
      </w:r>
      <w:proofErr w:type="spellStart"/>
      <w:r w:rsidRPr="00872310">
        <w:rPr>
          <w:rFonts w:cs="Tahoma"/>
          <w:bCs/>
          <w:szCs w:val="18"/>
          <w:lang w:val="fr-CH"/>
        </w:rPr>
        <w:t>Inokulums</w:t>
      </w:r>
      <w:proofErr w:type="spellEnd"/>
      <w:r w:rsidRPr="00CF2D1E">
        <w:rPr>
          <w:rFonts w:cs="Arial"/>
          <w:lang w:val="fr-CH"/>
        </w:rPr>
        <w:t>; HMS UMA (CSIC) edu_rodri@uma.es; INIA Cardaba@inia.es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202E38" w:rsidRDefault="00C53EB3" w:rsidP="00EB048E">
    <w:pPr>
      <w:pStyle w:val="Header"/>
      <w:rPr>
        <w:rStyle w:val="PageNumber"/>
      </w:rPr>
    </w:pPr>
    <w:r w:rsidRPr="00202E38">
      <w:rPr>
        <w:rStyle w:val="PageNumber"/>
      </w:rPr>
      <w:t>TC/53</w:t>
    </w:r>
    <w:r w:rsidR="00667404" w:rsidRPr="00202E38">
      <w:rPr>
        <w:rStyle w:val="PageNumber"/>
      </w:rPr>
      <w:t>/</w:t>
    </w:r>
    <w:r w:rsidR="00872310">
      <w:rPr>
        <w:rStyle w:val="PageNumber"/>
      </w:rPr>
      <w:t>27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6700A5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97A"/>
    <w:multiLevelType w:val="multilevel"/>
    <w:tmpl w:val="2D7A2358"/>
    <w:lvl w:ilvl="0">
      <w:start w:val="1"/>
      <w:numFmt w:val="lowerRoman"/>
      <w:lvlText w:val="%1)"/>
      <w:lvlJc w:val="right"/>
      <w:pPr>
        <w:ind w:left="1854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">
    <w:nsid w:val="74C173A3"/>
    <w:multiLevelType w:val="multilevel"/>
    <w:tmpl w:val="0C0479FA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8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00A5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72310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1AD9"/>
    <w:rsid w:val="00B224DE"/>
    <w:rsid w:val="00B324D4"/>
    <w:rsid w:val="00B46575"/>
    <w:rsid w:val="00B61777"/>
    <w:rsid w:val="00B84BBD"/>
    <w:rsid w:val="00B90D6F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3051"/>
    <w:rsid w:val="00F560F7"/>
    <w:rsid w:val="00F56683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99"/>
    <w:qFormat/>
    <w:rsid w:val="0087231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8723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72310"/>
    <w:pPr>
      <w:spacing w:before="80" w:after="80"/>
      <w:jc w:val="left"/>
    </w:pPr>
    <w:rPr>
      <w:sz w:val="16"/>
      <w:lang w:val="en-US"/>
    </w:rPr>
  </w:style>
  <w:style w:type="paragraph" w:customStyle="1" w:styleId="Normaltb">
    <w:name w:val="Normaltb"/>
    <w:basedOn w:val="Normalt"/>
    <w:rsid w:val="00872310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99"/>
    <w:qFormat/>
    <w:rsid w:val="00872310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8723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72310"/>
    <w:pPr>
      <w:spacing w:before="80" w:after="80"/>
      <w:jc w:val="left"/>
    </w:pPr>
    <w:rPr>
      <w:sz w:val="16"/>
      <w:lang w:val="en-US"/>
    </w:rPr>
  </w:style>
  <w:style w:type="paragraph" w:customStyle="1" w:styleId="Normaltb">
    <w:name w:val="Normaltb"/>
    <w:basedOn w:val="Normalt"/>
    <w:rsid w:val="00872310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TC_53_DE</Template>
  <TotalTime>5</TotalTime>
  <Pages>5</Pages>
  <Words>1354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6</cp:revision>
  <cp:lastPrinted>2016-11-22T15:41:00Z</cp:lastPrinted>
  <dcterms:created xsi:type="dcterms:W3CDTF">2017-03-07T11:42:00Z</dcterms:created>
  <dcterms:modified xsi:type="dcterms:W3CDTF">2017-03-10T08:32:00Z</dcterms:modified>
</cp:coreProperties>
</file>