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7C4C95" w:rsidRDefault="00EB4E9C" w:rsidP="00AC2883">
            <w:pPr>
              <w:pStyle w:val="Sessiontc"/>
              <w:spacing w:line="240" w:lineRule="auto"/>
            </w:pPr>
            <w:r>
              <w:t>Technischer Ausschuss</w:t>
            </w:r>
          </w:p>
          <w:p w:rsidR="00EB4E9C" w:rsidRPr="007C4C95" w:rsidRDefault="00EB4E9C" w:rsidP="00AC2883">
            <w:pPr>
              <w:pStyle w:val="Sessiontcplacedate"/>
              <w:rPr>
                <w:sz w:val="22"/>
              </w:rPr>
            </w:pPr>
            <w:r>
              <w:t>Dreiundfünfzigste Tagung</w:t>
            </w:r>
            <w:r>
              <w:br/>
              <w:t>Genf, 3. bis 5. April 2017</w:t>
            </w:r>
          </w:p>
        </w:tc>
        <w:tc>
          <w:tcPr>
            <w:tcW w:w="3127" w:type="dxa"/>
          </w:tcPr>
          <w:p w:rsidR="00EB4E9C" w:rsidRPr="007C4C95" w:rsidRDefault="00947D5C" w:rsidP="003C7FBE">
            <w:pPr>
              <w:pStyle w:val="Doccode"/>
            </w:pPr>
            <w:r>
              <w:t>TC/53/23</w:t>
            </w:r>
          </w:p>
          <w:p w:rsidR="00EB4E9C" w:rsidRPr="007C4C95" w:rsidRDefault="00EB4E9C" w:rsidP="003C7FBE">
            <w:pPr>
              <w:pStyle w:val="Docoriginal"/>
            </w:pPr>
            <w:r>
              <w:t>Original:</w:t>
            </w:r>
            <w:r>
              <w:rPr>
                <w:b w:val="0"/>
                <w:spacing w:val="0"/>
              </w:rPr>
              <w:t xml:space="preserve">  englisch</w:t>
            </w:r>
          </w:p>
          <w:p w:rsidR="00EB4E9C" w:rsidRPr="007C1D92" w:rsidRDefault="00EB4E9C" w:rsidP="00F012FA">
            <w:pPr>
              <w:pStyle w:val="Docoriginal"/>
            </w:pPr>
            <w:r>
              <w:t>Datu</w:t>
            </w:r>
            <w:r w:rsidRPr="006D69B5">
              <w:t>m:</w:t>
            </w:r>
            <w:r w:rsidRPr="006D69B5">
              <w:rPr>
                <w:b w:val="0"/>
                <w:spacing w:val="0"/>
              </w:rPr>
              <w:t xml:space="preserve">   11. Februar 2017</w:t>
            </w:r>
          </w:p>
        </w:tc>
      </w:tr>
    </w:tbl>
    <w:p w:rsidR="000D7780" w:rsidRPr="00212D71" w:rsidRDefault="00947D5C" w:rsidP="00417A9C">
      <w:pPr>
        <w:pStyle w:val="Titleofdoc0"/>
        <w:tabs>
          <w:tab w:val="left" w:pos="5760"/>
        </w:tabs>
      </w:pPr>
      <w:bookmarkStart w:id="0" w:name="TitleOfDoc"/>
      <w:bookmarkEnd w:id="0"/>
      <w:r>
        <w:t>Entwicklung berechneter S</w:t>
      </w:r>
      <w:r w:rsidR="008E4778">
        <w:t>chwellenwerte für die AusschlieSS</w:t>
      </w:r>
      <w:r>
        <w:t>ung allgemein bekannter Sorten von der zweiten Wachstumsperiode bei Anwendung von COYD</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2779E8" w:rsidRDefault="002779E8" w:rsidP="006D69B5">
      <w:pPr>
        <w:pStyle w:val="Heading1"/>
      </w:pPr>
      <w:bookmarkStart w:id="2" w:name="_Toc475971473"/>
      <w:r>
        <w:t>ZUSAMMENFASSUNG</w:t>
      </w:r>
      <w:bookmarkEnd w:id="2"/>
    </w:p>
    <w:p w:rsidR="002779E8" w:rsidRDefault="002779E8" w:rsidP="002B5749"/>
    <w:p w:rsidR="002B5749" w:rsidRDefault="002B5749" w:rsidP="002B5749">
      <w:r>
        <w:fldChar w:fldCharType="begin"/>
      </w:r>
      <w:r>
        <w:instrText xml:space="preserve"> AUTONUM  </w:instrText>
      </w:r>
      <w:r>
        <w:fldChar w:fldCharType="end"/>
      </w:r>
      <w:r>
        <w:tab/>
        <w:t>Zweck dieses Dokuments ist es, über Entwicklungen betreffend die Entwicklung berechneter Schwellenwerte für die Ausschließung allgemein bekannter Sorten von der zweiten Wachstumsperiode bei Anwendung von COYD zu berichten.</w:t>
      </w:r>
    </w:p>
    <w:p w:rsidR="002B5749" w:rsidRDefault="002B5749" w:rsidP="002B5749"/>
    <w:p w:rsidR="00EA41E2" w:rsidRPr="00EA41E2" w:rsidRDefault="00EA41E2" w:rsidP="00EA41E2">
      <w:pPr>
        <w:tabs>
          <w:tab w:val="left" w:pos="567"/>
          <w:tab w:val="left" w:pos="1134"/>
          <w:tab w:val="left" w:pos="5387"/>
        </w:tabs>
      </w:pPr>
      <w:r w:rsidRPr="00EA41E2">
        <w:fldChar w:fldCharType="begin"/>
      </w:r>
      <w:r w:rsidRPr="00EA41E2">
        <w:instrText xml:space="preserve"> AUTONUM  </w:instrText>
      </w:r>
      <w:r w:rsidRPr="00EA41E2">
        <w:fldChar w:fldCharType="end"/>
      </w:r>
      <w:r>
        <w:tab/>
        <w:t>Der TC wird ersucht:</w:t>
      </w:r>
    </w:p>
    <w:p w:rsidR="00EA41E2" w:rsidRPr="00EA41E2" w:rsidRDefault="00EA41E2" w:rsidP="00EA41E2">
      <w:pPr>
        <w:tabs>
          <w:tab w:val="left" w:pos="567"/>
          <w:tab w:val="left" w:pos="1134"/>
        </w:tabs>
      </w:pPr>
    </w:p>
    <w:p w:rsidR="00EA41E2" w:rsidRPr="00EA41E2" w:rsidRDefault="00EA41E2" w:rsidP="00EA41E2">
      <w:pPr>
        <w:tabs>
          <w:tab w:val="left" w:pos="567"/>
          <w:tab w:val="left" w:pos="1134"/>
          <w:tab w:val="left" w:pos="5954"/>
        </w:tabs>
        <w:ind w:firstLine="567"/>
      </w:pPr>
      <w:r>
        <w:t>a)</w:t>
      </w:r>
      <w:r>
        <w:tab/>
        <w:t xml:space="preserve">die von Sachverständigen aus dem Vereinigten Königreich erteilten Informationen, wie in der Anlage dieses Dokuments wiedergegeben, zu prüfen; </w:t>
      </w:r>
    </w:p>
    <w:p w:rsidR="00EA41E2" w:rsidRPr="00EA41E2" w:rsidRDefault="00EA41E2" w:rsidP="00EA41E2">
      <w:pPr>
        <w:tabs>
          <w:tab w:val="left" w:pos="567"/>
          <w:tab w:val="left" w:pos="1134"/>
          <w:tab w:val="left" w:pos="5954"/>
        </w:tabs>
        <w:ind w:firstLine="567"/>
      </w:pPr>
    </w:p>
    <w:p w:rsidR="00EA41E2" w:rsidRPr="00EA41E2" w:rsidRDefault="00EA41E2" w:rsidP="00EA41E2">
      <w:pPr>
        <w:tabs>
          <w:tab w:val="left" w:pos="567"/>
          <w:tab w:val="left" w:pos="1134"/>
          <w:tab w:val="left" w:pos="5954"/>
        </w:tabs>
        <w:ind w:firstLine="567"/>
      </w:pPr>
      <w:r>
        <w:t>b)</w:t>
      </w:r>
      <w:r>
        <w:tab/>
        <w:t>zur Kenntnis zu nehmen, daß vorgeschlagen wird, der TWC auf ihrer fünfunddreißigsten Tagung über weitere Entwicklungen zu berechneten Schwellenwerten für die Ausschließung allgemein bekannter Sorten von der zweiten Wachstumsperiode bei Anwendung von COYD zu berichten; und</w:t>
      </w:r>
    </w:p>
    <w:p w:rsidR="00EA41E2" w:rsidRPr="00EA41E2" w:rsidRDefault="00EA41E2" w:rsidP="00EA41E2">
      <w:pPr>
        <w:tabs>
          <w:tab w:val="left" w:pos="567"/>
          <w:tab w:val="left" w:pos="1134"/>
          <w:tab w:val="left" w:pos="5954"/>
        </w:tabs>
        <w:ind w:firstLine="567"/>
      </w:pPr>
    </w:p>
    <w:p w:rsidR="00EA41E2" w:rsidRPr="00EA41E2" w:rsidRDefault="00EA41E2" w:rsidP="00EA41E2">
      <w:pPr>
        <w:tabs>
          <w:tab w:val="left" w:pos="567"/>
          <w:tab w:val="left" w:pos="1134"/>
          <w:tab w:val="left" w:pos="5954"/>
        </w:tabs>
        <w:ind w:firstLine="567"/>
      </w:pPr>
      <w:r>
        <w:t>c)</w:t>
      </w:r>
      <w:r>
        <w:tab/>
        <w:t xml:space="preserve">zur Kenntnis zu nehmen, daß die Sachverständigen aus dem Vereinigten Königreich auf der dreiundfünfzigsten Tagung des Technischen Ausschusses ein Referat über die Ausschließung allgemein bekannter Sorten von der zweiten Wachstumsperiode bei Anwendung von COYD halten werden. </w:t>
      </w:r>
    </w:p>
    <w:p w:rsidR="006D69B5" w:rsidRDefault="006D69B5" w:rsidP="00B016B2">
      <w:pPr>
        <w:keepNext/>
        <w:rPr>
          <w:rFonts w:cs="Arial"/>
          <w:snapToGrid w:val="0"/>
        </w:rPr>
      </w:pPr>
    </w:p>
    <w:p w:rsidR="00B016B2" w:rsidRDefault="00B016B2" w:rsidP="00B016B2">
      <w:pPr>
        <w:keepNext/>
        <w:rPr>
          <w:rFonts w:cs="Arial"/>
          <w:snapToGrid w:val="0"/>
        </w:rPr>
      </w:pPr>
      <w:r w:rsidRPr="00715FDF">
        <w:rPr>
          <w:rFonts w:cs="Arial"/>
          <w:snapToGrid w:val="0"/>
        </w:rPr>
        <w:fldChar w:fldCharType="begin"/>
      </w:r>
      <w:r w:rsidRPr="00715FDF">
        <w:rPr>
          <w:rFonts w:cs="Arial"/>
          <w:snapToGrid w:val="0"/>
        </w:rPr>
        <w:instrText xml:space="preserve"> AUTONUM  </w:instrText>
      </w:r>
      <w:r w:rsidRPr="00715FDF">
        <w:rPr>
          <w:rFonts w:cs="Arial"/>
          <w:snapToGrid w:val="0"/>
        </w:rPr>
        <w:fldChar w:fldCharType="end"/>
      </w:r>
      <w:r>
        <w:tab/>
        <w:t>Der Aufbau dieses Dokuments ist wie folgt:</w:t>
      </w:r>
    </w:p>
    <w:p w:rsidR="00B016B2" w:rsidRPr="00715FDF" w:rsidRDefault="00B016B2" w:rsidP="00B016B2">
      <w:pPr>
        <w:keepNext/>
        <w:rPr>
          <w:rFonts w:cs="Arial"/>
          <w:snapToGrid w:val="0"/>
        </w:rPr>
      </w:pPr>
    </w:p>
    <w:bookmarkStart w:id="3" w:name="_GoBack"/>
    <w:bookmarkEnd w:id="3"/>
    <w:p w:rsidR="003D64A9" w:rsidRDefault="00B016B2">
      <w:pPr>
        <w:pStyle w:val="TOC1"/>
        <w:rPr>
          <w:rFonts w:asciiTheme="minorHAnsi" w:eastAsiaTheme="minorEastAsia" w:hAnsiTheme="minorHAnsi" w:cstheme="minorBidi"/>
          <w:caps w:val="0"/>
          <w:noProof/>
          <w:sz w:val="22"/>
          <w:szCs w:val="22"/>
          <w:lang w:val="en-US" w:eastAsia="en-US" w:bidi="ar-SA"/>
        </w:rPr>
      </w:pPr>
      <w:r w:rsidRPr="002E2875">
        <w:rPr>
          <w:rFonts w:cs="Arial"/>
          <w:bCs/>
          <w:snapToGrid w:val="0"/>
          <w:sz w:val="18"/>
          <w:highlight w:val="yellow"/>
        </w:rPr>
        <w:fldChar w:fldCharType="begin"/>
      </w:r>
      <w:r w:rsidRPr="002E2875">
        <w:rPr>
          <w:rFonts w:cs="Arial"/>
          <w:bCs/>
          <w:snapToGrid w:val="0"/>
          <w:sz w:val="18"/>
          <w:highlight w:val="yellow"/>
        </w:rPr>
        <w:instrText xml:space="preserve"> TOC \o "1-3" \h \z \u </w:instrText>
      </w:r>
      <w:r w:rsidRPr="002E2875">
        <w:rPr>
          <w:rFonts w:cs="Arial"/>
          <w:bCs/>
          <w:snapToGrid w:val="0"/>
          <w:sz w:val="18"/>
          <w:highlight w:val="yellow"/>
        </w:rPr>
        <w:fldChar w:fldCharType="separate"/>
      </w:r>
      <w:hyperlink w:anchor="_Toc475971473" w:history="1">
        <w:r w:rsidR="003D64A9" w:rsidRPr="007C2C43">
          <w:rPr>
            <w:rStyle w:val="Hyperlink"/>
            <w:noProof/>
          </w:rPr>
          <w:t>ZUSAMMENFASSUNG</w:t>
        </w:r>
        <w:r w:rsidR="003D64A9">
          <w:rPr>
            <w:noProof/>
            <w:webHidden/>
          </w:rPr>
          <w:tab/>
        </w:r>
        <w:r w:rsidR="003D64A9">
          <w:rPr>
            <w:noProof/>
            <w:webHidden/>
          </w:rPr>
          <w:fldChar w:fldCharType="begin"/>
        </w:r>
        <w:r w:rsidR="003D64A9">
          <w:rPr>
            <w:noProof/>
            <w:webHidden/>
          </w:rPr>
          <w:instrText xml:space="preserve"> PAGEREF _Toc475971473 \h </w:instrText>
        </w:r>
        <w:r w:rsidR="003D64A9">
          <w:rPr>
            <w:noProof/>
            <w:webHidden/>
          </w:rPr>
        </w:r>
        <w:r w:rsidR="003D64A9">
          <w:rPr>
            <w:noProof/>
            <w:webHidden/>
          </w:rPr>
          <w:fldChar w:fldCharType="separate"/>
        </w:r>
        <w:r w:rsidR="003D64A9">
          <w:rPr>
            <w:noProof/>
            <w:webHidden/>
          </w:rPr>
          <w:t>1</w:t>
        </w:r>
        <w:r w:rsidR="003D64A9">
          <w:rPr>
            <w:noProof/>
            <w:webHidden/>
          </w:rPr>
          <w:fldChar w:fldCharType="end"/>
        </w:r>
      </w:hyperlink>
    </w:p>
    <w:p w:rsidR="003D64A9" w:rsidRDefault="003D64A9">
      <w:pPr>
        <w:pStyle w:val="TOC1"/>
        <w:rPr>
          <w:rFonts w:asciiTheme="minorHAnsi" w:eastAsiaTheme="minorEastAsia" w:hAnsiTheme="minorHAnsi" w:cstheme="minorBidi"/>
          <w:caps w:val="0"/>
          <w:noProof/>
          <w:sz w:val="22"/>
          <w:szCs w:val="22"/>
          <w:lang w:val="en-US" w:eastAsia="en-US" w:bidi="ar-SA"/>
        </w:rPr>
      </w:pPr>
      <w:hyperlink w:anchor="_Toc475971474" w:history="1">
        <w:r w:rsidRPr="007C2C43">
          <w:rPr>
            <w:rStyle w:val="Hyperlink"/>
            <w:noProof/>
          </w:rPr>
          <w:t>Hintergrund</w:t>
        </w:r>
        <w:r>
          <w:rPr>
            <w:noProof/>
            <w:webHidden/>
          </w:rPr>
          <w:tab/>
        </w:r>
        <w:r>
          <w:rPr>
            <w:noProof/>
            <w:webHidden/>
          </w:rPr>
          <w:fldChar w:fldCharType="begin"/>
        </w:r>
        <w:r>
          <w:rPr>
            <w:noProof/>
            <w:webHidden/>
          </w:rPr>
          <w:instrText xml:space="preserve"> PAGEREF _Toc475971474 \h </w:instrText>
        </w:r>
        <w:r>
          <w:rPr>
            <w:noProof/>
            <w:webHidden/>
          </w:rPr>
        </w:r>
        <w:r>
          <w:rPr>
            <w:noProof/>
            <w:webHidden/>
          </w:rPr>
          <w:fldChar w:fldCharType="separate"/>
        </w:r>
        <w:r>
          <w:rPr>
            <w:noProof/>
            <w:webHidden/>
          </w:rPr>
          <w:t>2</w:t>
        </w:r>
        <w:r>
          <w:rPr>
            <w:noProof/>
            <w:webHidden/>
          </w:rPr>
          <w:fldChar w:fldCharType="end"/>
        </w:r>
      </w:hyperlink>
    </w:p>
    <w:p w:rsidR="003D64A9" w:rsidRDefault="003D64A9">
      <w:pPr>
        <w:pStyle w:val="TOC1"/>
        <w:rPr>
          <w:rFonts w:asciiTheme="minorHAnsi" w:eastAsiaTheme="minorEastAsia" w:hAnsiTheme="minorHAnsi" w:cstheme="minorBidi"/>
          <w:caps w:val="0"/>
          <w:noProof/>
          <w:sz w:val="22"/>
          <w:szCs w:val="22"/>
          <w:lang w:val="en-US" w:eastAsia="en-US" w:bidi="ar-SA"/>
        </w:rPr>
      </w:pPr>
      <w:hyperlink w:anchor="_Toc475971475" w:history="1">
        <w:r w:rsidRPr="007C2C43">
          <w:rPr>
            <w:rStyle w:val="Hyperlink"/>
            <w:noProof/>
          </w:rPr>
          <w:t>Technische Arbeitsgruppe für Automatisierung und Computerprogramme</w:t>
        </w:r>
        <w:r>
          <w:rPr>
            <w:noProof/>
            <w:webHidden/>
          </w:rPr>
          <w:tab/>
        </w:r>
        <w:r>
          <w:rPr>
            <w:noProof/>
            <w:webHidden/>
          </w:rPr>
          <w:fldChar w:fldCharType="begin"/>
        </w:r>
        <w:r>
          <w:rPr>
            <w:noProof/>
            <w:webHidden/>
          </w:rPr>
          <w:instrText xml:space="preserve"> PAGEREF _Toc475971475 \h </w:instrText>
        </w:r>
        <w:r>
          <w:rPr>
            <w:noProof/>
            <w:webHidden/>
          </w:rPr>
        </w:r>
        <w:r>
          <w:rPr>
            <w:noProof/>
            <w:webHidden/>
          </w:rPr>
          <w:fldChar w:fldCharType="separate"/>
        </w:r>
        <w:r>
          <w:rPr>
            <w:noProof/>
            <w:webHidden/>
          </w:rPr>
          <w:t>2</w:t>
        </w:r>
        <w:r>
          <w:rPr>
            <w:noProof/>
            <w:webHidden/>
          </w:rPr>
          <w:fldChar w:fldCharType="end"/>
        </w:r>
      </w:hyperlink>
    </w:p>
    <w:p w:rsidR="00A8041A" w:rsidRPr="006D69B5" w:rsidRDefault="00B016B2" w:rsidP="006D69B5">
      <w:pPr>
        <w:autoSpaceDE w:val="0"/>
        <w:autoSpaceDN w:val="0"/>
        <w:adjustRightInd w:val="0"/>
        <w:ind w:left="993" w:hanging="993"/>
        <w:jc w:val="left"/>
        <w:rPr>
          <w:rFonts w:asciiTheme="minorHAnsi" w:eastAsiaTheme="minorEastAsia" w:hAnsiTheme="minorHAnsi" w:cstheme="minorBidi"/>
          <w:caps/>
          <w:noProof/>
          <w:sz w:val="22"/>
          <w:szCs w:val="22"/>
        </w:rPr>
      </w:pPr>
      <w:r w:rsidRPr="002E2875">
        <w:rPr>
          <w:noProof/>
          <w:snapToGrid w:val="0"/>
          <w:highlight w:val="yellow"/>
        </w:rPr>
        <w:fldChar w:fldCharType="end"/>
      </w:r>
      <w:r>
        <w:t>ANLAGE</w:t>
      </w:r>
      <w:r w:rsidR="008E4778">
        <w:t xml:space="preserve">: </w:t>
      </w:r>
      <w:r w:rsidR="006D69B5" w:rsidRPr="006D69B5">
        <w:rPr>
          <w:rFonts w:cs="Arial"/>
          <w:lang w:bidi="ar-SA"/>
        </w:rPr>
        <w:t>Ausschließung allgemein bekannter Sorten von der</w:t>
      </w:r>
      <w:r w:rsidR="006D69B5">
        <w:rPr>
          <w:rFonts w:cs="Arial"/>
          <w:lang w:bidi="ar-SA"/>
        </w:rPr>
        <w:t xml:space="preserve"> </w:t>
      </w:r>
      <w:r w:rsidR="006D69B5" w:rsidRPr="006D69B5">
        <w:rPr>
          <w:rFonts w:cs="Arial"/>
          <w:lang w:bidi="ar-SA"/>
        </w:rPr>
        <w:t>zweiten Wachstumsperiode bei Anwendung von COYD</w:t>
      </w:r>
    </w:p>
    <w:p w:rsidR="006D69B5" w:rsidRDefault="006D69B5" w:rsidP="00B016B2">
      <w:pPr>
        <w:rPr>
          <w:noProof/>
          <w:snapToGrid w:val="0"/>
        </w:rPr>
      </w:pPr>
    </w:p>
    <w:p w:rsidR="00B016B2" w:rsidRPr="005D437F" w:rsidRDefault="00B016B2" w:rsidP="00B016B2">
      <w:pPr>
        <w:rPr>
          <w:rFonts w:cs="Arial"/>
          <w:color w:val="000000"/>
        </w:rPr>
      </w:pPr>
      <w:r w:rsidRPr="005D437F">
        <w:fldChar w:fldCharType="begin"/>
      </w:r>
      <w:r w:rsidRPr="005D437F">
        <w:instrText xml:space="preserve"> AUTONUM  </w:instrText>
      </w:r>
      <w:r w:rsidRPr="005D437F">
        <w:fldChar w:fldCharType="end"/>
      </w:r>
      <w:r>
        <w:tab/>
        <w:t>In diesem Dokument werden folgende Abkürzungen verwendet:</w:t>
      </w:r>
    </w:p>
    <w:p w:rsidR="00B016B2" w:rsidRPr="005D437F" w:rsidRDefault="00B016B2" w:rsidP="00B016B2">
      <w:pPr>
        <w:rPr>
          <w:rFonts w:cs="Arial"/>
          <w:color w:val="000000"/>
        </w:rPr>
      </w:pPr>
    </w:p>
    <w:p w:rsidR="00B016B2" w:rsidRPr="005D437F" w:rsidRDefault="00B016B2" w:rsidP="00B016B2">
      <w:pPr>
        <w:rPr>
          <w:rFonts w:cs="Arial"/>
        </w:rPr>
      </w:pPr>
      <w:r>
        <w:tab/>
        <w:t>TC:</w:t>
      </w:r>
      <w:r>
        <w:tab/>
      </w:r>
      <w:r>
        <w:tab/>
        <w:t>Technischer Ausschuß</w:t>
      </w:r>
    </w:p>
    <w:p w:rsidR="00B016B2" w:rsidRPr="005D437F" w:rsidRDefault="00B016B2" w:rsidP="00B016B2">
      <w:pPr>
        <w:rPr>
          <w:rFonts w:eastAsia="PMingLiU" w:cs="Arial"/>
          <w:szCs w:val="24"/>
        </w:rPr>
      </w:pPr>
      <w:r>
        <w:tab/>
        <w:t>TWA:</w:t>
      </w:r>
      <w:r>
        <w:tab/>
      </w:r>
      <w:r>
        <w:tab/>
        <w:t>Technische Arbeitsgruppe für landwirtschaftliche Arten</w:t>
      </w:r>
    </w:p>
    <w:p w:rsidR="00B016B2" w:rsidRPr="005D437F" w:rsidRDefault="00B016B2" w:rsidP="00B016B2">
      <w:pPr>
        <w:rPr>
          <w:rFonts w:eastAsia="PMingLiU" w:cs="Arial"/>
          <w:szCs w:val="24"/>
        </w:rPr>
      </w:pPr>
      <w:r>
        <w:tab/>
        <w:t>TWC:</w:t>
      </w:r>
      <w:r>
        <w:tab/>
      </w:r>
      <w:r>
        <w:tab/>
        <w:t>Technische Arbeitsgruppe für Automatisierung und Computerprogramme</w:t>
      </w:r>
    </w:p>
    <w:p w:rsidR="00B016B2" w:rsidRPr="005D437F" w:rsidRDefault="00B016B2" w:rsidP="00B016B2">
      <w:pPr>
        <w:rPr>
          <w:rFonts w:eastAsia="PMingLiU" w:cs="Arial"/>
          <w:szCs w:val="24"/>
        </w:rPr>
      </w:pPr>
      <w:r>
        <w:tab/>
        <w:t xml:space="preserve">TWF: </w:t>
      </w:r>
      <w:r>
        <w:tab/>
      </w:r>
      <w:r>
        <w:tab/>
        <w:t>Technische Arbeitsgruppe für Obstarten</w:t>
      </w:r>
    </w:p>
    <w:p w:rsidR="00B016B2" w:rsidRPr="005D437F" w:rsidRDefault="00B016B2" w:rsidP="00B016B2">
      <w:pPr>
        <w:rPr>
          <w:rFonts w:eastAsia="PMingLiU" w:cs="Arial"/>
          <w:szCs w:val="24"/>
        </w:rPr>
      </w:pPr>
      <w:r>
        <w:tab/>
        <w:t>TWO:</w:t>
      </w:r>
      <w:r>
        <w:tab/>
      </w:r>
      <w:r>
        <w:tab/>
        <w:t>Technische Arbeitsgruppe für Zierpflanzen und forstliche Baumarten</w:t>
      </w:r>
    </w:p>
    <w:p w:rsidR="00B016B2" w:rsidRPr="005D437F" w:rsidRDefault="00B016B2" w:rsidP="00B016B2">
      <w:pPr>
        <w:rPr>
          <w:rFonts w:eastAsia="PMingLiU" w:cs="Arial"/>
          <w:szCs w:val="24"/>
        </w:rPr>
      </w:pPr>
      <w:r>
        <w:tab/>
        <w:t>TWP:</w:t>
      </w:r>
      <w:r>
        <w:tab/>
      </w:r>
      <w:r w:rsidR="00B831A1">
        <w:tab/>
      </w:r>
      <w:r>
        <w:t>Technische Arbeitsgruppen</w:t>
      </w:r>
    </w:p>
    <w:p w:rsidR="00B016B2" w:rsidRDefault="00B016B2" w:rsidP="00B016B2">
      <w:pPr>
        <w:rPr>
          <w:rFonts w:cs="Arial"/>
          <w:szCs w:val="24"/>
        </w:rPr>
      </w:pPr>
      <w:r>
        <w:tab/>
        <w:t>TWV:</w:t>
      </w:r>
      <w:r>
        <w:tab/>
      </w:r>
      <w:r>
        <w:tab/>
        <w:t>Technische Arbeitsgruppe für Gemüsearten</w:t>
      </w:r>
    </w:p>
    <w:p w:rsidR="006D69B5" w:rsidRDefault="006D69B5" w:rsidP="002B5749">
      <w:r>
        <w:br w:type="page"/>
      </w:r>
    </w:p>
    <w:p w:rsidR="00C6260C" w:rsidRDefault="00C6260C" w:rsidP="005F2E0A">
      <w:pPr>
        <w:pStyle w:val="Heading1"/>
      </w:pPr>
      <w:bookmarkStart w:id="4" w:name="_Toc474402265"/>
      <w:bookmarkStart w:id="5" w:name="_Toc475971474"/>
      <w:r>
        <w:lastRenderedPageBreak/>
        <w:t>Hintergrund</w:t>
      </w:r>
      <w:bookmarkEnd w:id="4"/>
      <w:bookmarkEnd w:id="5"/>
    </w:p>
    <w:p w:rsidR="00C6260C" w:rsidRDefault="00C6260C" w:rsidP="00332485">
      <w:pPr>
        <w:tabs>
          <w:tab w:val="left" w:pos="567"/>
        </w:tabs>
        <w:autoSpaceDE w:val="0"/>
        <w:autoSpaceDN w:val="0"/>
        <w:adjustRightInd w:val="0"/>
      </w:pPr>
    </w:p>
    <w:p w:rsidR="00332485" w:rsidRDefault="00C6260C" w:rsidP="00332485">
      <w:pPr>
        <w:tabs>
          <w:tab w:val="left" w:pos="567"/>
        </w:tabs>
        <w:autoSpaceDE w:val="0"/>
        <w:autoSpaceDN w:val="0"/>
        <w:adjustRightInd w:val="0"/>
        <w:rPr>
          <w:rFonts w:cs="Arial"/>
        </w:rPr>
      </w:pPr>
      <w:r>
        <w:fldChar w:fldCharType="begin"/>
      </w:r>
      <w:r>
        <w:instrText xml:space="preserve"> AUTONUM  </w:instrText>
      </w:r>
      <w:r>
        <w:fldChar w:fldCharType="end"/>
      </w:r>
      <w:r>
        <w:tab/>
        <w:t>Auf seiner zweiundfünfzigsten Tagung vom 14. bis 16. März 2016 in Genf prüfte der Technische Ausschuß Dokument TC/52/3 „Fragen, die von den Technischen Arbeitsgruppen aufgeworfen wurden“ und hörte einen mündlichen Bericht vom Vorsitzenden der Technischen Arbeitsgruppe für Automatisierung und Computerprogramme (TWC), daß ein Sachverständiger aus dem Vereinigten Königreich ein Referat über „Berechnete Schwellenwerte für die Ausschließung allgemein bekannter Sorten aus der zweiten Wachstumsperiode bei Verwendung von COYD“ (Dokument TWC/33/20) gehalten habe und daß die vorgeschlagene Methodik für quantitative Merkmale geeignet sein könnte und eine Verbesserung gegenüber einer zuvor beschriebenen Methode darstelle, da sie Variabilität beim COYD-Kriterium von Jahr zu Jahr berücksichtige</w:t>
      </w:r>
      <w:r w:rsidR="008E4778">
        <w:t xml:space="preserve">. </w:t>
      </w:r>
      <w:r w:rsidR="006D69B5">
        <w:t xml:space="preserve"> </w:t>
      </w:r>
      <w:r>
        <w:t>Die Methode wurde anhand eines umfangreichen Erbsen-Datensatzes veranschaulicht</w:t>
      </w:r>
      <w:r w:rsidR="008E4778">
        <w:t xml:space="preserve">. </w:t>
      </w:r>
      <w:r>
        <w:t>Der Sachverständige forderte mehr Beispielsdatensätze,</w:t>
      </w:r>
      <w:r w:rsidR="00B831A1">
        <w:t xml:space="preserve"> um die Methode weitergehend </w:t>
      </w:r>
      <w:r>
        <w:t>prüfen</w:t>
      </w:r>
      <w:r w:rsidR="00B831A1">
        <w:t xml:space="preserve"> zu können</w:t>
      </w:r>
      <w:r>
        <w:t xml:space="preserve"> (vergleiche Dokument TC/52/29 Rev. „</w:t>
      </w:r>
      <w:r w:rsidR="00995381">
        <w:t xml:space="preserve">Revidierter </w:t>
      </w:r>
      <w:r>
        <w:t>Bericht“, Absatz 36).</w:t>
      </w:r>
    </w:p>
    <w:p w:rsidR="00332485" w:rsidRDefault="00332485" w:rsidP="00332485">
      <w:pPr>
        <w:tabs>
          <w:tab w:val="left" w:pos="567"/>
        </w:tabs>
        <w:autoSpaceDE w:val="0"/>
        <w:autoSpaceDN w:val="0"/>
        <w:adjustRightInd w:val="0"/>
        <w:rPr>
          <w:rFonts w:cs="Arial"/>
        </w:rPr>
      </w:pPr>
    </w:p>
    <w:p w:rsidR="00C6260C" w:rsidRPr="0074496A" w:rsidRDefault="00C6260C" w:rsidP="00C6260C">
      <w:pPr>
        <w:rPr>
          <w:b/>
        </w:rPr>
      </w:pPr>
      <w:r w:rsidRPr="0074496A">
        <w:fldChar w:fldCharType="begin"/>
      </w:r>
      <w:r w:rsidRPr="0074496A">
        <w:instrText xml:space="preserve"> AUTONUM  </w:instrText>
      </w:r>
      <w:r w:rsidRPr="0074496A">
        <w:fldChar w:fldCharType="end"/>
      </w:r>
      <w:r>
        <w:tab/>
        <w:t>Der TC vereinbarte, Sachverständige der UPOV-Mitglieder zu ersuchen, dem Vereinigten Königreich Daten für die Entwicklung der Methodik für die Ausschließung allgemein bekannter Sorten von der zweiten Wachstumsperiode bei Anwendung von COYD bereitzustellen, wie in Absatz 6 von Dokument TC/52/3 dargelegt</w:t>
      </w:r>
      <w:r w:rsidR="008E4778">
        <w:t xml:space="preserve">. </w:t>
      </w:r>
      <w:r w:rsidR="006D69B5">
        <w:t xml:space="preserve"> </w:t>
      </w:r>
      <w:r>
        <w:t>Der TC nahm zur Kenntnis, daß das Verbandsbüro ein Rundschreiben mit Bitte um Datenbeiträge herausgeben werde.</w:t>
      </w:r>
    </w:p>
    <w:p w:rsidR="00C6260C" w:rsidRPr="0074496A" w:rsidRDefault="00C6260C" w:rsidP="00C6260C"/>
    <w:p w:rsidR="00C6260C" w:rsidRPr="0072050B" w:rsidRDefault="00C6260C" w:rsidP="00C6260C">
      <w:r w:rsidRPr="0074496A">
        <w:fldChar w:fldCharType="begin"/>
      </w:r>
      <w:r w:rsidRPr="0074496A">
        <w:instrText xml:space="preserve"> AUTONUM  </w:instrText>
      </w:r>
      <w:r w:rsidRPr="0074496A">
        <w:fldChar w:fldCharType="end"/>
      </w:r>
      <w:r>
        <w:tab/>
        <w:t xml:space="preserve">Der TC vereinbarte, die Entwicklung berechneter Schwellenwerte für die Ausschließung allgemein bekannter Sorten von der zweiten Wachstumsperiode bei Anwendung von COYD als Tagesordnungspunkt für die dreiundfünfzigste Tagung des TC auf der Grundlage eines Dokuments, das vom Vereinigten Königreich </w:t>
      </w:r>
      <w:r w:rsidR="00B831A1">
        <w:t>auszuarbeiten ist, aufzunehmen.</w:t>
      </w:r>
    </w:p>
    <w:p w:rsidR="00332485" w:rsidRPr="00683D9D" w:rsidRDefault="00332485" w:rsidP="00332485">
      <w:pPr>
        <w:tabs>
          <w:tab w:val="left" w:pos="567"/>
        </w:tabs>
        <w:autoSpaceDE w:val="0"/>
        <w:autoSpaceDN w:val="0"/>
        <w:adjustRightInd w:val="0"/>
        <w:rPr>
          <w:rFonts w:cs="Arial"/>
        </w:rPr>
      </w:pPr>
    </w:p>
    <w:p w:rsidR="00C6260C" w:rsidRDefault="001928F5" w:rsidP="00332485">
      <w:r>
        <w:fldChar w:fldCharType="begin"/>
      </w:r>
      <w:r>
        <w:instrText xml:space="preserve"> AUTONUM  </w:instrText>
      </w:r>
      <w:r>
        <w:fldChar w:fldCharType="end"/>
      </w:r>
      <w:r w:rsidR="00B831A1">
        <w:tab/>
        <w:t>Mit</w:t>
      </w:r>
      <w:r>
        <w:t xml:space="preserve"> einem am 13. April 2016 verschickten Rundschreiben wurden die TC- und TWP-Mitglieder dazu aufgefordert, dem Vereinigten Königreich zur Entwicklung der Methodik für die Ausschließung allgemein bekannter Sorten von der zweiten Wachstumsperiode bei Anwendung von COYD folgende Datensätze bereitzustellen (siehe Rundschreiben E-16/098).</w:t>
      </w:r>
    </w:p>
    <w:p w:rsidR="00C6260C" w:rsidRDefault="00C6260C" w:rsidP="00332485"/>
    <w:p w:rsidR="00680EB7" w:rsidRPr="005F2E0A" w:rsidRDefault="005F2E0A" w:rsidP="005F2E0A">
      <w:pPr>
        <w:pStyle w:val="Heading1"/>
      </w:pPr>
      <w:bookmarkStart w:id="6" w:name="_Toc474402266"/>
      <w:bookmarkStart w:id="7" w:name="_Toc475971475"/>
      <w:r>
        <w:t>Technische Arbeitsgruppe für Automatisierung und Computerprogramme</w:t>
      </w:r>
      <w:bookmarkEnd w:id="6"/>
      <w:bookmarkEnd w:id="7"/>
    </w:p>
    <w:p w:rsidR="005F2E0A" w:rsidRDefault="005F2E0A" w:rsidP="00332485"/>
    <w:p w:rsidR="005F2E0A" w:rsidRPr="00BB250F" w:rsidRDefault="005F2E0A" w:rsidP="005F2E0A">
      <w:r>
        <w:fldChar w:fldCharType="begin"/>
      </w:r>
      <w:r>
        <w:instrText xml:space="preserve"> AUTONUM  </w:instrText>
      </w:r>
      <w:r>
        <w:fldChar w:fldCharType="end"/>
      </w:r>
      <w:r>
        <w:tab/>
        <w:t>Die TWC nahm auf ihrer vierunddreißigsten Tagung in Shanghai, China, vom 6. bis 10. Juni 2016 die in Dokument TWC/34/8 „</w:t>
      </w:r>
      <w:r>
        <w:rPr>
          <w:i/>
        </w:rPr>
        <w:t>Excluding varieties of common knowledge from the second growing cycle when COYD is used</w:t>
      </w:r>
      <w:r>
        <w:t>” dargelegten Informationen zur Kenntnis (vergleiche Dokument TWC/34/32 „</w:t>
      </w:r>
      <w:r w:rsidRPr="00B831A1">
        <w:rPr>
          <w:i/>
        </w:rPr>
        <w:t>Report</w:t>
      </w:r>
      <w:r>
        <w:t>“, Absätze</w:t>
      </w:r>
      <w:r w:rsidR="006D69B5">
        <w:t> </w:t>
      </w:r>
      <w:r>
        <w:t>83 bis 85).</w:t>
      </w:r>
    </w:p>
    <w:p w:rsidR="005F2E0A" w:rsidRDefault="005F2E0A" w:rsidP="005F2E0A"/>
    <w:p w:rsidR="005F2E0A" w:rsidRDefault="005F2E0A" w:rsidP="005F2E0A">
      <w:r>
        <w:fldChar w:fldCharType="begin"/>
      </w:r>
      <w:r>
        <w:instrText xml:space="preserve"> AUTONUM  </w:instrText>
      </w:r>
      <w:r>
        <w:fldChar w:fldCharType="end"/>
      </w:r>
      <w:r>
        <w:tab/>
        <w:t>Die TWC hörte ein Referat von einem Sachverständigen aus dem Vereinigten Königreich über „berechnete Schwellenwerte für die Ausschließung allgemein bekannter Sorten von der zweiten Wachstumsperiode bei Anwendung von COYD“</w:t>
      </w:r>
      <w:r w:rsidR="00B831A1">
        <w:t>,</w:t>
      </w:r>
      <w:r>
        <w:t xml:space="preserve"> wovon eine Abschrift in der Anlage von Dokumen</w:t>
      </w:r>
      <w:r w:rsidR="006D69B5">
        <w:t> </w:t>
      </w:r>
      <w:r>
        <w:t xml:space="preserve"> TWC/34/8 Add. enthalten ist.</w:t>
      </w:r>
    </w:p>
    <w:p w:rsidR="005F2E0A" w:rsidRDefault="005F2E0A" w:rsidP="005F2E0A"/>
    <w:p w:rsidR="005F2E0A" w:rsidRDefault="005F2E0A" w:rsidP="005F2E0A">
      <w:r>
        <w:fldChar w:fldCharType="begin"/>
      </w:r>
      <w:r>
        <w:instrText xml:space="preserve"> AUTONUM  </w:instrText>
      </w:r>
      <w:r>
        <w:fldChar w:fldCharType="end"/>
      </w:r>
      <w:r>
        <w:tab/>
        <w:t>Die TWC nahm die Aufforderung zur Einreichung von Datensätzen von verschiedenen Pflanzen für die Entwicklung der Methode zur Kenntnis und begrüßte das Angebot aus Dänemark, Finnland, Deutschland und der Slowakei, Datensätze bereitzustellen</w:t>
      </w:r>
      <w:r w:rsidR="008E4778">
        <w:t xml:space="preserve">. </w:t>
      </w:r>
      <w:r>
        <w:t>Die TWC nahm zur Kenntnis, daß Software zur Berechnung von Schwellenwerten für die Ausschließung von Sorten entwickelt würde, um die Anwendung der Methode mit einer Möglichkeit, sie in die GAIA-Software zu integrieren, zu erleichtern.</w:t>
      </w:r>
    </w:p>
    <w:p w:rsidR="00522709" w:rsidRDefault="00522709" w:rsidP="005F2E0A"/>
    <w:p w:rsidR="002B5749" w:rsidRDefault="002B5749" w:rsidP="005F2E0A">
      <w:r>
        <w:fldChar w:fldCharType="begin"/>
      </w:r>
      <w:r>
        <w:instrText xml:space="preserve"> AUTONUM  </w:instrText>
      </w:r>
      <w:r>
        <w:fldChar w:fldCharType="end"/>
      </w:r>
      <w:r>
        <w:tab/>
        <w:t>Am 26. Januar 2017 wurde das Verbandsbüro vom Verfasser aus dem Vereinigten Königreich darüber informiert, daß der TWC auf ihrer fünfunddreißigsten Tagung vom 14. bis 17. November 2017 in Buenos</w:t>
      </w:r>
      <w:r w:rsidR="006D69B5">
        <w:t> </w:t>
      </w:r>
      <w:r>
        <w:t>Aires über we</w:t>
      </w:r>
      <w:r w:rsidR="006373FC">
        <w:t>itere Entwicklungen berichtet we</w:t>
      </w:r>
      <w:r>
        <w:t xml:space="preserve">rde. </w:t>
      </w:r>
    </w:p>
    <w:p w:rsidR="002B5749" w:rsidRDefault="002B5749" w:rsidP="005F2E0A"/>
    <w:p w:rsidR="009A087F" w:rsidRDefault="009A087F" w:rsidP="005F2E0A">
      <w:r>
        <w:fldChar w:fldCharType="begin"/>
      </w:r>
      <w:r>
        <w:instrText xml:space="preserve"> AUTONUM  </w:instrText>
      </w:r>
      <w:r>
        <w:fldChar w:fldCharType="end"/>
      </w:r>
      <w:r>
        <w:tab/>
        <w:t>Auf der dreiundfünfzigsten Tagung des Technischen Ausschusses vom 4. bis 6. April 2017 in Genf werden Sachverständige aus dem Vereinigten Königreich ein Referat über die Ausschließung allgemein bekannter Sorten von der zweiten Wachstumsperiode bei Anwendung von COYD halten, wovon eine Abschrift als Ergänzung zu diesem Dokument bereitgestellt werden wird.</w:t>
      </w:r>
    </w:p>
    <w:p w:rsidR="009A087F" w:rsidRDefault="009A087F" w:rsidP="005F2E0A"/>
    <w:p w:rsidR="002B5749" w:rsidRPr="00713FC4" w:rsidRDefault="00713FC4" w:rsidP="0063176E">
      <w:pPr>
        <w:tabs>
          <w:tab w:val="left" w:pos="5387"/>
        </w:tabs>
        <w:ind w:left="4820"/>
        <w:rPr>
          <w:i/>
        </w:rPr>
      </w:pPr>
      <w:r w:rsidRPr="00713FC4">
        <w:rPr>
          <w:i/>
        </w:rPr>
        <w:fldChar w:fldCharType="begin"/>
      </w:r>
      <w:r w:rsidRPr="00713FC4">
        <w:rPr>
          <w:i/>
        </w:rPr>
        <w:instrText xml:space="preserve"> AUTONUM  </w:instrText>
      </w:r>
      <w:r w:rsidRPr="00713FC4">
        <w:rPr>
          <w:i/>
        </w:rPr>
        <w:fldChar w:fldCharType="end"/>
      </w:r>
      <w:r>
        <w:tab/>
      </w:r>
      <w:r>
        <w:rPr>
          <w:i/>
        </w:rPr>
        <w:t>Der TC wird ersucht:</w:t>
      </w:r>
    </w:p>
    <w:p w:rsidR="00713FC4" w:rsidRPr="00713FC4" w:rsidRDefault="00713FC4" w:rsidP="00713FC4">
      <w:pPr>
        <w:ind w:left="4820"/>
        <w:rPr>
          <w:i/>
        </w:rPr>
      </w:pPr>
    </w:p>
    <w:p w:rsidR="00713FC4" w:rsidRPr="00713FC4" w:rsidRDefault="00713FC4" w:rsidP="0063176E">
      <w:pPr>
        <w:tabs>
          <w:tab w:val="left" w:pos="5954"/>
        </w:tabs>
        <w:ind w:left="4820" w:firstLine="567"/>
        <w:rPr>
          <w:i/>
        </w:rPr>
      </w:pPr>
      <w:r>
        <w:rPr>
          <w:i/>
        </w:rPr>
        <w:t>a)</w:t>
      </w:r>
      <w:r>
        <w:tab/>
      </w:r>
      <w:r>
        <w:rPr>
          <w:i/>
        </w:rPr>
        <w:t xml:space="preserve">die von Sachverständigen aus dem Vereinigten Königreich erteilten Informationen, wie in der Anlage dieses Dokuments wiedergegeben, zu prüfen; </w:t>
      </w:r>
    </w:p>
    <w:p w:rsidR="00713FC4" w:rsidRPr="00713FC4" w:rsidRDefault="00713FC4" w:rsidP="0063176E">
      <w:pPr>
        <w:tabs>
          <w:tab w:val="left" w:pos="5954"/>
        </w:tabs>
        <w:ind w:left="4820" w:firstLine="567"/>
        <w:rPr>
          <w:i/>
        </w:rPr>
      </w:pPr>
    </w:p>
    <w:p w:rsidR="00713FC4" w:rsidRDefault="00713FC4" w:rsidP="006042AC">
      <w:pPr>
        <w:tabs>
          <w:tab w:val="left" w:pos="5954"/>
        </w:tabs>
        <w:ind w:left="4820" w:firstLine="567"/>
        <w:rPr>
          <w:i/>
        </w:rPr>
      </w:pPr>
      <w:r>
        <w:rPr>
          <w:i/>
        </w:rPr>
        <w:t>b)</w:t>
      </w:r>
      <w:r>
        <w:tab/>
      </w:r>
      <w:r>
        <w:rPr>
          <w:i/>
        </w:rPr>
        <w:t>zur Kenntnis zu nehmen, daß vorgeschlagen wird, der TWC auf ihrer fünfunddreißigsten Tagung über weitere Entwicklungen zu berechneten Schwellenwerten für die Ausschließung allgemein bekannter Sorten von der zweiten Wachstumsperiode bei Anwendung von COYD zu berichten; und</w:t>
      </w:r>
    </w:p>
    <w:p w:rsidR="00EA41E2" w:rsidRDefault="00EA41E2" w:rsidP="006042AC">
      <w:pPr>
        <w:tabs>
          <w:tab w:val="left" w:pos="5954"/>
        </w:tabs>
        <w:ind w:left="4820" w:firstLine="567"/>
        <w:rPr>
          <w:i/>
        </w:rPr>
      </w:pPr>
    </w:p>
    <w:p w:rsidR="00EA41E2" w:rsidRPr="00713FC4" w:rsidRDefault="00EA41E2" w:rsidP="006042AC">
      <w:pPr>
        <w:tabs>
          <w:tab w:val="left" w:pos="5954"/>
        </w:tabs>
        <w:ind w:left="4820" w:firstLine="567"/>
        <w:rPr>
          <w:i/>
        </w:rPr>
      </w:pPr>
      <w:r>
        <w:rPr>
          <w:i/>
        </w:rPr>
        <w:t>c)</w:t>
      </w:r>
      <w:r>
        <w:tab/>
      </w:r>
      <w:r>
        <w:rPr>
          <w:i/>
        </w:rPr>
        <w:t xml:space="preserve">zur Kenntnis zu nehmen, daß die Sachverständigen aus dem Vereinigten Königreich auf der dreiundfünfzigsten Tagung des Technischen Ausschusses ein Referat über die Ausschließung allgemein bekannter Sorten von der zweiten Wachstumsperiode bei Anwendung von COYD halten werden. </w:t>
      </w:r>
    </w:p>
    <w:p w:rsidR="002B5749" w:rsidRDefault="002B5749" w:rsidP="005F2E0A"/>
    <w:p w:rsidR="002B5749" w:rsidRDefault="002B5749" w:rsidP="005F2E0A"/>
    <w:p w:rsidR="002E213A" w:rsidRDefault="002E213A" w:rsidP="005F2E0A"/>
    <w:p w:rsidR="0042059A" w:rsidRDefault="002E213A" w:rsidP="002B2439">
      <w:pPr>
        <w:jc w:val="right"/>
      </w:pPr>
      <w:r>
        <w:t>[Anlage folgt]</w:t>
      </w:r>
    </w:p>
    <w:p w:rsidR="0042059A" w:rsidRDefault="0042059A" w:rsidP="0042059A">
      <w:pPr>
        <w:sectPr w:rsidR="0042059A" w:rsidSect="00906DDC">
          <w:headerReference w:type="default" r:id="rId9"/>
          <w:pgSz w:w="11907" w:h="16840" w:code="9"/>
          <w:pgMar w:top="510" w:right="1134" w:bottom="1134" w:left="1134" w:header="510" w:footer="680" w:gutter="0"/>
          <w:cols w:space="720"/>
          <w:titlePg/>
        </w:sectPr>
      </w:pPr>
    </w:p>
    <w:p w:rsidR="0042059A" w:rsidRDefault="0042059A" w:rsidP="0042059A">
      <w:pPr>
        <w:jc w:val="center"/>
        <w:rPr>
          <w:caps/>
        </w:rPr>
      </w:pPr>
    </w:p>
    <w:p w:rsidR="0042059A" w:rsidRPr="0042059A" w:rsidRDefault="004C1748" w:rsidP="0042059A">
      <w:pPr>
        <w:jc w:val="center"/>
        <w:rPr>
          <w:caps/>
        </w:rPr>
      </w:pPr>
      <w:r>
        <w:rPr>
          <w:caps/>
        </w:rPr>
        <w:t>AusschlieSS</w:t>
      </w:r>
      <w:r w:rsidR="0042059A">
        <w:rPr>
          <w:caps/>
        </w:rPr>
        <w:t>ung allgemein bekannter Sorten von der zweiten Wachstumsperiode bei Anwendung von COYD</w:t>
      </w:r>
    </w:p>
    <w:p w:rsidR="0042059A" w:rsidRDefault="0042059A" w:rsidP="0042059A"/>
    <w:p w:rsidR="0042059A" w:rsidRPr="0042059A" w:rsidRDefault="0042059A" w:rsidP="0042059A"/>
    <w:p w:rsidR="00680EB7" w:rsidRPr="0042059A" w:rsidRDefault="00680EB7" w:rsidP="0042059A">
      <w:pPr>
        <w:rPr>
          <w:caps/>
        </w:rPr>
      </w:pPr>
      <w:r>
        <w:rPr>
          <w:caps/>
        </w:rPr>
        <w:t>Einleitung</w:t>
      </w:r>
    </w:p>
    <w:p w:rsidR="00680EB7" w:rsidRDefault="00680EB7" w:rsidP="00680EB7"/>
    <w:p w:rsidR="00680EB7" w:rsidRDefault="006042AC" w:rsidP="00680EB7">
      <w:r>
        <w:t>1.</w:t>
      </w:r>
      <w:r>
        <w:tab/>
        <w:t>Werden DUS-Prüfungen über zwei oder drei unabhängige Wachstumsperioden hinweg durchgeführt, so können die Ergebnisse nach der ersten Prüfungsperiode überprüft werden, um allgemein bekannte Sorten, die deutlich von der Kandidatensorte unterscheidbar sind, auszuschließen (vergleiche Dokument TGP/9 „Prüfung der Unterscheidbarkeit“)</w:t>
      </w:r>
      <w:r w:rsidR="008E4778">
        <w:t xml:space="preserve">. </w:t>
      </w:r>
      <w:r w:rsidR="006D69B5">
        <w:t xml:space="preserve"> </w:t>
      </w:r>
      <w:r>
        <w:t>Wird COYD für die Beurteilung der Unterscheidbarkeit eines Merkmales verwendet, so könnte es schwierig sein, dies aufgrund von Erfahrung effektiv zu tun und bisher wurde kein formeller Mechanismus beschrieben, der über solch frühzeitige Entscheidungen über Unterscheidbarkeit Auskunft geben könnte.</w:t>
      </w:r>
    </w:p>
    <w:p w:rsidR="00680EB7" w:rsidRDefault="00680EB7" w:rsidP="00680EB7"/>
    <w:p w:rsidR="00680EB7" w:rsidRDefault="006042AC" w:rsidP="00680EB7">
      <w:r>
        <w:t>2.</w:t>
      </w:r>
      <w:r>
        <w:tab/>
        <w:t>In Dokument TWC/33/20 Rev. wurde ein Ansatz vorgeschlagen</w:t>
      </w:r>
      <w:r w:rsidR="008E4778">
        <w:t xml:space="preserve">. </w:t>
      </w:r>
      <w:r>
        <w:t>Dieses Verfahren wurde gegenüber früheren Versionen um die Lockerung der Annahme, daß die Variation vo</w:t>
      </w:r>
      <w:r w:rsidR="006373FC">
        <w:t>n Sorte-x-Wachstumsperiode von Wachstumsperiode zu Wachstumsp</w:t>
      </w:r>
      <w:r>
        <w:t xml:space="preserve">eriode konstant ist, verbessert. </w:t>
      </w:r>
      <w:r w:rsidR="006D69B5">
        <w:t xml:space="preserve"> </w:t>
      </w:r>
      <w:r>
        <w:t xml:space="preserve">Dies ermöglicht die häufig beobachtete materielle Variation beim COYD-Kriterium von Wachstumsperiode zu Wachstumsperiode. </w:t>
      </w:r>
    </w:p>
    <w:p w:rsidR="00680EB7" w:rsidRDefault="00680EB7" w:rsidP="00680EB7"/>
    <w:p w:rsidR="00680EB7" w:rsidRDefault="006042AC" w:rsidP="00680EB7">
      <w:r>
        <w:t>3.</w:t>
      </w:r>
      <w:r>
        <w:tab/>
        <w:t>Dieses Dokument veranschaulicht die Anwendung der Methode auf einen Futtererbsen</w:t>
      </w:r>
      <w:r w:rsidR="006D69B5">
        <w:noBreakHyphen/>
      </w:r>
      <w:r>
        <w:t>DUS</w:t>
      </w:r>
      <w:r w:rsidR="006D69B5">
        <w:noBreakHyphen/>
      </w:r>
      <w:r>
        <w:t>Datensatz, die zeigt, wie vorteilhaft sie in der Praxis sein könnte.</w:t>
      </w:r>
    </w:p>
    <w:p w:rsidR="00680EB7" w:rsidRDefault="00680EB7" w:rsidP="00680EB7"/>
    <w:p w:rsidR="0042059A" w:rsidRDefault="0042059A" w:rsidP="00680EB7"/>
    <w:p w:rsidR="00680EB7" w:rsidRPr="0042059A" w:rsidRDefault="00680EB7" w:rsidP="0042059A">
      <w:pPr>
        <w:rPr>
          <w:caps/>
        </w:rPr>
      </w:pPr>
      <w:r>
        <w:rPr>
          <w:caps/>
        </w:rPr>
        <w:t>Überblick</w:t>
      </w:r>
    </w:p>
    <w:p w:rsidR="00680EB7" w:rsidRDefault="00680EB7" w:rsidP="00680EB7"/>
    <w:p w:rsidR="00680EB7" w:rsidRDefault="006042AC" w:rsidP="00680EB7">
      <w:r>
        <w:t>4.</w:t>
      </w:r>
      <w:r>
        <w:tab/>
        <w:t xml:space="preserve">Ziel dieses Ansatz ist, nach der ersten Prüfungsperiode zu ermitteln, welche allgemein bekannten Sorten so unterscheidbar von der Kandidatensorte sind, daß sie im zweiten Zyklus nicht verglichen werden müßen. </w:t>
      </w:r>
    </w:p>
    <w:p w:rsidR="00680EB7" w:rsidRDefault="00680EB7" w:rsidP="00680EB7"/>
    <w:p w:rsidR="00680EB7" w:rsidRDefault="009843A2" w:rsidP="00680EB7">
      <w:r>
        <w:t>5.</w:t>
      </w:r>
      <w:r>
        <w:tab/>
        <w:t>Dazu</w:t>
      </w:r>
      <w:r w:rsidR="006042AC">
        <w:t xml:space="preserve"> schätzen wir anhand der Ergebnisse aus der ersten Wachstumsperiode die Wahrscheinlichkeit, daß eine Kandidatensorte nach dem 2-Wachstumsperioden-COYD-Kriterium von einer bestimmten allgemein bekannten Sorten unterscheidbar wäre</w:t>
      </w:r>
      <w:r w:rsidR="008E4778">
        <w:t>.</w:t>
      </w:r>
      <w:r w:rsidR="006D69B5">
        <w:t xml:space="preserve"> </w:t>
      </w:r>
      <w:r w:rsidR="008E4778">
        <w:t xml:space="preserve"> </w:t>
      </w:r>
      <w:r w:rsidR="006042AC">
        <w:t>Ist die Wahrscheinlichkeit entsprechend groß, wird die Kandidatensorte als unterscheidbar von die</w:t>
      </w:r>
      <w:r w:rsidR="004C1748">
        <w:t>ser Sorte erklärt und muß in der zweiten Wachstumsperiode</w:t>
      </w:r>
      <w:r w:rsidR="006042AC">
        <w:t xml:space="preserve"> nicht verglichen werden. </w:t>
      </w:r>
    </w:p>
    <w:p w:rsidR="00680EB7" w:rsidRDefault="00680EB7" w:rsidP="00680EB7"/>
    <w:p w:rsidR="00680EB7" w:rsidRDefault="006042AC" w:rsidP="00680EB7">
      <w:r>
        <w:t>6.</w:t>
      </w:r>
      <w:r>
        <w:tab/>
        <w:t>Dieses Verfahren wird Merkmal für Merkmal verwendet. Zur Beurteilung der mit Messungen an einem bestimmten M</w:t>
      </w:r>
      <w:r w:rsidR="009843A2">
        <w:t>erkmal verbundenen Variabilität</w:t>
      </w:r>
      <w:r>
        <w:t xml:space="preserve"> benötigen wir Daten aus der Vergangenheit</w:t>
      </w:r>
      <w:r w:rsidR="008E4778">
        <w:t xml:space="preserve">. </w:t>
      </w:r>
      <w:r>
        <w:t>Der Ansatz könnte in Verbindung mit Verfahren wie GAIA verwendet werden, um einen „Unterscheidbarkeit plus“-Schwellenwert zu erzielen (vergleiche Dokument TGP/8 „Prüfungsanlage und Verfahren für die Prüfung von Unterscheidbarkeit, Homogenität und Beständigkeit“, Teil II: Ausgewählte Verfahren für die DUS-Prüfung, 1</w:t>
      </w:r>
      <w:r w:rsidR="006D69B5">
        <w:t> </w:t>
      </w:r>
      <w:r>
        <w:t>„Die GAIA-Methodik“).</w:t>
      </w:r>
    </w:p>
    <w:p w:rsidR="00680EB7" w:rsidRDefault="00680EB7" w:rsidP="00680EB7">
      <w:pPr>
        <w:jc w:val="left"/>
        <w:rPr>
          <w:caps/>
        </w:rPr>
      </w:pPr>
    </w:p>
    <w:p w:rsidR="0042059A" w:rsidRDefault="0042059A" w:rsidP="00680EB7">
      <w:pPr>
        <w:jc w:val="left"/>
        <w:rPr>
          <w:caps/>
        </w:rPr>
      </w:pPr>
    </w:p>
    <w:p w:rsidR="00680EB7" w:rsidRPr="0042059A" w:rsidRDefault="00680EB7" w:rsidP="0042059A">
      <w:pPr>
        <w:rPr>
          <w:caps/>
        </w:rPr>
      </w:pPr>
      <w:r>
        <w:rPr>
          <w:caps/>
        </w:rPr>
        <w:t>Das Verfahren in Kürze</w:t>
      </w:r>
    </w:p>
    <w:p w:rsidR="00680EB7" w:rsidRDefault="00680EB7" w:rsidP="00680EB7"/>
    <w:p w:rsidR="00680EB7" w:rsidRDefault="006042AC" w:rsidP="00680EB7">
      <w:r>
        <w:t>7.</w:t>
      </w:r>
      <w:r>
        <w:tab/>
        <w:t>Das Verfahren basiert auf der Be</w:t>
      </w:r>
      <w:r w:rsidR="006373FC">
        <w:t>rechnung der Wahrscheinlichkeit pD</w:t>
      </w:r>
      <w:r>
        <w:t xml:space="preserve"> daß eine Kandidatensorte nach dem 2</w:t>
      </w:r>
      <w:r>
        <w:noBreakHyphen/>
        <w:t>Wachstumsperioden-CO</w:t>
      </w:r>
      <w:r w:rsidR="009843A2">
        <w:t>YD-Kriterium unterscheidbar ist</w:t>
      </w:r>
      <w:r>
        <w:t>.</w:t>
      </w:r>
      <w:r w:rsidR="006D69B5">
        <w:t xml:space="preserve"> </w:t>
      </w:r>
      <w:r>
        <w:t xml:space="preserve"> Ist die Wahrscheinlichkeit entsprechend groß, wird die Kandidatensorte als unterscheidbar v</w:t>
      </w:r>
      <w:r w:rsidR="004C1748">
        <w:t xml:space="preserve">on dieser Sorte erklärt und </w:t>
      </w:r>
      <w:r>
        <w:t>muß in der zweiten Wachstumsperiode nicht verglichen werden</w:t>
      </w:r>
      <w:r w:rsidR="008E4778">
        <w:t xml:space="preserve">. </w:t>
      </w:r>
      <w:r w:rsidR="006D69B5">
        <w:t xml:space="preserve"> </w:t>
      </w:r>
      <w:r>
        <w:t xml:space="preserve">Dieses Verfahren kann umgekehrt werden, um Schwellenwerte für festgelegte Wahrscheinlichkeiten zu ermitteln. </w:t>
      </w:r>
    </w:p>
    <w:p w:rsidR="00680EB7" w:rsidRDefault="00680EB7" w:rsidP="00680EB7"/>
    <w:p w:rsidR="00680EB7" w:rsidRDefault="006042AC" w:rsidP="00680EB7">
      <w:r>
        <w:t>8.</w:t>
      </w:r>
      <w:r>
        <w:tab/>
        <w:t>Neben den Daten aus der ersten Periode der Anbauprüfung sind für das Verfahren Daten aus der Vergangenheit aus früheren DUS-Anbauprüfungen erforderlich. Es werden mindestens 10 Perioden von Anbauprüfungen benötigt  –</w:t>
      </w:r>
      <w:r w:rsidR="009843A2">
        <w:t xml:space="preserve"> mehr wären </w:t>
      </w:r>
      <w:r>
        <w:t>besser. Dies wird verwendet, um die Sorte</w:t>
      </w:r>
      <w:r w:rsidR="004C1748">
        <w:t>-x-Wachstumsperioden</w:t>
      </w:r>
      <w:r>
        <w:t>-Varianz für jedes Merkmal und, was ganz wichtig ist, ihre Variabilität (oder ihr Maß an Heterogen</w:t>
      </w:r>
      <w:r w:rsidR="004C1748">
        <w:t xml:space="preserve">ität) zu schätzen. </w:t>
      </w:r>
      <w:r w:rsidR="006D69B5">
        <w:t xml:space="preserve"> </w:t>
      </w:r>
      <w:r w:rsidR="004C1748">
        <w:t>Die Sorte-x-Wachstumsp</w:t>
      </w:r>
      <w:r>
        <w:t>erioden-Varianz ist grundlegender Bestandteil des COYD-Kriteriums (vergleiche Dokument TGP/8 „Prüfungsanlage und Verfahren für die Prüfung von Unterscheidbarkeit, Homogenität und Beständigkeit“).</w:t>
      </w:r>
    </w:p>
    <w:p w:rsidR="00680EB7" w:rsidRDefault="00680EB7" w:rsidP="00680EB7"/>
    <w:p w:rsidR="00680EB7" w:rsidRDefault="006042AC" w:rsidP="00680EB7">
      <w:r>
        <w:t>9.</w:t>
      </w:r>
      <w:r>
        <w:tab/>
        <w:t>Derzeit erforde</w:t>
      </w:r>
      <w:r w:rsidR="006373FC">
        <w:t>rt das Verfahren die Verwendung</w:t>
      </w:r>
      <w:r>
        <w:t xml:space="preserve"> statistischer Spezialsoftware für die Schätzung</w:t>
      </w:r>
      <w:r w:rsidR="004C1748">
        <w:t xml:space="preserve"> der Heterogenität der Sorte-x-Wachstumsp</w:t>
      </w:r>
      <w:r>
        <w:t>erioden-Varianz und der Parameter einer Gamma-Verteilung</w:t>
      </w:r>
      <w:r w:rsidR="008E4778">
        <w:t xml:space="preserve">. </w:t>
      </w:r>
      <w:r w:rsidR="006D69B5">
        <w:t xml:space="preserve"> </w:t>
      </w:r>
      <w:r w:rsidR="006373FC">
        <w:lastRenderedPageBreak/>
        <w:t>Dabe</w:t>
      </w:r>
      <w:r w:rsidR="006D69B5">
        <w:t> </w:t>
      </w:r>
      <w:r>
        <w:t xml:space="preserve"> wurde GenStat verwendet. ASREML (eventuell in Verbindung mit R) ist ebenfalls geeignet und möglicherweise auch SAS.</w:t>
      </w:r>
    </w:p>
    <w:p w:rsidR="00680EB7" w:rsidRDefault="00680EB7" w:rsidP="00680EB7"/>
    <w:p w:rsidR="00680EB7" w:rsidRDefault="006042AC" w:rsidP="00680EB7">
      <w:r>
        <w:t>10.</w:t>
      </w:r>
      <w:r>
        <w:tab/>
        <w:t xml:space="preserve">Abgesehen davon verwendet das Verfahren Formeln, die zwar etwas komplex sind, aber einfach in ein Programm zu implementieren sein sollten. </w:t>
      </w:r>
      <w:r w:rsidR="006D69B5">
        <w:t xml:space="preserve"> </w:t>
      </w:r>
      <w:r>
        <w:t>Eine jährliche Aktualisierung der Schwellenwerte sollte nicht erforderlich sein.</w:t>
      </w:r>
    </w:p>
    <w:p w:rsidR="00680EB7" w:rsidRDefault="00680EB7" w:rsidP="00680EB7"/>
    <w:p w:rsidR="00680EB7" w:rsidRDefault="006042AC" w:rsidP="00680EB7">
      <w:r>
        <w:t>11.</w:t>
      </w:r>
      <w:r>
        <w:tab/>
        <w:t>Weitere Einzelheiten zu der Methode sind enthalten in Do</w:t>
      </w:r>
      <w:r w:rsidR="009843A2">
        <w:t>kument TWC/33/20 Rev. und in d</w:t>
      </w:r>
      <w:r>
        <w:t xml:space="preserve">em Papier (Roberts A.M.I., Nevison I.M., Christie T. (in press) </w:t>
      </w:r>
      <w:r>
        <w:rPr>
          <w:i/>
        </w:rPr>
        <w:t>Prediction of variety distinctness decisions under yearly heterogeneity</w:t>
      </w:r>
      <w:r>
        <w:t>. Journal of Agricultural Science doi: 10.1017/S0021859615001306).</w:t>
      </w:r>
    </w:p>
    <w:p w:rsidR="00680EB7" w:rsidRDefault="00680EB7" w:rsidP="00680EB7"/>
    <w:p w:rsidR="00680EB7" w:rsidRPr="0042059A" w:rsidRDefault="00680EB7" w:rsidP="0042059A">
      <w:pPr>
        <w:rPr>
          <w:caps/>
        </w:rPr>
      </w:pPr>
      <w:r>
        <w:rPr>
          <w:caps/>
        </w:rPr>
        <w:t>Ein Beispiel</w:t>
      </w:r>
    </w:p>
    <w:p w:rsidR="00680EB7" w:rsidRDefault="00680EB7" w:rsidP="00680EB7"/>
    <w:p w:rsidR="00680EB7" w:rsidRDefault="006042AC" w:rsidP="00680EB7">
      <w:r>
        <w:t>12.</w:t>
      </w:r>
      <w:r>
        <w:tab/>
        <w:t>Das vorgeschla</w:t>
      </w:r>
      <w:r w:rsidR="004C1748">
        <w:t>gene Verfahren wird exemplarisch</w:t>
      </w:r>
      <w:r>
        <w:t xml:space="preserve"> anhand eines Datensatzes aus den Futtererbsen-Anbauversuchen zur Prüfung der Unterscheidbarkeit von 1995 bis 2013 im Vereinigten Königreich demonstriert</w:t>
      </w:r>
      <w:r w:rsidR="008E4778">
        <w:t xml:space="preserve">. </w:t>
      </w:r>
      <w:r>
        <w:t>Geprüft wurde die halb blattlose Gruppe von Sorten</w:t>
      </w:r>
      <w:r w:rsidR="008E4778">
        <w:t xml:space="preserve">. </w:t>
      </w:r>
      <w:r w:rsidR="006D69B5">
        <w:t xml:space="preserve"> </w:t>
      </w:r>
      <w:r>
        <w:t>Die Anbauversuche wurden bei Science and Advice for Scottish Agriculture (SASA) nahe Edinburgh durchgeführt</w:t>
      </w:r>
      <w:r w:rsidR="008E4778">
        <w:t xml:space="preserve">. </w:t>
      </w:r>
      <w:r>
        <w:t>Jeder Anbauversuch umfaßte zwei Wiederholungen und zwischen 139 und 290 Sorten</w:t>
      </w:r>
      <w:r w:rsidR="008E4778">
        <w:t xml:space="preserve">. </w:t>
      </w:r>
      <w:r w:rsidR="006D69B5">
        <w:t xml:space="preserve"> </w:t>
      </w:r>
      <w:r>
        <w:t>Dreizehn quantitative Merkmale wurden geprüft</w:t>
      </w:r>
      <w:r w:rsidR="008E4778">
        <w:t xml:space="preserve">. </w:t>
      </w:r>
      <w:r>
        <w:t xml:space="preserve">Nur jene Sorten mit sechs oder mehr Datenzyklen wurden in der Studie </w:t>
      </w:r>
      <w:r w:rsidR="006373FC">
        <w:t>zurückbehalten. Auf diese Weise</w:t>
      </w:r>
      <w:r>
        <w:t xml:space="preserve"> blieben 222 Sorten übrig</w:t>
      </w:r>
      <w:r w:rsidR="008E4778">
        <w:t>.</w:t>
      </w:r>
      <w:r w:rsidR="006D69B5">
        <w:t xml:space="preserve"> </w:t>
      </w:r>
      <w:r w:rsidR="008E4778">
        <w:t xml:space="preserve"> </w:t>
      </w:r>
      <w:r>
        <w:t>Für COYD wird ein 2%iges Wahrscheinlichkeitsniveau verwendet.</w:t>
      </w:r>
    </w:p>
    <w:p w:rsidR="00680EB7" w:rsidRDefault="00680EB7" w:rsidP="00680EB7"/>
    <w:p w:rsidR="00680EB7" w:rsidRDefault="006042AC" w:rsidP="00680EB7">
      <w:r>
        <w:t>13.</w:t>
      </w:r>
      <w:r>
        <w:tab/>
        <w:t>Tabelle 1 zeigt die geprüften Merkmale in Verbindung mit einigen grundle</w:t>
      </w:r>
      <w:r w:rsidR="009843A2">
        <w:t>genden Statistiken, um eine Vor</w:t>
      </w:r>
      <w:r>
        <w:t>s</w:t>
      </w:r>
      <w:r w:rsidR="009843A2">
        <w:t>t</w:t>
      </w:r>
      <w:r>
        <w:t>ellung von den Skalen zu geben</w:t>
      </w:r>
      <w:r w:rsidR="008E4778">
        <w:t xml:space="preserve">. </w:t>
      </w:r>
      <w:r w:rsidR="006D69B5">
        <w:t xml:space="preserve"> </w:t>
      </w:r>
      <w:r>
        <w:t>Es ist zu</w:t>
      </w:r>
      <w:r w:rsidR="00D55196">
        <w:t xml:space="preserve"> beachten, daß einige Merkmale bewertet sind</w:t>
      </w:r>
      <w:r w:rsidR="008E4778">
        <w:t xml:space="preserve">. </w:t>
      </w:r>
      <w:r w:rsidR="006D69B5">
        <w:t xml:space="preserve"> </w:t>
      </w:r>
      <w:r>
        <w:t>Ein</w:t>
      </w:r>
      <w:r w:rsidR="006D69B5">
        <w:t> </w:t>
      </w:r>
      <w:r>
        <w:t>Heterogenitätsindex ist enthalten</w:t>
      </w:r>
      <w:r w:rsidR="008E4778">
        <w:t xml:space="preserve">. </w:t>
      </w:r>
      <w:r w:rsidR="006D69B5">
        <w:t xml:space="preserve"> </w:t>
      </w:r>
      <w:r>
        <w:t>Dies basiert auf Änderungen bei den Abweichungen zwischen Modellen mit und ohne Heterogenität über die Wachstumsperioden dividiert durch die entsprechende Änderung an Freiheitsgraden: je höher der Index, desto bedeutender ist die Heterogenität</w:t>
      </w:r>
      <w:r w:rsidR="008E4778">
        <w:t xml:space="preserve">. </w:t>
      </w:r>
      <w:r w:rsidR="006D69B5">
        <w:t xml:space="preserve"> </w:t>
      </w:r>
      <w:r>
        <w:t>Die größte Heterogenität wurde für die Merkmale 5 und 28 festgestellt</w:t>
      </w:r>
      <w:r w:rsidR="008E4778">
        <w:t xml:space="preserve">. </w:t>
      </w:r>
      <w:r w:rsidR="006D69B5">
        <w:t xml:space="preserve"> </w:t>
      </w:r>
      <w:r>
        <w:t>Es ist anzumerken, daß der Grad an</w:t>
      </w:r>
      <w:r w:rsidR="00D55196">
        <w:t xml:space="preserve"> Heterogenität bei der Sorte-x-Wachstumsp</w:t>
      </w:r>
      <w:r>
        <w:t>erioden-Varianz (nicht gezeigt) viel niedriger war.</w:t>
      </w:r>
    </w:p>
    <w:p w:rsidR="00680EB7" w:rsidRDefault="00680EB7" w:rsidP="00680EB7"/>
    <w:p w:rsidR="00680EB7" w:rsidRDefault="006042AC" w:rsidP="00680EB7">
      <w:r>
        <w:t>14.</w:t>
      </w:r>
      <w:r>
        <w:tab/>
        <w:t>Tabelle 2 zeigt die für jedes Merkmal in der ersten Wachstumsperiode berechneten Schwellenwerte, a</w:t>
      </w:r>
      <w:r w:rsidR="00DC576D">
        <w:t xml:space="preserve">usgehend von </w:t>
      </w:r>
      <w:r>
        <w:t>Unterscheidbarkeitswahrscheinlichkeiten pD</w:t>
      </w:r>
      <w:r w:rsidR="00DC576D">
        <w:t>, die</w:t>
      </w:r>
      <w:r>
        <w:t xml:space="preserve"> auf 9</w:t>
      </w:r>
      <w:r w:rsidR="00DC576D">
        <w:t>0%, 95% und 99% festgelegt wurden</w:t>
      </w:r>
      <w:r w:rsidR="008E4778">
        <w:t xml:space="preserve">. </w:t>
      </w:r>
      <w:r>
        <w:t>Diese werden mit einem durchschnittlichen COYD-Kriterium für die Zwei-Perioden-Prüfung verglichen (basierend auf langfristigen Daten und entsprechend dem Langzeit-LSD)</w:t>
      </w:r>
      <w:r w:rsidR="008E4778">
        <w:t xml:space="preserve">. </w:t>
      </w:r>
      <w:r w:rsidR="006D69B5">
        <w:t xml:space="preserve"> </w:t>
      </w:r>
      <w:r>
        <w:t xml:space="preserve">Sie werden auch basierend auf der Erfahrung, die derzeit im Vereinigten Königreich verwendet wird, um allgemein bekannte Sorten nach der ersten Wachstumsperiode auszuschließen, mit den Toleranzen verglichen. </w:t>
      </w:r>
    </w:p>
    <w:p w:rsidR="00680EB7" w:rsidRDefault="00680EB7" w:rsidP="00680EB7"/>
    <w:p w:rsidR="0042059A" w:rsidRDefault="0042059A" w:rsidP="00680EB7"/>
    <w:p w:rsidR="00680EB7" w:rsidRPr="00463A17" w:rsidRDefault="00680EB7" w:rsidP="00680EB7">
      <w:r>
        <w:t xml:space="preserve">Tabelle 1. </w:t>
      </w:r>
      <w:r w:rsidR="00D55196">
        <w:t>S</w:t>
      </w:r>
      <w:r>
        <w:t xml:space="preserve">tatistisch berücksichtigte Merkmale </w:t>
      </w:r>
      <w:r w:rsidR="00D55196">
        <w:t>im Beispieldatensatz</w:t>
      </w:r>
    </w:p>
    <w:p w:rsidR="00680EB7" w:rsidRPr="00BA2363" w:rsidRDefault="00680EB7" w:rsidP="00680EB7">
      <w:pPr>
        <w:rPr>
          <w:i/>
        </w:rPr>
      </w:pPr>
    </w:p>
    <w:tbl>
      <w:tblPr>
        <w:tblStyle w:val="TableGrid"/>
        <w:tblW w:w="9650"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7"/>
        <w:gridCol w:w="1328"/>
        <w:gridCol w:w="2096"/>
        <w:gridCol w:w="1052"/>
        <w:gridCol w:w="1117"/>
        <w:gridCol w:w="2040"/>
      </w:tblGrid>
      <w:tr w:rsidR="00680EB7" w:rsidRPr="004950C9" w:rsidTr="00B0388B">
        <w:tc>
          <w:tcPr>
            <w:tcW w:w="3618" w:type="dxa"/>
            <w:tcBorders>
              <w:top w:val="single" w:sz="4" w:space="0" w:color="auto"/>
              <w:bottom w:val="single" w:sz="4" w:space="0" w:color="auto"/>
            </w:tcBorders>
          </w:tcPr>
          <w:p w:rsidR="00680EB7" w:rsidRPr="004950C9" w:rsidRDefault="00680EB7" w:rsidP="00D55196">
            <w:pPr>
              <w:jc w:val="left"/>
            </w:pPr>
            <w:r>
              <w:t>Merkmal (UPOV-Nummer)</w:t>
            </w:r>
          </w:p>
        </w:tc>
        <w:tc>
          <w:tcPr>
            <w:tcW w:w="910" w:type="dxa"/>
            <w:tcBorders>
              <w:top w:val="single" w:sz="4" w:space="0" w:color="auto"/>
              <w:bottom w:val="single" w:sz="4" w:space="0" w:color="auto"/>
            </w:tcBorders>
          </w:tcPr>
          <w:p w:rsidR="00680EB7" w:rsidRPr="004950C9" w:rsidRDefault="00680EB7" w:rsidP="00C6260C">
            <w:pPr>
              <w:jc w:val="center"/>
            </w:pPr>
            <w:r>
              <w:t>Durchschnitt</w:t>
            </w:r>
          </w:p>
        </w:tc>
        <w:tc>
          <w:tcPr>
            <w:tcW w:w="1110" w:type="dxa"/>
            <w:tcBorders>
              <w:top w:val="single" w:sz="4" w:space="0" w:color="auto"/>
              <w:bottom w:val="single" w:sz="4" w:space="0" w:color="auto"/>
            </w:tcBorders>
          </w:tcPr>
          <w:p w:rsidR="00680EB7" w:rsidRPr="004950C9" w:rsidRDefault="00680EB7" w:rsidP="00C6260C">
            <w:pPr>
              <w:jc w:val="center"/>
            </w:pPr>
            <w:r>
              <w:t>Standardabweichung</w:t>
            </w:r>
          </w:p>
        </w:tc>
        <w:tc>
          <w:tcPr>
            <w:tcW w:w="1220" w:type="dxa"/>
            <w:tcBorders>
              <w:top w:val="single" w:sz="4" w:space="0" w:color="auto"/>
              <w:bottom w:val="single" w:sz="4" w:space="0" w:color="auto"/>
            </w:tcBorders>
          </w:tcPr>
          <w:p w:rsidR="00680EB7" w:rsidRPr="004950C9" w:rsidRDefault="00680EB7" w:rsidP="00C6260C">
            <w:pPr>
              <w:jc w:val="center"/>
            </w:pPr>
            <w:r>
              <w:t>Minimum</w:t>
            </w:r>
          </w:p>
        </w:tc>
        <w:tc>
          <w:tcPr>
            <w:tcW w:w="1355" w:type="dxa"/>
            <w:tcBorders>
              <w:top w:val="single" w:sz="4" w:space="0" w:color="auto"/>
              <w:bottom w:val="single" w:sz="4" w:space="0" w:color="auto"/>
            </w:tcBorders>
          </w:tcPr>
          <w:p w:rsidR="00680EB7" w:rsidRPr="004950C9" w:rsidRDefault="00680EB7" w:rsidP="00C6260C">
            <w:pPr>
              <w:jc w:val="center"/>
            </w:pPr>
            <w:r>
              <w:t>Maximum</w:t>
            </w:r>
          </w:p>
        </w:tc>
        <w:tc>
          <w:tcPr>
            <w:tcW w:w="1437" w:type="dxa"/>
            <w:tcBorders>
              <w:top w:val="single" w:sz="4" w:space="0" w:color="auto"/>
              <w:bottom w:val="single" w:sz="4" w:space="0" w:color="auto"/>
            </w:tcBorders>
          </w:tcPr>
          <w:p w:rsidR="00680EB7" w:rsidRPr="004950C9" w:rsidRDefault="00680EB7" w:rsidP="00C6260C">
            <w:pPr>
              <w:jc w:val="center"/>
            </w:pPr>
            <w:r>
              <w:t>Heterogenitätsindex über die Wachstumsperioden</w:t>
            </w:r>
          </w:p>
        </w:tc>
      </w:tr>
      <w:tr w:rsidR="00680EB7" w:rsidRPr="004950C9" w:rsidTr="00B0388B">
        <w:tc>
          <w:tcPr>
            <w:tcW w:w="3618" w:type="dxa"/>
            <w:tcBorders>
              <w:top w:val="single" w:sz="4" w:space="0" w:color="auto"/>
              <w:bottom w:val="nil"/>
            </w:tcBorders>
          </w:tcPr>
          <w:p w:rsidR="00680EB7" w:rsidRPr="004950C9" w:rsidRDefault="00680EB7" w:rsidP="00D55196">
            <w:pPr>
              <w:jc w:val="left"/>
            </w:pPr>
            <w:r>
              <w:t>(5) Stengel: Anzahl Knoten bis einschließlich des ersten Blütenstandes</w:t>
            </w:r>
          </w:p>
        </w:tc>
        <w:tc>
          <w:tcPr>
            <w:tcW w:w="910" w:type="dxa"/>
            <w:tcBorders>
              <w:top w:val="single" w:sz="4" w:space="0" w:color="auto"/>
              <w:bottom w:val="nil"/>
            </w:tcBorders>
          </w:tcPr>
          <w:p w:rsidR="00680EB7" w:rsidRDefault="00680EB7" w:rsidP="00C6260C">
            <w:pPr>
              <w:tabs>
                <w:tab w:val="decimal" w:pos="423"/>
              </w:tabs>
              <w:jc w:val="left"/>
            </w:pPr>
            <w:r>
              <w:t>16,0</w:t>
            </w:r>
          </w:p>
        </w:tc>
        <w:tc>
          <w:tcPr>
            <w:tcW w:w="1110" w:type="dxa"/>
            <w:tcBorders>
              <w:top w:val="single" w:sz="4" w:space="0" w:color="auto"/>
              <w:bottom w:val="nil"/>
            </w:tcBorders>
          </w:tcPr>
          <w:p w:rsidR="00680EB7" w:rsidRDefault="00680EB7" w:rsidP="00C6260C">
            <w:pPr>
              <w:tabs>
                <w:tab w:val="decimal" w:pos="423"/>
              </w:tabs>
              <w:jc w:val="left"/>
            </w:pPr>
            <w:r>
              <w:t>1,59</w:t>
            </w:r>
          </w:p>
        </w:tc>
        <w:tc>
          <w:tcPr>
            <w:tcW w:w="1220" w:type="dxa"/>
            <w:tcBorders>
              <w:top w:val="single" w:sz="4" w:space="0" w:color="auto"/>
              <w:bottom w:val="nil"/>
            </w:tcBorders>
          </w:tcPr>
          <w:p w:rsidR="00680EB7" w:rsidRDefault="00680EB7" w:rsidP="00C6260C">
            <w:pPr>
              <w:tabs>
                <w:tab w:val="decimal" w:pos="423"/>
              </w:tabs>
              <w:jc w:val="left"/>
            </w:pPr>
            <w:r>
              <w:t>9,6</w:t>
            </w:r>
          </w:p>
        </w:tc>
        <w:tc>
          <w:tcPr>
            <w:tcW w:w="1355" w:type="dxa"/>
            <w:tcBorders>
              <w:top w:val="single" w:sz="4" w:space="0" w:color="auto"/>
              <w:bottom w:val="nil"/>
            </w:tcBorders>
          </w:tcPr>
          <w:p w:rsidR="00680EB7" w:rsidRDefault="00680EB7" w:rsidP="00C6260C">
            <w:pPr>
              <w:tabs>
                <w:tab w:val="decimal" w:pos="593"/>
              </w:tabs>
              <w:jc w:val="left"/>
            </w:pPr>
            <w:r>
              <w:t>20,9</w:t>
            </w:r>
          </w:p>
        </w:tc>
        <w:tc>
          <w:tcPr>
            <w:tcW w:w="1437" w:type="dxa"/>
            <w:tcBorders>
              <w:top w:val="single" w:sz="4" w:space="0" w:color="auto"/>
              <w:bottom w:val="nil"/>
            </w:tcBorders>
          </w:tcPr>
          <w:p w:rsidR="00680EB7" w:rsidRDefault="00680EB7" w:rsidP="00C6260C">
            <w:pPr>
              <w:widowControl w:val="0"/>
              <w:tabs>
                <w:tab w:val="decimal" w:pos="593"/>
              </w:tabs>
              <w:jc w:val="left"/>
              <w:rPr>
                <w:szCs w:val="24"/>
              </w:rPr>
            </w:pPr>
            <w:r>
              <w:t>13,0</w:t>
            </w:r>
          </w:p>
        </w:tc>
      </w:tr>
      <w:tr w:rsidR="00680EB7" w:rsidRPr="004950C9" w:rsidTr="00B0388B">
        <w:tc>
          <w:tcPr>
            <w:tcW w:w="3618" w:type="dxa"/>
            <w:tcBorders>
              <w:top w:val="nil"/>
            </w:tcBorders>
          </w:tcPr>
          <w:p w:rsidR="00680EB7" w:rsidRPr="004950C9" w:rsidRDefault="00680EB7" w:rsidP="00D55196">
            <w:pPr>
              <w:jc w:val="left"/>
            </w:pPr>
            <w:r>
              <w:t>(15) Nebenblatt: Länge (mm)</w:t>
            </w:r>
          </w:p>
        </w:tc>
        <w:tc>
          <w:tcPr>
            <w:tcW w:w="910" w:type="dxa"/>
            <w:tcBorders>
              <w:top w:val="nil"/>
            </w:tcBorders>
          </w:tcPr>
          <w:p w:rsidR="00680EB7" w:rsidRDefault="00680EB7" w:rsidP="00C6260C">
            <w:pPr>
              <w:tabs>
                <w:tab w:val="decimal" w:pos="423"/>
              </w:tabs>
              <w:jc w:val="left"/>
            </w:pPr>
            <w:r>
              <w:t>82,3</w:t>
            </w:r>
          </w:p>
        </w:tc>
        <w:tc>
          <w:tcPr>
            <w:tcW w:w="1110" w:type="dxa"/>
            <w:tcBorders>
              <w:top w:val="nil"/>
            </w:tcBorders>
          </w:tcPr>
          <w:p w:rsidR="00680EB7" w:rsidRDefault="00680EB7" w:rsidP="00C6260C">
            <w:pPr>
              <w:tabs>
                <w:tab w:val="decimal" w:pos="423"/>
              </w:tabs>
              <w:jc w:val="left"/>
            </w:pPr>
            <w:r>
              <w:t>13,48</w:t>
            </w:r>
          </w:p>
        </w:tc>
        <w:tc>
          <w:tcPr>
            <w:tcW w:w="1220" w:type="dxa"/>
            <w:tcBorders>
              <w:top w:val="nil"/>
            </w:tcBorders>
          </w:tcPr>
          <w:p w:rsidR="00680EB7" w:rsidRDefault="00680EB7" w:rsidP="00C6260C">
            <w:pPr>
              <w:tabs>
                <w:tab w:val="decimal" w:pos="423"/>
              </w:tabs>
              <w:jc w:val="left"/>
            </w:pPr>
            <w:r>
              <w:t>47,2</w:t>
            </w:r>
          </w:p>
        </w:tc>
        <w:tc>
          <w:tcPr>
            <w:tcW w:w="1355" w:type="dxa"/>
            <w:tcBorders>
              <w:top w:val="nil"/>
            </w:tcBorders>
          </w:tcPr>
          <w:p w:rsidR="00680EB7" w:rsidRDefault="00680EB7" w:rsidP="00C6260C">
            <w:pPr>
              <w:tabs>
                <w:tab w:val="decimal" w:pos="593"/>
              </w:tabs>
              <w:jc w:val="left"/>
            </w:pPr>
            <w:r>
              <w:t>121,5</w:t>
            </w:r>
          </w:p>
        </w:tc>
        <w:tc>
          <w:tcPr>
            <w:tcW w:w="1437" w:type="dxa"/>
            <w:tcBorders>
              <w:top w:val="nil"/>
            </w:tcBorders>
          </w:tcPr>
          <w:p w:rsidR="00680EB7" w:rsidRDefault="00680EB7" w:rsidP="00C6260C">
            <w:pPr>
              <w:widowControl w:val="0"/>
              <w:tabs>
                <w:tab w:val="decimal" w:pos="593"/>
              </w:tabs>
              <w:jc w:val="left"/>
              <w:rPr>
                <w:szCs w:val="24"/>
              </w:rPr>
            </w:pPr>
            <w:r>
              <w:t>4,4</w:t>
            </w:r>
          </w:p>
        </w:tc>
      </w:tr>
      <w:tr w:rsidR="00680EB7" w:rsidRPr="004950C9" w:rsidTr="00B0388B">
        <w:tc>
          <w:tcPr>
            <w:tcW w:w="3618" w:type="dxa"/>
            <w:tcBorders>
              <w:top w:val="nil"/>
            </w:tcBorders>
          </w:tcPr>
          <w:p w:rsidR="00680EB7" w:rsidRPr="004950C9" w:rsidRDefault="00680EB7" w:rsidP="00D55196">
            <w:pPr>
              <w:jc w:val="left"/>
            </w:pPr>
            <w:r>
              <w:t>(16) Nebenblatt: Breite (mm)</w:t>
            </w:r>
          </w:p>
        </w:tc>
        <w:tc>
          <w:tcPr>
            <w:tcW w:w="910" w:type="dxa"/>
            <w:tcBorders>
              <w:top w:val="nil"/>
            </w:tcBorders>
          </w:tcPr>
          <w:p w:rsidR="00680EB7" w:rsidRDefault="00680EB7" w:rsidP="00C6260C">
            <w:pPr>
              <w:tabs>
                <w:tab w:val="decimal" w:pos="423"/>
              </w:tabs>
              <w:jc w:val="left"/>
            </w:pPr>
            <w:r>
              <w:t>46,3</w:t>
            </w:r>
          </w:p>
        </w:tc>
        <w:tc>
          <w:tcPr>
            <w:tcW w:w="1110" w:type="dxa"/>
            <w:tcBorders>
              <w:top w:val="nil"/>
            </w:tcBorders>
          </w:tcPr>
          <w:p w:rsidR="00680EB7" w:rsidRDefault="00680EB7" w:rsidP="00C6260C">
            <w:pPr>
              <w:tabs>
                <w:tab w:val="decimal" w:pos="423"/>
              </w:tabs>
              <w:jc w:val="left"/>
            </w:pPr>
            <w:r>
              <w:t>8,80</w:t>
            </w:r>
          </w:p>
        </w:tc>
        <w:tc>
          <w:tcPr>
            <w:tcW w:w="1220" w:type="dxa"/>
            <w:tcBorders>
              <w:top w:val="nil"/>
            </w:tcBorders>
          </w:tcPr>
          <w:p w:rsidR="00680EB7" w:rsidRDefault="00680EB7" w:rsidP="00C6260C">
            <w:pPr>
              <w:tabs>
                <w:tab w:val="decimal" w:pos="423"/>
              </w:tabs>
              <w:jc w:val="left"/>
            </w:pPr>
            <w:r>
              <w:t>23,7</w:t>
            </w:r>
          </w:p>
        </w:tc>
        <w:tc>
          <w:tcPr>
            <w:tcW w:w="1355" w:type="dxa"/>
            <w:tcBorders>
              <w:top w:val="nil"/>
            </w:tcBorders>
          </w:tcPr>
          <w:p w:rsidR="00680EB7" w:rsidRDefault="00680EB7" w:rsidP="00C6260C">
            <w:pPr>
              <w:tabs>
                <w:tab w:val="decimal" w:pos="593"/>
              </w:tabs>
              <w:jc w:val="left"/>
            </w:pPr>
            <w:r>
              <w:t>79,0</w:t>
            </w:r>
          </w:p>
        </w:tc>
        <w:tc>
          <w:tcPr>
            <w:tcW w:w="1437" w:type="dxa"/>
            <w:tcBorders>
              <w:top w:val="nil"/>
            </w:tcBorders>
          </w:tcPr>
          <w:p w:rsidR="00680EB7" w:rsidRDefault="00680EB7" w:rsidP="00C6260C">
            <w:pPr>
              <w:widowControl w:val="0"/>
              <w:tabs>
                <w:tab w:val="decimal" w:pos="593"/>
              </w:tabs>
              <w:jc w:val="left"/>
              <w:rPr>
                <w:szCs w:val="24"/>
              </w:rPr>
            </w:pPr>
            <w:r>
              <w:t>4,1</w:t>
            </w:r>
          </w:p>
        </w:tc>
      </w:tr>
      <w:tr w:rsidR="00680EB7" w:rsidRPr="004950C9" w:rsidTr="00B0388B">
        <w:tc>
          <w:tcPr>
            <w:tcW w:w="3618" w:type="dxa"/>
            <w:tcBorders>
              <w:top w:val="nil"/>
            </w:tcBorders>
          </w:tcPr>
          <w:p w:rsidR="00680EB7" w:rsidRPr="004950C9" w:rsidRDefault="00680EB7" w:rsidP="00D55196">
            <w:pPr>
              <w:jc w:val="left"/>
            </w:pPr>
            <w:r>
              <w:t>(21)</w:t>
            </w:r>
            <w:r>
              <w:rPr>
                <w:vertAlign w:val="superscript"/>
              </w:rPr>
              <w:t>*</w:t>
            </w:r>
            <w:r>
              <w:t xml:space="preserve"> Nebenblatt: Dichte der Marmorierung (1-9)</w:t>
            </w:r>
          </w:p>
        </w:tc>
        <w:tc>
          <w:tcPr>
            <w:tcW w:w="910" w:type="dxa"/>
            <w:tcBorders>
              <w:top w:val="nil"/>
            </w:tcBorders>
          </w:tcPr>
          <w:p w:rsidR="00680EB7" w:rsidRDefault="00680EB7" w:rsidP="00C6260C">
            <w:pPr>
              <w:tabs>
                <w:tab w:val="decimal" w:pos="423"/>
              </w:tabs>
              <w:jc w:val="left"/>
            </w:pPr>
            <w:r>
              <w:t>5,3</w:t>
            </w:r>
          </w:p>
        </w:tc>
        <w:tc>
          <w:tcPr>
            <w:tcW w:w="1110" w:type="dxa"/>
            <w:tcBorders>
              <w:top w:val="nil"/>
            </w:tcBorders>
          </w:tcPr>
          <w:p w:rsidR="00680EB7" w:rsidRDefault="00680EB7" w:rsidP="00C6260C">
            <w:pPr>
              <w:tabs>
                <w:tab w:val="decimal" w:pos="423"/>
              </w:tabs>
              <w:jc w:val="left"/>
            </w:pPr>
            <w:r>
              <w:t>0,90</w:t>
            </w:r>
          </w:p>
        </w:tc>
        <w:tc>
          <w:tcPr>
            <w:tcW w:w="1220" w:type="dxa"/>
            <w:tcBorders>
              <w:top w:val="nil"/>
            </w:tcBorders>
          </w:tcPr>
          <w:p w:rsidR="00680EB7" w:rsidRDefault="00680EB7" w:rsidP="00C6260C">
            <w:pPr>
              <w:tabs>
                <w:tab w:val="decimal" w:pos="423"/>
              </w:tabs>
              <w:jc w:val="left"/>
              <w:rPr>
                <w:b/>
                <w:caps/>
                <w:kern w:val="28"/>
                <w:sz w:val="30"/>
              </w:rPr>
            </w:pPr>
            <w:r>
              <w:t>2,5</w:t>
            </w:r>
          </w:p>
        </w:tc>
        <w:tc>
          <w:tcPr>
            <w:tcW w:w="1355" w:type="dxa"/>
            <w:tcBorders>
              <w:top w:val="nil"/>
            </w:tcBorders>
          </w:tcPr>
          <w:p w:rsidR="00680EB7" w:rsidRDefault="00680EB7" w:rsidP="00C6260C">
            <w:pPr>
              <w:tabs>
                <w:tab w:val="decimal" w:pos="593"/>
              </w:tabs>
              <w:jc w:val="left"/>
              <w:rPr>
                <w:b/>
                <w:caps/>
                <w:kern w:val="28"/>
                <w:sz w:val="30"/>
              </w:rPr>
            </w:pPr>
            <w:r>
              <w:t>8,0</w:t>
            </w:r>
          </w:p>
        </w:tc>
        <w:tc>
          <w:tcPr>
            <w:tcW w:w="1437" w:type="dxa"/>
            <w:tcBorders>
              <w:top w:val="nil"/>
            </w:tcBorders>
          </w:tcPr>
          <w:p w:rsidR="00680EB7" w:rsidRDefault="00680EB7" w:rsidP="00C6260C">
            <w:pPr>
              <w:widowControl w:val="0"/>
              <w:tabs>
                <w:tab w:val="decimal" w:pos="593"/>
              </w:tabs>
              <w:jc w:val="left"/>
              <w:rPr>
                <w:b/>
                <w:caps/>
                <w:kern w:val="28"/>
                <w:sz w:val="30"/>
                <w:szCs w:val="24"/>
              </w:rPr>
            </w:pPr>
            <w:r>
              <w:t>4,3</w:t>
            </w:r>
          </w:p>
        </w:tc>
      </w:tr>
      <w:tr w:rsidR="00680EB7" w:rsidRPr="004950C9" w:rsidTr="00B0388B">
        <w:tc>
          <w:tcPr>
            <w:tcW w:w="3618" w:type="dxa"/>
            <w:tcBorders>
              <w:top w:val="nil"/>
            </w:tcBorders>
          </w:tcPr>
          <w:p w:rsidR="00680EB7" w:rsidRPr="004950C9" w:rsidRDefault="00680EB7" w:rsidP="00D55196">
            <w:pPr>
              <w:jc w:val="left"/>
            </w:pPr>
            <w:r>
              <w:t>(22) Blattstiel: Länge von der Achsel zur ersten Blattfieder oder Ranke (mm)</w:t>
            </w:r>
          </w:p>
        </w:tc>
        <w:tc>
          <w:tcPr>
            <w:tcW w:w="910" w:type="dxa"/>
            <w:tcBorders>
              <w:top w:val="nil"/>
            </w:tcBorders>
          </w:tcPr>
          <w:p w:rsidR="00680EB7" w:rsidRDefault="00680EB7" w:rsidP="00C6260C">
            <w:pPr>
              <w:tabs>
                <w:tab w:val="decimal" w:pos="423"/>
              </w:tabs>
              <w:jc w:val="left"/>
              <w:rPr>
                <w:b/>
                <w:caps/>
                <w:kern w:val="28"/>
                <w:sz w:val="30"/>
              </w:rPr>
            </w:pPr>
            <w:r>
              <w:t>83,2</w:t>
            </w:r>
          </w:p>
        </w:tc>
        <w:tc>
          <w:tcPr>
            <w:tcW w:w="1110" w:type="dxa"/>
            <w:tcBorders>
              <w:top w:val="nil"/>
            </w:tcBorders>
          </w:tcPr>
          <w:p w:rsidR="00680EB7" w:rsidRDefault="00680EB7" w:rsidP="00C6260C">
            <w:pPr>
              <w:tabs>
                <w:tab w:val="decimal" w:pos="423"/>
              </w:tabs>
              <w:jc w:val="left"/>
              <w:rPr>
                <w:b/>
                <w:caps/>
                <w:kern w:val="28"/>
                <w:sz w:val="30"/>
              </w:rPr>
            </w:pPr>
            <w:r>
              <w:t>13,34</w:t>
            </w:r>
          </w:p>
        </w:tc>
        <w:tc>
          <w:tcPr>
            <w:tcW w:w="1220" w:type="dxa"/>
            <w:tcBorders>
              <w:top w:val="nil"/>
            </w:tcBorders>
          </w:tcPr>
          <w:p w:rsidR="00680EB7" w:rsidRDefault="00680EB7" w:rsidP="00C6260C">
            <w:pPr>
              <w:tabs>
                <w:tab w:val="decimal" w:pos="423"/>
              </w:tabs>
              <w:jc w:val="left"/>
              <w:rPr>
                <w:b/>
                <w:caps/>
                <w:kern w:val="28"/>
                <w:sz w:val="30"/>
              </w:rPr>
            </w:pPr>
            <w:r>
              <w:t>34,8</w:t>
            </w:r>
          </w:p>
        </w:tc>
        <w:tc>
          <w:tcPr>
            <w:tcW w:w="1355" w:type="dxa"/>
            <w:tcBorders>
              <w:top w:val="nil"/>
            </w:tcBorders>
          </w:tcPr>
          <w:p w:rsidR="00680EB7" w:rsidRDefault="00680EB7" w:rsidP="00C6260C">
            <w:pPr>
              <w:tabs>
                <w:tab w:val="decimal" w:pos="593"/>
              </w:tabs>
              <w:jc w:val="left"/>
              <w:rPr>
                <w:b/>
                <w:caps/>
                <w:kern w:val="28"/>
                <w:sz w:val="30"/>
              </w:rPr>
            </w:pPr>
            <w:r>
              <w:t>128,6</w:t>
            </w:r>
          </w:p>
        </w:tc>
        <w:tc>
          <w:tcPr>
            <w:tcW w:w="1437" w:type="dxa"/>
            <w:tcBorders>
              <w:top w:val="nil"/>
            </w:tcBorders>
          </w:tcPr>
          <w:p w:rsidR="00680EB7" w:rsidRDefault="00680EB7" w:rsidP="00C6260C">
            <w:pPr>
              <w:widowControl w:val="0"/>
              <w:tabs>
                <w:tab w:val="decimal" w:pos="593"/>
              </w:tabs>
              <w:jc w:val="left"/>
              <w:rPr>
                <w:b/>
                <w:caps/>
                <w:kern w:val="28"/>
                <w:sz w:val="30"/>
                <w:szCs w:val="24"/>
              </w:rPr>
            </w:pPr>
            <w:r>
              <w:t>5,8</w:t>
            </w:r>
          </w:p>
        </w:tc>
      </w:tr>
      <w:tr w:rsidR="00680EB7" w:rsidRPr="004950C9" w:rsidTr="00B0388B">
        <w:tc>
          <w:tcPr>
            <w:tcW w:w="3618" w:type="dxa"/>
          </w:tcPr>
          <w:p w:rsidR="00680EB7" w:rsidRPr="004950C9" w:rsidRDefault="00680EB7" w:rsidP="00D55196">
            <w:pPr>
              <w:jc w:val="left"/>
            </w:pPr>
            <w:r>
              <w:t>(28) Blüte: Breite der Fahne (mm)</w:t>
            </w:r>
          </w:p>
        </w:tc>
        <w:tc>
          <w:tcPr>
            <w:tcW w:w="910" w:type="dxa"/>
          </w:tcPr>
          <w:p w:rsidR="00680EB7" w:rsidRDefault="00680EB7" w:rsidP="00C6260C">
            <w:pPr>
              <w:tabs>
                <w:tab w:val="decimal" w:pos="423"/>
              </w:tabs>
              <w:jc w:val="left"/>
              <w:rPr>
                <w:b/>
                <w:caps/>
                <w:kern w:val="28"/>
                <w:sz w:val="30"/>
              </w:rPr>
            </w:pPr>
            <w:r>
              <w:t>31,8</w:t>
            </w:r>
          </w:p>
        </w:tc>
        <w:tc>
          <w:tcPr>
            <w:tcW w:w="1110" w:type="dxa"/>
          </w:tcPr>
          <w:p w:rsidR="00680EB7" w:rsidRDefault="00680EB7" w:rsidP="00C6260C">
            <w:pPr>
              <w:tabs>
                <w:tab w:val="decimal" w:pos="423"/>
              </w:tabs>
              <w:jc w:val="left"/>
              <w:rPr>
                <w:b/>
                <w:caps/>
                <w:kern w:val="28"/>
                <w:sz w:val="30"/>
              </w:rPr>
            </w:pPr>
            <w:r>
              <w:t>2,64</w:t>
            </w:r>
          </w:p>
        </w:tc>
        <w:tc>
          <w:tcPr>
            <w:tcW w:w="1220" w:type="dxa"/>
          </w:tcPr>
          <w:p w:rsidR="00680EB7" w:rsidRDefault="00680EB7" w:rsidP="00C6260C">
            <w:pPr>
              <w:tabs>
                <w:tab w:val="decimal" w:pos="423"/>
              </w:tabs>
              <w:jc w:val="left"/>
              <w:rPr>
                <w:b/>
                <w:caps/>
                <w:kern w:val="28"/>
                <w:sz w:val="30"/>
              </w:rPr>
            </w:pPr>
            <w:r>
              <w:t>23,3</w:t>
            </w:r>
          </w:p>
        </w:tc>
        <w:tc>
          <w:tcPr>
            <w:tcW w:w="1355" w:type="dxa"/>
          </w:tcPr>
          <w:p w:rsidR="00680EB7" w:rsidRDefault="00680EB7" w:rsidP="00C6260C">
            <w:pPr>
              <w:tabs>
                <w:tab w:val="decimal" w:pos="593"/>
              </w:tabs>
              <w:jc w:val="left"/>
              <w:rPr>
                <w:b/>
                <w:caps/>
                <w:kern w:val="28"/>
                <w:sz w:val="30"/>
              </w:rPr>
            </w:pPr>
            <w:r>
              <w:t>41,1</w:t>
            </w:r>
          </w:p>
        </w:tc>
        <w:tc>
          <w:tcPr>
            <w:tcW w:w="1437" w:type="dxa"/>
          </w:tcPr>
          <w:p w:rsidR="00680EB7" w:rsidRDefault="00680EB7" w:rsidP="00C6260C">
            <w:pPr>
              <w:widowControl w:val="0"/>
              <w:tabs>
                <w:tab w:val="decimal" w:pos="593"/>
              </w:tabs>
              <w:jc w:val="left"/>
              <w:rPr>
                <w:b/>
                <w:caps/>
                <w:kern w:val="28"/>
                <w:sz w:val="30"/>
                <w:szCs w:val="24"/>
              </w:rPr>
            </w:pPr>
            <w:r>
              <w:t>9,1</w:t>
            </w:r>
          </w:p>
        </w:tc>
      </w:tr>
      <w:tr w:rsidR="00680EB7" w:rsidRPr="004950C9" w:rsidTr="00B0388B">
        <w:tc>
          <w:tcPr>
            <w:tcW w:w="3618" w:type="dxa"/>
          </w:tcPr>
          <w:p w:rsidR="00680EB7" w:rsidRPr="004950C9" w:rsidRDefault="00680EB7" w:rsidP="00D55196">
            <w:pPr>
              <w:jc w:val="left"/>
            </w:pPr>
            <w:r>
              <w:t>(29)</w:t>
            </w:r>
            <w:r>
              <w:rPr>
                <w:vertAlign w:val="superscript"/>
              </w:rPr>
              <w:t>*</w:t>
            </w:r>
            <w:r>
              <w:t xml:space="preserve"> Blüte: Form </w:t>
            </w:r>
            <w:r>
              <w:lastRenderedPageBreak/>
              <w:t>des Fahnengrunds (1-9)</w:t>
            </w:r>
          </w:p>
        </w:tc>
        <w:tc>
          <w:tcPr>
            <w:tcW w:w="910" w:type="dxa"/>
          </w:tcPr>
          <w:p w:rsidR="00680EB7" w:rsidRDefault="00680EB7" w:rsidP="00C6260C">
            <w:pPr>
              <w:tabs>
                <w:tab w:val="decimal" w:pos="423"/>
              </w:tabs>
              <w:jc w:val="left"/>
              <w:rPr>
                <w:b/>
                <w:caps/>
                <w:kern w:val="28"/>
                <w:sz w:val="30"/>
              </w:rPr>
            </w:pPr>
            <w:r>
              <w:lastRenderedPageBreak/>
              <w:t>6,8</w:t>
            </w:r>
          </w:p>
        </w:tc>
        <w:tc>
          <w:tcPr>
            <w:tcW w:w="1110" w:type="dxa"/>
          </w:tcPr>
          <w:p w:rsidR="00680EB7" w:rsidRDefault="00680EB7" w:rsidP="00C6260C">
            <w:pPr>
              <w:tabs>
                <w:tab w:val="decimal" w:pos="423"/>
              </w:tabs>
              <w:jc w:val="left"/>
              <w:rPr>
                <w:b/>
                <w:caps/>
                <w:kern w:val="28"/>
                <w:sz w:val="30"/>
              </w:rPr>
            </w:pPr>
            <w:r>
              <w:t>1,02</w:t>
            </w:r>
          </w:p>
        </w:tc>
        <w:tc>
          <w:tcPr>
            <w:tcW w:w="1220" w:type="dxa"/>
          </w:tcPr>
          <w:p w:rsidR="00680EB7" w:rsidRDefault="00680EB7" w:rsidP="00C6260C">
            <w:pPr>
              <w:tabs>
                <w:tab w:val="decimal" w:pos="423"/>
              </w:tabs>
              <w:jc w:val="left"/>
              <w:rPr>
                <w:b/>
                <w:caps/>
                <w:kern w:val="28"/>
                <w:sz w:val="30"/>
              </w:rPr>
            </w:pPr>
            <w:r>
              <w:t>4,0</w:t>
            </w:r>
          </w:p>
        </w:tc>
        <w:tc>
          <w:tcPr>
            <w:tcW w:w="1355" w:type="dxa"/>
          </w:tcPr>
          <w:p w:rsidR="00680EB7" w:rsidRDefault="00680EB7" w:rsidP="00C6260C">
            <w:pPr>
              <w:tabs>
                <w:tab w:val="decimal" w:pos="593"/>
              </w:tabs>
              <w:jc w:val="left"/>
              <w:rPr>
                <w:b/>
                <w:caps/>
                <w:kern w:val="28"/>
                <w:sz w:val="30"/>
              </w:rPr>
            </w:pPr>
            <w:r>
              <w:t>9,0</w:t>
            </w:r>
          </w:p>
        </w:tc>
        <w:tc>
          <w:tcPr>
            <w:tcW w:w="1437" w:type="dxa"/>
          </w:tcPr>
          <w:p w:rsidR="00680EB7" w:rsidRDefault="00680EB7" w:rsidP="00C6260C">
            <w:pPr>
              <w:widowControl w:val="0"/>
              <w:tabs>
                <w:tab w:val="decimal" w:pos="593"/>
              </w:tabs>
              <w:jc w:val="left"/>
              <w:rPr>
                <w:b/>
                <w:caps/>
                <w:kern w:val="28"/>
                <w:sz w:val="30"/>
                <w:szCs w:val="24"/>
              </w:rPr>
            </w:pPr>
            <w:r>
              <w:t>3,8</w:t>
            </w:r>
          </w:p>
        </w:tc>
      </w:tr>
      <w:tr w:rsidR="00680EB7" w:rsidRPr="004950C9" w:rsidTr="00B0388B">
        <w:tc>
          <w:tcPr>
            <w:tcW w:w="3618" w:type="dxa"/>
          </w:tcPr>
          <w:p w:rsidR="00680EB7" w:rsidRPr="004950C9" w:rsidRDefault="00680EB7" w:rsidP="00D55196">
            <w:pPr>
              <w:jc w:val="left"/>
            </w:pPr>
            <w:r>
              <w:lastRenderedPageBreak/>
              <w:t>(34) Blütenstandsstiel: Länge vom Stengel bis zur ersten Hülse (mm)</w:t>
            </w:r>
          </w:p>
        </w:tc>
        <w:tc>
          <w:tcPr>
            <w:tcW w:w="910" w:type="dxa"/>
          </w:tcPr>
          <w:p w:rsidR="00680EB7" w:rsidRDefault="00680EB7" w:rsidP="00C6260C">
            <w:pPr>
              <w:tabs>
                <w:tab w:val="decimal" w:pos="423"/>
              </w:tabs>
              <w:jc w:val="left"/>
              <w:rPr>
                <w:b/>
                <w:caps/>
                <w:kern w:val="28"/>
                <w:sz w:val="30"/>
              </w:rPr>
            </w:pPr>
            <w:r>
              <w:t>72,9</w:t>
            </w:r>
          </w:p>
        </w:tc>
        <w:tc>
          <w:tcPr>
            <w:tcW w:w="1110" w:type="dxa"/>
          </w:tcPr>
          <w:p w:rsidR="00680EB7" w:rsidRDefault="00680EB7" w:rsidP="00C6260C">
            <w:pPr>
              <w:tabs>
                <w:tab w:val="decimal" w:pos="423"/>
              </w:tabs>
              <w:jc w:val="left"/>
              <w:rPr>
                <w:b/>
                <w:caps/>
                <w:kern w:val="28"/>
                <w:sz w:val="30"/>
              </w:rPr>
            </w:pPr>
            <w:r>
              <w:t>24,41</w:t>
            </w:r>
          </w:p>
        </w:tc>
        <w:tc>
          <w:tcPr>
            <w:tcW w:w="1220" w:type="dxa"/>
          </w:tcPr>
          <w:p w:rsidR="00680EB7" w:rsidRDefault="00680EB7" w:rsidP="00C6260C">
            <w:pPr>
              <w:tabs>
                <w:tab w:val="decimal" w:pos="423"/>
              </w:tabs>
              <w:jc w:val="left"/>
              <w:rPr>
                <w:b/>
                <w:caps/>
                <w:kern w:val="28"/>
                <w:sz w:val="30"/>
              </w:rPr>
            </w:pPr>
            <w:r>
              <w:t>12,0</w:t>
            </w:r>
          </w:p>
        </w:tc>
        <w:tc>
          <w:tcPr>
            <w:tcW w:w="1355" w:type="dxa"/>
          </w:tcPr>
          <w:p w:rsidR="00680EB7" w:rsidRDefault="00680EB7" w:rsidP="00C6260C">
            <w:pPr>
              <w:tabs>
                <w:tab w:val="decimal" w:pos="593"/>
              </w:tabs>
              <w:jc w:val="left"/>
              <w:rPr>
                <w:b/>
                <w:caps/>
                <w:kern w:val="28"/>
                <w:sz w:val="30"/>
              </w:rPr>
            </w:pPr>
            <w:r>
              <w:t>145,7</w:t>
            </w:r>
          </w:p>
        </w:tc>
        <w:tc>
          <w:tcPr>
            <w:tcW w:w="1437" w:type="dxa"/>
          </w:tcPr>
          <w:p w:rsidR="00680EB7" w:rsidRDefault="00680EB7" w:rsidP="00C6260C">
            <w:pPr>
              <w:widowControl w:val="0"/>
              <w:tabs>
                <w:tab w:val="decimal" w:pos="593"/>
              </w:tabs>
              <w:jc w:val="left"/>
              <w:rPr>
                <w:b/>
                <w:caps/>
                <w:kern w:val="28"/>
                <w:sz w:val="30"/>
                <w:szCs w:val="24"/>
              </w:rPr>
            </w:pPr>
            <w:r>
              <w:t>4,6</w:t>
            </w:r>
          </w:p>
        </w:tc>
      </w:tr>
      <w:tr w:rsidR="00680EB7" w:rsidRPr="004950C9" w:rsidTr="00B0388B">
        <w:tc>
          <w:tcPr>
            <w:tcW w:w="3618" w:type="dxa"/>
          </w:tcPr>
          <w:p w:rsidR="00680EB7" w:rsidRPr="004950C9" w:rsidRDefault="00680EB7" w:rsidP="00D55196">
            <w:pPr>
              <w:jc w:val="left"/>
            </w:pPr>
            <w:r>
              <w:t>(37) Hülse: Länge (mm)</w:t>
            </w:r>
          </w:p>
        </w:tc>
        <w:tc>
          <w:tcPr>
            <w:tcW w:w="910" w:type="dxa"/>
          </w:tcPr>
          <w:p w:rsidR="00680EB7" w:rsidRDefault="00680EB7" w:rsidP="00C6260C">
            <w:pPr>
              <w:tabs>
                <w:tab w:val="decimal" w:pos="423"/>
              </w:tabs>
              <w:jc w:val="left"/>
              <w:rPr>
                <w:b/>
                <w:caps/>
                <w:kern w:val="28"/>
                <w:sz w:val="30"/>
              </w:rPr>
            </w:pPr>
            <w:r>
              <w:t>79,1</w:t>
            </w:r>
          </w:p>
        </w:tc>
        <w:tc>
          <w:tcPr>
            <w:tcW w:w="1110" w:type="dxa"/>
          </w:tcPr>
          <w:p w:rsidR="00680EB7" w:rsidRDefault="00680EB7" w:rsidP="00C6260C">
            <w:pPr>
              <w:tabs>
                <w:tab w:val="decimal" w:pos="423"/>
              </w:tabs>
              <w:jc w:val="left"/>
              <w:rPr>
                <w:b/>
                <w:caps/>
                <w:kern w:val="28"/>
                <w:sz w:val="30"/>
              </w:rPr>
            </w:pPr>
            <w:r>
              <w:t>6,24</w:t>
            </w:r>
          </w:p>
        </w:tc>
        <w:tc>
          <w:tcPr>
            <w:tcW w:w="1220" w:type="dxa"/>
          </w:tcPr>
          <w:p w:rsidR="00680EB7" w:rsidRDefault="00680EB7" w:rsidP="00C6260C">
            <w:pPr>
              <w:tabs>
                <w:tab w:val="decimal" w:pos="423"/>
              </w:tabs>
              <w:jc w:val="left"/>
              <w:rPr>
                <w:b/>
                <w:caps/>
                <w:kern w:val="28"/>
                <w:sz w:val="30"/>
              </w:rPr>
            </w:pPr>
            <w:r>
              <w:t>63,3</w:t>
            </w:r>
          </w:p>
        </w:tc>
        <w:tc>
          <w:tcPr>
            <w:tcW w:w="1355" w:type="dxa"/>
          </w:tcPr>
          <w:p w:rsidR="00680EB7" w:rsidRDefault="00680EB7" w:rsidP="00C6260C">
            <w:pPr>
              <w:tabs>
                <w:tab w:val="decimal" w:pos="593"/>
              </w:tabs>
              <w:jc w:val="left"/>
              <w:rPr>
                <w:b/>
                <w:caps/>
                <w:kern w:val="28"/>
                <w:sz w:val="30"/>
              </w:rPr>
            </w:pPr>
            <w:r>
              <w:t>105,6</w:t>
            </w:r>
          </w:p>
        </w:tc>
        <w:tc>
          <w:tcPr>
            <w:tcW w:w="1437" w:type="dxa"/>
          </w:tcPr>
          <w:p w:rsidR="00680EB7" w:rsidRDefault="00680EB7" w:rsidP="00C6260C">
            <w:pPr>
              <w:widowControl w:val="0"/>
              <w:tabs>
                <w:tab w:val="decimal" w:pos="593"/>
              </w:tabs>
              <w:jc w:val="left"/>
              <w:rPr>
                <w:b/>
                <w:caps/>
                <w:kern w:val="28"/>
                <w:sz w:val="30"/>
                <w:szCs w:val="24"/>
              </w:rPr>
            </w:pPr>
            <w:r>
              <w:t>4,3</w:t>
            </w:r>
          </w:p>
        </w:tc>
      </w:tr>
      <w:tr w:rsidR="00680EB7" w:rsidRPr="004950C9" w:rsidTr="00B0388B">
        <w:tc>
          <w:tcPr>
            <w:tcW w:w="3618" w:type="dxa"/>
          </w:tcPr>
          <w:p w:rsidR="00680EB7" w:rsidRPr="004950C9" w:rsidRDefault="00680EB7" w:rsidP="00D55196">
            <w:pPr>
              <w:jc w:val="left"/>
            </w:pPr>
            <w:r>
              <w:t>(38) Hülse: Breite (mm)</w:t>
            </w:r>
          </w:p>
        </w:tc>
        <w:tc>
          <w:tcPr>
            <w:tcW w:w="910" w:type="dxa"/>
          </w:tcPr>
          <w:p w:rsidR="00680EB7" w:rsidRDefault="00680EB7" w:rsidP="00C6260C">
            <w:pPr>
              <w:tabs>
                <w:tab w:val="decimal" w:pos="423"/>
              </w:tabs>
              <w:jc w:val="left"/>
              <w:rPr>
                <w:b/>
                <w:caps/>
                <w:kern w:val="28"/>
                <w:sz w:val="30"/>
              </w:rPr>
            </w:pPr>
            <w:r>
              <w:t>13,9</w:t>
            </w:r>
          </w:p>
        </w:tc>
        <w:tc>
          <w:tcPr>
            <w:tcW w:w="1110" w:type="dxa"/>
          </w:tcPr>
          <w:p w:rsidR="00680EB7" w:rsidRDefault="00680EB7" w:rsidP="00C6260C">
            <w:pPr>
              <w:tabs>
                <w:tab w:val="decimal" w:pos="423"/>
              </w:tabs>
              <w:jc w:val="left"/>
              <w:rPr>
                <w:b/>
                <w:caps/>
                <w:kern w:val="28"/>
                <w:sz w:val="30"/>
              </w:rPr>
            </w:pPr>
            <w:r>
              <w:t>1,22</w:t>
            </w:r>
          </w:p>
        </w:tc>
        <w:tc>
          <w:tcPr>
            <w:tcW w:w="1220" w:type="dxa"/>
          </w:tcPr>
          <w:p w:rsidR="00680EB7" w:rsidRDefault="00680EB7" w:rsidP="00C6260C">
            <w:pPr>
              <w:tabs>
                <w:tab w:val="decimal" w:pos="423"/>
              </w:tabs>
              <w:jc w:val="left"/>
              <w:rPr>
                <w:b/>
                <w:caps/>
                <w:kern w:val="28"/>
                <w:sz w:val="30"/>
              </w:rPr>
            </w:pPr>
            <w:r>
              <w:t>10,5</w:t>
            </w:r>
          </w:p>
        </w:tc>
        <w:tc>
          <w:tcPr>
            <w:tcW w:w="1355" w:type="dxa"/>
          </w:tcPr>
          <w:p w:rsidR="00680EB7" w:rsidRDefault="00680EB7" w:rsidP="00C6260C">
            <w:pPr>
              <w:tabs>
                <w:tab w:val="decimal" w:pos="593"/>
              </w:tabs>
              <w:jc w:val="left"/>
              <w:rPr>
                <w:b/>
                <w:caps/>
                <w:kern w:val="28"/>
                <w:sz w:val="30"/>
              </w:rPr>
            </w:pPr>
            <w:r>
              <w:t>18,6</w:t>
            </w:r>
          </w:p>
        </w:tc>
        <w:tc>
          <w:tcPr>
            <w:tcW w:w="1437" w:type="dxa"/>
          </w:tcPr>
          <w:p w:rsidR="00680EB7" w:rsidRDefault="00680EB7" w:rsidP="00C6260C">
            <w:pPr>
              <w:widowControl w:val="0"/>
              <w:tabs>
                <w:tab w:val="decimal" w:pos="593"/>
              </w:tabs>
              <w:jc w:val="left"/>
              <w:rPr>
                <w:b/>
                <w:caps/>
                <w:kern w:val="28"/>
                <w:sz w:val="30"/>
                <w:szCs w:val="24"/>
              </w:rPr>
            </w:pPr>
            <w:r>
              <w:t>3,4</w:t>
            </w:r>
          </w:p>
        </w:tc>
      </w:tr>
      <w:tr w:rsidR="00680EB7" w:rsidRPr="004950C9" w:rsidTr="00B0388B">
        <w:tc>
          <w:tcPr>
            <w:tcW w:w="3618" w:type="dxa"/>
          </w:tcPr>
          <w:p w:rsidR="00680EB7" w:rsidRPr="004950C9" w:rsidRDefault="00680EB7" w:rsidP="00D55196">
            <w:pPr>
              <w:jc w:val="left"/>
            </w:pPr>
            <w:r>
              <w:t>(42)</w:t>
            </w:r>
            <w:r>
              <w:rPr>
                <w:vertAlign w:val="superscript"/>
              </w:rPr>
              <w:t>*</w:t>
            </w:r>
            <w:r>
              <w:t xml:space="preserve"> Hülse: Krümmung (1-9)</w:t>
            </w:r>
          </w:p>
        </w:tc>
        <w:tc>
          <w:tcPr>
            <w:tcW w:w="910" w:type="dxa"/>
          </w:tcPr>
          <w:p w:rsidR="00680EB7" w:rsidRDefault="00680EB7" w:rsidP="00C6260C">
            <w:pPr>
              <w:tabs>
                <w:tab w:val="decimal" w:pos="423"/>
              </w:tabs>
              <w:jc w:val="left"/>
              <w:rPr>
                <w:b/>
                <w:caps/>
                <w:kern w:val="28"/>
                <w:sz w:val="30"/>
              </w:rPr>
            </w:pPr>
            <w:r>
              <w:t>2,4</w:t>
            </w:r>
          </w:p>
        </w:tc>
        <w:tc>
          <w:tcPr>
            <w:tcW w:w="1110" w:type="dxa"/>
          </w:tcPr>
          <w:p w:rsidR="00680EB7" w:rsidRDefault="00680EB7" w:rsidP="00C6260C">
            <w:pPr>
              <w:tabs>
                <w:tab w:val="decimal" w:pos="423"/>
              </w:tabs>
              <w:jc w:val="left"/>
              <w:rPr>
                <w:b/>
                <w:caps/>
                <w:kern w:val="28"/>
                <w:sz w:val="30"/>
              </w:rPr>
            </w:pPr>
            <w:r>
              <w:t>0,58</w:t>
            </w:r>
          </w:p>
        </w:tc>
        <w:tc>
          <w:tcPr>
            <w:tcW w:w="1220" w:type="dxa"/>
          </w:tcPr>
          <w:p w:rsidR="00680EB7" w:rsidRDefault="00680EB7" w:rsidP="00C6260C">
            <w:pPr>
              <w:tabs>
                <w:tab w:val="decimal" w:pos="423"/>
              </w:tabs>
              <w:jc w:val="left"/>
              <w:rPr>
                <w:b/>
                <w:caps/>
                <w:kern w:val="28"/>
                <w:sz w:val="30"/>
              </w:rPr>
            </w:pPr>
            <w:r>
              <w:t>1,0</w:t>
            </w:r>
          </w:p>
        </w:tc>
        <w:tc>
          <w:tcPr>
            <w:tcW w:w="1355" w:type="dxa"/>
          </w:tcPr>
          <w:p w:rsidR="00680EB7" w:rsidRDefault="00680EB7" w:rsidP="00C6260C">
            <w:pPr>
              <w:tabs>
                <w:tab w:val="decimal" w:pos="593"/>
              </w:tabs>
              <w:jc w:val="left"/>
              <w:rPr>
                <w:b/>
                <w:caps/>
                <w:kern w:val="28"/>
                <w:sz w:val="30"/>
              </w:rPr>
            </w:pPr>
            <w:r>
              <w:t>5,5</w:t>
            </w:r>
          </w:p>
        </w:tc>
        <w:tc>
          <w:tcPr>
            <w:tcW w:w="1437" w:type="dxa"/>
          </w:tcPr>
          <w:p w:rsidR="00680EB7" w:rsidRDefault="00680EB7" w:rsidP="00C6260C">
            <w:pPr>
              <w:widowControl w:val="0"/>
              <w:tabs>
                <w:tab w:val="decimal" w:pos="593"/>
              </w:tabs>
              <w:jc w:val="left"/>
              <w:rPr>
                <w:b/>
                <w:caps/>
                <w:kern w:val="28"/>
                <w:sz w:val="30"/>
                <w:szCs w:val="24"/>
              </w:rPr>
            </w:pPr>
            <w:r>
              <w:t>2,5</w:t>
            </w:r>
          </w:p>
        </w:tc>
      </w:tr>
      <w:tr w:rsidR="00680EB7" w:rsidRPr="004950C9" w:rsidTr="00B0388B">
        <w:tc>
          <w:tcPr>
            <w:tcW w:w="3618" w:type="dxa"/>
          </w:tcPr>
          <w:p w:rsidR="00680EB7" w:rsidRPr="004950C9" w:rsidRDefault="00680EB7" w:rsidP="00D55196">
            <w:pPr>
              <w:jc w:val="left"/>
            </w:pPr>
            <w:r>
              <w:t>(46) Hülse: Anzahl Samenanlagen</w:t>
            </w:r>
          </w:p>
        </w:tc>
        <w:tc>
          <w:tcPr>
            <w:tcW w:w="910" w:type="dxa"/>
          </w:tcPr>
          <w:p w:rsidR="00680EB7" w:rsidRDefault="00680EB7" w:rsidP="00C6260C">
            <w:pPr>
              <w:tabs>
                <w:tab w:val="decimal" w:pos="423"/>
              </w:tabs>
              <w:jc w:val="left"/>
              <w:rPr>
                <w:b/>
                <w:caps/>
                <w:kern w:val="28"/>
                <w:sz w:val="30"/>
              </w:rPr>
            </w:pPr>
            <w:r>
              <w:t>8,2</w:t>
            </w:r>
          </w:p>
        </w:tc>
        <w:tc>
          <w:tcPr>
            <w:tcW w:w="1110" w:type="dxa"/>
          </w:tcPr>
          <w:p w:rsidR="00680EB7" w:rsidRDefault="00680EB7" w:rsidP="00C6260C">
            <w:pPr>
              <w:tabs>
                <w:tab w:val="decimal" w:pos="423"/>
              </w:tabs>
              <w:jc w:val="left"/>
              <w:rPr>
                <w:b/>
                <w:caps/>
                <w:kern w:val="28"/>
                <w:sz w:val="30"/>
              </w:rPr>
            </w:pPr>
            <w:r>
              <w:t>0,54</w:t>
            </w:r>
          </w:p>
        </w:tc>
        <w:tc>
          <w:tcPr>
            <w:tcW w:w="1220" w:type="dxa"/>
          </w:tcPr>
          <w:p w:rsidR="00680EB7" w:rsidRDefault="00680EB7" w:rsidP="00C6260C">
            <w:pPr>
              <w:tabs>
                <w:tab w:val="decimal" w:pos="423"/>
              </w:tabs>
              <w:jc w:val="left"/>
              <w:rPr>
                <w:b/>
                <w:caps/>
                <w:kern w:val="28"/>
                <w:sz w:val="30"/>
              </w:rPr>
            </w:pPr>
            <w:r>
              <w:t>6,0</w:t>
            </w:r>
          </w:p>
        </w:tc>
        <w:tc>
          <w:tcPr>
            <w:tcW w:w="1355" w:type="dxa"/>
          </w:tcPr>
          <w:p w:rsidR="00680EB7" w:rsidRDefault="00680EB7" w:rsidP="00C6260C">
            <w:pPr>
              <w:tabs>
                <w:tab w:val="decimal" w:pos="593"/>
              </w:tabs>
              <w:jc w:val="left"/>
              <w:rPr>
                <w:b/>
                <w:caps/>
                <w:kern w:val="28"/>
                <w:sz w:val="30"/>
              </w:rPr>
            </w:pPr>
            <w:r>
              <w:t>10,0</w:t>
            </w:r>
          </w:p>
        </w:tc>
        <w:tc>
          <w:tcPr>
            <w:tcW w:w="1437" w:type="dxa"/>
          </w:tcPr>
          <w:p w:rsidR="00680EB7" w:rsidRDefault="00680EB7" w:rsidP="00C6260C">
            <w:pPr>
              <w:widowControl w:val="0"/>
              <w:tabs>
                <w:tab w:val="decimal" w:pos="593"/>
              </w:tabs>
              <w:jc w:val="left"/>
              <w:rPr>
                <w:b/>
                <w:caps/>
                <w:kern w:val="28"/>
                <w:sz w:val="30"/>
                <w:szCs w:val="24"/>
              </w:rPr>
            </w:pPr>
            <w:r>
              <w:t>7,5</w:t>
            </w:r>
          </w:p>
        </w:tc>
      </w:tr>
      <w:tr w:rsidR="00680EB7" w:rsidRPr="004950C9" w:rsidTr="00B0388B">
        <w:tc>
          <w:tcPr>
            <w:tcW w:w="3618" w:type="dxa"/>
          </w:tcPr>
          <w:p w:rsidR="00680EB7" w:rsidRPr="004950C9" w:rsidRDefault="00680EB7" w:rsidP="00D55196">
            <w:pPr>
              <w:jc w:val="left"/>
            </w:pPr>
            <w:r>
              <w:t>(57)</w:t>
            </w:r>
            <w:r>
              <w:rPr>
                <w:rFonts w:hint="eastAsia"/>
                <w:vertAlign w:val="superscript"/>
              </w:rPr>
              <w:t xml:space="preserve">* </w:t>
            </w:r>
            <w:r>
              <w:t>Samen: Gewicht</w:t>
            </w:r>
          </w:p>
        </w:tc>
        <w:tc>
          <w:tcPr>
            <w:tcW w:w="910" w:type="dxa"/>
          </w:tcPr>
          <w:p w:rsidR="00680EB7" w:rsidRDefault="00680EB7" w:rsidP="00C6260C">
            <w:pPr>
              <w:tabs>
                <w:tab w:val="decimal" w:pos="423"/>
              </w:tabs>
              <w:jc w:val="left"/>
              <w:rPr>
                <w:b/>
                <w:caps/>
                <w:kern w:val="28"/>
                <w:sz w:val="30"/>
              </w:rPr>
            </w:pPr>
            <w:r>
              <w:t>28,1</w:t>
            </w:r>
          </w:p>
        </w:tc>
        <w:tc>
          <w:tcPr>
            <w:tcW w:w="1110" w:type="dxa"/>
          </w:tcPr>
          <w:p w:rsidR="00680EB7" w:rsidRDefault="00680EB7" w:rsidP="00C6260C">
            <w:pPr>
              <w:tabs>
                <w:tab w:val="decimal" w:pos="423"/>
              </w:tabs>
              <w:jc w:val="left"/>
              <w:rPr>
                <w:b/>
                <w:caps/>
                <w:kern w:val="28"/>
                <w:sz w:val="30"/>
              </w:rPr>
            </w:pPr>
            <w:r>
              <w:t>5,19</w:t>
            </w:r>
          </w:p>
        </w:tc>
        <w:tc>
          <w:tcPr>
            <w:tcW w:w="1220" w:type="dxa"/>
          </w:tcPr>
          <w:p w:rsidR="00680EB7" w:rsidRDefault="00680EB7" w:rsidP="00C6260C">
            <w:pPr>
              <w:tabs>
                <w:tab w:val="decimal" w:pos="423"/>
              </w:tabs>
              <w:jc w:val="left"/>
            </w:pPr>
            <w:r>
              <w:t>12,2</w:t>
            </w:r>
          </w:p>
        </w:tc>
        <w:tc>
          <w:tcPr>
            <w:tcW w:w="1355" w:type="dxa"/>
          </w:tcPr>
          <w:p w:rsidR="00680EB7" w:rsidRDefault="00680EB7" w:rsidP="00C6260C">
            <w:pPr>
              <w:tabs>
                <w:tab w:val="decimal" w:pos="593"/>
              </w:tabs>
              <w:jc w:val="left"/>
            </w:pPr>
            <w:r>
              <w:t>49,1</w:t>
            </w:r>
          </w:p>
        </w:tc>
        <w:tc>
          <w:tcPr>
            <w:tcW w:w="1437" w:type="dxa"/>
          </w:tcPr>
          <w:p w:rsidR="00680EB7" w:rsidRDefault="00680EB7" w:rsidP="00C6260C">
            <w:pPr>
              <w:widowControl w:val="0"/>
              <w:tabs>
                <w:tab w:val="decimal" w:pos="593"/>
              </w:tabs>
              <w:jc w:val="left"/>
              <w:rPr>
                <w:szCs w:val="24"/>
              </w:rPr>
            </w:pPr>
            <w:r>
              <w:t>5,7</w:t>
            </w:r>
          </w:p>
        </w:tc>
      </w:tr>
    </w:tbl>
    <w:p w:rsidR="00680EB7" w:rsidRPr="002C601B" w:rsidRDefault="00680EB7" w:rsidP="00B0388B">
      <w:pPr>
        <w:spacing w:before="60"/>
      </w:pPr>
      <w:r>
        <w:rPr>
          <w:sz w:val="22"/>
          <w:vertAlign w:val="superscript"/>
        </w:rPr>
        <w:t xml:space="preserve">* </w:t>
      </w:r>
      <w:r>
        <w:rPr>
          <w:sz w:val="18"/>
        </w:rPr>
        <w:t>Diese Merkmale w</w:t>
      </w:r>
      <w:r w:rsidR="00D55196">
        <w:rPr>
          <w:sz w:val="18"/>
        </w:rPr>
        <w:t>erden VG/MG erfaßt, weshalb</w:t>
      </w:r>
      <w:r>
        <w:rPr>
          <w:sz w:val="18"/>
        </w:rPr>
        <w:t xml:space="preserve"> eine ganzzahlige Toleranz angemessener</w:t>
      </w:r>
      <w:r w:rsidR="00D55196">
        <w:rPr>
          <w:sz w:val="18"/>
        </w:rPr>
        <w:t xml:space="preserve"> ist.</w:t>
      </w:r>
    </w:p>
    <w:p w:rsidR="00680EB7" w:rsidRDefault="00680EB7" w:rsidP="00680EB7"/>
    <w:p w:rsidR="00680EB7" w:rsidRDefault="00680EB7" w:rsidP="00680EB7"/>
    <w:p w:rsidR="00680EB7" w:rsidRDefault="00680EB7" w:rsidP="0042059A">
      <w:pPr>
        <w:keepNext/>
      </w:pPr>
      <w:r>
        <w:t>Tabelle 2. Schwellenwerte aus der ersten Wachstumsperiode, die Heterogenität über die Wachstumsperioden zulassen</w:t>
      </w:r>
      <w:r w:rsidR="008E4778">
        <w:t xml:space="preserve">. </w:t>
      </w:r>
      <w:r>
        <w:t xml:space="preserve">Zum Vergleich sind das Langzeit-2%-COYD-Kriterium, die derzeitigen erfahrungsbasierten vom Vereinigten Königreich verwendeten Toleranzen für die erste Wachstumsperiode und vorgeschlagene neue Toleranzen enthalten. </w:t>
      </w:r>
    </w:p>
    <w:p w:rsidR="00680EB7" w:rsidRPr="00463A17" w:rsidRDefault="00680EB7" w:rsidP="0042059A">
      <w:pPr>
        <w:keepNext/>
      </w:pPr>
    </w:p>
    <w:tbl>
      <w:tblPr>
        <w:tblStyle w:val="TableGrid"/>
        <w:tblW w:w="918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6"/>
        <w:gridCol w:w="1357"/>
        <w:gridCol w:w="1276"/>
        <w:gridCol w:w="1276"/>
        <w:gridCol w:w="1276"/>
        <w:gridCol w:w="1275"/>
        <w:gridCol w:w="1134"/>
      </w:tblGrid>
      <w:tr w:rsidR="00680EB7" w:rsidRPr="004950C9" w:rsidTr="00B0388B">
        <w:tc>
          <w:tcPr>
            <w:tcW w:w="1586" w:type="dxa"/>
            <w:tcBorders>
              <w:top w:val="single" w:sz="4" w:space="0" w:color="auto"/>
              <w:bottom w:val="single" w:sz="4" w:space="0" w:color="auto"/>
            </w:tcBorders>
          </w:tcPr>
          <w:p w:rsidR="00680EB7" w:rsidRPr="004950C9" w:rsidRDefault="00680EB7" w:rsidP="0042059A">
            <w:pPr>
              <w:keepNext/>
              <w:jc w:val="center"/>
            </w:pPr>
            <w:r>
              <w:t>Merkmal</w:t>
            </w:r>
          </w:p>
        </w:tc>
        <w:tc>
          <w:tcPr>
            <w:tcW w:w="1357" w:type="dxa"/>
            <w:tcBorders>
              <w:top w:val="single" w:sz="4" w:space="0" w:color="auto"/>
              <w:bottom w:val="single" w:sz="4" w:space="0" w:color="auto"/>
            </w:tcBorders>
          </w:tcPr>
          <w:p w:rsidR="00680EB7" w:rsidRPr="004950C9" w:rsidRDefault="00680EB7" w:rsidP="0042059A">
            <w:pPr>
              <w:keepNext/>
              <w:jc w:val="center"/>
            </w:pPr>
            <w:r>
              <w:t>Langzeit-COYD-Kriterium</w:t>
            </w:r>
          </w:p>
        </w:tc>
        <w:tc>
          <w:tcPr>
            <w:tcW w:w="1276" w:type="dxa"/>
            <w:tcBorders>
              <w:top w:val="single" w:sz="4" w:space="0" w:color="auto"/>
              <w:bottom w:val="single" w:sz="4" w:space="0" w:color="auto"/>
            </w:tcBorders>
          </w:tcPr>
          <w:p w:rsidR="00680EB7" w:rsidRPr="004950C9" w:rsidRDefault="00680EB7" w:rsidP="0042059A">
            <w:pPr>
              <w:keepNext/>
              <w:jc w:val="center"/>
            </w:pPr>
            <w:r>
              <w:t>Schwellen</w:t>
            </w:r>
            <w:r w:rsidR="00DC576D">
              <w:t>-</w:t>
            </w:r>
            <w:r>
              <w:t xml:space="preserve">wert mit </w:t>
            </w:r>
            <w:r>
              <w:rPr>
                <w:i/>
              </w:rPr>
              <w:t>p</w:t>
            </w:r>
            <w:r>
              <w:rPr>
                <w:i/>
                <w:vertAlign w:val="subscript"/>
              </w:rPr>
              <w:t>D</w:t>
            </w:r>
            <w:r>
              <w:t>=0,99</w:t>
            </w:r>
          </w:p>
        </w:tc>
        <w:tc>
          <w:tcPr>
            <w:tcW w:w="1276" w:type="dxa"/>
            <w:tcBorders>
              <w:top w:val="single" w:sz="4" w:space="0" w:color="auto"/>
              <w:bottom w:val="single" w:sz="4" w:space="0" w:color="auto"/>
            </w:tcBorders>
          </w:tcPr>
          <w:p w:rsidR="00680EB7" w:rsidRPr="004950C9" w:rsidRDefault="00680EB7" w:rsidP="0042059A">
            <w:pPr>
              <w:keepNext/>
              <w:jc w:val="center"/>
            </w:pPr>
            <w:r>
              <w:t>Schwellen</w:t>
            </w:r>
            <w:r w:rsidR="00DC576D">
              <w:t>-</w:t>
            </w:r>
            <w:r>
              <w:t xml:space="preserve">wert mit </w:t>
            </w:r>
            <w:r>
              <w:rPr>
                <w:i/>
              </w:rPr>
              <w:t>p</w:t>
            </w:r>
            <w:r>
              <w:rPr>
                <w:i/>
                <w:vertAlign w:val="subscript"/>
              </w:rPr>
              <w:t>D</w:t>
            </w:r>
            <w:r>
              <w:t>=0,95</w:t>
            </w:r>
          </w:p>
        </w:tc>
        <w:tc>
          <w:tcPr>
            <w:tcW w:w="1276" w:type="dxa"/>
            <w:tcBorders>
              <w:top w:val="single" w:sz="4" w:space="0" w:color="auto"/>
              <w:bottom w:val="single" w:sz="4" w:space="0" w:color="auto"/>
            </w:tcBorders>
          </w:tcPr>
          <w:p w:rsidR="00680EB7" w:rsidRPr="004950C9" w:rsidRDefault="00680EB7" w:rsidP="0042059A">
            <w:pPr>
              <w:keepNext/>
              <w:jc w:val="center"/>
            </w:pPr>
            <w:r>
              <w:t>Schwellen</w:t>
            </w:r>
            <w:r w:rsidR="00DC576D">
              <w:t>-</w:t>
            </w:r>
            <w:r>
              <w:t xml:space="preserve">wert mit </w:t>
            </w:r>
            <w:r>
              <w:rPr>
                <w:i/>
              </w:rPr>
              <w:t>p</w:t>
            </w:r>
            <w:r>
              <w:rPr>
                <w:i/>
                <w:vertAlign w:val="subscript"/>
              </w:rPr>
              <w:t>D</w:t>
            </w:r>
            <w:r>
              <w:t>=0,9</w:t>
            </w:r>
          </w:p>
        </w:tc>
        <w:tc>
          <w:tcPr>
            <w:tcW w:w="1275" w:type="dxa"/>
            <w:tcBorders>
              <w:top w:val="single" w:sz="4" w:space="0" w:color="auto"/>
              <w:bottom w:val="single" w:sz="4" w:space="0" w:color="auto"/>
            </w:tcBorders>
          </w:tcPr>
          <w:p w:rsidR="00680EB7" w:rsidRPr="004950C9" w:rsidRDefault="00680EB7" w:rsidP="0042059A">
            <w:pPr>
              <w:keepNext/>
              <w:jc w:val="center"/>
            </w:pPr>
            <w:r>
              <w:t>Derzeitige Toleranz des Vereinigten Königreichs</w:t>
            </w:r>
          </w:p>
        </w:tc>
        <w:tc>
          <w:tcPr>
            <w:tcW w:w="1134" w:type="dxa"/>
            <w:tcBorders>
              <w:top w:val="single" w:sz="4" w:space="0" w:color="auto"/>
              <w:bottom w:val="single" w:sz="4" w:space="0" w:color="auto"/>
            </w:tcBorders>
          </w:tcPr>
          <w:p w:rsidR="00680EB7" w:rsidRPr="004950C9" w:rsidRDefault="00680EB7" w:rsidP="0042059A">
            <w:pPr>
              <w:keepNext/>
              <w:jc w:val="center"/>
            </w:pPr>
            <w:r>
              <w:t>Vorge</w:t>
            </w:r>
            <w:r w:rsidR="00DC576D">
              <w:t>-</w:t>
            </w:r>
            <w:r>
              <w:t>schlagene neue Toleranz</w:t>
            </w:r>
          </w:p>
        </w:tc>
      </w:tr>
      <w:tr w:rsidR="00680EB7" w:rsidRPr="004950C9" w:rsidTr="00B0388B">
        <w:tc>
          <w:tcPr>
            <w:tcW w:w="1586" w:type="dxa"/>
            <w:tcBorders>
              <w:top w:val="single" w:sz="4" w:space="0" w:color="auto"/>
            </w:tcBorders>
          </w:tcPr>
          <w:p w:rsidR="00680EB7" w:rsidRPr="004950C9" w:rsidRDefault="00680EB7" w:rsidP="0042059A">
            <w:pPr>
              <w:keepNext/>
              <w:tabs>
                <w:tab w:val="decimal" w:pos="851"/>
              </w:tabs>
              <w:jc w:val="left"/>
            </w:pPr>
            <w:r>
              <w:t>5</w:t>
            </w:r>
          </w:p>
        </w:tc>
        <w:tc>
          <w:tcPr>
            <w:tcW w:w="1357" w:type="dxa"/>
            <w:tcBorders>
              <w:top w:val="single" w:sz="4" w:space="0" w:color="auto"/>
            </w:tcBorders>
          </w:tcPr>
          <w:p w:rsidR="00680EB7" w:rsidRPr="004950C9" w:rsidRDefault="00680EB7" w:rsidP="0042059A">
            <w:pPr>
              <w:keepNext/>
              <w:tabs>
                <w:tab w:val="decimal" w:pos="541"/>
              </w:tabs>
              <w:jc w:val="left"/>
            </w:pPr>
            <w:r>
              <w:t>0,93</w:t>
            </w:r>
          </w:p>
        </w:tc>
        <w:tc>
          <w:tcPr>
            <w:tcW w:w="1276" w:type="dxa"/>
            <w:tcBorders>
              <w:top w:val="single" w:sz="4" w:space="0" w:color="auto"/>
            </w:tcBorders>
          </w:tcPr>
          <w:p w:rsidR="00680EB7" w:rsidRPr="00B92EC9" w:rsidRDefault="00680EB7" w:rsidP="0042059A">
            <w:pPr>
              <w:keepNext/>
              <w:widowControl w:val="0"/>
              <w:jc w:val="right"/>
              <w:rPr>
                <w:szCs w:val="24"/>
              </w:rPr>
            </w:pPr>
            <w:r>
              <w:t>4,13</w:t>
            </w:r>
          </w:p>
        </w:tc>
        <w:tc>
          <w:tcPr>
            <w:tcW w:w="1276" w:type="dxa"/>
            <w:tcBorders>
              <w:top w:val="single" w:sz="4" w:space="0" w:color="auto"/>
            </w:tcBorders>
          </w:tcPr>
          <w:p w:rsidR="00680EB7" w:rsidRPr="00B92EC9" w:rsidRDefault="00680EB7" w:rsidP="0042059A">
            <w:pPr>
              <w:keepNext/>
              <w:widowControl w:val="0"/>
              <w:jc w:val="right"/>
              <w:rPr>
                <w:szCs w:val="24"/>
              </w:rPr>
            </w:pPr>
            <w:r>
              <w:t>1,81</w:t>
            </w:r>
          </w:p>
        </w:tc>
        <w:tc>
          <w:tcPr>
            <w:tcW w:w="1276" w:type="dxa"/>
            <w:tcBorders>
              <w:top w:val="single" w:sz="4" w:space="0" w:color="auto"/>
            </w:tcBorders>
          </w:tcPr>
          <w:p w:rsidR="00680EB7" w:rsidRPr="00B92EC9" w:rsidRDefault="00680EB7" w:rsidP="0042059A">
            <w:pPr>
              <w:keepNext/>
              <w:widowControl w:val="0"/>
              <w:jc w:val="right"/>
              <w:rPr>
                <w:szCs w:val="24"/>
              </w:rPr>
            </w:pPr>
            <w:r>
              <w:t>1,39</w:t>
            </w:r>
          </w:p>
        </w:tc>
        <w:tc>
          <w:tcPr>
            <w:tcW w:w="1275" w:type="dxa"/>
            <w:tcBorders>
              <w:top w:val="single" w:sz="4" w:space="0" w:color="auto"/>
            </w:tcBorders>
          </w:tcPr>
          <w:p w:rsidR="00680EB7" w:rsidRPr="004950C9" w:rsidRDefault="00680EB7" w:rsidP="0042059A">
            <w:pPr>
              <w:keepNext/>
              <w:tabs>
                <w:tab w:val="decimal" w:pos="666"/>
              </w:tabs>
              <w:jc w:val="right"/>
            </w:pPr>
            <w:r>
              <w:t>3</w:t>
            </w:r>
          </w:p>
        </w:tc>
        <w:tc>
          <w:tcPr>
            <w:tcW w:w="1134" w:type="dxa"/>
            <w:tcBorders>
              <w:top w:val="single" w:sz="4" w:space="0" w:color="auto"/>
            </w:tcBorders>
          </w:tcPr>
          <w:p w:rsidR="00680EB7" w:rsidRPr="004950C9" w:rsidRDefault="00680EB7" w:rsidP="0042059A">
            <w:pPr>
              <w:keepNext/>
              <w:tabs>
                <w:tab w:val="decimal" w:pos="459"/>
              </w:tabs>
              <w:jc w:val="right"/>
            </w:pPr>
            <w:r>
              <w:t>4,1</w:t>
            </w:r>
          </w:p>
        </w:tc>
      </w:tr>
      <w:tr w:rsidR="00680EB7" w:rsidRPr="004950C9" w:rsidTr="00B0388B">
        <w:tc>
          <w:tcPr>
            <w:tcW w:w="1586" w:type="dxa"/>
          </w:tcPr>
          <w:p w:rsidR="00680EB7" w:rsidRPr="004950C9" w:rsidRDefault="00680EB7" w:rsidP="0042059A">
            <w:pPr>
              <w:keepNext/>
              <w:tabs>
                <w:tab w:val="decimal" w:pos="851"/>
              </w:tabs>
              <w:jc w:val="left"/>
            </w:pPr>
            <w:r>
              <w:t>15</w:t>
            </w:r>
          </w:p>
        </w:tc>
        <w:tc>
          <w:tcPr>
            <w:tcW w:w="1357" w:type="dxa"/>
          </w:tcPr>
          <w:p w:rsidR="00680EB7" w:rsidRPr="004950C9" w:rsidRDefault="00680EB7" w:rsidP="0042059A">
            <w:pPr>
              <w:keepNext/>
              <w:tabs>
                <w:tab w:val="decimal" w:pos="541"/>
              </w:tabs>
              <w:jc w:val="left"/>
            </w:pPr>
            <w:r>
              <w:t>10,80</w:t>
            </w:r>
          </w:p>
        </w:tc>
        <w:tc>
          <w:tcPr>
            <w:tcW w:w="1276" w:type="dxa"/>
          </w:tcPr>
          <w:p w:rsidR="00680EB7" w:rsidRPr="00B92EC9" w:rsidRDefault="00680EB7" w:rsidP="0042059A">
            <w:pPr>
              <w:keepNext/>
              <w:widowControl w:val="0"/>
              <w:jc w:val="right"/>
              <w:rPr>
                <w:szCs w:val="24"/>
              </w:rPr>
            </w:pPr>
            <w:r>
              <w:t>23,38</w:t>
            </w:r>
          </w:p>
        </w:tc>
        <w:tc>
          <w:tcPr>
            <w:tcW w:w="1276" w:type="dxa"/>
          </w:tcPr>
          <w:p w:rsidR="00680EB7" w:rsidRPr="00B92EC9" w:rsidRDefault="00680EB7" w:rsidP="0042059A">
            <w:pPr>
              <w:keepNext/>
              <w:widowControl w:val="0"/>
              <w:jc w:val="right"/>
              <w:rPr>
                <w:szCs w:val="24"/>
              </w:rPr>
            </w:pPr>
            <w:r>
              <w:t>17,90</w:t>
            </w:r>
          </w:p>
        </w:tc>
        <w:tc>
          <w:tcPr>
            <w:tcW w:w="1276" w:type="dxa"/>
          </w:tcPr>
          <w:p w:rsidR="00680EB7" w:rsidRPr="00B92EC9" w:rsidRDefault="00680EB7" w:rsidP="0042059A">
            <w:pPr>
              <w:keepNext/>
              <w:widowControl w:val="0"/>
              <w:jc w:val="right"/>
              <w:rPr>
                <w:szCs w:val="24"/>
              </w:rPr>
            </w:pPr>
            <w:r>
              <w:t>15,70</w:t>
            </w:r>
          </w:p>
        </w:tc>
        <w:tc>
          <w:tcPr>
            <w:tcW w:w="1275" w:type="dxa"/>
          </w:tcPr>
          <w:p w:rsidR="00680EB7" w:rsidRPr="004950C9" w:rsidRDefault="00680EB7" w:rsidP="0042059A">
            <w:pPr>
              <w:keepNext/>
              <w:tabs>
                <w:tab w:val="decimal" w:pos="666"/>
              </w:tabs>
              <w:jc w:val="right"/>
            </w:pPr>
            <w:r>
              <w:t>25</w:t>
            </w:r>
          </w:p>
        </w:tc>
        <w:tc>
          <w:tcPr>
            <w:tcW w:w="1134" w:type="dxa"/>
          </w:tcPr>
          <w:p w:rsidR="00680EB7" w:rsidRPr="004950C9" w:rsidRDefault="00680EB7" w:rsidP="0042059A">
            <w:pPr>
              <w:keepNext/>
              <w:tabs>
                <w:tab w:val="decimal" w:pos="459"/>
              </w:tabs>
              <w:jc w:val="right"/>
            </w:pPr>
            <w:r>
              <w:t>23,4</w:t>
            </w:r>
          </w:p>
        </w:tc>
      </w:tr>
      <w:tr w:rsidR="00680EB7" w:rsidRPr="004950C9" w:rsidTr="00B0388B">
        <w:tc>
          <w:tcPr>
            <w:tcW w:w="1586" w:type="dxa"/>
          </w:tcPr>
          <w:p w:rsidR="00680EB7" w:rsidRPr="004950C9" w:rsidRDefault="00680EB7" w:rsidP="0042059A">
            <w:pPr>
              <w:keepNext/>
              <w:tabs>
                <w:tab w:val="decimal" w:pos="851"/>
              </w:tabs>
              <w:jc w:val="left"/>
            </w:pPr>
            <w:r>
              <w:t>16</w:t>
            </w:r>
          </w:p>
        </w:tc>
        <w:tc>
          <w:tcPr>
            <w:tcW w:w="1357" w:type="dxa"/>
          </w:tcPr>
          <w:p w:rsidR="00680EB7" w:rsidRPr="004950C9" w:rsidRDefault="00680EB7" w:rsidP="0042059A">
            <w:pPr>
              <w:keepNext/>
              <w:tabs>
                <w:tab w:val="decimal" w:pos="541"/>
              </w:tabs>
              <w:jc w:val="left"/>
            </w:pPr>
            <w:r>
              <w:t>6,95</w:t>
            </w:r>
          </w:p>
        </w:tc>
        <w:tc>
          <w:tcPr>
            <w:tcW w:w="1276" w:type="dxa"/>
          </w:tcPr>
          <w:p w:rsidR="00680EB7" w:rsidRPr="00B92EC9" w:rsidRDefault="00680EB7" w:rsidP="0042059A">
            <w:pPr>
              <w:keepNext/>
              <w:widowControl w:val="0"/>
              <w:jc w:val="right"/>
              <w:rPr>
                <w:szCs w:val="24"/>
              </w:rPr>
            </w:pPr>
            <w:r>
              <w:t>14,18</w:t>
            </w:r>
          </w:p>
        </w:tc>
        <w:tc>
          <w:tcPr>
            <w:tcW w:w="1276" w:type="dxa"/>
          </w:tcPr>
          <w:p w:rsidR="00680EB7" w:rsidRPr="00B92EC9" w:rsidRDefault="00680EB7" w:rsidP="0042059A">
            <w:pPr>
              <w:keepNext/>
              <w:widowControl w:val="0"/>
              <w:jc w:val="right"/>
              <w:rPr>
                <w:szCs w:val="24"/>
              </w:rPr>
            </w:pPr>
            <w:r>
              <w:t>11,15</w:t>
            </w:r>
          </w:p>
        </w:tc>
        <w:tc>
          <w:tcPr>
            <w:tcW w:w="1276" w:type="dxa"/>
          </w:tcPr>
          <w:p w:rsidR="00680EB7" w:rsidRPr="00B92EC9" w:rsidRDefault="00680EB7" w:rsidP="0042059A">
            <w:pPr>
              <w:keepNext/>
              <w:widowControl w:val="0"/>
              <w:jc w:val="right"/>
              <w:rPr>
                <w:szCs w:val="24"/>
              </w:rPr>
            </w:pPr>
            <w:r>
              <w:t>9,87</w:t>
            </w:r>
          </w:p>
        </w:tc>
        <w:tc>
          <w:tcPr>
            <w:tcW w:w="1275" w:type="dxa"/>
          </w:tcPr>
          <w:p w:rsidR="00680EB7" w:rsidRPr="004950C9" w:rsidRDefault="00680EB7" w:rsidP="0042059A">
            <w:pPr>
              <w:keepNext/>
              <w:tabs>
                <w:tab w:val="decimal" w:pos="666"/>
              </w:tabs>
              <w:jc w:val="right"/>
            </w:pPr>
            <w:r>
              <w:t>20</w:t>
            </w:r>
          </w:p>
        </w:tc>
        <w:tc>
          <w:tcPr>
            <w:tcW w:w="1134" w:type="dxa"/>
          </w:tcPr>
          <w:p w:rsidR="00680EB7" w:rsidRPr="004950C9" w:rsidRDefault="00680EB7" w:rsidP="0042059A">
            <w:pPr>
              <w:keepNext/>
              <w:tabs>
                <w:tab w:val="decimal" w:pos="459"/>
              </w:tabs>
              <w:jc w:val="right"/>
            </w:pPr>
            <w:r>
              <w:t>14,2</w:t>
            </w:r>
          </w:p>
        </w:tc>
      </w:tr>
      <w:tr w:rsidR="00680EB7" w:rsidRPr="004950C9" w:rsidTr="00B0388B">
        <w:tc>
          <w:tcPr>
            <w:tcW w:w="1586" w:type="dxa"/>
          </w:tcPr>
          <w:p w:rsidR="00680EB7" w:rsidRPr="004950C9" w:rsidRDefault="00680EB7" w:rsidP="0042059A">
            <w:pPr>
              <w:keepNext/>
              <w:tabs>
                <w:tab w:val="decimal" w:pos="851"/>
              </w:tabs>
              <w:jc w:val="left"/>
            </w:pPr>
            <w:r>
              <w:t>21*</w:t>
            </w:r>
          </w:p>
        </w:tc>
        <w:tc>
          <w:tcPr>
            <w:tcW w:w="1357" w:type="dxa"/>
          </w:tcPr>
          <w:p w:rsidR="00680EB7" w:rsidRPr="004950C9" w:rsidRDefault="00680EB7" w:rsidP="0042059A">
            <w:pPr>
              <w:keepNext/>
              <w:tabs>
                <w:tab w:val="decimal" w:pos="541"/>
              </w:tabs>
              <w:jc w:val="left"/>
            </w:pPr>
            <w:r>
              <w:t>0,95</w:t>
            </w:r>
          </w:p>
        </w:tc>
        <w:tc>
          <w:tcPr>
            <w:tcW w:w="1276" w:type="dxa"/>
          </w:tcPr>
          <w:p w:rsidR="00680EB7" w:rsidRPr="00B92EC9" w:rsidRDefault="00680EB7" w:rsidP="0042059A">
            <w:pPr>
              <w:keepNext/>
              <w:widowControl w:val="0"/>
              <w:jc w:val="right"/>
              <w:rPr>
                <w:szCs w:val="24"/>
              </w:rPr>
            </w:pPr>
            <w:r>
              <w:t>2,01</w:t>
            </w:r>
          </w:p>
        </w:tc>
        <w:tc>
          <w:tcPr>
            <w:tcW w:w="1276" w:type="dxa"/>
          </w:tcPr>
          <w:p w:rsidR="00680EB7" w:rsidRPr="00B92EC9" w:rsidRDefault="00680EB7" w:rsidP="0042059A">
            <w:pPr>
              <w:keepNext/>
              <w:widowControl w:val="0"/>
              <w:jc w:val="right"/>
              <w:rPr>
                <w:szCs w:val="24"/>
              </w:rPr>
            </w:pPr>
            <w:r>
              <w:t>1,56</w:t>
            </w:r>
          </w:p>
        </w:tc>
        <w:tc>
          <w:tcPr>
            <w:tcW w:w="1276" w:type="dxa"/>
          </w:tcPr>
          <w:p w:rsidR="00680EB7" w:rsidRPr="00B92EC9" w:rsidRDefault="00680EB7" w:rsidP="0042059A">
            <w:pPr>
              <w:keepNext/>
              <w:widowControl w:val="0"/>
              <w:jc w:val="right"/>
              <w:rPr>
                <w:szCs w:val="24"/>
              </w:rPr>
            </w:pPr>
            <w:r>
              <w:t>1,38</w:t>
            </w:r>
          </w:p>
        </w:tc>
        <w:tc>
          <w:tcPr>
            <w:tcW w:w="1275" w:type="dxa"/>
          </w:tcPr>
          <w:p w:rsidR="00680EB7" w:rsidRPr="004950C9" w:rsidRDefault="00680EB7" w:rsidP="0042059A">
            <w:pPr>
              <w:keepNext/>
              <w:tabs>
                <w:tab w:val="decimal" w:pos="666"/>
              </w:tabs>
              <w:jc w:val="right"/>
            </w:pPr>
            <w:r>
              <w:t>3</w:t>
            </w:r>
          </w:p>
        </w:tc>
        <w:tc>
          <w:tcPr>
            <w:tcW w:w="1134" w:type="dxa"/>
          </w:tcPr>
          <w:p w:rsidR="00680EB7" w:rsidRPr="004950C9" w:rsidRDefault="00680EB7" w:rsidP="0042059A">
            <w:pPr>
              <w:keepNext/>
              <w:tabs>
                <w:tab w:val="decimal" w:pos="459"/>
              </w:tabs>
              <w:jc w:val="right"/>
            </w:pPr>
            <w:r>
              <w:t xml:space="preserve">3 </w:t>
            </w:r>
          </w:p>
        </w:tc>
      </w:tr>
      <w:tr w:rsidR="00680EB7" w:rsidRPr="004950C9" w:rsidTr="00B0388B">
        <w:tc>
          <w:tcPr>
            <w:tcW w:w="1586" w:type="dxa"/>
          </w:tcPr>
          <w:p w:rsidR="00680EB7" w:rsidRPr="004950C9" w:rsidRDefault="00680EB7" w:rsidP="0042059A">
            <w:pPr>
              <w:keepNext/>
              <w:tabs>
                <w:tab w:val="decimal" w:pos="851"/>
              </w:tabs>
              <w:jc w:val="left"/>
            </w:pPr>
            <w:r>
              <w:t>22</w:t>
            </w:r>
          </w:p>
        </w:tc>
        <w:tc>
          <w:tcPr>
            <w:tcW w:w="1357" w:type="dxa"/>
          </w:tcPr>
          <w:p w:rsidR="00680EB7" w:rsidRPr="004950C9" w:rsidRDefault="00680EB7" w:rsidP="0042059A">
            <w:pPr>
              <w:keepNext/>
              <w:tabs>
                <w:tab w:val="decimal" w:pos="541"/>
              </w:tabs>
              <w:jc w:val="left"/>
            </w:pPr>
            <w:r>
              <w:t>12,61</w:t>
            </w:r>
          </w:p>
        </w:tc>
        <w:tc>
          <w:tcPr>
            <w:tcW w:w="1276" w:type="dxa"/>
          </w:tcPr>
          <w:p w:rsidR="00680EB7" w:rsidRPr="00B92EC9" w:rsidRDefault="00680EB7" w:rsidP="0042059A">
            <w:pPr>
              <w:keepNext/>
              <w:widowControl w:val="0"/>
              <w:jc w:val="right"/>
              <w:rPr>
                <w:szCs w:val="24"/>
              </w:rPr>
            </w:pPr>
            <w:r>
              <w:t>28,38</w:t>
            </w:r>
          </w:p>
        </w:tc>
        <w:tc>
          <w:tcPr>
            <w:tcW w:w="1276" w:type="dxa"/>
          </w:tcPr>
          <w:p w:rsidR="00680EB7" w:rsidRPr="00B92EC9" w:rsidRDefault="00680EB7" w:rsidP="0042059A">
            <w:pPr>
              <w:keepNext/>
              <w:widowControl w:val="0"/>
              <w:jc w:val="right"/>
              <w:rPr>
                <w:szCs w:val="24"/>
              </w:rPr>
            </w:pPr>
            <w:r>
              <w:t>21,31</w:t>
            </w:r>
          </w:p>
        </w:tc>
        <w:tc>
          <w:tcPr>
            <w:tcW w:w="1276" w:type="dxa"/>
          </w:tcPr>
          <w:p w:rsidR="00680EB7" w:rsidRPr="00B92EC9" w:rsidRDefault="00680EB7" w:rsidP="0042059A">
            <w:pPr>
              <w:keepNext/>
              <w:widowControl w:val="0"/>
              <w:jc w:val="right"/>
              <w:rPr>
                <w:szCs w:val="24"/>
              </w:rPr>
            </w:pPr>
            <w:r>
              <w:t>18,56</w:t>
            </w:r>
          </w:p>
        </w:tc>
        <w:tc>
          <w:tcPr>
            <w:tcW w:w="1275" w:type="dxa"/>
          </w:tcPr>
          <w:p w:rsidR="00680EB7" w:rsidRPr="004950C9" w:rsidRDefault="00680EB7" w:rsidP="0042059A">
            <w:pPr>
              <w:keepNext/>
              <w:tabs>
                <w:tab w:val="decimal" w:pos="666"/>
              </w:tabs>
              <w:jc w:val="right"/>
            </w:pPr>
            <w:r>
              <w:t>30</w:t>
            </w:r>
          </w:p>
        </w:tc>
        <w:tc>
          <w:tcPr>
            <w:tcW w:w="1134" w:type="dxa"/>
          </w:tcPr>
          <w:p w:rsidR="00680EB7" w:rsidRPr="004950C9" w:rsidRDefault="00680EB7" w:rsidP="0042059A">
            <w:pPr>
              <w:keepNext/>
              <w:tabs>
                <w:tab w:val="decimal" w:pos="459"/>
              </w:tabs>
              <w:jc w:val="right"/>
            </w:pPr>
            <w:r>
              <w:t>28,4</w:t>
            </w:r>
          </w:p>
        </w:tc>
      </w:tr>
      <w:tr w:rsidR="00680EB7" w:rsidRPr="004950C9" w:rsidTr="00B0388B">
        <w:tc>
          <w:tcPr>
            <w:tcW w:w="1586" w:type="dxa"/>
          </w:tcPr>
          <w:p w:rsidR="00680EB7" w:rsidRPr="004950C9" w:rsidRDefault="00680EB7" w:rsidP="0042059A">
            <w:pPr>
              <w:keepNext/>
              <w:tabs>
                <w:tab w:val="decimal" w:pos="851"/>
              </w:tabs>
              <w:jc w:val="left"/>
            </w:pPr>
            <w:r>
              <w:t>28</w:t>
            </w:r>
          </w:p>
        </w:tc>
        <w:tc>
          <w:tcPr>
            <w:tcW w:w="1357" w:type="dxa"/>
          </w:tcPr>
          <w:p w:rsidR="00680EB7" w:rsidRPr="004950C9" w:rsidRDefault="00680EB7" w:rsidP="0042059A">
            <w:pPr>
              <w:keepNext/>
              <w:tabs>
                <w:tab w:val="decimal" w:pos="541"/>
              </w:tabs>
              <w:jc w:val="left"/>
            </w:pPr>
            <w:r>
              <w:t>2,39</w:t>
            </w:r>
          </w:p>
        </w:tc>
        <w:tc>
          <w:tcPr>
            <w:tcW w:w="1276" w:type="dxa"/>
          </w:tcPr>
          <w:p w:rsidR="00680EB7" w:rsidRPr="00B92EC9" w:rsidRDefault="00680EB7" w:rsidP="0042059A">
            <w:pPr>
              <w:keepNext/>
              <w:widowControl w:val="0"/>
              <w:jc w:val="right"/>
              <w:rPr>
                <w:szCs w:val="24"/>
              </w:rPr>
            </w:pPr>
            <w:r>
              <w:t>5,99</w:t>
            </w:r>
          </w:p>
        </w:tc>
        <w:tc>
          <w:tcPr>
            <w:tcW w:w="1276" w:type="dxa"/>
          </w:tcPr>
          <w:p w:rsidR="00680EB7" w:rsidRPr="00B92EC9" w:rsidRDefault="00680EB7" w:rsidP="0042059A">
            <w:pPr>
              <w:keepNext/>
              <w:widowControl w:val="0"/>
              <w:jc w:val="right"/>
              <w:rPr>
                <w:szCs w:val="24"/>
              </w:rPr>
            </w:pPr>
            <w:r>
              <w:t>4,18</w:t>
            </w:r>
          </w:p>
        </w:tc>
        <w:tc>
          <w:tcPr>
            <w:tcW w:w="1276" w:type="dxa"/>
          </w:tcPr>
          <w:p w:rsidR="00680EB7" w:rsidRPr="00B92EC9" w:rsidRDefault="00680EB7" w:rsidP="0042059A">
            <w:pPr>
              <w:keepNext/>
              <w:widowControl w:val="0"/>
              <w:jc w:val="right"/>
              <w:rPr>
                <w:szCs w:val="24"/>
              </w:rPr>
            </w:pPr>
            <w:r>
              <w:t>3,56</w:t>
            </w:r>
          </w:p>
        </w:tc>
        <w:tc>
          <w:tcPr>
            <w:tcW w:w="1275" w:type="dxa"/>
          </w:tcPr>
          <w:p w:rsidR="00680EB7" w:rsidRPr="004950C9" w:rsidRDefault="00680EB7" w:rsidP="0042059A">
            <w:pPr>
              <w:keepNext/>
              <w:tabs>
                <w:tab w:val="decimal" w:pos="666"/>
              </w:tabs>
              <w:jc w:val="right"/>
            </w:pPr>
            <w:r>
              <w:t>12</w:t>
            </w:r>
          </w:p>
        </w:tc>
        <w:tc>
          <w:tcPr>
            <w:tcW w:w="1134" w:type="dxa"/>
          </w:tcPr>
          <w:p w:rsidR="00680EB7" w:rsidRPr="004950C9" w:rsidRDefault="00680EB7" w:rsidP="0042059A">
            <w:pPr>
              <w:keepNext/>
              <w:tabs>
                <w:tab w:val="decimal" w:pos="459"/>
              </w:tabs>
              <w:jc w:val="right"/>
            </w:pPr>
            <w:r>
              <w:t>6,0</w:t>
            </w:r>
          </w:p>
        </w:tc>
      </w:tr>
      <w:tr w:rsidR="00680EB7" w:rsidRPr="004950C9" w:rsidTr="00B0388B">
        <w:tc>
          <w:tcPr>
            <w:tcW w:w="1586" w:type="dxa"/>
          </w:tcPr>
          <w:p w:rsidR="00680EB7" w:rsidRPr="004950C9" w:rsidRDefault="00680EB7" w:rsidP="0042059A">
            <w:pPr>
              <w:keepNext/>
              <w:tabs>
                <w:tab w:val="decimal" w:pos="851"/>
              </w:tabs>
              <w:jc w:val="left"/>
            </w:pPr>
            <w:r>
              <w:t>29*</w:t>
            </w:r>
          </w:p>
        </w:tc>
        <w:tc>
          <w:tcPr>
            <w:tcW w:w="1357" w:type="dxa"/>
          </w:tcPr>
          <w:p w:rsidR="00680EB7" w:rsidRPr="004950C9" w:rsidRDefault="00680EB7" w:rsidP="0042059A">
            <w:pPr>
              <w:keepNext/>
              <w:tabs>
                <w:tab w:val="decimal" w:pos="541"/>
              </w:tabs>
              <w:jc w:val="left"/>
            </w:pPr>
            <w:r>
              <w:t>0,93</w:t>
            </w:r>
          </w:p>
        </w:tc>
        <w:tc>
          <w:tcPr>
            <w:tcW w:w="1276" w:type="dxa"/>
          </w:tcPr>
          <w:p w:rsidR="00680EB7" w:rsidRPr="00B92EC9" w:rsidRDefault="00680EB7" w:rsidP="0042059A">
            <w:pPr>
              <w:keepNext/>
              <w:widowControl w:val="0"/>
              <w:jc w:val="right"/>
              <w:rPr>
                <w:szCs w:val="24"/>
              </w:rPr>
            </w:pPr>
            <w:r>
              <w:t>1,96</w:t>
            </w:r>
          </w:p>
        </w:tc>
        <w:tc>
          <w:tcPr>
            <w:tcW w:w="1276" w:type="dxa"/>
          </w:tcPr>
          <w:p w:rsidR="00680EB7" w:rsidRPr="00B92EC9" w:rsidRDefault="00680EB7" w:rsidP="0042059A">
            <w:pPr>
              <w:keepNext/>
              <w:widowControl w:val="0"/>
              <w:jc w:val="right"/>
              <w:rPr>
                <w:szCs w:val="24"/>
              </w:rPr>
            </w:pPr>
            <w:r>
              <w:t>1,54</w:t>
            </w:r>
          </w:p>
        </w:tc>
        <w:tc>
          <w:tcPr>
            <w:tcW w:w="1276" w:type="dxa"/>
          </w:tcPr>
          <w:p w:rsidR="00680EB7" w:rsidRPr="00B92EC9" w:rsidRDefault="00680EB7" w:rsidP="0042059A">
            <w:pPr>
              <w:keepNext/>
              <w:widowControl w:val="0"/>
              <w:jc w:val="right"/>
              <w:rPr>
                <w:szCs w:val="24"/>
              </w:rPr>
            </w:pPr>
            <w:r>
              <w:t>1,37</w:t>
            </w:r>
          </w:p>
        </w:tc>
        <w:tc>
          <w:tcPr>
            <w:tcW w:w="1275" w:type="dxa"/>
          </w:tcPr>
          <w:p w:rsidR="00680EB7" w:rsidRPr="004950C9" w:rsidRDefault="00680EB7" w:rsidP="0042059A">
            <w:pPr>
              <w:keepNext/>
              <w:tabs>
                <w:tab w:val="decimal" w:pos="666"/>
              </w:tabs>
              <w:jc w:val="right"/>
            </w:pPr>
            <w:r>
              <w:t>2</w:t>
            </w:r>
          </w:p>
        </w:tc>
        <w:tc>
          <w:tcPr>
            <w:tcW w:w="1134" w:type="dxa"/>
          </w:tcPr>
          <w:p w:rsidR="00680EB7" w:rsidRPr="004950C9" w:rsidRDefault="00680EB7" w:rsidP="0042059A">
            <w:pPr>
              <w:keepNext/>
              <w:tabs>
                <w:tab w:val="decimal" w:pos="459"/>
              </w:tabs>
              <w:jc w:val="right"/>
            </w:pPr>
            <w:r>
              <w:t>2</w:t>
            </w:r>
          </w:p>
        </w:tc>
      </w:tr>
      <w:tr w:rsidR="00680EB7" w:rsidRPr="004950C9" w:rsidTr="00B0388B">
        <w:tc>
          <w:tcPr>
            <w:tcW w:w="1586" w:type="dxa"/>
          </w:tcPr>
          <w:p w:rsidR="00680EB7" w:rsidRPr="004950C9" w:rsidRDefault="00680EB7" w:rsidP="0042059A">
            <w:pPr>
              <w:keepNext/>
              <w:tabs>
                <w:tab w:val="decimal" w:pos="851"/>
              </w:tabs>
              <w:jc w:val="left"/>
            </w:pPr>
            <w:r>
              <w:t>34</w:t>
            </w:r>
          </w:p>
        </w:tc>
        <w:tc>
          <w:tcPr>
            <w:tcW w:w="1357" w:type="dxa"/>
          </w:tcPr>
          <w:p w:rsidR="00680EB7" w:rsidRPr="004950C9" w:rsidRDefault="00680EB7" w:rsidP="0042059A">
            <w:pPr>
              <w:keepNext/>
              <w:tabs>
                <w:tab w:val="decimal" w:pos="541"/>
              </w:tabs>
              <w:jc w:val="left"/>
            </w:pPr>
            <w:r>
              <w:t>19,61</w:t>
            </w:r>
          </w:p>
        </w:tc>
        <w:tc>
          <w:tcPr>
            <w:tcW w:w="1276" w:type="dxa"/>
          </w:tcPr>
          <w:p w:rsidR="00680EB7" w:rsidRPr="00B92EC9" w:rsidRDefault="00680EB7" w:rsidP="0042059A">
            <w:pPr>
              <w:keepNext/>
              <w:widowControl w:val="0"/>
              <w:jc w:val="right"/>
              <w:rPr>
                <w:szCs w:val="24"/>
              </w:rPr>
            </w:pPr>
            <w:r>
              <w:t>45,63</w:t>
            </w:r>
          </w:p>
        </w:tc>
        <w:tc>
          <w:tcPr>
            <w:tcW w:w="1276" w:type="dxa"/>
          </w:tcPr>
          <w:p w:rsidR="00680EB7" w:rsidRPr="00B92EC9" w:rsidRDefault="00680EB7" w:rsidP="0042059A">
            <w:pPr>
              <w:keepNext/>
              <w:widowControl w:val="0"/>
              <w:jc w:val="right"/>
              <w:rPr>
                <w:szCs w:val="24"/>
              </w:rPr>
            </w:pPr>
            <w:r>
              <w:t>33,46</w:t>
            </w:r>
          </w:p>
        </w:tc>
        <w:tc>
          <w:tcPr>
            <w:tcW w:w="1276" w:type="dxa"/>
          </w:tcPr>
          <w:p w:rsidR="00680EB7" w:rsidRPr="00B92EC9" w:rsidRDefault="00680EB7" w:rsidP="0042059A">
            <w:pPr>
              <w:keepNext/>
              <w:widowControl w:val="0"/>
              <w:jc w:val="right"/>
              <w:rPr>
                <w:szCs w:val="24"/>
              </w:rPr>
            </w:pPr>
            <w:r>
              <w:t>28,92</w:t>
            </w:r>
          </w:p>
        </w:tc>
        <w:tc>
          <w:tcPr>
            <w:tcW w:w="1275" w:type="dxa"/>
          </w:tcPr>
          <w:p w:rsidR="00680EB7" w:rsidRPr="004950C9" w:rsidRDefault="00680EB7" w:rsidP="0042059A">
            <w:pPr>
              <w:keepNext/>
              <w:tabs>
                <w:tab w:val="decimal" w:pos="666"/>
              </w:tabs>
              <w:jc w:val="right"/>
            </w:pPr>
            <w:r>
              <w:t>40</w:t>
            </w:r>
          </w:p>
        </w:tc>
        <w:tc>
          <w:tcPr>
            <w:tcW w:w="1134" w:type="dxa"/>
          </w:tcPr>
          <w:p w:rsidR="00680EB7" w:rsidRPr="004950C9" w:rsidRDefault="00680EB7" w:rsidP="0042059A">
            <w:pPr>
              <w:keepNext/>
              <w:tabs>
                <w:tab w:val="decimal" w:pos="459"/>
              </w:tabs>
              <w:jc w:val="right"/>
            </w:pPr>
            <w:r>
              <w:t>45,6</w:t>
            </w:r>
          </w:p>
        </w:tc>
      </w:tr>
      <w:tr w:rsidR="00680EB7" w:rsidRPr="004950C9" w:rsidTr="00B0388B">
        <w:tc>
          <w:tcPr>
            <w:tcW w:w="1586" w:type="dxa"/>
          </w:tcPr>
          <w:p w:rsidR="00680EB7" w:rsidRPr="004950C9" w:rsidRDefault="00680EB7" w:rsidP="0042059A">
            <w:pPr>
              <w:keepNext/>
              <w:tabs>
                <w:tab w:val="decimal" w:pos="851"/>
              </w:tabs>
              <w:jc w:val="left"/>
            </w:pPr>
            <w:r>
              <w:t>37</w:t>
            </w:r>
          </w:p>
        </w:tc>
        <w:tc>
          <w:tcPr>
            <w:tcW w:w="1357" w:type="dxa"/>
          </w:tcPr>
          <w:p w:rsidR="00680EB7" w:rsidRPr="004950C9" w:rsidRDefault="00680EB7" w:rsidP="0042059A">
            <w:pPr>
              <w:keepNext/>
              <w:tabs>
                <w:tab w:val="decimal" w:pos="541"/>
              </w:tabs>
              <w:jc w:val="left"/>
            </w:pPr>
            <w:r>
              <w:t>5,84</w:t>
            </w:r>
          </w:p>
        </w:tc>
        <w:tc>
          <w:tcPr>
            <w:tcW w:w="1276" w:type="dxa"/>
          </w:tcPr>
          <w:p w:rsidR="00680EB7" w:rsidRPr="00B92EC9" w:rsidRDefault="00680EB7" w:rsidP="0042059A">
            <w:pPr>
              <w:keepNext/>
              <w:widowControl w:val="0"/>
              <w:jc w:val="right"/>
              <w:rPr>
                <w:szCs w:val="24"/>
              </w:rPr>
            </w:pPr>
            <w:r>
              <w:t>12,56</w:t>
            </w:r>
          </w:p>
        </w:tc>
        <w:tc>
          <w:tcPr>
            <w:tcW w:w="1276" w:type="dxa"/>
          </w:tcPr>
          <w:p w:rsidR="00680EB7" w:rsidRPr="00B92EC9" w:rsidRDefault="00680EB7" w:rsidP="0042059A">
            <w:pPr>
              <w:keepNext/>
              <w:widowControl w:val="0"/>
              <w:jc w:val="right"/>
              <w:rPr>
                <w:szCs w:val="24"/>
              </w:rPr>
            </w:pPr>
            <w:r>
              <w:t>9,79</w:t>
            </w:r>
          </w:p>
        </w:tc>
        <w:tc>
          <w:tcPr>
            <w:tcW w:w="1276" w:type="dxa"/>
          </w:tcPr>
          <w:p w:rsidR="00680EB7" w:rsidRPr="00B92EC9" w:rsidRDefault="00680EB7" w:rsidP="0042059A">
            <w:pPr>
              <w:keepNext/>
              <w:widowControl w:val="0"/>
              <w:jc w:val="right"/>
              <w:rPr>
                <w:szCs w:val="24"/>
              </w:rPr>
            </w:pPr>
            <w:r>
              <w:t>8,64</w:t>
            </w:r>
          </w:p>
        </w:tc>
        <w:tc>
          <w:tcPr>
            <w:tcW w:w="1275" w:type="dxa"/>
          </w:tcPr>
          <w:p w:rsidR="00680EB7" w:rsidRPr="004950C9" w:rsidRDefault="00680EB7" w:rsidP="0042059A">
            <w:pPr>
              <w:keepNext/>
              <w:tabs>
                <w:tab w:val="decimal" w:pos="666"/>
              </w:tabs>
              <w:jc w:val="right"/>
            </w:pPr>
            <w:r>
              <w:t>20</w:t>
            </w:r>
          </w:p>
        </w:tc>
        <w:tc>
          <w:tcPr>
            <w:tcW w:w="1134" w:type="dxa"/>
          </w:tcPr>
          <w:p w:rsidR="00680EB7" w:rsidRPr="004950C9" w:rsidRDefault="00680EB7" w:rsidP="0042059A">
            <w:pPr>
              <w:keepNext/>
              <w:tabs>
                <w:tab w:val="decimal" w:pos="459"/>
              </w:tabs>
              <w:jc w:val="right"/>
            </w:pPr>
            <w:r>
              <w:t>12,6</w:t>
            </w:r>
          </w:p>
        </w:tc>
      </w:tr>
      <w:tr w:rsidR="00680EB7" w:rsidRPr="004950C9" w:rsidTr="00B0388B">
        <w:tc>
          <w:tcPr>
            <w:tcW w:w="1586" w:type="dxa"/>
          </w:tcPr>
          <w:p w:rsidR="00680EB7" w:rsidRPr="004950C9" w:rsidRDefault="00680EB7" w:rsidP="0042059A">
            <w:pPr>
              <w:keepNext/>
              <w:tabs>
                <w:tab w:val="decimal" w:pos="851"/>
              </w:tabs>
              <w:jc w:val="left"/>
            </w:pPr>
            <w:r>
              <w:t>38</w:t>
            </w:r>
          </w:p>
        </w:tc>
        <w:tc>
          <w:tcPr>
            <w:tcW w:w="1357" w:type="dxa"/>
          </w:tcPr>
          <w:p w:rsidR="00680EB7" w:rsidRPr="004950C9" w:rsidRDefault="00680EB7" w:rsidP="0042059A">
            <w:pPr>
              <w:keepNext/>
              <w:tabs>
                <w:tab w:val="decimal" w:pos="541"/>
              </w:tabs>
              <w:jc w:val="left"/>
            </w:pPr>
            <w:r>
              <w:t>0,97</w:t>
            </w:r>
          </w:p>
        </w:tc>
        <w:tc>
          <w:tcPr>
            <w:tcW w:w="1276" w:type="dxa"/>
          </w:tcPr>
          <w:p w:rsidR="00680EB7" w:rsidRPr="00B92EC9" w:rsidRDefault="00680EB7" w:rsidP="0042059A">
            <w:pPr>
              <w:keepNext/>
              <w:widowControl w:val="0"/>
              <w:jc w:val="right"/>
              <w:rPr>
                <w:szCs w:val="24"/>
              </w:rPr>
            </w:pPr>
            <w:r>
              <w:t>2,00</w:t>
            </w:r>
          </w:p>
        </w:tc>
        <w:tc>
          <w:tcPr>
            <w:tcW w:w="1276" w:type="dxa"/>
          </w:tcPr>
          <w:p w:rsidR="00680EB7" w:rsidRPr="00B92EC9" w:rsidRDefault="00680EB7" w:rsidP="0042059A">
            <w:pPr>
              <w:keepNext/>
              <w:widowControl w:val="0"/>
              <w:jc w:val="right"/>
              <w:rPr>
                <w:szCs w:val="24"/>
              </w:rPr>
            </w:pPr>
            <w:r>
              <w:t>1,59</w:t>
            </w:r>
          </w:p>
        </w:tc>
        <w:tc>
          <w:tcPr>
            <w:tcW w:w="1276" w:type="dxa"/>
          </w:tcPr>
          <w:p w:rsidR="00680EB7" w:rsidRPr="00B92EC9" w:rsidRDefault="00680EB7" w:rsidP="0042059A">
            <w:pPr>
              <w:keepNext/>
              <w:widowControl w:val="0"/>
              <w:jc w:val="right"/>
              <w:rPr>
                <w:szCs w:val="24"/>
              </w:rPr>
            </w:pPr>
            <w:r>
              <w:t>1,42</w:t>
            </w:r>
          </w:p>
        </w:tc>
        <w:tc>
          <w:tcPr>
            <w:tcW w:w="1275" w:type="dxa"/>
          </w:tcPr>
          <w:p w:rsidR="00680EB7" w:rsidRPr="004950C9" w:rsidRDefault="00680EB7" w:rsidP="0042059A">
            <w:pPr>
              <w:keepNext/>
              <w:tabs>
                <w:tab w:val="decimal" w:pos="666"/>
              </w:tabs>
              <w:jc w:val="right"/>
            </w:pPr>
            <w:r>
              <w:t>2</w:t>
            </w:r>
          </w:p>
        </w:tc>
        <w:tc>
          <w:tcPr>
            <w:tcW w:w="1134" w:type="dxa"/>
          </w:tcPr>
          <w:p w:rsidR="00680EB7" w:rsidRPr="004950C9" w:rsidRDefault="00680EB7" w:rsidP="0042059A">
            <w:pPr>
              <w:keepNext/>
              <w:tabs>
                <w:tab w:val="decimal" w:pos="459"/>
              </w:tabs>
              <w:jc w:val="right"/>
            </w:pPr>
            <w:r>
              <w:t>2,0</w:t>
            </w:r>
          </w:p>
        </w:tc>
      </w:tr>
      <w:tr w:rsidR="00680EB7" w:rsidRPr="004950C9" w:rsidTr="00B0388B">
        <w:tc>
          <w:tcPr>
            <w:tcW w:w="1586" w:type="dxa"/>
          </w:tcPr>
          <w:p w:rsidR="00680EB7" w:rsidRPr="004950C9" w:rsidRDefault="00680EB7" w:rsidP="0042059A">
            <w:pPr>
              <w:keepNext/>
              <w:tabs>
                <w:tab w:val="decimal" w:pos="851"/>
              </w:tabs>
              <w:jc w:val="left"/>
            </w:pPr>
            <w:r>
              <w:t>42*</w:t>
            </w:r>
          </w:p>
        </w:tc>
        <w:tc>
          <w:tcPr>
            <w:tcW w:w="1357" w:type="dxa"/>
          </w:tcPr>
          <w:p w:rsidR="00680EB7" w:rsidRPr="004950C9" w:rsidRDefault="00680EB7" w:rsidP="0042059A">
            <w:pPr>
              <w:keepNext/>
              <w:tabs>
                <w:tab w:val="decimal" w:pos="541"/>
              </w:tabs>
              <w:jc w:val="left"/>
            </w:pPr>
            <w:r>
              <w:t>0,83</w:t>
            </w:r>
          </w:p>
        </w:tc>
        <w:tc>
          <w:tcPr>
            <w:tcW w:w="1276" w:type="dxa"/>
          </w:tcPr>
          <w:p w:rsidR="00680EB7" w:rsidRPr="00B92EC9" w:rsidRDefault="00680EB7" w:rsidP="0042059A">
            <w:pPr>
              <w:keepNext/>
              <w:widowControl w:val="0"/>
              <w:jc w:val="right"/>
              <w:rPr>
                <w:szCs w:val="24"/>
              </w:rPr>
            </w:pPr>
            <w:r>
              <w:t>1,66</w:t>
            </w:r>
          </w:p>
        </w:tc>
        <w:tc>
          <w:tcPr>
            <w:tcW w:w="1276" w:type="dxa"/>
          </w:tcPr>
          <w:p w:rsidR="00680EB7" w:rsidRPr="00B92EC9" w:rsidRDefault="00680EB7" w:rsidP="0042059A">
            <w:pPr>
              <w:keepNext/>
              <w:widowControl w:val="0"/>
              <w:jc w:val="right"/>
              <w:rPr>
                <w:szCs w:val="24"/>
              </w:rPr>
            </w:pPr>
            <w:r>
              <w:t>1,31</w:t>
            </w:r>
          </w:p>
        </w:tc>
        <w:tc>
          <w:tcPr>
            <w:tcW w:w="1276" w:type="dxa"/>
          </w:tcPr>
          <w:p w:rsidR="00680EB7" w:rsidRPr="00B92EC9" w:rsidRDefault="00680EB7" w:rsidP="0042059A">
            <w:pPr>
              <w:keepNext/>
              <w:widowControl w:val="0"/>
              <w:jc w:val="right"/>
              <w:rPr>
                <w:szCs w:val="24"/>
              </w:rPr>
            </w:pPr>
            <w:r>
              <w:t>1,16</w:t>
            </w:r>
          </w:p>
        </w:tc>
        <w:tc>
          <w:tcPr>
            <w:tcW w:w="1275" w:type="dxa"/>
          </w:tcPr>
          <w:p w:rsidR="00680EB7" w:rsidRPr="004950C9" w:rsidRDefault="00680EB7" w:rsidP="0042059A">
            <w:pPr>
              <w:keepNext/>
              <w:tabs>
                <w:tab w:val="decimal" w:pos="666"/>
              </w:tabs>
              <w:jc w:val="right"/>
            </w:pPr>
            <w:r>
              <w:t>2</w:t>
            </w:r>
          </w:p>
        </w:tc>
        <w:tc>
          <w:tcPr>
            <w:tcW w:w="1134" w:type="dxa"/>
          </w:tcPr>
          <w:p w:rsidR="00680EB7" w:rsidRPr="004950C9" w:rsidRDefault="00680EB7" w:rsidP="0042059A">
            <w:pPr>
              <w:keepNext/>
              <w:tabs>
                <w:tab w:val="decimal" w:pos="459"/>
              </w:tabs>
              <w:jc w:val="right"/>
            </w:pPr>
            <w:r>
              <w:t>2</w:t>
            </w:r>
          </w:p>
        </w:tc>
      </w:tr>
      <w:tr w:rsidR="00680EB7" w:rsidRPr="004950C9" w:rsidTr="00B0388B">
        <w:tc>
          <w:tcPr>
            <w:tcW w:w="1586" w:type="dxa"/>
          </w:tcPr>
          <w:p w:rsidR="00680EB7" w:rsidRPr="004950C9" w:rsidRDefault="00680EB7" w:rsidP="0042059A">
            <w:pPr>
              <w:keepNext/>
              <w:tabs>
                <w:tab w:val="decimal" w:pos="851"/>
              </w:tabs>
              <w:jc w:val="left"/>
            </w:pPr>
            <w:r>
              <w:t>46</w:t>
            </w:r>
          </w:p>
        </w:tc>
        <w:tc>
          <w:tcPr>
            <w:tcW w:w="1357" w:type="dxa"/>
          </w:tcPr>
          <w:p w:rsidR="00680EB7" w:rsidRPr="004950C9" w:rsidRDefault="00680EB7" w:rsidP="0042059A">
            <w:pPr>
              <w:keepNext/>
              <w:tabs>
                <w:tab w:val="decimal" w:pos="541"/>
              </w:tabs>
              <w:jc w:val="left"/>
            </w:pPr>
            <w:r>
              <w:t>0,47</w:t>
            </w:r>
          </w:p>
        </w:tc>
        <w:tc>
          <w:tcPr>
            <w:tcW w:w="1276" w:type="dxa"/>
          </w:tcPr>
          <w:p w:rsidR="00680EB7" w:rsidRPr="00B92EC9" w:rsidRDefault="00680EB7" w:rsidP="0042059A">
            <w:pPr>
              <w:keepNext/>
              <w:widowControl w:val="0"/>
              <w:jc w:val="right"/>
              <w:rPr>
                <w:szCs w:val="24"/>
              </w:rPr>
            </w:pPr>
            <w:r>
              <w:t>1,03</w:t>
            </w:r>
          </w:p>
        </w:tc>
        <w:tc>
          <w:tcPr>
            <w:tcW w:w="1276" w:type="dxa"/>
          </w:tcPr>
          <w:p w:rsidR="00680EB7" w:rsidRPr="00B92EC9" w:rsidRDefault="00680EB7" w:rsidP="0042059A">
            <w:pPr>
              <w:keepNext/>
              <w:widowControl w:val="0"/>
              <w:jc w:val="right"/>
              <w:rPr>
                <w:szCs w:val="24"/>
              </w:rPr>
            </w:pPr>
            <w:r>
              <w:t>0,77</w:t>
            </w:r>
          </w:p>
        </w:tc>
        <w:tc>
          <w:tcPr>
            <w:tcW w:w="1276" w:type="dxa"/>
          </w:tcPr>
          <w:p w:rsidR="00680EB7" w:rsidRPr="00B92EC9" w:rsidRDefault="00680EB7" w:rsidP="0042059A">
            <w:pPr>
              <w:keepNext/>
              <w:widowControl w:val="0"/>
              <w:jc w:val="right"/>
              <w:rPr>
                <w:szCs w:val="24"/>
              </w:rPr>
            </w:pPr>
            <w:r>
              <w:t>0,67</w:t>
            </w:r>
          </w:p>
        </w:tc>
        <w:tc>
          <w:tcPr>
            <w:tcW w:w="1275" w:type="dxa"/>
          </w:tcPr>
          <w:p w:rsidR="00680EB7" w:rsidRPr="004950C9" w:rsidRDefault="00680EB7" w:rsidP="0042059A">
            <w:pPr>
              <w:keepNext/>
              <w:tabs>
                <w:tab w:val="decimal" w:pos="666"/>
              </w:tabs>
              <w:jc w:val="right"/>
            </w:pPr>
            <w:r>
              <w:t>2</w:t>
            </w:r>
          </w:p>
        </w:tc>
        <w:tc>
          <w:tcPr>
            <w:tcW w:w="1134" w:type="dxa"/>
          </w:tcPr>
          <w:p w:rsidR="00680EB7" w:rsidRPr="004950C9" w:rsidRDefault="00680EB7" w:rsidP="0042059A">
            <w:pPr>
              <w:keepNext/>
              <w:tabs>
                <w:tab w:val="decimal" w:pos="459"/>
              </w:tabs>
              <w:jc w:val="right"/>
            </w:pPr>
            <w:r>
              <w:t>1,0</w:t>
            </w:r>
          </w:p>
        </w:tc>
      </w:tr>
      <w:tr w:rsidR="00680EB7" w:rsidRPr="004950C9" w:rsidTr="00B0388B">
        <w:tc>
          <w:tcPr>
            <w:tcW w:w="1586" w:type="dxa"/>
          </w:tcPr>
          <w:p w:rsidR="00680EB7" w:rsidRPr="004950C9" w:rsidRDefault="00680EB7" w:rsidP="0042059A">
            <w:pPr>
              <w:keepNext/>
              <w:tabs>
                <w:tab w:val="decimal" w:pos="851"/>
              </w:tabs>
              <w:jc w:val="left"/>
            </w:pPr>
            <w:r>
              <w:t>57</w:t>
            </w:r>
          </w:p>
        </w:tc>
        <w:tc>
          <w:tcPr>
            <w:tcW w:w="1357" w:type="dxa"/>
          </w:tcPr>
          <w:p w:rsidR="00680EB7" w:rsidRPr="004950C9" w:rsidRDefault="00680EB7" w:rsidP="0042059A">
            <w:pPr>
              <w:keepNext/>
              <w:tabs>
                <w:tab w:val="decimal" w:pos="541"/>
              </w:tabs>
              <w:jc w:val="left"/>
            </w:pPr>
            <w:r>
              <w:t>4,03</w:t>
            </w:r>
          </w:p>
        </w:tc>
        <w:tc>
          <w:tcPr>
            <w:tcW w:w="1276" w:type="dxa"/>
          </w:tcPr>
          <w:p w:rsidR="00680EB7" w:rsidRPr="00B92EC9" w:rsidRDefault="00680EB7" w:rsidP="0042059A">
            <w:pPr>
              <w:keepNext/>
              <w:widowControl w:val="0"/>
              <w:jc w:val="right"/>
              <w:rPr>
                <w:szCs w:val="24"/>
              </w:rPr>
            </w:pPr>
            <w:r>
              <w:t>9,70</w:t>
            </w:r>
          </w:p>
        </w:tc>
        <w:tc>
          <w:tcPr>
            <w:tcW w:w="1276" w:type="dxa"/>
          </w:tcPr>
          <w:p w:rsidR="00680EB7" w:rsidRPr="00B92EC9" w:rsidRDefault="00680EB7" w:rsidP="0042059A">
            <w:pPr>
              <w:keepNext/>
              <w:widowControl w:val="0"/>
              <w:jc w:val="right"/>
              <w:rPr>
                <w:szCs w:val="24"/>
              </w:rPr>
            </w:pPr>
            <w:r>
              <w:t>7,01</w:t>
            </w:r>
          </w:p>
        </w:tc>
        <w:tc>
          <w:tcPr>
            <w:tcW w:w="1276" w:type="dxa"/>
          </w:tcPr>
          <w:p w:rsidR="00680EB7" w:rsidRPr="00B92EC9" w:rsidRDefault="00680EB7" w:rsidP="0042059A">
            <w:pPr>
              <w:keepNext/>
              <w:widowControl w:val="0"/>
              <w:jc w:val="right"/>
              <w:rPr>
                <w:szCs w:val="24"/>
              </w:rPr>
            </w:pPr>
            <w:r>
              <w:t>6,02</w:t>
            </w:r>
          </w:p>
        </w:tc>
        <w:tc>
          <w:tcPr>
            <w:tcW w:w="1275" w:type="dxa"/>
          </w:tcPr>
          <w:p w:rsidR="00680EB7" w:rsidRPr="004950C9" w:rsidRDefault="00680EB7" w:rsidP="0042059A">
            <w:pPr>
              <w:keepNext/>
              <w:tabs>
                <w:tab w:val="decimal" w:pos="666"/>
              </w:tabs>
              <w:jc w:val="right"/>
            </w:pPr>
            <w:r>
              <w:t>8</w:t>
            </w:r>
          </w:p>
        </w:tc>
        <w:tc>
          <w:tcPr>
            <w:tcW w:w="1134" w:type="dxa"/>
          </w:tcPr>
          <w:p w:rsidR="00680EB7" w:rsidRPr="004950C9" w:rsidRDefault="00680EB7" w:rsidP="0042059A">
            <w:pPr>
              <w:keepNext/>
              <w:tabs>
                <w:tab w:val="decimal" w:pos="459"/>
              </w:tabs>
              <w:jc w:val="right"/>
            </w:pPr>
            <w:r>
              <w:t>9,7</w:t>
            </w:r>
          </w:p>
        </w:tc>
      </w:tr>
    </w:tbl>
    <w:p w:rsidR="00680EB7" w:rsidRPr="002C601B" w:rsidRDefault="00680EB7" w:rsidP="00B0388B">
      <w:pPr>
        <w:keepNext/>
        <w:spacing w:before="60"/>
      </w:pPr>
      <w:r>
        <w:rPr>
          <w:sz w:val="22"/>
          <w:vertAlign w:val="superscript"/>
        </w:rPr>
        <w:t xml:space="preserve">* </w:t>
      </w:r>
      <w:r>
        <w:rPr>
          <w:sz w:val="18"/>
        </w:rPr>
        <w:t xml:space="preserve">Diese Merkmale werden VG/MG </w:t>
      </w:r>
      <w:r w:rsidR="00D55196">
        <w:rPr>
          <w:sz w:val="18"/>
        </w:rPr>
        <w:t>erfaßt, weshalb eine ganzzahlige Toleranz angemessener ist.</w:t>
      </w:r>
    </w:p>
    <w:p w:rsidR="00680EB7" w:rsidRPr="00463A17" w:rsidRDefault="00680EB7" w:rsidP="00680EB7"/>
    <w:p w:rsidR="00680EB7" w:rsidRDefault="00680EB7" w:rsidP="00680EB7"/>
    <w:p w:rsidR="00680EB7" w:rsidRDefault="00680EB7" w:rsidP="00680EB7">
      <w:r w:rsidRPr="007B07B2">
        <w:fldChar w:fldCharType="begin"/>
      </w:r>
      <w:r w:rsidRPr="007B07B2">
        <w:instrText xml:space="preserve"> AUTONUM  </w:instrText>
      </w:r>
      <w:r w:rsidRPr="007B07B2">
        <w:fldChar w:fldCharType="end"/>
      </w:r>
      <w:r>
        <w:tab/>
        <w:t>Die Schwellenwerte der ersten Wachstumsperiode sind immer größer als das COYD-Kriterium</w:t>
      </w:r>
      <w:r w:rsidR="008E4778">
        <w:t xml:space="preserve">. </w:t>
      </w:r>
      <w:r w:rsidR="00521E28">
        <w:t>Das Ausm</w:t>
      </w:r>
      <w:r>
        <w:t>aß, zu dem sie größer sind, hängt, insbesondere für größere pD-Werte</w:t>
      </w:r>
      <w:r w:rsidR="00521E28">
        <w:t>,</w:t>
      </w:r>
      <w:r>
        <w:t xml:space="preserve"> vom vorhandenen Heterogenitätsgrad ab. </w:t>
      </w:r>
    </w:p>
    <w:p w:rsidR="00680EB7" w:rsidRPr="00FD5B01" w:rsidRDefault="00680EB7" w:rsidP="00680EB7"/>
    <w:p w:rsidR="00680EB7" w:rsidRDefault="00680EB7" w:rsidP="00680EB7">
      <w:r w:rsidRPr="007B07B2">
        <w:fldChar w:fldCharType="begin"/>
      </w:r>
      <w:r w:rsidRPr="007B07B2">
        <w:instrText xml:space="preserve"> AUTONUM  </w:instrText>
      </w:r>
      <w:r w:rsidRPr="007B07B2">
        <w:fldChar w:fldCharType="end"/>
      </w:r>
      <w:r>
        <w:tab/>
        <w:t>Die oben angeführten Ergebnisse sind eine Aktualisierung der Ergebnisse, die in TWC/33/20 Rev. dargelegt wurden</w:t>
      </w:r>
      <w:r w:rsidR="008E4778">
        <w:t xml:space="preserve">. </w:t>
      </w:r>
      <w:r>
        <w:t>Zur Bestimmung des Effekts der Verwendung von Toleranzen, wurde der Futtererbsen-Datensatz dazu verwendet, die Auswirkungen von Erstjahres-Entscheidungen basierend auf bestehenden und berechneten Toleranzen zu studieren.</w:t>
      </w:r>
    </w:p>
    <w:p w:rsidR="00680EB7" w:rsidRDefault="00680EB7" w:rsidP="00680EB7"/>
    <w:p w:rsidR="00680EB7" w:rsidRDefault="00680EB7" w:rsidP="00680EB7">
      <w:r w:rsidRPr="007B07B2">
        <w:fldChar w:fldCharType="begin"/>
      </w:r>
      <w:r w:rsidRPr="007B07B2">
        <w:instrText xml:space="preserve"> AUTONUM  </w:instrText>
      </w:r>
      <w:r w:rsidRPr="007B07B2">
        <w:fldChar w:fldCharType="end"/>
      </w:r>
      <w:r>
        <w:tab/>
        <w:t>Für jedes Merkmal wurden Erstjahres-Entscheidungen mit COYD-Entscheidungen in jeweils zwei aufeinanderfolgenden Jahren verglichen (1995-96, 1996-97, 1997-98 usw.)</w:t>
      </w:r>
      <w:r w:rsidR="008E4778">
        <w:t>.</w:t>
      </w:r>
      <w:r w:rsidR="006D69B5">
        <w:t xml:space="preserve"> </w:t>
      </w:r>
      <w:r w:rsidR="008E4778">
        <w:t xml:space="preserve"> </w:t>
      </w:r>
      <w:r>
        <w:t>Zur Beurteilung der unterschiedlichen Schwellenwerte wurden Fehlerraten berechnet.</w:t>
      </w:r>
    </w:p>
    <w:p w:rsidR="00680EB7" w:rsidRPr="00FD5B01" w:rsidRDefault="00680EB7" w:rsidP="00680EB7"/>
    <w:p w:rsidR="00680EB7" w:rsidRDefault="00521E28" w:rsidP="007C4C95">
      <w:pPr>
        <w:ind w:left="1134" w:hanging="567"/>
      </w:pPr>
      <w:r>
        <w:t>•</w:t>
      </w:r>
      <w:r>
        <w:tab/>
        <w:t>Falsch-positiv-Rate: dies ist die Häufigkeit, mit</w:t>
      </w:r>
      <w:r w:rsidR="00680EB7">
        <w:t xml:space="preserve"> der der Erstjahres-Schwellenwert für jedes Merkmal angab, daß eine Sorte von einer </w:t>
      </w:r>
      <w:r>
        <w:t>anderen Sorte unterscheidbar sei</w:t>
      </w:r>
      <w:r w:rsidR="00680EB7">
        <w:t xml:space="preserve">, wenn die darauffolgende Zweitjahresentscheidung </w:t>
      </w:r>
      <w:r>
        <w:rPr>
          <w:rFonts w:cs="Arial"/>
        </w:rPr>
        <w:t>'</w:t>
      </w:r>
      <w:r w:rsidR="00680EB7">
        <w:t>nicht unterscheidbar</w:t>
      </w:r>
      <w:r>
        <w:rPr>
          <w:rFonts w:cs="Arial"/>
        </w:rPr>
        <w:t>'</w:t>
      </w:r>
      <w:r w:rsidR="00680EB7">
        <w:t xml:space="preserve"> lautete</w:t>
      </w:r>
      <w:r w:rsidR="008E4778">
        <w:t xml:space="preserve">. </w:t>
      </w:r>
      <w:r w:rsidR="006D69B5">
        <w:t xml:space="preserve"> </w:t>
      </w:r>
      <w:r w:rsidR="00680EB7">
        <w:t xml:space="preserve">Dies zeigt die Kehrseite </w:t>
      </w:r>
      <w:r w:rsidR="00680EB7">
        <w:lastRenderedPageBreak/>
        <w:t>des Treffens sehr früher Entscheidungen: manchmal könnte ein Sortenpaar im</w:t>
      </w:r>
      <w:r>
        <w:t xml:space="preserve"> ersten Jahr als unterscheidbar</w:t>
      </w:r>
      <w:r w:rsidR="00680EB7">
        <w:t xml:space="preserve"> erklärt werden und sich späte</w:t>
      </w:r>
      <w:r>
        <w:t>r dann als nicht unterscheidbar</w:t>
      </w:r>
      <w:r w:rsidR="004C1748">
        <w:t xml:space="preserve"> erweis</w:t>
      </w:r>
      <w:r w:rsidR="00680EB7">
        <w:t>en</w:t>
      </w:r>
      <w:r w:rsidR="008E4778">
        <w:t xml:space="preserve">. </w:t>
      </w:r>
      <w:r w:rsidR="006D69B5">
        <w:t xml:space="preserve"> </w:t>
      </w:r>
      <w:r w:rsidR="00680EB7">
        <w:t>Die</w:t>
      </w:r>
      <w:r w:rsidR="006D69B5">
        <w:t> </w:t>
      </w:r>
      <w:r w:rsidR="00680EB7">
        <w:t>Falsch-positiv-Rate ist für höhere Schwellenwerte geringer.</w:t>
      </w:r>
    </w:p>
    <w:p w:rsidR="00680EB7" w:rsidRPr="00FD5B01" w:rsidRDefault="00680EB7" w:rsidP="007C4C95">
      <w:pPr>
        <w:ind w:left="1134" w:hanging="567"/>
      </w:pPr>
    </w:p>
    <w:p w:rsidR="00680EB7" w:rsidRPr="00FD5B01" w:rsidRDefault="00680EB7" w:rsidP="007C4C95">
      <w:pPr>
        <w:ind w:left="1134" w:hanging="567"/>
      </w:pPr>
      <w:r>
        <w:t>•</w:t>
      </w:r>
      <w:r>
        <w:tab/>
        <w:t xml:space="preserve">Falsch-negativ-Rate ist die Häufigkeit, mit der die Entscheidung nach dem ersten Jahr </w:t>
      </w:r>
      <w:r w:rsidR="004C1748">
        <w:rPr>
          <w:rFonts w:cs="Arial"/>
        </w:rPr>
        <w:t>'</w:t>
      </w:r>
      <w:r>
        <w:t>nicht unterscheidbar</w:t>
      </w:r>
      <w:r w:rsidR="004C1748">
        <w:rPr>
          <w:rFonts w:cs="Arial"/>
        </w:rPr>
        <w:t>'</w:t>
      </w:r>
      <w:r>
        <w:t xml:space="preserve"> lautete, im zweiten Jahr dann </w:t>
      </w:r>
      <w:r w:rsidR="00521E28">
        <w:t xml:space="preserve">aber </w:t>
      </w:r>
      <w:r w:rsidR="004C1748">
        <w:rPr>
          <w:rFonts w:cs="Arial"/>
        </w:rPr>
        <w:t>'</w:t>
      </w:r>
      <w:r>
        <w:t>unterscheidbar</w:t>
      </w:r>
      <w:r w:rsidR="004C1748">
        <w:rPr>
          <w:rFonts w:cs="Arial"/>
        </w:rPr>
        <w:t>'</w:t>
      </w:r>
      <w:r w:rsidR="008E4778">
        <w:t>.</w:t>
      </w:r>
      <w:r w:rsidR="006D69B5">
        <w:t xml:space="preserve"> </w:t>
      </w:r>
      <w:r w:rsidR="008E4778">
        <w:t xml:space="preserve"> </w:t>
      </w:r>
      <w:r>
        <w:t>Das gibt einen Eindruck davon, wie nützlich der Schwellenwert in der Praxis sein könnte, wobei niedrigere Raten angeben, daß nach dem ersten Jahr mehr Sortenpaare al</w:t>
      </w:r>
      <w:r w:rsidR="00521E28">
        <w:t>s unterscheidbar befunden</w:t>
      </w:r>
      <w:r>
        <w:t xml:space="preserve"> würden</w:t>
      </w:r>
      <w:r w:rsidR="008E4778">
        <w:t xml:space="preserve">. </w:t>
      </w:r>
    </w:p>
    <w:p w:rsidR="00680EB7" w:rsidRPr="00FD5B01" w:rsidRDefault="00680EB7" w:rsidP="00680EB7"/>
    <w:p w:rsidR="00680EB7" w:rsidRPr="00FD5B01" w:rsidRDefault="00680EB7" w:rsidP="00680EB7">
      <w:r w:rsidRPr="007B07B2">
        <w:fldChar w:fldCharType="begin"/>
      </w:r>
      <w:r w:rsidRPr="007B07B2">
        <w:instrText xml:space="preserve"> AUTONUM  </w:instrText>
      </w:r>
      <w:r w:rsidRPr="007B07B2">
        <w:fldChar w:fldCharType="end"/>
      </w:r>
      <w:r>
        <w:tab/>
        <w:t>Die Ergebnisse dieser Studie sind in den Tabellen 3 und 4 angeführt</w:t>
      </w:r>
      <w:r w:rsidR="008E4778">
        <w:t xml:space="preserve">. </w:t>
      </w:r>
      <w:r w:rsidR="006D69B5">
        <w:t xml:space="preserve"> </w:t>
      </w:r>
      <w:r>
        <w:t>Diese Ergebnisse sollten mit Vorsicht interpretiert werden, da üblicherweise Vergleichssorten, die nach dem ersten Jahr in mindestens einem Merkmal eindeutig von der Kandidatensorte verschieden waren, aus weiteren Vergleichen entfernt werden</w:t>
      </w:r>
      <w:r w:rsidR="008E4778">
        <w:t xml:space="preserve">. </w:t>
      </w:r>
      <w:r w:rsidR="006D69B5">
        <w:t xml:space="preserve"> </w:t>
      </w:r>
      <w:r>
        <w:t xml:space="preserve">Allerdings wäre die Folge dieser Auslese, eine pessimistische Sicht der Leistung der berechneten Schwellenwerte (Falsch-negativ-Raten) zu geben. </w:t>
      </w:r>
    </w:p>
    <w:p w:rsidR="00680EB7" w:rsidRPr="00FD5B01" w:rsidRDefault="00680EB7" w:rsidP="00680EB7"/>
    <w:p w:rsidR="00680EB7" w:rsidRPr="00FD5B01" w:rsidRDefault="00680EB7" w:rsidP="00680EB7">
      <w:r w:rsidRPr="007B07B2">
        <w:fldChar w:fldCharType="begin"/>
      </w:r>
      <w:r w:rsidRPr="007B07B2">
        <w:instrText xml:space="preserve"> AUTONUM  </w:instrText>
      </w:r>
      <w:r w:rsidRPr="007B07B2">
        <w:fldChar w:fldCharType="end"/>
      </w:r>
      <w:r>
        <w:tab/>
        <w:t>Die Rate der Falsch-Positiven war sehr gering, insbesondere mit der bestehenden Toleranz des Vereinigten Königreichs und mit dem berechneten Schwellenwert pD von 0,99</w:t>
      </w:r>
      <w:r w:rsidR="008E4778">
        <w:t xml:space="preserve">. </w:t>
      </w:r>
      <w:r w:rsidR="006D69B5">
        <w:t xml:space="preserve"> </w:t>
      </w:r>
      <w:r>
        <w:t xml:space="preserve">Es ist anzumerken, daß es schwierig ist, eine Falsch-positiv-Rate von 0% zu erreichen, </w:t>
      </w:r>
      <w:r w:rsidR="00521E28">
        <w:t xml:space="preserve">und zwar </w:t>
      </w:r>
      <w:r>
        <w:t>ganz einfach weil das COYD-Kriterium über zwei Jahre an sich der Variabilität unterliegt.</w:t>
      </w:r>
    </w:p>
    <w:p w:rsidR="00680EB7" w:rsidRPr="00FD5B01" w:rsidRDefault="00680EB7" w:rsidP="00680EB7"/>
    <w:p w:rsidR="00680EB7" w:rsidRDefault="00680EB7" w:rsidP="00680EB7">
      <w:r w:rsidRPr="007B07B2">
        <w:fldChar w:fldCharType="begin"/>
      </w:r>
      <w:r w:rsidRPr="007B07B2">
        <w:instrText xml:space="preserve"> AUTONUM  </w:instrText>
      </w:r>
      <w:r w:rsidRPr="007B07B2">
        <w:fldChar w:fldCharType="end"/>
      </w:r>
      <w:r>
        <w:tab/>
        <w:t>Die Nützlichkeit der Toleranzen wird von den Falsch-negativ-Raten dargestellt</w:t>
      </w:r>
      <w:r w:rsidR="008E4778">
        <w:t xml:space="preserve">. </w:t>
      </w:r>
      <w:r w:rsidR="006D69B5">
        <w:t xml:space="preserve"> </w:t>
      </w:r>
      <w:r>
        <w:t>Anhand der berechneten Toleranzen mit niedrigeren pD-Werten werden im ersten Jahr mehr unterscheidbare Sortenpaare ausfindig gemacht</w:t>
      </w:r>
      <w:r w:rsidR="008E4778">
        <w:t xml:space="preserve">. </w:t>
      </w:r>
      <w:r w:rsidR="006D69B5">
        <w:t xml:space="preserve"> </w:t>
      </w:r>
      <w:r>
        <w:t xml:space="preserve">Performanz variiert sehr stark zwischen Merkmalen. </w:t>
      </w:r>
      <w:r w:rsidR="006D69B5">
        <w:t xml:space="preserve"> </w:t>
      </w:r>
      <w:r>
        <w:t>So haben die Merkmale 29, 46 und 57 beispielsweise</w:t>
      </w:r>
      <w:r w:rsidR="00D55196">
        <w:t>,</w:t>
      </w:r>
      <w:r>
        <w:t xml:space="preserve"> selbst wenn pD 0,99 ist</w:t>
      </w:r>
      <w:r w:rsidR="00D55196">
        <w:t>,</w:t>
      </w:r>
      <w:r>
        <w:t xml:space="preserve"> sehr niedrige Falsch-negativ-Raten</w:t>
      </w:r>
      <w:r w:rsidR="008E4778">
        <w:t xml:space="preserve">. </w:t>
      </w:r>
      <w:r w:rsidR="006D69B5">
        <w:t xml:space="preserve"> </w:t>
      </w:r>
      <w:r>
        <w:t>Es ist daran zu erinnern, daß diese Raten aufgrund der Auslese im Beispieldatensatz wahrscheinlich eher pessimistisch sind.</w:t>
      </w:r>
    </w:p>
    <w:p w:rsidR="00680EB7" w:rsidRPr="00FD5B01" w:rsidRDefault="00680EB7" w:rsidP="00680EB7"/>
    <w:p w:rsidR="00680EB7" w:rsidRPr="00FD5B01" w:rsidRDefault="00680EB7" w:rsidP="00680EB7">
      <w:r w:rsidRPr="007B07B2">
        <w:fldChar w:fldCharType="begin"/>
      </w:r>
      <w:r w:rsidRPr="007B07B2">
        <w:instrText xml:space="preserve"> AUTONUM  </w:instrText>
      </w:r>
      <w:r w:rsidRPr="007B07B2">
        <w:fldChar w:fldCharType="end"/>
      </w:r>
      <w:r>
        <w:tab/>
        <w:t>Die Wahl eines geeigneten pD-Werts für die Festlegung von Toleranzen beinhaltet das Ausbalancieren der mit Falsch-positiven u</w:t>
      </w:r>
      <w:r w:rsidR="00D55196">
        <w:t>nd -negativen verbundenen Risik</w:t>
      </w:r>
      <w:r>
        <w:t>en</w:t>
      </w:r>
      <w:r w:rsidR="008E4778">
        <w:t xml:space="preserve">. </w:t>
      </w:r>
      <w:r w:rsidR="006D69B5">
        <w:t xml:space="preserve"> </w:t>
      </w:r>
      <w:r>
        <w:t>Im Falle des Vereinigten Königreichs wurde ei</w:t>
      </w:r>
      <w:r w:rsidR="00D55196">
        <w:t>n konservativer Ansatz gewählt</w:t>
      </w:r>
      <w:r w:rsidR="008E4778">
        <w:t xml:space="preserve">. </w:t>
      </w:r>
      <w:r w:rsidR="006D69B5">
        <w:t xml:space="preserve"> </w:t>
      </w:r>
      <w:r>
        <w:t>Die berechneten Schwellenwerte, bei denen die Unterscheidbarkeitswahrscheinlichkeit auf 0,99 angesetzt war, wiesen annehmbare Falsch-positiv- und Falsch-negativ-Niveaus auf</w:t>
      </w:r>
      <w:r w:rsidR="008E4778">
        <w:t xml:space="preserve">. </w:t>
      </w:r>
      <w:r>
        <w:t>Ausgehend von den berechneten Sc</w:t>
      </w:r>
      <w:r w:rsidR="004C1748">
        <w:t>hwellenwerten mit pD bei 99% schlug</w:t>
      </w:r>
      <w:r>
        <w:t xml:space="preserve"> der Pflanzensachverständige also bei DUS-Prüfungen für Futtererbse mit halb blattlosen Sorten im Vereinigten Königreich die Verwendung neuer Erst</w:t>
      </w:r>
      <w:r w:rsidR="004C1748">
        <w:t>-Jahres-Toleranzen vor</w:t>
      </w:r>
      <w:r>
        <w:t xml:space="preserve"> (Tabelle 2)</w:t>
      </w:r>
      <w:r w:rsidR="008E4778">
        <w:t>.</w:t>
      </w:r>
      <w:r w:rsidR="004C4DF6">
        <w:t xml:space="preserve"> </w:t>
      </w:r>
      <w:r w:rsidR="008E4778">
        <w:t xml:space="preserve"> </w:t>
      </w:r>
      <w:r>
        <w:t>Zu beachten ist, daß die Toleranzen für einbezogene MG/VG-Merkmale (21, 29 und 42) nicht auf den berechneten Schwellenwerten basieren. Dennoch geben diese Berechnungen Vertrauen in die derzeit verwendeten Toleranzen.</w:t>
      </w:r>
    </w:p>
    <w:p w:rsidR="00680EB7" w:rsidRDefault="00680EB7" w:rsidP="00680EB7"/>
    <w:p w:rsidR="0042059A" w:rsidRDefault="0042059A" w:rsidP="00680EB7"/>
    <w:p w:rsidR="00680EB7" w:rsidRPr="00FD5B01" w:rsidRDefault="00680EB7" w:rsidP="00680EB7">
      <w:pPr>
        <w:widowControl w:val="0"/>
        <w:rPr>
          <w:szCs w:val="24"/>
        </w:rPr>
      </w:pPr>
      <w:r>
        <w:t xml:space="preserve">Tabelle 3. Häufigkeit, mit der die Erstjahres-Schwellenwerte beim Futtererbsen-Datensatz aus dem Vereinigten Königreich anzeigten, daß eine Kandidatensorte von einer anderen Sorte unterscheidbar sei, wenn die darauffolgende COYD-Entscheidung im Futtererbsen-Datensatz </w:t>
      </w:r>
      <w:r w:rsidR="00521E28">
        <w:rPr>
          <w:rFonts w:cs="Arial"/>
        </w:rPr>
        <w:t>'</w:t>
      </w:r>
      <w:r>
        <w:t>nicht unterscheidbar</w:t>
      </w:r>
      <w:r w:rsidR="00521E28">
        <w:rPr>
          <w:rFonts w:cs="Arial"/>
        </w:rPr>
        <w:t>'</w:t>
      </w:r>
      <w:r>
        <w:t xml:space="preserve"> lautete (falsch-negativ) </w:t>
      </w:r>
    </w:p>
    <w:p w:rsidR="00680EB7" w:rsidRPr="00B92EC9" w:rsidRDefault="00680EB7" w:rsidP="00680EB7">
      <w:pPr>
        <w:widowControl w:val="0"/>
        <w:rPr>
          <w:i/>
          <w:szCs w:val="24"/>
        </w:rPr>
      </w:pP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1621"/>
        <w:gridCol w:w="1689"/>
        <w:gridCol w:w="1701"/>
        <w:gridCol w:w="1417"/>
      </w:tblGrid>
      <w:tr w:rsidR="00680EB7" w:rsidRPr="00B92EC9" w:rsidTr="00B0388B">
        <w:tc>
          <w:tcPr>
            <w:tcW w:w="1618" w:type="dxa"/>
            <w:tcBorders>
              <w:top w:val="single" w:sz="4" w:space="0" w:color="auto"/>
              <w:bottom w:val="single" w:sz="4" w:space="0" w:color="auto"/>
            </w:tcBorders>
          </w:tcPr>
          <w:p w:rsidR="00680EB7" w:rsidRPr="00B92EC9" w:rsidRDefault="00680EB7" w:rsidP="00C6260C">
            <w:pPr>
              <w:widowControl w:val="0"/>
              <w:jc w:val="center"/>
              <w:rPr>
                <w:szCs w:val="24"/>
              </w:rPr>
            </w:pPr>
            <w:r>
              <w:t>Merkmal</w:t>
            </w:r>
          </w:p>
        </w:tc>
        <w:tc>
          <w:tcPr>
            <w:tcW w:w="1621" w:type="dxa"/>
            <w:tcBorders>
              <w:top w:val="single" w:sz="4" w:space="0" w:color="auto"/>
              <w:bottom w:val="single" w:sz="4" w:space="0" w:color="auto"/>
            </w:tcBorders>
          </w:tcPr>
          <w:p w:rsidR="00680EB7" w:rsidRPr="00B92EC9" w:rsidRDefault="00680EB7" w:rsidP="00C6260C">
            <w:pPr>
              <w:widowControl w:val="0"/>
              <w:jc w:val="center"/>
              <w:rPr>
                <w:szCs w:val="24"/>
              </w:rPr>
            </w:pPr>
            <w:r>
              <w:t xml:space="preserve">Berechneter Schwellenwert mit </w:t>
            </w:r>
            <w:r>
              <w:rPr>
                <w:i/>
              </w:rPr>
              <w:t>p</w:t>
            </w:r>
            <w:r>
              <w:rPr>
                <w:i/>
                <w:vertAlign w:val="subscript"/>
              </w:rPr>
              <w:t>D</w:t>
            </w:r>
            <w:r>
              <w:t>=0,99</w:t>
            </w:r>
          </w:p>
        </w:tc>
        <w:tc>
          <w:tcPr>
            <w:tcW w:w="1689" w:type="dxa"/>
            <w:tcBorders>
              <w:top w:val="single" w:sz="4" w:space="0" w:color="auto"/>
              <w:bottom w:val="single" w:sz="4" w:space="0" w:color="auto"/>
            </w:tcBorders>
          </w:tcPr>
          <w:p w:rsidR="00680EB7" w:rsidRPr="00B92EC9" w:rsidRDefault="00680EB7" w:rsidP="00C6260C">
            <w:pPr>
              <w:widowControl w:val="0"/>
              <w:jc w:val="center"/>
              <w:rPr>
                <w:szCs w:val="24"/>
              </w:rPr>
            </w:pPr>
            <w:r>
              <w:t xml:space="preserve">Berechneter Schwellenwert mit </w:t>
            </w:r>
            <w:r>
              <w:rPr>
                <w:i/>
              </w:rPr>
              <w:t>p</w:t>
            </w:r>
            <w:r>
              <w:rPr>
                <w:i/>
                <w:vertAlign w:val="subscript"/>
              </w:rPr>
              <w:t>D</w:t>
            </w:r>
            <w:r>
              <w:t>=0,95</w:t>
            </w:r>
          </w:p>
        </w:tc>
        <w:tc>
          <w:tcPr>
            <w:tcW w:w="1701" w:type="dxa"/>
            <w:tcBorders>
              <w:top w:val="single" w:sz="4" w:space="0" w:color="auto"/>
              <w:bottom w:val="single" w:sz="4" w:space="0" w:color="auto"/>
            </w:tcBorders>
          </w:tcPr>
          <w:p w:rsidR="00680EB7" w:rsidRPr="00B92EC9" w:rsidRDefault="00680EB7" w:rsidP="00C6260C">
            <w:pPr>
              <w:widowControl w:val="0"/>
              <w:jc w:val="center"/>
              <w:rPr>
                <w:szCs w:val="24"/>
              </w:rPr>
            </w:pPr>
            <w:r>
              <w:t xml:space="preserve">Berechneter Schwellenwert mit </w:t>
            </w:r>
            <w:r>
              <w:rPr>
                <w:i/>
              </w:rPr>
              <w:t>p</w:t>
            </w:r>
            <w:r>
              <w:rPr>
                <w:i/>
                <w:vertAlign w:val="subscript"/>
              </w:rPr>
              <w:t>D</w:t>
            </w:r>
            <w:r>
              <w:t>=0,9</w:t>
            </w:r>
          </w:p>
        </w:tc>
        <w:tc>
          <w:tcPr>
            <w:tcW w:w="1417" w:type="dxa"/>
            <w:tcBorders>
              <w:top w:val="single" w:sz="4" w:space="0" w:color="auto"/>
              <w:bottom w:val="single" w:sz="4" w:space="0" w:color="auto"/>
            </w:tcBorders>
          </w:tcPr>
          <w:p w:rsidR="00680EB7" w:rsidRPr="00B92EC9" w:rsidRDefault="00680EB7" w:rsidP="00C6260C">
            <w:pPr>
              <w:widowControl w:val="0"/>
              <w:jc w:val="center"/>
              <w:rPr>
                <w:szCs w:val="24"/>
              </w:rPr>
            </w:pPr>
            <w:r>
              <w:t>Derzeitige Toleranz des Vereinigten Königreichs</w:t>
            </w:r>
          </w:p>
        </w:tc>
      </w:tr>
      <w:tr w:rsidR="00680EB7" w:rsidRPr="00B92EC9" w:rsidTr="00B0388B">
        <w:tc>
          <w:tcPr>
            <w:tcW w:w="1618" w:type="dxa"/>
            <w:tcBorders>
              <w:top w:val="single" w:sz="4" w:space="0" w:color="auto"/>
            </w:tcBorders>
          </w:tcPr>
          <w:p w:rsidR="00680EB7" w:rsidRPr="00B92EC9" w:rsidRDefault="00680EB7" w:rsidP="00C6260C">
            <w:pPr>
              <w:widowControl w:val="0"/>
              <w:jc w:val="center"/>
              <w:rPr>
                <w:szCs w:val="24"/>
              </w:rPr>
            </w:pPr>
            <w:r>
              <w:t>5</w:t>
            </w:r>
          </w:p>
        </w:tc>
        <w:tc>
          <w:tcPr>
            <w:tcW w:w="1621" w:type="dxa"/>
            <w:tcBorders>
              <w:top w:val="single" w:sz="4" w:space="0" w:color="auto"/>
            </w:tcBorders>
          </w:tcPr>
          <w:p w:rsidR="00680EB7" w:rsidRPr="00B92EC9" w:rsidRDefault="00680EB7" w:rsidP="00C6260C">
            <w:pPr>
              <w:widowControl w:val="0"/>
              <w:jc w:val="center"/>
              <w:rPr>
                <w:szCs w:val="24"/>
              </w:rPr>
            </w:pPr>
            <w:r>
              <w:t>0,00%</w:t>
            </w:r>
          </w:p>
        </w:tc>
        <w:tc>
          <w:tcPr>
            <w:tcW w:w="1689" w:type="dxa"/>
            <w:tcBorders>
              <w:top w:val="single" w:sz="4" w:space="0" w:color="auto"/>
            </w:tcBorders>
          </w:tcPr>
          <w:p w:rsidR="00680EB7" w:rsidRPr="00B92EC9" w:rsidRDefault="00680EB7" w:rsidP="00C6260C">
            <w:pPr>
              <w:widowControl w:val="0"/>
              <w:jc w:val="center"/>
              <w:rPr>
                <w:szCs w:val="24"/>
              </w:rPr>
            </w:pPr>
            <w:r>
              <w:t>0,05%</w:t>
            </w:r>
          </w:p>
        </w:tc>
        <w:tc>
          <w:tcPr>
            <w:tcW w:w="1701" w:type="dxa"/>
            <w:tcBorders>
              <w:top w:val="single" w:sz="4" w:space="0" w:color="auto"/>
            </w:tcBorders>
          </w:tcPr>
          <w:p w:rsidR="00680EB7" w:rsidRPr="00B92EC9" w:rsidRDefault="00680EB7" w:rsidP="00C6260C">
            <w:pPr>
              <w:widowControl w:val="0"/>
              <w:jc w:val="center"/>
              <w:rPr>
                <w:szCs w:val="24"/>
              </w:rPr>
            </w:pPr>
            <w:r>
              <w:t>0,40%</w:t>
            </w:r>
          </w:p>
        </w:tc>
        <w:tc>
          <w:tcPr>
            <w:tcW w:w="1417" w:type="dxa"/>
            <w:tcBorders>
              <w:top w:val="single" w:sz="4" w:space="0" w:color="auto"/>
            </w:tcBorders>
          </w:tcPr>
          <w:p w:rsidR="00680EB7" w:rsidRPr="00B92EC9" w:rsidRDefault="00680EB7" w:rsidP="00C6260C">
            <w:pPr>
              <w:widowControl w:val="0"/>
              <w:jc w:val="center"/>
              <w:rPr>
                <w:szCs w:val="24"/>
              </w:rPr>
            </w:pPr>
            <w:r>
              <w:t>0,00%</w:t>
            </w:r>
          </w:p>
        </w:tc>
      </w:tr>
      <w:tr w:rsidR="00680EB7" w:rsidRPr="00B92EC9" w:rsidTr="00B0388B">
        <w:tc>
          <w:tcPr>
            <w:tcW w:w="1618" w:type="dxa"/>
          </w:tcPr>
          <w:p w:rsidR="00680EB7" w:rsidRPr="00B92EC9" w:rsidRDefault="00680EB7" w:rsidP="00C6260C">
            <w:pPr>
              <w:widowControl w:val="0"/>
              <w:jc w:val="center"/>
              <w:rPr>
                <w:szCs w:val="24"/>
              </w:rPr>
            </w:pPr>
            <w:r>
              <w:t>15</w:t>
            </w:r>
          </w:p>
        </w:tc>
        <w:tc>
          <w:tcPr>
            <w:tcW w:w="1621" w:type="dxa"/>
          </w:tcPr>
          <w:p w:rsidR="00680EB7" w:rsidRPr="00B92EC9" w:rsidRDefault="00680EB7" w:rsidP="00C6260C">
            <w:pPr>
              <w:widowControl w:val="0"/>
              <w:jc w:val="center"/>
              <w:rPr>
                <w:szCs w:val="24"/>
              </w:rPr>
            </w:pPr>
            <w:r>
              <w:t>0,07%</w:t>
            </w:r>
          </w:p>
        </w:tc>
        <w:tc>
          <w:tcPr>
            <w:tcW w:w="1689" w:type="dxa"/>
          </w:tcPr>
          <w:p w:rsidR="00680EB7" w:rsidRPr="00B92EC9" w:rsidRDefault="00680EB7" w:rsidP="00C6260C">
            <w:pPr>
              <w:widowControl w:val="0"/>
              <w:jc w:val="center"/>
              <w:rPr>
                <w:szCs w:val="24"/>
              </w:rPr>
            </w:pPr>
            <w:r>
              <w:t>0,62%</w:t>
            </w:r>
          </w:p>
        </w:tc>
        <w:tc>
          <w:tcPr>
            <w:tcW w:w="1701" w:type="dxa"/>
          </w:tcPr>
          <w:p w:rsidR="00680EB7" w:rsidRPr="00B92EC9" w:rsidRDefault="00680EB7" w:rsidP="00C6260C">
            <w:pPr>
              <w:widowControl w:val="0"/>
              <w:jc w:val="center"/>
              <w:rPr>
                <w:szCs w:val="24"/>
              </w:rPr>
            </w:pPr>
            <w:r>
              <w:t>1,34%</w:t>
            </w:r>
          </w:p>
        </w:tc>
        <w:tc>
          <w:tcPr>
            <w:tcW w:w="1417" w:type="dxa"/>
          </w:tcPr>
          <w:p w:rsidR="00680EB7" w:rsidRPr="00B92EC9" w:rsidRDefault="00680EB7" w:rsidP="00C6260C">
            <w:pPr>
              <w:widowControl w:val="0"/>
              <w:jc w:val="center"/>
              <w:rPr>
                <w:szCs w:val="24"/>
              </w:rPr>
            </w:pPr>
            <w:r>
              <w:t>0,04%</w:t>
            </w:r>
          </w:p>
        </w:tc>
      </w:tr>
      <w:tr w:rsidR="00680EB7" w:rsidRPr="00B92EC9" w:rsidTr="00B0388B">
        <w:tc>
          <w:tcPr>
            <w:tcW w:w="1618" w:type="dxa"/>
          </w:tcPr>
          <w:p w:rsidR="00680EB7" w:rsidRPr="00B92EC9" w:rsidRDefault="00680EB7" w:rsidP="00C6260C">
            <w:pPr>
              <w:widowControl w:val="0"/>
              <w:jc w:val="center"/>
              <w:rPr>
                <w:szCs w:val="24"/>
              </w:rPr>
            </w:pPr>
            <w:r>
              <w:t>16</w:t>
            </w:r>
          </w:p>
        </w:tc>
        <w:tc>
          <w:tcPr>
            <w:tcW w:w="1621" w:type="dxa"/>
          </w:tcPr>
          <w:p w:rsidR="00680EB7" w:rsidRPr="00B92EC9" w:rsidRDefault="00680EB7" w:rsidP="00C6260C">
            <w:pPr>
              <w:widowControl w:val="0"/>
              <w:jc w:val="center"/>
              <w:rPr>
                <w:szCs w:val="24"/>
              </w:rPr>
            </w:pPr>
            <w:r>
              <w:t>0,17%</w:t>
            </w:r>
          </w:p>
        </w:tc>
        <w:tc>
          <w:tcPr>
            <w:tcW w:w="1689" w:type="dxa"/>
          </w:tcPr>
          <w:p w:rsidR="00680EB7" w:rsidRPr="00B92EC9" w:rsidRDefault="00680EB7" w:rsidP="00C6260C">
            <w:pPr>
              <w:widowControl w:val="0"/>
              <w:jc w:val="center"/>
              <w:rPr>
                <w:szCs w:val="24"/>
              </w:rPr>
            </w:pPr>
            <w:r>
              <w:t>0,79%</w:t>
            </w:r>
          </w:p>
        </w:tc>
        <w:tc>
          <w:tcPr>
            <w:tcW w:w="1701" w:type="dxa"/>
          </w:tcPr>
          <w:p w:rsidR="00680EB7" w:rsidRPr="00B92EC9" w:rsidRDefault="00680EB7" w:rsidP="00C6260C">
            <w:pPr>
              <w:widowControl w:val="0"/>
              <w:jc w:val="center"/>
              <w:rPr>
                <w:szCs w:val="24"/>
              </w:rPr>
            </w:pPr>
            <w:r>
              <w:t>1,59%</w:t>
            </w:r>
          </w:p>
        </w:tc>
        <w:tc>
          <w:tcPr>
            <w:tcW w:w="1417" w:type="dxa"/>
          </w:tcPr>
          <w:p w:rsidR="00680EB7" w:rsidRPr="00B92EC9" w:rsidRDefault="00680EB7" w:rsidP="00C6260C">
            <w:pPr>
              <w:widowControl w:val="0"/>
              <w:jc w:val="center"/>
              <w:rPr>
                <w:szCs w:val="24"/>
              </w:rPr>
            </w:pPr>
            <w:r>
              <w:t>0,00%</w:t>
            </w:r>
          </w:p>
        </w:tc>
      </w:tr>
      <w:tr w:rsidR="00680EB7" w:rsidRPr="00B92EC9" w:rsidTr="00B0388B">
        <w:tc>
          <w:tcPr>
            <w:tcW w:w="1618" w:type="dxa"/>
          </w:tcPr>
          <w:p w:rsidR="00680EB7" w:rsidRPr="00B92EC9" w:rsidRDefault="00680EB7" w:rsidP="00C6260C">
            <w:pPr>
              <w:widowControl w:val="0"/>
              <w:jc w:val="center"/>
              <w:rPr>
                <w:szCs w:val="24"/>
              </w:rPr>
            </w:pPr>
            <w:r>
              <w:t>21</w:t>
            </w:r>
          </w:p>
        </w:tc>
        <w:tc>
          <w:tcPr>
            <w:tcW w:w="1621" w:type="dxa"/>
          </w:tcPr>
          <w:p w:rsidR="00680EB7" w:rsidRPr="00B92EC9" w:rsidRDefault="00680EB7" w:rsidP="00C6260C">
            <w:pPr>
              <w:widowControl w:val="0"/>
              <w:jc w:val="center"/>
              <w:rPr>
                <w:szCs w:val="24"/>
              </w:rPr>
            </w:pPr>
            <w:r>
              <w:t>0,01%</w:t>
            </w:r>
          </w:p>
        </w:tc>
        <w:tc>
          <w:tcPr>
            <w:tcW w:w="1689" w:type="dxa"/>
          </w:tcPr>
          <w:p w:rsidR="00680EB7" w:rsidRPr="00B92EC9" w:rsidRDefault="00680EB7" w:rsidP="00C6260C">
            <w:pPr>
              <w:widowControl w:val="0"/>
              <w:jc w:val="center"/>
              <w:rPr>
                <w:szCs w:val="24"/>
              </w:rPr>
            </w:pPr>
            <w:r>
              <w:t>0,18%</w:t>
            </w:r>
          </w:p>
        </w:tc>
        <w:tc>
          <w:tcPr>
            <w:tcW w:w="1701" w:type="dxa"/>
          </w:tcPr>
          <w:p w:rsidR="00680EB7" w:rsidRPr="00B92EC9" w:rsidRDefault="00680EB7" w:rsidP="00C6260C">
            <w:pPr>
              <w:widowControl w:val="0"/>
              <w:jc w:val="center"/>
              <w:rPr>
                <w:szCs w:val="24"/>
              </w:rPr>
            </w:pPr>
            <w:r>
              <w:t>1,34%</w:t>
            </w:r>
          </w:p>
        </w:tc>
        <w:tc>
          <w:tcPr>
            <w:tcW w:w="1417" w:type="dxa"/>
          </w:tcPr>
          <w:p w:rsidR="00680EB7" w:rsidRPr="00B92EC9" w:rsidRDefault="00680EB7" w:rsidP="00C6260C">
            <w:pPr>
              <w:widowControl w:val="0"/>
              <w:jc w:val="center"/>
              <w:rPr>
                <w:szCs w:val="24"/>
              </w:rPr>
            </w:pPr>
            <w:r>
              <w:t>0,00%</w:t>
            </w:r>
          </w:p>
        </w:tc>
      </w:tr>
      <w:tr w:rsidR="00680EB7" w:rsidRPr="00B92EC9" w:rsidTr="00B0388B">
        <w:tc>
          <w:tcPr>
            <w:tcW w:w="1618" w:type="dxa"/>
          </w:tcPr>
          <w:p w:rsidR="00680EB7" w:rsidRPr="00B92EC9" w:rsidRDefault="00680EB7" w:rsidP="00C6260C">
            <w:pPr>
              <w:widowControl w:val="0"/>
              <w:jc w:val="center"/>
              <w:rPr>
                <w:szCs w:val="24"/>
              </w:rPr>
            </w:pPr>
            <w:r>
              <w:t>22</w:t>
            </w:r>
          </w:p>
        </w:tc>
        <w:tc>
          <w:tcPr>
            <w:tcW w:w="1621" w:type="dxa"/>
          </w:tcPr>
          <w:p w:rsidR="00680EB7" w:rsidRPr="00B92EC9" w:rsidRDefault="00680EB7" w:rsidP="00C6260C">
            <w:pPr>
              <w:widowControl w:val="0"/>
              <w:jc w:val="center"/>
              <w:rPr>
                <w:szCs w:val="24"/>
              </w:rPr>
            </w:pPr>
            <w:r>
              <w:t>0,05%</w:t>
            </w:r>
          </w:p>
        </w:tc>
        <w:tc>
          <w:tcPr>
            <w:tcW w:w="1689" w:type="dxa"/>
          </w:tcPr>
          <w:p w:rsidR="00680EB7" w:rsidRPr="00B92EC9" w:rsidRDefault="00680EB7" w:rsidP="00C6260C">
            <w:pPr>
              <w:widowControl w:val="0"/>
              <w:jc w:val="center"/>
              <w:rPr>
                <w:szCs w:val="24"/>
              </w:rPr>
            </w:pPr>
            <w:r>
              <w:t>0,41%</w:t>
            </w:r>
          </w:p>
        </w:tc>
        <w:tc>
          <w:tcPr>
            <w:tcW w:w="1701" w:type="dxa"/>
          </w:tcPr>
          <w:p w:rsidR="00680EB7" w:rsidRPr="00B92EC9" w:rsidRDefault="00680EB7" w:rsidP="00C6260C">
            <w:pPr>
              <w:widowControl w:val="0"/>
              <w:jc w:val="center"/>
              <w:rPr>
                <w:szCs w:val="24"/>
              </w:rPr>
            </w:pPr>
            <w:r>
              <w:t>0,96%</w:t>
            </w:r>
          </w:p>
        </w:tc>
        <w:tc>
          <w:tcPr>
            <w:tcW w:w="1417" w:type="dxa"/>
          </w:tcPr>
          <w:p w:rsidR="00680EB7" w:rsidRPr="00B92EC9" w:rsidRDefault="00680EB7" w:rsidP="00C6260C">
            <w:pPr>
              <w:widowControl w:val="0"/>
              <w:jc w:val="center"/>
              <w:rPr>
                <w:szCs w:val="24"/>
              </w:rPr>
            </w:pPr>
            <w:r>
              <w:t>0,03%</w:t>
            </w:r>
          </w:p>
        </w:tc>
      </w:tr>
      <w:tr w:rsidR="00680EB7" w:rsidRPr="00B92EC9" w:rsidTr="00B0388B">
        <w:tc>
          <w:tcPr>
            <w:tcW w:w="1618" w:type="dxa"/>
          </w:tcPr>
          <w:p w:rsidR="00680EB7" w:rsidRPr="00B92EC9" w:rsidRDefault="00680EB7" w:rsidP="00C6260C">
            <w:pPr>
              <w:widowControl w:val="0"/>
              <w:jc w:val="center"/>
              <w:rPr>
                <w:szCs w:val="24"/>
              </w:rPr>
            </w:pPr>
            <w:r>
              <w:t>28</w:t>
            </w:r>
          </w:p>
        </w:tc>
        <w:tc>
          <w:tcPr>
            <w:tcW w:w="1621" w:type="dxa"/>
          </w:tcPr>
          <w:p w:rsidR="00680EB7" w:rsidRPr="00B92EC9" w:rsidRDefault="00680EB7" w:rsidP="00C6260C">
            <w:pPr>
              <w:widowControl w:val="0"/>
              <w:jc w:val="center"/>
              <w:rPr>
                <w:szCs w:val="24"/>
              </w:rPr>
            </w:pPr>
            <w:r>
              <w:t>0,04%</w:t>
            </w:r>
          </w:p>
        </w:tc>
        <w:tc>
          <w:tcPr>
            <w:tcW w:w="1689" w:type="dxa"/>
          </w:tcPr>
          <w:p w:rsidR="00680EB7" w:rsidRPr="00B92EC9" w:rsidRDefault="00680EB7" w:rsidP="00C6260C">
            <w:pPr>
              <w:widowControl w:val="0"/>
              <w:jc w:val="center"/>
              <w:rPr>
                <w:szCs w:val="24"/>
              </w:rPr>
            </w:pPr>
            <w:r>
              <w:t>0,54%</w:t>
            </w:r>
          </w:p>
        </w:tc>
        <w:tc>
          <w:tcPr>
            <w:tcW w:w="1701" w:type="dxa"/>
          </w:tcPr>
          <w:p w:rsidR="00680EB7" w:rsidRPr="00B92EC9" w:rsidRDefault="00680EB7" w:rsidP="00C6260C">
            <w:pPr>
              <w:widowControl w:val="0"/>
              <w:jc w:val="center"/>
              <w:rPr>
                <w:szCs w:val="24"/>
              </w:rPr>
            </w:pPr>
            <w:r>
              <w:t>1,17%</w:t>
            </w:r>
          </w:p>
        </w:tc>
        <w:tc>
          <w:tcPr>
            <w:tcW w:w="1417" w:type="dxa"/>
          </w:tcPr>
          <w:p w:rsidR="00680EB7" w:rsidRPr="00B92EC9" w:rsidRDefault="00680EB7" w:rsidP="00C6260C">
            <w:pPr>
              <w:widowControl w:val="0"/>
              <w:jc w:val="center"/>
              <w:rPr>
                <w:szCs w:val="24"/>
              </w:rPr>
            </w:pPr>
            <w:r>
              <w:t>0,00%</w:t>
            </w:r>
          </w:p>
        </w:tc>
      </w:tr>
      <w:tr w:rsidR="00680EB7" w:rsidRPr="00B92EC9" w:rsidTr="00B0388B">
        <w:tc>
          <w:tcPr>
            <w:tcW w:w="1618" w:type="dxa"/>
          </w:tcPr>
          <w:p w:rsidR="00680EB7" w:rsidRPr="00B92EC9" w:rsidRDefault="00680EB7" w:rsidP="00C6260C">
            <w:pPr>
              <w:widowControl w:val="0"/>
              <w:jc w:val="center"/>
              <w:rPr>
                <w:szCs w:val="24"/>
              </w:rPr>
            </w:pPr>
            <w:r>
              <w:t>29</w:t>
            </w:r>
          </w:p>
        </w:tc>
        <w:tc>
          <w:tcPr>
            <w:tcW w:w="1621" w:type="dxa"/>
          </w:tcPr>
          <w:p w:rsidR="00680EB7" w:rsidRPr="00B92EC9" w:rsidRDefault="00680EB7" w:rsidP="00C6260C">
            <w:pPr>
              <w:widowControl w:val="0"/>
              <w:jc w:val="center"/>
              <w:rPr>
                <w:szCs w:val="24"/>
              </w:rPr>
            </w:pPr>
            <w:r>
              <w:t>0,15%</w:t>
            </w:r>
          </w:p>
        </w:tc>
        <w:tc>
          <w:tcPr>
            <w:tcW w:w="1689" w:type="dxa"/>
          </w:tcPr>
          <w:p w:rsidR="00680EB7" w:rsidRPr="00B92EC9" w:rsidRDefault="00680EB7" w:rsidP="00C6260C">
            <w:pPr>
              <w:widowControl w:val="0"/>
              <w:jc w:val="center"/>
              <w:rPr>
                <w:szCs w:val="24"/>
              </w:rPr>
            </w:pPr>
            <w:r>
              <w:t>0,15%</w:t>
            </w:r>
          </w:p>
        </w:tc>
        <w:tc>
          <w:tcPr>
            <w:tcW w:w="1701" w:type="dxa"/>
          </w:tcPr>
          <w:p w:rsidR="00680EB7" w:rsidRPr="00B92EC9" w:rsidRDefault="00680EB7" w:rsidP="00C6260C">
            <w:pPr>
              <w:widowControl w:val="0"/>
              <w:jc w:val="center"/>
              <w:rPr>
                <w:szCs w:val="24"/>
              </w:rPr>
            </w:pPr>
            <w:r>
              <w:t>0,99%</w:t>
            </w:r>
          </w:p>
        </w:tc>
        <w:tc>
          <w:tcPr>
            <w:tcW w:w="1417" w:type="dxa"/>
          </w:tcPr>
          <w:p w:rsidR="00680EB7" w:rsidRPr="00B92EC9" w:rsidRDefault="00680EB7" w:rsidP="00C6260C">
            <w:pPr>
              <w:widowControl w:val="0"/>
              <w:jc w:val="center"/>
              <w:rPr>
                <w:szCs w:val="24"/>
              </w:rPr>
            </w:pPr>
            <w:r>
              <w:t>0,15%</w:t>
            </w:r>
          </w:p>
        </w:tc>
      </w:tr>
      <w:tr w:rsidR="00680EB7" w:rsidRPr="00B92EC9" w:rsidTr="00B0388B">
        <w:tc>
          <w:tcPr>
            <w:tcW w:w="1618" w:type="dxa"/>
          </w:tcPr>
          <w:p w:rsidR="00680EB7" w:rsidRPr="00B92EC9" w:rsidRDefault="00680EB7" w:rsidP="00C6260C">
            <w:pPr>
              <w:widowControl w:val="0"/>
              <w:jc w:val="center"/>
              <w:rPr>
                <w:szCs w:val="24"/>
              </w:rPr>
            </w:pPr>
            <w:r>
              <w:t>34</w:t>
            </w:r>
          </w:p>
        </w:tc>
        <w:tc>
          <w:tcPr>
            <w:tcW w:w="1621" w:type="dxa"/>
          </w:tcPr>
          <w:p w:rsidR="00680EB7" w:rsidRPr="00B92EC9" w:rsidRDefault="00680EB7" w:rsidP="00C6260C">
            <w:pPr>
              <w:widowControl w:val="0"/>
              <w:jc w:val="center"/>
              <w:rPr>
                <w:szCs w:val="24"/>
              </w:rPr>
            </w:pPr>
            <w:r>
              <w:t>0,03%</w:t>
            </w:r>
          </w:p>
        </w:tc>
        <w:tc>
          <w:tcPr>
            <w:tcW w:w="1689" w:type="dxa"/>
          </w:tcPr>
          <w:p w:rsidR="00680EB7" w:rsidRPr="00B92EC9" w:rsidRDefault="00680EB7" w:rsidP="00C6260C">
            <w:pPr>
              <w:widowControl w:val="0"/>
              <w:jc w:val="center"/>
              <w:rPr>
                <w:szCs w:val="24"/>
              </w:rPr>
            </w:pPr>
            <w:r>
              <w:t>0,40%</w:t>
            </w:r>
          </w:p>
        </w:tc>
        <w:tc>
          <w:tcPr>
            <w:tcW w:w="1701" w:type="dxa"/>
          </w:tcPr>
          <w:p w:rsidR="00680EB7" w:rsidRPr="00B92EC9" w:rsidRDefault="00680EB7" w:rsidP="00C6260C">
            <w:pPr>
              <w:widowControl w:val="0"/>
              <w:jc w:val="center"/>
              <w:rPr>
                <w:szCs w:val="24"/>
              </w:rPr>
            </w:pPr>
            <w:r>
              <w:t>1,05%</w:t>
            </w:r>
          </w:p>
        </w:tc>
        <w:tc>
          <w:tcPr>
            <w:tcW w:w="1417" w:type="dxa"/>
          </w:tcPr>
          <w:p w:rsidR="00680EB7" w:rsidRPr="00B92EC9" w:rsidRDefault="00680EB7" w:rsidP="00C6260C">
            <w:pPr>
              <w:widowControl w:val="0"/>
              <w:jc w:val="center"/>
              <w:rPr>
                <w:szCs w:val="24"/>
              </w:rPr>
            </w:pPr>
            <w:r>
              <w:t>0,07%</w:t>
            </w:r>
          </w:p>
        </w:tc>
      </w:tr>
      <w:tr w:rsidR="00680EB7" w:rsidRPr="00B92EC9" w:rsidTr="00B0388B">
        <w:tc>
          <w:tcPr>
            <w:tcW w:w="1618" w:type="dxa"/>
          </w:tcPr>
          <w:p w:rsidR="00680EB7" w:rsidRPr="00B92EC9" w:rsidRDefault="00680EB7" w:rsidP="00C6260C">
            <w:pPr>
              <w:widowControl w:val="0"/>
              <w:jc w:val="center"/>
              <w:rPr>
                <w:szCs w:val="24"/>
              </w:rPr>
            </w:pPr>
            <w:r>
              <w:t>37</w:t>
            </w:r>
          </w:p>
        </w:tc>
        <w:tc>
          <w:tcPr>
            <w:tcW w:w="1621" w:type="dxa"/>
          </w:tcPr>
          <w:p w:rsidR="00680EB7" w:rsidRPr="00B92EC9" w:rsidRDefault="00680EB7" w:rsidP="00C6260C">
            <w:pPr>
              <w:widowControl w:val="0"/>
              <w:jc w:val="center"/>
              <w:rPr>
                <w:szCs w:val="24"/>
              </w:rPr>
            </w:pPr>
            <w:r>
              <w:t>0,02%</w:t>
            </w:r>
          </w:p>
        </w:tc>
        <w:tc>
          <w:tcPr>
            <w:tcW w:w="1689" w:type="dxa"/>
          </w:tcPr>
          <w:p w:rsidR="00680EB7" w:rsidRPr="00B92EC9" w:rsidRDefault="00680EB7" w:rsidP="00C6260C">
            <w:pPr>
              <w:widowControl w:val="0"/>
              <w:jc w:val="center"/>
              <w:rPr>
                <w:szCs w:val="24"/>
              </w:rPr>
            </w:pPr>
            <w:r>
              <w:t>0,23%</w:t>
            </w:r>
          </w:p>
        </w:tc>
        <w:tc>
          <w:tcPr>
            <w:tcW w:w="1701" w:type="dxa"/>
          </w:tcPr>
          <w:p w:rsidR="00680EB7" w:rsidRPr="00B92EC9" w:rsidRDefault="00680EB7" w:rsidP="00C6260C">
            <w:pPr>
              <w:widowControl w:val="0"/>
              <w:jc w:val="center"/>
              <w:rPr>
                <w:szCs w:val="24"/>
              </w:rPr>
            </w:pPr>
            <w:r>
              <w:t>0,57%</w:t>
            </w:r>
          </w:p>
        </w:tc>
        <w:tc>
          <w:tcPr>
            <w:tcW w:w="1417" w:type="dxa"/>
          </w:tcPr>
          <w:p w:rsidR="00680EB7" w:rsidRPr="00B92EC9" w:rsidRDefault="00680EB7" w:rsidP="00C6260C">
            <w:pPr>
              <w:widowControl w:val="0"/>
              <w:jc w:val="center"/>
              <w:rPr>
                <w:szCs w:val="24"/>
              </w:rPr>
            </w:pPr>
            <w:r>
              <w:t>0,00%</w:t>
            </w:r>
          </w:p>
        </w:tc>
      </w:tr>
      <w:tr w:rsidR="00680EB7" w:rsidRPr="00B92EC9" w:rsidTr="00B0388B">
        <w:tc>
          <w:tcPr>
            <w:tcW w:w="1618" w:type="dxa"/>
          </w:tcPr>
          <w:p w:rsidR="00680EB7" w:rsidRPr="00B92EC9" w:rsidRDefault="00680EB7" w:rsidP="00C6260C">
            <w:pPr>
              <w:widowControl w:val="0"/>
              <w:jc w:val="center"/>
              <w:rPr>
                <w:szCs w:val="24"/>
              </w:rPr>
            </w:pPr>
            <w:r>
              <w:t>38</w:t>
            </w:r>
          </w:p>
        </w:tc>
        <w:tc>
          <w:tcPr>
            <w:tcW w:w="1621" w:type="dxa"/>
          </w:tcPr>
          <w:p w:rsidR="00680EB7" w:rsidRPr="00B92EC9" w:rsidRDefault="00680EB7" w:rsidP="00C6260C">
            <w:pPr>
              <w:widowControl w:val="0"/>
              <w:jc w:val="center"/>
              <w:rPr>
                <w:szCs w:val="24"/>
              </w:rPr>
            </w:pPr>
            <w:r>
              <w:t>0,04%</w:t>
            </w:r>
          </w:p>
        </w:tc>
        <w:tc>
          <w:tcPr>
            <w:tcW w:w="1689" w:type="dxa"/>
          </w:tcPr>
          <w:p w:rsidR="00680EB7" w:rsidRPr="00B92EC9" w:rsidRDefault="00680EB7" w:rsidP="00C6260C">
            <w:pPr>
              <w:widowControl w:val="0"/>
              <w:jc w:val="center"/>
              <w:rPr>
                <w:szCs w:val="24"/>
              </w:rPr>
            </w:pPr>
            <w:r>
              <w:t>0,58%</w:t>
            </w:r>
          </w:p>
        </w:tc>
        <w:tc>
          <w:tcPr>
            <w:tcW w:w="1701" w:type="dxa"/>
          </w:tcPr>
          <w:p w:rsidR="00680EB7" w:rsidRPr="00B92EC9" w:rsidRDefault="00680EB7" w:rsidP="00C6260C">
            <w:pPr>
              <w:widowControl w:val="0"/>
              <w:jc w:val="center"/>
              <w:rPr>
                <w:szCs w:val="24"/>
              </w:rPr>
            </w:pPr>
            <w:r>
              <w:t>1,17%</w:t>
            </w:r>
          </w:p>
        </w:tc>
        <w:tc>
          <w:tcPr>
            <w:tcW w:w="1417" w:type="dxa"/>
          </w:tcPr>
          <w:p w:rsidR="00680EB7" w:rsidRPr="00B92EC9" w:rsidRDefault="00680EB7" w:rsidP="00C6260C">
            <w:pPr>
              <w:widowControl w:val="0"/>
              <w:jc w:val="center"/>
              <w:rPr>
                <w:szCs w:val="24"/>
              </w:rPr>
            </w:pPr>
            <w:r>
              <w:t>0,05%</w:t>
            </w:r>
          </w:p>
        </w:tc>
      </w:tr>
      <w:tr w:rsidR="00680EB7" w:rsidRPr="00B92EC9" w:rsidTr="00B0388B">
        <w:tc>
          <w:tcPr>
            <w:tcW w:w="1618" w:type="dxa"/>
          </w:tcPr>
          <w:p w:rsidR="00680EB7" w:rsidRPr="00B92EC9" w:rsidRDefault="00680EB7" w:rsidP="00C6260C">
            <w:pPr>
              <w:widowControl w:val="0"/>
              <w:jc w:val="center"/>
              <w:rPr>
                <w:szCs w:val="24"/>
              </w:rPr>
            </w:pPr>
            <w:r>
              <w:t>42</w:t>
            </w:r>
          </w:p>
        </w:tc>
        <w:tc>
          <w:tcPr>
            <w:tcW w:w="1621" w:type="dxa"/>
          </w:tcPr>
          <w:p w:rsidR="00680EB7" w:rsidRPr="00B92EC9" w:rsidRDefault="00680EB7" w:rsidP="00C6260C">
            <w:pPr>
              <w:widowControl w:val="0"/>
              <w:jc w:val="center"/>
              <w:rPr>
                <w:szCs w:val="24"/>
              </w:rPr>
            </w:pPr>
            <w:r>
              <w:t>0,04%</w:t>
            </w:r>
          </w:p>
        </w:tc>
        <w:tc>
          <w:tcPr>
            <w:tcW w:w="1689" w:type="dxa"/>
          </w:tcPr>
          <w:p w:rsidR="00680EB7" w:rsidRPr="00B92EC9" w:rsidRDefault="00680EB7" w:rsidP="00C6260C">
            <w:pPr>
              <w:widowControl w:val="0"/>
              <w:jc w:val="center"/>
              <w:rPr>
                <w:szCs w:val="24"/>
              </w:rPr>
            </w:pPr>
            <w:r>
              <w:t>0,56%</w:t>
            </w:r>
          </w:p>
        </w:tc>
        <w:tc>
          <w:tcPr>
            <w:tcW w:w="1701" w:type="dxa"/>
          </w:tcPr>
          <w:p w:rsidR="00680EB7" w:rsidRPr="00B92EC9" w:rsidRDefault="00680EB7" w:rsidP="00C6260C">
            <w:pPr>
              <w:widowControl w:val="0"/>
              <w:jc w:val="center"/>
              <w:rPr>
                <w:szCs w:val="24"/>
              </w:rPr>
            </w:pPr>
            <w:r>
              <w:t>0,56%</w:t>
            </w:r>
          </w:p>
        </w:tc>
        <w:tc>
          <w:tcPr>
            <w:tcW w:w="1417" w:type="dxa"/>
          </w:tcPr>
          <w:p w:rsidR="00680EB7" w:rsidRPr="00B92EC9" w:rsidRDefault="00680EB7" w:rsidP="00C6260C">
            <w:pPr>
              <w:widowControl w:val="0"/>
              <w:jc w:val="center"/>
              <w:rPr>
                <w:szCs w:val="24"/>
              </w:rPr>
            </w:pPr>
            <w:r>
              <w:t>0,04%</w:t>
            </w:r>
          </w:p>
        </w:tc>
      </w:tr>
      <w:tr w:rsidR="00680EB7" w:rsidRPr="00B92EC9" w:rsidTr="00B0388B">
        <w:tc>
          <w:tcPr>
            <w:tcW w:w="1618" w:type="dxa"/>
          </w:tcPr>
          <w:p w:rsidR="00680EB7" w:rsidRPr="00B92EC9" w:rsidRDefault="00680EB7" w:rsidP="00C6260C">
            <w:pPr>
              <w:widowControl w:val="0"/>
              <w:jc w:val="center"/>
              <w:rPr>
                <w:szCs w:val="24"/>
              </w:rPr>
            </w:pPr>
            <w:r>
              <w:t>46</w:t>
            </w:r>
          </w:p>
        </w:tc>
        <w:tc>
          <w:tcPr>
            <w:tcW w:w="1621" w:type="dxa"/>
          </w:tcPr>
          <w:p w:rsidR="00680EB7" w:rsidRPr="00B92EC9" w:rsidRDefault="00680EB7" w:rsidP="00C6260C">
            <w:pPr>
              <w:widowControl w:val="0"/>
              <w:jc w:val="center"/>
              <w:rPr>
                <w:szCs w:val="24"/>
              </w:rPr>
            </w:pPr>
            <w:r>
              <w:t>0,03%</w:t>
            </w:r>
          </w:p>
        </w:tc>
        <w:tc>
          <w:tcPr>
            <w:tcW w:w="1689" w:type="dxa"/>
          </w:tcPr>
          <w:p w:rsidR="00680EB7" w:rsidRPr="00B92EC9" w:rsidRDefault="00680EB7" w:rsidP="00C6260C">
            <w:pPr>
              <w:widowControl w:val="0"/>
              <w:jc w:val="center"/>
              <w:rPr>
                <w:szCs w:val="24"/>
              </w:rPr>
            </w:pPr>
            <w:r>
              <w:t>0,33%</w:t>
            </w:r>
          </w:p>
        </w:tc>
        <w:tc>
          <w:tcPr>
            <w:tcW w:w="1701" w:type="dxa"/>
          </w:tcPr>
          <w:p w:rsidR="00680EB7" w:rsidRPr="00B92EC9" w:rsidRDefault="00680EB7" w:rsidP="00C6260C">
            <w:pPr>
              <w:widowControl w:val="0"/>
              <w:jc w:val="center"/>
              <w:rPr>
                <w:szCs w:val="24"/>
              </w:rPr>
            </w:pPr>
            <w:r>
              <w:t>0,82%</w:t>
            </w:r>
          </w:p>
        </w:tc>
        <w:tc>
          <w:tcPr>
            <w:tcW w:w="1417" w:type="dxa"/>
          </w:tcPr>
          <w:p w:rsidR="00680EB7" w:rsidRPr="00B92EC9" w:rsidRDefault="00680EB7" w:rsidP="00C6260C">
            <w:pPr>
              <w:widowControl w:val="0"/>
              <w:jc w:val="center"/>
              <w:rPr>
                <w:szCs w:val="24"/>
              </w:rPr>
            </w:pPr>
            <w:r>
              <w:t>0,00%</w:t>
            </w:r>
          </w:p>
        </w:tc>
      </w:tr>
      <w:tr w:rsidR="00680EB7" w:rsidRPr="00B92EC9" w:rsidTr="00B0388B">
        <w:tc>
          <w:tcPr>
            <w:tcW w:w="1618" w:type="dxa"/>
          </w:tcPr>
          <w:p w:rsidR="00680EB7" w:rsidRPr="00B92EC9" w:rsidRDefault="00680EB7" w:rsidP="00C6260C">
            <w:pPr>
              <w:widowControl w:val="0"/>
              <w:jc w:val="center"/>
              <w:rPr>
                <w:szCs w:val="24"/>
              </w:rPr>
            </w:pPr>
            <w:r>
              <w:t>57</w:t>
            </w:r>
          </w:p>
        </w:tc>
        <w:tc>
          <w:tcPr>
            <w:tcW w:w="1621" w:type="dxa"/>
          </w:tcPr>
          <w:p w:rsidR="00680EB7" w:rsidRPr="00B92EC9" w:rsidRDefault="00680EB7" w:rsidP="00C6260C">
            <w:pPr>
              <w:widowControl w:val="0"/>
              <w:jc w:val="center"/>
              <w:rPr>
                <w:szCs w:val="24"/>
              </w:rPr>
            </w:pPr>
            <w:r>
              <w:t>0,00%</w:t>
            </w:r>
          </w:p>
        </w:tc>
        <w:tc>
          <w:tcPr>
            <w:tcW w:w="1689" w:type="dxa"/>
          </w:tcPr>
          <w:p w:rsidR="00680EB7" w:rsidRPr="00B92EC9" w:rsidRDefault="00680EB7" w:rsidP="00C6260C">
            <w:pPr>
              <w:widowControl w:val="0"/>
              <w:jc w:val="center"/>
              <w:rPr>
                <w:szCs w:val="24"/>
              </w:rPr>
            </w:pPr>
            <w:r>
              <w:t>0,23%</w:t>
            </w:r>
          </w:p>
        </w:tc>
        <w:tc>
          <w:tcPr>
            <w:tcW w:w="1701" w:type="dxa"/>
          </w:tcPr>
          <w:p w:rsidR="00680EB7" w:rsidRPr="00B92EC9" w:rsidRDefault="00680EB7" w:rsidP="00C6260C">
            <w:pPr>
              <w:widowControl w:val="0"/>
              <w:jc w:val="center"/>
              <w:rPr>
                <w:szCs w:val="24"/>
              </w:rPr>
            </w:pPr>
            <w:r>
              <w:t>0,72%</w:t>
            </w:r>
          </w:p>
        </w:tc>
        <w:tc>
          <w:tcPr>
            <w:tcW w:w="1417" w:type="dxa"/>
          </w:tcPr>
          <w:p w:rsidR="00680EB7" w:rsidRPr="00B92EC9" w:rsidRDefault="00680EB7" w:rsidP="00C6260C">
            <w:pPr>
              <w:widowControl w:val="0"/>
              <w:jc w:val="center"/>
              <w:rPr>
                <w:szCs w:val="24"/>
              </w:rPr>
            </w:pPr>
            <w:r>
              <w:t>0,08%</w:t>
            </w:r>
          </w:p>
        </w:tc>
      </w:tr>
    </w:tbl>
    <w:p w:rsidR="00680EB7" w:rsidRPr="00B92EC9" w:rsidRDefault="00680EB7" w:rsidP="00680EB7">
      <w:pPr>
        <w:widowControl w:val="0"/>
        <w:rPr>
          <w:i/>
          <w:szCs w:val="24"/>
        </w:rPr>
      </w:pPr>
    </w:p>
    <w:p w:rsidR="00680EB7" w:rsidRPr="00B92EC9" w:rsidRDefault="00680EB7" w:rsidP="00680EB7">
      <w:pPr>
        <w:jc w:val="left"/>
        <w:rPr>
          <w:szCs w:val="24"/>
        </w:rPr>
      </w:pPr>
    </w:p>
    <w:p w:rsidR="00680EB7" w:rsidRPr="00FD5B01" w:rsidRDefault="00680EB7" w:rsidP="00680EB7">
      <w:pPr>
        <w:widowControl w:val="0"/>
        <w:rPr>
          <w:szCs w:val="24"/>
        </w:rPr>
      </w:pPr>
      <w:r>
        <w:lastRenderedPageBreak/>
        <w:t>Tabelle 4. Häufigkeit, mit der die Erstjahres-Schwellenwerte be</w:t>
      </w:r>
      <w:r w:rsidR="00521E28">
        <w:t>im Futtererbsen-Datensatz im</w:t>
      </w:r>
      <w:r>
        <w:t xml:space="preserve"> Vereinigten Königreich anzeigten, daß eine Kandidatensorte nicht von einer anderen Sorte unterscheidbar sei, wenn die Zweijahres-Entscheidung im Futtererbsen-Datensatz </w:t>
      </w:r>
      <w:r w:rsidR="00521E28">
        <w:t>anders ausfiel (falsch-negativ).</w:t>
      </w:r>
    </w:p>
    <w:p w:rsidR="00680EB7" w:rsidRPr="00B92EC9" w:rsidRDefault="00680EB7" w:rsidP="00680EB7">
      <w:pPr>
        <w:widowControl w:val="0"/>
        <w:rPr>
          <w:i/>
          <w:szCs w:val="24"/>
        </w:rPr>
      </w:pPr>
    </w:p>
    <w:tbl>
      <w:tblPr>
        <w:tblStyle w:val="TableGrid"/>
        <w:tblW w:w="8472"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1618"/>
        <w:gridCol w:w="1784"/>
        <w:gridCol w:w="1506"/>
        <w:gridCol w:w="1964"/>
      </w:tblGrid>
      <w:tr w:rsidR="00680EB7" w:rsidRPr="00B92EC9" w:rsidTr="00B0388B">
        <w:tc>
          <w:tcPr>
            <w:tcW w:w="1618" w:type="dxa"/>
            <w:tcBorders>
              <w:top w:val="single" w:sz="4" w:space="0" w:color="auto"/>
              <w:bottom w:val="single" w:sz="4" w:space="0" w:color="auto"/>
            </w:tcBorders>
          </w:tcPr>
          <w:p w:rsidR="00680EB7" w:rsidRPr="00B92EC9" w:rsidRDefault="00680EB7" w:rsidP="00C6260C">
            <w:pPr>
              <w:widowControl w:val="0"/>
              <w:jc w:val="center"/>
              <w:rPr>
                <w:szCs w:val="24"/>
              </w:rPr>
            </w:pPr>
            <w:r>
              <w:t>Merkmal</w:t>
            </w:r>
          </w:p>
        </w:tc>
        <w:tc>
          <w:tcPr>
            <w:tcW w:w="1621" w:type="dxa"/>
            <w:tcBorders>
              <w:top w:val="single" w:sz="4" w:space="0" w:color="auto"/>
              <w:bottom w:val="single" w:sz="4" w:space="0" w:color="auto"/>
            </w:tcBorders>
          </w:tcPr>
          <w:p w:rsidR="00680EB7" w:rsidRPr="00B92EC9" w:rsidRDefault="00680EB7" w:rsidP="00C6260C">
            <w:pPr>
              <w:widowControl w:val="0"/>
              <w:jc w:val="center"/>
              <w:rPr>
                <w:szCs w:val="24"/>
              </w:rPr>
            </w:pPr>
            <w:r>
              <w:t xml:space="preserve">Berechneter Schwellenwert mit </w:t>
            </w:r>
            <w:r>
              <w:rPr>
                <w:i/>
              </w:rPr>
              <w:t>p</w:t>
            </w:r>
            <w:r>
              <w:rPr>
                <w:i/>
                <w:vertAlign w:val="subscript"/>
              </w:rPr>
              <w:t>D</w:t>
            </w:r>
            <w:r>
              <w:t>=0,99</w:t>
            </w:r>
          </w:p>
        </w:tc>
        <w:tc>
          <w:tcPr>
            <w:tcW w:w="1792" w:type="dxa"/>
            <w:tcBorders>
              <w:top w:val="single" w:sz="4" w:space="0" w:color="auto"/>
              <w:bottom w:val="single" w:sz="4" w:space="0" w:color="auto"/>
            </w:tcBorders>
          </w:tcPr>
          <w:p w:rsidR="00680EB7" w:rsidRPr="00B92EC9" w:rsidRDefault="00680EB7" w:rsidP="00C6260C">
            <w:pPr>
              <w:widowControl w:val="0"/>
              <w:jc w:val="center"/>
              <w:rPr>
                <w:szCs w:val="24"/>
              </w:rPr>
            </w:pPr>
            <w:r>
              <w:t xml:space="preserve">Berechneter Schwellenwert mit </w:t>
            </w:r>
            <w:r>
              <w:rPr>
                <w:i/>
              </w:rPr>
              <w:t>p</w:t>
            </w:r>
            <w:r>
              <w:rPr>
                <w:i/>
                <w:vertAlign w:val="subscript"/>
              </w:rPr>
              <w:t>D</w:t>
            </w:r>
            <w:r>
              <w:t>=0,95</w:t>
            </w:r>
          </w:p>
        </w:tc>
        <w:tc>
          <w:tcPr>
            <w:tcW w:w="1456" w:type="dxa"/>
            <w:tcBorders>
              <w:top w:val="single" w:sz="4" w:space="0" w:color="auto"/>
              <w:bottom w:val="single" w:sz="4" w:space="0" w:color="auto"/>
            </w:tcBorders>
          </w:tcPr>
          <w:p w:rsidR="00680EB7" w:rsidRPr="00B92EC9" w:rsidRDefault="00680EB7" w:rsidP="00C6260C">
            <w:pPr>
              <w:widowControl w:val="0"/>
              <w:jc w:val="center"/>
              <w:rPr>
                <w:szCs w:val="24"/>
              </w:rPr>
            </w:pPr>
            <w:r>
              <w:t xml:space="preserve">Berechneter Schwellenwert mit </w:t>
            </w:r>
            <w:r>
              <w:rPr>
                <w:i/>
              </w:rPr>
              <w:t>p</w:t>
            </w:r>
            <w:r>
              <w:rPr>
                <w:i/>
                <w:vertAlign w:val="subscript"/>
              </w:rPr>
              <w:t>D</w:t>
            </w:r>
            <w:r>
              <w:t>=0,9</w:t>
            </w:r>
          </w:p>
        </w:tc>
        <w:tc>
          <w:tcPr>
            <w:tcW w:w="1985" w:type="dxa"/>
            <w:tcBorders>
              <w:top w:val="single" w:sz="4" w:space="0" w:color="auto"/>
              <w:bottom w:val="single" w:sz="4" w:space="0" w:color="auto"/>
            </w:tcBorders>
          </w:tcPr>
          <w:p w:rsidR="00680EB7" w:rsidRPr="00B92EC9" w:rsidRDefault="00680EB7" w:rsidP="00C6260C">
            <w:pPr>
              <w:widowControl w:val="0"/>
              <w:jc w:val="center"/>
              <w:rPr>
                <w:szCs w:val="24"/>
              </w:rPr>
            </w:pPr>
            <w:r>
              <w:t>Derzeitige Toleranz des Vereinigten Königreichs</w:t>
            </w:r>
          </w:p>
        </w:tc>
      </w:tr>
      <w:tr w:rsidR="00680EB7" w:rsidRPr="00B92EC9" w:rsidTr="00B0388B">
        <w:tc>
          <w:tcPr>
            <w:tcW w:w="1618" w:type="dxa"/>
            <w:tcBorders>
              <w:top w:val="single" w:sz="4" w:space="0" w:color="auto"/>
            </w:tcBorders>
          </w:tcPr>
          <w:p w:rsidR="00680EB7" w:rsidRPr="00B92EC9" w:rsidRDefault="00680EB7" w:rsidP="00C6260C">
            <w:pPr>
              <w:widowControl w:val="0"/>
              <w:jc w:val="center"/>
              <w:rPr>
                <w:szCs w:val="24"/>
              </w:rPr>
            </w:pPr>
            <w:r>
              <w:t>5</w:t>
            </w:r>
          </w:p>
        </w:tc>
        <w:tc>
          <w:tcPr>
            <w:tcW w:w="1621" w:type="dxa"/>
            <w:tcBorders>
              <w:top w:val="single" w:sz="4" w:space="0" w:color="auto"/>
            </w:tcBorders>
          </w:tcPr>
          <w:p w:rsidR="00680EB7" w:rsidRPr="00B92EC9" w:rsidRDefault="00680EB7" w:rsidP="00C6260C">
            <w:pPr>
              <w:widowControl w:val="0"/>
              <w:jc w:val="center"/>
              <w:rPr>
                <w:szCs w:val="24"/>
              </w:rPr>
            </w:pPr>
            <w:r>
              <w:t>82,8%</w:t>
            </w:r>
          </w:p>
        </w:tc>
        <w:tc>
          <w:tcPr>
            <w:tcW w:w="1792" w:type="dxa"/>
            <w:tcBorders>
              <w:top w:val="single" w:sz="4" w:space="0" w:color="auto"/>
            </w:tcBorders>
          </w:tcPr>
          <w:p w:rsidR="00680EB7" w:rsidRPr="00B92EC9" w:rsidRDefault="00680EB7" w:rsidP="00C6260C">
            <w:pPr>
              <w:widowControl w:val="0"/>
              <w:jc w:val="center"/>
              <w:rPr>
                <w:szCs w:val="24"/>
              </w:rPr>
            </w:pPr>
            <w:r>
              <w:t>39,4%</w:t>
            </w:r>
          </w:p>
        </w:tc>
        <w:tc>
          <w:tcPr>
            <w:tcW w:w="1456" w:type="dxa"/>
            <w:tcBorders>
              <w:top w:val="single" w:sz="4" w:space="0" w:color="auto"/>
            </w:tcBorders>
          </w:tcPr>
          <w:p w:rsidR="00680EB7" w:rsidRPr="00B92EC9" w:rsidRDefault="00680EB7" w:rsidP="00C6260C">
            <w:pPr>
              <w:widowControl w:val="0"/>
              <w:jc w:val="center"/>
              <w:rPr>
                <w:szCs w:val="24"/>
              </w:rPr>
            </w:pPr>
            <w:r>
              <w:t>24,5%</w:t>
            </w:r>
          </w:p>
        </w:tc>
        <w:tc>
          <w:tcPr>
            <w:tcW w:w="1985" w:type="dxa"/>
            <w:tcBorders>
              <w:top w:val="single" w:sz="4" w:space="0" w:color="auto"/>
            </w:tcBorders>
          </w:tcPr>
          <w:p w:rsidR="00680EB7" w:rsidRPr="00B92EC9" w:rsidRDefault="00680EB7" w:rsidP="00C6260C">
            <w:pPr>
              <w:widowControl w:val="0"/>
              <w:jc w:val="center"/>
              <w:rPr>
                <w:szCs w:val="24"/>
              </w:rPr>
            </w:pPr>
            <w:r>
              <w:t>67,6%</w:t>
            </w:r>
          </w:p>
        </w:tc>
      </w:tr>
      <w:tr w:rsidR="00680EB7" w:rsidRPr="00B92EC9" w:rsidTr="00B0388B">
        <w:tc>
          <w:tcPr>
            <w:tcW w:w="1618" w:type="dxa"/>
          </w:tcPr>
          <w:p w:rsidR="00680EB7" w:rsidRPr="00B92EC9" w:rsidRDefault="00680EB7" w:rsidP="00C6260C">
            <w:pPr>
              <w:widowControl w:val="0"/>
              <w:jc w:val="center"/>
              <w:rPr>
                <w:szCs w:val="24"/>
              </w:rPr>
            </w:pPr>
            <w:r>
              <w:t>15</w:t>
            </w:r>
          </w:p>
        </w:tc>
        <w:tc>
          <w:tcPr>
            <w:tcW w:w="1621" w:type="dxa"/>
          </w:tcPr>
          <w:p w:rsidR="00680EB7" w:rsidRPr="00B92EC9" w:rsidRDefault="00680EB7" w:rsidP="00C6260C">
            <w:pPr>
              <w:widowControl w:val="0"/>
              <w:jc w:val="center"/>
              <w:rPr>
                <w:szCs w:val="24"/>
              </w:rPr>
            </w:pPr>
            <w:r>
              <w:t>86,8%</w:t>
            </w:r>
          </w:p>
        </w:tc>
        <w:tc>
          <w:tcPr>
            <w:tcW w:w="1792" w:type="dxa"/>
          </w:tcPr>
          <w:p w:rsidR="00680EB7" w:rsidRPr="00B92EC9" w:rsidRDefault="00680EB7" w:rsidP="00C6260C">
            <w:pPr>
              <w:widowControl w:val="0"/>
              <w:jc w:val="center"/>
              <w:rPr>
                <w:szCs w:val="24"/>
              </w:rPr>
            </w:pPr>
            <w:r>
              <w:t>66,6%</w:t>
            </w:r>
          </w:p>
        </w:tc>
        <w:tc>
          <w:tcPr>
            <w:tcW w:w="1456" w:type="dxa"/>
          </w:tcPr>
          <w:p w:rsidR="00680EB7" w:rsidRPr="00B92EC9" w:rsidRDefault="00680EB7" w:rsidP="00C6260C">
            <w:pPr>
              <w:widowControl w:val="0"/>
              <w:jc w:val="center"/>
              <w:rPr>
                <w:szCs w:val="24"/>
              </w:rPr>
            </w:pPr>
            <w:r>
              <w:t>54,3%</w:t>
            </w:r>
          </w:p>
        </w:tc>
        <w:tc>
          <w:tcPr>
            <w:tcW w:w="1985" w:type="dxa"/>
          </w:tcPr>
          <w:p w:rsidR="00680EB7" w:rsidRPr="00B92EC9" w:rsidRDefault="00680EB7" w:rsidP="00C6260C">
            <w:pPr>
              <w:widowControl w:val="0"/>
              <w:jc w:val="center"/>
              <w:rPr>
                <w:szCs w:val="24"/>
              </w:rPr>
            </w:pPr>
            <w:r>
              <w:t>90,1%</w:t>
            </w:r>
          </w:p>
        </w:tc>
      </w:tr>
      <w:tr w:rsidR="00680EB7" w:rsidRPr="00B92EC9" w:rsidTr="00B0388B">
        <w:tc>
          <w:tcPr>
            <w:tcW w:w="1618" w:type="dxa"/>
          </w:tcPr>
          <w:p w:rsidR="00680EB7" w:rsidRPr="00B92EC9" w:rsidRDefault="00680EB7" w:rsidP="00C6260C">
            <w:pPr>
              <w:widowControl w:val="0"/>
              <w:jc w:val="center"/>
              <w:rPr>
                <w:szCs w:val="24"/>
              </w:rPr>
            </w:pPr>
            <w:r>
              <w:t>16</w:t>
            </w:r>
          </w:p>
        </w:tc>
        <w:tc>
          <w:tcPr>
            <w:tcW w:w="1621" w:type="dxa"/>
          </w:tcPr>
          <w:p w:rsidR="00680EB7" w:rsidRPr="00B92EC9" w:rsidRDefault="00680EB7" w:rsidP="00C6260C">
            <w:pPr>
              <w:widowControl w:val="0"/>
              <w:jc w:val="center"/>
              <w:rPr>
                <w:szCs w:val="24"/>
              </w:rPr>
            </w:pPr>
            <w:r>
              <w:t>76,8%</w:t>
            </w:r>
          </w:p>
        </w:tc>
        <w:tc>
          <w:tcPr>
            <w:tcW w:w="1792" w:type="dxa"/>
          </w:tcPr>
          <w:p w:rsidR="00680EB7" w:rsidRPr="00B92EC9" w:rsidRDefault="00680EB7" w:rsidP="00C6260C">
            <w:pPr>
              <w:widowControl w:val="0"/>
              <w:jc w:val="center"/>
              <w:rPr>
                <w:szCs w:val="24"/>
              </w:rPr>
            </w:pPr>
            <w:r>
              <w:t>56,6%</w:t>
            </w:r>
          </w:p>
        </w:tc>
        <w:tc>
          <w:tcPr>
            <w:tcW w:w="1456" w:type="dxa"/>
          </w:tcPr>
          <w:p w:rsidR="00680EB7" w:rsidRPr="00B92EC9" w:rsidRDefault="00680EB7" w:rsidP="00C6260C">
            <w:pPr>
              <w:widowControl w:val="0"/>
              <w:jc w:val="center"/>
              <w:rPr>
                <w:szCs w:val="24"/>
              </w:rPr>
            </w:pPr>
            <w:r>
              <w:t>46,2%</w:t>
            </w:r>
          </w:p>
        </w:tc>
        <w:tc>
          <w:tcPr>
            <w:tcW w:w="1985" w:type="dxa"/>
          </w:tcPr>
          <w:p w:rsidR="00680EB7" w:rsidRPr="00B92EC9" w:rsidRDefault="00680EB7" w:rsidP="00C6260C">
            <w:pPr>
              <w:widowControl w:val="0"/>
              <w:jc w:val="center"/>
              <w:rPr>
                <w:szCs w:val="24"/>
              </w:rPr>
            </w:pPr>
            <w:r>
              <w:t>94,6%</w:t>
            </w:r>
          </w:p>
        </w:tc>
      </w:tr>
      <w:tr w:rsidR="00680EB7" w:rsidRPr="00B92EC9" w:rsidTr="00B0388B">
        <w:tc>
          <w:tcPr>
            <w:tcW w:w="1618" w:type="dxa"/>
          </w:tcPr>
          <w:p w:rsidR="00680EB7" w:rsidRPr="00B92EC9" w:rsidRDefault="00680EB7" w:rsidP="00C6260C">
            <w:pPr>
              <w:widowControl w:val="0"/>
              <w:jc w:val="center"/>
              <w:rPr>
                <w:szCs w:val="24"/>
              </w:rPr>
            </w:pPr>
            <w:r>
              <w:t>21</w:t>
            </w:r>
          </w:p>
        </w:tc>
        <w:tc>
          <w:tcPr>
            <w:tcW w:w="1621" w:type="dxa"/>
          </w:tcPr>
          <w:p w:rsidR="00680EB7" w:rsidRPr="00B92EC9" w:rsidRDefault="00680EB7" w:rsidP="00C6260C">
            <w:pPr>
              <w:widowControl w:val="0"/>
              <w:jc w:val="center"/>
              <w:rPr>
                <w:szCs w:val="24"/>
              </w:rPr>
            </w:pPr>
            <w:r>
              <w:t>81,0%</w:t>
            </w:r>
          </w:p>
        </w:tc>
        <w:tc>
          <w:tcPr>
            <w:tcW w:w="1792" w:type="dxa"/>
          </w:tcPr>
          <w:p w:rsidR="00680EB7" w:rsidRPr="00B92EC9" w:rsidRDefault="00680EB7" w:rsidP="00C6260C">
            <w:pPr>
              <w:widowControl w:val="0"/>
              <w:jc w:val="center"/>
              <w:rPr>
                <w:szCs w:val="24"/>
              </w:rPr>
            </w:pPr>
            <w:r>
              <w:t>60,8%</w:t>
            </w:r>
          </w:p>
        </w:tc>
        <w:tc>
          <w:tcPr>
            <w:tcW w:w="1456" w:type="dxa"/>
          </w:tcPr>
          <w:p w:rsidR="00680EB7" w:rsidRPr="00B92EC9" w:rsidRDefault="00680EB7" w:rsidP="00C6260C">
            <w:pPr>
              <w:widowControl w:val="0"/>
              <w:jc w:val="center"/>
              <w:rPr>
                <w:szCs w:val="24"/>
              </w:rPr>
            </w:pPr>
            <w:r>
              <w:t>34,6%</w:t>
            </w:r>
          </w:p>
        </w:tc>
        <w:tc>
          <w:tcPr>
            <w:tcW w:w="1985" w:type="dxa"/>
          </w:tcPr>
          <w:p w:rsidR="00680EB7" w:rsidRPr="00B92EC9" w:rsidRDefault="00680EB7" w:rsidP="00C6260C">
            <w:pPr>
              <w:widowControl w:val="0"/>
              <w:jc w:val="center"/>
              <w:rPr>
                <w:szCs w:val="24"/>
              </w:rPr>
            </w:pPr>
            <w:r>
              <w:t>88,8%</w:t>
            </w:r>
          </w:p>
        </w:tc>
      </w:tr>
      <w:tr w:rsidR="00680EB7" w:rsidRPr="00B92EC9" w:rsidTr="00B0388B">
        <w:tc>
          <w:tcPr>
            <w:tcW w:w="1618" w:type="dxa"/>
          </w:tcPr>
          <w:p w:rsidR="00680EB7" w:rsidRPr="00B92EC9" w:rsidRDefault="00680EB7" w:rsidP="00C6260C">
            <w:pPr>
              <w:widowControl w:val="0"/>
              <w:jc w:val="center"/>
              <w:rPr>
                <w:szCs w:val="24"/>
              </w:rPr>
            </w:pPr>
            <w:r>
              <w:t>22</w:t>
            </w:r>
          </w:p>
        </w:tc>
        <w:tc>
          <w:tcPr>
            <w:tcW w:w="1621" w:type="dxa"/>
          </w:tcPr>
          <w:p w:rsidR="00680EB7" w:rsidRPr="00B92EC9" w:rsidRDefault="00680EB7" w:rsidP="00C6260C">
            <w:pPr>
              <w:widowControl w:val="0"/>
              <w:jc w:val="center"/>
              <w:rPr>
                <w:szCs w:val="24"/>
              </w:rPr>
            </w:pPr>
            <w:r>
              <w:t>88,5%</w:t>
            </w:r>
          </w:p>
        </w:tc>
        <w:tc>
          <w:tcPr>
            <w:tcW w:w="1792" w:type="dxa"/>
          </w:tcPr>
          <w:p w:rsidR="00680EB7" w:rsidRPr="00B92EC9" w:rsidRDefault="00680EB7" w:rsidP="00C6260C">
            <w:pPr>
              <w:widowControl w:val="0"/>
              <w:jc w:val="center"/>
              <w:rPr>
                <w:szCs w:val="24"/>
              </w:rPr>
            </w:pPr>
            <w:r>
              <w:t>67,5%</w:t>
            </w:r>
          </w:p>
        </w:tc>
        <w:tc>
          <w:tcPr>
            <w:tcW w:w="1456" w:type="dxa"/>
          </w:tcPr>
          <w:p w:rsidR="00680EB7" w:rsidRPr="00B92EC9" w:rsidRDefault="00680EB7" w:rsidP="00C6260C">
            <w:pPr>
              <w:widowControl w:val="0"/>
              <w:jc w:val="center"/>
              <w:rPr>
                <w:szCs w:val="24"/>
              </w:rPr>
            </w:pPr>
            <w:r>
              <w:t>54,2%</w:t>
            </w:r>
          </w:p>
        </w:tc>
        <w:tc>
          <w:tcPr>
            <w:tcW w:w="1985" w:type="dxa"/>
          </w:tcPr>
          <w:p w:rsidR="00680EB7" w:rsidRPr="00B92EC9" w:rsidRDefault="00680EB7" w:rsidP="00C6260C">
            <w:pPr>
              <w:widowControl w:val="0"/>
              <w:jc w:val="center"/>
              <w:rPr>
                <w:szCs w:val="24"/>
              </w:rPr>
            </w:pPr>
            <w:r>
              <w:t>91,3%</w:t>
            </w:r>
          </w:p>
        </w:tc>
      </w:tr>
      <w:tr w:rsidR="00680EB7" w:rsidRPr="00B92EC9" w:rsidTr="00B0388B">
        <w:tc>
          <w:tcPr>
            <w:tcW w:w="1618" w:type="dxa"/>
          </w:tcPr>
          <w:p w:rsidR="00680EB7" w:rsidRPr="00B92EC9" w:rsidRDefault="00680EB7" w:rsidP="00C6260C">
            <w:pPr>
              <w:widowControl w:val="0"/>
              <w:jc w:val="center"/>
              <w:rPr>
                <w:szCs w:val="24"/>
              </w:rPr>
            </w:pPr>
            <w:r>
              <w:t>28</w:t>
            </w:r>
          </w:p>
        </w:tc>
        <w:tc>
          <w:tcPr>
            <w:tcW w:w="1621" w:type="dxa"/>
          </w:tcPr>
          <w:p w:rsidR="00680EB7" w:rsidRPr="00B92EC9" w:rsidRDefault="00680EB7" w:rsidP="00C6260C">
            <w:pPr>
              <w:widowControl w:val="0"/>
              <w:jc w:val="center"/>
              <w:rPr>
                <w:szCs w:val="24"/>
              </w:rPr>
            </w:pPr>
            <w:r>
              <w:t>89,3%</w:t>
            </w:r>
          </w:p>
        </w:tc>
        <w:tc>
          <w:tcPr>
            <w:tcW w:w="1792" w:type="dxa"/>
          </w:tcPr>
          <w:p w:rsidR="00680EB7" w:rsidRPr="00B92EC9" w:rsidRDefault="00680EB7" w:rsidP="00C6260C">
            <w:pPr>
              <w:widowControl w:val="0"/>
              <w:jc w:val="center"/>
              <w:rPr>
                <w:szCs w:val="24"/>
              </w:rPr>
            </w:pPr>
            <w:r>
              <w:t>65,4%</w:t>
            </w:r>
          </w:p>
        </w:tc>
        <w:tc>
          <w:tcPr>
            <w:tcW w:w="1456" w:type="dxa"/>
          </w:tcPr>
          <w:p w:rsidR="00680EB7" w:rsidRPr="00B92EC9" w:rsidRDefault="00680EB7" w:rsidP="00C6260C">
            <w:pPr>
              <w:widowControl w:val="0"/>
              <w:jc w:val="center"/>
              <w:rPr>
                <w:szCs w:val="24"/>
              </w:rPr>
            </w:pPr>
            <w:r>
              <w:t>51,7%</w:t>
            </w:r>
          </w:p>
        </w:tc>
        <w:tc>
          <w:tcPr>
            <w:tcW w:w="1985" w:type="dxa"/>
          </w:tcPr>
          <w:p w:rsidR="00680EB7" w:rsidRPr="00B92EC9" w:rsidRDefault="00680EB7" w:rsidP="00C6260C">
            <w:pPr>
              <w:widowControl w:val="0"/>
              <w:jc w:val="center"/>
              <w:rPr>
                <w:szCs w:val="24"/>
              </w:rPr>
            </w:pPr>
            <w:r>
              <w:t>99,9%</w:t>
            </w:r>
          </w:p>
        </w:tc>
      </w:tr>
      <w:tr w:rsidR="00680EB7" w:rsidRPr="00B92EC9" w:rsidTr="00B0388B">
        <w:tc>
          <w:tcPr>
            <w:tcW w:w="1618" w:type="dxa"/>
          </w:tcPr>
          <w:p w:rsidR="00680EB7" w:rsidRPr="00B92EC9" w:rsidRDefault="00680EB7" w:rsidP="00C6260C">
            <w:pPr>
              <w:widowControl w:val="0"/>
              <w:jc w:val="center"/>
              <w:rPr>
                <w:szCs w:val="24"/>
              </w:rPr>
            </w:pPr>
            <w:r>
              <w:t>29</w:t>
            </w:r>
          </w:p>
        </w:tc>
        <w:tc>
          <w:tcPr>
            <w:tcW w:w="1621" w:type="dxa"/>
          </w:tcPr>
          <w:p w:rsidR="00680EB7" w:rsidRPr="00B92EC9" w:rsidRDefault="00680EB7" w:rsidP="00C6260C">
            <w:pPr>
              <w:widowControl w:val="0"/>
              <w:jc w:val="center"/>
              <w:rPr>
                <w:szCs w:val="24"/>
              </w:rPr>
            </w:pPr>
            <w:r>
              <w:t>57,3%</w:t>
            </w:r>
          </w:p>
        </w:tc>
        <w:tc>
          <w:tcPr>
            <w:tcW w:w="1792" w:type="dxa"/>
          </w:tcPr>
          <w:p w:rsidR="00680EB7" w:rsidRPr="00B92EC9" w:rsidRDefault="00680EB7" w:rsidP="00C6260C">
            <w:pPr>
              <w:widowControl w:val="0"/>
              <w:jc w:val="center"/>
              <w:rPr>
                <w:szCs w:val="24"/>
              </w:rPr>
            </w:pPr>
            <w:r>
              <w:t>57,3%</w:t>
            </w:r>
          </w:p>
        </w:tc>
        <w:tc>
          <w:tcPr>
            <w:tcW w:w="1456" w:type="dxa"/>
          </w:tcPr>
          <w:p w:rsidR="00680EB7" w:rsidRPr="00B92EC9" w:rsidRDefault="00680EB7" w:rsidP="00C6260C">
            <w:pPr>
              <w:widowControl w:val="0"/>
              <w:jc w:val="center"/>
              <w:rPr>
                <w:szCs w:val="24"/>
              </w:rPr>
            </w:pPr>
            <w:r>
              <w:t>34,4%</w:t>
            </w:r>
          </w:p>
        </w:tc>
        <w:tc>
          <w:tcPr>
            <w:tcW w:w="1985" w:type="dxa"/>
          </w:tcPr>
          <w:p w:rsidR="00680EB7" w:rsidRPr="00B92EC9" w:rsidRDefault="00680EB7" w:rsidP="00C6260C">
            <w:pPr>
              <w:widowControl w:val="0"/>
              <w:jc w:val="center"/>
              <w:rPr>
                <w:szCs w:val="24"/>
              </w:rPr>
            </w:pPr>
            <w:r>
              <w:t>57,4%</w:t>
            </w:r>
          </w:p>
        </w:tc>
      </w:tr>
      <w:tr w:rsidR="00680EB7" w:rsidRPr="00B92EC9" w:rsidTr="00B0388B">
        <w:tc>
          <w:tcPr>
            <w:tcW w:w="1618" w:type="dxa"/>
          </w:tcPr>
          <w:p w:rsidR="00680EB7" w:rsidRPr="00B92EC9" w:rsidRDefault="00680EB7" w:rsidP="00C6260C">
            <w:pPr>
              <w:widowControl w:val="0"/>
              <w:jc w:val="center"/>
              <w:rPr>
                <w:szCs w:val="24"/>
              </w:rPr>
            </w:pPr>
            <w:r>
              <w:t>34</w:t>
            </w:r>
          </w:p>
        </w:tc>
        <w:tc>
          <w:tcPr>
            <w:tcW w:w="1621" w:type="dxa"/>
          </w:tcPr>
          <w:p w:rsidR="00680EB7" w:rsidRPr="00B92EC9" w:rsidRDefault="00680EB7" w:rsidP="00C6260C">
            <w:pPr>
              <w:widowControl w:val="0"/>
              <w:jc w:val="center"/>
              <w:rPr>
                <w:szCs w:val="24"/>
              </w:rPr>
            </w:pPr>
            <w:r>
              <w:t>84,7%</w:t>
            </w:r>
          </w:p>
        </w:tc>
        <w:tc>
          <w:tcPr>
            <w:tcW w:w="1792" w:type="dxa"/>
          </w:tcPr>
          <w:p w:rsidR="00680EB7" w:rsidRPr="00B92EC9" w:rsidRDefault="00680EB7" w:rsidP="00C6260C">
            <w:pPr>
              <w:widowControl w:val="0"/>
              <w:jc w:val="center"/>
              <w:rPr>
                <w:szCs w:val="24"/>
              </w:rPr>
            </w:pPr>
            <w:r>
              <w:t>59,4%</w:t>
            </w:r>
          </w:p>
        </w:tc>
        <w:tc>
          <w:tcPr>
            <w:tcW w:w="1456" w:type="dxa"/>
          </w:tcPr>
          <w:p w:rsidR="00680EB7" w:rsidRPr="00B92EC9" w:rsidRDefault="00680EB7" w:rsidP="00C6260C">
            <w:pPr>
              <w:widowControl w:val="0"/>
              <w:jc w:val="center"/>
              <w:rPr>
                <w:szCs w:val="24"/>
              </w:rPr>
            </w:pPr>
            <w:r>
              <w:t>46,2%</w:t>
            </w:r>
          </w:p>
        </w:tc>
        <w:tc>
          <w:tcPr>
            <w:tcW w:w="1985" w:type="dxa"/>
          </w:tcPr>
          <w:p w:rsidR="00680EB7" w:rsidRPr="00B92EC9" w:rsidRDefault="00680EB7" w:rsidP="00C6260C">
            <w:pPr>
              <w:widowControl w:val="0"/>
              <w:jc w:val="center"/>
              <w:rPr>
                <w:szCs w:val="24"/>
              </w:rPr>
            </w:pPr>
            <w:r>
              <w:t>75,6%</w:t>
            </w:r>
          </w:p>
        </w:tc>
      </w:tr>
      <w:tr w:rsidR="00680EB7" w:rsidRPr="00B92EC9" w:rsidTr="00B0388B">
        <w:tc>
          <w:tcPr>
            <w:tcW w:w="1618" w:type="dxa"/>
          </w:tcPr>
          <w:p w:rsidR="00680EB7" w:rsidRPr="00B92EC9" w:rsidRDefault="00680EB7" w:rsidP="00C6260C">
            <w:pPr>
              <w:widowControl w:val="0"/>
              <w:jc w:val="center"/>
              <w:rPr>
                <w:szCs w:val="24"/>
              </w:rPr>
            </w:pPr>
            <w:r>
              <w:t>37</w:t>
            </w:r>
          </w:p>
        </w:tc>
        <w:tc>
          <w:tcPr>
            <w:tcW w:w="1621" w:type="dxa"/>
          </w:tcPr>
          <w:p w:rsidR="00680EB7" w:rsidRPr="00B92EC9" w:rsidRDefault="00680EB7" w:rsidP="00C6260C">
            <w:pPr>
              <w:widowControl w:val="0"/>
              <w:jc w:val="center"/>
              <w:rPr>
                <w:szCs w:val="24"/>
              </w:rPr>
            </w:pPr>
            <w:r>
              <w:t>81,2%</w:t>
            </w:r>
          </w:p>
        </w:tc>
        <w:tc>
          <w:tcPr>
            <w:tcW w:w="1792" w:type="dxa"/>
          </w:tcPr>
          <w:p w:rsidR="00680EB7" w:rsidRPr="00B92EC9" w:rsidRDefault="00680EB7" w:rsidP="00C6260C">
            <w:pPr>
              <w:widowControl w:val="0"/>
              <w:jc w:val="center"/>
              <w:rPr>
                <w:szCs w:val="24"/>
              </w:rPr>
            </w:pPr>
            <w:r>
              <w:t>65,1%</w:t>
            </w:r>
          </w:p>
        </w:tc>
        <w:tc>
          <w:tcPr>
            <w:tcW w:w="1456" w:type="dxa"/>
          </w:tcPr>
          <w:p w:rsidR="00680EB7" w:rsidRPr="00B92EC9" w:rsidRDefault="00680EB7" w:rsidP="00C6260C">
            <w:pPr>
              <w:widowControl w:val="0"/>
              <w:jc w:val="center"/>
              <w:rPr>
                <w:szCs w:val="24"/>
              </w:rPr>
            </w:pPr>
            <w:r>
              <w:t>54,4%</w:t>
            </w:r>
          </w:p>
        </w:tc>
        <w:tc>
          <w:tcPr>
            <w:tcW w:w="1985" w:type="dxa"/>
          </w:tcPr>
          <w:p w:rsidR="00680EB7" w:rsidRPr="00B92EC9" w:rsidRDefault="00680EB7" w:rsidP="00C6260C">
            <w:pPr>
              <w:widowControl w:val="0"/>
              <w:jc w:val="center"/>
              <w:rPr>
                <w:szCs w:val="24"/>
              </w:rPr>
            </w:pPr>
            <w:r>
              <w:t>96,5%</w:t>
            </w:r>
          </w:p>
        </w:tc>
      </w:tr>
      <w:tr w:rsidR="00680EB7" w:rsidRPr="00B92EC9" w:rsidTr="00B0388B">
        <w:tc>
          <w:tcPr>
            <w:tcW w:w="1618" w:type="dxa"/>
          </w:tcPr>
          <w:p w:rsidR="00680EB7" w:rsidRPr="00B92EC9" w:rsidRDefault="00680EB7" w:rsidP="00C6260C">
            <w:pPr>
              <w:widowControl w:val="0"/>
              <w:jc w:val="center"/>
              <w:rPr>
                <w:szCs w:val="24"/>
              </w:rPr>
            </w:pPr>
            <w:r>
              <w:t>38</w:t>
            </w:r>
          </w:p>
        </w:tc>
        <w:tc>
          <w:tcPr>
            <w:tcW w:w="1621" w:type="dxa"/>
          </w:tcPr>
          <w:p w:rsidR="00680EB7" w:rsidRPr="00B92EC9" w:rsidRDefault="00680EB7" w:rsidP="00C6260C">
            <w:pPr>
              <w:widowControl w:val="0"/>
              <w:jc w:val="center"/>
              <w:rPr>
                <w:szCs w:val="24"/>
              </w:rPr>
            </w:pPr>
            <w:r>
              <w:t>77,1%</w:t>
            </w:r>
          </w:p>
        </w:tc>
        <w:tc>
          <w:tcPr>
            <w:tcW w:w="1792" w:type="dxa"/>
          </w:tcPr>
          <w:p w:rsidR="00680EB7" w:rsidRPr="00B92EC9" w:rsidRDefault="00680EB7" w:rsidP="00C6260C">
            <w:pPr>
              <w:widowControl w:val="0"/>
              <w:jc w:val="center"/>
              <w:rPr>
                <w:szCs w:val="24"/>
              </w:rPr>
            </w:pPr>
            <w:r>
              <w:t>57,1%</w:t>
            </w:r>
          </w:p>
        </w:tc>
        <w:tc>
          <w:tcPr>
            <w:tcW w:w="1456" w:type="dxa"/>
          </w:tcPr>
          <w:p w:rsidR="00680EB7" w:rsidRPr="00B92EC9" w:rsidRDefault="00680EB7" w:rsidP="00C6260C">
            <w:pPr>
              <w:widowControl w:val="0"/>
              <w:jc w:val="center"/>
              <w:rPr>
                <w:szCs w:val="24"/>
              </w:rPr>
            </w:pPr>
            <w:r>
              <w:t>47,4%</w:t>
            </w:r>
          </w:p>
        </w:tc>
        <w:tc>
          <w:tcPr>
            <w:tcW w:w="1985" w:type="dxa"/>
          </w:tcPr>
          <w:p w:rsidR="00680EB7" w:rsidRPr="00B92EC9" w:rsidRDefault="00680EB7" w:rsidP="00C6260C">
            <w:pPr>
              <w:widowControl w:val="0"/>
              <w:jc w:val="center"/>
              <w:rPr>
                <w:szCs w:val="24"/>
              </w:rPr>
            </w:pPr>
            <w:r>
              <w:t>76,2%</w:t>
            </w:r>
          </w:p>
        </w:tc>
      </w:tr>
      <w:tr w:rsidR="00680EB7" w:rsidRPr="00B92EC9" w:rsidTr="00B0388B">
        <w:tc>
          <w:tcPr>
            <w:tcW w:w="1618" w:type="dxa"/>
          </w:tcPr>
          <w:p w:rsidR="00680EB7" w:rsidRPr="00B92EC9" w:rsidRDefault="00680EB7" w:rsidP="00C6260C">
            <w:pPr>
              <w:widowControl w:val="0"/>
              <w:jc w:val="center"/>
              <w:rPr>
                <w:szCs w:val="24"/>
              </w:rPr>
            </w:pPr>
            <w:r>
              <w:t>42</w:t>
            </w:r>
          </w:p>
        </w:tc>
        <w:tc>
          <w:tcPr>
            <w:tcW w:w="1621" w:type="dxa"/>
          </w:tcPr>
          <w:p w:rsidR="00680EB7" w:rsidRPr="00B92EC9" w:rsidRDefault="00680EB7" w:rsidP="00C6260C">
            <w:pPr>
              <w:widowControl w:val="0"/>
              <w:jc w:val="center"/>
              <w:rPr>
                <w:szCs w:val="24"/>
              </w:rPr>
            </w:pPr>
            <w:r>
              <w:t>80,9%</w:t>
            </w:r>
          </w:p>
        </w:tc>
        <w:tc>
          <w:tcPr>
            <w:tcW w:w="1792" w:type="dxa"/>
          </w:tcPr>
          <w:p w:rsidR="00680EB7" w:rsidRPr="00B92EC9" w:rsidRDefault="00680EB7" w:rsidP="00C6260C">
            <w:pPr>
              <w:widowControl w:val="0"/>
              <w:jc w:val="center"/>
              <w:rPr>
                <w:szCs w:val="24"/>
              </w:rPr>
            </w:pPr>
            <w:r>
              <w:t>58,2%</w:t>
            </w:r>
          </w:p>
        </w:tc>
        <w:tc>
          <w:tcPr>
            <w:tcW w:w="1456" w:type="dxa"/>
          </w:tcPr>
          <w:p w:rsidR="00680EB7" w:rsidRPr="00B92EC9" w:rsidRDefault="00680EB7" w:rsidP="00C6260C">
            <w:pPr>
              <w:widowControl w:val="0"/>
              <w:jc w:val="center"/>
              <w:rPr>
                <w:szCs w:val="24"/>
              </w:rPr>
            </w:pPr>
            <w:r>
              <w:t>58,2%</w:t>
            </w:r>
          </w:p>
        </w:tc>
        <w:tc>
          <w:tcPr>
            <w:tcW w:w="1985" w:type="dxa"/>
          </w:tcPr>
          <w:p w:rsidR="00680EB7" w:rsidRPr="00B92EC9" w:rsidRDefault="00680EB7" w:rsidP="00C6260C">
            <w:pPr>
              <w:widowControl w:val="0"/>
              <w:jc w:val="center"/>
              <w:rPr>
                <w:szCs w:val="24"/>
              </w:rPr>
            </w:pPr>
            <w:r>
              <w:t>81,1%</w:t>
            </w:r>
          </w:p>
        </w:tc>
      </w:tr>
      <w:tr w:rsidR="00680EB7" w:rsidRPr="00B92EC9" w:rsidTr="00B0388B">
        <w:tc>
          <w:tcPr>
            <w:tcW w:w="1618" w:type="dxa"/>
          </w:tcPr>
          <w:p w:rsidR="00680EB7" w:rsidRPr="00B92EC9" w:rsidRDefault="00680EB7" w:rsidP="00C6260C">
            <w:pPr>
              <w:widowControl w:val="0"/>
              <w:jc w:val="center"/>
              <w:rPr>
                <w:szCs w:val="24"/>
              </w:rPr>
            </w:pPr>
            <w:r>
              <w:t>46</w:t>
            </w:r>
          </w:p>
        </w:tc>
        <w:tc>
          <w:tcPr>
            <w:tcW w:w="1621" w:type="dxa"/>
          </w:tcPr>
          <w:p w:rsidR="00680EB7" w:rsidRPr="00B92EC9" w:rsidRDefault="00680EB7" w:rsidP="00C6260C">
            <w:pPr>
              <w:widowControl w:val="0"/>
              <w:jc w:val="center"/>
              <w:rPr>
                <w:szCs w:val="24"/>
              </w:rPr>
            </w:pPr>
            <w:r>
              <w:t>66,7%</w:t>
            </w:r>
          </w:p>
        </w:tc>
        <w:tc>
          <w:tcPr>
            <w:tcW w:w="1792" w:type="dxa"/>
          </w:tcPr>
          <w:p w:rsidR="00680EB7" w:rsidRPr="00B92EC9" w:rsidRDefault="00680EB7" w:rsidP="00C6260C">
            <w:pPr>
              <w:widowControl w:val="0"/>
              <w:jc w:val="center"/>
              <w:rPr>
                <w:szCs w:val="24"/>
              </w:rPr>
            </w:pPr>
            <w:r>
              <w:t>44,1%</w:t>
            </w:r>
          </w:p>
        </w:tc>
        <w:tc>
          <w:tcPr>
            <w:tcW w:w="1456" w:type="dxa"/>
          </w:tcPr>
          <w:p w:rsidR="00680EB7" w:rsidRPr="00B92EC9" w:rsidRDefault="00680EB7" w:rsidP="00C6260C">
            <w:pPr>
              <w:widowControl w:val="0"/>
              <w:jc w:val="center"/>
              <w:rPr>
                <w:szCs w:val="24"/>
              </w:rPr>
            </w:pPr>
            <w:r>
              <w:t>34,2%</w:t>
            </w:r>
          </w:p>
        </w:tc>
        <w:tc>
          <w:tcPr>
            <w:tcW w:w="1985" w:type="dxa"/>
          </w:tcPr>
          <w:p w:rsidR="00680EB7" w:rsidRPr="00B92EC9" w:rsidRDefault="00680EB7" w:rsidP="00C6260C">
            <w:pPr>
              <w:widowControl w:val="0"/>
              <w:jc w:val="center"/>
              <w:rPr>
                <w:szCs w:val="24"/>
              </w:rPr>
            </w:pPr>
            <w:r>
              <w:t>97,5%</w:t>
            </w:r>
          </w:p>
        </w:tc>
      </w:tr>
      <w:tr w:rsidR="00680EB7" w:rsidRPr="00B92EC9" w:rsidTr="00B0388B">
        <w:tc>
          <w:tcPr>
            <w:tcW w:w="1618" w:type="dxa"/>
          </w:tcPr>
          <w:p w:rsidR="00680EB7" w:rsidRPr="00B92EC9" w:rsidRDefault="00680EB7" w:rsidP="00C6260C">
            <w:pPr>
              <w:widowControl w:val="0"/>
              <w:jc w:val="center"/>
              <w:rPr>
                <w:szCs w:val="24"/>
              </w:rPr>
            </w:pPr>
            <w:r>
              <w:t>57</w:t>
            </w:r>
          </w:p>
        </w:tc>
        <w:tc>
          <w:tcPr>
            <w:tcW w:w="1621" w:type="dxa"/>
          </w:tcPr>
          <w:p w:rsidR="00680EB7" w:rsidRPr="00B92EC9" w:rsidRDefault="00680EB7" w:rsidP="00C6260C">
            <w:pPr>
              <w:widowControl w:val="0"/>
              <w:jc w:val="center"/>
              <w:rPr>
                <w:szCs w:val="24"/>
              </w:rPr>
            </w:pPr>
            <w:r>
              <w:t>58,5%</w:t>
            </w:r>
          </w:p>
        </w:tc>
        <w:tc>
          <w:tcPr>
            <w:tcW w:w="1792" w:type="dxa"/>
          </w:tcPr>
          <w:p w:rsidR="00680EB7" w:rsidRPr="00B92EC9" w:rsidRDefault="00680EB7" w:rsidP="00C6260C">
            <w:pPr>
              <w:widowControl w:val="0"/>
              <w:jc w:val="center"/>
              <w:rPr>
                <w:szCs w:val="24"/>
              </w:rPr>
            </w:pPr>
            <w:r>
              <w:t>34,6%</w:t>
            </w:r>
          </w:p>
        </w:tc>
        <w:tc>
          <w:tcPr>
            <w:tcW w:w="1456" w:type="dxa"/>
          </w:tcPr>
          <w:p w:rsidR="00680EB7" w:rsidRPr="00B92EC9" w:rsidRDefault="00680EB7" w:rsidP="00C6260C">
            <w:pPr>
              <w:widowControl w:val="0"/>
              <w:jc w:val="center"/>
              <w:rPr>
                <w:szCs w:val="24"/>
              </w:rPr>
            </w:pPr>
            <w:r>
              <w:t>25,2%</w:t>
            </w:r>
          </w:p>
        </w:tc>
        <w:tc>
          <w:tcPr>
            <w:tcW w:w="1985" w:type="dxa"/>
          </w:tcPr>
          <w:p w:rsidR="00680EB7" w:rsidRPr="00B92EC9" w:rsidRDefault="00680EB7" w:rsidP="00C6260C">
            <w:pPr>
              <w:widowControl w:val="0"/>
              <w:jc w:val="center"/>
              <w:rPr>
                <w:szCs w:val="24"/>
              </w:rPr>
            </w:pPr>
            <w:r>
              <w:t>43,7%</w:t>
            </w:r>
          </w:p>
        </w:tc>
      </w:tr>
    </w:tbl>
    <w:p w:rsidR="00680EB7" w:rsidRDefault="00680EB7" w:rsidP="00680EB7"/>
    <w:p w:rsidR="007C4C95" w:rsidRDefault="007C4C95">
      <w:pPr>
        <w:jc w:val="left"/>
        <w:rPr>
          <w:caps/>
        </w:rPr>
      </w:pPr>
      <w:r>
        <w:br w:type="page"/>
      </w:r>
    </w:p>
    <w:p w:rsidR="00680EB7" w:rsidRPr="0042059A" w:rsidRDefault="00D55196" w:rsidP="0042059A">
      <w:pPr>
        <w:rPr>
          <w:caps/>
        </w:rPr>
      </w:pPr>
      <w:r>
        <w:rPr>
          <w:caps/>
        </w:rPr>
        <w:lastRenderedPageBreak/>
        <w:t>SchluSS</w:t>
      </w:r>
      <w:r w:rsidR="00680EB7">
        <w:rPr>
          <w:caps/>
        </w:rPr>
        <w:t>folgerungen und künftige Arbeit</w:t>
      </w:r>
    </w:p>
    <w:p w:rsidR="00680EB7" w:rsidRPr="00FD5B01" w:rsidRDefault="00680EB7" w:rsidP="00680EB7"/>
    <w:p w:rsidR="00680EB7" w:rsidRDefault="00680EB7" w:rsidP="00680EB7">
      <w:r w:rsidRPr="007B07B2">
        <w:fldChar w:fldCharType="begin"/>
      </w:r>
      <w:r w:rsidRPr="007B07B2">
        <w:instrText xml:space="preserve"> AUTONUM  </w:instrText>
      </w:r>
      <w:r w:rsidRPr="007B07B2">
        <w:fldChar w:fldCharType="end"/>
      </w:r>
      <w:r>
        <w:tab/>
        <w:t>Die in TWC/33/20 Rev. vorgeschlagene Methode wurde auf den Futtererbsen-Datensatz aus dem Vereinigten Königreich angewandt und ihre Leistung beurteilt</w:t>
      </w:r>
      <w:r w:rsidR="008E4778">
        <w:t xml:space="preserve">. </w:t>
      </w:r>
      <w:r w:rsidR="004C4DF6">
        <w:t xml:space="preserve"> </w:t>
      </w:r>
      <w:r>
        <w:t>Die Ergebnisse zeigen, wie unterschiedliche Risiken ausgeglichen werden könnten, um einen angemessenen pD-Wert zur Berechnung von Schwellenwerten zu wählen</w:t>
      </w:r>
      <w:r w:rsidR="008E4778">
        <w:t xml:space="preserve">. </w:t>
      </w:r>
      <w:r w:rsidR="004C4DF6">
        <w:t xml:space="preserve"> </w:t>
      </w:r>
      <w:r>
        <w:t>Ausgehend von diesen Ergebnissen hat das Vereinigte Königreich nun die Toleranzen für das erste Jahr für Erbse aktualisiert, so daß die Toleranzen nun eine t</w:t>
      </w:r>
      <w:r w:rsidR="00081F0A">
        <w:t>ransparentere Grundlage</w:t>
      </w:r>
      <w:r>
        <w:t xml:space="preserve"> als zuvor haben</w:t>
      </w:r>
      <w:r w:rsidR="008E4778">
        <w:t>.</w:t>
      </w:r>
      <w:r w:rsidR="004C4DF6">
        <w:t xml:space="preserve"> </w:t>
      </w:r>
      <w:r w:rsidR="008E4778">
        <w:t xml:space="preserve"> </w:t>
      </w:r>
      <w:r>
        <w:t xml:space="preserve">In diesem Bericht haben wir die Wirksamkeit der Methode Merkmal für Merkmal untersucht. </w:t>
      </w:r>
      <w:r w:rsidR="004C4DF6">
        <w:t xml:space="preserve"> </w:t>
      </w:r>
      <w:r>
        <w:t xml:space="preserve">Künftig beabsichtigen wir, die Wirkung auf einzelne Sortenentscheidungen zu untersuchen. </w:t>
      </w:r>
    </w:p>
    <w:p w:rsidR="00680EB7" w:rsidRPr="00FD5B01" w:rsidRDefault="00680EB7" w:rsidP="00680EB7"/>
    <w:p w:rsidR="00680EB7" w:rsidRPr="00FD5B01" w:rsidRDefault="00680EB7" w:rsidP="00680EB7">
      <w:r w:rsidRPr="007B07B2">
        <w:fldChar w:fldCharType="begin"/>
      </w:r>
      <w:r w:rsidRPr="007B07B2">
        <w:instrText xml:space="preserve"> AUTONUM  </w:instrText>
      </w:r>
      <w:r w:rsidRPr="007B07B2">
        <w:fldChar w:fldCharType="end"/>
      </w:r>
      <w:r>
        <w:tab/>
        <w:t>Das Verfahren könnte auch abgeändert werden, um einen ersten Hinweis darauf zu geben, ob eine Kandidatensorte Unterscheidbarkeitsprobleme habe</w:t>
      </w:r>
      <w:r w:rsidR="00081F0A">
        <w:t>n könnte und welches die nahestehendste</w:t>
      </w:r>
      <w:r>
        <w:t xml:space="preserve"> Vergleichssorte sein könnte</w:t>
      </w:r>
      <w:r w:rsidR="008E4778">
        <w:t xml:space="preserve">. </w:t>
      </w:r>
      <w:r>
        <w:t>Beides sollte für COYD-Nutzer von Vorteil sein</w:t>
      </w:r>
      <w:r w:rsidR="008E4778">
        <w:t xml:space="preserve">. </w:t>
      </w:r>
    </w:p>
    <w:p w:rsidR="00680EB7" w:rsidRPr="00FD5B01" w:rsidRDefault="00680EB7" w:rsidP="00680EB7"/>
    <w:p w:rsidR="00680EB7" w:rsidRPr="00FD5B01" w:rsidRDefault="00680EB7" w:rsidP="00680EB7">
      <w:r w:rsidRPr="007B07B2">
        <w:fldChar w:fldCharType="begin"/>
      </w:r>
      <w:r w:rsidRPr="007B07B2">
        <w:instrText xml:space="preserve"> AUTONUM  </w:instrText>
      </w:r>
      <w:r w:rsidRPr="007B07B2">
        <w:fldChar w:fldCharType="end"/>
      </w:r>
      <w:r>
        <w:tab/>
        <w:t>Wir würden andere Beispieldatensätze begrüßen, damit die neue Methode an anderen Pflanzen getestet werden kann</w:t>
      </w:r>
      <w:r w:rsidR="008E4778">
        <w:t xml:space="preserve">. </w:t>
      </w:r>
      <w:r w:rsidR="004C4DF6">
        <w:t xml:space="preserve"> </w:t>
      </w:r>
      <w:r>
        <w:t>Wir beabsichtigen auch</w:t>
      </w:r>
      <w:r w:rsidR="004C1748">
        <w:t>, Software-Optionen zu prüf</w:t>
      </w:r>
      <w:r>
        <w:t>en, um die Implementierung zu vereinfachen.</w:t>
      </w:r>
    </w:p>
    <w:p w:rsidR="00680EB7" w:rsidRPr="00FD5B01" w:rsidRDefault="00680EB7" w:rsidP="00680EB7"/>
    <w:p w:rsidR="00680EB7" w:rsidRPr="00FD5B01" w:rsidRDefault="00680EB7" w:rsidP="00680EB7"/>
    <w:p w:rsidR="00050E16" w:rsidRPr="00C651CE" w:rsidRDefault="00050E16" w:rsidP="00050E16"/>
    <w:p w:rsidR="009B440E" w:rsidRDefault="00F1744C" w:rsidP="00050E16">
      <w:pPr>
        <w:jc w:val="right"/>
      </w:pPr>
      <w:r>
        <w:t>[Ende der Anlage und des Dokuments]</w:t>
      </w:r>
    </w:p>
    <w:sectPr w:rsidR="009B440E" w:rsidSect="0042059A">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9B5" w:rsidRDefault="006D69B5" w:rsidP="006655D3">
      <w:r>
        <w:separator/>
      </w:r>
    </w:p>
    <w:p w:rsidR="006D69B5" w:rsidRDefault="006D69B5" w:rsidP="006655D3"/>
    <w:p w:rsidR="006D69B5" w:rsidRDefault="006D69B5" w:rsidP="006655D3"/>
  </w:endnote>
  <w:endnote w:type="continuationSeparator" w:id="0">
    <w:p w:rsidR="006D69B5" w:rsidRDefault="006D69B5" w:rsidP="006655D3">
      <w:r>
        <w:separator/>
      </w:r>
    </w:p>
    <w:p w:rsidR="006D69B5" w:rsidRPr="00294751" w:rsidRDefault="006D69B5">
      <w:pPr>
        <w:pStyle w:val="Footer"/>
        <w:spacing w:after="60"/>
        <w:rPr>
          <w:sz w:val="18"/>
          <w:lang w:val="fr-FR"/>
        </w:rPr>
      </w:pPr>
      <w:r w:rsidRPr="00294751">
        <w:rPr>
          <w:sz w:val="18"/>
          <w:lang w:val="fr-FR"/>
        </w:rPr>
        <w:t>[Suite de la note de la page précédente]</w:t>
      </w:r>
    </w:p>
    <w:p w:rsidR="006D69B5" w:rsidRPr="00294751" w:rsidRDefault="006D69B5" w:rsidP="006655D3">
      <w:pPr>
        <w:rPr>
          <w:lang w:val="fr-FR"/>
        </w:rPr>
      </w:pPr>
    </w:p>
    <w:p w:rsidR="006D69B5" w:rsidRPr="00294751" w:rsidRDefault="006D69B5" w:rsidP="006655D3">
      <w:pPr>
        <w:rPr>
          <w:lang w:val="fr-FR"/>
        </w:rPr>
      </w:pPr>
    </w:p>
  </w:endnote>
  <w:endnote w:type="continuationNotice" w:id="1">
    <w:p w:rsidR="006D69B5" w:rsidRPr="00294751" w:rsidRDefault="006D69B5" w:rsidP="006655D3">
      <w:pPr>
        <w:rPr>
          <w:lang w:val="fr-FR"/>
        </w:rPr>
      </w:pPr>
      <w:r w:rsidRPr="00294751">
        <w:rPr>
          <w:lang w:val="fr-FR"/>
        </w:rPr>
        <w:t>[Suite de la note page suivante]</w:t>
      </w:r>
    </w:p>
    <w:p w:rsidR="006D69B5" w:rsidRPr="00294751" w:rsidRDefault="006D69B5" w:rsidP="006655D3">
      <w:pPr>
        <w:rPr>
          <w:lang w:val="fr-FR"/>
        </w:rPr>
      </w:pPr>
    </w:p>
    <w:p w:rsidR="006D69B5" w:rsidRPr="00294751" w:rsidRDefault="006D69B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9B5" w:rsidRDefault="006D69B5" w:rsidP="006655D3">
      <w:r>
        <w:separator/>
      </w:r>
    </w:p>
  </w:footnote>
  <w:footnote w:type="continuationSeparator" w:id="0">
    <w:p w:rsidR="006D69B5" w:rsidRDefault="006D69B5" w:rsidP="006655D3">
      <w:r>
        <w:separator/>
      </w:r>
    </w:p>
  </w:footnote>
  <w:footnote w:type="continuationNotice" w:id="1">
    <w:p w:rsidR="006D69B5" w:rsidRPr="00AB530F" w:rsidRDefault="006D69B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B5" w:rsidRPr="00C5280D" w:rsidRDefault="006D69B5" w:rsidP="00EB048E">
    <w:pPr>
      <w:pStyle w:val="Header"/>
      <w:rPr>
        <w:rStyle w:val="PageNumber"/>
      </w:rPr>
    </w:pPr>
    <w:r>
      <w:rPr>
        <w:rStyle w:val="PageNumber"/>
      </w:rPr>
      <w:t>TC/53/23</w:t>
    </w:r>
  </w:p>
  <w:p w:rsidR="006D69B5" w:rsidRPr="00C5280D" w:rsidRDefault="006D69B5"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D64A9">
      <w:rPr>
        <w:rStyle w:val="PageNumber"/>
        <w:noProof/>
      </w:rPr>
      <w:t>2</w:t>
    </w:r>
    <w:r w:rsidRPr="00C5280D">
      <w:rPr>
        <w:rStyle w:val="PageNumber"/>
      </w:rPr>
      <w:fldChar w:fldCharType="end"/>
    </w:r>
  </w:p>
  <w:p w:rsidR="006D69B5" w:rsidRPr="00C5280D" w:rsidRDefault="006D69B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B5" w:rsidRPr="00C5280D" w:rsidRDefault="006D69B5" w:rsidP="00EB048E">
    <w:pPr>
      <w:pStyle w:val="Header"/>
      <w:rPr>
        <w:rStyle w:val="PageNumber"/>
      </w:rPr>
    </w:pPr>
    <w:r>
      <w:rPr>
        <w:rStyle w:val="PageNumber"/>
      </w:rPr>
      <w:t>TC/53/23</w:t>
    </w:r>
  </w:p>
  <w:p w:rsidR="006D69B5" w:rsidRPr="00C5280D" w:rsidRDefault="006D69B5"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D64A9">
      <w:rPr>
        <w:rStyle w:val="PageNumber"/>
        <w:noProof/>
      </w:rPr>
      <w:t>6</w:t>
    </w:r>
    <w:r w:rsidRPr="00C5280D">
      <w:rPr>
        <w:rStyle w:val="PageNumber"/>
      </w:rPr>
      <w:fldChar w:fldCharType="end"/>
    </w:r>
  </w:p>
  <w:p w:rsidR="006D69B5" w:rsidRPr="00C5280D" w:rsidRDefault="006D69B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9B5" w:rsidRPr="00C5280D" w:rsidRDefault="006D69B5" w:rsidP="0042059A">
    <w:pPr>
      <w:pStyle w:val="Header"/>
      <w:rPr>
        <w:rStyle w:val="PageNumber"/>
      </w:rPr>
    </w:pPr>
    <w:r>
      <w:rPr>
        <w:rStyle w:val="PageNumber"/>
      </w:rPr>
      <w:t>TC/53/23</w:t>
    </w:r>
  </w:p>
  <w:p w:rsidR="006D69B5" w:rsidRDefault="006D69B5" w:rsidP="0042059A">
    <w:pPr>
      <w:pStyle w:val="Header"/>
    </w:pPr>
  </w:p>
  <w:p w:rsidR="006D69B5" w:rsidRDefault="006D69B5" w:rsidP="0042059A">
    <w:pPr>
      <w:pStyle w:val="Header"/>
    </w:pPr>
    <w:r>
      <w:t>ANLAGE</w:t>
    </w:r>
  </w:p>
  <w:p w:rsidR="006D69B5" w:rsidRDefault="006D69B5" w:rsidP="00420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E16"/>
    <w:rsid w:val="000765BA"/>
    <w:rsid w:val="00076F15"/>
    <w:rsid w:val="00081F0A"/>
    <w:rsid w:val="00085505"/>
    <w:rsid w:val="00087828"/>
    <w:rsid w:val="000924BA"/>
    <w:rsid w:val="000A128F"/>
    <w:rsid w:val="000B1E50"/>
    <w:rsid w:val="000C4E25"/>
    <w:rsid w:val="000C7021"/>
    <w:rsid w:val="000D6BBC"/>
    <w:rsid w:val="000D7780"/>
    <w:rsid w:val="000E636A"/>
    <w:rsid w:val="000F2F11"/>
    <w:rsid w:val="00105929"/>
    <w:rsid w:val="00110C36"/>
    <w:rsid w:val="001131D5"/>
    <w:rsid w:val="00141DB8"/>
    <w:rsid w:val="00160F18"/>
    <w:rsid w:val="00172084"/>
    <w:rsid w:val="0017474A"/>
    <w:rsid w:val="001758C6"/>
    <w:rsid w:val="00182B99"/>
    <w:rsid w:val="001928F5"/>
    <w:rsid w:val="00212D71"/>
    <w:rsid w:val="0021332C"/>
    <w:rsid w:val="00213982"/>
    <w:rsid w:val="0024416D"/>
    <w:rsid w:val="002473B1"/>
    <w:rsid w:val="002562CD"/>
    <w:rsid w:val="00271911"/>
    <w:rsid w:val="002779E8"/>
    <w:rsid w:val="002800A0"/>
    <w:rsid w:val="002801B3"/>
    <w:rsid w:val="00281060"/>
    <w:rsid w:val="002940E8"/>
    <w:rsid w:val="00294751"/>
    <w:rsid w:val="002A6E50"/>
    <w:rsid w:val="002B2439"/>
    <w:rsid w:val="002B4298"/>
    <w:rsid w:val="002B5749"/>
    <w:rsid w:val="002C175F"/>
    <w:rsid w:val="002C256A"/>
    <w:rsid w:val="002E213A"/>
    <w:rsid w:val="00304827"/>
    <w:rsid w:val="00305A7F"/>
    <w:rsid w:val="003152FE"/>
    <w:rsid w:val="00327436"/>
    <w:rsid w:val="00332485"/>
    <w:rsid w:val="00344BD6"/>
    <w:rsid w:val="0035528D"/>
    <w:rsid w:val="00361821"/>
    <w:rsid w:val="00361E9E"/>
    <w:rsid w:val="003C7FBE"/>
    <w:rsid w:val="003D227C"/>
    <w:rsid w:val="003D2B4D"/>
    <w:rsid w:val="003D5AE0"/>
    <w:rsid w:val="003D64A9"/>
    <w:rsid w:val="003F7019"/>
    <w:rsid w:val="004174C6"/>
    <w:rsid w:val="00417A9C"/>
    <w:rsid w:val="0042059A"/>
    <w:rsid w:val="00444A88"/>
    <w:rsid w:val="004657BD"/>
    <w:rsid w:val="00474DA4"/>
    <w:rsid w:val="00476B4D"/>
    <w:rsid w:val="004805FA"/>
    <w:rsid w:val="00486612"/>
    <w:rsid w:val="004935D2"/>
    <w:rsid w:val="004A23CA"/>
    <w:rsid w:val="004B1215"/>
    <w:rsid w:val="004C1748"/>
    <w:rsid w:val="004C4DF6"/>
    <w:rsid w:val="004D047D"/>
    <w:rsid w:val="004D330A"/>
    <w:rsid w:val="004F1E9E"/>
    <w:rsid w:val="004F305A"/>
    <w:rsid w:val="00512164"/>
    <w:rsid w:val="00520297"/>
    <w:rsid w:val="00521E28"/>
    <w:rsid w:val="00522709"/>
    <w:rsid w:val="0053034F"/>
    <w:rsid w:val="005338F9"/>
    <w:rsid w:val="0054281C"/>
    <w:rsid w:val="00544581"/>
    <w:rsid w:val="00550581"/>
    <w:rsid w:val="0055268D"/>
    <w:rsid w:val="00576BE4"/>
    <w:rsid w:val="005A400A"/>
    <w:rsid w:val="005B3505"/>
    <w:rsid w:val="005C7C50"/>
    <w:rsid w:val="005F2E0A"/>
    <w:rsid w:val="005F5ACA"/>
    <w:rsid w:val="005F7B92"/>
    <w:rsid w:val="006042AC"/>
    <w:rsid w:val="00607CA7"/>
    <w:rsid w:val="00612379"/>
    <w:rsid w:val="006153B6"/>
    <w:rsid w:val="0061555F"/>
    <w:rsid w:val="0063176E"/>
    <w:rsid w:val="00636CA6"/>
    <w:rsid w:val="006373FC"/>
    <w:rsid w:val="00641200"/>
    <w:rsid w:val="00645CA8"/>
    <w:rsid w:val="006604F7"/>
    <w:rsid w:val="006642A4"/>
    <w:rsid w:val="006655D3"/>
    <w:rsid w:val="00667404"/>
    <w:rsid w:val="00680EB7"/>
    <w:rsid w:val="00687EB4"/>
    <w:rsid w:val="00695C56"/>
    <w:rsid w:val="006A5CDE"/>
    <w:rsid w:val="006A644A"/>
    <w:rsid w:val="006B17D2"/>
    <w:rsid w:val="006C224E"/>
    <w:rsid w:val="006D613D"/>
    <w:rsid w:val="006D69B5"/>
    <w:rsid w:val="006D780A"/>
    <w:rsid w:val="006E0816"/>
    <w:rsid w:val="006F0F99"/>
    <w:rsid w:val="0071271E"/>
    <w:rsid w:val="00713FC4"/>
    <w:rsid w:val="00732DEC"/>
    <w:rsid w:val="00735491"/>
    <w:rsid w:val="00735BD5"/>
    <w:rsid w:val="00751613"/>
    <w:rsid w:val="007556F6"/>
    <w:rsid w:val="00760EEF"/>
    <w:rsid w:val="00761D22"/>
    <w:rsid w:val="007659E5"/>
    <w:rsid w:val="00775FBD"/>
    <w:rsid w:val="00777EE5"/>
    <w:rsid w:val="00784836"/>
    <w:rsid w:val="0079023E"/>
    <w:rsid w:val="007A2854"/>
    <w:rsid w:val="007C1D92"/>
    <w:rsid w:val="007C4C95"/>
    <w:rsid w:val="007C4CB9"/>
    <w:rsid w:val="007D0B9D"/>
    <w:rsid w:val="007D19B0"/>
    <w:rsid w:val="007F0481"/>
    <w:rsid w:val="007F498F"/>
    <w:rsid w:val="0080679D"/>
    <w:rsid w:val="008108B0"/>
    <w:rsid w:val="00811B20"/>
    <w:rsid w:val="008211B5"/>
    <w:rsid w:val="0082296E"/>
    <w:rsid w:val="00824099"/>
    <w:rsid w:val="00846D7C"/>
    <w:rsid w:val="00867AC1"/>
    <w:rsid w:val="008858D9"/>
    <w:rsid w:val="00890DF8"/>
    <w:rsid w:val="008A743F"/>
    <w:rsid w:val="008C0970"/>
    <w:rsid w:val="008D0BC5"/>
    <w:rsid w:val="008D2CF7"/>
    <w:rsid w:val="008E4778"/>
    <w:rsid w:val="00900C26"/>
    <w:rsid w:val="0090197F"/>
    <w:rsid w:val="00906DDC"/>
    <w:rsid w:val="009103CD"/>
    <w:rsid w:val="009162E2"/>
    <w:rsid w:val="00934E09"/>
    <w:rsid w:val="00936253"/>
    <w:rsid w:val="00940D46"/>
    <w:rsid w:val="00947D5C"/>
    <w:rsid w:val="00952DD4"/>
    <w:rsid w:val="00965AE7"/>
    <w:rsid w:val="00970FED"/>
    <w:rsid w:val="009843A2"/>
    <w:rsid w:val="00990B2A"/>
    <w:rsid w:val="00992D82"/>
    <w:rsid w:val="00995381"/>
    <w:rsid w:val="00997029"/>
    <w:rsid w:val="009A087F"/>
    <w:rsid w:val="009A7339"/>
    <w:rsid w:val="009B440E"/>
    <w:rsid w:val="009D0C9C"/>
    <w:rsid w:val="009D690D"/>
    <w:rsid w:val="009E65B6"/>
    <w:rsid w:val="00A24C10"/>
    <w:rsid w:val="00A34518"/>
    <w:rsid w:val="00A42AC3"/>
    <w:rsid w:val="00A430CF"/>
    <w:rsid w:val="00A54309"/>
    <w:rsid w:val="00A71F4A"/>
    <w:rsid w:val="00A8041A"/>
    <w:rsid w:val="00AA63DF"/>
    <w:rsid w:val="00AB2B93"/>
    <w:rsid w:val="00AB530F"/>
    <w:rsid w:val="00AB7E5B"/>
    <w:rsid w:val="00AC2883"/>
    <w:rsid w:val="00AE0EF1"/>
    <w:rsid w:val="00AE2937"/>
    <w:rsid w:val="00AE4C19"/>
    <w:rsid w:val="00B016B2"/>
    <w:rsid w:val="00B0388B"/>
    <w:rsid w:val="00B040FC"/>
    <w:rsid w:val="00B0620C"/>
    <w:rsid w:val="00B07301"/>
    <w:rsid w:val="00B11F3E"/>
    <w:rsid w:val="00B224DE"/>
    <w:rsid w:val="00B324D4"/>
    <w:rsid w:val="00B46575"/>
    <w:rsid w:val="00B53502"/>
    <w:rsid w:val="00B604D1"/>
    <w:rsid w:val="00B61777"/>
    <w:rsid w:val="00B831A1"/>
    <w:rsid w:val="00B84BBD"/>
    <w:rsid w:val="00BA43FB"/>
    <w:rsid w:val="00BC127D"/>
    <w:rsid w:val="00BC1FE6"/>
    <w:rsid w:val="00C061B6"/>
    <w:rsid w:val="00C2446C"/>
    <w:rsid w:val="00C36AE5"/>
    <w:rsid w:val="00C41F17"/>
    <w:rsid w:val="00C527FA"/>
    <w:rsid w:val="00C5280D"/>
    <w:rsid w:val="00C53EB3"/>
    <w:rsid w:val="00C5791C"/>
    <w:rsid w:val="00C6260C"/>
    <w:rsid w:val="00C66290"/>
    <w:rsid w:val="00C72B7A"/>
    <w:rsid w:val="00C86D83"/>
    <w:rsid w:val="00C973F2"/>
    <w:rsid w:val="00CA304C"/>
    <w:rsid w:val="00CA774A"/>
    <w:rsid w:val="00CC11B0"/>
    <w:rsid w:val="00CC2841"/>
    <w:rsid w:val="00CF1330"/>
    <w:rsid w:val="00CF7E36"/>
    <w:rsid w:val="00D22DB2"/>
    <w:rsid w:val="00D3708D"/>
    <w:rsid w:val="00D40426"/>
    <w:rsid w:val="00D51368"/>
    <w:rsid w:val="00D55196"/>
    <w:rsid w:val="00D57C96"/>
    <w:rsid w:val="00D57D18"/>
    <w:rsid w:val="00D91203"/>
    <w:rsid w:val="00D95174"/>
    <w:rsid w:val="00DA1DA3"/>
    <w:rsid w:val="00DA4223"/>
    <w:rsid w:val="00DA4973"/>
    <w:rsid w:val="00DA6F36"/>
    <w:rsid w:val="00DB596E"/>
    <w:rsid w:val="00DB7773"/>
    <w:rsid w:val="00DC00EA"/>
    <w:rsid w:val="00DC3802"/>
    <w:rsid w:val="00DC576D"/>
    <w:rsid w:val="00DF0645"/>
    <w:rsid w:val="00DF16E7"/>
    <w:rsid w:val="00E07D87"/>
    <w:rsid w:val="00E25C40"/>
    <w:rsid w:val="00E32F7E"/>
    <w:rsid w:val="00E5267B"/>
    <w:rsid w:val="00E63C0E"/>
    <w:rsid w:val="00E72D49"/>
    <w:rsid w:val="00E744B2"/>
    <w:rsid w:val="00E7593C"/>
    <w:rsid w:val="00E7678A"/>
    <w:rsid w:val="00E935F1"/>
    <w:rsid w:val="00E94A81"/>
    <w:rsid w:val="00EA0789"/>
    <w:rsid w:val="00EA1FFB"/>
    <w:rsid w:val="00EA41E2"/>
    <w:rsid w:val="00EB048E"/>
    <w:rsid w:val="00EB4E9C"/>
    <w:rsid w:val="00EB57EB"/>
    <w:rsid w:val="00EE34DF"/>
    <w:rsid w:val="00EF16C8"/>
    <w:rsid w:val="00EF2F89"/>
    <w:rsid w:val="00F012FA"/>
    <w:rsid w:val="00F030B4"/>
    <w:rsid w:val="00F03E98"/>
    <w:rsid w:val="00F1237A"/>
    <w:rsid w:val="00F1744C"/>
    <w:rsid w:val="00F22CBD"/>
    <w:rsid w:val="00F272F1"/>
    <w:rsid w:val="00F45372"/>
    <w:rsid w:val="00F560F7"/>
    <w:rsid w:val="00F6334D"/>
    <w:rsid w:val="00F850C1"/>
    <w:rsid w:val="00F8670B"/>
    <w:rsid w:val="00FA137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F2E0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A8041A"/>
    <w:pPr>
      <w:tabs>
        <w:tab w:val="right" w:leader="dot" w:pos="9639"/>
      </w:tabs>
      <w:spacing w:after="24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80E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2E0A"/>
    <w:rPr>
      <w:rFonts w:ascii="Arial" w:hAnsi="Arial"/>
      <w:cap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F2E0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A8041A"/>
    <w:pPr>
      <w:tabs>
        <w:tab w:val="right" w:leader="dot" w:pos="9639"/>
      </w:tabs>
      <w:spacing w:after="24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80E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2E0A"/>
    <w:rPr>
      <w:rFonts w:ascii="Arial" w:hAnsi="Arial"/>
      <w:cap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9EB85-E1F8-4BDD-8867-58208BF96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12</TotalTime>
  <Pages>9</Pages>
  <Words>2898</Words>
  <Characters>19730</Characters>
  <Application>Microsoft Office Word</Application>
  <DocSecurity>0</DocSecurity>
  <Lines>164</Lines>
  <Paragraphs>45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TC/53/23</vt:lpstr>
      <vt:lpstr>TC/53/23</vt:lpstr>
    </vt:vector>
  </TitlesOfParts>
  <Company>UPOV</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TC/53/23</dc:title>
  <dc:creator>BESSE Ariane</dc:creator>
  <cp:lastModifiedBy>GIACHINO Erika</cp:lastModifiedBy>
  <cp:revision>5</cp:revision>
  <cp:lastPrinted>2017-02-08T21:30:00Z</cp:lastPrinted>
  <dcterms:created xsi:type="dcterms:W3CDTF">2017-02-22T09:08:00Z</dcterms:created>
  <dcterms:modified xsi:type="dcterms:W3CDTF">2017-02-27T14:09:00Z</dcterms:modified>
</cp:coreProperties>
</file>