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AC6984" w:rsidTr="00EB4E9C">
        <w:tc>
          <w:tcPr>
            <w:tcW w:w="6522" w:type="dxa"/>
          </w:tcPr>
          <w:p w:rsidR="00DC3802" w:rsidRPr="00AC6984" w:rsidRDefault="00DC3802" w:rsidP="00AC2883">
            <w:bookmarkStart w:id="0" w:name="_GoBack"/>
            <w:bookmarkEnd w:id="0"/>
            <w:r>
              <w:rPr>
                <w:noProof/>
                <w:lang w:val="en-US" w:eastAsia="en-US" w:bidi="ar-SA"/>
              </w:rPr>
              <w:drawing>
                <wp:inline distT="0" distB="0" distL="0" distR="0" wp14:anchorId="0A2E201C" wp14:editId="26929888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AC6984" w:rsidRDefault="00DC3802" w:rsidP="00AC2883">
            <w:pPr>
              <w:pStyle w:val="Lettrine"/>
            </w:pPr>
            <w:r>
              <w:t>G</w:t>
            </w:r>
          </w:p>
        </w:tc>
      </w:tr>
      <w:tr w:rsidR="00DC3802" w:rsidRPr="00AC6984" w:rsidTr="00645CA8">
        <w:trPr>
          <w:trHeight w:val="219"/>
        </w:trPr>
        <w:tc>
          <w:tcPr>
            <w:tcW w:w="6522" w:type="dxa"/>
          </w:tcPr>
          <w:p w:rsidR="00DC3802" w:rsidRPr="00AC6984" w:rsidRDefault="00DC3802" w:rsidP="00AC2883">
            <w:pPr>
              <w:pStyle w:val="upove"/>
            </w:pPr>
            <w:r>
              <w:t>Internationaler Verband zum Schutz von Pflanzenzüchtungen</w:t>
            </w:r>
          </w:p>
        </w:tc>
        <w:tc>
          <w:tcPr>
            <w:tcW w:w="3117" w:type="dxa"/>
          </w:tcPr>
          <w:p w:rsidR="00DC3802" w:rsidRPr="00AC6984" w:rsidRDefault="00DC3802" w:rsidP="00DA4973"/>
        </w:tc>
      </w:tr>
    </w:tbl>
    <w:p w:rsidR="00DC3802" w:rsidRPr="00AC6984" w:rsidRDefault="00DC3802" w:rsidP="00DC3802"/>
    <w:p w:rsidR="00DA4973" w:rsidRPr="00AC698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AC6984" w:rsidTr="00EB4E9C">
        <w:tc>
          <w:tcPr>
            <w:tcW w:w="6512" w:type="dxa"/>
          </w:tcPr>
          <w:p w:rsidR="00EB4E9C" w:rsidRPr="00AC6984" w:rsidRDefault="00EB4E9C" w:rsidP="00AC2883">
            <w:pPr>
              <w:pStyle w:val="Sessiontc"/>
              <w:spacing w:line="240" w:lineRule="auto"/>
            </w:pPr>
            <w:r>
              <w:t>Technischer Ausschuss</w:t>
            </w:r>
          </w:p>
          <w:p w:rsidR="00EB4E9C" w:rsidRPr="00AC6984" w:rsidRDefault="00EB4E9C" w:rsidP="00AC2883">
            <w:pPr>
              <w:pStyle w:val="Sessiontcplacedate"/>
              <w:rPr>
                <w:sz w:val="22"/>
              </w:rPr>
            </w:pPr>
            <w:r>
              <w:t>Dreiundfünfzigste Tagung</w:t>
            </w:r>
            <w:r>
              <w:br/>
              <w:t>Genf, 3. bis 5. April 2017</w:t>
            </w:r>
          </w:p>
        </w:tc>
        <w:tc>
          <w:tcPr>
            <w:tcW w:w="3127" w:type="dxa"/>
          </w:tcPr>
          <w:p w:rsidR="007A3404" w:rsidRDefault="007A3404" w:rsidP="003C7FBE">
            <w:pPr>
              <w:pStyle w:val="Doccode"/>
            </w:pPr>
            <w:r>
              <w:t>TC/53/1 Rev.</w:t>
            </w:r>
          </w:p>
          <w:p w:rsidR="00EB4E9C" w:rsidRPr="00AC6984" w:rsidRDefault="00EB4E9C" w:rsidP="003C7FBE">
            <w:pPr>
              <w:pStyle w:val="Docoriginal"/>
            </w:pPr>
            <w:r>
              <w:t>Original:</w:t>
            </w:r>
            <w:r>
              <w:rPr>
                <w:b w:val="0"/>
                <w:spacing w:val="0"/>
              </w:rPr>
              <w:t xml:space="preserve">  englisch</w:t>
            </w:r>
          </w:p>
          <w:p w:rsidR="00EB4E9C" w:rsidRPr="00AC6984" w:rsidRDefault="00EB4E9C" w:rsidP="007A3404">
            <w:pPr>
              <w:pStyle w:val="Docoriginal"/>
            </w:pPr>
            <w:r>
              <w:t>Datum:</w:t>
            </w:r>
            <w:r w:rsidR="007A3404">
              <w:rPr>
                <w:b w:val="0"/>
                <w:spacing w:val="0"/>
              </w:rPr>
              <w:t xml:space="preserve">  24</w:t>
            </w:r>
            <w:r>
              <w:rPr>
                <w:b w:val="0"/>
                <w:spacing w:val="0"/>
              </w:rPr>
              <w:t xml:space="preserve">. </w:t>
            </w:r>
            <w:r w:rsidR="007A3404">
              <w:rPr>
                <w:b w:val="0"/>
                <w:spacing w:val="0"/>
              </w:rPr>
              <w:t xml:space="preserve">März </w:t>
            </w:r>
            <w:r>
              <w:rPr>
                <w:b w:val="0"/>
                <w:spacing w:val="0"/>
              </w:rPr>
              <w:t>2017</w:t>
            </w:r>
          </w:p>
        </w:tc>
      </w:tr>
    </w:tbl>
    <w:p w:rsidR="000D7780" w:rsidRPr="00AC6984" w:rsidRDefault="007A3404" w:rsidP="006A644A">
      <w:pPr>
        <w:pStyle w:val="Titleofdoc0"/>
      </w:pPr>
      <w:bookmarkStart w:id="1" w:name="TitleOfDoc"/>
      <w:bookmarkEnd w:id="1"/>
      <w:r>
        <w:t xml:space="preserve">REVIDIERTER </w:t>
      </w:r>
      <w:r w:rsidR="00420CC4">
        <w:t xml:space="preserve">Entwurf einer </w:t>
      </w:r>
      <w:r w:rsidR="00AC6984">
        <w:t>Tagesordnung</w:t>
      </w:r>
    </w:p>
    <w:p w:rsidR="006A644A" w:rsidRPr="00AC6984" w:rsidRDefault="00AE0EF1" w:rsidP="006A644A">
      <w:pPr>
        <w:pStyle w:val="preparedby1"/>
        <w:jc w:val="left"/>
      </w:pPr>
      <w:bookmarkStart w:id="2" w:name="Prepared"/>
      <w:bookmarkEnd w:id="2"/>
      <w:r>
        <w:t>Vom Verbandsbüro erstelltes Dokument</w:t>
      </w:r>
    </w:p>
    <w:p w:rsidR="00050E16" w:rsidRPr="00AC6984" w:rsidRDefault="00050E16" w:rsidP="006A644A">
      <w:pPr>
        <w:pStyle w:val="Disclaimer"/>
      </w:pPr>
      <w:r>
        <w:t>Haftungsausschluss:  dieses Dokument gibt nicht die Grundsätze oder eine Anleitung der UPOV wieder</w:t>
      </w:r>
    </w:p>
    <w:p w:rsidR="00AC6984" w:rsidRPr="00AC6984" w:rsidRDefault="00AC6984" w:rsidP="009B678F">
      <w:pPr>
        <w:spacing w:after="240"/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Eröffnung der Tagung</w:t>
      </w:r>
    </w:p>
    <w:p w:rsidR="00AC6984" w:rsidRPr="00AC6984" w:rsidRDefault="00AC6984" w:rsidP="009B678F">
      <w:pPr>
        <w:spacing w:after="240"/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Annahme der Tagesordnung</w:t>
      </w:r>
    </w:p>
    <w:p w:rsidR="00AC6984" w:rsidRPr="00AC6984" w:rsidRDefault="00AC6984" w:rsidP="009B678F">
      <w:pPr>
        <w:spacing w:after="240"/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Bericht über die Entwicklungen in der UPOV, u. a. die auf den letzten Tagungen des Verwaltungs- und Rechtsausschusses, des Beratenden Ausschusses und des Rates erörterten wichtigen Angelegenheiten (Dokument TC/53/10)</w:t>
      </w:r>
    </w:p>
    <w:p w:rsidR="00AC6984" w:rsidRPr="00AC6984" w:rsidRDefault="00AC6984" w:rsidP="009B678F">
      <w:pPr>
        <w:spacing w:after="240"/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Organisation der UPOV-Tagungen (Dokument TC/53/14)</w:t>
      </w:r>
    </w:p>
    <w:p w:rsidR="00AC6984" w:rsidRPr="00AC6984" w:rsidRDefault="00AC6984" w:rsidP="009B678F">
      <w:pPr>
        <w:spacing w:after="240"/>
        <w:ind w:left="567" w:hanging="567"/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Berichte über den Fortschritt der Arbeiten der Technischen Arbeitsgruppen, einschließlich der Arbeitsgruppe für biochemische und molekulare Verfahren und insbesondere für DNS-Profilierungsverfahren (BMT) (Dokumente TWA/45/25, TWC/34/32, TWF/47/25, TWO/49/25 Rev., TWV/50/25 und mündliche Berichte der Vorsitzenden)</w:t>
      </w:r>
    </w:p>
    <w:p w:rsidR="00AC6984" w:rsidRPr="00AC6984" w:rsidRDefault="00AC6984" w:rsidP="009B678F">
      <w:pPr>
        <w:spacing w:after="240"/>
        <w:ind w:left="567" w:hanging="567"/>
        <w:rPr>
          <w:rFonts w:cs="Arial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Fragen, die von den technischen Arbeitsgruppen aufgeworfen wurden (Dokument TC/53/3)</w:t>
      </w:r>
    </w:p>
    <w:p w:rsidR="00AC6984" w:rsidRPr="00AC6984" w:rsidRDefault="00AC6984" w:rsidP="009B678F">
      <w:pPr>
        <w:keepLines/>
        <w:spacing w:after="240"/>
        <w:ind w:left="567" w:hanging="567"/>
        <w:jc w:val="left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TGP-Dokumente (Dokument TC/53/5)</w:t>
      </w:r>
    </w:p>
    <w:p w:rsidR="00AC6984" w:rsidRPr="00AC6984" w:rsidRDefault="00AC6984" w:rsidP="009B678F">
      <w:pPr>
        <w:tabs>
          <w:tab w:val="left" w:pos="567"/>
        </w:tabs>
        <w:ind w:left="567"/>
        <w:rPr>
          <w:rFonts w:cs="Arial"/>
        </w:rPr>
      </w:pPr>
      <w:r>
        <w:rPr>
          <w:i/>
          <w:snapToGrid w:val="0"/>
        </w:rPr>
        <w:t xml:space="preserve">Überarbeitung von TGP-Dokumenten: </w:t>
      </w:r>
    </w:p>
    <w:p w:rsidR="009B678F" w:rsidRDefault="009B678F" w:rsidP="009B678F">
      <w:pPr>
        <w:ind w:left="567"/>
        <w:rPr>
          <w:snapToGrid w:val="0"/>
        </w:rPr>
      </w:pPr>
    </w:p>
    <w:p w:rsidR="00AC6984" w:rsidRPr="00AC6984" w:rsidRDefault="009B678F" w:rsidP="009B678F">
      <w:pPr>
        <w:tabs>
          <w:tab w:val="left" w:pos="1418"/>
        </w:tabs>
        <w:ind w:left="567"/>
        <w:rPr>
          <w:snapToGrid w:val="0"/>
        </w:rPr>
      </w:pPr>
      <w:r>
        <w:t>TGP/7:</w:t>
      </w:r>
      <w:r>
        <w:tab/>
        <w:t xml:space="preserve">Erstellung von Prüfungsrichtlinien </w:t>
      </w:r>
    </w:p>
    <w:p w:rsidR="009B678F" w:rsidRDefault="009B678F" w:rsidP="009B678F">
      <w:pPr>
        <w:ind w:left="1418"/>
        <w:rPr>
          <w:i/>
        </w:rPr>
      </w:pPr>
    </w:p>
    <w:p w:rsidR="00AC6984" w:rsidRPr="00AC6984" w:rsidRDefault="00AC6984" w:rsidP="009B678F">
      <w:pPr>
        <w:ind w:left="1418"/>
      </w:pPr>
      <w:r>
        <w:rPr>
          <w:i/>
        </w:rPr>
        <w:t>Überarbeitung von Dokument TGP/7</w:t>
      </w:r>
      <w:r>
        <w:t>:  Anleitung für Verfasser von Prüfungsrichtlinien (Dokument TC/53/15)</w:t>
      </w:r>
    </w:p>
    <w:p w:rsidR="009B678F" w:rsidRDefault="009B678F" w:rsidP="009B678F">
      <w:pPr>
        <w:keepNext/>
        <w:ind w:left="1701" w:hanging="1100"/>
        <w:rPr>
          <w:rFonts w:cs="Arial"/>
        </w:rPr>
      </w:pPr>
    </w:p>
    <w:p w:rsidR="00AC6984" w:rsidRPr="00AC6984" w:rsidRDefault="009B678F" w:rsidP="009B678F">
      <w:pPr>
        <w:tabs>
          <w:tab w:val="left" w:pos="1418"/>
        </w:tabs>
        <w:ind w:left="567"/>
        <w:rPr>
          <w:rFonts w:cs="Arial"/>
        </w:rPr>
      </w:pPr>
      <w:r>
        <w:t>TGP/8:</w:t>
      </w:r>
      <w:r>
        <w:tab/>
        <w:t>Prüfungsanlage und Verfahren für die Prüfung der Unterscheidbarkeit, der Homogenität und der Beständigkeit</w:t>
      </w:r>
    </w:p>
    <w:p w:rsidR="009B678F" w:rsidRDefault="009B678F" w:rsidP="009B678F">
      <w:pPr>
        <w:autoSpaceDE w:val="0"/>
        <w:autoSpaceDN w:val="0"/>
        <w:adjustRightInd w:val="0"/>
        <w:ind w:left="1418"/>
        <w:rPr>
          <w:rFonts w:cs="Arial"/>
          <w:i/>
          <w:iCs/>
        </w:rPr>
      </w:pPr>
    </w:p>
    <w:p w:rsidR="00AC6984" w:rsidRPr="00AC6984" w:rsidRDefault="00AC6984" w:rsidP="009B678F">
      <w:pPr>
        <w:autoSpaceDE w:val="0"/>
        <w:autoSpaceDN w:val="0"/>
        <w:adjustRightInd w:val="0"/>
        <w:ind w:left="1418"/>
        <w:rPr>
          <w:rFonts w:cs="Arial"/>
        </w:rPr>
      </w:pPr>
      <w:r>
        <w:rPr>
          <w:i/>
        </w:rPr>
        <w:t xml:space="preserve">Überarbeitung von Dokument TGP/8:  </w:t>
      </w:r>
      <w:r>
        <w:t>Teil II:  Ausgewählte Verfahren für die DUS-Prüfung, Abschnitt 9: Das kombinierte Homogenitätskriterium über mehrere Jahre (COYU) (Dokument TC/53/16)</w:t>
      </w:r>
    </w:p>
    <w:p w:rsidR="009B678F" w:rsidRDefault="009B678F" w:rsidP="009B678F">
      <w:pPr>
        <w:ind w:left="1418"/>
        <w:rPr>
          <w:i/>
        </w:rPr>
      </w:pPr>
    </w:p>
    <w:p w:rsidR="00AC6984" w:rsidRPr="00AC6984" w:rsidRDefault="00AC6984" w:rsidP="009B678F">
      <w:pPr>
        <w:ind w:left="1418"/>
        <w:rPr>
          <w:rFonts w:cs="Arial"/>
        </w:rPr>
      </w:pPr>
      <w:r>
        <w:rPr>
          <w:i/>
        </w:rPr>
        <w:t xml:space="preserve">Überarbeitung von Dokument TGP/8:  </w:t>
      </w:r>
      <w:r>
        <w:t>Teil II</w:t>
      </w:r>
      <w:r>
        <w:rPr>
          <w:i/>
        </w:rPr>
        <w:t xml:space="preserve">:  </w:t>
      </w:r>
      <w:r>
        <w:t>Ausgewählte Verfahren für die DUS-Prüfung, neuer Abschnitt: DUS-Prüfung an Mischproben (Dokument TC/53/17)</w:t>
      </w:r>
    </w:p>
    <w:p w:rsidR="009B678F" w:rsidRDefault="009B678F" w:rsidP="009B678F">
      <w:pPr>
        <w:ind w:left="1418"/>
        <w:rPr>
          <w:rFonts w:cs="Arial"/>
          <w:i/>
        </w:rPr>
      </w:pPr>
    </w:p>
    <w:p w:rsidR="00AC6984" w:rsidRPr="00AC6984" w:rsidRDefault="00AC6984" w:rsidP="009B678F">
      <w:pPr>
        <w:ind w:left="1418"/>
        <w:rPr>
          <w:rFonts w:cs="Arial"/>
        </w:rPr>
      </w:pPr>
      <w:r>
        <w:rPr>
          <w:i/>
        </w:rPr>
        <w:t>Überarbeitung von Dokument TGP/8</w:t>
      </w:r>
      <w:r>
        <w:t>:  Teil II:  Ausgewählte Verfahren für die DUS-Prüfung, neuer Abschnitt: Datenverarbeitung für die Prüfung der Unterscheidbarkeit und die Erstellung von Sortenbeschreibungen (Dokument TC/53/18)</w:t>
      </w:r>
    </w:p>
    <w:p w:rsidR="009B678F" w:rsidRDefault="009B678F" w:rsidP="009B678F">
      <w:pPr>
        <w:ind w:left="2410" w:hanging="1843"/>
        <w:rPr>
          <w:rFonts w:cs="Arial"/>
          <w:snapToGrid w:val="0"/>
        </w:rPr>
      </w:pPr>
    </w:p>
    <w:p w:rsidR="00AC6984" w:rsidRPr="00AC6984" w:rsidRDefault="009B678F" w:rsidP="009B678F">
      <w:pPr>
        <w:keepNext/>
        <w:tabs>
          <w:tab w:val="left" w:pos="1418"/>
        </w:tabs>
        <w:ind w:left="567"/>
        <w:rPr>
          <w:rFonts w:cs="Arial"/>
          <w:snapToGrid w:val="0"/>
        </w:rPr>
      </w:pPr>
      <w:r>
        <w:lastRenderedPageBreak/>
        <w:t>TGP/10:</w:t>
      </w:r>
      <w:r>
        <w:tab/>
        <w:t>Prüfung der Homogenität</w:t>
      </w:r>
    </w:p>
    <w:p w:rsidR="009B678F" w:rsidRDefault="009B678F" w:rsidP="009B678F">
      <w:pPr>
        <w:keepNext/>
        <w:ind w:left="1418"/>
        <w:rPr>
          <w:rFonts w:cs="Arial"/>
          <w:i/>
        </w:rPr>
      </w:pPr>
    </w:p>
    <w:p w:rsidR="00AC6984" w:rsidRPr="00AC6984" w:rsidRDefault="00AC6984" w:rsidP="009B678F">
      <w:pPr>
        <w:ind w:left="1418"/>
        <w:rPr>
          <w:rFonts w:cs="Arial"/>
          <w:snapToGrid w:val="0"/>
        </w:rPr>
      </w:pPr>
      <w:r>
        <w:rPr>
          <w:i/>
        </w:rPr>
        <w:t xml:space="preserve">Überarbeitung von Dokument TGP/10: </w:t>
      </w:r>
      <w:r>
        <w:t>Neuer Abschnitt: Prüfung der Homogenität anhand von Abweichern aufgrund von mehr als einer Wachstumsperiode oder aufgrund von Unterproben</w:t>
      </w:r>
      <w:r>
        <w:rPr>
          <w:i/>
        </w:rPr>
        <w:t xml:space="preserve"> </w:t>
      </w:r>
      <w:r>
        <w:t xml:space="preserve">(Dokument TC/53/19) </w:t>
      </w:r>
    </w:p>
    <w:p w:rsidR="009B678F" w:rsidRPr="009B678F" w:rsidRDefault="009B678F" w:rsidP="009B678F"/>
    <w:p w:rsidR="00AC6984" w:rsidRPr="00AC6984" w:rsidRDefault="00AC6984" w:rsidP="009B678F">
      <w:pPr>
        <w:ind w:left="567" w:hanging="567"/>
        <w:rPr>
          <w:rFonts w:cs="Arial"/>
        </w:rPr>
      </w:pPr>
      <w:r w:rsidRPr="00AC6984">
        <w:fldChar w:fldCharType="begin"/>
      </w:r>
      <w:r w:rsidRPr="00AC6984">
        <w:instrText xml:space="preserve"> AUTONUM  </w:instrText>
      </w:r>
      <w:r w:rsidRPr="00AC6984">
        <w:fldChar w:fldCharType="end"/>
      </w:r>
      <w:r>
        <w:tab/>
        <w:t>Zusammenarbeit bei der Prüfung (TC/53/20)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Informationen und Datenbanken</w:t>
      </w:r>
    </w:p>
    <w:p w:rsidR="009B678F" w:rsidRDefault="009B678F" w:rsidP="009B678F">
      <w:pPr>
        <w:ind w:left="567"/>
        <w:rPr>
          <w:rFonts w:cs="Arial"/>
          <w:snapToGrid w:val="0"/>
        </w:rPr>
      </w:pPr>
    </w:p>
    <w:p w:rsidR="00AC6984" w:rsidRPr="00AC6984" w:rsidRDefault="00AC6984" w:rsidP="009B678F">
      <w:pPr>
        <w:ind w:left="567"/>
        <w:rPr>
          <w:rFonts w:cs="Arial"/>
          <w:snapToGrid w:val="0"/>
        </w:rPr>
      </w:pPr>
      <w:r>
        <w:t>a)</w:t>
      </w:r>
      <w:r>
        <w:tab/>
        <w:t>UPOV-Informationsdatenbanken (Dokument TC/53/6)</w:t>
      </w:r>
    </w:p>
    <w:p w:rsidR="009B678F" w:rsidRDefault="009B678F" w:rsidP="009B678F">
      <w:pPr>
        <w:ind w:left="567"/>
        <w:rPr>
          <w:rFonts w:cs="Arial"/>
          <w:snapToGrid w:val="0"/>
        </w:rPr>
      </w:pPr>
    </w:p>
    <w:p w:rsidR="00AC6984" w:rsidRPr="00AC6984" w:rsidRDefault="00AC6984" w:rsidP="009B678F">
      <w:pPr>
        <w:ind w:left="567"/>
        <w:rPr>
          <w:rFonts w:cs="Arial"/>
          <w:snapToGrid w:val="0"/>
        </w:rPr>
      </w:pPr>
      <w:r>
        <w:t>b)</w:t>
      </w:r>
      <w:r>
        <w:tab/>
      </w:r>
      <w:r w:rsidR="00FB4C36" w:rsidRPr="00FB4C36">
        <w:t>Elektronisches Antragsformblatt</w:t>
      </w:r>
      <w:r>
        <w:t xml:space="preserve"> (Dokument TC/53/7)</w:t>
      </w:r>
    </w:p>
    <w:p w:rsidR="009B678F" w:rsidRDefault="009B678F" w:rsidP="009B678F">
      <w:pPr>
        <w:ind w:left="567"/>
        <w:rPr>
          <w:rFonts w:cs="Arial"/>
          <w:snapToGrid w:val="0"/>
        </w:rPr>
      </w:pPr>
    </w:p>
    <w:p w:rsidR="00AC6984" w:rsidRPr="00AC6984" w:rsidRDefault="00AC6984" w:rsidP="009B678F">
      <w:pPr>
        <w:ind w:left="567"/>
        <w:rPr>
          <w:rFonts w:cs="Arial"/>
          <w:snapToGrid w:val="0"/>
        </w:rPr>
      </w:pPr>
      <w:r>
        <w:t>c)</w:t>
      </w:r>
      <w:r>
        <w:tab/>
        <w:t>Austausch und Verwendung von Software und Ausrüstung (Dokument TC/53/8)</w:t>
      </w:r>
    </w:p>
    <w:p w:rsidR="009B678F" w:rsidRDefault="009B678F" w:rsidP="009B678F">
      <w:pPr>
        <w:ind w:left="567"/>
        <w:rPr>
          <w:rFonts w:cs="Arial"/>
          <w:snapToGrid w:val="0"/>
        </w:rPr>
      </w:pPr>
    </w:p>
    <w:p w:rsidR="00AC6984" w:rsidRPr="00AC6984" w:rsidRDefault="00AC6984" w:rsidP="009B678F">
      <w:pPr>
        <w:ind w:left="567"/>
        <w:rPr>
          <w:rFonts w:cs="Arial"/>
          <w:snapToGrid w:val="0"/>
        </w:rPr>
      </w:pPr>
      <w:r>
        <w:t>b)</w:t>
      </w:r>
      <w:r>
        <w:tab/>
        <w:t>Datenbanken für Sortenbeschreibungen (Dokument TC/53/9)</w:t>
      </w:r>
    </w:p>
    <w:p w:rsidR="009B678F" w:rsidRDefault="009B678F" w:rsidP="009B678F">
      <w:pPr>
        <w:ind w:left="567" w:hanging="567"/>
      </w:pPr>
    </w:p>
    <w:p w:rsidR="00AC6984" w:rsidRPr="00AC6984" w:rsidRDefault="00AC6984" w:rsidP="009B678F">
      <w:pPr>
        <w:ind w:left="567" w:hanging="567"/>
      </w:pPr>
      <w:r w:rsidRPr="00AC6984">
        <w:fldChar w:fldCharType="begin"/>
      </w:r>
      <w:r w:rsidRPr="00AC6984">
        <w:instrText xml:space="preserve"> AUTONUM  </w:instrText>
      </w:r>
      <w:r w:rsidRPr="00AC6984">
        <w:fldChar w:fldCharType="end"/>
      </w:r>
      <w:r>
        <w:tab/>
        <w:t>Anzahl von Wachstumsperioden (Dokument TC/53/21)</w:t>
      </w:r>
    </w:p>
    <w:p w:rsidR="009B678F" w:rsidRDefault="009B678F" w:rsidP="009B678F">
      <w:pPr>
        <w:ind w:left="567" w:hanging="567"/>
      </w:pPr>
    </w:p>
    <w:p w:rsidR="00AC6984" w:rsidRPr="00AC6984" w:rsidRDefault="00AC6984" w:rsidP="009B678F">
      <w:pPr>
        <w:ind w:left="567" w:hanging="567"/>
      </w:pPr>
      <w:r w:rsidRPr="00AC6984">
        <w:fldChar w:fldCharType="begin"/>
      </w:r>
      <w:r w:rsidRPr="00AC6984">
        <w:instrText xml:space="preserve"> AUTONUM  </w:instrText>
      </w:r>
      <w:r w:rsidRPr="00AC6984">
        <w:fldChar w:fldCharType="end"/>
      </w:r>
      <w:r>
        <w:tab/>
        <w:t>Angelegenheiten betreffend Sortenbeschreibungen (Dokument TC/53/22)</w:t>
      </w:r>
    </w:p>
    <w:p w:rsidR="009B678F" w:rsidRDefault="009B678F" w:rsidP="009B678F">
      <w:pPr>
        <w:ind w:left="567" w:hanging="567"/>
      </w:pPr>
    </w:p>
    <w:p w:rsidR="00AC6984" w:rsidRPr="00AC6984" w:rsidRDefault="00AC6984" w:rsidP="009B678F">
      <w:pPr>
        <w:ind w:left="567" w:hanging="567"/>
      </w:pPr>
      <w:r w:rsidRPr="00AC6984">
        <w:fldChar w:fldCharType="begin"/>
      </w:r>
      <w:r w:rsidRPr="00AC6984">
        <w:instrText xml:space="preserve"> AUTONUM  </w:instrText>
      </w:r>
      <w:r w:rsidRPr="00AC6984">
        <w:fldChar w:fldCharType="end"/>
      </w:r>
      <w:r>
        <w:tab/>
        <w:t>Entwicklung berechneter Schwellenwerte für die Ausschließung allgemein bekannter Sorten von der zweiten Wachstumsperiode bei Anwendung von COYD (Dokument TC/53/23)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Statistische Verfahren für visuell erfaßte Merkmale (Dokument TC/53/24)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Molekulare Verfahren (Dokument TC/53/11)</w:t>
      </w:r>
    </w:p>
    <w:p w:rsidR="009B678F" w:rsidRDefault="009B678F" w:rsidP="009B678F">
      <w:pPr>
        <w:ind w:left="567" w:hanging="567"/>
      </w:pPr>
    </w:p>
    <w:p w:rsidR="00AC6984" w:rsidRPr="00AC6984" w:rsidRDefault="00AC6984" w:rsidP="009B678F">
      <w:pPr>
        <w:ind w:left="567" w:hanging="567"/>
      </w:pPr>
      <w:r w:rsidRPr="00AC6984">
        <w:fldChar w:fldCharType="begin"/>
      </w:r>
      <w:r w:rsidRPr="00AC6984">
        <w:instrText xml:space="preserve"> AUTONUM  </w:instrText>
      </w:r>
      <w:r w:rsidRPr="00AC6984">
        <w:fldChar w:fldCharType="end"/>
      </w:r>
      <w:r>
        <w:tab/>
        <w:t>Erörterungen zu:</w:t>
      </w:r>
    </w:p>
    <w:p w:rsidR="009B678F" w:rsidRDefault="009B678F" w:rsidP="009B678F">
      <w:pPr>
        <w:ind w:left="1134" w:hanging="567"/>
      </w:pPr>
    </w:p>
    <w:p w:rsidR="00AC6984" w:rsidRPr="00AC6984" w:rsidRDefault="00AC6984" w:rsidP="009B678F">
      <w:pPr>
        <w:ind w:left="1134" w:hanging="567"/>
      </w:pPr>
      <w:r>
        <w:t>a)</w:t>
      </w:r>
      <w:r>
        <w:tab/>
        <w:t xml:space="preserve">Verwendung von Krankheits- und Insektenresistenzmerkmalen bei der DUS-Prüfung </w:t>
      </w:r>
    </w:p>
    <w:p w:rsidR="009B678F" w:rsidRDefault="009B678F" w:rsidP="009B678F">
      <w:pPr>
        <w:ind w:left="1134" w:hanging="567"/>
      </w:pPr>
    </w:p>
    <w:p w:rsidR="00AC6984" w:rsidRPr="00AC6984" w:rsidRDefault="00AC6984" w:rsidP="009B678F">
      <w:pPr>
        <w:ind w:left="1134" w:hanging="567"/>
      </w:pPr>
      <w:r>
        <w:t>b)</w:t>
      </w:r>
      <w:r>
        <w:tab/>
        <w:t xml:space="preserve">Verwaltung von Vergleichssammlungen </w:t>
      </w:r>
    </w:p>
    <w:p w:rsidR="009B678F" w:rsidRDefault="009B678F" w:rsidP="009B678F">
      <w:pPr>
        <w:ind w:left="1134" w:hanging="567"/>
      </w:pPr>
    </w:p>
    <w:p w:rsidR="00AC6984" w:rsidRPr="00AC6984" w:rsidRDefault="00AC6984" w:rsidP="009B678F">
      <w:pPr>
        <w:ind w:left="1134" w:hanging="567"/>
      </w:pPr>
      <w:r>
        <w:t>c)</w:t>
      </w:r>
      <w:r>
        <w:tab/>
        <w:t>Mindestabstand zwischen Sorten</w:t>
      </w:r>
    </w:p>
    <w:p w:rsidR="009B678F" w:rsidRDefault="009B678F" w:rsidP="009B678F">
      <w:pPr>
        <w:ind w:left="1134" w:hanging="567"/>
      </w:pPr>
    </w:p>
    <w:p w:rsidR="00AC6984" w:rsidRPr="00AC6984" w:rsidRDefault="00AC6984" w:rsidP="009B678F">
      <w:pPr>
        <w:ind w:left="1134" w:hanging="567"/>
      </w:pPr>
      <w:r>
        <w:t>d)</w:t>
      </w:r>
      <w:r>
        <w:tab/>
        <w:t>Verbesserung der Beteiligung neuer Verbandsmitglieder a</w:t>
      </w:r>
      <w:r w:rsidR="00FB4C36">
        <w:t>n der Arbeit des TC und der TWP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Sortenbezeichnungen (Dokument TC/53/12)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Vorbereitende Arbeitstagungen (Dokument TC/53/13)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Liste der Gattungen und Arten, für die die Behörden über praktische Erfahrung bei der Prüfung der Unterscheidbarkeit, Homogenität und Beständigkeit verfügen (Dokument TC/53/4)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7A3404" w:rsidRDefault="007A3404" w:rsidP="009B678F">
      <w:pPr>
        <w:ind w:left="567" w:hanging="567"/>
        <w:rPr>
          <w:rFonts w:cs="Arial"/>
          <w:snapToGrid w:val="0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>
        <w:t xml:space="preserve">Webbasierte Mustervorlage </w:t>
      </w:r>
      <w:r w:rsidR="00E1192F">
        <w:t xml:space="preserve">für Prüfungsrichtlinien </w:t>
      </w:r>
      <w:r>
        <w:t>(Dokument TC/53/29)</w:t>
      </w:r>
    </w:p>
    <w:p w:rsidR="007A3404" w:rsidRDefault="007A3404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Prüfungsrichtlinien (Dokumente TC/53/2, TC/53/25, TC/53/26, TC/53/27</w:t>
      </w:r>
      <w:r w:rsidR="007A3404">
        <w:t>, TC/53/28 und TC/53/30</w:t>
      </w:r>
      <w:r>
        <w:t>)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 xml:space="preserve">Programm für die vierundfünfzigste Tagung </w:t>
      </w:r>
    </w:p>
    <w:p w:rsidR="009B678F" w:rsidRDefault="009B678F" w:rsidP="009B678F">
      <w:pPr>
        <w:ind w:left="567" w:hanging="567"/>
        <w:rPr>
          <w:rFonts w:cs="Arial"/>
          <w:snapToGrid w:val="0"/>
        </w:rPr>
      </w:pPr>
    </w:p>
    <w:p w:rsidR="00AC6984" w:rsidRPr="00AC6984" w:rsidRDefault="00AC6984" w:rsidP="009B678F">
      <w:pPr>
        <w:ind w:left="567" w:hanging="567"/>
        <w:rPr>
          <w:rFonts w:cs="Arial"/>
          <w:snapToGrid w:val="0"/>
        </w:rPr>
      </w:pPr>
      <w:r w:rsidRPr="00AC6984">
        <w:rPr>
          <w:rFonts w:cs="Arial"/>
          <w:snapToGrid w:val="0"/>
        </w:rPr>
        <w:fldChar w:fldCharType="begin"/>
      </w:r>
      <w:r w:rsidRPr="00AC6984">
        <w:rPr>
          <w:rFonts w:cs="Arial"/>
          <w:snapToGrid w:val="0"/>
        </w:rPr>
        <w:instrText xml:space="preserve"> AUTONUM  </w:instrText>
      </w:r>
      <w:r w:rsidRPr="00AC6984">
        <w:rPr>
          <w:rFonts w:cs="Arial"/>
          <w:snapToGrid w:val="0"/>
        </w:rPr>
        <w:fldChar w:fldCharType="end"/>
      </w:r>
      <w:r>
        <w:tab/>
        <w:t>Annahme des Berichts (sofern zeitlich möglich)</w:t>
      </w:r>
    </w:p>
    <w:p w:rsidR="009B678F" w:rsidRDefault="009B678F" w:rsidP="009B678F">
      <w:pPr>
        <w:ind w:left="567" w:hanging="567"/>
        <w:rPr>
          <w:snapToGrid w:val="0"/>
        </w:rPr>
      </w:pPr>
    </w:p>
    <w:p w:rsidR="00AC6984" w:rsidRPr="00AC6984" w:rsidRDefault="00AC6984" w:rsidP="009B678F">
      <w:pPr>
        <w:ind w:left="567" w:hanging="567"/>
        <w:rPr>
          <w:snapToGrid w:val="0"/>
        </w:rPr>
      </w:pPr>
      <w:r w:rsidRPr="00AC6984">
        <w:rPr>
          <w:snapToGrid w:val="0"/>
        </w:rPr>
        <w:fldChar w:fldCharType="begin"/>
      </w:r>
      <w:r w:rsidRPr="00AC6984">
        <w:rPr>
          <w:snapToGrid w:val="0"/>
        </w:rPr>
        <w:instrText xml:space="preserve"> AUTONUM  </w:instrText>
      </w:r>
      <w:r w:rsidRPr="00AC6984">
        <w:rPr>
          <w:snapToGrid w:val="0"/>
        </w:rPr>
        <w:fldChar w:fldCharType="end"/>
      </w:r>
      <w:r>
        <w:tab/>
        <w:t>Schließung der Tagung</w:t>
      </w:r>
    </w:p>
    <w:p w:rsidR="00050E16" w:rsidRPr="00AC6984" w:rsidRDefault="00050E16" w:rsidP="004B1215"/>
    <w:p w:rsidR="00544581" w:rsidRPr="00AC6984" w:rsidRDefault="00544581">
      <w:pPr>
        <w:jc w:val="left"/>
      </w:pPr>
    </w:p>
    <w:p w:rsidR="00050E16" w:rsidRPr="00AC6984" w:rsidRDefault="00050E16" w:rsidP="00050E16"/>
    <w:p w:rsidR="009B440E" w:rsidRPr="00AC6984" w:rsidRDefault="00050E16" w:rsidP="00050E16">
      <w:pPr>
        <w:jc w:val="right"/>
      </w:pPr>
      <w:r>
        <w:t>[Ende des Dokuments]</w:t>
      </w:r>
    </w:p>
    <w:p w:rsidR="00050E16" w:rsidRPr="00AC6984" w:rsidRDefault="00050E16" w:rsidP="009B440E">
      <w:pPr>
        <w:jc w:val="left"/>
      </w:pPr>
    </w:p>
    <w:sectPr w:rsidR="00050E16" w:rsidRPr="00AC6984" w:rsidSect="00906DDC">
      <w:headerReference w:type="default" r:id="rId8"/>
      <w:foot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414" w:rsidRDefault="00D97414" w:rsidP="006655D3">
      <w:r>
        <w:separator/>
      </w:r>
    </w:p>
    <w:p w:rsidR="00D97414" w:rsidRDefault="00D97414" w:rsidP="006655D3"/>
    <w:p w:rsidR="00D97414" w:rsidRDefault="00D97414" w:rsidP="006655D3"/>
  </w:endnote>
  <w:endnote w:type="continuationSeparator" w:id="0">
    <w:p w:rsidR="00D97414" w:rsidRDefault="00D97414" w:rsidP="006655D3">
      <w:r>
        <w:separator/>
      </w:r>
    </w:p>
    <w:p w:rsidR="00D97414" w:rsidRPr="00294751" w:rsidRDefault="00D9741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D97414" w:rsidRPr="00294751" w:rsidRDefault="00D97414" w:rsidP="006655D3">
      <w:pPr>
        <w:rPr>
          <w:lang w:val="fr-FR"/>
        </w:rPr>
      </w:pPr>
    </w:p>
    <w:p w:rsidR="00D97414" w:rsidRPr="00294751" w:rsidRDefault="00D97414" w:rsidP="006655D3">
      <w:pPr>
        <w:rPr>
          <w:lang w:val="fr-FR"/>
        </w:rPr>
      </w:pPr>
    </w:p>
  </w:endnote>
  <w:endnote w:type="continuationNotice" w:id="1">
    <w:p w:rsidR="00D97414" w:rsidRPr="00294751" w:rsidRDefault="00D9741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D97414" w:rsidRPr="00294751" w:rsidRDefault="00D97414" w:rsidP="006655D3">
      <w:pPr>
        <w:rPr>
          <w:lang w:val="fr-FR"/>
        </w:rPr>
      </w:pPr>
    </w:p>
    <w:p w:rsidR="00D97414" w:rsidRPr="00294751" w:rsidRDefault="00D9741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984" w:rsidRPr="00AC6984" w:rsidRDefault="00AC6984" w:rsidP="00AC6984">
    <w:pPr>
      <w:pStyle w:val="FootnoteText"/>
    </w:pPr>
    <w:r>
      <w:tab/>
    </w:r>
  </w:p>
  <w:p w:rsidR="00AC6984" w:rsidRPr="00AC6984" w:rsidRDefault="00AC6984" w:rsidP="00AC6984">
    <w:pPr>
      <w:pStyle w:val="FootnoteText"/>
    </w:pPr>
    <w:r>
      <w:t>Die Tagung wird am Sitz der UPOV (34, chemin des Colombettes, Genf, Schweiz) stattfinden</w:t>
    </w:r>
    <w:r w:rsidR="00C6597D">
      <w:t xml:space="preserve">. </w:t>
    </w:r>
    <w:r>
      <w:t xml:space="preserve">Sie </w:t>
    </w:r>
    <w:r w:rsidR="00420CC4">
      <w:t xml:space="preserve">wird </w:t>
    </w:r>
    <w:r>
      <w:t xml:space="preserve">am Montag, den 3. April 2017 um 9.30 Uhr </w:t>
    </w:r>
    <w:r w:rsidR="00420CC4">
      <w:t xml:space="preserve">beginnen </w:t>
    </w:r>
    <w:r>
      <w:t>und am Mittwoch, den 5. April 2017 um 12.30 Uhr</w:t>
    </w:r>
    <w:r w:rsidR="00420CC4">
      <w:t xml:space="preserve"> enden</w:t>
    </w:r>
    <w: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414" w:rsidRDefault="00D97414" w:rsidP="006655D3">
      <w:r>
        <w:separator/>
      </w:r>
    </w:p>
  </w:footnote>
  <w:footnote w:type="continuationSeparator" w:id="0">
    <w:p w:rsidR="00D97414" w:rsidRDefault="00D97414" w:rsidP="006655D3">
      <w:r>
        <w:separator/>
      </w:r>
    </w:p>
  </w:footnote>
  <w:footnote w:type="continuationNotice" w:id="1">
    <w:p w:rsidR="00D97414" w:rsidRPr="00AB530F" w:rsidRDefault="00D9741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3404" w:rsidRDefault="007A3404" w:rsidP="00EB048E">
    <w:pPr>
      <w:pStyle w:val="Header"/>
      <w:rPr>
        <w:rStyle w:val="PageNumber"/>
      </w:rPr>
    </w:pPr>
    <w:r>
      <w:rPr>
        <w:rStyle w:val="PageNumber"/>
      </w:rPr>
      <w:t>TC/53/1 Rev.</w:t>
    </w:r>
  </w:p>
  <w:p w:rsidR="00182B99" w:rsidRPr="00C5280D" w:rsidRDefault="00182B99" w:rsidP="00EB048E">
    <w:pPr>
      <w:pStyle w:val="Header"/>
    </w:pPr>
    <w:r>
      <w:t xml:space="preserve">Seite </w:t>
    </w:r>
    <w:r w:rsidRPr="00C5280D">
      <w:rPr>
        <w:rStyle w:val="PageNumber"/>
      </w:rPr>
      <w:fldChar w:fldCharType="begin"/>
    </w:r>
    <w:r w:rsidRPr="00C5280D">
      <w:rPr>
        <w:rStyle w:val="PageNumber"/>
      </w:rPr>
      <w:instrText xml:space="preserve"> PAGE </w:instrText>
    </w:r>
    <w:r w:rsidRPr="00C5280D">
      <w:rPr>
        <w:rStyle w:val="PageNumber"/>
      </w:rPr>
      <w:fldChar w:fldCharType="separate"/>
    </w:r>
    <w:r w:rsidR="00720476">
      <w:rPr>
        <w:rStyle w:val="PageNumber"/>
        <w:noProof/>
      </w:rPr>
      <w:t>2</w:t>
    </w:r>
    <w:r w:rsidRPr="00C5280D">
      <w:rPr>
        <w:rStyle w:val="PageNumber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F28"/>
    <w:rsid w:val="00010CF3"/>
    <w:rsid w:val="00011E27"/>
    <w:rsid w:val="000148BC"/>
    <w:rsid w:val="00024AB8"/>
    <w:rsid w:val="00030854"/>
    <w:rsid w:val="00036028"/>
    <w:rsid w:val="000401F2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E0FAE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44BD6"/>
    <w:rsid w:val="0035528D"/>
    <w:rsid w:val="00361821"/>
    <w:rsid w:val="00361E9E"/>
    <w:rsid w:val="00386BC1"/>
    <w:rsid w:val="003C7FBE"/>
    <w:rsid w:val="003D227C"/>
    <w:rsid w:val="003D2B4D"/>
    <w:rsid w:val="00420CC4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C3A46"/>
    <w:rsid w:val="006D1458"/>
    <w:rsid w:val="006D780A"/>
    <w:rsid w:val="0071271E"/>
    <w:rsid w:val="00720476"/>
    <w:rsid w:val="00732DEC"/>
    <w:rsid w:val="00735BD5"/>
    <w:rsid w:val="00751613"/>
    <w:rsid w:val="007556F6"/>
    <w:rsid w:val="00760EEF"/>
    <w:rsid w:val="00777EE5"/>
    <w:rsid w:val="00784836"/>
    <w:rsid w:val="00784A35"/>
    <w:rsid w:val="0079023E"/>
    <w:rsid w:val="007A2854"/>
    <w:rsid w:val="007A340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B678F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C6984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597D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01961"/>
    <w:rsid w:val="00D14F28"/>
    <w:rsid w:val="00D3708D"/>
    <w:rsid w:val="00D40426"/>
    <w:rsid w:val="00D57C96"/>
    <w:rsid w:val="00D57D18"/>
    <w:rsid w:val="00D91203"/>
    <w:rsid w:val="00D95174"/>
    <w:rsid w:val="00D97414"/>
    <w:rsid w:val="00DA4973"/>
    <w:rsid w:val="00DA6F36"/>
    <w:rsid w:val="00DB596E"/>
    <w:rsid w:val="00DB7773"/>
    <w:rsid w:val="00DC00EA"/>
    <w:rsid w:val="00DC3802"/>
    <w:rsid w:val="00E07D87"/>
    <w:rsid w:val="00E1192F"/>
    <w:rsid w:val="00E32F7E"/>
    <w:rsid w:val="00E5267B"/>
    <w:rsid w:val="00E57059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789F"/>
    <w:rsid w:val="00F03E98"/>
    <w:rsid w:val="00F1237A"/>
    <w:rsid w:val="00F22CBD"/>
    <w:rsid w:val="00F272F1"/>
    <w:rsid w:val="00F45372"/>
    <w:rsid w:val="00F560F7"/>
    <w:rsid w:val="00F6334D"/>
    <w:rsid w:val="00FA49AB"/>
    <w:rsid w:val="00FB4C36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C6984"/>
    <w:pPr>
      <w:tabs>
        <w:tab w:val="left" w:pos="2835"/>
      </w:tabs>
      <w:spacing w:before="60"/>
      <w:jc w:val="both"/>
    </w:pPr>
    <w:rPr>
      <w:rFonts w:ascii="Arial" w:hAnsi="Arial"/>
      <w:sz w:val="16"/>
      <w:u w:val="singl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86BC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86BC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AC6984"/>
    <w:rPr>
      <w:rFonts w:ascii="Arial" w:hAnsi="Arial"/>
      <w:sz w:val="1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C6984"/>
    <w:pPr>
      <w:tabs>
        <w:tab w:val="left" w:pos="2835"/>
      </w:tabs>
      <w:spacing w:before="60"/>
      <w:jc w:val="both"/>
    </w:pPr>
    <w:rPr>
      <w:rFonts w:ascii="Arial" w:hAnsi="Arial"/>
      <w:sz w:val="16"/>
      <w:u w:val="singl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de-DE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86BC1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86BC1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de-DE" w:eastAsia="de-DE" w:bidi="de-DE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de-DE" w:eastAsia="de-DE" w:bidi="de-DE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AC6984"/>
    <w:rPr>
      <w:rFonts w:ascii="Arial" w:hAnsi="Arial"/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TC_53_EN.dotx</Template>
  <TotalTime>4</TotalTime>
  <Pages>2</Pages>
  <Words>451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TC/53/1</vt:lpstr>
      <vt:lpstr>TC/53/1</vt:lpstr>
    </vt:vector>
  </TitlesOfParts>
  <Company>UPOV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TC/53/1</dc:title>
  <dc:creator>SANCHEZ-VIZCAINO GOMEZ Rosa Maria</dc:creator>
  <cp:lastModifiedBy>BESSE Ariane</cp:lastModifiedBy>
  <cp:revision>5</cp:revision>
  <cp:lastPrinted>2017-03-24T17:37:00Z</cp:lastPrinted>
  <dcterms:created xsi:type="dcterms:W3CDTF">2017-03-24T17:03:00Z</dcterms:created>
  <dcterms:modified xsi:type="dcterms:W3CDTF">2017-03-24T17:37:00Z</dcterms:modified>
</cp:coreProperties>
</file>