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B67BE" w:rsidRPr="00430DEA" w14:paraId="115E2C41" w14:textId="77777777" w:rsidTr="00695BA1">
        <w:tc>
          <w:tcPr>
            <w:tcW w:w="6522" w:type="dxa"/>
          </w:tcPr>
          <w:p w14:paraId="6CC7AD24" w14:textId="77777777" w:rsidR="00DB67BE" w:rsidRPr="00430DEA" w:rsidRDefault="00DB67BE" w:rsidP="00695BA1">
            <w:pPr>
              <w:rPr>
                <w:lang w:val="de-DE"/>
              </w:rPr>
            </w:pPr>
            <w:bookmarkStart w:id="0" w:name="TitleOfDoc"/>
            <w:bookmarkEnd w:id="0"/>
            <w:r w:rsidRPr="00430DEA">
              <w:rPr>
                <w:noProof/>
              </w:rPr>
              <w:drawing>
                <wp:inline distT="0" distB="0" distL="0" distR="0" wp14:anchorId="7B9845E5" wp14:editId="1BBE63AC">
                  <wp:extent cx="944880" cy="236220"/>
                  <wp:effectExtent l="0" t="0" r="762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4880" cy="236220"/>
                          </a:xfrm>
                          <a:prstGeom prst="rect">
                            <a:avLst/>
                          </a:prstGeom>
                          <a:noFill/>
                          <a:ln>
                            <a:noFill/>
                          </a:ln>
                        </pic:spPr>
                      </pic:pic>
                    </a:graphicData>
                  </a:graphic>
                </wp:inline>
              </w:drawing>
            </w:r>
          </w:p>
        </w:tc>
        <w:tc>
          <w:tcPr>
            <w:tcW w:w="3117" w:type="dxa"/>
          </w:tcPr>
          <w:p w14:paraId="434A3849" w14:textId="77777777" w:rsidR="00DB67BE" w:rsidRPr="00430DEA" w:rsidRDefault="00DB67BE" w:rsidP="00695BA1">
            <w:pPr>
              <w:pStyle w:val="Lettrine"/>
              <w:rPr>
                <w:lang w:val="de-DE"/>
              </w:rPr>
            </w:pPr>
            <w:r>
              <w:rPr>
                <w:lang w:val="de-DE"/>
              </w:rPr>
              <w:t>G</w:t>
            </w:r>
          </w:p>
        </w:tc>
      </w:tr>
      <w:tr w:rsidR="00DB67BE" w:rsidRPr="00A55926" w14:paraId="0D09222A" w14:textId="77777777" w:rsidTr="00695BA1">
        <w:trPr>
          <w:trHeight w:val="219"/>
        </w:trPr>
        <w:tc>
          <w:tcPr>
            <w:tcW w:w="6522" w:type="dxa"/>
          </w:tcPr>
          <w:p w14:paraId="64D46405" w14:textId="77777777" w:rsidR="00DB67BE" w:rsidRPr="00430DEA" w:rsidRDefault="00DB67BE" w:rsidP="00695BA1">
            <w:pPr>
              <w:pStyle w:val="upove"/>
              <w:rPr>
                <w:lang w:val="de-DE"/>
              </w:rPr>
            </w:pPr>
            <w:r w:rsidRPr="00430DEA">
              <w:rPr>
                <w:lang w:val="de-DE"/>
              </w:rPr>
              <w:t>Internationaler Verband zum Schutz von Pflanzenzüchtungen</w:t>
            </w:r>
          </w:p>
        </w:tc>
        <w:tc>
          <w:tcPr>
            <w:tcW w:w="3117" w:type="dxa"/>
          </w:tcPr>
          <w:p w14:paraId="430E0CAD" w14:textId="77777777" w:rsidR="00DB67BE" w:rsidRPr="00430DEA" w:rsidRDefault="00DB67BE" w:rsidP="00695BA1">
            <w:pPr>
              <w:rPr>
                <w:lang w:val="de-DE"/>
              </w:rPr>
            </w:pPr>
          </w:p>
        </w:tc>
      </w:tr>
    </w:tbl>
    <w:p w14:paraId="32706C84" w14:textId="77777777" w:rsidR="00DB67BE" w:rsidRPr="00430DEA" w:rsidRDefault="00DB67BE" w:rsidP="00DB67BE">
      <w:pPr>
        <w:rPr>
          <w:lang w:val="de-DE"/>
        </w:rPr>
      </w:pPr>
    </w:p>
    <w:p w14:paraId="1DFFD3D4" w14:textId="77777777" w:rsidR="00DB67BE" w:rsidRPr="00430DEA" w:rsidRDefault="00DB67BE" w:rsidP="00DB67BE">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B67BE" w:rsidRPr="00A55926" w14:paraId="78FD1649" w14:textId="77777777" w:rsidTr="00695BA1">
        <w:tc>
          <w:tcPr>
            <w:tcW w:w="6512" w:type="dxa"/>
            <w:tcBorders>
              <w:bottom w:val="single" w:sz="4" w:space="0" w:color="auto"/>
            </w:tcBorders>
          </w:tcPr>
          <w:p w14:paraId="7A6E379D" w14:textId="7EC5C8AE" w:rsidR="00DB67BE" w:rsidRPr="00430DEA" w:rsidRDefault="00F04089" w:rsidP="00695BA1">
            <w:pPr>
              <w:pStyle w:val="Sessiontc"/>
              <w:spacing w:line="240" w:lineRule="auto"/>
              <w:rPr>
                <w:lang w:val="de-DE"/>
              </w:rPr>
            </w:pPr>
            <w:r>
              <w:rPr>
                <w:lang w:val="de-DE"/>
              </w:rPr>
              <w:t>Technischer Ausschuß</w:t>
            </w:r>
          </w:p>
          <w:p w14:paraId="71588CCD" w14:textId="77777777" w:rsidR="00DB67BE" w:rsidRPr="00430DEA" w:rsidRDefault="00DB67BE" w:rsidP="00695BA1">
            <w:pPr>
              <w:pStyle w:val="Sessiontcplacedate"/>
              <w:rPr>
                <w:sz w:val="22"/>
                <w:lang w:val="de-DE"/>
              </w:rPr>
            </w:pPr>
            <w:r w:rsidRPr="00430DEA">
              <w:rPr>
                <w:lang w:val="de-DE"/>
              </w:rPr>
              <w:t>Dreiundfünfzigste Tagung</w:t>
            </w:r>
            <w:r w:rsidRPr="00430DEA">
              <w:rPr>
                <w:lang w:val="de-DE"/>
              </w:rPr>
              <w:br/>
              <w:t>Genf, 3. bis 5. April 2017</w:t>
            </w:r>
          </w:p>
        </w:tc>
        <w:tc>
          <w:tcPr>
            <w:tcW w:w="3127" w:type="dxa"/>
            <w:tcBorders>
              <w:bottom w:val="single" w:sz="4" w:space="0" w:color="auto"/>
            </w:tcBorders>
          </w:tcPr>
          <w:p w14:paraId="6D1E7D98" w14:textId="64452504" w:rsidR="00DB67BE" w:rsidRPr="00430DEA" w:rsidRDefault="00D80102" w:rsidP="00695BA1">
            <w:pPr>
              <w:pStyle w:val="Doccode"/>
              <w:rPr>
                <w:lang w:val="de-DE"/>
              </w:rPr>
            </w:pPr>
            <w:r>
              <w:rPr>
                <w:lang w:val="de-DE"/>
              </w:rPr>
              <w:t>TC/53/19</w:t>
            </w:r>
          </w:p>
          <w:p w14:paraId="45C52A6D" w14:textId="77777777" w:rsidR="00DB67BE" w:rsidRPr="00430DEA" w:rsidRDefault="00DB67BE" w:rsidP="00695BA1">
            <w:pPr>
              <w:pStyle w:val="Docoriginal"/>
              <w:rPr>
                <w:lang w:val="de-DE"/>
              </w:rPr>
            </w:pPr>
            <w:r w:rsidRPr="00430DEA">
              <w:rPr>
                <w:lang w:val="de-DE"/>
              </w:rPr>
              <w:t>Original:</w:t>
            </w:r>
            <w:r w:rsidR="007B0CA4">
              <w:rPr>
                <w:b w:val="0"/>
                <w:spacing w:val="0"/>
                <w:lang w:val="de-DE"/>
              </w:rPr>
              <w:t xml:space="preserve"> </w:t>
            </w:r>
            <w:r w:rsidRPr="00430DEA">
              <w:rPr>
                <w:b w:val="0"/>
                <w:spacing w:val="0"/>
                <w:lang w:val="de-DE"/>
              </w:rPr>
              <w:t>englisch</w:t>
            </w:r>
          </w:p>
          <w:p w14:paraId="37F97B54" w14:textId="71910078" w:rsidR="00DB67BE" w:rsidRPr="00430DEA" w:rsidRDefault="00DB67BE" w:rsidP="00C44D57">
            <w:pPr>
              <w:pStyle w:val="Docoriginal"/>
              <w:rPr>
                <w:lang w:val="de-DE"/>
              </w:rPr>
            </w:pPr>
            <w:r w:rsidRPr="00430DEA">
              <w:rPr>
                <w:lang w:val="de-DE"/>
              </w:rPr>
              <w:t>Datum:</w:t>
            </w:r>
            <w:r w:rsidRPr="00430DEA">
              <w:rPr>
                <w:b w:val="0"/>
                <w:spacing w:val="0"/>
                <w:lang w:val="de-DE"/>
              </w:rPr>
              <w:t xml:space="preserve"> </w:t>
            </w:r>
            <w:r w:rsidR="00C44D57" w:rsidRPr="00C44D57">
              <w:rPr>
                <w:b w:val="0"/>
                <w:spacing w:val="0"/>
                <w:lang w:val="de-DE"/>
              </w:rPr>
              <w:t>10</w:t>
            </w:r>
            <w:r w:rsidRPr="00C44D57">
              <w:rPr>
                <w:b w:val="0"/>
                <w:spacing w:val="0"/>
                <w:lang w:val="de-DE"/>
              </w:rPr>
              <w:t>. Februar 2017</w:t>
            </w:r>
          </w:p>
        </w:tc>
      </w:tr>
    </w:tbl>
    <w:p w14:paraId="204CE762" w14:textId="77777777" w:rsidR="000D7780" w:rsidRPr="001E6A84" w:rsidRDefault="008F3E77" w:rsidP="00417A9C">
      <w:pPr>
        <w:pStyle w:val="Titleofdoc0"/>
        <w:tabs>
          <w:tab w:val="left" w:pos="5760"/>
        </w:tabs>
        <w:rPr>
          <w:lang w:val="de-DE"/>
        </w:rPr>
      </w:pPr>
      <w:r w:rsidRPr="00430DEA">
        <w:rPr>
          <w:lang w:val="de-DE"/>
        </w:rPr>
        <w:t xml:space="preserve">Überarbeitung von Dokument </w:t>
      </w:r>
      <w:r w:rsidR="00212D71" w:rsidRPr="001E6A84">
        <w:rPr>
          <w:rFonts w:cs="Arial"/>
          <w:lang w:val="de-DE"/>
        </w:rPr>
        <w:t xml:space="preserve">TGP/10: </w:t>
      </w:r>
      <w:r>
        <w:rPr>
          <w:rFonts w:cs="Arial"/>
          <w:lang w:val="de-DE"/>
        </w:rPr>
        <w:t>NEUER ABSCHNITT</w:t>
      </w:r>
      <w:r w:rsidR="00212D71" w:rsidRPr="001E6A84">
        <w:rPr>
          <w:rFonts w:cs="Arial"/>
          <w:lang w:val="de-DE"/>
        </w:rPr>
        <w:t xml:space="preserve">: </w:t>
      </w:r>
      <w:r w:rsidR="001E6A84" w:rsidRPr="001E6A84">
        <w:rPr>
          <w:rFonts w:cs="Arial"/>
          <w:lang w:val="de-DE"/>
        </w:rPr>
        <w:t>Prüfung der Homogenität anhand von Abweichern aufgrund von mehr als einer Wachstumsperiode oder aufgrund von Unterproben</w:t>
      </w:r>
    </w:p>
    <w:p w14:paraId="41554DA1" w14:textId="77777777" w:rsidR="00DB67BE" w:rsidRPr="00430DEA" w:rsidRDefault="00DB67BE" w:rsidP="00DB67BE">
      <w:pPr>
        <w:pStyle w:val="preparedby1"/>
        <w:jc w:val="left"/>
        <w:rPr>
          <w:lang w:val="de-DE"/>
        </w:rPr>
      </w:pPr>
      <w:bookmarkStart w:id="1" w:name="Prepared"/>
      <w:bookmarkEnd w:id="1"/>
      <w:r w:rsidRPr="00430DEA">
        <w:rPr>
          <w:lang w:val="de-DE"/>
        </w:rPr>
        <w:t>vom Verbandsbüro erstelltes Dokument</w:t>
      </w:r>
    </w:p>
    <w:p w14:paraId="008FE7B8" w14:textId="77777777" w:rsidR="00DB67BE" w:rsidRPr="00430DEA" w:rsidRDefault="00DB67BE" w:rsidP="00DB67BE">
      <w:pPr>
        <w:pStyle w:val="Disclaimer"/>
        <w:rPr>
          <w:lang w:val="de-DE"/>
        </w:rPr>
      </w:pPr>
      <w:r w:rsidRPr="00430DEA">
        <w:rPr>
          <w:lang w:val="de-DE"/>
        </w:rPr>
        <w:t>Haftungsausschluß: dieses Dokument gibt nicht die Grundsätze oder eine Anleitung der UPOV wieder</w:t>
      </w:r>
    </w:p>
    <w:p w14:paraId="2BB9233C" w14:textId="77777777" w:rsidR="00373E94" w:rsidRPr="00837D1F" w:rsidRDefault="00DB67BE" w:rsidP="00C44D57">
      <w:pPr>
        <w:pStyle w:val="Heading1"/>
        <w:rPr>
          <w:szCs w:val="24"/>
          <w:lang w:val="de-DE"/>
        </w:rPr>
      </w:pPr>
      <w:bookmarkStart w:id="2" w:name="_Toc474683600"/>
      <w:bookmarkStart w:id="3" w:name="_Toc475460251"/>
      <w:r w:rsidRPr="00837D1F">
        <w:rPr>
          <w:lang w:val="de-DE"/>
        </w:rPr>
        <w:t>ZUSAMMENFASSUNG</w:t>
      </w:r>
      <w:bookmarkEnd w:id="2"/>
      <w:bookmarkEnd w:id="3"/>
    </w:p>
    <w:p w14:paraId="788980C6" w14:textId="77777777" w:rsidR="00373E94" w:rsidRPr="00837D1F" w:rsidRDefault="00373E94" w:rsidP="00373E94">
      <w:pPr>
        <w:autoSpaceDE w:val="0"/>
        <w:autoSpaceDN w:val="0"/>
        <w:adjustRightInd w:val="0"/>
        <w:rPr>
          <w:szCs w:val="24"/>
          <w:lang w:val="de-DE"/>
        </w:rPr>
      </w:pPr>
    </w:p>
    <w:p w14:paraId="4E1E1850" w14:textId="3C07B70B" w:rsidR="00373E94" w:rsidRPr="001E6A84" w:rsidRDefault="00373E94" w:rsidP="00373E94">
      <w:pPr>
        <w:autoSpaceDE w:val="0"/>
        <w:autoSpaceDN w:val="0"/>
        <w:adjustRightInd w:val="0"/>
        <w:rPr>
          <w:rFonts w:eastAsia="MS Mincho"/>
          <w:color w:val="000000"/>
          <w:szCs w:val="24"/>
          <w:lang w:val="de-DE" w:eastAsia="ja-JP"/>
        </w:rPr>
      </w:pPr>
      <w:r w:rsidRPr="005D7A1E">
        <w:rPr>
          <w:szCs w:val="24"/>
        </w:rPr>
        <w:fldChar w:fldCharType="begin"/>
      </w:r>
      <w:r w:rsidRPr="001E6A84">
        <w:rPr>
          <w:szCs w:val="24"/>
          <w:lang w:val="de-DE"/>
        </w:rPr>
        <w:instrText xml:space="preserve"> AUTONUM  </w:instrText>
      </w:r>
      <w:r w:rsidRPr="005D7A1E">
        <w:rPr>
          <w:szCs w:val="24"/>
        </w:rPr>
        <w:fldChar w:fldCharType="end"/>
      </w:r>
      <w:r w:rsidRPr="001E6A84">
        <w:rPr>
          <w:szCs w:val="24"/>
          <w:lang w:val="de-DE"/>
        </w:rPr>
        <w:tab/>
      </w:r>
      <w:r w:rsidR="001E6A84" w:rsidRPr="001E6A84">
        <w:rPr>
          <w:rFonts w:cs="Arial"/>
          <w:lang w:val="de-DE" w:eastAsia="ja-JP"/>
        </w:rPr>
        <w:t>Zweck dieses Dokuments ist es, einen Vorschlag für die Überarbeitung von Dokument TGP/10 „Prüfung der Homogenität</w:t>
      </w:r>
      <w:r w:rsidR="001E6A84">
        <w:rPr>
          <w:rFonts w:cs="Arial"/>
          <w:lang w:val="de-DE" w:eastAsia="ja-JP"/>
        </w:rPr>
        <w:t>“</w:t>
      </w:r>
      <w:r w:rsidR="00D80102">
        <w:rPr>
          <w:rFonts w:cs="Arial"/>
          <w:lang w:val="de-DE" w:eastAsia="ja-JP"/>
        </w:rPr>
        <w:t xml:space="preserve"> zur Erteilung von </w:t>
      </w:r>
      <w:r w:rsidR="001E6A84" w:rsidRPr="001E6A84">
        <w:rPr>
          <w:rFonts w:cs="Arial"/>
          <w:lang w:val="de-DE" w:eastAsia="ja-JP"/>
        </w:rPr>
        <w:t>Anleitung für die Prüfung der Homogenität anhand von Abweichern aufgrund von mehr als einer Wachstumsperiode oder aufgrund von Unterproben vorzulegen</w:t>
      </w:r>
      <w:r w:rsidRPr="001E6A84">
        <w:rPr>
          <w:rFonts w:eastAsia="MS Mincho"/>
          <w:color w:val="000000"/>
          <w:szCs w:val="24"/>
          <w:lang w:val="de-DE" w:eastAsia="ja-JP"/>
        </w:rPr>
        <w:t>.</w:t>
      </w:r>
      <w:r w:rsidR="007B0CA4">
        <w:rPr>
          <w:rFonts w:eastAsia="MS Mincho"/>
          <w:color w:val="000000"/>
          <w:szCs w:val="24"/>
          <w:lang w:val="de-DE" w:eastAsia="ja-JP"/>
        </w:rPr>
        <w:t xml:space="preserve"> </w:t>
      </w:r>
    </w:p>
    <w:p w14:paraId="73979857" w14:textId="77777777" w:rsidR="00373E94" w:rsidRPr="001E6A84" w:rsidRDefault="00373E94" w:rsidP="00373E94">
      <w:pPr>
        <w:autoSpaceDE w:val="0"/>
        <w:autoSpaceDN w:val="0"/>
        <w:adjustRightInd w:val="0"/>
        <w:rPr>
          <w:rFonts w:eastAsia="MS Mincho"/>
          <w:color w:val="000000"/>
          <w:szCs w:val="24"/>
          <w:lang w:val="de-DE" w:eastAsia="ja-JP"/>
        </w:rPr>
      </w:pPr>
    </w:p>
    <w:p w14:paraId="19BC354C" w14:textId="77777777" w:rsidR="00BD3A44" w:rsidRPr="00837D1F" w:rsidRDefault="00BD3A44" w:rsidP="00BD3A44">
      <w:pPr>
        <w:pStyle w:val="DecisionParagraphs"/>
        <w:tabs>
          <w:tab w:val="left" w:pos="567"/>
          <w:tab w:val="left" w:pos="1134"/>
        </w:tabs>
        <w:ind w:left="0"/>
        <w:rPr>
          <w:i w:val="0"/>
          <w:lang w:val="de-DE"/>
        </w:rPr>
      </w:pPr>
      <w:r w:rsidRPr="00BD3A44">
        <w:rPr>
          <w:i w:val="0"/>
        </w:rPr>
        <w:fldChar w:fldCharType="begin"/>
      </w:r>
      <w:r w:rsidRPr="00837D1F">
        <w:rPr>
          <w:i w:val="0"/>
          <w:lang w:val="de-DE"/>
        </w:rPr>
        <w:instrText xml:space="preserve"> AUTONUM  </w:instrText>
      </w:r>
      <w:r w:rsidRPr="00BD3A44">
        <w:rPr>
          <w:i w:val="0"/>
        </w:rPr>
        <w:fldChar w:fldCharType="end"/>
      </w:r>
      <w:r w:rsidRPr="00837D1F">
        <w:rPr>
          <w:i w:val="0"/>
          <w:lang w:val="de-DE"/>
        </w:rPr>
        <w:tab/>
      </w:r>
      <w:r w:rsidR="001E6A84" w:rsidRPr="00837D1F">
        <w:rPr>
          <w:i w:val="0"/>
          <w:lang w:val="de-DE"/>
        </w:rPr>
        <w:t>Der TC wird ersucht</w:t>
      </w:r>
      <w:r w:rsidRPr="00837D1F">
        <w:rPr>
          <w:i w:val="0"/>
          <w:lang w:val="de-DE"/>
        </w:rPr>
        <w:t xml:space="preserve">: </w:t>
      </w:r>
    </w:p>
    <w:p w14:paraId="64556977" w14:textId="77777777" w:rsidR="00BD3A44" w:rsidRPr="00837D1F" w:rsidRDefault="00BD3A44" w:rsidP="00BD3A44">
      <w:pPr>
        <w:pStyle w:val="DecisionParagraphs"/>
        <w:keepLines/>
        <w:tabs>
          <w:tab w:val="clear" w:pos="5387"/>
          <w:tab w:val="left" w:pos="567"/>
          <w:tab w:val="left" w:pos="1134"/>
          <w:tab w:val="left" w:pos="5954"/>
        </w:tabs>
        <w:ind w:left="0" w:firstLine="567"/>
        <w:rPr>
          <w:i w:val="0"/>
          <w:lang w:val="de-DE"/>
        </w:rPr>
      </w:pPr>
    </w:p>
    <w:p w14:paraId="3BBBF7A9" w14:textId="31E1FCEB" w:rsidR="00BD3A44" w:rsidRPr="008F3E77" w:rsidRDefault="00BD3A44" w:rsidP="00BD3A44">
      <w:pPr>
        <w:pStyle w:val="DecisionParagraphs"/>
        <w:keepLines/>
        <w:tabs>
          <w:tab w:val="clear" w:pos="5387"/>
          <w:tab w:val="left" w:pos="567"/>
          <w:tab w:val="left" w:pos="1134"/>
          <w:tab w:val="left" w:pos="5954"/>
        </w:tabs>
        <w:ind w:left="0" w:firstLine="567"/>
        <w:rPr>
          <w:rFonts w:cs="Arial"/>
          <w:i w:val="0"/>
          <w:lang w:val="de-DE"/>
        </w:rPr>
      </w:pPr>
      <w:r w:rsidRPr="008F3E77">
        <w:rPr>
          <w:i w:val="0"/>
          <w:lang w:val="de-DE"/>
        </w:rPr>
        <w:t>a)</w:t>
      </w:r>
      <w:r w:rsidRPr="008F3E77">
        <w:rPr>
          <w:i w:val="0"/>
          <w:lang w:val="de-DE"/>
        </w:rPr>
        <w:tab/>
      </w:r>
      <w:r w:rsidR="008F3E77" w:rsidRPr="008F3E77">
        <w:rPr>
          <w:i w:val="0"/>
          <w:lang w:val="de-DE"/>
        </w:rPr>
        <w:t>zu prüfen, ob Sachverständige</w:t>
      </w:r>
      <w:r w:rsidRPr="008F3E77">
        <w:rPr>
          <w:i w:val="0"/>
          <w:lang w:val="de-DE"/>
        </w:rPr>
        <w:t xml:space="preserve"> </w:t>
      </w:r>
      <w:r w:rsidR="008F3E77" w:rsidRPr="008F3E77">
        <w:rPr>
          <w:i w:val="0"/>
          <w:lang w:val="de-DE"/>
        </w:rPr>
        <w:t xml:space="preserve">zu den </w:t>
      </w:r>
      <w:r w:rsidR="005B09D6">
        <w:rPr>
          <w:i w:val="0"/>
          <w:lang w:val="de-DE"/>
        </w:rPr>
        <w:t>TWP-</w:t>
      </w:r>
      <w:r w:rsidR="008F3E77">
        <w:rPr>
          <w:i w:val="0"/>
          <w:lang w:val="de-DE"/>
        </w:rPr>
        <w:t>Tagungen</w:t>
      </w:r>
      <w:r w:rsidRPr="008F3E77">
        <w:rPr>
          <w:i w:val="0"/>
          <w:lang w:val="de-DE"/>
        </w:rPr>
        <w:t xml:space="preserve"> </w:t>
      </w:r>
      <w:r w:rsidR="008F3E77">
        <w:rPr>
          <w:i w:val="0"/>
          <w:lang w:val="de-DE"/>
        </w:rPr>
        <w:t>im Jahr 2017 eingeladen werden sollten</w:t>
      </w:r>
      <w:r w:rsidRPr="008F3E77">
        <w:rPr>
          <w:i w:val="0"/>
          <w:lang w:val="de-DE"/>
        </w:rPr>
        <w:t xml:space="preserve">, </w:t>
      </w:r>
      <w:r w:rsidR="005B09D6">
        <w:rPr>
          <w:i w:val="0"/>
          <w:lang w:val="de-DE"/>
        </w:rPr>
        <w:t xml:space="preserve">um </w:t>
      </w:r>
      <w:r w:rsidR="008F3E77">
        <w:rPr>
          <w:i w:val="0"/>
          <w:lang w:val="de-DE"/>
        </w:rPr>
        <w:t>Informationen über die</w:t>
      </w:r>
      <w:r w:rsidRPr="008F3E77">
        <w:rPr>
          <w:i w:val="0"/>
          <w:lang w:val="de-DE"/>
        </w:rPr>
        <w:t xml:space="preserve"> </w:t>
      </w:r>
      <w:r w:rsidR="004F2BC8">
        <w:rPr>
          <w:rFonts w:cs="Arial"/>
          <w:i w:val="0"/>
          <w:lang w:val="de-DE"/>
        </w:rPr>
        <w:t>Kriterien</w:t>
      </w:r>
      <w:r w:rsidRPr="008F3E77">
        <w:rPr>
          <w:rFonts w:cs="Arial"/>
          <w:i w:val="0"/>
          <w:lang w:val="de-DE"/>
        </w:rPr>
        <w:t xml:space="preserve"> </w:t>
      </w:r>
      <w:r w:rsidR="008F3E77">
        <w:rPr>
          <w:rFonts w:cs="Arial"/>
          <w:i w:val="0"/>
          <w:lang w:val="de-DE"/>
        </w:rPr>
        <w:t xml:space="preserve">zur Auswahl des </w:t>
      </w:r>
      <w:r w:rsidR="00D80102">
        <w:rPr>
          <w:rFonts w:cs="Arial"/>
          <w:i w:val="0"/>
          <w:lang w:val="de-DE"/>
        </w:rPr>
        <w:t>geeignetsten</w:t>
      </w:r>
      <w:r w:rsidR="008F3E77">
        <w:rPr>
          <w:rFonts w:cs="Arial"/>
          <w:i w:val="0"/>
          <w:lang w:val="de-DE"/>
        </w:rPr>
        <w:t xml:space="preserve"> Ansatzes</w:t>
      </w:r>
      <w:r w:rsidR="001E6A84" w:rsidRPr="008F3E77">
        <w:rPr>
          <w:rFonts w:cs="Arial"/>
          <w:i w:val="0"/>
          <w:lang w:val="de-DE"/>
        </w:rPr>
        <w:t xml:space="preserve"> für die </w:t>
      </w:r>
      <w:r w:rsidR="008F3E77">
        <w:rPr>
          <w:rFonts w:cs="Arial"/>
          <w:i w:val="0"/>
          <w:lang w:val="de-DE"/>
        </w:rPr>
        <w:t xml:space="preserve">Prüfung von Abweichern </w:t>
      </w:r>
      <w:r w:rsidR="001E6A84" w:rsidRPr="008F3E77">
        <w:rPr>
          <w:rFonts w:cs="Arial"/>
          <w:i w:val="0"/>
          <w:lang w:val="de-DE"/>
        </w:rPr>
        <w:t>bei verschiedenen</w:t>
      </w:r>
      <w:r w:rsidRPr="008F3E77">
        <w:rPr>
          <w:rFonts w:cs="Arial"/>
          <w:i w:val="0"/>
          <w:lang w:val="de-DE"/>
        </w:rPr>
        <w:t xml:space="preserve"> </w:t>
      </w:r>
      <w:r w:rsidR="008F3E77">
        <w:rPr>
          <w:rFonts w:cs="Arial"/>
          <w:i w:val="0"/>
          <w:lang w:val="de-DE"/>
        </w:rPr>
        <w:t>Pflanzentypen</w:t>
      </w:r>
      <w:r w:rsidR="004F2BC8" w:rsidRPr="004F2BC8">
        <w:rPr>
          <w:i w:val="0"/>
          <w:lang w:val="de-DE"/>
        </w:rPr>
        <w:t xml:space="preserve"> </w:t>
      </w:r>
      <w:r w:rsidR="004F2BC8">
        <w:rPr>
          <w:i w:val="0"/>
          <w:lang w:val="de-DE"/>
        </w:rPr>
        <w:t>zu erteilen</w:t>
      </w:r>
      <w:r w:rsidRPr="008F3E77">
        <w:rPr>
          <w:rFonts w:cs="Arial"/>
          <w:i w:val="0"/>
          <w:lang w:val="de-DE"/>
        </w:rPr>
        <w:t>;</w:t>
      </w:r>
    </w:p>
    <w:p w14:paraId="3518EAC8" w14:textId="77777777" w:rsidR="00BD3A44" w:rsidRPr="008F3E77" w:rsidRDefault="00BD3A44" w:rsidP="00BD3A44">
      <w:pPr>
        <w:pStyle w:val="DecisionParagraphs"/>
        <w:keepLines/>
        <w:tabs>
          <w:tab w:val="clear" w:pos="5387"/>
          <w:tab w:val="left" w:pos="567"/>
          <w:tab w:val="left" w:pos="1134"/>
          <w:tab w:val="left" w:pos="5954"/>
        </w:tabs>
        <w:ind w:left="0" w:firstLine="567"/>
        <w:rPr>
          <w:i w:val="0"/>
          <w:lang w:val="de-DE"/>
        </w:rPr>
      </w:pPr>
    </w:p>
    <w:p w14:paraId="17F3D313" w14:textId="07011890" w:rsidR="00BD3A44" w:rsidRPr="008F3E77" w:rsidRDefault="00BD3A44" w:rsidP="00BD3A44">
      <w:pPr>
        <w:pStyle w:val="DecisionParagraphs"/>
        <w:keepLines/>
        <w:tabs>
          <w:tab w:val="clear" w:pos="5387"/>
          <w:tab w:val="left" w:pos="567"/>
          <w:tab w:val="left" w:pos="1134"/>
          <w:tab w:val="left" w:pos="5954"/>
        </w:tabs>
        <w:ind w:left="0" w:firstLine="567"/>
        <w:rPr>
          <w:i w:val="0"/>
          <w:lang w:val="de-DE"/>
        </w:rPr>
      </w:pPr>
      <w:r w:rsidRPr="008F3E77">
        <w:rPr>
          <w:i w:val="0"/>
          <w:lang w:val="de-DE"/>
        </w:rPr>
        <w:t>b)</w:t>
      </w:r>
      <w:r w:rsidRPr="008F3E77">
        <w:rPr>
          <w:i w:val="0"/>
          <w:lang w:val="de-DE"/>
        </w:rPr>
        <w:tab/>
      </w:r>
      <w:r w:rsidR="00000921">
        <w:rPr>
          <w:i w:val="0"/>
          <w:lang w:val="de-DE"/>
        </w:rPr>
        <w:t>die</w:t>
      </w:r>
      <w:r w:rsidRPr="008F3E77">
        <w:rPr>
          <w:i w:val="0"/>
          <w:lang w:val="de-DE"/>
        </w:rPr>
        <w:t xml:space="preserve"> </w:t>
      </w:r>
      <w:r w:rsidR="00837D1F">
        <w:rPr>
          <w:i w:val="0"/>
          <w:lang w:val="de-DE"/>
        </w:rPr>
        <w:t>Angebote</w:t>
      </w:r>
      <w:r w:rsidRPr="008F3E77">
        <w:rPr>
          <w:i w:val="0"/>
          <w:lang w:val="de-DE"/>
        </w:rPr>
        <w:t xml:space="preserve"> </w:t>
      </w:r>
      <w:r w:rsidR="00000921">
        <w:rPr>
          <w:i w:val="0"/>
          <w:lang w:val="de-DE"/>
        </w:rPr>
        <w:t xml:space="preserve">von Deutschland, den Niederlanden und dem </w:t>
      </w:r>
      <w:r w:rsidR="00B675A1">
        <w:rPr>
          <w:i w:val="0"/>
          <w:lang w:val="de-DE"/>
        </w:rPr>
        <w:t>Vereinigt</w:t>
      </w:r>
      <w:r w:rsidR="00000921">
        <w:rPr>
          <w:i w:val="0"/>
          <w:lang w:val="de-DE"/>
        </w:rPr>
        <w:t>en Königreich</w:t>
      </w:r>
      <w:r w:rsidR="00ED3A75">
        <w:rPr>
          <w:i w:val="0"/>
          <w:lang w:val="de-DE"/>
        </w:rPr>
        <w:t xml:space="preserve"> </w:t>
      </w:r>
      <w:r w:rsidR="00ED3A75" w:rsidRPr="008F3E77">
        <w:rPr>
          <w:i w:val="0"/>
          <w:lang w:val="de-DE"/>
        </w:rPr>
        <w:t>zur Kenntnis zu nehmen</w:t>
      </w:r>
      <w:r w:rsidR="00000921">
        <w:rPr>
          <w:i w:val="0"/>
          <w:lang w:val="de-DE"/>
        </w:rPr>
        <w:t xml:space="preserve">, </w:t>
      </w:r>
      <w:r w:rsidR="00ED3A75">
        <w:rPr>
          <w:rFonts w:cs="Arial"/>
          <w:i w:val="0"/>
          <w:lang w:val="de-DE"/>
        </w:rPr>
        <w:t xml:space="preserve">der </w:t>
      </w:r>
      <w:r w:rsidR="00ED3A75" w:rsidRPr="008F3E77">
        <w:rPr>
          <w:rFonts w:cs="Arial"/>
          <w:i w:val="0"/>
          <w:lang w:val="de-DE"/>
        </w:rPr>
        <w:t xml:space="preserve">TWC </w:t>
      </w:r>
      <w:r w:rsidR="00ED3A75">
        <w:rPr>
          <w:rFonts w:cs="Arial"/>
          <w:i w:val="0"/>
          <w:lang w:val="de-DE"/>
        </w:rPr>
        <w:t>auf ihrer Tagung</w:t>
      </w:r>
      <w:r w:rsidR="00ED3A75" w:rsidRPr="008F3E77">
        <w:rPr>
          <w:rFonts w:cs="Arial"/>
          <w:i w:val="0"/>
          <w:lang w:val="de-DE"/>
        </w:rPr>
        <w:t xml:space="preserve"> im Jahr 2017</w:t>
      </w:r>
      <w:r w:rsidR="00D80102">
        <w:rPr>
          <w:rFonts w:cs="Arial"/>
          <w:i w:val="0"/>
          <w:lang w:val="de-DE"/>
        </w:rPr>
        <w:t xml:space="preserve"> </w:t>
      </w:r>
      <w:r w:rsidR="008F3E77" w:rsidRPr="008F3E77">
        <w:rPr>
          <w:i w:val="0"/>
          <w:lang w:val="de-DE"/>
        </w:rPr>
        <w:t xml:space="preserve">Beispiele </w:t>
      </w:r>
      <w:r w:rsidR="00D80102">
        <w:rPr>
          <w:i w:val="0"/>
          <w:lang w:val="de-DE"/>
        </w:rPr>
        <w:t>für die</w:t>
      </w:r>
      <w:r w:rsidR="008F3E77">
        <w:rPr>
          <w:i w:val="0"/>
          <w:lang w:val="de-DE"/>
        </w:rPr>
        <w:t xml:space="preserve"> </w:t>
      </w:r>
      <w:r w:rsidR="008F3E77" w:rsidRPr="00AC1FFF">
        <w:rPr>
          <w:i w:val="0"/>
          <w:lang w:val="de-DE"/>
        </w:rPr>
        <w:t>Auswahl des geeignet</w:t>
      </w:r>
      <w:r w:rsidR="00C62FA2" w:rsidRPr="00AC1FFF">
        <w:rPr>
          <w:i w:val="0"/>
          <w:lang w:val="de-DE"/>
        </w:rPr>
        <w:t>st</w:t>
      </w:r>
      <w:r w:rsidR="008F3E77" w:rsidRPr="00AC1FFF">
        <w:rPr>
          <w:i w:val="0"/>
          <w:lang w:val="de-DE"/>
        </w:rPr>
        <w:t>en Ansatzes</w:t>
      </w:r>
      <w:r w:rsidR="001E6A84" w:rsidRPr="00AC1FFF">
        <w:rPr>
          <w:rFonts w:cs="Arial"/>
          <w:i w:val="0"/>
          <w:lang w:val="de-DE"/>
        </w:rPr>
        <w:t xml:space="preserve"> für die </w:t>
      </w:r>
      <w:r w:rsidR="008F3E77" w:rsidRPr="00AC1FFF">
        <w:rPr>
          <w:rFonts w:cs="Arial"/>
          <w:i w:val="0"/>
          <w:lang w:val="de-DE"/>
        </w:rPr>
        <w:t xml:space="preserve">Prüfung von Abweichern </w:t>
      </w:r>
      <w:r w:rsidR="00000921" w:rsidRPr="00AC1FFF">
        <w:rPr>
          <w:i w:val="0"/>
          <w:lang w:val="de-DE"/>
        </w:rPr>
        <w:t>zur Verfügung zu stellen</w:t>
      </w:r>
      <w:r w:rsidRPr="00AC1FFF">
        <w:rPr>
          <w:i w:val="0"/>
          <w:lang w:val="de-DE"/>
        </w:rPr>
        <w:t>;</w:t>
      </w:r>
      <w:r w:rsidRPr="008F3E77">
        <w:rPr>
          <w:i w:val="0"/>
          <w:lang w:val="de-DE"/>
        </w:rPr>
        <w:t xml:space="preserve"> </w:t>
      </w:r>
    </w:p>
    <w:p w14:paraId="7FF54043" w14:textId="77777777" w:rsidR="00BD3A44" w:rsidRPr="008F3E77" w:rsidRDefault="00BD3A44" w:rsidP="00BD3A44">
      <w:pPr>
        <w:pStyle w:val="DecisionParagraphs"/>
        <w:keepLines/>
        <w:tabs>
          <w:tab w:val="clear" w:pos="5387"/>
          <w:tab w:val="left" w:pos="567"/>
          <w:tab w:val="left" w:pos="1134"/>
          <w:tab w:val="left" w:pos="5954"/>
        </w:tabs>
        <w:ind w:left="0" w:firstLine="567"/>
        <w:rPr>
          <w:i w:val="0"/>
          <w:lang w:val="de-DE"/>
        </w:rPr>
      </w:pPr>
    </w:p>
    <w:p w14:paraId="7EAF4BAA" w14:textId="438EBC20" w:rsidR="00BD3A44" w:rsidRPr="008F3E77" w:rsidRDefault="00BD3A44" w:rsidP="00BD3A44">
      <w:pPr>
        <w:pStyle w:val="DecisionParagraphs"/>
        <w:keepLines/>
        <w:tabs>
          <w:tab w:val="clear" w:pos="5387"/>
          <w:tab w:val="left" w:pos="567"/>
          <w:tab w:val="left" w:pos="1134"/>
          <w:tab w:val="left" w:pos="5954"/>
        </w:tabs>
        <w:ind w:left="0" w:firstLine="567"/>
        <w:rPr>
          <w:i w:val="0"/>
          <w:lang w:val="de-DE"/>
        </w:rPr>
      </w:pPr>
      <w:r w:rsidRPr="008F3E77">
        <w:rPr>
          <w:i w:val="0"/>
          <w:lang w:val="de-DE"/>
        </w:rPr>
        <w:t>c)</w:t>
      </w:r>
      <w:r w:rsidRPr="008F3E77">
        <w:rPr>
          <w:i w:val="0"/>
          <w:lang w:val="de-DE"/>
        </w:rPr>
        <w:tab/>
      </w:r>
      <w:r w:rsidR="008F3E77" w:rsidRPr="008F3E77">
        <w:rPr>
          <w:i w:val="0"/>
          <w:lang w:val="de-DE"/>
        </w:rPr>
        <w:t xml:space="preserve">zur Kenntnis zu nehmen, daß </w:t>
      </w:r>
      <w:r w:rsidR="00D80102" w:rsidRPr="008F3E77">
        <w:rPr>
          <w:i w:val="0"/>
          <w:lang w:val="de-DE"/>
        </w:rPr>
        <w:t>TWC, TWV</w:t>
      </w:r>
      <w:r w:rsidR="00D80102">
        <w:rPr>
          <w:i w:val="0"/>
          <w:lang w:val="de-DE"/>
        </w:rPr>
        <w:t xml:space="preserve"> und </w:t>
      </w:r>
      <w:r w:rsidR="00D80102" w:rsidRPr="008F3E77">
        <w:rPr>
          <w:i w:val="0"/>
          <w:lang w:val="de-DE"/>
        </w:rPr>
        <w:t xml:space="preserve">TWA </w:t>
      </w:r>
      <w:r w:rsidR="00D80102">
        <w:rPr>
          <w:i w:val="0"/>
          <w:lang w:val="de-DE"/>
        </w:rPr>
        <w:t>auf ihren Tagungen im Jahr 20</w:t>
      </w:r>
      <w:r w:rsidR="00D80102" w:rsidRPr="008F3E77">
        <w:rPr>
          <w:i w:val="0"/>
          <w:lang w:val="de-DE"/>
        </w:rPr>
        <w:t>16</w:t>
      </w:r>
      <w:r w:rsidR="00D80102" w:rsidRPr="00000921">
        <w:rPr>
          <w:i w:val="0"/>
          <w:lang w:val="de-DE"/>
        </w:rPr>
        <w:t xml:space="preserve"> </w:t>
      </w:r>
      <w:r w:rsidR="008F3E77" w:rsidRPr="008F3E77">
        <w:rPr>
          <w:i w:val="0"/>
          <w:lang w:val="de-DE"/>
        </w:rPr>
        <w:t xml:space="preserve">Referate </w:t>
      </w:r>
      <w:r w:rsidR="008F3E77">
        <w:rPr>
          <w:i w:val="0"/>
          <w:lang w:val="de-DE"/>
        </w:rPr>
        <w:t>von</w:t>
      </w:r>
      <w:r w:rsidRPr="008F3E77">
        <w:rPr>
          <w:i w:val="0"/>
          <w:lang w:val="de-DE"/>
        </w:rPr>
        <w:t xml:space="preserve"> </w:t>
      </w:r>
      <w:r w:rsidR="00000921">
        <w:rPr>
          <w:i w:val="0"/>
          <w:lang w:val="de-DE"/>
        </w:rPr>
        <w:t xml:space="preserve">Frankreich </w:t>
      </w:r>
      <w:r w:rsidR="00FD594C">
        <w:rPr>
          <w:i w:val="0"/>
          <w:lang w:val="de-DE"/>
        </w:rPr>
        <w:t xml:space="preserve">und </w:t>
      </w:r>
      <w:r w:rsidR="00000921">
        <w:rPr>
          <w:i w:val="0"/>
          <w:lang w:val="de-DE"/>
        </w:rPr>
        <w:t xml:space="preserve">dem </w:t>
      </w:r>
      <w:r w:rsidR="00B675A1">
        <w:rPr>
          <w:i w:val="0"/>
          <w:lang w:val="de-DE"/>
        </w:rPr>
        <w:t>Vereinigt</w:t>
      </w:r>
      <w:r w:rsidR="00000921">
        <w:rPr>
          <w:i w:val="0"/>
          <w:lang w:val="de-DE"/>
        </w:rPr>
        <w:t>en Königreich</w:t>
      </w:r>
      <w:r w:rsidRPr="008F3E77">
        <w:rPr>
          <w:i w:val="0"/>
          <w:lang w:val="de-DE"/>
        </w:rPr>
        <w:t xml:space="preserve"> </w:t>
      </w:r>
      <w:r w:rsidR="00D80102">
        <w:rPr>
          <w:i w:val="0"/>
          <w:lang w:val="de-DE"/>
        </w:rPr>
        <w:t>hörten</w:t>
      </w:r>
      <w:r w:rsidRPr="008F3E77">
        <w:rPr>
          <w:i w:val="0"/>
          <w:lang w:val="de-DE"/>
        </w:rPr>
        <w:t>;</w:t>
      </w:r>
    </w:p>
    <w:p w14:paraId="25F6A661" w14:textId="77777777" w:rsidR="00BD3A44" w:rsidRPr="008F3E77" w:rsidRDefault="00BD3A44" w:rsidP="00BD3A44">
      <w:pPr>
        <w:pStyle w:val="DecisionParagraphs"/>
        <w:keepLines/>
        <w:tabs>
          <w:tab w:val="clear" w:pos="5387"/>
          <w:tab w:val="left" w:pos="567"/>
          <w:tab w:val="left" w:pos="1134"/>
          <w:tab w:val="left" w:pos="5954"/>
        </w:tabs>
        <w:ind w:left="0" w:firstLine="567"/>
        <w:rPr>
          <w:i w:val="0"/>
          <w:lang w:val="de-DE"/>
        </w:rPr>
      </w:pPr>
    </w:p>
    <w:p w14:paraId="0259A731" w14:textId="6F7D1539" w:rsidR="00BD3A44" w:rsidRPr="005D3057" w:rsidRDefault="00BD3A44" w:rsidP="00BD3A44">
      <w:pPr>
        <w:pStyle w:val="DecisionParagraphs"/>
        <w:keepLines/>
        <w:tabs>
          <w:tab w:val="clear" w:pos="5387"/>
          <w:tab w:val="left" w:pos="567"/>
          <w:tab w:val="left" w:pos="1134"/>
          <w:tab w:val="left" w:pos="5954"/>
        </w:tabs>
        <w:ind w:left="0" w:firstLine="567"/>
        <w:rPr>
          <w:i w:val="0"/>
          <w:snapToGrid w:val="0"/>
          <w:lang w:val="de-DE"/>
        </w:rPr>
      </w:pPr>
      <w:r w:rsidRPr="008F3E77">
        <w:rPr>
          <w:i w:val="0"/>
          <w:lang w:val="de-DE"/>
        </w:rPr>
        <w:t>d)</w:t>
      </w:r>
      <w:r w:rsidRPr="008F3E77">
        <w:rPr>
          <w:i w:val="0"/>
          <w:lang w:val="de-DE"/>
        </w:rPr>
        <w:tab/>
      </w:r>
      <w:r w:rsidR="008F3E77" w:rsidRPr="008F3E77">
        <w:rPr>
          <w:i w:val="0"/>
          <w:lang w:val="de-DE"/>
        </w:rPr>
        <w:t>zur Kenntnis zu nehmen</w:t>
      </w:r>
      <w:r w:rsidR="008F3E77">
        <w:rPr>
          <w:i w:val="0"/>
          <w:lang w:val="de-DE"/>
        </w:rPr>
        <w:t>, daß ein Vorschlag</w:t>
      </w:r>
      <w:r w:rsidRPr="008F3E77">
        <w:rPr>
          <w:i w:val="0"/>
          <w:lang w:val="de-DE"/>
        </w:rPr>
        <w:t xml:space="preserve"> </w:t>
      </w:r>
      <w:r w:rsidR="006E4EF6">
        <w:rPr>
          <w:i w:val="0"/>
          <w:lang w:val="de-DE"/>
        </w:rPr>
        <w:t>für die Überarbeitung</w:t>
      </w:r>
      <w:r w:rsidRPr="008F3E77">
        <w:rPr>
          <w:i w:val="0"/>
          <w:lang w:val="de-DE"/>
        </w:rPr>
        <w:t xml:space="preserve"> </w:t>
      </w:r>
      <w:r w:rsidR="00A159B8">
        <w:rPr>
          <w:i w:val="0"/>
          <w:lang w:val="de-DE"/>
        </w:rPr>
        <w:t>der</w:t>
      </w:r>
      <w:r w:rsidR="006E4EF6">
        <w:rPr>
          <w:i w:val="0"/>
          <w:lang w:val="de-DE"/>
        </w:rPr>
        <w:t xml:space="preserve"> Anleitung</w:t>
      </w:r>
      <w:r w:rsidRPr="008F3E77">
        <w:rPr>
          <w:i w:val="0"/>
          <w:lang w:val="de-DE"/>
        </w:rPr>
        <w:t xml:space="preserve"> in </w:t>
      </w:r>
      <w:r w:rsidR="006E4EF6">
        <w:rPr>
          <w:i w:val="0"/>
          <w:lang w:val="de-DE"/>
        </w:rPr>
        <w:t>Dokument</w:t>
      </w:r>
      <w:r w:rsidRPr="008F3E77">
        <w:rPr>
          <w:i w:val="0"/>
          <w:lang w:val="de-DE"/>
        </w:rPr>
        <w:t> </w:t>
      </w:r>
      <w:r w:rsidRPr="008F3E77">
        <w:rPr>
          <w:i w:val="0"/>
          <w:snapToGrid w:val="0"/>
          <w:lang w:val="de-DE"/>
        </w:rPr>
        <w:t xml:space="preserve">TGP/8/2: </w:t>
      </w:r>
      <w:r w:rsidR="006E4EF6">
        <w:rPr>
          <w:i w:val="0"/>
          <w:snapToGrid w:val="0"/>
          <w:lang w:val="de-DE"/>
        </w:rPr>
        <w:t>Teil</w:t>
      </w:r>
      <w:r w:rsidRPr="008F3E77">
        <w:rPr>
          <w:i w:val="0"/>
          <w:snapToGrid w:val="0"/>
          <w:lang w:val="de-DE"/>
        </w:rPr>
        <w:t xml:space="preserve"> II: 8: </w:t>
      </w:r>
      <w:r w:rsidR="001E6A84" w:rsidRPr="008F3E77">
        <w:rPr>
          <w:i w:val="0"/>
          <w:snapToGrid w:val="0"/>
          <w:lang w:val="de-DE"/>
        </w:rPr>
        <w:t>„Verfahren für die Prüfung der Homogenität anhand von Abweichern“</w:t>
      </w:r>
      <w:r w:rsidRPr="008F3E77">
        <w:rPr>
          <w:i w:val="0"/>
          <w:snapToGrid w:val="0"/>
          <w:lang w:val="de-DE"/>
        </w:rPr>
        <w:t xml:space="preserve"> in </w:t>
      </w:r>
      <w:r w:rsidR="006E4EF6" w:rsidRPr="005D3057">
        <w:rPr>
          <w:i w:val="0"/>
          <w:snapToGrid w:val="0"/>
          <w:lang w:val="de-DE"/>
        </w:rPr>
        <w:t>Dokument</w:t>
      </w:r>
      <w:r w:rsidRPr="005D3057">
        <w:rPr>
          <w:i w:val="0"/>
          <w:snapToGrid w:val="0"/>
          <w:lang w:val="de-DE"/>
        </w:rPr>
        <w:t xml:space="preserve"> TC/53/5 </w:t>
      </w:r>
      <w:r w:rsidR="001E6A84" w:rsidRPr="005D3057">
        <w:rPr>
          <w:i w:val="0"/>
          <w:snapToGrid w:val="0"/>
          <w:lang w:val="de-DE"/>
        </w:rPr>
        <w:t>„</w:t>
      </w:r>
      <w:r w:rsidRPr="005D3057">
        <w:rPr>
          <w:i w:val="0"/>
          <w:snapToGrid w:val="0"/>
          <w:lang w:val="de-DE"/>
        </w:rPr>
        <w:t>TGP </w:t>
      </w:r>
      <w:r w:rsidR="006E4EF6" w:rsidRPr="005D3057">
        <w:rPr>
          <w:i w:val="0"/>
          <w:snapToGrid w:val="0"/>
          <w:lang w:val="de-DE"/>
        </w:rPr>
        <w:t>Dokumente</w:t>
      </w:r>
      <w:r w:rsidR="001E6A84" w:rsidRPr="005D3057">
        <w:rPr>
          <w:i w:val="0"/>
          <w:snapToGrid w:val="0"/>
          <w:lang w:val="de-DE"/>
        </w:rPr>
        <w:t>“</w:t>
      </w:r>
      <w:r w:rsidR="00000921" w:rsidRPr="005D3057">
        <w:rPr>
          <w:i w:val="0"/>
          <w:snapToGrid w:val="0"/>
          <w:lang w:val="de-DE"/>
        </w:rPr>
        <w:t xml:space="preserve"> geprüft werden wird</w:t>
      </w:r>
      <w:r w:rsidRPr="005D3057">
        <w:rPr>
          <w:i w:val="0"/>
          <w:snapToGrid w:val="0"/>
          <w:lang w:val="de-DE"/>
        </w:rPr>
        <w:t>;</w:t>
      </w:r>
    </w:p>
    <w:p w14:paraId="446FAF02" w14:textId="77777777" w:rsidR="00BD3A44" w:rsidRPr="005D3057" w:rsidRDefault="00BD3A44" w:rsidP="00BD3A44">
      <w:pPr>
        <w:pStyle w:val="DecisionParagraphs"/>
        <w:keepLines/>
        <w:tabs>
          <w:tab w:val="clear" w:pos="5387"/>
          <w:tab w:val="left" w:pos="567"/>
          <w:tab w:val="left" w:pos="1134"/>
          <w:tab w:val="left" w:pos="5954"/>
        </w:tabs>
        <w:ind w:left="0" w:firstLine="567"/>
        <w:rPr>
          <w:i w:val="0"/>
          <w:snapToGrid w:val="0"/>
          <w:lang w:val="de-DE"/>
        </w:rPr>
      </w:pPr>
    </w:p>
    <w:p w14:paraId="0B99C004" w14:textId="43483320" w:rsidR="00BD3A44" w:rsidRPr="005D3057" w:rsidRDefault="00BD3A44" w:rsidP="00BD3A44">
      <w:pPr>
        <w:pStyle w:val="DecisionParagraphs"/>
        <w:keepLines/>
        <w:tabs>
          <w:tab w:val="clear" w:pos="5387"/>
          <w:tab w:val="left" w:pos="567"/>
          <w:tab w:val="left" w:pos="1134"/>
          <w:tab w:val="left" w:pos="5954"/>
        </w:tabs>
        <w:ind w:left="0" w:firstLine="567"/>
        <w:rPr>
          <w:rFonts w:cs="Arial"/>
          <w:i w:val="0"/>
          <w:lang w:val="de-DE"/>
        </w:rPr>
      </w:pPr>
      <w:r w:rsidRPr="005D3057">
        <w:rPr>
          <w:i w:val="0"/>
          <w:snapToGrid w:val="0"/>
          <w:lang w:val="de-DE"/>
        </w:rPr>
        <w:t>e)</w:t>
      </w:r>
      <w:r w:rsidRPr="005D3057">
        <w:rPr>
          <w:i w:val="0"/>
          <w:snapToGrid w:val="0"/>
          <w:lang w:val="de-DE"/>
        </w:rPr>
        <w:tab/>
      </w:r>
      <w:r w:rsidR="00000921" w:rsidRPr="005D3057">
        <w:rPr>
          <w:i w:val="0"/>
          <w:snapToGrid w:val="0"/>
          <w:lang w:val="de-DE"/>
        </w:rPr>
        <w:t xml:space="preserve">die </w:t>
      </w:r>
      <w:r w:rsidR="00837D1F" w:rsidRPr="005D3057">
        <w:rPr>
          <w:rFonts w:cs="Arial"/>
          <w:i w:val="0"/>
          <w:lang w:val="de-DE"/>
        </w:rPr>
        <w:t>Angebote</w:t>
      </w:r>
      <w:r w:rsidRPr="005D3057">
        <w:rPr>
          <w:rFonts w:cs="Arial"/>
          <w:i w:val="0"/>
          <w:lang w:val="de-DE"/>
        </w:rPr>
        <w:t xml:space="preserve"> </w:t>
      </w:r>
      <w:r w:rsidR="00000921" w:rsidRPr="005D3057">
        <w:rPr>
          <w:rFonts w:cs="Arial"/>
          <w:i w:val="0"/>
          <w:lang w:val="de-DE"/>
        </w:rPr>
        <w:t>von Frankreich, Deutschland, den Niederlan</w:t>
      </w:r>
      <w:r w:rsidR="00F04089">
        <w:rPr>
          <w:rFonts w:cs="Arial"/>
          <w:i w:val="0"/>
          <w:lang w:val="de-DE"/>
        </w:rPr>
        <w:t>den, Polen und dem Vereinigten Köni</w:t>
      </w:r>
      <w:r w:rsidR="00000921" w:rsidRPr="005D3057">
        <w:rPr>
          <w:rFonts w:cs="Arial"/>
          <w:i w:val="0"/>
          <w:lang w:val="de-DE"/>
        </w:rPr>
        <w:t>greich</w:t>
      </w:r>
      <w:r w:rsidR="00D80102" w:rsidRPr="005D3057">
        <w:rPr>
          <w:rFonts w:cs="Arial"/>
          <w:i w:val="0"/>
          <w:lang w:val="de-DE"/>
        </w:rPr>
        <w:t xml:space="preserve"> </w:t>
      </w:r>
      <w:r w:rsidR="00D80102" w:rsidRPr="005D3057">
        <w:rPr>
          <w:i w:val="0"/>
          <w:snapToGrid w:val="0"/>
          <w:lang w:val="de-DE"/>
        </w:rPr>
        <w:t>zur Kenntnis zu nehmen</w:t>
      </w:r>
      <w:r w:rsidR="006E4EF6" w:rsidRPr="005D3057">
        <w:rPr>
          <w:rFonts w:cs="Arial"/>
          <w:i w:val="0"/>
          <w:lang w:val="de-DE"/>
        </w:rPr>
        <w:t>,</w:t>
      </w:r>
      <w:r w:rsidRPr="005D3057">
        <w:rPr>
          <w:rFonts w:cs="Arial"/>
          <w:i w:val="0"/>
          <w:lang w:val="de-DE"/>
        </w:rPr>
        <w:t xml:space="preserve"> </w:t>
      </w:r>
      <w:r w:rsidR="008F3E77" w:rsidRPr="005D3057">
        <w:rPr>
          <w:rFonts w:cs="Arial"/>
          <w:i w:val="0"/>
          <w:lang w:val="de-DE"/>
        </w:rPr>
        <w:t>Beispiele</w:t>
      </w:r>
      <w:r w:rsidR="00837D1F" w:rsidRPr="005D3057">
        <w:rPr>
          <w:rFonts w:cs="Arial"/>
          <w:i w:val="0"/>
          <w:lang w:val="de-DE"/>
        </w:rPr>
        <w:t>,</w:t>
      </w:r>
      <w:r w:rsidRPr="005D3057">
        <w:rPr>
          <w:rFonts w:cs="Arial"/>
          <w:i w:val="0"/>
          <w:lang w:val="de-DE"/>
        </w:rPr>
        <w:t xml:space="preserve"> </w:t>
      </w:r>
      <w:r w:rsidR="00837D1F" w:rsidRPr="005D3057">
        <w:rPr>
          <w:rFonts w:cs="Arial"/>
          <w:i w:val="0"/>
          <w:lang w:val="de-DE"/>
        </w:rPr>
        <w:t xml:space="preserve">die die mögliche Wirkung auf Entscheidungen über die </w:t>
      </w:r>
      <w:r w:rsidR="00837D1F" w:rsidRPr="007A79E4">
        <w:rPr>
          <w:rFonts w:cs="Arial"/>
          <w:i w:val="0"/>
          <w:lang w:val="de-DE"/>
        </w:rPr>
        <w:t>Homogenität</w:t>
      </w:r>
      <w:r w:rsidRPr="007A79E4">
        <w:rPr>
          <w:rFonts w:cs="Arial"/>
          <w:i w:val="0"/>
          <w:lang w:val="de-DE"/>
        </w:rPr>
        <w:t xml:space="preserve"> </w:t>
      </w:r>
      <w:r w:rsidR="00000921" w:rsidRPr="007A79E4">
        <w:rPr>
          <w:rFonts w:cs="Arial"/>
          <w:i w:val="0"/>
          <w:lang w:val="de-DE"/>
        </w:rPr>
        <w:t xml:space="preserve">zwischen </w:t>
      </w:r>
      <w:r w:rsidR="00837D1F" w:rsidRPr="007A79E4">
        <w:rPr>
          <w:rFonts w:cs="Arial"/>
          <w:i w:val="0"/>
          <w:lang w:val="de-DE"/>
        </w:rPr>
        <w:t>Ansatz</w:t>
      </w:r>
      <w:r w:rsidRPr="007A79E4">
        <w:rPr>
          <w:rFonts w:cs="Arial"/>
          <w:i w:val="0"/>
          <w:lang w:val="de-DE"/>
        </w:rPr>
        <w:t xml:space="preserve"> 3</w:t>
      </w:r>
      <w:r w:rsidR="00FD594C" w:rsidRPr="007A79E4">
        <w:rPr>
          <w:rFonts w:cs="Arial"/>
          <w:i w:val="0"/>
          <w:lang w:val="de-DE"/>
        </w:rPr>
        <w:t xml:space="preserve"> und </w:t>
      </w:r>
      <w:r w:rsidR="00000921" w:rsidRPr="007A79E4">
        <w:rPr>
          <w:rFonts w:cs="Arial"/>
          <w:i w:val="0"/>
          <w:lang w:val="de-DE"/>
        </w:rPr>
        <w:t xml:space="preserve">anderen </w:t>
      </w:r>
      <w:r w:rsidR="00837D1F" w:rsidRPr="007A79E4">
        <w:rPr>
          <w:rFonts w:cs="Arial"/>
          <w:i w:val="0"/>
          <w:lang w:val="de-DE"/>
        </w:rPr>
        <w:t>Ansätzen</w:t>
      </w:r>
      <w:r w:rsidRPr="007A79E4">
        <w:rPr>
          <w:rFonts w:cs="Arial"/>
          <w:i w:val="0"/>
          <w:lang w:val="de-DE"/>
        </w:rPr>
        <w:t xml:space="preserve"> </w:t>
      </w:r>
      <w:r w:rsidR="00691389" w:rsidRPr="007A79E4">
        <w:rPr>
          <w:rFonts w:cs="Arial"/>
          <w:i w:val="0"/>
          <w:lang w:val="de-DE"/>
        </w:rPr>
        <w:t>vergleichen, zu</w:t>
      </w:r>
      <w:r w:rsidR="00F04089" w:rsidRPr="007A79E4">
        <w:rPr>
          <w:rFonts w:cs="Arial"/>
          <w:i w:val="0"/>
          <w:lang w:val="de-DE"/>
        </w:rPr>
        <w:t>r</w:t>
      </w:r>
      <w:r w:rsidR="00691389" w:rsidRPr="007A79E4">
        <w:rPr>
          <w:rFonts w:cs="Arial"/>
          <w:i w:val="0"/>
          <w:lang w:val="de-DE"/>
        </w:rPr>
        <w:t xml:space="preserve"> Vorlage </w:t>
      </w:r>
      <w:r w:rsidR="00D21EBB" w:rsidRPr="007A79E4">
        <w:rPr>
          <w:rFonts w:cs="Arial"/>
          <w:i w:val="0"/>
          <w:lang w:val="de-DE"/>
        </w:rPr>
        <w:t xml:space="preserve">auf </w:t>
      </w:r>
      <w:r w:rsidR="00B675A1" w:rsidRPr="007A79E4">
        <w:rPr>
          <w:rFonts w:cs="Arial"/>
          <w:i w:val="0"/>
          <w:lang w:val="de-DE"/>
        </w:rPr>
        <w:t>der</w:t>
      </w:r>
      <w:r w:rsidR="00D21EBB" w:rsidRPr="007A79E4">
        <w:rPr>
          <w:rFonts w:cs="Arial"/>
          <w:i w:val="0"/>
          <w:lang w:val="de-DE"/>
        </w:rPr>
        <w:t xml:space="preserve"> sechsundvierzigsten Tagung</w:t>
      </w:r>
      <w:r w:rsidR="00F04089" w:rsidRPr="007A79E4">
        <w:rPr>
          <w:rFonts w:cs="Arial"/>
          <w:i w:val="0"/>
          <w:lang w:val="de-DE"/>
        </w:rPr>
        <w:t xml:space="preserve"> </w:t>
      </w:r>
      <w:r w:rsidR="00B675A1" w:rsidRPr="007A79E4">
        <w:rPr>
          <w:rFonts w:cs="Arial"/>
          <w:i w:val="0"/>
          <w:lang w:val="de-DE"/>
        </w:rPr>
        <w:t xml:space="preserve">der TWA </w:t>
      </w:r>
      <w:r w:rsidR="00F04089" w:rsidRPr="007A79E4">
        <w:rPr>
          <w:rFonts w:cs="Arial"/>
          <w:i w:val="0"/>
          <w:lang w:val="de-DE"/>
        </w:rPr>
        <w:t>zur Verfügung zu stellen</w:t>
      </w:r>
      <w:r w:rsidRPr="007A79E4">
        <w:rPr>
          <w:rFonts w:cs="Arial"/>
          <w:i w:val="0"/>
          <w:lang w:val="de-DE"/>
        </w:rPr>
        <w:t xml:space="preserve">; </w:t>
      </w:r>
      <w:r w:rsidR="00000921" w:rsidRPr="007A79E4">
        <w:rPr>
          <w:rFonts w:cs="Arial"/>
          <w:i w:val="0"/>
          <w:lang w:val="de-DE"/>
        </w:rPr>
        <w:t>u</w:t>
      </w:r>
      <w:r w:rsidRPr="007A79E4">
        <w:rPr>
          <w:rFonts w:cs="Arial"/>
          <w:i w:val="0"/>
          <w:lang w:val="de-DE"/>
        </w:rPr>
        <w:t>nd</w:t>
      </w:r>
    </w:p>
    <w:p w14:paraId="24680D3B" w14:textId="77777777" w:rsidR="00BD3A44" w:rsidRPr="005D3057" w:rsidRDefault="00BD3A44" w:rsidP="00BD3A44">
      <w:pPr>
        <w:pStyle w:val="DecisionParagraphs"/>
        <w:keepLines/>
        <w:tabs>
          <w:tab w:val="clear" w:pos="5387"/>
          <w:tab w:val="left" w:pos="567"/>
          <w:tab w:val="left" w:pos="1134"/>
          <w:tab w:val="left" w:pos="5954"/>
        </w:tabs>
        <w:ind w:left="0" w:firstLine="567"/>
        <w:rPr>
          <w:i w:val="0"/>
          <w:lang w:val="de-DE"/>
        </w:rPr>
      </w:pPr>
    </w:p>
    <w:p w14:paraId="46D0579E" w14:textId="2D0C565B" w:rsidR="00BD3A44" w:rsidRPr="005D3057" w:rsidRDefault="00BD3A44" w:rsidP="00BD3A44">
      <w:pPr>
        <w:pStyle w:val="DecisionParagraphs"/>
        <w:keepLines/>
        <w:tabs>
          <w:tab w:val="clear" w:pos="5387"/>
          <w:tab w:val="left" w:pos="567"/>
          <w:tab w:val="left" w:pos="1134"/>
          <w:tab w:val="left" w:pos="5954"/>
        </w:tabs>
        <w:ind w:left="0" w:firstLine="567"/>
        <w:rPr>
          <w:i w:val="0"/>
          <w:lang w:val="de-DE"/>
        </w:rPr>
      </w:pPr>
      <w:r w:rsidRPr="005D3057">
        <w:rPr>
          <w:i w:val="0"/>
          <w:lang w:val="de-DE"/>
        </w:rPr>
        <w:t>f)</w:t>
      </w:r>
      <w:r w:rsidRPr="005D3057">
        <w:rPr>
          <w:i w:val="0"/>
          <w:lang w:val="de-DE"/>
        </w:rPr>
        <w:tab/>
      </w:r>
      <w:r w:rsidR="00000921" w:rsidRPr="005D3057">
        <w:rPr>
          <w:i w:val="0"/>
          <w:lang w:val="de-DE"/>
        </w:rPr>
        <w:t>den</w:t>
      </w:r>
      <w:r w:rsidRPr="005D3057">
        <w:rPr>
          <w:i w:val="0"/>
          <w:lang w:val="de-DE"/>
        </w:rPr>
        <w:t xml:space="preserve"> </w:t>
      </w:r>
      <w:r w:rsidR="00837D1F" w:rsidRPr="005D3057">
        <w:rPr>
          <w:i w:val="0"/>
          <w:lang w:val="de-DE"/>
        </w:rPr>
        <w:t>Entwurf für eine</w:t>
      </w:r>
      <w:r w:rsidRPr="005D3057">
        <w:rPr>
          <w:i w:val="0"/>
          <w:lang w:val="de-DE"/>
        </w:rPr>
        <w:t xml:space="preserve"> </w:t>
      </w:r>
      <w:r w:rsidR="006E4EF6" w:rsidRPr="005D3057">
        <w:rPr>
          <w:i w:val="0"/>
          <w:lang w:val="de-DE"/>
        </w:rPr>
        <w:t>Anleitung</w:t>
      </w:r>
      <w:r w:rsidR="00837D1F" w:rsidRPr="005D3057">
        <w:rPr>
          <w:i w:val="0"/>
          <w:lang w:val="de-DE"/>
        </w:rPr>
        <w:t>, wie</w:t>
      </w:r>
      <w:r w:rsidRPr="005D3057">
        <w:rPr>
          <w:i w:val="0"/>
          <w:lang w:val="de-DE"/>
        </w:rPr>
        <w:t xml:space="preserve"> in </w:t>
      </w:r>
      <w:r w:rsidR="00837D1F" w:rsidRPr="005D3057">
        <w:rPr>
          <w:i w:val="0"/>
          <w:lang w:val="de-DE"/>
        </w:rPr>
        <w:t>Anlagen</w:t>
      </w:r>
      <w:r w:rsidRPr="005D3057">
        <w:rPr>
          <w:i w:val="0"/>
          <w:lang w:val="de-DE"/>
        </w:rPr>
        <w:t xml:space="preserve"> I</w:t>
      </w:r>
      <w:r w:rsidR="00FD594C" w:rsidRPr="005D3057">
        <w:rPr>
          <w:i w:val="0"/>
          <w:lang w:val="de-DE"/>
        </w:rPr>
        <w:t xml:space="preserve"> und </w:t>
      </w:r>
      <w:r w:rsidRPr="005D3057">
        <w:rPr>
          <w:i w:val="0"/>
          <w:lang w:val="de-DE"/>
        </w:rPr>
        <w:t xml:space="preserve">II </w:t>
      </w:r>
      <w:r w:rsidR="00EE28B0" w:rsidRPr="005D3057">
        <w:rPr>
          <w:i w:val="0"/>
          <w:lang w:val="de-DE"/>
        </w:rPr>
        <w:t>in der von den</w:t>
      </w:r>
      <w:r w:rsidR="00A74B3C" w:rsidRPr="005D3057">
        <w:rPr>
          <w:i w:val="0"/>
          <w:lang w:val="de-DE"/>
        </w:rPr>
        <w:t xml:space="preserve"> TWP</w:t>
      </w:r>
      <w:r w:rsidR="00000921" w:rsidRPr="005D3057">
        <w:rPr>
          <w:i w:val="0"/>
          <w:lang w:val="de-DE"/>
        </w:rPr>
        <w:t xml:space="preserve"> </w:t>
      </w:r>
      <w:r w:rsidR="00B716F7" w:rsidRPr="005D3057">
        <w:rPr>
          <w:i w:val="0"/>
          <w:lang w:val="de-DE"/>
        </w:rPr>
        <w:t xml:space="preserve">auf ihren Tagungen im Jahr 2016 </w:t>
      </w:r>
      <w:r w:rsidR="00D80102" w:rsidRPr="005D3057">
        <w:rPr>
          <w:i w:val="0"/>
          <w:lang w:val="de-DE"/>
        </w:rPr>
        <w:t>geänderten Form</w:t>
      </w:r>
      <w:r w:rsidRPr="005D3057">
        <w:rPr>
          <w:i w:val="0"/>
          <w:lang w:val="de-DE"/>
        </w:rPr>
        <w:t xml:space="preserve"> </w:t>
      </w:r>
      <w:r w:rsidR="00F04089" w:rsidRPr="005D3057">
        <w:rPr>
          <w:i w:val="0"/>
          <w:lang w:val="de-DE"/>
        </w:rPr>
        <w:t>dargelegt</w:t>
      </w:r>
      <w:r w:rsidR="00F04089">
        <w:rPr>
          <w:i w:val="0"/>
          <w:lang w:val="de-DE"/>
        </w:rPr>
        <w:t xml:space="preserve">, </w:t>
      </w:r>
      <w:r w:rsidR="00D97726" w:rsidRPr="005D3057">
        <w:rPr>
          <w:i w:val="0"/>
          <w:lang w:val="de-DE"/>
        </w:rPr>
        <w:t>im Hinblick auf die</w:t>
      </w:r>
      <w:r w:rsidR="00EE28B0" w:rsidRPr="005D3057">
        <w:rPr>
          <w:i w:val="0"/>
          <w:lang w:val="de-DE"/>
        </w:rPr>
        <w:t xml:space="preserve"> Aufnahme in eine künftige Überarbeitung von</w:t>
      </w:r>
      <w:r w:rsidRPr="005D3057">
        <w:rPr>
          <w:i w:val="0"/>
          <w:lang w:val="de-DE"/>
        </w:rPr>
        <w:t xml:space="preserve"> </w:t>
      </w:r>
      <w:r w:rsidR="006E4EF6" w:rsidRPr="005D3057">
        <w:rPr>
          <w:i w:val="0"/>
          <w:lang w:val="de-DE"/>
        </w:rPr>
        <w:t>Dokument</w:t>
      </w:r>
      <w:r w:rsidRPr="005D3057">
        <w:rPr>
          <w:i w:val="0"/>
          <w:lang w:val="de-DE"/>
        </w:rPr>
        <w:t xml:space="preserve"> TGP/10</w:t>
      </w:r>
      <w:r w:rsidR="00000921" w:rsidRPr="005D3057">
        <w:rPr>
          <w:i w:val="0"/>
          <w:lang w:val="de-DE"/>
        </w:rPr>
        <w:t xml:space="preserve"> zu prüfen</w:t>
      </w:r>
      <w:r w:rsidRPr="005D3057">
        <w:rPr>
          <w:i w:val="0"/>
          <w:lang w:val="de-DE"/>
        </w:rPr>
        <w:t>.</w:t>
      </w:r>
    </w:p>
    <w:p w14:paraId="41BE114E" w14:textId="77777777" w:rsidR="00373E94" w:rsidRPr="005D3057" w:rsidRDefault="00373E94" w:rsidP="00BD3A44">
      <w:pPr>
        <w:tabs>
          <w:tab w:val="left" w:pos="567"/>
          <w:tab w:val="left" w:pos="1134"/>
          <w:tab w:val="left" w:pos="1701"/>
        </w:tabs>
        <w:autoSpaceDE w:val="0"/>
        <w:autoSpaceDN w:val="0"/>
        <w:adjustRightInd w:val="0"/>
        <w:ind w:hanging="1276"/>
        <w:jc w:val="left"/>
        <w:rPr>
          <w:rFonts w:eastAsia="MS Mincho"/>
          <w:color w:val="000000"/>
          <w:szCs w:val="24"/>
          <w:lang w:val="de-DE" w:eastAsia="ja-JP"/>
        </w:rPr>
      </w:pPr>
    </w:p>
    <w:p w14:paraId="33AAAD10" w14:textId="77777777" w:rsidR="00373E94" w:rsidRDefault="00373E94" w:rsidP="00373E94">
      <w:pPr>
        <w:autoSpaceDE w:val="0"/>
        <w:autoSpaceDN w:val="0"/>
        <w:adjustRightInd w:val="0"/>
        <w:rPr>
          <w:rFonts w:eastAsia="MS Mincho"/>
          <w:color w:val="000000"/>
          <w:szCs w:val="24"/>
          <w:lang w:val="de-DE" w:eastAsia="ja-JP"/>
        </w:rPr>
      </w:pPr>
      <w:r w:rsidRPr="005D3057">
        <w:rPr>
          <w:rFonts w:eastAsia="MS Mincho"/>
          <w:color w:val="000000"/>
          <w:szCs w:val="24"/>
          <w:lang w:eastAsia="ja-JP"/>
        </w:rPr>
        <w:fldChar w:fldCharType="begin"/>
      </w:r>
      <w:r w:rsidRPr="005D3057">
        <w:rPr>
          <w:rFonts w:eastAsia="MS Mincho"/>
          <w:color w:val="000000"/>
          <w:szCs w:val="24"/>
          <w:lang w:val="de-DE" w:eastAsia="ja-JP"/>
        </w:rPr>
        <w:instrText xml:space="preserve"> AUTONUM  </w:instrText>
      </w:r>
      <w:r w:rsidRPr="005D3057">
        <w:rPr>
          <w:rFonts w:eastAsia="MS Mincho"/>
          <w:color w:val="000000"/>
          <w:szCs w:val="24"/>
          <w:lang w:eastAsia="ja-JP"/>
        </w:rPr>
        <w:fldChar w:fldCharType="end"/>
      </w:r>
      <w:r w:rsidRPr="005D3057">
        <w:rPr>
          <w:rFonts w:eastAsia="MS Mincho"/>
          <w:color w:val="000000"/>
          <w:szCs w:val="24"/>
          <w:lang w:val="de-DE" w:eastAsia="ja-JP"/>
        </w:rPr>
        <w:tab/>
      </w:r>
      <w:r w:rsidR="001E6A84" w:rsidRPr="005D3057">
        <w:rPr>
          <w:rFonts w:cs="Arial"/>
          <w:snapToGrid w:val="0"/>
          <w:lang w:val="de-DE" w:eastAsia="ja-JP"/>
        </w:rPr>
        <w:t>Der Aufbau dieses Dokuments ist nachstehend zusammengefaßt</w:t>
      </w:r>
      <w:r w:rsidRPr="005D3057">
        <w:rPr>
          <w:rFonts w:eastAsia="MS Mincho"/>
          <w:color w:val="000000"/>
          <w:szCs w:val="24"/>
          <w:lang w:val="de-DE" w:eastAsia="ja-JP"/>
        </w:rPr>
        <w:t>:</w:t>
      </w:r>
    </w:p>
    <w:p w14:paraId="387336B8" w14:textId="77777777" w:rsidR="00283128" w:rsidRPr="005D3057" w:rsidRDefault="00283128" w:rsidP="00373E94">
      <w:pPr>
        <w:autoSpaceDE w:val="0"/>
        <w:autoSpaceDN w:val="0"/>
        <w:adjustRightInd w:val="0"/>
        <w:rPr>
          <w:rFonts w:eastAsia="MS Mincho"/>
          <w:color w:val="000000"/>
          <w:szCs w:val="24"/>
          <w:lang w:val="de-DE" w:eastAsia="ja-JP"/>
        </w:rPr>
      </w:pPr>
    </w:p>
    <w:p w14:paraId="451E24B5" w14:textId="77777777" w:rsidR="00A55926" w:rsidRDefault="00373E94">
      <w:pPr>
        <w:pStyle w:val="TOC1"/>
        <w:rPr>
          <w:rFonts w:asciiTheme="minorHAnsi" w:eastAsiaTheme="minorEastAsia" w:hAnsiTheme="minorHAnsi" w:cstheme="minorBidi"/>
          <w:caps w:val="0"/>
          <w:noProof/>
          <w:sz w:val="22"/>
          <w:szCs w:val="22"/>
        </w:rPr>
      </w:pPr>
      <w:r w:rsidRPr="005D3057">
        <w:rPr>
          <w:noProof/>
          <w:snapToGrid w:val="0"/>
        </w:rPr>
        <w:fldChar w:fldCharType="begin"/>
      </w:r>
      <w:r w:rsidRPr="005D3057">
        <w:rPr>
          <w:snapToGrid w:val="0"/>
        </w:rPr>
        <w:instrText xml:space="preserve"> TOC \o "1-3" \h \z \u </w:instrText>
      </w:r>
      <w:r w:rsidRPr="005D3057">
        <w:rPr>
          <w:noProof/>
          <w:snapToGrid w:val="0"/>
        </w:rPr>
        <w:fldChar w:fldCharType="separate"/>
      </w:r>
      <w:hyperlink w:anchor="_Toc475460251" w:history="1">
        <w:r w:rsidR="00A55926" w:rsidRPr="00225078">
          <w:rPr>
            <w:rStyle w:val="Hyperlink"/>
            <w:noProof/>
            <w:lang w:val="de-DE"/>
          </w:rPr>
          <w:t>ZUSAMMENFASSUNG</w:t>
        </w:r>
        <w:r w:rsidR="00A55926">
          <w:rPr>
            <w:noProof/>
            <w:webHidden/>
          </w:rPr>
          <w:tab/>
        </w:r>
        <w:r w:rsidR="00A55926">
          <w:rPr>
            <w:noProof/>
            <w:webHidden/>
          </w:rPr>
          <w:fldChar w:fldCharType="begin"/>
        </w:r>
        <w:r w:rsidR="00A55926">
          <w:rPr>
            <w:noProof/>
            <w:webHidden/>
          </w:rPr>
          <w:instrText xml:space="preserve"> PAGEREF _Toc475460251 \h </w:instrText>
        </w:r>
        <w:r w:rsidR="00A55926">
          <w:rPr>
            <w:noProof/>
            <w:webHidden/>
          </w:rPr>
        </w:r>
        <w:r w:rsidR="00A55926">
          <w:rPr>
            <w:noProof/>
            <w:webHidden/>
          </w:rPr>
          <w:fldChar w:fldCharType="separate"/>
        </w:r>
        <w:r w:rsidR="00A55926">
          <w:rPr>
            <w:noProof/>
            <w:webHidden/>
          </w:rPr>
          <w:t>1</w:t>
        </w:r>
        <w:r w:rsidR="00A55926">
          <w:rPr>
            <w:noProof/>
            <w:webHidden/>
          </w:rPr>
          <w:fldChar w:fldCharType="end"/>
        </w:r>
      </w:hyperlink>
    </w:p>
    <w:p w14:paraId="30730667" w14:textId="77777777" w:rsidR="00A55926" w:rsidRDefault="00DE0119">
      <w:pPr>
        <w:pStyle w:val="TOC1"/>
        <w:rPr>
          <w:rFonts w:asciiTheme="minorHAnsi" w:eastAsiaTheme="minorEastAsia" w:hAnsiTheme="minorHAnsi" w:cstheme="minorBidi"/>
          <w:caps w:val="0"/>
          <w:noProof/>
          <w:sz w:val="22"/>
          <w:szCs w:val="22"/>
        </w:rPr>
      </w:pPr>
      <w:hyperlink w:anchor="_Toc475460252" w:history="1">
        <w:r w:rsidR="00A55926" w:rsidRPr="00225078">
          <w:rPr>
            <w:rStyle w:val="Hyperlink"/>
            <w:noProof/>
            <w:lang w:val="de-DE"/>
          </w:rPr>
          <w:t>HINTERGRUND</w:t>
        </w:r>
        <w:r w:rsidR="00A55926">
          <w:rPr>
            <w:noProof/>
            <w:webHidden/>
          </w:rPr>
          <w:tab/>
        </w:r>
        <w:r w:rsidR="00A55926">
          <w:rPr>
            <w:noProof/>
            <w:webHidden/>
          </w:rPr>
          <w:fldChar w:fldCharType="begin"/>
        </w:r>
        <w:r w:rsidR="00A55926">
          <w:rPr>
            <w:noProof/>
            <w:webHidden/>
          </w:rPr>
          <w:instrText xml:space="preserve"> PAGEREF _Toc475460252 \h </w:instrText>
        </w:r>
        <w:r w:rsidR="00A55926">
          <w:rPr>
            <w:noProof/>
            <w:webHidden/>
          </w:rPr>
        </w:r>
        <w:r w:rsidR="00A55926">
          <w:rPr>
            <w:noProof/>
            <w:webHidden/>
          </w:rPr>
          <w:fldChar w:fldCharType="separate"/>
        </w:r>
        <w:r w:rsidR="00A55926">
          <w:rPr>
            <w:noProof/>
            <w:webHidden/>
          </w:rPr>
          <w:t>2</w:t>
        </w:r>
        <w:r w:rsidR="00A55926">
          <w:rPr>
            <w:noProof/>
            <w:webHidden/>
          </w:rPr>
          <w:fldChar w:fldCharType="end"/>
        </w:r>
      </w:hyperlink>
    </w:p>
    <w:p w14:paraId="47C95E4E" w14:textId="77777777" w:rsidR="00A55926" w:rsidRDefault="00DE0119">
      <w:pPr>
        <w:pStyle w:val="TOC1"/>
        <w:rPr>
          <w:rFonts w:asciiTheme="minorHAnsi" w:eastAsiaTheme="minorEastAsia" w:hAnsiTheme="minorHAnsi" w:cstheme="minorBidi"/>
          <w:caps w:val="0"/>
          <w:noProof/>
          <w:sz w:val="22"/>
          <w:szCs w:val="22"/>
        </w:rPr>
      </w:pPr>
      <w:hyperlink w:anchor="_Toc475460253" w:history="1">
        <w:r w:rsidR="00A55926" w:rsidRPr="00225078">
          <w:rPr>
            <w:rStyle w:val="Hyperlink"/>
            <w:noProof/>
            <w:lang w:val="de-DE"/>
          </w:rPr>
          <w:t>ENTWICKLUNGEN IM Jahr 2016</w:t>
        </w:r>
        <w:r w:rsidR="00A55926">
          <w:rPr>
            <w:noProof/>
            <w:webHidden/>
          </w:rPr>
          <w:tab/>
        </w:r>
        <w:r w:rsidR="00A55926">
          <w:rPr>
            <w:noProof/>
            <w:webHidden/>
          </w:rPr>
          <w:fldChar w:fldCharType="begin"/>
        </w:r>
        <w:r w:rsidR="00A55926">
          <w:rPr>
            <w:noProof/>
            <w:webHidden/>
          </w:rPr>
          <w:instrText xml:space="preserve"> PAGEREF _Toc475460253 \h </w:instrText>
        </w:r>
        <w:r w:rsidR="00A55926">
          <w:rPr>
            <w:noProof/>
            <w:webHidden/>
          </w:rPr>
        </w:r>
        <w:r w:rsidR="00A55926">
          <w:rPr>
            <w:noProof/>
            <w:webHidden/>
          </w:rPr>
          <w:fldChar w:fldCharType="separate"/>
        </w:r>
        <w:r w:rsidR="00A55926">
          <w:rPr>
            <w:noProof/>
            <w:webHidden/>
          </w:rPr>
          <w:t>2</w:t>
        </w:r>
        <w:r w:rsidR="00A55926">
          <w:rPr>
            <w:noProof/>
            <w:webHidden/>
          </w:rPr>
          <w:fldChar w:fldCharType="end"/>
        </w:r>
      </w:hyperlink>
    </w:p>
    <w:p w14:paraId="1333BBB8" w14:textId="77777777" w:rsidR="00A55926" w:rsidRDefault="00DE0119">
      <w:pPr>
        <w:pStyle w:val="TOC2"/>
        <w:rPr>
          <w:rFonts w:asciiTheme="minorHAnsi" w:eastAsiaTheme="minorEastAsia" w:hAnsiTheme="minorHAnsi" w:cstheme="minorBidi"/>
          <w:smallCaps w:val="0"/>
          <w:noProof/>
          <w:sz w:val="22"/>
          <w:szCs w:val="22"/>
        </w:rPr>
      </w:pPr>
      <w:hyperlink w:anchor="_Toc475460254" w:history="1">
        <w:r w:rsidR="00A55926" w:rsidRPr="00225078">
          <w:rPr>
            <w:rStyle w:val="Hyperlink"/>
            <w:noProof/>
            <w:lang w:val="de-DE"/>
          </w:rPr>
          <w:t>Technischer Ausschuß</w:t>
        </w:r>
        <w:r w:rsidR="00A55926">
          <w:rPr>
            <w:noProof/>
            <w:webHidden/>
          </w:rPr>
          <w:tab/>
        </w:r>
        <w:r w:rsidR="00A55926">
          <w:rPr>
            <w:noProof/>
            <w:webHidden/>
          </w:rPr>
          <w:fldChar w:fldCharType="begin"/>
        </w:r>
        <w:r w:rsidR="00A55926">
          <w:rPr>
            <w:noProof/>
            <w:webHidden/>
          </w:rPr>
          <w:instrText xml:space="preserve"> PAGEREF _Toc475460254 \h </w:instrText>
        </w:r>
        <w:r w:rsidR="00A55926">
          <w:rPr>
            <w:noProof/>
            <w:webHidden/>
          </w:rPr>
        </w:r>
        <w:r w:rsidR="00A55926">
          <w:rPr>
            <w:noProof/>
            <w:webHidden/>
          </w:rPr>
          <w:fldChar w:fldCharType="separate"/>
        </w:r>
        <w:r w:rsidR="00A55926">
          <w:rPr>
            <w:noProof/>
            <w:webHidden/>
          </w:rPr>
          <w:t>2</w:t>
        </w:r>
        <w:r w:rsidR="00A55926">
          <w:rPr>
            <w:noProof/>
            <w:webHidden/>
          </w:rPr>
          <w:fldChar w:fldCharType="end"/>
        </w:r>
      </w:hyperlink>
    </w:p>
    <w:p w14:paraId="42B52C1A" w14:textId="77777777" w:rsidR="00A55926" w:rsidRDefault="00DE0119">
      <w:pPr>
        <w:pStyle w:val="TOC2"/>
        <w:rPr>
          <w:rFonts w:asciiTheme="minorHAnsi" w:eastAsiaTheme="minorEastAsia" w:hAnsiTheme="minorHAnsi" w:cstheme="minorBidi"/>
          <w:smallCaps w:val="0"/>
          <w:noProof/>
          <w:sz w:val="22"/>
          <w:szCs w:val="22"/>
        </w:rPr>
      </w:pPr>
      <w:hyperlink w:anchor="_Toc475460255" w:history="1">
        <w:r w:rsidR="00A55926" w:rsidRPr="00225078">
          <w:rPr>
            <w:rStyle w:val="Hyperlink"/>
            <w:noProof/>
            <w:snapToGrid w:val="0"/>
            <w:lang w:val="de-DE"/>
          </w:rPr>
          <w:t>Technische Arbeitsgruppen</w:t>
        </w:r>
        <w:r w:rsidR="00A55926">
          <w:rPr>
            <w:noProof/>
            <w:webHidden/>
          </w:rPr>
          <w:tab/>
        </w:r>
        <w:r w:rsidR="00A55926">
          <w:rPr>
            <w:noProof/>
            <w:webHidden/>
          </w:rPr>
          <w:fldChar w:fldCharType="begin"/>
        </w:r>
        <w:r w:rsidR="00A55926">
          <w:rPr>
            <w:noProof/>
            <w:webHidden/>
          </w:rPr>
          <w:instrText xml:space="preserve"> PAGEREF _Toc475460255 \h </w:instrText>
        </w:r>
        <w:r w:rsidR="00A55926">
          <w:rPr>
            <w:noProof/>
            <w:webHidden/>
          </w:rPr>
        </w:r>
        <w:r w:rsidR="00A55926">
          <w:rPr>
            <w:noProof/>
            <w:webHidden/>
          </w:rPr>
          <w:fldChar w:fldCharType="separate"/>
        </w:r>
        <w:r w:rsidR="00A55926">
          <w:rPr>
            <w:noProof/>
            <w:webHidden/>
          </w:rPr>
          <w:t>2</w:t>
        </w:r>
        <w:r w:rsidR="00A55926">
          <w:rPr>
            <w:noProof/>
            <w:webHidden/>
          </w:rPr>
          <w:fldChar w:fldCharType="end"/>
        </w:r>
      </w:hyperlink>
    </w:p>
    <w:p w14:paraId="3B69CC5E" w14:textId="77777777" w:rsidR="00A55926" w:rsidRDefault="00DE0119">
      <w:pPr>
        <w:pStyle w:val="TOC3"/>
        <w:rPr>
          <w:rFonts w:asciiTheme="minorHAnsi" w:eastAsiaTheme="minorEastAsia" w:hAnsiTheme="minorHAnsi" w:cstheme="minorBidi"/>
          <w:noProof/>
          <w:sz w:val="22"/>
          <w:szCs w:val="22"/>
          <w:lang w:val="en-US"/>
        </w:rPr>
      </w:pPr>
      <w:hyperlink w:anchor="_Toc475460256" w:history="1">
        <w:r w:rsidR="00A55926" w:rsidRPr="00225078">
          <w:rPr>
            <w:rStyle w:val="Hyperlink"/>
            <w:noProof/>
            <w:lang w:val="de-DE"/>
          </w:rPr>
          <w:t>Technische Arbeitsgruppe für Automatisierung und Computerprogramme</w:t>
        </w:r>
        <w:r w:rsidR="00A55926">
          <w:rPr>
            <w:noProof/>
            <w:webHidden/>
          </w:rPr>
          <w:tab/>
        </w:r>
        <w:r w:rsidR="00A55926">
          <w:rPr>
            <w:noProof/>
            <w:webHidden/>
          </w:rPr>
          <w:fldChar w:fldCharType="begin"/>
        </w:r>
        <w:r w:rsidR="00A55926">
          <w:rPr>
            <w:noProof/>
            <w:webHidden/>
          </w:rPr>
          <w:instrText xml:space="preserve"> PAGEREF _Toc475460256 \h </w:instrText>
        </w:r>
        <w:r w:rsidR="00A55926">
          <w:rPr>
            <w:noProof/>
            <w:webHidden/>
          </w:rPr>
        </w:r>
        <w:r w:rsidR="00A55926">
          <w:rPr>
            <w:noProof/>
            <w:webHidden/>
          </w:rPr>
          <w:fldChar w:fldCharType="separate"/>
        </w:r>
        <w:r w:rsidR="00A55926">
          <w:rPr>
            <w:noProof/>
            <w:webHidden/>
          </w:rPr>
          <w:t>2</w:t>
        </w:r>
        <w:r w:rsidR="00A55926">
          <w:rPr>
            <w:noProof/>
            <w:webHidden/>
          </w:rPr>
          <w:fldChar w:fldCharType="end"/>
        </w:r>
      </w:hyperlink>
    </w:p>
    <w:p w14:paraId="64D213B4" w14:textId="77777777" w:rsidR="00A55926" w:rsidRDefault="00DE0119">
      <w:pPr>
        <w:pStyle w:val="TOC3"/>
        <w:rPr>
          <w:rFonts w:asciiTheme="minorHAnsi" w:eastAsiaTheme="minorEastAsia" w:hAnsiTheme="minorHAnsi" w:cstheme="minorBidi"/>
          <w:noProof/>
          <w:sz w:val="22"/>
          <w:szCs w:val="22"/>
          <w:lang w:val="en-US"/>
        </w:rPr>
      </w:pPr>
      <w:hyperlink w:anchor="_Toc475460257" w:history="1">
        <w:r w:rsidR="00A55926" w:rsidRPr="00225078">
          <w:rPr>
            <w:rStyle w:val="Hyperlink"/>
            <w:noProof/>
            <w:lang w:val="de-DE"/>
          </w:rPr>
          <w:t>Technische Arbeitsgruppe für Zierpflanzen</w:t>
        </w:r>
        <w:r w:rsidR="00A55926">
          <w:rPr>
            <w:noProof/>
            <w:webHidden/>
          </w:rPr>
          <w:tab/>
        </w:r>
        <w:r w:rsidR="00A55926">
          <w:rPr>
            <w:noProof/>
            <w:webHidden/>
          </w:rPr>
          <w:fldChar w:fldCharType="begin"/>
        </w:r>
        <w:r w:rsidR="00A55926">
          <w:rPr>
            <w:noProof/>
            <w:webHidden/>
          </w:rPr>
          <w:instrText xml:space="preserve"> PAGEREF _Toc475460257 \h </w:instrText>
        </w:r>
        <w:r w:rsidR="00A55926">
          <w:rPr>
            <w:noProof/>
            <w:webHidden/>
          </w:rPr>
        </w:r>
        <w:r w:rsidR="00A55926">
          <w:rPr>
            <w:noProof/>
            <w:webHidden/>
          </w:rPr>
          <w:fldChar w:fldCharType="separate"/>
        </w:r>
        <w:r w:rsidR="00A55926">
          <w:rPr>
            <w:noProof/>
            <w:webHidden/>
          </w:rPr>
          <w:t>3</w:t>
        </w:r>
        <w:r w:rsidR="00A55926">
          <w:rPr>
            <w:noProof/>
            <w:webHidden/>
          </w:rPr>
          <w:fldChar w:fldCharType="end"/>
        </w:r>
      </w:hyperlink>
    </w:p>
    <w:p w14:paraId="6A4ACD42" w14:textId="77777777" w:rsidR="00A55926" w:rsidRDefault="00DE0119">
      <w:pPr>
        <w:pStyle w:val="TOC3"/>
        <w:rPr>
          <w:rFonts w:asciiTheme="minorHAnsi" w:eastAsiaTheme="minorEastAsia" w:hAnsiTheme="minorHAnsi" w:cstheme="minorBidi"/>
          <w:noProof/>
          <w:sz w:val="22"/>
          <w:szCs w:val="22"/>
          <w:lang w:val="en-US"/>
        </w:rPr>
      </w:pPr>
      <w:hyperlink w:anchor="_Toc475460258" w:history="1">
        <w:r w:rsidR="00A55926" w:rsidRPr="00225078">
          <w:rPr>
            <w:rStyle w:val="Hyperlink"/>
            <w:noProof/>
            <w:snapToGrid w:val="0"/>
            <w:lang w:val="de-DE"/>
          </w:rPr>
          <w:t>Technische Arbeitsgruppe für Gemüsearten</w:t>
        </w:r>
        <w:r w:rsidR="00A55926">
          <w:rPr>
            <w:noProof/>
            <w:webHidden/>
          </w:rPr>
          <w:tab/>
        </w:r>
        <w:r w:rsidR="00A55926">
          <w:rPr>
            <w:noProof/>
            <w:webHidden/>
          </w:rPr>
          <w:fldChar w:fldCharType="begin"/>
        </w:r>
        <w:r w:rsidR="00A55926">
          <w:rPr>
            <w:noProof/>
            <w:webHidden/>
          </w:rPr>
          <w:instrText xml:space="preserve"> PAGEREF _Toc475460258 \h </w:instrText>
        </w:r>
        <w:r w:rsidR="00A55926">
          <w:rPr>
            <w:noProof/>
            <w:webHidden/>
          </w:rPr>
        </w:r>
        <w:r w:rsidR="00A55926">
          <w:rPr>
            <w:noProof/>
            <w:webHidden/>
          </w:rPr>
          <w:fldChar w:fldCharType="separate"/>
        </w:r>
        <w:r w:rsidR="00A55926">
          <w:rPr>
            <w:noProof/>
            <w:webHidden/>
          </w:rPr>
          <w:t>4</w:t>
        </w:r>
        <w:r w:rsidR="00A55926">
          <w:rPr>
            <w:noProof/>
            <w:webHidden/>
          </w:rPr>
          <w:fldChar w:fldCharType="end"/>
        </w:r>
      </w:hyperlink>
    </w:p>
    <w:p w14:paraId="52B15A41" w14:textId="77777777" w:rsidR="00A55926" w:rsidRDefault="00DE0119">
      <w:pPr>
        <w:pStyle w:val="TOC3"/>
        <w:rPr>
          <w:rFonts w:asciiTheme="minorHAnsi" w:eastAsiaTheme="minorEastAsia" w:hAnsiTheme="minorHAnsi" w:cstheme="minorBidi"/>
          <w:noProof/>
          <w:sz w:val="22"/>
          <w:szCs w:val="22"/>
          <w:lang w:val="en-US"/>
        </w:rPr>
      </w:pPr>
      <w:hyperlink w:anchor="_Toc475460259" w:history="1">
        <w:r w:rsidR="00A55926" w:rsidRPr="00225078">
          <w:rPr>
            <w:rStyle w:val="Hyperlink"/>
            <w:noProof/>
            <w:lang w:val="de-DE"/>
          </w:rPr>
          <w:t>Technische Arbeitsgruppe für landwirtschaftliche Arten</w:t>
        </w:r>
        <w:r w:rsidR="00A55926">
          <w:rPr>
            <w:noProof/>
            <w:webHidden/>
          </w:rPr>
          <w:tab/>
        </w:r>
        <w:r w:rsidR="00A55926">
          <w:rPr>
            <w:noProof/>
            <w:webHidden/>
          </w:rPr>
          <w:fldChar w:fldCharType="begin"/>
        </w:r>
        <w:r w:rsidR="00A55926">
          <w:rPr>
            <w:noProof/>
            <w:webHidden/>
          </w:rPr>
          <w:instrText xml:space="preserve"> PAGEREF _Toc475460259 \h </w:instrText>
        </w:r>
        <w:r w:rsidR="00A55926">
          <w:rPr>
            <w:noProof/>
            <w:webHidden/>
          </w:rPr>
        </w:r>
        <w:r w:rsidR="00A55926">
          <w:rPr>
            <w:noProof/>
            <w:webHidden/>
          </w:rPr>
          <w:fldChar w:fldCharType="separate"/>
        </w:r>
        <w:r w:rsidR="00A55926">
          <w:rPr>
            <w:noProof/>
            <w:webHidden/>
          </w:rPr>
          <w:t>4</w:t>
        </w:r>
        <w:r w:rsidR="00A55926">
          <w:rPr>
            <w:noProof/>
            <w:webHidden/>
          </w:rPr>
          <w:fldChar w:fldCharType="end"/>
        </w:r>
      </w:hyperlink>
    </w:p>
    <w:p w14:paraId="78E0646C" w14:textId="77777777" w:rsidR="00A55926" w:rsidRDefault="00DE0119">
      <w:pPr>
        <w:pStyle w:val="TOC3"/>
        <w:rPr>
          <w:rFonts w:asciiTheme="minorHAnsi" w:eastAsiaTheme="minorEastAsia" w:hAnsiTheme="minorHAnsi" w:cstheme="minorBidi"/>
          <w:noProof/>
          <w:sz w:val="22"/>
          <w:szCs w:val="22"/>
          <w:lang w:val="en-US"/>
        </w:rPr>
      </w:pPr>
      <w:hyperlink w:anchor="_Toc475460260" w:history="1">
        <w:r w:rsidR="00A55926" w:rsidRPr="00225078">
          <w:rPr>
            <w:rStyle w:val="Hyperlink"/>
            <w:noProof/>
            <w:lang w:val="de-DE"/>
          </w:rPr>
          <w:t>Technische Arbeitsgruppe für Obstarten</w:t>
        </w:r>
        <w:r w:rsidR="00A55926">
          <w:rPr>
            <w:noProof/>
            <w:webHidden/>
          </w:rPr>
          <w:tab/>
        </w:r>
        <w:r w:rsidR="00A55926">
          <w:rPr>
            <w:noProof/>
            <w:webHidden/>
          </w:rPr>
          <w:fldChar w:fldCharType="begin"/>
        </w:r>
        <w:r w:rsidR="00A55926">
          <w:rPr>
            <w:noProof/>
            <w:webHidden/>
          </w:rPr>
          <w:instrText xml:space="preserve"> PAGEREF _Toc475460260 \h </w:instrText>
        </w:r>
        <w:r w:rsidR="00A55926">
          <w:rPr>
            <w:noProof/>
            <w:webHidden/>
          </w:rPr>
        </w:r>
        <w:r w:rsidR="00A55926">
          <w:rPr>
            <w:noProof/>
            <w:webHidden/>
          </w:rPr>
          <w:fldChar w:fldCharType="separate"/>
        </w:r>
        <w:r w:rsidR="00A55926">
          <w:rPr>
            <w:noProof/>
            <w:webHidden/>
          </w:rPr>
          <w:t>5</w:t>
        </w:r>
        <w:r w:rsidR="00A55926">
          <w:rPr>
            <w:noProof/>
            <w:webHidden/>
          </w:rPr>
          <w:fldChar w:fldCharType="end"/>
        </w:r>
      </w:hyperlink>
    </w:p>
    <w:p w14:paraId="53798A41" w14:textId="77777777" w:rsidR="00A55926" w:rsidRDefault="00DE0119">
      <w:pPr>
        <w:pStyle w:val="TOC1"/>
        <w:rPr>
          <w:rFonts w:asciiTheme="minorHAnsi" w:eastAsiaTheme="minorEastAsia" w:hAnsiTheme="minorHAnsi" w:cstheme="minorBidi"/>
          <w:caps w:val="0"/>
          <w:noProof/>
          <w:sz w:val="22"/>
          <w:szCs w:val="22"/>
        </w:rPr>
      </w:pPr>
      <w:hyperlink w:anchor="_Toc475460261" w:history="1">
        <w:r w:rsidR="00A55926" w:rsidRPr="00225078">
          <w:rPr>
            <w:rStyle w:val="Hyperlink"/>
            <w:noProof/>
            <w:lang w:val="de-DE"/>
          </w:rPr>
          <w:t>Zusammenfassung der Ansätze</w:t>
        </w:r>
        <w:r w:rsidR="00A55926">
          <w:rPr>
            <w:noProof/>
            <w:webHidden/>
          </w:rPr>
          <w:tab/>
        </w:r>
        <w:r w:rsidR="00A55926">
          <w:rPr>
            <w:noProof/>
            <w:webHidden/>
          </w:rPr>
          <w:fldChar w:fldCharType="begin"/>
        </w:r>
        <w:r w:rsidR="00A55926">
          <w:rPr>
            <w:noProof/>
            <w:webHidden/>
          </w:rPr>
          <w:instrText xml:space="preserve"> PAGEREF _Toc475460261 \h </w:instrText>
        </w:r>
        <w:r w:rsidR="00A55926">
          <w:rPr>
            <w:noProof/>
            <w:webHidden/>
          </w:rPr>
        </w:r>
        <w:r w:rsidR="00A55926">
          <w:rPr>
            <w:noProof/>
            <w:webHidden/>
          </w:rPr>
          <w:fldChar w:fldCharType="separate"/>
        </w:r>
        <w:r w:rsidR="00A55926">
          <w:rPr>
            <w:noProof/>
            <w:webHidden/>
          </w:rPr>
          <w:t>6</w:t>
        </w:r>
        <w:r w:rsidR="00A55926">
          <w:rPr>
            <w:noProof/>
            <w:webHidden/>
          </w:rPr>
          <w:fldChar w:fldCharType="end"/>
        </w:r>
      </w:hyperlink>
    </w:p>
    <w:p w14:paraId="5B2C3377" w14:textId="77777777" w:rsidR="00373E94" w:rsidRDefault="00373E94" w:rsidP="00373E94">
      <w:pPr>
        <w:spacing w:before="120"/>
        <w:ind w:left="1276" w:hanging="1276"/>
        <w:rPr>
          <w:rFonts w:eastAsia="MS Mincho"/>
          <w:color w:val="000000"/>
          <w:szCs w:val="24"/>
          <w:lang w:val="de-DE" w:eastAsia="ja-JP"/>
        </w:rPr>
      </w:pPr>
      <w:r w:rsidRPr="005D3057">
        <w:rPr>
          <w:snapToGrid w:val="0"/>
        </w:rPr>
        <w:fldChar w:fldCharType="end"/>
      </w:r>
      <w:r w:rsidR="001E6A84" w:rsidRPr="005D3057">
        <w:rPr>
          <w:rFonts w:eastAsia="MS Mincho"/>
          <w:color w:val="000000"/>
          <w:szCs w:val="24"/>
          <w:lang w:val="de-DE" w:eastAsia="ja-JP"/>
        </w:rPr>
        <w:t>ANLAGE</w:t>
      </w:r>
      <w:r w:rsidRPr="005D3057">
        <w:rPr>
          <w:rFonts w:eastAsia="MS Mincho"/>
          <w:color w:val="000000"/>
          <w:szCs w:val="24"/>
          <w:lang w:val="de-DE" w:eastAsia="ja-JP"/>
        </w:rPr>
        <w:t xml:space="preserve"> I: </w:t>
      </w:r>
      <w:r w:rsidRPr="005D3057">
        <w:rPr>
          <w:rFonts w:eastAsia="MS Mincho"/>
          <w:color w:val="000000"/>
          <w:szCs w:val="24"/>
          <w:lang w:val="de-DE" w:eastAsia="ja-JP"/>
        </w:rPr>
        <w:tab/>
      </w:r>
      <w:r w:rsidR="001E6A84" w:rsidRPr="005D3057">
        <w:rPr>
          <w:rFonts w:eastAsia="MS Mincho"/>
          <w:color w:val="000000"/>
          <w:szCs w:val="24"/>
          <w:lang w:val="de-DE" w:eastAsia="ja-JP"/>
        </w:rPr>
        <w:t>Prüfung der Homogenität anhand von Abweichern aufgrund von mehr als einer Wachstumsperiode</w:t>
      </w:r>
    </w:p>
    <w:p w14:paraId="46EEE932" w14:textId="04972551" w:rsidR="00373E94" w:rsidRPr="005D3057" w:rsidRDefault="001E6A84" w:rsidP="00A55926">
      <w:pPr>
        <w:tabs>
          <w:tab w:val="left" w:pos="1701"/>
        </w:tabs>
        <w:autoSpaceDE w:val="0"/>
        <w:autoSpaceDN w:val="0"/>
        <w:adjustRightInd w:val="0"/>
        <w:spacing w:before="120"/>
        <w:ind w:left="1276" w:hanging="1276"/>
        <w:rPr>
          <w:rFonts w:eastAsia="MS Mincho"/>
          <w:color w:val="000000"/>
          <w:szCs w:val="24"/>
          <w:lang w:val="de-DE" w:eastAsia="ja-JP"/>
        </w:rPr>
      </w:pPr>
      <w:r w:rsidRPr="005D3057">
        <w:rPr>
          <w:rFonts w:eastAsia="MS Mincho"/>
          <w:color w:val="000000"/>
          <w:szCs w:val="24"/>
          <w:lang w:val="de-DE" w:eastAsia="ja-JP"/>
        </w:rPr>
        <w:t>ANLAGE</w:t>
      </w:r>
      <w:r w:rsidR="00373E94" w:rsidRPr="005D3057">
        <w:rPr>
          <w:rFonts w:eastAsia="MS Mincho"/>
          <w:color w:val="000000"/>
          <w:szCs w:val="24"/>
          <w:lang w:val="de-DE" w:eastAsia="ja-JP"/>
        </w:rPr>
        <w:t xml:space="preserve"> II:</w:t>
      </w:r>
      <w:r w:rsidR="00373E94" w:rsidRPr="005D3057">
        <w:rPr>
          <w:rFonts w:eastAsia="MS Mincho"/>
          <w:color w:val="000000"/>
          <w:szCs w:val="24"/>
          <w:lang w:val="de-DE" w:eastAsia="ja-JP"/>
        </w:rPr>
        <w:tab/>
      </w:r>
      <w:r w:rsidR="002417EF">
        <w:rPr>
          <w:rFonts w:eastAsia="MS Mincho"/>
          <w:color w:val="000000"/>
          <w:szCs w:val="24"/>
          <w:lang w:val="de-DE" w:eastAsia="ja-JP"/>
        </w:rPr>
        <w:t xml:space="preserve">Situation: </w:t>
      </w:r>
      <w:r w:rsidRPr="005D3057">
        <w:rPr>
          <w:rFonts w:eastAsia="MS Mincho"/>
          <w:color w:val="000000"/>
          <w:szCs w:val="24"/>
          <w:lang w:val="de-DE" w:eastAsia="ja-JP"/>
        </w:rPr>
        <w:t>Prüfung der Homogenität anhand von Abweichern aufgrund von Unterproben in einer Prüfung</w:t>
      </w:r>
      <w:r w:rsidR="002417EF">
        <w:rPr>
          <w:rFonts w:eastAsia="MS Mincho"/>
          <w:color w:val="000000"/>
          <w:szCs w:val="24"/>
          <w:lang w:val="de-DE" w:eastAsia="ja-JP"/>
        </w:rPr>
        <w:t> </w:t>
      </w:r>
      <w:r w:rsidRPr="005D3057">
        <w:rPr>
          <w:rFonts w:eastAsia="MS Mincho"/>
          <w:color w:val="000000"/>
          <w:szCs w:val="24"/>
          <w:lang w:val="de-DE" w:eastAsia="ja-JP"/>
        </w:rPr>
        <w:t>/ einem Versuch</w:t>
      </w:r>
    </w:p>
    <w:p w14:paraId="5674F4E9" w14:textId="77777777" w:rsidR="00373E94" w:rsidRPr="005D3057" w:rsidRDefault="00373E94" w:rsidP="00531846">
      <w:pPr>
        <w:tabs>
          <w:tab w:val="left" w:pos="1701"/>
        </w:tabs>
        <w:autoSpaceDE w:val="0"/>
        <w:autoSpaceDN w:val="0"/>
        <w:adjustRightInd w:val="0"/>
        <w:ind w:left="1276" w:hanging="1276"/>
        <w:jc w:val="left"/>
        <w:rPr>
          <w:lang w:val="de-DE"/>
        </w:rPr>
      </w:pPr>
      <w:bookmarkStart w:id="4" w:name="_Toc380150989"/>
    </w:p>
    <w:p w14:paraId="5FE46F00" w14:textId="77777777" w:rsidR="001E6A84" w:rsidRPr="005D3057" w:rsidRDefault="00373E94" w:rsidP="001E6A84">
      <w:pPr>
        <w:autoSpaceDE w:val="0"/>
        <w:autoSpaceDN w:val="0"/>
        <w:adjustRightInd w:val="0"/>
        <w:ind w:left="567" w:hanging="567"/>
        <w:rPr>
          <w:rFonts w:cs="Arial"/>
          <w:color w:val="000000"/>
          <w:lang w:val="de-DE"/>
        </w:rPr>
      </w:pPr>
      <w:r w:rsidRPr="005D3057">
        <w:fldChar w:fldCharType="begin"/>
      </w:r>
      <w:r w:rsidRPr="005D3057">
        <w:rPr>
          <w:lang w:val="de-DE"/>
        </w:rPr>
        <w:instrText xml:space="preserve"> AUTONUM  </w:instrText>
      </w:r>
      <w:r w:rsidRPr="005D3057">
        <w:fldChar w:fldCharType="end"/>
      </w:r>
      <w:r w:rsidRPr="005D3057">
        <w:rPr>
          <w:lang w:val="de-DE"/>
        </w:rPr>
        <w:tab/>
      </w:r>
      <w:bookmarkEnd w:id="4"/>
      <w:r w:rsidR="001E6A84" w:rsidRPr="005D3057">
        <w:rPr>
          <w:rFonts w:cs="Arial"/>
          <w:color w:val="000000"/>
          <w:lang w:val="de-DE"/>
        </w:rPr>
        <w:t>Folgende Abkürzungen werden in diesem Dokument verwendet:</w:t>
      </w:r>
    </w:p>
    <w:p w14:paraId="59834377" w14:textId="77777777" w:rsidR="001E6A84" w:rsidRPr="005D3057" w:rsidRDefault="001E6A84" w:rsidP="001E6A84">
      <w:pPr>
        <w:autoSpaceDE w:val="0"/>
        <w:autoSpaceDN w:val="0"/>
        <w:adjustRightInd w:val="0"/>
        <w:ind w:left="567" w:hanging="567"/>
        <w:rPr>
          <w:rFonts w:cs="Arial"/>
          <w:color w:val="000000"/>
          <w:lang w:val="de-DE"/>
        </w:rPr>
      </w:pPr>
    </w:p>
    <w:p w14:paraId="1BC01EB9" w14:textId="7FAFEA25" w:rsidR="001E6A84" w:rsidRPr="005D3057" w:rsidRDefault="001E6A84" w:rsidP="001E6A84">
      <w:pPr>
        <w:autoSpaceDE w:val="0"/>
        <w:autoSpaceDN w:val="0"/>
        <w:adjustRightInd w:val="0"/>
        <w:ind w:left="567"/>
        <w:rPr>
          <w:rFonts w:cs="Arial"/>
          <w:color w:val="000000"/>
          <w:lang w:val="de-DE"/>
        </w:rPr>
      </w:pPr>
      <w:r w:rsidRPr="005D3057">
        <w:rPr>
          <w:rFonts w:cs="Arial"/>
          <w:color w:val="000000"/>
          <w:lang w:val="de-DE"/>
        </w:rPr>
        <w:t xml:space="preserve">TC: </w:t>
      </w:r>
      <w:r w:rsidR="00D80102" w:rsidRPr="005D3057">
        <w:rPr>
          <w:rFonts w:cs="Arial"/>
          <w:color w:val="000000"/>
          <w:lang w:val="de-DE"/>
        </w:rPr>
        <w:tab/>
      </w:r>
      <w:r w:rsidR="00D80102" w:rsidRPr="005D3057">
        <w:rPr>
          <w:rFonts w:cs="Arial"/>
          <w:color w:val="000000"/>
          <w:lang w:val="de-DE"/>
        </w:rPr>
        <w:tab/>
      </w:r>
      <w:r w:rsidRPr="005D3057">
        <w:rPr>
          <w:rFonts w:cs="Arial"/>
          <w:color w:val="000000"/>
          <w:lang w:val="de-DE"/>
        </w:rPr>
        <w:t>Technischer Ausschuß</w:t>
      </w:r>
    </w:p>
    <w:p w14:paraId="346767AA" w14:textId="1F00A978" w:rsidR="001E6A84" w:rsidRPr="005D3057" w:rsidRDefault="001E6A84" w:rsidP="001E6A84">
      <w:pPr>
        <w:autoSpaceDE w:val="0"/>
        <w:autoSpaceDN w:val="0"/>
        <w:adjustRightInd w:val="0"/>
        <w:ind w:left="567"/>
        <w:rPr>
          <w:rFonts w:cs="Arial"/>
          <w:color w:val="000000"/>
          <w:lang w:val="de-DE"/>
        </w:rPr>
      </w:pPr>
      <w:r w:rsidRPr="005D3057">
        <w:rPr>
          <w:rFonts w:cs="Arial"/>
          <w:color w:val="000000"/>
          <w:lang w:val="de-DE"/>
        </w:rPr>
        <w:t xml:space="preserve">TC-EDC: </w:t>
      </w:r>
      <w:r w:rsidR="00D80102" w:rsidRPr="005D3057">
        <w:rPr>
          <w:rFonts w:cs="Arial"/>
          <w:color w:val="000000"/>
          <w:lang w:val="de-DE"/>
        </w:rPr>
        <w:tab/>
      </w:r>
      <w:r w:rsidRPr="005D3057">
        <w:rPr>
          <w:rFonts w:cs="Arial"/>
          <w:color w:val="000000"/>
          <w:lang w:val="de-DE"/>
        </w:rPr>
        <w:t>Erweiterter Redaktionsausschuß</w:t>
      </w:r>
    </w:p>
    <w:p w14:paraId="7E00B108" w14:textId="1F95128C" w:rsidR="001E6A84" w:rsidRPr="005D3057" w:rsidRDefault="001E6A84" w:rsidP="001E6A84">
      <w:pPr>
        <w:autoSpaceDE w:val="0"/>
        <w:autoSpaceDN w:val="0"/>
        <w:adjustRightInd w:val="0"/>
        <w:ind w:left="567"/>
        <w:rPr>
          <w:rFonts w:cs="Arial"/>
          <w:color w:val="000000"/>
          <w:lang w:val="de-DE"/>
        </w:rPr>
      </w:pPr>
      <w:r w:rsidRPr="005D3057">
        <w:rPr>
          <w:rFonts w:cs="Arial"/>
          <w:color w:val="000000"/>
          <w:lang w:val="de-DE"/>
        </w:rPr>
        <w:t xml:space="preserve">TWA: </w:t>
      </w:r>
      <w:r w:rsidR="00D80102" w:rsidRPr="005D3057">
        <w:rPr>
          <w:rFonts w:cs="Arial"/>
          <w:color w:val="000000"/>
          <w:lang w:val="de-DE"/>
        </w:rPr>
        <w:tab/>
      </w:r>
      <w:r w:rsidR="00D80102" w:rsidRPr="005D3057">
        <w:rPr>
          <w:rFonts w:cs="Arial"/>
          <w:color w:val="000000"/>
          <w:lang w:val="de-DE"/>
        </w:rPr>
        <w:tab/>
      </w:r>
      <w:r w:rsidRPr="005D3057">
        <w:rPr>
          <w:rFonts w:cs="Arial"/>
          <w:color w:val="000000"/>
          <w:lang w:val="de-DE"/>
        </w:rPr>
        <w:t>Technische Arbeitsgruppe für landwirtschaftliche Arten</w:t>
      </w:r>
    </w:p>
    <w:p w14:paraId="7B947CA9" w14:textId="663C4039" w:rsidR="001E6A84" w:rsidRPr="005D3057" w:rsidRDefault="001E6A84" w:rsidP="001E6A84">
      <w:pPr>
        <w:autoSpaceDE w:val="0"/>
        <w:autoSpaceDN w:val="0"/>
        <w:adjustRightInd w:val="0"/>
        <w:ind w:left="567"/>
        <w:rPr>
          <w:rFonts w:cs="Arial"/>
          <w:color w:val="000000"/>
          <w:lang w:val="de-DE"/>
        </w:rPr>
      </w:pPr>
      <w:r w:rsidRPr="005D3057">
        <w:rPr>
          <w:rFonts w:cs="Arial"/>
          <w:color w:val="000000"/>
          <w:lang w:val="de-DE"/>
        </w:rPr>
        <w:t xml:space="preserve">TWC: </w:t>
      </w:r>
      <w:r w:rsidR="00D80102" w:rsidRPr="005D3057">
        <w:rPr>
          <w:rFonts w:cs="Arial"/>
          <w:color w:val="000000"/>
          <w:lang w:val="de-DE"/>
        </w:rPr>
        <w:tab/>
      </w:r>
      <w:r w:rsidR="00D80102" w:rsidRPr="005D3057">
        <w:rPr>
          <w:rFonts w:cs="Arial"/>
          <w:color w:val="000000"/>
          <w:lang w:val="de-DE"/>
        </w:rPr>
        <w:tab/>
      </w:r>
      <w:r w:rsidRPr="005D3057">
        <w:rPr>
          <w:rFonts w:cs="Arial"/>
          <w:color w:val="000000"/>
          <w:lang w:val="de-DE"/>
        </w:rPr>
        <w:t>Technische Arbeitsgruppe für Automatisierung und Computerprogramme</w:t>
      </w:r>
    </w:p>
    <w:p w14:paraId="0A7F49DF" w14:textId="3E3D8B2D" w:rsidR="001E6A84" w:rsidRPr="005D3057" w:rsidRDefault="001E6A84" w:rsidP="001E6A84">
      <w:pPr>
        <w:autoSpaceDE w:val="0"/>
        <w:autoSpaceDN w:val="0"/>
        <w:adjustRightInd w:val="0"/>
        <w:ind w:left="567"/>
        <w:rPr>
          <w:rFonts w:cs="Arial"/>
          <w:color w:val="000000"/>
          <w:lang w:val="de-DE"/>
        </w:rPr>
      </w:pPr>
      <w:r w:rsidRPr="005D3057">
        <w:rPr>
          <w:rFonts w:cs="Arial"/>
          <w:color w:val="000000"/>
          <w:lang w:val="de-DE"/>
        </w:rPr>
        <w:t xml:space="preserve">TWF: </w:t>
      </w:r>
      <w:r w:rsidR="00D80102" w:rsidRPr="005D3057">
        <w:rPr>
          <w:rFonts w:cs="Arial"/>
          <w:color w:val="000000"/>
          <w:lang w:val="de-DE"/>
        </w:rPr>
        <w:tab/>
      </w:r>
      <w:r w:rsidR="00D80102" w:rsidRPr="005D3057">
        <w:rPr>
          <w:rFonts w:cs="Arial"/>
          <w:color w:val="000000"/>
          <w:lang w:val="de-DE"/>
        </w:rPr>
        <w:tab/>
      </w:r>
      <w:r w:rsidRPr="005D3057">
        <w:rPr>
          <w:rFonts w:cs="Arial"/>
          <w:color w:val="000000"/>
          <w:lang w:val="de-DE"/>
        </w:rPr>
        <w:t>Technische Arbeitsgruppe für Obstarten</w:t>
      </w:r>
    </w:p>
    <w:p w14:paraId="5041A7D5" w14:textId="6C2BE1CD" w:rsidR="001E6A84" w:rsidRPr="005D3057" w:rsidRDefault="001E6A84" w:rsidP="001E6A84">
      <w:pPr>
        <w:autoSpaceDE w:val="0"/>
        <w:autoSpaceDN w:val="0"/>
        <w:adjustRightInd w:val="0"/>
        <w:ind w:left="567"/>
        <w:rPr>
          <w:rFonts w:cs="Arial"/>
          <w:color w:val="000000"/>
          <w:lang w:val="de-DE"/>
        </w:rPr>
      </w:pPr>
      <w:r w:rsidRPr="005D3057">
        <w:rPr>
          <w:rFonts w:cs="Arial"/>
          <w:color w:val="000000"/>
          <w:lang w:val="de-DE"/>
        </w:rPr>
        <w:t xml:space="preserve">TWO: </w:t>
      </w:r>
      <w:r w:rsidR="00D80102" w:rsidRPr="005D3057">
        <w:rPr>
          <w:rFonts w:cs="Arial"/>
          <w:color w:val="000000"/>
          <w:lang w:val="de-DE"/>
        </w:rPr>
        <w:tab/>
      </w:r>
      <w:r w:rsidRPr="005D3057">
        <w:rPr>
          <w:rFonts w:cs="Arial"/>
          <w:color w:val="000000"/>
          <w:lang w:val="de-DE"/>
        </w:rPr>
        <w:t>Technische Arbeitsgruppe für Zierpflanzen und forstliche Baumarten</w:t>
      </w:r>
    </w:p>
    <w:p w14:paraId="01D07C96" w14:textId="17F25DF9" w:rsidR="001E6A84" w:rsidRPr="005D3057" w:rsidRDefault="001E6A84" w:rsidP="001E6A84">
      <w:pPr>
        <w:autoSpaceDE w:val="0"/>
        <w:autoSpaceDN w:val="0"/>
        <w:adjustRightInd w:val="0"/>
        <w:ind w:left="567"/>
        <w:rPr>
          <w:rFonts w:cs="Arial"/>
          <w:color w:val="000000"/>
          <w:lang w:val="de-DE"/>
        </w:rPr>
      </w:pPr>
      <w:r w:rsidRPr="005D3057">
        <w:rPr>
          <w:rFonts w:cs="Arial"/>
          <w:color w:val="000000"/>
          <w:lang w:val="de-DE"/>
        </w:rPr>
        <w:t>TWP:</w:t>
      </w:r>
      <w:r w:rsidR="00D80102" w:rsidRPr="005D3057">
        <w:rPr>
          <w:rFonts w:cs="Arial"/>
          <w:color w:val="000000"/>
          <w:lang w:val="de-DE"/>
        </w:rPr>
        <w:tab/>
      </w:r>
      <w:r w:rsidR="00D80102" w:rsidRPr="005D3057">
        <w:rPr>
          <w:rFonts w:cs="Arial"/>
          <w:color w:val="000000"/>
          <w:lang w:val="de-DE"/>
        </w:rPr>
        <w:tab/>
      </w:r>
      <w:r w:rsidRPr="005D3057">
        <w:rPr>
          <w:rFonts w:cs="Arial"/>
          <w:color w:val="000000"/>
          <w:lang w:val="de-DE"/>
        </w:rPr>
        <w:t>Technische Arbeitsgruppen</w:t>
      </w:r>
    </w:p>
    <w:p w14:paraId="364830AE" w14:textId="5B48EE7F" w:rsidR="001E6A84" w:rsidRPr="005D3057" w:rsidRDefault="001E6A84" w:rsidP="001E6A84">
      <w:pPr>
        <w:autoSpaceDE w:val="0"/>
        <w:autoSpaceDN w:val="0"/>
        <w:adjustRightInd w:val="0"/>
        <w:ind w:left="567"/>
        <w:rPr>
          <w:rFonts w:cs="Arial"/>
          <w:color w:val="000000"/>
          <w:lang w:val="de-DE"/>
        </w:rPr>
      </w:pPr>
      <w:r w:rsidRPr="005D3057">
        <w:rPr>
          <w:rFonts w:cs="Arial"/>
          <w:color w:val="000000"/>
          <w:lang w:val="de-DE"/>
        </w:rPr>
        <w:t xml:space="preserve">TWV: </w:t>
      </w:r>
      <w:r w:rsidR="00D80102" w:rsidRPr="005D3057">
        <w:rPr>
          <w:rFonts w:cs="Arial"/>
          <w:color w:val="000000"/>
          <w:lang w:val="de-DE"/>
        </w:rPr>
        <w:tab/>
      </w:r>
      <w:r w:rsidR="00D80102" w:rsidRPr="005D3057">
        <w:rPr>
          <w:rFonts w:cs="Arial"/>
          <w:color w:val="000000"/>
          <w:lang w:val="de-DE"/>
        </w:rPr>
        <w:tab/>
      </w:r>
      <w:r w:rsidRPr="005D3057">
        <w:rPr>
          <w:rFonts w:cs="Arial"/>
          <w:color w:val="000000"/>
          <w:lang w:val="de-DE"/>
        </w:rPr>
        <w:t>Technische Arbeitsgruppe für Gemüsearten</w:t>
      </w:r>
    </w:p>
    <w:p w14:paraId="0A8040CF" w14:textId="77777777" w:rsidR="001E6A84" w:rsidRDefault="001E6A84" w:rsidP="001E6A84">
      <w:pPr>
        <w:autoSpaceDE w:val="0"/>
        <w:autoSpaceDN w:val="0"/>
        <w:adjustRightInd w:val="0"/>
        <w:ind w:left="567" w:hanging="567"/>
        <w:rPr>
          <w:rFonts w:cs="Arial"/>
          <w:color w:val="000000"/>
          <w:lang w:val="de-DE"/>
        </w:rPr>
      </w:pPr>
    </w:p>
    <w:p w14:paraId="211A654E" w14:textId="77777777" w:rsidR="002417EF" w:rsidRPr="005D3057" w:rsidRDefault="002417EF" w:rsidP="001E6A84">
      <w:pPr>
        <w:autoSpaceDE w:val="0"/>
        <w:autoSpaceDN w:val="0"/>
        <w:adjustRightInd w:val="0"/>
        <w:ind w:left="567" w:hanging="567"/>
        <w:rPr>
          <w:rFonts w:cs="Arial"/>
          <w:color w:val="000000"/>
          <w:lang w:val="de-DE"/>
        </w:rPr>
      </w:pPr>
    </w:p>
    <w:p w14:paraId="7542F527" w14:textId="77777777" w:rsidR="00373E94" w:rsidRPr="005D3057" w:rsidRDefault="001E6A84" w:rsidP="002417EF">
      <w:pPr>
        <w:pStyle w:val="Heading1"/>
        <w:rPr>
          <w:rFonts w:eastAsia="MS Mincho"/>
          <w:lang w:val="de-DE" w:eastAsia="ja-JP"/>
        </w:rPr>
      </w:pPr>
      <w:bookmarkStart w:id="5" w:name="_Toc475460252"/>
      <w:r w:rsidRPr="005D3057">
        <w:rPr>
          <w:lang w:val="de-DE"/>
        </w:rPr>
        <w:t>HINTERGRUND</w:t>
      </w:r>
      <w:bookmarkEnd w:id="5"/>
    </w:p>
    <w:p w14:paraId="24C3BC9A" w14:textId="77777777" w:rsidR="00373E94" w:rsidRPr="005D3057" w:rsidRDefault="00373E94" w:rsidP="00373E94">
      <w:pPr>
        <w:rPr>
          <w:rFonts w:eastAsia="MS Mincho"/>
          <w:lang w:val="de-DE" w:eastAsia="ja-JP"/>
        </w:rPr>
      </w:pPr>
    </w:p>
    <w:p w14:paraId="042714EC" w14:textId="0C9EF548" w:rsidR="00373E94" w:rsidRPr="005D3057" w:rsidRDefault="00373E94" w:rsidP="00373E94">
      <w:pPr>
        <w:rPr>
          <w:lang w:val="de-DE"/>
        </w:rPr>
      </w:pPr>
      <w:r w:rsidRPr="005D3057">
        <w:fldChar w:fldCharType="begin"/>
      </w:r>
      <w:r w:rsidRPr="005D3057">
        <w:rPr>
          <w:lang w:val="de-DE"/>
        </w:rPr>
        <w:instrText xml:space="preserve"> AUTONUM  </w:instrText>
      </w:r>
      <w:r w:rsidRPr="005D3057">
        <w:fldChar w:fldCharType="end"/>
      </w:r>
      <w:r w:rsidRPr="005D3057">
        <w:rPr>
          <w:lang w:val="de-DE"/>
        </w:rPr>
        <w:tab/>
      </w:r>
      <w:r w:rsidR="001E6A84" w:rsidRPr="005D3057">
        <w:rPr>
          <w:szCs w:val="24"/>
          <w:lang w:val="de-DE"/>
        </w:rPr>
        <w:t>Der Hintergrund zu dieser Angelegenheit ist in Dokument</w:t>
      </w:r>
      <w:r w:rsidRPr="005D3057">
        <w:rPr>
          <w:szCs w:val="24"/>
          <w:lang w:val="de-DE"/>
        </w:rPr>
        <w:t xml:space="preserve"> </w:t>
      </w:r>
      <w:r w:rsidRPr="005D3057">
        <w:rPr>
          <w:lang w:val="de-DE"/>
        </w:rPr>
        <w:t xml:space="preserve">TC/52/20 </w:t>
      </w:r>
      <w:r w:rsidR="001E6A84" w:rsidRPr="005D3057">
        <w:rPr>
          <w:lang w:val="de-DE"/>
        </w:rPr>
        <w:t>„Prüfung der Homogenität anhand von Abweichern aufgrund von mehr als einer Probe oder Unterproben“</w:t>
      </w:r>
      <w:r w:rsidR="00FD594C" w:rsidRPr="005D3057">
        <w:rPr>
          <w:lang w:val="de-DE"/>
        </w:rPr>
        <w:t xml:space="preserve"> und </w:t>
      </w:r>
      <w:r w:rsidR="002417EF" w:rsidRPr="005D3057">
        <w:rPr>
          <w:szCs w:val="24"/>
          <w:lang w:val="de-DE"/>
        </w:rPr>
        <w:t xml:space="preserve">Dokument </w:t>
      </w:r>
      <w:r w:rsidRPr="005D3057">
        <w:rPr>
          <w:lang w:val="de-DE"/>
        </w:rPr>
        <w:t xml:space="preserve">TC/52/20 Add. </w:t>
      </w:r>
      <w:r w:rsidR="001E6A84" w:rsidRPr="005D3057">
        <w:rPr>
          <w:lang w:val="de-DE"/>
        </w:rPr>
        <w:t>„</w:t>
      </w:r>
      <w:r w:rsidR="00A55926" w:rsidRPr="00A55926">
        <w:rPr>
          <w:i/>
        </w:rPr>
        <w:t>Addendum to document TC/52/20</w:t>
      </w:r>
      <w:r w:rsidR="00A55926">
        <w:t>”</w:t>
      </w:r>
      <w:bookmarkStart w:id="6" w:name="_GoBack"/>
      <w:bookmarkEnd w:id="6"/>
      <w:r w:rsidR="00A55926">
        <w:t xml:space="preserve"> </w:t>
      </w:r>
      <w:r w:rsidR="00EE28B0" w:rsidRPr="005D3057">
        <w:rPr>
          <w:lang w:val="de-DE"/>
        </w:rPr>
        <w:t>dargelegt</w:t>
      </w:r>
      <w:r w:rsidRPr="005D3057">
        <w:rPr>
          <w:lang w:val="de-DE"/>
        </w:rPr>
        <w:t>.</w:t>
      </w:r>
    </w:p>
    <w:p w14:paraId="6A5A6551" w14:textId="77777777" w:rsidR="00BF40D9" w:rsidRPr="005D3057" w:rsidRDefault="00BF40D9" w:rsidP="00373E94">
      <w:pPr>
        <w:rPr>
          <w:lang w:val="de-DE"/>
        </w:rPr>
      </w:pPr>
      <w:bookmarkStart w:id="7" w:name="_Toc380151005"/>
    </w:p>
    <w:p w14:paraId="28EDCE7C" w14:textId="77777777" w:rsidR="00760C8B" w:rsidRPr="005D3057" w:rsidRDefault="00760C8B" w:rsidP="00373E94">
      <w:pPr>
        <w:rPr>
          <w:lang w:val="de-DE"/>
        </w:rPr>
      </w:pPr>
    </w:p>
    <w:p w14:paraId="461740C4" w14:textId="0E6F3A67" w:rsidR="00760C8B" w:rsidRPr="005D3057" w:rsidRDefault="00EE28B0" w:rsidP="00760C8B">
      <w:pPr>
        <w:pStyle w:val="Heading1"/>
        <w:rPr>
          <w:lang w:val="de-DE"/>
        </w:rPr>
      </w:pPr>
      <w:bookmarkStart w:id="8" w:name="_Toc449715857"/>
      <w:bookmarkStart w:id="9" w:name="_Toc475460253"/>
      <w:r w:rsidRPr="005D3057">
        <w:rPr>
          <w:lang w:val="de-DE"/>
        </w:rPr>
        <w:t>ENTWICKLUNGEN</w:t>
      </w:r>
      <w:r w:rsidR="00B27EDA" w:rsidRPr="005D3057">
        <w:rPr>
          <w:lang w:val="de-DE"/>
        </w:rPr>
        <w:t xml:space="preserve"> IM Jahr</w:t>
      </w:r>
      <w:r w:rsidR="00760C8B" w:rsidRPr="005D3057">
        <w:rPr>
          <w:lang w:val="de-DE"/>
        </w:rPr>
        <w:t xml:space="preserve"> 2016</w:t>
      </w:r>
      <w:bookmarkEnd w:id="8"/>
      <w:bookmarkEnd w:id="9"/>
    </w:p>
    <w:p w14:paraId="051C7141" w14:textId="77777777" w:rsidR="00760C8B" w:rsidRPr="005D3057" w:rsidRDefault="00760C8B" w:rsidP="00760C8B">
      <w:pPr>
        <w:rPr>
          <w:lang w:val="de-DE"/>
        </w:rPr>
      </w:pPr>
    </w:p>
    <w:p w14:paraId="2F317A1F" w14:textId="77777777" w:rsidR="00760C8B" w:rsidRPr="005D3057" w:rsidRDefault="001E6A84" w:rsidP="00760C8B">
      <w:pPr>
        <w:pStyle w:val="Heading2"/>
        <w:rPr>
          <w:lang w:val="de-DE"/>
        </w:rPr>
      </w:pPr>
      <w:bookmarkStart w:id="10" w:name="_Toc475460254"/>
      <w:r w:rsidRPr="005D3057">
        <w:rPr>
          <w:lang w:val="de-DE"/>
        </w:rPr>
        <w:t>Technischer Ausschuß</w:t>
      </w:r>
      <w:bookmarkEnd w:id="10"/>
    </w:p>
    <w:p w14:paraId="1826B0E2" w14:textId="77777777" w:rsidR="00760C8B" w:rsidRPr="005D3057" w:rsidRDefault="00760C8B" w:rsidP="00760C8B">
      <w:pPr>
        <w:rPr>
          <w:lang w:val="de-DE"/>
        </w:rPr>
      </w:pPr>
    </w:p>
    <w:p w14:paraId="1F5C9BBB" w14:textId="7A539FD7" w:rsidR="00760C8B" w:rsidRPr="005D3057" w:rsidRDefault="00760C8B" w:rsidP="00760C8B">
      <w:pPr>
        <w:keepNext/>
        <w:rPr>
          <w:lang w:val="de-DE"/>
        </w:rPr>
      </w:pPr>
      <w:r w:rsidRPr="005D3057">
        <w:fldChar w:fldCharType="begin"/>
      </w:r>
      <w:r w:rsidRPr="005D3057">
        <w:rPr>
          <w:lang w:val="de-DE"/>
        </w:rPr>
        <w:instrText xml:space="preserve"> AUTONUM  </w:instrText>
      </w:r>
      <w:r w:rsidRPr="005D3057">
        <w:fldChar w:fldCharType="end"/>
      </w:r>
      <w:r w:rsidRPr="005D3057">
        <w:rPr>
          <w:lang w:val="de-DE"/>
        </w:rPr>
        <w:tab/>
      </w:r>
      <w:r w:rsidR="00B27EDA" w:rsidRPr="005D3057">
        <w:rPr>
          <w:lang w:val="de-DE"/>
        </w:rPr>
        <w:t>D</w:t>
      </w:r>
      <w:r w:rsidR="00856BDE" w:rsidRPr="005D3057">
        <w:rPr>
          <w:lang w:val="de-DE"/>
        </w:rPr>
        <w:t>e</w:t>
      </w:r>
      <w:r w:rsidR="00B27EDA" w:rsidRPr="005D3057">
        <w:rPr>
          <w:lang w:val="de-DE"/>
        </w:rPr>
        <w:t>r</w:t>
      </w:r>
      <w:r w:rsidR="00856BDE" w:rsidRPr="005D3057">
        <w:rPr>
          <w:lang w:val="de-DE"/>
        </w:rPr>
        <w:t xml:space="preserve"> </w:t>
      </w:r>
      <w:r w:rsidRPr="005D3057">
        <w:rPr>
          <w:lang w:val="de-DE"/>
        </w:rPr>
        <w:t>TC</w:t>
      </w:r>
      <w:r w:rsidR="004C0CE7" w:rsidRPr="005D3057">
        <w:rPr>
          <w:lang w:val="de-DE"/>
        </w:rPr>
        <w:t xml:space="preserve"> prüfte</w:t>
      </w:r>
      <w:r w:rsidRPr="005D3057">
        <w:rPr>
          <w:lang w:val="de-DE"/>
        </w:rPr>
        <w:t xml:space="preserve"> </w:t>
      </w:r>
      <w:r w:rsidR="004C0CE7" w:rsidRPr="005D3057">
        <w:rPr>
          <w:lang w:val="de-DE"/>
        </w:rPr>
        <w:t>auf seiner zweiundfünfzigsten</w:t>
      </w:r>
      <w:r w:rsidRPr="005D3057">
        <w:rPr>
          <w:lang w:val="de-DE"/>
        </w:rPr>
        <w:t xml:space="preserve"> </w:t>
      </w:r>
      <w:r w:rsidR="008F3E77" w:rsidRPr="005D3057">
        <w:rPr>
          <w:lang w:val="de-DE"/>
        </w:rPr>
        <w:t>Tagung</w:t>
      </w:r>
      <w:r w:rsidRPr="005D3057">
        <w:rPr>
          <w:lang w:val="de-DE"/>
        </w:rPr>
        <w:t xml:space="preserve"> </w:t>
      </w:r>
      <w:r w:rsidR="004C0CE7" w:rsidRPr="005D3057">
        <w:rPr>
          <w:lang w:val="de-DE"/>
        </w:rPr>
        <w:t>vom</w:t>
      </w:r>
      <w:r w:rsidRPr="005D3057">
        <w:rPr>
          <w:lang w:val="de-DE"/>
        </w:rPr>
        <w:t xml:space="preserve"> 14</w:t>
      </w:r>
      <w:r w:rsidR="004C0CE7" w:rsidRPr="005D3057">
        <w:rPr>
          <w:lang w:val="de-DE"/>
        </w:rPr>
        <w:t>.</w:t>
      </w:r>
      <w:r w:rsidRPr="005D3057">
        <w:rPr>
          <w:lang w:val="de-DE"/>
        </w:rPr>
        <w:t xml:space="preserve"> </w:t>
      </w:r>
      <w:r w:rsidR="004C0CE7" w:rsidRPr="005D3057">
        <w:rPr>
          <w:lang w:val="de-DE"/>
        </w:rPr>
        <w:t>bis zum</w:t>
      </w:r>
      <w:r w:rsidRPr="005D3057">
        <w:rPr>
          <w:lang w:val="de-DE"/>
        </w:rPr>
        <w:t xml:space="preserve"> 16</w:t>
      </w:r>
      <w:r w:rsidR="004C0CE7" w:rsidRPr="005D3057">
        <w:rPr>
          <w:lang w:val="de-DE"/>
        </w:rPr>
        <w:t>. März</w:t>
      </w:r>
      <w:r w:rsidR="00B37006" w:rsidRPr="005D3057">
        <w:rPr>
          <w:lang w:val="de-DE"/>
        </w:rPr>
        <w:t xml:space="preserve"> 2016</w:t>
      </w:r>
      <w:r w:rsidRPr="005D3057">
        <w:rPr>
          <w:lang w:val="de-DE"/>
        </w:rPr>
        <w:t xml:space="preserve"> </w:t>
      </w:r>
      <w:r w:rsidR="00B37006" w:rsidRPr="005D3057">
        <w:rPr>
          <w:lang w:val="de-DE"/>
        </w:rPr>
        <w:t>in Genf</w:t>
      </w:r>
      <w:r w:rsidR="004C0CE7" w:rsidRPr="005D3057">
        <w:rPr>
          <w:lang w:val="de-DE"/>
        </w:rPr>
        <w:t xml:space="preserve"> </w:t>
      </w:r>
      <w:r w:rsidR="00695BA1" w:rsidRPr="005D3057">
        <w:rPr>
          <w:lang w:val="de-DE"/>
        </w:rPr>
        <w:t xml:space="preserve">das Dokument TC/52/20 und hörte ein Referat eines Sachverständigen aus dem Vereinigten Königreich über die Prüfung der Homogenität anhand von Abweichern </w:t>
      </w:r>
      <w:r w:rsidR="00B37006" w:rsidRPr="005D3057">
        <w:rPr>
          <w:lang w:val="de-DE"/>
        </w:rPr>
        <w:t xml:space="preserve">aufgrund </w:t>
      </w:r>
      <w:r w:rsidR="00695BA1" w:rsidRPr="005D3057">
        <w:rPr>
          <w:lang w:val="de-DE"/>
        </w:rPr>
        <w:t>von mehr als einer Wachstumsperiode</w:t>
      </w:r>
      <w:r w:rsidRPr="005D3057">
        <w:rPr>
          <w:rFonts w:cs="Arial"/>
          <w:sz w:val="19"/>
          <w:szCs w:val="19"/>
          <w:lang w:val="de-DE"/>
        </w:rPr>
        <w:t xml:space="preserve">, </w:t>
      </w:r>
      <w:r w:rsidR="00EE28B0" w:rsidRPr="005D3057">
        <w:rPr>
          <w:rFonts w:cs="Arial"/>
          <w:sz w:val="19"/>
          <w:szCs w:val="19"/>
          <w:lang w:val="de-DE"/>
        </w:rPr>
        <w:t xml:space="preserve">von dem eine Abschrift </w:t>
      </w:r>
      <w:r w:rsidRPr="005D3057">
        <w:rPr>
          <w:rFonts w:cs="Arial"/>
          <w:sz w:val="19"/>
          <w:szCs w:val="19"/>
          <w:lang w:val="de-DE"/>
        </w:rPr>
        <w:t xml:space="preserve">in </w:t>
      </w:r>
      <w:r w:rsidR="001E6A84" w:rsidRPr="005D3057">
        <w:rPr>
          <w:rFonts w:cs="Arial"/>
          <w:sz w:val="19"/>
          <w:szCs w:val="19"/>
          <w:lang w:val="de-DE"/>
        </w:rPr>
        <w:t>Anlage</w:t>
      </w:r>
      <w:r w:rsidR="00C004DF" w:rsidRPr="005D3057">
        <w:rPr>
          <w:rFonts w:cs="Arial"/>
          <w:sz w:val="19"/>
          <w:szCs w:val="19"/>
          <w:lang w:val="de-DE"/>
        </w:rPr>
        <w:t xml:space="preserve"> I</w:t>
      </w:r>
      <w:r w:rsidRPr="005D3057">
        <w:rPr>
          <w:rFonts w:cs="Arial"/>
          <w:sz w:val="19"/>
          <w:szCs w:val="19"/>
          <w:lang w:val="de-DE"/>
        </w:rPr>
        <w:t xml:space="preserve"> </w:t>
      </w:r>
      <w:r w:rsidR="00EE28B0" w:rsidRPr="005D3057">
        <w:rPr>
          <w:rFonts w:cs="Arial"/>
          <w:sz w:val="19"/>
          <w:szCs w:val="19"/>
          <w:lang w:val="de-DE"/>
        </w:rPr>
        <w:t xml:space="preserve">dieses Dokuments </w:t>
      </w:r>
      <w:r w:rsidR="00EE28B0" w:rsidRPr="005D3057">
        <w:rPr>
          <w:lang w:val="de-DE"/>
        </w:rPr>
        <w:t>(vergleiche</w:t>
      </w:r>
      <w:r w:rsidRPr="005D3057">
        <w:rPr>
          <w:lang w:val="de-DE"/>
        </w:rPr>
        <w:t xml:space="preserve"> </w:t>
      </w:r>
      <w:r w:rsidR="006E4EF6" w:rsidRPr="005D3057">
        <w:rPr>
          <w:lang w:val="de-DE"/>
        </w:rPr>
        <w:t>Dokument</w:t>
      </w:r>
      <w:r w:rsidRPr="005D3057">
        <w:rPr>
          <w:lang w:val="de-DE"/>
        </w:rPr>
        <w:t xml:space="preserve"> TC/52/29 Rev. </w:t>
      </w:r>
      <w:r w:rsidR="001E6A84" w:rsidRPr="005D3057">
        <w:rPr>
          <w:lang w:val="de-DE"/>
        </w:rPr>
        <w:t>„</w:t>
      </w:r>
      <w:r w:rsidR="00A55926" w:rsidRPr="00A55926">
        <w:rPr>
          <w:lang w:val="de-DE"/>
        </w:rPr>
        <w:t>Revidierter</w:t>
      </w:r>
      <w:r w:rsidR="00A55926" w:rsidRPr="005D3057">
        <w:rPr>
          <w:lang w:val="de-DE"/>
        </w:rPr>
        <w:t xml:space="preserve"> </w:t>
      </w:r>
      <w:r w:rsidR="00E83FAC" w:rsidRPr="005D3057">
        <w:rPr>
          <w:lang w:val="de-DE"/>
        </w:rPr>
        <w:t>Bericht</w:t>
      </w:r>
      <w:r w:rsidR="001E6A84" w:rsidRPr="005D3057">
        <w:rPr>
          <w:lang w:val="de-DE"/>
        </w:rPr>
        <w:t>“</w:t>
      </w:r>
      <w:r w:rsidRPr="005D3057">
        <w:rPr>
          <w:lang w:val="de-DE"/>
        </w:rPr>
        <w:t xml:space="preserve">, </w:t>
      </w:r>
      <w:r w:rsidR="00EE28B0" w:rsidRPr="005D3057">
        <w:rPr>
          <w:lang w:val="de-DE"/>
        </w:rPr>
        <w:t>Absätze</w:t>
      </w:r>
      <w:r w:rsidRPr="005D3057">
        <w:rPr>
          <w:lang w:val="de-DE"/>
        </w:rPr>
        <w:t xml:space="preserve"> 118 </w:t>
      </w:r>
      <w:r w:rsidR="004C0CE7" w:rsidRPr="005D3057">
        <w:rPr>
          <w:lang w:val="de-DE"/>
        </w:rPr>
        <w:t>bis</w:t>
      </w:r>
      <w:r w:rsidRPr="005D3057">
        <w:rPr>
          <w:lang w:val="de-DE"/>
        </w:rPr>
        <w:t xml:space="preserve"> 121)</w:t>
      </w:r>
      <w:r w:rsidR="004C0CE7" w:rsidRPr="005D3057">
        <w:rPr>
          <w:rFonts w:cs="Arial"/>
          <w:sz w:val="19"/>
          <w:szCs w:val="19"/>
          <w:lang w:val="de-DE"/>
        </w:rPr>
        <w:t xml:space="preserve"> wiedergegeben ist</w:t>
      </w:r>
      <w:r w:rsidRPr="005D3057">
        <w:rPr>
          <w:lang w:val="de-DE"/>
        </w:rPr>
        <w:t>.</w:t>
      </w:r>
    </w:p>
    <w:p w14:paraId="3ECF0F4E" w14:textId="77777777" w:rsidR="00760C8B" w:rsidRPr="005D3057" w:rsidRDefault="00760C8B" w:rsidP="00760C8B">
      <w:pPr>
        <w:rPr>
          <w:lang w:val="de-DE"/>
        </w:rPr>
      </w:pPr>
    </w:p>
    <w:p w14:paraId="288AE9EC" w14:textId="4BD6AF92" w:rsidR="00760C8B" w:rsidRPr="005D3057" w:rsidRDefault="00760C8B" w:rsidP="00760C8B">
      <w:pPr>
        <w:rPr>
          <w:lang w:val="de-DE"/>
        </w:rPr>
      </w:pPr>
      <w:r w:rsidRPr="005D3057">
        <w:fldChar w:fldCharType="begin"/>
      </w:r>
      <w:r w:rsidRPr="005D3057">
        <w:rPr>
          <w:lang w:val="de-DE"/>
        </w:rPr>
        <w:instrText xml:space="preserve"> AUTONUM  </w:instrText>
      </w:r>
      <w:r w:rsidRPr="005D3057">
        <w:fldChar w:fldCharType="end"/>
      </w:r>
      <w:r w:rsidRPr="005D3057">
        <w:rPr>
          <w:lang w:val="de-DE"/>
        </w:rPr>
        <w:tab/>
      </w:r>
      <w:r w:rsidR="00E83FAC" w:rsidRPr="005D3057">
        <w:rPr>
          <w:lang w:val="de-DE"/>
        </w:rPr>
        <w:t>D</w:t>
      </w:r>
      <w:r w:rsidR="00856BDE" w:rsidRPr="005D3057">
        <w:rPr>
          <w:lang w:val="de-DE"/>
        </w:rPr>
        <w:t>e</w:t>
      </w:r>
      <w:r w:rsidR="00E83FAC" w:rsidRPr="005D3057">
        <w:rPr>
          <w:lang w:val="de-DE"/>
        </w:rPr>
        <w:t>r</w:t>
      </w:r>
      <w:r w:rsidR="00856BDE" w:rsidRPr="005D3057">
        <w:rPr>
          <w:lang w:val="de-DE"/>
        </w:rPr>
        <w:t xml:space="preserve"> </w:t>
      </w:r>
      <w:r w:rsidRPr="005D3057">
        <w:rPr>
          <w:lang w:val="de-DE"/>
        </w:rPr>
        <w:t xml:space="preserve">TC </w:t>
      </w:r>
      <w:r w:rsidR="00DE21F2" w:rsidRPr="005D3057">
        <w:rPr>
          <w:lang w:val="de-DE"/>
        </w:rPr>
        <w:t xml:space="preserve">vereinbarte, daß der neue Vorschlag für „Ansatz 3: Kombination der Ergebnisse aus zwei Wachstumsperioden“ für die Prüfung der Homogenität anhand von Abweichern, wie in Anlage I </w:t>
      </w:r>
      <w:r w:rsidR="00860B42" w:rsidRPr="005D3057">
        <w:rPr>
          <w:lang w:val="de-DE"/>
        </w:rPr>
        <w:t>des</w:t>
      </w:r>
      <w:r w:rsidR="00DE21F2" w:rsidRPr="005D3057">
        <w:rPr>
          <w:lang w:val="de-DE"/>
        </w:rPr>
        <w:t xml:space="preserve"> Dokument</w:t>
      </w:r>
      <w:r w:rsidR="002C3459" w:rsidRPr="005D3057">
        <w:rPr>
          <w:lang w:val="de-DE"/>
        </w:rPr>
        <w:t>s</w:t>
      </w:r>
      <w:r w:rsidR="00DE21F2" w:rsidRPr="005D3057">
        <w:rPr>
          <w:lang w:val="de-DE"/>
        </w:rPr>
        <w:t xml:space="preserve"> TC/52/20 dargelegt, von den TWP auf ihren Tagungen im Jahre 2016 geprüft werden solle</w:t>
      </w:r>
      <w:r w:rsidRPr="005D3057">
        <w:rPr>
          <w:lang w:val="de-DE"/>
        </w:rPr>
        <w:t>.</w:t>
      </w:r>
    </w:p>
    <w:p w14:paraId="743CBA41" w14:textId="77777777" w:rsidR="00760C8B" w:rsidRPr="005D3057" w:rsidRDefault="00760C8B" w:rsidP="00760C8B">
      <w:pPr>
        <w:rPr>
          <w:lang w:val="de-DE"/>
        </w:rPr>
      </w:pPr>
    </w:p>
    <w:p w14:paraId="58C2404E" w14:textId="5D349011" w:rsidR="00760C8B" w:rsidRPr="005D3057" w:rsidRDefault="00760C8B" w:rsidP="00760C8B">
      <w:pPr>
        <w:rPr>
          <w:lang w:val="de-DE"/>
        </w:rPr>
      </w:pPr>
      <w:r w:rsidRPr="005D3057">
        <w:fldChar w:fldCharType="begin"/>
      </w:r>
      <w:r w:rsidRPr="005D3057">
        <w:rPr>
          <w:lang w:val="de-DE"/>
        </w:rPr>
        <w:instrText xml:space="preserve"> AUTONUM  </w:instrText>
      </w:r>
      <w:r w:rsidRPr="005D3057">
        <w:fldChar w:fldCharType="end"/>
      </w:r>
      <w:r w:rsidRPr="005D3057">
        <w:rPr>
          <w:lang w:val="de-DE"/>
        </w:rPr>
        <w:tab/>
      </w:r>
      <w:r w:rsidR="001E02B9" w:rsidRPr="005D3057">
        <w:rPr>
          <w:lang w:val="de-DE"/>
        </w:rPr>
        <w:t>D</w:t>
      </w:r>
      <w:r w:rsidR="00856BDE" w:rsidRPr="005D3057">
        <w:rPr>
          <w:lang w:val="de-DE"/>
        </w:rPr>
        <w:t>e</w:t>
      </w:r>
      <w:r w:rsidR="001E02B9" w:rsidRPr="005D3057">
        <w:rPr>
          <w:lang w:val="de-DE"/>
        </w:rPr>
        <w:t>r</w:t>
      </w:r>
      <w:r w:rsidR="00856BDE" w:rsidRPr="005D3057">
        <w:rPr>
          <w:lang w:val="de-DE"/>
        </w:rPr>
        <w:t xml:space="preserve"> </w:t>
      </w:r>
      <w:r w:rsidRPr="005D3057">
        <w:rPr>
          <w:lang w:val="de-DE"/>
        </w:rPr>
        <w:t xml:space="preserve">TC </w:t>
      </w:r>
      <w:r w:rsidR="00DE21F2" w:rsidRPr="005D3057">
        <w:rPr>
          <w:lang w:val="de-DE"/>
        </w:rPr>
        <w:t>nahm zur Kenntnis, daß die TWA vereinbart habe, um eine Videoverbindung mit den Sachverständigen der TWC zu ersuchen, um den neuen Vorschlag für „Ansatz 3: Kombination der Ergebnisse aus zwei Wachstumsperioden“ auf ihrer fünfundvierzigsten Tagung im Jahre 2016 zu erörtern</w:t>
      </w:r>
      <w:r w:rsidR="00EB28CD">
        <w:rPr>
          <w:lang w:val="de-DE"/>
        </w:rPr>
        <w:t>,</w:t>
      </w:r>
      <w:r w:rsidR="00DE21F2" w:rsidRPr="005D3057">
        <w:rPr>
          <w:lang w:val="de-DE"/>
        </w:rPr>
        <w:t xml:space="preserve"> und vereinbarte, daß die Videoverbindung allen interessierten Sachverständigen offenstehen soll</w:t>
      </w:r>
      <w:r w:rsidR="00EB28CD">
        <w:rPr>
          <w:lang w:val="de-DE"/>
        </w:rPr>
        <w:t>e</w:t>
      </w:r>
      <w:r w:rsidRPr="005D3057">
        <w:rPr>
          <w:lang w:val="de-DE"/>
        </w:rPr>
        <w:t>.</w:t>
      </w:r>
    </w:p>
    <w:p w14:paraId="2F29D15F" w14:textId="77777777" w:rsidR="00760C8B" w:rsidRPr="005D3057" w:rsidRDefault="00760C8B" w:rsidP="00760C8B">
      <w:pPr>
        <w:rPr>
          <w:lang w:val="de-DE"/>
        </w:rPr>
      </w:pPr>
    </w:p>
    <w:p w14:paraId="7251E59A" w14:textId="2DDEA4AB" w:rsidR="00760C8B" w:rsidRPr="005D3057" w:rsidRDefault="00760C8B" w:rsidP="00760C8B">
      <w:pPr>
        <w:rPr>
          <w:lang w:val="de-DE"/>
        </w:rPr>
      </w:pPr>
      <w:r w:rsidRPr="005D3057">
        <w:fldChar w:fldCharType="begin"/>
      </w:r>
      <w:r w:rsidRPr="005D3057">
        <w:rPr>
          <w:lang w:val="de-DE"/>
        </w:rPr>
        <w:instrText xml:space="preserve"> AUTONUM  </w:instrText>
      </w:r>
      <w:r w:rsidRPr="005D3057">
        <w:fldChar w:fldCharType="end"/>
      </w:r>
      <w:r w:rsidRPr="005D3057">
        <w:rPr>
          <w:lang w:val="de-DE"/>
        </w:rPr>
        <w:tab/>
      </w:r>
      <w:r w:rsidR="001E02B9" w:rsidRPr="005D3057">
        <w:rPr>
          <w:lang w:val="de-DE"/>
        </w:rPr>
        <w:t>D</w:t>
      </w:r>
      <w:r w:rsidR="00856BDE" w:rsidRPr="005D3057">
        <w:rPr>
          <w:lang w:val="de-DE"/>
        </w:rPr>
        <w:t>e</w:t>
      </w:r>
      <w:r w:rsidR="001E02B9" w:rsidRPr="005D3057">
        <w:rPr>
          <w:lang w:val="de-DE"/>
        </w:rPr>
        <w:t>r</w:t>
      </w:r>
      <w:r w:rsidR="00856BDE" w:rsidRPr="005D3057">
        <w:rPr>
          <w:lang w:val="de-DE"/>
        </w:rPr>
        <w:t xml:space="preserve"> </w:t>
      </w:r>
      <w:r w:rsidRPr="005D3057">
        <w:rPr>
          <w:lang w:val="de-DE"/>
        </w:rPr>
        <w:t xml:space="preserve">TC </w:t>
      </w:r>
      <w:r w:rsidR="00DE21F2" w:rsidRPr="005D3057">
        <w:rPr>
          <w:lang w:val="de-DE"/>
        </w:rPr>
        <w:t xml:space="preserve">vereinbarte, daß die Anleitung in </w:t>
      </w:r>
      <w:r w:rsidR="00E35EB1" w:rsidRPr="005D3057">
        <w:rPr>
          <w:lang w:val="de-DE"/>
        </w:rPr>
        <w:t>Anlage I</w:t>
      </w:r>
      <w:r w:rsidR="00DE21F2" w:rsidRPr="005D3057">
        <w:rPr>
          <w:lang w:val="de-DE"/>
        </w:rPr>
        <w:t xml:space="preserve"> </w:t>
      </w:r>
      <w:r w:rsidR="00E35EB1" w:rsidRPr="005D3057">
        <w:rPr>
          <w:lang w:val="de-DE"/>
        </w:rPr>
        <w:t xml:space="preserve">dieses </w:t>
      </w:r>
      <w:r w:rsidR="00D80102" w:rsidRPr="005D3057">
        <w:rPr>
          <w:lang w:val="de-DE"/>
        </w:rPr>
        <w:t>D</w:t>
      </w:r>
      <w:r w:rsidR="00E35EB1" w:rsidRPr="005D3057">
        <w:rPr>
          <w:lang w:val="de-DE"/>
        </w:rPr>
        <w:t xml:space="preserve">okuments </w:t>
      </w:r>
      <w:r w:rsidR="00DE21F2" w:rsidRPr="005D3057">
        <w:rPr>
          <w:lang w:val="de-DE"/>
        </w:rPr>
        <w:t>nicht für die Verwendung zur Prüfung der Homogenität anhand von Abweichern an den gleichen Pflanzen in zwei Wachstumsperioden vorgesehen ist, da die gleichen in der ersten Wachstumsperiode erfaßten Abweicher in der zweiten Wachstumsperiode immer noch Abweicher wären</w:t>
      </w:r>
      <w:r w:rsidRPr="005D3057">
        <w:rPr>
          <w:lang w:val="de-DE"/>
        </w:rPr>
        <w:t>.</w:t>
      </w:r>
    </w:p>
    <w:p w14:paraId="4AE238B6" w14:textId="77777777" w:rsidR="00760C8B" w:rsidRPr="005D3057" w:rsidRDefault="00760C8B" w:rsidP="00373E94">
      <w:pPr>
        <w:rPr>
          <w:lang w:val="de-DE"/>
        </w:rPr>
      </w:pPr>
    </w:p>
    <w:p w14:paraId="6249410D" w14:textId="613D2BA1" w:rsidR="00B27EDA" w:rsidRPr="005D3057" w:rsidRDefault="00EE28B0" w:rsidP="00B27EDA">
      <w:pPr>
        <w:pStyle w:val="Heading2"/>
        <w:rPr>
          <w:snapToGrid w:val="0"/>
          <w:lang w:val="de-DE"/>
        </w:rPr>
      </w:pPr>
      <w:bookmarkStart w:id="11" w:name="_Toc475460255"/>
      <w:r w:rsidRPr="005D3057">
        <w:rPr>
          <w:snapToGrid w:val="0"/>
          <w:lang w:val="de-DE"/>
        </w:rPr>
        <w:t>Technische Arbeitsgruppen</w:t>
      </w:r>
      <w:bookmarkEnd w:id="11"/>
    </w:p>
    <w:p w14:paraId="0B29888D" w14:textId="77777777" w:rsidR="00B27EDA" w:rsidRPr="005D3057" w:rsidRDefault="00B27EDA" w:rsidP="00B27EDA">
      <w:pPr>
        <w:autoSpaceDE w:val="0"/>
        <w:autoSpaceDN w:val="0"/>
        <w:adjustRightInd w:val="0"/>
        <w:ind w:left="567"/>
        <w:rPr>
          <w:lang w:val="de-DE"/>
        </w:rPr>
      </w:pPr>
    </w:p>
    <w:p w14:paraId="1BFA07C6" w14:textId="3CF07984" w:rsidR="00B27EDA" w:rsidRPr="005D3057" w:rsidRDefault="00B27EDA" w:rsidP="00283128">
      <w:pPr>
        <w:pStyle w:val="Heading3"/>
        <w:rPr>
          <w:lang w:val="de-DE"/>
        </w:rPr>
      </w:pPr>
      <w:bookmarkStart w:id="12" w:name="_Toc475460256"/>
      <w:r w:rsidRPr="005D3057">
        <w:rPr>
          <w:lang w:val="de-DE"/>
        </w:rPr>
        <w:t>Technische Arbeitsgruppe für Automatisierung und Computerprogramme</w:t>
      </w:r>
      <w:bookmarkEnd w:id="12"/>
    </w:p>
    <w:p w14:paraId="4BA1B5AC" w14:textId="77777777" w:rsidR="00B21F4F" w:rsidRPr="005D3057" w:rsidRDefault="00B21F4F" w:rsidP="00B21F4F">
      <w:pPr>
        <w:rPr>
          <w:rFonts w:eastAsia="PMingLiU"/>
          <w:lang w:val="de-DE"/>
        </w:rPr>
      </w:pPr>
    </w:p>
    <w:p w14:paraId="15C36D17" w14:textId="77777777" w:rsidR="00B21F4F" w:rsidRPr="005D3057" w:rsidRDefault="00B21F4F" w:rsidP="00B21F4F">
      <w:pPr>
        <w:rPr>
          <w:snapToGrid w:val="0"/>
          <w:lang w:val="de-DE"/>
        </w:rPr>
      </w:pPr>
      <w:r w:rsidRPr="005D3057">
        <w:rPr>
          <w:snapToGrid w:val="0"/>
        </w:rPr>
        <w:fldChar w:fldCharType="begin"/>
      </w:r>
      <w:r w:rsidRPr="005D3057">
        <w:rPr>
          <w:snapToGrid w:val="0"/>
          <w:lang w:val="de-DE"/>
        </w:rPr>
        <w:instrText xml:space="preserve"> AUTONUM  </w:instrText>
      </w:r>
      <w:r w:rsidRPr="005D3057">
        <w:rPr>
          <w:snapToGrid w:val="0"/>
        </w:rPr>
        <w:fldChar w:fldCharType="end"/>
      </w:r>
      <w:r w:rsidRPr="005D3057">
        <w:rPr>
          <w:snapToGrid w:val="0"/>
          <w:lang w:val="de-DE"/>
        </w:rPr>
        <w:tab/>
      </w:r>
      <w:r w:rsidR="00856BDE" w:rsidRPr="005D3057">
        <w:rPr>
          <w:snapToGrid w:val="0"/>
          <w:lang w:val="de-DE"/>
        </w:rPr>
        <w:t xml:space="preserve">Die </w:t>
      </w:r>
      <w:r w:rsidRPr="005D3057">
        <w:rPr>
          <w:snapToGrid w:val="0"/>
          <w:lang w:val="de-DE"/>
        </w:rPr>
        <w:t xml:space="preserve">TWC </w:t>
      </w:r>
      <w:r w:rsidR="00EE28B0" w:rsidRPr="005D3057">
        <w:rPr>
          <w:snapToGrid w:val="0"/>
          <w:lang w:val="de-DE"/>
        </w:rPr>
        <w:t>prüfte</w:t>
      </w:r>
      <w:r w:rsidRPr="005D3057">
        <w:rPr>
          <w:snapToGrid w:val="0"/>
          <w:lang w:val="de-DE"/>
        </w:rPr>
        <w:t xml:space="preserve"> </w:t>
      </w:r>
      <w:r w:rsidR="006E4EF6" w:rsidRPr="005D3057">
        <w:rPr>
          <w:snapToGrid w:val="0"/>
          <w:lang w:val="de-DE"/>
        </w:rPr>
        <w:t>Dokumente</w:t>
      </w:r>
      <w:r w:rsidRPr="005D3057">
        <w:rPr>
          <w:snapToGrid w:val="0"/>
          <w:lang w:val="de-DE"/>
        </w:rPr>
        <w:t xml:space="preserve"> TWC/34/13</w:t>
      </w:r>
      <w:r w:rsidR="00FD594C" w:rsidRPr="005D3057">
        <w:rPr>
          <w:snapToGrid w:val="0"/>
          <w:lang w:val="de-DE"/>
        </w:rPr>
        <w:t xml:space="preserve"> und </w:t>
      </w:r>
      <w:r w:rsidRPr="005D3057">
        <w:rPr>
          <w:snapToGrid w:val="0"/>
          <w:lang w:val="de-DE"/>
        </w:rPr>
        <w:t xml:space="preserve">TWC/34/27 </w:t>
      </w:r>
      <w:r w:rsidR="00EE28B0" w:rsidRPr="005D3057">
        <w:rPr>
          <w:snapToGrid w:val="0"/>
          <w:lang w:val="de-DE"/>
        </w:rPr>
        <w:t>(vergleiche</w:t>
      </w:r>
      <w:r w:rsidRPr="005D3057">
        <w:rPr>
          <w:snapToGrid w:val="0"/>
          <w:lang w:val="de-DE"/>
        </w:rPr>
        <w:t xml:space="preserve"> </w:t>
      </w:r>
      <w:r w:rsidR="006E4EF6" w:rsidRPr="005D3057">
        <w:rPr>
          <w:rFonts w:cs="Arial"/>
          <w:lang w:val="de-DE"/>
        </w:rPr>
        <w:t>Dokument</w:t>
      </w:r>
      <w:r w:rsidRPr="005D3057">
        <w:rPr>
          <w:rFonts w:cs="Arial"/>
          <w:lang w:val="de-DE"/>
        </w:rPr>
        <w:t xml:space="preserve"> </w:t>
      </w:r>
      <w:r w:rsidRPr="005D3057">
        <w:rPr>
          <w:snapToGrid w:val="0"/>
          <w:lang w:val="de-DE"/>
        </w:rPr>
        <w:t>TWC/34/</w:t>
      </w:r>
      <w:r w:rsidRPr="005D3057">
        <w:rPr>
          <w:rFonts w:cs="Arial"/>
          <w:lang w:val="de-DE"/>
        </w:rPr>
        <w:t xml:space="preserve">32 </w:t>
      </w:r>
      <w:r w:rsidR="001E6A84" w:rsidRPr="005D3057">
        <w:rPr>
          <w:rFonts w:cs="Arial"/>
          <w:lang w:val="de-DE"/>
        </w:rPr>
        <w:t>„</w:t>
      </w:r>
      <w:r w:rsidRPr="002417EF">
        <w:rPr>
          <w:rFonts w:cs="Arial"/>
          <w:i/>
          <w:lang w:val="de-DE"/>
        </w:rPr>
        <w:t>Report</w:t>
      </w:r>
      <w:r w:rsidR="001E6A84" w:rsidRPr="005D3057">
        <w:rPr>
          <w:rFonts w:cs="Arial"/>
          <w:lang w:val="de-DE"/>
        </w:rPr>
        <w:t>“</w:t>
      </w:r>
      <w:r w:rsidRPr="005D3057">
        <w:rPr>
          <w:rFonts w:cs="Arial"/>
          <w:lang w:val="de-DE"/>
        </w:rPr>
        <w:t xml:space="preserve">, </w:t>
      </w:r>
      <w:r w:rsidR="00EE28B0" w:rsidRPr="005D3057">
        <w:rPr>
          <w:rFonts w:cs="Arial"/>
          <w:lang w:val="de-DE"/>
        </w:rPr>
        <w:t>Absätze</w:t>
      </w:r>
      <w:r w:rsidRPr="005D3057">
        <w:rPr>
          <w:rFonts w:cs="Arial"/>
          <w:lang w:val="de-DE"/>
        </w:rPr>
        <w:t xml:space="preserve"> 44</w:t>
      </w:r>
      <w:r w:rsidR="00FD594C" w:rsidRPr="005D3057">
        <w:rPr>
          <w:rFonts w:cs="Arial"/>
          <w:lang w:val="de-DE"/>
        </w:rPr>
        <w:t xml:space="preserve"> und </w:t>
      </w:r>
      <w:r w:rsidRPr="005D3057">
        <w:rPr>
          <w:rFonts w:cs="Arial"/>
          <w:lang w:val="de-DE"/>
        </w:rPr>
        <w:t>51</w:t>
      </w:r>
      <w:r w:rsidR="00BA3616" w:rsidRPr="005D3057">
        <w:rPr>
          <w:rFonts w:cs="Arial"/>
          <w:lang w:val="de-DE"/>
        </w:rPr>
        <w:t>)</w:t>
      </w:r>
      <w:r w:rsidRPr="005D3057">
        <w:rPr>
          <w:snapToGrid w:val="0"/>
          <w:lang w:val="de-DE"/>
        </w:rPr>
        <w:t>.</w:t>
      </w:r>
    </w:p>
    <w:p w14:paraId="053CCA86" w14:textId="77777777" w:rsidR="00B21F4F" w:rsidRPr="005D3057" w:rsidRDefault="00B21F4F" w:rsidP="00B21F4F">
      <w:pPr>
        <w:rPr>
          <w:snapToGrid w:val="0"/>
          <w:lang w:val="de-DE"/>
        </w:rPr>
      </w:pPr>
    </w:p>
    <w:p w14:paraId="08322EE1" w14:textId="09FB3E99" w:rsidR="00B21F4F" w:rsidRPr="005D3057" w:rsidRDefault="00B21F4F" w:rsidP="00B21F4F">
      <w:pPr>
        <w:rPr>
          <w:lang w:val="de-DE"/>
        </w:rPr>
      </w:pPr>
      <w:r w:rsidRPr="005D3057">
        <w:rPr>
          <w:rFonts w:cs="Arial"/>
        </w:rPr>
        <w:fldChar w:fldCharType="begin"/>
      </w:r>
      <w:r w:rsidRPr="005D3057">
        <w:rPr>
          <w:rFonts w:cs="Arial"/>
          <w:lang w:val="de-DE"/>
        </w:rPr>
        <w:instrText xml:space="preserve"> AUTONUM  </w:instrText>
      </w:r>
      <w:r w:rsidRPr="005D3057">
        <w:rPr>
          <w:rFonts w:cs="Arial"/>
        </w:rPr>
        <w:fldChar w:fldCharType="end"/>
      </w:r>
      <w:r w:rsidRPr="005D3057">
        <w:rPr>
          <w:rFonts w:cs="Arial"/>
          <w:lang w:val="de-DE"/>
        </w:rPr>
        <w:tab/>
      </w:r>
      <w:r w:rsidR="00856BDE" w:rsidRPr="005D3057">
        <w:rPr>
          <w:lang w:val="de-DE"/>
        </w:rPr>
        <w:t xml:space="preserve">Die </w:t>
      </w:r>
      <w:r w:rsidR="00F91382" w:rsidRPr="005D3057">
        <w:rPr>
          <w:lang w:val="de-DE"/>
        </w:rPr>
        <w:t xml:space="preserve">TWC </w:t>
      </w:r>
      <w:r w:rsidR="00DE21F2" w:rsidRPr="005D3057">
        <w:rPr>
          <w:lang w:val="de-DE"/>
        </w:rPr>
        <w:t>nahm zur Kenntnis, daß die TWA vereinbart habe, um eine Videoverbindung mit den Sachverständigen der TWC zu ersuchen, um den neuen Vorschlag für „Ansatz 3: Kombination der Ergebnisse aus zwei Wachstumsperioden“ auf ihrer fünfundvierzigsten Tagung im Jahre 2016 zu erörtern</w:t>
      </w:r>
      <w:r w:rsidRPr="005D3057">
        <w:rPr>
          <w:lang w:val="de-DE"/>
        </w:rPr>
        <w:t>.</w:t>
      </w:r>
    </w:p>
    <w:p w14:paraId="083D2A0F" w14:textId="77777777" w:rsidR="00B21F4F" w:rsidRPr="005D3057" w:rsidRDefault="00B21F4F" w:rsidP="00B21F4F">
      <w:pPr>
        <w:rPr>
          <w:lang w:val="de-DE"/>
        </w:rPr>
      </w:pPr>
    </w:p>
    <w:p w14:paraId="2D833D65" w14:textId="7E8077FA" w:rsidR="00B21F4F" w:rsidRPr="005D3057" w:rsidRDefault="00B21F4F" w:rsidP="00B21F4F">
      <w:pPr>
        <w:rPr>
          <w:rFonts w:cs="Arial"/>
          <w:lang w:val="de-DE"/>
        </w:rPr>
      </w:pPr>
      <w:r w:rsidRPr="005D3057">
        <w:fldChar w:fldCharType="begin"/>
      </w:r>
      <w:r w:rsidRPr="005D3057">
        <w:rPr>
          <w:lang w:val="de-DE"/>
        </w:rPr>
        <w:instrText xml:space="preserve"> AUTONUM  </w:instrText>
      </w:r>
      <w:r w:rsidRPr="005D3057">
        <w:fldChar w:fldCharType="end"/>
      </w:r>
      <w:r w:rsidRPr="005D3057">
        <w:rPr>
          <w:lang w:val="de-DE"/>
        </w:rPr>
        <w:tab/>
      </w:r>
      <w:r w:rsidR="00856BDE" w:rsidRPr="005D3057">
        <w:rPr>
          <w:lang w:val="de-DE"/>
        </w:rPr>
        <w:t xml:space="preserve">Die </w:t>
      </w:r>
      <w:r w:rsidRPr="005D3057">
        <w:rPr>
          <w:lang w:val="de-DE"/>
        </w:rPr>
        <w:t xml:space="preserve">TWC </w:t>
      </w:r>
      <w:r w:rsidR="00EE28B0" w:rsidRPr="005D3057">
        <w:rPr>
          <w:lang w:val="de-DE"/>
        </w:rPr>
        <w:t>prüfte</w:t>
      </w:r>
      <w:r w:rsidRPr="005D3057">
        <w:rPr>
          <w:lang w:val="de-DE"/>
        </w:rPr>
        <w:t xml:space="preserve"> </w:t>
      </w:r>
      <w:r w:rsidR="004C0CE7" w:rsidRPr="005D3057">
        <w:rPr>
          <w:lang w:val="de-DE"/>
        </w:rPr>
        <w:t xml:space="preserve">den </w:t>
      </w:r>
      <w:r w:rsidR="00837D1F" w:rsidRPr="005D3057">
        <w:rPr>
          <w:lang w:val="de-DE"/>
        </w:rPr>
        <w:t>Entwurf für eine</w:t>
      </w:r>
      <w:r w:rsidRPr="005D3057">
        <w:rPr>
          <w:lang w:val="de-DE"/>
        </w:rPr>
        <w:t xml:space="preserve"> </w:t>
      </w:r>
      <w:r w:rsidR="006E4EF6" w:rsidRPr="005D3057">
        <w:rPr>
          <w:lang w:val="de-DE"/>
        </w:rPr>
        <w:t>Anleitung</w:t>
      </w:r>
      <w:r w:rsidR="00EE28B0" w:rsidRPr="005D3057">
        <w:rPr>
          <w:lang w:val="de-DE"/>
        </w:rPr>
        <w:t xml:space="preserve">, wie </w:t>
      </w:r>
      <w:r w:rsidRPr="005D3057">
        <w:rPr>
          <w:lang w:val="de-DE"/>
        </w:rPr>
        <w:t xml:space="preserve">in </w:t>
      </w:r>
      <w:r w:rsidR="006E4EF6" w:rsidRPr="005D3057">
        <w:rPr>
          <w:lang w:val="de-DE"/>
        </w:rPr>
        <w:t>Dokument</w:t>
      </w:r>
      <w:r w:rsidRPr="005D3057">
        <w:rPr>
          <w:lang w:val="de-DE"/>
        </w:rPr>
        <w:t xml:space="preserve"> TWC/34/13, </w:t>
      </w:r>
      <w:r w:rsidR="00837D1F" w:rsidRPr="005D3057">
        <w:rPr>
          <w:lang w:val="de-DE"/>
        </w:rPr>
        <w:t>Anlagen</w:t>
      </w:r>
      <w:r w:rsidRPr="005D3057">
        <w:rPr>
          <w:lang w:val="de-DE"/>
        </w:rPr>
        <w:t xml:space="preserve"> I</w:t>
      </w:r>
      <w:r w:rsidR="00FD594C" w:rsidRPr="005D3057">
        <w:rPr>
          <w:lang w:val="de-DE"/>
        </w:rPr>
        <w:t xml:space="preserve"> und </w:t>
      </w:r>
      <w:r w:rsidRPr="005D3057">
        <w:rPr>
          <w:lang w:val="de-DE"/>
        </w:rPr>
        <w:t>II,</w:t>
      </w:r>
      <w:r w:rsidR="004C0CE7" w:rsidRPr="005D3057">
        <w:rPr>
          <w:lang w:val="de-DE"/>
        </w:rPr>
        <w:t xml:space="preserve"> dargelegt,</w:t>
      </w:r>
      <w:r w:rsidRPr="005D3057">
        <w:rPr>
          <w:lang w:val="de-DE"/>
        </w:rPr>
        <w:t xml:space="preserve"> </w:t>
      </w:r>
      <w:r w:rsidR="00F91382" w:rsidRPr="005D3057">
        <w:rPr>
          <w:lang w:val="de-DE"/>
        </w:rPr>
        <w:t>im Hinblick auf die</w:t>
      </w:r>
      <w:r w:rsidR="00EE28B0" w:rsidRPr="005D3057">
        <w:rPr>
          <w:lang w:val="de-DE"/>
        </w:rPr>
        <w:t xml:space="preserve"> Aufnahme in eine künftige Überarbeitung von</w:t>
      </w:r>
      <w:r w:rsidRPr="005D3057">
        <w:rPr>
          <w:lang w:val="de-DE"/>
        </w:rPr>
        <w:t xml:space="preserve"> </w:t>
      </w:r>
      <w:r w:rsidR="006E4EF6" w:rsidRPr="005D3057">
        <w:rPr>
          <w:lang w:val="de-DE"/>
        </w:rPr>
        <w:t>Dokument</w:t>
      </w:r>
      <w:r w:rsidRPr="005D3057">
        <w:rPr>
          <w:lang w:val="de-DE"/>
        </w:rPr>
        <w:t xml:space="preserve"> TGP/10</w:t>
      </w:r>
      <w:r w:rsidR="00981B04">
        <w:rPr>
          <w:lang w:val="de-DE"/>
        </w:rPr>
        <w:t xml:space="preserve"> </w:t>
      </w:r>
      <w:r w:rsidR="00D80102" w:rsidRPr="005D3057">
        <w:rPr>
          <w:lang w:val="de-DE"/>
        </w:rPr>
        <w:t>und</w:t>
      </w:r>
      <w:r w:rsidR="00FD594C" w:rsidRPr="005D3057">
        <w:rPr>
          <w:lang w:val="de-DE"/>
        </w:rPr>
        <w:t xml:space="preserve"> </w:t>
      </w:r>
      <w:r w:rsidR="00EE28B0" w:rsidRPr="005D3057">
        <w:rPr>
          <w:rFonts w:cs="Arial"/>
          <w:lang w:val="de-DE"/>
        </w:rPr>
        <w:t>vereinbarte, daß</w:t>
      </w:r>
      <w:r w:rsidRPr="005D3057">
        <w:rPr>
          <w:rFonts w:cs="Arial"/>
          <w:lang w:val="de-DE"/>
        </w:rPr>
        <w:t xml:space="preserve"> </w:t>
      </w:r>
      <w:r w:rsidR="008E3803" w:rsidRPr="005D3057">
        <w:rPr>
          <w:rFonts w:cs="Arial"/>
          <w:lang w:val="de-DE"/>
        </w:rPr>
        <w:t xml:space="preserve">die </w:t>
      </w:r>
      <w:r w:rsidR="00EE28B0" w:rsidRPr="005D3057">
        <w:rPr>
          <w:rFonts w:cs="Arial"/>
          <w:lang w:val="de-DE"/>
        </w:rPr>
        <w:t>Kosten für die Prüfung</w:t>
      </w:r>
      <w:r w:rsidRPr="005D3057">
        <w:rPr>
          <w:rFonts w:cs="Arial"/>
          <w:lang w:val="de-DE"/>
        </w:rPr>
        <w:t xml:space="preserve">, </w:t>
      </w:r>
      <w:r w:rsidR="00D80102" w:rsidRPr="005D3057">
        <w:rPr>
          <w:rFonts w:cs="Arial"/>
          <w:lang w:val="de-DE"/>
        </w:rPr>
        <w:t xml:space="preserve">die </w:t>
      </w:r>
      <w:r w:rsidR="00EE28B0" w:rsidRPr="005D3057">
        <w:rPr>
          <w:rFonts w:cs="Arial"/>
          <w:lang w:val="de-DE"/>
        </w:rPr>
        <w:t>Übereinstimmung der Ergebnisse</w:t>
      </w:r>
      <w:r w:rsidRPr="005D3057">
        <w:rPr>
          <w:rFonts w:cs="Arial"/>
          <w:lang w:val="de-DE"/>
        </w:rPr>
        <w:t xml:space="preserve">, </w:t>
      </w:r>
      <w:r w:rsidR="00EE28B0" w:rsidRPr="005D3057">
        <w:rPr>
          <w:rFonts w:cs="Arial"/>
          <w:lang w:val="de-DE"/>
        </w:rPr>
        <w:t>die erforderliche</w:t>
      </w:r>
      <w:r w:rsidRPr="005D3057">
        <w:rPr>
          <w:rFonts w:cs="Arial"/>
          <w:lang w:val="de-DE"/>
        </w:rPr>
        <w:t xml:space="preserve"> </w:t>
      </w:r>
      <w:r w:rsidR="004C0CE7" w:rsidRPr="005D3057">
        <w:rPr>
          <w:rFonts w:cs="Arial"/>
          <w:lang w:val="de-DE"/>
        </w:rPr>
        <w:t xml:space="preserve">Zeit für </w:t>
      </w:r>
      <w:r w:rsidR="00D80102" w:rsidRPr="005D3057">
        <w:rPr>
          <w:rFonts w:cs="Arial"/>
          <w:lang w:val="de-DE"/>
        </w:rPr>
        <w:t>Entscheidungen sowie</w:t>
      </w:r>
      <w:r w:rsidR="004C0CE7" w:rsidRPr="005D3057">
        <w:rPr>
          <w:rFonts w:cs="Arial"/>
          <w:lang w:val="de-DE"/>
        </w:rPr>
        <w:t xml:space="preserve"> technische Aspekte</w:t>
      </w:r>
      <w:r w:rsidRPr="005D3057">
        <w:rPr>
          <w:rFonts w:cs="Arial"/>
          <w:lang w:val="de-DE"/>
        </w:rPr>
        <w:t xml:space="preserve"> </w:t>
      </w:r>
      <w:r w:rsidR="00EE28B0" w:rsidRPr="005D3057">
        <w:rPr>
          <w:rFonts w:cs="Arial"/>
          <w:lang w:val="de-DE"/>
        </w:rPr>
        <w:t>jedes</w:t>
      </w:r>
      <w:r w:rsidRPr="005D3057">
        <w:rPr>
          <w:rFonts w:cs="Arial"/>
          <w:lang w:val="de-DE"/>
        </w:rPr>
        <w:t xml:space="preserve"> </w:t>
      </w:r>
      <w:r w:rsidR="00EE28B0" w:rsidRPr="005D3057">
        <w:rPr>
          <w:rFonts w:cs="Arial"/>
          <w:lang w:val="de-DE"/>
        </w:rPr>
        <w:t>A</w:t>
      </w:r>
      <w:r w:rsidR="00837D1F" w:rsidRPr="005D3057">
        <w:rPr>
          <w:rFonts w:cs="Arial"/>
          <w:lang w:val="de-DE"/>
        </w:rPr>
        <w:t>nsatz</w:t>
      </w:r>
      <w:r w:rsidR="00EE28B0" w:rsidRPr="005D3057">
        <w:rPr>
          <w:rFonts w:cs="Arial"/>
          <w:lang w:val="de-DE"/>
        </w:rPr>
        <w:t>es</w:t>
      </w:r>
      <w:r w:rsidRPr="005D3057">
        <w:rPr>
          <w:rFonts w:cs="Arial"/>
          <w:lang w:val="de-DE"/>
        </w:rPr>
        <w:t xml:space="preserve"> </w:t>
      </w:r>
      <w:r w:rsidR="00981B04">
        <w:rPr>
          <w:rFonts w:cs="Arial"/>
          <w:lang w:val="de-DE"/>
        </w:rPr>
        <w:t xml:space="preserve">einen Einfluss auf </w:t>
      </w:r>
      <w:r w:rsidR="00EE28B0" w:rsidRPr="005D3057">
        <w:rPr>
          <w:rFonts w:cs="Arial"/>
          <w:lang w:val="de-DE"/>
        </w:rPr>
        <w:t>die</w:t>
      </w:r>
      <w:r w:rsidRPr="005D3057">
        <w:rPr>
          <w:rFonts w:cs="Arial"/>
          <w:lang w:val="de-DE"/>
        </w:rPr>
        <w:t xml:space="preserve"> </w:t>
      </w:r>
      <w:r w:rsidR="00EE28B0" w:rsidRPr="005D3057">
        <w:rPr>
          <w:rFonts w:cs="Arial"/>
          <w:lang w:val="de-DE"/>
        </w:rPr>
        <w:t>Auswahl</w:t>
      </w:r>
      <w:r w:rsidRPr="005D3057">
        <w:rPr>
          <w:rFonts w:cs="Arial"/>
          <w:lang w:val="de-DE"/>
        </w:rPr>
        <w:t xml:space="preserve"> </w:t>
      </w:r>
      <w:r w:rsidR="004C0CE7" w:rsidRPr="005D3057">
        <w:rPr>
          <w:rFonts w:cs="Arial"/>
          <w:lang w:val="de-DE"/>
        </w:rPr>
        <w:t>des</w:t>
      </w:r>
      <w:r w:rsidR="007B0CA4" w:rsidRPr="005D3057">
        <w:rPr>
          <w:rFonts w:cs="Arial"/>
          <w:lang w:val="de-DE"/>
        </w:rPr>
        <w:t xml:space="preserve"> geeignetsten</w:t>
      </w:r>
      <w:r w:rsidR="00EE28B0" w:rsidRPr="005D3057">
        <w:rPr>
          <w:rFonts w:cs="Arial"/>
          <w:lang w:val="de-DE"/>
        </w:rPr>
        <w:t xml:space="preserve"> Ansatzes</w:t>
      </w:r>
      <w:r w:rsidRPr="005D3057">
        <w:rPr>
          <w:rFonts w:cs="Arial"/>
          <w:lang w:val="de-DE"/>
        </w:rPr>
        <w:t xml:space="preserve"> </w:t>
      </w:r>
      <w:r w:rsidR="00981B04">
        <w:rPr>
          <w:rFonts w:cs="Arial"/>
          <w:lang w:val="de-DE"/>
        </w:rPr>
        <w:t>für jede Situation haben</w:t>
      </w:r>
      <w:r w:rsidR="004C0CE7" w:rsidRPr="005D3057">
        <w:rPr>
          <w:rFonts w:cs="Arial"/>
          <w:lang w:val="de-DE"/>
        </w:rPr>
        <w:t xml:space="preserve"> könnten</w:t>
      </w:r>
      <w:r w:rsidRPr="005D3057">
        <w:rPr>
          <w:rFonts w:cs="Arial"/>
          <w:lang w:val="de-DE"/>
        </w:rPr>
        <w:t>.</w:t>
      </w:r>
    </w:p>
    <w:p w14:paraId="1ED70B28" w14:textId="77777777" w:rsidR="00B21F4F" w:rsidRPr="005D3057" w:rsidRDefault="00B21F4F" w:rsidP="00B21F4F">
      <w:pPr>
        <w:rPr>
          <w:rFonts w:cs="Arial"/>
          <w:lang w:val="de-DE"/>
        </w:rPr>
      </w:pPr>
    </w:p>
    <w:p w14:paraId="3AD3D19A" w14:textId="2AE9C0C7" w:rsidR="00B21F4F" w:rsidRPr="005D3057" w:rsidRDefault="00B21F4F" w:rsidP="00B21F4F">
      <w:pPr>
        <w:rPr>
          <w:rFonts w:cs="Arial"/>
          <w:lang w:val="de-DE"/>
        </w:rPr>
      </w:pPr>
      <w:r w:rsidRPr="005D3057">
        <w:fldChar w:fldCharType="begin"/>
      </w:r>
      <w:r w:rsidRPr="005D3057">
        <w:rPr>
          <w:lang w:val="de-DE"/>
        </w:rPr>
        <w:instrText xml:space="preserve"> AUTONUM  </w:instrText>
      </w:r>
      <w:r w:rsidRPr="005D3057">
        <w:fldChar w:fldCharType="end"/>
      </w:r>
      <w:r w:rsidRPr="005D3057">
        <w:rPr>
          <w:lang w:val="de-DE"/>
        </w:rPr>
        <w:tab/>
      </w:r>
      <w:r w:rsidR="00856BDE" w:rsidRPr="005D3057">
        <w:rPr>
          <w:rFonts w:cs="Arial"/>
          <w:lang w:val="de-DE"/>
        </w:rPr>
        <w:t xml:space="preserve">Die </w:t>
      </w:r>
      <w:r w:rsidRPr="005D3057">
        <w:rPr>
          <w:rFonts w:cs="Arial"/>
          <w:lang w:val="de-DE"/>
        </w:rPr>
        <w:t xml:space="preserve">TWC </w:t>
      </w:r>
      <w:r w:rsidR="00EE28B0" w:rsidRPr="005D3057">
        <w:rPr>
          <w:rFonts w:cs="Arial"/>
          <w:lang w:val="de-DE"/>
        </w:rPr>
        <w:t>vereinbarte, daß</w:t>
      </w:r>
      <w:r w:rsidRPr="005D3057">
        <w:rPr>
          <w:lang w:val="de-DE"/>
        </w:rPr>
        <w:t xml:space="preserve"> </w:t>
      </w:r>
      <w:r w:rsidR="00CF0627" w:rsidRPr="005D3057">
        <w:rPr>
          <w:lang w:val="de-DE"/>
        </w:rPr>
        <w:t xml:space="preserve">eine </w:t>
      </w:r>
      <w:r w:rsidR="00EE28B0" w:rsidRPr="005D3057">
        <w:rPr>
          <w:lang w:val="de-DE"/>
        </w:rPr>
        <w:t>künftige</w:t>
      </w:r>
      <w:r w:rsidRPr="005D3057">
        <w:rPr>
          <w:lang w:val="de-DE"/>
        </w:rPr>
        <w:t xml:space="preserve"> </w:t>
      </w:r>
      <w:r w:rsidR="006E4EF6" w:rsidRPr="005D3057">
        <w:rPr>
          <w:lang w:val="de-DE"/>
        </w:rPr>
        <w:t>Anleitung</w:t>
      </w:r>
      <w:r w:rsidRPr="005D3057">
        <w:rPr>
          <w:lang w:val="de-DE"/>
        </w:rPr>
        <w:t xml:space="preserve"> </w:t>
      </w:r>
      <w:r w:rsidR="00D7067A" w:rsidRPr="005D3057">
        <w:rPr>
          <w:lang w:val="de-DE"/>
        </w:rPr>
        <w:t>P</w:t>
      </w:r>
      <w:r w:rsidRPr="005D3057">
        <w:rPr>
          <w:lang w:val="de-DE"/>
        </w:rPr>
        <w:t xml:space="preserve">arameter </w:t>
      </w:r>
      <w:r w:rsidR="00D7067A" w:rsidRPr="005D3057">
        <w:rPr>
          <w:lang w:val="de-DE"/>
        </w:rPr>
        <w:t>für die Entscheidungen</w:t>
      </w:r>
      <w:r w:rsidRPr="005D3057">
        <w:rPr>
          <w:lang w:val="de-DE"/>
        </w:rPr>
        <w:t xml:space="preserve"> </w:t>
      </w:r>
      <w:r w:rsidR="00EE28B0" w:rsidRPr="005D3057">
        <w:rPr>
          <w:lang w:val="de-DE"/>
        </w:rPr>
        <w:t>über den geeigne</w:t>
      </w:r>
      <w:r w:rsidR="00D7067A" w:rsidRPr="005D3057">
        <w:rPr>
          <w:lang w:val="de-DE"/>
        </w:rPr>
        <w:t>t</w:t>
      </w:r>
      <w:r w:rsidR="00EE28B0" w:rsidRPr="005D3057">
        <w:rPr>
          <w:lang w:val="de-DE"/>
        </w:rPr>
        <w:t>sten Ansatz</w:t>
      </w:r>
      <w:r w:rsidRPr="005D3057">
        <w:rPr>
          <w:rFonts w:cs="Arial"/>
          <w:lang w:val="de-DE"/>
        </w:rPr>
        <w:t xml:space="preserve"> </w:t>
      </w:r>
      <w:r w:rsidR="00D94C83" w:rsidRPr="005D3057">
        <w:rPr>
          <w:rFonts w:cs="Arial"/>
          <w:lang w:val="de-DE"/>
        </w:rPr>
        <w:t>aufgrund</w:t>
      </w:r>
      <w:r w:rsidR="00EE28B0" w:rsidRPr="005D3057">
        <w:rPr>
          <w:rFonts w:cs="Arial"/>
          <w:lang w:val="de-DE"/>
        </w:rPr>
        <w:t xml:space="preserve"> von</w:t>
      </w:r>
      <w:r w:rsidRPr="005D3057">
        <w:rPr>
          <w:rFonts w:cs="Arial"/>
          <w:lang w:val="de-DE"/>
        </w:rPr>
        <w:t xml:space="preserve"> </w:t>
      </w:r>
      <w:r w:rsidR="00D7067A" w:rsidRPr="005D3057">
        <w:rPr>
          <w:rFonts w:cs="Arial"/>
          <w:lang w:val="de-DE"/>
        </w:rPr>
        <w:t>Erfahrungen von</w:t>
      </w:r>
      <w:r w:rsidRPr="005D3057">
        <w:rPr>
          <w:rFonts w:cs="Arial"/>
          <w:lang w:val="de-DE"/>
        </w:rPr>
        <w:t xml:space="preserve"> </w:t>
      </w:r>
      <w:r w:rsidR="00EE28B0" w:rsidRPr="005D3057">
        <w:rPr>
          <w:rFonts w:cs="Arial"/>
          <w:lang w:val="de-DE"/>
        </w:rPr>
        <w:t>Mitgliedern</w:t>
      </w:r>
      <w:r w:rsidR="00D7067A" w:rsidRPr="005D3057">
        <w:rPr>
          <w:lang w:val="de-DE"/>
        </w:rPr>
        <w:t xml:space="preserve"> bereitstellen </w:t>
      </w:r>
      <w:r w:rsidR="00C16004" w:rsidRPr="005D3057">
        <w:rPr>
          <w:lang w:val="de-DE"/>
        </w:rPr>
        <w:t>soll</w:t>
      </w:r>
      <w:r w:rsidR="00D7067A" w:rsidRPr="005D3057">
        <w:rPr>
          <w:lang w:val="de-DE"/>
        </w:rPr>
        <w:t>e</w:t>
      </w:r>
      <w:r w:rsidR="00C16004" w:rsidRPr="005D3057">
        <w:rPr>
          <w:lang w:val="de-DE"/>
        </w:rPr>
        <w:t>,</w:t>
      </w:r>
      <w:r w:rsidR="00FD594C" w:rsidRPr="005D3057">
        <w:rPr>
          <w:rFonts w:cs="Arial"/>
          <w:lang w:val="de-DE"/>
        </w:rPr>
        <w:t xml:space="preserve"> und </w:t>
      </w:r>
      <w:r w:rsidR="00EE28B0" w:rsidRPr="005D3057">
        <w:rPr>
          <w:rFonts w:cs="Arial"/>
          <w:lang w:val="de-DE"/>
        </w:rPr>
        <w:t>vereinbarte</w:t>
      </w:r>
      <w:r w:rsidR="00C16004" w:rsidRPr="005D3057">
        <w:rPr>
          <w:rFonts w:cs="Arial"/>
          <w:lang w:val="de-DE"/>
        </w:rPr>
        <w:t>,</w:t>
      </w:r>
      <w:r w:rsidRPr="005D3057">
        <w:rPr>
          <w:rFonts w:cs="Arial"/>
          <w:lang w:val="de-DE"/>
        </w:rPr>
        <w:t xml:space="preserve"> </w:t>
      </w:r>
      <w:r w:rsidR="00EE28B0" w:rsidRPr="005D3057">
        <w:rPr>
          <w:rFonts w:cs="Arial"/>
          <w:lang w:val="de-DE"/>
        </w:rPr>
        <w:t>um</w:t>
      </w:r>
      <w:r w:rsidRPr="005D3057">
        <w:rPr>
          <w:rFonts w:cs="Arial"/>
          <w:lang w:val="de-DE"/>
        </w:rPr>
        <w:t xml:space="preserve"> </w:t>
      </w:r>
      <w:r w:rsidR="00EE28B0" w:rsidRPr="005D3057">
        <w:rPr>
          <w:rFonts w:cs="Arial"/>
          <w:lang w:val="de-DE"/>
        </w:rPr>
        <w:t>Beispiele für</w:t>
      </w:r>
      <w:r w:rsidRPr="005D3057">
        <w:rPr>
          <w:rFonts w:cs="Arial"/>
          <w:lang w:val="de-DE"/>
        </w:rPr>
        <w:t xml:space="preserve"> </w:t>
      </w:r>
      <w:r w:rsidR="00EE28B0" w:rsidRPr="005D3057">
        <w:rPr>
          <w:rFonts w:cs="Arial"/>
          <w:lang w:val="de-DE"/>
        </w:rPr>
        <w:t>unterschiedliche</w:t>
      </w:r>
      <w:r w:rsidRPr="005D3057">
        <w:rPr>
          <w:rFonts w:cs="Arial"/>
          <w:lang w:val="de-DE"/>
        </w:rPr>
        <w:t xml:space="preserve"> </w:t>
      </w:r>
      <w:r w:rsidR="008F3E77" w:rsidRPr="005D3057">
        <w:rPr>
          <w:rFonts w:cs="Arial"/>
          <w:lang w:val="de-DE"/>
        </w:rPr>
        <w:t>Pflanzentypen</w:t>
      </w:r>
      <w:r w:rsidR="00FD594C" w:rsidRPr="005D3057">
        <w:rPr>
          <w:rFonts w:cs="Arial"/>
          <w:lang w:val="de-DE"/>
        </w:rPr>
        <w:t xml:space="preserve"> und </w:t>
      </w:r>
      <w:r w:rsidR="00D7067A" w:rsidRPr="005D3057">
        <w:rPr>
          <w:rFonts w:cs="Arial"/>
          <w:lang w:val="de-DE"/>
        </w:rPr>
        <w:t>die Kriterien</w:t>
      </w:r>
      <w:r w:rsidRPr="005D3057">
        <w:rPr>
          <w:rFonts w:cs="Arial"/>
          <w:lang w:val="de-DE"/>
        </w:rPr>
        <w:t xml:space="preserve"> </w:t>
      </w:r>
      <w:r w:rsidR="00EE28B0" w:rsidRPr="005D3057">
        <w:rPr>
          <w:rFonts w:cs="Arial"/>
          <w:lang w:val="de-DE"/>
        </w:rPr>
        <w:t>zur Auswahl</w:t>
      </w:r>
      <w:r w:rsidRPr="005D3057">
        <w:rPr>
          <w:rFonts w:cs="Arial"/>
          <w:lang w:val="de-DE"/>
        </w:rPr>
        <w:t xml:space="preserve"> </w:t>
      </w:r>
      <w:r w:rsidR="00EE28B0" w:rsidRPr="005D3057">
        <w:rPr>
          <w:rFonts w:cs="Arial"/>
          <w:lang w:val="de-DE"/>
        </w:rPr>
        <w:t>des</w:t>
      </w:r>
      <w:r w:rsidRPr="005D3057">
        <w:rPr>
          <w:rFonts w:cs="Arial"/>
          <w:lang w:val="de-DE"/>
        </w:rPr>
        <w:t xml:space="preserve"> </w:t>
      </w:r>
      <w:r w:rsidR="00EE28B0" w:rsidRPr="005D3057">
        <w:rPr>
          <w:rFonts w:cs="Arial"/>
          <w:lang w:val="de-DE"/>
        </w:rPr>
        <w:t>A</w:t>
      </w:r>
      <w:r w:rsidR="00837D1F" w:rsidRPr="005D3057">
        <w:rPr>
          <w:rFonts w:cs="Arial"/>
          <w:lang w:val="de-DE"/>
        </w:rPr>
        <w:t>nsatz</w:t>
      </w:r>
      <w:r w:rsidR="00EE28B0" w:rsidRPr="005D3057">
        <w:rPr>
          <w:rFonts w:cs="Arial"/>
          <w:lang w:val="de-DE"/>
        </w:rPr>
        <w:t>es</w:t>
      </w:r>
      <w:r w:rsidR="002B6858" w:rsidRPr="005D3057">
        <w:rPr>
          <w:rFonts w:cs="Arial"/>
          <w:lang w:val="de-DE"/>
        </w:rPr>
        <w:t>, der für die</w:t>
      </w:r>
      <w:r w:rsidRPr="005D3057">
        <w:rPr>
          <w:rFonts w:cs="Arial"/>
          <w:lang w:val="de-DE"/>
        </w:rPr>
        <w:t xml:space="preserve"> </w:t>
      </w:r>
      <w:r w:rsidR="002B6858" w:rsidRPr="005D3057">
        <w:rPr>
          <w:rFonts w:cs="Arial"/>
          <w:lang w:val="de-DE"/>
        </w:rPr>
        <w:t>Bestimmung</w:t>
      </w:r>
      <w:r w:rsidRPr="005D3057">
        <w:rPr>
          <w:rFonts w:cs="Arial"/>
          <w:lang w:val="de-DE"/>
        </w:rPr>
        <w:t xml:space="preserve"> </w:t>
      </w:r>
      <w:r w:rsidR="00856BDE" w:rsidRPr="005D3057">
        <w:rPr>
          <w:rFonts w:cs="Arial"/>
          <w:lang w:val="de-DE"/>
        </w:rPr>
        <w:t>von</w:t>
      </w:r>
      <w:r w:rsidRPr="005D3057">
        <w:rPr>
          <w:rFonts w:cs="Arial"/>
          <w:lang w:val="de-DE"/>
        </w:rPr>
        <w:t xml:space="preserve"> </w:t>
      </w:r>
      <w:r w:rsidR="001E6A84" w:rsidRPr="005D3057">
        <w:rPr>
          <w:rFonts w:cs="Arial"/>
          <w:lang w:val="de-DE"/>
        </w:rPr>
        <w:t>Abweicher</w:t>
      </w:r>
      <w:r w:rsidR="00856BDE" w:rsidRPr="005D3057">
        <w:rPr>
          <w:rFonts w:cs="Arial"/>
          <w:lang w:val="de-DE"/>
        </w:rPr>
        <w:t>n</w:t>
      </w:r>
      <w:r w:rsidR="00D7067A" w:rsidRPr="005D3057">
        <w:rPr>
          <w:rFonts w:cs="Arial"/>
          <w:lang w:val="de-DE"/>
        </w:rPr>
        <w:t xml:space="preserve"> verwendet wird, zu ersuchen</w:t>
      </w:r>
      <w:r w:rsidRPr="005D3057">
        <w:rPr>
          <w:rFonts w:cs="Arial"/>
          <w:lang w:val="de-DE"/>
        </w:rPr>
        <w:t xml:space="preserve">. </w:t>
      </w:r>
      <w:r w:rsidR="00856BDE" w:rsidRPr="005D3057">
        <w:rPr>
          <w:rFonts w:cs="Arial"/>
          <w:lang w:val="de-DE"/>
        </w:rPr>
        <w:t xml:space="preserve">Die </w:t>
      </w:r>
      <w:r w:rsidRPr="005D3057">
        <w:rPr>
          <w:rFonts w:cs="Arial"/>
          <w:lang w:val="de-DE"/>
        </w:rPr>
        <w:t xml:space="preserve">TWC </w:t>
      </w:r>
      <w:r w:rsidR="002B6858" w:rsidRPr="005D3057">
        <w:rPr>
          <w:rFonts w:cs="Arial"/>
          <w:lang w:val="de-DE"/>
        </w:rPr>
        <w:t>begrüßte</w:t>
      </w:r>
      <w:r w:rsidRPr="005D3057">
        <w:rPr>
          <w:rFonts w:cs="Arial"/>
          <w:lang w:val="de-DE"/>
        </w:rPr>
        <w:t xml:space="preserve"> </w:t>
      </w:r>
      <w:r w:rsidR="00D7067A" w:rsidRPr="005D3057">
        <w:rPr>
          <w:rFonts w:cs="Arial"/>
          <w:lang w:val="de-DE"/>
        </w:rPr>
        <w:t xml:space="preserve">die </w:t>
      </w:r>
      <w:r w:rsidR="00837D1F" w:rsidRPr="005D3057">
        <w:rPr>
          <w:rFonts w:cs="Arial"/>
          <w:lang w:val="de-DE"/>
        </w:rPr>
        <w:t>Angebote</w:t>
      </w:r>
      <w:r w:rsidRPr="005D3057">
        <w:rPr>
          <w:rFonts w:cs="Arial"/>
          <w:lang w:val="de-DE"/>
        </w:rPr>
        <w:t xml:space="preserve"> </w:t>
      </w:r>
      <w:r w:rsidR="00C16004" w:rsidRPr="005D3057">
        <w:rPr>
          <w:rFonts w:cs="Arial"/>
          <w:lang w:val="de-DE"/>
        </w:rPr>
        <w:t>von</w:t>
      </w:r>
      <w:r w:rsidR="00D7067A" w:rsidRPr="005D3057">
        <w:rPr>
          <w:rFonts w:cs="Arial"/>
          <w:lang w:val="de-DE"/>
        </w:rPr>
        <w:t xml:space="preserve"> Deutschland, den Niederlanden und dem Verein</w:t>
      </w:r>
      <w:r w:rsidR="00F012C1">
        <w:rPr>
          <w:rFonts w:cs="Arial"/>
          <w:lang w:val="de-DE"/>
        </w:rPr>
        <w:t>ig</w:t>
      </w:r>
      <w:r w:rsidR="00D7067A" w:rsidRPr="005D3057">
        <w:rPr>
          <w:rFonts w:cs="Arial"/>
          <w:lang w:val="de-DE"/>
        </w:rPr>
        <w:t>ten Königreich</w:t>
      </w:r>
      <w:r w:rsidR="002B6858" w:rsidRPr="005D3057">
        <w:rPr>
          <w:rFonts w:cs="Arial"/>
          <w:lang w:val="de-DE"/>
        </w:rPr>
        <w:t>,</w:t>
      </w:r>
      <w:r w:rsidRPr="005D3057">
        <w:rPr>
          <w:rFonts w:cs="Arial"/>
          <w:lang w:val="de-DE"/>
        </w:rPr>
        <w:t xml:space="preserve"> </w:t>
      </w:r>
      <w:r w:rsidR="008F3E77" w:rsidRPr="005D3057">
        <w:rPr>
          <w:rFonts w:cs="Arial"/>
          <w:lang w:val="de-DE"/>
        </w:rPr>
        <w:t xml:space="preserve">Beispiele </w:t>
      </w:r>
      <w:r w:rsidR="002B6858" w:rsidRPr="005D3057">
        <w:rPr>
          <w:rFonts w:cs="Arial"/>
          <w:lang w:val="de-DE"/>
        </w:rPr>
        <w:t>zur Vorlage auf ihrer</w:t>
      </w:r>
      <w:r w:rsidRPr="005D3057">
        <w:rPr>
          <w:rFonts w:cs="Arial"/>
          <w:lang w:val="de-DE"/>
        </w:rPr>
        <w:t xml:space="preserve"> </w:t>
      </w:r>
      <w:r w:rsidR="00D7067A" w:rsidRPr="005D3057">
        <w:rPr>
          <w:rFonts w:cs="Arial"/>
          <w:lang w:val="de-DE"/>
        </w:rPr>
        <w:t>fünfunddreißigsten</w:t>
      </w:r>
      <w:r w:rsidRPr="005D3057">
        <w:rPr>
          <w:rFonts w:cs="Arial"/>
          <w:lang w:val="de-DE"/>
        </w:rPr>
        <w:t xml:space="preserve"> </w:t>
      </w:r>
      <w:r w:rsidR="008F3E77" w:rsidRPr="005D3057">
        <w:rPr>
          <w:rFonts w:cs="Arial"/>
          <w:lang w:val="de-DE"/>
        </w:rPr>
        <w:t>Tagung</w:t>
      </w:r>
      <w:r w:rsidR="00D7067A" w:rsidRPr="005D3057">
        <w:rPr>
          <w:rFonts w:cs="Arial"/>
          <w:lang w:val="de-DE"/>
        </w:rPr>
        <w:t xml:space="preserve"> zur Verfügung zu stellen</w:t>
      </w:r>
      <w:r w:rsidRPr="005D3057">
        <w:rPr>
          <w:rFonts w:cs="Arial"/>
          <w:lang w:val="de-DE"/>
        </w:rPr>
        <w:t>.</w:t>
      </w:r>
    </w:p>
    <w:p w14:paraId="6B1CD324" w14:textId="77777777" w:rsidR="00B21F4F" w:rsidRPr="005D3057" w:rsidRDefault="00B21F4F" w:rsidP="00B21F4F">
      <w:pPr>
        <w:rPr>
          <w:rFonts w:cs="Arial"/>
          <w:lang w:val="de-DE"/>
        </w:rPr>
      </w:pPr>
    </w:p>
    <w:p w14:paraId="4BDCEFE2" w14:textId="093240CA" w:rsidR="00B21F4F" w:rsidRPr="005D3057" w:rsidRDefault="00B21F4F" w:rsidP="00B21F4F">
      <w:pPr>
        <w:rPr>
          <w:lang w:val="de-DE" w:eastAsia="ja-JP"/>
        </w:rPr>
      </w:pPr>
      <w:r w:rsidRPr="005D3057">
        <w:fldChar w:fldCharType="begin"/>
      </w:r>
      <w:r w:rsidRPr="005D3057">
        <w:rPr>
          <w:lang w:val="de-DE"/>
        </w:rPr>
        <w:instrText xml:space="preserve"> AUTONUM  </w:instrText>
      </w:r>
      <w:r w:rsidRPr="005D3057">
        <w:fldChar w:fldCharType="end"/>
      </w:r>
      <w:r w:rsidRPr="005D3057">
        <w:rPr>
          <w:lang w:val="de-DE"/>
        </w:rPr>
        <w:tab/>
      </w:r>
      <w:r w:rsidR="00856BDE" w:rsidRPr="005D3057">
        <w:rPr>
          <w:lang w:val="de-DE"/>
        </w:rPr>
        <w:t xml:space="preserve">Die </w:t>
      </w:r>
      <w:r w:rsidRPr="005D3057">
        <w:rPr>
          <w:lang w:val="de-DE"/>
        </w:rPr>
        <w:t xml:space="preserve">TWC </w:t>
      </w:r>
      <w:r w:rsidR="00774268" w:rsidRPr="005D3057">
        <w:rPr>
          <w:lang w:val="de-DE"/>
        </w:rPr>
        <w:t xml:space="preserve">nahm </w:t>
      </w:r>
      <w:r w:rsidR="00D7067A" w:rsidRPr="005D3057">
        <w:rPr>
          <w:lang w:val="de-DE"/>
        </w:rPr>
        <w:t>die</w:t>
      </w:r>
      <w:r w:rsidRPr="005D3057">
        <w:rPr>
          <w:lang w:val="de-DE"/>
        </w:rPr>
        <w:t xml:space="preserve"> </w:t>
      </w:r>
      <w:r w:rsidR="00774268" w:rsidRPr="005D3057">
        <w:rPr>
          <w:lang w:val="de-DE"/>
        </w:rPr>
        <w:t>Bedeutung</w:t>
      </w:r>
      <w:r w:rsidRPr="005D3057">
        <w:rPr>
          <w:lang w:val="de-DE"/>
        </w:rPr>
        <w:t xml:space="preserve"> </w:t>
      </w:r>
      <w:r w:rsidR="00774268" w:rsidRPr="005D3057">
        <w:rPr>
          <w:lang w:val="de-DE"/>
        </w:rPr>
        <w:t xml:space="preserve">der </w:t>
      </w:r>
      <w:r w:rsidR="00D80102" w:rsidRPr="005D3057">
        <w:rPr>
          <w:lang w:val="de-DE"/>
        </w:rPr>
        <w:t>Identifizierung</w:t>
      </w:r>
      <w:r w:rsidR="00774268" w:rsidRPr="005D3057">
        <w:rPr>
          <w:lang w:val="de-DE"/>
        </w:rPr>
        <w:t>, ob Unterschiede in der Anzahl</w:t>
      </w:r>
      <w:r w:rsidRPr="005D3057">
        <w:rPr>
          <w:lang w:val="de-DE"/>
        </w:rPr>
        <w:t xml:space="preserve"> </w:t>
      </w:r>
      <w:r w:rsidR="00D7067A" w:rsidRPr="005D3057">
        <w:rPr>
          <w:lang w:val="de-DE"/>
        </w:rPr>
        <w:t>von</w:t>
      </w:r>
      <w:r w:rsidRPr="005D3057">
        <w:rPr>
          <w:lang w:val="de-DE"/>
        </w:rPr>
        <w:t xml:space="preserve"> </w:t>
      </w:r>
      <w:r w:rsidR="001E6A84" w:rsidRPr="005D3057">
        <w:rPr>
          <w:lang w:val="de-DE"/>
        </w:rPr>
        <w:t>Abweicher</w:t>
      </w:r>
      <w:r w:rsidR="00D7067A" w:rsidRPr="005D3057">
        <w:rPr>
          <w:lang w:val="de-DE"/>
        </w:rPr>
        <w:t>n</w:t>
      </w:r>
      <w:r w:rsidRPr="005D3057">
        <w:rPr>
          <w:lang w:val="de-DE"/>
        </w:rPr>
        <w:t xml:space="preserve"> </w:t>
      </w:r>
      <w:r w:rsidR="00D7067A" w:rsidRPr="005D3057">
        <w:rPr>
          <w:lang w:val="de-DE"/>
        </w:rPr>
        <w:t xml:space="preserve">zwischen </w:t>
      </w:r>
      <w:r w:rsidR="00774268" w:rsidRPr="005D3057">
        <w:rPr>
          <w:lang w:val="de-DE"/>
        </w:rPr>
        <w:t>Wachstumsperioden</w:t>
      </w:r>
      <w:r w:rsidRPr="005D3057">
        <w:rPr>
          <w:lang w:val="de-DE"/>
        </w:rPr>
        <w:t xml:space="preserve"> </w:t>
      </w:r>
      <w:r w:rsidR="00774268" w:rsidRPr="005D3057">
        <w:rPr>
          <w:lang w:val="de-DE"/>
        </w:rPr>
        <w:t xml:space="preserve">durch </w:t>
      </w:r>
      <w:r w:rsidR="00D7067A" w:rsidRPr="005D3057">
        <w:rPr>
          <w:lang w:val="de-DE"/>
        </w:rPr>
        <w:t>biologische Ursachen</w:t>
      </w:r>
      <w:r w:rsidRPr="005D3057">
        <w:rPr>
          <w:lang w:val="de-DE"/>
        </w:rPr>
        <w:t xml:space="preserve"> </w:t>
      </w:r>
      <w:r w:rsidR="00D7067A" w:rsidRPr="005D3057">
        <w:rPr>
          <w:lang w:val="de-DE"/>
        </w:rPr>
        <w:t xml:space="preserve">oder </w:t>
      </w:r>
      <w:r w:rsidR="00F012C1">
        <w:rPr>
          <w:lang w:val="de-DE"/>
        </w:rPr>
        <w:t>durch Unterschiede in</w:t>
      </w:r>
      <w:r w:rsidR="00774268" w:rsidRPr="005D3057">
        <w:rPr>
          <w:lang w:val="de-DE"/>
        </w:rPr>
        <w:t xml:space="preserve"> der </w:t>
      </w:r>
      <w:r w:rsidR="00771F94" w:rsidRPr="005D3057">
        <w:rPr>
          <w:lang w:val="de-DE"/>
        </w:rPr>
        <w:t xml:space="preserve">Art der </w:t>
      </w:r>
      <w:r w:rsidR="00774268" w:rsidRPr="005D3057">
        <w:rPr>
          <w:lang w:val="de-DE"/>
        </w:rPr>
        <w:t>Probennahme</w:t>
      </w:r>
      <w:r w:rsidR="00D7067A" w:rsidRPr="005D3057">
        <w:rPr>
          <w:lang w:val="de-DE"/>
        </w:rPr>
        <w:t xml:space="preserve"> bedingt sind</w:t>
      </w:r>
      <w:r w:rsidR="00C9166E" w:rsidRPr="005D3057">
        <w:rPr>
          <w:lang w:val="de-DE"/>
        </w:rPr>
        <w:t>,</w:t>
      </w:r>
      <w:r w:rsidR="00FD594C" w:rsidRPr="005D3057">
        <w:rPr>
          <w:lang w:val="de-DE"/>
        </w:rPr>
        <w:t xml:space="preserve"> </w:t>
      </w:r>
      <w:r w:rsidR="00D7067A" w:rsidRPr="005D3057">
        <w:rPr>
          <w:lang w:val="de-DE"/>
        </w:rPr>
        <w:t xml:space="preserve">zur Kenntnis </w:t>
      </w:r>
      <w:r w:rsidR="00FD594C" w:rsidRPr="005D3057">
        <w:rPr>
          <w:lang w:val="de-DE"/>
        </w:rPr>
        <w:t xml:space="preserve">und </w:t>
      </w:r>
      <w:r w:rsidR="00EE28B0" w:rsidRPr="005D3057">
        <w:rPr>
          <w:lang w:val="de-DE"/>
        </w:rPr>
        <w:t>vereinbarte, daß</w:t>
      </w:r>
      <w:r w:rsidRPr="005D3057">
        <w:rPr>
          <w:lang w:val="de-DE"/>
        </w:rPr>
        <w:t xml:space="preserve"> </w:t>
      </w:r>
      <w:r w:rsidR="00D7067A" w:rsidRPr="005D3057">
        <w:rPr>
          <w:lang w:val="de-DE"/>
        </w:rPr>
        <w:t xml:space="preserve">der </w:t>
      </w:r>
      <w:r w:rsidRPr="005D3057">
        <w:rPr>
          <w:rFonts w:hint="eastAsia"/>
          <w:lang w:val="de-DE" w:eastAsia="ja-JP"/>
        </w:rPr>
        <w:t>relevant</w:t>
      </w:r>
      <w:r w:rsidR="00D7067A" w:rsidRPr="005D3057">
        <w:rPr>
          <w:lang w:val="de-DE" w:eastAsia="ja-JP"/>
        </w:rPr>
        <w:t>e</w:t>
      </w:r>
      <w:r w:rsidRPr="005D3057">
        <w:rPr>
          <w:rFonts w:hint="eastAsia"/>
          <w:lang w:val="de-DE" w:eastAsia="ja-JP"/>
        </w:rPr>
        <w:t xml:space="preserve"> </w:t>
      </w:r>
      <w:r w:rsidR="00D7067A" w:rsidRPr="005D3057">
        <w:rPr>
          <w:lang w:val="de-DE" w:eastAsia="ja-JP"/>
        </w:rPr>
        <w:t>Teil</w:t>
      </w:r>
      <w:r w:rsidR="00C9166E" w:rsidRPr="005D3057">
        <w:rPr>
          <w:lang w:val="de-DE" w:eastAsia="ja-JP"/>
        </w:rPr>
        <w:t xml:space="preserve"> </w:t>
      </w:r>
      <w:r w:rsidR="00D7067A" w:rsidRPr="005D3057">
        <w:rPr>
          <w:lang w:val="de-DE" w:eastAsia="ja-JP"/>
        </w:rPr>
        <w:t>von Ansatz</w:t>
      </w:r>
      <w:r w:rsidRPr="005D3057">
        <w:rPr>
          <w:rFonts w:hint="eastAsia"/>
          <w:lang w:val="de-DE" w:eastAsia="ja-JP"/>
        </w:rPr>
        <w:t xml:space="preserve"> 2</w:t>
      </w:r>
      <w:r w:rsidR="00FD594C" w:rsidRPr="005D3057">
        <w:rPr>
          <w:rFonts w:hint="eastAsia"/>
          <w:lang w:val="de-DE" w:eastAsia="ja-JP"/>
        </w:rPr>
        <w:t xml:space="preserve"> </w:t>
      </w:r>
      <w:r w:rsidR="00E54678" w:rsidRPr="005D3057">
        <w:rPr>
          <w:lang w:val="de-DE" w:eastAsia="ja-JP"/>
        </w:rPr>
        <w:t>bzw.</w:t>
      </w:r>
      <w:r w:rsidR="00FD594C" w:rsidRPr="005D3057">
        <w:rPr>
          <w:rFonts w:hint="eastAsia"/>
          <w:lang w:val="de-DE" w:eastAsia="ja-JP"/>
        </w:rPr>
        <w:t xml:space="preserve"> </w:t>
      </w:r>
      <w:r w:rsidRPr="005D3057">
        <w:rPr>
          <w:rFonts w:hint="eastAsia"/>
          <w:lang w:val="de-DE" w:eastAsia="ja-JP"/>
        </w:rPr>
        <w:t xml:space="preserve">3 </w:t>
      </w:r>
      <w:r w:rsidR="00D7067A" w:rsidRPr="005D3057">
        <w:rPr>
          <w:lang w:val="de-DE" w:eastAsia="ja-JP"/>
        </w:rPr>
        <w:t>des</w:t>
      </w:r>
      <w:r w:rsidRPr="005D3057">
        <w:rPr>
          <w:rFonts w:hint="eastAsia"/>
          <w:lang w:val="de-DE" w:eastAsia="ja-JP"/>
        </w:rPr>
        <w:t xml:space="preserve"> </w:t>
      </w:r>
      <w:r w:rsidR="00837D1F" w:rsidRPr="005D3057">
        <w:rPr>
          <w:lang w:val="de-DE"/>
        </w:rPr>
        <w:t>Entwurf</w:t>
      </w:r>
      <w:r w:rsidR="00D7067A" w:rsidRPr="005D3057">
        <w:rPr>
          <w:lang w:val="de-DE"/>
        </w:rPr>
        <w:t>s</w:t>
      </w:r>
      <w:r w:rsidR="00837D1F" w:rsidRPr="005D3057">
        <w:rPr>
          <w:lang w:val="de-DE"/>
        </w:rPr>
        <w:t xml:space="preserve"> für eine</w:t>
      </w:r>
      <w:r w:rsidRPr="005D3057">
        <w:rPr>
          <w:lang w:val="de-DE"/>
        </w:rPr>
        <w:t xml:space="preserve"> </w:t>
      </w:r>
      <w:r w:rsidR="006E4EF6" w:rsidRPr="005D3057">
        <w:rPr>
          <w:lang w:val="de-DE"/>
        </w:rPr>
        <w:t>Anleitung</w:t>
      </w:r>
      <w:r w:rsidRPr="005D3057">
        <w:rPr>
          <w:lang w:val="de-DE"/>
        </w:rPr>
        <w:t xml:space="preserve"> </w:t>
      </w:r>
      <w:r w:rsidR="00774268" w:rsidRPr="005D3057">
        <w:rPr>
          <w:lang w:val="de-DE"/>
        </w:rPr>
        <w:t>folgendermaßen geändert werden</w:t>
      </w:r>
      <w:r w:rsidR="00D7067A" w:rsidRPr="005D3057">
        <w:rPr>
          <w:lang w:val="de-DE"/>
        </w:rPr>
        <w:t xml:space="preserve"> sollte</w:t>
      </w:r>
      <w:r w:rsidRPr="005D3057">
        <w:rPr>
          <w:lang w:val="de-DE"/>
        </w:rPr>
        <w:t>:</w:t>
      </w:r>
    </w:p>
    <w:p w14:paraId="75EB88D7" w14:textId="77777777" w:rsidR="00B21F4F" w:rsidRPr="005D3057" w:rsidRDefault="00B21F4F" w:rsidP="00B21F4F">
      <w:pPr>
        <w:rPr>
          <w:lang w:val="de-DE" w:eastAsia="ja-JP"/>
        </w:rPr>
      </w:pPr>
    </w:p>
    <w:p w14:paraId="67ED94D7" w14:textId="3253ED7C" w:rsidR="00B21F4F" w:rsidRPr="005D3057" w:rsidRDefault="001E6A84" w:rsidP="002417EF">
      <w:pPr>
        <w:ind w:left="567" w:right="567"/>
        <w:rPr>
          <w:sz w:val="18"/>
          <w:lang w:val="de-DE"/>
        </w:rPr>
      </w:pPr>
      <w:r w:rsidRPr="005D3057">
        <w:rPr>
          <w:sz w:val="18"/>
          <w:lang w:val="de-DE"/>
        </w:rPr>
        <w:t>„</w:t>
      </w:r>
      <w:r w:rsidR="00DE21F2" w:rsidRPr="005D3057">
        <w:rPr>
          <w:sz w:val="18"/>
          <w:lang w:val="de-DE"/>
        </w:rPr>
        <w:t>Bei der Prüfung von Ergebnissen, die in jeder der Wachstumsperioden sehr unterschiedlich sind, muß mit größter Sorgfalt verfahren werden, etwa wenn ein Abweichertyp in einer Wachstumsperiode sehr häufig und in einer anderen überhaupt nicht vorkommt</w:t>
      </w:r>
      <w:r w:rsidR="001C2984" w:rsidRPr="005D3057">
        <w:rPr>
          <w:sz w:val="18"/>
          <w:lang w:val="de-DE"/>
        </w:rPr>
        <w:t xml:space="preserve"> sollte</w:t>
      </w:r>
      <w:r w:rsidR="00DE21F2" w:rsidRPr="005D3057">
        <w:rPr>
          <w:sz w:val="18"/>
          <w:lang w:val="de-DE"/>
        </w:rPr>
        <w:t>.</w:t>
      </w:r>
      <w:r w:rsidR="001C2984" w:rsidRPr="005D3057">
        <w:rPr>
          <w:sz w:val="18"/>
          <w:lang w:val="de-DE"/>
        </w:rPr>
        <w:t xml:space="preserve"> </w:t>
      </w:r>
      <w:r w:rsidR="001C2984" w:rsidRPr="00B675A1">
        <w:rPr>
          <w:sz w:val="18"/>
          <w:highlight w:val="lightGray"/>
          <w:u w:val="single"/>
          <w:lang w:val="de-DE"/>
        </w:rPr>
        <w:t xml:space="preserve">Gegebenenfalls </w:t>
      </w:r>
      <w:r w:rsidR="00D80102" w:rsidRPr="00B675A1">
        <w:rPr>
          <w:sz w:val="18"/>
          <w:highlight w:val="lightGray"/>
          <w:u w:val="single"/>
          <w:lang w:val="de-DE"/>
        </w:rPr>
        <w:t xml:space="preserve">sollte </w:t>
      </w:r>
      <w:r w:rsidR="001C2984" w:rsidRPr="00B675A1">
        <w:rPr>
          <w:sz w:val="18"/>
          <w:highlight w:val="lightGray"/>
          <w:u w:val="single"/>
          <w:lang w:val="de-DE"/>
        </w:rPr>
        <w:t>e</w:t>
      </w:r>
      <w:r w:rsidR="00DE21F2" w:rsidRPr="00B675A1">
        <w:rPr>
          <w:sz w:val="18"/>
          <w:highlight w:val="lightGray"/>
          <w:u w:val="single"/>
          <w:lang w:val="de-DE"/>
        </w:rPr>
        <w:t>ine statistis</w:t>
      </w:r>
      <w:r w:rsidR="001C2984" w:rsidRPr="00B675A1">
        <w:rPr>
          <w:sz w:val="18"/>
          <w:highlight w:val="lightGray"/>
          <w:u w:val="single"/>
          <w:lang w:val="de-DE"/>
        </w:rPr>
        <w:t>che Prüfung auf Einheitlichkeit</w:t>
      </w:r>
      <w:r w:rsidR="00DE21F2" w:rsidRPr="00B675A1">
        <w:rPr>
          <w:sz w:val="18"/>
          <w:highlight w:val="lightGray"/>
          <w:u w:val="single"/>
          <w:lang w:val="de-DE"/>
        </w:rPr>
        <w:t xml:space="preserve"> durchgeführt werden</w:t>
      </w:r>
      <w:r w:rsidR="00B21F4F" w:rsidRPr="00B675A1">
        <w:rPr>
          <w:sz w:val="18"/>
          <w:highlight w:val="lightGray"/>
          <w:lang w:val="de-DE"/>
        </w:rPr>
        <w:t>.</w:t>
      </w:r>
      <w:r w:rsidRPr="00B675A1">
        <w:rPr>
          <w:sz w:val="18"/>
          <w:highlight w:val="lightGray"/>
          <w:lang w:val="de-DE"/>
        </w:rPr>
        <w:t>“</w:t>
      </w:r>
    </w:p>
    <w:p w14:paraId="2073FC4F" w14:textId="77777777" w:rsidR="00B21F4F" w:rsidRPr="005D3057" w:rsidRDefault="00B21F4F" w:rsidP="002417EF">
      <w:pPr>
        <w:ind w:right="567"/>
        <w:rPr>
          <w:lang w:val="de-DE"/>
        </w:rPr>
      </w:pPr>
    </w:p>
    <w:p w14:paraId="1CA33460" w14:textId="58CA70E2" w:rsidR="00B21F4F" w:rsidRPr="005D3057" w:rsidRDefault="001E6A84" w:rsidP="002417EF">
      <w:pPr>
        <w:ind w:left="567" w:right="567"/>
        <w:rPr>
          <w:sz w:val="18"/>
          <w:lang w:val="de-DE"/>
        </w:rPr>
      </w:pPr>
      <w:r w:rsidRPr="005D3057">
        <w:rPr>
          <w:sz w:val="18"/>
          <w:lang w:val="de-DE"/>
        </w:rPr>
        <w:t>„</w:t>
      </w:r>
      <w:r w:rsidR="00DE21F2" w:rsidRPr="005D3057">
        <w:rPr>
          <w:sz w:val="18"/>
          <w:lang w:val="de-DE"/>
        </w:rPr>
        <w:t>Bei der Prüfung von Ergebnissen, die in jeder der Wachstumsperioden sehr unterschiedlich sind, muß mit größter Sorgfalt verfahren werden, etwa wenn ein Abweichertyp in einer Wachstumsperiode sehr häufig und in einer anderen überhaupt nicht vorkomm</w:t>
      </w:r>
      <w:r w:rsidR="00F012C1">
        <w:rPr>
          <w:sz w:val="18"/>
          <w:lang w:val="de-DE"/>
        </w:rPr>
        <w:t>en sollte</w:t>
      </w:r>
      <w:r w:rsidR="00DE21F2" w:rsidRPr="005D3057">
        <w:rPr>
          <w:sz w:val="18"/>
          <w:lang w:val="de-DE"/>
        </w:rPr>
        <w:t xml:space="preserve">. </w:t>
      </w:r>
      <w:r w:rsidR="00B675A1" w:rsidRPr="00B675A1">
        <w:rPr>
          <w:strike/>
          <w:sz w:val="18"/>
          <w:highlight w:val="lightGray"/>
          <w:lang w:val="de-DE"/>
        </w:rPr>
        <w:t>Wenn es möglich ist</w:t>
      </w:r>
      <w:r w:rsidR="00FD68B7" w:rsidRPr="00B675A1">
        <w:rPr>
          <w:sz w:val="18"/>
          <w:highlight w:val="lightGray"/>
          <w:u w:val="single"/>
          <w:lang w:val="de-DE"/>
        </w:rPr>
        <w:t>Gegebenenfalls</w:t>
      </w:r>
      <w:r w:rsidR="00FD68B7" w:rsidRPr="00B675A1">
        <w:rPr>
          <w:sz w:val="18"/>
          <w:highlight w:val="lightGray"/>
          <w:lang w:val="de-DE"/>
        </w:rPr>
        <w:t xml:space="preserve"> sollte </w:t>
      </w:r>
      <w:r w:rsidR="00FD68B7" w:rsidRPr="002417EF">
        <w:rPr>
          <w:sz w:val="18"/>
          <w:lang w:val="de-DE"/>
        </w:rPr>
        <w:t>e</w:t>
      </w:r>
      <w:r w:rsidR="00DE21F2" w:rsidRPr="002417EF">
        <w:rPr>
          <w:sz w:val="18"/>
          <w:lang w:val="de-DE"/>
        </w:rPr>
        <w:t xml:space="preserve">ine statistische </w:t>
      </w:r>
      <w:r w:rsidR="00DE21F2" w:rsidRPr="007E7698">
        <w:rPr>
          <w:sz w:val="18"/>
          <w:lang w:val="de-DE"/>
        </w:rPr>
        <w:t>Prüfung auf Einheitlichkeit</w:t>
      </w:r>
      <w:r w:rsidR="00FD68B7" w:rsidRPr="00B675A1">
        <w:rPr>
          <w:sz w:val="18"/>
          <w:highlight w:val="lightGray"/>
          <w:lang w:val="de-DE"/>
        </w:rPr>
        <w:t xml:space="preserve"> </w:t>
      </w:r>
      <w:r w:rsidR="00DE21F2" w:rsidRPr="00B675A1">
        <w:rPr>
          <w:sz w:val="18"/>
          <w:highlight w:val="lightGray"/>
          <w:u w:val="single"/>
          <w:lang w:val="de-DE"/>
        </w:rPr>
        <w:t>durchgeführt werden</w:t>
      </w:r>
      <w:r w:rsidR="00B21F4F" w:rsidRPr="00B675A1">
        <w:rPr>
          <w:sz w:val="18"/>
          <w:highlight w:val="lightGray"/>
          <w:lang w:val="de-DE"/>
        </w:rPr>
        <w:t>.</w:t>
      </w:r>
      <w:r w:rsidRPr="00B675A1">
        <w:rPr>
          <w:sz w:val="18"/>
          <w:highlight w:val="lightGray"/>
          <w:lang w:val="de-DE"/>
        </w:rPr>
        <w:t>“</w:t>
      </w:r>
    </w:p>
    <w:p w14:paraId="3C1CF9E7" w14:textId="77777777" w:rsidR="00B21F4F" w:rsidRPr="005D3057" w:rsidRDefault="00B21F4F" w:rsidP="00B21F4F">
      <w:pPr>
        <w:rPr>
          <w:lang w:val="de-DE"/>
        </w:rPr>
      </w:pPr>
    </w:p>
    <w:p w14:paraId="3EABE125" w14:textId="37288974" w:rsidR="00B21F4F" w:rsidRPr="005D3057" w:rsidRDefault="00B21F4F" w:rsidP="00B21F4F">
      <w:pPr>
        <w:rPr>
          <w:lang w:val="de-DE" w:eastAsia="ja-JP"/>
        </w:rPr>
      </w:pPr>
      <w:r w:rsidRPr="005D3057">
        <w:rPr>
          <w:lang w:eastAsia="ja-JP"/>
        </w:rPr>
        <w:fldChar w:fldCharType="begin"/>
      </w:r>
      <w:r w:rsidRPr="005D3057">
        <w:rPr>
          <w:lang w:val="de-DE" w:eastAsia="ja-JP"/>
        </w:rPr>
        <w:instrText xml:space="preserve"> AUTONUM  </w:instrText>
      </w:r>
      <w:r w:rsidRPr="005D3057">
        <w:rPr>
          <w:lang w:eastAsia="ja-JP"/>
        </w:rPr>
        <w:fldChar w:fldCharType="end"/>
      </w:r>
      <w:r w:rsidRPr="005D3057">
        <w:rPr>
          <w:lang w:val="de-DE" w:eastAsia="ja-JP"/>
        </w:rPr>
        <w:tab/>
      </w:r>
      <w:r w:rsidR="00856BDE" w:rsidRPr="005D3057">
        <w:rPr>
          <w:lang w:val="de-DE" w:eastAsia="ja-JP"/>
        </w:rPr>
        <w:t xml:space="preserve">Die </w:t>
      </w:r>
      <w:r w:rsidRPr="005D3057">
        <w:rPr>
          <w:lang w:val="de-DE" w:eastAsia="ja-JP"/>
        </w:rPr>
        <w:t xml:space="preserve">TWC </w:t>
      </w:r>
      <w:r w:rsidR="00EE28B0" w:rsidRPr="005D3057">
        <w:rPr>
          <w:lang w:val="de-DE" w:eastAsia="ja-JP"/>
        </w:rPr>
        <w:t>prüfte</w:t>
      </w:r>
      <w:r w:rsidRPr="005D3057">
        <w:rPr>
          <w:lang w:val="de-DE" w:eastAsia="ja-JP"/>
        </w:rPr>
        <w:t xml:space="preserve"> </w:t>
      </w:r>
      <w:r w:rsidR="006E4EF6" w:rsidRPr="005D3057">
        <w:rPr>
          <w:lang w:val="de-DE" w:eastAsia="ja-JP"/>
        </w:rPr>
        <w:t>Dokument</w:t>
      </w:r>
      <w:r w:rsidRPr="005D3057">
        <w:rPr>
          <w:lang w:val="de-DE" w:eastAsia="ja-JP"/>
        </w:rPr>
        <w:t xml:space="preserve"> TWC/34/27 </w:t>
      </w:r>
      <w:r w:rsidR="001E6A84" w:rsidRPr="005D3057">
        <w:rPr>
          <w:lang w:val="de-DE" w:eastAsia="ja-JP"/>
        </w:rPr>
        <w:t>„</w:t>
      </w:r>
      <w:r w:rsidR="007C478E" w:rsidRPr="007E7698">
        <w:rPr>
          <w:i/>
          <w:lang w:val="de-DE" w:eastAsia="ja-JP"/>
        </w:rPr>
        <w:t>Practical experience of assessing uniformity by off-types on oilseed rape and cauliflower</w:t>
      </w:r>
      <w:r w:rsidR="001E6A84" w:rsidRPr="005D3057">
        <w:rPr>
          <w:lang w:val="de-DE" w:eastAsia="ja-JP"/>
        </w:rPr>
        <w:t>“</w:t>
      </w:r>
      <w:r w:rsidR="00FD594C" w:rsidRPr="005D3057">
        <w:rPr>
          <w:lang w:val="de-DE" w:eastAsia="ja-JP"/>
        </w:rPr>
        <w:t xml:space="preserve"> und </w:t>
      </w:r>
      <w:r w:rsidR="003F220F" w:rsidRPr="005D3057">
        <w:rPr>
          <w:lang w:val="de-DE" w:eastAsia="ja-JP"/>
        </w:rPr>
        <w:t>hörte ein Referat von einem Sachverständigen aus Frankreich</w:t>
      </w:r>
      <w:r w:rsidRPr="005D3057">
        <w:rPr>
          <w:lang w:val="de-DE" w:eastAsia="ja-JP"/>
        </w:rPr>
        <w:t xml:space="preserve">, </w:t>
      </w:r>
      <w:r w:rsidR="00EE28B0" w:rsidRPr="005D3057">
        <w:rPr>
          <w:lang w:val="de-DE" w:eastAsia="ja-JP"/>
        </w:rPr>
        <w:t xml:space="preserve">von dem eine Abschrift </w:t>
      </w:r>
      <w:r w:rsidRPr="005D3057">
        <w:rPr>
          <w:lang w:val="de-DE" w:eastAsia="ja-JP"/>
        </w:rPr>
        <w:t xml:space="preserve">in </w:t>
      </w:r>
      <w:r w:rsidR="00D7067A" w:rsidRPr="005D3057">
        <w:rPr>
          <w:lang w:val="de-DE" w:eastAsia="ja-JP"/>
        </w:rPr>
        <w:t xml:space="preserve">der </w:t>
      </w:r>
      <w:r w:rsidR="00774268" w:rsidRPr="005D3057">
        <w:rPr>
          <w:lang w:val="de-DE" w:eastAsia="ja-JP"/>
        </w:rPr>
        <w:t>Anlage des Dokuments</w:t>
      </w:r>
      <w:r w:rsidRPr="005D3057">
        <w:rPr>
          <w:lang w:val="de-DE" w:eastAsia="ja-JP"/>
        </w:rPr>
        <w:t xml:space="preserve"> TWC/34/27</w:t>
      </w:r>
      <w:r w:rsidR="00D7067A" w:rsidRPr="005D3057">
        <w:rPr>
          <w:lang w:val="de-DE" w:eastAsia="ja-JP"/>
        </w:rPr>
        <w:t xml:space="preserve"> wiedergegeben ist</w:t>
      </w:r>
      <w:r w:rsidRPr="005D3057">
        <w:rPr>
          <w:lang w:val="de-DE" w:eastAsia="ja-JP"/>
        </w:rPr>
        <w:t>.</w:t>
      </w:r>
    </w:p>
    <w:p w14:paraId="62E91431" w14:textId="77777777" w:rsidR="00B21F4F" w:rsidRPr="005D3057" w:rsidRDefault="00B21F4F" w:rsidP="00B21F4F">
      <w:pPr>
        <w:rPr>
          <w:lang w:val="de-DE" w:eastAsia="ja-JP"/>
        </w:rPr>
      </w:pPr>
    </w:p>
    <w:p w14:paraId="22B88E25" w14:textId="19861AC7" w:rsidR="00B21F4F" w:rsidRPr="005D3057" w:rsidRDefault="00B21F4F" w:rsidP="00B21F4F">
      <w:pPr>
        <w:rPr>
          <w:rFonts w:cs="Arial"/>
          <w:lang w:val="de-DE"/>
        </w:rPr>
      </w:pPr>
      <w:r w:rsidRPr="005D3057">
        <w:fldChar w:fldCharType="begin"/>
      </w:r>
      <w:r w:rsidRPr="005D3057">
        <w:rPr>
          <w:lang w:val="de-DE"/>
        </w:rPr>
        <w:instrText xml:space="preserve"> AUTONUM  </w:instrText>
      </w:r>
      <w:r w:rsidRPr="005D3057">
        <w:fldChar w:fldCharType="end"/>
      </w:r>
      <w:r w:rsidRPr="005D3057">
        <w:rPr>
          <w:lang w:val="de-DE"/>
        </w:rPr>
        <w:tab/>
      </w:r>
      <w:r w:rsidR="00856BDE" w:rsidRPr="005D3057">
        <w:rPr>
          <w:lang w:val="de-DE"/>
        </w:rPr>
        <w:t xml:space="preserve">Die </w:t>
      </w:r>
      <w:r w:rsidRPr="005D3057">
        <w:rPr>
          <w:lang w:val="de-DE"/>
        </w:rPr>
        <w:t xml:space="preserve">TWC </w:t>
      </w:r>
      <w:r w:rsidR="00774268" w:rsidRPr="005D3057">
        <w:rPr>
          <w:rFonts w:cs="Arial"/>
          <w:lang w:val="de-DE"/>
        </w:rPr>
        <w:t xml:space="preserve">nahm </w:t>
      </w:r>
      <w:r w:rsidR="00D7067A" w:rsidRPr="005D3057">
        <w:rPr>
          <w:rFonts w:cs="Arial"/>
          <w:lang w:val="de-DE"/>
        </w:rPr>
        <w:t xml:space="preserve">die </w:t>
      </w:r>
      <w:r w:rsidR="00774268" w:rsidRPr="005D3057">
        <w:rPr>
          <w:rFonts w:cs="Arial"/>
          <w:lang w:val="de-DE"/>
        </w:rPr>
        <w:t>S</w:t>
      </w:r>
      <w:r w:rsidRPr="005D3057">
        <w:rPr>
          <w:rFonts w:cs="Arial"/>
          <w:lang w:val="de-DE"/>
        </w:rPr>
        <w:t xml:space="preserve">imulation </w:t>
      </w:r>
      <w:r w:rsidR="00774268" w:rsidRPr="005D3057">
        <w:rPr>
          <w:rFonts w:cs="Arial"/>
          <w:lang w:val="de-DE"/>
        </w:rPr>
        <w:t>von</w:t>
      </w:r>
      <w:r w:rsidRPr="005D3057">
        <w:rPr>
          <w:rFonts w:cs="Arial"/>
          <w:lang w:val="de-DE"/>
        </w:rPr>
        <w:t xml:space="preserve"> </w:t>
      </w:r>
      <w:r w:rsidR="00D7067A" w:rsidRPr="005D3057">
        <w:rPr>
          <w:rFonts w:cs="Arial"/>
          <w:lang w:val="de-DE"/>
        </w:rPr>
        <w:t xml:space="preserve">Entscheidungen </w:t>
      </w:r>
      <w:r w:rsidR="00774268" w:rsidRPr="005D3057">
        <w:rPr>
          <w:rFonts w:cs="Arial"/>
          <w:lang w:val="de-DE"/>
        </w:rPr>
        <w:t>unter Verwendung von</w:t>
      </w:r>
      <w:r w:rsidRPr="005D3057">
        <w:rPr>
          <w:rFonts w:cs="Arial"/>
          <w:lang w:val="de-DE"/>
        </w:rPr>
        <w:t xml:space="preserve"> </w:t>
      </w:r>
      <w:r w:rsidR="00837D1F" w:rsidRPr="005D3057">
        <w:rPr>
          <w:rFonts w:cs="Arial"/>
          <w:lang w:val="de-DE"/>
        </w:rPr>
        <w:t>Ansätzen</w:t>
      </w:r>
      <w:r w:rsidRPr="005D3057">
        <w:rPr>
          <w:rFonts w:cs="Arial"/>
          <w:lang w:val="de-DE"/>
        </w:rPr>
        <w:t xml:space="preserve"> 1</w:t>
      </w:r>
      <w:r w:rsidR="00FD594C" w:rsidRPr="005D3057">
        <w:rPr>
          <w:rFonts w:cs="Arial"/>
          <w:lang w:val="de-DE"/>
        </w:rPr>
        <w:t xml:space="preserve"> und </w:t>
      </w:r>
      <w:r w:rsidRPr="005D3057">
        <w:rPr>
          <w:rFonts w:cs="Arial"/>
          <w:lang w:val="de-DE"/>
        </w:rPr>
        <w:t xml:space="preserve">3 </w:t>
      </w:r>
      <w:r w:rsidR="00DA0096" w:rsidRPr="005D3057">
        <w:rPr>
          <w:rFonts w:cs="Arial"/>
          <w:lang w:val="de-DE"/>
        </w:rPr>
        <w:t>für</w:t>
      </w:r>
      <w:r w:rsidRPr="005D3057">
        <w:rPr>
          <w:rFonts w:cs="Arial"/>
          <w:lang w:val="de-DE"/>
        </w:rPr>
        <w:t xml:space="preserve"> </w:t>
      </w:r>
      <w:r w:rsidR="00EE28B0" w:rsidRPr="005D3057">
        <w:rPr>
          <w:rFonts w:cs="Arial"/>
          <w:lang w:val="de-DE"/>
        </w:rPr>
        <w:t>unterschiedliche</w:t>
      </w:r>
      <w:r w:rsidRPr="005D3057">
        <w:rPr>
          <w:rFonts w:cs="Arial"/>
          <w:lang w:val="de-DE"/>
        </w:rPr>
        <w:t xml:space="preserve"> </w:t>
      </w:r>
      <w:r w:rsidR="00774268" w:rsidRPr="005D3057">
        <w:rPr>
          <w:rFonts w:cs="Arial"/>
          <w:lang w:val="de-DE"/>
        </w:rPr>
        <w:t>Pflanzen</w:t>
      </w:r>
      <w:r w:rsidR="00D7067A" w:rsidRPr="005D3057">
        <w:rPr>
          <w:rFonts w:cs="Arial"/>
          <w:lang w:val="de-DE"/>
        </w:rPr>
        <w:t xml:space="preserve"> zur Kenntnis</w:t>
      </w:r>
      <w:r w:rsidR="00FD594C" w:rsidRPr="005D3057">
        <w:rPr>
          <w:rFonts w:cs="Arial"/>
          <w:lang w:val="de-DE"/>
        </w:rPr>
        <w:t xml:space="preserve"> und </w:t>
      </w:r>
      <w:r w:rsidR="00EE28B0" w:rsidRPr="005D3057">
        <w:rPr>
          <w:rFonts w:cs="Arial"/>
          <w:lang w:val="de-DE"/>
        </w:rPr>
        <w:t>vereinbarte</w:t>
      </w:r>
      <w:r w:rsidRPr="005D3057">
        <w:rPr>
          <w:rFonts w:cs="Arial"/>
          <w:lang w:val="de-DE"/>
        </w:rPr>
        <w:t xml:space="preserve"> </w:t>
      </w:r>
      <w:r w:rsidR="00774268" w:rsidRPr="005D3057">
        <w:rPr>
          <w:rFonts w:cs="Arial"/>
          <w:lang w:val="de-DE"/>
        </w:rPr>
        <w:t>die Nützlichkeit</w:t>
      </w:r>
      <w:r w:rsidRPr="005D3057">
        <w:rPr>
          <w:rFonts w:cs="Arial"/>
          <w:lang w:val="de-DE"/>
        </w:rPr>
        <w:t xml:space="preserve"> </w:t>
      </w:r>
      <w:r w:rsidR="00774268" w:rsidRPr="005D3057">
        <w:rPr>
          <w:rFonts w:cs="Arial"/>
          <w:lang w:val="de-DE"/>
        </w:rPr>
        <w:t>der praktische</w:t>
      </w:r>
      <w:r w:rsidR="00D7067A" w:rsidRPr="005D3057">
        <w:rPr>
          <w:rFonts w:cs="Arial"/>
          <w:lang w:val="de-DE"/>
        </w:rPr>
        <w:t>n</w:t>
      </w:r>
      <w:r w:rsidR="00774268" w:rsidRPr="005D3057">
        <w:rPr>
          <w:rFonts w:cs="Arial"/>
          <w:lang w:val="de-DE"/>
        </w:rPr>
        <w:t xml:space="preserve"> Beispiele</w:t>
      </w:r>
      <w:r w:rsidRPr="005D3057">
        <w:rPr>
          <w:rFonts w:cs="Arial"/>
          <w:lang w:val="de-DE"/>
        </w:rPr>
        <w:t xml:space="preserve">. </w:t>
      </w:r>
      <w:r w:rsidR="00856BDE" w:rsidRPr="005D3057">
        <w:rPr>
          <w:rFonts w:cs="Arial"/>
          <w:lang w:val="de-DE"/>
        </w:rPr>
        <w:t xml:space="preserve">Die </w:t>
      </w:r>
      <w:r w:rsidRPr="005D3057">
        <w:rPr>
          <w:rFonts w:cs="Arial"/>
          <w:lang w:val="de-DE"/>
        </w:rPr>
        <w:t xml:space="preserve">TWC </w:t>
      </w:r>
      <w:r w:rsidR="00774268" w:rsidRPr="005D3057">
        <w:rPr>
          <w:rFonts w:cs="Arial"/>
          <w:lang w:val="de-DE"/>
        </w:rPr>
        <w:t>nahm zur Kenntnis, daß</w:t>
      </w:r>
      <w:r w:rsidRPr="005D3057">
        <w:rPr>
          <w:rFonts w:cs="Arial"/>
          <w:lang w:val="de-DE"/>
        </w:rPr>
        <w:t xml:space="preserve"> </w:t>
      </w:r>
      <w:r w:rsidR="00774268" w:rsidRPr="005D3057">
        <w:rPr>
          <w:rFonts w:cs="Arial"/>
          <w:lang w:val="de-DE"/>
        </w:rPr>
        <w:t>Fälle</w:t>
      </w:r>
      <w:r w:rsidRPr="005D3057">
        <w:rPr>
          <w:rFonts w:cs="Arial"/>
          <w:lang w:val="de-DE"/>
        </w:rPr>
        <w:t xml:space="preserve"> </w:t>
      </w:r>
      <w:r w:rsidR="00D7067A" w:rsidRPr="005D3057">
        <w:rPr>
          <w:rFonts w:cs="Arial"/>
          <w:lang w:val="de-DE"/>
        </w:rPr>
        <w:t>von</w:t>
      </w:r>
      <w:r w:rsidRPr="005D3057">
        <w:rPr>
          <w:rFonts w:cs="Arial"/>
          <w:lang w:val="de-DE"/>
        </w:rPr>
        <w:t xml:space="preserve"> </w:t>
      </w:r>
      <w:r w:rsidR="00774268" w:rsidRPr="005D3057">
        <w:rPr>
          <w:rFonts w:cs="Arial"/>
          <w:lang w:val="de-DE"/>
        </w:rPr>
        <w:t>abweichenden Ergebnissen</w:t>
      </w:r>
      <w:r w:rsidRPr="005D3057">
        <w:rPr>
          <w:rFonts w:cs="Arial"/>
          <w:lang w:val="de-DE"/>
        </w:rPr>
        <w:t xml:space="preserve"> </w:t>
      </w:r>
      <w:r w:rsidR="00D7067A" w:rsidRPr="005D3057">
        <w:rPr>
          <w:rFonts w:cs="Arial"/>
          <w:lang w:val="de-DE"/>
        </w:rPr>
        <w:t xml:space="preserve">zwischen </w:t>
      </w:r>
      <w:r w:rsidRPr="005D3057">
        <w:rPr>
          <w:rFonts w:cs="Arial"/>
          <w:lang w:val="de-DE"/>
        </w:rPr>
        <w:t xml:space="preserve">2 </w:t>
      </w:r>
      <w:r w:rsidR="003F220F" w:rsidRPr="005D3057">
        <w:rPr>
          <w:rFonts w:cs="Arial"/>
          <w:lang w:val="de-DE"/>
        </w:rPr>
        <w:t>Wachstums</w:t>
      </w:r>
      <w:r w:rsidR="00FF32EB" w:rsidRPr="005D3057">
        <w:rPr>
          <w:rFonts w:cs="Arial"/>
          <w:lang w:val="de-DE"/>
        </w:rPr>
        <w:t>perioden</w:t>
      </w:r>
      <w:r w:rsidRPr="005D3057">
        <w:rPr>
          <w:rFonts w:cs="Arial"/>
          <w:lang w:val="de-DE"/>
        </w:rPr>
        <w:t xml:space="preserve"> </w:t>
      </w:r>
      <w:r w:rsidR="00D7067A" w:rsidRPr="005D3057">
        <w:rPr>
          <w:rFonts w:cs="Arial"/>
          <w:lang w:val="de-DE"/>
        </w:rPr>
        <w:t xml:space="preserve">nicht </w:t>
      </w:r>
      <w:r w:rsidR="00774268" w:rsidRPr="005D3057">
        <w:rPr>
          <w:rFonts w:cs="Arial"/>
          <w:lang w:val="de-DE"/>
        </w:rPr>
        <w:t>üblich</w:t>
      </w:r>
      <w:r w:rsidR="00D7067A" w:rsidRPr="005D3057">
        <w:rPr>
          <w:rFonts w:cs="Arial"/>
          <w:lang w:val="de-DE"/>
        </w:rPr>
        <w:t xml:space="preserve"> sind</w:t>
      </w:r>
      <w:r w:rsidR="00774268" w:rsidRPr="005D3057">
        <w:rPr>
          <w:rFonts w:cs="Arial"/>
          <w:lang w:val="de-DE"/>
        </w:rPr>
        <w:t xml:space="preserve">, da die </w:t>
      </w:r>
      <w:r w:rsidR="00D7067A" w:rsidRPr="005D3057">
        <w:rPr>
          <w:rFonts w:cs="Arial"/>
          <w:lang w:val="de-DE"/>
        </w:rPr>
        <w:t xml:space="preserve">meisten </w:t>
      </w:r>
      <w:r w:rsidR="00774268" w:rsidRPr="005D3057">
        <w:rPr>
          <w:rFonts w:cs="Arial"/>
          <w:lang w:val="de-DE"/>
        </w:rPr>
        <w:t>Sorten</w:t>
      </w:r>
      <w:r w:rsidRPr="005D3057">
        <w:rPr>
          <w:rFonts w:cs="Arial"/>
          <w:lang w:val="de-DE"/>
        </w:rPr>
        <w:t xml:space="preserve"> </w:t>
      </w:r>
      <w:r w:rsidR="00774268" w:rsidRPr="005D3057">
        <w:rPr>
          <w:rFonts w:cs="Arial"/>
          <w:lang w:val="de-DE"/>
        </w:rPr>
        <w:t>den Anforderungen</w:t>
      </w:r>
      <w:r w:rsidRPr="005D3057">
        <w:rPr>
          <w:rFonts w:cs="Arial"/>
          <w:lang w:val="de-DE"/>
        </w:rPr>
        <w:t xml:space="preserve"> </w:t>
      </w:r>
      <w:r w:rsidR="00774268" w:rsidRPr="005D3057">
        <w:rPr>
          <w:rFonts w:cs="Arial"/>
          <w:lang w:val="de-DE"/>
        </w:rPr>
        <w:t xml:space="preserve">entweder </w:t>
      </w:r>
      <w:r w:rsidR="00D80102" w:rsidRPr="005D3057">
        <w:rPr>
          <w:rFonts w:cs="Arial"/>
          <w:lang w:val="de-DE"/>
        </w:rPr>
        <w:t xml:space="preserve">in beiden Wachstumsperioden </w:t>
      </w:r>
      <w:r w:rsidR="00774268" w:rsidRPr="005D3057">
        <w:rPr>
          <w:rFonts w:cs="Arial"/>
          <w:lang w:val="de-DE"/>
        </w:rPr>
        <w:t xml:space="preserve">entsprechen oder </w:t>
      </w:r>
      <w:r w:rsidR="00D80102" w:rsidRPr="005D3057">
        <w:rPr>
          <w:rFonts w:cs="Arial"/>
          <w:lang w:val="de-DE"/>
        </w:rPr>
        <w:t xml:space="preserve">in beiden Wachstumsperioden </w:t>
      </w:r>
      <w:r w:rsidR="00774268" w:rsidRPr="005D3057">
        <w:rPr>
          <w:rFonts w:cs="Arial"/>
          <w:lang w:val="de-DE"/>
        </w:rPr>
        <w:t>nicht entsprechen</w:t>
      </w:r>
      <w:r w:rsidR="00A97752" w:rsidRPr="005D3057">
        <w:rPr>
          <w:rFonts w:cs="Arial"/>
          <w:lang w:val="de-DE"/>
        </w:rPr>
        <w:t xml:space="preserve"> würden</w:t>
      </w:r>
      <w:r w:rsidRPr="005D3057">
        <w:rPr>
          <w:rFonts w:cs="Arial"/>
          <w:lang w:val="de-DE"/>
        </w:rPr>
        <w:t>.</w:t>
      </w:r>
      <w:r w:rsidR="007B0CA4" w:rsidRPr="005D3057">
        <w:rPr>
          <w:rFonts w:cs="Arial"/>
          <w:lang w:val="de-DE"/>
        </w:rPr>
        <w:t xml:space="preserve"> </w:t>
      </w:r>
    </w:p>
    <w:p w14:paraId="1D31DBF6" w14:textId="77777777" w:rsidR="00B21F4F" w:rsidRPr="005D3057" w:rsidRDefault="00B21F4F" w:rsidP="00B21F4F">
      <w:pPr>
        <w:rPr>
          <w:rFonts w:cs="Arial"/>
          <w:lang w:val="de-DE"/>
        </w:rPr>
      </w:pPr>
    </w:p>
    <w:p w14:paraId="1CD040E4" w14:textId="7CC61086" w:rsidR="00B21F4F" w:rsidRPr="005D3057" w:rsidRDefault="00B21F4F" w:rsidP="00B21F4F">
      <w:pPr>
        <w:rPr>
          <w:lang w:val="de-DE" w:eastAsia="ja-JP"/>
        </w:rPr>
      </w:pPr>
      <w:r w:rsidRPr="005D3057">
        <w:fldChar w:fldCharType="begin"/>
      </w:r>
      <w:r w:rsidRPr="005D3057">
        <w:rPr>
          <w:lang w:val="de-DE"/>
        </w:rPr>
        <w:instrText xml:space="preserve"> AUTONUM  </w:instrText>
      </w:r>
      <w:r w:rsidRPr="005D3057">
        <w:fldChar w:fldCharType="end"/>
      </w:r>
      <w:r w:rsidRPr="005D3057">
        <w:rPr>
          <w:lang w:val="de-DE"/>
        </w:rPr>
        <w:tab/>
      </w:r>
      <w:r w:rsidRPr="005D3057">
        <w:rPr>
          <w:rFonts w:cs="Arial" w:hint="eastAsia"/>
          <w:lang w:val="de-DE" w:eastAsia="ja-JP"/>
        </w:rPr>
        <w:t xml:space="preserve"> </w:t>
      </w:r>
      <w:r w:rsidR="00856BDE" w:rsidRPr="005D3057">
        <w:rPr>
          <w:lang w:val="de-DE" w:eastAsia="ja-JP"/>
        </w:rPr>
        <w:t>Die</w:t>
      </w:r>
      <w:r w:rsidR="00856BDE" w:rsidRPr="005D3057">
        <w:rPr>
          <w:rFonts w:hint="eastAsia"/>
          <w:lang w:val="de-DE" w:eastAsia="ja-JP"/>
        </w:rPr>
        <w:t xml:space="preserve"> </w:t>
      </w:r>
      <w:r w:rsidRPr="005D3057">
        <w:rPr>
          <w:rFonts w:hint="eastAsia"/>
          <w:lang w:val="de-DE" w:eastAsia="ja-JP"/>
        </w:rPr>
        <w:t>T</w:t>
      </w:r>
      <w:r w:rsidRPr="005D3057">
        <w:rPr>
          <w:lang w:val="de-DE" w:eastAsia="ja-JP"/>
        </w:rPr>
        <w:t>W</w:t>
      </w:r>
      <w:r w:rsidRPr="005D3057">
        <w:rPr>
          <w:rFonts w:hint="eastAsia"/>
          <w:lang w:val="de-DE" w:eastAsia="ja-JP"/>
        </w:rPr>
        <w:t xml:space="preserve">C </w:t>
      </w:r>
      <w:r w:rsidR="00774268" w:rsidRPr="005D3057">
        <w:rPr>
          <w:rFonts w:hint="eastAsia"/>
          <w:lang w:val="de-DE" w:eastAsia="ja-JP"/>
        </w:rPr>
        <w:t xml:space="preserve">nahm </w:t>
      </w:r>
      <w:r w:rsidR="00D7067A" w:rsidRPr="005D3057">
        <w:rPr>
          <w:lang w:val="de-DE" w:eastAsia="ja-JP"/>
        </w:rPr>
        <w:t>die</w:t>
      </w:r>
      <w:r w:rsidRPr="005D3057">
        <w:rPr>
          <w:rFonts w:hint="eastAsia"/>
          <w:lang w:val="de-DE" w:eastAsia="ja-JP"/>
        </w:rPr>
        <w:t xml:space="preserve"> </w:t>
      </w:r>
      <w:r w:rsidR="00774268" w:rsidRPr="005D3057">
        <w:rPr>
          <w:rFonts w:hint="eastAsia"/>
          <w:lang w:val="de-DE" w:eastAsia="ja-JP"/>
        </w:rPr>
        <w:t>Erläuterung</w:t>
      </w:r>
      <w:r w:rsidRPr="005D3057">
        <w:rPr>
          <w:rFonts w:hint="eastAsia"/>
          <w:lang w:val="de-DE" w:eastAsia="ja-JP"/>
        </w:rPr>
        <w:t xml:space="preserve"> </w:t>
      </w:r>
      <w:r w:rsidR="00D7067A" w:rsidRPr="005D3057">
        <w:rPr>
          <w:lang w:val="de-DE" w:eastAsia="ja-JP"/>
        </w:rPr>
        <w:t>der</w:t>
      </w:r>
      <w:r w:rsidRPr="005D3057">
        <w:rPr>
          <w:rFonts w:hint="eastAsia"/>
          <w:lang w:val="de-DE" w:eastAsia="ja-JP"/>
        </w:rPr>
        <w:t xml:space="preserve"> </w:t>
      </w:r>
      <w:r w:rsidR="00774268" w:rsidRPr="005D3057">
        <w:rPr>
          <w:rFonts w:hint="eastAsia"/>
          <w:lang w:val="de-DE" w:eastAsia="ja-JP"/>
        </w:rPr>
        <w:t>Anforderung</w:t>
      </w:r>
      <w:r w:rsidRPr="005D3057">
        <w:rPr>
          <w:rFonts w:hint="eastAsia"/>
          <w:lang w:val="de-DE" w:eastAsia="ja-JP"/>
        </w:rPr>
        <w:t xml:space="preserve"> </w:t>
      </w:r>
      <w:r w:rsidR="00774268" w:rsidRPr="005D3057">
        <w:rPr>
          <w:lang w:val="de-DE" w:eastAsia="ja-JP"/>
        </w:rPr>
        <w:t>von</w:t>
      </w:r>
      <w:r w:rsidRPr="005D3057">
        <w:rPr>
          <w:rFonts w:hint="eastAsia"/>
          <w:lang w:val="de-DE" w:eastAsia="ja-JP"/>
        </w:rPr>
        <w:t xml:space="preserve"> </w:t>
      </w:r>
      <w:r w:rsidR="001E6A84" w:rsidRPr="005D3057">
        <w:rPr>
          <w:lang w:val="de-DE" w:eastAsia="ja-JP"/>
        </w:rPr>
        <w:t>„</w:t>
      </w:r>
      <w:r w:rsidR="00D7067A" w:rsidRPr="005D3057">
        <w:rPr>
          <w:lang w:val="de-DE" w:eastAsia="ja-JP"/>
        </w:rPr>
        <w:t>unabhängiger</w:t>
      </w:r>
      <w:r w:rsidR="00D7067A" w:rsidRPr="005D3057">
        <w:rPr>
          <w:rFonts w:hint="eastAsia"/>
          <w:lang w:val="de-DE" w:eastAsia="ja-JP"/>
        </w:rPr>
        <w:t xml:space="preserve"> </w:t>
      </w:r>
      <w:r w:rsidR="003F220F" w:rsidRPr="005D3057">
        <w:rPr>
          <w:rFonts w:hint="eastAsia"/>
          <w:lang w:val="de-DE" w:eastAsia="ja-JP"/>
        </w:rPr>
        <w:t>Wachstumsperiode</w:t>
      </w:r>
      <w:r w:rsidR="001E6A84" w:rsidRPr="005D3057">
        <w:rPr>
          <w:lang w:val="de-DE" w:eastAsia="ja-JP"/>
        </w:rPr>
        <w:t>“</w:t>
      </w:r>
      <w:r w:rsidRPr="005D3057">
        <w:rPr>
          <w:rFonts w:hint="eastAsia"/>
          <w:lang w:val="de-DE" w:eastAsia="ja-JP"/>
        </w:rPr>
        <w:t xml:space="preserve"> </w:t>
      </w:r>
      <w:r w:rsidR="003F220F" w:rsidRPr="005D3057">
        <w:rPr>
          <w:rFonts w:hint="eastAsia"/>
          <w:lang w:val="de-DE" w:eastAsia="ja-JP"/>
        </w:rPr>
        <w:t>von einem Sachverständigen</w:t>
      </w:r>
      <w:r w:rsidRPr="005D3057">
        <w:rPr>
          <w:rFonts w:hint="eastAsia"/>
          <w:lang w:val="de-DE" w:eastAsia="ja-JP"/>
        </w:rPr>
        <w:t xml:space="preserve"> </w:t>
      </w:r>
      <w:r w:rsidR="00D7067A" w:rsidRPr="005D3057">
        <w:rPr>
          <w:lang w:val="de-DE" w:eastAsia="ja-JP"/>
        </w:rPr>
        <w:t>aus</w:t>
      </w:r>
      <w:r w:rsidR="00D7067A" w:rsidRPr="005D3057">
        <w:rPr>
          <w:rFonts w:hint="eastAsia"/>
          <w:lang w:val="de-DE" w:eastAsia="ja-JP"/>
        </w:rPr>
        <w:t xml:space="preserve"> </w:t>
      </w:r>
      <w:r w:rsidR="0010184B" w:rsidRPr="005D3057">
        <w:rPr>
          <w:lang w:val="de-DE" w:eastAsia="ja-JP"/>
        </w:rPr>
        <w:t>Frankr</w:t>
      </w:r>
      <w:r w:rsidRPr="005D3057">
        <w:rPr>
          <w:lang w:val="de-DE" w:eastAsia="ja-JP"/>
        </w:rPr>
        <w:t>e</w:t>
      </w:r>
      <w:r w:rsidR="0010184B" w:rsidRPr="005D3057">
        <w:rPr>
          <w:lang w:val="de-DE" w:eastAsia="ja-JP"/>
        </w:rPr>
        <w:t>ich</w:t>
      </w:r>
      <w:r w:rsidR="00FD594C" w:rsidRPr="005D3057">
        <w:rPr>
          <w:rFonts w:hint="eastAsia"/>
          <w:lang w:val="de-DE" w:eastAsia="ja-JP"/>
        </w:rPr>
        <w:t xml:space="preserve"> und </w:t>
      </w:r>
      <w:r w:rsidR="00774268" w:rsidRPr="005D3057">
        <w:rPr>
          <w:lang w:val="de-DE" w:eastAsia="ja-JP"/>
        </w:rPr>
        <w:t xml:space="preserve">die Präferenz </w:t>
      </w:r>
      <w:r w:rsidR="00D7067A" w:rsidRPr="005D3057">
        <w:rPr>
          <w:rFonts w:cs="Arial"/>
          <w:lang w:val="de-DE"/>
        </w:rPr>
        <w:t>eine</w:t>
      </w:r>
      <w:r w:rsidR="00D80102" w:rsidRPr="005D3057">
        <w:rPr>
          <w:rFonts w:cs="Arial"/>
          <w:lang w:val="de-DE"/>
        </w:rPr>
        <w:t>r</w:t>
      </w:r>
      <w:r w:rsidR="00D7067A" w:rsidRPr="005D3057">
        <w:rPr>
          <w:rFonts w:cs="Arial"/>
          <w:lang w:val="de-DE"/>
        </w:rPr>
        <w:t xml:space="preserve"> dritte</w:t>
      </w:r>
      <w:r w:rsidR="00D80102" w:rsidRPr="005D3057">
        <w:rPr>
          <w:rFonts w:cs="Arial"/>
          <w:lang w:val="de-DE"/>
        </w:rPr>
        <w:t>n</w:t>
      </w:r>
      <w:r w:rsidRPr="005D3057">
        <w:rPr>
          <w:rFonts w:cs="Arial"/>
          <w:lang w:val="de-DE"/>
        </w:rPr>
        <w:t xml:space="preserve"> </w:t>
      </w:r>
      <w:r w:rsidR="003F220F" w:rsidRPr="005D3057">
        <w:rPr>
          <w:rFonts w:cs="Arial"/>
          <w:lang w:val="de-DE"/>
        </w:rPr>
        <w:t>Wachstumsperiode</w:t>
      </w:r>
      <w:r w:rsidRPr="005D3057">
        <w:rPr>
          <w:rFonts w:cs="Arial"/>
          <w:lang w:val="de-DE"/>
        </w:rPr>
        <w:t xml:space="preserve"> </w:t>
      </w:r>
      <w:r w:rsidR="00774268" w:rsidRPr="005D3057">
        <w:rPr>
          <w:rFonts w:cs="Arial"/>
          <w:lang w:val="de-DE"/>
        </w:rPr>
        <w:t>zur Erhöhung der</w:t>
      </w:r>
      <w:r w:rsidRPr="005D3057">
        <w:rPr>
          <w:rFonts w:cs="Arial"/>
          <w:lang w:val="de-DE"/>
        </w:rPr>
        <w:t xml:space="preserve"> </w:t>
      </w:r>
      <w:r w:rsidR="00774268" w:rsidRPr="005D3057">
        <w:rPr>
          <w:rFonts w:cs="Arial"/>
          <w:lang w:val="de-DE"/>
        </w:rPr>
        <w:t>Zuverlässigkeit</w:t>
      </w:r>
      <w:r w:rsidRPr="005D3057">
        <w:rPr>
          <w:rFonts w:cs="Arial"/>
          <w:lang w:val="de-DE"/>
        </w:rPr>
        <w:t xml:space="preserve"> </w:t>
      </w:r>
      <w:r w:rsidR="00774268" w:rsidRPr="005D3057">
        <w:rPr>
          <w:rFonts w:cs="Arial"/>
          <w:lang w:val="de-DE"/>
        </w:rPr>
        <w:t>der</w:t>
      </w:r>
      <w:r w:rsidRPr="005D3057">
        <w:rPr>
          <w:rFonts w:cs="Arial"/>
          <w:lang w:val="de-DE"/>
        </w:rPr>
        <w:t xml:space="preserve"> </w:t>
      </w:r>
      <w:r w:rsidR="00774268" w:rsidRPr="005D3057">
        <w:rPr>
          <w:rFonts w:cs="Arial"/>
          <w:lang w:val="de-DE"/>
        </w:rPr>
        <w:t>Erfassungen</w:t>
      </w:r>
      <w:r w:rsidR="00D7067A" w:rsidRPr="005D3057">
        <w:rPr>
          <w:rFonts w:hint="eastAsia"/>
          <w:lang w:val="de-DE" w:eastAsia="ja-JP"/>
        </w:rPr>
        <w:t xml:space="preserve"> zur Kenntnis</w:t>
      </w:r>
      <w:r w:rsidR="00EE28B0" w:rsidRPr="005D3057">
        <w:rPr>
          <w:rFonts w:cs="Arial" w:hint="eastAsia"/>
          <w:lang w:val="de-DE" w:eastAsia="ja-JP"/>
        </w:rPr>
        <w:t xml:space="preserve">, wie </w:t>
      </w:r>
      <w:r w:rsidRPr="005D3057">
        <w:rPr>
          <w:rFonts w:cs="Arial" w:hint="eastAsia"/>
          <w:lang w:val="de-DE" w:eastAsia="ja-JP"/>
        </w:rPr>
        <w:t xml:space="preserve">in </w:t>
      </w:r>
      <w:r w:rsidR="006E4EF6" w:rsidRPr="005D3057">
        <w:rPr>
          <w:rFonts w:cs="Arial" w:hint="eastAsia"/>
          <w:lang w:val="de-DE" w:eastAsia="ja-JP"/>
        </w:rPr>
        <w:t>Dokument</w:t>
      </w:r>
      <w:r w:rsidRPr="005D3057">
        <w:rPr>
          <w:rFonts w:cs="Arial"/>
          <w:lang w:val="de-DE" w:eastAsia="ja-JP"/>
        </w:rPr>
        <w:t> </w:t>
      </w:r>
      <w:r w:rsidRPr="005D3057">
        <w:rPr>
          <w:rFonts w:cs="Arial" w:hint="eastAsia"/>
          <w:lang w:val="de-DE" w:eastAsia="ja-JP"/>
        </w:rPr>
        <w:t xml:space="preserve">TWC/34/27, </w:t>
      </w:r>
      <w:r w:rsidR="001E6A84" w:rsidRPr="005D3057">
        <w:rPr>
          <w:rFonts w:cs="Arial" w:hint="eastAsia"/>
          <w:lang w:val="de-DE" w:eastAsia="ja-JP"/>
        </w:rPr>
        <w:t>Anlage</w:t>
      </w:r>
      <w:r w:rsidRPr="005D3057">
        <w:rPr>
          <w:rFonts w:cs="Arial" w:hint="eastAsia"/>
          <w:lang w:val="de-DE" w:eastAsia="ja-JP"/>
        </w:rPr>
        <w:t xml:space="preserve">, </w:t>
      </w:r>
      <w:r w:rsidR="00D7067A" w:rsidRPr="005D3057">
        <w:rPr>
          <w:rFonts w:cs="Arial"/>
          <w:lang w:val="de-DE" w:eastAsia="ja-JP"/>
        </w:rPr>
        <w:t>Seite</w:t>
      </w:r>
      <w:r w:rsidR="00D7067A" w:rsidRPr="005D3057">
        <w:rPr>
          <w:rFonts w:cs="Arial" w:hint="eastAsia"/>
          <w:lang w:val="de-DE" w:eastAsia="ja-JP"/>
        </w:rPr>
        <w:t xml:space="preserve"> </w:t>
      </w:r>
      <w:r w:rsidRPr="005D3057">
        <w:rPr>
          <w:rFonts w:cs="Arial" w:hint="eastAsia"/>
          <w:lang w:val="de-DE" w:eastAsia="ja-JP"/>
        </w:rPr>
        <w:t>4</w:t>
      </w:r>
      <w:r w:rsidR="00D7067A" w:rsidRPr="005D3057">
        <w:rPr>
          <w:rFonts w:cs="Arial"/>
          <w:lang w:val="de-DE" w:eastAsia="ja-JP"/>
        </w:rPr>
        <w:t>,</w:t>
      </w:r>
      <w:r w:rsidR="00D7067A" w:rsidRPr="005D3057">
        <w:rPr>
          <w:rFonts w:cs="Arial" w:hint="eastAsia"/>
          <w:lang w:val="de-DE" w:eastAsia="ja-JP"/>
        </w:rPr>
        <w:t xml:space="preserve"> dargelegt</w:t>
      </w:r>
      <w:r w:rsidRPr="005D3057">
        <w:rPr>
          <w:rFonts w:cs="Arial" w:hint="eastAsia"/>
          <w:lang w:val="de-DE" w:eastAsia="ja-JP"/>
        </w:rPr>
        <w:t>.</w:t>
      </w:r>
      <w:r w:rsidR="007B0CA4" w:rsidRPr="005D3057">
        <w:rPr>
          <w:rFonts w:hint="eastAsia"/>
          <w:lang w:val="de-DE" w:eastAsia="ja-JP"/>
        </w:rPr>
        <w:t xml:space="preserve"> </w:t>
      </w:r>
    </w:p>
    <w:p w14:paraId="7C561A1B" w14:textId="77777777" w:rsidR="00B21F4F" w:rsidRPr="005D3057" w:rsidRDefault="00B21F4F" w:rsidP="00B21F4F">
      <w:pPr>
        <w:pStyle w:val="Style1"/>
        <w:tabs>
          <w:tab w:val="clear" w:pos="907"/>
          <w:tab w:val="clear" w:pos="1077"/>
        </w:tabs>
        <w:rPr>
          <w:rFonts w:ascii="Arial" w:eastAsia="MS Mincho" w:hAnsi="Arial" w:cs="Arial"/>
          <w:sz w:val="20"/>
          <w:szCs w:val="20"/>
          <w:lang w:val="de-DE"/>
        </w:rPr>
      </w:pPr>
    </w:p>
    <w:p w14:paraId="0E346F41" w14:textId="77777777" w:rsidR="00B21F4F" w:rsidRPr="005D3057" w:rsidRDefault="00B21F4F" w:rsidP="00B21F4F">
      <w:pPr>
        <w:pStyle w:val="Style1"/>
        <w:tabs>
          <w:tab w:val="clear" w:pos="907"/>
          <w:tab w:val="clear" w:pos="1077"/>
        </w:tabs>
        <w:rPr>
          <w:rFonts w:ascii="Arial" w:eastAsia="MS Mincho" w:hAnsi="Arial" w:cs="Arial"/>
          <w:sz w:val="20"/>
          <w:szCs w:val="20"/>
          <w:lang w:val="de-DE"/>
        </w:rPr>
      </w:pPr>
    </w:p>
    <w:p w14:paraId="0C9CC464" w14:textId="77777777" w:rsidR="00B21F4F" w:rsidRPr="005D3057" w:rsidRDefault="003F220F" w:rsidP="00B21F4F">
      <w:pPr>
        <w:pStyle w:val="Heading3"/>
        <w:rPr>
          <w:lang w:val="de-DE"/>
        </w:rPr>
      </w:pPr>
      <w:bookmarkStart w:id="13" w:name="_Toc475460257"/>
      <w:r w:rsidRPr="005D3057">
        <w:rPr>
          <w:lang w:val="de-DE"/>
        </w:rPr>
        <w:t>Technische Arbeitsgruppe für Zierpflanzen</w:t>
      </w:r>
      <w:bookmarkEnd w:id="13"/>
    </w:p>
    <w:p w14:paraId="7526F782" w14:textId="77777777" w:rsidR="00B21F4F" w:rsidRPr="005D3057" w:rsidRDefault="00B21F4F" w:rsidP="00B21F4F">
      <w:pPr>
        <w:rPr>
          <w:lang w:val="de-DE"/>
        </w:rPr>
      </w:pPr>
    </w:p>
    <w:p w14:paraId="72F2257E" w14:textId="77777777" w:rsidR="00B21F4F" w:rsidRPr="005D3057" w:rsidRDefault="00B21F4F" w:rsidP="00B21F4F">
      <w:pPr>
        <w:keepNext/>
        <w:rPr>
          <w:lang w:val="de-DE"/>
        </w:rPr>
      </w:pPr>
      <w:r w:rsidRPr="005D3057">
        <w:rPr>
          <w:snapToGrid w:val="0"/>
          <w:lang w:eastAsia="ja-JP"/>
        </w:rPr>
        <w:fldChar w:fldCharType="begin"/>
      </w:r>
      <w:r w:rsidRPr="005D3057">
        <w:rPr>
          <w:snapToGrid w:val="0"/>
          <w:lang w:val="de-DE" w:eastAsia="ja-JP"/>
        </w:rPr>
        <w:instrText xml:space="preserve"> AUTONUM  </w:instrText>
      </w:r>
      <w:r w:rsidRPr="005D3057">
        <w:rPr>
          <w:snapToGrid w:val="0"/>
          <w:lang w:eastAsia="ja-JP"/>
        </w:rPr>
        <w:fldChar w:fldCharType="end"/>
      </w:r>
      <w:r w:rsidRPr="005D3057">
        <w:rPr>
          <w:snapToGrid w:val="0"/>
          <w:lang w:val="de-DE" w:eastAsia="ja-JP"/>
        </w:rPr>
        <w:tab/>
      </w:r>
      <w:r w:rsidR="00D7067A" w:rsidRPr="005D3057">
        <w:rPr>
          <w:snapToGrid w:val="0"/>
          <w:lang w:val="de-DE" w:eastAsia="ja-JP"/>
        </w:rPr>
        <w:t xml:space="preserve">Die </w:t>
      </w:r>
      <w:r w:rsidRPr="005D3057">
        <w:rPr>
          <w:snapToGrid w:val="0"/>
          <w:lang w:val="de-DE" w:eastAsia="ja-JP"/>
        </w:rPr>
        <w:t>TWO</w:t>
      </w:r>
      <w:r w:rsidRPr="005D3057">
        <w:rPr>
          <w:lang w:val="de-DE"/>
        </w:rPr>
        <w:t xml:space="preserve"> </w:t>
      </w:r>
      <w:r w:rsidR="00EE28B0" w:rsidRPr="005D3057">
        <w:rPr>
          <w:lang w:val="de-DE"/>
        </w:rPr>
        <w:t>prüfte</w:t>
      </w:r>
      <w:r w:rsidRPr="005D3057">
        <w:rPr>
          <w:lang w:val="de-DE"/>
        </w:rPr>
        <w:t xml:space="preserve"> </w:t>
      </w:r>
      <w:r w:rsidR="006E4EF6" w:rsidRPr="005D3057">
        <w:rPr>
          <w:lang w:val="de-DE"/>
        </w:rPr>
        <w:t>Dokument</w:t>
      </w:r>
      <w:r w:rsidRPr="005D3057">
        <w:rPr>
          <w:lang w:val="de-DE"/>
        </w:rPr>
        <w:t xml:space="preserve"> TWO/49/13 </w:t>
      </w:r>
      <w:r w:rsidR="00EE28B0" w:rsidRPr="005D3057">
        <w:rPr>
          <w:lang w:val="de-DE"/>
        </w:rPr>
        <w:t>(vergleiche</w:t>
      </w:r>
      <w:r w:rsidRPr="005D3057">
        <w:rPr>
          <w:lang w:val="de-DE"/>
        </w:rPr>
        <w:t xml:space="preserve"> </w:t>
      </w:r>
      <w:r w:rsidR="006E4EF6" w:rsidRPr="005D3057">
        <w:rPr>
          <w:lang w:val="de-DE"/>
        </w:rPr>
        <w:t>Dokument</w:t>
      </w:r>
      <w:r w:rsidRPr="005D3057">
        <w:rPr>
          <w:lang w:val="de-DE"/>
        </w:rPr>
        <w:t xml:space="preserve"> TWO/49/25 Rev. </w:t>
      </w:r>
      <w:r w:rsidR="001E6A84" w:rsidRPr="005D3057">
        <w:rPr>
          <w:lang w:val="de-DE"/>
        </w:rPr>
        <w:t>„</w:t>
      </w:r>
      <w:r w:rsidRPr="005D2F87">
        <w:rPr>
          <w:i/>
          <w:lang w:val="de-DE"/>
        </w:rPr>
        <w:t>Revised Report</w:t>
      </w:r>
      <w:r w:rsidR="001E6A84" w:rsidRPr="005D3057">
        <w:rPr>
          <w:lang w:val="de-DE"/>
        </w:rPr>
        <w:t>“</w:t>
      </w:r>
      <w:r w:rsidRPr="005D3057">
        <w:rPr>
          <w:lang w:val="de-DE"/>
        </w:rPr>
        <w:t xml:space="preserve">, </w:t>
      </w:r>
      <w:r w:rsidR="00EE28B0" w:rsidRPr="005D3057">
        <w:rPr>
          <w:lang w:val="de-DE"/>
        </w:rPr>
        <w:t>Absätze</w:t>
      </w:r>
      <w:r w:rsidRPr="005D3057">
        <w:rPr>
          <w:lang w:val="de-DE"/>
        </w:rPr>
        <w:t xml:space="preserve"> 37</w:t>
      </w:r>
      <w:r w:rsidR="00D7067A" w:rsidRPr="005D3057">
        <w:rPr>
          <w:lang w:val="de-DE"/>
        </w:rPr>
        <w:t xml:space="preserve"> bis</w:t>
      </w:r>
      <w:r w:rsidRPr="005D3057">
        <w:rPr>
          <w:lang w:val="de-DE"/>
        </w:rPr>
        <w:t xml:space="preserve"> 40).</w:t>
      </w:r>
    </w:p>
    <w:p w14:paraId="4E9548EF" w14:textId="77777777" w:rsidR="00B21F4F" w:rsidRPr="005D3057" w:rsidRDefault="00B21F4F" w:rsidP="00B21F4F">
      <w:pPr>
        <w:keepNext/>
        <w:rPr>
          <w:lang w:val="de-DE"/>
        </w:rPr>
      </w:pPr>
    </w:p>
    <w:p w14:paraId="501BE3E5" w14:textId="77777777" w:rsidR="00B21F4F" w:rsidRPr="005D3057" w:rsidRDefault="00B21F4F" w:rsidP="00B21F4F">
      <w:pPr>
        <w:rPr>
          <w:lang w:val="de-DE"/>
        </w:rPr>
      </w:pPr>
      <w:r w:rsidRPr="005D3057">
        <w:fldChar w:fldCharType="begin"/>
      </w:r>
      <w:r w:rsidRPr="005D3057">
        <w:rPr>
          <w:lang w:val="de-DE"/>
        </w:rPr>
        <w:instrText xml:space="preserve"> AUTONUM  </w:instrText>
      </w:r>
      <w:r w:rsidRPr="005D3057">
        <w:fldChar w:fldCharType="end"/>
      </w:r>
      <w:r w:rsidRPr="005D3057">
        <w:rPr>
          <w:lang w:val="de-DE"/>
        </w:rPr>
        <w:tab/>
      </w:r>
      <w:r w:rsidR="00D7067A" w:rsidRPr="005D3057">
        <w:rPr>
          <w:lang w:val="de-DE"/>
        </w:rPr>
        <w:t xml:space="preserve">Die </w:t>
      </w:r>
      <w:r w:rsidRPr="005D3057">
        <w:rPr>
          <w:lang w:val="de-DE"/>
        </w:rPr>
        <w:t xml:space="preserve">TWO </w:t>
      </w:r>
      <w:r w:rsidR="00774268" w:rsidRPr="005D3057">
        <w:rPr>
          <w:lang w:val="de-DE"/>
        </w:rPr>
        <w:t>nahm zur Kenntnis, daß</w:t>
      </w:r>
      <w:r w:rsidRPr="005D3057">
        <w:rPr>
          <w:lang w:val="de-DE"/>
        </w:rPr>
        <w:t xml:space="preserve"> </w:t>
      </w:r>
      <w:r w:rsidR="00D7067A" w:rsidRPr="005D3057">
        <w:rPr>
          <w:lang w:val="de-DE"/>
        </w:rPr>
        <w:t>die</w:t>
      </w:r>
      <w:r w:rsidRPr="005D3057">
        <w:rPr>
          <w:lang w:val="de-DE"/>
        </w:rPr>
        <w:t xml:space="preserve"> </w:t>
      </w:r>
      <w:r w:rsidR="002030DE" w:rsidRPr="005D3057">
        <w:rPr>
          <w:lang w:val="de-DE"/>
        </w:rPr>
        <w:t>Technische Arbeitsgruppe für landwirtschaftliche Arten</w:t>
      </w:r>
      <w:r w:rsidRPr="005D3057">
        <w:rPr>
          <w:lang w:val="de-DE"/>
        </w:rPr>
        <w:t xml:space="preserve"> (TWA) </w:t>
      </w:r>
      <w:r w:rsidR="003F220F" w:rsidRPr="005D3057">
        <w:rPr>
          <w:lang w:val="de-DE"/>
        </w:rPr>
        <w:t>vereinbart habe, um eine Videoverbindung mit den Sachverständigen der TWC zu ersuchen, um den neuen Vorschlag für „Ansatz 3: Kombination der Ergebnisse aus zwei Wachstumsperioden“ auf ihrer fünfundvierzigsten Tagung im Jahre 2016 zu erörtern</w:t>
      </w:r>
      <w:r w:rsidRPr="005D3057">
        <w:rPr>
          <w:lang w:val="de-DE"/>
        </w:rPr>
        <w:t>.</w:t>
      </w:r>
    </w:p>
    <w:p w14:paraId="5902B7AF" w14:textId="77777777" w:rsidR="00B21F4F" w:rsidRPr="005D3057" w:rsidRDefault="00B21F4F" w:rsidP="00B21F4F">
      <w:pPr>
        <w:rPr>
          <w:lang w:val="de-DE"/>
        </w:rPr>
      </w:pPr>
    </w:p>
    <w:p w14:paraId="584D9934" w14:textId="064B8CFD" w:rsidR="00B21F4F" w:rsidRPr="005D3057" w:rsidRDefault="00B21F4F" w:rsidP="00B21F4F">
      <w:pPr>
        <w:rPr>
          <w:rFonts w:eastAsia="SimSun"/>
          <w:lang w:val="de-DE" w:eastAsia="zh-CN"/>
        </w:rPr>
      </w:pPr>
      <w:r w:rsidRPr="005D3057">
        <w:rPr>
          <w:snapToGrid w:val="0"/>
          <w:lang w:eastAsia="ja-JP"/>
        </w:rPr>
        <w:fldChar w:fldCharType="begin"/>
      </w:r>
      <w:r w:rsidRPr="005D3057">
        <w:rPr>
          <w:snapToGrid w:val="0"/>
          <w:lang w:val="de-DE" w:eastAsia="ja-JP"/>
        </w:rPr>
        <w:instrText xml:space="preserve"> AUTONUM  </w:instrText>
      </w:r>
      <w:r w:rsidRPr="005D3057">
        <w:rPr>
          <w:snapToGrid w:val="0"/>
          <w:lang w:eastAsia="ja-JP"/>
        </w:rPr>
        <w:fldChar w:fldCharType="end"/>
      </w:r>
      <w:r w:rsidRPr="005D3057">
        <w:rPr>
          <w:snapToGrid w:val="0"/>
          <w:lang w:val="de-DE" w:eastAsia="ja-JP"/>
        </w:rPr>
        <w:tab/>
      </w:r>
      <w:r w:rsidR="00D7067A" w:rsidRPr="005D3057">
        <w:rPr>
          <w:snapToGrid w:val="0"/>
          <w:lang w:val="de-DE" w:eastAsia="ja-JP"/>
        </w:rPr>
        <w:t xml:space="preserve">Die </w:t>
      </w:r>
      <w:r w:rsidRPr="005D3057">
        <w:rPr>
          <w:snapToGrid w:val="0"/>
          <w:lang w:val="de-DE" w:eastAsia="ja-JP"/>
        </w:rPr>
        <w:t>TWO</w:t>
      </w:r>
      <w:r w:rsidRPr="005D3057">
        <w:rPr>
          <w:lang w:val="de-DE"/>
        </w:rPr>
        <w:t xml:space="preserve"> </w:t>
      </w:r>
      <w:r w:rsidR="00EE28B0" w:rsidRPr="005D3057">
        <w:rPr>
          <w:lang w:val="de-DE"/>
        </w:rPr>
        <w:t>prüfte</w:t>
      </w:r>
      <w:r w:rsidRPr="005D3057">
        <w:rPr>
          <w:lang w:val="de-DE"/>
        </w:rPr>
        <w:t xml:space="preserve"> </w:t>
      </w:r>
      <w:r w:rsidR="00D7067A" w:rsidRPr="005D3057">
        <w:rPr>
          <w:lang w:val="de-DE"/>
        </w:rPr>
        <w:t xml:space="preserve">den </w:t>
      </w:r>
      <w:r w:rsidR="00837D1F" w:rsidRPr="005D3057">
        <w:rPr>
          <w:lang w:val="de-DE"/>
        </w:rPr>
        <w:t>Entwurf für eine</w:t>
      </w:r>
      <w:r w:rsidRPr="005D3057">
        <w:rPr>
          <w:lang w:val="de-DE"/>
        </w:rPr>
        <w:t xml:space="preserve"> </w:t>
      </w:r>
      <w:r w:rsidR="006E4EF6" w:rsidRPr="005D3057">
        <w:rPr>
          <w:lang w:val="de-DE"/>
        </w:rPr>
        <w:t>Anleitung</w:t>
      </w:r>
      <w:r w:rsidR="00EE28B0" w:rsidRPr="005D3057">
        <w:rPr>
          <w:lang w:val="de-DE"/>
        </w:rPr>
        <w:t xml:space="preserve">, wie </w:t>
      </w:r>
      <w:r w:rsidRPr="005D3057">
        <w:rPr>
          <w:lang w:val="de-DE"/>
        </w:rPr>
        <w:t xml:space="preserve">in </w:t>
      </w:r>
      <w:r w:rsidR="001E6A84" w:rsidRPr="005D3057">
        <w:rPr>
          <w:lang w:val="de-DE"/>
        </w:rPr>
        <w:t>Anlage</w:t>
      </w:r>
      <w:r w:rsidRPr="005D3057">
        <w:rPr>
          <w:lang w:val="de-DE"/>
        </w:rPr>
        <w:t xml:space="preserve"> I </w:t>
      </w:r>
      <w:r w:rsidR="00E87C1D" w:rsidRPr="005D3057">
        <w:rPr>
          <w:lang w:val="de-DE"/>
        </w:rPr>
        <w:t>des</w:t>
      </w:r>
      <w:r w:rsidR="00856BDE" w:rsidRPr="005D3057">
        <w:rPr>
          <w:lang w:val="de-DE"/>
        </w:rPr>
        <w:t xml:space="preserve"> </w:t>
      </w:r>
      <w:r w:rsidR="006E4EF6" w:rsidRPr="005D3057">
        <w:rPr>
          <w:lang w:val="de-DE"/>
        </w:rPr>
        <w:t>Dokument</w:t>
      </w:r>
      <w:r w:rsidR="00E87C1D" w:rsidRPr="005D3057">
        <w:rPr>
          <w:lang w:val="de-DE"/>
        </w:rPr>
        <w:t>s</w:t>
      </w:r>
      <w:r w:rsidRPr="005D3057">
        <w:rPr>
          <w:lang w:val="de-DE"/>
        </w:rPr>
        <w:t xml:space="preserve"> TWO/49/13</w:t>
      </w:r>
      <w:r w:rsidR="00D7067A" w:rsidRPr="005D3057">
        <w:rPr>
          <w:lang w:val="de-DE"/>
        </w:rPr>
        <w:t xml:space="preserve"> dargelegt</w:t>
      </w:r>
      <w:r w:rsidR="00CB24EA" w:rsidRPr="005D3057">
        <w:rPr>
          <w:lang w:val="de-DE"/>
        </w:rPr>
        <w:t>,</w:t>
      </w:r>
      <w:r w:rsidR="00FD594C" w:rsidRPr="005D3057">
        <w:rPr>
          <w:lang w:val="de-DE"/>
        </w:rPr>
        <w:t xml:space="preserve"> und </w:t>
      </w:r>
      <w:r w:rsidR="00EE28B0" w:rsidRPr="005D3057">
        <w:rPr>
          <w:lang w:val="de-DE"/>
        </w:rPr>
        <w:t>vereinbarte, daß</w:t>
      </w:r>
      <w:r w:rsidRPr="005D3057">
        <w:rPr>
          <w:lang w:val="de-DE"/>
        </w:rPr>
        <w:t xml:space="preserve"> </w:t>
      </w:r>
      <w:r w:rsidR="00D7067A" w:rsidRPr="005D3057">
        <w:rPr>
          <w:lang w:val="de-DE"/>
        </w:rPr>
        <w:t xml:space="preserve">der </w:t>
      </w:r>
      <w:r w:rsidR="00D17071" w:rsidRPr="005D3057">
        <w:rPr>
          <w:lang w:val="de-DE"/>
        </w:rPr>
        <w:t>Begriff</w:t>
      </w:r>
      <w:r w:rsidRPr="005D3057">
        <w:rPr>
          <w:lang w:val="de-DE"/>
        </w:rPr>
        <w:t xml:space="preserve"> </w:t>
      </w:r>
      <w:r w:rsidR="001E6A84" w:rsidRPr="005D3057">
        <w:rPr>
          <w:lang w:val="de-DE"/>
        </w:rPr>
        <w:t>„</w:t>
      </w:r>
      <w:r w:rsidR="00D17071" w:rsidRPr="005D3057">
        <w:rPr>
          <w:lang w:val="de-DE"/>
        </w:rPr>
        <w:t>deutlich</w:t>
      </w:r>
      <w:r w:rsidR="001E6A84" w:rsidRPr="005D3057">
        <w:rPr>
          <w:lang w:val="de-DE"/>
        </w:rPr>
        <w:t>“</w:t>
      </w:r>
      <w:r w:rsidRPr="005D3057">
        <w:rPr>
          <w:lang w:val="de-DE"/>
        </w:rPr>
        <w:t xml:space="preserve"> </w:t>
      </w:r>
      <w:r w:rsidR="00D80102" w:rsidRPr="005D3057">
        <w:rPr>
          <w:rFonts w:eastAsia="SimSun"/>
          <w:lang w:val="de-DE" w:eastAsia="zh-CN"/>
        </w:rPr>
        <w:t>in dem Satz</w:t>
      </w:r>
      <w:r w:rsidRPr="005D3057">
        <w:rPr>
          <w:lang w:val="de-DE"/>
        </w:rPr>
        <w:t xml:space="preserve">: </w:t>
      </w:r>
      <w:r w:rsidR="001E6A84" w:rsidRPr="005D3057">
        <w:rPr>
          <w:lang w:val="de-DE"/>
        </w:rPr>
        <w:t>„</w:t>
      </w:r>
      <w:r w:rsidR="00324A8A" w:rsidRPr="005D3057">
        <w:rPr>
          <w:rFonts w:eastAsia="SimSun"/>
          <w:lang w:val="de-DE" w:eastAsia="zh-CN"/>
        </w:rPr>
        <w:t>Außerdem kann eine Sorte nach einer einzigen Wachstumsperiode aufgrund deutlich fehlender Homogenität zurückgewiesen werden</w:t>
      </w:r>
      <w:r w:rsidR="001E6A84" w:rsidRPr="005D3057">
        <w:rPr>
          <w:rFonts w:eastAsia="SimSun"/>
          <w:lang w:val="de-DE" w:eastAsia="zh-CN"/>
        </w:rPr>
        <w:t>“</w:t>
      </w:r>
      <w:r w:rsidR="007C478E">
        <w:rPr>
          <w:rFonts w:eastAsia="SimSun"/>
          <w:lang w:val="de-DE" w:eastAsia="zh-CN"/>
        </w:rPr>
        <w:t xml:space="preserve"> </w:t>
      </w:r>
      <w:r w:rsidR="007C478E" w:rsidRPr="005D3057">
        <w:rPr>
          <w:rFonts w:eastAsia="SimSun"/>
          <w:lang w:val="de-DE" w:eastAsia="zh-CN"/>
        </w:rPr>
        <w:t>klargestellt</w:t>
      </w:r>
      <w:r w:rsidR="007C478E" w:rsidRPr="005D3057">
        <w:rPr>
          <w:lang w:val="de-DE"/>
        </w:rPr>
        <w:t xml:space="preserve"> werden </w:t>
      </w:r>
      <w:r w:rsidR="007C478E">
        <w:rPr>
          <w:rFonts w:eastAsia="SimSun"/>
          <w:lang w:val="de-DE" w:eastAsia="zh-CN"/>
        </w:rPr>
        <w:t>soll</w:t>
      </w:r>
      <w:r w:rsidR="007C478E" w:rsidRPr="005D3057">
        <w:rPr>
          <w:rFonts w:eastAsia="SimSun"/>
          <w:lang w:val="de-DE" w:eastAsia="zh-CN"/>
        </w:rPr>
        <w:t>e</w:t>
      </w:r>
      <w:r w:rsidRPr="005D3057">
        <w:rPr>
          <w:rFonts w:eastAsia="SimSun"/>
          <w:lang w:val="de-DE" w:eastAsia="zh-CN"/>
        </w:rPr>
        <w:t>.</w:t>
      </w:r>
      <w:r w:rsidR="007B0CA4" w:rsidRPr="005D3057">
        <w:rPr>
          <w:rFonts w:eastAsia="SimSun"/>
          <w:lang w:val="de-DE" w:eastAsia="zh-CN"/>
        </w:rPr>
        <w:t xml:space="preserve"> </w:t>
      </w:r>
      <w:r w:rsidR="00856BDE" w:rsidRPr="005D3057">
        <w:rPr>
          <w:rFonts w:eastAsia="SimSun"/>
          <w:lang w:val="de-DE" w:eastAsia="zh-CN"/>
        </w:rPr>
        <w:t xml:space="preserve">Die </w:t>
      </w:r>
      <w:r w:rsidRPr="005D3057">
        <w:rPr>
          <w:rFonts w:eastAsia="SimSun"/>
          <w:lang w:val="de-DE" w:eastAsia="zh-CN"/>
        </w:rPr>
        <w:t xml:space="preserve">TWO </w:t>
      </w:r>
      <w:r w:rsidR="00EE28B0" w:rsidRPr="005D3057">
        <w:rPr>
          <w:rFonts w:eastAsia="SimSun"/>
          <w:lang w:val="de-DE" w:eastAsia="zh-CN"/>
        </w:rPr>
        <w:t>vereinbarte</w:t>
      </w:r>
      <w:r w:rsidRPr="005D3057">
        <w:rPr>
          <w:rFonts w:eastAsia="SimSun"/>
          <w:lang w:val="de-DE" w:eastAsia="zh-CN"/>
        </w:rPr>
        <w:t xml:space="preserve"> </w:t>
      </w:r>
      <w:r w:rsidR="00D17071" w:rsidRPr="005D3057">
        <w:rPr>
          <w:rFonts w:eastAsia="SimSun"/>
          <w:lang w:val="de-DE" w:eastAsia="zh-CN"/>
        </w:rPr>
        <w:t>vorzuschlagen</w:t>
      </w:r>
      <w:r w:rsidR="00073608" w:rsidRPr="005D3057">
        <w:rPr>
          <w:rFonts w:eastAsia="SimSun"/>
          <w:lang w:val="de-DE" w:eastAsia="zh-CN"/>
        </w:rPr>
        <w:t>, daß der Satz</w:t>
      </w:r>
      <w:r w:rsidRPr="005D3057">
        <w:rPr>
          <w:rFonts w:eastAsia="SimSun"/>
          <w:lang w:val="de-DE" w:eastAsia="zh-CN"/>
        </w:rPr>
        <w:t xml:space="preserve"> in </w:t>
      </w:r>
      <w:r w:rsidR="00837D1F" w:rsidRPr="005D3057">
        <w:rPr>
          <w:rFonts w:eastAsia="SimSun"/>
          <w:lang w:val="de-DE" w:eastAsia="zh-CN"/>
        </w:rPr>
        <w:t>Ansätzen</w:t>
      </w:r>
      <w:r w:rsidRPr="005D3057">
        <w:rPr>
          <w:rFonts w:eastAsia="SimSun"/>
          <w:lang w:val="de-DE" w:eastAsia="zh-CN"/>
        </w:rPr>
        <w:t xml:space="preserve"> 1</w:t>
      </w:r>
      <w:r w:rsidR="00FD594C" w:rsidRPr="005D3057">
        <w:rPr>
          <w:rFonts w:eastAsia="SimSun"/>
          <w:lang w:val="de-DE" w:eastAsia="zh-CN"/>
        </w:rPr>
        <w:t xml:space="preserve"> und </w:t>
      </w:r>
      <w:r w:rsidRPr="005D3057">
        <w:rPr>
          <w:rFonts w:eastAsia="SimSun"/>
          <w:lang w:val="de-DE" w:eastAsia="zh-CN"/>
        </w:rPr>
        <w:t xml:space="preserve">2 </w:t>
      </w:r>
      <w:r w:rsidR="00D17071" w:rsidRPr="005D3057">
        <w:rPr>
          <w:rFonts w:eastAsia="SimSun"/>
          <w:lang w:val="de-DE" w:eastAsia="zh-CN"/>
        </w:rPr>
        <w:t>folgendermaßen lauten solle</w:t>
      </w:r>
      <w:r w:rsidRPr="005D3057">
        <w:rPr>
          <w:rFonts w:eastAsia="SimSun"/>
          <w:lang w:val="de-DE" w:eastAsia="zh-CN"/>
        </w:rPr>
        <w:t xml:space="preserve">: </w:t>
      </w:r>
    </w:p>
    <w:p w14:paraId="33FB378F" w14:textId="77777777" w:rsidR="00B21F4F" w:rsidRPr="005D3057" w:rsidRDefault="00B21F4F" w:rsidP="00B21F4F">
      <w:pPr>
        <w:rPr>
          <w:rFonts w:eastAsia="SimSun"/>
          <w:lang w:val="de-DE" w:eastAsia="zh-CN"/>
        </w:rPr>
      </w:pPr>
    </w:p>
    <w:p w14:paraId="478F305B" w14:textId="0CC32993" w:rsidR="00B21F4F" w:rsidRPr="005D3057" w:rsidRDefault="001E6A84" w:rsidP="00B21F4F">
      <w:pPr>
        <w:ind w:left="567" w:right="567"/>
        <w:rPr>
          <w:rFonts w:eastAsia="SimSun"/>
          <w:sz w:val="18"/>
          <w:szCs w:val="24"/>
          <w:lang w:val="de-DE" w:eastAsia="zh-CN"/>
        </w:rPr>
      </w:pPr>
      <w:r w:rsidRPr="005D3057">
        <w:rPr>
          <w:rFonts w:eastAsia="SimSun"/>
          <w:sz w:val="18"/>
          <w:lang w:val="de-DE" w:eastAsia="zh-CN"/>
        </w:rPr>
        <w:t>„</w:t>
      </w:r>
      <w:r w:rsidR="00D17071" w:rsidRPr="005D3057">
        <w:rPr>
          <w:rFonts w:eastAsia="SimSun"/>
          <w:sz w:val="18"/>
          <w:szCs w:val="24"/>
          <w:lang w:val="de-DE" w:eastAsia="zh-CN"/>
        </w:rPr>
        <w:t>Außerdem kann</w:t>
      </w:r>
      <w:r w:rsidR="00B21F4F" w:rsidRPr="005D3057">
        <w:rPr>
          <w:rFonts w:eastAsia="SimSun"/>
          <w:sz w:val="18"/>
          <w:szCs w:val="24"/>
          <w:lang w:val="de-DE" w:eastAsia="zh-CN"/>
        </w:rPr>
        <w:t>,</w:t>
      </w:r>
      <w:r w:rsidR="00D17071" w:rsidRPr="005D3057">
        <w:rPr>
          <w:rFonts w:eastAsia="SimSun"/>
          <w:sz w:val="18"/>
          <w:szCs w:val="24"/>
          <w:lang w:val="de-DE" w:eastAsia="zh-CN"/>
        </w:rPr>
        <w:t xml:space="preserve"> wenn </w:t>
      </w:r>
      <w:r w:rsidR="00CB24EA" w:rsidRPr="005D3057">
        <w:rPr>
          <w:rFonts w:eastAsia="SimSun"/>
          <w:sz w:val="18"/>
          <w:szCs w:val="24"/>
          <w:lang w:val="de-DE" w:eastAsia="zh-CN"/>
        </w:rPr>
        <w:t xml:space="preserve">die </w:t>
      </w:r>
      <w:r w:rsidR="00D17071" w:rsidRPr="005D3057">
        <w:rPr>
          <w:rFonts w:eastAsia="SimSun"/>
          <w:sz w:val="18"/>
          <w:szCs w:val="24"/>
          <w:lang w:val="de-DE" w:eastAsia="zh-CN"/>
        </w:rPr>
        <w:t>Anzahl der erlaubten Abweicher einer Sorte in der ersten</w:t>
      </w:r>
      <w:r w:rsidR="00B21F4F" w:rsidRPr="005D3057">
        <w:rPr>
          <w:rFonts w:eastAsia="SimSun"/>
          <w:sz w:val="18"/>
          <w:szCs w:val="24"/>
          <w:lang w:val="de-DE" w:eastAsia="zh-CN"/>
        </w:rPr>
        <w:t xml:space="preserve"> </w:t>
      </w:r>
      <w:r w:rsidR="003F220F" w:rsidRPr="005D3057">
        <w:rPr>
          <w:rFonts w:eastAsia="SimSun"/>
          <w:sz w:val="18"/>
          <w:szCs w:val="24"/>
          <w:lang w:val="de-DE" w:eastAsia="zh-CN"/>
        </w:rPr>
        <w:t>Wachstumsperiode</w:t>
      </w:r>
      <w:r w:rsidR="00B21F4F" w:rsidRPr="005D3057">
        <w:rPr>
          <w:rFonts w:eastAsia="SimSun"/>
          <w:sz w:val="18"/>
          <w:szCs w:val="24"/>
          <w:lang w:val="de-DE" w:eastAsia="zh-CN"/>
        </w:rPr>
        <w:t xml:space="preserve"> </w:t>
      </w:r>
      <w:r w:rsidR="00FF3D4C" w:rsidRPr="005D3057">
        <w:rPr>
          <w:rFonts w:eastAsia="SimSun"/>
          <w:sz w:val="18"/>
          <w:szCs w:val="24"/>
          <w:lang w:val="de-DE" w:eastAsia="zh-CN"/>
        </w:rPr>
        <w:t>die</w:t>
      </w:r>
      <w:r w:rsidR="00073608" w:rsidRPr="005D3057">
        <w:rPr>
          <w:rFonts w:eastAsia="SimSun"/>
          <w:sz w:val="18"/>
          <w:szCs w:val="24"/>
          <w:lang w:val="de-DE" w:eastAsia="zh-CN"/>
        </w:rPr>
        <w:t xml:space="preserve"> </w:t>
      </w:r>
      <w:r w:rsidR="00D17071" w:rsidRPr="005D3057">
        <w:rPr>
          <w:rFonts w:eastAsia="SimSun"/>
          <w:sz w:val="18"/>
          <w:szCs w:val="24"/>
          <w:lang w:val="de-DE" w:eastAsia="zh-CN"/>
        </w:rPr>
        <w:t xml:space="preserve">Anzahl der </w:t>
      </w:r>
      <w:r w:rsidR="00FE655F">
        <w:rPr>
          <w:rFonts w:eastAsia="SimSun"/>
          <w:sz w:val="18"/>
          <w:szCs w:val="24"/>
          <w:lang w:val="de-DE" w:eastAsia="zh-CN"/>
        </w:rPr>
        <w:t xml:space="preserve">erlaubten Abweicher in zwei Wachstumsperioden </w:t>
      </w:r>
      <w:r w:rsidR="00324A8A" w:rsidRPr="005D3057">
        <w:rPr>
          <w:rFonts w:eastAsia="SimSun"/>
          <w:sz w:val="18"/>
          <w:szCs w:val="24"/>
          <w:lang w:val="de-DE" w:eastAsia="zh-CN"/>
        </w:rPr>
        <w:t>übersteigt</w:t>
      </w:r>
      <w:r w:rsidR="00D17071" w:rsidRPr="005D3057">
        <w:rPr>
          <w:rFonts w:eastAsia="SimSun"/>
          <w:sz w:val="18"/>
          <w:szCs w:val="24"/>
          <w:lang w:val="de-DE" w:eastAsia="zh-CN"/>
        </w:rPr>
        <w:t>, die S</w:t>
      </w:r>
      <w:r w:rsidR="00324A8A" w:rsidRPr="005D3057">
        <w:rPr>
          <w:rFonts w:eastAsia="SimSun"/>
          <w:sz w:val="18"/>
          <w:szCs w:val="24"/>
          <w:lang w:val="de-DE" w:eastAsia="zh-CN"/>
        </w:rPr>
        <w:t>orte nach einer Wachstumsperiode zurückgewiesen werden</w:t>
      </w:r>
      <w:r w:rsidR="00B21F4F" w:rsidRPr="005D3057">
        <w:rPr>
          <w:rFonts w:eastAsia="SimSun"/>
          <w:sz w:val="18"/>
          <w:szCs w:val="24"/>
          <w:lang w:val="de-DE" w:eastAsia="zh-CN"/>
        </w:rPr>
        <w:t>.</w:t>
      </w:r>
      <w:r w:rsidRPr="005D3057">
        <w:rPr>
          <w:rFonts w:eastAsia="SimSun"/>
          <w:sz w:val="18"/>
          <w:szCs w:val="24"/>
          <w:lang w:val="de-DE" w:eastAsia="zh-CN"/>
        </w:rPr>
        <w:t>“</w:t>
      </w:r>
    </w:p>
    <w:p w14:paraId="5B3EF0DE" w14:textId="77777777" w:rsidR="00B21F4F" w:rsidRPr="005D3057" w:rsidRDefault="00B21F4F" w:rsidP="00B21F4F">
      <w:pPr>
        <w:rPr>
          <w:rFonts w:eastAsia="SimSun"/>
          <w:szCs w:val="24"/>
          <w:lang w:val="de-DE" w:eastAsia="zh-CN"/>
        </w:rPr>
      </w:pPr>
    </w:p>
    <w:p w14:paraId="18AB5E60" w14:textId="618CBEA2" w:rsidR="00B21F4F" w:rsidRPr="005D3057" w:rsidRDefault="00B21F4F" w:rsidP="00B21F4F">
      <w:pPr>
        <w:rPr>
          <w:rFonts w:eastAsia="SimSun"/>
          <w:szCs w:val="24"/>
          <w:lang w:val="de-DE" w:eastAsia="zh-CN"/>
        </w:rPr>
      </w:pPr>
      <w:r w:rsidRPr="005D3057">
        <w:rPr>
          <w:snapToGrid w:val="0"/>
          <w:lang w:eastAsia="ja-JP"/>
        </w:rPr>
        <w:lastRenderedPageBreak/>
        <w:fldChar w:fldCharType="begin"/>
      </w:r>
      <w:r w:rsidRPr="005D3057">
        <w:rPr>
          <w:snapToGrid w:val="0"/>
          <w:lang w:val="de-DE" w:eastAsia="ja-JP"/>
        </w:rPr>
        <w:instrText xml:space="preserve"> AUTONUM  </w:instrText>
      </w:r>
      <w:r w:rsidRPr="005D3057">
        <w:rPr>
          <w:snapToGrid w:val="0"/>
          <w:lang w:eastAsia="ja-JP"/>
        </w:rPr>
        <w:fldChar w:fldCharType="end"/>
      </w:r>
      <w:r w:rsidRPr="005D3057">
        <w:rPr>
          <w:snapToGrid w:val="0"/>
          <w:lang w:val="de-DE" w:eastAsia="ja-JP"/>
        </w:rPr>
        <w:tab/>
      </w:r>
      <w:r w:rsidR="00856BDE" w:rsidRPr="005D3057">
        <w:rPr>
          <w:rFonts w:eastAsia="SimSun"/>
          <w:szCs w:val="24"/>
          <w:lang w:val="de-DE" w:eastAsia="zh-CN"/>
        </w:rPr>
        <w:t xml:space="preserve">Die </w:t>
      </w:r>
      <w:r w:rsidRPr="005D3057">
        <w:rPr>
          <w:rFonts w:eastAsia="SimSun"/>
          <w:szCs w:val="24"/>
          <w:lang w:val="de-DE" w:eastAsia="zh-CN"/>
        </w:rPr>
        <w:t xml:space="preserve">TWO </w:t>
      </w:r>
      <w:r w:rsidR="00EE28B0" w:rsidRPr="005D3057">
        <w:rPr>
          <w:rFonts w:eastAsia="SimSun"/>
          <w:szCs w:val="24"/>
          <w:lang w:val="de-DE" w:eastAsia="zh-CN"/>
        </w:rPr>
        <w:t>vereinbarte, daß</w:t>
      </w:r>
      <w:r w:rsidRPr="005D3057">
        <w:rPr>
          <w:rFonts w:eastAsia="SimSun"/>
          <w:szCs w:val="24"/>
          <w:lang w:val="de-DE" w:eastAsia="zh-CN"/>
        </w:rPr>
        <w:t xml:space="preserve"> </w:t>
      </w:r>
      <w:r w:rsidR="00D80102" w:rsidRPr="005D3057">
        <w:rPr>
          <w:rFonts w:eastAsia="SimSun"/>
          <w:szCs w:val="24"/>
          <w:lang w:val="de-DE" w:eastAsia="zh-CN"/>
        </w:rPr>
        <w:t>in dem</w:t>
      </w:r>
      <w:r w:rsidRPr="005D3057">
        <w:rPr>
          <w:lang w:val="de-DE"/>
        </w:rPr>
        <w:t xml:space="preserve"> </w:t>
      </w:r>
      <w:r w:rsidR="00837D1F" w:rsidRPr="005D3057">
        <w:rPr>
          <w:lang w:val="de-DE"/>
        </w:rPr>
        <w:t>Entwurf für eine</w:t>
      </w:r>
      <w:r w:rsidRPr="005D3057">
        <w:rPr>
          <w:lang w:val="de-DE"/>
        </w:rPr>
        <w:t xml:space="preserve"> </w:t>
      </w:r>
      <w:r w:rsidR="006E4EF6" w:rsidRPr="005D3057">
        <w:rPr>
          <w:lang w:val="de-DE"/>
        </w:rPr>
        <w:t>Anleitung</w:t>
      </w:r>
      <w:r w:rsidR="001A28DA">
        <w:rPr>
          <w:lang w:val="de-DE"/>
        </w:rPr>
        <w:t xml:space="preserve"> klargestellt werden soll</w:t>
      </w:r>
      <w:r w:rsidR="00073608" w:rsidRPr="005D3057">
        <w:rPr>
          <w:lang w:val="de-DE"/>
        </w:rPr>
        <w:t>e</w:t>
      </w:r>
      <w:r w:rsidR="00D17071" w:rsidRPr="005D3057">
        <w:rPr>
          <w:lang w:val="de-DE"/>
        </w:rPr>
        <w:t>, ob es eine V</w:t>
      </w:r>
      <w:r w:rsidR="00D80102" w:rsidRPr="005D3057">
        <w:rPr>
          <w:lang w:val="de-DE"/>
        </w:rPr>
        <w:t xml:space="preserve">oraussetzung gebe, </w:t>
      </w:r>
      <w:r w:rsidR="000C2E72" w:rsidRPr="005D3057">
        <w:rPr>
          <w:rFonts w:eastAsia="SimSun"/>
          <w:szCs w:val="24"/>
          <w:lang w:val="de-DE" w:eastAsia="zh-CN"/>
        </w:rPr>
        <w:t xml:space="preserve">zwei </w:t>
      </w:r>
      <w:r w:rsidR="003F220F" w:rsidRPr="005D3057">
        <w:rPr>
          <w:rFonts w:eastAsia="SimSun"/>
          <w:szCs w:val="24"/>
          <w:lang w:val="de-DE" w:eastAsia="zh-CN"/>
        </w:rPr>
        <w:t>Wachstums</w:t>
      </w:r>
      <w:r w:rsidR="00FF32EB" w:rsidRPr="005D3057">
        <w:rPr>
          <w:rFonts w:eastAsia="SimSun"/>
          <w:szCs w:val="24"/>
          <w:lang w:val="de-DE" w:eastAsia="zh-CN"/>
        </w:rPr>
        <w:t>perioden</w:t>
      </w:r>
      <w:r w:rsidRPr="005D3057">
        <w:rPr>
          <w:rFonts w:eastAsia="SimSun"/>
          <w:szCs w:val="24"/>
          <w:lang w:val="de-DE" w:eastAsia="zh-CN"/>
        </w:rPr>
        <w:t xml:space="preserve"> </w:t>
      </w:r>
      <w:r w:rsidR="00774268" w:rsidRPr="005D3057">
        <w:rPr>
          <w:rFonts w:eastAsia="SimSun"/>
          <w:szCs w:val="24"/>
          <w:lang w:val="de-DE" w:eastAsia="zh-CN"/>
        </w:rPr>
        <w:t>unter Verwendung von</w:t>
      </w:r>
      <w:r w:rsidRPr="005D3057">
        <w:rPr>
          <w:rFonts w:eastAsia="SimSun"/>
          <w:szCs w:val="24"/>
          <w:lang w:val="de-DE" w:eastAsia="zh-CN"/>
        </w:rPr>
        <w:t xml:space="preserve"> </w:t>
      </w:r>
      <w:r w:rsidR="00324A8A" w:rsidRPr="005D3057">
        <w:rPr>
          <w:rFonts w:eastAsia="SimSun"/>
          <w:szCs w:val="24"/>
          <w:lang w:val="de-DE" w:eastAsia="zh-CN"/>
        </w:rPr>
        <w:t>Vermehrungsmaterial</w:t>
      </w:r>
      <w:r w:rsidRPr="005D3057">
        <w:rPr>
          <w:rFonts w:eastAsia="SimSun"/>
          <w:szCs w:val="24"/>
          <w:lang w:val="de-DE" w:eastAsia="zh-CN"/>
        </w:rPr>
        <w:t xml:space="preserve"> </w:t>
      </w:r>
      <w:r w:rsidR="000C2E72" w:rsidRPr="005D3057">
        <w:rPr>
          <w:rFonts w:eastAsia="SimSun"/>
          <w:szCs w:val="24"/>
          <w:lang w:val="de-DE" w:eastAsia="zh-CN"/>
        </w:rPr>
        <w:t>aus</w:t>
      </w:r>
      <w:r w:rsidR="00D17071" w:rsidRPr="005D3057">
        <w:rPr>
          <w:rFonts w:eastAsia="SimSun"/>
          <w:szCs w:val="24"/>
          <w:lang w:val="de-DE" w:eastAsia="zh-CN"/>
        </w:rPr>
        <w:t xml:space="preserve"> einer einzelnen Ein</w:t>
      </w:r>
      <w:r w:rsidR="000C2E72" w:rsidRPr="005D3057">
        <w:rPr>
          <w:rFonts w:eastAsia="SimSun"/>
          <w:szCs w:val="24"/>
          <w:lang w:val="de-DE" w:eastAsia="zh-CN"/>
        </w:rPr>
        <w:t>sendung</w:t>
      </w:r>
      <w:r w:rsidRPr="005D3057">
        <w:rPr>
          <w:rFonts w:eastAsia="SimSun"/>
          <w:szCs w:val="24"/>
          <w:lang w:val="de-DE" w:eastAsia="zh-CN"/>
        </w:rPr>
        <w:t xml:space="preserve"> </w:t>
      </w:r>
      <w:r w:rsidR="00073608" w:rsidRPr="005D3057">
        <w:rPr>
          <w:rFonts w:eastAsia="SimSun"/>
          <w:szCs w:val="24"/>
          <w:lang w:val="de-DE" w:eastAsia="zh-CN"/>
        </w:rPr>
        <w:t>vom</w:t>
      </w:r>
      <w:r w:rsidRPr="005D3057">
        <w:rPr>
          <w:rFonts w:eastAsia="SimSun"/>
          <w:szCs w:val="24"/>
          <w:lang w:val="de-DE" w:eastAsia="zh-CN"/>
        </w:rPr>
        <w:t xml:space="preserve"> </w:t>
      </w:r>
      <w:r w:rsidR="00D17071" w:rsidRPr="005D3057">
        <w:rPr>
          <w:rFonts w:eastAsia="SimSun"/>
          <w:szCs w:val="24"/>
          <w:lang w:val="de-DE" w:eastAsia="zh-CN"/>
        </w:rPr>
        <w:t>Züchter</w:t>
      </w:r>
      <w:r w:rsidR="00D80102" w:rsidRPr="005D3057">
        <w:rPr>
          <w:rFonts w:eastAsia="SimSun"/>
          <w:szCs w:val="24"/>
          <w:lang w:val="de-DE" w:eastAsia="zh-CN"/>
        </w:rPr>
        <w:t xml:space="preserve"> zu bewerten (z.B.</w:t>
      </w:r>
      <w:r w:rsidRPr="005D3057">
        <w:rPr>
          <w:rFonts w:eastAsia="SimSun"/>
          <w:szCs w:val="24"/>
          <w:lang w:val="de-DE" w:eastAsia="zh-CN"/>
        </w:rPr>
        <w:t xml:space="preserve"> </w:t>
      </w:r>
      <w:r w:rsidR="00FD594C" w:rsidRPr="005D3057">
        <w:rPr>
          <w:rFonts w:eastAsia="SimSun"/>
          <w:szCs w:val="24"/>
          <w:lang w:val="de-DE" w:eastAsia="zh-CN"/>
        </w:rPr>
        <w:t>Samen</w:t>
      </w:r>
      <w:r w:rsidRPr="005D3057">
        <w:rPr>
          <w:rFonts w:eastAsia="SimSun"/>
          <w:szCs w:val="24"/>
          <w:lang w:val="de-DE" w:eastAsia="zh-CN"/>
        </w:rPr>
        <w:t xml:space="preserve"> </w:t>
      </w:r>
      <w:r w:rsidR="00073608" w:rsidRPr="005D3057">
        <w:rPr>
          <w:rFonts w:eastAsia="SimSun"/>
          <w:szCs w:val="24"/>
          <w:lang w:val="de-DE" w:eastAsia="zh-CN"/>
        </w:rPr>
        <w:t>von der gleichen</w:t>
      </w:r>
      <w:r w:rsidRPr="005D3057">
        <w:rPr>
          <w:rFonts w:eastAsia="SimSun"/>
          <w:szCs w:val="24"/>
          <w:lang w:val="de-DE" w:eastAsia="zh-CN"/>
        </w:rPr>
        <w:t xml:space="preserve"> </w:t>
      </w:r>
      <w:r w:rsidR="00FD594C" w:rsidRPr="005D3057">
        <w:rPr>
          <w:rFonts w:eastAsia="SimSun"/>
          <w:szCs w:val="24"/>
          <w:lang w:val="de-DE" w:eastAsia="zh-CN"/>
        </w:rPr>
        <w:t>Saatpartie</w:t>
      </w:r>
      <w:r w:rsidRPr="005D3057">
        <w:rPr>
          <w:rFonts w:eastAsia="SimSun"/>
          <w:szCs w:val="24"/>
          <w:lang w:val="de-DE" w:eastAsia="zh-CN"/>
        </w:rPr>
        <w:t>).</w:t>
      </w:r>
    </w:p>
    <w:p w14:paraId="015047AB" w14:textId="77777777" w:rsidR="00B21F4F" w:rsidRPr="005D3057" w:rsidRDefault="00B21F4F" w:rsidP="00B21F4F">
      <w:pPr>
        <w:rPr>
          <w:lang w:val="de-DE"/>
        </w:rPr>
      </w:pPr>
    </w:p>
    <w:p w14:paraId="7FDA26D6" w14:textId="77777777" w:rsidR="00B21F4F" w:rsidRPr="005D3057" w:rsidRDefault="00B21F4F" w:rsidP="00B21F4F">
      <w:pPr>
        <w:rPr>
          <w:lang w:val="de-DE"/>
        </w:rPr>
      </w:pPr>
    </w:p>
    <w:p w14:paraId="6F10D707" w14:textId="77777777" w:rsidR="00B21F4F" w:rsidRPr="005D3057" w:rsidRDefault="00E44954" w:rsidP="00B21F4F">
      <w:pPr>
        <w:pStyle w:val="Heading3"/>
        <w:rPr>
          <w:snapToGrid w:val="0"/>
          <w:lang w:val="de-DE"/>
        </w:rPr>
      </w:pPr>
      <w:bookmarkStart w:id="14" w:name="_Toc475460258"/>
      <w:r w:rsidRPr="005D3057">
        <w:rPr>
          <w:snapToGrid w:val="0"/>
          <w:lang w:val="de-DE"/>
        </w:rPr>
        <w:t>Technische Arbeitsgruppe für Gemüsearten</w:t>
      </w:r>
      <w:bookmarkEnd w:id="14"/>
    </w:p>
    <w:p w14:paraId="74161383" w14:textId="77777777" w:rsidR="00B21F4F" w:rsidRPr="005D3057" w:rsidRDefault="00B21F4F" w:rsidP="00B21F4F">
      <w:pPr>
        <w:rPr>
          <w:rFonts w:eastAsia="PMingLiU"/>
          <w:lang w:val="de-DE"/>
        </w:rPr>
      </w:pPr>
    </w:p>
    <w:p w14:paraId="0DF77F0E" w14:textId="77777777" w:rsidR="00B21F4F" w:rsidRPr="005D3057" w:rsidRDefault="00B21F4F" w:rsidP="00B21F4F">
      <w:pPr>
        <w:rPr>
          <w:lang w:val="de-DE"/>
        </w:rPr>
      </w:pPr>
      <w:r w:rsidRPr="005D3057">
        <w:rPr>
          <w:lang w:val="fr-FR"/>
        </w:rPr>
        <w:fldChar w:fldCharType="begin"/>
      </w:r>
      <w:r w:rsidRPr="005D3057">
        <w:rPr>
          <w:lang w:val="de-DE"/>
        </w:rPr>
        <w:instrText xml:space="preserve"> AUTONUM  </w:instrText>
      </w:r>
      <w:r w:rsidRPr="005D3057">
        <w:rPr>
          <w:lang w:val="fr-FR"/>
        </w:rPr>
        <w:fldChar w:fldCharType="end"/>
      </w:r>
      <w:r w:rsidRPr="005D3057">
        <w:rPr>
          <w:lang w:val="de-DE"/>
        </w:rPr>
        <w:tab/>
      </w:r>
      <w:r w:rsidR="00073608" w:rsidRPr="005D3057">
        <w:rPr>
          <w:lang w:val="de-DE"/>
        </w:rPr>
        <w:t xml:space="preserve">Die </w:t>
      </w:r>
      <w:r w:rsidRPr="005D3057">
        <w:rPr>
          <w:lang w:val="de-DE"/>
        </w:rPr>
        <w:t xml:space="preserve">TWV </w:t>
      </w:r>
      <w:r w:rsidR="00EE28B0" w:rsidRPr="005D3057">
        <w:rPr>
          <w:lang w:val="de-DE"/>
        </w:rPr>
        <w:t>prüfte</w:t>
      </w:r>
      <w:r w:rsidRPr="005D3057">
        <w:rPr>
          <w:lang w:val="de-DE"/>
        </w:rPr>
        <w:t xml:space="preserve"> </w:t>
      </w:r>
      <w:r w:rsidR="006E4EF6" w:rsidRPr="005D3057">
        <w:rPr>
          <w:lang w:val="de-DE"/>
        </w:rPr>
        <w:t>Dokumente</w:t>
      </w:r>
      <w:r w:rsidRPr="005D3057">
        <w:rPr>
          <w:lang w:val="de-DE"/>
        </w:rPr>
        <w:t xml:space="preserve"> TWV/50/13</w:t>
      </w:r>
      <w:r w:rsidR="00FD594C" w:rsidRPr="005D3057">
        <w:rPr>
          <w:lang w:val="de-DE"/>
        </w:rPr>
        <w:t xml:space="preserve"> und </w:t>
      </w:r>
      <w:r w:rsidRPr="005D3057">
        <w:rPr>
          <w:lang w:val="de-DE" w:eastAsia="en-GB"/>
        </w:rPr>
        <w:t xml:space="preserve">TWV/50/13 Add. </w:t>
      </w:r>
      <w:r w:rsidR="00EE28B0" w:rsidRPr="005D3057">
        <w:rPr>
          <w:lang w:val="de-DE" w:eastAsia="en-GB"/>
        </w:rPr>
        <w:t>(vergleiche</w:t>
      </w:r>
      <w:r w:rsidR="00EB59A9" w:rsidRPr="005D3057">
        <w:rPr>
          <w:lang w:val="de-DE" w:eastAsia="en-GB"/>
        </w:rPr>
        <w:t xml:space="preserve"> </w:t>
      </w:r>
      <w:r w:rsidR="006E4EF6" w:rsidRPr="005D3057">
        <w:rPr>
          <w:lang w:val="de-DE" w:eastAsia="en-GB"/>
        </w:rPr>
        <w:t>Dokument</w:t>
      </w:r>
      <w:r w:rsidR="00EB59A9" w:rsidRPr="005D3057">
        <w:rPr>
          <w:lang w:val="de-DE" w:eastAsia="en-GB"/>
        </w:rPr>
        <w:t xml:space="preserve"> </w:t>
      </w:r>
      <w:r w:rsidR="00EB59A9" w:rsidRPr="005D3057">
        <w:rPr>
          <w:snapToGrid w:val="0"/>
          <w:lang w:val="de-DE"/>
        </w:rPr>
        <w:t>TWV/50/</w:t>
      </w:r>
      <w:r w:rsidR="00EB59A9" w:rsidRPr="005D3057">
        <w:rPr>
          <w:rFonts w:cs="Arial"/>
          <w:lang w:val="de-DE"/>
        </w:rPr>
        <w:t xml:space="preserve">25 </w:t>
      </w:r>
      <w:r w:rsidR="001E6A84" w:rsidRPr="005D3057">
        <w:rPr>
          <w:rFonts w:cs="Arial"/>
          <w:lang w:val="de-DE"/>
        </w:rPr>
        <w:t>„</w:t>
      </w:r>
      <w:r w:rsidR="00EB59A9" w:rsidRPr="005D2F87">
        <w:rPr>
          <w:rFonts w:cs="Arial"/>
          <w:i/>
          <w:lang w:val="de-DE"/>
        </w:rPr>
        <w:t>Report</w:t>
      </w:r>
      <w:r w:rsidR="001E6A84" w:rsidRPr="005D3057">
        <w:rPr>
          <w:rFonts w:cs="Arial"/>
          <w:lang w:val="de-DE"/>
        </w:rPr>
        <w:t>“</w:t>
      </w:r>
      <w:r w:rsidR="00EB59A9" w:rsidRPr="005D3057">
        <w:rPr>
          <w:rFonts w:cs="Arial"/>
          <w:lang w:val="de-DE"/>
        </w:rPr>
        <w:t>,</w:t>
      </w:r>
      <w:r w:rsidR="00EB59A9" w:rsidRPr="005D3057">
        <w:rPr>
          <w:rFonts w:eastAsia="SimSun"/>
          <w:lang w:val="de-DE" w:eastAsia="zh-CN"/>
        </w:rPr>
        <w:t xml:space="preserve"> </w:t>
      </w:r>
      <w:r w:rsidR="00EE28B0" w:rsidRPr="005D3057">
        <w:rPr>
          <w:rFonts w:eastAsia="SimSun"/>
          <w:lang w:val="de-DE" w:eastAsia="zh-CN"/>
        </w:rPr>
        <w:t>Absätze</w:t>
      </w:r>
      <w:r w:rsidR="00EB59A9" w:rsidRPr="005D3057">
        <w:rPr>
          <w:rFonts w:eastAsia="SimSun"/>
          <w:lang w:val="de-DE" w:eastAsia="zh-CN"/>
        </w:rPr>
        <w:t xml:space="preserve"> 42 </w:t>
      </w:r>
      <w:r w:rsidR="00073608" w:rsidRPr="005D3057">
        <w:rPr>
          <w:rFonts w:eastAsia="SimSun"/>
          <w:lang w:val="de-DE" w:eastAsia="zh-CN"/>
        </w:rPr>
        <w:t>bis</w:t>
      </w:r>
      <w:r w:rsidR="00EB59A9" w:rsidRPr="005D3057">
        <w:rPr>
          <w:rFonts w:eastAsia="SimSun"/>
          <w:lang w:val="de-DE" w:eastAsia="zh-CN"/>
        </w:rPr>
        <w:t xml:space="preserve"> 48)</w:t>
      </w:r>
      <w:r w:rsidRPr="005D3057">
        <w:rPr>
          <w:lang w:val="de-DE"/>
        </w:rPr>
        <w:t>.</w:t>
      </w:r>
    </w:p>
    <w:p w14:paraId="6AD1F64E" w14:textId="77777777" w:rsidR="00B21F4F" w:rsidRPr="005D3057" w:rsidRDefault="00B21F4F" w:rsidP="00B21F4F">
      <w:pPr>
        <w:rPr>
          <w:snapToGrid w:val="0"/>
          <w:lang w:val="de-DE"/>
        </w:rPr>
      </w:pPr>
    </w:p>
    <w:p w14:paraId="13E2ED59" w14:textId="704F353B" w:rsidR="00B21F4F" w:rsidRPr="005D3057" w:rsidRDefault="00B21F4F" w:rsidP="00E44954">
      <w:pPr>
        <w:rPr>
          <w:snapToGrid w:val="0"/>
          <w:lang w:val="de-DE"/>
        </w:rPr>
      </w:pPr>
      <w:r w:rsidRPr="005D3057">
        <w:rPr>
          <w:snapToGrid w:val="0"/>
        </w:rPr>
        <w:fldChar w:fldCharType="begin"/>
      </w:r>
      <w:r w:rsidRPr="005D3057">
        <w:rPr>
          <w:snapToGrid w:val="0"/>
          <w:lang w:val="de-DE"/>
        </w:rPr>
        <w:instrText xml:space="preserve"> AUTONUM  </w:instrText>
      </w:r>
      <w:r w:rsidRPr="005D3057">
        <w:rPr>
          <w:snapToGrid w:val="0"/>
        </w:rPr>
        <w:fldChar w:fldCharType="end"/>
      </w:r>
      <w:r w:rsidRPr="005D3057">
        <w:rPr>
          <w:snapToGrid w:val="0"/>
          <w:lang w:val="de-DE"/>
        </w:rPr>
        <w:tab/>
      </w:r>
      <w:r w:rsidR="00073608" w:rsidRPr="005D3057">
        <w:rPr>
          <w:snapToGrid w:val="0"/>
          <w:lang w:val="de-DE"/>
        </w:rPr>
        <w:t xml:space="preserve">Die </w:t>
      </w:r>
      <w:r w:rsidRPr="005D3057">
        <w:rPr>
          <w:snapToGrid w:val="0"/>
          <w:lang w:val="de-DE"/>
        </w:rPr>
        <w:t xml:space="preserve">TWV </w:t>
      </w:r>
      <w:r w:rsidR="003F220F" w:rsidRPr="005D3057">
        <w:rPr>
          <w:snapToGrid w:val="0"/>
          <w:lang w:val="de-DE"/>
        </w:rPr>
        <w:t>hörte ein Referat</w:t>
      </w:r>
      <w:r w:rsidRPr="005D3057">
        <w:rPr>
          <w:snapToGrid w:val="0"/>
          <w:lang w:val="de-DE"/>
        </w:rPr>
        <w:t xml:space="preserve"> </w:t>
      </w:r>
      <w:r w:rsidR="00073608" w:rsidRPr="005D3057">
        <w:rPr>
          <w:snapToGrid w:val="0"/>
          <w:lang w:val="de-DE"/>
        </w:rPr>
        <w:t xml:space="preserve">über </w:t>
      </w:r>
      <w:r w:rsidR="001E6A84" w:rsidRPr="005D3057">
        <w:rPr>
          <w:lang w:val="de-DE" w:eastAsia="en-GB"/>
        </w:rPr>
        <w:t>„</w:t>
      </w:r>
      <w:r w:rsidR="00D80102" w:rsidRPr="005D3057">
        <w:rPr>
          <w:lang w:val="de-DE"/>
        </w:rPr>
        <w:t>Praktische Erfahrung</w:t>
      </w:r>
      <w:r w:rsidRPr="005D3057">
        <w:rPr>
          <w:lang w:val="de-DE"/>
        </w:rPr>
        <w:t xml:space="preserve"> </w:t>
      </w:r>
      <w:r w:rsidR="00FD594C" w:rsidRPr="005D3057">
        <w:rPr>
          <w:lang w:val="de-DE"/>
        </w:rPr>
        <w:t>bei der Prüfung der Homogenität</w:t>
      </w:r>
      <w:r w:rsidRPr="005D3057">
        <w:rPr>
          <w:lang w:val="de-DE"/>
        </w:rPr>
        <w:t xml:space="preserve"> </w:t>
      </w:r>
      <w:r w:rsidR="00FD594C" w:rsidRPr="005D3057">
        <w:rPr>
          <w:lang w:val="de-DE"/>
        </w:rPr>
        <w:t>anhand von Abweichern</w:t>
      </w:r>
      <w:r w:rsidRPr="005D3057">
        <w:rPr>
          <w:lang w:val="de-DE"/>
        </w:rPr>
        <w:t xml:space="preserve">: </w:t>
      </w:r>
      <w:r w:rsidR="00FD594C" w:rsidRPr="005D3057">
        <w:rPr>
          <w:lang w:val="de-DE"/>
        </w:rPr>
        <w:t>Ablehnung</w:t>
      </w:r>
      <w:r w:rsidRPr="005D3057">
        <w:rPr>
          <w:lang w:val="de-DE"/>
        </w:rPr>
        <w:t xml:space="preserve"> </w:t>
      </w:r>
      <w:r w:rsidR="00073608" w:rsidRPr="005D3057">
        <w:rPr>
          <w:lang w:val="de-DE"/>
        </w:rPr>
        <w:t>nach der ersten</w:t>
      </w:r>
      <w:r w:rsidRPr="005D3057">
        <w:rPr>
          <w:lang w:val="de-DE"/>
        </w:rPr>
        <w:t xml:space="preserve"> </w:t>
      </w:r>
      <w:r w:rsidR="00FD594C" w:rsidRPr="005D3057">
        <w:rPr>
          <w:lang w:val="de-DE"/>
        </w:rPr>
        <w:t>Wachstumsperiode</w:t>
      </w:r>
      <w:r w:rsidRPr="005D3057">
        <w:rPr>
          <w:lang w:val="de-DE"/>
        </w:rPr>
        <w:t xml:space="preserve"> </w:t>
      </w:r>
      <w:r w:rsidR="00D80102" w:rsidRPr="005D3057">
        <w:rPr>
          <w:lang w:val="de-DE"/>
        </w:rPr>
        <w:t>der offiziellen</w:t>
      </w:r>
      <w:r w:rsidRPr="005D3057">
        <w:rPr>
          <w:lang w:val="de-DE"/>
        </w:rPr>
        <w:t xml:space="preserve"> DUS</w:t>
      </w:r>
      <w:r w:rsidR="00D80102" w:rsidRPr="005D3057">
        <w:rPr>
          <w:lang w:val="de-DE"/>
        </w:rPr>
        <w:t>-</w:t>
      </w:r>
      <w:r w:rsidR="00FD594C" w:rsidRPr="005D3057">
        <w:rPr>
          <w:lang w:val="de-DE"/>
        </w:rPr>
        <w:t>Saatpartie</w:t>
      </w:r>
      <w:r w:rsidR="001E6A84" w:rsidRPr="005D3057">
        <w:rPr>
          <w:rFonts w:eastAsiaTheme="minorEastAsia"/>
          <w:lang w:val="de-DE" w:eastAsia="ja-JP"/>
        </w:rPr>
        <w:t>“</w:t>
      </w:r>
      <w:r w:rsidRPr="005D3057">
        <w:rPr>
          <w:rFonts w:eastAsiaTheme="minorEastAsia" w:hint="eastAsia"/>
          <w:lang w:val="de-DE" w:eastAsia="ja-JP"/>
        </w:rPr>
        <w:t xml:space="preserve"> </w:t>
      </w:r>
      <w:r w:rsidR="003F220F" w:rsidRPr="005D3057">
        <w:rPr>
          <w:lang w:val="de-DE" w:eastAsia="en-GB"/>
        </w:rPr>
        <w:t>von einem Sachverständigen</w:t>
      </w:r>
      <w:r w:rsidRPr="005D3057">
        <w:rPr>
          <w:lang w:val="de-DE" w:eastAsia="en-GB"/>
        </w:rPr>
        <w:t xml:space="preserve"> </w:t>
      </w:r>
      <w:r w:rsidR="00073608" w:rsidRPr="005D3057">
        <w:rPr>
          <w:lang w:val="de-DE" w:eastAsia="en-GB"/>
        </w:rPr>
        <w:t xml:space="preserve">aus </w:t>
      </w:r>
      <w:r w:rsidR="000C2E72" w:rsidRPr="005D3057">
        <w:rPr>
          <w:lang w:val="de-DE" w:eastAsia="en-GB"/>
        </w:rPr>
        <w:t>Frankreich</w:t>
      </w:r>
      <w:r w:rsidRPr="005D3057">
        <w:rPr>
          <w:lang w:val="de-DE" w:eastAsia="en-GB"/>
        </w:rPr>
        <w:t xml:space="preserve">. </w:t>
      </w:r>
      <w:r w:rsidR="002030DE" w:rsidRPr="005D3057">
        <w:rPr>
          <w:lang w:val="de-DE" w:eastAsia="en-GB"/>
        </w:rPr>
        <w:t xml:space="preserve">Eine Abschrift des Referats ist in Dokument </w:t>
      </w:r>
      <w:r w:rsidRPr="005D3057">
        <w:rPr>
          <w:lang w:val="de-DE" w:eastAsia="en-GB"/>
        </w:rPr>
        <w:t>TWV/50/13 Add. Rev.</w:t>
      </w:r>
      <w:r w:rsidR="00073608" w:rsidRPr="005D3057">
        <w:rPr>
          <w:lang w:val="de-DE" w:eastAsia="en-GB"/>
        </w:rPr>
        <w:t xml:space="preserve"> enthalten.</w:t>
      </w:r>
    </w:p>
    <w:p w14:paraId="03B82F1A" w14:textId="77777777" w:rsidR="00B21F4F" w:rsidRPr="005D3057" w:rsidRDefault="00B21F4F" w:rsidP="00B21F4F">
      <w:pPr>
        <w:rPr>
          <w:snapToGrid w:val="0"/>
          <w:lang w:val="de-DE"/>
        </w:rPr>
      </w:pPr>
    </w:p>
    <w:p w14:paraId="4BF39BA9" w14:textId="77777777" w:rsidR="00B21F4F" w:rsidRPr="005D3057" w:rsidRDefault="00B21F4F" w:rsidP="00B21F4F">
      <w:pPr>
        <w:rPr>
          <w:snapToGrid w:val="0"/>
          <w:lang w:val="de-DE"/>
        </w:rPr>
      </w:pPr>
      <w:r w:rsidRPr="005D3057">
        <w:rPr>
          <w:snapToGrid w:val="0"/>
        </w:rPr>
        <w:fldChar w:fldCharType="begin"/>
      </w:r>
      <w:r w:rsidRPr="005D3057">
        <w:rPr>
          <w:snapToGrid w:val="0"/>
          <w:lang w:val="de-DE"/>
        </w:rPr>
        <w:instrText xml:space="preserve"> AUTONUM  </w:instrText>
      </w:r>
      <w:r w:rsidRPr="005D3057">
        <w:rPr>
          <w:snapToGrid w:val="0"/>
        </w:rPr>
        <w:fldChar w:fldCharType="end"/>
      </w:r>
      <w:r w:rsidRPr="005D3057">
        <w:rPr>
          <w:snapToGrid w:val="0"/>
          <w:lang w:val="de-DE"/>
        </w:rPr>
        <w:tab/>
      </w:r>
      <w:r w:rsidR="00073608" w:rsidRPr="005D3057">
        <w:rPr>
          <w:snapToGrid w:val="0"/>
          <w:lang w:val="de-DE"/>
        </w:rPr>
        <w:t xml:space="preserve">Die </w:t>
      </w:r>
      <w:r w:rsidRPr="005D3057">
        <w:rPr>
          <w:snapToGrid w:val="0"/>
          <w:lang w:val="de-DE"/>
        </w:rPr>
        <w:t xml:space="preserve">TWV </w:t>
      </w:r>
      <w:r w:rsidR="007B0CA4" w:rsidRPr="005D3057">
        <w:rPr>
          <w:snapToGrid w:val="0"/>
          <w:lang w:val="de-DE"/>
        </w:rPr>
        <w:t>n</w:t>
      </w:r>
      <w:r w:rsidR="00E44954" w:rsidRPr="005D3057">
        <w:rPr>
          <w:snapToGrid w:val="0"/>
          <w:lang w:val="de-DE"/>
        </w:rPr>
        <w:t>ahm zur Kenntnis, daß die TWA vereinbart habe, um eine Videoverbindung mit den Sachverständigen der TWC zu ersuchen, um den neuen Vorschlag für „Ansatz 3: Kombination der Ergebnisse aus zwei Wachstumsperioden“ auf ihrer fünfundvierzigsten Tagung im Jahre 2016 zu erörtern</w:t>
      </w:r>
      <w:r w:rsidRPr="005D3057">
        <w:rPr>
          <w:snapToGrid w:val="0"/>
          <w:lang w:val="de-DE"/>
        </w:rPr>
        <w:t>.</w:t>
      </w:r>
    </w:p>
    <w:p w14:paraId="5BA78A78" w14:textId="77777777" w:rsidR="00B21F4F" w:rsidRPr="005D3057" w:rsidRDefault="00B21F4F" w:rsidP="00B21F4F">
      <w:pPr>
        <w:rPr>
          <w:snapToGrid w:val="0"/>
          <w:lang w:val="de-DE"/>
        </w:rPr>
      </w:pPr>
    </w:p>
    <w:p w14:paraId="457802E6" w14:textId="58341A0F" w:rsidR="00B21F4F" w:rsidRPr="005D3057" w:rsidRDefault="00B21F4F" w:rsidP="00B21F4F">
      <w:pPr>
        <w:rPr>
          <w:snapToGrid w:val="0"/>
          <w:lang w:val="de-DE"/>
        </w:rPr>
      </w:pPr>
      <w:r w:rsidRPr="005D3057">
        <w:rPr>
          <w:snapToGrid w:val="0"/>
        </w:rPr>
        <w:fldChar w:fldCharType="begin"/>
      </w:r>
      <w:r w:rsidRPr="005D3057">
        <w:rPr>
          <w:snapToGrid w:val="0"/>
          <w:lang w:val="de-DE"/>
        </w:rPr>
        <w:instrText xml:space="preserve"> AUTONUM  </w:instrText>
      </w:r>
      <w:r w:rsidRPr="005D3057">
        <w:rPr>
          <w:snapToGrid w:val="0"/>
        </w:rPr>
        <w:fldChar w:fldCharType="end"/>
      </w:r>
      <w:r w:rsidRPr="005D3057">
        <w:rPr>
          <w:snapToGrid w:val="0"/>
          <w:lang w:val="de-DE"/>
        </w:rPr>
        <w:tab/>
      </w:r>
      <w:r w:rsidR="00073608" w:rsidRPr="005D3057">
        <w:rPr>
          <w:snapToGrid w:val="0"/>
          <w:lang w:val="de-DE"/>
        </w:rPr>
        <w:t xml:space="preserve">Die </w:t>
      </w:r>
      <w:r w:rsidRPr="005D3057">
        <w:rPr>
          <w:snapToGrid w:val="0"/>
          <w:lang w:val="de-DE"/>
        </w:rPr>
        <w:t xml:space="preserve">TWV </w:t>
      </w:r>
      <w:r w:rsidR="00EE28B0" w:rsidRPr="005D3057">
        <w:rPr>
          <w:snapToGrid w:val="0"/>
          <w:lang w:val="de-DE"/>
        </w:rPr>
        <w:t>prüfte</w:t>
      </w:r>
      <w:r w:rsidRPr="005D3057">
        <w:rPr>
          <w:snapToGrid w:val="0"/>
          <w:lang w:val="de-DE"/>
        </w:rPr>
        <w:t xml:space="preserve"> </w:t>
      </w:r>
      <w:r w:rsidR="00073608" w:rsidRPr="005D3057">
        <w:rPr>
          <w:snapToGrid w:val="0"/>
          <w:lang w:val="de-DE"/>
        </w:rPr>
        <w:t xml:space="preserve">den </w:t>
      </w:r>
      <w:r w:rsidR="00837D1F" w:rsidRPr="005D3057">
        <w:rPr>
          <w:snapToGrid w:val="0"/>
          <w:lang w:val="de-DE"/>
        </w:rPr>
        <w:t>Entwurf für eine</w:t>
      </w:r>
      <w:r w:rsidRPr="005D3057">
        <w:rPr>
          <w:snapToGrid w:val="0"/>
          <w:lang w:val="de-DE"/>
        </w:rPr>
        <w:t xml:space="preserve"> </w:t>
      </w:r>
      <w:r w:rsidR="006E4EF6" w:rsidRPr="005D3057">
        <w:rPr>
          <w:snapToGrid w:val="0"/>
          <w:lang w:val="de-DE"/>
        </w:rPr>
        <w:t>Anleitung</w:t>
      </w:r>
      <w:r w:rsidR="00EE28B0" w:rsidRPr="005D3057">
        <w:rPr>
          <w:snapToGrid w:val="0"/>
          <w:lang w:val="de-DE"/>
        </w:rPr>
        <w:t xml:space="preserve">, wie </w:t>
      </w:r>
      <w:r w:rsidRPr="005D3057">
        <w:rPr>
          <w:snapToGrid w:val="0"/>
          <w:lang w:val="de-DE"/>
        </w:rPr>
        <w:t xml:space="preserve">in </w:t>
      </w:r>
      <w:r w:rsidR="00837D1F" w:rsidRPr="005D3057">
        <w:rPr>
          <w:snapToGrid w:val="0"/>
          <w:lang w:val="de-DE"/>
        </w:rPr>
        <w:t>Anlagen</w:t>
      </w:r>
      <w:r w:rsidRPr="005D3057">
        <w:rPr>
          <w:snapToGrid w:val="0"/>
          <w:lang w:val="de-DE"/>
        </w:rPr>
        <w:t xml:space="preserve"> I</w:t>
      </w:r>
      <w:r w:rsidR="00FD594C" w:rsidRPr="005D3057">
        <w:rPr>
          <w:snapToGrid w:val="0"/>
          <w:lang w:val="de-DE"/>
        </w:rPr>
        <w:t xml:space="preserve"> und </w:t>
      </w:r>
      <w:r w:rsidRPr="005D3057">
        <w:rPr>
          <w:snapToGrid w:val="0"/>
          <w:lang w:val="de-DE"/>
        </w:rPr>
        <w:t xml:space="preserve">II </w:t>
      </w:r>
      <w:r w:rsidR="007B0CA4" w:rsidRPr="005D3057">
        <w:rPr>
          <w:snapToGrid w:val="0"/>
          <w:lang w:val="de-DE"/>
        </w:rPr>
        <w:t>des</w:t>
      </w:r>
      <w:r w:rsidRPr="005D3057">
        <w:rPr>
          <w:snapToGrid w:val="0"/>
          <w:lang w:val="de-DE"/>
        </w:rPr>
        <w:t xml:space="preserve"> </w:t>
      </w:r>
      <w:r w:rsidR="006E4EF6" w:rsidRPr="005D3057">
        <w:rPr>
          <w:lang w:val="de-DE"/>
        </w:rPr>
        <w:t>Dokument</w:t>
      </w:r>
      <w:r w:rsidR="007B0CA4" w:rsidRPr="005D3057">
        <w:rPr>
          <w:lang w:val="de-DE"/>
        </w:rPr>
        <w:t>s</w:t>
      </w:r>
      <w:r w:rsidRPr="005D3057">
        <w:rPr>
          <w:lang w:val="de-DE"/>
        </w:rPr>
        <w:t xml:space="preserve"> TWV/50/13</w:t>
      </w:r>
      <w:r w:rsidR="00073608" w:rsidRPr="005D3057">
        <w:rPr>
          <w:snapToGrid w:val="0"/>
          <w:lang w:val="de-DE"/>
        </w:rPr>
        <w:t xml:space="preserve"> dargelegt,</w:t>
      </w:r>
      <w:r w:rsidRPr="005D3057">
        <w:rPr>
          <w:snapToGrid w:val="0"/>
          <w:lang w:val="de-DE"/>
        </w:rPr>
        <w:t xml:space="preserve"> </w:t>
      </w:r>
      <w:r w:rsidR="000C2E72" w:rsidRPr="005D3057">
        <w:rPr>
          <w:snapToGrid w:val="0"/>
          <w:lang w:val="de-DE"/>
        </w:rPr>
        <w:t>im Hinblick auf die</w:t>
      </w:r>
      <w:r w:rsidR="00EE28B0" w:rsidRPr="005D3057">
        <w:rPr>
          <w:snapToGrid w:val="0"/>
          <w:lang w:val="de-DE"/>
        </w:rPr>
        <w:t xml:space="preserve"> Aufnahme in eine künftige Überarbeitung von</w:t>
      </w:r>
      <w:r w:rsidRPr="005D3057">
        <w:rPr>
          <w:snapToGrid w:val="0"/>
          <w:lang w:val="de-DE"/>
        </w:rPr>
        <w:t xml:space="preserve"> </w:t>
      </w:r>
      <w:r w:rsidR="006E4EF6" w:rsidRPr="005D3057">
        <w:rPr>
          <w:snapToGrid w:val="0"/>
          <w:lang w:val="de-DE"/>
        </w:rPr>
        <w:t>Dokument</w:t>
      </w:r>
      <w:r w:rsidRPr="005D3057">
        <w:rPr>
          <w:snapToGrid w:val="0"/>
          <w:lang w:val="de-DE"/>
        </w:rPr>
        <w:t xml:space="preserve"> TGP/10.</w:t>
      </w:r>
    </w:p>
    <w:p w14:paraId="2813FB36" w14:textId="77777777" w:rsidR="00B21F4F" w:rsidRPr="005D3057" w:rsidRDefault="00B21F4F" w:rsidP="00B21F4F">
      <w:pPr>
        <w:rPr>
          <w:snapToGrid w:val="0"/>
          <w:lang w:val="de-DE"/>
        </w:rPr>
      </w:pPr>
    </w:p>
    <w:p w14:paraId="21990F4D" w14:textId="5063E6D9" w:rsidR="00B21F4F" w:rsidRPr="005D3057" w:rsidRDefault="00B21F4F" w:rsidP="00B21F4F">
      <w:pPr>
        <w:rPr>
          <w:snapToGrid w:val="0"/>
          <w:lang w:val="de-DE"/>
        </w:rPr>
      </w:pPr>
      <w:r w:rsidRPr="005D3057">
        <w:rPr>
          <w:snapToGrid w:val="0"/>
        </w:rPr>
        <w:fldChar w:fldCharType="begin"/>
      </w:r>
      <w:r w:rsidRPr="005D3057">
        <w:rPr>
          <w:snapToGrid w:val="0"/>
          <w:lang w:val="de-DE"/>
        </w:rPr>
        <w:instrText xml:space="preserve"> AUTONUM  </w:instrText>
      </w:r>
      <w:r w:rsidRPr="005D3057">
        <w:rPr>
          <w:snapToGrid w:val="0"/>
        </w:rPr>
        <w:fldChar w:fldCharType="end"/>
      </w:r>
      <w:r w:rsidRPr="005D3057">
        <w:rPr>
          <w:snapToGrid w:val="0"/>
          <w:lang w:val="de-DE"/>
        </w:rPr>
        <w:tab/>
      </w:r>
      <w:r w:rsidR="00073608" w:rsidRPr="005D3057">
        <w:rPr>
          <w:snapToGrid w:val="0"/>
          <w:lang w:val="de-DE"/>
        </w:rPr>
        <w:t xml:space="preserve">Die </w:t>
      </w:r>
      <w:r w:rsidRPr="005D3057">
        <w:rPr>
          <w:snapToGrid w:val="0"/>
          <w:lang w:val="de-DE"/>
        </w:rPr>
        <w:t xml:space="preserve">TWV </w:t>
      </w:r>
      <w:r w:rsidR="00774268" w:rsidRPr="005D3057">
        <w:rPr>
          <w:snapToGrid w:val="0"/>
          <w:lang w:val="de-DE"/>
        </w:rPr>
        <w:t xml:space="preserve">nahm </w:t>
      </w:r>
      <w:r w:rsidR="00073608" w:rsidRPr="005D3057">
        <w:rPr>
          <w:snapToGrid w:val="0"/>
          <w:lang w:val="de-DE"/>
        </w:rPr>
        <w:t>die</w:t>
      </w:r>
      <w:r w:rsidRPr="005D3057">
        <w:rPr>
          <w:snapToGrid w:val="0"/>
          <w:lang w:val="de-DE"/>
        </w:rPr>
        <w:t xml:space="preserve"> </w:t>
      </w:r>
      <w:r w:rsidR="00073608" w:rsidRPr="005D3057">
        <w:rPr>
          <w:snapToGrid w:val="0"/>
          <w:lang w:val="de-DE"/>
        </w:rPr>
        <w:t>von</w:t>
      </w:r>
      <w:r w:rsidRPr="005D3057">
        <w:rPr>
          <w:snapToGrid w:val="0"/>
          <w:lang w:val="de-DE"/>
        </w:rPr>
        <w:t xml:space="preserve"> </w:t>
      </w:r>
      <w:r w:rsidR="007B0CA4" w:rsidRPr="005D3057">
        <w:rPr>
          <w:snapToGrid w:val="0"/>
          <w:lang w:val="de-DE"/>
        </w:rPr>
        <w:t>Vertretern</w:t>
      </w:r>
      <w:r w:rsidRPr="005D3057">
        <w:rPr>
          <w:snapToGrid w:val="0"/>
          <w:lang w:val="de-DE"/>
        </w:rPr>
        <w:t xml:space="preserve"> </w:t>
      </w:r>
      <w:r w:rsidR="00073608" w:rsidRPr="005D3057">
        <w:rPr>
          <w:snapToGrid w:val="0"/>
          <w:lang w:val="de-DE"/>
        </w:rPr>
        <w:t>der</w:t>
      </w:r>
      <w:r w:rsidRPr="005D3057">
        <w:rPr>
          <w:snapToGrid w:val="0"/>
          <w:lang w:val="de-DE"/>
        </w:rPr>
        <w:t xml:space="preserve"> ESA</w:t>
      </w:r>
      <w:r w:rsidR="00FD594C" w:rsidRPr="005D3057">
        <w:rPr>
          <w:snapToGrid w:val="0"/>
          <w:lang w:val="de-DE"/>
        </w:rPr>
        <w:t xml:space="preserve"> und </w:t>
      </w:r>
      <w:r w:rsidRPr="005D3057">
        <w:rPr>
          <w:snapToGrid w:val="0"/>
          <w:lang w:val="de-DE"/>
        </w:rPr>
        <w:t xml:space="preserve">CropLife </w:t>
      </w:r>
      <w:r w:rsidR="007B0CA4" w:rsidRPr="005D3057">
        <w:rPr>
          <w:snapToGrid w:val="0"/>
          <w:lang w:val="de-DE"/>
        </w:rPr>
        <w:t xml:space="preserve">hinsichtlich </w:t>
      </w:r>
      <w:r w:rsidR="00837D1F" w:rsidRPr="005D3057">
        <w:rPr>
          <w:snapToGrid w:val="0"/>
          <w:lang w:val="de-DE"/>
        </w:rPr>
        <w:t>Ansatz</w:t>
      </w:r>
      <w:r w:rsidR="00C1262B" w:rsidRPr="005D3057">
        <w:rPr>
          <w:snapToGrid w:val="0"/>
          <w:lang w:val="de-DE"/>
        </w:rPr>
        <w:t xml:space="preserve"> 3</w:t>
      </w:r>
      <w:r w:rsidR="00073608" w:rsidRPr="005D3057">
        <w:rPr>
          <w:snapToGrid w:val="0"/>
          <w:lang w:val="de-DE"/>
        </w:rPr>
        <w:t xml:space="preserve"> </w:t>
      </w:r>
      <w:r w:rsidR="00C1262B" w:rsidRPr="005D3057">
        <w:rPr>
          <w:snapToGrid w:val="0"/>
          <w:lang w:val="de-DE"/>
        </w:rPr>
        <w:t xml:space="preserve">ausgedrückten Bedenken </w:t>
      </w:r>
      <w:r w:rsidR="00073608" w:rsidRPr="005D3057">
        <w:rPr>
          <w:snapToGrid w:val="0"/>
          <w:lang w:val="de-DE"/>
        </w:rPr>
        <w:t>zur Kenntnis</w:t>
      </w:r>
      <w:r w:rsidR="00FD594C" w:rsidRPr="005D3057">
        <w:rPr>
          <w:snapToGrid w:val="0"/>
          <w:lang w:val="de-DE"/>
        </w:rPr>
        <w:t xml:space="preserve"> und </w:t>
      </w:r>
      <w:r w:rsidR="00774268" w:rsidRPr="005D3057">
        <w:rPr>
          <w:snapToGrid w:val="0"/>
          <w:lang w:val="de-DE"/>
        </w:rPr>
        <w:t xml:space="preserve">nahm </w:t>
      </w:r>
      <w:r w:rsidR="00073608" w:rsidRPr="005D3057">
        <w:rPr>
          <w:snapToGrid w:val="0"/>
          <w:lang w:val="de-DE"/>
        </w:rPr>
        <w:t>die</w:t>
      </w:r>
      <w:r w:rsidRPr="005D3057">
        <w:rPr>
          <w:snapToGrid w:val="0"/>
          <w:lang w:val="de-DE"/>
        </w:rPr>
        <w:t xml:space="preserve"> </w:t>
      </w:r>
      <w:r w:rsidR="00774268" w:rsidRPr="005D3057">
        <w:rPr>
          <w:snapToGrid w:val="0"/>
          <w:lang w:val="de-DE"/>
        </w:rPr>
        <w:t>Bedeutung</w:t>
      </w:r>
      <w:r w:rsidRPr="005D3057">
        <w:rPr>
          <w:snapToGrid w:val="0"/>
          <w:lang w:val="de-DE"/>
        </w:rPr>
        <w:t xml:space="preserve"> </w:t>
      </w:r>
      <w:r w:rsidR="00073608" w:rsidRPr="005D3057">
        <w:rPr>
          <w:snapToGrid w:val="0"/>
          <w:lang w:val="de-DE"/>
        </w:rPr>
        <w:t>zur Kenntnis</w:t>
      </w:r>
      <w:r w:rsidR="00C1262B" w:rsidRPr="005D3057">
        <w:rPr>
          <w:snapToGrid w:val="0"/>
          <w:lang w:val="de-DE"/>
        </w:rPr>
        <w:t>, die d</w:t>
      </w:r>
      <w:r w:rsidR="007B0CA4" w:rsidRPr="005D3057">
        <w:rPr>
          <w:snapToGrid w:val="0"/>
          <w:lang w:val="de-DE"/>
        </w:rPr>
        <w:t>ie</w:t>
      </w:r>
      <w:r w:rsidR="00C1262B" w:rsidRPr="005D3057">
        <w:rPr>
          <w:snapToGrid w:val="0"/>
          <w:lang w:val="de-DE"/>
        </w:rPr>
        <w:t>se</w:t>
      </w:r>
      <w:r w:rsidR="007B0CA4" w:rsidRPr="005D3057">
        <w:rPr>
          <w:snapToGrid w:val="0"/>
          <w:lang w:val="de-DE"/>
        </w:rPr>
        <w:t xml:space="preserve"> der</w:t>
      </w:r>
      <w:r w:rsidRPr="005D3057">
        <w:rPr>
          <w:snapToGrid w:val="0"/>
          <w:lang w:val="de-DE"/>
        </w:rPr>
        <w:t xml:space="preserve"> </w:t>
      </w:r>
      <w:r w:rsidR="007B0CA4" w:rsidRPr="005D3057">
        <w:rPr>
          <w:snapToGrid w:val="0"/>
          <w:lang w:val="de-DE"/>
        </w:rPr>
        <w:t>Übereinstimmung</w:t>
      </w:r>
      <w:r w:rsidRPr="005D3057">
        <w:rPr>
          <w:snapToGrid w:val="0"/>
          <w:lang w:val="de-DE"/>
        </w:rPr>
        <w:t xml:space="preserve"> </w:t>
      </w:r>
      <w:r w:rsidR="00C1262B" w:rsidRPr="005D3057">
        <w:rPr>
          <w:snapToGrid w:val="0"/>
          <w:lang w:val="de-DE"/>
        </w:rPr>
        <w:t>der</w:t>
      </w:r>
      <w:r w:rsidRPr="005D3057">
        <w:rPr>
          <w:snapToGrid w:val="0"/>
          <w:lang w:val="de-DE"/>
        </w:rPr>
        <w:t xml:space="preserve"> </w:t>
      </w:r>
      <w:r w:rsidR="00774268" w:rsidRPr="005D3057">
        <w:rPr>
          <w:snapToGrid w:val="0"/>
          <w:lang w:val="de-DE"/>
        </w:rPr>
        <w:t>Ergebnisse</w:t>
      </w:r>
      <w:r w:rsidRPr="005D3057">
        <w:rPr>
          <w:snapToGrid w:val="0"/>
          <w:lang w:val="de-DE"/>
        </w:rPr>
        <w:t xml:space="preserve"> </w:t>
      </w:r>
      <w:r w:rsidR="00073608" w:rsidRPr="005D3057">
        <w:rPr>
          <w:snapToGrid w:val="0"/>
          <w:lang w:val="de-DE"/>
        </w:rPr>
        <w:t>für die</w:t>
      </w:r>
      <w:r w:rsidRPr="005D3057">
        <w:rPr>
          <w:snapToGrid w:val="0"/>
          <w:lang w:val="de-DE"/>
        </w:rPr>
        <w:t xml:space="preserve"> </w:t>
      </w:r>
      <w:r w:rsidR="007B0CA4" w:rsidRPr="005D3057">
        <w:rPr>
          <w:snapToGrid w:val="0"/>
          <w:lang w:val="de-DE"/>
        </w:rPr>
        <w:t>Prüfung der Homogenität</w:t>
      </w:r>
      <w:r w:rsidRPr="005D3057">
        <w:rPr>
          <w:snapToGrid w:val="0"/>
          <w:lang w:val="de-DE"/>
        </w:rPr>
        <w:t xml:space="preserve"> </w:t>
      </w:r>
      <w:r w:rsidR="00FE655F">
        <w:rPr>
          <w:snapToGrid w:val="0"/>
          <w:lang w:val="de-DE"/>
        </w:rPr>
        <w:t>i</w:t>
      </w:r>
      <w:r w:rsidR="002030DE" w:rsidRPr="005D3057">
        <w:rPr>
          <w:snapToGrid w:val="0"/>
          <w:lang w:val="de-DE"/>
        </w:rPr>
        <w:t>n allen Verbandsmitgliedern</w:t>
      </w:r>
      <w:r w:rsidR="00073608" w:rsidRPr="005D3057">
        <w:rPr>
          <w:snapToGrid w:val="0"/>
          <w:lang w:val="de-DE"/>
        </w:rPr>
        <w:t xml:space="preserve"> zumaßen</w:t>
      </w:r>
      <w:r w:rsidRPr="005D3057">
        <w:rPr>
          <w:snapToGrid w:val="0"/>
          <w:lang w:val="de-DE"/>
        </w:rPr>
        <w:t>.</w:t>
      </w:r>
    </w:p>
    <w:p w14:paraId="07ECB7CC" w14:textId="77777777" w:rsidR="00B21F4F" w:rsidRPr="005D3057" w:rsidRDefault="00B21F4F" w:rsidP="00B21F4F">
      <w:pPr>
        <w:rPr>
          <w:snapToGrid w:val="0"/>
          <w:lang w:val="de-DE"/>
        </w:rPr>
      </w:pPr>
    </w:p>
    <w:p w14:paraId="1F53B0C7" w14:textId="5AF5A89A" w:rsidR="00B21F4F" w:rsidRPr="005D3057" w:rsidRDefault="00B21F4F" w:rsidP="00B21F4F">
      <w:pPr>
        <w:rPr>
          <w:snapToGrid w:val="0"/>
          <w:lang w:val="de-DE"/>
        </w:rPr>
      </w:pPr>
      <w:r w:rsidRPr="005D3057">
        <w:rPr>
          <w:snapToGrid w:val="0"/>
        </w:rPr>
        <w:fldChar w:fldCharType="begin"/>
      </w:r>
      <w:r w:rsidRPr="005D3057">
        <w:rPr>
          <w:snapToGrid w:val="0"/>
          <w:lang w:val="de-DE"/>
        </w:rPr>
        <w:instrText xml:space="preserve"> AUTONUM  </w:instrText>
      </w:r>
      <w:r w:rsidRPr="005D3057">
        <w:rPr>
          <w:snapToGrid w:val="0"/>
        </w:rPr>
        <w:fldChar w:fldCharType="end"/>
      </w:r>
      <w:r w:rsidRPr="005D3057">
        <w:rPr>
          <w:snapToGrid w:val="0"/>
          <w:lang w:val="de-DE"/>
        </w:rPr>
        <w:tab/>
      </w:r>
      <w:r w:rsidR="00073608" w:rsidRPr="005D3057">
        <w:rPr>
          <w:snapToGrid w:val="0"/>
          <w:lang w:val="de-DE"/>
        </w:rPr>
        <w:t xml:space="preserve">Die </w:t>
      </w:r>
      <w:r w:rsidRPr="005D3057">
        <w:rPr>
          <w:snapToGrid w:val="0"/>
          <w:lang w:val="de-DE"/>
        </w:rPr>
        <w:t xml:space="preserve">TWV </w:t>
      </w:r>
      <w:r w:rsidR="00EE28B0" w:rsidRPr="005D3057">
        <w:rPr>
          <w:snapToGrid w:val="0"/>
          <w:lang w:val="de-DE"/>
        </w:rPr>
        <w:t>prüfte</w:t>
      </w:r>
      <w:r w:rsidRPr="005D3057">
        <w:rPr>
          <w:snapToGrid w:val="0"/>
          <w:lang w:val="de-DE"/>
        </w:rPr>
        <w:t xml:space="preserve"> </w:t>
      </w:r>
      <w:r w:rsidR="00073608" w:rsidRPr="005D3057">
        <w:rPr>
          <w:snapToGrid w:val="0"/>
          <w:lang w:val="de-DE"/>
        </w:rPr>
        <w:t xml:space="preserve">die </w:t>
      </w:r>
      <w:r w:rsidR="00EE28B0" w:rsidRPr="005D3057">
        <w:rPr>
          <w:snapToGrid w:val="0"/>
          <w:lang w:val="de-DE"/>
        </w:rPr>
        <w:t>unterschiedliche</w:t>
      </w:r>
      <w:r w:rsidR="008120FD" w:rsidRPr="005D3057">
        <w:rPr>
          <w:snapToGrid w:val="0"/>
          <w:lang w:val="de-DE"/>
        </w:rPr>
        <w:t>n</w:t>
      </w:r>
      <w:r w:rsidRPr="005D3057">
        <w:rPr>
          <w:snapToGrid w:val="0"/>
          <w:lang w:val="de-DE"/>
        </w:rPr>
        <w:t xml:space="preserve"> </w:t>
      </w:r>
      <w:r w:rsidR="008120FD" w:rsidRPr="005D3057">
        <w:rPr>
          <w:snapToGrid w:val="0"/>
          <w:lang w:val="de-DE"/>
        </w:rPr>
        <w:t>Ansätze</w:t>
      </w:r>
      <w:r w:rsidR="00FD594C" w:rsidRPr="005D3057">
        <w:rPr>
          <w:snapToGrid w:val="0"/>
          <w:lang w:val="de-DE"/>
        </w:rPr>
        <w:t xml:space="preserve"> und </w:t>
      </w:r>
      <w:r w:rsidR="00774268" w:rsidRPr="005D3057">
        <w:rPr>
          <w:snapToGrid w:val="0"/>
          <w:lang w:val="de-DE"/>
        </w:rPr>
        <w:t>nahm zur Kenntnis, daß</w:t>
      </w:r>
      <w:r w:rsidR="008120FD" w:rsidRPr="005D3057">
        <w:rPr>
          <w:snapToGrid w:val="0"/>
          <w:lang w:val="de-DE"/>
        </w:rPr>
        <w:t xml:space="preserve"> </w:t>
      </w:r>
      <w:r w:rsidR="007F1408" w:rsidRPr="005D3057">
        <w:rPr>
          <w:snapToGrid w:val="0"/>
          <w:lang w:val="de-DE"/>
        </w:rPr>
        <w:t xml:space="preserve">Ansatz 1 </w:t>
      </w:r>
      <w:r w:rsidR="008120FD" w:rsidRPr="005D3057">
        <w:rPr>
          <w:snapToGrid w:val="0"/>
          <w:lang w:val="de-DE"/>
        </w:rPr>
        <w:t>i</w:t>
      </w:r>
      <w:r w:rsidR="00073608" w:rsidRPr="005D3057">
        <w:rPr>
          <w:snapToGrid w:val="0"/>
          <w:lang w:val="de-DE"/>
        </w:rPr>
        <w:t xml:space="preserve">m </w:t>
      </w:r>
      <w:r w:rsidR="007B0CA4" w:rsidRPr="005D3057">
        <w:rPr>
          <w:snapToGrid w:val="0"/>
          <w:lang w:val="de-DE"/>
        </w:rPr>
        <w:t>Gemüsesektor</w:t>
      </w:r>
      <w:r w:rsidRPr="005D3057">
        <w:rPr>
          <w:snapToGrid w:val="0"/>
          <w:lang w:val="de-DE"/>
        </w:rPr>
        <w:t xml:space="preserve"> </w:t>
      </w:r>
      <w:r w:rsidR="007B0CA4" w:rsidRPr="005D3057">
        <w:rPr>
          <w:snapToGrid w:val="0"/>
          <w:lang w:val="de-DE"/>
        </w:rPr>
        <w:t>der meistverwendete ist</w:t>
      </w:r>
      <w:r w:rsidRPr="005D3057">
        <w:rPr>
          <w:snapToGrid w:val="0"/>
          <w:lang w:val="de-DE"/>
        </w:rPr>
        <w:t xml:space="preserve">. </w:t>
      </w:r>
    </w:p>
    <w:p w14:paraId="68B18773" w14:textId="77777777" w:rsidR="00B21F4F" w:rsidRPr="005D3057" w:rsidRDefault="00B21F4F" w:rsidP="00B21F4F">
      <w:pPr>
        <w:rPr>
          <w:snapToGrid w:val="0"/>
          <w:lang w:val="de-DE"/>
        </w:rPr>
      </w:pPr>
    </w:p>
    <w:p w14:paraId="7DA639B7" w14:textId="3CED992D" w:rsidR="00B21F4F" w:rsidRPr="005D3057" w:rsidRDefault="00B21F4F" w:rsidP="00B21F4F">
      <w:pPr>
        <w:rPr>
          <w:snapToGrid w:val="0"/>
          <w:lang w:val="de-DE"/>
        </w:rPr>
      </w:pPr>
      <w:r w:rsidRPr="005D3057">
        <w:rPr>
          <w:snapToGrid w:val="0"/>
        </w:rPr>
        <w:fldChar w:fldCharType="begin"/>
      </w:r>
      <w:r w:rsidRPr="005D3057">
        <w:rPr>
          <w:snapToGrid w:val="0"/>
          <w:lang w:val="de-DE"/>
        </w:rPr>
        <w:instrText xml:space="preserve"> AUTONUM  </w:instrText>
      </w:r>
      <w:r w:rsidRPr="005D3057">
        <w:rPr>
          <w:snapToGrid w:val="0"/>
        </w:rPr>
        <w:fldChar w:fldCharType="end"/>
      </w:r>
      <w:r w:rsidRPr="005D3057">
        <w:rPr>
          <w:snapToGrid w:val="0"/>
          <w:lang w:val="de-DE"/>
        </w:rPr>
        <w:tab/>
      </w:r>
      <w:r w:rsidR="00073608" w:rsidRPr="005D3057">
        <w:rPr>
          <w:snapToGrid w:val="0"/>
          <w:lang w:val="de-DE"/>
        </w:rPr>
        <w:t xml:space="preserve">Die </w:t>
      </w:r>
      <w:r w:rsidRPr="005D3057">
        <w:rPr>
          <w:snapToGrid w:val="0"/>
          <w:lang w:val="de-DE"/>
        </w:rPr>
        <w:t xml:space="preserve">TWV </w:t>
      </w:r>
      <w:r w:rsidR="00EE28B0" w:rsidRPr="005D3057">
        <w:rPr>
          <w:snapToGrid w:val="0"/>
          <w:lang w:val="de-DE"/>
        </w:rPr>
        <w:t>vereinbarte, daß</w:t>
      </w:r>
      <w:r w:rsidRPr="005D3057">
        <w:rPr>
          <w:snapToGrid w:val="0"/>
          <w:lang w:val="de-DE"/>
        </w:rPr>
        <w:t xml:space="preserve"> </w:t>
      </w:r>
      <w:r w:rsidR="00471422" w:rsidRPr="005D3057">
        <w:rPr>
          <w:snapToGrid w:val="0"/>
          <w:lang w:val="de-DE"/>
        </w:rPr>
        <w:t xml:space="preserve">es </w:t>
      </w:r>
      <w:r w:rsidR="007B0CA4" w:rsidRPr="005D3057">
        <w:rPr>
          <w:snapToGrid w:val="0"/>
          <w:lang w:val="de-DE"/>
        </w:rPr>
        <w:t>in Verbindung mit</w:t>
      </w:r>
      <w:r w:rsidRPr="005D3057">
        <w:rPr>
          <w:snapToGrid w:val="0"/>
          <w:lang w:val="de-DE"/>
        </w:rPr>
        <w:t xml:space="preserve"> </w:t>
      </w:r>
      <w:r w:rsidR="00645C64" w:rsidRPr="005D3057">
        <w:rPr>
          <w:snapToGrid w:val="0"/>
          <w:lang w:val="de-DE"/>
        </w:rPr>
        <w:t xml:space="preserve">der </w:t>
      </w:r>
      <w:r w:rsidR="002030DE" w:rsidRPr="005D3057">
        <w:rPr>
          <w:snapToGrid w:val="0"/>
          <w:lang w:val="de-DE"/>
        </w:rPr>
        <w:t xml:space="preserve">Überarbeitung von Dokument TGP/10: </w:t>
      </w:r>
      <w:r w:rsidR="00FE655F">
        <w:rPr>
          <w:snapToGrid w:val="0"/>
          <w:lang w:val="de-DE"/>
        </w:rPr>
        <w:t>„</w:t>
      </w:r>
      <w:r w:rsidR="002030DE" w:rsidRPr="005D3057">
        <w:rPr>
          <w:snapToGrid w:val="0"/>
          <w:lang w:val="de-DE"/>
        </w:rPr>
        <w:t xml:space="preserve">Prüfung der Homogenität anhand von Abweichern </w:t>
      </w:r>
      <w:r w:rsidR="00D94C83" w:rsidRPr="005D3057">
        <w:rPr>
          <w:snapToGrid w:val="0"/>
          <w:lang w:val="de-DE"/>
        </w:rPr>
        <w:t>aufgrund</w:t>
      </w:r>
      <w:r w:rsidR="002030DE" w:rsidRPr="005D3057">
        <w:rPr>
          <w:snapToGrid w:val="0"/>
          <w:lang w:val="de-DE"/>
        </w:rPr>
        <w:t xml:space="preserve"> von mehr als einer Wachstumsperiode oder aufgrund von Unterproben</w:t>
      </w:r>
      <w:r w:rsidR="00FE655F">
        <w:rPr>
          <w:snapToGrid w:val="0"/>
          <w:lang w:val="de-DE"/>
        </w:rPr>
        <w:t>“</w:t>
      </w:r>
      <w:r w:rsidRPr="005D3057">
        <w:rPr>
          <w:snapToGrid w:val="0"/>
          <w:lang w:val="de-DE"/>
        </w:rPr>
        <w:t xml:space="preserve"> </w:t>
      </w:r>
      <w:r w:rsidR="00645C64" w:rsidRPr="005D3057">
        <w:rPr>
          <w:snapToGrid w:val="0"/>
          <w:lang w:val="de-DE"/>
        </w:rPr>
        <w:t>wichtig wäre</w:t>
      </w:r>
      <w:r w:rsidR="007B0B0A" w:rsidRPr="005D3057">
        <w:rPr>
          <w:snapToGrid w:val="0"/>
          <w:lang w:val="de-DE"/>
        </w:rPr>
        <w:t>,</w:t>
      </w:r>
      <w:r w:rsidRPr="005D3057">
        <w:rPr>
          <w:snapToGrid w:val="0"/>
          <w:lang w:val="de-DE"/>
        </w:rPr>
        <w:t xml:space="preserve"> </w:t>
      </w:r>
      <w:r w:rsidR="00645C64" w:rsidRPr="005D3057">
        <w:rPr>
          <w:snapToGrid w:val="0"/>
          <w:lang w:val="de-DE"/>
        </w:rPr>
        <w:t>die</w:t>
      </w:r>
      <w:r w:rsidRPr="005D3057">
        <w:rPr>
          <w:snapToGrid w:val="0"/>
          <w:lang w:val="de-DE"/>
        </w:rPr>
        <w:t xml:space="preserve"> </w:t>
      </w:r>
      <w:r w:rsidR="00645C64" w:rsidRPr="005D3057">
        <w:rPr>
          <w:snapToGrid w:val="0"/>
          <w:lang w:val="de-DE"/>
        </w:rPr>
        <w:t xml:space="preserve">in </w:t>
      </w:r>
      <w:r w:rsidR="006E4EF6" w:rsidRPr="005D3057">
        <w:rPr>
          <w:snapToGrid w:val="0"/>
          <w:lang w:val="de-DE"/>
        </w:rPr>
        <w:t>Dokument</w:t>
      </w:r>
      <w:r w:rsidRPr="005D3057">
        <w:rPr>
          <w:snapToGrid w:val="0"/>
          <w:lang w:val="de-DE"/>
        </w:rPr>
        <w:t xml:space="preserve"> TGP/8/2</w:t>
      </w:r>
      <w:r w:rsidR="00645C64" w:rsidRPr="005D3057">
        <w:rPr>
          <w:snapToGrid w:val="0"/>
          <w:lang w:val="de-DE"/>
        </w:rPr>
        <w:t xml:space="preserve"> </w:t>
      </w:r>
      <w:r w:rsidR="00DA3946" w:rsidRPr="005D3057">
        <w:rPr>
          <w:snapToGrid w:val="0"/>
          <w:lang w:val="de-DE"/>
        </w:rPr>
        <w:t xml:space="preserve">Teil II: 8: „Verfahren für die Prüfung der Homogenität anhand von Abweichern“ bereitgestellte Anleitung </w:t>
      </w:r>
      <w:r w:rsidR="00645C64" w:rsidRPr="005D3057">
        <w:rPr>
          <w:snapToGrid w:val="0"/>
          <w:lang w:val="de-DE"/>
        </w:rPr>
        <w:t>zu überarbeiten</w:t>
      </w:r>
      <w:r w:rsidRPr="005D3057">
        <w:rPr>
          <w:snapToGrid w:val="0"/>
          <w:lang w:val="de-DE"/>
        </w:rPr>
        <w:t xml:space="preserve">, </w:t>
      </w:r>
      <w:r w:rsidR="00DA3946" w:rsidRPr="005D3057">
        <w:rPr>
          <w:snapToGrid w:val="0"/>
          <w:lang w:val="de-DE"/>
        </w:rPr>
        <w:t>da d</w:t>
      </w:r>
      <w:r w:rsidR="007B0CA4" w:rsidRPr="005D3057">
        <w:rPr>
          <w:snapToGrid w:val="0"/>
          <w:lang w:val="de-DE"/>
        </w:rPr>
        <w:t>ie</w:t>
      </w:r>
      <w:r w:rsidR="00DA3946" w:rsidRPr="005D3057">
        <w:rPr>
          <w:snapToGrid w:val="0"/>
          <w:lang w:val="de-DE"/>
        </w:rPr>
        <w:t>se</w:t>
      </w:r>
      <w:r w:rsidR="007B0CA4" w:rsidRPr="005D3057">
        <w:rPr>
          <w:snapToGrid w:val="0"/>
          <w:lang w:val="de-DE"/>
        </w:rPr>
        <w:t xml:space="preserve"> nicht </w:t>
      </w:r>
      <w:r w:rsidR="00645C64" w:rsidRPr="005D3057">
        <w:rPr>
          <w:snapToGrid w:val="0"/>
          <w:lang w:val="de-DE"/>
        </w:rPr>
        <w:t>die</w:t>
      </w:r>
      <w:r w:rsidRPr="005D3057">
        <w:rPr>
          <w:snapToGrid w:val="0"/>
          <w:lang w:val="de-DE"/>
        </w:rPr>
        <w:t xml:space="preserve"> </w:t>
      </w:r>
      <w:r w:rsidR="007B0CA4" w:rsidRPr="005D3057">
        <w:rPr>
          <w:snapToGrid w:val="0"/>
          <w:lang w:val="de-DE"/>
        </w:rPr>
        <w:t xml:space="preserve">Praxis </w:t>
      </w:r>
      <w:r w:rsidR="00D80102" w:rsidRPr="005D3057">
        <w:rPr>
          <w:snapToGrid w:val="0"/>
          <w:lang w:val="de-DE"/>
        </w:rPr>
        <w:t>der Verbandsmitglieder</w:t>
      </w:r>
      <w:r w:rsidR="00645C64" w:rsidRPr="005D3057">
        <w:rPr>
          <w:snapToGrid w:val="0"/>
          <w:lang w:val="de-DE"/>
        </w:rPr>
        <w:t xml:space="preserve"> </w:t>
      </w:r>
      <w:r w:rsidR="00DA3946" w:rsidRPr="005D3057">
        <w:rPr>
          <w:snapToGrid w:val="0"/>
          <w:lang w:val="de-DE"/>
        </w:rPr>
        <w:t>wider</w:t>
      </w:r>
      <w:r w:rsidR="00B41F3C">
        <w:rPr>
          <w:snapToGrid w:val="0"/>
          <w:lang w:val="de-DE"/>
        </w:rPr>
        <w:t>spiegle</w:t>
      </w:r>
      <w:r w:rsidR="00FB0BF0" w:rsidRPr="005D3057">
        <w:rPr>
          <w:snapToGrid w:val="0"/>
          <w:lang w:val="de-DE"/>
        </w:rPr>
        <w:t>.</w:t>
      </w:r>
      <w:r w:rsidR="007B0CA4" w:rsidRPr="005D3057">
        <w:rPr>
          <w:snapToGrid w:val="0"/>
          <w:lang w:val="de-DE"/>
        </w:rPr>
        <w:t xml:space="preserve"> </w:t>
      </w:r>
      <w:r w:rsidR="006E4EF6" w:rsidRPr="005D3057">
        <w:rPr>
          <w:snapToGrid w:val="0"/>
          <w:lang w:val="de-DE"/>
        </w:rPr>
        <w:t>Dokument</w:t>
      </w:r>
      <w:r w:rsidR="00FB0BF0" w:rsidRPr="005D3057">
        <w:rPr>
          <w:snapToGrid w:val="0"/>
          <w:lang w:val="de-DE"/>
        </w:rPr>
        <w:t xml:space="preserve"> TGP/8/2 </w:t>
      </w:r>
      <w:r w:rsidR="007B0CA4" w:rsidRPr="005D3057">
        <w:rPr>
          <w:snapToGrid w:val="0"/>
          <w:lang w:val="de-DE"/>
        </w:rPr>
        <w:t>lautet derzeit folgendermaßen</w:t>
      </w:r>
      <w:r w:rsidRPr="005D3057">
        <w:rPr>
          <w:snapToGrid w:val="0"/>
          <w:lang w:val="de-DE"/>
        </w:rPr>
        <w:t xml:space="preserve">: </w:t>
      </w:r>
    </w:p>
    <w:p w14:paraId="6D0113BE" w14:textId="77777777" w:rsidR="00B21F4F" w:rsidRPr="005D3057" w:rsidRDefault="00B21F4F" w:rsidP="00B21F4F">
      <w:pPr>
        <w:rPr>
          <w:snapToGrid w:val="0"/>
          <w:lang w:val="de-DE"/>
        </w:rPr>
      </w:pPr>
    </w:p>
    <w:p w14:paraId="5D5F6060" w14:textId="77777777" w:rsidR="002030DE" w:rsidRPr="005D3057" w:rsidRDefault="001E6A84" w:rsidP="005D2F87">
      <w:pPr>
        <w:keepNext/>
        <w:ind w:left="567" w:right="567"/>
        <w:rPr>
          <w:snapToGrid w:val="0"/>
          <w:sz w:val="18"/>
          <w:lang w:val="de-DE"/>
        </w:rPr>
      </w:pPr>
      <w:r w:rsidRPr="005D3057">
        <w:rPr>
          <w:snapToGrid w:val="0"/>
          <w:sz w:val="18"/>
          <w:lang w:val="de-DE"/>
        </w:rPr>
        <w:t>„</w:t>
      </w:r>
      <w:r w:rsidR="002030DE" w:rsidRPr="005D3057">
        <w:rPr>
          <w:snapToGrid w:val="0"/>
          <w:sz w:val="18"/>
          <w:lang w:val="de-DE"/>
        </w:rPr>
        <w:t>8.1.7 Methode für mehr als eine einzige Prüfung (Prüfungsjahr)</w:t>
      </w:r>
    </w:p>
    <w:p w14:paraId="2F01228F" w14:textId="77777777" w:rsidR="002030DE" w:rsidRPr="005D3057" w:rsidRDefault="002030DE" w:rsidP="005D2F87">
      <w:pPr>
        <w:keepNext/>
        <w:ind w:left="567" w:right="567"/>
        <w:rPr>
          <w:snapToGrid w:val="0"/>
          <w:sz w:val="18"/>
          <w:lang w:val="de-DE"/>
        </w:rPr>
      </w:pPr>
    </w:p>
    <w:p w14:paraId="5997A010" w14:textId="77777777" w:rsidR="002030DE" w:rsidRPr="005D3057" w:rsidRDefault="002030DE" w:rsidP="005D2F87">
      <w:pPr>
        <w:keepNext/>
        <w:ind w:left="567" w:right="567"/>
        <w:rPr>
          <w:snapToGrid w:val="0"/>
          <w:sz w:val="18"/>
          <w:lang w:val="de-DE"/>
        </w:rPr>
      </w:pPr>
      <w:r w:rsidRPr="005D3057">
        <w:rPr>
          <w:snapToGrid w:val="0"/>
          <w:sz w:val="18"/>
          <w:lang w:val="de-DE"/>
        </w:rPr>
        <w:t>„8.1.7.1 Einleitung</w:t>
      </w:r>
    </w:p>
    <w:p w14:paraId="28E47708" w14:textId="77777777" w:rsidR="002030DE" w:rsidRPr="005D3057" w:rsidRDefault="002030DE" w:rsidP="005D2F87">
      <w:pPr>
        <w:keepNext/>
        <w:ind w:left="567" w:right="567"/>
        <w:rPr>
          <w:snapToGrid w:val="0"/>
          <w:sz w:val="18"/>
          <w:lang w:val="de-DE"/>
        </w:rPr>
      </w:pPr>
    </w:p>
    <w:p w14:paraId="5FB732FD" w14:textId="77777777" w:rsidR="002030DE" w:rsidRPr="005D3057" w:rsidRDefault="002030DE" w:rsidP="005D2F87">
      <w:pPr>
        <w:keepNext/>
        <w:ind w:left="567" w:right="567"/>
        <w:rPr>
          <w:snapToGrid w:val="0"/>
          <w:sz w:val="18"/>
          <w:lang w:val="de-DE"/>
        </w:rPr>
      </w:pPr>
      <w:r w:rsidRPr="005D3057">
        <w:rPr>
          <w:snapToGrid w:val="0"/>
          <w:sz w:val="18"/>
          <w:lang w:val="de-DE"/>
        </w:rPr>
        <w:t xml:space="preserve">„8.1.7.1.1 Häufig wird eine Kandidatensorte während zwei (oder drei) Jahren angebaut. </w:t>
      </w:r>
    </w:p>
    <w:p w14:paraId="122BFFE3" w14:textId="77777777" w:rsidR="002030DE" w:rsidRPr="005D3057" w:rsidRDefault="002030DE" w:rsidP="005D2F87">
      <w:pPr>
        <w:keepNext/>
        <w:ind w:left="567" w:right="567"/>
        <w:rPr>
          <w:snapToGrid w:val="0"/>
          <w:sz w:val="18"/>
          <w:lang w:val="de-DE"/>
        </w:rPr>
      </w:pPr>
      <w:r w:rsidRPr="005D3057">
        <w:rPr>
          <w:snapToGrid w:val="0"/>
          <w:sz w:val="18"/>
          <w:lang w:val="de-DE"/>
        </w:rPr>
        <w:t>Dann taucht die Frage auf, wie die Informationen über die Homogenität aus den einzelnen Jahren zu kombinieren sind. Zwei Methoden werden geschildert:</w:t>
      </w:r>
    </w:p>
    <w:p w14:paraId="3D045120" w14:textId="77777777" w:rsidR="002030DE" w:rsidRPr="005D3057" w:rsidRDefault="002030DE" w:rsidP="005D2F87">
      <w:pPr>
        <w:keepNext/>
        <w:ind w:left="567" w:right="567"/>
        <w:rPr>
          <w:snapToGrid w:val="0"/>
          <w:sz w:val="18"/>
          <w:lang w:val="de-DE"/>
        </w:rPr>
      </w:pPr>
    </w:p>
    <w:p w14:paraId="69A91229" w14:textId="77777777" w:rsidR="002030DE" w:rsidRPr="005D3057" w:rsidRDefault="002030DE" w:rsidP="005D2F87">
      <w:pPr>
        <w:keepNext/>
        <w:ind w:left="567" w:right="567"/>
        <w:rPr>
          <w:snapToGrid w:val="0"/>
          <w:sz w:val="18"/>
          <w:lang w:val="de-DE"/>
        </w:rPr>
      </w:pPr>
      <w:r w:rsidRPr="005D3057">
        <w:rPr>
          <w:snapToGrid w:val="0"/>
          <w:sz w:val="18"/>
          <w:lang w:val="de-DE"/>
        </w:rPr>
        <w:t>„a) Die Entscheidung nach zwei (oder drei) Jahren treffen, beruhend auf der Gesamtzahl der geprüften Pflanzen und der Gesamtzahl der erfaßten Abweicher (kombinierte Prüfung).</w:t>
      </w:r>
    </w:p>
    <w:p w14:paraId="162AB16C" w14:textId="77777777" w:rsidR="002030DE" w:rsidRPr="005D3057" w:rsidRDefault="002030DE" w:rsidP="005D2F87">
      <w:pPr>
        <w:keepNext/>
        <w:ind w:left="567" w:right="567"/>
        <w:rPr>
          <w:snapToGrid w:val="0"/>
          <w:sz w:val="18"/>
          <w:lang w:val="de-DE"/>
        </w:rPr>
      </w:pPr>
    </w:p>
    <w:p w14:paraId="7EE53FBE" w14:textId="77777777" w:rsidR="002030DE" w:rsidRPr="005D3057" w:rsidRDefault="002030DE" w:rsidP="005D2F87">
      <w:pPr>
        <w:keepNext/>
        <w:ind w:left="567" w:right="567"/>
        <w:rPr>
          <w:snapToGrid w:val="0"/>
          <w:sz w:val="18"/>
          <w:lang w:val="de-DE"/>
        </w:rPr>
      </w:pPr>
      <w:r w:rsidRPr="005D3057">
        <w:rPr>
          <w:snapToGrid w:val="0"/>
          <w:sz w:val="18"/>
          <w:lang w:val="de-DE"/>
        </w:rPr>
        <w:t>„b) Das Ergebnis des ersten Jahres verwenden, um festzustellen, ob die Daten eine klare Entscheidung andeuten (Zurückweisung oder Akzeptanz). Ist die Entscheidung nicht klar, mit dem zweiten Jahr fortfahren und nach dem zweiten Jahr entscheiden (Zweiphasenprüfung).</w:t>
      </w:r>
    </w:p>
    <w:p w14:paraId="3BCB4F1D" w14:textId="77777777" w:rsidR="002030DE" w:rsidRPr="005D3057" w:rsidRDefault="002030DE" w:rsidP="005D2F87">
      <w:pPr>
        <w:keepNext/>
        <w:ind w:left="567" w:right="567"/>
        <w:rPr>
          <w:snapToGrid w:val="0"/>
          <w:sz w:val="18"/>
          <w:lang w:val="de-DE"/>
        </w:rPr>
      </w:pPr>
    </w:p>
    <w:p w14:paraId="01A6E561" w14:textId="4A49E2CB" w:rsidR="00B21F4F" w:rsidRPr="005D3057" w:rsidRDefault="004F3E23" w:rsidP="005D2F87">
      <w:pPr>
        <w:keepNext/>
        <w:ind w:left="567" w:right="567"/>
        <w:rPr>
          <w:snapToGrid w:val="0"/>
          <w:sz w:val="18"/>
          <w:lang w:val="de-DE"/>
        </w:rPr>
      </w:pPr>
      <w:r w:rsidRPr="005D3057">
        <w:rPr>
          <w:snapToGrid w:val="0"/>
          <w:sz w:val="18"/>
          <w:lang w:val="de-DE"/>
        </w:rPr>
        <w:t>„</w:t>
      </w:r>
      <w:r w:rsidR="002030DE" w:rsidRPr="005D3057">
        <w:rPr>
          <w:snapToGrid w:val="0"/>
          <w:sz w:val="18"/>
          <w:lang w:val="de-DE"/>
        </w:rPr>
        <w:t>8.1.7.1.2 Es gibt indessen einige Alternativen (z. B. kann in jedem Jahr eine Entscheidung getroffen werden, und eine endgültige Entscheidung kann durch die Zurückweisung der Kandidatensorte getroffen werden, wenn diese zu viele Abweicher in beiden (oder in zwei von drei Jahren) aufweist). Ferner gibt es Komplikationen, wenn eine Prüfung in mehr als einem einzigen Jahr durchgeführt wird. Deshalb wird vorgeschlagen, einen Statistiker hinzuziehen, wenn eine Prüfung von zwei (oder mehr) Jahren durchzuführen ist</w:t>
      </w:r>
      <w:r w:rsidR="00B21F4F" w:rsidRPr="005D3057">
        <w:rPr>
          <w:snapToGrid w:val="0"/>
          <w:sz w:val="18"/>
          <w:lang w:val="de-DE"/>
        </w:rPr>
        <w:t>.</w:t>
      </w:r>
      <w:r w:rsidR="001E6A84" w:rsidRPr="005D3057">
        <w:rPr>
          <w:snapToGrid w:val="0"/>
          <w:sz w:val="18"/>
          <w:lang w:val="de-DE"/>
        </w:rPr>
        <w:t>“</w:t>
      </w:r>
    </w:p>
    <w:p w14:paraId="7ABA658B" w14:textId="77777777" w:rsidR="00B21F4F" w:rsidRPr="005D3057" w:rsidRDefault="00B21F4F" w:rsidP="00B21F4F">
      <w:pPr>
        <w:rPr>
          <w:rFonts w:eastAsia="PMingLiU"/>
          <w:lang w:val="de-DE"/>
        </w:rPr>
      </w:pPr>
    </w:p>
    <w:p w14:paraId="5BD68540" w14:textId="77777777" w:rsidR="00B21F4F" w:rsidRPr="005D3057" w:rsidRDefault="00B21F4F" w:rsidP="00B21F4F">
      <w:pPr>
        <w:rPr>
          <w:rFonts w:eastAsia="PMingLiU"/>
          <w:lang w:val="de-DE"/>
        </w:rPr>
      </w:pPr>
    </w:p>
    <w:p w14:paraId="4FC2C217" w14:textId="77777777" w:rsidR="004418BE" w:rsidRPr="005D3057" w:rsidRDefault="002030DE" w:rsidP="004418BE">
      <w:pPr>
        <w:pStyle w:val="Heading3"/>
        <w:rPr>
          <w:lang w:val="de-DE"/>
        </w:rPr>
      </w:pPr>
      <w:bookmarkStart w:id="15" w:name="_Toc475460259"/>
      <w:r w:rsidRPr="005D3057">
        <w:rPr>
          <w:lang w:val="de-DE"/>
        </w:rPr>
        <w:t>Technische Arbeitsgruppe für landwirtschaftliche Arten</w:t>
      </w:r>
      <w:bookmarkEnd w:id="15"/>
    </w:p>
    <w:p w14:paraId="7D9CBE06" w14:textId="77777777" w:rsidR="00B21F4F" w:rsidRPr="005D3057" w:rsidRDefault="00B21F4F" w:rsidP="00B21F4F">
      <w:pPr>
        <w:ind w:firstLine="567"/>
        <w:rPr>
          <w:lang w:val="de-DE"/>
        </w:rPr>
      </w:pPr>
    </w:p>
    <w:p w14:paraId="0132EBF0" w14:textId="77777777" w:rsidR="00BF40D9" w:rsidRPr="005D3057" w:rsidRDefault="00BF40D9" w:rsidP="00BF40D9">
      <w:pPr>
        <w:rPr>
          <w:lang w:val="de-DE"/>
        </w:rPr>
      </w:pPr>
      <w:r w:rsidRPr="005D3057">
        <w:rPr>
          <w:lang w:val="fr-FR"/>
        </w:rPr>
        <w:fldChar w:fldCharType="begin"/>
      </w:r>
      <w:r w:rsidRPr="005D3057">
        <w:rPr>
          <w:lang w:val="de-DE"/>
        </w:rPr>
        <w:instrText xml:space="preserve"> AUTONUM  </w:instrText>
      </w:r>
      <w:r w:rsidRPr="005D3057">
        <w:rPr>
          <w:lang w:val="fr-FR"/>
        </w:rPr>
        <w:fldChar w:fldCharType="end"/>
      </w:r>
      <w:r w:rsidRPr="005D3057">
        <w:rPr>
          <w:lang w:val="de-DE"/>
        </w:rPr>
        <w:tab/>
      </w:r>
      <w:r w:rsidR="00922939" w:rsidRPr="005D3057">
        <w:rPr>
          <w:lang w:val="de-DE"/>
        </w:rPr>
        <w:t xml:space="preserve">Die </w:t>
      </w:r>
      <w:r w:rsidRPr="005D3057">
        <w:rPr>
          <w:lang w:val="de-DE"/>
        </w:rPr>
        <w:t xml:space="preserve">TWA </w:t>
      </w:r>
      <w:r w:rsidR="00EE28B0" w:rsidRPr="005D3057">
        <w:rPr>
          <w:lang w:val="de-DE"/>
        </w:rPr>
        <w:t>prüfte</w:t>
      </w:r>
      <w:r w:rsidRPr="005D3057">
        <w:rPr>
          <w:lang w:val="de-DE"/>
        </w:rPr>
        <w:t xml:space="preserve"> </w:t>
      </w:r>
      <w:r w:rsidR="006E4EF6" w:rsidRPr="005D3057">
        <w:rPr>
          <w:lang w:val="de-DE"/>
        </w:rPr>
        <w:t>Dokumente</w:t>
      </w:r>
      <w:r w:rsidRPr="005D3057">
        <w:rPr>
          <w:lang w:val="de-DE"/>
        </w:rPr>
        <w:t xml:space="preserve"> TWA/45/13, </w:t>
      </w:r>
      <w:r w:rsidRPr="005D3057">
        <w:rPr>
          <w:lang w:val="de-DE" w:eastAsia="en-GB"/>
        </w:rPr>
        <w:t>TWA/45/13 Add.</w:t>
      </w:r>
      <w:r w:rsidR="00FD594C" w:rsidRPr="005D3057">
        <w:rPr>
          <w:lang w:val="de-DE"/>
        </w:rPr>
        <w:t xml:space="preserve"> und </w:t>
      </w:r>
      <w:r w:rsidRPr="005D3057">
        <w:rPr>
          <w:lang w:val="de-DE"/>
        </w:rPr>
        <w:t xml:space="preserve">TWA/45/13 Add.2 </w:t>
      </w:r>
      <w:r w:rsidR="00EE28B0" w:rsidRPr="005D3057">
        <w:rPr>
          <w:lang w:val="de-DE"/>
        </w:rPr>
        <w:t>(vergleiche</w:t>
      </w:r>
      <w:r w:rsidR="001347E1" w:rsidRPr="005D3057">
        <w:rPr>
          <w:lang w:val="de-DE"/>
        </w:rPr>
        <w:t> </w:t>
      </w:r>
      <w:r w:rsidR="006E4EF6" w:rsidRPr="005D3057">
        <w:rPr>
          <w:lang w:val="de-DE"/>
        </w:rPr>
        <w:t>Dokument</w:t>
      </w:r>
      <w:r w:rsidRPr="005D3057">
        <w:rPr>
          <w:lang w:val="de-DE"/>
        </w:rPr>
        <w:t xml:space="preserve"> TWA/45/25 </w:t>
      </w:r>
      <w:r w:rsidR="001E6A84" w:rsidRPr="005D3057">
        <w:rPr>
          <w:lang w:val="de-DE"/>
        </w:rPr>
        <w:t>„</w:t>
      </w:r>
      <w:r w:rsidRPr="005D2F87">
        <w:rPr>
          <w:i/>
          <w:lang w:val="de-DE"/>
        </w:rPr>
        <w:t>Report</w:t>
      </w:r>
      <w:r w:rsidR="001E6A84" w:rsidRPr="005D3057">
        <w:rPr>
          <w:lang w:val="de-DE"/>
        </w:rPr>
        <w:t>“</w:t>
      </w:r>
      <w:r w:rsidRPr="005D3057">
        <w:rPr>
          <w:lang w:val="de-DE"/>
        </w:rPr>
        <w:t xml:space="preserve">, </w:t>
      </w:r>
      <w:r w:rsidR="00EE28B0" w:rsidRPr="005D3057">
        <w:rPr>
          <w:lang w:val="de-DE"/>
        </w:rPr>
        <w:t>Absätze</w:t>
      </w:r>
      <w:r w:rsidRPr="005D3057">
        <w:rPr>
          <w:lang w:val="de-DE"/>
        </w:rPr>
        <w:t xml:space="preserve"> 43 </w:t>
      </w:r>
      <w:r w:rsidR="00922939" w:rsidRPr="005D3057">
        <w:rPr>
          <w:lang w:val="de-DE"/>
        </w:rPr>
        <w:t>bis</w:t>
      </w:r>
      <w:r w:rsidRPr="005D3057">
        <w:rPr>
          <w:lang w:val="de-DE"/>
        </w:rPr>
        <w:t xml:space="preserve"> 51).</w:t>
      </w:r>
    </w:p>
    <w:p w14:paraId="1991FE21" w14:textId="77777777" w:rsidR="00BF40D9" w:rsidRPr="005D3057" w:rsidRDefault="00BF40D9" w:rsidP="00BF40D9">
      <w:pPr>
        <w:rPr>
          <w:snapToGrid w:val="0"/>
          <w:lang w:val="de-DE"/>
        </w:rPr>
      </w:pPr>
    </w:p>
    <w:p w14:paraId="10CEE45A" w14:textId="3D34074D" w:rsidR="00BF40D9" w:rsidRPr="005D3057" w:rsidRDefault="00BF40D9" w:rsidP="00BF40D9">
      <w:pPr>
        <w:rPr>
          <w:lang w:val="de-DE" w:eastAsia="en-GB"/>
        </w:rPr>
      </w:pPr>
      <w:r w:rsidRPr="005D3057">
        <w:rPr>
          <w:snapToGrid w:val="0"/>
        </w:rPr>
        <w:fldChar w:fldCharType="begin"/>
      </w:r>
      <w:r w:rsidRPr="005D3057">
        <w:rPr>
          <w:snapToGrid w:val="0"/>
          <w:lang w:val="de-DE"/>
        </w:rPr>
        <w:instrText xml:space="preserve"> AUTONUM  </w:instrText>
      </w:r>
      <w:r w:rsidRPr="005D3057">
        <w:rPr>
          <w:snapToGrid w:val="0"/>
        </w:rPr>
        <w:fldChar w:fldCharType="end"/>
      </w:r>
      <w:r w:rsidRPr="005D3057">
        <w:rPr>
          <w:snapToGrid w:val="0"/>
          <w:lang w:val="de-DE"/>
        </w:rPr>
        <w:tab/>
      </w:r>
      <w:r w:rsidR="00922939" w:rsidRPr="005D3057">
        <w:rPr>
          <w:snapToGrid w:val="0"/>
          <w:lang w:val="de-DE"/>
        </w:rPr>
        <w:t xml:space="preserve">Die </w:t>
      </w:r>
      <w:r w:rsidRPr="005D3057">
        <w:rPr>
          <w:snapToGrid w:val="0"/>
          <w:lang w:val="de-DE"/>
        </w:rPr>
        <w:t xml:space="preserve">TWA </w:t>
      </w:r>
      <w:r w:rsidR="003F220F" w:rsidRPr="005D3057">
        <w:rPr>
          <w:snapToGrid w:val="0"/>
          <w:lang w:val="de-DE"/>
        </w:rPr>
        <w:t xml:space="preserve">hörte </w:t>
      </w:r>
      <w:r w:rsidR="00D80102" w:rsidRPr="005D3057">
        <w:rPr>
          <w:lang w:val="de-DE" w:eastAsia="en-GB"/>
        </w:rPr>
        <w:t>auf elektronischem Wege</w:t>
      </w:r>
      <w:r w:rsidR="00D80102" w:rsidRPr="005D3057">
        <w:rPr>
          <w:snapToGrid w:val="0"/>
          <w:lang w:val="de-DE"/>
        </w:rPr>
        <w:t xml:space="preserve"> </w:t>
      </w:r>
      <w:r w:rsidR="003F220F" w:rsidRPr="005D3057">
        <w:rPr>
          <w:snapToGrid w:val="0"/>
          <w:lang w:val="de-DE"/>
        </w:rPr>
        <w:t>ein Referat</w:t>
      </w:r>
      <w:r w:rsidRPr="005D3057">
        <w:rPr>
          <w:snapToGrid w:val="0"/>
          <w:lang w:val="de-DE"/>
        </w:rPr>
        <w:t xml:space="preserve"> </w:t>
      </w:r>
      <w:r w:rsidR="00922939" w:rsidRPr="005D3057">
        <w:rPr>
          <w:snapToGrid w:val="0"/>
          <w:lang w:val="de-DE"/>
        </w:rPr>
        <w:t xml:space="preserve">über </w:t>
      </w:r>
      <w:r w:rsidR="00FE655F">
        <w:rPr>
          <w:snapToGrid w:val="0"/>
          <w:lang w:val="de-DE"/>
        </w:rPr>
        <w:t xml:space="preserve">die </w:t>
      </w:r>
      <w:r w:rsidR="001E6A84" w:rsidRPr="005D3057">
        <w:rPr>
          <w:rFonts w:eastAsia="MS Mincho"/>
          <w:lang w:val="de-DE" w:eastAsia="ja-JP"/>
        </w:rPr>
        <w:t>„</w:t>
      </w:r>
      <w:r w:rsidR="002030DE" w:rsidRPr="005D3057">
        <w:rPr>
          <w:rFonts w:eastAsia="MS Mincho"/>
          <w:lang w:val="de-DE" w:eastAsia="ja-JP"/>
        </w:rPr>
        <w:t>Prüfung der Homogenität anhand von Abweichern aufgrund von mehr als einer Wachstumsperiode</w:t>
      </w:r>
      <w:r w:rsidRPr="005D3057">
        <w:rPr>
          <w:rFonts w:eastAsia="MS Mincho"/>
          <w:lang w:val="de-DE" w:eastAsia="ja-JP"/>
        </w:rPr>
        <w:t>.</w:t>
      </w:r>
      <w:r w:rsidR="007B0CA4" w:rsidRPr="005D3057">
        <w:rPr>
          <w:rFonts w:eastAsia="MS Mincho"/>
          <w:lang w:val="de-DE" w:eastAsia="ja-JP"/>
        </w:rPr>
        <w:t xml:space="preserve"> </w:t>
      </w:r>
      <w:r w:rsidR="00837D1F" w:rsidRPr="005D3057">
        <w:rPr>
          <w:rFonts w:eastAsia="MS Mincho"/>
          <w:lang w:val="de-DE" w:eastAsia="ja-JP"/>
        </w:rPr>
        <w:t>Entwurf für eine</w:t>
      </w:r>
      <w:r w:rsidRPr="005D3057">
        <w:rPr>
          <w:rFonts w:eastAsia="MS Mincho"/>
          <w:lang w:val="de-DE" w:eastAsia="ja-JP"/>
        </w:rPr>
        <w:t xml:space="preserve"> </w:t>
      </w:r>
      <w:r w:rsidR="006E4EF6" w:rsidRPr="005D3057">
        <w:rPr>
          <w:rFonts w:eastAsia="MS Mincho"/>
          <w:lang w:val="de-DE" w:eastAsia="ja-JP"/>
        </w:rPr>
        <w:t>Anleitung</w:t>
      </w:r>
      <w:r w:rsidR="001E6A84" w:rsidRPr="005D3057">
        <w:rPr>
          <w:rFonts w:eastAsia="MS Mincho"/>
          <w:lang w:val="de-DE" w:eastAsia="ja-JP"/>
        </w:rPr>
        <w:t>“</w:t>
      </w:r>
      <w:r w:rsidRPr="005D3057">
        <w:rPr>
          <w:lang w:val="de-DE" w:eastAsia="en-GB"/>
        </w:rPr>
        <w:t xml:space="preserve"> </w:t>
      </w:r>
      <w:r w:rsidR="00922939" w:rsidRPr="005D3057">
        <w:rPr>
          <w:lang w:val="de-DE" w:eastAsia="en-GB"/>
        </w:rPr>
        <w:t xml:space="preserve">von </w:t>
      </w:r>
      <w:r w:rsidR="008F3E77" w:rsidRPr="005D3057">
        <w:rPr>
          <w:lang w:val="de-DE" w:eastAsia="en-GB"/>
        </w:rPr>
        <w:lastRenderedPageBreak/>
        <w:t>Sachverständige</w:t>
      </w:r>
      <w:r w:rsidR="00922939" w:rsidRPr="005D3057">
        <w:rPr>
          <w:lang w:val="de-DE" w:eastAsia="en-GB"/>
        </w:rPr>
        <w:t>n</w:t>
      </w:r>
      <w:r w:rsidRPr="005D3057">
        <w:rPr>
          <w:lang w:val="de-DE" w:eastAsia="en-GB"/>
        </w:rPr>
        <w:t xml:space="preserve"> </w:t>
      </w:r>
      <w:r w:rsidR="00922939" w:rsidRPr="005D3057">
        <w:rPr>
          <w:lang w:val="de-DE" w:eastAsia="en-GB"/>
        </w:rPr>
        <w:t xml:space="preserve">aus </w:t>
      </w:r>
      <w:r w:rsidR="00457026" w:rsidRPr="005D3057">
        <w:rPr>
          <w:lang w:val="de-DE" w:eastAsia="en-GB"/>
        </w:rPr>
        <w:t>Deutschland</w:t>
      </w:r>
      <w:r w:rsidR="00FD594C" w:rsidRPr="005D3057">
        <w:rPr>
          <w:lang w:val="de-DE" w:eastAsia="en-GB"/>
        </w:rPr>
        <w:t xml:space="preserve"> und </w:t>
      </w:r>
      <w:r w:rsidR="00922939" w:rsidRPr="005D3057">
        <w:rPr>
          <w:lang w:val="de-DE" w:eastAsia="en-GB"/>
        </w:rPr>
        <w:t xml:space="preserve">dem </w:t>
      </w:r>
      <w:r w:rsidR="00B675A1">
        <w:rPr>
          <w:lang w:val="de-DE" w:eastAsia="en-GB"/>
        </w:rPr>
        <w:t>Vereinigt</w:t>
      </w:r>
      <w:r w:rsidR="00922939" w:rsidRPr="005D3057">
        <w:rPr>
          <w:lang w:val="de-DE" w:eastAsia="en-GB"/>
        </w:rPr>
        <w:t>en Königreich</w:t>
      </w:r>
      <w:r w:rsidRPr="005D3057">
        <w:rPr>
          <w:lang w:val="de-DE" w:eastAsia="en-GB"/>
        </w:rPr>
        <w:t>.</w:t>
      </w:r>
      <w:r w:rsidR="007B0CA4" w:rsidRPr="005D3057">
        <w:rPr>
          <w:lang w:val="de-DE" w:eastAsia="en-GB"/>
        </w:rPr>
        <w:t xml:space="preserve"> </w:t>
      </w:r>
      <w:r w:rsidR="002030DE" w:rsidRPr="005D3057">
        <w:rPr>
          <w:lang w:val="de-DE" w:eastAsia="en-GB"/>
        </w:rPr>
        <w:t xml:space="preserve">Eine Abschrift des Referats ist in Dokument </w:t>
      </w:r>
      <w:r w:rsidRPr="005D3057">
        <w:rPr>
          <w:lang w:val="de-DE" w:eastAsia="en-GB"/>
        </w:rPr>
        <w:t>TWA/45/13 Add.</w:t>
      </w:r>
      <w:r w:rsidR="00922939" w:rsidRPr="005D3057">
        <w:rPr>
          <w:lang w:val="de-DE" w:eastAsia="en-GB"/>
        </w:rPr>
        <w:t xml:space="preserve"> enthalten.</w:t>
      </w:r>
    </w:p>
    <w:p w14:paraId="6C1AFDB0" w14:textId="77777777" w:rsidR="00BF40D9" w:rsidRPr="005D3057" w:rsidRDefault="00BF40D9" w:rsidP="00BF40D9">
      <w:pPr>
        <w:rPr>
          <w:lang w:val="de-DE" w:eastAsia="en-GB"/>
        </w:rPr>
      </w:pPr>
    </w:p>
    <w:p w14:paraId="628338D7" w14:textId="7B2D6462" w:rsidR="00BF40D9" w:rsidRPr="005D3057" w:rsidRDefault="00BF40D9" w:rsidP="00BF40D9">
      <w:pPr>
        <w:rPr>
          <w:lang w:val="de-DE" w:eastAsia="en-GB"/>
        </w:rPr>
      </w:pPr>
      <w:r w:rsidRPr="005D3057">
        <w:rPr>
          <w:snapToGrid w:val="0"/>
        </w:rPr>
        <w:fldChar w:fldCharType="begin"/>
      </w:r>
      <w:r w:rsidRPr="005D3057">
        <w:rPr>
          <w:snapToGrid w:val="0"/>
          <w:lang w:val="de-DE"/>
        </w:rPr>
        <w:instrText xml:space="preserve"> AUTONUM  </w:instrText>
      </w:r>
      <w:r w:rsidRPr="005D3057">
        <w:rPr>
          <w:snapToGrid w:val="0"/>
        </w:rPr>
        <w:fldChar w:fldCharType="end"/>
      </w:r>
      <w:r w:rsidRPr="005D3057">
        <w:rPr>
          <w:snapToGrid w:val="0"/>
          <w:lang w:val="de-DE"/>
        </w:rPr>
        <w:tab/>
      </w:r>
      <w:r w:rsidR="00922939" w:rsidRPr="005D3057">
        <w:rPr>
          <w:snapToGrid w:val="0"/>
          <w:lang w:val="de-DE"/>
        </w:rPr>
        <w:t xml:space="preserve">Die </w:t>
      </w:r>
      <w:r w:rsidRPr="005D3057">
        <w:rPr>
          <w:snapToGrid w:val="0"/>
          <w:lang w:val="de-DE"/>
        </w:rPr>
        <w:t xml:space="preserve">TWA </w:t>
      </w:r>
      <w:r w:rsidR="003F220F" w:rsidRPr="005D3057">
        <w:rPr>
          <w:snapToGrid w:val="0"/>
          <w:lang w:val="de-DE"/>
        </w:rPr>
        <w:t xml:space="preserve">hörte </w:t>
      </w:r>
      <w:r w:rsidR="00922939" w:rsidRPr="005D3057">
        <w:rPr>
          <w:snapToGrid w:val="0"/>
          <w:lang w:val="de-DE"/>
        </w:rPr>
        <w:t xml:space="preserve">auch </w:t>
      </w:r>
      <w:r w:rsidR="003F220F" w:rsidRPr="005D3057">
        <w:rPr>
          <w:snapToGrid w:val="0"/>
          <w:lang w:val="de-DE"/>
        </w:rPr>
        <w:t>ein Referat</w:t>
      </w:r>
      <w:r w:rsidRPr="005D3057">
        <w:rPr>
          <w:snapToGrid w:val="0"/>
          <w:lang w:val="de-DE"/>
        </w:rPr>
        <w:t xml:space="preserve"> </w:t>
      </w:r>
      <w:r w:rsidR="00922939" w:rsidRPr="005D3057">
        <w:rPr>
          <w:snapToGrid w:val="0"/>
          <w:lang w:val="de-DE"/>
        </w:rPr>
        <w:t xml:space="preserve">über </w:t>
      </w:r>
      <w:r w:rsidR="00FE655F">
        <w:rPr>
          <w:snapToGrid w:val="0"/>
          <w:lang w:val="de-DE"/>
        </w:rPr>
        <w:t xml:space="preserve">die </w:t>
      </w:r>
      <w:r w:rsidR="001E6A84" w:rsidRPr="005D3057">
        <w:rPr>
          <w:rFonts w:eastAsia="MS Mincho"/>
          <w:lang w:val="de-DE" w:eastAsia="ja-JP"/>
        </w:rPr>
        <w:t>„</w:t>
      </w:r>
      <w:r w:rsidR="00D80102" w:rsidRPr="005D3057">
        <w:rPr>
          <w:lang w:val="de-DE"/>
        </w:rPr>
        <w:t>Praktische Erfahrung bei der</w:t>
      </w:r>
      <w:r w:rsidRPr="005D3057">
        <w:rPr>
          <w:lang w:val="de-DE"/>
        </w:rPr>
        <w:t xml:space="preserve"> </w:t>
      </w:r>
      <w:r w:rsidR="00FD594C" w:rsidRPr="005D3057">
        <w:rPr>
          <w:lang w:val="de-DE"/>
        </w:rPr>
        <w:t>Prüfung der Homogenität</w:t>
      </w:r>
      <w:r w:rsidRPr="005D3057">
        <w:rPr>
          <w:lang w:val="de-DE"/>
        </w:rPr>
        <w:t xml:space="preserve"> </w:t>
      </w:r>
      <w:r w:rsidR="00FD594C" w:rsidRPr="005D3057">
        <w:rPr>
          <w:lang w:val="de-DE"/>
        </w:rPr>
        <w:t>anhand von Abweichern</w:t>
      </w:r>
      <w:r w:rsidRPr="005D3057">
        <w:rPr>
          <w:lang w:val="de-DE"/>
        </w:rPr>
        <w:t xml:space="preserve"> </w:t>
      </w:r>
      <w:r w:rsidR="00D80102" w:rsidRPr="005D3057">
        <w:rPr>
          <w:lang w:val="de-DE"/>
        </w:rPr>
        <w:t>bei Raps und Blumenkohl</w:t>
      </w:r>
      <w:r w:rsidR="001E6A84" w:rsidRPr="005D3057">
        <w:rPr>
          <w:lang w:val="de-DE" w:eastAsia="ja-JP"/>
        </w:rPr>
        <w:t>“</w:t>
      </w:r>
      <w:r w:rsidRPr="005D3057">
        <w:rPr>
          <w:lang w:val="de-DE" w:eastAsia="en-GB"/>
        </w:rPr>
        <w:t xml:space="preserve"> </w:t>
      </w:r>
      <w:r w:rsidR="003F220F" w:rsidRPr="005D3057">
        <w:rPr>
          <w:lang w:val="de-DE" w:eastAsia="en-GB"/>
        </w:rPr>
        <w:t>von einem Sachverständigen</w:t>
      </w:r>
      <w:r w:rsidRPr="005D3057">
        <w:rPr>
          <w:lang w:val="de-DE" w:eastAsia="en-GB"/>
        </w:rPr>
        <w:t xml:space="preserve"> </w:t>
      </w:r>
      <w:r w:rsidR="00922939" w:rsidRPr="005D3057">
        <w:rPr>
          <w:lang w:val="de-DE" w:eastAsia="en-GB"/>
        </w:rPr>
        <w:t xml:space="preserve">aus </w:t>
      </w:r>
      <w:r w:rsidR="00D80102" w:rsidRPr="005D3057">
        <w:rPr>
          <w:lang w:val="de-DE" w:eastAsia="en-GB"/>
        </w:rPr>
        <w:t>Frankreich</w:t>
      </w:r>
      <w:r w:rsidRPr="005D3057">
        <w:rPr>
          <w:lang w:val="de-DE" w:eastAsia="en-GB"/>
        </w:rPr>
        <w:t>.</w:t>
      </w:r>
      <w:r w:rsidR="007B0CA4" w:rsidRPr="005D3057">
        <w:rPr>
          <w:lang w:val="de-DE" w:eastAsia="en-GB"/>
        </w:rPr>
        <w:t xml:space="preserve"> </w:t>
      </w:r>
      <w:r w:rsidR="002030DE" w:rsidRPr="005D3057">
        <w:rPr>
          <w:lang w:val="de-DE" w:eastAsia="en-GB"/>
        </w:rPr>
        <w:t xml:space="preserve">Eine Abschrift des Referats ist in Dokument </w:t>
      </w:r>
      <w:r w:rsidRPr="005D3057">
        <w:rPr>
          <w:lang w:val="de-DE" w:eastAsia="en-GB"/>
        </w:rPr>
        <w:t>TWA/45/13 Add.2</w:t>
      </w:r>
      <w:r w:rsidR="00922939" w:rsidRPr="005D3057">
        <w:rPr>
          <w:lang w:val="de-DE" w:eastAsia="en-GB"/>
        </w:rPr>
        <w:t xml:space="preserve"> enthalten</w:t>
      </w:r>
      <w:r w:rsidRPr="005D3057">
        <w:rPr>
          <w:lang w:val="de-DE" w:eastAsia="en-GB"/>
        </w:rPr>
        <w:t>.</w:t>
      </w:r>
    </w:p>
    <w:p w14:paraId="5F2887EA" w14:textId="77777777" w:rsidR="00BF40D9" w:rsidRPr="005D3057" w:rsidRDefault="00BF40D9" w:rsidP="00BF40D9">
      <w:pPr>
        <w:rPr>
          <w:snapToGrid w:val="0"/>
          <w:lang w:val="de-DE"/>
        </w:rPr>
      </w:pPr>
    </w:p>
    <w:p w14:paraId="30F306DB" w14:textId="6447579E" w:rsidR="00BF40D9" w:rsidRPr="005D3057" w:rsidRDefault="00BF40D9" w:rsidP="00BF40D9">
      <w:pPr>
        <w:rPr>
          <w:snapToGrid w:val="0"/>
          <w:lang w:val="de-DE"/>
        </w:rPr>
      </w:pPr>
      <w:r w:rsidRPr="005D3057">
        <w:rPr>
          <w:snapToGrid w:val="0"/>
        </w:rPr>
        <w:fldChar w:fldCharType="begin"/>
      </w:r>
      <w:r w:rsidRPr="005D3057">
        <w:rPr>
          <w:snapToGrid w:val="0"/>
          <w:lang w:val="de-DE"/>
        </w:rPr>
        <w:instrText xml:space="preserve"> AUTONUM  </w:instrText>
      </w:r>
      <w:r w:rsidRPr="005D3057">
        <w:rPr>
          <w:snapToGrid w:val="0"/>
        </w:rPr>
        <w:fldChar w:fldCharType="end"/>
      </w:r>
      <w:r w:rsidRPr="005D3057">
        <w:rPr>
          <w:snapToGrid w:val="0"/>
          <w:lang w:val="de-DE"/>
        </w:rPr>
        <w:tab/>
      </w:r>
      <w:r w:rsidR="00922939" w:rsidRPr="005D3057">
        <w:rPr>
          <w:snapToGrid w:val="0"/>
          <w:lang w:val="de-DE"/>
        </w:rPr>
        <w:t xml:space="preserve">Die </w:t>
      </w:r>
      <w:r w:rsidR="009865D0" w:rsidRPr="005D3057">
        <w:rPr>
          <w:snapToGrid w:val="0"/>
          <w:lang w:val="de-DE"/>
        </w:rPr>
        <w:t>TWA prüfte</w:t>
      </w:r>
      <w:r w:rsidRPr="005D3057">
        <w:rPr>
          <w:snapToGrid w:val="0"/>
          <w:lang w:val="de-DE"/>
        </w:rPr>
        <w:t xml:space="preserve"> </w:t>
      </w:r>
      <w:r w:rsidR="009865D0" w:rsidRPr="005D3057">
        <w:rPr>
          <w:snapToGrid w:val="0"/>
          <w:lang w:val="de-DE"/>
        </w:rPr>
        <w:t>zusammen</w:t>
      </w:r>
      <w:r w:rsidR="007B0CA4" w:rsidRPr="005D3057">
        <w:rPr>
          <w:snapToGrid w:val="0"/>
          <w:lang w:val="de-DE"/>
        </w:rPr>
        <w:t xml:space="preserve"> mit</w:t>
      </w:r>
      <w:r w:rsidR="00FE655F">
        <w:rPr>
          <w:snapToGrid w:val="0"/>
          <w:lang w:val="de-DE"/>
        </w:rPr>
        <w:t xml:space="preserve"> TWC-</w:t>
      </w:r>
      <w:r w:rsidR="008F3E77" w:rsidRPr="005D3057">
        <w:rPr>
          <w:snapToGrid w:val="0"/>
          <w:lang w:val="de-DE"/>
        </w:rPr>
        <w:t>Sachverständige</w:t>
      </w:r>
      <w:r w:rsidR="008942B7" w:rsidRPr="005D3057">
        <w:rPr>
          <w:snapToGrid w:val="0"/>
          <w:lang w:val="de-DE"/>
        </w:rPr>
        <w:t>n</w:t>
      </w:r>
      <w:r w:rsidRPr="005D3057">
        <w:rPr>
          <w:snapToGrid w:val="0"/>
          <w:lang w:val="de-DE"/>
        </w:rPr>
        <w:t xml:space="preserve"> </w:t>
      </w:r>
      <w:r w:rsidR="007B0CA4" w:rsidRPr="005D3057">
        <w:rPr>
          <w:snapToGrid w:val="0"/>
          <w:lang w:val="de-DE"/>
        </w:rPr>
        <w:t>per</w:t>
      </w:r>
      <w:r w:rsidRPr="005D3057">
        <w:rPr>
          <w:snapToGrid w:val="0"/>
          <w:lang w:val="de-DE"/>
        </w:rPr>
        <w:t xml:space="preserve"> </w:t>
      </w:r>
      <w:r w:rsidR="007B0CA4" w:rsidRPr="005D3057">
        <w:rPr>
          <w:snapToGrid w:val="0"/>
          <w:lang w:val="de-DE"/>
        </w:rPr>
        <w:t>V</w:t>
      </w:r>
      <w:r w:rsidR="009865D0" w:rsidRPr="005D3057">
        <w:rPr>
          <w:snapToGrid w:val="0"/>
          <w:lang w:val="de-DE"/>
        </w:rPr>
        <w:t>ideolink</w:t>
      </w:r>
      <w:r w:rsidRPr="005D3057">
        <w:rPr>
          <w:snapToGrid w:val="0"/>
          <w:lang w:val="de-DE"/>
        </w:rPr>
        <w:t xml:space="preserve"> </w:t>
      </w:r>
      <w:r w:rsidR="005329DB" w:rsidRPr="005D3057">
        <w:rPr>
          <w:snapToGrid w:val="0"/>
          <w:lang w:val="de-DE"/>
        </w:rPr>
        <w:t xml:space="preserve">den </w:t>
      </w:r>
      <w:r w:rsidR="00837D1F" w:rsidRPr="005D3057">
        <w:rPr>
          <w:snapToGrid w:val="0"/>
          <w:lang w:val="de-DE"/>
        </w:rPr>
        <w:t>Entwurf für eine</w:t>
      </w:r>
      <w:r w:rsidRPr="005D3057">
        <w:rPr>
          <w:snapToGrid w:val="0"/>
          <w:lang w:val="de-DE"/>
        </w:rPr>
        <w:t xml:space="preserve"> </w:t>
      </w:r>
      <w:r w:rsidR="006E4EF6" w:rsidRPr="005D3057">
        <w:rPr>
          <w:snapToGrid w:val="0"/>
          <w:lang w:val="de-DE"/>
        </w:rPr>
        <w:t>Anleitung</w:t>
      </w:r>
      <w:r w:rsidR="00EE28B0" w:rsidRPr="005D3057">
        <w:rPr>
          <w:snapToGrid w:val="0"/>
          <w:lang w:val="de-DE"/>
        </w:rPr>
        <w:t xml:space="preserve">, wie </w:t>
      </w:r>
      <w:r w:rsidRPr="005D3057">
        <w:rPr>
          <w:snapToGrid w:val="0"/>
          <w:lang w:val="de-DE"/>
        </w:rPr>
        <w:t xml:space="preserve">in </w:t>
      </w:r>
      <w:r w:rsidR="00837D1F" w:rsidRPr="005D3057">
        <w:rPr>
          <w:snapToGrid w:val="0"/>
          <w:lang w:val="de-DE"/>
        </w:rPr>
        <w:t>Anlagen</w:t>
      </w:r>
      <w:r w:rsidRPr="005D3057">
        <w:rPr>
          <w:snapToGrid w:val="0"/>
          <w:lang w:val="de-DE"/>
        </w:rPr>
        <w:t xml:space="preserve"> I</w:t>
      </w:r>
      <w:r w:rsidR="00FD594C" w:rsidRPr="005D3057">
        <w:rPr>
          <w:snapToGrid w:val="0"/>
          <w:lang w:val="de-DE"/>
        </w:rPr>
        <w:t xml:space="preserve"> und </w:t>
      </w:r>
      <w:r w:rsidRPr="005D3057">
        <w:rPr>
          <w:snapToGrid w:val="0"/>
          <w:lang w:val="de-DE"/>
        </w:rPr>
        <w:t xml:space="preserve">II </w:t>
      </w:r>
      <w:r w:rsidR="007B0CA4" w:rsidRPr="005D3057">
        <w:rPr>
          <w:snapToGrid w:val="0"/>
          <w:lang w:val="de-DE"/>
        </w:rPr>
        <w:t xml:space="preserve">des Dokuments </w:t>
      </w:r>
      <w:r w:rsidRPr="005D3057">
        <w:rPr>
          <w:lang w:val="de-DE"/>
        </w:rPr>
        <w:t>TWA/45/13</w:t>
      </w:r>
      <w:r w:rsidR="005329DB" w:rsidRPr="005D3057">
        <w:rPr>
          <w:snapToGrid w:val="0"/>
          <w:lang w:val="de-DE"/>
        </w:rPr>
        <w:t xml:space="preserve"> dargelegt,</w:t>
      </w:r>
      <w:r w:rsidRPr="005D3057">
        <w:rPr>
          <w:snapToGrid w:val="0"/>
          <w:lang w:val="de-DE"/>
        </w:rPr>
        <w:t xml:space="preserve"> </w:t>
      </w:r>
      <w:r w:rsidR="00EE28B0" w:rsidRPr="005D3057">
        <w:rPr>
          <w:snapToGrid w:val="0"/>
          <w:lang w:val="de-DE"/>
        </w:rPr>
        <w:t>zur Aufnahme in eine künftige Überarbeitung von</w:t>
      </w:r>
      <w:r w:rsidRPr="005D3057">
        <w:rPr>
          <w:snapToGrid w:val="0"/>
          <w:lang w:val="de-DE"/>
        </w:rPr>
        <w:t xml:space="preserve"> </w:t>
      </w:r>
      <w:r w:rsidR="006E4EF6" w:rsidRPr="005D3057">
        <w:rPr>
          <w:snapToGrid w:val="0"/>
          <w:lang w:val="de-DE"/>
        </w:rPr>
        <w:t>Dokument</w:t>
      </w:r>
      <w:r w:rsidRPr="005D3057">
        <w:rPr>
          <w:snapToGrid w:val="0"/>
          <w:lang w:val="de-DE"/>
        </w:rPr>
        <w:t xml:space="preserve"> TGP/10, </w:t>
      </w:r>
      <w:r w:rsidR="007B0CA4" w:rsidRPr="005D3057">
        <w:rPr>
          <w:snapToGrid w:val="0"/>
          <w:lang w:val="de-DE"/>
        </w:rPr>
        <w:t>einschließlich</w:t>
      </w:r>
      <w:r w:rsidRPr="005D3057">
        <w:rPr>
          <w:snapToGrid w:val="0"/>
          <w:lang w:val="de-DE"/>
        </w:rPr>
        <w:t xml:space="preserve"> </w:t>
      </w:r>
      <w:r w:rsidR="005329DB" w:rsidRPr="005D3057">
        <w:rPr>
          <w:snapToGrid w:val="0"/>
          <w:lang w:val="de-DE"/>
        </w:rPr>
        <w:t xml:space="preserve">des </w:t>
      </w:r>
      <w:r w:rsidR="002030DE" w:rsidRPr="005D3057">
        <w:rPr>
          <w:snapToGrid w:val="0"/>
          <w:lang w:val="de-DE"/>
        </w:rPr>
        <w:t>neuen Vorschlag</w:t>
      </w:r>
      <w:r w:rsidR="005329DB" w:rsidRPr="005D3057">
        <w:rPr>
          <w:snapToGrid w:val="0"/>
          <w:lang w:val="de-DE"/>
        </w:rPr>
        <w:t>s</w:t>
      </w:r>
      <w:r w:rsidR="002030DE" w:rsidRPr="005D3057">
        <w:rPr>
          <w:snapToGrid w:val="0"/>
          <w:lang w:val="de-DE"/>
        </w:rPr>
        <w:t xml:space="preserve"> für „Ansatz 3: Kombination der Ergebnisse aus zwei Wachstumsperioden</w:t>
      </w:r>
      <w:r w:rsidR="001E6A84" w:rsidRPr="005D3057">
        <w:rPr>
          <w:snapToGrid w:val="0"/>
          <w:lang w:val="de-DE"/>
        </w:rPr>
        <w:t>“</w:t>
      </w:r>
      <w:r w:rsidRPr="005D3057">
        <w:rPr>
          <w:snapToGrid w:val="0"/>
          <w:lang w:val="de-DE"/>
        </w:rPr>
        <w:t>.</w:t>
      </w:r>
      <w:r w:rsidR="002030DE" w:rsidRPr="005D3057">
        <w:rPr>
          <w:snapToGrid w:val="0"/>
          <w:lang w:val="de-DE"/>
        </w:rPr>
        <w:t xml:space="preserve"> </w:t>
      </w:r>
    </w:p>
    <w:p w14:paraId="765ADA25" w14:textId="77777777" w:rsidR="002030DE" w:rsidRPr="005D3057" w:rsidRDefault="002030DE" w:rsidP="00BF40D9">
      <w:pPr>
        <w:rPr>
          <w:snapToGrid w:val="0"/>
          <w:lang w:val="de-DE"/>
        </w:rPr>
      </w:pPr>
    </w:p>
    <w:p w14:paraId="166FAE70" w14:textId="0E60D8D8" w:rsidR="00BF40D9" w:rsidRPr="005D3057" w:rsidRDefault="00BF40D9" w:rsidP="00BF40D9">
      <w:pPr>
        <w:rPr>
          <w:rFonts w:cs="Arial"/>
          <w:lang w:val="de-DE"/>
        </w:rPr>
      </w:pPr>
      <w:r w:rsidRPr="005D3057">
        <w:rPr>
          <w:snapToGrid w:val="0"/>
        </w:rPr>
        <w:fldChar w:fldCharType="begin"/>
      </w:r>
      <w:r w:rsidRPr="005D3057">
        <w:rPr>
          <w:snapToGrid w:val="0"/>
          <w:lang w:val="de-DE"/>
        </w:rPr>
        <w:instrText xml:space="preserve"> AUTONUM  </w:instrText>
      </w:r>
      <w:r w:rsidRPr="005D3057">
        <w:rPr>
          <w:snapToGrid w:val="0"/>
        </w:rPr>
        <w:fldChar w:fldCharType="end"/>
      </w:r>
      <w:r w:rsidRPr="005D3057">
        <w:rPr>
          <w:snapToGrid w:val="0"/>
          <w:lang w:val="de-DE"/>
        </w:rPr>
        <w:tab/>
      </w:r>
      <w:r w:rsidR="00856BDE" w:rsidRPr="005D3057">
        <w:rPr>
          <w:rFonts w:cs="Arial"/>
          <w:lang w:val="de-DE"/>
        </w:rPr>
        <w:t xml:space="preserve">Die </w:t>
      </w:r>
      <w:r w:rsidRPr="005D3057">
        <w:rPr>
          <w:rFonts w:cs="Arial"/>
          <w:lang w:val="de-DE"/>
        </w:rPr>
        <w:t xml:space="preserve">TWA </w:t>
      </w:r>
      <w:r w:rsidR="007B0CA4" w:rsidRPr="005D3057">
        <w:rPr>
          <w:rFonts w:cs="Arial"/>
          <w:lang w:val="de-DE"/>
        </w:rPr>
        <w:t xml:space="preserve">stimmte der </w:t>
      </w:r>
      <w:r w:rsidRPr="005D3057">
        <w:rPr>
          <w:rFonts w:cs="Arial"/>
          <w:lang w:val="de-DE"/>
        </w:rPr>
        <w:t xml:space="preserve">TWC </w:t>
      </w:r>
      <w:r w:rsidR="007B0CA4" w:rsidRPr="005D3057">
        <w:rPr>
          <w:rFonts w:cs="Arial"/>
          <w:lang w:val="de-DE"/>
        </w:rPr>
        <w:t xml:space="preserve">zu, </w:t>
      </w:r>
      <w:r w:rsidR="005329DB" w:rsidRPr="005D3057">
        <w:rPr>
          <w:lang w:val="de-DE"/>
        </w:rPr>
        <w:t xml:space="preserve">daß </w:t>
      </w:r>
      <w:r w:rsidR="00386D13" w:rsidRPr="005D3057">
        <w:rPr>
          <w:lang w:val="de-DE"/>
        </w:rPr>
        <w:t xml:space="preserve">eine </w:t>
      </w:r>
      <w:r w:rsidR="006E4EF6" w:rsidRPr="005D3057">
        <w:rPr>
          <w:lang w:val="de-DE"/>
        </w:rPr>
        <w:t>Anleitung</w:t>
      </w:r>
      <w:r w:rsidRPr="005D3057">
        <w:rPr>
          <w:lang w:val="de-DE"/>
        </w:rPr>
        <w:t xml:space="preserve"> </w:t>
      </w:r>
      <w:r w:rsidR="005329DB" w:rsidRPr="005D3057">
        <w:rPr>
          <w:lang w:val="de-DE"/>
        </w:rPr>
        <w:t>P</w:t>
      </w:r>
      <w:r w:rsidRPr="005D3057">
        <w:rPr>
          <w:lang w:val="de-DE"/>
        </w:rPr>
        <w:t xml:space="preserve">arameter </w:t>
      </w:r>
      <w:r w:rsidR="005329DB" w:rsidRPr="005D3057">
        <w:rPr>
          <w:lang w:val="de-DE"/>
        </w:rPr>
        <w:t>für Entscheidungen über</w:t>
      </w:r>
      <w:r w:rsidRPr="005D3057">
        <w:rPr>
          <w:lang w:val="de-DE"/>
        </w:rPr>
        <w:t xml:space="preserve"> </w:t>
      </w:r>
      <w:r w:rsidR="00BC12A2" w:rsidRPr="005D3057">
        <w:rPr>
          <w:lang w:val="de-DE"/>
        </w:rPr>
        <w:t>d</w:t>
      </w:r>
      <w:r w:rsidR="005329DB" w:rsidRPr="005D3057">
        <w:rPr>
          <w:lang w:val="de-DE"/>
        </w:rPr>
        <w:t>e</w:t>
      </w:r>
      <w:r w:rsidR="00BC12A2" w:rsidRPr="005D3057">
        <w:rPr>
          <w:lang w:val="de-DE"/>
        </w:rPr>
        <w:t>n</w:t>
      </w:r>
      <w:r w:rsidR="005329DB" w:rsidRPr="005D3057">
        <w:rPr>
          <w:lang w:val="de-DE"/>
        </w:rPr>
        <w:t xml:space="preserve"> </w:t>
      </w:r>
      <w:r w:rsidR="007B0CA4" w:rsidRPr="005D3057">
        <w:rPr>
          <w:lang w:val="de-DE"/>
        </w:rPr>
        <w:t>geeignetsten</w:t>
      </w:r>
      <w:r w:rsidR="00157F21" w:rsidRPr="005D3057">
        <w:rPr>
          <w:lang w:val="de-DE"/>
        </w:rPr>
        <w:t xml:space="preserve"> Ansatz</w:t>
      </w:r>
      <w:r w:rsidRPr="005D3057">
        <w:rPr>
          <w:rFonts w:cs="Arial"/>
          <w:lang w:val="de-DE"/>
        </w:rPr>
        <w:t xml:space="preserve"> </w:t>
      </w:r>
      <w:r w:rsidR="00D94C83" w:rsidRPr="005D3057">
        <w:rPr>
          <w:rFonts w:cs="Arial"/>
          <w:lang w:val="de-DE"/>
        </w:rPr>
        <w:t>aufgrund</w:t>
      </w:r>
      <w:r w:rsidR="00EE28B0" w:rsidRPr="005D3057">
        <w:rPr>
          <w:rFonts w:cs="Arial"/>
          <w:lang w:val="de-DE"/>
        </w:rPr>
        <w:t xml:space="preserve"> von</w:t>
      </w:r>
      <w:r w:rsidRPr="005D3057">
        <w:rPr>
          <w:rFonts w:cs="Arial"/>
          <w:lang w:val="de-DE"/>
        </w:rPr>
        <w:t xml:space="preserve"> </w:t>
      </w:r>
      <w:r w:rsidR="00856BDE" w:rsidRPr="005D3057">
        <w:rPr>
          <w:rFonts w:cs="Arial"/>
          <w:lang w:val="de-DE"/>
        </w:rPr>
        <w:t>Erfahrungen von</w:t>
      </w:r>
      <w:r w:rsidRPr="005D3057">
        <w:rPr>
          <w:rFonts w:cs="Arial"/>
          <w:lang w:val="de-DE"/>
        </w:rPr>
        <w:t xml:space="preserve"> </w:t>
      </w:r>
      <w:r w:rsidR="00EE28B0" w:rsidRPr="005D3057">
        <w:rPr>
          <w:rFonts w:cs="Arial"/>
          <w:lang w:val="de-DE"/>
        </w:rPr>
        <w:t>Mitgliedern</w:t>
      </w:r>
      <w:r w:rsidR="00856BDE" w:rsidRPr="005D3057">
        <w:rPr>
          <w:rFonts w:cs="Arial"/>
          <w:lang w:val="de-DE"/>
        </w:rPr>
        <w:t xml:space="preserve"> bereitstel</w:t>
      </w:r>
      <w:r w:rsidR="005B2627" w:rsidRPr="005D3057">
        <w:rPr>
          <w:rFonts w:cs="Arial"/>
          <w:lang w:val="de-DE"/>
        </w:rPr>
        <w:t>len soll</w:t>
      </w:r>
      <w:r w:rsidR="00856BDE" w:rsidRPr="005D3057">
        <w:rPr>
          <w:rFonts w:cs="Arial"/>
          <w:lang w:val="de-DE"/>
        </w:rPr>
        <w:t>e</w:t>
      </w:r>
      <w:r w:rsidRPr="005D3057">
        <w:rPr>
          <w:rFonts w:cs="Arial"/>
          <w:lang w:val="de-DE"/>
        </w:rPr>
        <w:t>.</w:t>
      </w:r>
      <w:r w:rsidR="007B0CA4" w:rsidRPr="005D3057">
        <w:rPr>
          <w:rFonts w:cs="Arial"/>
          <w:lang w:val="de-DE"/>
        </w:rPr>
        <w:t xml:space="preserve"> </w:t>
      </w:r>
      <w:r w:rsidR="00856BDE" w:rsidRPr="005D3057">
        <w:rPr>
          <w:rFonts w:cs="Arial"/>
          <w:lang w:val="de-DE"/>
        </w:rPr>
        <w:t xml:space="preserve">Die </w:t>
      </w:r>
      <w:r w:rsidRPr="005D3057">
        <w:rPr>
          <w:rFonts w:cs="Arial"/>
          <w:lang w:val="de-DE"/>
        </w:rPr>
        <w:t xml:space="preserve">TWA </w:t>
      </w:r>
      <w:r w:rsidR="00EE28B0" w:rsidRPr="005D3057">
        <w:rPr>
          <w:rFonts w:cs="Arial"/>
          <w:lang w:val="de-DE"/>
        </w:rPr>
        <w:t>vereinbarte</w:t>
      </w:r>
      <w:r w:rsidR="003136D2" w:rsidRPr="005D3057">
        <w:rPr>
          <w:rFonts w:cs="Arial"/>
          <w:lang w:val="de-DE"/>
        </w:rPr>
        <w:t>,</w:t>
      </w:r>
      <w:r w:rsidRPr="005D3057">
        <w:rPr>
          <w:rFonts w:cs="Arial"/>
          <w:lang w:val="de-DE"/>
        </w:rPr>
        <w:t xml:space="preserve"> </w:t>
      </w:r>
      <w:r w:rsidR="008F3E77" w:rsidRPr="005D3057">
        <w:rPr>
          <w:rFonts w:cs="Arial"/>
          <w:lang w:val="de-DE"/>
        </w:rPr>
        <w:t>Beispiele zur Verfügung zu stellen</w:t>
      </w:r>
      <w:r w:rsidR="007B0CA4" w:rsidRPr="005D3057">
        <w:rPr>
          <w:rFonts w:cs="Arial"/>
          <w:lang w:val="de-DE"/>
        </w:rPr>
        <w:t>, die die mögliche</w:t>
      </w:r>
      <w:r w:rsidR="00FE655F">
        <w:rPr>
          <w:rFonts w:cs="Arial"/>
          <w:lang w:val="de-DE"/>
        </w:rPr>
        <w:t xml:space="preserve"> Ausw</w:t>
      </w:r>
      <w:r w:rsidR="00837D1F" w:rsidRPr="005D3057">
        <w:rPr>
          <w:rFonts w:cs="Arial"/>
          <w:lang w:val="de-DE"/>
        </w:rPr>
        <w:t>irkung auf Entscheidungen über die Homogenität</w:t>
      </w:r>
      <w:r w:rsidRPr="005D3057">
        <w:rPr>
          <w:rFonts w:cs="Arial"/>
          <w:lang w:val="de-DE"/>
        </w:rPr>
        <w:t xml:space="preserve"> </w:t>
      </w:r>
      <w:r w:rsidR="00856BDE" w:rsidRPr="005D3057">
        <w:rPr>
          <w:rFonts w:cs="Arial"/>
          <w:lang w:val="de-DE"/>
        </w:rPr>
        <w:t xml:space="preserve">zwischen </w:t>
      </w:r>
      <w:r w:rsidR="00837D1F" w:rsidRPr="005D3057">
        <w:rPr>
          <w:rFonts w:cs="Arial"/>
          <w:lang w:val="de-DE"/>
        </w:rPr>
        <w:t>Ansatz</w:t>
      </w:r>
      <w:r w:rsidRPr="005D3057">
        <w:rPr>
          <w:rFonts w:cs="Arial"/>
          <w:lang w:val="de-DE"/>
        </w:rPr>
        <w:t xml:space="preserve"> 3</w:t>
      </w:r>
      <w:r w:rsidR="00FD594C" w:rsidRPr="005D3057">
        <w:rPr>
          <w:rFonts w:cs="Arial"/>
          <w:lang w:val="de-DE"/>
        </w:rPr>
        <w:t xml:space="preserve"> und </w:t>
      </w:r>
      <w:r w:rsidR="00856BDE" w:rsidRPr="005D3057">
        <w:rPr>
          <w:rFonts w:cs="Arial"/>
          <w:lang w:val="de-DE"/>
        </w:rPr>
        <w:t xml:space="preserve">anderen </w:t>
      </w:r>
      <w:r w:rsidR="00837D1F" w:rsidRPr="005D3057">
        <w:rPr>
          <w:rFonts w:cs="Arial"/>
          <w:lang w:val="de-DE"/>
        </w:rPr>
        <w:t>Ansätzen</w:t>
      </w:r>
      <w:r w:rsidR="00856BDE" w:rsidRPr="005D3057">
        <w:rPr>
          <w:rFonts w:cs="Arial"/>
          <w:lang w:val="de-DE"/>
        </w:rPr>
        <w:t xml:space="preserve"> vergleichen</w:t>
      </w:r>
      <w:r w:rsidRPr="005D3057">
        <w:rPr>
          <w:rFonts w:cs="Arial"/>
          <w:lang w:val="de-DE"/>
        </w:rPr>
        <w:t>.</w:t>
      </w:r>
      <w:r w:rsidR="007B0CA4" w:rsidRPr="005D3057">
        <w:rPr>
          <w:rFonts w:cs="Arial"/>
          <w:lang w:val="de-DE"/>
        </w:rPr>
        <w:t xml:space="preserve"> </w:t>
      </w:r>
      <w:r w:rsidR="00856BDE" w:rsidRPr="005D3057">
        <w:rPr>
          <w:rFonts w:cs="Arial"/>
          <w:lang w:val="de-DE"/>
        </w:rPr>
        <w:t xml:space="preserve">Die </w:t>
      </w:r>
      <w:r w:rsidRPr="005D3057">
        <w:rPr>
          <w:rFonts w:cs="Arial"/>
          <w:lang w:val="de-DE"/>
        </w:rPr>
        <w:t xml:space="preserve">TWA </w:t>
      </w:r>
      <w:r w:rsidR="002B6858" w:rsidRPr="005D3057">
        <w:rPr>
          <w:rFonts w:cs="Arial"/>
          <w:lang w:val="de-DE"/>
        </w:rPr>
        <w:t>begrüßte</w:t>
      </w:r>
      <w:r w:rsidRPr="005D3057">
        <w:rPr>
          <w:rFonts w:cs="Arial"/>
          <w:lang w:val="de-DE"/>
        </w:rPr>
        <w:t xml:space="preserve"> </w:t>
      </w:r>
      <w:r w:rsidR="00856BDE" w:rsidRPr="005D3057">
        <w:rPr>
          <w:rFonts w:cs="Arial"/>
          <w:lang w:val="de-DE"/>
        </w:rPr>
        <w:t xml:space="preserve">die </w:t>
      </w:r>
      <w:r w:rsidR="00837D1F" w:rsidRPr="005D3057">
        <w:rPr>
          <w:rFonts w:cs="Arial"/>
          <w:lang w:val="de-DE"/>
        </w:rPr>
        <w:t>Angebote</w:t>
      </w:r>
      <w:r w:rsidRPr="005D3057">
        <w:rPr>
          <w:rFonts w:cs="Arial"/>
          <w:lang w:val="de-DE"/>
        </w:rPr>
        <w:t xml:space="preserve"> </w:t>
      </w:r>
      <w:r w:rsidR="00856BDE" w:rsidRPr="005D3057">
        <w:rPr>
          <w:rFonts w:cs="Arial"/>
          <w:lang w:val="de-DE"/>
        </w:rPr>
        <w:t>aus Frankreich, Deutschland, den Niederlanden, Polen und dem Verein</w:t>
      </w:r>
      <w:r w:rsidR="00181F74">
        <w:rPr>
          <w:rFonts w:cs="Arial"/>
          <w:lang w:val="de-DE"/>
        </w:rPr>
        <w:t>ig</w:t>
      </w:r>
      <w:r w:rsidR="00856BDE" w:rsidRPr="005D3057">
        <w:rPr>
          <w:rFonts w:cs="Arial"/>
          <w:lang w:val="de-DE"/>
        </w:rPr>
        <w:t xml:space="preserve">ten Königreich, </w:t>
      </w:r>
      <w:r w:rsidR="008F3E77" w:rsidRPr="005D3057">
        <w:rPr>
          <w:rFonts w:cs="Arial"/>
          <w:lang w:val="de-DE"/>
        </w:rPr>
        <w:t xml:space="preserve">Beispiele </w:t>
      </w:r>
      <w:r w:rsidR="002B6858" w:rsidRPr="005D3057">
        <w:rPr>
          <w:rFonts w:cs="Arial"/>
          <w:lang w:val="de-DE"/>
        </w:rPr>
        <w:t>zur Vorlage auf ihrer</w:t>
      </w:r>
      <w:r w:rsidR="00856BDE" w:rsidRPr="005D3057">
        <w:rPr>
          <w:rFonts w:cs="Arial"/>
          <w:lang w:val="de-DE"/>
        </w:rPr>
        <w:t xml:space="preserve"> sechsundvierzigsten</w:t>
      </w:r>
      <w:r w:rsidRPr="005D3057">
        <w:rPr>
          <w:rFonts w:cs="Arial"/>
          <w:lang w:val="de-DE"/>
        </w:rPr>
        <w:t xml:space="preserve"> </w:t>
      </w:r>
      <w:r w:rsidR="008F3E77" w:rsidRPr="005D3057">
        <w:rPr>
          <w:rFonts w:cs="Arial"/>
          <w:lang w:val="de-DE"/>
        </w:rPr>
        <w:t>Tagung</w:t>
      </w:r>
      <w:r w:rsidR="00856BDE" w:rsidRPr="005D3057">
        <w:rPr>
          <w:rFonts w:cs="Arial"/>
          <w:lang w:val="de-DE"/>
        </w:rPr>
        <w:t xml:space="preserve"> zur Verfügung zu stellen</w:t>
      </w:r>
      <w:r w:rsidRPr="005D3057">
        <w:rPr>
          <w:rFonts w:cs="Arial"/>
          <w:lang w:val="de-DE"/>
        </w:rPr>
        <w:t>.</w:t>
      </w:r>
    </w:p>
    <w:p w14:paraId="5583AEDE" w14:textId="77777777" w:rsidR="00BF40D9" w:rsidRPr="005D3057" w:rsidRDefault="00BF40D9" w:rsidP="00BF40D9">
      <w:pPr>
        <w:rPr>
          <w:rFonts w:cs="Arial"/>
          <w:lang w:val="de-DE"/>
        </w:rPr>
      </w:pPr>
    </w:p>
    <w:p w14:paraId="37D84C9F" w14:textId="5176C262" w:rsidR="00BF40D9" w:rsidRPr="005D3057" w:rsidRDefault="00BF40D9" w:rsidP="00BF40D9">
      <w:pPr>
        <w:rPr>
          <w:lang w:val="de-DE" w:eastAsia="ja-JP"/>
        </w:rPr>
      </w:pPr>
      <w:r w:rsidRPr="005D3057">
        <w:rPr>
          <w:snapToGrid w:val="0"/>
        </w:rPr>
        <w:fldChar w:fldCharType="begin"/>
      </w:r>
      <w:r w:rsidRPr="005D3057">
        <w:rPr>
          <w:snapToGrid w:val="0"/>
          <w:lang w:val="de-DE"/>
        </w:rPr>
        <w:instrText xml:space="preserve"> AUTONUM  </w:instrText>
      </w:r>
      <w:r w:rsidRPr="005D3057">
        <w:rPr>
          <w:snapToGrid w:val="0"/>
        </w:rPr>
        <w:fldChar w:fldCharType="end"/>
      </w:r>
      <w:r w:rsidRPr="005D3057">
        <w:rPr>
          <w:snapToGrid w:val="0"/>
          <w:lang w:val="de-DE"/>
        </w:rPr>
        <w:tab/>
      </w:r>
      <w:r w:rsidR="00856BDE" w:rsidRPr="005D3057">
        <w:rPr>
          <w:lang w:val="de-DE"/>
        </w:rPr>
        <w:t xml:space="preserve">Die </w:t>
      </w:r>
      <w:r w:rsidR="002030DE" w:rsidRPr="005D3057">
        <w:rPr>
          <w:lang w:val="de-DE"/>
        </w:rPr>
        <w:t xml:space="preserve">TWA stimmte der TWV </w:t>
      </w:r>
      <w:r w:rsidR="007B0CA4" w:rsidRPr="005D3057">
        <w:rPr>
          <w:lang w:val="de-DE"/>
        </w:rPr>
        <w:t xml:space="preserve">bezüglich der </w:t>
      </w:r>
      <w:r w:rsidR="00774268" w:rsidRPr="005D3057">
        <w:rPr>
          <w:lang w:val="de-DE"/>
        </w:rPr>
        <w:t>Bedeutung</w:t>
      </w:r>
      <w:r w:rsidRPr="005D3057">
        <w:rPr>
          <w:lang w:val="de-DE"/>
        </w:rPr>
        <w:t xml:space="preserve"> </w:t>
      </w:r>
      <w:r w:rsidR="007B0CA4" w:rsidRPr="005D3057">
        <w:rPr>
          <w:lang w:val="de-DE"/>
        </w:rPr>
        <w:t xml:space="preserve">der </w:t>
      </w:r>
      <w:r w:rsidR="00D80102" w:rsidRPr="005D3057">
        <w:rPr>
          <w:lang w:val="de-DE"/>
        </w:rPr>
        <w:t>Identifizierung</w:t>
      </w:r>
      <w:r w:rsidR="003B34D5" w:rsidRPr="005D3057">
        <w:rPr>
          <w:lang w:val="de-DE"/>
        </w:rPr>
        <w:t>,</w:t>
      </w:r>
      <w:r w:rsidRPr="005D3057">
        <w:rPr>
          <w:lang w:val="de-DE"/>
        </w:rPr>
        <w:t xml:space="preserve"> </w:t>
      </w:r>
      <w:r w:rsidR="00856BDE" w:rsidRPr="005D3057">
        <w:rPr>
          <w:lang w:val="de-DE"/>
        </w:rPr>
        <w:t xml:space="preserve">ob </w:t>
      </w:r>
      <w:r w:rsidR="00774268" w:rsidRPr="005D3057">
        <w:rPr>
          <w:lang w:val="de-DE"/>
        </w:rPr>
        <w:t>Unterschiede in der Anzahl</w:t>
      </w:r>
      <w:r w:rsidRPr="005D3057">
        <w:rPr>
          <w:lang w:val="de-DE"/>
        </w:rPr>
        <w:t xml:space="preserve"> </w:t>
      </w:r>
      <w:r w:rsidR="00856BDE" w:rsidRPr="005D3057">
        <w:rPr>
          <w:lang w:val="de-DE"/>
        </w:rPr>
        <w:t xml:space="preserve">von </w:t>
      </w:r>
      <w:r w:rsidR="001E6A84" w:rsidRPr="005D3057">
        <w:rPr>
          <w:lang w:val="de-DE"/>
        </w:rPr>
        <w:t>Abweicher</w:t>
      </w:r>
      <w:r w:rsidR="00856BDE" w:rsidRPr="005D3057">
        <w:rPr>
          <w:lang w:val="de-DE"/>
        </w:rPr>
        <w:t>n</w:t>
      </w:r>
      <w:r w:rsidRPr="005D3057">
        <w:rPr>
          <w:lang w:val="de-DE"/>
        </w:rPr>
        <w:t xml:space="preserve"> </w:t>
      </w:r>
      <w:r w:rsidR="00856BDE" w:rsidRPr="005D3057">
        <w:rPr>
          <w:lang w:val="de-DE"/>
        </w:rPr>
        <w:t xml:space="preserve">zwischen </w:t>
      </w:r>
      <w:r w:rsidR="003F220F" w:rsidRPr="005D3057">
        <w:rPr>
          <w:lang w:val="de-DE"/>
        </w:rPr>
        <w:t>Wachstums</w:t>
      </w:r>
      <w:r w:rsidR="00FF32EB" w:rsidRPr="005D3057">
        <w:rPr>
          <w:lang w:val="de-DE"/>
        </w:rPr>
        <w:t>perioden</w:t>
      </w:r>
      <w:r w:rsidRPr="005D3057">
        <w:rPr>
          <w:lang w:val="de-DE"/>
        </w:rPr>
        <w:t xml:space="preserve"> </w:t>
      </w:r>
      <w:r w:rsidR="007B0CA4" w:rsidRPr="005D3057">
        <w:rPr>
          <w:lang w:val="de-DE"/>
        </w:rPr>
        <w:t>durch</w:t>
      </w:r>
      <w:r w:rsidRPr="005D3057">
        <w:rPr>
          <w:lang w:val="de-DE"/>
        </w:rPr>
        <w:t xml:space="preserve"> </w:t>
      </w:r>
      <w:r w:rsidR="00856BDE" w:rsidRPr="005D3057">
        <w:rPr>
          <w:lang w:val="de-DE"/>
        </w:rPr>
        <w:t>biologische Ursachen oder</w:t>
      </w:r>
      <w:r w:rsidRPr="005D3057">
        <w:rPr>
          <w:lang w:val="de-DE"/>
        </w:rPr>
        <w:t xml:space="preserve"> </w:t>
      </w:r>
      <w:r w:rsidR="00181F74">
        <w:rPr>
          <w:lang w:val="de-DE"/>
        </w:rPr>
        <w:t>durch Unterschiede in</w:t>
      </w:r>
      <w:r w:rsidR="00774268" w:rsidRPr="005D3057">
        <w:rPr>
          <w:lang w:val="de-DE"/>
        </w:rPr>
        <w:t xml:space="preserve"> der </w:t>
      </w:r>
      <w:r w:rsidR="003B34D5" w:rsidRPr="005D3057">
        <w:rPr>
          <w:lang w:val="de-DE"/>
        </w:rPr>
        <w:t xml:space="preserve">Art der </w:t>
      </w:r>
      <w:r w:rsidR="00774268" w:rsidRPr="005D3057">
        <w:rPr>
          <w:lang w:val="de-DE"/>
        </w:rPr>
        <w:t>Probennahme</w:t>
      </w:r>
      <w:r w:rsidR="00856BDE" w:rsidRPr="005D3057">
        <w:rPr>
          <w:lang w:val="de-DE"/>
        </w:rPr>
        <w:t xml:space="preserve"> bedingt sind</w:t>
      </w:r>
      <w:r w:rsidR="004144B6" w:rsidRPr="005D3057">
        <w:rPr>
          <w:lang w:val="de-DE"/>
        </w:rPr>
        <w:t>,</w:t>
      </w:r>
      <w:r w:rsidR="00856BDE" w:rsidRPr="005D3057">
        <w:rPr>
          <w:lang w:val="de-DE"/>
        </w:rPr>
        <w:t xml:space="preserve"> zu</w:t>
      </w:r>
      <w:r w:rsidR="00FD594C" w:rsidRPr="005D3057">
        <w:rPr>
          <w:lang w:val="de-DE"/>
        </w:rPr>
        <w:t xml:space="preserve"> und </w:t>
      </w:r>
      <w:r w:rsidR="00EE28B0" w:rsidRPr="005D3057">
        <w:rPr>
          <w:lang w:val="de-DE"/>
        </w:rPr>
        <w:t>vereinbarte, daß</w:t>
      </w:r>
      <w:r w:rsidRPr="005D3057">
        <w:rPr>
          <w:lang w:val="de-DE"/>
        </w:rPr>
        <w:t xml:space="preserve"> </w:t>
      </w:r>
      <w:r w:rsidR="00774268" w:rsidRPr="005D3057">
        <w:rPr>
          <w:lang w:val="de-DE"/>
        </w:rPr>
        <w:t>Ergebnisse</w:t>
      </w:r>
      <w:r w:rsidRPr="005D3057">
        <w:rPr>
          <w:lang w:val="de-DE"/>
        </w:rPr>
        <w:t xml:space="preserve"> </w:t>
      </w:r>
      <w:r w:rsidR="00856BDE" w:rsidRPr="005D3057">
        <w:rPr>
          <w:lang w:val="de-DE"/>
        </w:rPr>
        <w:t xml:space="preserve">von </w:t>
      </w:r>
      <w:r w:rsidR="003F220F" w:rsidRPr="005D3057">
        <w:rPr>
          <w:lang w:val="de-DE"/>
        </w:rPr>
        <w:t>Wachstums</w:t>
      </w:r>
      <w:r w:rsidR="00FF32EB" w:rsidRPr="005D3057">
        <w:rPr>
          <w:lang w:val="de-DE"/>
        </w:rPr>
        <w:t>perioden</w:t>
      </w:r>
      <w:r w:rsidRPr="005D3057">
        <w:rPr>
          <w:lang w:val="de-DE"/>
        </w:rPr>
        <w:t xml:space="preserve"> </w:t>
      </w:r>
      <w:r w:rsidR="00774268" w:rsidRPr="005D3057">
        <w:rPr>
          <w:lang w:val="de-DE"/>
        </w:rPr>
        <w:t>unter Verwendung von</w:t>
      </w:r>
      <w:r w:rsidRPr="005D3057">
        <w:rPr>
          <w:lang w:val="de-DE"/>
        </w:rPr>
        <w:t xml:space="preserve"> </w:t>
      </w:r>
      <w:r w:rsidR="00EE28B0" w:rsidRPr="005D3057">
        <w:rPr>
          <w:lang w:val="de-DE"/>
        </w:rPr>
        <w:t>unterschiedliche</w:t>
      </w:r>
      <w:r w:rsidR="004144B6" w:rsidRPr="005D3057">
        <w:rPr>
          <w:lang w:val="de-DE"/>
        </w:rPr>
        <w:t>n</w:t>
      </w:r>
      <w:r w:rsidR="007B0CA4" w:rsidRPr="005D3057">
        <w:rPr>
          <w:lang w:val="de-DE"/>
        </w:rPr>
        <w:t xml:space="preserve"> Partien von</w:t>
      </w:r>
      <w:r w:rsidRPr="005D3057">
        <w:rPr>
          <w:lang w:val="de-DE"/>
        </w:rPr>
        <w:t xml:space="preserve"> </w:t>
      </w:r>
      <w:r w:rsidR="00324A8A" w:rsidRPr="005D3057">
        <w:rPr>
          <w:lang w:val="de-DE"/>
        </w:rPr>
        <w:t>Vermehrungsmaterial</w:t>
      </w:r>
      <w:r w:rsidRPr="005D3057">
        <w:rPr>
          <w:lang w:val="de-DE"/>
        </w:rPr>
        <w:t xml:space="preserve"> </w:t>
      </w:r>
      <w:r w:rsidR="00856BDE" w:rsidRPr="005D3057">
        <w:rPr>
          <w:lang w:val="de-DE"/>
        </w:rPr>
        <w:t>nicht kombiniert werden sollte</w:t>
      </w:r>
      <w:r w:rsidR="00D73F79" w:rsidRPr="005D3057">
        <w:rPr>
          <w:lang w:val="de-DE"/>
        </w:rPr>
        <w:t>n</w:t>
      </w:r>
      <w:r w:rsidRPr="005D3057">
        <w:rPr>
          <w:lang w:val="de-DE"/>
        </w:rPr>
        <w:t>.</w:t>
      </w:r>
    </w:p>
    <w:p w14:paraId="00003EAA" w14:textId="77777777" w:rsidR="00BF40D9" w:rsidRPr="005D3057" w:rsidRDefault="00BF40D9" w:rsidP="00BF40D9">
      <w:pPr>
        <w:rPr>
          <w:snapToGrid w:val="0"/>
          <w:lang w:val="de-DE"/>
        </w:rPr>
      </w:pPr>
    </w:p>
    <w:p w14:paraId="2470BD80" w14:textId="2CFCB80B" w:rsidR="00BF40D9" w:rsidRPr="005D3057" w:rsidRDefault="00BF40D9" w:rsidP="00D16867">
      <w:pPr>
        <w:keepLines/>
        <w:rPr>
          <w:snapToGrid w:val="0"/>
          <w:lang w:val="de-DE"/>
        </w:rPr>
      </w:pPr>
      <w:r w:rsidRPr="005D3057">
        <w:rPr>
          <w:snapToGrid w:val="0"/>
        </w:rPr>
        <w:fldChar w:fldCharType="begin"/>
      </w:r>
      <w:r w:rsidRPr="005D3057">
        <w:rPr>
          <w:snapToGrid w:val="0"/>
          <w:lang w:val="de-DE"/>
        </w:rPr>
        <w:instrText xml:space="preserve"> AUTONUM  </w:instrText>
      </w:r>
      <w:r w:rsidRPr="005D3057">
        <w:rPr>
          <w:snapToGrid w:val="0"/>
        </w:rPr>
        <w:fldChar w:fldCharType="end"/>
      </w:r>
      <w:r w:rsidRPr="005D3057">
        <w:rPr>
          <w:snapToGrid w:val="0"/>
          <w:lang w:val="de-DE"/>
        </w:rPr>
        <w:tab/>
      </w:r>
      <w:r w:rsidR="00856BDE" w:rsidRPr="005D3057">
        <w:rPr>
          <w:lang w:val="de-DE"/>
        </w:rPr>
        <w:t xml:space="preserve">Die </w:t>
      </w:r>
      <w:r w:rsidRPr="005D3057">
        <w:rPr>
          <w:lang w:val="de-DE"/>
        </w:rPr>
        <w:t xml:space="preserve">TWA </w:t>
      </w:r>
      <w:r w:rsidR="002030DE" w:rsidRPr="005D3057">
        <w:rPr>
          <w:lang w:val="de-DE"/>
        </w:rPr>
        <w:t xml:space="preserve">nahm die von einigen Mitgliedern ausgedrückten Bedenken zur Kenntnis, </w:t>
      </w:r>
      <w:r w:rsidR="00856BDE" w:rsidRPr="005D3057">
        <w:rPr>
          <w:lang w:val="de-DE"/>
        </w:rPr>
        <w:t>daß die</w:t>
      </w:r>
      <w:r w:rsidRPr="005D3057">
        <w:rPr>
          <w:lang w:val="de-DE"/>
        </w:rPr>
        <w:t xml:space="preserve"> </w:t>
      </w:r>
      <w:r w:rsidR="007B0CA4" w:rsidRPr="005D3057">
        <w:rPr>
          <w:lang w:val="de-DE"/>
        </w:rPr>
        <w:t>Prüfung der Homogenität</w:t>
      </w:r>
      <w:r w:rsidRPr="005D3057">
        <w:rPr>
          <w:lang w:val="de-DE"/>
        </w:rPr>
        <w:t xml:space="preserve"> </w:t>
      </w:r>
      <w:r w:rsidR="00D94C83" w:rsidRPr="005D3057">
        <w:rPr>
          <w:lang w:val="de-DE"/>
        </w:rPr>
        <w:t>aufgrund</w:t>
      </w:r>
      <w:r w:rsidRPr="005D3057">
        <w:rPr>
          <w:lang w:val="de-DE"/>
        </w:rPr>
        <w:t xml:space="preserve"> </w:t>
      </w:r>
      <w:r w:rsidR="007B0CA4" w:rsidRPr="005D3057">
        <w:rPr>
          <w:lang w:val="de-DE"/>
        </w:rPr>
        <w:t>der Kombination</w:t>
      </w:r>
      <w:r w:rsidRPr="005D3057">
        <w:rPr>
          <w:lang w:val="de-DE"/>
        </w:rPr>
        <w:t xml:space="preserve"> </w:t>
      </w:r>
      <w:r w:rsidR="00EE28B0" w:rsidRPr="005D3057">
        <w:rPr>
          <w:lang w:val="de-DE"/>
        </w:rPr>
        <w:t>unterschiedliche</w:t>
      </w:r>
      <w:r w:rsidR="007B0CA4" w:rsidRPr="005D3057">
        <w:rPr>
          <w:lang w:val="de-DE"/>
        </w:rPr>
        <w:t>r</w:t>
      </w:r>
      <w:r w:rsidRPr="005D3057">
        <w:rPr>
          <w:lang w:val="de-DE"/>
        </w:rPr>
        <w:t xml:space="preserve"> </w:t>
      </w:r>
      <w:r w:rsidR="003F220F" w:rsidRPr="005D3057">
        <w:rPr>
          <w:lang w:val="de-DE"/>
        </w:rPr>
        <w:t>Wachstumsperiode</w:t>
      </w:r>
      <w:r w:rsidR="007B0CA4" w:rsidRPr="005D3057">
        <w:rPr>
          <w:lang w:val="de-DE"/>
        </w:rPr>
        <w:t>n</w:t>
      </w:r>
      <w:r w:rsidRPr="005D3057">
        <w:rPr>
          <w:lang w:val="de-DE"/>
        </w:rPr>
        <w:t xml:space="preserve"> </w:t>
      </w:r>
      <w:r w:rsidR="00FF32EB" w:rsidRPr="005D3057">
        <w:rPr>
          <w:lang w:val="de-DE"/>
        </w:rPr>
        <w:t xml:space="preserve">möglicherweise nicht </w:t>
      </w:r>
      <w:r w:rsidR="00856BDE" w:rsidRPr="005D3057">
        <w:rPr>
          <w:lang w:val="de-DE"/>
        </w:rPr>
        <w:t>mit</w:t>
      </w:r>
      <w:r w:rsidRPr="005D3057">
        <w:rPr>
          <w:lang w:val="de-DE"/>
        </w:rPr>
        <w:t xml:space="preserve"> </w:t>
      </w:r>
      <w:r w:rsidR="00471422" w:rsidRPr="005D3057">
        <w:rPr>
          <w:lang w:val="de-DE"/>
        </w:rPr>
        <w:t>der bestehenden</w:t>
      </w:r>
      <w:r w:rsidRPr="005D3057">
        <w:rPr>
          <w:lang w:val="de-DE"/>
        </w:rPr>
        <w:t xml:space="preserve"> </w:t>
      </w:r>
      <w:r w:rsidR="006E4EF6" w:rsidRPr="005D3057">
        <w:rPr>
          <w:lang w:val="de-DE"/>
        </w:rPr>
        <w:t>Anleitung</w:t>
      </w:r>
      <w:r w:rsidRPr="005D3057">
        <w:rPr>
          <w:lang w:val="de-DE"/>
        </w:rPr>
        <w:t xml:space="preserve"> in </w:t>
      </w:r>
      <w:r w:rsidR="006E4EF6" w:rsidRPr="005D3057">
        <w:rPr>
          <w:lang w:val="de-DE"/>
        </w:rPr>
        <w:t>Dokument</w:t>
      </w:r>
      <w:r w:rsidR="00D05202" w:rsidRPr="005D3057">
        <w:rPr>
          <w:lang w:val="de-DE"/>
        </w:rPr>
        <w:t> </w:t>
      </w:r>
      <w:r w:rsidRPr="005D3057">
        <w:rPr>
          <w:lang w:val="de-DE"/>
        </w:rPr>
        <w:t xml:space="preserve">TGP/8, </w:t>
      </w:r>
      <w:r w:rsidR="006E4EF6" w:rsidRPr="005D3057">
        <w:rPr>
          <w:lang w:val="de-DE"/>
        </w:rPr>
        <w:t>Teil</w:t>
      </w:r>
      <w:r w:rsidRPr="005D3057">
        <w:rPr>
          <w:lang w:val="de-DE"/>
        </w:rPr>
        <w:t xml:space="preserve"> I, </w:t>
      </w:r>
      <w:r w:rsidR="00FF32EB" w:rsidRPr="005D3057">
        <w:rPr>
          <w:lang w:val="de-DE"/>
        </w:rPr>
        <w:t>Abschnitt</w:t>
      </w:r>
      <w:r w:rsidRPr="005D3057">
        <w:rPr>
          <w:lang w:val="de-DE"/>
        </w:rPr>
        <w:t xml:space="preserve"> 1.2.2</w:t>
      </w:r>
      <w:r w:rsidR="00B41F3C">
        <w:rPr>
          <w:lang w:val="de-DE"/>
        </w:rPr>
        <w:t>,</w:t>
      </w:r>
      <w:r w:rsidR="00FD594C" w:rsidRPr="005D3057">
        <w:rPr>
          <w:lang w:val="de-DE"/>
        </w:rPr>
        <w:t xml:space="preserve"> und </w:t>
      </w:r>
      <w:r w:rsidR="00FF32EB" w:rsidRPr="005D3057">
        <w:rPr>
          <w:lang w:val="de-DE"/>
        </w:rPr>
        <w:t>insbesondere</w:t>
      </w:r>
      <w:r w:rsidRPr="005D3057">
        <w:rPr>
          <w:lang w:val="de-DE"/>
        </w:rPr>
        <w:t xml:space="preserve"> 1.2.2.7</w:t>
      </w:r>
      <w:r w:rsidR="00B41F3C">
        <w:rPr>
          <w:lang w:val="de-DE"/>
        </w:rPr>
        <w:t>,</w:t>
      </w:r>
      <w:r w:rsidRPr="005D3057">
        <w:rPr>
          <w:lang w:val="de-DE"/>
        </w:rPr>
        <w:t xml:space="preserve"> </w:t>
      </w:r>
      <w:r w:rsidR="00856BDE" w:rsidRPr="005D3057">
        <w:rPr>
          <w:lang w:val="de-DE"/>
        </w:rPr>
        <w:t>über unabhängige</w:t>
      </w:r>
      <w:r w:rsidRPr="005D3057">
        <w:rPr>
          <w:lang w:val="de-DE"/>
        </w:rPr>
        <w:t xml:space="preserve"> </w:t>
      </w:r>
      <w:r w:rsidR="003F220F" w:rsidRPr="005D3057">
        <w:rPr>
          <w:lang w:val="de-DE"/>
        </w:rPr>
        <w:t>Wachstums</w:t>
      </w:r>
      <w:r w:rsidR="00FF32EB" w:rsidRPr="005D3057">
        <w:rPr>
          <w:lang w:val="de-DE"/>
        </w:rPr>
        <w:t>perioden</w:t>
      </w:r>
      <w:r w:rsidR="00FD594C" w:rsidRPr="005D3057">
        <w:rPr>
          <w:lang w:val="de-DE"/>
        </w:rPr>
        <w:t xml:space="preserve"> </w:t>
      </w:r>
      <w:r w:rsidR="00D80102" w:rsidRPr="005D3057">
        <w:rPr>
          <w:lang w:val="de-DE"/>
        </w:rPr>
        <w:t>übereinstimme</w:t>
      </w:r>
      <w:r w:rsidR="00B41F3C">
        <w:rPr>
          <w:lang w:val="de-DE"/>
        </w:rPr>
        <w:t>,</w:t>
      </w:r>
      <w:r w:rsidR="00856BDE" w:rsidRPr="005D3057">
        <w:rPr>
          <w:lang w:val="de-DE"/>
        </w:rPr>
        <w:t xml:space="preserve"> </w:t>
      </w:r>
      <w:r w:rsidR="00FD594C" w:rsidRPr="005D3057">
        <w:rPr>
          <w:lang w:val="de-DE"/>
        </w:rPr>
        <w:t xml:space="preserve">und </w:t>
      </w:r>
      <w:r w:rsidR="00EE28B0" w:rsidRPr="005D3057">
        <w:rPr>
          <w:lang w:val="de-DE"/>
        </w:rPr>
        <w:t>vereinbarte</w:t>
      </w:r>
      <w:r w:rsidR="00D80102" w:rsidRPr="005D3057">
        <w:rPr>
          <w:lang w:val="de-DE"/>
        </w:rPr>
        <w:t>,</w:t>
      </w:r>
      <w:r w:rsidRPr="005D3057">
        <w:rPr>
          <w:lang w:val="de-DE"/>
        </w:rPr>
        <w:t xml:space="preserve"> </w:t>
      </w:r>
      <w:r w:rsidR="00856BDE" w:rsidRPr="005D3057">
        <w:rPr>
          <w:lang w:val="de-DE"/>
        </w:rPr>
        <w:t>diesen</w:t>
      </w:r>
      <w:r w:rsidRPr="005D3057">
        <w:rPr>
          <w:lang w:val="de-DE"/>
        </w:rPr>
        <w:t xml:space="preserve"> </w:t>
      </w:r>
      <w:r w:rsidR="00FF32EB" w:rsidRPr="005D3057">
        <w:rPr>
          <w:lang w:val="de-DE"/>
        </w:rPr>
        <w:t>Punkt</w:t>
      </w:r>
      <w:r w:rsidRPr="005D3057">
        <w:rPr>
          <w:lang w:val="de-DE"/>
        </w:rPr>
        <w:t xml:space="preserve"> </w:t>
      </w:r>
      <w:r w:rsidR="00D94C83" w:rsidRPr="005D3057">
        <w:rPr>
          <w:lang w:val="de-DE"/>
        </w:rPr>
        <w:t>aufgrund</w:t>
      </w:r>
      <w:r w:rsidRPr="005D3057">
        <w:rPr>
          <w:lang w:val="de-DE"/>
        </w:rPr>
        <w:t xml:space="preserve"> </w:t>
      </w:r>
      <w:r w:rsidR="00856BDE" w:rsidRPr="005D3057">
        <w:rPr>
          <w:lang w:val="de-DE"/>
        </w:rPr>
        <w:t>von Beispielen</w:t>
      </w:r>
      <w:r w:rsidRPr="005D3057">
        <w:rPr>
          <w:lang w:val="de-DE"/>
        </w:rPr>
        <w:t xml:space="preserve"> </w:t>
      </w:r>
      <w:r w:rsidR="00FF32EB" w:rsidRPr="005D3057">
        <w:rPr>
          <w:lang w:val="de-DE"/>
        </w:rPr>
        <w:t>zur Vorlage</w:t>
      </w:r>
      <w:r w:rsidRPr="005D3057">
        <w:rPr>
          <w:lang w:val="de-DE"/>
        </w:rPr>
        <w:t xml:space="preserve"> </w:t>
      </w:r>
      <w:r w:rsidR="00471422" w:rsidRPr="005D3057">
        <w:rPr>
          <w:lang w:val="de-DE"/>
        </w:rPr>
        <w:t>auf ihr</w:t>
      </w:r>
      <w:r w:rsidR="00856BDE" w:rsidRPr="005D3057">
        <w:rPr>
          <w:lang w:val="de-DE"/>
        </w:rPr>
        <w:t>er sechsundvierzigsten</w:t>
      </w:r>
      <w:r w:rsidRPr="005D3057">
        <w:rPr>
          <w:lang w:val="de-DE"/>
        </w:rPr>
        <w:t xml:space="preserve"> </w:t>
      </w:r>
      <w:r w:rsidR="008F3E77" w:rsidRPr="005D3057">
        <w:rPr>
          <w:lang w:val="de-DE"/>
        </w:rPr>
        <w:t>Tagung</w:t>
      </w:r>
      <w:r w:rsidR="00856BDE" w:rsidRPr="005D3057">
        <w:rPr>
          <w:lang w:val="de-DE"/>
        </w:rPr>
        <w:t xml:space="preserve"> weiter zu prüfen</w:t>
      </w:r>
      <w:r w:rsidRPr="005D3057">
        <w:rPr>
          <w:lang w:val="de-DE"/>
        </w:rPr>
        <w:t xml:space="preserve">. </w:t>
      </w:r>
    </w:p>
    <w:p w14:paraId="1422A4C1" w14:textId="77777777" w:rsidR="00BF40D9" w:rsidRPr="005D3057" w:rsidRDefault="00BF40D9" w:rsidP="00BF40D9">
      <w:pPr>
        <w:rPr>
          <w:snapToGrid w:val="0"/>
          <w:lang w:val="de-DE"/>
        </w:rPr>
      </w:pPr>
    </w:p>
    <w:p w14:paraId="10174BCB" w14:textId="618DBDCF" w:rsidR="00BF40D9" w:rsidRPr="005D3057" w:rsidRDefault="00BF40D9" w:rsidP="00BF40D9">
      <w:pPr>
        <w:rPr>
          <w:snapToGrid w:val="0"/>
          <w:lang w:val="de-DE"/>
        </w:rPr>
      </w:pPr>
      <w:r w:rsidRPr="005D3057">
        <w:rPr>
          <w:snapToGrid w:val="0"/>
        </w:rPr>
        <w:fldChar w:fldCharType="begin"/>
      </w:r>
      <w:r w:rsidRPr="005D3057">
        <w:rPr>
          <w:snapToGrid w:val="0"/>
          <w:lang w:val="de-DE"/>
        </w:rPr>
        <w:instrText xml:space="preserve"> AUTONUM  </w:instrText>
      </w:r>
      <w:r w:rsidRPr="005D3057">
        <w:rPr>
          <w:snapToGrid w:val="0"/>
        </w:rPr>
        <w:fldChar w:fldCharType="end"/>
      </w:r>
      <w:r w:rsidRPr="005D3057">
        <w:rPr>
          <w:snapToGrid w:val="0"/>
          <w:lang w:val="de-DE"/>
        </w:rPr>
        <w:tab/>
      </w:r>
      <w:r w:rsidR="00856BDE" w:rsidRPr="005D3057">
        <w:rPr>
          <w:lang w:val="de-DE"/>
        </w:rPr>
        <w:t xml:space="preserve">Die </w:t>
      </w:r>
      <w:r w:rsidRPr="005D3057">
        <w:rPr>
          <w:lang w:val="de-DE"/>
        </w:rPr>
        <w:t xml:space="preserve">TWA </w:t>
      </w:r>
      <w:r w:rsidR="007B0CA4" w:rsidRPr="005D3057">
        <w:rPr>
          <w:snapToGrid w:val="0"/>
          <w:lang w:val="de-DE"/>
        </w:rPr>
        <w:t xml:space="preserve">stimmte der </w:t>
      </w:r>
      <w:r w:rsidRPr="005D3057">
        <w:rPr>
          <w:snapToGrid w:val="0"/>
          <w:lang w:val="de-DE"/>
        </w:rPr>
        <w:t>TWV</w:t>
      </w:r>
      <w:r w:rsidR="00856BDE" w:rsidRPr="005D3057">
        <w:rPr>
          <w:snapToGrid w:val="0"/>
          <w:lang w:val="de-DE"/>
        </w:rPr>
        <w:t xml:space="preserve"> zu, daß</w:t>
      </w:r>
      <w:r w:rsidR="00471422" w:rsidRPr="005D3057">
        <w:rPr>
          <w:snapToGrid w:val="0"/>
          <w:lang w:val="de-DE"/>
        </w:rPr>
        <w:t xml:space="preserve"> es</w:t>
      </w:r>
      <w:r w:rsidRPr="005D3057">
        <w:rPr>
          <w:snapToGrid w:val="0"/>
          <w:lang w:val="de-DE"/>
        </w:rPr>
        <w:t xml:space="preserve"> </w:t>
      </w:r>
      <w:r w:rsidR="007B0CA4" w:rsidRPr="005D3057">
        <w:rPr>
          <w:snapToGrid w:val="0"/>
          <w:lang w:val="de-DE"/>
        </w:rPr>
        <w:t>in Verbindung mit</w:t>
      </w:r>
      <w:r w:rsidRPr="005D3057">
        <w:rPr>
          <w:snapToGrid w:val="0"/>
          <w:lang w:val="de-DE"/>
        </w:rPr>
        <w:t xml:space="preserve"> </w:t>
      </w:r>
      <w:r w:rsidR="00856BDE" w:rsidRPr="005D3057">
        <w:rPr>
          <w:snapToGrid w:val="0"/>
          <w:lang w:val="de-DE"/>
        </w:rPr>
        <w:t xml:space="preserve">der </w:t>
      </w:r>
      <w:r w:rsidR="007B0CA4" w:rsidRPr="005D3057">
        <w:rPr>
          <w:snapToGrid w:val="0"/>
          <w:lang w:val="de-DE"/>
        </w:rPr>
        <w:t>Überarbeitung</w:t>
      </w:r>
      <w:r w:rsidR="00B41F3C">
        <w:rPr>
          <w:snapToGrid w:val="0"/>
          <w:lang w:val="de-DE"/>
        </w:rPr>
        <w:t xml:space="preserve"> von</w:t>
      </w:r>
      <w:r w:rsidRPr="005D3057">
        <w:rPr>
          <w:snapToGrid w:val="0"/>
          <w:lang w:val="de-DE"/>
        </w:rPr>
        <w:t xml:space="preserve"> </w:t>
      </w:r>
      <w:r w:rsidR="002030DE" w:rsidRPr="005D3057">
        <w:rPr>
          <w:snapToGrid w:val="0"/>
          <w:lang w:val="de-DE"/>
        </w:rPr>
        <w:t xml:space="preserve">Dokument TGP/10: </w:t>
      </w:r>
      <w:r w:rsidR="00B41F3C">
        <w:rPr>
          <w:snapToGrid w:val="0"/>
          <w:lang w:val="de-DE"/>
        </w:rPr>
        <w:t>„</w:t>
      </w:r>
      <w:r w:rsidR="002030DE" w:rsidRPr="005D3057">
        <w:rPr>
          <w:snapToGrid w:val="0"/>
          <w:lang w:val="de-DE"/>
        </w:rPr>
        <w:t xml:space="preserve">Prüfung der Homogenität anhand von Abweichern </w:t>
      </w:r>
      <w:r w:rsidR="00D94C83" w:rsidRPr="005D3057">
        <w:rPr>
          <w:snapToGrid w:val="0"/>
          <w:lang w:val="de-DE"/>
        </w:rPr>
        <w:t>aufgrund</w:t>
      </w:r>
      <w:r w:rsidR="002030DE" w:rsidRPr="005D3057">
        <w:rPr>
          <w:snapToGrid w:val="0"/>
          <w:lang w:val="de-DE"/>
        </w:rPr>
        <w:t xml:space="preserve"> von mehr als einer Wachstumsperiode oder aufgrund von Unterproben</w:t>
      </w:r>
      <w:r w:rsidR="001E6A84" w:rsidRPr="005D3057">
        <w:rPr>
          <w:snapToGrid w:val="0"/>
          <w:lang w:val="de-DE"/>
        </w:rPr>
        <w:t>“</w:t>
      </w:r>
      <w:r w:rsidR="00C065F0" w:rsidRPr="005D3057">
        <w:rPr>
          <w:snapToGrid w:val="0"/>
          <w:lang w:val="de-DE"/>
        </w:rPr>
        <w:t xml:space="preserve"> </w:t>
      </w:r>
      <w:r w:rsidR="00856BDE" w:rsidRPr="005D3057">
        <w:rPr>
          <w:snapToGrid w:val="0"/>
          <w:lang w:val="de-DE"/>
        </w:rPr>
        <w:t>wichtig wäre</w:t>
      </w:r>
      <w:r w:rsidR="00C065F0" w:rsidRPr="005D3057">
        <w:rPr>
          <w:snapToGrid w:val="0"/>
          <w:lang w:val="de-DE"/>
        </w:rPr>
        <w:t>,</w:t>
      </w:r>
      <w:r w:rsidRPr="005D3057">
        <w:rPr>
          <w:snapToGrid w:val="0"/>
          <w:lang w:val="de-DE"/>
        </w:rPr>
        <w:t xml:space="preserve"> </w:t>
      </w:r>
      <w:r w:rsidR="00856BDE" w:rsidRPr="005D3057">
        <w:rPr>
          <w:snapToGrid w:val="0"/>
          <w:lang w:val="de-DE"/>
        </w:rPr>
        <w:t>die</w:t>
      </w:r>
      <w:r w:rsidRPr="005D3057">
        <w:rPr>
          <w:snapToGrid w:val="0"/>
          <w:lang w:val="de-DE"/>
        </w:rPr>
        <w:t xml:space="preserve"> </w:t>
      </w:r>
      <w:r w:rsidR="006E4EF6" w:rsidRPr="005D3057">
        <w:rPr>
          <w:snapToGrid w:val="0"/>
          <w:lang w:val="de-DE"/>
        </w:rPr>
        <w:t>Anleitung</w:t>
      </w:r>
      <w:r w:rsidRPr="005D3057">
        <w:rPr>
          <w:snapToGrid w:val="0"/>
          <w:lang w:val="de-DE"/>
        </w:rPr>
        <w:t xml:space="preserve"> in </w:t>
      </w:r>
      <w:r w:rsidR="006E4EF6" w:rsidRPr="005D3057">
        <w:rPr>
          <w:snapToGrid w:val="0"/>
          <w:lang w:val="de-DE"/>
        </w:rPr>
        <w:t>Dokument</w:t>
      </w:r>
      <w:r w:rsidRPr="005D3057">
        <w:rPr>
          <w:snapToGrid w:val="0"/>
          <w:lang w:val="de-DE"/>
        </w:rPr>
        <w:t xml:space="preserve"> TGP/8: </w:t>
      </w:r>
      <w:r w:rsidR="006E4EF6" w:rsidRPr="005D3057">
        <w:rPr>
          <w:snapToGrid w:val="0"/>
          <w:lang w:val="de-DE"/>
        </w:rPr>
        <w:t>Teil</w:t>
      </w:r>
      <w:r w:rsidRPr="005D3057">
        <w:rPr>
          <w:snapToGrid w:val="0"/>
          <w:lang w:val="de-DE"/>
        </w:rPr>
        <w:t xml:space="preserve"> II: 8: </w:t>
      </w:r>
      <w:r w:rsidR="001E6A84" w:rsidRPr="005D3057">
        <w:rPr>
          <w:snapToGrid w:val="0"/>
          <w:lang w:val="de-DE"/>
        </w:rPr>
        <w:t>„Verfahren für die Prüfung der Homogenität anhand von Abweichern“</w:t>
      </w:r>
      <w:r w:rsidRPr="005D3057">
        <w:rPr>
          <w:snapToGrid w:val="0"/>
          <w:lang w:val="de-DE"/>
        </w:rPr>
        <w:t xml:space="preserve">, </w:t>
      </w:r>
      <w:r w:rsidR="00FF32EB" w:rsidRPr="005D3057">
        <w:rPr>
          <w:snapToGrid w:val="0"/>
          <w:lang w:val="de-DE"/>
        </w:rPr>
        <w:t>Abschnitt</w:t>
      </w:r>
      <w:r w:rsidRPr="005D3057">
        <w:rPr>
          <w:snapToGrid w:val="0"/>
          <w:lang w:val="de-DE"/>
        </w:rPr>
        <w:t xml:space="preserve"> 8.1.7 </w:t>
      </w:r>
      <w:r w:rsidR="001E6A84" w:rsidRPr="005D3057">
        <w:rPr>
          <w:snapToGrid w:val="0"/>
          <w:lang w:val="de-DE"/>
        </w:rPr>
        <w:t>„</w:t>
      </w:r>
      <w:r w:rsidR="0065517B" w:rsidRPr="005D3057">
        <w:rPr>
          <w:snapToGrid w:val="0"/>
          <w:lang w:val="de-DE"/>
        </w:rPr>
        <w:t>Methode für mehr als eine einzige Prüfung (Prüfungsjahr)</w:t>
      </w:r>
      <w:r w:rsidR="001E6A84" w:rsidRPr="005D3057">
        <w:rPr>
          <w:snapToGrid w:val="0"/>
          <w:lang w:val="de-DE"/>
        </w:rPr>
        <w:t>“</w:t>
      </w:r>
      <w:r w:rsidR="00B41F3C">
        <w:rPr>
          <w:snapToGrid w:val="0"/>
          <w:lang w:val="de-DE"/>
        </w:rPr>
        <w:t>,</w:t>
      </w:r>
      <w:r w:rsidR="00D64303" w:rsidRPr="005D3057">
        <w:rPr>
          <w:snapToGrid w:val="0"/>
          <w:lang w:val="de-DE"/>
        </w:rPr>
        <w:t xml:space="preserve"> zu überarbeiten</w:t>
      </w:r>
      <w:r w:rsidRPr="005D3057">
        <w:rPr>
          <w:snapToGrid w:val="0"/>
          <w:lang w:val="de-DE"/>
        </w:rPr>
        <w:t xml:space="preserve">, </w:t>
      </w:r>
      <w:r w:rsidR="00856BDE" w:rsidRPr="005D3057">
        <w:rPr>
          <w:snapToGrid w:val="0"/>
          <w:lang w:val="de-DE"/>
        </w:rPr>
        <w:t xml:space="preserve">weil </w:t>
      </w:r>
      <w:r w:rsidR="00D80102" w:rsidRPr="005D3057">
        <w:rPr>
          <w:snapToGrid w:val="0"/>
          <w:lang w:val="de-DE"/>
        </w:rPr>
        <w:t>s</w:t>
      </w:r>
      <w:r w:rsidR="00D64303" w:rsidRPr="005D3057">
        <w:rPr>
          <w:snapToGrid w:val="0"/>
          <w:lang w:val="de-DE"/>
        </w:rPr>
        <w:t>ie</w:t>
      </w:r>
      <w:r w:rsidR="00856BDE" w:rsidRPr="005D3057">
        <w:rPr>
          <w:snapToGrid w:val="0"/>
          <w:lang w:val="de-DE"/>
        </w:rPr>
        <w:t xml:space="preserve"> nicht</w:t>
      </w:r>
      <w:r w:rsidRPr="005D3057">
        <w:rPr>
          <w:snapToGrid w:val="0"/>
          <w:lang w:val="de-DE"/>
        </w:rPr>
        <w:t xml:space="preserve"> </w:t>
      </w:r>
      <w:r w:rsidR="00D80102" w:rsidRPr="005D3057">
        <w:rPr>
          <w:snapToGrid w:val="0"/>
          <w:lang w:val="de-DE"/>
        </w:rPr>
        <w:t>die</w:t>
      </w:r>
      <w:r w:rsidR="00856BDE" w:rsidRPr="005D3057">
        <w:rPr>
          <w:snapToGrid w:val="0"/>
          <w:lang w:val="de-DE"/>
        </w:rPr>
        <w:t xml:space="preserve"> Praktiken </w:t>
      </w:r>
      <w:r w:rsidR="00395D5A" w:rsidRPr="005D3057">
        <w:rPr>
          <w:snapToGrid w:val="0"/>
          <w:lang w:val="de-DE"/>
        </w:rPr>
        <w:t>der Verbandsmitglieder</w:t>
      </w:r>
      <w:r w:rsidR="00D80102" w:rsidRPr="005D3057">
        <w:rPr>
          <w:snapToGrid w:val="0"/>
          <w:lang w:val="de-DE"/>
        </w:rPr>
        <w:t xml:space="preserve"> wi</w:t>
      </w:r>
      <w:r w:rsidR="00D64303" w:rsidRPr="005D3057">
        <w:rPr>
          <w:snapToGrid w:val="0"/>
          <w:lang w:val="de-DE"/>
        </w:rPr>
        <w:t>der</w:t>
      </w:r>
      <w:r w:rsidR="00B41F3C">
        <w:rPr>
          <w:snapToGrid w:val="0"/>
          <w:lang w:val="de-DE"/>
        </w:rPr>
        <w:t>spiegle</w:t>
      </w:r>
      <w:r w:rsidRPr="005D3057">
        <w:rPr>
          <w:snapToGrid w:val="0"/>
          <w:lang w:val="de-DE"/>
        </w:rPr>
        <w:t>.</w:t>
      </w:r>
    </w:p>
    <w:p w14:paraId="68C36FC1" w14:textId="77777777" w:rsidR="00BF40D9" w:rsidRPr="005D3057" w:rsidRDefault="00BF40D9" w:rsidP="00BF40D9">
      <w:pPr>
        <w:rPr>
          <w:snapToGrid w:val="0"/>
          <w:lang w:val="de-DE"/>
        </w:rPr>
      </w:pPr>
    </w:p>
    <w:p w14:paraId="2CA3241E" w14:textId="0D00A9AD" w:rsidR="00BF40D9" w:rsidRPr="005D3057" w:rsidRDefault="00BF40D9" w:rsidP="00BF40D9">
      <w:pPr>
        <w:rPr>
          <w:snapToGrid w:val="0"/>
          <w:lang w:val="de-DE"/>
        </w:rPr>
      </w:pPr>
      <w:r w:rsidRPr="005D3057">
        <w:rPr>
          <w:snapToGrid w:val="0"/>
        </w:rPr>
        <w:fldChar w:fldCharType="begin"/>
      </w:r>
      <w:r w:rsidRPr="005D3057">
        <w:rPr>
          <w:snapToGrid w:val="0"/>
          <w:lang w:val="de-DE"/>
        </w:rPr>
        <w:instrText xml:space="preserve"> AUTONUM  </w:instrText>
      </w:r>
      <w:r w:rsidRPr="005D3057">
        <w:rPr>
          <w:snapToGrid w:val="0"/>
        </w:rPr>
        <w:fldChar w:fldCharType="end"/>
      </w:r>
      <w:r w:rsidRPr="005D3057">
        <w:rPr>
          <w:snapToGrid w:val="0"/>
          <w:lang w:val="de-DE"/>
        </w:rPr>
        <w:tab/>
      </w:r>
      <w:r w:rsidR="00856BDE" w:rsidRPr="005D3057">
        <w:rPr>
          <w:lang w:val="de-DE"/>
        </w:rPr>
        <w:t xml:space="preserve">Die </w:t>
      </w:r>
      <w:r w:rsidRPr="005D3057">
        <w:rPr>
          <w:lang w:val="de-DE"/>
        </w:rPr>
        <w:t xml:space="preserve">TWA </w:t>
      </w:r>
      <w:r w:rsidR="00774268" w:rsidRPr="005D3057">
        <w:rPr>
          <w:snapToGrid w:val="0"/>
          <w:lang w:val="de-DE"/>
        </w:rPr>
        <w:t xml:space="preserve">nahm </w:t>
      </w:r>
      <w:r w:rsidR="004F2BC8" w:rsidRPr="005D3057">
        <w:rPr>
          <w:snapToGrid w:val="0"/>
          <w:lang w:val="de-DE"/>
        </w:rPr>
        <w:t xml:space="preserve">die von den </w:t>
      </w:r>
      <w:r w:rsidR="00B41F3C" w:rsidRPr="005D3057">
        <w:rPr>
          <w:snapToGrid w:val="0"/>
          <w:lang w:val="de-DE"/>
        </w:rPr>
        <w:t>Vertretern</w:t>
      </w:r>
      <w:r w:rsidR="004F2BC8" w:rsidRPr="005D3057">
        <w:rPr>
          <w:snapToGrid w:val="0"/>
          <w:lang w:val="de-DE"/>
        </w:rPr>
        <w:t xml:space="preserve"> der</w:t>
      </w:r>
      <w:r w:rsidRPr="005D3057">
        <w:rPr>
          <w:snapToGrid w:val="0"/>
          <w:lang w:val="de-DE"/>
        </w:rPr>
        <w:t xml:space="preserve"> ESA</w:t>
      </w:r>
      <w:r w:rsidR="00FD594C" w:rsidRPr="005D3057">
        <w:rPr>
          <w:snapToGrid w:val="0"/>
          <w:lang w:val="de-DE"/>
        </w:rPr>
        <w:t xml:space="preserve"> und </w:t>
      </w:r>
      <w:r w:rsidRPr="005D3057">
        <w:rPr>
          <w:snapToGrid w:val="0"/>
          <w:lang w:val="de-DE"/>
        </w:rPr>
        <w:t xml:space="preserve">CropLife </w:t>
      </w:r>
      <w:r w:rsidR="00395D5A" w:rsidRPr="005D3057">
        <w:rPr>
          <w:snapToGrid w:val="0"/>
          <w:lang w:val="de-DE"/>
        </w:rPr>
        <w:t>hinsichtlich</w:t>
      </w:r>
      <w:r w:rsidR="004F2BC8" w:rsidRPr="005D3057">
        <w:rPr>
          <w:snapToGrid w:val="0"/>
          <w:lang w:val="de-DE"/>
        </w:rPr>
        <w:t xml:space="preserve"> </w:t>
      </w:r>
      <w:r w:rsidR="00837D1F" w:rsidRPr="005D3057">
        <w:rPr>
          <w:snapToGrid w:val="0"/>
          <w:lang w:val="de-DE"/>
        </w:rPr>
        <w:t>Ansatz</w:t>
      </w:r>
      <w:r w:rsidRPr="005D3057">
        <w:rPr>
          <w:snapToGrid w:val="0"/>
          <w:lang w:val="de-DE"/>
        </w:rPr>
        <w:t xml:space="preserve"> 3</w:t>
      </w:r>
      <w:r w:rsidR="004F2BC8" w:rsidRPr="005D3057">
        <w:rPr>
          <w:snapToGrid w:val="0"/>
          <w:lang w:val="de-DE"/>
        </w:rPr>
        <w:t xml:space="preserve"> </w:t>
      </w:r>
      <w:r w:rsidR="00117072" w:rsidRPr="005D3057">
        <w:rPr>
          <w:snapToGrid w:val="0"/>
          <w:lang w:val="de-DE"/>
        </w:rPr>
        <w:t xml:space="preserve">ausgedrückten Bedenken </w:t>
      </w:r>
      <w:r w:rsidR="004F2BC8" w:rsidRPr="005D3057">
        <w:rPr>
          <w:snapToGrid w:val="0"/>
          <w:lang w:val="de-DE"/>
        </w:rPr>
        <w:t>zur Kenntnis</w:t>
      </w:r>
      <w:r w:rsidR="00FD594C" w:rsidRPr="005D3057">
        <w:rPr>
          <w:snapToGrid w:val="0"/>
          <w:lang w:val="de-DE"/>
        </w:rPr>
        <w:t xml:space="preserve"> und </w:t>
      </w:r>
      <w:r w:rsidR="00774268" w:rsidRPr="005D3057">
        <w:rPr>
          <w:snapToGrid w:val="0"/>
          <w:lang w:val="de-DE"/>
        </w:rPr>
        <w:t xml:space="preserve">nahm </w:t>
      </w:r>
      <w:r w:rsidR="00117072" w:rsidRPr="005D3057">
        <w:rPr>
          <w:snapToGrid w:val="0"/>
          <w:lang w:val="de-DE"/>
        </w:rPr>
        <w:t>die Bedeutung</w:t>
      </w:r>
      <w:r w:rsidR="00D80102" w:rsidRPr="005D3057">
        <w:rPr>
          <w:snapToGrid w:val="0"/>
          <w:lang w:val="de-DE"/>
        </w:rPr>
        <w:t xml:space="preserve"> zur Kenntnis</w:t>
      </w:r>
      <w:r w:rsidR="007B0CA4" w:rsidRPr="005D3057">
        <w:rPr>
          <w:snapToGrid w:val="0"/>
          <w:lang w:val="de-DE"/>
        </w:rPr>
        <w:t xml:space="preserve">, die </w:t>
      </w:r>
      <w:r w:rsidR="00D80102" w:rsidRPr="005D3057">
        <w:rPr>
          <w:snapToGrid w:val="0"/>
          <w:lang w:val="de-DE"/>
        </w:rPr>
        <w:t>diese</w:t>
      </w:r>
      <w:r w:rsidR="007B0CA4" w:rsidRPr="005D3057">
        <w:rPr>
          <w:snapToGrid w:val="0"/>
          <w:lang w:val="de-DE"/>
        </w:rPr>
        <w:t xml:space="preserve"> </w:t>
      </w:r>
      <w:r w:rsidR="009D09C4" w:rsidRPr="005D3057">
        <w:rPr>
          <w:snapToGrid w:val="0"/>
          <w:lang w:val="de-DE"/>
        </w:rPr>
        <w:t>der</w:t>
      </w:r>
      <w:r w:rsidRPr="005D3057">
        <w:rPr>
          <w:snapToGrid w:val="0"/>
          <w:lang w:val="de-DE"/>
        </w:rPr>
        <w:t xml:space="preserve"> </w:t>
      </w:r>
      <w:r w:rsidR="007B0CA4" w:rsidRPr="005D3057">
        <w:rPr>
          <w:snapToGrid w:val="0"/>
          <w:lang w:val="de-DE"/>
        </w:rPr>
        <w:t>Übereinstimmung</w:t>
      </w:r>
      <w:r w:rsidRPr="005D3057">
        <w:rPr>
          <w:snapToGrid w:val="0"/>
          <w:lang w:val="de-DE"/>
        </w:rPr>
        <w:t xml:space="preserve"> </w:t>
      </w:r>
      <w:r w:rsidR="00C91805" w:rsidRPr="005D3057">
        <w:rPr>
          <w:snapToGrid w:val="0"/>
          <w:lang w:val="de-DE"/>
        </w:rPr>
        <w:t>der</w:t>
      </w:r>
      <w:r w:rsidR="00D80102" w:rsidRPr="005D3057">
        <w:rPr>
          <w:snapToGrid w:val="0"/>
          <w:lang w:val="de-DE"/>
        </w:rPr>
        <w:t xml:space="preserve"> </w:t>
      </w:r>
      <w:r w:rsidR="0047007B" w:rsidRPr="005D3057">
        <w:rPr>
          <w:snapToGrid w:val="0"/>
          <w:lang w:val="de-DE"/>
        </w:rPr>
        <w:t>Ansätze</w:t>
      </w:r>
      <w:r w:rsidR="0065517B" w:rsidRPr="005D3057">
        <w:rPr>
          <w:snapToGrid w:val="0"/>
          <w:lang w:val="de-DE"/>
        </w:rPr>
        <w:t xml:space="preserve"> zur Prüfung der Homogenität</w:t>
      </w:r>
      <w:r w:rsidR="009D09C4" w:rsidRPr="005D3057">
        <w:rPr>
          <w:snapToGrid w:val="0"/>
          <w:lang w:val="de-DE"/>
        </w:rPr>
        <w:t xml:space="preserve"> in allen Verbandsmitgliedern</w:t>
      </w:r>
      <w:r w:rsidR="004F2BC8" w:rsidRPr="005D3057">
        <w:rPr>
          <w:snapToGrid w:val="0"/>
          <w:lang w:val="de-DE"/>
        </w:rPr>
        <w:t xml:space="preserve"> </w:t>
      </w:r>
      <w:r w:rsidR="00C91805" w:rsidRPr="005D3057">
        <w:rPr>
          <w:snapToGrid w:val="0"/>
          <w:lang w:val="de-DE"/>
        </w:rPr>
        <w:t>zumaßen</w:t>
      </w:r>
      <w:r w:rsidR="00B41F3C">
        <w:rPr>
          <w:snapToGrid w:val="0"/>
          <w:lang w:val="de-DE"/>
        </w:rPr>
        <w:t>.</w:t>
      </w:r>
    </w:p>
    <w:p w14:paraId="5C56EA29" w14:textId="77777777" w:rsidR="00BF40D9" w:rsidRDefault="00BF40D9" w:rsidP="00B21F4F">
      <w:pPr>
        <w:rPr>
          <w:lang w:val="de-DE"/>
        </w:rPr>
      </w:pPr>
    </w:p>
    <w:p w14:paraId="0F4377B8" w14:textId="77777777" w:rsidR="005D2F87" w:rsidRPr="005D3057" w:rsidRDefault="005D2F87" w:rsidP="00B21F4F">
      <w:pPr>
        <w:rPr>
          <w:lang w:val="de-DE"/>
        </w:rPr>
      </w:pPr>
    </w:p>
    <w:p w14:paraId="0D620695" w14:textId="77777777" w:rsidR="004418BE" w:rsidRPr="005D3057" w:rsidRDefault="0065517B" w:rsidP="004418BE">
      <w:pPr>
        <w:pStyle w:val="Heading3"/>
        <w:rPr>
          <w:lang w:val="de-DE"/>
        </w:rPr>
      </w:pPr>
      <w:bookmarkStart w:id="16" w:name="_Toc475460260"/>
      <w:r w:rsidRPr="005D3057">
        <w:rPr>
          <w:lang w:val="de-DE"/>
        </w:rPr>
        <w:t>Technische Arbeitsgruppe für Obstarten</w:t>
      </w:r>
      <w:bookmarkEnd w:id="16"/>
    </w:p>
    <w:p w14:paraId="04A333E3" w14:textId="77777777" w:rsidR="004418BE" w:rsidRPr="005D3057" w:rsidRDefault="004418BE" w:rsidP="004418BE">
      <w:pPr>
        <w:ind w:firstLine="567"/>
        <w:rPr>
          <w:lang w:val="de-DE"/>
        </w:rPr>
      </w:pPr>
    </w:p>
    <w:p w14:paraId="040A2FF5" w14:textId="77777777" w:rsidR="00BF40D9" w:rsidRPr="005D3057" w:rsidRDefault="00BF40D9" w:rsidP="00BF40D9">
      <w:pPr>
        <w:rPr>
          <w:rFonts w:eastAsia="SimSun"/>
          <w:lang w:val="de-DE" w:eastAsia="zh-CN"/>
        </w:rPr>
      </w:pPr>
      <w:r w:rsidRPr="005D3057">
        <w:rPr>
          <w:rFonts w:eastAsia="SimSun"/>
          <w:lang w:eastAsia="zh-CN"/>
        </w:rPr>
        <w:fldChar w:fldCharType="begin"/>
      </w:r>
      <w:r w:rsidRPr="005D3057">
        <w:rPr>
          <w:rFonts w:eastAsia="SimSun"/>
          <w:lang w:val="de-DE" w:eastAsia="zh-CN"/>
        </w:rPr>
        <w:instrText xml:space="preserve"> AUTONUM  </w:instrText>
      </w:r>
      <w:r w:rsidRPr="005D3057">
        <w:rPr>
          <w:rFonts w:eastAsia="SimSun"/>
          <w:lang w:eastAsia="zh-CN"/>
        </w:rPr>
        <w:fldChar w:fldCharType="end"/>
      </w:r>
      <w:r w:rsidRPr="005D3057">
        <w:rPr>
          <w:rFonts w:eastAsia="SimSun"/>
          <w:lang w:val="de-DE" w:eastAsia="zh-CN"/>
        </w:rPr>
        <w:tab/>
      </w:r>
      <w:r w:rsidR="00856BDE" w:rsidRPr="005D3057">
        <w:rPr>
          <w:lang w:val="de-DE"/>
        </w:rPr>
        <w:t xml:space="preserve">Die </w:t>
      </w:r>
      <w:r w:rsidRPr="005D3057">
        <w:rPr>
          <w:lang w:val="de-DE"/>
        </w:rPr>
        <w:t xml:space="preserve">TWF </w:t>
      </w:r>
      <w:r w:rsidR="00EE28B0" w:rsidRPr="005D3057">
        <w:rPr>
          <w:lang w:val="de-DE"/>
        </w:rPr>
        <w:t>prüfte</w:t>
      </w:r>
      <w:r w:rsidRPr="005D3057">
        <w:rPr>
          <w:lang w:val="de-DE"/>
        </w:rPr>
        <w:t xml:space="preserve"> </w:t>
      </w:r>
      <w:r w:rsidR="006E4EF6" w:rsidRPr="005D3057">
        <w:rPr>
          <w:lang w:val="de-DE"/>
        </w:rPr>
        <w:t>Dokument</w:t>
      </w:r>
      <w:r w:rsidRPr="005D3057">
        <w:rPr>
          <w:lang w:val="de-DE"/>
        </w:rPr>
        <w:t xml:space="preserve"> TWF/47/13 </w:t>
      </w:r>
      <w:r w:rsidR="00EE28B0" w:rsidRPr="005D3057">
        <w:rPr>
          <w:lang w:val="de-DE"/>
        </w:rPr>
        <w:t>(vergleiche</w:t>
      </w:r>
      <w:r w:rsidRPr="005D3057">
        <w:rPr>
          <w:lang w:val="de-DE"/>
        </w:rPr>
        <w:t xml:space="preserve"> </w:t>
      </w:r>
      <w:r w:rsidR="006E4EF6" w:rsidRPr="005D3057">
        <w:rPr>
          <w:lang w:val="de-DE"/>
        </w:rPr>
        <w:t>Dokument</w:t>
      </w:r>
      <w:r w:rsidRPr="005D3057">
        <w:rPr>
          <w:lang w:val="de-DE"/>
        </w:rPr>
        <w:t xml:space="preserve"> TWF/47/25 </w:t>
      </w:r>
      <w:r w:rsidR="001E6A84" w:rsidRPr="005D3057">
        <w:rPr>
          <w:lang w:val="de-DE"/>
        </w:rPr>
        <w:t>„</w:t>
      </w:r>
      <w:r w:rsidRPr="005D2F87">
        <w:rPr>
          <w:i/>
          <w:lang w:val="de-DE"/>
        </w:rPr>
        <w:t>Report</w:t>
      </w:r>
      <w:r w:rsidR="001E6A84" w:rsidRPr="005D3057">
        <w:rPr>
          <w:lang w:val="de-DE"/>
        </w:rPr>
        <w:t>“</w:t>
      </w:r>
      <w:r w:rsidRPr="005D3057">
        <w:rPr>
          <w:lang w:val="de-DE"/>
        </w:rPr>
        <w:t xml:space="preserve">, </w:t>
      </w:r>
      <w:r w:rsidR="00EE28B0" w:rsidRPr="005D3057">
        <w:rPr>
          <w:lang w:val="de-DE"/>
        </w:rPr>
        <w:t>Absätze</w:t>
      </w:r>
      <w:r w:rsidR="001347E1" w:rsidRPr="005D3057">
        <w:rPr>
          <w:lang w:val="de-DE"/>
        </w:rPr>
        <w:t> </w:t>
      </w:r>
      <w:r w:rsidRPr="005D3057">
        <w:rPr>
          <w:lang w:val="de-DE"/>
        </w:rPr>
        <w:t>37</w:t>
      </w:r>
      <w:r w:rsidR="001347E1" w:rsidRPr="005D3057">
        <w:rPr>
          <w:lang w:val="de-DE"/>
        </w:rPr>
        <w:t> </w:t>
      </w:r>
      <w:r w:rsidR="004F2BC8" w:rsidRPr="005D3057">
        <w:rPr>
          <w:lang w:val="de-DE"/>
        </w:rPr>
        <w:t>bis</w:t>
      </w:r>
      <w:r w:rsidRPr="005D3057">
        <w:rPr>
          <w:lang w:val="de-DE"/>
        </w:rPr>
        <w:t> 39)</w:t>
      </w:r>
      <w:r w:rsidRPr="005D3057">
        <w:rPr>
          <w:rFonts w:eastAsia="SimSun"/>
          <w:lang w:val="de-DE" w:eastAsia="zh-CN"/>
        </w:rPr>
        <w:t>.</w:t>
      </w:r>
    </w:p>
    <w:p w14:paraId="15DE8F17" w14:textId="77777777" w:rsidR="00BF40D9" w:rsidRPr="005D3057" w:rsidRDefault="00BF40D9" w:rsidP="00BF40D9">
      <w:pPr>
        <w:rPr>
          <w:rFonts w:eastAsia="SimSun"/>
          <w:lang w:val="de-DE" w:eastAsia="zh-CN"/>
        </w:rPr>
      </w:pPr>
    </w:p>
    <w:p w14:paraId="16242AF7" w14:textId="606301A3" w:rsidR="00BF40D9" w:rsidRPr="005D3057" w:rsidRDefault="00BF40D9" w:rsidP="00BF40D9">
      <w:pPr>
        <w:rPr>
          <w:rFonts w:eastAsia="SimSun"/>
          <w:lang w:val="de-DE" w:eastAsia="zh-CN"/>
        </w:rPr>
      </w:pPr>
      <w:r w:rsidRPr="005D3057">
        <w:rPr>
          <w:rFonts w:eastAsia="SimSun"/>
          <w:lang w:eastAsia="zh-CN"/>
        </w:rPr>
        <w:fldChar w:fldCharType="begin"/>
      </w:r>
      <w:r w:rsidRPr="005D3057">
        <w:rPr>
          <w:rFonts w:eastAsia="SimSun"/>
          <w:lang w:val="de-DE" w:eastAsia="zh-CN"/>
        </w:rPr>
        <w:instrText xml:space="preserve"> AUTONUM  </w:instrText>
      </w:r>
      <w:r w:rsidRPr="005D3057">
        <w:rPr>
          <w:rFonts w:eastAsia="SimSun"/>
          <w:lang w:eastAsia="zh-CN"/>
        </w:rPr>
        <w:fldChar w:fldCharType="end"/>
      </w:r>
      <w:r w:rsidRPr="005D3057">
        <w:rPr>
          <w:rFonts w:eastAsia="SimSun"/>
          <w:lang w:val="de-DE" w:eastAsia="zh-CN"/>
        </w:rPr>
        <w:tab/>
      </w:r>
      <w:r w:rsidR="00856BDE" w:rsidRPr="005D3057">
        <w:rPr>
          <w:rFonts w:eastAsia="SimSun"/>
          <w:lang w:val="de-DE" w:eastAsia="zh-CN"/>
        </w:rPr>
        <w:t xml:space="preserve">Die </w:t>
      </w:r>
      <w:r w:rsidRPr="005D3057">
        <w:rPr>
          <w:rFonts w:eastAsia="SimSun"/>
          <w:lang w:val="de-DE" w:eastAsia="zh-CN"/>
        </w:rPr>
        <w:t xml:space="preserve">TWF </w:t>
      </w:r>
      <w:r w:rsidR="00EE28B0" w:rsidRPr="005D3057">
        <w:rPr>
          <w:rFonts w:eastAsia="SimSun"/>
          <w:lang w:val="de-DE" w:eastAsia="zh-CN"/>
        </w:rPr>
        <w:t>prüfte</w:t>
      </w:r>
      <w:r w:rsidR="004F2BC8" w:rsidRPr="005D3057">
        <w:rPr>
          <w:rFonts w:eastAsia="SimSun"/>
          <w:lang w:val="de-DE" w:eastAsia="zh-CN"/>
        </w:rPr>
        <w:t xml:space="preserve"> den</w:t>
      </w:r>
      <w:r w:rsidRPr="005D3057">
        <w:rPr>
          <w:rFonts w:eastAsia="SimSun"/>
          <w:lang w:val="de-DE" w:eastAsia="zh-CN"/>
        </w:rPr>
        <w:t xml:space="preserve"> </w:t>
      </w:r>
      <w:r w:rsidR="0065517B" w:rsidRPr="005D3057">
        <w:rPr>
          <w:lang w:val="de-DE"/>
        </w:rPr>
        <w:t xml:space="preserve">Entwurf für eine Anleitung, wie in Anlagen I und II dargelegt, </w:t>
      </w:r>
      <w:r w:rsidR="006D3F3C" w:rsidRPr="005D3057">
        <w:rPr>
          <w:lang w:val="de-DE"/>
        </w:rPr>
        <w:t>im H</w:t>
      </w:r>
      <w:r w:rsidR="00AD7331" w:rsidRPr="005D3057">
        <w:rPr>
          <w:lang w:val="de-DE"/>
        </w:rPr>
        <w:t>inblick auf die</w:t>
      </w:r>
      <w:r w:rsidR="0065517B" w:rsidRPr="005D3057">
        <w:rPr>
          <w:lang w:val="de-DE"/>
        </w:rPr>
        <w:t xml:space="preserve"> Aufnahme in eine künftige Überarbeitung von Dokument TGP/10</w:t>
      </w:r>
      <w:r w:rsidR="00FD594C" w:rsidRPr="005D3057">
        <w:rPr>
          <w:lang w:val="de-DE"/>
        </w:rPr>
        <w:t xml:space="preserve"> und </w:t>
      </w:r>
      <w:r w:rsidR="00EE28B0" w:rsidRPr="005D3057">
        <w:rPr>
          <w:rFonts w:eastAsia="SimSun"/>
          <w:lang w:val="de-DE" w:eastAsia="zh-CN"/>
        </w:rPr>
        <w:t>vereinbarte, daß</w:t>
      </w:r>
      <w:r w:rsidRPr="005D3057">
        <w:rPr>
          <w:rFonts w:eastAsia="SimSun"/>
          <w:lang w:val="de-DE" w:eastAsia="zh-CN"/>
        </w:rPr>
        <w:t xml:space="preserve"> </w:t>
      </w:r>
      <w:r w:rsidR="009D09C4" w:rsidRPr="005D3057">
        <w:rPr>
          <w:rFonts w:eastAsia="SimSun"/>
          <w:lang w:val="de-DE" w:eastAsia="zh-CN"/>
        </w:rPr>
        <w:t>im Fall von Obstarten</w:t>
      </w:r>
      <w:r w:rsidRPr="005D3057">
        <w:rPr>
          <w:rFonts w:eastAsia="SimSun"/>
          <w:lang w:val="de-DE" w:eastAsia="zh-CN"/>
        </w:rPr>
        <w:t xml:space="preserve"> </w:t>
      </w:r>
      <w:r w:rsidR="00D80102" w:rsidRPr="005D3057">
        <w:rPr>
          <w:rFonts w:eastAsia="SimSun"/>
          <w:lang w:val="de-DE" w:eastAsia="zh-CN"/>
        </w:rPr>
        <w:t>(mit Ausnahme von Erdbeere)</w:t>
      </w:r>
      <w:r w:rsidR="00B27489">
        <w:rPr>
          <w:rFonts w:eastAsia="SimSun"/>
          <w:lang w:val="de-DE" w:eastAsia="zh-CN"/>
        </w:rPr>
        <w:t xml:space="preserve"> </w:t>
      </w:r>
      <w:r w:rsidR="009D09C4" w:rsidRPr="005D3057">
        <w:rPr>
          <w:rFonts w:eastAsia="SimSun"/>
          <w:lang w:val="de-DE" w:eastAsia="zh-CN"/>
        </w:rPr>
        <w:t>die DUS-Prüfung</w:t>
      </w:r>
      <w:r w:rsidRPr="005D3057">
        <w:rPr>
          <w:rFonts w:eastAsia="SimSun"/>
          <w:lang w:val="de-DE" w:eastAsia="zh-CN"/>
        </w:rPr>
        <w:t xml:space="preserve"> </w:t>
      </w:r>
      <w:r w:rsidR="009D09C4" w:rsidRPr="005D3057">
        <w:rPr>
          <w:rFonts w:eastAsia="SimSun"/>
          <w:lang w:val="de-DE" w:eastAsia="zh-CN"/>
        </w:rPr>
        <w:t>in der Regel</w:t>
      </w:r>
      <w:r w:rsidRPr="005D3057">
        <w:rPr>
          <w:rFonts w:eastAsia="SimSun"/>
          <w:lang w:val="de-DE" w:eastAsia="zh-CN"/>
        </w:rPr>
        <w:t xml:space="preserve"> </w:t>
      </w:r>
      <w:r w:rsidR="00BD0D48" w:rsidRPr="005D3057">
        <w:rPr>
          <w:rFonts w:eastAsia="SimSun"/>
          <w:lang w:val="de-DE" w:eastAsia="zh-CN"/>
        </w:rPr>
        <w:t>an dem</w:t>
      </w:r>
      <w:r w:rsidR="004F2BC8" w:rsidRPr="005D3057">
        <w:rPr>
          <w:rFonts w:eastAsia="SimSun"/>
          <w:lang w:val="de-DE" w:eastAsia="zh-CN"/>
        </w:rPr>
        <w:t xml:space="preserve"> gleiche</w:t>
      </w:r>
      <w:r w:rsidR="00BD0D48" w:rsidRPr="005D3057">
        <w:rPr>
          <w:rFonts w:eastAsia="SimSun"/>
          <w:lang w:val="de-DE" w:eastAsia="zh-CN"/>
        </w:rPr>
        <w:t>n</w:t>
      </w:r>
      <w:r w:rsidRPr="005D3057">
        <w:rPr>
          <w:rFonts w:eastAsia="SimSun"/>
          <w:lang w:val="de-DE" w:eastAsia="zh-CN"/>
        </w:rPr>
        <w:t xml:space="preserve"> </w:t>
      </w:r>
      <w:r w:rsidR="00324A8A" w:rsidRPr="005D3057">
        <w:rPr>
          <w:rFonts w:eastAsia="SimSun"/>
          <w:lang w:val="de-DE" w:eastAsia="zh-CN"/>
        </w:rPr>
        <w:t>Vermehrungsmaterial</w:t>
      </w:r>
      <w:r w:rsidRPr="005D3057">
        <w:rPr>
          <w:rFonts w:eastAsia="SimSun"/>
          <w:lang w:val="de-DE" w:eastAsia="zh-CN"/>
        </w:rPr>
        <w:t xml:space="preserve"> </w:t>
      </w:r>
      <w:r w:rsidR="007D2B9E" w:rsidRPr="005D3057">
        <w:rPr>
          <w:rFonts w:eastAsia="SimSun"/>
          <w:lang w:val="de-DE" w:eastAsia="zh-CN"/>
        </w:rPr>
        <w:t>durchgeführt wird</w:t>
      </w:r>
      <w:r w:rsidR="00FD594C" w:rsidRPr="005D3057">
        <w:rPr>
          <w:rFonts w:eastAsia="SimSun"/>
          <w:lang w:val="de-DE" w:eastAsia="zh-CN"/>
        </w:rPr>
        <w:t xml:space="preserve"> und </w:t>
      </w:r>
      <w:r w:rsidR="0099326B" w:rsidRPr="005D3057">
        <w:rPr>
          <w:rFonts w:eastAsia="SimSun"/>
          <w:lang w:val="de-DE" w:eastAsia="zh-CN"/>
        </w:rPr>
        <w:t xml:space="preserve">die </w:t>
      </w:r>
      <w:r w:rsidR="009D09C4" w:rsidRPr="005D3057">
        <w:rPr>
          <w:rFonts w:eastAsia="SimSun"/>
          <w:lang w:val="de-DE" w:eastAsia="zh-CN"/>
        </w:rPr>
        <w:t>Homogenität</w:t>
      </w:r>
      <w:r w:rsidRPr="005D3057">
        <w:rPr>
          <w:rFonts w:eastAsia="SimSun"/>
          <w:lang w:val="de-DE" w:eastAsia="zh-CN"/>
        </w:rPr>
        <w:t xml:space="preserve"> in </w:t>
      </w:r>
      <w:r w:rsidR="004F2BC8" w:rsidRPr="005D3057">
        <w:rPr>
          <w:rFonts w:eastAsia="SimSun"/>
          <w:lang w:val="de-DE" w:eastAsia="zh-CN"/>
        </w:rPr>
        <w:t>einer</w:t>
      </w:r>
      <w:r w:rsidRPr="005D3057">
        <w:rPr>
          <w:rFonts w:eastAsia="SimSun"/>
          <w:lang w:val="de-DE" w:eastAsia="zh-CN"/>
        </w:rPr>
        <w:t xml:space="preserve"> </w:t>
      </w:r>
      <w:r w:rsidR="009D09C4" w:rsidRPr="005D3057">
        <w:rPr>
          <w:rFonts w:eastAsia="SimSun"/>
          <w:lang w:val="de-DE" w:eastAsia="zh-CN"/>
        </w:rPr>
        <w:t>einzigen</w:t>
      </w:r>
      <w:r w:rsidRPr="005D3057">
        <w:rPr>
          <w:rFonts w:eastAsia="SimSun"/>
          <w:lang w:val="de-DE" w:eastAsia="zh-CN"/>
        </w:rPr>
        <w:t xml:space="preserve"> </w:t>
      </w:r>
      <w:r w:rsidR="003F220F" w:rsidRPr="005D3057">
        <w:rPr>
          <w:rFonts w:eastAsia="SimSun"/>
          <w:lang w:val="de-DE" w:eastAsia="zh-CN"/>
        </w:rPr>
        <w:t>Wachstumsperiode</w:t>
      </w:r>
      <w:r w:rsidR="004F2BC8" w:rsidRPr="005D3057">
        <w:rPr>
          <w:rFonts w:eastAsia="SimSun"/>
          <w:lang w:val="de-DE" w:eastAsia="zh-CN"/>
        </w:rPr>
        <w:t xml:space="preserve"> bestimmt</w:t>
      </w:r>
      <w:r w:rsidR="0099326B" w:rsidRPr="005D3057">
        <w:rPr>
          <w:rFonts w:eastAsia="SimSun"/>
          <w:lang w:val="de-DE" w:eastAsia="zh-CN"/>
        </w:rPr>
        <w:t xml:space="preserve"> wird</w:t>
      </w:r>
      <w:r w:rsidRPr="005D3057">
        <w:rPr>
          <w:rFonts w:eastAsia="SimSun"/>
          <w:lang w:val="de-DE" w:eastAsia="zh-CN"/>
        </w:rPr>
        <w:t>.</w:t>
      </w:r>
      <w:r w:rsidR="007B0CA4" w:rsidRPr="005D3057">
        <w:rPr>
          <w:rFonts w:eastAsia="SimSun"/>
          <w:lang w:val="de-DE" w:eastAsia="zh-CN"/>
        </w:rPr>
        <w:t xml:space="preserve"> </w:t>
      </w:r>
      <w:r w:rsidRPr="005D3057">
        <w:rPr>
          <w:rFonts w:eastAsia="SimSun"/>
          <w:lang w:val="de-DE" w:eastAsia="zh-CN"/>
        </w:rPr>
        <w:t>In</w:t>
      </w:r>
      <w:r w:rsidR="001347E1" w:rsidRPr="005D3057">
        <w:rPr>
          <w:rFonts w:eastAsia="SimSun"/>
          <w:lang w:val="de-DE" w:eastAsia="zh-CN"/>
        </w:rPr>
        <w:t> </w:t>
      </w:r>
      <w:r w:rsidR="004F2BC8" w:rsidRPr="005D3057">
        <w:rPr>
          <w:rFonts w:eastAsia="SimSun"/>
          <w:lang w:val="de-DE" w:eastAsia="zh-CN"/>
        </w:rPr>
        <w:t xml:space="preserve">manchen </w:t>
      </w:r>
      <w:r w:rsidR="00774268" w:rsidRPr="005D3057">
        <w:rPr>
          <w:rFonts w:eastAsia="SimSun"/>
          <w:lang w:val="de-DE" w:eastAsia="zh-CN"/>
        </w:rPr>
        <w:t>Fälle</w:t>
      </w:r>
      <w:r w:rsidR="004F2BC8" w:rsidRPr="005D3057">
        <w:rPr>
          <w:rFonts w:eastAsia="SimSun"/>
          <w:lang w:val="de-DE" w:eastAsia="zh-CN"/>
        </w:rPr>
        <w:t>n ist eine zweite</w:t>
      </w:r>
      <w:r w:rsidRPr="005D3057">
        <w:rPr>
          <w:rFonts w:eastAsia="SimSun"/>
          <w:lang w:val="de-DE" w:eastAsia="zh-CN"/>
        </w:rPr>
        <w:t xml:space="preserve"> </w:t>
      </w:r>
      <w:r w:rsidR="003F220F" w:rsidRPr="005D3057">
        <w:rPr>
          <w:rFonts w:eastAsia="SimSun"/>
          <w:lang w:val="de-DE" w:eastAsia="zh-CN"/>
        </w:rPr>
        <w:t>Wachstumsperiode</w:t>
      </w:r>
      <w:r w:rsidRPr="005D3057">
        <w:rPr>
          <w:rFonts w:eastAsia="SimSun"/>
          <w:lang w:val="de-DE" w:eastAsia="zh-CN"/>
        </w:rPr>
        <w:t xml:space="preserve"> </w:t>
      </w:r>
      <w:r w:rsidR="0099326B" w:rsidRPr="005D3057">
        <w:rPr>
          <w:rFonts w:eastAsia="SimSun"/>
          <w:lang w:val="de-DE" w:eastAsia="zh-CN"/>
        </w:rPr>
        <w:t>erforde</w:t>
      </w:r>
      <w:r w:rsidR="00E01D0F" w:rsidRPr="005D3057">
        <w:rPr>
          <w:rFonts w:eastAsia="SimSun"/>
          <w:lang w:val="de-DE" w:eastAsia="zh-CN"/>
        </w:rPr>
        <w:t>r</w:t>
      </w:r>
      <w:r w:rsidR="0099326B" w:rsidRPr="005D3057">
        <w:rPr>
          <w:rFonts w:eastAsia="SimSun"/>
          <w:lang w:val="de-DE" w:eastAsia="zh-CN"/>
        </w:rPr>
        <w:t>lich (z.B.</w:t>
      </w:r>
      <w:r w:rsidRPr="005D3057">
        <w:rPr>
          <w:rFonts w:eastAsia="SimSun"/>
          <w:lang w:val="de-DE" w:eastAsia="zh-CN"/>
        </w:rPr>
        <w:t xml:space="preserve"> </w:t>
      </w:r>
      <w:r w:rsidR="00B27489">
        <w:rPr>
          <w:rFonts w:eastAsia="SimSun"/>
          <w:lang w:val="de-DE" w:eastAsia="zh-CN"/>
        </w:rPr>
        <w:t>Mutationen für Apfelsorten</w:t>
      </w:r>
      <w:r w:rsidRPr="005D3057">
        <w:rPr>
          <w:rFonts w:eastAsia="SimSun"/>
          <w:lang w:val="de-DE" w:eastAsia="zh-CN"/>
        </w:rPr>
        <w:t xml:space="preserve">), </w:t>
      </w:r>
      <w:r w:rsidR="00B27489">
        <w:rPr>
          <w:rFonts w:eastAsia="SimSun"/>
          <w:lang w:val="de-DE" w:eastAsia="zh-CN"/>
        </w:rPr>
        <w:t>wobei jedoch</w:t>
      </w:r>
      <w:r w:rsidR="00E01D0F" w:rsidRPr="005D3057">
        <w:rPr>
          <w:rFonts w:eastAsia="SimSun"/>
          <w:lang w:val="de-DE" w:eastAsia="zh-CN"/>
        </w:rPr>
        <w:t xml:space="preserve"> </w:t>
      </w:r>
      <w:r w:rsidR="00774268" w:rsidRPr="005D3057">
        <w:rPr>
          <w:rFonts w:eastAsia="SimSun"/>
          <w:lang w:val="de-DE" w:eastAsia="zh-CN"/>
        </w:rPr>
        <w:t>Ergebnisse</w:t>
      </w:r>
      <w:r w:rsidRPr="005D3057">
        <w:rPr>
          <w:rFonts w:eastAsia="SimSun"/>
          <w:lang w:val="de-DE" w:eastAsia="zh-CN"/>
        </w:rPr>
        <w:t xml:space="preserve"> </w:t>
      </w:r>
      <w:r w:rsidR="00B27489">
        <w:rPr>
          <w:rFonts w:eastAsia="SimSun"/>
          <w:lang w:val="de-DE" w:eastAsia="zh-CN"/>
        </w:rPr>
        <w:t>aus</w:t>
      </w:r>
      <w:r w:rsidR="004F2BC8" w:rsidRPr="005D3057">
        <w:rPr>
          <w:rFonts w:eastAsia="SimSun"/>
          <w:lang w:val="de-DE" w:eastAsia="zh-CN"/>
        </w:rPr>
        <w:t xml:space="preserve"> </w:t>
      </w:r>
      <w:r w:rsidR="00912B98" w:rsidRPr="005D3057">
        <w:rPr>
          <w:rFonts w:eastAsia="SimSun"/>
          <w:lang w:val="de-DE" w:eastAsia="zh-CN"/>
        </w:rPr>
        <w:t xml:space="preserve">den </w:t>
      </w:r>
      <w:r w:rsidR="004F2BC8" w:rsidRPr="005D3057">
        <w:rPr>
          <w:rFonts w:eastAsia="SimSun"/>
          <w:lang w:val="de-DE" w:eastAsia="zh-CN"/>
        </w:rPr>
        <w:t>beiden</w:t>
      </w:r>
      <w:r w:rsidRPr="005D3057">
        <w:rPr>
          <w:rFonts w:eastAsia="SimSun"/>
          <w:lang w:val="de-DE" w:eastAsia="zh-CN"/>
        </w:rPr>
        <w:t xml:space="preserve"> </w:t>
      </w:r>
      <w:r w:rsidR="00774268" w:rsidRPr="005D3057">
        <w:rPr>
          <w:rFonts w:eastAsia="SimSun"/>
          <w:lang w:val="de-DE" w:eastAsia="zh-CN"/>
        </w:rPr>
        <w:t>Wachstumsperioden</w:t>
      </w:r>
      <w:r w:rsidRPr="005D3057">
        <w:rPr>
          <w:rFonts w:eastAsia="SimSun"/>
          <w:lang w:val="de-DE" w:eastAsia="zh-CN"/>
        </w:rPr>
        <w:t xml:space="preserve"> </w:t>
      </w:r>
      <w:r w:rsidR="004F2BC8" w:rsidRPr="005D3057">
        <w:rPr>
          <w:rFonts w:eastAsia="SimSun"/>
          <w:lang w:val="de-DE" w:eastAsia="zh-CN"/>
        </w:rPr>
        <w:t>unabhängig behandelt</w:t>
      </w:r>
      <w:r w:rsidR="00FD594C" w:rsidRPr="005D3057">
        <w:rPr>
          <w:rFonts w:eastAsia="SimSun"/>
          <w:lang w:val="de-DE" w:eastAsia="zh-CN"/>
        </w:rPr>
        <w:t xml:space="preserve"> und </w:t>
      </w:r>
      <w:r w:rsidR="004F2BC8" w:rsidRPr="005D3057">
        <w:rPr>
          <w:rFonts w:eastAsia="SimSun"/>
          <w:lang w:val="de-DE" w:eastAsia="zh-CN"/>
        </w:rPr>
        <w:t>nie kombiniert</w:t>
      </w:r>
      <w:r w:rsidR="00B27489">
        <w:rPr>
          <w:rFonts w:eastAsia="SimSun"/>
          <w:lang w:val="de-DE" w:eastAsia="zh-CN"/>
        </w:rPr>
        <w:t xml:space="preserve"> werden</w:t>
      </w:r>
      <w:r w:rsidRPr="005D3057">
        <w:rPr>
          <w:rFonts w:eastAsia="SimSun"/>
          <w:lang w:val="de-DE" w:eastAsia="zh-CN"/>
        </w:rPr>
        <w:t>.</w:t>
      </w:r>
    </w:p>
    <w:p w14:paraId="049115C2" w14:textId="77777777" w:rsidR="00BF40D9" w:rsidRPr="005D3057" w:rsidRDefault="00BF40D9" w:rsidP="00BF40D9">
      <w:pPr>
        <w:rPr>
          <w:rFonts w:eastAsia="SimSun"/>
          <w:lang w:val="de-DE" w:eastAsia="zh-CN"/>
        </w:rPr>
      </w:pPr>
    </w:p>
    <w:p w14:paraId="4CFC66A7" w14:textId="400C85AD" w:rsidR="00BF40D9" w:rsidRPr="005D3057" w:rsidRDefault="00BF40D9" w:rsidP="00BF40D9">
      <w:pPr>
        <w:rPr>
          <w:rFonts w:eastAsia="SimSun"/>
          <w:lang w:val="de-DE" w:eastAsia="zh-CN"/>
        </w:rPr>
      </w:pPr>
      <w:r w:rsidRPr="005D3057">
        <w:rPr>
          <w:rFonts w:eastAsia="SimSun"/>
          <w:lang w:eastAsia="zh-CN"/>
        </w:rPr>
        <w:fldChar w:fldCharType="begin"/>
      </w:r>
      <w:r w:rsidRPr="005D3057">
        <w:rPr>
          <w:rFonts w:eastAsia="SimSun"/>
          <w:lang w:val="de-DE" w:eastAsia="zh-CN"/>
        </w:rPr>
        <w:instrText xml:space="preserve"> AUTONUM  </w:instrText>
      </w:r>
      <w:r w:rsidRPr="005D3057">
        <w:rPr>
          <w:rFonts w:eastAsia="SimSun"/>
          <w:lang w:eastAsia="zh-CN"/>
        </w:rPr>
        <w:fldChar w:fldCharType="end"/>
      </w:r>
      <w:r w:rsidRPr="005D3057">
        <w:rPr>
          <w:rFonts w:eastAsia="SimSun"/>
          <w:lang w:val="de-DE" w:eastAsia="zh-CN"/>
        </w:rPr>
        <w:tab/>
      </w:r>
      <w:r w:rsidR="00856BDE" w:rsidRPr="005D3057">
        <w:rPr>
          <w:rFonts w:eastAsia="SimSun"/>
          <w:lang w:val="de-DE" w:eastAsia="zh-CN"/>
        </w:rPr>
        <w:t xml:space="preserve">Die </w:t>
      </w:r>
      <w:r w:rsidRPr="005D3057">
        <w:rPr>
          <w:rFonts w:eastAsia="SimSun"/>
          <w:lang w:val="de-DE" w:eastAsia="zh-CN"/>
        </w:rPr>
        <w:t xml:space="preserve">TWF </w:t>
      </w:r>
      <w:r w:rsidR="007B0CA4" w:rsidRPr="005D3057">
        <w:rPr>
          <w:rFonts w:eastAsia="SimSun"/>
          <w:lang w:val="de-DE" w:eastAsia="zh-CN"/>
        </w:rPr>
        <w:t xml:space="preserve">stimmte der </w:t>
      </w:r>
      <w:r w:rsidRPr="005D3057">
        <w:rPr>
          <w:rFonts w:eastAsia="SimSun"/>
          <w:lang w:val="de-DE" w:eastAsia="zh-CN"/>
        </w:rPr>
        <w:t>TWO</w:t>
      </w:r>
      <w:r w:rsidR="00002F9E" w:rsidRPr="005D3057">
        <w:rPr>
          <w:rFonts w:eastAsia="SimSun"/>
          <w:lang w:val="de-DE" w:eastAsia="zh-CN"/>
        </w:rPr>
        <w:t xml:space="preserve"> zu</w:t>
      </w:r>
      <w:r w:rsidR="009D09C4" w:rsidRPr="005D3057">
        <w:rPr>
          <w:rFonts w:eastAsia="SimSun"/>
          <w:lang w:val="de-DE" w:eastAsia="zh-CN"/>
        </w:rPr>
        <w:t xml:space="preserve">, daß der </w:t>
      </w:r>
      <w:r w:rsidR="00D17071" w:rsidRPr="005D3057">
        <w:rPr>
          <w:rFonts w:eastAsia="SimSun"/>
          <w:lang w:val="de-DE" w:eastAsia="zh-CN"/>
        </w:rPr>
        <w:t>Begriff</w:t>
      </w:r>
      <w:r w:rsidRPr="005D3057">
        <w:rPr>
          <w:rFonts w:eastAsia="SimSun"/>
          <w:lang w:val="de-DE" w:eastAsia="zh-CN"/>
        </w:rPr>
        <w:t xml:space="preserve"> </w:t>
      </w:r>
      <w:r w:rsidR="001E6A84" w:rsidRPr="005D3057">
        <w:rPr>
          <w:rFonts w:eastAsia="SimSun"/>
          <w:lang w:val="de-DE" w:eastAsia="zh-CN"/>
        </w:rPr>
        <w:t>„</w:t>
      </w:r>
      <w:r w:rsidR="00D17071" w:rsidRPr="005D3057">
        <w:rPr>
          <w:rFonts w:eastAsia="SimSun"/>
          <w:lang w:val="de-DE" w:eastAsia="zh-CN"/>
        </w:rPr>
        <w:t>deutlich</w:t>
      </w:r>
      <w:r w:rsidR="001E6A84" w:rsidRPr="005D3057">
        <w:rPr>
          <w:rFonts w:eastAsia="SimSun"/>
          <w:lang w:val="de-DE" w:eastAsia="zh-CN"/>
        </w:rPr>
        <w:t>“</w:t>
      </w:r>
      <w:r w:rsidRPr="005D3057">
        <w:rPr>
          <w:rFonts w:eastAsia="SimSun"/>
          <w:lang w:val="de-DE" w:eastAsia="zh-CN"/>
        </w:rPr>
        <w:t xml:space="preserve"> in </w:t>
      </w:r>
      <w:r w:rsidR="00002F9E" w:rsidRPr="005D3057">
        <w:rPr>
          <w:rFonts w:eastAsia="SimSun"/>
          <w:lang w:val="de-DE" w:eastAsia="zh-CN"/>
        </w:rPr>
        <w:t>d</w:t>
      </w:r>
      <w:r w:rsidR="004F2BC8" w:rsidRPr="005D3057">
        <w:rPr>
          <w:rFonts w:eastAsia="SimSun"/>
          <w:lang w:val="de-DE" w:eastAsia="zh-CN"/>
        </w:rPr>
        <w:t>em Satz</w:t>
      </w:r>
      <w:r w:rsidRPr="005D3057">
        <w:rPr>
          <w:rFonts w:eastAsia="SimSun"/>
          <w:lang w:val="de-DE" w:eastAsia="zh-CN"/>
        </w:rPr>
        <w:t xml:space="preserve">: </w:t>
      </w:r>
      <w:r w:rsidR="001E6A84" w:rsidRPr="005D3057">
        <w:rPr>
          <w:rFonts w:eastAsia="SimSun"/>
          <w:lang w:val="de-DE" w:eastAsia="zh-CN"/>
        </w:rPr>
        <w:t>„</w:t>
      </w:r>
      <w:r w:rsidR="0065517B" w:rsidRPr="005D3057">
        <w:rPr>
          <w:rFonts w:eastAsia="SimSun"/>
          <w:lang w:val="de-DE" w:eastAsia="zh-CN"/>
        </w:rPr>
        <w:t>Außerdem kann eine Sorte nach einer einzigen Wachstumsperiode aufgrund deutlich fehlender Homogenität zurückgewiesen werden</w:t>
      </w:r>
      <w:r w:rsidR="001E6A84" w:rsidRPr="005D3057">
        <w:rPr>
          <w:rFonts w:eastAsia="SimSun"/>
          <w:lang w:val="de-DE" w:eastAsia="zh-CN"/>
        </w:rPr>
        <w:t>“</w:t>
      </w:r>
      <w:r w:rsidR="00D80102" w:rsidRPr="005D3057">
        <w:rPr>
          <w:rFonts w:eastAsia="SimSun"/>
          <w:lang w:val="de-DE" w:eastAsia="zh-CN"/>
        </w:rPr>
        <w:t xml:space="preserve"> klargestellt werden sollte</w:t>
      </w:r>
      <w:r w:rsidRPr="005D3057">
        <w:rPr>
          <w:rFonts w:eastAsia="SimSun"/>
          <w:lang w:val="de-DE" w:eastAsia="zh-CN"/>
        </w:rPr>
        <w:t>.</w:t>
      </w:r>
      <w:r w:rsidR="007B0CA4" w:rsidRPr="005D3057">
        <w:rPr>
          <w:rFonts w:eastAsia="SimSun"/>
          <w:lang w:val="de-DE" w:eastAsia="zh-CN"/>
        </w:rPr>
        <w:t xml:space="preserve"> </w:t>
      </w:r>
      <w:r w:rsidR="009D09C4" w:rsidRPr="005D3057">
        <w:rPr>
          <w:rFonts w:eastAsia="SimSun"/>
          <w:lang w:val="de-DE" w:eastAsia="zh-CN"/>
        </w:rPr>
        <w:t>Sie</w:t>
      </w:r>
      <w:r w:rsidRPr="005D3057">
        <w:rPr>
          <w:rFonts w:eastAsia="SimSun"/>
          <w:lang w:val="de-DE" w:eastAsia="zh-CN"/>
        </w:rPr>
        <w:t xml:space="preserve"> </w:t>
      </w:r>
      <w:r w:rsidR="00EE28B0" w:rsidRPr="005D3057">
        <w:rPr>
          <w:rFonts w:eastAsia="SimSun"/>
          <w:lang w:val="de-DE" w:eastAsia="zh-CN"/>
        </w:rPr>
        <w:t>vereinbarte</w:t>
      </w:r>
      <w:r w:rsidR="004F2BC8" w:rsidRPr="005D3057">
        <w:rPr>
          <w:rFonts w:eastAsia="SimSun"/>
          <w:lang w:val="de-DE" w:eastAsia="zh-CN"/>
        </w:rPr>
        <w:t xml:space="preserve"> vorzuschlagen</w:t>
      </w:r>
      <w:r w:rsidR="009D09C4" w:rsidRPr="005D3057">
        <w:rPr>
          <w:rFonts w:eastAsia="SimSun"/>
          <w:lang w:val="de-DE" w:eastAsia="zh-CN"/>
        </w:rPr>
        <w:t>,</w:t>
      </w:r>
      <w:r w:rsidRPr="005D3057">
        <w:rPr>
          <w:rFonts w:eastAsia="SimSun"/>
          <w:lang w:val="de-DE" w:eastAsia="zh-CN"/>
        </w:rPr>
        <w:t xml:space="preserve"> </w:t>
      </w:r>
      <w:r w:rsidR="00002F9E" w:rsidRPr="005D3057">
        <w:rPr>
          <w:rFonts w:eastAsia="SimSun"/>
          <w:lang w:val="de-DE" w:eastAsia="zh-CN"/>
        </w:rPr>
        <w:t>daß</w:t>
      </w:r>
      <w:r w:rsidR="004F2BC8" w:rsidRPr="005D3057">
        <w:rPr>
          <w:rFonts w:eastAsia="SimSun"/>
          <w:lang w:val="de-DE" w:eastAsia="zh-CN"/>
        </w:rPr>
        <w:t xml:space="preserve"> der Satz</w:t>
      </w:r>
      <w:r w:rsidRPr="005D3057">
        <w:rPr>
          <w:rFonts w:eastAsia="SimSun"/>
          <w:lang w:val="de-DE" w:eastAsia="zh-CN"/>
        </w:rPr>
        <w:t xml:space="preserve"> in </w:t>
      </w:r>
      <w:r w:rsidR="00837D1F" w:rsidRPr="005D3057">
        <w:rPr>
          <w:rFonts w:eastAsia="SimSun"/>
          <w:lang w:val="de-DE" w:eastAsia="zh-CN"/>
        </w:rPr>
        <w:t>Ansätzen</w:t>
      </w:r>
      <w:r w:rsidRPr="005D3057">
        <w:rPr>
          <w:rFonts w:eastAsia="SimSun"/>
          <w:lang w:val="de-DE" w:eastAsia="zh-CN"/>
        </w:rPr>
        <w:t xml:space="preserve"> 1</w:t>
      </w:r>
      <w:r w:rsidR="00FD594C" w:rsidRPr="005D3057">
        <w:rPr>
          <w:rFonts w:eastAsia="SimSun"/>
          <w:lang w:val="de-DE" w:eastAsia="zh-CN"/>
        </w:rPr>
        <w:t xml:space="preserve"> und </w:t>
      </w:r>
      <w:r w:rsidRPr="005D3057">
        <w:rPr>
          <w:rFonts w:eastAsia="SimSun"/>
          <w:lang w:val="de-DE" w:eastAsia="zh-CN"/>
        </w:rPr>
        <w:t xml:space="preserve">2 </w:t>
      </w:r>
      <w:r w:rsidR="00D17071" w:rsidRPr="005D3057">
        <w:rPr>
          <w:rFonts w:eastAsia="SimSun"/>
          <w:lang w:val="de-DE" w:eastAsia="zh-CN"/>
        </w:rPr>
        <w:t>folgendermaßen lauten solle</w:t>
      </w:r>
      <w:r w:rsidRPr="005D3057">
        <w:rPr>
          <w:rFonts w:eastAsia="SimSun"/>
          <w:lang w:val="de-DE" w:eastAsia="zh-CN"/>
        </w:rPr>
        <w:t xml:space="preserve">: </w:t>
      </w:r>
    </w:p>
    <w:p w14:paraId="09FAF0D5" w14:textId="77777777" w:rsidR="00BF40D9" w:rsidRPr="005D3057" w:rsidRDefault="00BF40D9" w:rsidP="00BF40D9">
      <w:pPr>
        <w:rPr>
          <w:rFonts w:eastAsia="SimSun"/>
          <w:lang w:val="de-DE" w:eastAsia="zh-CN"/>
        </w:rPr>
      </w:pPr>
    </w:p>
    <w:p w14:paraId="7AF5DEE3" w14:textId="0DF91523" w:rsidR="009D09C4" w:rsidRPr="005D3057" w:rsidRDefault="009D09C4" w:rsidP="009D09C4">
      <w:pPr>
        <w:ind w:left="567" w:right="567"/>
        <w:rPr>
          <w:rFonts w:eastAsia="SimSun"/>
          <w:sz w:val="18"/>
          <w:szCs w:val="24"/>
          <w:lang w:val="de-DE" w:eastAsia="zh-CN"/>
        </w:rPr>
      </w:pPr>
      <w:r w:rsidRPr="005D3057">
        <w:rPr>
          <w:rFonts w:eastAsia="SimSun"/>
          <w:sz w:val="18"/>
          <w:lang w:val="de-DE" w:eastAsia="zh-CN"/>
        </w:rPr>
        <w:t>„</w:t>
      </w:r>
      <w:r w:rsidRPr="005D3057">
        <w:rPr>
          <w:rFonts w:eastAsia="SimSun"/>
          <w:sz w:val="18"/>
          <w:szCs w:val="24"/>
          <w:lang w:val="de-DE" w:eastAsia="zh-CN"/>
        </w:rPr>
        <w:t>Außerdem kann, wenn</w:t>
      </w:r>
      <w:r w:rsidR="004F2BC8" w:rsidRPr="005D3057">
        <w:rPr>
          <w:rFonts w:eastAsia="SimSun"/>
          <w:sz w:val="18"/>
          <w:szCs w:val="24"/>
          <w:lang w:val="de-DE" w:eastAsia="zh-CN"/>
        </w:rPr>
        <w:t xml:space="preserve"> die</w:t>
      </w:r>
      <w:r w:rsidRPr="005D3057">
        <w:rPr>
          <w:rFonts w:eastAsia="SimSun"/>
          <w:sz w:val="18"/>
          <w:szCs w:val="24"/>
          <w:lang w:val="de-DE" w:eastAsia="zh-CN"/>
        </w:rPr>
        <w:t xml:space="preserve"> Anzahl der erlaubten Abweicher einer Sorte in der ersten Wachstumsperiode </w:t>
      </w:r>
      <w:r w:rsidR="004F2BC8" w:rsidRPr="005D3057">
        <w:rPr>
          <w:rFonts w:eastAsia="SimSun"/>
          <w:sz w:val="18"/>
          <w:szCs w:val="24"/>
          <w:lang w:val="de-DE" w:eastAsia="zh-CN"/>
        </w:rPr>
        <w:t xml:space="preserve">die </w:t>
      </w:r>
      <w:r w:rsidRPr="005D3057">
        <w:rPr>
          <w:rFonts w:eastAsia="SimSun"/>
          <w:sz w:val="18"/>
          <w:szCs w:val="24"/>
          <w:lang w:val="de-DE" w:eastAsia="zh-CN"/>
        </w:rPr>
        <w:t xml:space="preserve">Anzahl der </w:t>
      </w:r>
      <w:r w:rsidR="00FE655F">
        <w:rPr>
          <w:rFonts w:eastAsia="SimSun"/>
          <w:sz w:val="18"/>
          <w:szCs w:val="24"/>
          <w:lang w:val="de-DE" w:eastAsia="zh-CN"/>
        </w:rPr>
        <w:t>erlaubten Abwei</w:t>
      </w:r>
      <w:r w:rsidR="00623714">
        <w:rPr>
          <w:rFonts w:eastAsia="SimSun"/>
          <w:sz w:val="18"/>
          <w:szCs w:val="24"/>
          <w:lang w:val="de-DE" w:eastAsia="zh-CN"/>
        </w:rPr>
        <w:t xml:space="preserve">cher in zwei Wachstumsperioden </w:t>
      </w:r>
      <w:r w:rsidRPr="005D3057">
        <w:rPr>
          <w:rFonts w:eastAsia="SimSun"/>
          <w:sz w:val="18"/>
          <w:szCs w:val="24"/>
          <w:lang w:val="de-DE" w:eastAsia="zh-CN"/>
        </w:rPr>
        <w:t>übersteigt, die Sorte nach einer Wachstumsperiode zurückgewiesen werden.“</w:t>
      </w:r>
    </w:p>
    <w:p w14:paraId="45749D8E" w14:textId="77777777" w:rsidR="009D09C4" w:rsidRPr="005D3057" w:rsidRDefault="009D09C4" w:rsidP="00BF40D9">
      <w:pPr>
        <w:rPr>
          <w:rFonts w:eastAsia="SimSun"/>
          <w:lang w:val="de-DE" w:eastAsia="zh-CN"/>
        </w:rPr>
      </w:pPr>
    </w:p>
    <w:p w14:paraId="25CD2A6D" w14:textId="77777777" w:rsidR="009D09C4" w:rsidRPr="005D3057" w:rsidRDefault="009D09C4" w:rsidP="00BF40D9">
      <w:pPr>
        <w:rPr>
          <w:rFonts w:eastAsia="SimSun"/>
          <w:lang w:val="de-DE" w:eastAsia="zh-CN"/>
        </w:rPr>
      </w:pPr>
    </w:p>
    <w:p w14:paraId="4AE16945" w14:textId="77777777" w:rsidR="004418BE" w:rsidRPr="005D3057" w:rsidRDefault="004418BE" w:rsidP="004418BE">
      <w:pPr>
        <w:ind w:firstLine="567"/>
        <w:rPr>
          <w:lang w:val="de-DE"/>
        </w:rPr>
      </w:pPr>
    </w:p>
    <w:p w14:paraId="44905575" w14:textId="77777777" w:rsidR="00373E94" w:rsidRPr="005D3057" w:rsidRDefault="0065517B" w:rsidP="00373E94">
      <w:pPr>
        <w:pStyle w:val="Heading1"/>
        <w:rPr>
          <w:lang w:val="de-DE"/>
        </w:rPr>
      </w:pPr>
      <w:bookmarkStart w:id="17" w:name="_Toc475460261"/>
      <w:r w:rsidRPr="005D3057">
        <w:rPr>
          <w:lang w:val="de-DE"/>
        </w:rPr>
        <w:lastRenderedPageBreak/>
        <w:t>Zusammenfassung der Ansätze</w:t>
      </w:r>
      <w:bookmarkEnd w:id="7"/>
      <w:bookmarkEnd w:id="17"/>
    </w:p>
    <w:p w14:paraId="702B37BA" w14:textId="77777777" w:rsidR="00373E94" w:rsidRPr="005D3057" w:rsidRDefault="00373E94" w:rsidP="00373E94">
      <w:pPr>
        <w:keepNext/>
        <w:rPr>
          <w:rFonts w:cs="Arial"/>
          <w:caps/>
          <w:snapToGrid w:val="0"/>
          <w:lang w:val="de-DE"/>
        </w:rPr>
      </w:pPr>
    </w:p>
    <w:p w14:paraId="4505CCB0" w14:textId="7E305AE3" w:rsidR="005568D1" w:rsidRPr="005D3057" w:rsidRDefault="005568D1" w:rsidP="005568D1">
      <w:pPr>
        <w:rPr>
          <w:szCs w:val="24"/>
          <w:lang w:val="de-DE"/>
        </w:rPr>
      </w:pPr>
      <w:r w:rsidRPr="005D3057">
        <w:fldChar w:fldCharType="begin"/>
      </w:r>
      <w:r w:rsidRPr="005D3057">
        <w:rPr>
          <w:lang w:val="de-DE"/>
        </w:rPr>
        <w:instrText xml:space="preserve"> AUTONUM  </w:instrText>
      </w:r>
      <w:r w:rsidRPr="005D3057">
        <w:fldChar w:fldCharType="end"/>
      </w:r>
      <w:r w:rsidRPr="005D3057">
        <w:rPr>
          <w:lang w:val="de-DE"/>
        </w:rPr>
        <w:tab/>
      </w:r>
      <w:r w:rsidR="0065517B" w:rsidRPr="005D3057">
        <w:rPr>
          <w:szCs w:val="24"/>
          <w:lang w:val="de-DE"/>
        </w:rPr>
        <w:t>Anlagen I und II dieses Dokuments fassen verschiedene Situationen, in denen unterschiedliche Proben für die Gesamtprüfung der Homogenität einer Sorte gemäß den Entschließungen des TC auf seiner</w:t>
      </w:r>
      <w:r w:rsidRPr="005D3057">
        <w:rPr>
          <w:szCs w:val="24"/>
          <w:lang w:val="de-DE"/>
        </w:rPr>
        <w:t xml:space="preserve"> </w:t>
      </w:r>
      <w:r w:rsidR="004F2BC8" w:rsidRPr="005D3057">
        <w:rPr>
          <w:szCs w:val="24"/>
          <w:lang w:val="de-DE"/>
        </w:rPr>
        <w:t>zweiundfünfzigsten</w:t>
      </w:r>
      <w:r w:rsidRPr="005D3057">
        <w:rPr>
          <w:szCs w:val="24"/>
          <w:lang w:val="de-DE"/>
        </w:rPr>
        <w:t xml:space="preserve"> </w:t>
      </w:r>
      <w:r w:rsidR="008F3E77" w:rsidRPr="005D3057">
        <w:rPr>
          <w:szCs w:val="24"/>
          <w:lang w:val="de-DE"/>
        </w:rPr>
        <w:t>Tagung</w:t>
      </w:r>
      <w:r w:rsidRPr="005D3057">
        <w:rPr>
          <w:szCs w:val="24"/>
          <w:lang w:val="de-DE"/>
        </w:rPr>
        <w:t xml:space="preserve"> </w:t>
      </w:r>
      <w:r w:rsidR="00D94C83" w:rsidRPr="005D3057">
        <w:rPr>
          <w:szCs w:val="24"/>
          <w:lang w:val="de-DE"/>
        </w:rPr>
        <w:t>aufgrund</w:t>
      </w:r>
      <w:r w:rsidR="0065517B" w:rsidRPr="005D3057">
        <w:rPr>
          <w:szCs w:val="24"/>
          <w:lang w:val="de-DE"/>
        </w:rPr>
        <w:t xml:space="preserve"> der Vorschläge von den TWP auf ihren Tagungen</w:t>
      </w:r>
      <w:r w:rsidR="002008DC" w:rsidRPr="005D3057">
        <w:rPr>
          <w:szCs w:val="24"/>
          <w:lang w:val="de-DE"/>
        </w:rPr>
        <w:t xml:space="preserve"> im Ja</w:t>
      </w:r>
      <w:r w:rsidR="00D80102" w:rsidRPr="005D3057">
        <w:rPr>
          <w:szCs w:val="24"/>
          <w:lang w:val="de-DE"/>
        </w:rPr>
        <w:t>hr</w:t>
      </w:r>
      <w:r w:rsidRPr="005D3057">
        <w:rPr>
          <w:szCs w:val="24"/>
          <w:lang w:val="de-DE"/>
        </w:rPr>
        <w:t xml:space="preserve"> 2016</w:t>
      </w:r>
      <w:r w:rsidR="0065517B" w:rsidRPr="005D3057">
        <w:rPr>
          <w:szCs w:val="24"/>
          <w:lang w:val="de-DE"/>
        </w:rPr>
        <w:t xml:space="preserve"> kombiniert werden</w:t>
      </w:r>
      <w:r w:rsidRPr="005D3057">
        <w:rPr>
          <w:szCs w:val="24"/>
          <w:lang w:val="de-DE"/>
        </w:rPr>
        <w:t xml:space="preserve">, </w:t>
      </w:r>
      <w:r w:rsidR="009D09C4" w:rsidRPr="005D3057">
        <w:rPr>
          <w:szCs w:val="24"/>
          <w:lang w:val="de-DE"/>
        </w:rPr>
        <w:t>folgendermaßen</w:t>
      </w:r>
      <w:r w:rsidR="004F2BC8" w:rsidRPr="005D3057">
        <w:rPr>
          <w:szCs w:val="24"/>
          <w:lang w:val="de-DE"/>
        </w:rPr>
        <w:t xml:space="preserve"> zusammen</w:t>
      </w:r>
      <w:r w:rsidRPr="005D3057">
        <w:rPr>
          <w:szCs w:val="24"/>
          <w:lang w:val="de-DE"/>
        </w:rPr>
        <w:t>:</w:t>
      </w:r>
    </w:p>
    <w:p w14:paraId="0A8A47FE" w14:textId="77777777" w:rsidR="005568D1" w:rsidRPr="005D3057" w:rsidRDefault="005568D1" w:rsidP="005568D1">
      <w:pPr>
        <w:jc w:val="left"/>
        <w:rPr>
          <w:szCs w:val="24"/>
          <w:lang w:val="de-DE"/>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5568D1" w:rsidRPr="00A55926" w14:paraId="49CC4C76" w14:textId="77777777" w:rsidTr="009F5B00">
        <w:trPr>
          <w:cantSplit/>
          <w:trHeight w:val="1414"/>
          <w:jc w:val="center"/>
        </w:trPr>
        <w:tc>
          <w:tcPr>
            <w:tcW w:w="6664" w:type="dxa"/>
            <w:shd w:val="clear" w:color="auto" w:fill="E6E6E6"/>
          </w:tcPr>
          <w:p w14:paraId="75F89CC2" w14:textId="77777777" w:rsidR="005568D1" w:rsidRPr="005D3057" w:rsidRDefault="0065517B" w:rsidP="005568D1">
            <w:pPr>
              <w:jc w:val="center"/>
              <w:rPr>
                <w:rFonts w:cs="Arial"/>
                <w:sz w:val="18"/>
                <w:szCs w:val="22"/>
                <w:u w:val="single"/>
                <w:lang w:val="de-DE"/>
              </w:rPr>
            </w:pPr>
            <w:r w:rsidRPr="005D3057">
              <w:rPr>
                <w:rFonts w:cs="Arial"/>
                <w:sz w:val="18"/>
                <w:szCs w:val="22"/>
                <w:u w:val="single"/>
                <w:lang w:val="de-DE"/>
              </w:rPr>
              <w:t>Anmerkung für Überarbeitungen der Anlage I</w:t>
            </w:r>
          </w:p>
          <w:p w14:paraId="5DA2B53D" w14:textId="77777777" w:rsidR="005568D1" w:rsidRPr="005D3057" w:rsidRDefault="005568D1" w:rsidP="005568D1">
            <w:pPr>
              <w:rPr>
                <w:rFonts w:cs="Arial"/>
                <w:sz w:val="18"/>
                <w:szCs w:val="22"/>
                <w:u w:val="single"/>
                <w:lang w:val="de-DE"/>
              </w:rPr>
            </w:pPr>
          </w:p>
          <w:p w14:paraId="460FBB41" w14:textId="77777777" w:rsidR="005568D1" w:rsidRPr="005D3057" w:rsidRDefault="00A438B8" w:rsidP="005568D1">
            <w:pPr>
              <w:rPr>
                <w:rFonts w:cs="Arial"/>
                <w:sz w:val="18"/>
                <w:szCs w:val="22"/>
                <w:lang w:val="de-DE"/>
              </w:rPr>
            </w:pPr>
            <w:r w:rsidRPr="005D3057">
              <w:rPr>
                <w:rFonts w:cs="Arial"/>
                <w:b/>
                <w:strike/>
                <w:sz w:val="18"/>
                <w:szCs w:val="22"/>
                <w:lang w:val="de-DE"/>
              </w:rPr>
              <w:t>Durchgestrichener</w:t>
            </w:r>
            <w:r w:rsidR="005568D1" w:rsidRPr="005D3057">
              <w:rPr>
                <w:rFonts w:cs="Arial"/>
                <w:b/>
                <w:sz w:val="18"/>
                <w:szCs w:val="22"/>
                <w:lang w:val="de-DE"/>
              </w:rPr>
              <w:t xml:space="preserve"> (</w:t>
            </w:r>
            <w:r w:rsidRPr="005D3057">
              <w:rPr>
                <w:rFonts w:cs="Arial"/>
                <w:b/>
                <w:sz w:val="18"/>
                <w:szCs w:val="22"/>
                <w:lang w:val="de-DE"/>
              </w:rPr>
              <w:t>hervorgehobener</w:t>
            </w:r>
            <w:r w:rsidR="005568D1" w:rsidRPr="005D3057">
              <w:rPr>
                <w:rFonts w:cs="Arial"/>
                <w:b/>
                <w:sz w:val="18"/>
                <w:szCs w:val="22"/>
                <w:lang w:val="de-DE"/>
              </w:rPr>
              <w:t>)</w:t>
            </w:r>
            <w:r w:rsidR="005568D1" w:rsidRPr="005D3057">
              <w:rPr>
                <w:rFonts w:cs="Arial"/>
                <w:sz w:val="18"/>
                <w:szCs w:val="22"/>
                <w:lang w:val="de-DE"/>
              </w:rPr>
              <w:t xml:space="preserve"> </w:t>
            </w:r>
            <w:r w:rsidRPr="005D3057">
              <w:rPr>
                <w:rFonts w:cs="Arial"/>
                <w:sz w:val="18"/>
                <w:szCs w:val="22"/>
                <w:lang w:val="de-DE"/>
              </w:rPr>
              <w:t>Wortlaut gibt die vorgeschlagene Streichung von Text gemäß den von den TWP auf ihren Tagungen im Jahr 2016 vorgeschlagenen Änderungen an</w:t>
            </w:r>
            <w:r w:rsidR="005568D1" w:rsidRPr="005D3057">
              <w:rPr>
                <w:rFonts w:cs="Arial"/>
                <w:sz w:val="18"/>
                <w:szCs w:val="22"/>
                <w:lang w:val="de-DE"/>
              </w:rPr>
              <w:t>.</w:t>
            </w:r>
          </w:p>
          <w:p w14:paraId="648F7B23" w14:textId="77777777" w:rsidR="005568D1" w:rsidRPr="005D3057" w:rsidRDefault="005568D1" w:rsidP="005568D1">
            <w:pPr>
              <w:rPr>
                <w:rFonts w:cs="Arial"/>
                <w:sz w:val="18"/>
                <w:szCs w:val="22"/>
                <w:lang w:val="de-DE"/>
              </w:rPr>
            </w:pPr>
          </w:p>
          <w:p w14:paraId="6F73D557" w14:textId="77777777" w:rsidR="005568D1" w:rsidRPr="005D3057" w:rsidRDefault="00A438B8" w:rsidP="009F5B00">
            <w:pPr>
              <w:rPr>
                <w:rFonts w:cs="Arial"/>
                <w:sz w:val="18"/>
                <w:szCs w:val="22"/>
                <w:lang w:val="de-DE"/>
              </w:rPr>
            </w:pPr>
            <w:r w:rsidRPr="005D3057">
              <w:rPr>
                <w:rFonts w:cs="Arial"/>
                <w:b/>
                <w:sz w:val="18"/>
                <w:szCs w:val="22"/>
                <w:u w:val="single"/>
                <w:lang w:val="de-DE"/>
              </w:rPr>
              <w:t>Unterstrichener</w:t>
            </w:r>
            <w:r w:rsidR="005568D1" w:rsidRPr="005D3057">
              <w:rPr>
                <w:rFonts w:cs="Arial"/>
                <w:b/>
                <w:sz w:val="18"/>
                <w:szCs w:val="22"/>
                <w:lang w:val="de-DE"/>
              </w:rPr>
              <w:t xml:space="preserve"> (</w:t>
            </w:r>
            <w:r w:rsidRPr="005D3057">
              <w:rPr>
                <w:rFonts w:cs="Arial"/>
                <w:b/>
                <w:sz w:val="18"/>
                <w:szCs w:val="22"/>
                <w:lang w:val="de-DE"/>
              </w:rPr>
              <w:t>hervorgehobener</w:t>
            </w:r>
            <w:r w:rsidR="005568D1" w:rsidRPr="005D3057">
              <w:rPr>
                <w:rFonts w:cs="Arial"/>
                <w:b/>
                <w:sz w:val="18"/>
                <w:szCs w:val="22"/>
                <w:lang w:val="de-DE"/>
              </w:rPr>
              <w:t>)</w:t>
            </w:r>
            <w:r w:rsidR="005568D1" w:rsidRPr="005D3057">
              <w:rPr>
                <w:rFonts w:cs="Arial"/>
                <w:sz w:val="18"/>
                <w:szCs w:val="22"/>
                <w:lang w:val="de-DE"/>
              </w:rPr>
              <w:t xml:space="preserve"> </w:t>
            </w:r>
            <w:r w:rsidRPr="005D3057">
              <w:rPr>
                <w:rFonts w:cs="Arial"/>
                <w:sz w:val="18"/>
                <w:szCs w:val="22"/>
                <w:lang w:val="de-DE"/>
              </w:rPr>
              <w:t>Wortlaut gibt die vorgeschlagene Hinzufügung von Text gemäß den von den TWP auf ihren Tagungen im Jahr 2016 vorgeschlagenen Änderungen an</w:t>
            </w:r>
            <w:r w:rsidR="005568D1" w:rsidRPr="005D3057">
              <w:rPr>
                <w:rFonts w:cs="Arial"/>
                <w:sz w:val="18"/>
                <w:szCs w:val="22"/>
                <w:lang w:val="de-DE"/>
              </w:rPr>
              <w:t>.</w:t>
            </w:r>
          </w:p>
        </w:tc>
      </w:tr>
    </w:tbl>
    <w:p w14:paraId="3D9E2D66" w14:textId="77777777" w:rsidR="005568D1" w:rsidRPr="005D3057" w:rsidRDefault="005568D1" w:rsidP="005568D1">
      <w:pPr>
        <w:snapToGrid w:val="0"/>
        <w:jc w:val="left"/>
        <w:rPr>
          <w:szCs w:val="24"/>
          <w:lang w:val="de-DE"/>
        </w:rPr>
      </w:pPr>
    </w:p>
    <w:p w14:paraId="7840766C" w14:textId="77777777" w:rsidR="00373E94" w:rsidRPr="005D3057" w:rsidRDefault="00373E94" w:rsidP="00373E94">
      <w:pPr>
        <w:rPr>
          <w:rFonts w:cs="Arial"/>
          <w:sz w:val="18"/>
          <w:szCs w:val="22"/>
          <w:u w:val="single"/>
          <w:lang w:val="de-DE"/>
        </w:rPr>
      </w:pPr>
    </w:p>
    <w:p w14:paraId="5C0BFB4D" w14:textId="668D18DD" w:rsidR="00373E94" w:rsidRPr="005D3057" w:rsidRDefault="00373E94" w:rsidP="00804235">
      <w:pPr>
        <w:rPr>
          <w:lang w:val="de-DE"/>
        </w:rPr>
      </w:pPr>
      <w:r w:rsidRPr="005D3057">
        <w:fldChar w:fldCharType="begin"/>
      </w:r>
      <w:r w:rsidRPr="005D3057">
        <w:rPr>
          <w:lang w:val="de-DE"/>
        </w:rPr>
        <w:instrText xml:space="preserve"> AUTONUM  </w:instrText>
      </w:r>
      <w:r w:rsidRPr="005D3057">
        <w:fldChar w:fldCharType="end"/>
      </w:r>
      <w:r w:rsidRPr="005D3057">
        <w:rPr>
          <w:lang w:val="de-DE"/>
        </w:rPr>
        <w:tab/>
      </w:r>
      <w:r w:rsidR="00804235" w:rsidRPr="005D3057">
        <w:rPr>
          <w:lang w:val="de-DE"/>
        </w:rPr>
        <w:t>Die Zusammenfassung in den Anlagen I und II bezieht sich lediglich auf Situationen, in denen mehr als eine Probe oder Unterprobe die Prüfung desselben Merkmals betreffen. Im Falle verschiedener Proben oder Unterproben (z. B. Sonderprüfung) zur Prüfung eines unterschiedlichen Merkma</w:t>
      </w:r>
      <w:r w:rsidR="00BD6869">
        <w:rPr>
          <w:lang w:val="de-DE"/>
        </w:rPr>
        <w:t>ls gibt es keine Anforderung der</w:t>
      </w:r>
      <w:r w:rsidR="00804235" w:rsidRPr="005D3057">
        <w:rPr>
          <w:lang w:val="de-DE"/>
        </w:rPr>
        <w:t xml:space="preserve"> Kombination der Ergebnisse, da eine Sorte in allen maßgeblichen Merkmalen homogen sein muß</w:t>
      </w:r>
      <w:r w:rsidRPr="005D3057">
        <w:rPr>
          <w:lang w:val="de-DE"/>
        </w:rPr>
        <w:t>.</w:t>
      </w:r>
    </w:p>
    <w:p w14:paraId="52B4B2BB" w14:textId="77777777" w:rsidR="00373E94" w:rsidRPr="005D3057" w:rsidRDefault="00373E94" w:rsidP="00373E94">
      <w:pPr>
        <w:jc w:val="left"/>
        <w:rPr>
          <w:szCs w:val="24"/>
          <w:lang w:val="de-DE"/>
        </w:rPr>
      </w:pPr>
    </w:p>
    <w:p w14:paraId="79399023" w14:textId="77777777" w:rsidR="00373E94" w:rsidRPr="005D3057" w:rsidRDefault="00373E94" w:rsidP="00D16867">
      <w:pPr>
        <w:pStyle w:val="DecisionParagraphs"/>
        <w:keepNext/>
        <w:rPr>
          <w:lang w:val="de-DE"/>
        </w:rPr>
      </w:pPr>
      <w:r w:rsidRPr="005D3057">
        <w:fldChar w:fldCharType="begin"/>
      </w:r>
      <w:r w:rsidRPr="005D3057">
        <w:rPr>
          <w:lang w:val="de-DE"/>
        </w:rPr>
        <w:instrText xml:space="preserve"> AUTONUM  </w:instrText>
      </w:r>
      <w:r w:rsidRPr="005D3057">
        <w:fldChar w:fldCharType="end"/>
      </w:r>
      <w:r w:rsidRPr="005D3057">
        <w:rPr>
          <w:lang w:val="de-DE"/>
        </w:rPr>
        <w:tab/>
      </w:r>
      <w:r w:rsidR="001E6A84" w:rsidRPr="005D3057">
        <w:rPr>
          <w:lang w:val="de-DE"/>
        </w:rPr>
        <w:t>Der TC wird ersucht</w:t>
      </w:r>
      <w:r w:rsidRPr="005D3057">
        <w:rPr>
          <w:lang w:val="de-DE"/>
        </w:rPr>
        <w:t xml:space="preserve">: </w:t>
      </w:r>
    </w:p>
    <w:p w14:paraId="305B979C" w14:textId="77777777" w:rsidR="003E4E25" w:rsidRPr="005D3057" w:rsidRDefault="003E4E25" w:rsidP="00D16867">
      <w:pPr>
        <w:pStyle w:val="DecisionParagraphs"/>
        <w:keepNext/>
        <w:keepLines/>
        <w:tabs>
          <w:tab w:val="clear" w:pos="5387"/>
          <w:tab w:val="left" w:pos="5954"/>
        </w:tabs>
        <w:ind w:firstLine="567"/>
        <w:rPr>
          <w:lang w:val="de-DE"/>
        </w:rPr>
      </w:pPr>
    </w:p>
    <w:p w14:paraId="79D5C919" w14:textId="5040CE00" w:rsidR="005C36D0" w:rsidRPr="005D3057" w:rsidRDefault="00373E94" w:rsidP="00D62039">
      <w:pPr>
        <w:pStyle w:val="DecisionParagraphs"/>
        <w:keepNext/>
        <w:keepLines/>
        <w:tabs>
          <w:tab w:val="clear" w:pos="5387"/>
          <w:tab w:val="left" w:pos="5954"/>
        </w:tabs>
        <w:ind w:firstLine="567"/>
        <w:rPr>
          <w:rFonts w:cs="Arial"/>
          <w:lang w:val="de-DE"/>
        </w:rPr>
      </w:pPr>
      <w:r w:rsidRPr="005D3057">
        <w:rPr>
          <w:lang w:val="de-DE"/>
        </w:rPr>
        <w:t>a)</w:t>
      </w:r>
      <w:r w:rsidRPr="005D3057">
        <w:rPr>
          <w:lang w:val="de-DE"/>
        </w:rPr>
        <w:tab/>
      </w:r>
      <w:r w:rsidR="00D80102" w:rsidRPr="005D3057">
        <w:rPr>
          <w:lang w:val="de-DE"/>
        </w:rPr>
        <w:t xml:space="preserve">zu prüfen, ob Sachverständige zu den TWP-Tagungen im Jahr 2017 eingeladen werden sollten, um Informationen über die </w:t>
      </w:r>
      <w:r w:rsidR="00D80102" w:rsidRPr="005D3057">
        <w:rPr>
          <w:rFonts w:cs="Arial"/>
          <w:lang w:val="de-DE"/>
        </w:rPr>
        <w:t>Kriterien zur Auswahl des geeignetsten Ansatzes für die Prüfung von Abweichern bei verschiedenen Pflanzentypen</w:t>
      </w:r>
      <w:r w:rsidR="00D80102" w:rsidRPr="005D3057">
        <w:rPr>
          <w:lang w:val="de-DE"/>
        </w:rPr>
        <w:t xml:space="preserve"> zu erteilen</w:t>
      </w:r>
      <w:r w:rsidR="00D62039" w:rsidRPr="005D3057">
        <w:rPr>
          <w:lang w:val="de-DE"/>
        </w:rPr>
        <w:t>;</w:t>
      </w:r>
    </w:p>
    <w:p w14:paraId="167B1D93" w14:textId="77777777" w:rsidR="003E4E25" w:rsidRPr="005D3057" w:rsidRDefault="003E4E25" w:rsidP="00D16867">
      <w:pPr>
        <w:pStyle w:val="DecisionParagraphs"/>
        <w:keepNext/>
        <w:keepLines/>
        <w:tabs>
          <w:tab w:val="clear" w:pos="5387"/>
          <w:tab w:val="left" w:pos="5954"/>
        </w:tabs>
        <w:ind w:firstLine="567"/>
        <w:rPr>
          <w:lang w:val="de-DE"/>
        </w:rPr>
      </w:pPr>
    </w:p>
    <w:p w14:paraId="7754AC7B" w14:textId="599207F0" w:rsidR="00D62039" w:rsidRPr="005D3057" w:rsidRDefault="003E4E25" w:rsidP="00373E94">
      <w:pPr>
        <w:pStyle w:val="DecisionParagraphs"/>
        <w:keepLines/>
        <w:tabs>
          <w:tab w:val="clear" w:pos="5387"/>
          <w:tab w:val="left" w:pos="5954"/>
        </w:tabs>
        <w:ind w:firstLine="567"/>
        <w:rPr>
          <w:lang w:val="de-DE"/>
        </w:rPr>
      </w:pPr>
      <w:r w:rsidRPr="005D3057">
        <w:rPr>
          <w:lang w:val="de-DE"/>
        </w:rPr>
        <w:t>b)</w:t>
      </w:r>
      <w:r w:rsidRPr="005D3057">
        <w:rPr>
          <w:lang w:val="de-DE"/>
        </w:rPr>
        <w:tab/>
      </w:r>
      <w:r w:rsidR="00D80102" w:rsidRPr="005D3057">
        <w:rPr>
          <w:lang w:val="de-DE"/>
        </w:rPr>
        <w:t>die Angebote von Deutschland, den Niederlanden und dem Verein</w:t>
      </w:r>
      <w:r w:rsidR="00BD6869">
        <w:rPr>
          <w:lang w:val="de-DE"/>
        </w:rPr>
        <w:t>ig</w:t>
      </w:r>
      <w:r w:rsidR="00D80102" w:rsidRPr="005D3057">
        <w:rPr>
          <w:lang w:val="de-DE"/>
        </w:rPr>
        <w:t xml:space="preserve">ten Königreich zur Kenntnis zu nehmen, </w:t>
      </w:r>
      <w:r w:rsidR="00D80102" w:rsidRPr="005D3057">
        <w:rPr>
          <w:rFonts w:cs="Arial"/>
          <w:lang w:val="de-DE"/>
        </w:rPr>
        <w:t xml:space="preserve">der TWC auf ihrer Tagung im Jahr 2017 </w:t>
      </w:r>
      <w:r w:rsidR="00D80102" w:rsidRPr="005D3057">
        <w:rPr>
          <w:lang w:val="de-DE"/>
        </w:rPr>
        <w:t>Beispiele für die Auswahl des geeignetsten Ansatzes</w:t>
      </w:r>
      <w:r w:rsidR="00D80102" w:rsidRPr="005D3057">
        <w:rPr>
          <w:rFonts w:cs="Arial"/>
          <w:lang w:val="de-DE"/>
        </w:rPr>
        <w:t xml:space="preserve"> für die </w:t>
      </w:r>
      <w:r w:rsidR="00D80102" w:rsidRPr="00AC1FFF">
        <w:rPr>
          <w:rFonts w:cs="Arial"/>
          <w:lang w:val="de-DE"/>
        </w:rPr>
        <w:t xml:space="preserve">Prüfung von Abweichern </w:t>
      </w:r>
      <w:r w:rsidR="00D80102" w:rsidRPr="00AC1FFF">
        <w:rPr>
          <w:lang w:val="de-DE"/>
        </w:rPr>
        <w:t>zur Verfügung zu stellen</w:t>
      </w:r>
      <w:r w:rsidR="00373E94" w:rsidRPr="00AC1FFF">
        <w:rPr>
          <w:lang w:val="de-DE"/>
        </w:rPr>
        <w:t>;</w:t>
      </w:r>
    </w:p>
    <w:p w14:paraId="50A2708F" w14:textId="77777777" w:rsidR="00CA56FA" w:rsidRPr="005D3057" w:rsidRDefault="00CA56FA" w:rsidP="00373E94">
      <w:pPr>
        <w:pStyle w:val="DecisionParagraphs"/>
        <w:keepLines/>
        <w:tabs>
          <w:tab w:val="clear" w:pos="5387"/>
          <w:tab w:val="left" w:pos="5954"/>
        </w:tabs>
        <w:ind w:firstLine="567"/>
        <w:rPr>
          <w:lang w:val="de-DE"/>
        </w:rPr>
      </w:pPr>
    </w:p>
    <w:p w14:paraId="02C50115" w14:textId="685907A9" w:rsidR="00CA56FA" w:rsidRPr="005D3057" w:rsidRDefault="001C06EF" w:rsidP="00373E94">
      <w:pPr>
        <w:pStyle w:val="DecisionParagraphs"/>
        <w:keepLines/>
        <w:tabs>
          <w:tab w:val="clear" w:pos="5387"/>
          <w:tab w:val="left" w:pos="5954"/>
        </w:tabs>
        <w:ind w:firstLine="567"/>
        <w:rPr>
          <w:lang w:val="de-DE"/>
        </w:rPr>
      </w:pPr>
      <w:r w:rsidRPr="005D3057">
        <w:rPr>
          <w:lang w:val="de-DE"/>
        </w:rPr>
        <w:t>c</w:t>
      </w:r>
      <w:r w:rsidR="00CA56FA" w:rsidRPr="005D3057">
        <w:rPr>
          <w:lang w:val="de-DE"/>
        </w:rPr>
        <w:t>)</w:t>
      </w:r>
      <w:r w:rsidR="00CA56FA" w:rsidRPr="005D3057">
        <w:rPr>
          <w:lang w:val="de-DE"/>
        </w:rPr>
        <w:tab/>
      </w:r>
      <w:r w:rsidR="00D80102" w:rsidRPr="005D3057">
        <w:rPr>
          <w:lang w:val="de-DE"/>
        </w:rPr>
        <w:t>zur Kenntnis zu nehmen, daß TWC, TWV und TWA auf ihren Tagungen im Jahr 2016 Referate von Frankreich und dem Verein</w:t>
      </w:r>
      <w:r w:rsidR="00BD6869">
        <w:rPr>
          <w:lang w:val="de-DE"/>
        </w:rPr>
        <w:t>ig</w:t>
      </w:r>
      <w:r w:rsidR="00D80102" w:rsidRPr="005D3057">
        <w:rPr>
          <w:lang w:val="de-DE"/>
        </w:rPr>
        <w:t>ten Königreich hörten</w:t>
      </w:r>
      <w:r w:rsidR="00543FFE" w:rsidRPr="005D3057">
        <w:rPr>
          <w:lang w:val="de-DE"/>
        </w:rPr>
        <w:t>;</w:t>
      </w:r>
    </w:p>
    <w:p w14:paraId="5AC74204" w14:textId="77777777" w:rsidR="00543FFE" w:rsidRPr="005D3057" w:rsidRDefault="00543FFE" w:rsidP="00373E94">
      <w:pPr>
        <w:pStyle w:val="DecisionParagraphs"/>
        <w:keepLines/>
        <w:tabs>
          <w:tab w:val="clear" w:pos="5387"/>
          <w:tab w:val="left" w:pos="5954"/>
        </w:tabs>
        <w:ind w:firstLine="567"/>
        <w:rPr>
          <w:lang w:val="de-DE"/>
        </w:rPr>
      </w:pPr>
    </w:p>
    <w:p w14:paraId="293C86EC" w14:textId="1124BE35" w:rsidR="00543FFE" w:rsidRPr="005D3057" w:rsidRDefault="001C06EF" w:rsidP="00373E94">
      <w:pPr>
        <w:pStyle w:val="DecisionParagraphs"/>
        <w:keepLines/>
        <w:tabs>
          <w:tab w:val="clear" w:pos="5387"/>
          <w:tab w:val="left" w:pos="5954"/>
        </w:tabs>
        <w:ind w:firstLine="567"/>
        <w:rPr>
          <w:snapToGrid w:val="0"/>
          <w:lang w:val="de-DE"/>
        </w:rPr>
      </w:pPr>
      <w:r w:rsidRPr="005D3057">
        <w:rPr>
          <w:lang w:val="de-DE"/>
        </w:rPr>
        <w:t>d</w:t>
      </w:r>
      <w:r w:rsidR="00543FFE" w:rsidRPr="005D3057">
        <w:rPr>
          <w:lang w:val="de-DE"/>
        </w:rPr>
        <w:t>)</w:t>
      </w:r>
      <w:r w:rsidR="00543FFE" w:rsidRPr="005D3057">
        <w:rPr>
          <w:lang w:val="de-DE"/>
        </w:rPr>
        <w:tab/>
      </w:r>
      <w:r w:rsidR="00D80102" w:rsidRPr="005D3057">
        <w:rPr>
          <w:lang w:val="de-DE"/>
        </w:rPr>
        <w:t>zur Kenntnis zu nehmen, daß ein Vorschlag für die Überarbeitung der Anleitung in Dokument </w:t>
      </w:r>
      <w:r w:rsidR="00D80102" w:rsidRPr="005D3057">
        <w:rPr>
          <w:snapToGrid w:val="0"/>
          <w:lang w:val="de-DE"/>
        </w:rPr>
        <w:t>TGP/8/2: Teil II: 8: „Verfahren für die Prüfung der Homogenität anhand von Abweichern“ in Dokument TC/53/5 „TGP Dokumente“ geprüft werden wird</w:t>
      </w:r>
      <w:r w:rsidRPr="005D3057">
        <w:rPr>
          <w:snapToGrid w:val="0"/>
          <w:lang w:val="de-DE"/>
        </w:rPr>
        <w:t>;</w:t>
      </w:r>
    </w:p>
    <w:p w14:paraId="1210D2B2" w14:textId="77777777" w:rsidR="001C06EF" w:rsidRPr="005D3057" w:rsidRDefault="001C06EF" w:rsidP="00373E94">
      <w:pPr>
        <w:pStyle w:val="DecisionParagraphs"/>
        <w:keepLines/>
        <w:tabs>
          <w:tab w:val="clear" w:pos="5387"/>
          <w:tab w:val="left" w:pos="5954"/>
        </w:tabs>
        <w:ind w:firstLine="567"/>
        <w:rPr>
          <w:snapToGrid w:val="0"/>
          <w:lang w:val="de-DE"/>
        </w:rPr>
      </w:pPr>
    </w:p>
    <w:p w14:paraId="2A6FAAAA" w14:textId="791D5BC5" w:rsidR="001C06EF" w:rsidRPr="005D3057" w:rsidRDefault="001C06EF" w:rsidP="00373E94">
      <w:pPr>
        <w:pStyle w:val="DecisionParagraphs"/>
        <w:keepLines/>
        <w:tabs>
          <w:tab w:val="clear" w:pos="5387"/>
          <w:tab w:val="left" w:pos="5954"/>
        </w:tabs>
        <w:ind w:firstLine="567"/>
        <w:rPr>
          <w:rFonts w:cs="Arial"/>
          <w:lang w:val="de-DE"/>
        </w:rPr>
      </w:pPr>
      <w:r w:rsidRPr="005D3057">
        <w:rPr>
          <w:snapToGrid w:val="0"/>
          <w:lang w:val="de-DE"/>
        </w:rPr>
        <w:t>e)</w:t>
      </w:r>
      <w:r w:rsidRPr="005D3057">
        <w:rPr>
          <w:snapToGrid w:val="0"/>
          <w:lang w:val="de-DE"/>
        </w:rPr>
        <w:tab/>
      </w:r>
      <w:r w:rsidR="007A79E4" w:rsidRPr="007A79E4">
        <w:rPr>
          <w:snapToGrid w:val="0"/>
          <w:lang w:val="de-DE"/>
        </w:rPr>
        <w:t>die Angebote von Frankreich, Deutschland, den Niederlanden, Polen und dem Vereinigten Königreich zur Kenntnis zu nehmen, Beispiele, die die mögliche Wirkung auf Entscheidungen über die Homogenität zwischen Ansatz 3 und anderen Ansätzen vergleichen, zur Vorlage auf der sechsundvierzigsten Tagung der TWA zur Verfügung zu stellen</w:t>
      </w:r>
      <w:r w:rsidR="00D80102" w:rsidRPr="005D3057">
        <w:rPr>
          <w:rFonts w:cs="Arial"/>
          <w:lang w:val="de-DE"/>
        </w:rPr>
        <w:t>; und</w:t>
      </w:r>
    </w:p>
    <w:p w14:paraId="6271E134" w14:textId="77777777" w:rsidR="00587C93" w:rsidRPr="005D3057" w:rsidRDefault="00587C93" w:rsidP="00373E94">
      <w:pPr>
        <w:pStyle w:val="DecisionParagraphs"/>
        <w:keepLines/>
        <w:tabs>
          <w:tab w:val="clear" w:pos="5387"/>
          <w:tab w:val="left" w:pos="5954"/>
        </w:tabs>
        <w:ind w:firstLine="567"/>
        <w:rPr>
          <w:rFonts w:cs="Arial"/>
          <w:lang w:val="de-DE"/>
        </w:rPr>
      </w:pPr>
    </w:p>
    <w:p w14:paraId="18F317D9" w14:textId="77777777" w:rsidR="001C06EF" w:rsidRPr="005D3057" w:rsidRDefault="001C06EF" w:rsidP="001C06EF">
      <w:pPr>
        <w:pStyle w:val="DecisionParagraphs"/>
        <w:keepLines/>
        <w:tabs>
          <w:tab w:val="clear" w:pos="5387"/>
          <w:tab w:val="left" w:pos="5954"/>
        </w:tabs>
        <w:ind w:firstLine="567"/>
        <w:rPr>
          <w:lang w:val="de-DE"/>
        </w:rPr>
      </w:pPr>
    </w:p>
    <w:p w14:paraId="40E69C60" w14:textId="16F5EBAA" w:rsidR="00373E94" w:rsidRPr="00D80102" w:rsidRDefault="001C06EF" w:rsidP="001C06EF">
      <w:pPr>
        <w:pStyle w:val="DecisionParagraphs"/>
        <w:keepLines/>
        <w:tabs>
          <w:tab w:val="clear" w:pos="5387"/>
          <w:tab w:val="left" w:pos="5954"/>
        </w:tabs>
        <w:ind w:firstLine="567"/>
        <w:rPr>
          <w:lang w:val="de-DE"/>
        </w:rPr>
      </w:pPr>
      <w:r w:rsidRPr="005D3057">
        <w:rPr>
          <w:lang w:val="de-DE"/>
        </w:rPr>
        <w:lastRenderedPageBreak/>
        <w:t>f)</w:t>
      </w:r>
      <w:r w:rsidRPr="005D3057">
        <w:rPr>
          <w:lang w:val="de-DE"/>
        </w:rPr>
        <w:tab/>
      </w:r>
      <w:r w:rsidR="00D80102" w:rsidRPr="005D3057">
        <w:rPr>
          <w:lang w:val="de-DE"/>
        </w:rPr>
        <w:t>den Entwurf für eine Anleitung, wie in Anlagen I und II in der von den TWP auf ihren Tagungen im Jahr 2016 geänderten Form dargelegt, im Hinblick auf die Aufnahme in eine künftige Überarbeitung von Dokument TGP/10 zu prüfen</w:t>
      </w:r>
      <w:r w:rsidRPr="005D3057">
        <w:rPr>
          <w:lang w:val="de-DE"/>
        </w:rPr>
        <w:t>.</w:t>
      </w:r>
    </w:p>
    <w:p w14:paraId="60F810D6" w14:textId="77777777" w:rsidR="00B82C53" w:rsidRPr="00A55926" w:rsidRDefault="00B82C53" w:rsidP="00312967">
      <w:pPr>
        <w:rPr>
          <w:lang w:val="de-DE"/>
        </w:rPr>
      </w:pPr>
    </w:p>
    <w:p w14:paraId="0948549D" w14:textId="77777777" w:rsidR="00B82C53" w:rsidRPr="00837D1F" w:rsidRDefault="00B82C53" w:rsidP="00B82C53">
      <w:pPr>
        <w:tabs>
          <w:tab w:val="left" w:pos="567"/>
          <w:tab w:val="left" w:pos="1134"/>
          <w:tab w:val="left" w:pos="1701"/>
        </w:tabs>
        <w:autoSpaceDE w:val="0"/>
        <w:autoSpaceDN w:val="0"/>
        <w:adjustRightInd w:val="0"/>
        <w:ind w:hanging="1276"/>
        <w:jc w:val="left"/>
        <w:rPr>
          <w:rFonts w:eastAsia="MS Mincho"/>
          <w:color w:val="000000"/>
          <w:szCs w:val="24"/>
          <w:lang w:val="de-DE" w:eastAsia="ja-JP"/>
        </w:rPr>
      </w:pPr>
    </w:p>
    <w:p w14:paraId="17D895AD" w14:textId="77777777" w:rsidR="00373E94" w:rsidRPr="00A55926" w:rsidRDefault="00373E94" w:rsidP="00312967">
      <w:pPr>
        <w:rPr>
          <w:lang w:val="de-DE"/>
        </w:rPr>
      </w:pPr>
    </w:p>
    <w:p w14:paraId="6AF2BCAD" w14:textId="77777777" w:rsidR="00373E94" w:rsidRPr="00A55926" w:rsidRDefault="00373E94" w:rsidP="00312967">
      <w:pPr>
        <w:rPr>
          <w:lang w:val="de-DE"/>
        </w:rPr>
      </w:pPr>
    </w:p>
    <w:p w14:paraId="7D3D26D7" w14:textId="77777777" w:rsidR="00050E16" w:rsidRDefault="00804235" w:rsidP="00804235">
      <w:pPr>
        <w:jc w:val="right"/>
      </w:pPr>
      <w:r w:rsidRPr="00804235">
        <w:t xml:space="preserve">[Anlagen </w:t>
      </w:r>
      <w:proofErr w:type="spellStart"/>
      <w:r w:rsidRPr="00804235">
        <w:t>folgen</w:t>
      </w:r>
      <w:proofErr w:type="spellEnd"/>
      <w:r w:rsidRPr="00804235">
        <w:t>]</w:t>
      </w:r>
    </w:p>
    <w:p w14:paraId="2E07F8D2" w14:textId="77777777" w:rsidR="00665DC4" w:rsidRDefault="00665DC4" w:rsidP="00804235">
      <w:pPr>
        <w:jc w:val="right"/>
        <w:sectPr w:rsidR="00665DC4" w:rsidSect="00906DDC">
          <w:headerReference w:type="default" r:id="rId9"/>
          <w:pgSz w:w="11907" w:h="16840" w:code="9"/>
          <w:pgMar w:top="510" w:right="1134" w:bottom="1134" w:left="1134" w:header="510" w:footer="680" w:gutter="0"/>
          <w:cols w:space="720"/>
          <w:titlePg/>
        </w:sectPr>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639"/>
      </w:tblGrid>
      <w:tr w:rsidR="002A29A4" w:rsidRPr="00A55926" w14:paraId="0B296956" w14:textId="77777777" w:rsidTr="005D2F87">
        <w:trPr>
          <w:trHeight w:val="350"/>
        </w:trPr>
        <w:tc>
          <w:tcPr>
            <w:tcW w:w="9639" w:type="dxa"/>
          </w:tcPr>
          <w:p w14:paraId="44AF86E2" w14:textId="77777777" w:rsidR="002A29A4" w:rsidRPr="005728BA" w:rsidRDefault="002A29A4" w:rsidP="00D80102">
            <w:pPr>
              <w:autoSpaceDE w:val="0"/>
              <w:autoSpaceDN w:val="0"/>
              <w:adjustRightInd w:val="0"/>
              <w:jc w:val="center"/>
              <w:rPr>
                <w:rFonts w:eastAsia="SimSun"/>
                <w:szCs w:val="24"/>
                <w:lang w:val="de-DE" w:eastAsia="zh-CN"/>
              </w:rPr>
            </w:pPr>
          </w:p>
          <w:p w14:paraId="1CD66678" w14:textId="77777777" w:rsidR="002A29A4" w:rsidRPr="005728BA" w:rsidRDefault="002A29A4" w:rsidP="00D80102">
            <w:pPr>
              <w:autoSpaceDE w:val="0"/>
              <w:autoSpaceDN w:val="0"/>
              <w:adjustRightInd w:val="0"/>
              <w:jc w:val="center"/>
              <w:rPr>
                <w:rFonts w:eastAsia="SimSun"/>
                <w:szCs w:val="24"/>
                <w:lang w:val="de-DE" w:eastAsia="zh-CN"/>
              </w:rPr>
            </w:pPr>
            <w:r w:rsidRPr="005728BA">
              <w:rPr>
                <w:rFonts w:eastAsia="SimSun"/>
                <w:szCs w:val="24"/>
                <w:lang w:val="de-DE" w:eastAsia="zh-CN"/>
              </w:rPr>
              <w:t xml:space="preserve">PRÜFUNG DER HOMOGENITÄT ANHAND VON ABWEICHERN AUFGRUND VON MEHR ALS EINER WACHSTUMSPERIODE </w:t>
            </w:r>
          </w:p>
          <w:p w14:paraId="6825BF51" w14:textId="77777777" w:rsidR="002A29A4" w:rsidRPr="005728BA" w:rsidRDefault="002A29A4" w:rsidP="00D80102">
            <w:pPr>
              <w:autoSpaceDE w:val="0"/>
              <w:autoSpaceDN w:val="0"/>
              <w:adjustRightInd w:val="0"/>
              <w:jc w:val="center"/>
              <w:rPr>
                <w:rFonts w:eastAsia="SimSun"/>
                <w:szCs w:val="24"/>
                <w:lang w:val="de-DE" w:eastAsia="zh-CN"/>
              </w:rPr>
            </w:pPr>
          </w:p>
        </w:tc>
      </w:tr>
      <w:tr w:rsidR="002A29A4" w:rsidRPr="00A55926" w14:paraId="0C3A0381" w14:textId="77777777" w:rsidTr="005D2F87">
        <w:trPr>
          <w:trHeight w:val="8239"/>
        </w:trPr>
        <w:tc>
          <w:tcPr>
            <w:tcW w:w="9639" w:type="dxa"/>
          </w:tcPr>
          <w:p w14:paraId="4EBAB2BA" w14:textId="77777777" w:rsidR="002A29A4" w:rsidRPr="005728BA" w:rsidRDefault="002A29A4" w:rsidP="00D80102">
            <w:pPr>
              <w:rPr>
                <w:lang w:val="de-DE"/>
              </w:rPr>
            </w:pPr>
          </w:p>
          <w:p w14:paraId="6B676308" w14:textId="7CD090AC" w:rsidR="002A29A4" w:rsidRPr="009B1E39" w:rsidRDefault="002A29A4" w:rsidP="00D80102">
            <w:pPr>
              <w:rPr>
                <w:szCs w:val="24"/>
                <w:lang w:val="de-DE"/>
              </w:rPr>
            </w:pPr>
            <w:r w:rsidRPr="005728BA">
              <w:rPr>
                <w:lang w:val="de-DE"/>
              </w:rPr>
              <w:t xml:space="preserve">Zwei unabhängige Wachstumsperioden könnten an einem einzigen Prüfungsort in verschiedenen Jahren oder an unterschiedlichen Prüfungsorten im selben Jahr </w:t>
            </w:r>
            <w:r w:rsidRPr="009B1E39">
              <w:rPr>
                <w:lang w:val="de-DE"/>
              </w:rPr>
              <w:t>stattfinden gemäß Dokument TGP/8 Teil I, Abschnitte 1.2 und 1.3</w:t>
            </w:r>
            <w:r w:rsidR="009B1E39" w:rsidRPr="009B1E39">
              <w:rPr>
                <w:lang w:val="de-DE"/>
              </w:rPr>
              <w:t>.</w:t>
            </w:r>
          </w:p>
          <w:p w14:paraId="784F2576" w14:textId="77777777" w:rsidR="002A29A4" w:rsidRPr="005728BA" w:rsidRDefault="002A29A4" w:rsidP="00D80102">
            <w:pPr>
              <w:rPr>
                <w:szCs w:val="24"/>
                <w:lang w:val="de-DE"/>
              </w:rPr>
            </w:pPr>
          </w:p>
          <w:p w14:paraId="0F5D0DF1" w14:textId="7807ACA3" w:rsidR="002A29A4" w:rsidRPr="005728BA" w:rsidRDefault="002A29A4" w:rsidP="00D80102">
            <w:pPr>
              <w:rPr>
                <w:szCs w:val="24"/>
                <w:u w:val="single"/>
                <w:lang w:val="de-DE"/>
              </w:rPr>
            </w:pPr>
            <w:r w:rsidRPr="009B1E39">
              <w:rPr>
                <w:lang w:val="de-DE"/>
              </w:rPr>
              <w:t>Die folgende Anleitung ist nicht für die Verwendung zur Prüfung der Homogenität anhand von Abweichern an den gleichen Pflanzen in zwei Wachstumsperioden vorgesehen</w:t>
            </w:r>
            <w:r w:rsidR="001A28DA">
              <w:rPr>
                <w:lang w:val="de-DE"/>
              </w:rPr>
              <w:t xml:space="preserve">. </w:t>
            </w:r>
            <w:r w:rsidR="001A28DA">
              <w:rPr>
                <w:highlight w:val="lightGray"/>
                <w:u w:val="single"/>
                <w:lang w:val="de-DE"/>
              </w:rPr>
              <w:t>Er</w:t>
            </w:r>
            <w:r w:rsidR="009B1E39">
              <w:rPr>
                <w:highlight w:val="lightGray"/>
                <w:u w:val="single"/>
                <w:lang w:val="de-DE"/>
              </w:rPr>
              <w:t xml:space="preserve">gebnisse aus </w:t>
            </w:r>
            <w:r w:rsidR="009B1E39" w:rsidRPr="005728BA">
              <w:rPr>
                <w:highlight w:val="lightGray"/>
                <w:u w:val="single"/>
                <w:lang w:val="de-DE"/>
              </w:rPr>
              <w:t>Wachstumsperioden</w:t>
            </w:r>
            <w:r w:rsidR="009B1E39">
              <w:rPr>
                <w:highlight w:val="lightGray"/>
                <w:u w:val="single"/>
                <w:lang w:val="de-DE"/>
              </w:rPr>
              <w:t xml:space="preserve"> unter Verwendung verschiedener Partien von Vermehrungsmaterial sollten nicht kombiniert werden</w:t>
            </w:r>
            <w:r w:rsidRPr="005728BA">
              <w:rPr>
                <w:highlight w:val="lightGray"/>
                <w:u w:val="single"/>
                <w:lang w:val="de-DE"/>
              </w:rPr>
              <w:t>.</w:t>
            </w:r>
          </w:p>
          <w:p w14:paraId="7FEC8394" w14:textId="77777777" w:rsidR="002A29A4" w:rsidRPr="005728BA" w:rsidRDefault="002A29A4" w:rsidP="00D80102">
            <w:pPr>
              <w:rPr>
                <w:szCs w:val="24"/>
                <w:lang w:val="de-DE"/>
              </w:rPr>
            </w:pPr>
          </w:p>
          <w:p w14:paraId="2F80CB57" w14:textId="77777777" w:rsidR="002A29A4" w:rsidRPr="005728BA" w:rsidRDefault="002A29A4" w:rsidP="00D80102">
            <w:pPr>
              <w:rPr>
                <w:szCs w:val="24"/>
                <w:lang w:val="de-DE"/>
              </w:rPr>
            </w:pPr>
          </w:p>
          <w:p w14:paraId="7B0584C5" w14:textId="45266194" w:rsidR="002A29A4" w:rsidRPr="005728BA" w:rsidRDefault="002A29A4" w:rsidP="00D80102">
            <w:pPr>
              <w:rPr>
                <w:b/>
                <w:szCs w:val="24"/>
                <w:lang w:val="de-DE"/>
              </w:rPr>
            </w:pPr>
            <w:r w:rsidRPr="005728BA">
              <w:rPr>
                <w:b/>
                <w:szCs w:val="24"/>
                <w:lang w:val="de-DE"/>
              </w:rPr>
              <w:t>Ansatz 1:</w:t>
            </w:r>
            <w:r w:rsidR="00981B04">
              <w:rPr>
                <w:b/>
                <w:szCs w:val="24"/>
                <w:lang w:val="de-DE"/>
              </w:rPr>
              <w:t xml:space="preserve"> </w:t>
            </w:r>
            <w:r w:rsidRPr="005728BA">
              <w:rPr>
                <w:b/>
                <w:szCs w:val="24"/>
                <w:lang w:val="de-DE"/>
              </w:rPr>
              <w:t xml:space="preserve">Dritte Wachstumsperiode im Fall widersprüchlicher Ergebnisse </w:t>
            </w:r>
          </w:p>
          <w:p w14:paraId="1DC3744D" w14:textId="77777777" w:rsidR="002A29A4" w:rsidRPr="005728BA" w:rsidRDefault="002A29A4" w:rsidP="00D80102">
            <w:pPr>
              <w:rPr>
                <w:b/>
                <w:szCs w:val="24"/>
                <w:lang w:val="de-DE"/>
              </w:rPr>
            </w:pPr>
          </w:p>
          <w:p w14:paraId="6E5175D4" w14:textId="77777777" w:rsidR="002A29A4" w:rsidRPr="005728BA" w:rsidRDefault="002A29A4" w:rsidP="00D80102">
            <w:pPr>
              <w:rPr>
                <w:rFonts w:eastAsia="SimSun"/>
                <w:szCs w:val="24"/>
                <w:lang w:val="de-DE" w:eastAsia="zh-CN"/>
              </w:rPr>
            </w:pPr>
            <w:r w:rsidRPr="005728BA">
              <w:rPr>
                <w:rFonts w:eastAsia="SimSun"/>
                <w:szCs w:val="24"/>
                <w:lang w:val="de-DE" w:eastAsia="zh-CN"/>
              </w:rPr>
              <w:t>Eine Sorte wird als homogen betrachtet, wenn sie in beiden Wachstumsperioden dem Homogenitätsstandard entspricht.</w:t>
            </w:r>
          </w:p>
          <w:p w14:paraId="46222746" w14:textId="77777777" w:rsidR="002A29A4" w:rsidRPr="005728BA" w:rsidRDefault="002A29A4" w:rsidP="00D80102">
            <w:pPr>
              <w:rPr>
                <w:rFonts w:eastAsia="SimSun"/>
                <w:szCs w:val="24"/>
                <w:lang w:val="de-DE" w:eastAsia="zh-CN"/>
              </w:rPr>
            </w:pPr>
          </w:p>
          <w:p w14:paraId="27497994" w14:textId="77777777" w:rsidR="002A29A4" w:rsidRPr="005728BA" w:rsidRDefault="002A29A4" w:rsidP="00D80102">
            <w:pPr>
              <w:rPr>
                <w:rFonts w:eastAsia="SimSun"/>
                <w:szCs w:val="24"/>
                <w:lang w:val="de-DE" w:eastAsia="zh-CN"/>
              </w:rPr>
            </w:pPr>
            <w:r w:rsidRPr="005728BA">
              <w:rPr>
                <w:rFonts w:eastAsia="SimSun"/>
                <w:szCs w:val="24"/>
                <w:lang w:val="de-DE" w:eastAsia="zh-CN"/>
              </w:rPr>
              <w:t>Eine Sorte wird als nicht homogen betrachtet, wenn sie in beiden Wachstumsperioden nicht dem Homogenitätsstandard entspricht.</w:t>
            </w:r>
          </w:p>
          <w:p w14:paraId="48C9F1BD" w14:textId="77777777" w:rsidR="002A29A4" w:rsidRPr="005728BA" w:rsidRDefault="002A29A4" w:rsidP="00D80102">
            <w:pPr>
              <w:rPr>
                <w:rFonts w:eastAsia="SimSun"/>
                <w:szCs w:val="24"/>
                <w:lang w:val="de-DE" w:eastAsia="zh-CN"/>
              </w:rPr>
            </w:pPr>
          </w:p>
          <w:p w14:paraId="064BCABD" w14:textId="77777777" w:rsidR="002A29A4" w:rsidRPr="005728BA" w:rsidRDefault="002A29A4" w:rsidP="00D80102">
            <w:pPr>
              <w:rPr>
                <w:rFonts w:eastAsia="SimSun"/>
                <w:szCs w:val="24"/>
                <w:lang w:val="de-DE" w:eastAsia="zh-CN"/>
              </w:rPr>
            </w:pPr>
            <w:r w:rsidRPr="005728BA">
              <w:rPr>
                <w:rFonts w:eastAsia="SimSun"/>
                <w:szCs w:val="24"/>
                <w:lang w:val="de-DE" w:eastAsia="zh-CN"/>
              </w:rPr>
              <w:t>Entspricht die Sorte am Ende der beiden Wachstumsperioden in einer Wachstumsperiode dem Homogenitätsstandard, in der anderen Wachstumsperiode aber nicht, dann wird die Homogenität in einer dritten Wachstumsperiode geprüft.</w:t>
            </w:r>
            <w:r>
              <w:rPr>
                <w:rFonts w:eastAsia="SimSun"/>
                <w:szCs w:val="24"/>
                <w:lang w:val="de-DE" w:eastAsia="zh-CN"/>
              </w:rPr>
              <w:t xml:space="preserve"> </w:t>
            </w:r>
            <w:r w:rsidRPr="005728BA">
              <w:rPr>
                <w:rFonts w:eastAsia="SimSun"/>
                <w:szCs w:val="24"/>
                <w:lang w:val="de-DE" w:eastAsia="zh-CN"/>
              </w:rPr>
              <w:t>Liegt die Sorte in der dritten Wachstumsperiode im Homogenitätsstandard, so wird die Sorte als homogen betrachtet.</w:t>
            </w:r>
            <w:r>
              <w:rPr>
                <w:rFonts w:eastAsia="SimSun"/>
                <w:szCs w:val="24"/>
                <w:lang w:val="de-DE" w:eastAsia="zh-CN"/>
              </w:rPr>
              <w:t xml:space="preserve"> </w:t>
            </w:r>
            <w:r w:rsidRPr="005728BA">
              <w:rPr>
                <w:rFonts w:eastAsia="SimSun"/>
                <w:szCs w:val="24"/>
                <w:lang w:val="de-DE" w:eastAsia="zh-CN"/>
              </w:rPr>
              <w:t>Entspricht die Sorte in der dritten Wachstumsperiode nicht dem Homogenitätsstandard, so wird die Sorte als nicht homogen betrachtet.</w:t>
            </w:r>
          </w:p>
          <w:p w14:paraId="24AD576E" w14:textId="77777777" w:rsidR="002A29A4" w:rsidRPr="005728BA" w:rsidRDefault="002A29A4" w:rsidP="00D80102">
            <w:pPr>
              <w:rPr>
                <w:rFonts w:eastAsia="SimSun"/>
                <w:szCs w:val="24"/>
                <w:lang w:val="de-DE" w:eastAsia="zh-CN"/>
              </w:rPr>
            </w:pPr>
          </w:p>
          <w:p w14:paraId="28FFD53A" w14:textId="69A38D81" w:rsidR="002A29A4" w:rsidRPr="009B1E39" w:rsidRDefault="002A29A4" w:rsidP="00D80102">
            <w:pPr>
              <w:keepNext/>
              <w:keepLines/>
              <w:rPr>
                <w:rFonts w:eastAsia="SimSun"/>
                <w:lang w:val="de-DE" w:eastAsia="zh-CN"/>
              </w:rPr>
            </w:pPr>
            <w:r w:rsidRPr="009B1E39">
              <w:rPr>
                <w:rFonts w:eastAsia="SimSun"/>
                <w:lang w:val="de-DE" w:eastAsia="zh-CN"/>
              </w:rPr>
              <w:t>Bei der Prüfung von Ergebnissen, die in jeder der Wachstumsperioden sehr unterschiedlich sind, muß mit größter Sorgfalt verfahren werden, etwa wenn ein Abweichertyp in einer Wachstumsperiode sehr häufig und in einer anderen überhaupt nicht vorkommt</w:t>
            </w:r>
            <w:r w:rsidRPr="009B1E39">
              <w:rPr>
                <w:color w:val="000000"/>
                <w:lang w:val="de-DE"/>
              </w:rPr>
              <w:t>.</w:t>
            </w:r>
            <w:r w:rsidR="009B1E39" w:rsidRPr="009B1E39">
              <w:rPr>
                <w:color w:val="000000"/>
                <w:lang w:val="de-DE"/>
              </w:rPr>
              <w:t xml:space="preserve"> </w:t>
            </w:r>
            <w:r w:rsidR="001A28DA">
              <w:rPr>
                <w:color w:val="000000"/>
                <w:highlight w:val="lightGray"/>
                <w:u w:val="single"/>
                <w:lang w:val="de-DE"/>
              </w:rPr>
              <w:t>Es ist wichtig, zu identifizieren</w:t>
            </w:r>
            <w:r w:rsidR="009B1E39" w:rsidRPr="009B1E39">
              <w:rPr>
                <w:color w:val="000000"/>
                <w:highlight w:val="lightGray"/>
                <w:u w:val="single"/>
                <w:lang w:val="de-DE"/>
              </w:rPr>
              <w:t xml:space="preserve">, </w:t>
            </w:r>
            <w:r w:rsidR="009B1E39" w:rsidRPr="009B1E39">
              <w:rPr>
                <w:highlight w:val="lightGray"/>
                <w:u w:val="single"/>
                <w:lang w:val="de-DE"/>
              </w:rPr>
              <w:t>ob Unterschiede in der Anzahl von Abweichern zwischen Wachstumsperioden durch biologische Ursachen oder durch Unterschiede in der Art der Probennahme bedingt sind</w:t>
            </w:r>
            <w:r w:rsidR="009B1E39" w:rsidRPr="009B1E39">
              <w:rPr>
                <w:lang w:val="de-DE"/>
              </w:rPr>
              <w:t xml:space="preserve">. </w:t>
            </w:r>
            <w:r w:rsidR="009B1E39" w:rsidRPr="009B1E39">
              <w:rPr>
                <w:rFonts w:eastAsia="SimSun"/>
                <w:lang w:val="de-DE" w:eastAsia="zh-CN"/>
              </w:rPr>
              <w:t xml:space="preserve">Außerdem kann, </w:t>
            </w:r>
            <w:r w:rsidR="00720172" w:rsidRPr="00720172">
              <w:rPr>
                <w:rFonts w:eastAsia="SimSun"/>
                <w:strike/>
                <w:highlight w:val="lightGray"/>
                <w:u w:val="single"/>
                <w:lang w:val="de-DE" w:eastAsia="zh-CN"/>
              </w:rPr>
              <w:t>aufgrund deutlich fehlender Homogenität</w:t>
            </w:r>
            <w:r w:rsidR="00720172" w:rsidRPr="00720172">
              <w:rPr>
                <w:rFonts w:eastAsia="SimSun"/>
                <w:highlight w:val="lightGray"/>
                <w:u w:val="single"/>
                <w:lang w:val="de-DE" w:eastAsia="zh-CN"/>
              </w:rPr>
              <w:t xml:space="preserve"> </w:t>
            </w:r>
            <w:r w:rsidR="009B1E39" w:rsidRPr="00720172">
              <w:rPr>
                <w:rFonts w:eastAsia="SimSun"/>
                <w:highlight w:val="lightGray"/>
                <w:u w:val="single"/>
                <w:lang w:val="de-DE" w:eastAsia="zh-CN"/>
              </w:rPr>
              <w:t>wenn die Anzahl der erlaubten Abweicher einer Sorte in der ersten Wachstumsperiode die Anzahl der erlaubten Abweicher in zwei Wachstumsperioden übersteigt</w:t>
            </w:r>
            <w:r w:rsidR="009B1E39" w:rsidRPr="009B1E39">
              <w:rPr>
                <w:rFonts w:eastAsia="SimSun"/>
                <w:lang w:val="de-DE" w:eastAsia="zh-CN"/>
              </w:rPr>
              <w:t>, die Sorte nach einer Wachstumsperiode zurückgewiesen werden</w:t>
            </w:r>
            <w:r w:rsidR="009B1E39">
              <w:rPr>
                <w:rFonts w:eastAsia="SimSun"/>
                <w:lang w:val="de-DE" w:eastAsia="zh-CN"/>
              </w:rPr>
              <w:t>.</w:t>
            </w:r>
          </w:p>
          <w:p w14:paraId="79A3E9BC" w14:textId="77777777" w:rsidR="002A29A4" w:rsidRPr="005728BA" w:rsidRDefault="002A29A4" w:rsidP="00D80102">
            <w:pPr>
              <w:keepNext/>
              <w:keepLines/>
              <w:rPr>
                <w:rFonts w:eastAsia="SimSun"/>
                <w:szCs w:val="24"/>
                <w:lang w:val="de-DE" w:eastAsia="zh-CN"/>
              </w:rPr>
            </w:pPr>
          </w:p>
          <w:p w14:paraId="4417A924" w14:textId="77777777" w:rsidR="002A29A4" w:rsidRPr="005728BA" w:rsidRDefault="002A29A4" w:rsidP="00D80102">
            <w:pPr>
              <w:keepNext/>
              <w:keepLines/>
              <w:rPr>
                <w:rFonts w:eastAsia="SimSun"/>
                <w:szCs w:val="24"/>
                <w:lang w:val="de-DE" w:eastAsia="zh-CN"/>
              </w:rPr>
            </w:pPr>
          </w:p>
          <w:p w14:paraId="5AC0AB1C" w14:textId="29FFDBF9" w:rsidR="002A29A4" w:rsidRPr="00720172" w:rsidRDefault="002A29A4" w:rsidP="00D80102">
            <w:pPr>
              <w:rPr>
                <w:b/>
                <w:szCs w:val="24"/>
                <w:lang w:val="de-DE"/>
              </w:rPr>
            </w:pPr>
            <w:r w:rsidRPr="00720172">
              <w:rPr>
                <w:b/>
                <w:szCs w:val="24"/>
                <w:lang w:val="de-DE"/>
              </w:rPr>
              <w:t>Ansatz 2:</w:t>
            </w:r>
            <w:r w:rsidR="00981B04" w:rsidRPr="00720172">
              <w:rPr>
                <w:b/>
                <w:szCs w:val="24"/>
                <w:lang w:val="de-DE"/>
              </w:rPr>
              <w:t xml:space="preserve"> </w:t>
            </w:r>
            <w:r w:rsidRPr="00720172">
              <w:rPr>
                <w:b/>
                <w:szCs w:val="24"/>
                <w:lang w:val="de-DE"/>
              </w:rPr>
              <w:t>Kombination der Ergebnisse aus zwei Wachstumsperioden im Fall widersprüchlicher Ergebnisse</w:t>
            </w:r>
          </w:p>
          <w:p w14:paraId="2C7133A1" w14:textId="77777777" w:rsidR="002A29A4" w:rsidRPr="00720172" w:rsidRDefault="002A29A4" w:rsidP="00D80102">
            <w:pPr>
              <w:keepNext/>
              <w:keepLines/>
              <w:rPr>
                <w:rFonts w:eastAsia="MS Mincho"/>
                <w:color w:val="000000"/>
                <w:lang w:val="de-DE" w:eastAsia="ja-JP"/>
              </w:rPr>
            </w:pPr>
          </w:p>
          <w:p w14:paraId="0DD674E5" w14:textId="77777777" w:rsidR="002A29A4" w:rsidRPr="00720172" w:rsidRDefault="002A29A4" w:rsidP="00D80102">
            <w:pPr>
              <w:rPr>
                <w:rFonts w:eastAsia="SimSun"/>
                <w:lang w:val="de-DE"/>
              </w:rPr>
            </w:pPr>
            <w:r w:rsidRPr="00720172">
              <w:rPr>
                <w:lang w:val="de-DE"/>
              </w:rPr>
              <w:t>Eine Sorte wird als homogen betrachtet, wenn sie in beiden Wachstumsperioden dem Homogenitätsstandard entspricht.</w:t>
            </w:r>
          </w:p>
          <w:p w14:paraId="774F1AA7" w14:textId="77777777" w:rsidR="002A29A4" w:rsidRPr="00720172" w:rsidRDefault="002A29A4" w:rsidP="00D80102">
            <w:pPr>
              <w:rPr>
                <w:rFonts w:eastAsia="SimSun"/>
                <w:lang w:val="de-DE"/>
              </w:rPr>
            </w:pPr>
          </w:p>
          <w:p w14:paraId="30BE71FA" w14:textId="77777777" w:rsidR="002A29A4" w:rsidRPr="00720172" w:rsidRDefault="002A29A4" w:rsidP="00D80102">
            <w:pPr>
              <w:rPr>
                <w:rFonts w:eastAsia="SimSun"/>
                <w:lang w:val="de-DE"/>
              </w:rPr>
            </w:pPr>
            <w:r w:rsidRPr="00720172">
              <w:rPr>
                <w:lang w:val="de-DE"/>
              </w:rPr>
              <w:t>Eine Sorte wird als nicht homogen betrachtet, wenn sie in beiden Wachstumsperioden nicht dem Homogenitätsstandard entspricht.</w:t>
            </w:r>
          </w:p>
          <w:p w14:paraId="152760A9" w14:textId="77777777" w:rsidR="002A29A4" w:rsidRPr="00720172" w:rsidRDefault="002A29A4" w:rsidP="00D80102">
            <w:pPr>
              <w:rPr>
                <w:rFonts w:eastAsia="SimSun"/>
                <w:lang w:val="de-DE"/>
              </w:rPr>
            </w:pPr>
          </w:p>
          <w:p w14:paraId="22B3E8E5" w14:textId="273B556D" w:rsidR="002A29A4" w:rsidRPr="00720172" w:rsidRDefault="002A29A4" w:rsidP="00D80102">
            <w:pPr>
              <w:keepNext/>
              <w:keepLines/>
              <w:rPr>
                <w:rFonts w:eastAsia="SimSun"/>
                <w:lang w:val="de-DE"/>
              </w:rPr>
            </w:pPr>
            <w:r w:rsidRPr="00720172">
              <w:rPr>
                <w:lang w:val="de-DE"/>
              </w:rPr>
              <w:t>Entspricht die Sorte am Ende der beiden Wachstumsperioden in einer Wachstumsperiode dem Homogenitätsstandard, in der anderen Wachstumsperiode aber nicht, wird eine Sorte als homogen betrachtet, wenn die Gesamtanzahl der Abweicher am Ende der beiden Wachstumsperioden die Anz</w:t>
            </w:r>
            <w:r w:rsidR="00720172">
              <w:rPr>
                <w:lang w:val="de-DE"/>
              </w:rPr>
              <w:t>ahl der erlaubten Abweicher der</w:t>
            </w:r>
            <w:r w:rsidRPr="00720172">
              <w:rPr>
                <w:lang w:val="de-DE"/>
              </w:rPr>
              <w:t xml:space="preserve"> Probengröße in den kombinierten Wachstumsperioden 1 und 2 nicht übersteigt.</w:t>
            </w:r>
          </w:p>
          <w:p w14:paraId="6AFA6731" w14:textId="77777777" w:rsidR="002A29A4" w:rsidRPr="005728BA" w:rsidRDefault="002A29A4" w:rsidP="00D80102">
            <w:pPr>
              <w:keepNext/>
              <w:keepLines/>
              <w:ind w:right="459"/>
              <w:rPr>
                <w:rFonts w:eastAsia="SimSun"/>
                <w:lang w:val="de-DE"/>
              </w:rPr>
            </w:pPr>
          </w:p>
          <w:p w14:paraId="7156CDD3" w14:textId="25313C63" w:rsidR="00720172" w:rsidRPr="00720172" w:rsidRDefault="002A29A4" w:rsidP="00720172">
            <w:pPr>
              <w:keepNext/>
              <w:keepLines/>
              <w:rPr>
                <w:rFonts w:eastAsia="SimSun"/>
                <w:lang w:val="de-DE" w:eastAsia="zh-CN"/>
              </w:rPr>
            </w:pPr>
            <w:r w:rsidRPr="00720172">
              <w:rPr>
                <w:lang w:val="de-DE"/>
              </w:rPr>
              <w:t>Bei der Prüfung von Ergebnissen, die in jeder der Wachstumsperioden sehr unterschiedlich sind, muß mit größter Sorgfalt verfahren werden, etwa wenn ein Abweichertyp in einer Wachstumsperiode sehr häufig und in einer anderen überhaupt nicht vorkommt</w:t>
            </w:r>
            <w:r w:rsidRPr="00720172">
              <w:rPr>
                <w:rFonts w:eastAsia="SimSun"/>
                <w:lang w:val="de-DE" w:eastAsia="zh-CN"/>
              </w:rPr>
              <w:t>.</w:t>
            </w:r>
            <w:r w:rsidR="00720172" w:rsidRPr="00720172">
              <w:rPr>
                <w:rFonts w:eastAsia="SimSun"/>
                <w:lang w:val="de-DE" w:eastAsia="zh-CN"/>
              </w:rPr>
              <w:t xml:space="preserve"> </w:t>
            </w:r>
            <w:r w:rsidR="00720172" w:rsidRPr="001A28DA">
              <w:rPr>
                <w:highlight w:val="lightGray"/>
                <w:u w:val="single"/>
                <w:lang w:val="de-DE"/>
              </w:rPr>
              <w:t>Gegebenenfalls sollte eine statistische Prüfung auf Einheitlichkeit durchgeführt werden</w:t>
            </w:r>
            <w:r w:rsidR="00720172" w:rsidRPr="001A28DA">
              <w:rPr>
                <w:u w:val="single"/>
                <w:lang w:val="de-DE"/>
              </w:rPr>
              <w:t>.</w:t>
            </w:r>
            <w:r w:rsidR="00720172" w:rsidRPr="00720172">
              <w:rPr>
                <w:u w:val="single"/>
                <w:lang w:val="de-DE"/>
              </w:rPr>
              <w:t xml:space="preserve"> </w:t>
            </w:r>
            <w:r w:rsidR="001A28DA">
              <w:rPr>
                <w:color w:val="000000"/>
                <w:highlight w:val="lightGray"/>
                <w:u w:val="single"/>
                <w:lang w:val="de-DE"/>
              </w:rPr>
              <w:t>Es ist wichtig, zu identifizieren</w:t>
            </w:r>
            <w:r w:rsidR="00720172" w:rsidRPr="00720172">
              <w:rPr>
                <w:color w:val="000000"/>
                <w:highlight w:val="lightGray"/>
                <w:u w:val="single"/>
                <w:lang w:val="de-DE"/>
              </w:rPr>
              <w:t xml:space="preserve">, </w:t>
            </w:r>
            <w:r w:rsidR="00720172" w:rsidRPr="00720172">
              <w:rPr>
                <w:highlight w:val="lightGray"/>
                <w:u w:val="single"/>
                <w:lang w:val="de-DE"/>
              </w:rPr>
              <w:t>ob Unterschiede in der Anzahl von Abweichern zwischen Wachstumsperioden durch biologische Ursachen oder durch Unterschiede in der Art der Probennahme bedingt sind</w:t>
            </w:r>
            <w:r w:rsidR="00720172" w:rsidRPr="00720172">
              <w:rPr>
                <w:lang w:val="de-DE"/>
              </w:rPr>
              <w:t xml:space="preserve">. </w:t>
            </w:r>
            <w:r w:rsidR="00720172" w:rsidRPr="00720172">
              <w:rPr>
                <w:rFonts w:eastAsia="SimSun"/>
                <w:lang w:val="de-DE" w:eastAsia="zh-CN"/>
              </w:rPr>
              <w:t xml:space="preserve">Außerdem kann, </w:t>
            </w:r>
            <w:r w:rsidR="00720172" w:rsidRPr="00720172">
              <w:rPr>
                <w:rFonts w:eastAsia="SimSun"/>
                <w:strike/>
                <w:highlight w:val="lightGray"/>
                <w:u w:val="single"/>
                <w:lang w:val="de-DE" w:eastAsia="zh-CN"/>
              </w:rPr>
              <w:t>aufgrund deutlich fehlender Homogenität</w:t>
            </w:r>
            <w:r w:rsidR="00720172" w:rsidRPr="00720172">
              <w:rPr>
                <w:rFonts w:eastAsia="SimSun"/>
                <w:highlight w:val="lightGray"/>
                <w:u w:val="single"/>
                <w:lang w:val="de-DE" w:eastAsia="zh-CN"/>
              </w:rPr>
              <w:t xml:space="preserve"> wenn die Anzahl der erlaubten Abweicher einer Sorte in der ersten Wachstumsperiode die Anzahl der erlaubten Abweicher in zwei Wachstumsperioden übersteigt</w:t>
            </w:r>
            <w:r w:rsidR="00720172" w:rsidRPr="00720172">
              <w:rPr>
                <w:rFonts w:eastAsia="SimSun"/>
                <w:lang w:val="de-DE" w:eastAsia="zh-CN"/>
              </w:rPr>
              <w:t>, die Sorte nach einer Wachstumsperiode zurückgewiesen werden.</w:t>
            </w:r>
          </w:p>
          <w:p w14:paraId="2355A003" w14:textId="06C2918F" w:rsidR="002A29A4" w:rsidRPr="005728BA" w:rsidRDefault="002A29A4" w:rsidP="00D80102">
            <w:pPr>
              <w:keepNext/>
              <w:keepLines/>
              <w:rPr>
                <w:rFonts w:eastAsia="SimSun"/>
                <w:lang w:val="de-DE" w:eastAsia="zh-CN"/>
              </w:rPr>
            </w:pPr>
          </w:p>
          <w:p w14:paraId="48182B9F" w14:textId="302B40C9" w:rsidR="002A29A4" w:rsidRPr="00720172" w:rsidRDefault="002A29A4" w:rsidP="00D80102">
            <w:pPr>
              <w:keepNext/>
              <w:ind w:left="34"/>
              <w:rPr>
                <w:b/>
                <w:bCs/>
                <w:lang w:val="de-DE"/>
              </w:rPr>
            </w:pPr>
            <w:r w:rsidRPr="00720172">
              <w:rPr>
                <w:b/>
                <w:bCs/>
                <w:lang w:val="de-DE"/>
              </w:rPr>
              <w:t>Ansatz 3:</w:t>
            </w:r>
            <w:r w:rsidR="00981B04" w:rsidRPr="00720172">
              <w:rPr>
                <w:b/>
                <w:bCs/>
                <w:lang w:val="de-DE"/>
              </w:rPr>
              <w:t xml:space="preserve"> </w:t>
            </w:r>
            <w:r w:rsidRPr="00720172">
              <w:rPr>
                <w:b/>
                <w:bCs/>
                <w:lang w:val="de-DE"/>
              </w:rPr>
              <w:t>Kombination der Ergebnisse aus zwei Wachstumsperioden</w:t>
            </w:r>
          </w:p>
          <w:p w14:paraId="624E5B36" w14:textId="77777777" w:rsidR="002A29A4" w:rsidRPr="00720172" w:rsidRDefault="002A29A4" w:rsidP="00D80102">
            <w:pPr>
              <w:keepNext/>
              <w:ind w:left="34"/>
              <w:rPr>
                <w:lang w:val="de-DE"/>
              </w:rPr>
            </w:pPr>
          </w:p>
          <w:p w14:paraId="730E0865" w14:textId="77777777" w:rsidR="002A29A4" w:rsidRPr="00720172" w:rsidRDefault="002A29A4" w:rsidP="00D80102">
            <w:pPr>
              <w:ind w:left="34"/>
              <w:rPr>
                <w:lang w:val="de-DE"/>
              </w:rPr>
            </w:pPr>
            <w:r w:rsidRPr="00720172">
              <w:rPr>
                <w:lang w:val="de-DE"/>
              </w:rPr>
              <w:t>Eine Sorte wird als homogen betrachtet, wenn die Gesamtzahl der Abweicher am Ende der beiden Wachstumsperioden die Anzahl der erlaubten Abweicher in der kombinierten Probe nicht übersteigt.</w:t>
            </w:r>
          </w:p>
          <w:p w14:paraId="7C650C77" w14:textId="77777777" w:rsidR="002A29A4" w:rsidRPr="00720172" w:rsidRDefault="002A29A4" w:rsidP="00D80102">
            <w:pPr>
              <w:ind w:left="34"/>
              <w:rPr>
                <w:lang w:val="de-DE"/>
              </w:rPr>
            </w:pPr>
          </w:p>
          <w:p w14:paraId="4B9C2226" w14:textId="77777777" w:rsidR="002A29A4" w:rsidRPr="00720172" w:rsidRDefault="002A29A4" w:rsidP="00D80102">
            <w:pPr>
              <w:ind w:left="34"/>
              <w:rPr>
                <w:lang w:val="de-DE"/>
              </w:rPr>
            </w:pPr>
            <w:r w:rsidRPr="00720172">
              <w:rPr>
                <w:lang w:val="de-DE"/>
              </w:rPr>
              <w:t>Eine Sorte wird als nicht homogen betrachtet, wenn die Gesamtanzahl der Abweicher am Ende der beiden Wachstumsperioden die Anzahl der erlaubten Abweicher der kombinierten Probe übersteigt.</w:t>
            </w:r>
          </w:p>
          <w:p w14:paraId="3FD6DB74" w14:textId="77777777" w:rsidR="002A29A4" w:rsidRPr="00720172" w:rsidRDefault="002A29A4" w:rsidP="00D80102">
            <w:pPr>
              <w:ind w:left="34"/>
              <w:rPr>
                <w:lang w:val="de-DE"/>
              </w:rPr>
            </w:pPr>
          </w:p>
          <w:p w14:paraId="30ADCE34" w14:textId="77777777" w:rsidR="002A29A4" w:rsidRPr="00720172" w:rsidRDefault="002A29A4" w:rsidP="00D80102">
            <w:pPr>
              <w:ind w:left="34"/>
              <w:rPr>
                <w:lang w:val="de-DE"/>
              </w:rPr>
            </w:pPr>
            <w:r w:rsidRPr="00720172">
              <w:rPr>
                <w:lang w:val="de-DE"/>
              </w:rPr>
              <w:t>Eine Sorte kann nach einer Wachstumsperiode zurückgewiesen werden, wenn die Anzahl der Abweicher die Anzahl der erlaubten Abweicher der kombinierten Probe (über zwei Perioden) übersteigt.</w:t>
            </w:r>
          </w:p>
          <w:p w14:paraId="16CC6B4C" w14:textId="77777777" w:rsidR="002A29A4" w:rsidRPr="00720172" w:rsidRDefault="002A29A4" w:rsidP="00D80102">
            <w:pPr>
              <w:ind w:left="34"/>
              <w:rPr>
                <w:u w:val="single"/>
                <w:lang w:val="de-DE"/>
              </w:rPr>
            </w:pPr>
          </w:p>
          <w:p w14:paraId="3B3D043F" w14:textId="4BEF21CE" w:rsidR="002A29A4" w:rsidRPr="00720172" w:rsidRDefault="002A29A4" w:rsidP="00D80102">
            <w:pPr>
              <w:ind w:left="34"/>
              <w:rPr>
                <w:highlight w:val="lightGray"/>
                <w:lang w:val="de-DE"/>
              </w:rPr>
            </w:pPr>
            <w:r w:rsidRPr="00720172">
              <w:rPr>
                <w:lang w:val="de-DE"/>
              </w:rPr>
              <w:t xml:space="preserve">Bei der Prüfung von Ergebnissen, die in jeder der Wachstumsperioden sehr unterschiedlich sind, muß mit größter Sorgfalt verfahren werden, etwa wenn ein Abweichertyp in einer Wachstumsperiode sehr häufig und in einer anderen überhaupt nicht vorkommt. </w:t>
            </w:r>
            <w:r w:rsidR="00720172" w:rsidRPr="00720172">
              <w:rPr>
                <w:strike/>
                <w:highlight w:val="lightGray"/>
                <w:u w:val="single"/>
                <w:lang w:val="de-DE"/>
              </w:rPr>
              <w:t>Wenn es möglich ist,</w:t>
            </w:r>
            <w:r w:rsidR="00720172" w:rsidRPr="00720172">
              <w:rPr>
                <w:highlight w:val="lightGray"/>
                <w:u w:val="single"/>
                <w:lang w:val="de-DE"/>
              </w:rPr>
              <w:t xml:space="preserve"> Gegebenenfalls sollte eine statistische Prüfung auf Einheitlichkeit durchgeführt werden</w:t>
            </w:r>
            <w:r w:rsidRPr="00720172">
              <w:rPr>
                <w:highlight w:val="lightGray"/>
                <w:u w:val="single"/>
                <w:lang w:val="de-DE"/>
              </w:rPr>
              <w:t>.</w:t>
            </w:r>
            <w:r w:rsidR="00720172" w:rsidRPr="00720172">
              <w:rPr>
                <w:highlight w:val="lightGray"/>
                <w:u w:val="single"/>
                <w:lang w:val="de-DE"/>
              </w:rPr>
              <w:t xml:space="preserve"> </w:t>
            </w:r>
          </w:p>
          <w:p w14:paraId="2ED8C339" w14:textId="5BDB9C8C" w:rsidR="002A29A4" w:rsidRDefault="001A28DA" w:rsidP="00D80102">
            <w:pPr>
              <w:keepNext/>
              <w:keepLines/>
              <w:rPr>
                <w:u w:val="single"/>
                <w:lang w:val="de-DE"/>
              </w:rPr>
            </w:pPr>
            <w:r>
              <w:rPr>
                <w:color w:val="000000"/>
                <w:highlight w:val="lightGray"/>
                <w:u w:val="single"/>
                <w:lang w:val="de-DE"/>
              </w:rPr>
              <w:t>Es ist wichtig, zu identifizieren</w:t>
            </w:r>
            <w:r w:rsidR="00720172" w:rsidRPr="00720172">
              <w:rPr>
                <w:color w:val="000000"/>
                <w:highlight w:val="lightGray"/>
                <w:u w:val="single"/>
                <w:lang w:val="de-DE"/>
              </w:rPr>
              <w:t xml:space="preserve">, </w:t>
            </w:r>
            <w:r w:rsidR="00720172" w:rsidRPr="00720172">
              <w:rPr>
                <w:highlight w:val="lightGray"/>
                <w:u w:val="single"/>
                <w:lang w:val="de-DE"/>
              </w:rPr>
              <w:t>ob Unterschiede in der Anzahl von Abweichern zwischen Wachstumsperioden durch biologische Ursachen oder durch Unterschiede in der Art der Probennahme bedingt sind</w:t>
            </w:r>
          </w:p>
          <w:p w14:paraId="174AD60F" w14:textId="77777777" w:rsidR="00720172" w:rsidRPr="00720172" w:rsidRDefault="00720172" w:rsidP="00D80102">
            <w:pPr>
              <w:keepNext/>
              <w:keepLines/>
              <w:rPr>
                <w:rFonts w:eastAsia="SimSun"/>
                <w:lang w:val="de-DE" w:eastAsia="zh-CN"/>
              </w:rPr>
            </w:pPr>
          </w:p>
          <w:p w14:paraId="4CC62F7B" w14:textId="77777777" w:rsidR="002A29A4" w:rsidRPr="005728BA" w:rsidRDefault="002A29A4" w:rsidP="00D80102">
            <w:pPr>
              <w:keepNext/>
              <w:keepLines/>
              <w:jc w:val="left"/>
              <w:rPr>
                <w:szCs w:val="24"/>
                <w:lang w:val="de-DE"/>
              </w:rPr>
            </w:pPr>
            <w:r w:rsidRPr="005728BA">
              <w:rPr>
                <w:szCs w:val="24"/>
                <w:lang w:val="de-DE"/>
              </w:rPr>
              <w:t>Beispiel:</w:t>
            </w:r>
          </w:p>
          <w:tbl>
            <w:tblPr>
              <w:tblW w:w="9124" w:type="dxa"/>
              <w:tblInd w:w="600" w:type="dxa"/>
              <w:tblLayout w:type="fixed"/>
              <w:tblLook w:val="04A0" w:firstRow="1" w:lastRow="0" w:firstColumn="1" w:lastColumn="0" w:noHBand="0" w:noVBand="1"/>
            </w:tblPr>
            <w:tblGrid>
              <w:gridCol w:w="424"/>
              <w:gridCol w:w="696"/>
              <w:gridCol w:w="1134"/>
              <w:gridCol w:w="180"/>
              <w:gridCol w:w="954"/>
              <w:gridCol w:w="1807"/>
              <w:gridCol w:w="320"/>
              <w:gridCol w:w="1985"/>
              <w:gridCol w:w="1624"/>
            </w:tblGrid>
            <w:tr w:rsidR="002A29A4" w:rsidRPr="00720172" w14:paraId="45F754B0" w14:textId="77777777" w:rsidTr="005D2F87">
              <w:trPr>
                <w:gridAfter w:val="1"/>
                <w:wAfter w:w="1624" w:type="dxa"/>
                <w:trHeight w:val="255"/>
              </w:trPr>
              <w:tc>
                <w:tcPr>
                  <w:tcW w:w="1120" w:type="dxa"/>
                  <w:gridSpan w:val="2"/>
                  <w:tcBorders>
                    <w:top w:val="nil"/>
                    <w:left w:val="nil"/>
                    <w:bottom w:val="nil"/>
                  </w:tcBorders>
                  <w:shd w:val="clear" w:color="auto" w:fill="auto"/>
                  <w:noWrap/>
                  <w:vAlign w:val="bottom"/>
                </w:tcPr>
                <w:p w14:paraId="6A18705A" w14:textId="77777777" w:rsidR="002A29A4" w:rsidRPr="005728BA" w:rsidRDefault="002A29A4" w:rsidP="00D80102">
                  <w:pPr>
                    <w:jc w:val="left"/>
                    <w:rPr>
                      <w:rFonts w:cs="Arial"/>
                      <w:color w:val="000000"/>
                      <w:lang w:val="de-DE"/>
                    </w:rPr>
                  </w:pPr>
                </w:p>
              </w:tc>
              <w:tc>
                <w:tcPr>
                  <w:tcW w:w="6380" w:type="dxa"/>
                  <w:gridSpan w:val="6"/>
                  <w:tcBorders>
                    <w:top w:val="nil"/>
                    <w:right w:val="nil"/>
                  </w:tcBorders>
                  <w:shd w:val="clear" w:color="auto" w:fill="auto"/>
                  <w:vAlign w:val="bottom"/>
                </w:tcPr>
                <w:p w14:paraId="469B1166" w14:textId="7AEFD6A4" w:rsidR="002A29A4" w:rsidRPr="005728BA" w:rsidRDefault="002A29A4" w:rsidP="00D80102">
                  <w:pPr>
                    <w:jc w:val="left"/>
                    <w:rPr>
                      <w:rFonts w:cs="Arial"/>
                      <w:color w:val="000000"/>
                      <w:lang w:val="de-DE"/>
                    </w:rPr>
                  </w:pPr>
                  <w:r w:rsidRPr="005728BA">
                    <w:rPr>
                      <w:color w:val="000000"/>
                      <w:lang w:val="de-DE"/>
                    </w:rPr>
                    <w:t>Populationsstandard</w:t>
                  </w:r>
                  <w:r w:rsidR="00981B04">
                    <w:rPr>
                      <w:color w:val="000000"/>
                      <w:lang w:val="de-DE"/>
                    </w:rPr>
                    <w:t xml:space="preserve"> </w:t>
                  </w:r>
                  <w:r w:rsidRPr="005728BA">
                    <w:rPr>
                      <w:color w:val="000000"/>
                      <w:lang w:val="de-DE"/>
                    </w:rPr>
                    <w:t>= 1%</w:t>
                  </w:r>
                  <w:r w:rsidR="00981B04">
                    <w:rPr>
                      <w:color w:val="000000"/>
                      <w:lang w:val="de-DE"/>
                    </w:rPr>
                    <w:t xml:space="preserve"> </w:t>
                  </w:r>
                </w:p>
              </w:tc>
            </w:tr>
            <w:tr w:rsidR="002A29A4" w:rsidRPr="00720172" w14:paraId="533FC00D" w14:textId="77777777" w:rsidTr="005D2F87">
              <w:trPr>
                <w:gridAfter w:val="1"/>
                <w:wAfter w:w="1624" w:type="dxa"/>
                <w:trHeight w:val="270"/>
              </w:trPr>
              <w:tc>
                <w:tcPr>
                  <w:tcW w:w="1120" w:type="dxa"/>
                  <w:gridSpan w:val="2"/>
                  <w:tcBorders>
                    <w:top w:val="nil"/>
                    <w:left w:val="nil"/>
                    <w:bottom w:val="nil"/>
                  </w:tcBorders>
                  <w:shd w:val="clear" w:color="auto" w:fill="auto"/>
                  <w:noWrap/>
                  <w:vAlign w:val="bottom"/>
                  <w:hideMark/>
                </w:tcPr>
                <w:p w14:paraId="3C78CD96" w14:textId="77777777" w:rsidR="002A29A4" w:rsidRPr="005728BA" w:rsidRDefault="002A29A4" w:rsidP="00D80102">
                  <w:pPr>
                    <w:jc w:val="left"/>
                    <w:rPr>
                      <w:rFonts w:cs="Arial"/>
                      <w:color w:val="000000"/>
                      <w:lang w:val="de-DE"/>
                    </w:rPr>
                  </w:pPr>
                </w:p>
              </w:tc>
              <w:tc>
                <w:tcPr>
                  <w:tcW w:w="6380" w:type="dxa"/>
                  <w:gridSpan w:val="6"/>
                  <w:tcBorders>
                    <w:top w:val="nil"/>
                    <w:bottom w:val="single" w:sz="4" w:space="0" w:color="auto"/>
                    <w:right w:val="nil"/>
                  </w:tcBorders>
                  <w:shd w:val="clear" w:color="auto" w:fill="auto"/>
                  <w:vAlign w:val="bottom"/>
                </w:tcPr>
                <w:p w14:paraId="0173D1AE" w14:textId="77777777" w:rsidR="002A29A4" w:rsidRPr="005728BA" w:rsidRDefault="002A29A4" w:rsidP="00D80102">
                  <w:pPr>
                    <w:jc w:val="left"/>
                    <w:rPr>
                      <w:rFonts w:cs="Arial"/>
                      <w:color w:val="000000"/>
                      <w:lang w:val="de-DE"/>
                    </w:rPr>
                  </w:pPr>
                  <w:r w:rsidRPr="005728BA">
                    <w:rPr>
                      <w:color w:val="000000"/>
                      <w:lang w:val="de-DE"/>
                    </w:rPr>
                    <w:t>Akzeptanzwahrscheinlichkeit ≥ 95%</w:t>
                  </w:r>
                </w:p>
              </w:tc>
            </w:tr>
            <w:tr w:rsidR="002A29A4" w:rsidRPr="00A55926" w14:paraId="4E33DD7C" w14:textId="77777777" w:rsidTr="005D2F87">
              <w:trPr>
                <w:gridBefore w:val="2"/>
                <w:gridAfter w:val="1"/>
                <w:wBefore w:w="1120" w:type="dxa"/>
                <w:wAfter w:w="1624"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14:paraId="4FB78345" w14:textId="77777777" w:rsidR="002A29A4" w:rsidRPr="005728BA" w:rsidRDefault="002A29A4" w:rsidP="00D80102">
                  <w:pPr>
                    <w:jc w:val="left"/>
                    <w:rPr>
                      <w:rFonts w:cs="Arial"/>
                      <w:color w:val="000000"/>
                      <w:lang w:val="de-DE"/>
                    </w:rPr>
                  </w:pPr>
                  <w:r>
                    <w:rPr>
                      <w:rFonts w:cs="Arial"/>
                      <w:color w:val="000000"/>
                      <w:lang w:val="de-DE"/>
                    </w:rPr>
                    <w:t>Probengröße in jeder der</w:t>
                  </w:r>
                  <w:r w:rsidRPr="005728BA">
                    <w:rPr>
                      <w:rFonts w:cs="Arial"/>
                      <w:color w:val="000000"/>
                      <w:lang w:val="de-DE"/>
                    </w:rPr>
                    <w:t xml:space="preserve"> Wachstumsperioden 1 und 2 = 50</w:t>
                  </w:r>
                </w:p>
              </w:tc>
            </w:tr>
            <w:tr w:rsidR="002A29A4" w:rsidRPr="00235FD7" w14:paraId="3461EA8B" w14:textId="77777777" w:rsidTr="005D2F87">
              <w:trPr>
                <w:gridBefore w:val="2"/>
                <w:gridAfter w:val="1"/>
                <w:wBefore w:w="1120" w:type="dxa"/>
                <w:wAfter w:w="1624"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14:paraId="36C4BBB5" w14:textId="77777777" w:rsidR="002A29A4" w:rsidRPr="005728BA" w:rsidRDefault="002A29A4" w:rsidP="00D80102">
                  <w:pPr>
                    <w:jc w:val="left"/>
                    <w:rPr>
                      <w:rFonts w:cs="Arial"/>
                      <w:color w:val="000000"/>
                      <w:lang w:val="de-DE"/>
                    </w:rPr>
                  </w:pPr>
                  <w:r>
                    <w:rPr>
                      <w:rFonts w:cs="Arial"/>
                      <w:color w:val="000000"/>
                      <w:lang w:val="de-DE"/>
                    </w:rPr>
                    <w:t>Höchstzahl</w:t>
                  </w:r>
                  <w:r w:rsidRPr="005728BA">
                    <w:rPr>
                      <w:rFonts w:cs="Arial"/>
                      <w:color w:val="000000"/>
                      <w:lang w:val="de-DE"/>
                    </w:rPr>
                    <w:t xml:space="preserve"> an Abweichern = 2</w:t>
                  </w:r>
                </w:p>
              </w:tc>
            </w:tr>
            <w:tr w:rsidR="002A29A4" w:rsidRPr="00A55926" w14:paraId="73FB255F" w14:textId="77777777" w:rsidTr="005D2F87">
              <w:trPr>
                <w:gridBefore w:val="2"/>
                <w:gridAfter w:val="1"/>
                <w:wBefore w:w="1120" w:type="dxa"/>
                <w:wAfter w:w="1624"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14:paraId="2B6F9D88" w14:textId="77777777" w:rsidR="002A29A4" w:rsidRPr="005728BA" w:rsidRDefault="002A29A4" w:rsidP="00D80102">
                  <w:pPr>
                    <w:jc w:val="left"/>
                    <w:rPr>
                      <w:rFonts w:cs="Arial"/>
                      <w:color w:val="000000"/>
                      <w:lang w:val="de-DE"/>
                    </w:rPr>
                  </w:pPr>
                  <w:r>
                    <w:rPr>
                      <w:rFonts w:cs="Arial"/>
                      <w:color w:val="000000"/>
                      <w:lang w:val="de-DE"/>
                    </w:rPr>
                    <w:t>Probengröße</w:t>
                  </w:r>
                  <w:r w:rsidRPr="005728BA">
                    <w:rPr>
                      <w:rFonts w:cs="Arial"/>
                      <w:color w:val="000000"/>
                      <w:lang w:val="de-DE"/>
                    </w:rPr>
                    <w:t xml:space="preserve"> in Wachstumsperioden 1 und 2 </w:t>
                  </w:r>
                  <w:r>
                    <w:rPr>
                      <w:rFonts w:cs="Arial"/>
                      <w:color w:val="000000"/>
                      <w:lang w:val="de-DE"/>
                    </w:rPr>
                    <w:t>kombiniert</w:t>
                  </w:r>
                  <w:r w:rsidRPr="005728BA">
                    <w:rPr>
                      <w:rFonts w:cs="Arial"/>
                      <w:color w:val="000000"/>
                      <w:lang w:val="de-DE"/>
                    </w:rPr>
                    <w:t xml:space="preserve"> = 100</w:t>
                  </w:r>
                </w:p>
              </w:tc>
            </w:tr>
            <w:tr w:rsidR="002A29A4" w:rsidRPr="00A55926" w14:paraId="142E3A8A" w14:textId="77777777" w:rsidTr="005D2F87">
              <w:trPr>
                <w:gridBefore w:val="2"/>
                <w:gridAfter w:val="1"/>
                <w:wBefore w:w="1120"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14:paraId="04D5ABD8" w14:textId="77777777" w:rsidR="002A29A4" w:rsidRPr="005728BA" w:rsidRDefault="002A29A4" w:rsidP="00D80102">
                  <w:pPr>
                    <w:jc w:val="left"/>
                    <w:rPr>
                      <w:rFonts w:cs="Arial"/>
                      <w:color w:val="000000"/>
                      <w:lang w:val="de-DE"/>
                    </w:rPr>
                  </w:pPr>
                  <w:r>
                    <w:rPr>
                      <w:rFonts w:cs="Arial"/>
                      <w:color w:val="000000"/>
                      <w:lang w:val="de-DE"/>
                    </w:rPr>
                    <w:t>Höchstzahl</w:t>
                  </w:r>
                  <w:r w:rsidRPr="005728BA">
                    <w:rPr>
                      <w:rFonts w:cs="Arial"/>
                      <w:color w:val="000000"/>
                      <w:lang w:val="de-DE"/>
                    </w:rPr>
                    <w:t xml:space="preserve"> an Abweichern = 3</w:t>
                  </w:r>
                </w:p>
              </w:tc>
            </w:tr>
            <w:tr w:rsidR="002A29A4" w:rsidRPr="00A55926" w14:paraId="61AE7111" w14:textId="77777777" w:rsidTr="005D2F87">
              <w:trPr>
                <w:gridBefore w:val="2"/>
                <w:gridAfter w:val="1"/>
                <w:wBefore w:w="1120"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14:paraId="4C887508" w14:textId="77777777" w:rsidR="002A29A4" w:rsidRPr="005728BA" w:rsidRDefault="002A29A4" w:rsidP="00D80102">
                  <w:pPr>
                    <w:jc w:val="left"/>
                    <w:rPr>
                      <w:rFonts w:cs="Arial"/>
                      <w:color w:val="000000"/>
                      <w:lang w:val="de-DE"/>
                    </w:rPr>
                  </w:pPr>
                  <w:r w:rsidRPr="005728BA">
                    <w:rPr>
                      <w:rFonts w:cs="Arial"/>
                      <w:color w:val="000000"/>
                      <w:lang w:val="de-DE"/>
                    </w:rPr>
                    <w:t> </w:t>
                  </w:r>
                </w:p>
              </w:tc>
              <w:tc>
                <w:tcPr>
                  <w:tcW w:w="954" w:type="dxa"/>
                  <w:tcBorders>
                    <w:top w:val="nil"/>
                    <w:left w:val="nil"/>
                    <w:bottom w:val="single" w:sz="4" w:space="0" w:color="auto"/>
                    <w:right w:val="nil"/>
                  </w:tcBorders>
                  <w:shd w:val="clear" w:color="auto" w:fill="auto"/>
                  <w:noWrap/>
                  <w:vAlign w:val="bottom"/>
                  <w:hideMark/>
                </w:tcPr>
                <w:p w14:paraId="29FE96E3" w14:textId="77777777" w:rsidR="002A29A4" w:rsidRPr="005728BA" w:rsidRDefault="002A29A4" w:rsidP="00D80102">
                  <w:pPr>
                    <w:jc w:val="left"/>
                    <w:rPr>
                      <w:rFonts w:cs="Arial"/>
                      <w:color w:val="000000"/>
                      <w:lang w:val="de-DE"/>
                    </w:rPr>
                  </w:pPr>
                  <w:r w:rsidRPr="005728BA">
                    <w:rPr>
                      <w:rFonts w:cs="Arial"/>
                      <w:color w:val="000000"/>
                      <w:lang w:val="de-DE"/>
                    </w:rPr>
                    <w:t> </w:t>
                  </w:r>
                </w:p>
              </w:tc>
              <w:tc>
                <w:tcPr>
                  <w:tcW w:w="1807" w:type="dxa"/>
                  <w:tcBorders>
                    <w:top w:val="nil"/>
                    <w:left w:val="nil"/>
                    <w:bottom w:val="single" w:sz="4" w:space="0" w:color="auto"/>
                    <w:right w:val="nil"/>
                  </w:tcBorders>
                  <w:shd w:val="clear" w:color="auto" w:fill="auto"/>
                  <w:noWrap/>
                  <w:vAlign w:val="bottom"/>
                  <w:hideMark/>
                </w:tcPr>
                <w:p w14:paraId="26EF5A48" w14:textId="77777777" w:rsidR="002A29A4" w:rsidRPr="005728BA" w:rsidRDefault="002A29A4" w:rsidP="00D80102">
                  <w:pPr>
                    <w:jc w:val="left"/>
                    <w:rPr>
                      <w:rFonts w:cs="Arial"/>
                      <w:color w:val="000000"/>
                      <w:lang w:val="de-DE"/>
                    </w:rPr>
                  </w:pPr>
                  <w:r w:rsidRPr="005728BA">
                    <w:rPr>
                      <w:rFonts w:cs="Arial"/>
                      <w:color w:val="000000"/>
                      <w:lang w:val="de-DE"/>
                    </w:rPr>
                    <w:t> </w:t>
                  </w:r>
                </w:p>
              </w:tc>
              <w:tc>
                <w:tcPr>
                  <w:tcW w:w="2305" w:type="dxa"/>
                  <w:gridSpan w:val="2"/>
                  <w:tcBorders>
                    <w:top w:val="nil"/>
                    <w:left w:val="nil"/>
                    <w:bottom w:val="single" w:sz="4" w:space="0" w:color="auto"/>
                    <w:right w:val="nil"/>
                  </w:tcBorders>
                  <w:shd w:val="clear" w:color="auto" w:fill="auto"/>
                  <w:noWrap/>
                  <w:vAlign w:val="bottom"/>
                  <w:hideMark/>
                </w:tcPr>
                <w:p w14:paraId="47675180" w14:textId="77777777" w:rsidR="002A29A4" w:rsidRPr="005728BA" w:rsidRDefault="002A29A4" w:rsidP="00D80102">
                  <w:pPr>
                    <w:jc w:val="left"/>
                    <w:rPr>
                      <w:rFonts w:cs="Arial"/>
                      <w:color w:val="000000"/>
                      <w:lang w:val="de-DE"/>
                    </w:rPr>
                  </w:pPr>
                  <w:r w:rsidRPr="005728BA">
                    <w:rPr>
                      <w:rFonts w:cs="Arial"/>
                      <w:color w:val="000000"/>
                      <w:lang w:val="de-DE"/>
                    </w:rPr>
                    <w:t> </w:t>
                  </w:r>
                </w:p>
              </w:tc>
            </w:tr>
            <w:tr w:rsidR="002A29A4" w:rsidRPr="00A55926" w14:paraId="158827B2" w14:textId="77777777" w:rsidTr="005D2F87">
              <w:trPr>
                <w:gridBefore w:val="1"/>
                <w:wBefore w:w="424" w:type="dxa"/>
                <w:trHeight w:val="380"/>
              </w:trPr>
              <w:tc>
                <w:tcPr>
                  <w:tcW w:w="696" w:type="dxa"/>
                  <w:tcBorders>
                    <w:top w:val="nil"/>
                    <w:left w:val="nil"/>
                    <w:bottom w:val="nil"/>
                    <w:right w:val="single" w:sz="4" w:space="0" w:color="auto"/>
                  </w:tcBorders>
                  <w:shd w:val="clear" w:color="auto" w:fill="auto"/>
                  <w:noWrap/>
                  <w:vAlign w:val="bottom"/>
                  <w:hideMark/>
                </w:tcPr>
                <w:p w14:paraId="7C3483A5" w14:textId="77777777" w:rsidR="002A29A4" w:rsidRPr="005728BA" w:rsidRDefault="002A29A4" w:rsidP="00D80102">
                  <w:pPr>
                    <w:jc w:val="left"/>
                    <w:rPr>
                      <w:rFonts w:cs="Arial"/>
                      <w:color w:val="000000"/>
                      <w:lang w:val="de-DE"/>
                    </w:rPr>
                  </w:pPr>
                  <w:r w:rsidRPr="005728BA">
                    <w:rPr>
                      <w:rFonts w:cs="Arial"/>
                      <w:color w:val="000000"/>
                      <w:lang w:val="de-DE"/>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14:paraId="05AB556B" w14:textId="77777777" w:rsidR="002A29A4" w:rsidRPr="005728BA" w:rsidRDefault="002A29A4" w:rsidP="00D80102">
                  <w:pPr>
                    <w:jc w:val="center"/>
                    <w:rPr>
                      <w:rFonts w:cs="Arial"/>
                      <w:color w:val="000000"/>
                      <w:lang w:val="de-DE"/>
                    </w:rPr>
                  </w:pPr>
                  <w:r w:rsidRPr="005728BA">
                    <w:rPr>
                      <w:rFonts w:cs="Arial"/>
                      <w:color w:val="000000"/>
                      <w:lang w:val="de-DE"/>
                    </w:rPr>
                    <w:t>Wachstumsperiode</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18F8A2BF" w14:textId="77777777" w:rsidR="002A29A4" w:rsidRPr="005728BA" w:rsidRDefault="002A29A4" w:rsidP="00D80102">
                  <w:pPr>
                    <w:jc w:val="center"/>
                    <w:rPr>
                      <w:lang w:val="de-DE"/>
                    </w:rPr>
                  </w:pPr>
                  <w:r w:rsidRPr="005728BA">
                    <w:rPr>
                      <w:color w:val="000000"/>
                      <w:lang w:val="de-DE"/>
                    </w:rPr>
                    <w:t>Entscheidung</w:t>
                  </w:r>
                </w:p>
              </w:tc>
            </w:tr>
            <w:tr w:rsidR="002A29A4" w:rsidRPr="00A55926" w14:paraId="3C3D52B6" w14:textId="77777777" w:rsidTr="005D2F87">
              <w:trPr>
                <w:gridBefore w:val="1"/>
                <w:wBefore w:w="424"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14:paraId="236794E2" w14:textId="77777777" w:rsidR="002A29A4" w:rsidRPr="005728BA" w:rsidRDefault="002A29A4" w:rsidP="00D80102">
                  <w:pPr>
                    <w:jc w:val="left"/>
                    <w:rPr>
                      <w:rFonts w:cs="Arial"/>
                      <w:color w:val="000000"/>
                      <w:lang w:val="de-DE"/>
                    </w:rPr>
                  </w:pPr>
                  <w:r w:rsidRPr="005728BA">
                    <w:rPr>
                      <w:rFonts w:cs="Arial"/>
                      <w:color w:val="000000"/>
                      <w:lang w:val="de-DE"/>
                    </w:rPr>
                    <w:t> </w:t>
                  </w:r>
                </w:p>
              </w:tc>
              <w:tc>
                <w:tcPr>
                  <w:tcW w:w="1134" w:type="dxa"/>
                  <w:tcBorders>
                    <w:top w:val="nil"/>
                    <w:left w:val="nil"/>
                    <w:bottom w:val="single" w:sz="8" w:space="0" w:color="auto"/>
                    <w:right w:val="single" w:sz="4" w:space="0" w:color="auto"/>
                  </w:tcBorders>
                  <w:shd w:val="clear" w:color="auto" w:fill="auto"/>
                  <w:noWrap/>
                  <w:vAlign w:val="bottom"/>
                  <w:hideMark/>
                </w:tcPr>
                <w:p w14:paraId="57C764F0" w14:textId="77777777" w:rsidR="002A29A4" w:rsidRPr="00720172" w:rsidRDefault="002A29A4" w:rsidP="00D80102">
                  <w:pPr>
                    <w:spacing w:after="100" w:afterAutospacing="1"/>
                    <w:jc w:val="center"/>
                    <w:rPr>
                      <w:rFonts w:cs="Arial"/>
                      <w:color w:val="000000"/>
                      <w:lang w:val="de-DE"/>
                    </w:rPr>
                  </w:pPr>
                  <w:r w:rsidRPr="00720172">
                    <w:rPr>
                      <w:rFonts w:cs="Arial"/>
                      <w:color w:val="000000"/>
                      <w:lang w:val="de-DE"/>
                    </w:rPr>
                    <w:t>Erste</w:t>
                  </w:r>
                </w:p>
              </w:tc>
              <w:tc>
                <w:tcPr>
                  <w:tcW w:w="1134" w:type="dxa"/>
                  <w:gridSpan w:val="2"/>
                  <w:tcBorders>
                    <w:top w:val="nil"/>
                    <w:left w:val="nil"/>
                    <w:bottom w:val="single" w:sz="8" w:space="0" w:color="auto"/>
                    <w:right w:val="single" w:sz="4" w:space="0" w:color="auto"/>
                  </w:tcBorders>
                  <w:shd w:val="clear" w:color="auto" w:fill="auto"/>
                  <w:noWrap/>
                  <w:vAlign w:val="center"/>
                  <w:hideMark/>
                </w:tcPr>
                <w:p w14:paraId="177825EE" w14:textId="77777777" w:rsidR="002A29A4" w:rsidRPr="00720172" w:rsidRDefault="002A29A4" w:rsidP="00D80102">
                  <w:pPr>
                    <w:jc w:val="center"/>
                    <w:rPr>
                      <w:rFonts w:cs="Arial"/>
                      <w:color w:val="000000"/>
                      <w:lang w:val="de-DE"/>
                    </w:rPr>
                  </w:pPr>
                  <w:r w:rsidRPr="00720172">
                    <w:rPr>
                      <w:rFonts w:cs="Arial"/>
                      <w:color w:val="000000"/>
                      <w:lang w:val="de-DE"/>
                    </w:rPr>
                    <w:t>Zweite</w:t>
                  </w:r>
                </w:p>
              </w:tc>
              <w:tc>
                <w:tcPr>
                  <w:tcW w:w="2127" w:type="dxa"/>
                  <w:gridSpan w:val="2"/>
                  <w:tcBorders>
                    <w:top w:val="nil"/>
                    <w:left w:val="nil"/>
                    <w:bottom w:val="single" w:sz="8" w:space="0" w:color="auto"/>
                    <w:right w:val="single" w:sz="4" w:space="0" w:color="auto"/>
                  </w:tcBorders>
                  <w:shd w:val="clear" w:color="auto" w:fill="auto"/>
                  <w:noWrap/>
                  <w:vAlign w:val="center"/>
                  <w:hideMark/>
                </w:tcPr>
                <w:p w14:paraId="7753CDA9" w14:textId="77777777" w:rsidR="002A29A4" w:rsidRPr="00720172" w:rsidRDefault="002A29A4" w:rsidP="00D80102">
                  <w:pPr>
                    <w:jc w:val="center"/>
                    <w:rPr>
                      <w:rFonts w:cs="Arial"/>
                      <w:color w:val="000000"/>
                      <w:lang w:val="de-DE"/>
                    </w:rPr>
                  </w:pPr>
                  <w:r w:rsidRPr="00720172">
                    <w:rPr>
                      <w:rFonts w:cs="Arial"/>
                      <w:color w:val="000000"/>
                      <w:lang w:val="de-DE"/>
                    </w:rPr>
                    <w:t>Ansatz 1</w:t>
                  </w:r>
                </w:p>
              </w:tc>
              <w:tc>
                <w:tcPr>
                  <w:tcW w:w="1985" w:type="dxa"/>
                  <w:tcBorders>
                    <w:top w:val="nil"/>
                    <w:left w:val="nil"/>
                    <w:bottom w:val="single" w:sz="8" w:space="0" w:color="auto"/>
                    <w:right w:val="single" w:sz="4" w:space="0" w:color="auto"/>
                  </w:tcBorders>
                  <w:shd w:val="clear" w:color="auto" w:fill="auto"/>
                  <w:noWrap/>
                  <w:vAlign w:val="center"/>
                  <w:hideMark/>
                </w:tcPr>
                <w:p w14:paraId="6505C10E" w14:textId="77777777" w:rsidR="002A29A4" w:rsidRPr="00720172" w:rsidRDefault="002A29A4" w:rsidP="00D80102">
                  <w:pPr>
                    <w:jc w:val="center"/>
                    <w:rPr>
                      <w:rFonts w:cs="Arial"/>
                      <w:color w:val="000000"/>
                      <w:lang w:val="de-DE"/>
                    </w:rPr>
                  </w:pPr>
                  <w:r w:rsidRPr="00720172">
                    <w:rPr>
                      <w:rFonts w:cs="Arial"/>
                      <w:color w:val="000000"/>
                      <w:lang w:val="de-DE"/>
                    </w:rPr>
                    <w:t>Ansatz 2</w:t>
                  </w:r>
                </w:p>
              </w:tc>
              <w:tc>
                <w:tcPr>
                  <w:tcW w:w="1624" w:type="dxa"/>
                  <w:tcBorders>
                    <w:top w:val="single" w:sz="4" w:space="0" w:color="auto"/>
                    <w:bottom w:val="single" w:sz="4" w:space="0" w:color="auto"/>
                    <w:right w:val="single" w:sz="4" w:space="0" w:color="auto"/>
                  </w:tcBorders>
                  <w:shd w:val="clear" w:color="auto" w:fill="auto"/>
                </w:tcPr>
                <w:p w14:paraId="28CC2F3F" w14:textId="77777777" w:rsidR="002A29A4" w:rsidRPr="00720172" w:rsidRDefault="002A29A4" w:rsidP="00D80102">
                  <w:pPr>
                    <w:jc w:val="center"/>
                    <w:rPr>
                      <w:lang w:val="de-DE"/>
                    </w:rPr>
                  </w:pPr>
                  <w:r w:rsidRPr="00720172">
                    <w:rPr>
                      <w:lang w:val="de-DE"/>
                    </w:rPr>
                    <w:t>Ansatz 3</w:t>
                  </w:r>
                </w:p>
              </w:tc>
            </w:tr>
            <w:tr w:rsidR="002A29A4" w:rsidRPr="00A55926" w14:paraId="47E4F7F8" w14:textId="77777777" w:rsidTr="005D2F87">
              <w:trPr>
                <w:gridBefore w:val="1"/>
                <w:wBefore w:w="424" w:type="dxa"/>
                <w:trHeight w:val="240"/>
              </w:trPr>
              <w:tc>
                <w:tcPr>
                  <w:tcW w:w="696" w:type="dxa"/>
                  <w:vMerge w:val="restart"/>
                  <w:tcBorders>
                    <w:top w:val="nil"/>
                    <w:left w:val="single" w:sz="4" w:space="0" w:color="auto"/>
                    <w:right w:val="single" w:sz="4" w:space="0" w:color="000000"/>
                  </w:tcBorders>
                  <w:shd w:val="clear" w:color="auto" w:fill="auto"/>
                  <w:textDirection w:val="btLr"/>
                  <w:vAlign w:val="center"/>
                </w:tcPr>
                <w:p w14:paraId="179AED41" w14:textId="77777777" w:rsidR="002A29A4" w:rsidRPr="005728BA" w:rsidRDefault="002A29A4" w:rsidP="00D80102">
                  <w:pPr>
                    <w:jc w:val="center"/>
                    <w:rPr>
                      <w:rFonts w:cs="Arial"/>
                      <w:color w:val="000000"/>
                      <w:lang w:val="de-DE"/>
                    </w:rPr>
                  </w:pPr>
                  <w:r w:rsidRPr="005728BA">
                    <w:rPr>
                      <w:rFonts w:cs="Arial"/>
                      <w:color w:val="000000"/>
                      <w:lang w:val="de-DE"/>
                    </w:rPr>
                    <w:t xml:space="preserve">Anzahl </w:t>
                  </w:r>
                  <w:r>
                    <w:rPr>
                      <w:rFonts w:cs="Arial"/>
                      <w:color w:val="000000"/>
                      <w:lang w:val="de-DE"/>
                    </w:rPr>
                    <w:t>der</w:t>
                  </w:r>
                  <w:r w:rsidRPr="005728BA">
                    <w:rPr>
                      <w:rFonts w:cs="Arial"/>
                      <w:color w:val="000000"/>
                      <w:lang w:val="de-DE"/>
                    </w:rPr>
                    <w:t xml:space="preserve"> </w:t>
                  </w:r>
                  <w:r w:rsidRPr="005728BA">
                    <w:rPr>
                      <w:rFonts w:cs="Arial"/>
                      <w:color w:val="000000"/>
                      <w:lang w:val="de-DE"/>
                    </w:rPr>
                    <w:br/>
                  </w:r>
                  <w:r>
                    <w:rPr>
                      <w:rFonts w:cs="Arial"/>
                      <w:color w:val="000000"/>
                      <w:lang w:val="de-DE"/>
                    </w:rPr>
                    <w:t>Abweicher</w:t>
                  </w:r>
                </w:p>
              </w:tc>
              <w:tc>
                <w:tcPr>
                  <w:tcW w:w="1134" w:type="dxa"/>
                  <w:tcBorders>
                    <w:top w:val="nil"/>
                    <w:left w:val="single" w:sz="8" w:space="0" w:color="auto"/>
                    <w:bottom w:val="single" w:sz="8" w:space="0" w:color="auto"/>
                    <w:right w:val="single" w:sz="4" w:space="0" w:color="auto"/>
                  </w:tcBorders>
                  <w:shd w:val="clear" w:color="auto" w:fill="auto"/>
                  <w:noWrap/>
                  <w:vAlign w:val="center"/>
                </w:tcPr>
                <w:p w14:paraId="2D8CA7FD" w14:textId="77777777" w:rsidR="002A29A4" w:rsidRPr="00720172" w:rsidRDefault="002A29A4" w:rsidP="00D80102">
                  <w:pPr>
                    <w:jc w:val="center"/>
                    <w:rPr>
                      <w:rFonts w:cs="Arial"/>
                      <w:color w:val="000000"/>
                      <w:lang w:val="de-DE"/>
                    </w:rPr>
                  </w:pPr>
                  <w:r w:rsidRPr="00720172">
                    <w:rPr>
                      <w:rFonts w:cs="Arial"/>
                      <w:color w:val="000000"/>
                      <w:lang w:val="de-DE"/>
                    </w:rPr>
                    <w:t>1</w:t>
                  </w:r>
                </w:p>
              </w:tc>
              <w:tc>
                <w:tcPr>
                  <w:tcW w:w="1134" w:type="dxa"/>
                  <w:gridSpan w:val="2"/>
                  <w:tcBorders>
                    <w:top w:val="nil"/>
                    <w:left w:val="nil"/>
                    <w:bottom w:val="single" w:sz="8" w:space="0" w:color="auto"/>
                    <w:right w:val="single" w:sz="4" w:space="0" w:color="auto"/>
                  </w:tcBorders>
                  <w:shd w:val="clear" w:color="auto" w:fill="auto"/>
                  <w:noWrap/>
                  <w:vAlign w:val="center"/>
                </w:tcPr>
                <w:p w14:paraId="0815526E" w14:textId="77777777" w:rsidR="002A29A4" w:rsidRPr="00720172" w:rsidRDefault="002A29A4" w:rsidP="00D80102">
                  <w:pPr>
                    <w:jc w:val="center"/>
                    <w:rPr>
                      <w:rFonts w:cs="Arial"/>
                      <w:color w:val="000000"/>
                      <w:lang w:val="de-DE"/>
                    </w:rPr>
                  </w:pPr>
                  <w:r w:rsidRPr="00720172">
                    <w:rPr>
                      <w:rFonts w:cs="Arial"/>
                      <w:color w:val="000000"/>
                      <w:lang w:val="de-DE"/>
                    </w:rPr>
                    <w:t>1</w:t>
                  </w:r>
                </w:p>
              </w:tc>
              <w:tc>
                <w:tcPr>
                  <w:tcW w:w="2127" w:type="dxa"/>
                  <w:gridSpan w:val="2"/>
                  <w:tcBorders>
                    <w:top w:val="nil"/>
                    <w:left w:val="nil"/>
                    <w:bottom w:val="single" w:sz="8" w:space="0" w:color="auto"/>
                    <w:right w:val="single" w:sz="4" w:space="0" w:color="auto"/>
                  </w:tcBorders>
                  <w:shd w:val="clear" w:color="auto" w:fill="auto"/>
                  <w:noWrap/>
                  <w:vAlign w:val="center"/>
                </w:tcPr>
                <w:p w14:paraId="3507FE4F" w14:textId="77777777" w:rsidR="002A29A4" w:rsidRPr="00720172" w:rsidRDefault="002A29A4" w:rsidP="00D80102">
                  <w:pPr>
                    <w:jc w:val="center"/>
                    <w:rPr>
                      <w:rFonts w:cs="Arial"/>
                      <w:color w:val="000000"/>
                      <w:lang w:val="de-DE"/>
                    </w:rPr>
                  </w:pPr>
                  <w:r w:rsidRPr="00720172">
                    <w:rPr>
                      <w:rFonts w:cs="Arial"/>
                      <w:color w:val="000000"/>
                      <w:lang w:val="de-DE"/>
                    </w:rPr>
                    <w:t>homogen</w:t>
                  </w:r>
                </w:p>
              </w:tc>
              <w:tc>
                <w:tcPr>
                  <w:tcW w:w="1985" w:type="dxa"/>
                  <w:tcBorders>
                    <w:top w:val="nil"/>
                    <w:left w:val="nil"/>
                    <w:bottom w:val="single" w:sz="8" w:space="0" w:color="auto"/>
                    <w:right w:val="single" w:sz="8" w:space="0" w:color="auto"/>
                  </w:tcBorders>
                  <w:shd w:val="clear" w:color="auto" w:fill="auto"/>
                  <w:vAlign w:val="center"/>
                </w:tcPr>
                <w:p w14:paraId="0EB3E6F5" w14:textId="77777777" w:rsidR="002A29A4" w:rsidRPr="00720172" w:rsidRDefault="002A29A4" w:rsidP="00D80102">
                  <w:pPr>
                    <w:jc w:val="center"/>
                    <w:rPr>
                      <w:rFonts w:cs="Arial"/>
                      <w:color w:val="000000"/>
                      <w:lang w:val="de-DE"/>
                    </w:rPr>
                  </w:pPr>
                  <w:r w:rsidRPr="00720172">
                    <w:rPr>
                      <w:rFonts w:cs="Arial"/>
                      <w:color w:val="000000"/>
                      <w:lang w:val="de-DE"/>
                    </w:rPr>
                    <w:t>homogen</w:t>
                  </w:r>
                </w:p>
              </w:tc>
              <w:tc>
                <w:tcPr>
                  <w:tcW w:w="1624" w:type="dxa"/>
                  <w:tcBorders>
                    <w:top w:val="single" w:sz="4" w:space="0" w:color="auto"/>
                    <w:bottom w:val="single" w:sz="4" w:space="0" w:color="auto"/>
                    <w:right w:val="single" w:sz="4" w:space="0" w:color="auto"/>
                  </w:tcBorders>
                  <w:shd w:val="clear" w:color="auto" w:fill="auto"/>
                </w:tcPr>
                <w:p w14:paraId="26AFF8B5" w14:textId="77777777" w:rsidR="002A29A4" w:rsidRPr="00720172" w:rsidRDefault="002A29A4" w:rsidP="00D80102">
                  <w:pPr>
                    <w:jc w:val="center"/>
                    <w:rPr>
                      <w:lang w:val="de-DE"/>
                    </w:rPr>
                  </w:pPr>
                  <w:r w:rsidRPr="00720172">
                    <w:rPr>
                      <w:rFonts w:cs="Arial"/>
                      <w:color w:val="000000"/>
                      <w:lang w:val="de-DE"/>
                    </w:rPr>
                    <w:t>homogen</w:t>
                  </w:r>
                </w:p>
              </w:tc>
            </w:tr>
            <w:tr w:rsidR="002A29A4" w:rsidRPr="00A55926" w14:paraId="3B7DED11" w14:textId="77777777" w:rsidTr="005D2F87">
              <w:trPr>
                <w:gridBefore w:val="1"/>
                <w:wBefore w:w="424" w:type="dxa"/>
                <w:trHeight w:val="240"/>
              </w:trPr>
              <w:tc>
                <w:tcPr>
                  <w:tcW w:w="696" w:type="dxa"/>
                  <w:vMerge/>
                  <w:tcBorders>
                    <w:left w:val="single" w:sz="4" w:space="0" w:color="auto"/>
                    <w:right w:val="single" w:sz="4" w:space="0" w:color="000000"/>
                  </w:tcBorders>
                  <w:shd w:val="clear" w:color="auto" w:fill="auto"/>
                  <w:textDirection w:val="btLr"/>
                  <w:vAlign w:val="center"/>
                  <w:hideMark/>
                </w:tcPr>
                <w:p w14:paraId="3609B21F" w14:textId="77777777" w:rsidR="002A29A4" w:rsidRPr="005728BA" w:rsidRDefault="002A29A4" w:rsidP="00D80102">
                  <w:pPr>
                    <w:jc w:val="center"/>
                    <w:rPr>
                      <w:rFonts w:cs="Arial"/>
                      <w:color w:val="000000"/>
                      <w:lang w:val="de-DE"/>
                    </w:rPr>
                  </w:pP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2D031E9D" w14:textId="77777777" w:rsidR="002A29A4" w:rsidRPr="00720172" w:rsidRDefault="002A29A4" w:rsidP="00D80102">
                  <w:pPr>
                    <w:jc w:val="center"/>
                    <w:rPr>
                      <w:rFonts w:cs="Arial"/>
                      <w:color w:val="000000"/>
                      <w:lang w:val="de-DE"/>
                    </w:rPr>
                  </w:pPr>
                  <w:r w:rsidRPr="00720172">
                    <w:rPr>
                      <w:rFonts w:cs="Arial"/>
                      <w:color w:val="000000"/>
                      <w:lang w:val="de-DE"/>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14:paraId="6BBA2E38" w14:textId="77777777" w:rsidR="002A29A4" w:rsidRPr="00720172" w:rsidRDefault="002A29A4" w:rsidP="00D80102">
                  <w:pPr>
                    <w:jc w:val="center"/>
                    <w:rPr>
                      <w:rFonts w:cs="Arial"/>
                      <w:color w:val="000000"/>
                      <w:lang w:val="de-DE"/>
                    </w:rPr>
                  </w:pPr>
                  <w:r w:rsidRPr="00720172">
                    <w:rPr>
                      <w:rFonts w:cs="Arial"/>
                      <w:color w:val="000000"/>
                      <w:lang w:val="de-DE"/>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14:paraId="608C1B98" w14:textId="77777777" w:rsidR="002A29A4" w:rsidRPr="00720172" w:rsidRDefault="002A29A4" w:rsidP="00D80102">
                  <w:pPr>
                    <w:jc w:val="center"/>
                    <w:rPr>
                      <w:rFonts w:cs="Arial"/>
                      <w:color w:val="000000"/>
                      <w:lang w:val="de-DE"/>
                    </w:rPr>
                  </w:pPr>
                  <w:r w:rsidRPr="00720172">
                    <w:rPr>
                      <w:rFonts w:cs="Arial"/>
                      <w:color w:val="000000"/>
                      <w:lang w:val="de-DE"/>
                    </w:rPr>
                    <w:t>homogen</w:t>
                  </w:r>
                </w:p>
              </w:tc>
              <w:tc>
                <w:tcPr>
                  <w:tcW w:w="1985" w:type="dxa"/>
                  <w:tcBorders>
                    <w:top w:val="nil"/>
                    <w:left w:val="nil"/>
                    <w:bottom w:val="single" w:sz="8" w:space="0" w:color="auto"/>
                    <w:right w:val="single" w:sz="8" w:space="0" w:color="auto"/>
                  </w:tcBorders>
                  <w:shd w:val="clear" w:color="auto" w:fill="auto"/>
                  <w:vAlign w:val="center"/>
                  <w:hideMark/>
                </w:tcPr>
                <w:p w14:paraId="7A0B7CCB" w14:textId="77777777" w:rsidR="002A29A4" w:rsidRPr="00720172" w:rsidRDefault="002A29A4" w:rsidP="00D80102">
                  <w:pPr>
                    <w:jc w:val="center"/>
                    <w:rPr>
                      <w:rFonts w:cs="Arial"/>
                      <w:color w:val="000000"/>
                      <w:lang w:val="de-DE"/>
                    </w:rPr>
                  </w:pPr>
                  <w:r w:rsidRPr="00720172">
                    <w:rPr>
                      <w:rFonts w:cs="Arial"/>
                      <w:color w:val="000000"/>
                      <w:lang w:val="de-DE"/>
                    </w:rPr>
                    <w:t>homogen</w:t>
                  </w:r>
                </w:p>
              </w:tc>
              <w:tc>
                <w:tcPr>
                  <w:tcW w:w="1624" w:type="dxa"/>
                  <w:tcBorders>
                    <w:top w:val="single" w:sz="4" w:space="0" w:color="auto"/>
                    <w:bottom w:val="single" w:sz="4" w:space="0" w:color="auto"/>
                    <w:right w:val="single" w:sz="4" w:space="0" w:color="auto"/>
                  </w:tcBorders>
                  <w:shd w:val="clear" w:color="auto" w:fill="auto"/>
                </w:tcPr>
                <w:p w14:paraId="25BF6B23" w14:textId="77777777" w:rsidR="002A29A4" w:rsidRPr="00720172" w:rsidRDefault="002A29A4" w:rsidP="00D80102">
                  <w:pPr>
                    <w:jc w:val="center"/>
                    <w:rPr>
                      <w:lang w:val="de-DE"/>
                    </w:rPr>
                  </w:pPr>
                  <w:r w:rsidRPr="00720172">
                    <w:rPr>
                      <w:lang w:val="de-DE"/>
                    </w:rPr>
                    <w:t>nicht homogen</w:t>
                  </w:r>
                </w:p>
              </w:tc>
            </w:tr>
            <w:tr w:rsidR="002A29A4" w:rsidRPr="00A55926" w14:paraId="1317BCD3" w14:textId="77777777" w:rsidTr="005D2F87">
              <w:trPr>
                <w:gridBefore w:val="1"/>
                <w:wBefore w:w="424" w:type="dxa"/>
                <w:trHeight w:val="273"/>
              </w:trPr>
              <w:tc>
                <w:tcPr>
                  <w:tcW w:w="696" w:type="dxa"/>
                  <w:vMerge/>
                  <w:tcBorders>
                    <w:left w:val="single" w:sz="4" w:space="0" w:color="auto"/>
                    <w:right w:val="single" w:sz="4" w:space="0" w:color="000000"/>
                  </w:tcBorders>
                  <w:vAlign w:val="center"/>
                  <w:hideMark/>
                </w:tcPr>
                <w:p w14:paraId="68FC665C" w14:textId="77777777" w:rsidR="002A29A4" w:rsidRPr="005728BA" w:rsidRDefault="002A29A4" w:rsidP="00D80102">
                  <w:pPr>
                    <w:jc w:val="left"/>
                    <w:rPr>
                      <w:rFonts w:cs="Arial"/>
                      <w:color w:val="000000"/>
                      <w:lang w:val="de-DE"/>
                    </w:rPr>
                  </w:pPr>
                </w:p>
              </w:tc>
              <w:tc>
                <w:tcPr>
                  <w:tcW w:w="1134" w:type="dxa"/>
                  <w:tcBorders>
                    <w:top w:val="nil"/>
                    <w:left w:val="nil"/>
                    <w:bottom w:val="single" w:sz="8" w:space="0" w:color="auto"/>
                    <w:right w:val="single" w:sz="4" w:space="0" w:color="auto"/>
                  </w:tcBorders>
                  <w:shd w:val="clear" w:color="auto" w:fill="auto"/>
                  <w:vAlign w:val="center"/>
                  <w:hideMark/>
                </w:tcPr>
                <w:p w14:paraId="35EFD8AD" w14:textId="77777777" w:rsidR="002A29A4" w:rsidRPr="00720172" w:rsidRDefault="002A29A4" w:rsidP="00D80102">
                  <w:pPr>
                    <w:jc w:val="center"/>
                    <w:rPr>
                      <w:rFonts w:cs="Arial"/>
                      <w:color w:val="000000"/>
                      <w:lang w:val="de-DE"/>
                    </w:rPr>
                  </w:pPr>
                  <w:r w:rsidRPr="00720172">
                    <w:rPr>
                      <w:rFonts w:cs="Arial"/>
                      <w:color w:val="000000"/>
                      <w:lang w:val="de-DE"/>
                    </w:rPr>
                    <w:t>0</w:t>
                  </w:r>
                </w:p>
              </w:tc>
              <w:tc>
                <w:tcPr>
                  <w:tcW w:w="1134" w:type="dxa"/>
                  <w:gridSpan w:val="2"/>
                  <w:tcBorders>
                    <w:top w:val="nil"/>
                    <w:left w:val="nil"/>
                    <w:bottom w:val="single" w:sz="8" w:space="0" w:color="auto"/>
                    <w:right w:val="single" w:sz="4" w:space="0" w:color="auto"/>
                  </w:tcBorders>
                  <w:shd w:val="clear" w:color="auto" w:fill="auto"/>
                  <w:vAlign w:val="center"/>
                  <w:hideMark/>
                </w:tcPr>
                <w:p w14:paraId="4D5824FC" w14:textId="77777777" w:rsidR="002A29A4" w:rsidRPr="00720172" w:rsidRDefault="002A29A4" w:rsidP="00D80102">
                  <w:pPr>
                    <w:jc w:val="center"/>
                    <w:rPr>
                      <w:rFonts w:cs="Arial"/>
                      <w:color w:val="000000"/>
                      <w:lang w:val="de-DE"/>
                    </w:rPr>
                  </w:pPr>
                  <w:r w:rsidRPr="00720172">
                    <w:rPr>
                      <w:rFonts w:cs="Arial"/>
                      <w:color w:val="000000"/>
                      <w:lang w:val="de-DE"/>
                    </w:rPr>
                    <w:t>3*</w:t>
                  </w:r>
                </w:p>
              </w:tc>
              <w:tc>
                <w:tcPr>
                  <w:tcW w:w="2127" w:type="dxa"/>
                  <w:gridSpan w:val="2"/>
                  <w:tcBorders>
                    <w:top w:val="nil"/>
                    <w:left w:val="nil"/>
                    <w:bottom w:val="single" w:sz="8" w:space="0" w:color="auto"/>
                    <w:right w:val="single" w:sz="4" w:space="0" w:color="auto"/>
                  </w:tcBorders>
                  <w:shd w:val="clear" w:color="auto" w:fill="auto"/>
                  <w:vAlign w:val="center"/>
                  <w:hideMark/>
                </w:tcPr>
                <w:p w14:paraId="498FC3F8" w14:textId="77777777" w:rsidR="002A29A4" w:rsidRPr="00720172" w:rsidRDefault="002A29A4" w:rsidP="00D80102">
                  <w:pPr>
                    <w:rPr>
                      <w:rFonts w:cs="Arial"/>
                      <w:color w:val="000000"/>
                      <w:lang w:val="de-DE"/>
                    </w:rPr>
                  </w:pPr>
                  <w:r w:rsidRPr="00720172">
                    <w:rPr>
                      <w:rFonts w:cs="Arial"/>
                      <w:color w:val="000000"/>
                      <w:lang w:val="de-DE"/>
                    </w:rPr>
                    <w:t>dritte Wachstumsperiode*</w:t>
                  </w:r>
                </w:p>
              </w:tc>
              <w:tc>
                <w:tcPr>
                  <w:tcW w:w="1985" w:type="dxa"/>
                  <w:tcBorders>
                    <w:top w:val="nil"/>
                    <w:left w:val="nil"/>
                    <w:bottom w:val="single" w:sz="8" w:space="0" w:color="auto"/>
                    <w:right w:val="single" w:sz="4" w:space="0" w:color="auto"/>
                  </w:tcBorders>
                  <w:shd w:val="clear" w:color="auto" w:fill="auto"/>
                  <w:vAlign w:val="center"/>
                  <w:hideMark/>
                </w:tcPr>
                <w:p w14:paraId="2B5DD491" w14:textId="77777777" w:rsidR="002A29A4" w:rsidRPr="00720172" w:rsidRDefault="002A29A4" w:rsidP="00D80102">
                  <w:pPr>
                    <w:jc w:val="center"/>
                    <w:rPr>
                      <w:rFonts w:cs="Arial"/>
                      <w:color w:val="000000"/>
                      <w:lang w:val="de-DE"/>
                    </w:rPr>
                  </w:pPr>
                  <w:r w:rsidRPr="00720172">
                    <w:rPr>
                      <w:rFonts w:cs="Arial"/>
                      <w:color w:val="000000"/>
                      <w:lang w:val="de-DE"/>
                    </w:rPr>
                    <w:t>homogen*</w:t>
                  </w:r>
                </w:p>
              </w:tc>
              <w:tc>
                <w:tcPr>
                  <w:tcW w:w="1624" w:type="dxa"/>
                  <w:tcBorders>
                    <w:top w:val="single" w:sz="4" w:space="0" w:color="auto"/>
                    <w:bottom w:val="single" w:sz="4" w:space="0" w:color="auto"/>
                    <w:right w:val="single" w:sz="4" w:space="0" w:color="auto"/>
                  </w:tcBorders>
                  <w:shd w:val="clear" w:color="auto" w:fill="auto"/>
                </w:tcPr>
                <w:p w14:paraId="49B07F7D" w14:textId="77777777" w:rsidR="002A29A4" w:rsidRPr="00720172" w:rsidRDefault="002A29A4" w:rsidP="00D80102">
                  <w:pPr>
                    <w:jc w:val="center"/>
                    <w:rPr>
                      <w:lang w:val="de-DE"/>
                    </w:rPr>
                  </w:pPr>
                  <w:r w:rsidRPr="00720172">
                    <w:rPr>
                      <w:lang w:val="de-DE"/>
                    </w:rPr>
                    <w:t>homogen*</w:t>
                  </w:r>
                </w:p>
              </w:tc>
            </w:tr>
            <w:tr w:rsidR="002A29A4" w:rsidRPr="00A55926" w14:paraId="7F7D1ED5" w14:textId="77777777" w:rsidTr="005D2F87">
              <w:trPr>
                <w:gridBefore w:val="1"/>
                <w:wBefore w:w="424" w:type="dxa"/>
                <w:trHeight w:val="248"/>
              </w:trPr>
              <w:tc>
                <w:tcPr>
                  <w:tcW w:w="696" w:type="dxa"/>
                  <w:vMerge/>
                  <w:tcBorders>
                    <w:left w:val="single" w:sz="4" w:space="0" w:color="auto"/>
                    <w:right w:val="single" w:sz="4" w:space="0" w:color="000000"/>
                  </w:tcBorders>
                  <w:vAlign w:val="center"/>
                  <w:hideMark/>
                </w:tcPr>
                <w:p w14:paraId="10B39909" w14:textId="77777777" w:rsidR="002A29A4" w:rsidRPr="005728BA" w:rsidRDefault="002A29A4" w:rsidP="00D80102">
                  <w:pPr>
                    <w:jc w:val="left"/>
                    <w:rPr>
                      <w:rFonts w:cs="Arial"/>
                      <w:color w:val="000000"/>
                      <w:lang w:val="de-DE"/>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5502B274" w14:textId="77777777" w:rsidR="002A29A4" w:rsidRPr="00720172" w:rsidRDefault="002A29A4" w:rsidP="00D80102">
                  <w:pPr>
                    <w:jc w:val="center"/>
                    <w:rPr>
                      <w:rFonts w:cs="Arial"/>
                      <w:color w:val="000000"/>
                      <w:lang w:val="de-DE"/>
                    </w:rPr>
                  </w:pPr>
                  <w:r w:rsidRPr="00720172">
                    <w:rPr>
                      <w:rFonts w:cs="Arial"/>
                      <w:color w:val="000000"/>
                      <w:lang w:val="de-DE"/>
                    </w:rPr>
                    <w:t>1</w:t>
                  </w:r>
                </w:p>
              </w:tc>
              <w:tc>
                <w:tcPr>
                  <w:tcW w:w="1134" w:type="dxa"/>
                  <w:gridSpan w:val="2"/>
                  <w:tcBorders>
                    <w:top w:val="nil"/>
                    <w:left w:val="nil"/>
                    <w:bottom w:val="single" w:sz="8" w:space="0" w:color="auto"/>
                    <w:right w:val="single" w:sz="4" w:space="0" w:color="auto"/>
                  </w:tcBorders>
                  <w:shd w:val="clear" w:color="auto" w:fill="auto"/>
                  <w:vAlign w:val="center"/>
                  <w:hideMark/>
                </w:tcPr>
                <w:p w14:paraId="6384F138" w14:textId="77777777" w:rsidR="002A29A4" w:rsidRPr="00720172" w:rsidRDefault="002A29A4" w:rsidP="00D80102">
                  <w:pPr>
                    <w:jc w:val="center"/>
                    <w:rPr>
                      <w:rFonts w:cs="Arial"/>
                      <w:color w:val="000000"/>
                      <w:lang w:val="de-DE"/>
                    </w:rPr>
                  </w:pPr>
                  <w:r w:rsidRPr="00720172">
                    <w:rPr>
                      <w:rFonts w:cs="Arial"/>
                      <w:color w:val="000000"/>
                      <w:lang w:val="de-DE"/>
                    </w:rPr>
                    <w:t>3*</w:t>
                  </w:r>
                </w:p>
              </w:tc>
              <w:tc>
                <w:tcPr>
                  <w:tcW w:w="2127" w:type="dxa"/>
                  <w:gridSpan w:val="2"/>
                  <w:tcBorders>
                    <w:top w:val="nil"/>
                    <w:left w:val="nil"/>
                    <w:bottom w:val="single" w:sz="8" w:space="0" w:color="auto"/>
                    <w:right w:val="single" w:sz="4" w:space="0" w:color="auto"/>
                  </w:tcBorders>
                  <w:shd w:val="clear" w:color="auto" w:fill="auto"/>
                  <w:vAlign w:val="center"/>
                  <w:hideMark/>
                </w:tcPr>
                <w:p w14:paraId="7E26CC74" w14:textId="77777777" w:rsidR="002A29A4" w:rsidRPr="00720172" w:rsidRDefault="002A29A4" w:rsidP="00D80102">
                  <w:pPr>
                    <w:rPr>
                      <w:rFonts w:cs="Arial"/>
                      <w:color w:val="000000"/>
                      <w:lang w:val="de-DE"/>
                    </w:rPr>
                  </w:pPr>
                  <w:r w:rsidRPr="00720172">
                    <w:rPr>
                      <w:rFonts w:cs="Arial"/>
                      <w:color w:val="000000"/>
                      <w:lang w:val="de-DE"/>
                    </w:rPr>
                    <w:t>dritte Wachstumsperiode*</w:t>
                  </w:r>
                </w:p>
              </w:tc>
              <w:tc>
                <w:tcPr>
                  <w:tcW w:w="1985" w:type="dxa"/>
                  <w:tcBorders>
                    <w:top w:val="nil"/>
                    <w:left w:val="nil"/>
                    <w:bottom w:val="single" w:sz="4" w:space="0" w:color="auto"/>
                    <w:right w:val="single" w:sz="8" w:space="0" w:color="auto"/>
                  </w:tcBorders>
                  <w:shd w:val="clear" w:color="auto" w:fill="auto"/>
                  <w:vAlign w:val="center"/>
                  <w:hideMark/>
                </w:tcPr>
                <w:p w14:paraId="317E798C" w14:textId="77777777" w:rsidR="002A29A4" w:rsidRPr="00720172" w:rsidRDefault="002A29A4" w:rsidP="00D80102">
                  <w:pPr>
                    <w:jc w:val="center"/>
                    <w:rPr>
                      <w:rFonts w:cs="Arial"/>
                      <w:color w:val="000000"/>
                      <w:lang w:val="de-DE"/>
                    </w:rPr>
                  </w:pPr>
                  <w:r w:rsidRPr="00720172">
                    <w:rPr>
                      <w:rFonts w:cs="Arial"/>
                      <w:color w:val="000000"/>
                      <w:lang w:val="de-DE"/>
                    </w:rPr>
                    <w:t>nicht homogen*</w:t>
                  </w:r>
                </w:p>
              </w:tc>
              <w:tc>
                <w:tcPr>
                  <w:tcW w:w="1624" w:type="dxa"/>
                  <w:tcBorders>
                    <w:top w:val="single" w:sz="4" w:space="0" w:color="auto"/>
                    <w:bottom w:val="single" w:sz="4" w:space="0" w:color="auto"/>
                    <w:right w:val="single" w:sz="4" w:space="0" w:color="auto"/>
                  </w:tcBorders>
                  <w:shd w:val="clear" w:color="auto" w:fill="auto"/>
                </w:tcPr>
                <w:p w14:paraId="5C09CFFE" w14:textId="77777777" w:rsidR="002A29A4" w:rsidRPr="00720172" w:rsidRDefault="002A29A4" w:rsidP="00D80102">
                  <w:pPr>
                    <w:jc w:val="center"/>
                    <w:rPr>
                      <w:lang w:val="de-DE"/>
                    </w:rPr>
                  </w:pPr>
                  <w:r w:rsidRPr="00720172">
                    <w:rPr>
                      <w:lang w:val="de-DE"/>
                    </w:rPr>
                    <w:t>nicht homogen*</w:t>
                  </w:r>
                </w:p>
              </w:tc>
            </w:tr>
            <w:tr w:rsidR="002A29A4" w:rsidRPr="00A55926" w14:paraId="2F6B777F" w14:textId="77777777" w:rsidTr="005D2F87">
              <w:trPr>
                <w:gridBefore w:val="1"/>
                <w:wBefore w:w="424" w:type="dxa"/>
                <w:trHeight w:val="267"/>
              </w:trPr>
              <w:tc>
                <w:tcPr>
                  <w:tcW w:w="696" w:type="dxa"/>
                  <w:vMerge/>
                  <w:tcBorders>
                    <w:left w:val="single" w:sz="4" w:space="0" w:color="auto"/>
                    <w:right w:val="single" w:sz="4" w:space="0" w:color="000000"/>
                  </w:tcBorders>
                  <w:vAlign w:val="center"/>
                  <w:hideMark/>
                </w:tcPr>
                <w:p w14:paraId="7E14D03B" w14:textId="77777777" w:rsidR="002A29A4" w:rsidRPr="005728BA" w:rsidRDefault="002A29A4" w:rsidP="00D80102">
                  <w:pPr>
                    <w:jc w:val="left"/>
                    <w:rPr>
                      <w:rFonts w:cs="Arial"/>
                      <w:color w:val="000000"/>
                      <w:lang w:val="de-DE"/>
                    </w:rPr>
                  </w:pPr>
                </w:p>
              </w:tc>
              <w:tc>
                <w:tcPr>
                  <w:tcW w:w="1134" w:type="dxa"/>
                  <w:tcBorders>
                    <w:top w:val="nil"/>
                    <w:left w:val="nil"/>
                    <w:bottom w:val="single" w:sz="4" w:space="0" w:color="auto"/>
                    <w:right w:val="single" w:sz="4" w:space="0" w:color="auto"/>
                  </w:tcBorders>
                  <w:shd w:val="clear" w:color="auto" w:fill="auto"/>
                  <w:noWrap/>
                  <w:vAlign w:val="center"/>
                  <w:hideMark/>
                </w:tcPr>
                <w:p w14:paraId="7F855533" w14:textId="77777777" w:rsidR="002A29A4" w:rsidRPr="00720172" w:rsidRDefault="002A29A4" w:rsidP="00D80102">
                  <w:pPr>
                    <w:jc w:val="center"/>
                    <w:rPr>
                      <w:rFonts w:cs="Arial"/>
                      <w:color w:val="000000"/>
                      <w:lang w:val="de-DE"/>
                    </w:rPr>
                  </w:pPr>
                  <w:r w:rsidRPr="00720172">
                    <w:rPr>
                      <w:rFonts w:cs="Arial"/>
                      <w:color w:val="000000"/>
                      <w:lang w:val="de-DE"/>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92289C7" w14:textId="77777777" w:rsidR="002A29A4" w:rsidRPr="00720172" w:rsidRDefault="002A29A4" w:rsidP="00D80102">
                  <w:pPr>
                    <w:ind w:left="49"/>
                    <w:jc w:val="center"/>
                    <w:rPr>
                      <w:rFonts w:cs="Arial"/>
                      <w:color w:val="000000"/>
                      <w:lang w:val="de-DE"/>
                    </w:rPr>
                  </w:pPr>
                  <w:r w:rsidRPr="00720172">
                    <w:rPr>
                      <w:rFonts w:cs="Arial"/>
                      <w:color w:val="000000"/>
                      <w:lang w:val="de-DE"/>
                    </w:rPr>
                    <w:t>4*</w:t>
                  </w:r>
                </w:p>
              </w:tc>
              <w:tc>
                <w:tcPr>
                  <w:tcW w:w="2127" w:type="dxa"/>
                  <w:gridSpan w:val="2"/>
                  <w:tcBorders>
                    <w:top w:val="nil"/>
                    <w:left w:val="nil"/>
                    <w:bottom w:val="single" w:sz="4" w:space="0" w:color="auto"/>
                    <w:right w:val="single" w:sz="4" w:space="0" w:color="auto"/>
                  </w:tcBorders>
                  <w:shd w:val="clear" w:color="auto" w:fill="auto"/>
                  <w:vAlign w:val="center"/>
                  <w:hideMark/>
                </w:tcPr>
                <w:p w14:paraId="7D0C61B2" w14:textId="77777777" w:rsidR="002A29A4" w:rsidRPr="00720172" w:rsidRDefault="002A29A4" w:rsidP="00D80102">
                  <w:pPr>
                    <w:rPr>
                      <w:rFonts w:cs="Arial"/>
                      <w:color w:val="000000"/>
                      <w:lang w:val="de-DE"/>
                    </w:rPr>
                  </w:pPr>
                  <w:r w:rsidRPr="00720172">
                    <w:rPr>
                      <w:rFonts w:cs="Arial"/>
                      <w:color w:val="000000"/>
                      <w:lang w:val="de-DE"/>
                    </w:rPr>
                    <w:t>dritte Wachstumsperiode*</w:t>
                  </w:r>
                </w:p>
              </w:tc>
              <w:tc>
                <w:tcPr>
                  <w:tcW w:w="1985" w:type="dxa"/>
                  <w:tcBorders>
                    <w:top w:val="nil"/>
                    <w:left w:val="nil"/>
                    <w:bottom w:val="single" w:sz="4" w:space="0" w:color="auto"/>
                    <w:right w:val="single" w:sz="4" w:space="0" w:color="auto"/>
                  </w:tcBorders>
                  <w:shd w:val="clear" w:color="auto" w:fill="auto"/>
                  <w:vAlign w:val="center"/>
                  <w:hideMark/>
                </w:tcPr>
                <w:p w14:paraId="5F0CD1AA" w14:textId="77777777" w:rsidR="002A29A4" w:rsidRPr="00720172" w:rsidRDefault="002A29A4" w:rsidP="00D80102">
                  <w:pPr>
                    <w:jc w:val="center"/>
                    <w:rPr>
                      <w:rFonts w:cs="Arial"/>
                      <w:color w:val="000000"/>
                      <w:lang w:val="de-DE"/>
                    </w:rPr>
                  </w:pPr>
                  <w:r w:rsidRPr="00720172">
                    <w:rPr>
                      <w:rFonts w:cs="Arial"/>
                      <w:color w:val="000000"/>
                      <w:lang w:val="de-DE"/>
                    </w:rPr>
                    <w:t>nicht homogen*</w:t>
                  </w:r>
                </w:p>
              </w:tc>
              <w:tc>
                <w:tcPr>
                  <w:tcW w:w="1624" w:type="dxa"/>
                  <w:tcBorders>
                    <w:top w:val="single" w:sz="4" w:space="0" w:color="auto"/>
                    <w:bottom w:val="single" w:sz="4" w:space="0" w:color="auto"/>
                    <w:right w:val="single" w:sz="4" w:space="0" w:color="auto"/>
                  </w:tcBorders>
                  <w:shd w:val="clear" w:color="auto" w:fill="auto"/>
                </w:tcPr>
                <w:p w14:paraId="09D44519" w14:textId="77777777" w:rsidR="002A29A4" w:rsidRPr="00720172" w:rsidRDefault="002A29A4" w:rsidP="00D80102">
                  <w:pPr>
                    <w:jc w:val="center"/>
                    <w:rPr>
                      <w:lang w:val="de-DE"/>
                    </w:rPr>
                  </w:pPr>
                  <w:r w:rsidRPr="00720172">
                    <w:rPr>
                      <w:lang w:val="de-DE"/>
                    </w:rPr>
                    <w:t>nicht homogen*</w:t>
                  </w:r>
                </w:p>
              </w:tc>
            </w:tr>
            <w:tr w:rsidR="002A29A4" w:rsidRPr="00A55926" w14:paraId="64FF5884" w14:textId="77777777" w:rsidTr="005D2F87">
              <w:trPr>
                <w:gridBefore w:val="1"/>
                <w:wBefore w:w="424" w:type="dxa"/>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14:paraId="48D40B71" w14:textId="77777777" w:rsidR="002A29A4" w:rsidRPr="005728BA" w:rsidRDefault="002A29A4" w:rsidP="00D80102">
                  <w:pPr>
                    <w:jc w:val="left"/>
                    <w:rPr>
                      <w:rFonts w:cs="Arial"/>
                      <w:color w:val="000000"/>
                      <w:lang w:val="de-DE"/>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14:paraId="09C7D2C2" w14:textId="5BBBA413" w:rsidR="002A29A4" w:rsidRPr="00720172" w:rsidRDefault="002A29A4" w:rsidP="00D80102">
                  <w:pPr>
                    <w:ind w:left="49"/>
                    <w:jc w:val="center"/>
                    <w:rPr>
                      <w:rFonts w:cs="Arial"/>
                      <w:color w:val="000000"/>
                      <w:lang w:val="de-DE"/>
                    </w:rPr>
                  </w:pPr>
                  <w:r w:rsidRPr="00720172">
                    <w:rPr>
                      <w:rFonts w:cs="Arial"/>
                      <w:color w:val="000000"/>
                      <w:lang w:val="de-DE"/>
                    </w:rPr>
                    <w:t>4</w:t>
                  </w:r>
                  <w:r w:rsidR="00720172" w:rsidRPr="00720172">
                    <w:rPr>
                      <w:rFonts w:cs="Arial"/>
                      <w:color w:val="000000"/>
                      <w:highlight w:val="lightGray"/>
                      <w:lang w:val="de-DE"/>
                    </w:rPr>
                    <w:t>**</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ED14BF" w14:textId="77777777" w:rsidR="002A29A4" w:rsidRPr="00720172" w:rsidRDefault="002A29A4" w:rsidP="00D80102">
                  <w:pPr>
                    <w:ind w:right="-123"/>
                    <w:jc w:val="center"/>
                    <w:rPr>
                      <w:rFonts w:cs="Arial"/>
                      <w:color w:val="000000"/>
                      <w:lang w:val="de-DE"/>
                    </w:rPr>
                  </w:pPr>
                  <w:r w:rsidRPr="00720172">
                    <w:rPr>
                      <w:rFonts w:cs="Arial"/>
                      <w:color w:val="000000"/>
                      <w:lang w:val="de-DE"/>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41CD0A" w14:textId="4B244C18" w:rsidR="002A29A4" w:rsidRPr="00720172" w:rsidRDefault="002A29A4" w:rsidP="00D80102">
                  <w:pPr>
                    <w:ind w:right="-122"/>
                    <w:rPr>
                      <w:rFonts w:cs="Arial"/>
                      <w:color w:val="000000"/>
                      <w:lang w:val="de-DE"/>
                    </w:rPr>
                  </w:pPr>
                  <w:r w:rsidRPr="00720172">
                    <w:rPr>
                      <w:rFonts w:cs="Arial"/>
                      <w:color w:val="000000"/>
                      <w:lang w:val="de-DE"/>
                    </w:rPr>
                    <w:t>dritte Wachstumsperiode*</w:t>
                  </w:r>
                  <w:r w:rsidR="00981B04" w:rsidRPr="00720172">
                    <w:rPr>
                      <w:rFonts w:cs="Arial"/>
                      <w:color w:val="000000"/>
                      <w:lang w:val="de-DE"/>
                    </w:rPr>
                    <w:t xml:space="preserv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6A63B074" w14:textId="77777777" w:rsidR="002A29A4" w:rsidRPr="00720172" w:rsidRDefault="002A29A4" w:rsidP="00D80102">
                  <w:pPr>
                    <w:jc w:val="center"/>
                    <w:rPr>
                      <w:rFonts w:cs="Arial"/>
                      <w:color w:val="000000"/>
                      <w:lang w:val="de-DE"/>
                    </w:rPr>
                  </w:pPr>
                  <w:r w:rsidRPr="00720172">
                    <w:rPr>
                      <w:rFonts w:cs="Arial"/>
                      <w:color w:val="000000"/>
                      <w:lang w:val="de-DE"/>
                    </w:rPr>
                    <w:t>nicht homogen*</w:t>
                  </w:r>
                </w:p>
              </w:tc>
              <w:tc>
                <w:tcPr>
                  <w:tcW w:w="1624" w:type="dxa"/>
                  <w:tcBorders>
                    <w:top w:val="single" w:sz="4" w:space="0" w:color="auto"/>
                    <w:bottom w:val="single" w:sz="4" w:space="0" w:color="auto"/>
                    <w:right w:val="single" w:sz="4" w:space="0" w:color="auto"/>
                  </w:tcBorders>
                  <w:shd w:val="clear" w:color="auto" w:fill="auto"/>
                </w:tcPr>
                <w:p w14:paraId="0D753859" w14:textId="2EBFDDAF" w:rsidR="002A29A4" w:rsidRPr="00720172" w:rsidRDefault="002A29A4" w:rsidP="00D80102">
                  <w:pPr>
                    <w:jc w:val="center"/>
                    <w:rPr>
                      <w:lang w:val="de-DE"/>
                    </w:rPr>
                  </w:pPr>
                  <w:r w:rsidRPr="00720172">
                    <w:rPr>
                      <w:lang w:val="de-DE"/>
                    </w:rPr>
                    <w:t>nicht homogen</w:t>
                  </w:r>
                  <w:r w:rsidR="00720172" w:rsidRPr="00720172">
                    <w:rPr>
                      <w:highlight w:val="lightGray"/>
                      <w:lang w:val="de-DE"/>
                    </w:rPr>
                    <w:t>*</w:t>
                  </w:r>
                </w:p>
              </w:tc>
            </w:tr>
          </w:tbl>
          <w:p w14:paraId="32F3A3E9" w14:textId="77777777" w:rsidR="002A29A4" w:rsidRPr="00720172" w:rsidRDefault="002A29A4" w:rsidP="00D80102">
            <w:pPr>
              <w:pStyle w:val="Titleofdoc0"/>
              <w:spacing w:before="0"/>
              <w:jc w:val="both"/>
              <w:rPr>
                <w:sz w:val="18"/>
                <w:szCs w:val="18"/>
                <w:lang w:val="de-DE"/>
              </w:rPr>
            </w:pPr>
          </w:p>
          <w:p w14:paraId="2EC49EEE" w14:textId="258276A9" w:rsidR="00720172" w:rsidRPr="00720172" w:rsidRDefault="002A29A4" w:rsidP="00720172">
            <w:pPr>
              <w:keepNext/>
              <w:keepLines/>
              <w:rPr>
                <w:rFonts w:eastAsia="SimSun"/>
                <w:sz w:val="18"/>
                <w:szCs w:val="18"/>
                <w:highlight w:val="lightGray"/>
                <w:u w:val="single"/>
                <w:lang w:val="de-DE" w:eastAsia="zh-CN"/>
              </w:rPr>
            </w:pPr>
            <w:r w:rsidRPr="00720172">
              <w:rPr>
                <w:sz w:val="18"/>
                <w:szCs w:val="18"/>
                <w:lang w:val="de-DE"/>
              </w:rPr>
              <w:t>*</w:t>
            </w:r>
            <w:r w:rsidR="00981B04" w:rsidRPr="00720172">
              <w:rPr>
                <w:sz w:val="18"/>
                <w:szCs w:val="18"/>
                <w:lang w:val="de-DE"/>
              </w:rPr>
              <w:t xml:space="preserve"> </w:t>
            </w:r>
            <w:r w:rsidRPr="00720172">
              <w:rPr>
                <w:rFonts w:eastAsia="SimSun"/>
                <w:sz w:val="18"/>
                <w:szCs w:val="18"/>
                <w:lang w:val="de-DE" w:eastAsia="zh-CN"/>
              </w:rPr>
              <w:t>Bei der Prüfung von Ergebnissen, die in jeder der Wachstumsperioden sehr unterschiedlich sind, muß mit größter Sorgfalt verfahren werden, etwa wenn ein Abweichertyp in einer Wachstumsperiode sehr häufig und in einer anderen überhaupt nicht vorkommt.</w:t>
            </w:r>
            <w:r w:rsidR="00720172" w:rsidRPr="00720172">
              <w:rPr>
                <w:rFonts w:eastAsia="SimSun"/>
                <w:sz w:val="18"/>
                <w:szCs w:val="18"/>
                <w:lang w:val="de-DE" w:eastAsia="zh-CN"/>
              </w:rPr>
              <w:t xml:space="preserve"> </w:t>
            </w:r>
            <w:r w:rsidR="00720172" w:rsidRPr="001A28DA">
              <w:rPr>
                <w:sz w:val="18"/>
                <w:szCs w:val="18"/>
                <w:highlight w:val="lightGray"/>
                <w:u w:val="single"/>
                <w:lang w:val="de-DE"/>
              </w:rPr>
              <w:t>Gegebenenfalls sollte eine statistische Prüfung auf Einheitlichkeit durchgeführt werden.</w:t>
            </w:r>
            <w:r w:rsidR="00720172" w:rsidRPr="00720172">
              <w:rPr>
                <w:sz w:val="18"/>
                <w:szCs w:val="18"/>
                <w:u w:val="single"/>
                <w:lang w:val="de-DE"/>
              </w:rPr>
              <w:t xml:space="preserve"> </w:t>
            </w:r>
            <w:r w:rsidR="001A28DA">
              <w:rPr>
                <w:color w:val="000000"/>
                <w:sz w:val="18"/>
                <w:szCs w:val="18"/>
                <w:highlight w:val="lightGray"/>
                <w:u w:val="single"/>
                <w:lang w:val="de-DE"/>
              </w:rPr>
              <w:t>Es ist wichtig, zu identifizieren</w:t>
            </w:r>
            <w:r w:rsidR="00720172" w:rsidRPr="00720172">
              <w:rPr>
                <w:color w:val="000000"/>
                <w:sz w:val="18"/>
                <w:szCs w:val="18"/>
                <w:highlight w:val="lightGray"/>
                <w:u w:val="single"/>
                <w:lang w:val="de-DE"/>
              </w:rPr>
              <w:t xml:space="preserve">, </w:t>
            </w:r>
            <w:r w:rsidR="00720172" w:rsidRPr="00720172">
              <w:rPr>
                <w:sz w:val="18"/>
                <w:szCs w:val="18"/>
                <w:highlight w:val="lightGray"/>
                <w:u w:val="single"/>
                <w:lang w:val="de-DE"/>
              </w:rPr>
              <w:t>ob Unterschiede in der Anzahl von Abweichern zwischen Wachstumsperioden durch biologische Ursachen oder durch Unterschiede in der Art der Probennahme bedingt sind</w:t>
            </w:r>
            <w:r w:rsidR="00720172" w:rsidRPr="00720172">
              <w:rPr>
                <w:sz w:val="18"/>
                <w:szCs w:val="18"/>
                <w:lang w:val="de-DE"/>
              </w:rPr>
              <w:t>.</w:t>
            </w:r>
          </w:p>
          <w:p w14:paraId="71A6C369" w14:textId="77777777" w:rsidR="00720172" w:rsidRPr="00720172" w:rsidRDefault="00720172" w:rsidP="00720172">
            <w:pPr>
              <w:keepNext/>
              <w:keepLines/>
              <w:rPr>
                <w:sz w:val="18"/>
                <w:szCs w:val="18"/>
                <w:highlight w:val="lightGray"/>
                <w:u w:val="single"/>
                <w:lang w:val="de-DE"/>
              </w:rPr>
            </w:pPr>
          </w:p>
          <w:p w14:paraId="1C4027AC" w14:textId="522A3CC0" w:rsidR="00720172" w:rsidRPr="00720172" w:rsidRDefault="00720172" w:rsidP="00720172">
            <w:pPr>
              <w:keepNext/>
              <w:keepLines/>
              <w:rPr>
                <w:rFonts w:eastAsia="SimSun"/>
                <w:sz w:val="18"/>
                <w:szCs w:val="18"/>
                <w:u w:val="single"/>
                <w:lang w:val="de-DE" w:eastAsia="zh-CN"/>
              </w:rPr>
            </w:pPr>
            <w:r w:rsidRPr="00720172">
              <w:rPr>
                <w:sz w:val="18"/>
                <w:szCs w:val="18"/>
                <w:highlight w:val="lightGray"/>
                <w:u w:val="single"/>
                <w:lang w:val="de-DE"/>
              </w:rPr>
              <w:t xml:space="preserve">** </w:t>
            </w:r>
            <w:r w:rsidRPr="00720172">
              <w:rPr>
                <w:rFonts w:eastAsia="SimSun"/>
                <w:sz w:val="18"/>
                <w:szCs w:val="18"/>
                <w:highlight w:val="lightGray"/>
                <w:u w:val="single"/>
                <w:lang w:val="de-DE" w:eastAsia="zh-CN"/>
              </w:rPr>
              <w:t>Wenn die Anzahl der erlaubten Abweicher einer Sorte in der ersten Wachstumsperiode die Anzahl der erlaubten Abweicher in zwei Wachstumsperioden übersteigt, kann die Sorte nach einer Wachstumsperiode zurückgewiesen werden</w:t>
            </w:r>
          </w:p>
          <w:p w14:paraId="47E3E0F5" w14:textId="2D02B7AC" w:rsidR="002A29A4" w:rsidRPr="005728BA" w:rsidRDefault="002A29A4" w:rsidP="00D80102">
            <w:pPr>
              <w:keepNext/>
              <w:keepLines/>
              <w:ind w:left="34"/>
              <w:rPr>
                <w:rFonts w:eastAsia="SimSun"/>
                <w:sz w:val="18"/>
                <w:lang w:val="de-DE" w:eastAsia="zh-CN"/>
              </w:rPr>
            </w:pPr>
          </w:p>
        </w:tc>
      </w:tr>
    </w:tbl>
    <w:p w14:paraId="06D31D6C" w14:textId="77777777" w:rsidR="00665DC4" w:rsidRPr="002A29A4" w:rsidRDefault="00665DC4">
      <w:pPr>
        <w:jc w:val="left"/>
        <w:rPr>
          <w:lang w:val="de-DE"/>
        </w:rPr>
      </w:pPr>
    </w:p>
    <w:p w14:paraId="6C1C6E68" w14:textId="77777777" w:rsidR="00665DC4" w:rsidRPr="002A29A4" w:rsidRDefault="00665DC4">
      <w:pPr>
        <w:jc w:val="left"/>
        <w:rPr>
          <w:lang w:val="de-DE"/>
        </w:rPr>
      </w:pPr>
    </w:p>
    <w:p w14:paraId="19C47223" w14:textId="77777777" w:rsidR="0060567A" w:rsidRPr="002A29A4" w:rsidRDefault="0060567A">
      <w:pPr>
        <w:jc w:val="left"/>
        <w:rPr>
          <w:lang w:val="de-DE"/>
        </w:rPr>
      </w:pPr>
    </w:p>
    <w:p w14:paraId="205B60FD" w14:textId="4242C8FA" w:rsidR="00665DC4" w:rsidRDefault="00665DC4" w:rsidP="0060567A">
      <w:pPr>
        <w:jc w:val="right"/>
      </w:pPr>
      <w:r>
        <w:rPr>
          <w:rFonts w:eastAsia="MS Mincho"/>
          <w:color w:val="000000"/>
          <w:lang w:eastAsia="ja-JP"/>
        </w:rPr>
        <w:t>[</w:t>
      </w:r>
      <w:r w:rsidR="001E6A84">
        <w:rPr>
          <w:rFonts w:eastAsia="MS Mincho"/>
          <w:color w:val="000000"/>
          <w:lang w:eastAsia="ja-JP"/>
        </w:rPr>
        <w:t>Anlage</w:t>
      </w:r>
      <w:r>
        <w:rPr>
          <w:rFonts w:eastAsia="MS Mincho"/>
          <w:color w:val="000000"/>
          <w:lang w:eastAsia="ja-JP"/>
        </w:rPr>
        <w:t xml:space="preserve"> II</w:t>
      </w:r>
      <w:r w:rsidRPr="00423063">
        <w:rPr>
          <w:rFonts w:eastAsia="MS Mincho"/>
          <w:color w:val="000000"/>
          <w:lang w:eastAsia="ja-JP"/>
        </w:rPr>
        <w:t xml:space="preserve"> </w:t>
      </w:r>
      <w:proofErr w:type="spellStart"/>
      <w:r w:rsidRPr="00423063">
        <w:rPr>
          <w:rFonts w:eastAsia="MS Mincho"/>
          <w:color w:val="000000"/>
          <w:lang w:eastAsia="ja-JP"/>
        </w:rPr>
        <w:t>fol</w:t>
      </w:r>
      <w:r w:rsidR="002A29A4">
        <w:rPr>
          <w:rFonts w:eastAsia="MS Mincho"/>
          <w:color w:val="000000"/>
          <w:lang w:eastAsia="ja-JP"/>
        </w:rPr>
        <w:t>gt</w:t>
      </w:r>
      <w:proofErr w:type="spellEnd"/>
      <w:r w:rsidR="002A29A4">
        <w:rPr>
          <w:rFonts w:eastAsia="MS Mincho"/>
          <w:color w:val="000000"/>
          <w:lang w:eastAsia="ja-JP"/>
        </w:rPr>
        <w:t>]</w:t>
      </w:r>
    </w:p>
    <w:p w14:paraId="6CA48D32" w14:textId="77777777" w:rsidR="00665DC4" w:rsidRDefault="00665DC4" w:rsidP="0060567A">
      <w:pPr>
        <w:jc w:val="right"/>
        <w:sectPr w:rsidR="00665DC4" w:rsidSect="003D3C65">
          <w:headerReference w:type="default" r:id="rId10"/>
          <w:headerReference w:type="first" r:id="rId11"/>
          <w:pgSz w:w="11907" w:h="16840" w:code="9"/>
          <w:pgMar w:top="510" w:right="1134" w:bottom="993" w:left="1134" w:header="510" w:footer="680" w:gutter="0"/>
          <w:pgNumType w:start="1"/>
          <w:cols w:space="720"/>
          <w:titlePg/>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A29A4" w:rsidRPr="00A55926" w14:paraId="2832F2F2" w14:textId="77777777" w:rsidTr="005D2F87">
        <w:trPr>
          <w:trHeight w:val="350"/>
        </w:trPr>
        <w:tc>
          <w:tcPr>
            <w:tcW w:w="9639" w:type="dxa"/>
          </w:tcPr>
          <w:p w14:paraId="3F0522EC" w14:textId="77777777" w:rsidR="002A29A4" w:rsidRPr="005728BA" w:rsidRDefault="002A29A4" w:rsidP="00D80102">
            <w:pPr>
              <w:autoSpaceDE w:val="0"/>
              <w:autoSpaceDN w:val="0"/>
              <w:adjustRightInd w:val="0"/>
              <w:jc w:val="center"/>
              <w:rPr>
                <w:rFonts w:eastAsia="SimSun"/>
                <w:szCs w:val="24"/>
                <w:lang w:val="de-DE" w:eastAsia="zh-CN"/>
              </w:rPr>
            </w:pPr>
          </w:p>
          <w:p w14:paraId="43198788" w14:textId="259F9180" w:rsidR="002A29A4" w:rsidRPr="005728BA" w:rsidRDefault="002A29A4" w:rsidP="00D80102">
            <w:pPr>
              <w:autoSpaceDE w:val="0"/>
              <w:autoSpaceDN w:val="0"/>
              <w:adjustRightInd w:val="0"/>
              <w:jc w:val="center"/>
              <w:rPr>
                <w:szCs w:val="24"/>
                <w:lang w:val="de-DE"/>
              </w:rPr>
            </w:pPr>
            <w:r w:rsidRPr="005728BA">
              <w:rPr>
                <w:rFonts w:eastAsia="SimSun"/>
                <w:szCs w:val="24"/>
                <w:lang w:val="de-DE" w:eastAsia="zh-CN"/>
              </w:rPr>
              <w:t>SITUATION:</w:t>
            </w:r>
            <w:r w:rsidR="00981B04">
              <w:rPr>
                <w:rFonts w:eastAsia="SimSun"/>
                <w:szCs w:val="24"/>
                <w:lang w:val="de-DE" w:eastAsia="zh-CN"/>
              </w:rPr>
              <w:t xml:space="preserve"> </w:t>
            </w:r>
            <w:r w:rsidRPr="005728BA">
              <w:rPr>
                <w:rFonts w:eastAsia="SimSun"/>
                <w:szCs w:val="24"/>
                <w:lang w:val="de-DE" w:eastAsia="zh-CN"/>
              </w:rPr>
              <w:t xml:space="preserve">PRÜFUNG </w:t>
            </w:r>
            <w:r>
              <w:rPr>
                <w:rFonts w:eastAsia="SimSun"/>
                <w:szCs w:val="24"/>
                <w:lang w:val="de-DE" w:eastAsia="zh-CN"/>
              </w:rPr>
              <w:t>DER</w:t>
            </w:r>
            <w:r w:rsidRPr="005728BA">
              <w:rPr>
                <w:rFonts w:eastAsia="SimSun"/>
                <w:szCs w:val="24"/>
                <w:lang w:val="de-DE" w:eastAsia="zh-CN"/>
              </w:rPr>
              <w:t xml:space="preserve"> HOMOGENITÄT ANHAND VON ABWEICHER</w:t>
            </w:r>
            <w:r>
              <w:rPr>
                <w:rFonts w:eastAsia="SimSun"/>
                <w:szCs w:val="24"/>
                <w:lang w:val="de-DE" w:eastAsia="zh-CN"/>
              </w:rPr>
              <w:t>N</w:t>
            </w:r>
            <w:r w:rsidRPr="005728BA">
              <w:rPr>
                <w:rFonts w:eastAsia="SimSun"/>
                <w:szCs w:val="24"/>
                <w:lang w:val="de-DE" w:eastAsia="zh-CN"/>
              </w:rPr>
              <w:t xml:space="preserve"> AUFGRUND VON </w:t>
            </w:r>
            <w:r w:rsidRPr="005728BA">
              <w:rPr>
                <w:szCs w:val="24"/>
                <w:lang w:val="de-DE"/>
              </w:rPr>
              <w:t xml:space="preserve">UNTERPROBEN </w:t>
            </w:r>
            <w:r w:rsidRPr="005728BA">
              <w:rPr>
                <w:rFonts w:eastAsia="MS Mincho"/>
                <w:color w:val="000000"/>
                <w:szCs w:val="24"/>
                <w:lang w:val="de-DE" w:eastAsia="ja-JP"/>
              </w:rPr>
              <w:t>IN EINER PRÜFUNG / EINEM VERSUCH</w:t>
            </w:r>
          </w:p>
          <w:p w14:paraId="45715767" w14:textId="77777777" w:rsidR="002A29A4" w:rsidRPr="005728BA" w:rsidRDefault="002A29A4" w:rsidP="00D80102">
            <w:pPr>
              <w:autoSpaceDE w:val="0"/>
              <w:autoSpaceDN w:val="0"/>
              <w:adjustRightInd w:val="0"/>
              <w:jc w:val="center"/>
              <w:rPr>
                <w:rFonts w:eastAsia="SimSun"/>
                <w:szCs w:val="24"/>
                <w:lang w:val="de-DE" w:eastAsia="zh-CN"/>
              </w:rPr>
            </w:pPr>
          </w:p>
        </w:tc>
      </w:tr>
      <w:tr w:rsidR="002A29A4" w:rsidRPr="00A55926" w14:paraId="07DA72AB" w14:textId="77777777" w:rsidTr="005D2F87">
        <w:trPr>
          <w:trHeight w:val="6949"/>
        </w:trPr>
        <w:tc>
          <w:tcPr>
            <w:tcW w:w="9639" w:type="dxa"/>
          </w:tcPr>
          <w:p w14:paraId="459EF04D" w14:textId="77777777" w:rsidR="002A29A4" w:rsidRPr="005728BA" w:rsidRDefault="002A29A4" w:rsidP="00D80102">
            <w:pPr>
              <w:rPr>
                <w:lang w:val="de-DE"/>
              </w:rPr>
            </w:pPr>
          </w:p>
          <w:p w14:paraId="7D759143" w14:textId="3D4E4745" w:rsidR="002A29A4" w:rsidRPr="005728BA" w:rsidRDefault="002A29A4" w:rsidP="00D80102">
            <w:pPr>
              <w:rPr>
                <w:b/>
                <w:lang w:val="de-DE"/>
              </w:rPr>
            </w:pPr>
            <w:r w:rsidRPr="005728BA">
              <w:rPr>
                <w:b/>
                <w:lang w:val="de-DE"/>
              </w:rPr>
              <w:t>Ansatz:</w:t>
            </w:r>
            <w:r w:rsidR="00981B04">
              <w:rPr>
                <w:b/>
                <w:lang w:val="de-DE"/>
              </w:rPr>
              <w:t xml:space="preserve"> </w:t>
            </w:r>
            <w:r w:rsidRPr="005728BA">
              <w:rPr>
                <w:b/>
                <w:lang w:val="de-DE"/>
              </w:rPr>
              <w:t>Verwendung von Unterproben als erster Prüfungsschritt</w:t>
            </w:r>
          </w:p>
          <w:p w14:paraId="2252A8A2" w14:textId="77777777" w:rsidR="002A29A4" w:rsidRPr="005728BA" w:rsidRDefault="002A29A4" w:rsidP="00D80102">
            <w:pPr>
              <w:rPr>
                <w:b/>
                <w:lang w:val="de-DE"/>
              </w:rPr>
            </w:pPr>
          </w:p>
          <w:p w14:paraId="581C1AE7" w14:textId="77777777" w:rsidR="002A29A4" w:rsidRPr="005728BA" w:rsidRDefault="002A29A4" w:rsidP="00D80102">
            <w:pPr>
              <w:rPr>
                <w:lang w:val="de-DE"/>
              </w:rPr>
            </w:pPr>
            <w:r w:rsidRPr="005728BA">
              <w:rPr>
                <w:lang w:val="de-DE"/>
              </w:rPr>
              <w:t>Eine Sorte wird als homogen betrachtet, wenn die Anzahl der Abweicher einen festgelegten unteren Grenzwert in der Unterprobe nicht übersteigt.</w:t>
            </w:r>
          </w:p>
          <w:p w14:paraId="4940F7C5" w14:textId="77777777" w:rsidR="002A29A4" w:rsidRPr="005728BA" w:rsidRDefault="002A29A4" w:rsidP="00D80102">
            <w:pPr>
              <w:rPr>
                <w:lang w:val="de-DE"/>
              </w:rPr>
            </w:pPr>
          </w:p>
          <w:p w14:paraId="5C6E10F7" w14:textId="77777777" w:rsidR="002A29A4" w:rsidRPr="005728BA" w:rsidRDefault="002A29A4" w:rsidP="00D80102">
            <w:pPr>
              <w:rPr>
                <w:lang w:val="de-DE"/>
              </w:rPr>
            </w:pPr>
            <w:r w:rsidRPr="005728BA">
              <w:rPr>
                <w:lang w:val="de-DE"/>
              </w:rPr>
              <w:t>Eine Sorte wird als nicht homogen betrachtet, wenn die Anzahl der Abweicher einen festgelegten oberen Grenzwert in der Unterprobe übersteigt.</w:t>
            </w:r>
          </w:p>
          <w:p w14:paraId="058DA9C1" w14:textId="77777777" w:rsidR="002A29A4" w:rsidRPr="005728BA" w:rsidRDefault="002A29A4" w:rsidP="00D80102">
            <w:pPr>
              <w:rPr>
                <w:lang w:val="de-DE"/>
              </w:rPr>
            </w:pPr>
          </w:p>
          <w:p w14:paraId="26B5F24F" w14:textId="77777777" w:rsidR="002A29A4" w:rsidRPr="005728BA" w:rsidRDefault="002A29A4" w:rsidP="00D80102">
            <w:pPr>
              <w:rPr>
                <w:lang w:val="de-DE"/>
              </w:rPr>
            </w:pPr>
            <w:r w:rsidRPr="005728BA">
              <w:rPr>
                <w:lang w:val="de-DE"/>
              </w:rPr>
              <w:t>Ist die Anzahl an Abweicher</w:t>
            </w:r>
            <w:r>
              <w:rPr>
                <w:lang w:val="de-DE"/>
              </w:rPr>
              <w:t>n</w:t>
            </w:r>
            <w:r w:rsidRPr="005728BA">
              <w:rPr>
                <w:lang w:val="de-DE"/>
              </w:rPr>
              <w:t xml:space="preserve"> zwischen den festgelegten unteren und oberen Grenzwerten, wird die gesamte Probe geprüft. Die unteren und oberen Grenzwerte müssen unter Berücksichtigung vergleichbarer Fehler vom Typ I und Typ II in der Unterprobe und der gesamten Probe gewählt werden.</w:t>
            </w:r>
          </w:p>
          <w:p w14:paraId="2D1D8616" w14:textId="77777777" w:rsidR="002A29A4" w:rsidRPr="005728BA" w:rsidRDefault="00DE0119" w:rsidP="00D80102">
            <w:pPr>
              <w:rPr>
                <w:lang w:val="de-DE"/>
              </w:rPr>
            </w:pPr>
            <w:r>
              <w:rPr>
                <w:rFonts w:eastAsia="SimSun"/>
                <w:szCs w:val="24"/>
                <w:lang w:val="de-DE" w:eastAsia="zh-CN"/>
              </w:rPr>
              <w:pict w14:anchorId="5F118AC2">
                <v:rect id="_x0000_i1025" style="width:0;height:1.5pt" o:hralign="center" o:hrstd="t" o:hr="t" fillcolor="#a0a0a0" stroked="f"/>
              </w:pict>
            </w:r>
          </w:p>
          <w:p w14:paraId="60ADB51C" w14:textId="77777777" w:rsidR="002A29A4" w:rsidRPr="005728BA" w:rsidRDefault="002A29A4" w:rsidP="00D80102">
            <w:pPr>
              <w:rPr>
                <w:szCs w:val="24"/>
                <w:lang w:val="de-DE"/>
              </w:rPr>
            </w:pPr>
          </w:p>
          <w:p w14:paraId="0309D914" w14:textId="77777777" w:rsidR="002A29A4" w:rsidRPr="005728BA" w:rsidRDefault="002A29A4" w:rsidP="00D80102">
            <w:pPr>
              <w:rPr>
                <w:szCs w:val="24"/>
                <w:lang w:val="de-DE"/>
              </w:rPr>
            </w:pPr>
            <w:r w:rsidRPr="005728BA">
              <w:rPr>
                <w:lang w:val="de-DE"/>
              </w:rPr>
              <w:t>Beispiel:</w:t>
            </w:r>
          </w:p>
          <w:p w14:paraId="2BD988F1" w14:textId="77777777" w:rsidR="002A29A4" w:rsidRPr="005728BA" w:rsidRDefault="002A29A4" w:rsidP="00D80102">
            <w:pPr>
              <w:rPr>
                <w:szCs w:val="24"/>
                <w:lang w:val="de-DE"/>
              </w:rPr>
            </w:pPr>
          </w:p>
          <w:p w14:paraId="536753A1" w14:textId="77777777" w:rsidR="002A29A4" w:rsidRPr="005728BA" w:rsidRDefault="002A29A4" w:rsidP="00D80102">
            <w:pPr>
              <w:autoSpaceDE w:val="0"/>
              <w:autoSpaceDN w:val="0"/>
              <w:adjustRightInd w:val="0"/>
              <w:rPr>
                <w:color w:val="000000"/>
                <w:szCs w:val="24"/>
                <w:lang w:val="de-DE"/>
              </w:rPr>
            </w:pPr>
            <w:r w:rsidRPr="005728BA">
              <w:rPr>
                <w:color w:val="000000"/>
                <w:lang w:val="de-DE"/>
              </w:rPr>
              <w:t>In einer Probengröße von 100 Pflanzen beträgt die akzeptierte Anzahl an Abweicher</w:t>
            </w:r>
            <w:r>
              <w:rPr>
                <w:color w:val="000000"/>
                <w:lang w:val="de-DE"/>
              </w:rPr>
              <w:t>n</w:t>
            </w:r>
            <w:r w:rsidRPr="005728BA">
              <w:rPr>
                <w:color w:val="000000"/>
                <w:lang w:val="de-DE"/>
              </w:rPr>
              <w:t xml:space="preserve"> 3 (ausgehend von einem Populationsstandard von 1% und einer Akzeptanzwahrscheinlichkeit von mindestens 95%).</w:t>
            </w:r>
          </w:p>
          <w:p w14:paraId="3E001C4F" w14:textId="77777777" w:rsidR="002A29A4" w:rsidRPr="005728BA" w:rsidRDefault="002A29A4" w:rsidP="00D80102">
            <w:pPr>
              <w:autoSpaceDE w:val="0"/>
              <w:autoSpaceDN w:val="0"/>
              <w:adjustRightInd w:val="0"/>
              <w:ind w:firstLine="567"/>
              <w:rPr>
                <w:color w:val="000000"/>
                <w:szCs w:val="24"/>
                <w:lang w:val="de-DE"/>
              </w:rPr>
            </w:pPr>
          </w:p>
          <w:p w14:paraId="254ACDDB" w14:textId="77777777" w:rsidR="002A29A4" w:rsidRPr="005728BA" w:rsidRDefault="002A29A4" w:rsidP="00D80102">
            <w:pPr>
              <w:autoSpaceDE w:val="0"/>
              <w:autoSpaceDN w:val="0"/>
              <w:adjustRightInd w:val="0"/>
              <w:rPr>
                <w:color w:val="000000"/>
                <w:szCs w:val="24"/>
                <w:lang w:val="de-DE"/>
              </w:rPr>
            </w:pPr>
            <w:r w:rsidRPr="005728BA">
              <w:rPr>
                <w:color w:val="000000"/>
                <w:lang w:val="de-DE"/>
              </w:rPr>
              <w:t>In einer Unterprobe von 20 Pflanzen, die in Zusammenhang mit der oben genannten Probengröße von 100 Pflanzen verwendet wird</w:t>
            </w:r>
            <w:r>
              <w:rPr>
                <w:color w:val="000000"/>
                <w:lang w:val="de-DE"/>
              </w:rPr>
              <w:t>, gilt folgendes</w:t>
            </w:r>
            <w:r w:rsidRPr="005728BA">
              <w:rPr>
                <w:color w:val="000000"/>
                <w:lang w:val="de-DE"/>
              </w:rPr>
              <w:t>:</w:t>
            </w:r>
          </w:p>
          <w:p w14:paraId="41C80527" w14:textId="77777777" w:rsidR="002A29A4" w:rsidRPr="005728BA" w:rsidRDefault="002A29A4" w:rsidP="00D80102">
            <w:pPr>
              <w:autoSpaceDE w:val="0"/>
              <w:autoSpaceDN w:val="0"/>
              <w:adjustRightInd w:val="0"/>
              <w:rPr>
                <w:color w:val="000000"/>
                <w:szCs w:val="24"/>
                <w:lang w:val="de-DE"/>
              </w:rPr>
            </w:pPr>
          </w:p>
          <w:p w14:paraId="317A84A8" w14:textId="77777777" w:rsidR="002A29A4" w:rsidRPr="005728BA" w:rsidRDefault="002A29A4" w:rsidP="00D80102">
            <w:pPr>
              <w:ind w:left="567"/>
              <w:rPr>
                <w:lang w:val="de-DE"/>
              </w:rPr>
            </w:pPr>
            <w:r w:rsidRPr="005728BA">
              <w:rPr>
                <w:lang w:val="de-DE"/>
              </w:rPr>
              <w:t>Eine Sorte wird als homogen betrachtet, wenn die Unterprobe keine Abweicher aufweist.</w:t>
            </w:r>
          </w:p>
          <w:p w14:paraId="443FF28E" w14:textId="77777777" w:rsidR="002A29A4" w:rsidRPr="005728BA" w:rsidRDefault="002A29A4" w:rsidP="00D80102">
            <w:pPr>
              <w:rPr>
                <w:lang w:val="de-DE"/>
              </w:rPr>
            </w:pPr>
          </w:p>
          <w:p w14:paraId="6448FD09" w14:textId="77777777" w:rsidR="002A29A4" w:rsidRPr="005728BA" w:rsidRDefault="002A29A4" w:rsidP="00D80102">
            <w:pPr>
              <w:ind w:left="567"/>
              <w:rPr>
                <w:lang w:val="de-DE"/>
              </w:rPr>
            </w:pPr>
            <w:r w:rsidRPr="005728BA">
              <w:rPr>
                <w:lang w:val="de-DE"/>
              </w:rPr>
              <w:t>Eine Sorte wird als nicht homogen betrachtet, wenn die Unterprobe mehr als 3 Abweicher aufweist.</w:t>
            </w:r>
          </w:p>
          <w:p w14:paraId="5F203F19" w14:textId="77777777" w:rsidR="002A29A4" w:rsidRPr="005728BA" w:rsidRDefault="002A29A4" w:rsidP="00D80102">
            <w:pPr>
              <w:rPr>
                <w:lang w:val="de-DE"/>
              </w:rPr>
            </w:pPr>
          </w:p>
          <w:p w14:paraId="73219372" w14:textId="77777777" w:rsidR="002A29A4" w:rsidRPr="005728BA" w:rsidRDefault="002A29A4" w:rsidP="00D80102">
            <w:pPr>
              <w:ind w:left="567"/>
              <w:rPr>
                <w:lang w:val="de-DE"/>
              </w:rPr>
            </w:pPr>
            <w:r>
              <w:rPr>
                <w:lang w:val="de-DE"/>
              </w:rPr>
              <w:t>Ist die Anzahl der Abweicher</w:t>
            </w:r>
            <w:r w:rsidRPr="005728BA">
              <w:rPr>
                <w:lang w:val="de-DE"/>
              </w:rPr>
              <w:t xml:space="preserve"> 1 bis 3, so wird die gesamte Probe von 100 Pflanzen geprüft.</w:t>
            </w:r>
          </w:p>
          <w:p w14:paraId="6A2275CC" w14:textId="77777777" w:rsidR="002A29A4" w:rsidRPr="005728BA" w:rsidRDefault="002A29A4" w:rsidP="00D80102">
            <w:pPr>
              <w:ind w:left="567"/>
              <w:rPr>
                <w:lang w:val="de-DE"/>
              </w:rPr>
            </w:pPr>
          </w:p>
          <w:p w14:paraId="470DF6D7" w14:textId="77777777" w:rsidR="002A29A4" w:rsidRPr="005728BA" w:rsidRDefault="002A29A4" w:rsidP="00D80102">
            <w:pPr>
              <w:ind w:left="567"/>
              <w:rPr>
                <w:lang w:val="de-DE"/>
              </w:rPr>
            </w:pPr>
            <w:r w:rsidRPr="005728BA">
              <w:rPr>
                <w:lang w:val="de-DE"/>
              </w:rPr>
              <w:t>Die Sorte wird als nicht homogen betrachtet, wenn die Anzahl der Abweicher in der Probe mit 100 Pflanzen größer als 3 ist.</w:t>
            </w:r>
          </w:p>
          <w:p w14:paraId="7DC366E0" w14:textId="77777777" w:rsidR="002A29A4" w:rsidRPr="005728BA" w:rsidRDefault="002A29A4" w:rsidP="00D80102">
            <w:pPr>
              <w:ind w:left="34" w:right="600"/>
              <w:rPr>
                <w:lang w:val="de-DE"/>
              </w:rPr>
            </w:pPr>
          </w:p>
          <w:p w14:paraId="4C4E983C" w14:textId="77777777" w:rsidR="002A29A4" w:rsidRPr="005728BA" w:rsidRDefault="002A29A4" w:rsidP="00D80102">
            <w:pPr>
              <w:ind w:left="34" w:right="600"/>
              <w:rPr>
                <w:szCs w:val="24"/>
                <w:lang w:val="de-DE"/>
              </w:rPr>
            </w:pPr>
            <w:r w:rsidRPr="005728BA">
              <w:rPr>
                <w:lang w:val="de-DE"/>
              </w:rPr>
              <w:t>Anlage V von Dokument TWC/32/9 enthält eine vollständige Beschreibung der statistischen Grundlage für diesen Ansatz.</w:t>
            </w:r>
          </w:p>
          <w:p w14:paraId="7E330F2F" w14:textId="77777777" w:rsidR="002A29A4" w:rsidRPr="005728BA" w:rsidRDefault="002A29A4" w:rsidP="00D80102">
            <w:pPr>
              <w:ind w:left="34" w:right="600"/>
              <w:rPr>
                <w:szCs w:val="24"/>
                <w:lang w:val="de-DE"/>
              </w:rPr>
            </w:pPr>
          </w:p>
        </w:tc>
      </w:tr>
    </w:tbl>
    <w:p w14:paraId="6A6E9436" w14:textId="77777777" w:rsidR="00050E16" w:rsidRPr="002A29A4" w:rsidRDefault="00050E16" w:rsidP="00050E16">
      <w:pPr>
        <w:rPr>
          <w:lang w:val="de-DE"/>
        </w:rPr>
      </w:pPr>
    </w:p>
    <w:p w14:paraId="2F38C2CB" w14:textId="77777777" w:rsidR="0060567A" w:rsidRPr="002A29A4" w:rsidRDefault="0060567A" w:rsidP="00050E16">
      <w:pPr>
        <w:rPr>
          <w:lang w:val="de-DE"/>
        </w:rPr>
      </w:pPr>
    </w:p>
    <w:p w14:paraId="2F95C428" w14:textId="77777777" w:rsidR="0060567A" w:rsidRPr="002A29A4" w:rsidRDefault="0060567A" w:rsidP="00050E16">
      <w:pPr>
        <w:rPr>
          <w:lang w:val="de-DE"/>
        </w:rPr>
      </w:pPr>
    </w:p>
    <w:p w14:paraId="1F930747" w14:textId="77777777" w:rsidR="00804235" w:rsidRPr="002A29A4" w:rsidRDefault="00804235" w:rsidP="00804235">
      <w:pPr>
        <w:jc w:val="left"/>
        <w:rPr>
          <w:lang w:val="de-DE"/>
        </w:rPr>
      </w:pPr>
    </w:p>
    <w:p w14:paraId="668AF2FA" w14:textId="77777777" w:rsidR="00050E16" w:rsidRPr="00804235" w:rsidRDefault="00804235" w:rsidP="00804235">
      <w:pPr>
        <w:jc w:val="right"/>
        <w:rPr>
          <w:lang w:val="de-DE"/>
        </w:rPr>
      </w:pPr>
      <w:r w:rsidRPr="00804235">
        <w:rPr>
          <w:lang w:val="de-DE"/>
        </w:rPr>
        <w:t>[Ende der Anlage II und des Dokuments]</w:t>
      </w:r>
    </w:p>
    <w:sectPr w:rsidR="00050E16" w:rsidRPr="00804235" w:rsidSect="00906DDC">
      <w:head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53375" w14:textId="77777777" w:rsidR="00A5603A" w:rsidRDefault="00A5603A" w:rsidP="006655D3">
      <w:r>
        <w:separator/>
      </w:r>
    </w:p>
    <w:p w14:paraId="1FE3E1DA" w14:textId="77777777" w:rsidR="00A5603A" w:rsidRDefault="00A5603A" w:rsidP="006655D3"/>
    <w:p w14:paraId="045C3394" w14:textId="77777777" w:rsidR="00A5603A" w:rsidRDefault="00A5603A" w:rsidP="006655D3"/>
  </w:endnote>
  <w:endnote w:type="continuationSeparator" w:id="0">
    <w:p w14:paraId="2DA6360B" w14:textId="77777777" w:rsidR="00A5603A" w:rsidRDefault="00A5603A" w:rsidP="006655D3">
      <w:r>
        <w:separator/>
      </w:r>
    </w:p>
    <w:p w14:paraId="5C7416A4" w14:textId="77777777" w:rsidR="00A5603A" w:rsidRPr="00294751" w:rsidRDefault="00A5603A">
      <w:pPr>
        <w:pStyle w:val="Footer"/>
        <w:spacing w:after="60"/>
        <w:rPr>
          <w:sz w:val="18"/>
          <w:lang w:val="fr-FR"/>
        </w:rPr>
      </w:pPr>
      <w:r w:rsidRPr="00294751">
        <w:rPr>
          <w:sz w:val="18"/>
          <w:lang w:val="fr-FR"/>
        </w:rPr>
        <w:t>[Suite de la note de la page précédente]</w:t>
      </w:r>
    </w:p>
    <w:p w14:paraId="6C9578D4" w14:textId="77777777" w:rsidR="00A5603A" w:rsidRPr="00294751" w:rsidRDefault="00A5603A" w:rsidP="006655D3">
      <w:pPr>
        <w:rPr>
          <w:lang w:val="fr-FR"/>
        </w:rPr>
      </w:pPr>
    </w:p>
    <w:p w14:paraId="3D494265" w14:textId="77777777" w:rsidR="00A5603A" w:rsidRPr="00294751" w:rsidRDefault="00A5603A" w:rsidP="006655D3">
      <w:pPr>
        <w:rPr>
          <w:lang w:val="fr-FR"/>
        </w:rPr>
      </w:pPr>
    </w:p>
  </w:endnote>
  <w:endnote w:type="continuationNotice" w:id="1">
    <w:p w14:paraId="0C93E0DC" w14:textId="77777777" w:rsidR="00A5603A" w:rsidRPr="00294751" w:rsidRDefault="00A5603A" w:rsidP="006655D3">
      <w:pPr>
        <w:rPr>
          <w:lang w:val="fr-FR"/>
        </w:rPr>
      </w:pPr>
      <w:r w:rsidRPr="00294751">
        <w:rPr>
          <w:lang w:val="fr-FR"/>
        </w:rPr>
        <w:t>[Suite de la note page suivante]</w:t>
      </w:r>
    </w:p>
    <w:p w14:paraId="20260EFF" w14:textId="77777777" w:rsidR="00A5603A" w:rsidRPr="00294751" w:rsidRDefault="00A5603A" w:rsidP="006655D3">
      <w:pPr>
        <w:rPr>
          <w:lang w:val="fr-FR"/>
        </w:rPr>
      </w:pPr>
    </w:p>
    <w:p w14:paraId="6F1A1384" w14:textId="77777777" w:rsidR="00A5603A" w:rsidRPr="00294751" w:rsidRDefault="00A5603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B41B5" w14:textId="77777777" w:rsidR="00A5603A" w:rsidRDefault="00A5603A" w:rsidP="006655D3">
      <w:r>
        <w:separator/>
      </w:r>
    </w:p>
  </w:footnote>
  <w:footnote w:type="continuationSeparator" w:id="0">
    <w:p w14:paraId="18BE381D" w14:textId="77777777" w:rsidR="00A5603A" w:rsidRDefault="00A5603A" w:rsidP="006655D3">
      <w:r>
        <w:separator/>
      </w:r>
    </w:p>
  </w:footnote>
  <w:footnote w:type="continuationNotice" w:id="1">
    <w:p w14:paraId="1F257CD4" w14:textId="77777777" w:rsidR="00A5603A" w:rsidRPr="00AB530F" w:rsidRDefault="00A5603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42042" w14:textId="77777777" w:rsidR="00D80102" w:rsidRPr="00C5280D" w:rsidRDefault="00D80102" w:rsidP="00EB048E">
    <w:pPr>
      <w:pStyle w:val="Header"/>
      <w:rPr>
        <w:rStyle w:val="PageNumber"/>
        <w:lang w:val="en-US"/>
      </w:rPr>
    </w:pPr>
    <w:r>
      <w:rPr>
        <w:rStyle w:val="PageNumber"/>
        <w:lang w:val="en-US"/>
      </w:rPr>
      <w:t>TC/53/19</w:t>
    </w:r>
  </w:p>
  <w:p w14:paraId="39968A8C" w14:textId="77777777" w:rsidR="00D80102" w:rsidRPr="00C5280D" w:rsidRDefault="00D80102"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E0119">
      <w:rPr>
        <w:rStyle w:val="PageNumber"/>
        <w:noProof/>
        <w:lang w:val="en-US"/>
      </w:rPr>
      <w:t>7</w:t>
    </w:r>
    <w:r w:rsidRPr="00C5280D">
      <w:rPr>
        <w:rStyle w:val="PageNumber"/>
        <w:lang w:val="en-US"/>
      </w:rPr>
      <w:fldChar w:fldCharType="end"/>
    </w:r>
  </w:p>
  <w:p w14:paraId="5F4DFF63" w14:textId="77777777" w:rsidR="00D80102" w:rsidRPr="00C5280D" w:rsidRDefault="00D8010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261BC" w14:textId="77777777" w:rsidR="00D80102" w:rsidRPr="00C5280D" w:rsidRDefault="00D80102" w:rsidP="00EB048E">
    <w:pPr>
      <w:pStyle w:val="Header"/>
      <w:rPr>
        <w:rStyle w:val="PageNumber"/>
        <w:lang w:val="en-US"/>
      </w:rPr>
    </w:pPr>
    <w:r>
      <w:rPr>
        <w:rStyle w:val="PageNumber"/>
        <w:lang w:val="en-US"/>
      </w:rPr>
      <w:t>TC/53/19</w:t>
    </w:r>
  </w:p>
  <w:p w14:paraId="538C3C9E" w14:textId="77777777" w:rsidR="00D80102" w:rsidRPr="00C5280D" w:rsidRDefault="00D80102" w:rsidP="00EB048E">
    <w:pPr>
      <w:pStyle w:val="Header"/>
      <w:rPr>
        <w:lang w:val="en-US"/>
      </w:rPr>
    </w:pPr>
    <w:r>
      <w:rPr>
        <w:lang w:val="en-US"/>
      </w:rPr>
      <w:t xml:space="preserve">Anlage 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E0119">
      <w:rPr>
        <w:rStyle w:val="PageNumber"/>
        <w:noProof/>
        <w:lang w:val="en-US"/>
      </w:rPr>
      <w:t>2</w:t>
    </w:r>
    <w:r w:rsidRPr="00C5280D">
      <w:rPr>
        <w:rStyle w:val="PageNumber"/>
        <w:lang w:val="en-US"/>
      </w:rPr>
      <w:fldChar w:fldCharType="end"/>
    </w:r>
  </w:p>
  <w:p w14:paraId="45FE52A3" w14:textId="77777777" w:rsidR="00D80102" w:rsidRPr="00C5280D" w:rsidRDefault="00D80102"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47A1A4" w14:textId="77777777" w:rsidR="00D80102" w:rsidRDefault="00D80102">
    <w:pPr>
      <w:pStyle w:val="Header"/>
      <w:rPr>
        <w:lang w:val="en-US"/>
      </w:rPr>
    </w:pPr>
    <w:r>
      <w:rPr>
        <w:lang w:val="en-US"/>
      </w:rPr>
      <w:t>TC/53/19</w:t>
    </w:r>
  </w:p>
  <w:p w14:paraId="4211022B" w14:textId="77777777" w:rsidR="00D80102" w:rsidRDefault="00D80102">
    <w:pPr>
      <w:pStyle w:val="Header"/>
      <w:rPr>
        <w:lang w:val="en-US"/>
      </w:rPr>
    </w:pPr>
  </w:p>
  <w:p w14:paraId="218D138C" w14:textId="77777777" w:rsidR="00D80102" w:rsidRDefault="00D80102">
    <w:pPr>
      <w:pStyle w:val="Header"/>
      <w:rPr>
        <w:lang w:val="en-US"/>
      </w:rPr>
    </w:pPr>
    <w:r>
      <w:rPr>
        <w:lang w:val="en-US"/>
      </w:rPr>
      <w:t>ANLAGE I</w:t>
    </w:r>
  </w:p>
  <w:p w14:paraId="3C33B93A" w14:textId="77777777" w:rsidR="00D80102" w:rsidRDefault="00D80102">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F6D07" w14:textId="77777777" w:rsidR="00D80102" w:rsidRDefault="00D80102">
    <w:pPr>
      <w:pStyle w:val="Header"/>
      <w:rPr>
        <w:lang w:val="en-US"/>
      </w:rPr>
    </w:pPr>
    <w:r>
      <w:rPr>
        <w:lang w:val="en-US"/>
      </w:rPr>
      <w:t>TC/53/19</w:t>
    </w:r>
  </w:p>
  <w:p w14:paraId="19866768" w14:textId="77777777" w:rsidR="00D80102" w:rsidRDefault="00D80102">
    <w:pPr>
      <w:pStyle w:val="Header"/>
      <w:rPr>
        <w:lang w:val="en-US"/>
      </w:rPr>
    </w:pPr>
  </w:p>
  <w:p w14:paraId="5439CDA8" w14:textId="77777777" w:rsidR="00D80102" w:rsidRDefault="00D80102">
    <w:pPr>
      <w:pStyle w:val="Header"/>
      <w:rPr>
        <w:lang w:val="en-US"/>
      </w:rPr>
    </w:pPr>
    <w:r>
      <w:rPr>
        <w:lang w:val="en-US"/>
      </w:rPr>
      <w:t>ANLAGE II</w:t>
    </w:r>
  </w:p>
  <w:p w14:paraId="48938DCF" w14:textId="77777777" w:rsidR="00D80102" w:rsidRPr="0060567A" w:rsidRDefault="00D80102">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95215"/>
    <w:multiLevelType w:val="hybridMultilevel"/>
    <w:tmpl w:val="8CAC29C6"/>
    <w:lvl w:ilvl="0" w:tplc="79180E14">
      <w:start w:val="1"/>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00921"/>
    <w:rsid w:val="00002F9E"/>
    <w:rsid w:val="00010CF3"/>
    <w:rsid w:val="00011E27"/>
    <w:rsid w:val="000148BC"/>
    <w:rsid w:val="00024AB8"/>
    <w:rsid w:val="00030854"/>
    <w:rsid w:val="00034105"/>
    <w:rsid w:val="00036028"/>
    <w:rsid w:val="00044642"/>
    <w:rsid w:val="000446B9"/>
    <w:rsid w:val="00047E21"/>
    <w:rsid w:val="00050E16"/>
    <w:rsid w:val="00073608"/>
    <w:rsid w:val="000765BA"/>
    <w:rsid w:val="00076F15"/>
    <w:rsid w:val="00085505"/>
    <w:rsid w:val="000A128F"/>
    <w:rsid w:val="000B1047"/>
    <w:rsid w:val="000B1E50"/>
    <w:rsid w:val="000C2E72"/>
    <w:rsid w:val="000C4E25"/>
    <w:rsid w:val="000C7021"/>
    <w:rsid w:val="000D6BBC"/>
    <w:rsid w:val="000D7780"/>
    <w:rsid w:val="000E636A"/>
    <w:rsid w:val="000F2F11"/>
    <w:rsid w:val="0010184B"/>
    <w:rsid w:val="00105929"/>
    <w:rsid w:val="00110C36"/>
    <w:rsid w:val="001131D5"/>
    <w:rsid w:val="00117072"/>
    <w:rsid w:val="00124716"/>
    <w:rsid w:val="001347E1"/>
    <w:rsid w:val="00141DB8"/>
    <w:rsid w:val="00144795"/>
    <w:rsid w:val="00153EB9"/>
    <w:rsid w:val="00157F21"/>
    <w:rsid w:val="00160F18"/>
    <w:rsid w:val="00172084"/>
    <w:rsid w:val="001725DC"/>
    <w:rsid w:val="0017474A"/>
    <w:rsid w:val="00175474"/>
    <w:rsid w:val="001758C6"/>
    <w:rsid w:val="00181F74"/>
    <w:rsid w:val="00182B99"/>
    <w:rsid w:val="001A28DA"/>
    <w:rsid w:val="001C06EF"/>
    <w:rsid w:val="001C2984"/>
    <w:rsid w:val="001D5BDC"/>
    <w:rsid w:val="001E02B9"/>
    <w:rsid w:val="001E6A84"/>
    <w:rsid w:val="001F7AFD"/>
    <w:rsid w:val="002008DC"/>
    <w:rsid w:val="002030DE"/>
    <w:rsid w:val="00212D71"/>
    <w:rsid w:val="0021332C"/>
    <w:rsid w:val="00213982"/>
    <w:rsid w:val="002148D6"/>
    <w:rsid w:val="00233163"/>
    <w:rsid w:val="002417EF"/>
    <w:rsid w:val="0024416D"/>
    <w:rsid w:val="00271911"/>
    <w:rsid w:val="002800A0"/>
    <w:rsid w:val="002801B3"/>
    <w:rsid w:val="00281060"/>
    <w:rsid w:val="00283128"/>
    <w:rsid w:val="002940E8"/>
    <w:rsid w:val="00294751"/>
    <w:rsid w:val="002A29A4"/>
    <w:rsid w:val="002A6E50"/>
    <w:rsid w:val="002B4298"/>
    <w:rsid w:val="002B6858"/>
    <w:rsid w:val="002C175F"/>
    <w:rsid w:val="002C256A"/>
    <w:rsid w:val="002C3459"/>
    <w:rsid w:val="002D6A0C"/>
    <w:rsid w:val="00300AA7"/>
    <w:rsid w:val="00304827"/>
    <w:rsid w:val="00305A7F"/>
    <w:rsid w:val="00312967"/>
    <w:rsid w:val="003136D2"/>
    <w:rsid w:val="003152FE"/>
    <w:rsid w:val="00324A8A"/>
    <w:rsid w:val="00325114"/>
    <w:rsid w:val="00327436"/>
    <w:rsid w:val="00344BD6"/>
    <w:rsid w:val="0035528D"/>
    <w:rsid w:val="00361821"/>
    <w:rsid w:val="00361DE4"/>
    <w:rsid w:val="00361E9E"/>
    <w:rsid w:val="00373E94"/>
    <w:rsid w:val="00386D13"/>
    <w:rsid w:val="00395D5A"/>
    <w:rsid w:val="003B34D5"/>
    <w:rsid w:val="003B425B"/>
    <w:rsid w:val="003C7FBE"/>
    <w:rsid w:val="003D227C"/>
    <w:rsid w:val="003D2B4D"/>
    <w:rsid w:val="003D3C65"/>
    <w:rsid w:val="003E1C33"/>
    <w:rsid w:val="003E29A7"/>
    <w:rsid w:val="003E4E25"/>
    <w:rsid w:val="003F220F"/>
    <w:rsid w:val="003F6F6E"/>
    <w:rsid w:val="004144B6"/>
    <w:rsid w:val="004174C6"/>
    <w:rsid w:val="00417A9C"/>
    <w:rsid w:val="004224E8"/>
    <w:rsid w:val="004418BE"/>
    <w:rsid w:val="00444A88"/>
    <w:rsid w:val="00457026"/>
    <w:rsid w:val="004627B6"/>
    <w:rsid w:val="0047007B"/>
    <w:rsid w:val="00471422"/>
    <w:rsid w:val="00474DA4"/>
    <w:rsid w:val="00476B4D"/>
    <w:rsid w:val="00477A86"/>
    <w:rsid w:val="004805FA"/>
    <w:rsid w:val="00486612"/>
    <w:rsid w:val="00487057"/>
    <w:rsid w:val="004935D2"/>
    <w:rsid w:val="004A2845"/>
    <w:rsid w:val="004B1215"/>
    <w:rsid w:val="004C0CE7"/>
    <w:rsid w:val="004D047D"/>
    <w:rsid w:val="004D2EF3"/>
    <w:rsid w:val="004D330A"/>
    <w:rsid w:val="004D40E8"/>
    <w:rsid w:val="004F0650"/>
    <w:rsid w:val="004F1E9E"/>
    <w:rsid w:val="004F2BC8"/>
    <w:rsid w:val="004F305A"/>
    <w:rsid w:val="004F3E23"/>
    <w:rsid w:val="00512164"/>
    <w:rsid w:val="00520297"/>
    <w:rsid w:val="00530A57"/>
    <w:rsid w:val="00531846"/>
    <w:rsid w:val="005329DB"/>
    <w:rsid w:val="005338F9"/>
    <w:rsid w:val="0054281C"/>
    <w:rsid w:val="00543FFE"/>
    <w:rsid w:val="00544581"/>
    <w:rsid w:val="00550581"/>
    <w:rsid w:val="00550787"/>
    <w:rsid w:val="0055268D"/>
    <w:rsid w:val="005568D1"/>
    <w:rsid w:val="00561ACF"/>
    <w:rsid w:val="0056496F"/>
    <w:rsid w:val="00576BE4"/>
    <w:rsid w:val="00587C93"/>
    <w:rsid w:val="005A400A"/>
    <w:rsid w:val="005A5CEA"/>
    <w:rsid w:val="005B09D6"/>
    <w:rsid w:val="005B2627"/>
    <w:rsid w:val="005B5F91"/>
    <w:rsid w:val="005C36D0"/>
    <w:rsid w:val="005C7C50"/>
    <w:rsid w:val="005D2F87"/>
    <w:rsid w:val="005D3057"/>
    <w:rsid w:val="005E76C9"/>
    <w:rsid w:val="005F5ACA"/>
    <w:rsid w:val="005F7B92"/>
    <w:rsid w:val="0060567A"/>
    <w:rsid w:val="00612379"/>
    <w:rsid w:val="006153B6"/>
    <w:rsid w:val="0061555F"/>
    <w:rsid w:val="00623714"/>
    <w:rsid w:val="00636CA6"/>
    <w:rsid w:val="00641200"/>
    <w:rsid w:val="00645C64"/>
    <w:rsid w:val="00645CA8"/>
    <w:rsid w:val="0065517B"/>
    <w:rsid w:val="006604F7"/>
    <w:rsid w:val="006655D3"/>
    <w:rsid w:val="00665DC4"/>
    <w:rsid w:val="00667404"/>
    <w:rsid w:val="00687EB4"/>
    <w:rsid w:val="00691389"/>
    <w:rsid w:val="00695BA1"/>
    <w:rsid w:val="00695C56"/>
    <w:rsid w:val="006A5CDE"/>
    <w:rsid w:val="006A644A"/>
    <w:rsid w:val="006B13C6"/>
    <w:rsid w:val="006B17D2"/>
    <w:rsid w:val="006B4675"/>
    <w:rsid w:val="006C224E"/>
    <w:rsid w:val="006D3F3C"/>
    <w:rsid w:val="006D780A"/>
    <w:rsid w:val="006E0816"/>
    <w:rsid w:val="006E4EF6"/>
    <w:rsid w:val="006F1FCC"/>
    <w:rsid w:val="00703993"/>
    <w:rsid w:val="0071271E"/>
    <w:rsid w:val="00713DF5"/>
    <w:rsid w:val="00720172"/>
    <w:rsid w:val="007228AD"/>
    <w:rsid w:val="00732DEC"/>
    <w:rsid w:val="00735491"/>
    <w:rsid w:val="00735BD5"/>
    <w:rsid w:val="00751613"/>
    <w:rsid w:val="007556F6"/>
    <w:rsid w:val="00760C8B"/>
    <w:rsid w:val="00760EEF"/>
    <w:rsid w:val="007659E5"/>
    <w:rsid w:val="00771F94"/>
    <w:rsid w:val="00774268"/>
    <w:rsid w:val="00775FBD"/>
    <w:rsid w:val="00777EE5"/>
    <w:rsid w:val="00784836"/>
    <w:rsid w:val="0079023E"/>
    <w:rsid w:val="007A2854"/>
    <w:rsid w:val="007A79E4"/>
    <w:rsid w:val="007B0B0A"/>
    <w:rsid w:val="007B0CA4"/>
    <w:rsid w:val="007C1D92"/>
    <w:rsid w:val="007C478E"/>
    <w:rsid w:val="007C4CB9"/>
    <w:rsid w:val="007C6354"/>
    <w:rsid w:val="007D0B9D"/>
    <w:rsid w:val="007D19B0"/>
    <w:rsid w:val="007D2B9E"/>
    <w:rsid w:val="007E7698"/>
    <w:rsid w:val="007F0481"/>
    <w:rsid w:val="007F1408"/>
    <w:rsid w:val="007F498F"/>
    <w:rsid w:val="00804235"/>
    <w:rsid w:val="0080679D"/>
    <w:rsid w:val="008108B0"/>
    <w:rsid w:val="00811B20"/>
    <w:rsid w:val="008120FD"/>
    <w:rsid w:val="008211B5"/>
    <w:rsid w:val="0082296E"/>
    <w:rsid w:val="00824099"/>
    <w:rsid w:val="00837D1F"/>
    <w:rsid w:val="00846D7C"/>
    <w:rsid w:val="00856BDE"/>
    <w:rsid w:val="00860B42"/>
    <w:rsid w:val="00867AC1"/>
    <w:rsid w:val="00890DF8"/>
    <w:rsid w:val="008942B7"/>
    <w:rsid w:val="008A743F"/>
    <w:rsid w:val="008C0970"/>
    <w:rsid w:val="008D0BC5"/>
    <w:rsid w:val="008D2CF7"/>
    <w:rsid w:val="008E3803"/>
    <w:rsid w:val="008F3E77"/>
    <w:rsid w:val="008F5FF7"/>
    <w:rsid w:val="00900C26"/>
    <w:rsid w:val="0090197F"/>
    <w:rsid w:val="00902EA8"/>
    <w:rsid w:val="00905171"/>
    <w:rsid w:val="00906DDC"/>
    <w:rsid w:val="009103CD"/>
    <w:rsid w:val="00912B98"/>
    <w:rsid w:val="00915DCF"/>
    <w:rsid w:val="009162E2"/>
    <w:rsid w:val="00922939"/>
    <w:rsid w:val="00934E09"/>
    <w:rsid w:val="00936253"/>
    <w:rsid w:val="00940D46"/>
    <w:rsid w:val="00952DD4"/>
    <w:rsid w:val="00965AE7"/>
    <w:rsid w:val="00970FED"/>
    <w:rsid w:val="00981B04"/>
    <w:rsid w:val="009865D0"/>
    <w:rsid w:val="00990B2A"/>
    <w:rsid w:val="00992D82"/>
    <w:rsid w:val="0099326B"/>
    <w:rsid w:val="00997029"/>
    <w:rsid w:val="009A7339"/>
    <w:rsid w:val="009B1E39"/>
    <w:rsid w:val="009B440E"/>
    <w:rsid w:val="009C2746"/>
    <w:rsid w:val="009D09C4"/>
    <w:rsid w:val="009D690D"/>
    <w:rsid w:val="009E65B6"/>
    <w:rsid w:val="009F5B00"/>
    <w:rsid w:val="00A13AED"/>
    <w:rsid w:val="00A159B8"/>
    <w:rsid w:val="00A24C10"/>
    <w:rsid w:val="00A42AC3"/>
    <w:rsid w:val="00A430CF"/>
    <w:rsid w:val="00A438B8"/>
    <w:rsid w:val="00A54309"/>
    <w:rsid w:val="00A55926"/>
    <w:rsid w:val="00A5603A"/>
    <w:rsid w:val="00A60CEA"/>
    <w:rsid w:val="00A66247"/>
    <w:rsid w:val="00A71F4A"/>
    <w:rsid w:val="00A7296A"/>
    <w:rsid w:val="00A74B3C"/>
    <w:rsid w:val="00A93C85"/>
    <w:rsid w:val="00A97752"/>
    <w:rsid w:val="00AB248A"/>
    <w:rsid w:val="00AB2B93"/>
    <w:rsid w:val="00AB530F"/>
    <w:rsid w:val="00AB7E5B"/>
    <w:rsid w:val="00AC1FFF"/>
    <w:rsid w:val="00AC2883"/>
    <w:rsid w:val="00AC748F"/>
    <w:rsid w:val="00AD2C22"/>
    <w:rsid w:val="00AD7331"/>
    <w:rsid w:val="00AE0EF1"/>
    <w:rsid w:val="00AE2937"/>
    <w:rsid w:val="00AE2C5D"/>
    <w:rsid w:val="00AE4C19"/>
    <w:rsid w:val="00B07301"/>
    <w:rsid w:val="00B11F3E"/>
    <w:rsid w:val="00B21F4F"/>
    <w:rsid w:val="00B224DE"/>
    <w:rsid w:val="00B23850"/>
    <w:rsid w:val="00B27489"/>
    <w:rsid w:val="00B27EDA"/>
    <w:rsid w:val="00B324D4"/>
    <w:rsid w:val="00B37006"/>
    <w:rsid w:val="00B41F3C"/>
    <w:rsid w:val="00B46575"/>
    <w:rsid w:val="00B53502"/>
    <w:rsid w:val="00B61777"/>
    <w:rsid w:val="00B675A1"/>
    <w:rsid w:val="00B716F7"/>
    <w:rsid w:val="00B82C53"/>
    <w:rsid w:val="00B84BBD"/>
    <w:rsid w:val="00BA3616"/>
    <w:rsid w:val="00BA43FB"/>
    <w:rsid w:val="00BC127D"/>
    <w:rsid w:val="00BC12A2"/>
    <w:rsid w:val="00BC1FE6"/>
    <w:rsid w:val="00BD0D48"/>
    <w:rsid w:val="00BD3A44"/>
    <w:rsid w:val="00BD6869"/>
    <w:rsid w:val="00BE21FD"/>
    <w:rsid w:val="00BE26E8"/>
    <w:rsid w:val="00BF40D9"/>
    <w:rsid w:val="00C004DF"/>
    <w:rsid w:val="00C03649"/>
    <w:rsid w:val="00C061B6"/>
    <w:rsid w:val="00C065F0"/>
    <w:rsid w:val="00C1262B"/>
    <w:rsid w:val="00C16004"/>
    <w:rsid w:val="00C2446C"/>
    <w:rsid w:val="00C36AE5"/>
    <w:rsid w:val="00C41F17"/>
    <w:rsid w:val="00C44D57"/>
    <w:rsid w:val="00C527FA"/>
    <w:rsid w:val="00C5280D"/>
    <w:rsid w:val="00C53EB3"/>
    <w:rsid w:val="00C5791C"/>
    <w:rsid w:val="00C62FA2"/>
    <w:rsid w:val="00C65411"/>
    <w:rsid w:val="00C66290"/>
    <w:rsid w:val="00C72B7A"/>
    <w:rsid w:val="00C86D83"/>
    <w:rsid w:val="00C9166E"/>
    <w:rsid w:val="00C91805"/>
    <w:rsid w:val="00C9525D"/>
    <w:rsid w:val="00C973F2"/>
    <w:rsid w:val="00CA2915"/>
    <w:rsid w:val="00CA304C"/>
    <w:rsid w:val="00CA56FA"/>
    <w:rsid w:val="00CA774A"/>
    <w:rsid w:val="00CB24EA"/>
    <w:rsid w:val="00CC11B0"/>
    <w:rsid w:val="00CC2841"/>
    <w:rsid w:val="00CD787E"/>
    <w:rsid w:val="00CF0627"/>
    <w:rsid w:val="00CF1330"/>
    <w:rsid w:val="00CF7482"/>
    <w:rsid w:val="00CF7E36"/>
    <w:rsid w:val="00D05202"/>
    <w:rsid w:val="00D16867"/>
    <w:rsid w:val="00D17071"/>
    <w:rsid w:val="00D21EBB"/>
    <w:rsid w:val="00D22DB2"/>
    <w:rsid w:val="00D3708D"/>
    <w:rsid w:val="00D40426"/>
    <w:rsid w:val="00D465FC"/>
    <w:rsid w:val="00D57C96"/>
    <w:rsid w:val="00D57D18"/>
    <w:rsid w:val="00D62039"/>
    <w:rsid w:val="00D64303"/>
    <w:rsid w:val="00D7067A"/>
    <w:rsid w:val="00D73F79"/>
    <w:rsid w:val="00D75F1C"/>
    <w:rsid w:val="00D80102"/>
    <w:rsid w:val="00D91203"/>
    <w:rsid w:val="00D94C83"/>
    <w:rsid w:val="00D95174"/>
    <w:rsid w:val="00D97726"/>
    <w:rsid w:val="00DA0096"/>
    <w:rsid w:val="00DA3946"/>
    <w:rsid w:val="00DA4973"/>
    <w:rsid w:val="00DA6F36"/>
    <w:rsid w:val="00DB0A78"/>
    <w:rsid w:val="00DB596E"/>
    <w:rsid w:val="00DB67BE"/>
    <w:rsid w:val="00DB7773"/>
    <w:rsid w:val="00DC00EA"/>
    <w:rsid w:val="00DC3802"/>
    <w:rsid w:val="00DE0119"/>
    <w:rsid w:val="00DE21F2"/>
    <w:rsid w:val="00DE7D0C"/>
    <w:rsid w:val="00E01D0F"/>
    <w:rsid w:val="00E07D87"/>
    <w:rsid w:val="00E32F7E"/>
    <w:rsid w:val="00E35EB1"/>
    <w:rsid w:val="00E44954"/>
    <w:rsid w:val="00E5267B"/>
    <w:rsid w:val="00E54678"/>
    <w:rsid w:val="00E63C0E"/>
    <w:rsid w:val="00E7068B"/>
    <w:rsid w:val="00E72D49"/>
    <w:rsid w:val="00E744B2"/>
    <w:rsid w:val="00E7593C"/>
    <w:rsid w:val="00E7678A"/>
    <w:rsid w:val="00E83FAC"/>
    <w:rsid w:val="00E87C1D"/>
    <w:rsid w:val="00E935F1"/>
    <w:rsid w:val="00E94A81"/>
    <w:rsid w:val="00E969C3"/>
    <w:rsid w:val="00EA0789"/>
    <w:rsid w:val="00EA1FFB"/>
    <w:rsid w:val="00EB048E"/>
    <w:rsid w:val="00EB28CD"/>
    <w:rsid w:val="00EB4E9C"/>
    <w:rsid w:val="00EB59A9"/>
    <w:rsid w:val="00ED3A75"/>
    <w:rsid w:val="00EE28B0"/>
    <w:rsid w:val="00EE34DF"/>
    <w:rsid w:val="00EF16C8"/>
    <w:rsid w:val="00EF2F89"/>
    <w:rsid w:val="00F012C1"/>
    <w:rsid w:val="00F030B4"/>
    <w:rsid w:val="00F03E98"/>
    <w:rsid w:val="00F04089"/>
    <w:rsid w:val="00F1237A"/>
    <w:rsid w:val="00F22CBD"/>
    <w:rsid w:val="00F272F1"/>
    <w:rsid w:val="00F45372"/>
    <w:rsid w:val="00F52934"/>
    <w:rsid w:val="00F560F7"/>
    <w:rsid w:val="00F6334D"/>
    <w:rsid w:val="00F850C1"/>
    <w:rsid w:val="00F91382"/>
    <w:rsid w:val="00FA1375"/>
    <w:rsid w:val="00FA49AB"/>
    <w:rsid w:val="00FB0BF0"/>
    <w:rsid w:val="00FD594C"/>
    <w:rsid w:val="00FD68B7"/>
    <w:rsid w:val="00FE39C7"/>
    <w:rsid w:val="00FE655F"/>
    <w:rsid w:val="00FF32EB"/>
    <w:rsid w:val="00FF3D4C"/>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6E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72"/>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uiPriority w:val="99"/>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uiPriority w:val="99"/>
    <w:qFormat/>
    <w:rsid w:val="00304827"/>
    <w:pPr>
      <w:spacing w:after="600"/>
    </w:pPr>
    <w:rPr>
      <w:rFonts w:ascii="Arial" w:hAnsi="Arial"/>
      <w:i/>
      <w:iCs/>
      <w:color w:val="A6A6A6" w:themeColor="background1" w:themeShade="A6"/>
    </w:rPr>
  </w:style>
  <w:style w:type="paragraph" w:customStyle="1" w:styleId="upove">
    <w:name w:val="upov_e"/>
    <w:basedOn w:val="Normal"/>
    <w:uiPriority w:val="99"/>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uiPriority w:val="99"/>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uiPriority w:val="99"/>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uiPriority w:val="99"/>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417EF"/>
    <w:pPr>
      <w:tabs>
        <w:tab w:val="right" w:leader="dot" w:pos="9639"/>
      </w:tabs>
      <w:spacing w:before="6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uiPriority w:val="99"/>
    <w:qFormat/>
    <w:rsid w:val="003C7FBE"/>
    <w:rPr>
      <w:rFonts w:ascii="Arial" w:hAnsi="Arial"/>
      <w:b/>
      <w:bCs/>
      <w:spacing w:val="10"/>
      <w:sz w:val="18"/>
    </w:rPr>
  </w:style>
  <w:style w:type="character" w:customStyle="1" w:styleId="Heading1Char">
    <w:name w:val="Heading 1 Char"/>
    <w:basedOn w:val="DefaultParagraphFont"/>
    <w:link w:val="Heading1"/>
    <w:rsid w:val="00373E94"/>
    <w:rPr>
      <w:rFonts w:ascii="Arial" w:hAnsi="Arial"/>
      <w:caps/>
    </w:rPr>
  </w:style>
  <w:style w:type="paragraph" w:customStyle="1" w:styleId="Style1">
    <w:name w:val="Style1"/>
    <w:basedOn w:val="Normal"/>
    <w:rsid w:val="00373E94"/>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B21F4F"/>
    <w:pPr>
      <w:ind w:left="720"/>
      <w:contextualSpacing/>
    </w:pPr>
    <w:rPr>
      <w:rFonts w:eastAsiaTheme="minorEastAsia"/>
    </w:rPr>
  </w:style>
  <w:style w:type="table" w:styleId="TableGrid">
    <w:name w:val="Table Grid"/>
    <w:basedOn w:val="TableNormal"/>
    <w:rsid w:val="005568D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F2BC8"/>
    <w:rPr>
      <w:sz w:val="16"/>
      <w:szCs w:val="16"/>
    </w:rPr>
  </w:style>
  <w:style w:type="paragraph" w:styleId="CommentText">
    <w:name w:val="annotation text"/>
    <w:basedOn w:val="Normal"/>
    <w:link w:val="CommentTextChar"/>
    <w:semiHidden/>
    <w:unhideWhenUsed/>
    <w:rsid w:val="004F2BC8"/>
  </w:style>
  <w:style w:type="character" w:customStyle="1" w:styleId="CommentTextChar">
    <w:name w:val="Comment Text Char"/>
    <w:basedOn w:val="DefaultParagraphFont"/>
    <w:link w:val="CommentText"/>
    <w:semiHidden/>
    <w:rsid w:val="004F2BC8"/>
    <w:rPr>
      <w:rFonts w:ascii="Arial" w:hAnsi="Arial"/>
    </w:rPr>
  </w:style>
  <w:style w:type="paragraph" w:styleId="CommentSubject">
    <w:name w:val="annotation subject"/>
    <w:basedOn w:val="CommentText"/>
    <w:next w:val="CommentText"/>
    <w:link w:val="CommentSubjectChar"/>
    <w:semiHidden/>
    <w:unhideWhenUsed/>
    <w:rsid w:val="004F2BC8"/>
    <w:rPr>
      <w:b/>
      <w:bCs/>
    </w:rPr>
  </w:style>
  <w:style w:type="character" w:customStyle="1" w:styleId="CommentSubjectChar">
    <w:name w:val="Comment Subject Char"/>
    <w:basedOn w:val="CommentTextChar"/>
    <w:link w:val="CommentSubject"/>
    <w:semiHidden/>
    <w:rsid w:val="004F2BC8"/>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172"/>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uiPriority w:val="99"/>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uiPriority w:val="99"/>
    <w:qFormat/>
    <w:rsid w:val="00304827"/>
    <w:pPr>
      <w:spacing w:after="600"/>
    </w:pPr>
    <w:rPr>
      <w:rFonts w:ascii="Arial" w:hAnsi="Arial"/>
      <w:i/>
      <w:iCs/>
      <w:color w:val="A6A6A6" w:themeColor="background1" w:themeShade="A6"/>
    </w:rPr>
  </w:style>
  <w:style w:type="paragraph" w:customStyle="1" w:styleId="upove">
    <w:name w:val="upov_e"/>
    <w:basedOn w:val="Normal"/>
    <w:uiPriority w:val="99"/>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uiPriority w:val="99"/>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uiPriority w:val="99"/>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uiPriority w:val="99"/>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2417EF"/>
    <w:pPr>
      <w:tabs>
        <w:tab w:val="right" w:leader="dot" w:pos="9639"/>
      </w:tabs>
      <w:spacing w:before="60"/>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uiPriority w:val="99"/>
    <w:qFormat/>
    <w:rsid w:val="003C7FBE"/>
    <w:rPr>
      <w:rFonts w:ascii="Arial" w:hAnsi="Arial"/>
      <w:b/>
      <w:bCs/>
      <w:spacing w:val="10"/>
      <w:sz w:val="18"/>
    </w:rPr>
  </w:style>
  <w:style w:type="character" w:customStyle="1" w:styleId="Heading1Char">
    <w:name w:val="Heading 1 Char"/>
    <w:basedOn w:val="DefaultParagraphFont"/>
    <w:link w:val="Heading1"/>
    <w:rsid w:val="00373E94"/>
    <w:rPr>
      <w:rFonts w:ascii="Arial" w:hAnsi="Arial"/>
      <w:caps/>
    </w:rPr>
  </w:style>
  <w:style w:type="paragraph" w:customStyle="1" w:styleId="Style1">
    <w:name w:val="Style1"/>
    <w:basedOn w:val="Normal"/>
    <w:rsid w:val="00373E94"/>
    <w:pPr>
      <w:tabs>
        <w:tab w:val="decimal" w:pos="907"/>
        <w:tab w:val="left" w:pos="1077"/>
      </w:tabs>
    </w:pPr>
    <w:rPr>
      <w:rFonts w:ascii="Times New Roman" w:hAnsi="Times New Roman"/>
      <w:sz w:val="24"/>
      <w:szCs w:val="24"/>
      <w:lang w:eastAsia="ja-JP"/>
    </w:rPr>
  </w:style>
  <w:style w:type="paragraph" w:styleId="ListParagraph">
    <w:name w:val="List Paragraph"/>
    <w:basedOn w:val="Normal"/>
    <w:uiPriority w:val="34"/>
    <w:qFormat/>
    <w:rsid w:val="00B21F4F"/>
    <w:pPr>
      <w:ind w:left="720"/>
      <w:contextualSpacing/>
    </w:pPr>
    <w:rPr>
      <w:rFonts w:eastAsiaTheme="minorEastAsia"/>
    </w:rPr>
  </w:style>
  <w:style w:type="table" w:styleId="TableGrid">
    <w:name w:val="Table Grid"/>
    <w:basedOn w:val="TableNormal"/>
    <w:rsid w:val="005568D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F2BC8"/>
    <w:rPr>
      <w:sz w:val="16"/>
      <w:szCs w:val="16"/>
    </w:rPr>
  </w:style>
  <w:style w:type="paragraph" w:styleId="CommentText">
    <w:name w:val="annotation text"/>
    <w:basedOn w:val="Normal"/>
    <w:link w:val="CommentTextChar"/>
    <w:semiHidden/>
    <w:unhideWhenUsed/>
    <w:rsid w:val="004F2BC8"/>
  </w:style>
  <w:style w:type="character" w:customStyle="1" w:styleId="CommentTextChar">
    <w:name w:val="Comment Text Char"/>
    <w:basedOn w:val="DefaultParagraphFont"/>
    <w:link w:val="CommentText"/>
    <w:semiHidden/>
    <w:rsid w:val="004F2BC8"/>
    <w:rPr>
      <w:rFonts w:ascii="Arial" w:hAnsi="Arial"/>
    </w:rPr>
  </w:style>
  <w:style w:type="paragraph" w:styleId="CommentSubject">
    <w:name w:val="annotation subject"/>
    <w:basedOn w:val="CommentText"/>
    <w:next w:val="CommentText"/>
    <w:link w:val="CommentSubjectChar"/>
    <w:semiHidden/>
    <w:unhideWhenUsed/>
    <w:rsid w:val="004F2BC8"/>
    <w:rPr>
      <w:b/>
      <w:bCs/>
    </w:rPr>
  </w:style>
  <w:style w:type="character" w:customStyle="1" w:styleId="CommentSubjectChar">
    <w:name w:val="Comment Subject Char"/>
    <w:basedOn w:val="CommentTextChar"/>
    <w:link w:val="CommentSubject"/>
    <w:semiHidden/>
    <w:rsid w:val="004F2BC8"/>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704337">
      <w:bodyDiv w:val="1"/>
      <w:marLeft w:val="0"/>
      <w:marRight w:val="0"/>
      <w:marTop w:val="0"/>
      <w:marBottom w:val="0"/>
      <w:divBdr>
        <w:top w:val="none" w:sz="0" w:space="0" w:color="auto"/>
        <w:left w:val="none" w:sz="0" w:space="0" w:color="auto"/>
        <w:bottom w:val="none" w:sz="0" w:space="0" w:color="auto"/>
        <w:right w:val="none" w:sz="0" w:space="0" w:color="auto"/>
      </w:divBdr>
    </w:div>
    <w:div w:id="419184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Template>
  <TotalTime>109</TotalTime>
  <Pages>10</Pages>
  <Words>3910</Words>
  <Characters>25748</Characters>
  <Application>Microsoft Office Word</Application>
  <DocSecurity>0</DocSecurity>
  <Lines>214</Lines>
  <Paragraphs>59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TC/53</vt:lpstr>
      <vt:lpstr>TC/53</vt:lpstr>
    </vt:vector>
  </TitlesOfParts>
  <Company>UPOV</Company>
  <LinksUpToDate>false</LinksUpToDate>
  <CharactersWithSpaces>29599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10</cp:revision>
  <cp:lastPrinted>2017-02-17T15:17:00Z</cp:lastPrinted>
  <dcterms:created xsi:type="dcterms:W3CDTF">2017-02-20T08:40:00Z</dcterms:created>
  <dcterms:modified xsi:type="dcterms:W3CDTF">2017-02-21T16:12:00Z</dcterms:modified>
</cp:coreProperties>
</file>