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C0BD4" w:rsidP="00AC2883">
            <w:pPr>
              <w:pStyle w:val="Sessiontc"/>
              <w:spacing w:line="240" w:lineRule="auto"/>
            </w:pPr>
            <w:r>
              <w:t>Technischer</w:t>
            </w:r>
            <w:r w:rsidR="00A706D3">
              <w:t xml:space="preserve"> </w:t>
            </w:r>
            <w:r>
              <w:t>Ausschuss</w:t>
            </w:r>
          </w:p>
          <w:p w:rsidR="00EB4E9C" w:rsidRPr="00DC3802" w:rsidRDefault="00BC0BD4" w:rsidP="00BC0BD4">
            <w:pPr>
              <w:pStyle w:val="Sessiontcplacedate"/>
              <w:rPr>
                <w:sz w:val="22"/>
              </w:rPr>
            </w:pPr>
            <w:r>
              <w:t>Dreiundfünfzigste Tagung</w:t>
            </w:r>
            <w:r w:rsidR="00EB4E9C" w:rsidRPr="00DA4973">
              <w:br/>
              <w:t>Gen</w:t>
            </w:r>
            <w:r>
              <w:t>f</w:t>
            </w:r>
            <w:r w:rsidR="00EB4E9C" w:rsidRPr="00DA4973">
              <w:t xml:space="preserve">, </w:t>
            </w:r>
            <w:r w:rsidR="00A706D3">
              <w:t>3</w:t>
            </w:r>
            <w:r>
              <w:t xml:space="preserve">. bis </w:t>
            </w:r>
            <w:r w:rsidR="00A706D3">
              <w:t>5</w:t>
            </w:r>
            <w:r>
              <w:t>.</w:t>
            </w:r>
            <w:r w:rsidR="00A706D3">
              <w:t xml:space="preserve"> </w:t>
            </w:r>
            <w:r>
              <w:t>April</w:t>
            </w:r>
            <w:r w:rsidR="00A706D3">
              <w:t xml:space="preserve"> </w:t>
            </w:r>
            <w:r w:rsidR="00EB4E9C" w:rsidRPr="00DA4973">
              <w:t>2017</w:t>
            </w:r>
          </w:p>
        </w:tc>
        <w:tc>
          <w:tcPr>
            <w:tcW w:w="3127" w:type="dxa"/>
          </w:tcPr>
          <w:p w:rsidR="00EB4E9C" w:rsidRPr="00B073FE" w:rsidRDefault="00EB4E9C" w:rsidP="003C7FBE">
            <w:pPr>
              <w:pStyle w:val="Doccode"/>
              <w:rPr>
                <w:lang w:val="de-DE"/>
              </w:rPr>
            </w:pPr>
            <w:r w:rsidRPr="00B073FE">
              <w:rPr>
                <w:lang w:val="de-DE"/>
              </w:rPr>
              <w:t>TC/53/</w:t>
            </w:r>
            <w:r w:rsidR="00B073FE">
              <w:rPr>
                <w:lang w:val="de-DE"/>
              </w:rPr>
              <w:t>10</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BC0BD4">
            <w:pPr>
              <w:pStyle w:val="Docoriginal"/>
            </w:pPr>
            <w:r w:rsidRPr="00AC2883">
              <w:t>Dat</w:t>
            </w:r>
            <w:r w:rsidR="00BC0BD4">
              <w:t>um</w:t>
            </w:r>
            <w:r w:rsidRPr="00AC2883">
              <w:t>:</w:t>
            </w:r>
            <w:r w:rsidRPr="000E636A">
              <w:rPr>
                <w:b w:val="0"/>
                <w:spacing w:val="0"/>
              </w:rPr>
              <w:t xml:space="preserve"> </w:t>
            </w:r>
            <w:r w:rsidR="00B073FE">
              <w:rPr>
                <w:b w:val="0"/>
                <w:spacing w:val="0"/>
              </w:rPr>
              <w:t>28</w:t>
            </w:r>
            <w:r w:rsidR="00B073FE" w:rsidRPr="00892A52">
              <w:rPr>
                <w:b w:val="0"/>
                <w:spacing w:val="0"/>
              </w:rPr>
              <w:t>. März</w:t>
            </w:r>
            <w:r w:rsidRPr="000E636A">
              <w:rPr>
                <w:b w:val="0"/>
                <w:spacing w:val="0"/>
              </w:rPr>
              <w:t xml:space="preserve"> 2017</w:t>
            </w:r>
          </w:p>
        </w:tc>
      </w:tr>
    </w:tbl>
    <w:p w:rsidR="000D7780" w:rsidRPr="006A644A" w:rsidRDefault="00B073FE" w:rsidP="006A644A">
      <w:pPr>
        <w:pStyle w:val="Titleofdoc0"/>
      </w:pPr>
      <w:bookmarkStart w:id="0" w:name="TitleOfDoc"/>
      <w:bookmarkEnd w:id="0"/>
      <w:r>
        <w:t>Bericht über die Entwicklungen in der UPOV, u. a. die auf den letzten Tagungen des Verwaltungs- und Rechtsausschusses, des Beratenden Ausschusses und des Rates erörterten wichtigen Angelegenheiten</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C10AEC" w:rsidRPr="007B07C7" w:rsidRDefault="00C10AEC" w:rsidP="00815CDD">
      <w:pPr>
        <w:pStyle w:val="Heading1"/>
      </w:pPr>
      <w:bookmarkStart w:id="2" w:name="_Toc478575852"/>
      <w:bookmarkStart w:id="3" w:name="_Toc478720851"/>
      <w:r w:rsidRPr="007B07C7">
        <w:t>ZUSAMMENFASSUNG</w:t>
      </w:r>
      <w:bookmarkEnd w:id="2"/>
      <w:bookmarkEnd w:id="3"/>
    </w:p>
    <w:p w:rsidR="00C10AEC" w:rsidRDefault="00C10AEC" w:rsidP="00B073FE">
      <w:pPr>
        <w:rPr>
          <w:rFonts w:cs="Arial"/>
          <w:snapToGrid w:val="0"/>
        </w:rPr>
      </w:pPr>
    </w:p>
    <w:p w:rsidR="00B073FE" w:rsidRPr="00A701EB" w:rsidRDefault="00B073FE" w:rsidP="00B073FE">
      <w:pPr>
        <w:rPr>
          <w:snapToGrid w:val="0"/>
          <w:color w:val="000000" w:themeColor="text1"/>
        </w:rPr>
      </w:pPr>
      <w:r w:rsidRPr="00CB171C">
        <w:rPr>
          <w:rFonts w:cs="Arial"/>
          <w:snapToGrid w:val="0"/>
        </w:rPr>
        <w:fldChar w:fldCharType="begin"/>
      </w:r>
      <w:r w:rsidRPr="00CB171C">
        <w:rPr>
          <w:rFonts w:cs="Arial"/>
          <w:snapToGrid w:val="0"/>
        </w:rPr>
        <w:instrText xml:space="preserve"> AUTONUM  </w:instrText>
      </w:r>
      <w:r w:rsidRPr="00CB171C">
        <w:rPr>
          <w:rFonts w:cs="Arial"/>
          <w:snapToGrid w:val="0"/>
        </w:rPr>
        <w:fldChar w:fldCharType="end"/>
      </w:r>
      <w:r w:rsidRPr="00CB171C">
        <w:rPr>
          <w:rFonts w:cs="Arial"/>
          <w:snapToGrid w:val="0"/>
        </w:rPr>
        <w:tab/>
      </w:r>
      <w:r w:rsidRPr="00CB171C">
        <w:rPr>
          <w:snapToGrid w:val="0"/>
        </w:rPr>
        <w:t xml:space="preserve">Zweck </w:t>
      </w:r>
      <w:r w:rsidRPr="00A701EB">
        <w:rPr>
          <w:snapToGrid w:val="0"/>
        </w:rPr>
        <w:t xml:space="preserve">dieses Dokuments ist es, über die Entwicklungen bei der UPOV seit der </w:t>
      </w:r>
      <w:r w:rsidR="00A701EB" w:rsidRPr="00A701EB">
        <w:rPr>
          <w:snapToGrid w:val="0"/>
        </w:rPr>
        <w:t>zwei</w:t>
      </w:r>
      <w:r w:rsidRPr="00A701EB">
        <w:rPr>
          <w:snapToGrid w:val="0"/>
        </w:rPr>
        <w:t xml:space="preserve">undfünfzigsten Tagung des Technischen Ausschusses (TC) zu berichten, die nicht unter spezifischen Tagesordnungspunkten der </w:t>
      </w:r>
      <w:r w:rsidR="00C10AEC" w:rsidRPr="00A701EB">
        <w:rPr>
          <w:rFonts w:cs="Arial"/>
          <w:snapToGrid w:val="0"/>
        </w:rPr>
        <w:t>fifty-third</w:t>
      </w:r>
      <w:r w:rsidR="00C10AEC" w:rsidRPr="00A701EB">
        <w:rPr>
          <w:snapToGrid w:val="0"/>
        </w:rPr>
        <w:t xml:space="preserve"> </w:t>
      </w:r>
      <w:r w:rsidR="00A701EB" w:rsidRPr="00A701EB">
        <w:rPr>
          <w:snapToGrid w:val="0"/>
        </w:rPr>
        <w:t>dre</w:t>
      </w:r>
      <w:r w:rsidRPr="00A701EB">
        <w:rPr>
          <w:snapToGrid w:val="0"/>
        </w:rPr>
        <w:t>iundfünfzigsten Tagung des Technischen Ausschusses aufgeführt sind. Hierzu gehören wichtige Angelegenheiten, die auf den letzten Tagungen des Verwaltungs- und Rechtsausschusses (CAJ), des Beratenden Ausschusses und des Rates erörtert wurden.</w:t>
      </w:r>
    </w:p>
    <w:p w:rsidR="00B073FE" w:rsidRPr="00A701EB" w:rsidRDefault="00B073FE" w:rsidP="00B073FE">
      <w:pPr>
        <w:rPr>
          <w:rFonts w:cs="Arial"/>
          <w:snapToGrid w:val="0"/>
        </w:rPr>
      </w:pPr>
    </w:p>
    <w:p w:rsidR="00C10AEC" w:rsidRPr="00401035" w:rsidRDefault="00B073FE" w:rsidP="00C10AEC">
      <w:pPr>
        <w:rPr>
          <w:rFonts w:cs="Arial"/>
        </w:rPr>
      </w:pPr>
      <w:r w:rsidRPr="00A701EB">
        <w:rPr>
          <w:rFonts w:cs="Arial"/>
          <w:snapToGrid w:val="0"/>
        </w:rPr>
        <w:fldChar w:fldCharType="begin"/>
      </w:r>
      <w:r w:rsidRPr="00401035">
        <w:rPr>
          <w:rFonts w:cs="Arial"/>
          <w:snapToGrid w:val="0"/>
        </w:rPr>
        <w:instrText xml:space="preserve"> AUTONUM  </w:instrText>
      </w:r>
      <w:r w:rsidRPr="00A701EB">
        <w:rPr>
          <w:rFonts w:cs="Arial"/>
          <w:snapToGrid w:val="0"/>
        </w:rPr>
        <w:fldChar w:fldCharType="end"/>
      </w:r>
      <w:r w:rsidRPr="00401035">
        <w:rPr>
          <w:rFonts w:cs="Arial"/>
          <w:snapToGrid w:val="0"/>
        </w:rPr>
        <w:tab/>
      </w:r>
      <w:r w:rsidR="00C10AEC" w:rsidRPr="00401035">
        <w:rPr>
          <w:rFonts w:cs="Arial"/>
        </w:rPr>
        <w:t>Der TC wird ersucht:</w:t>
      </w:r>
    </w:p>
    <w:p w:rsidR="00C10AEC" w:rsidRPr="00401035" w:rsidRDefault="00C10AEC" w:rsidP="00B073FE">
      <w:pPr>
        <w:rPr>
          <w:rFonts w:cs="Arial"/>
          <w:snapToGrid w:val="0"/>
        </w:rPr>
      </w:pPr>
    </w:p>
    <w:p w:rsidR="00C10AEC" w:rsidRPr="00A701EB" w:rsidRDefault="00C10AEC" w:rsidP="00C10AEC">
      <w:pPr>
        <w:tabs>
          <w:tab w:val="left" w:pos="567"/>
          <w:tab w:val="left" w:pos="1134"/>
        </w:tabs>
        <w:rPr>
          <w:rFonts w:cs="Arial"/>
          <w:snapToGrid w:val="0"/>
          <w:lang w:val="de-CH" w:eastAsia="ja-JP"/>
        </w:rPr>
      </w:pPr>
      <w:r w:rsidRPr="00401035">
        <w:rPr>
          <w:rFonts w:cs="Arial"/>
          <w:snapToGrid w:val="0"/>
        </w:rPr>
        <w:tab/>
      </w:r>
      <w:r w:rsidRPr="00A701EB">
        <w:rPr>
          <w:rFonts w:cs="Arial"/>
          <w:snapToGrid w:val="0"/>
          <w:lang w:val="de-CH" w:eastAsia="ja-JP"/>
        </w:rPr>
        <w:t>(a)</w:t>
      </w:r>
      <w:r w:rsidRPr="00A701EB">
        <w:rPr>
          <w:rFonts w:cs="Arial"/>
          <w:snapToGrid w:val="0"/>
          <w:lang w:val="de-CH" w:eastAsia="ja-JP"/>
        </w:rPr>
        <w:tab/>
      </w:r>
      <w:r w:rsidR="00A701EB" w:rsidRPr="00A701EB">
        <w:rPr>
          <w:snapToGrid w:val="0"/>
        </w:rPr>
        <w:t>die Entwicklungen bei der UPOV seit seiner zweiundfünfzigsten Tagung, die nicht unter spezifischen Tagesordnungspunkten der dreiundfünfzigsten Tagung des Technischen Ausschusses aufgeführt sind, zur Kenntnis zu nehmen. Hierzu gehören wichtige Angelegenheiten, die auf den letzten Tagungen des Verwaltungs- und Rechtsausschusses (CAJ), des Beratenden Ausschusses und des Rates erörtert wurden.</w:t>
      </w:r>
    </w:p>
    <w:p w:rsidR="00C10AEC" w:rsidRPr="00A701EB" w:rsidRDefault="00C10AEC" w:rsidP="00C10AEC">
      <w:pPr>
        <w:tabs>
          <w:tab w:val="left" w:pos="567"/>
          <w:tab w:val="left" w:pos="1134"/>
        </w:tabs>
        <w:rPr>
          <w:rFonts w:cs="Arial"/>
          <w:snapToGrid w:val="0"/>
          <w:lang w:val="de-CH" w:eastAsia="ja-JP"/>
        </w:rPr>
      </w:pPr>
    </w:p>
    <w:p w:rsidR="00B073FE" w:rsidRPr="00576258" w:rsidRDefault="00C10AEC" w:rsidP="00A701EB">
      <w:pPr>
        <w:tabs>
          <w:tab w:val="left" w:pos="567"/>
          <w:tab w:val="left" w:pos="1134"/>
        </w:tabs>
        <w:rPr>
          <w:rFonts w:cs="Arial"/>
        </w:rPr>
      </w:pPr>
      <w:r w:rsidRPr="00A701EB">
        <w:rPr>
          <w:rFonts w:cs="Arial"/>
          <w:snapToGrid w:val="0"/>
          <w:lang w:val="de-CH" w:eastAsia="ja-JP"/>
        </w:rPr>
        <w:tab/>
        <w:t>(b)</w:t>
      </w:r>
      <w:r w:rsidRPr="00A701EB">
        <w:rPr>
          <w:rFonts w:cs="Arial"/>
          <w:snapToGrid w:val="0"/>
          <w:lang w:val="de-CH" w:eastAsia="ja-JP"/>
        </w:rPr>
        <w:tab/>
      </w:r>
      <w:r w:rsidR="00A701EB" w:rsidRPr="00A701EB">
        <w:rPr>
          <w:rFonts w:cs="Arial"/>
          <w:snapToGrid w:val="0"/>
          <w:lang w:val="de-CH" w:eastAsia="ja-JP"/>
        </w:rPr>
        <w:t xml:space="preserve">zur Kenntnis zu nehmen, dass auf der </w:t>
      </w:r>
      <w:r w:rsidR="00A701EB" w:rsidRPr="00A701EB">
        <w:rPr>
          <w:rFonts w:cs="Arial"/>
          <w:snapToGrid w:val="0"/>
          <w:lang w:val="de-CH"/>
        </w:rPr>
        <w:t>drei</w:t>
      </w:r>
      <w:r w:rsidR="00B073FE" w:rsidRPr="00A701EB">
        <w:rPr>
          <w:snapToGrid w:val="0"/>
          <w:lang w:val="de-CH"/>
        </w:rPr>
        <w:t>undfünfzigsten Tagung des TC ein Referat gehalten werden</w:t>
      </w:r>
      <w:r w:rsidR="00A701EB" w:rsidRPr="00A701EB">
        <w:rPr>
          <w:snapToGrid w:val="0"/>
          <w:lang w:val="de-CH"/>
        </w:rPr>
        <w:t xml:space="preserve"> wird</w:t>
      </w:r>
      <w:r w:rsidR="00B073FE" w:rsidRPr="00A701EB">
        <w:rPr>
          <w:snapToGrid w:val="0"/>
          <w:lang w:val="de-CH"/>
        </w:rPr>
        <w:t xml:space="preserve">, das die Punkte in diesem Dokument zusammenfaßt. </w:t>
      </w:r>
      <w:r w:rsidR="00B073FE" w:rsidRPr="00A701EB">
        <w:rPr>
          <w:snapToGrid w:val="0"/>
        </w:rPr>
        <w:t>Ein Exemplar (nur in Englisch) wird als Ergänzung zu diesem Dokument vorgelegt werden</w:t>
      </w:r>
      <w:r w:rsidR="00A701EB" w:rsidRPr="00A701EB">
        <w:rPr>
          <w:snapToGrid w:val="0"/>
        </w:rPr>
        <w:t>.</w:t>
      </w:r>
    </w:p>
    <w:p w:rsidR="00B073FE" w:rsidRPr="00CB171C" w:rsidRDefault="00B073FE" w:rsidP="00B073FE">
      <w:pPr>
        <w:jc w:val="left"/>
        <w:rPr>
          <w:rFonts w:cs="Arial"/>
          <w:u w:val="single"/>
        </w:rPr>
      </w:pPr>
      <w:r w:rsidRPr="00CB171C">
        <w:rPr>
          <w:rFonts w:cs="Arial"/>
          <w:u w:val="single"/>
        </w:rPr>
        <w:br w:type="page"/>
      </w:r>
    </w:p>
    <w:p w:rsidR="00C10AEC" w:rsidRPr="00876DE4" w:rsidRDefault="00C10AEC" w:rsidP="00C10AEC">
      <w:pPr>
        <w:rPr>
          <w:lang w:eastAsia="ja-JP"/>
        </w:rPr>
      </w:pPr>
      <w:r w:rsidRPr="00876DE4">
        <w:lastRenderedPageBreak/>
        <w:fldChar w:fldCharType="begin"/>
      </w:r>
      <w:r w:rsidRPr="00876DE4">
        <w:instrText xml:space="preserve"> AUTONUM  </w:instrText>
      </w:r>
      <w:r w:rsidRPr="00876DE4">
        <w:fldChar w:fldCharType="end"/>
      </w:r>
      <w:r w:rsidRPr="00876DE4">
        <w:tab/>
      </w:r>
      <w:r w:rsidRPr="00876DE4">
        <w:rPr>
          <w:lang w:eastAsia="ja-JP"/>
        </w:rPr>
        <w:t>Der Aufbau dieses Dokuments ist wie folgt:</w:t>
      </w:r>
    </w:p>
    <w:p w:rsidR="00B073FE" w:rsidRPr="00CB171C" w:rsidRDefault="00B073FE" w:rsidP="00B073FE">
      <w:pPr>
        <w:jc w:val="left"/>
        <w:rPr>
          <w:rFonts w:cs="Arial"/>
        </w:rPr>
      </w:pPr>
    </w:p>
    <w:p w:rsidR="00401035" w:rsidRDefault="00B073FE" w:rsidP="00401035">
      <w:pPr>
        <w:pStyle w:val="TOC1"/>
        <w:rPr>
          <w:rFonts w:asciiTheme="minorHAnsi" w:eastAsiaTheme="minorEastAsia" w:hAnsiTheme="minorHAnsi" w:cstheme="minorBidi"/>
          <w:noProof/>
          <w:sz w:val="22"/>
          <w:szCs w:val="22"/>
        </w:rPr>
      </w:pPr>
      <w:r>
        <w:rPr>
          <w:rFonts w:cs="Arial"/>
          <w:lang w:val="de-DE"/>
        </w:rPr>
        <w:fldChar w:fldCharType="begin"/>
      </w:r>
      <w:r>
        <w:rPr>
          <w:rFonts w:cs="Arial"/>
          <w:lang w:val="de-DE"/>
        </w:rPr>
        <w:instrText xml:space="preserve"> TOC \o "1-2" \h \z \u </w:instrText>
      </w:r>
      <w:r>
        <w:rPr>
          <w:rFonts w:cs="Arial"/>
          <w:lang w:val="de-DE"/>
        </w:rPr>
        <w:fldChar w:fldCharType="separate"/>
      </w:r>
      <w:hyperlink w:anchor="_Toc478720851" w:history="1">
        <w:r w:rsidR="00401035" w:rsidRPr="001415D2">
          <w:rPr>
            <w:rStyle w:val="Hyperlink"/>
            <w:noProof/>
            <w:lang w:bidi="de-DE"/>
          </w:rPr>
          <w:t>ZUSAMMENFASSUNG</w:t>
        </w:r>
        <w:r w:rsidR="00401035">
          <w:rPr>
            <w:noProof/>
            <w:webHidden/>
          </w:rPr>
          <w:tab/>
        </w:r>
        <w:r w:rsidR="00401035">
          <w:rPr>
            <w:noProof/>
            <w:webHidden/>
          </w:rPr>
          <w:fldChar w:fldCharType="begin"/>
        </w:r>
        <w:r w:rsidR="00401035">
          <w:rPr>
            <w:noProof/>
            <w:webHidden/>
          </w:rPr>
          <w:instrText xml:space="preserve"> PAGEREF _Toc478720851 \h </w:instrText>
        </w:r>
        <w:r w:rsidR="00401035">
          <w:rPr>
            <w:noProof/>
            <w:webHidden/>
          </w:rPr>
        </w:r>
        <w:r w:rsidR="00401035">
          <w:rPr>
            <w:noProof/>
            <w:webHidden/>
          </w:rPr>
          <w:fldChar w:fldCharType="separate"/>
        </w:r>
        <w:r w:rsidR="008821B4">
          <w:rPr>
            <w:noProof/>
            <w:webHidden/>
          </w:rPr>
          <w:t>1</w:t>
        </w:r>
        <w:r w:rsidR="00401035">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52" w:history="1">
        <w:r w:rsidRPr="001415D2">
          <w:rPr>
            <w:rStyle w:val="Hyperlink"/>
            <w:noProof/>
            <w:lang w:bidi="de-DE"/>
          </w:rPr>
          <w:t>MITGLIEDERZAHL</w:t>
        </w:r>
        <w:r>
          <w:rPr>
            <w:noProof/>
            <w:webHidden/>
          </w:rPr>
          <w:tab/>
        </w:r>
        <w:r>
          <w:rPr>
            <w:noProof/>
            <w:webHidden/>
          </w:rPr>
          <w:fldChar w:fldCharType="begin"/>
        </w:r>
        <w:r>
          <w:rPr>
            <w:noProof/>
            <w:webHidden/>
          </w:rPr>
          <w:instrText xml:space="preserve"> PAGEREF _Toc478720852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53" w:history="1">
        <w:r w:rsidRPr="001415D2">
          <w:rPr>
            <w:rStyle w:val="Hyperlink"/>
            <w:noProof/>
            <w:lang w:val="de-DE"/>
          </w:rPr>
          <w:t>Verbandsmitglieder</w:t>
        </w:r>
        <w:r>
          <w:rPr>
            <w:noProof/>
            <w:webHidden/>
          </w:rPr>
          <w:tab/>
        </w:r>
        <w:r>
          <w:rPr>
            <w:noProof/>
            <w:webHidden/>
          </w:rPr>
          <w:fldChar w:fldCharType="begin"/>
        </w:r>
        <w:r>
          <w:rPr>
            <w:noProof/>
            <w:webHidden/>
          </w:rPr>
          <w:instrText xml:space="preserve"> PAGEREF _Toc478720853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54" w:history="1">
        <w:r w:rsidRPr="001415D2">
          <w:rPr>
            <w:rStyle w:val="Hyperlink"/>
            <w:noProof/>
            <w:lang w:val="de-DE"/>
          </w:rPr>
          <w:t>Lage bezüglich der verschiedenen Akten des Übereinkommens</w:t>
        </w:r>
        <w:r>
          <w:rPr>
            <w:noProof/>
            <w:webHidden/>
          </w:rPr>
          <w:tab/>
        </w:r>
        <w:r>
          <w:rPr>
            <w:noProof/>
            <w:webHidden/>
          </w:rPr>
          <w:fldChar w:fldCharType="begin"/>
        </w:r>
        <w:r>
          <w:rPr>
            <w:noProof/>
            <w:webHidden/>
          </w:rPr>
          <w:instrText xml:space="preserve"> PAGEREF _Toc478720854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55" w:history="1">
        <w:r w:rsidRPr="001415D2">
          <w:rPr>
            <w:rStyle w:val="Hyperlink"/>
            <w:noProof/>
            <w:lang w:bidi="de-DE"/>
          </w:rPr>
          <w:t>SORTENSCHUTZStatistiK</w:t>
        </w:r>
        <w:r>
          <w:rPr>
            <w:noProof/>
            <w:webHidden/>
          </w:rPr>
          <w:tab/>
        </w:r>
        <w:r>
          <w:rPr>
            <w:noProof/>
            <w:webHidden/>
          </w:rPr>
          <w:fldChar w:fldCharType="begin"/>
        </w:r>
        <w:r>
          <w:rPr>
            <w:noProof/>
            <w:webHidden/>
          </w:rPr>
          <w:instrText xml:space="preserve"> PAGEREF _Toc478720855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56" w:history="1">
        <w:r w:rsidRPr="001415D2">
          <w:rPr>
            <w:rStyle w:val="Hyperlink"/>
            <w:noProof/>
            <w:lang w:val="de-DE"/>
          </w:rPr>
          <w:t>Liste der in den Verbandsmitgliedern schutzfähigen Taxa</w:t>
        </w:r>
        <w:r>
          <w:rPr>
            <w:noProof/>
            <w:webHidden/>
          </w:rPr>
          <w:tab/>
        </w:r>
        <w:r>
          <w:rPr>
            <w:noProof/>
            <w:webHidden/>
          </w:rPr>
          <w:fldChar w:fldCharType="begin"/>
        </w:r>
        <w:r>
          <w:rPr>
            <w:noProof/>
            <w:webHidden/>
          </w:rPr>
          <w:instrText xml:space="preserve"> PAGEREF _Toc478720856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57" w:history="1">
        <w:r w:rsidRPr="001415D2">
          <w:rPr>
            <w:rStyle w:val="Hyperlink"/>
            <w:noProof/>
            <w:lang w:val="de-DE"/>
          </w:rPr>
          <w:t>Sortenschutzstatistik</w:t>
        </w:r>
        <w:r>
          <w:rPr>
            <w:noProof/>
            <w:webHidden/>
          </w:rPr>
          <w:tab/>
        </w:r>
        <w:r>
          <w:rPr>
            <w:noProof/>
            <w:webHidden/>
          </w:rPr>
          <w:fldChar w:fldCharType="begin"/>
        </w:r>
        <w:r>
          <w:rPr>
            <w:noProof/>
            <w:webHidden/>
          </w:rPr>
          <w:instrText xml:space="preserve"> PAGEREF _Toc478720857 \h </w:instrText>
        </w:r>
        <w:r>
          <w:rPr>
            <w:noProof/>
            <w:webHidden/>
          </w:rPr>
        </w:r>
        <w:r>
          <w:rPr>
            <w:noProof/>
            <w:webHidden/>
          </w:rPr>
          <w:fldChar w:fldCharType="separate"/>
        </w:r>
        <w:r w:rsidR="008821B4">
          <w:rPr>
            <w:noProof/>
            <w:webHidden/>
          </w:rPr>
          <w:t>3</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58" w:history="1">
        <w:r w:rsidRPr="001415D2">
          <w:rPr>
            <w:rStyle w:val="Hyperlink"/>
            <w:noProof/>
            <w:lang w:val="de-DE"/>
          </w:rPr>
          <w:t>Zusammenarbeit bei der Prüfung neuer Pflanzensorten</w:t>
        </w:r>
        <w:r>
          <w:rPr>
            <w:noProof/>
            <w:webHidden/>
          </w:rPr>
          <w:tab/>
        </w:r>
        <w:r>
          <w:rPr>
            <w:noProof/>
            <w:webHidden/>
          </w:rPr>
          <w:fldChar w:fldCharType="begin"/>
        </w:r>
        <w:r>
          <w:rPr>
            <w:noProof/>
            <w:webHidden/>
          </w:rPr>
          <w:instrText xml:space="preserve"> PAGEREF _Toc478720858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59" w:history="1">
        <w:r w:rsidRPr="001415D2">
          <w:rPr>
            <w:rStyle w:val="Hyperlink"/>
            <w:noProof/>
            <w:lang w:bidi="de-DE"/>
          </w:rPr>
          <w:t>Jahresbericht des Generalsekretärs für 2015; Ergebnisbewertungsbericht für die Rechnungsperiode 2014-2015</w:t>
        </w:r>
        <w:r>
          <w:rPr>
            <w:noProof/>
            <w:webHidden/>
          </w:rPr>
          <w:tab/>
        </w:r>
        <w:r>
          <w:rPr>
            <w:noProof/>
            <w:webHidden/>
          </w:rPr>
          <w:fldChar w:fldCharType="begin"/>
        </w:r>
        <w:r>
          <w:rPr>
            <w:noProof/>
            <w:webHidden/>
          </w:rPr>
          <w:instrText xml:space="preserve"> PAGEREF _Toc478720859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60" w:history="1">
        <w:r w:rsidRPr="001415D2">
          <w:rPr>
            <w:rStyle w:val="Hyperlink"/>
            <w:noProof/>
            <w:lang w:bidi="de-DE"/>
          </w:rPr>
          <w:t>Evaluierungsbericht der Abteilung für interne Revision und Aufsicht (WIPO Internal Oversight Division)</w:t>
        </w:r>
        <w:r>
          <w:rPr>
            <w:noProof/>
            <w:webHidden/>
          </w:rPr>
          <w:tab/>
        </w:r>
        <w:r>
          <w:rPr>
            <w:noProof/>
            <w:webHidden/>
          </w:rPr>
          <w:fldChar w:fldCharType="begin"/>
        </w:r>
        <w:r>
          <w:rPr>
            <w:noProof/>
            <w:webHidden/>
          </w:rPr>
          <w:instrText xml:space="preserve"> PAGEREF _Toc478720860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61" w:history="1">
        <w:r w:rsidRPr="001415D2">
          <w:rPr>
            <w:rStyle w:val="Hyperlink"/>
            <w:noProof/>
            <w:lang w:bidi="de-DE"/>
          </w:rPr>
          <w:t>organe und tagungen der upov</w:t>
        </w:r>
        <w:r>
          <w:rPr>
            <w:noProof/>
            <w:webHidden/>
          </w:rPr>
          <w:tab/>
        </w:r>
        <w:r>
          <w:rPr>
            <w:noProof/>
            <w:webHidden/>
          </w:rPr>
          <w:fldChar w:fldCharType="begin"/>
        </w:r>
        <w:r>
          <w:rPr>
            <w:noProof/>
            <w:webHidden/>
          </w:rPr>
          <w:instrText xml:space="preserve"> PAGEREF _Toc478720861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2" w:history="1">
        <w:r w:rsidRPr="001415D2">
          <w:rPr>
            <w:rStyle w:val="Hyperlink"/>
            <w:noProof/>
            <w:lang w:val="de-DE"/>
          </w:rPr>
          <w:t>Präsident und Vizepräsident des Rates der UPOV</w:t>
        </w:r>
        <w:r>
          <w:rPr>
            <w:noProof/>
            <w:webHidden/>
          </w:rPr>
          <w:tab/>
        </w:r>
        <w:r>
          <w:rPr>
            <w:noProof/>
            <w:webHidden/>
          </w:rPr>
          <w:fldChar w:fldCharType="begin"/>
        </w:r>
        <w:r>
          <w:rPr>
            <w:noProof/>
            <w:webHidden/>
          </w:rPr>
          <w:instrText xml:space="preserve"> PAGEREF _Toc478720862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3" w:history="1">
        <w:r w:rsidRPr="001415D2">
          <w:rPr>
            <w:rStyle w:val="Hyperlink"/>
            <w:noProof/>
            <w:lang w:val="de-DE"/>
          </w:rPr>
          <w:t xml:space="preserve">Präsident und Vizepräsident des </w:t>
        </w:r>
        <w:r w:rsidRPr="001415D2">
          <w:rPr>
            <w:rStyle w:val="Hyperlink"/>
            <w:noProof/>
            <w:lang w:val="de-DE" w:eastAsia="de-DE" w:bidi="de-DE"/>
          </w:rPr>
          <w:t>Verwaltungs- und Rechtsausschusses</w:t>
        </w:r>
        <w:r>
          <w:rPr>
            <w:noProof/>
            <w:webHidden/>
          </w:rPr>
          <w:tab/>
        </w:r>
        <w:r>
          <w:rPr>
            <w:noProof/>
            <w:webHidden/>
          </w:rPr>
          <w:fldChar w:fldCharType="begin"/>
        </w:r>
        <w:r>
          <w:rPr>
            <w:noProof/>
            <w:webHidden/>
          </w:rPr>
          <w:instrText xml:space="preserve"> PAGEREF _Toc478720863 \h </w:instrText>
        </w:r>
        <w:r>
          <w:rPr>
            <w:noProof/>
            <w:webHidden/>
          </w:rPr>
        </w:r>
        <w:r>
          <w:rPr>
            <w:noProof/>
            <w:webHidden/>
          </w:rPr>
          <w:fldChar w:fldCharType="separate"/>
        </w:r>
        <w:r w:rsidR="008821B4">
          <w:rPr>
            <w:noProof/>
            <w:webHidden/>
          </w:rPr>
          <w:t>4</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4" w:history="1">
        <w:r w:rsidRPr="001415D2">
          <w:rPr>
            <w:rStyle w:val="Hyperlink"/>
            <w:noProof/>
            <w:lang w:val="de-DE"/>
          </w:rPr>
          <w:t xml:space="preserve">Präsident und Vizepräsident des </w:t>
        </w:r>
        <w:r w:rsidRPr="001415D2">
          <w:rPr>
            <w:rStyle w:val="Hyperlink"/>
            <w:noProof/>
            <w:lang w:val="de-DE" w:eastAsia="de-DE" w:bidi="de-DE"/>
          </w:rPr>
          <w:t>Technischen Ausschusses</w:t>
        </w:r>
        <w:r>
          <w:rPr>
            <w:noProof/>
            <w:webHidden/>
          </w:rPr>
          <w:tab/>
        </w:r>
        <w:r>
          <w:rPr>
            <w:noProof/>
            <w:webHidden/>
          </w:rPr>
          <w:fldChar w:fldCharType="begin"/>
        </w:r>
        <w:r>
          <w:rPr>
            <w:noProof/>
            <w:webHidden/>
          </w:rPr>
          <w:instrText xml:space="preserve"> PAGEREF _Toc478720864 \h </w:instrText>
        </w:r>
        <w:r>
          <w:rPr>
            <w:noProof/>
            <w:webHidden/>
          </w:rPr>
        </w:r>
        <w:r>
          <w:rPr>
            <w:noProof/>
            <w:webHidden/>
          </w:rPr>
          <w:fldChar w:fldCharType="separate"/>
        </w:r>
        <w:r w:rsidR="008821B4">
          <w:rPr>
            <w:noProof/>
            <w:webHidden/>
          </w:rPr>
          <w:t>5</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5" w:history="1">
        <w:r w:rsidRPr="001415D2">
          <w:rPr>
            <w:rStyle w:val="Hyperlink"/>
            <w:noProof/>
          </w:rPr>
          <w:t>Tagungskalender</w:t>
        </w:r>
        <w:r>
          <w:rPr>
            <w:noProof/>
            <w:webHidden/>
          </w:rPr>
          <w:tab/>
        </w:r>
        <w:r>
          <w:rPr>
            <w:noProof/>
            <w:webHidden/>
          </w:rPr>
          <w:fldChar w:fldCharType="begin"/>
        </w:r>
        <w:r>
          <w:rPr>
            <w:noProof/>
            <w:webHidden/>
          </w:rPr>
          <w:instrText xml:space="preserve"> PAGEREF _Toc478720865 \h </w:instrText>
        </w:r>
        <w:r>
          <w:rPr>
            <w:noProof/>
            <w:webHidden/>
          </w:rPr>
        </w:r>
        <w:r>
          <w:rPr>
            <w:noProof/>
            <w:webHidden/>
          </w:rPr>
          <w:fldChar w:fldCharType="separate"/>
        </w:r>
        <w:r w:rsidR="008821B4">
          <w:rPr>
            <w:noProof/>
            <w:webHidden/>
          </w:rPr>
          <w:t>5</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66" w:history="1">
        <w:r w:rsidRPr="001415D2">
          <w:rPr>
            <w:rStyle w:val="Hyperlink"/>
            <w:noProof/>
            <w:lang w:bidi="de-DE"/>
          </w:rPr>
          <w:t>UPOV-sammlung</w:t>
        </w:r>
        <w:r>
          <w:rPr>
            <w:noProof/>
            <w:webHidden/>
          </w:rPr>
          <w:tab/>
        </w:r>
        <w:r>
          <w:rPr>
            <w:noProof/>
            <w:webHidden/>
          </w:rPr>
          <w:fldChar w:fldCharType="begin"/>
        </w:r>
        <w:r>
          <w:rPr>
            <w:noProof/>
            <w:webHidden/>
          </w:rPr>
          <w:instrText xml:space="preserve"> PAGEREF _Toc478720866 \h </w:instrText>
        </w:r>
        <w:r>
          <w:rPr>
            <w:noProof/>
            <w:webHidden/>
          </w:rPr>
        </w:r>
        <w:r>
          <w:rPr>
            <w:noProof/>
            <w:webHidden/>
          </w:rPr>
          <w:fldChar w:fldCharType="separate"/>
        </w:r>
        <w:r w:rsidR="008821B4">
          <w:rPr>
            <w:noProof/>
            <w:webHidden/>
          </w:rPr>
          <w:t>6</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7" w:history="1">
        <w:r w:rsidRPr="001415D2">
          <w:rPr>
            <w:rStyle w:val="Hyperlink"/>
            <w:noProof/>
            <w:lang w:val="de-DE"/>
          </w:rPr>
          <w:t>Annahme von Dokumenten</w:t>
        </w:r>
        <w:r>
          <w:rPr>
            <w:noProof/>
            <w:webHidden/>
          </w:rPr>
          <w:tab/>
        </w:r>
        <w:r>
          <w:rPr>
            <w:noProof/>
            <w:webHidden/>
          </w:rPr>
          <w:fldChar w:fldCharType="begin"/>
        </w:r>
        <w:r>
          <w:rPr>
            <w:noProof/>
            <w:webHidden/>
          </w:rPr>
          <w:instrText xml:space="preserve"> PAGEREF _Toc478720867 \h </w:instrText>
        </w:r>
        <w:r>
          <w:rPr>
            <w:noProof/>
            <w:webHidden/>
          </w:rPr>
        </w:r>
        <w:r>
          <w:rPr>
            <w:noProof/>
            <w:webHidden/>
          </w:rPr>
          <w:fldChar w:fldCharType="separate"/>
        </w:r>
        <w:r w:rsidR="008821B4">
          <w:rPr>
            <w:noProof/>
            <w:webHidden/>
          </w:rPr>
          <w:t>6</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68" w:history="1">
        <w:r w:rsidRPr="001415D2">
          <w:rPr>
            <w:rStyle w:val="Hyperlink"/>
            <w:noProof/>
            <w:lang w:val="fr-FR"/>
          </w:rPr>
          <w:t>Angelegenheiten, die vom Verwaltungs- und Rechtsausschuss zu prüfen sind</w:t>
        </w:r>
        <w:r>
          <w:rPr>
            <w:noProof/>
            <w:webHidden/>
          </w:rPr>
          <w:tab/>
        </w:r>
        <w:r>
          <w:rPr>
            <w:noProof/>
            <w:webHidden/>
          </w:rPr>
          <w:fldChar w:fldCharType="begin"/>
        </w:r>
        <w:r>
          <w:rPr>
            <w:noProof/>
            <w:webHidden/>
          </w:rPr>
          <w:instrText xml:space="preserve"> PAGEREF _Toc478720868 \h </w:instrText>
        </w:r>
        <w:r>
          <w:rPr>
            <w:noProof/>
            <w:webHidden/>
          </w:rPr>
        </w:r>
        <w:r>
          <w:rPr>
            <w:noProof/>
            <w:webHidden/>
          </w:rPr>
          <w:fldChar w:fldCharType="separate"/>
        </w:r>
        <w:r w:rsidR="008821B4">
          <w:rPr>
            <w:noProof/>
            <w:webHidden/>
          </w:rPr>
          <w:t>6</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69" w:history="1">
        <w:r w:rsidRPr="001415D2">
          <w:rPr>
            <w:rStyle w:val="Hyperlink"/>
            <w:noProof/>
            <w:lang w:val="fr-FR" w:bidi="de-DE"/>
          </w:rPr>
          <w:t>Beobachter bei UPOV-Organen</w:t>
        </w:r>
        <w:r>
          <w:rPr>
            <w:noProof/>
            <w:webHidden/>
          </w:rPr>
          <w:tab/>
        </w:r>
        <w:r>
          <w:rPr>
            <w:noProof/>
            <w:webHidden/>
          </w:rPr>
          <w:fldChar w:fldCharType="begin"/>
        </w:r>
        <w:r>
          <w:rPr>
            <w:noProof/>
            <w:webHidden/>
          </w:rPr>
          <w:instrText xml:space="preserve"> PAGEREF _Toc478720869 \h </w:instrText>
        </w:r>
        <w:r>
          <w:rPr>
            <w:noProof/>
            <w:webHidden/>
          </w:rPr>
        </w:r>
        <w:r>
          <w:rPr>
            <w:noProof/>
            <w:webHidden/>
          </w:rPr>
          <w:fldChar w:fldCharType="separate"/>
        </w:r>
        <w:r w:rsidR="008821B4">
          <w:rPr>
            <w:noProof/>
            <w:webHidden/>
          </w:rPr>
          <w:t>7</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70" w:history="1">
        <w:r w:rsidRPr="001415D2">
          <w:rPr>
            <w:rStyle w:val="Hyperlink"/>
            <w:noProof/>
            <w:lang w:bidi="de-DE"/>
          </w:rPr>
          <w:t>Kommunikationsstrategie</w:t>
        </w:r>
        <w:r>
          <w:rPr>
            <w:noProof/>
            <w:webHidden/>
          </w:rPr>
          <w:tab/>
        </w:r>
        <w:r>
          <w:rPr>
            <w:noProof/>
            <w:webHidden/>
          </w:rPr>
          <w:fldChar w:fldCharType="begin"/>
        </w:r>
        <w:r>
          <w:rPr>
            <w:noProof/>
            <w:webHidden/>
          </w:rPr>
          <w:instrText xml:space="preserve"> PAGEREF _Toc478720870 \h </w:instrText>
        </w:r>
        <w:r>
          <w:rPr>
            <w:noProof/>
            <w:webHidden/>
          </w:rPr>
        </w:r>
        <w:r>
          <w:rPr>
            <w:noProof/>
            <w:webHidden/>
          </w:rPr>
          <w:fldChar w:fldCharType="separate"/>
        </w:r>
        <w:r w:rsidR="008821B4">
          <w:rPr>
            <w:noProof/>
            <w:webHidden/>
          </w:rPr>
          <w:t>7</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71" w:history="1">
        <w:r w:rsidRPr="001415D2">
          <w:rPr>
            <w:rStyle w:val="Hyperlink"/>
            <w:noProof/>
            <w:lang w:val="de-DE"/>
          </w:rPr>
          <w:t>Neues UPOV-Logo und aktualisierte Website</w:t>
        </w:r>
        <w:r>
          <w:rPr>
            <w:noProof/>
            <w:webHidden/>
          </w:rPr>
          <w:tab/>
        </w:r>
        <w:r>
          <w:rPr>
            <w:noProof/>
            <w:webHidden/>
          </w:rPr>
          <w:fldChar w:fldCharType="begin"/>
        </w:r>
        <w:r>
          <w:rPr>
            <w:noProof/>
            <w:webHidden/>
          </w:rPr>
          <w:instrText xml:space="preserve"> PAGEREF _Toc478720871 \h </w:instrText>
        </w:r>
        <w:r>
          <w:rPr>
            <w:noProof/>
            <w:webHidden/>
          </w:rPr>
        </w:r>
        <w:r>
          <w:rPr>
            <w:noProof/>
            <w:webHidden/>
          </w:rPr>
          <w:fldChar w:fldCharType="separate"/>
        </w:r>
        <w:r w:rsidR="008821B4">
          <w:rPr>
            <w:noProof/>
            <w:webHidden/>
          </w:rPr>
          <w:t>7</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72" w:history="1">
        <w:r w:rsidRPr="001415D2">
          <w:rPr>
            <w:rStyle w:val="Hyperlink"/>
            <w:noProof/>
            <w:lang w:val="de-DE"/>
          </w:rPr>
          <w:t>Häufig gestellte Fragen (FAQs)</w:t>
        </w:r>
        <w:r>
          <w:rPr>
            <w:noProof/>
            <w:webHidden/>
          </w:rPr>
          <w:tab/>
        </w:r>
        <w:r>
          <w:rPr>
            <w:noProof/>
            <w:webHidden/>
          </w:rPr>
          <w:fldChar w:fldCharType="begin"/>
        </w:r>
        <w:r>
          <w:rPr>
            <w:noProof/>
            <w:webHidden/>
          </w:rPr>
          <w:instrText xml:space="preserve"> PAGEREF _Toc478720872 \h </w:instrText>
        </w:r>
        <w:r>
          <w:rPr>
            <w:noProof/>
            <w:webHidden/>
          </w:rPr>
        </w:r>
        <w:r>
          <w:rPr>
            <w:noProof/>
            <w:webHidden/>
          </w:rPr>
          <w:fldChar w:fldCharType="separate"/>
        </w:r>
        <w:r w:rsidR="008821B4">
          <w:rPr>
            <w:noProof/>
            <w:webHidden/>
          </w:rPr>
          <w:t>7</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73" w:history="1">
        <w:r w:rsidRPr="001415D2">
          <w:rPr>
            <w:rStyle w:val="Hyperlink"/>
            <w:noProof/>
            <w:lang w:val="de-DE"/>
          </w:rPr>
          <w:t>Benefits of the UPOV</w:t>
        </w:r>
        <w:r w:rsidRPr="001415D2">
          <w:rPr>
            <w:rStyle w:val="Hyperlink"/>
            <w:noProof/>
            <w:lang w:val="de-DE"/>
          </w:rPr>
          <w:noBreakHyphen/>
          <w:t>System</w:t>
        </w:r>
        <w:r>
          <w:rPr>
            <w:noProof/>
            <w:webHidden/>
          </w:rPr>
          <w:tab/>
        </w:r>
        <w:r>
          <w:rPr>
            <w:noProof/>
            <w:webHidden/>
          </w:rPr>
          <w:fldChar w:fldCharType="begin"/>
        </w:r>
        <w:r>
          <w:rPr>
            <w:noProof/>
            <w:webHidden/>
          </w:rPr>
          <w:instrText xml:space="preserve"> PAGEREF _Toc478720873 \h </w:instrText>
        </w:r>
        <w:r>
          <w:rPr>
            <w:noProof/>
            <w:webHidden/>
          </w:rPr>
        </w:r>
        <w:r>
          <w:rPr>
            <w:noProof/>
            <w:webHidden/>
          </w:rPr>
          <w:fldChar w:fldCharType="separate"/>
        </w:r>
        <w:r w:rsidR="008821B4">
          <w:rPr>
            <w:noProof/>
            <w:webHidden/>
          </w:rPr>
          <w:t>7</w:t>
        </w:r>
        <w:r>
          <w:rPr>
            <w:noProof/>
            <w:webHidden/>
          </w:rPr>
          <w:fldChar w:fldCharType="end"/>
        </w:r>
      </w:hyperlink>
    </w:p>
    <w:p w:rsidR="00401035" w:rsidRDefault="00401035">
      <w:pPr>
        <w:pStyle w:val="TOC2"/>
        <w:rPr>
          <w:rFonts w:asciiTheme="minorHAnsi" w:eastAsiaTheme="minorEastAsia" w:hAnsiTheme="minorHAnsi" w:cstheme="minorBidi"/>
          <w:smallCaps w:val="0"/>
          <w:noProof/>
          <w:sz w:val="22"/>
          <w:szCs w:val="22"/>
        </w:rPr>
      </w:pPr>
      <w:hyperlink w:anchor="_Toc478720874" w:history="1">
        <w:r w:rsidRPr="001415D2">
          <w:rPr>
            <w:rStyle w:val="Hyperlink"/>
            <w:rFonts w:cs="Arial"/>
            <w:noProof/>
            <w:lang w:val="de-DE"/>
          </w:rPr>
          <w:t>Fernlehrgänge</w:t>
        </w:r>
        <w:r>
          <w:rPr>
            <w:noProof/>
            <w:webHidden/>
          </w:rPr>
          <w:tab/>
        </w:r>
        <w:r>
          <w:rPr>
            <w:noProof/>
            <w:webHidden/>
          </w:rPr>
          <w:fldChar w:fldCharType="begin"/>
        </w:r>
        <w:r>
          <w:rPr>
            <w:noProof/>
            <w:webHidden/>
          </w:rPr>
          <w:instrText xml:space="preserve"> PAGEREF _Toc478720874 \h </w:instrText>
        </w:r>
        <w:r>
          <w:rPr>
            <w:noProof/>
            <w:webHidden/>
          </w:rPr>
        </w:r>
        <w:r>
          <w:rPr>
            <w:noProof/>
            <w:webHidden/>
          </w:rPr>
          <w:fldChar w:fldCharType="separate"/>
        </w:r>
        <w:r w:rsidR="008821B4">
          <w:rPr>
            <w:noProof/>
            <w:webHidden/>
          </w:rPr>
          <w:t>8</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75" w:history="1">
        <w:r w:rsidRPr="001415D2">
          <w:rPr>
            <w:rStyle w:val="Hyperlink"/>
            <w:noProof/>
            <w:lang w:val="de-CH" w:bidi="de-DE"/>
          </w:rPr>
          <w:t>UPOV Elektronisches Antragsformblatt</w:t>
        </w:r>
        <w:r>
          <w:rPr>
            <w:noProof/>
            <w:webHidden/>
          </w:rPr>
          <w:tab/>
        </w:r>
        <w:r>
          <w:rPr>
            <w:noProof/>
            <w:webHidden/>
          </w:rPr>
          <w:fldChar w:fldCharType="begin"/>
        </w:r>
        <w:r>
          <w:rPr>
            <w:noProof/>
            <w:webHidden/>
          </w:rPr>
          <w:instrText xml:space="preserve"> PAGEREF _Toc478720875 \h </w:instrText>
        </w:r>
        <w:r>
          <w:rPr>
            <w:noProof/>
            <w:webHidden/>
          </w:rPr>
        </w:r>
        <w:r>
          <w:rPr>
            <w:noProof/>
            <w:webHidden/>
          </w:rPr>
          <w:fldChar w:fldCharType="separate"/>
        </w:r>
        <w:r w:rsidR="008821B4">
          <w:rPr>
            <w:noProof/>
            <w:webHidden/>
          </w:rPr>
          <w:t>8</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76" w:history="1">
        <w:r w:rsidRPr="001415D2">
          <w:rPr>
            <w:rStyle w:val="Hyperlink"/>
            <w:noProof/>
            <w:lang w:bidi="de-DE"/>
          </w:rPr>
          <w:t>InternationalES KOOPERATIONSSystem (isc)</w:t>
        </w:r>
        <w:r>
          <w:rPr>
            <w:noProof/>
            <w:webHidden/>
          </w:rPr>
          <w:tab/>
        </w:r>
        <w:r>
          <w:rPr>
            <w:noProof/>
            <w:webHidden/>
          </w:rPr>
          <w:fldChar w:fldCharType="begin"/>
        </w:r>
        <w:r>
          <w:rPr>
            <w:noProof/>
            <w:webHidden/>
          </w:rPr>
          <w:instrText xml:space="preserve"> PAGEREF _Toc478720876 \h </w:instrText>
        </w:r>
        <w:r>
          <w:rPr>
            <w:noProof/>
            <w:webHidden/>
          </w:rPr>
        </w:r>
        <w:r>
          <w:rPr>
            <w:noProof/>
            <w:webHidden/>
          </w:rPr>
          <w:fldChar w:fldCharType="separate"/>
        </w:r>
        <w:r w:rsidR="008821B4">
          <w:rPr>
            <w:noProof/>
            <w:webHidden/>
          </w:rPr>
          <w:t>8</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77" w:history="1">
        <w:r w:rsidRPr="001415D2">
          <w:rPr>
            <w:rStyle w:val="Hyperlink"/>
            <w:noProof/>
            <w:lang w:bidi="de-DE"/>
          </w:rPr>
          <w:t>Wechselseitige Beziehung mit dem Internationalen Vertrag über pflanzengenetische Ressourcen für Ernährung und Landwirtschaft (ITPGRFA)</w:t>
        </w:r>
        <w:r>
          <w:rPr>
            <w:noProof/>
            <w:webHidden/>
          </w:rPr>
          <w:tab/>
        </w:r>
        <w:r>
          <w:rPr>
            <w:noProof/>
            <w:webHidden/>
          </w:rPr>
          <w:fldChar w:fldCharType="begin"/>
        </w:r>
        <w:r>
          <w:rPr>
            <w:noProof/>
            <w:webHidden/>
          </w:rPr>
          <w:instrText xml:space="preserve"> PAGEREF _Toc478720877 \h </w:instrText>
        </w:r>
        <w:r>
          <w:rPr>
            <w:noProof/>
            <w:webHidden/>
          </w:rPr>
        </w:r>
        <w:r>
          <w:rPr>
            <w:noProof/>
            <w:webHidden/>
          </w:rPr>
          <w:fldChar w:fldCharType="separate"/>
        </w:r>
        <w:r w:rsidR="008821B4">
          <w:rPr>
            <w:noProof/>
            <w:webHidden/>
          </w:rPr>
          <w:t>10</w:t>
        </w:r>
        <w:r>
          <w:rPr>
            <w:noProof/>
            <w:webHidden/>
          </w:rPr>
          <w:fldChar w:fldCharType="end"/>
        </w:r>
      </w:hyperlink>
    </w:p>
    <w:p w:rsidR="00401035" w:rsidRDefault="00401035" w:rsidP="00401035">
      <w:pPr>
        <w:pStyle w:val="TOC1"/>
        <w:rPr>
          <w:rFonts w:asciiTheme="minorHAnsi" w:eastAsiaTheme="minorEastAsia" w:hAnsiTheme="minorHAnsi" w:cstheme="minorBidi"/>
          <w:noProof/>
          <w:sz w:val="22"/>
          <w:szCs w:val="22"/>
        </w:rPr>
      </w:pPr>
      <w:hyperlink w:anchor="_Toc478720878" w:history="1">
        <w:r w:rsidRPr="001415D2">
          <w:rPr>
            <w:rStyle w:val="Hyperlink"/>
            <w:noProof/>
            <w:lang w:bidi="de-DE"/>
          </w:rPr>
          <w:t>Seminar über Vermehrungs- und Erntematerial im Zusammenhang mit dem UPOV</w:t>
        </w:r>
        <w:r w:rsidRPr="001415D2">
          <w:rPr>
            <w:rStyle w:val="Hyperlink"/>
            <w:noProof/>
            <w:lang w:bidi="de-DE"/>
          </w:rPr>
          <w:noBreakHyphen/>
          <w:t>Übereinkommen</w:t>
        </w:r>
        <w:r>
          <w:rPr>
            <w:noProof/>
            <w:webHidden/>
          </w:rPr>
          <w:tab/>
        </w:r>
        <w:r>
          <w:rPr>
            <w:noProof/>
            <w:webHidden/>
          </w:rPr>
          <w:fldChar w:fldCharType="begin"/>
        </w:r>
        <w:r>
          <w:rPr>
            <w:noProof/>
            <w:webHidden/>
          </w:rPr>
          <w:instrText xml:space="preserve"> PAGEREF _Toc478720878 \h </w:instrText>
        </w:r>
        <w:r>
          <w:rPr>
            <w:noProof/>
            <w:webHidden/>
          </w:rPr>
        </w:r>
        <w:r>
          <w:rPr>
            <w:noProof/>
            <w:webHidden/>
          </w:rPr>
          <w:fldChar w:fldCharType="separate"/>
        </w:r>
        <w:r w:rsidR="008821B4">
          <w:rPr>
            <w:noProof/>
            <w:webHidden/>
          </w:rPr>
          <w:t>10</w:t>
        </w:r>
        <w:r>
          <w:rPr>
            <w:noProof/>
            <w:webHidden/>
          </w:rPr>
          <w:fldChar w:fldCharType="end"/>
        </w:r>
      </w:hyperlink>
    </w:p>
    <w:p w:rsidR="00B073FE" w:rsidRPr="00CB171C" w:rsidRDefault="00B073FE" w:rsidP="00B073FE">
      <w:pPr>
        <w:rPr>
          <w:rFonts w:cs="Arial"/>
        </w:rPr>
      </w:pPr>
      <w:r>
        <w:rPr>
          <w:rFonts w:cs="Arial"/>
        </w:rPr>
        <w:fldChar w:fldCharType="end"/>
      </w:r>
    </w:p>
    <w:p w:rsidR="00B073FE" w:rsidRPr="00CB171C" w:rsidRDefault="00B073FE" w:rsidP="00B073FE">
      <w:pPr>
        <w:jc w:val="left"/>
        <w:rPr>
          <w:rFonts w:cs="Arial"/>
          <w:caps/>
        </w:rPr>
      </w:pPr>
      <w:r w:rsidRPr="00CB171C">
        <w:rPr>
          <w:rFonts w:cs="Arial"/>
        </w:rPr>
        <w:br w:type="page"/>
      </w:r>
    </w:p>
    <w:p w:rsidR="00B073FE" w:rsidRPr="007B07C7" w:rsidRDefault="00B073FE" w:rsidP="00815CDD">
      <w:pPr>
        <w:pStyle w:val="Heading1"/>
      </w:pPr>
      <w:bookmarkStart w:id="4" w:name="_Toc379530064"/>
      <w:bookmarkStart w:id="5" w:name="_Toc380391611"/>
      <w:bookmarkStart w:id="6" w:name="_Toc380419851"/>
      <w:bookmarkStart w:id="7" w:name="_Toc380483651"/>
      <w:bookmarkStart w:id="8" w:name="_Toc413311287"/>
      <w:bookmarkStart w:id="9" w:name="_Toc413311660"/>
      <w:bookmarkStart w:id="10" w:name="_Toc413335699"/>
      <w:bookmarkStart w:id="11" w:name="_Toc444242861"/>
      <w:bookmarkStart w:id="12" w:name="_Toc443988403"/>
      <w:bookmarkStart w:id="13" w:name="_Toc478720852"/>
      <w:r w:rsidRPr="007B07C7">
        <w:lastRenderedPageBreak/>
        <w:t>MITGLIEDERZAHL</w:t>
      </w:r>
      <w:bookmarkEnd w:id="4"/>
      <w:bookmarkEnd w:id="5"/>
      <w:bookmarkEnd w:id="6"/>
      <w:bookmarkEnd w:id="7"/>
      <w:bookmarkEnd w:id="8"/>
      <w:bookmarkEnd w:id="9"/>
      <w:bookmarkEnd w:id="10"/>
      <w:bookmarkEnd w:id="11"/>
      <w:bookmarkEnd w:id="13"/>
    </w:p>
    <w:p w:rsidR="00B073FE" w:rsidRPr="00CB171C" w:rsidRDefault="00B073FE" w:rsidP="00B073FE"/>
    <w:p w:rsidR="00B073FE" w:rsidRPr="00CB171C" w:rsidRDefault="00B073FE" w:rsidP="00B073FE">
      <w:pPr>
        <w:pStyle w:val="Heading2"/>
        <w:rPr>
          <w:lang w:val="de-DE"/>
        </w:rPr>
      </w:pPr>
      <w:bookmarkStart w:id="14" w:name="_Toc379530065"/>
      <w:bookmarkStart w:id="15" w:name="_Toc380391612"/>
      <w:bookmarkStart w:id="16" w:name="_Toc380419852"/>
      <w:bookmarkStart w:id="17" w:name="_Toc380483652"/>
      <w:bookmarkStart w:id="18" w:name="_Toc413311288"/>
      <w:bookmarkStart w:id="19" w:name="_Toc413311661"/>
      <w:bookmarkStart w:id="20" w:name="_Toc413335700"/>
      <w:bookmarkStart w:id="21" w:name="_Toc444242862"/>
      <w:bookmarkStart w:id="22" w:name="_Toc478720853"/>
      <w:r w:rsidRPr="00CB171C">
        <w:rPr>
          <w:lang w:val="de-DE"/>
        </w:rPr>
        <w:t>Verbandsmitglieder</w:t>
      </w:r>
      <w:bookmarkEnd w:id="14"/>
      <w:bookmarkEnd w:id="15"/>
      <w:bookmarkEnd w:id="16"/>
      <w:bookmarkEnd w:id="17"/>
      <w:bookmarkEnd w:id="18"/>
      <w:bookmarkEnd w:id="19"/>
      <w:bookmarkEnd w:id="20"/>
      <w:bookmarkEnd w:id="21"/>
      <w:bookmarkEnd w:id="22"/>
    </w:p>
    <w:p w:rsidR="00B073FE" w:rsidRPr="00CB171C" w:rsidRDefault="00B073FE" w:rsidP="00B073FE"/>
    <w:bookmarkEnd w:id="12"/>
    <w:p w:rsidR="00B073FE" w:rsidRPr="00CB171C" w:rsidRDefault="00B073FE" w:rsidP="00B073FE">
      <w:r w:rsidRPr="00CB171C">
        <w:rPr>
          <w:rFonts w:cs="Arial"/>
        </w:rPr>
        <w:fldChar w:fldCharType="begin"/>
      </w:r>
      <w:r w:rsidRPr="00CB171C">
        <w:rPr>
          <w:rFonts w:cs="Arial"/>
        </w:rPr>
        <w:instrText xml:space="preserve"> AUTONUM  </w:instrText>
      </w:r>
      <w:r w:rsidRPr="00CB171C">
        <w:rPr>
          <w:rFonts w:cs="Arial"/>
        </w:rPr>
        <w:fldChar w:fldCharType="end"/>
      </w:r>
      <w:r w:rsidRPr="00CB171C">
        <w:rPr>
          <w:rFonts w:cs="Arial"/>
        </w:rPr>
        <w:tab/>
      </w:r>
      <w:r w:rsidRPr="00CB171C">
        <w:t xml:space="preserve">Zum </w:t>
      </w:r>
      <w:r w:rsidR="00C10AEC">
        <w:t>28</w:t>
      </w:r>
      <w:r w:rsidRPr="00CB171C">
        <w:t>. März 201</w:t>
      </w:r>
      <w:r w:rsidR="00C10AEC">
        <w:t>7</w:t>
      </w:r>
      <w:r w:rsidRPr="00CB171C">
        <w:t xml:space="preserve"> zählte der Verband </w:t>
      </w:r>
      <w:r w:rsidR="007B07C7">
        <w:t>74</w:t>
      </w:r>
      <w:r w:rsidRPr="00CB171C">
        <w:t xml:space="preserve"> Mitglieder:</w:t>
      </w:r>
    </w:p>
    <w:p w:rsidR="00B073FE" w:rsidRPr="00CB171C" w:rsidRDefault="00B073FE" w:rsidP="00B073FE"/>
    <w:p w:rsidR="00B073FE" w:rsidRPr="00CB171C" w:rsidRDefault="00B073FE" w:rsidP="00B073FE">
      <w:pPr>
        <w:ind w:left="567"/>
      </w:pPr>
      <w:r w:rsidRPr="00CB171C">
        <w:t>Afrikanische Organisation für geistiges Eigentum, Albanien, Argentinien, Aserbaidschan, Australien, Belarus, Belgien, Bolivien (Plurinationaler Staat), Brasilien, Bulgarien, Chile, China, Costa Rica, Dänemark, Deutschland, Dominikanische Republik, Ecuador, Ehemalige Republik Mazedonien, Estland, Europäische Union, Finnland, Frankreich, Georgien, Irland, Island, Israel, Italien, Japan, Jordanien, Kanada, Kenia, Kirgisische Republik, Kolumbien, Kroatien, Lettland, Litauen, Marokko, Mexiko, Montenegro,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Republik Tansania, Vereinigtes Königreich, Vereinigte Staaten von Amerika und Vietnam.</w:t>
      </w:r>
    </w:p>
    <w:p w:rsidR="00B073FE" w:rsidRPr="00CB171C" w:rsidRDefault="00B073FE" w:rsidP="00B073FE">
      <w:pPr>
        <w:rPr>
          <w:rFonts w:cs="Arial"/>
        </w:rPr>
      </w:pPr>
    </w:p>
    <w:p w:rsidR="00B073FE" w:rsidRPr="00CB171C" w:rsidRDefault="00B073FE" w:rsidP="00B073FE">
      <w:pPr>
        <w:pStyle w:val="Heading2"/>
        <w:rPr>
          <w:lang w:val="de-DE"/>
        </w:rPr>
      </w:pPr>
      <w:bookmarkStart w:id="23" w:name="_Toc413311289"/>
      <w:bookmarkStart w:id="24" w:name="_Toc413311662"/>
      <w:bookmarkStart w:id="25" w:name="_Toc413335701"/>
      <w:bookmarkStart w:id="26" w:name="_Toc413078836"/>
      <w:bookmarkStart w:id="27" w:name="_Toc444242863"/>
      <w:bookmarkStart w:id="28" w:name="_Toc399960529"/>
      <w:bookmarkStart w:id="29" w:name="_Toc443988405"/>
      <w:bookmarkStart w:id="30" w:name="_Toc478720854"/>
      <w:r w:rsidRPr="00CB171C">
        <w:rPr>
          <w:lang w:val="de-DE"/>
        </w:rPr>
        <w:t>Lage bezüglich der verschiedenen Akten des Übereinkommens</w:t>
      </w:r>
      <w:bookmarkEnd w:id="23"/>
      <w:bookmarkEnd w:id="24"/>
      <w:bookmarkEnd w:id="25"/>
      <w:bookmarkEnd w:id="26"/>
      <w:bookmarkEnd w:id="27"/>
      <w:bookmarkEnd w:id="30"/>
    </w:p>
    <w:bookmarkEnd w:id="28"/>
    <w:bookmarkEnd w:id="29"/>
    <w:p w:rsidR="00B073FE" w:rsidRPr="00CB171C" w:rsidRDefault="00B073FE" w:rsidP="00B073FE">
      <w:pPr>
        <w:keepNext/>
        <w:rPr>
          <w:rFonts w:cs="Arial"/>
        </w:rPr>
      </w:pPr>
    </w:p>
    <w:p w:rsidR="00A701EB" w:rsidRPr="003D204B" w:rsidRDefault="00B073FE" w:rsidP="00A701EB">
      <w:pPr>
        <w:rPr>
          <w:lang w:eastAsia="de-DE" w:bidi="de-DE"/>
        </w:rPr>
      </w:pPr>
      <w:r w:rsidRPr="00CB171C">
        <w:rPr>
          <w:rFonts w:cs="Arial"/>
        </w:rPr>
        <w:fldChar w:fldCharType="begin"/>
      </w:r>
      <w:r w:rsidRPr="00401035">
        <w:rPr>
          <w:rFonts w:cs="Arial"/>
        </w:rPr>
        <w:instrText xml:space="preserve"> AUTONUM  </w:instrText>
      </w:r>
      <w:r w:rsidRPr="00CB171C">
        <w:rPr>
          <w:rFonts w:cs="Arial"/>
        </w:rPr>
        <w:fldChar w:fldCharType="end"/>
      </w:r>
      <w:r w:rsidRPr="00401035">
        <w:rPr>
          <w:rFonts w:cs="Arial"/>
        </w:rPr>
        <w:tab/>
      </w:r>
      <w:r w:rsidR="00A701EB" w:rsidRPr="003D204B">
        <w:rPr>
          <w:lang w:eastAsia="de-DE" w:bidi="de-DE"/>
        </w:rPr>
        <w:t xml:space="preserve">Kenia, das seit dem 13. Mai 1999 Mitglied des Verbands ist, </w:t>
      </w:r>
      <w:r w:rsidR="00A701EB">
        <w:rPr>
          <w:lang w:eastAsia="de-DE" w:bidi="de-DE"/>
        </w:rPr>
        <w:t xml:space="preserve">hinterlegte </w:t>
      </w:r>
      <w:r w:rsidR="00A701EB" w:rsidRPr="003D204B">
        <w:rPr>
          <w:lang w:eastAsia="de-DE" w:bidi="de-DE"/>
        </w:rPr>
        <w:t>am 11. April 2016 seine Urkunde über den Beitritt zur Akte von 1991 des UPOV-Übereinkommens und</w:t>
      </w:r>
      <w:r w:rsidR="00A701EB">
        <w:rPr>
          <w:lang w:eastAsia="de-DE" w:bidi="de-DE"/>
        </w:rPr>
        <w:t xml:space="preserve"> wurde</w:t>
      </w:r>
      <w:r w:rsidR="00A701EB" w:rsidRPr="003D204B">
        <w:rPr>
          <w:lang w:eastAsia="de-DE" w:bidi="de-DE"/>
        </w:rPr>
        <w:t xml:space="preserve"> am 11. Mai 2016 durch die Akte von 1991 gebunden </w:t>
      </w:r>
      <w:r w:rsidR="00A701EB">
        <w:rPr>
          <w:lang w:eastAsia="de-DE" w:bidi="de-DE"/>
        </w:rPr>
        <w:t>wurde</w:t>
      </w:r>
      <w:r w:rsidR="00A701EB" w:rsidRPr="003D204B">
        <w:rPr>
          <w:lang w:eastAsia="de-DE" w:bidi="de-DE"/>
        </w:rPr>
        <w:t>.</w:t>
      </w:r>
    </w:p>
    <w:p w:rsidR="00A701EB" w:rsidRPr="00A701EB" w:rsidRDefault="00A701EB" w:rsidP="00B073FE">
      <w:pPr>
        <w:rPr>
          <w:rFonts w:cs="Arial"/>
          <w:lang w:val="de-CH"/>
        </w:rPr>
      </w:pPr>
    </w:p>
    <w:p w:rsidR="00A701EB" w:rsidRPr="00A701EB" w:rsidRDefault="00A701EB" w:rsidP="00B073FE">
      <w:pPr>
        <w:rPr>
          <w:rFonts w:cs="Arial"/>
          <w:lang w:val="de-CH"/>
        </w:rPr>
      </w:pPr>
    </w:p>
    <w:p w:rsidR="00B073FE" w:rsidRPr="00401035" w:rsidRDefault="00B073FE" w:rsidP="00B073FE">
      <w:pPr>
        <w:rPr>
          <w:rFonts w:cs="Arial"/>
        </w:rPr>
      </w:pPr>
      <w:r w:rsidRPr="00CB171C">
        <w:rPr>
          <w:rFonts w:cs="Arial"/>
        </w:rPr>
        <w:fldChar w:fldCharType="begin"/>
      </w:r>
      <w:r w:rsidRPr="00401035">
        <w:rPr>
          <w:rFonts w:cs="Arial"/>
        </w:rPr>
        <w:instrText xml:space="preserve"> AUTONUM  </w:instrText>
      </w:r>
      <w:r w:rsidRPr="00CB171C">
        <w:rPr>
          <w:rFonts w:cs="Arial"/>
        </w:rPr>
        <w:fldChar w:fldCharType="end"/>
      </w:r>
      <w:r w:rsidRPr="00401035">
        <w:rPr>
          <w:rFonts w:cs="Arial"/>
        </w:rPr>
        <w:tab/>
        <w:t xml:space="preserve">Zum </w:t>
      </w:r>
      <w:r w:rsidR="00C10AEC" w:rsidRPr="00401035">
        <w:rPr>
          <w:rFonts w:cs="Arial"/>
        </w:rPr>
        <w:t>28</w:t>
      </w:r>
      <w:r w:rsidRPr="00401035">
        <w:rPr>
          <w:rFonts w:cs="Arial"/>
        </w:rPr>
        <w:t>. Mai 201</w:t>
      </w:r>
      <w:r w:rsidR="00C10AEC" w:rsidRPr="00401035">
        <w:rPr>
          <w:rFonts w:cs="Arial"/>
        </w:rPr>
        <w:t xml:space="preserve">7 </w:t>
      </w:r>
      <w:r w:rsidRPr="00401035">
        <w:rPr>
          <w:rFonts w:cs="Arial"/>
        </w:rPr>
        <w:t>:</w:t>
      </w:r>
      <w:r w:rsidR="00C10AEC" w:rsidRPr="00401035">
        <w:rPr>
          <w:rFonts w:cs="Arial"/>
        </w:rPr>
        <w:t xml:space="preserve"> (</w:t>
      </w:r>
      <w:hyperlink r:id="rId9" w:history="1">
        <w:r w:rsidR="00C10AEC" w:rsidRPr="00401035">
          <w:rPr>
            <w:rStyle w:val="Hyperlink"/>
            <w:rFonts w:cs="Arial"/>
          </w:rPr>
          <w:t>http://www.upov.int/members/de/</w:t>
        </w:r>
      </w:hyperlink>
      <w:r w:rsidR="00C10AEC" w:rsidRPr="00401035">
        <w:rPr>
          <w:rFonts w:cs="Arial"/>
        </w:rPr>
        <w:t xml:space="preserve">) </w:t>
      </w:r>
    </w:p>
    <w:p w:rsidR="00B073FE" w:rsidRPr="00401035" w:rsidRDefault="00B073FE" w:rsidP="00B073FE">
      <w:pPr>
        <w:rPr>
          <w:rFonts w:cs="Arial"/>
        </w:rPr>
      </w:pPr>
    </w:p>
    <w:p w:rsidR="00B073FE" w:rsidRPr="00CB171C" w:rsidRDefault="00B073FE" w:rsidP="00B073FE">
      <w:pPr>
        <w:pStyle w:val="ListParagraph"/>
        <w:numPr>
          <w:ilvl w:val="0"/>
          <w:numId w:val="1"/>
        </w:numPr>
        <w:rPr>
          <w:rFonts w:cs="Arial"/>
          <w:lang w:val="de-DE"/>
        </w:rPr>
      </w:pPr>
      <w:r w:rsidRPr="00CB171C">
        <w:rPr>
          <w:rFonts w:cs="Arial"/>
          <w:lang w:val="de-DE"/>
        </w:rPr>
        <w:t>waren 5</w:t>
      </w:r>
      <w:r w:rsidR="00C10AEC">
        <w:rPr>
          <w:rFonts w:cs="Arial"/>
          <w:lang w:val="de-DE"/>
        </w:rPr>
        <w:t>6</w:t>
      </w:r>
      <w:r w:rsidRPr="00CB171C">
        <w:rPr>
          <w:rFonts w:cs="Arial"/>
          <w:lang w:val="de-DE"/>
        </w:rPr>
        <w:t xml:space="preserve"> Mitglieder durch die Akte von 1991 gebunden</w:t>
      </w:r>
    </w:p>
    <w:p w:rsidR="00B073FE" w:rsidRPr="00CB171C" w:rsidRDefault="00B073FE" w:rsidP="00B073FE">
      <w:pPr>
        <w:pStyle w:val="ListParagraph"/>
        <w:numPr>
          <w:ilvl w:val="0"/>
          <w:numId w:val="1"/>
        </w:numPr>
        <w:rPr>
          <w:rFonts w:cs="Arial"/>
          <w:lang w:val="de-DE"/>
        </w:rPr>
      </w:pPr>
      <w:r w:rsidRPr="00CB171C">
        <w:rPr>
          <w:rFonts w:cs="Arial"/>
          <w:lang w:val="de-DE"/>
        </w:rPr>
        <w:t>waren 1</w:t>
      </w:r>
      <w:r w:rsidR="00C10AEC">
        <w:rPr>
          <w:rFonts w:cs="Arial"/>
          <w:lang w:val="de-DE"/>
        </w:rPr>
        <w:t>7</w:t>
      </w:r>
      <w:r w:rsidRPr="00CB171C">
        <w:rPr>
          <w:rFonts w:cs="Arial"/>
          <w:lang w:val="de-DE"/>
        </w:rPr>
        <w:t xml:space="preserve"> Mitglieder durch die Akte von 1978 gebunden</w:t>
      </w:r>
    </w:p>
    <w:p w:rsidR="00B073FE" w:rsidRPr="00CB171C" w:rsidRDefault="00B073FE" w:rsidP="00B073FE">
      <w:pPr>
        <w:pStyle w:val="ListParagraph"/>
        <w:numPr>
          <w:ilvl w:val="0"/>
          <w:numId w:val="1"/>
        </w:numPr>
        <w:rPr>
          <w:rFonts w:cs="Arial"/>
          <w:lang w:val="de-DE"/>
        </w:rPr>
      </w:pPr>
      <w:r w:rsidRPr="00CB171C">
        <w:rPr>
          <w:rFonts w:cs="Arial"/>
          <w:lang w:val="de-DE"/>
        </w:rPr>
        <w:t>war ein Mitglied durch das Übereinkommen von 1961, geändert durch die Akte von 1972, gebunden</w:t>
      </w:r>
    </w:p>
    <w:p w:rsidR="00B073FE" w:rsidRPr="00CB171C" w:rsidRDefault="00B073FE" w:rsidP="00B073FE">
      <w:pPr>
        <w:keepNext/>
        <w:rPr>
          <w:color w:val="000000" w:themeColor="text1"/>
        </w:rPr>
      </w:pPr>
    </w:p>
    <w:p w:rsidR="00B073FE" w:rsidRPr="007B07C7" w:rsidRDefault="00B073FE" w:rsidP="00815CDD">
      <w:pPr>
        <w:pStyle w:val="Heading1"/>
      </w:pPr>
      <w:bookmarkStart w:id="31" w:name="_Toc413078843"/>
      <w:bookmarkStart w:id="32" w:name="_Toc413311295"/>
      <w:bookmarkStart w:id="33" w:name="_Toc413311669"/>
      <w:bookmarkStart w:id="34" w:name="_Toc413335708"/>
      <w:bookmarkStart w:id="35" w:name="_Toc444242865"/>
      <w:bookmarkStart w:id="36" w:name="_Toc381174857"/>
      <w:bookmarkStart w:id="37" w:name="_Toc443988407"/>
      <w:bookmarkStart w:id="38" w:name="_Toc478720855"/>
      <w:r w:rsidRPr="007B07C7">
        <w:t>SORTENSCHUTZStatistiK</w:t>
      </w:r>
      <w:bookmarkEnd w:id="31"/>
      <w:bookmarkEnd w:id="32"/>
      <w:bookmarkEnd w:id="33"/>
      <w:bookmarkEnd w:id="34"/>
      <w:bookmarkEnd w:id="35"/>
      <w:bookmarkEnd w:id="38"/>
    </w:p>
    <w:p w:rsidR="00B073FE" w:rsidRPr="00CB171C" w:rsidRDefault="00B073FE" w:rsidP="00B073FE">
      <w:pPr>
        <w:keepNext/>
      </w:pPr>
    </w:p>
    <w:p w:rsidR="00B073FE" w:rsidRPr="00CB171C" w:rsidRDefault="00B073FE" w:rsidP="00B073FE">
      <w:pPr>
        <w:pStyle w:val="Heading2"/>
        <w:rPr>
          <w:rFonts w:eastAsia="MS Mincho"/>
          <w:lang w:val="de-DE" w:eastAsia="ja-JP"/>
        </w:rPr>
      </w:pPr>
      <w:bookmarkStart w:id="39" w:name="_Toc413078844"/>
      <w:bookmarkStart w:id="40" w:name="_Toc413311296"/>
      <w:bookmarkStart w:id="41" w:name="_Toc413311670"/>
      <w:bookmarkStart w:id="42" w:name="_Toc413335709"/>
      <w:bookmarkStart w:id="43" w:name="_Toc444242866"/>
      <w:bookmarkStart w:id="44" w:name="_Toc478720856"/>
      <w:r w:rsidRPr="00CB171C">
        <w:rPr>
          <w:lang w:val="de-DE"/>
        </w:rPr>
        <w:t>Liste der in den Verbandsmitgliedern schutzfähigen</w:t>
      </w:r>
      <w:bookmarkEnd w:id="39"/>
      <w:r w:rsidRPr="00CB171C">
        <w:rPr>
          <w:lang w:val="de-DE"/>
        </w:rPr>
        <w:t xml:space="preserve"> Taxa</w:t>
      </w:r>
      <w:bookmarkEnd w:id="40"/>
      <w:bookmarkEnd w:id="41"/>
      <w:bookmarkEnd w:id="42"/>
      <w:bookmarkEnd w:id="43"/>
      <w:bookmarkEnd w:id="44"/>
    </w:p>
    <w:p w:rsidR="00B073FE" w:rsidRPr="00CB171C" w:rsidRDefault="00B073FE" w:rsidP="00B073FE">
      <w:pPr>
        <w:keepNext/>
        <w:autoSpaceDE w:val="0"/>
        <w:autoSpaceDN w:val="0"/>
        <w:adjustRightInd w:val="0"/>
        <w:rPr>
          <w:rFonts w:eastAsia="MS Mincho" w:cs="Arial"/>
          <w:lang w:eastAsia="ja-JP"/>
        </w:rPr>
      </w:pPr>
      <w:r w:rsidRPr="00CB171C">
        <w:rPr>
          <w:rFonts w:eastAsia="MS Mincho" w:cs="Arial"/>
          <w:lang w:eastAsia="ja-JP"/>
        </w:rPr>
        <w:t>(vergleiche Dokument C/</w:t>
      </w:r>
      <w:r w:rsidR="00C10AEC">
        <w:rPr>
          <w:rFonts w:eastAsia="MS Mincho" w:cs="Arial"/>
          <w:lang w:eastAsia="ja-JP"/>
        </w:rPr>
        <w:t>50</w:t>
      </w:r>
      <w:r w:rsidRPr="00CB171C">
        <w:rPr>
          <w:rFonts w:eastAsia="MS Mincho" w:cs="Arial"/>
          <w:lang w:eastAsia="ja-JP"/>
        </w:rPr>
        <w:t>/6</w:t>
      </w:r>
      <w:r w:rsidR="00C10AEC">
        <w:rPr>
          <w:rFonts w:eastAsia="MS Mincho" w:cs="Arial"/>
          <w:lang w:eastAsia="ja-JP"/>
        </w:rPr>
        <w:t xml:space="preserve"> Corr.</w:t>
      </w:r>
      <w:r>
        <w:rPr>
          <w:rFonts w:eastAsia="MS Mincho" w:cs="Arial"/>
          <w:lang w:eastAsia="ja-JP"/>
        </w:rPr>
        <w:t xml:space="preserve"> „</w:t>
      </w:r>
      <w:r w:rsidRPr="00CB171C">
        <w:t>Liste der in den Verbandsmitgliedern schutzfähigen Taxa“</w:t>
      </w:r>
      <w:r w:rsidRPr="00CB171C">
        <w:rPr>
          <w:rFonts w:eastAsia="MS Mincho" w:cs="Arial"/>
          <w:lang w:eastAsia="ja-JP"/>
        </w:rPr>
        <w:t>)</w:t>
      </w:r>
    </w:p>
    <w:p w:rsidR="00B073FE" w:rsidRPr="00CB171C" w:rsidRDefault="00B073FE" w:rsidP="00B073FE">
      <w:pPr>
        <w:keepNext/>
        <w:autoSpaceDE w:val="0"/>
        <w:autoSpaceDN w:val="0"/>
        <w:adjustRightInd w:val="0"/>
        <w:rPr>
          <w:rFonts w:eastAsia="MS Mincho" w:cs="Arial"/>
          <w:lang w:eastAsia="ja-JP"/>
        </w:rPr>
      </w:pPr>
    </w:p>
    <w:p w:rsidR="00B073FE" w:rsidRDefault="00B073FE" w:rsidP="00B073FE">
      <w:pPr>
        <w:autoSpaceDE w:val="0"/>
        <w:autoSpaceDN w:val="0"/>
        <w:adjustRightInd w:val="0"/>
        <w:rPr>
          <w:rFonts w:eastAsia="MS Mincho" w:cs="Arial"/>
          <w:lang w:eastAsia="ja-JP"/>
        </w:rPr>
      </w:pPr>
      <w:r w:rsidRPr="00CB171C">
        <w:rPr>
          <w:rFonts w:eastAsia="MS Mincho" w:cs="Arial"/>
          <w:lang w:eastAsia="ja-JP"/>
        </w:rPr>
        <w:fldChar w:fldCharType="begin"/>
      </w:r>
      <w:r w:rsidRPr="00CB171C">
        <w:rPr>
          <w:rFonts w:eastAsia="MS Mincho" w:cs="Arial"/>
          <w:lang w:eastAsia="ja-JP"/>
        </w:rPr>
        <w:instrText xml:space="preserve"> AUTONUM  </w:instrText>
      </w:r>
      <w:r w:rsidRPr="00CB171C">
        <w:rPr>
          <w:rFonts w:eastAsia="MS Mincho" w:cs="Arial"/>
          <w:lang w:eastAsia="ja-JP"/>
        </w:rPr>
        <w:fldChar w:fldCharType="end"/>
      </w:r>
      <w:r w:rsidRPr="00CB171C">
        <w:rPr>
          <w:rFonts w:eastAsia="MS Mincho" w:cs="Arial"/>
          <w:lang w:eastAsia="ja-JP"/>
        </w:rPr>
        <w:tab/>
        <w:t xml:space="preserve">Insgesamt </w:t>
      </w:r>
      <w:r w:rsidR="00C10AEC">
        <w:rPr>
          <w:rFonts w:eastAsia="MS Mincho" w:cs="Arial"/>
          <w:lang w:eastAsia="ja-JP"/>
        </w:rPr>
        <w:t>61</w:t>
      </w:r>
      <w:r w:rsidRPr="00CB171C">
        <w:rPr>
          <w:rFonts w:eastAsia="MS Mincho" w:cs="Arial"/>
          <w:lang w:eastAsia="ja-JP"/>
        </w:rPr>
        <w:t xml:space="preserve"> Verbandsmitglieder gewähren nun den Sortenschutz allen Pflanzengattungen und </w:t>
      </w:r>
      <w:r w:rsidRPr="00CB171C">
        <w:rPr>
          <w:rFonts w:eastAsia="MS Mincho" w:cs="Arial"/>
          <w:lang w:eastAsia="ja-JP"/>
        </w:rPr>
        <w:noBreakHyphen/>
      </w:r>
      <w:r w:rsidR="00C10AEC">
        <w:rPr>
          <w:rFonts w:eastAsia="MS Mincho" w:cs="Arial"/>
          <w:lang w:eastAsia="ja-JP"/>
        </w:rPr>
        <w:t>arten (59</w:t>
      </w:r>
      <w:r w:rsidRPr="00CB171C">
        <w:rPr>
          <w:rFonts w:eastAsia="MS Mincho" w:cs="Arial"/>
          <w:lang w:eastAsia="ja-JP"/>
        </w:rPr>
        <w:t xml:space="preserve"> im Jahre 201</w:t>
      </w:r>
      <w:r w:rsidR="00C10AEC">
        <w:rPr>
          <w:rFonts w:eastAsia="MS Mincho" w:cs="Arial"/>
          <w:lang w:eastAsia="ja-JP"/>
        </w:rPr>
        <w:t>5</w:t>
      </w:r>
      <w:r w:rsidRPr="00CB171C">
        <w:rPr>
          <w:rFonts w:eastAsia="MS Mincho" w:cs="Arial"/>
          <w:lang w:eastAsia="ja-JP"/>
        </w:rPr>
        <w:t xml:space="preserve">). Vierzehn Verbandsmitglieder gewähren den Schutz einer begrenzen Anzahl Pflanzengattungen und </w:t>
      </w:r>
      <w:r w:rsidRPr="00CB171C">
        <w:rPr>
          <w:rFonts w:eastAsia="MS Mincho" w:cs="Arial"/>
          <w:lang w:eastAsia="ja-JP"/>
        </w:rPr>
        <w:noBreakHyphen/>
        <w:t>arten. Von diesen 1</w:t>
      </w:r>
      <w:r w:rsidR="00C10AEC">
        <w:rPr>
          <w:rFonts w:eastAsia="MS Mincho" w:cs="Arial"/>
          <w:lang w:eastAsia="ja-JP"/>
        </w:rPr>
        <w:t>3</w:t>
      </w:r>
      <w:r w:rsidRPr="00CB171C">
        <w:rPr>
          <w:rFonts w:eastAsia="MS Mincho" w:cs="Arial"/>
          <w:lang w:eastAsia="ja-JP"/>
        </w:rPr>
        <w:t xml:space="preserve"> dehnten </w:t>
      </w:r>
      <w:r w:rsidR="00C10AEC">
        <w:rPr>
          <w:rFonts w:eastAsia="MS Mincho" w:cs="Arial"/>
          <w:lang w:eastAsia="ja-JP"/>
        </w:rPr>
        <w:t>fünf</w:t>
      </w:r>
      <w:r w:rsidRPr="00CB171C">
        <w:rPr>
          <w:rFonts w:eastAsia="MS Mincho" w:cs="Arial"/>
          <w:lang w:eastAsia="ja-JP"/>
        </w:rPr>
        <w:t xml:space="preserve"> Mitglieder (</w:t>
      </w:r>
      <w:r w:rsidR="001A26F4">
        <w:t xml:space="preserve">Brasilien, China, </w:t>
      </w:r>
      <w:r w:rsidR="001A26F4" w:rsidRPr="00900BE9">
        <w:t>Marokko</w:t>
      </w:r>
      <w:r w:rsidR="001A26F4">
        <w:t>, Südafrika, Türkei</w:t>
      </w:r>
      <w:r w:rsidRPr="00CB171C">
        <w:rPr>
          <w:rFonts w:eastAsia="MS Mincho" w:cs="Arial"/>
          <w:lang w:eastAsia="ja-JP"/>
        </w:rPr>
        <w:t>) den Schutz im Jahre 201</w:t>
      </w:r>
      <w:r w:rsidR="001A26F4">
        <w:rPr>
          <w:rFonts w:eastAsia="MS Mincho" w:cs="Arial"/>
          <w:lang w:eastAsia="ja-JP"/>
        </w:rPr>
        <w:t>6</w:t>
      </w:r>
      <w:r w:rsidRPr="00CB171C">
        <w:rPr>
          <w:rFonts w:eastAsia="MS Mincho" w:cs="Arial"/>
          <w:lang w:eastAsia="ja-JP"/>
        </w:rPr>
        <w:t xml:space="preserve"> auf weitere Pflanzengattungen und </w:t>
      </w:r>
      <w:r w:rsidRPr="00CB171C">
        <w:rPr>
          <w:rFonts w:eastAsia="MS Mincho" w:cs="Arial"/>
          <w:lang w:eastAsia="ja-JP"/>
        </w:rPr>
        <w:noBreakHyphen/>
        <w:t>arten aus.</w:t>
      </w:r>
    </w:p>
    <w:p w:rsidR="00C10AEC" w:rsidRPr="00CB171C" w:rsidRDefault="00C10AEC" w:rsidP="00B073FE">
      <w:pPr>
        <w:autoSpaceDE w:val="0"/>
        <w:autoSpaceDN w:val="0"/>
        <w:adjustRightInd w:val="0"/>
        <w:rPr>
          <w:rFonts w:eastAsia="MS Mincho" w:cs="Arial"/>
          <w:lang w:eastAsia="ja-JP"/>
        </w:rPr>
      </w:pPr>
    </w:p>
    <w:p w:rsidR="00B073FE" w:rsidRPr="00CB171C" w:rsidRDefault="00B073FE" w:rsidP="00B073FE">
      <w:pPr>
        <w:pStyle w:val="Heading2"/>
        <w:rPr>
          <w:lang w:val="de-DE"/>
        </w:rPr>
      </w:pPr>
      <w:bookmarkStart w:id="45" w:name="_Toc413078845"/>
      <w:bookmarkStart w:id="46" w:name="_Toc413311297"/>
      <w:bookmarkStart w:id="47" w:name="_Toc413311671"/>
      <w:bookmarkStart w:id="48" w:name="_Toc413335710"/>
      <w:bookmarkStart w:id="49" w:name="_Toc444242867"/>
      <w:bookmarkStart w:id="50" w:name="_Toc478720857"/>
      <w:r w:rsidRPr="00CB171C">
        <w:rPr>
          <w:lang w:val="de-DE"/>
        </w:rPr>
        <w:t>Sortenschutzstatistik</w:t>
      </w:r>
      <w:bookmarkEnd w:id="45"/>
      <w:bookmarkEnd w:id="46"/>
      <w:bookmarkEnd w:id="47"/>
      <w:bookmarkEnd w:id="48"/>
      <w:bookmarkEnd w:id="49"/>
      <w:bookmarkEnd w:id="50"/>
    </w:p>
    <w:p w:rsidR="00B073FE" w:rsidRPr="00CB171C" w:rsidRDefault="00B073FE" w:rsidP="00B073FE">
      <w:pPr>
        <w:keepNext/>
        <w:autoSpaceDE w:val="0"/>
        <w:autoSpaceDN w:val="0"/>
        <w:adjustRightInd w:val="0"/>
        <w:rPr>
          <w:rFonts w:eastAsia="MS Mincho" w:cs="Arial"/>
          <w:color w:val="000000" w:themeColor="text1"/>
          <w:lang w:eastAsia="ja-JP"/>
        </w:rPr>
      </w:pPr>
      <w:r w:rsidRPr="00CB171C">
        <w:rPr>
          <w:rFonts w:eastAsia="MS Mincho" w:cs="Arial"/>
          <w:color w:val="000000" w:themeColor="text1"/>
          <w:lang w:eastAsia="ja-JP"/>
        </w:rPr>
        <w:t>(vergleiche Dokument C/</w:t>
      </w:r>
      <w:r w:rsidR="00C10AEC">
        <w:rPr>
          <w:rFonts w:eastAsia="MS Mincho" w:cs="Arial"/>
          <w:color w:val="000000" w:themeColor="text1"/>
          <w:lang w:eastAsia="ja-JP"/>
        </w:rPr>
        <w:t>50</w:t>
      </w:r>
      <w:r w:rsidRPr="00CB171C">
        <w:rPr>
          <w:rFonts w:eastAsia="MS Mincho" w:cs="Arial"/>
          <w:color w:val="000000" w:themeColor="text1"/>
          <w:lang w:eastAsia="ja-JP"/>
        </w:rPr>
        <w:t>/7</w:t>
      </w:r>
      <w:r>
        <w:rPr>
          <w:rFonts w:eastAsia="MS Mincho" w:cs="Arial"/>
          <w:color w:val="000000" w:themeColor="text1"/>
          <w:lang w:eastAsia="ja-JP"/>
        </w:rPr>
        <w:t xml:space="preserve"> „</w:t>
      </w:r>
      <w:r w:rsidRPr="00CB171C">
        <w:t>Sortenschutzstatistik für den Zeitabschnitt 201</w:t>
      </w:r>
      <w:r w:rsidR="001A26F4">
        <w:t>1</w:t>
      </w:r>
      <w:r w:rsidRPr="00CB171C">
        <w:t>-201</w:t>
      </w:r>
      <w:r w:rsidR="001A26F4">
        <w:t>5</w:t>
      </w:r>
      <w:r w:rsidRPr="00CB171C">
        <w:t>“</w:t>
      </w:r>
      <w:r w:rsidRPr="00CB171C">
        <w:rPr>
          <w:color w:val="000000" w:themeColor="text1"/>
        </w:rPr>
        <w:t>)</w:t>
      </w:r>
    </w:p>
    <w:p w:rsidR="00B073FE" w:rsidRPr="00CB171C" w:rsidRDefault="00B073FE" w:rsidP="00B073FE">
      <w:pPr>
        <w:rPr>
          <w:rFonts w:cs="Arial"/>
        </w:rPr>
      </w:pPr>
    </w:p>
    <w:p w:rsidR="00B073FE" w:rsidRPr="001A26F4" w:rsidRDefault="00B073FE" w:rsidP="00B073FE">
      <w:pPr>
        <w:autoSpaceDE w:val="0"/>
        <w:autoSpaceDN w:val="0"/>
        <w:adjustRightInd w:val="0"/>
        <w:rPr>
          <w:rFonts w:eastAsia="MS Mincho" w:cs="Arial"/>
          <w:lang w:eastAsia="ja-JP"/>
        </w:rPr>
      </w:pPr>
      <w:r w:rsidRPr="001A26F4">
        <w:rPr>
          <w:rFonts w:eastAsia="MS Mincho" w:cs="Arial"/>
          <w:lang w:eastAsia="ja-JP"/>
        </w:rPr>
        <w:fldChar w:fldCharType="begin"/>
      </w:r>
      <w:r w:rsidRPr="001A26F4">
        <w:rPr>
          <w:rFonts w:eastAsia="MS Mincho" w:cs="Arial"/>
          <w:lang w:eastAsia="ja-JP"/>
        </w:rPr>
        <w:instrText xml:space="preserve"> AUTONUM  </w:instrText>
      </w:r>
      <w:r w:rsidRPr="001A26F4">
        <w:rPr>
          <w:rFonts w:eastAsia="MS Mincho" w:cs="Arial"/>
          <w:lang w:eastAsia="ja-JP"/>
        </w:rPr>
        <w:fldChar w:fldCharType="end"/>
      </w:r>
      <w:r w:rsidRPr="001A26F4">
        <w:rPr>
          <w:rFonts w:eastAsia="MS Mincho" w:cs="Arial"/>
          <w:lang w:eastAsia="ja-JP"/>
        </w:rPr>
        <w:tab/>
        <w:t>Im Jahre 201</w:t>
      </w:r>
      <w:r w:rsidR="001A26F4" w:rsidRPr="001A26F4">
        <w:rPr>
          <w:rFonts w:eastAsia="MS Mincho" w:cs="Arial"/>
          <w:lang w:eastAsia="ja-JP"/>
        </w:rPr>
        <w:t xml:space="preserve">5, </w:t>
      </w:r>
      <w:r w:rsidR="00A701EB">
        <w:rPr>
          <w:rFonts w:eastAsia="MS Mincho" w:cs="Arial"/>
          <w:lang w:eastAsia="ja-JP"/>
        </w:rPr>
        <w:t xml:space="preserve">sank </w:t>
      </w:r>
      <w:r w:rsidR="001A26F4" w:rsidRPr="001A26F4">
        <w:rPr>
          <w:rFonts w:eastAsia="MS Mincho" w:cs="Arial"/>
          <w:lang w:eastAsia="ja-JP"/>
        </w:rPr>
        <w:t>d</w:t>
      </w:r>
      <w:r w:rsidRPr="001A26F4">
        <w:rPr>
          <w:rFonts w:eastAsia="MS Mincho" w:cs="Arial"/>
          <w:lang w:eastAsia="ja-JP"/>
        </w:rPr>
        <w:t xml:space="preserve">ie Anzahl der Anträge auf Erteilung des Sortenschutzes </w:t>
      </w:r>
      <w:r w:rsidR="001A26F4" w:rsidRPr="001A26F4">
        <w:rPr>
          <w:rFonts w:eastAsia="MS Mincho" w:cs="Arial"/>
          <w:lang w:eastAsia="ja-JP"/>
        </w:rPr>
        <w:t>um 3</w:t>
      </w:r>
      <w:r w:rsidRPr="001A26F4">
        <w:rPr>
          <w:rFonts w:eastAsia="MS Mincho" w:cs="Arial"/>
          <w:lang w:eastAsia="ja-JP"/>
        </w:rPr>
        <w:t>,</w:t>
      </w:r>
      <w:r w:rsidR="001A26F4" w:rsidRPr="001A26F4">
        <w:rPr>
          <w:rFonts w:eastAsia="MS Mincho" w:cs="Arial"/>
          <w:lang w:eastAsia="ja-JP"/>
        </w:rPr>
        <w:t>2</w:t>
      </w:r>
      <w:r w:rsidRPr="001A26F4">
        <w:rPr>
          <w:rFonts w:eastAsia="MS Mincho" w:cs="Arial"/>
          <w:lang w:eastAsia="ja-JP"/>
        </w:rPr>
        <w:t> % an (15 </w:t>
      </w:r>
      <w:r w:rsidR="001A26F4" w:rsidRPr="001A26F4">
        <w:rPr>
          <w:rFonts w:eastAsia="MS Mincho" w:cs="Arial"/>
          <w:lang w:eastAsia="ja-JP"/>
        </w:rPr>
        <w:t>017</w:t>
      </w:r>
      <w:r w:rsidRPr="001A26F4">
        <w:rPr>
          <w:rFonts w:eastAsia="MS Mincho" w:cs="Arial"/>
          <w:lang w:eastAsia="ja-JP"/>
        </w:rPr>
        <w:t xml:space="preserve"> im Jahre 201</w:t>
      </w:r>
      <w:r w:rsidR="001A26F4" w:rsidRPr="001A26F4">
        <w:rPr>
          <w:rFonts w:eastAsia="MS Mincho" w:cs="Arial"/>
          <w:lang w:eastAsia="ja-JP"/>
        </w:rPr>
        <w:t>5</w:t>
      </w:r>
      <w:r w:rsidRPr="001A26F4">
        <w:rPr>
          <w:rFonts w:eastAsia="MS Mincho" w:cs="Arial"/>
          <w:lang w:eastAsia="ja-JP"/>
        </w:rPr>
        <w:t>; 1</w:t>
      </w:r>
      <w:r w:rsidR="001A26F4" w:rsidRPr="001A26F4">
        <w:rPr>
          <w:rFonts w:eastAsia="MS Mincho" w:cs="Arial"/>
          <w:lang w:eastAsia="ja-JP"/>
        </w:rPr>
        <w:t xml:space="preserve">5 511 </w:t>
      </w:r>
      <w:r w:rsidRPr="001A26F4">
        <w:rPr>
          <w:rFonts w:eastAsia="MS Mincho" w:cs="Arial"/>
          <w:lang w:eastAsia="ja-JP"/>
        </w:rPr>
        <w:t>im Jahre 201</w:t>
      </w:r>
      <w:r w:rsidR="001A26F4" w:rsidRPr="001A26F4">
        <w:rPr>
          <w:rFonts w:eastAsia="MS Mincho" w:cs="Arial"/>
          <w:lang w:eastAsia="ja-JP"/>
        </w:rPr>
        <w:t>4</w:t>
      </w:r>
      <w:r w:rsidRPr="001A26F4">
        <w:rPr>
          <w:rFonts w:eastAsia="MS Mincho" w:cs="Arial"/>
          <w:lang w:eastAsia="ja-JP"/>
        </w:rPr>
        <w:t>), wobei die Anzahl der Anträge von Inländern um 2,</w:t>
      </w:r>
      <w:r w:rsidR="001A26F4" w:rsidRPr="001A26F4">
        <w:rPr>
          <w:rFonts w:eastAsia="MS Mincho" w:cs="Arial"/>
          <w:lang w:eastAsia="ja-JP"/>
        </w:rPr>
        <w:t>9</w:t>
      </w:r>
      <w:r w:rsidRPr="001A26F4">
        <w:rPr>
          <w:rFonts w:eastAsia="MS Mincho" w:cs="Arial"/>
          <w:lang w:eastAsia="ja-JP"/>
        </w:rPr>
        <w:t> % zunahm (</w:t>
      </w:r>
      <w:r w:rsidR="00FB1E26">
        <w:rPr>
          <w:rFonts w:eastAsia="MS Mincho" w:cs="Arial"/>
          <w:lang w:eastAsia="ja-JP"/>
        </w:rPr>
        <w:t>10 </w:t>
      </w:r>
      <w:r w:rsidR="001A26F4" w:rsidRPr="001A26F4">
        <w:rPr>
          <w:rFonts w:eastAsia="MS Mincho" w:cs="Arial"/>
          <w:lang w:eastAsia="ja-JP"/>
        </w:rPr>
        <w:t>061</w:t>
      </w:r>
      <w:r w:rsidR="00FB1E26">
        <w:rPr>
          <w:rFonts w:eastAsia="MS Mincho" w:cs="Arial"/>
          <w:lang w:eastAsia="ja-JP"/>
        </w:rPr>
        <w:t> </w:t>
      </w:r>
      <w:r w:rsidRPr="001A26F4">
        <w:rPr>
          <w:rFonts w:eastAsia="MS Mincho" w:cs="Arial"/>
          <w:lang w:eastAsia="ja-JP"/>
        </w:rPr>
        <w:t>im Jahre 201</w:t>
      </w:r>
      <w:r w:rsidR="001A26F4" w:rsidRPr="001A26F4">
        <w:rPr>
          <w:rFonts w:eastAsia="MS Mincho" w:cs="Arial"/>
          <w:lang w:eastAsia="ja-JP"/>
        </w:rPr>
        <w:t>5</w:t>
      </w:r>
      <w:r w:rsidRPr="001A26F4">
        <w:rPr>
          <w:rFonts w:eastAsia="MS Mincho" w:cs="Arial"/>
          <w:lang w:eastAsia="ja-JP"/>
        </w:rPr>
        <w:t>; 9 </w:t>
      </w:r>
      <w:r w:rsidR="001A26F4" w:rsidRPr="001A26F4">
        <w:rPr>
          <w:rFonts w:eastAsia="MS Mincho" w:cs="Arial"/>
          <w:lang w:eastAsia="ja-JP"/>
        </w:rPr>
        <w:t>778</w:t>
      </w:r>
      <w:r w:rsidRPr="001A26F4">
        <w:rPr>
          <w:rFonts w:eastAsia="MS Mincho" w:cs="Arial"/>
          <w:lang w:eastAsia="ja-JP"/>
        </w:rPr>
        <w:t xml:space="preserve"> im Jahre 201</w:t>
      </w:r>
      <w:r w:rsidR="001A26F4" w:rsidRPr="001A26F4">
        <w:rPr>
          <w:rFonts w:eastAsia="MS Mincho" w:cs="Arial"/>
          <w:lang w:eastAsia="ja-JP"/>
        </w:rPr>
        <w:t>4</w:t>
      </w:r>
      <w:r w:rsidRPr="001A26F4">
        <w:rPr>
          <w:rFonts w:eastAsia="MS Mincho" w:cs="Arial"/>
          <w:lang w:eastAsia="ja-JP"/>
        </w:rPr>
        <w:t xml:space="preserve">) und die Anzahl der Anträge von Ausländern um </w:t>
      </w:r>
      <w:r w:rsidR="001A26F4" w:rsidRPr="001A26F4">
        <w:rPr>
          <w:rFonts w:eastAsia="MS Mincho" w:cs="Arial"/>
          <w:lang w:eastAsia="ja-JP"/>
        </w:rPr>
        <w:t>13</w:t>
      </w:r>
      <w:r w:rsidRPr="001A26F4">
        <w:rPr>
          <w:rFonts w:eastAsia="MS Mincho" w:cs="Arial"/>
          <w:lang w:eastAsia="ja-JP"/>
        </w:rPr>
        <w:t>,</w:t>
      </w:r>
      <w:r w:rsidR="001A26F4" w:rsidRPr="001A26F4">
        <w:rPr>
          <w:rFonts w:eastAsia="MS Mincho" w:cs="Arial"/>
          <w:lang w:eastAsia="ja-JP"/>
        </w:rPr>
        <w:t>6</w:t>
      </w:r>
      <w:r w:rsidRPr="001A26F4">
        <w:rPr>
          <w:rFonts w:eastAsia="MS Mincho" w:cs="Arial"/>
          <w:lang w:eastAsia="ja-JP"/>
        </w:rPr>
        <w:t xml:space="preserve"> % </w:t>
      </w:r>
      <w:r w:rsidR="00FB1E26">
        <w:rPr>
          <w:rFonts w:eastAsia="MS Mincho" w:cs="Arial"/>
          <w:lang w:eastAsia="ja-JP"/>
        </w:rPr>
        <w:t>abnahm</w:t>
      </w:r>
      <w:r w:rsidRPr="001A26F4">
        <w:rPr>
          <w:rFonts w:eastAsia="MS Mincho" w:cs="Arial"/>
          <w:lang w:eastAsia="ja-JP"/>
        </w:rPr>
        <w:t xml:space="preserve"> (</w:t>
      </w:r>
      <w:r w:rsidR="001A26F4">
        <w:rPr>
          <w:rFonts w:eastAsia="MS Mincho" w:cs="Arial"/>
          <w:lang w:eastAsia="ja-JP"/>
        </w:rPr>
        <w:t>4 956</w:t>
      </w:r>
      <w:r w:rsidRPr="001A26F4">
        <w:rPr>
          <w:rFonts w:eastAsia="MS Mincho" w:cs="Arial"/>
          <w:lang w:eastAsia="ja-JP"/>
        </w:rPr>
        <w:t xml:space="preserve"> im Jahre 201</w:t>
      </w:r>
      <w:r w:rsidR="001A26F4">
        <w:rPr>
          <w:rFonts w:eastAsia="MS Mincho" w:cs="Arial"/>
          <w:lang w:eastAsia="ja-JP"/>
        </w:rPr>
        <w:t>5</w:t>
      </w:r>
      <w:r w:rsidRPr="001A26F4">
        <w:rPr>
          <w:rFonts w:eastAsia="MS Mincho" w:cs="Arial"/>
          <w:lang w:eastAsia="ja-JP"/>
        </w:rPr>
        <w:t>; 5 </w:t>
      </w:r>
      <w:r w:rsidR="001A26F4">
        <w:rPr>
          <w:rFonts w:eastAsia="MS Mincho" w:cs="Arial"/>
          <w:lang w:eastAsia="ja-JP"/>
        </w:rPr>
        <w:t>733</w:t>
      </w:r>
      <w:r w:rsidRPr="001A26F4">
        <w:rPr>
          <w:rFonts w:eastAsia="MS Mincho" w:cs="Arial"/>
          <w:lang w:eastAsia="ja-JP"/>
        </w:rPr>
        <w:t xml:space="preserve"> im Jahre 201</w:t>
      </w:r>
      <w:r w:rsidR="001A26F4">
        <w:rPr>
          <w:rFonts w:eastAsia="MS Mincho" w:cs="Arial"/>
          <w:lang w:eastAsia="ja-JP"/>
        </w:rPr>
        <w:t>4</w:t>
      </w:r>
      <w:r w:rsidRPr="001A26F4">
        <w:rPr>
          <w:rFonts w:eastAsia="MS Mincho" w:cs="Arial"/>
          <w:lang w:eastAsia="ja-JP"/>
        </w:rPr>
        <w:t>). Die Anzahl der erteilten Schutztitel nahm von 1</w:t>
      </w:r>
      <w:r w:rsidR="001A26F4">
        <w:rPr>
          <w:rFonts w:eastAsia="MS Mincho" w:cs="Arial"/>
          <w:lang w:eastAsia="ja-JP"/>
        </w:rPr>
        <w:t>1 566</w:t>
      </w:r>
      <w:r w:rsidRPr="001A26F4">
        <w:rPr>
          <w:rFonts w:eastAsia="MS Mincho" w:cs="Arial"/>
          <w:lang w:eastAsia="ja-JP"/>
        </w:rPr>
        <w:t xml:space="preserve"> im Jahre 201</w:t>
      </w:r>
      <w:r w:rsidR="001A26F4">
        <w:rPr>
          <w:rFonts w:eastAsia="MS Mincho" w:cs="Arial"/>
          <w:lang w:eastAsia="ja-JP"/>
        </w:rPr>
        <w:t>4</w:t>
      </w:r>
      <w:r w:rsidRPr="001A26F4">
        <w:rPr>
          <w:rFonts w:eastAsia="MS Mincho" w:cs="Arial"/>
          <w:lang w:eastAsia="ja-JP"/>
        </w:rPr>
        <w:t xml:space="preserve"> auf 1</w:t>
      </w:r>
      <w:r w:rsidR="001A26F4">
        <w:rPr>
          <w:rFonts w:eastAsia="MS Mincho" w:cs="Arial"/>
          <w:lang w:eastAsia="ja-JP"/>
        </w:rPr>
        <w:t>2 409</w:t>
      </w:r>
      <w:r w:rsidRPr="001A26F4">
        <w:rPr>
          <w:rFonts w:eastAsia="MS Mincho" w:cs="Arial"/>
          <w:lang w:eastAsia="ja-JP"/>
        </w:rPr>
        <w:t xml:space="preserve"> im Jahre 201</w:t>
      </w:r>
      <w:r w:rsidR="001A26F4">
        <w:rPr>
          <w:rFonts w:eastAsia="MS Mincho" w:cs="Arial"/>
          <w:lang w:eastAsia="ja-JP"/>
        </w:rPr>
        <w:t>5 zu (ein Anstieg von 7</w:t>
      </w:r>
      <w:r w:rsidRPr="001A26F4">
        <w:rPr>
          <w:rFonts w:eastAsia="MS Mincho" w:cs="Arial"/>
          <w:lang w:eastAsia="ja-JP"/>
        </w:rPr>
        <w:t>,</w:t>
      </w:r>
      <w:r w:rsidR="001A26F4">
        <w:rPr>
          <w:rFonts w:eastAsia="MS Mincho" w:cs="Arial"/>
          <w:lang w:eastAsia="ja-JP"/>
        </w:rPr>
        <w:t>3</w:t>
      </w:r>
      <w:r w:rsidRPr="001A26F4">
        <w:rPr>
          <w:rFonts w:eastAsia="MS Mincho" w:cs="Arial"/>
          <w:lang w:eastAsia="ja-JP"/>
        </w:rPr>
        <w:t> %).</w:t>
      </w:r>
    </w:p>
    <w:p w:rsidR="00B073FE" w:rsidRPr="001A26F4" w:rsidRDefault="00B073FE" w:rsidP="00B073FE">
      <w:pPr>
        <w:autoSpaceDE w:val="0"/>
        <w:autoSpaceDN w:val="0"/>
        <w:adjustRightInd w:val="0"/>
        <w:rPr>
          <w:rFonts w:eastAsia="MS Mincho" w:cs="Arial"/>
          <w:lang w:eastAsia="ja-JP"/>
        </w:rPr>
      </w:pPr>
    </w:p>
    <w:bookmarkStart w:id="51" w:name="OLE_LINK2"/>
    <w:p w:rsidR="00B073FE" w:rsidRDefault="00B073FE" w:rsidP="00B073FE">
      <w:pPr>
        <w:autoSpaceDE w:val="0"/>
        <w:autoSpaceDN w:val="0"/>
        <w:adjustRightInd w:val="0"/>
        <w:rPr>
          <w:rStyle w:val="f21"/>
          <w:rFonts w:ascii="Arial" w:hAnsi="Arial" w:cs="Arial"/>
          <w:sz w:val="20"/>
          <w:szCs w:val="20"/>
        </w:rPr>
      </w:pPr>
      <w:r w:rsidRPr="001A26F4">
        <w:rPr>
          <w:rFonts w:eastAsia="MS Mincho" w:cs="Arial"/>
          <w:lang w:eastAsia="ja-JP"/>
        </w:rPr>
        <w:fldChar w:fldCharType="begin"/>
      </w:r>
      <w:r w:rsidRPr="001A26F4">
        <w:rPr>
          <w:rFonts w:eastAsia="MS Mincho" w:cs="Arial"/>
          <w:lang w:eastAsia="ja-JP"/>
        </w:rPr>
        <w:instrText xml:space="preserve"> AUTONUM  </w:instrText>
      </w:r>
      <w:r w:rsidRPr="001A26F4">
        <w:rPr>
          <w:rFonts w:eastAsia="MS Mincho" w:cs="Arial"/>
          <w:lang w:eastAsia="ja-JP"/>
        </w:rPr>
        <w:fldChar w:fldCharType="end"/>
      </w:r>
      <w:r w:rsidRPr="001A26F4">
        <w:rPr>
          <w:rFonts w:eastAsia="MS Mincho" w:cs="Arial"/>
          <w:lang w:eastAsia="ja-JP"/>
        </w:rPr>
        <w:tab/>
      </w:r>
      <w:r w:rsidRPr="001A26F4">
        <w:rPr>
          <w:rStyle w:val="f21"/>
          <w:rFonts w:ascii="Arial" w:hAnsi="Arial" w:cs="Arial"/>
          <w:sz w:val="20"/>
          <w:szCs w:val="20"/>
        </w:rPr>
        <w:t>Die Gesamtheit der 10</w:t>
      </w:r>
      <w:r w:rsidR="00E05B79">
        <w:rPr>
          <w:rStyle w:val="f21"/>
          <w:rFonts w:ascii="Arial" w:hAnsi="Arial" w:cs="Arial"/>
          <w:sz w:val="20"/>
          <w:szCs w:val="20"/>
        </w:rPr>
        <w:t>7 232</w:t>
      </w:r>
      <w:r w:rsidRPr="001A26F4">
        <w:rPr>
          <w:rStyle w:val="f21"/>
          <w:rFonts w:ascii="Arial" w:hAnsi="Arial" w:cs="Arial"/>
          <w:sz w:val="20"/>
          <w:szCs w:val="20"/>
        </w:rPr>
        <w:t xml:space="preserve"> gültigen Schutztitel entsprach im Jahre 201</w:t>
      </w:r>
      <w:r w:rsidR="00E05B79">
        <w:rPr>
          <w:rStyle w:val="f21"/>
          <w:rFonts w:ascii="Arial" w:hAnsi="Arial" w:cs="Arial"/>
          <w:sz w:val="20"/>
          <w:szCs w:val="20"/>
        </w:rPr>
        <w:t>5</w:t>
      </w:r>
      <w:r w:rsidRPr="001A26F4">
        <w:rPr>
          <w:rStyle w:val="f21"/>
          <w:rFonts w:ascii="Arial" w:hAnsi="Arial" w:cs="Arial"/>
          <w:sz w:val="20"/>
          <w:szCs w:val="20"/>
        </w:rPr>
        <w:t xml:space="preserve"> einem Anstieg von </w:t>
      </w:r>
      <w:r w:rsidR="00E05B79">
        <w:rPr>
          <w:rStyle w:val="f21"/>
          <w:rFonts w:ascii="Arial" w:hAnsi="Arial" w:cs="Arial"/>
          <w:sz w:val="20"/>
          <w:szCs w:val="20"/>
        </w:rPr>
        <w:t>0</w:t>
      </w:r>
      <w:r w:rsidRPr="001A26F4">
        <w:rPr>
          <w:rStyle w:val="f21"/>
          <w:rFonts w:ascii="Arial" w:hAnsi="Arial" w:cs="Arial"/>
          <w:sz w:val="20"/>
          <w:szCs w:val="20"/>
        </w:rPr>
        <w:t>,</w:t>
      </w:r>
      <w:r w:rsidR="00E05B79">
        <w:rPr>
          <w:rStyle w:val="f21"/>
          <w:rFonts w:ascii="Arial" w:hAnsi="Arial" w:cs="Arial"/>
          <w:sz w:val="20"/>
          <w:szCs w:val="20"/>
        </w:rPr>
        <w:t>6</w:t>
      </w:r>
      <w:r w:rsidRPr="001A26F4">
        <w:rPr>
          <w:rStyle w:val="f21"/>
          <w:rFonts w:ascii="Arial" w:hAnsi="Arial" w:cs="Arial"/>
          <w:sz w:val="20"/>
          <w:szCs w:val="20"/>
        </w:rPr>
        <w:t> % gegenüber den Zahlen für das Jahr 201</w:t>
      </w:r>
      <w:r w:rsidR="00E05B79">
        <w:rPr>
          <w:rStyle w:val="f21"/>
          <w:rFonts w:ascii="Arial" w:hAnsi="Arial" w:cs="Arial"/>
          <w:sz w:val="20"/>
          <w:szCs w:val="20"/>
        </w:rPr>
        <w:t>4</w:t>
      </w:r>
      <w:r w:rsidRPr="001A26F4">
        <w:rPr>
          <w:rStyle w:val="f21"/>
          <w:rFonts w:ascii="Arial" w:hAnsi="Arial" w:cs="Arial"/>
          <w:sz w:val="20"/>
          <w:szCs w:val="20"/>
        </w:rPr>
        <w:t xml:space="preserve"> (10</w:t>
      </w:r>
      <w:r w:rsidR="00E05B79">
        <w:rPr>
          <w:rStyle w:val="f21"/>
          <w:rFonts w:ascii="Arial" w:hAnsi="Arial" w:cs="Arial"/>
          <w:sz w:val="20"/>
          <w:szCs w:val="20"/>
        </w:rPr>
        <w:t>6 575</w:t>
      </w:r>
      <w:r w:rsidRPr="001A26F4">
        <w:rPr>
          <w:rStyle w:val="f21"/>
          <w:rFonts w:ascii="Arial" w:hAnsi="Arial" w:cs="Arial"/>
          <w:sz w:val="20"/>
          <w:szCs w:val="20"/>
        </w:rPr>
        <w:t>).</w:t>
      </w:r>
      <w:bookmarkEnd w:id="51"/>
    </w:p>
    <w:p w:rsidR="00E05B79" w:rsidRDefault="00E05B79" w:rsidP="00B073FE">
      <w:pPr>
        <w:autoSpaceDE w:val="0"/>
        <w:autoSpaceDN w:val="0"/>
        <w:adjustRightInd w:val="0"/>
        <w:rPr>
          <w:rStyle w:val="f21"/>
          <w:rFonts w:ascii="Arial" w:hAnsi="Arial" w:cs="Arial"/>
          <w:sz w:val="20"/>
          <w:szCs w:val="20"/>
        </w:rPr>
      </w:pPr>
    </w:p>
    <w:p w:rsidR="00E05B79" w:rsidRPr="001D20EA" w:rsidRDefault="00E05B79" w:rsidP="00E05B79">
      <w:pPr>
        <w:autoSpaceDE w:val="0"/>
        <w:autoSpaceDN w:val="0"/>
        <w:adjustRightInd w:val="0"/>
        <w:rPr>
          <w:b/>
        </w:rPr>
      </w:pPr>
      <w:r w:rsidRPr="001D20EA">
        <w:fldChar w:fldCharType="begin"/>
      </w:r>
      <w:r w:rsidRPr="001D20EA">
        <w:rPr>
          <w:lang w:val="de-CH"/>
        </w:rPr>
        <w:instrText xml:space="preserve"> AUTONUM  </w:instrText>
      </w:r>
      <w:r w:rsidRPr="001D20EA">
        <w:fldChar w:fldCharType="end"/>
      </w:r>
      <w:r w:rsidRPr="001D20EA">
        <w:rPr>
          <w:lang w:val="de-CH"/>
        </w:rPr>
        <w:tab/>
      </w:r>
      <w:r w:rsidR="00FB1E26" w:rsidRPr="001D20EA">
        <w:rPr>
          <w:lang w:eastAsia="de-DE" w:bidi="de-DE"/>
        </w:rPr>
        <w:t>Der Beratende Ausschuß nahm zur Kenntnis, daß in Fällen, in denen deutliche Unterschiede zwischen den Daten in der PLUTO-Datenbank und den Daten in Dokument C/50/7 bestehen, das Verbandsbüro Rücksprache mit den entsprechenden Verbandsmitgliedern halten werde.</w:t>
      </w:r>
    </w:p>
    <w:p w:rsidR="00E05B79" w:rsidRPr="001D20EA" w:rsidRDefault="00E05B79" w:rsidP="00E05B79">
      <w:pPr>
        <w:ind w:left="567" w:hanging="567"/>
        <w:jc w:val="left"/>
        <w:rPr>
          <w:rFonts w:cs="Arial"/>
          <w:lang w:val="de-CH"/>
        </w:rPr>
      </w:pPr>
    </w:p>
    <w:p w:rsidR="00FB1E26" w:rsidRPr="003D204B" w:rsidRDefault="00E05B79" w:rsidP="00FB1E26">
      <w:pPr>
        <w:rPr>
          <w:lang w:eastAsia="de-DE" w:bidi="de-DE"/>
        </w:rPr>
      </w:pPr>
      <w:r w:rsidRPr="001D20EA">
        <w:fldChar w:fldCharType="begin"/>
      </w:r>
      <w:r w:rsidRPr="001D20EA">
        <w:rPr>
          <w:lang w:val="de-CH"/>
        </w:rPr>
        <w:instrText xml:space="preserve"> AUTONUM  </w:instrText>
      </w:r>
      <w:r w:rsidRPr="001D20EA">
        <w:fldChar w:fldCharType="end"/>
      </w:r>
      <w:r w:rsidRPr="001D20EA">
        <w:rPr>
          <w:lang w:val="de-CH"/>
        </w:rPr>
        <w:tab/>
      </w:r>
      <w:r w:rsidR="00FB1E26" w:rsidRPr="001D20EA">
        <w:rPr>
          <w:lang w:eastAsia="de-DE" w:bidi="de-DE"/>
        </w:rPr>
        <w:t>Der Beratende Ausschuß nahm zur Kenntnis, daß das Verbandsbüro den Grund für die Unterschiede zwischen den Jahren hinsichtlich der Vollständigkeit der Daten in der PLUTO-Datenbank bezüglich der Verbandsmitglieder, die Daten beitragen, untersuchen werde.</w:t>
      </w:r>
    </w:p>
    <w:p w:rsidR="00E05B79" w:rsidRPr="00401035" w:rsidRDefault="00E05B79" w:rsidP="00E05B79">
      <w:pPr>
        <w:rPr>
          <w:highlight w:val="magenta"/>
        </w:rPr>
      </w:pPr>
    </w:p>
    <w:p w:rsidR="00FB1E26" w:rsidRPr="003D204B" w:rsidRDefault="00E05B79" w:rsidP="00FB1E26">
      <w:pPr>
        <w:rPr>
          <w:lang w:eastAsia="de-DE" w:bidi="de-DE"/>
        </w:rPr>
      </w:pPr>
      <w:r w:rsidRPr="00CD2195">
        <w:lastRenderedPageBreak/>
        <w:fldChar w:fldCharType="begin"/>
      </w:r>
      <w:r w:rsidRPr="00FB1E26">
        <w:rPr>
          <w:lang w:val="de-CH"/>
        </w:rPr>
        <w:instrText xml:space="preserve"> AUTONUM  </w:instrText>
      </w:r>
      <w:r w:rsidRPr="00CD2195">
        <w:fldChar w:fldCharType="end"/>
      </w:r>
      <w:r w:rsidRPr="00FB1E26">
        <w:rPr>
          <w:lang w:val="de-CH"/>
        </w:rPr>
        <w:tab/>
      </w:r>
      <w:r w:rsidR="00FB1E26" w:rsidRPr="003D204B">
        <w:rPr>
          <w:lang w:eastAsia="de-DE" w:bidi="de-DE"/>
        </w:rPr>
        <w:t>Der Beratende Ausschuß nahm zur Kenntnis, daß die in Dokument CC/92/12 dargelegte statistische Analyse in künftigen Versionen von Dokument C/[Tagung]/7 „Statistische Angaben über den Sortenschutz für den Zeitabschnitt [xxxx]-[xxxx]” bereitgestellt werde.</w:t>
      </w:r>
    </w:p>
    <w:p w:rsidR="00E05B79" w:rsidRPr="00401035" w:rsidRDefault="00E05B79" w:rsidP="00B073FE">
      <w:pPr>
        <w:autoSpaceDE w:val="0"/>
        <w:autoSpaceDN w:val="0"/>
        <w:adjustRightInd w:val="0"/>
        <w:rPr>
          <w:rStyle w:val="f21"/>
          <w:rFonts w:ascii="Arial" w:hAnsi="Arial" w:cs="Arial"/>
          <w:sz w:val="20"/>
          <w:szCs w:val="20"/>
        </w:rPr>
      </w:pPr>
    </w:p>
    <w:p w:rsidR="00B073FE" w:rsidRPr="00401035" w:rsidRDefault="00B073FE" w:rsidP="00B073FE">
      <w:pPr>
        <w:autoSpaceDE w:val="0"/>
        <w:autoSpaceDN w:val="0"/>
        <w:adjustRightInd w:val="0"/>
        <w:rPr>
          <w:rFonts w:eastAsia="MS Mincho" w:cs="Arial"/>
          <w:lang w:eastAsia="ja-JP"/>
        </w:rPr>
      </w:pPr>
    </w:p>
    <w:p w:rsidR="00B073FE" w:rsidRPr="00CB171C" w:rsidRDefault="00B073FE" w:rsidP="00B073FE">
      <w:pPr>
        <w:pStyle w:val="Heading2"/>
        <w:rPr>
          <w:lang w:val="de-DE"/>
        </w:rPr>
      </w:pPr>
      <w:bookmarkStart w:id="52" w:name="_Toc413311672"/>
      <w:bookmarkStart w:id="53" w:name="_Toc413335711"/>
      <w:bookmarkStart w:id="54" w:name="_Toc444242868"/>
      <w:bookmarkStart w:id="55" w:name="_Toc381174860"/>
      <w:bookmarkStart w:id="56" w:name="_Toc413078846"/>
      <w:bookmarkStart w:id="57" w:name="_Toc478720858"/>
      <w:r w:rsidRPr="00CB171C">
        <w:rPr>
          <w:lang w:val="de-DE"/>
        </w:rPr>
        <w:t>Zusammenarbeit bei der Prüfung neuer Pflanzensorten</w:t>
      </w:r>
      <w:bookmarkEnd w:id="52"/>
      <w:bookmarkEnd w:id="53"/>
      <w:bookmarkEnd w:id="54"/>
      <w:bookmarkEnd w:id="57"/>
    </w:p>
    <w:p w:rsidR="00B073FE" w:rsidRPr="00CB171C" w:rsidRDefault="00B073FE" w:rsidP="00B073FE">
      <w:pPr>
        <w:keepNext/>
        <w:tabs>
          <w:tab w:val="num" w:pos="1440"/>
        </w:tabs>
        <w:autoSpaceDE w:val="0"/>
        <w:autoSpaceDN w:val="0"/>
        <w:adjustRightInd w:val="0"/>
        <w:rPr>
          <w:rFonts w:cs="Arial"/>
        </w:rPr>
      </w:pPr>
    </w:p>
    <w:p w:rsidR="00B073FE" w:rsidRPr="00CB171C" w:rsidRDefault="00B073FE" w:rsidP="00B073FE">
      <w:pPr>
        <w:tabs>
          <w:tab w:val="num" w:pos="567"/>
        </w:tabs>
        <w:autoSpaceDE w:val="0"/>
        <w:autoSpaceDN w:val="0"/>
        <w:adjustRightInd w:val="0"/>
        <w:rPr>
          <w:rFonts w:cs="Arial"/>
        </w:rPr>
      </w:pPr>
      <w:r w:rsidRPr="00CB171C">
        <w:rPr>
          <w:rFonts w:eastAsia="MS Mincho" w:cs="Arial"/>
          <w:lang w:eastAsia="ja-JP"/>
        </w:rPr>
        <w:fldChar w:fldCharType="begin"/>
      </w:r>
      <w:r w:rsidRPr="00CB171C">
        <w:rPr>
          <w:rFonts w:eastAsia="MS Mincho" w:cs="Arial"/>
          <w:lang w:eastAsia="ja-JP"/>
        </w:rPr>
        <w:instrText xml:space="preserve"> AUTONUM  </w:instrText>
      </w:r>
      <w:r w:rsidRPr="00CB171C">
        <w:rPr>
          <w:rFonts w:eastAsia="MS Mincho" w:cs="Arial"/>
          <w:lang w:eastAsia="ja-JP"/>
        </w:rPr>
        <w:fldChar w:fldCharType="end"/>
      </w:r>
      <w:r w:rsidRPr="00CB171C">
        <w:rPr>
          <w:rFonts w:eastAsia="MS Mincho" w:cs="Arial"/>
          <w:lang w:eastAsia="ja-JP"/>
        </w:rPr>
        <w:tab/>
        <w:t xml:space="preserve">Im Jahre 2015 belief sich die Zahl der Pflanzengattungen und </w:t>
      </w:r>
      <w:r w:rsidRPr="00CB171C">
        <w:rPr>
          <w:rFonts w:eastAsia="MS Mincho" w:cs="Arial"/>
          <w:lang w:eastAsia="ja-JP"/>
        </w:rPr>
        <w:noBreakHyphen/>
        <w:t>arten, für die Abkommen zwischen Verbandsmitgliedern zur Zusammenarbeit bei der Prüfung auf Unterscheidbarkeit, Homogenität und Beständigk</w:t>
      </w:r>
      <w:r w:rsidR="00E05B79">
        <w:rPr>
          <w:rFonts w:eastAsia="MS Mincho" w:cs="Arial"/>
          <w:lang w:eastAsia="ja-JP"/>
        </w:rPr>
        <w:t>eit bestehen, auf insgesam</w:t>
      </w:r>
      <w:r w:rsidR="00E05B79" w:rsidRPr="00401035">
        <w:rPr>
          <w:rFonts w:eastAsia="MS Mincho" w:cs="Arial"/>
          <w:lang w:eastAsia="ja-JP"/>
        </w:rPr>
        <w:t>t 2 031</w:t>
      </w:r>
      <w:r w:rsidRPr="00401035">
        <w:rPr>
          <w:rFonts w:eastAsia="MS Mincho" w:cs="Arial"/>
          <w:lang w:eastAsia="ja-JP"/>
        </w:rPr>
        <w:t>, gegenüber 2 00</w:t>
      </w:r>
      <w:r w:rsidR="00E05B79" w:rsidRPr="00401035">
        <w:rPr>
          <w:rFonts w:eastAsia="MS Mincho" w:cs="Arial"/>
          <w:lang w:eastAsia="ja-JP"/>
        </w:rPr>
        <w:t>2</w:t>
      </w:r>
      <w:r w:rsidRPr="00401035">
        <w:rPr>
          <w:rFonts w:eastAsia="MS Mincho" w:cs="Arial"/>
          <w:lang w:eastAsia="ja-JP"/>
        </w:rPr>
        <w:t xml:space="preserve"> im Ja</w:t>
      </w:r>
      <w:bookmarkStart w:id="58" w:name="_GoBack"/>
      <w:bookmarkEnd w:id="58"/>
      <w:r w:rsidRPr="00CB171C">
        <w:rPr>
          <w:rFonts w:eastAsia="MS Mincho" w:cs="Arial"/>
          <w:lang w:eastAsia="ja-JP"/>
        </w:rPr>
        <w:t>hre 2014.</w:t>
      </w:r>
    </w:p>
    <w:p w:rsidR="00B073FE" w:rsidRPr="00CB171C" w:rsidRDefault="00B073FE" w:rsidP="00B073FE">
      <w:pPr>
        <w:pStyle w:val="Heading2"/>
        <w:rPr>
          <w:rFonts w:eastAsia="MS Mincho" w:cs="Arial"/>
          <w:highlight w:val="cyan"/>
          <w:lang w:val="de-DE" w:eastAsia="ja-JP"/>
        </w:rPr>
      </w:pPr>
      <w:bookmarkStart w:id="59" w:name="_Toc381174858"/>
      <w:bookmarkEnd w:id="36"/>
      <w:bookmarkEnd w:id="37"/>
      <w:bookmarkEnd w:id="55"/>
      <w:bookmarkEnd w:id="56"/>
    </w:p>
    <w:bookmarkEnd w:id="59"/>
    <w:p w:rsidR="00B073FE" w:rsidRDefault="00B073FE" w:rsidP="00B073FE">
      <w:pPr>
        <w:rPr>
          <w:rFonts w:cs="Arial"/>
        </w:rPr>
      </w:pPr>
    </w:p>
    <w:p w:rsidR="00E05B79" w:rsidRPr="00407C3A" w:rsidRDefault="00552C54" w:rsidP="00407C3A">
      <w:pPr>
        <w:pStyle w:val="Heading1"/>
      </w:pPr>
      <w:bookmarkStart w:id="60" w:name="_Toc478571461"/>
      <w:bookmarkStart w:id="61" w:name="_Toc478720859"/>
      <w:r w:rsidRPr="00407C3A">
        <w:t>Jahresbericht des Generalsekretärs für 2015; Ergebnisbewertungsbericht für die Rechnungsperiode 2014-2015</w:t>
      </w:r>
      <w:bookmarkEnd w:id="61"/>
      <w:r w:rsidRPr="00407C3A">
        <w:t xml:space="preserve"> </w:t>
      </w:r>
      <w:bookmarkEnd w:id="60"/>
    </w:p>
    <w:p w:rsidR="00E05B79" w:rsidRPr="00552C54" w:rsidRDefault="00E05B79" w:rsidP="00E05B79">
      <w:pPr>
        <w:rPr>
          <w:lang w:val="de-CH"/>
        </w:rPr>
      </w:pPr>
    </w:p>
    <w:p w:rsidR="00E05B79" w:rsidRPr="00552C54" w:rsidRDefault="00E05B79" w:rsidP="00E05B79">
      <w:pPr>
        <w:spacing w:after="240"/>
      </w:pPr>
      <w:r w:rsidRPr="009A6348">
        <w:rPr>
          <w:rFonts w:cs="Arial"/>
        </w:rPr>
        <w:fldChar w:fldCharType="begin"/>
      </w:r>
      <w:r w:rsidRPr="001D5CDA">
        <w:rPr>
          <w:rFonts w:cs="Arial"/>
        </w:rPr>
        <w:instrText xml:space="preserve"> AUTONUM  </w:instrText>
      </w:r>
      <w:r w:rsidRPr="009A6348">
        <w:rPr>
          <w:rFonts w:cs="Arial"/>
        </w:rPr>
        <w:fldChar w:fldCharType="end"/>
      </w:r>
      <w:r w:rsidRPr="001D5CDA">
        <w:rPr>
          <w:rFonts w:cs="Arial"/>
        </w:rPr>
        <w:tab/>
      </w:r>
      <w:r w:rsidR="001D5CDA" w:rsidRPr="005E789A">
        <w:rPr>
          <w:lang w:eastAsia="de-DE" w:bidi="de-DE"/>
        </w:rPr>
        <w:t xml:space="preserve">Der Rat nahm den Bericht des Generalsekretärs über die Tätigkeiten des Verbandes im Jahre 2015 und die Ergebnisse </w:t>
      </w:r>
      <w:r w:rsidR="001D5CDA" w:rsidRPr="00552C54">
        <w:rPr>
          <w:lang w:eastAsia="de-DE" w:bidi="de-DE"/>
        </w:rPr>
        <w:t xml:space="preserve">und Planerfüllungsindikatoren für 2015, wie </w:t>
      </w:r>
      <w:r w:rsidR="00552C54" w:rsidRPr="00552C54">
        <w:rPr>
          <w:lang w:eastAsia="de-DE" w:bidi="de-DE"/>
        </w:rPr>
        <w:t xml:space="preserve">in </w:t>
      </w:r>
      <w:r w:rsidR="001D5CDA" w:rsidRPr="00552C54">
        <w:rPr>
          <w:lang w:eastAsia="de-DE" w:bidi="de-DE"/>
        </w:rPr>
        <w:t xml:space="preserve">Dokument C/50/2 </w:t>
      </w:r>
      <w:r w:rsidR="00552C54" w:rsidRPr="00552C54">
        <w:rPr>
          <w:lang w:eastAsia="de-DE" w:bidi="de-DE"/>
        </w:rPr>
        <w:t>„Jahresbericht des Generalsekretärs für</w:t>
      </w:r>
      <w:r w:rsidR="00552C54" w:rsidRPr="00552C54">
        <w:t xml:space="preserve"> 2015“ </w:t>
      </w:r>
      <w:r w:rsidR="00552C54" w:rsidRPr="00552C54">
        <w:rPr>
          <w:lang w:eastAsia="de-DE" w:bidi="de-DE"/>
        </w:rPr>
        <w:t>dargelegt</w:t>
      </w:r>
      <w:r w:rsidR="001D5CDA" w:rsidRPr="00552C54">
        <w:rPr>
          <w:lang w:eastAsia="de-DE" w:bidi="de-DE"/>
        </w:rPr>
        <w:t>, zur Kenntnis</w:t>
      </w:r>
      <w:r w:rsidR="00552C54" w:rsidRPr="00552C54">
        <w:rPr>
          <w:lang w:eastAsia="de-DE" w:bidi="de-DE"/>
        </w:rPr>
        <w:t>.</w:t>
      </w:r>
    </w:p>
    <w:p w:rsidR="00E05B79" w:rsidRPr="001D5CDA" w:rsidRDefault="00E05B79" w:rsidP="00E05B79">
      <w:r w:rsidRPr="00552C54">
        <w:rPr>
          <w:rFonts w:cs="Arial"/>
          <w:snapToGrid w:val="0"/>
        </w:rPr>
        <w:fldChar w:fldCharType="begin"/>
      </w:r>
      <w:r w:rsidRPr="00552C54">
        <w:rPr>
          <w:rFonts w:cs="Arial"/>
          <w:snapToGrid w:val="0"/>
        </w:rPr>
        <w:instrText xml:space="preserve"> AUTONUM  </w:instrText>
      </w:r>
      <w:r w:rsidRPr="00552C54">
        <w:rPr>
          <w:rFonts w:cs="Arial"/>
          <w:snapToGrid w:val="0"/>
        </w:rPr>
        <w:fldChar w:fldCharType="end"/>
      </w:r>
      <w:r w:rsidRPr="00552C54">
        <w:rPr>
          <w:rFonts w:cs="Arial"/>
          <w:snapToGrid w:val="0"/>
        </w:rPr>
        <w:tab/>
      </w:r>
      <w:r w:rsidR="001D5CDA" w:rsidRPr="00552C54">
        <w:rPr>
          <w:lang w:eastAsia="de-DE" w:bidi="de-DE"/>
        </w:rPr>
        <w:t xml:space="preserve">Der Rat nahm den Ergebnisbericht für die Rechnungsperiode 2014-2015, wie in Dokument C/50/12 </w:t>
      </w:r>
      <w:r w:rsidR="00407C3A">
        <w:t>„</w:t>
      </w:r>
      <w:r w:rsidR="00552C54" w:rsidRPr="00552C54">
        <w:t xml:space="preserve">Ergebnisbewertungsbericht für die Rechnungsperiode 2014-2015“ </w:t>
      </w:r>
      <w:r w:rsidR="001D5CDA" w:rsidRPr="00552C54">
        <w:rPr>
          <w:lang w:eastAsia="de-DE" w:bidi="de-DE"/>
        </w:rPr>
        <w:t>dargelegt, zur Kenntnis</w:t>
      </w:r>
      <w:r w:rsidR="00552C54" w:rsidRPr="00552C54">
        <w:rPr>
          <w:lang w:eastAsia="de-DE" w:bidi="de-DE"/>
        </w:rPr>
        <w:t>.</w:t>
      </w:r>
      <w:r w:rsidRPr="001D5CDA">
        <w:rPr>
          <w:rFonts w:cs="Arial"/>
          <w:snapToGrid w:val="0"/>
        </w:rPr>
        <w:t xml:space="preserve"> </w:t>
      </w:r>
    </w:p>
    <w:p w:rsidR="00E05B79" w:rsidRPr="001D5CDA" w:rsidRDefault="00E05B79" w:rsidP="00B073FE">
      <w:pPr>
        <w:rPr>
          <w:rFonts w:cs="Arial"/>
        </w:rPr>
      </w:pPr>
    </w:p>
    <w:p w:rsidR="00E05B79" w:rsidRPr="001D5CDA" w:rsidRDefault="00E05B79" w:rsidP="00B073FE">
      <w:pPr>
        <w:rPr>
          <w:rFonts w:cs="Arial"/>
        </w:rPr>
      </w:pPr>
    </w:p>
    <w:p w:rsidR="00E05B79" w:rsidRPr="007B07C7" w:rsidRDefault="00E05B79" w:rsidP="00815CDD">
      <w:pPr>
        <w:pStyle w:val="Heading1"/>
      </w:pPr>
      <w:bookmarkStart w:id="62" w:name="_Toc478720860"/>
      <w:r w:rsidRPr="007B07C7">
        <w:t>Evaluierungsbericht der Abteilung für interne Revision und Aufsicht (WIPO Internal Oversight Division)</w:t>
      </w:r>
      <w:bookmarkEnd w:id="62"/>
    </w:p>
    <w:p w:rsidR="00E05B79" w:rsidRPr="00E05B79" w:rsidRDefault="00E05B79" w:rsidP="00B073FE">
      <w:pPr>
        <w:rPr>
          <w:rFonts w:cs="Arial"/>
        </w:rPr>
      </w:pPr>
    </w:p>
    <w:p w:rsidR="00E05B79" w:rsidRPr="003A56C5" w:rsidRDefault="00E05B79" w:rsidP="003A56C5">
      <w:pPr>
        <w:rPr>
          <w:rFonts w:cs="Arial"/>
          <w:sz w:val="19"/>
          <w:szCs w:val="19"/>
        </w:rPr>
      </w:pPr>
      <w:r w:rsidRPr="00454EC9">
        <w:fldChar w:fldCharType="begin"/>
      </w:r>
      <w:r w:rsidRPr="003A56C5">
        <w:instrText xml:space="preserve"> AUTONUM  </w:instrText>
      </w:r>
      <w:r w:rsidRPr="00454EC9">
        <w:fldChar w:fldCharType="end"/>
      </w:r>
      <w:r w:rsidRPr="003A56C5">
        <w:tab/>
      </w:r>
      <w:r w:rsidR="00E02653">
        <w:rPr>
          <w:lang w:eastAsia="de-DE" w:bidi="de-DE"/>
        </w:rPr>
        <w:t>D</w:t>
      </w:r>
      <w:r w:rsidR="003A56C5" w:rsidRPr="003D204B">
        <w:rPr>
          <w:lang w:eastAsia="de-DE" w:bidi="de-DE"/>
        </w:rPr>
        <w:t>er Beratende Ausschuß prüf</w:t>
      </w:r>
      <w:r w:rsidR="003A56C5">
        <w:rPr>
          <w:lang w:eastAsia="de-DE" w:bidi="de-DE"/>
        </w:rPr>
        <w:t xml:space="preserve">te </w:t>
      </w:r>
      <w:r w:rsidR="00407C3A">
        <w:t>a</w:t>
      </w:r>
      <w:r w:rsidR="00E02653">
        <w:t xml:space="preserve">uf seiner zweiundneunzigsten Tagung am 27. Oktober 2016 in Genf </w:t>
      </w:r>
      <w:r w:rsidR="003A56C5">
        <w:rPr>
          <w:lang w:eastAsia="de-DE" w:bidi="de-DE"/>
        </w:rPr>
        <w:t xml:space="preserve">den IOD-Evaluierungsbericht </w:t>
      </w:r>
      <w:r w:rsidR="003A56C5" w:rsidRPr="003D204B">
        <w:rPr>
          <w:lang w:eastAsia="de-DE" w:bidi="de-DE"/>
        </w:rPr>
        <w:t>und ein Referat von Herrn Tuncay Efendioglu, Amtierender Direktor, Abteilung für interne Revision und Aufsicht (IOD) der WIPO.</w:t>
      </w:r>
    </w:p>
    <w:p w:rsidR="00E05B79" w:rsidRPr="003A56C5" w:rsidRDefault="00E05B79" w:rsidP="00E05B79">
      <w:pPr>
        <w:rPr>
          <w:rFonts w:cs="Arial"/>
          <w:sz w:val="19"/>
          <w:szCs w:val="19"/>
        </w:rPr>
      </w:pPr>
    </w:p>
    <w:p w:rsidR="00E05B79" w:rsidRPr="007B07C7" w:rsidRDefault="00E05B79" w:rsidP="003A56C5">
      <w:pPr>
        <w:autoSpaceDE w:val="0"/>
        <w:autoSpaceDN w:val="0"/>
        <w:adjustRightInd w:val="0"/>
        <w:jc w:val="left"/>
      </w:pPr>
      <w:r w:rsidRPr="00454EC9">
        <w:fldChar w:fldCharType="begin"/>
      </w:r>
      <w:r w:rsidRPr="003A56C5">
        <w:instrText xml:space="preserve"> AUTONUM  </w:instrText>
      </w:r>
      <w:r w:rsidRPr="00454EC9">
        <w:fldChar w:fldCharType="end"/>
      </w:r>
      <w:r w:rsidRPr="003A56C5">
        <w:tab/>
      </w:r>
      <w:r w:rsidR="003A56C5" w:rsidRPr="003D204B">
        <w:rPr>
          <w:lang w:eastAsia="de-DE" w:bidi="de-DE"/>
        </w:rPr>
        <w:t>Der Beratende Ausschuß nahm zur Kenntnis, daß der IOD-Evaluierungsbericht nach der fünfzigsten ordentlichen Tagung des Rates auf der UPOV-Website veröffentlicht werde</w:t>
      </w:r>
      <w:r w:rsidRPr="003A56C5">
        <w:t xml:space="preserve">. </w:t>
      </w:r>
    </w:p>
    <w:p w:rsidR="00E05B79" w:rsidRPr="007B07C7" w:rsidRDefault="00E05B79" w:rsidP="00E05B79"/>
    <w:p w:rsidR="00E05B79" w:rsidRPr="003A56C5" w:rsidRDefault="00E05B79" w:rsidP="00E05B79">
      <w:pPr>
        <w:autoSpaceDE w:val="0"/>
        <w:autoSpaceDN w:val="0"/>
        <w:adjustRightInd w:val="0"/>
      </w:pPr>
      <w:r w:rsidRPr="00454EC9">
        <w:fldChar w:fldCharType="begin"/>
      </w:r>
      <w:r w:rsidRPr="003A56C5">
        <w:instrText xml:space="preserve"> AUTONUM  </w:instrText>
      </w:r>
      <w:r w:rsidRPr="00454EC9">
        <w:fldChar w:fldCharType="end"/>
      </w:r>
      <w:r w:rsidRPr="003A56C5">
        <w:tab/>
      </w:r>
      <w:r w:rsidR="003A56C5" w:rsidRPr="003D204B">
        <w:rPr>
          <w:lang w:eastAsia="de-DE" w:bidi="de-DE"/>
        </w:rPr>
        <w:t>In Reaktion auf die Empfehlung des IOD-Evaluierungsberichts billigte der Beratende Ausschuß den Vorschlag des Verbandsbüros, einen Entwurf eines Strategischen Geschäftsplans auszuarbeite</w:t>
      </w:r>
      <w:r w:rsidR="003A56C5">
        <w:rPr>
          <w:lang w:eastAsia="de-DE" w:bidi="de-DE"/>
        </w:rPr>
        <w:t>n, der dem Beratenden Ausschuß,</w:t>
      </w:r>
      <w:r w:rsidR="003A56C5" w:rsidRPr="003D204B">
        <w:rPr>
          <w:lang w:eastAsia="de-DE" w:bidi="de-DE"/>
        </w:rPr>
        <w:t xml:space="preserve"> im Oktober/November 2017 vorgelegt werden soll.</w:t>
      </w:r>
      <w:r w:rsidRPr="003A56C5">
        <w:t xml:space="preserve"> </w:t>
      </w:r>
    </w:p>
    <w:p w:rsidR="00E05B79" w:rsidRPr="003A56C5" w:rsidRDefault="00E05B79" w:rsidP="00E05B79"/>
    <w:p w:rsidR="00E05B79" w:rsidRDefault="00E05B79" w:rsidP="00E05B79">
      <w:r w:rsidRPr="00454EC9">
        <w:fldChar w:fldCharType="begin"/>
      </w:r>
      <w:r w:rsidRPr="003A56C5">
        <w:instrText xml:space="preserve"> AUTONUM  </w:instrText>
      </w:r>
      <w:r w:rsidRPr="00454EC9">
        <w:fldChar w:fldCharType="end"/>
      </w:r>
      <w:r w:rsidRPr="003A56C5">
        <w:tab/>
      </w:r>
      <w:r w:rsidR="003A56C5" w:rsidRPr="003D204B">
        <w:rPr>
          <w:lang w:eastAsia="de-DE" w:bidi="de-DE"/>
        </w:rPr>
        <w:t>Der Beratende Ausschuß dankte der WIPO-IOD für den Evaluierungsbericht</w:t>
      </w:r>
      <w:r w:rsidRPr="003A56C5">
        <w:t xml:space="preserve">. </w:t>
      </w:r>
    </w:p>
    <w:p w:rsidR="00407C3A" w:rsidRPr="007B07C7" w:rsidRDefault="00407C3A" w:rsidP="00E05B79"/>
    <w:p w:rsidR="00E05B79" w:rsidRPr="007B07C7" w:rsidRDefault="00E05B79" w:rsidP="00407C3A">
      <w:pPr>
        <w:autoSpaceDE w:val="0"/>
        <w:autoSpaceDN w:val="0"/>
        <w:adjustRightInd w:val="0"/>
        <w:rPr>
          <w:rFonts w:cs="Arial"/>
          <w:spacing w:val="-2"/>
        </w:rPr>
      </w:pPr>
      <w:r w:rsidRPr="00454EC9">
        <w:fldChar w:fldCharType="begin"/>
      </w:r>
      <w:r w:rsidRPr="003A56C5">
        <w:instrText xml:space="preserve"> AUTONUM  </w:instrText>
      </w:r>
      <w:r w:rsidRPr="00454EC9">
        <w:fldChar w:fldCharType="end"/>
      </w:r>
      <w:r w:rsidRPr="003A56C5">
        <w:tab/>
      </w:r>
      <w:r w:rsidR="003A56C5" w:rsidRPr="003D204B">
        <w:rPr>
          <w:lang w:eastAsia="de-DE" w:bidi="de-DE"/>
        </w:rPr>
        <w:t>Der Beratende Ausschuß nahm zur Kenntnis, daß die Schlußfolgerungen des Beratenden Ausschusses betreffend den IOD-Evaluierungsbericht dem Rat auf seiner fünfzigsten ordentlichen Tagung am 28. Oktober 2016 in Genf berichtet würden</w:t>
      </w:r>
      <w:r w:rsidRPr="007B07C7">
        <w:rPr>
          <w:rFonts w:cs="Arial"/>
        </w:rPr>
        <w:t>.</w:t>
      </w:r>
      <w:r w:rsidRPr="007B07C7">
        <w:t xml:space="preserve"> </w:t>
      </w:r>
    </w:p>
    <w:p w:rsidR="00E05B79" w:rsidRPr="007B07C7" w:rsidRDefault="00E05B79" w:rsidP="00B073FE">
      <w:pPr>
        <w:rPr>
          <w:rFonts w:cs="Arial"/>
        </w:rPr>
      </w:pPr>
    </w:p>
    <w:p w:rsidR="00B073FE" w:rsidRPr="00CB171C" w:rsidRDefault="00B073FE" w:rsidP="00B073FE">
      <w:pPr>
        <w:rPr>
          <w:rFonts w:cs="Arial"/>
          <w:spacing w:val="-2"/>
        </w:rPr>
      </w:pPr>
    </w:p>
    <w:p w:rsidR="00B073FE" w:rsidRPr="007B07C7" w:rsidRDefault="00B073FE" w:rsidP="00815CDD">
      <w:pPr>
        <w:pStyle w:val="Heading1"/>
      </w:pPr>
      <w:bookmarkStart w:id="63" w:name="_Toc443988414"/>
      <w:bookmarkStart w:id="64" w:name="_Toc444242872"/>
      <w:bookmarkStart w:id="65" w:name="_Toc478720861"/>
      <w:r w:rsidRPr="007B07C7">
        <w:t>organe und tagungen der upov</w:t>
      </w:r>
      <w:bookmarkEnd w:id="63"/>
      <w:bookmarkEnd w:id="64"/>
      <w:bookmarkEnd w:id="65"/>
    </w:p>
    <w:p w:rsidR="00B073FE" w:rsidRPr="007B07C7" w:rsidRDefault="00B073FE" w:rsidP="00815CDD">
      <w:pPr>
        <w:pStyle w:val="Heading1"/>
      </w:pPr>
    </w:p>
    <w:p w:rsidR="00B073FE" w:rsidRPr="00991D52" w:rsidRDefault="00B073FE" w:rsidP="00B073FE">
      <w:pPr>
        <w:pStyle w:val="Heading2"/>
        <w:rPr>
          <w:lang w:val="de-DE"/>
        </w:rPr>
      </w:pPr>
      <w:bookmarkStart w:id="66" w:name="_Toc443988415"/>
      <w:bookmarkStart w:id="67" w:name="_Toc444242873"/>
      <w:bookmarkStart w:id="68" w:name="_Toc478720862"/>
      <w:r w:rsidRPr="00CB171C">
        <w:rPr>
          <w:lang w:val="de-DE"/>
        </w:rPr>
        <w:t>Präsident und Vizepräsident des Rates der UPOV</w:t>
      </w:r>
      <w:bookmarkEnd w:id="66"/>
      <w:bookmarkEnd w:id="67"/>
      <w:bookmarkEnd w:id="68"/>
      <w:r w:rsidR="00991D52">
        <w:rPr>
          <w:lang w:val="de-DE"/>
        </w:rPr>
        <w:t xml:space="preserve"> </w:t>
      </w:r>
    </w:p>
    <w:p w:rsidR="00B073FE" w:rsidRPr="00CB171C" w:rsidRDefault="00B073FE" w:rsidP="00B073FE">
      <w:pPr>
        <w:keepNext/>
        <w:autoSpaceDE w:val="0"/>
        <w:autoSpaceDN w:val="0"/>
        <w:adjustRightInd w:val="0"/>
        <w:jc w:val="left"/>
        <w:rPr>
          <w:rFonts w:cs="Arial"/>
        </w:rPr>
      </w:pPr>
    </w:p>
    <w:p w:rsidR="00B073FE" w:rsidRPr="00407C3A" w:rsidRDefault="00B073FE" w:rsidP="00B073FE">
      <w:pPr>
        <w:rPr>
          <w:rFonts w:cs="Arial"/>
          <w:lang w:eastAsia="fr-CH"/>
        </w:rPr>
      </w:pPr>
      <w:r w:rsidRPr="00407C3A">
        <w:fldChar w:fldCharType="begin"/>
      </w:r>
      <w:r w:rsidRPr="00407C3A">
        <w:instrText xml:space="preserve"> AUTONUM  </w:instrText>
      </w:r>
      <w:r w:rsidRPr="00407C3A">
        <w:fldChar w:fldCharType="end"/>
      </w:r>
      <w:r w:rsidRPr="00407C3A">
        <w:tab/>
      </w:r>
      <w:r w:rsidR="00991D52" w:rsidRPr="00407C3A">
        <w:rPr>
          <w:lang w:eastAsia="de-DE" w:bidi="de-DE"/>
        </w:rPr>
        <w:t xml:space="preserve">Der Rat wählte </w:t>
      </w:r>
      <w:r w:rsidR="00991D52" w:rsidRPr="00407C3A">
        <w:rPr>
          <w:rFonts w:cs="Arial"/>
          <w:color w:val="000000"/>
          <w:lang w:eastAsia="fr-CH"/>
        </w:rPr>
        <w:t xml:space="preserve">auf seiner </w:t>
      </w:r>
      <w:r w:rsidR="00407C3A" w:rsidRPr="00407C3A">
        <w:rPr>
          <w:rFonts w:cs="Arial"/>
          <w:color w:val="000000"/>
          <w:lang w:eastAsia="fr-CH"/>
        </w:rPr>
        <w:t>f</w:t>
      </w:r>
      <w:r w:rsidR="00991D52" w:rsidRPr="00407C3A">
        <w:rPr>
          <w:rFonts w:cs="Arial"/>
          <w:color w:val="000000"/>
          <w:lang w:eastAsia="fr-CH"/>
        </w:rPr>
        <w:t>ünfzigste</w:t>
      </w:r>
      <w:r w:rsidR="00407C3A" w:rsidRPr="00407C3A">
        <w:rPr>
          <w:rFonts w:cs="Arial"/>
          <w:color w:val="000000"/>
          <w:lang w:eastAsia="fr-CH"/>
        </w:rPr>
        <w:t>n</w:t>
      </w:r>
      <w:r w:rsidR="00991D52" w:rsidRPr="00407C3A">
        <w:rPr>
          <w:rFonts w:cs="Arial"/>
          <w:color w:val="000000"/>
          <w:lang w:eastAsia="fr-CH"/>
        </w:rPr>
        <w:t xml:space="preserve"> ordentlichen Tagung</w:t>
      </w:r>
      <w:r w:rsidR="00991D52" w:rsidRPr="00407C3A">
        <w:rPr>
          <w:lang w:eastAsia="de-DE" w:bidi="de-DE"/>
        </w:rPr>
        <w:t>, jeweils für eine Amtszeit von drei Jahren, die mit der dreiundfünfzigsten ordentlichen Tagung des Rates im Jahre 2019 endet:</w:t>
      </w:r>
    </w:p>
    <w:p w:rsidR="00B073FE" w:rsidRPr="00407C3A" w:rsidRDefault="00B073FE" w:rsidP="00B073FE">
      <w:pPr>
        <w:jc w:val="left"/>
        <w:rPr>
          <w:rFonts w:cs="Arial"/>
          <w:lang w:eastAsia="fr-CH"/>
        </w:rPr>
      </w:pPr>
    </w:p>
    <w:p w:rsidR="00991D52" w:rsidRPr="00407C3A" w:rsidRDefault="00991D52" w:rsidP="00991D52">
      <w:pPr>
        <w:keepNext/>
        <w:ind w:left="567"/>
        <w:rPr>
          <w:lang w:val="fr-FR" w:eastAsia="de-DE" w:bidi="de-DE"/>
        </w:rPr>
      </w:pPr>
      <w:r w:rsidRPr="00407C3A">
        <w:rPr>
          <w:lang w:val="fr-FR" w:eastAsia="de-DE" w:bidi="de-DE"/>
        </w:rPr>
        <w:t>a)</w:t>
      </w:r>
      <w:r w:rsidRPr="00407C3A">
        <w:rPr>
          <w:lang w:val="fr-FR" w:eastAsia="de-DE" w:bidi="de-DE"/>
        </w:rPr>
        <w:tab/>
      </w:r>
      <w:proofErr w:type="spellStart"/>
      <w:r w:rsidRPr="00407C3A">
        <w:rPr>
          <w:lang w:val="fr-FR" w:eastAsia="de-DE" w:bidi="de-DE"/>
        </w:rPr>
        <w:t>Hr</w:t>
      </w:r>
      <w:proofErr w:type="spellEnd"/>
      <w:r w:rsidRPr="00407C3A">
        <w:rPr>
          <w:lang w:val="fr-FR" w:eastAsia="de-DE" w:bidi="de-DE"/>
        </w:rPr>
        <w:t>. Raimundo Lavignolle (</w:t>
      </w:r>
      <w:proofErr w:type="spellStart"/>
      <w:r w:rsidRPr="00407C3A">
        <w:rPr>
          <w:lang w:val="fr-FR" w:eastAsia="de-DE" w:bidi="de-DE"/>
        </w:rPr>
        <w:t>Argentinien</w:t>
      </w:r>
      <w:proofErr w:type="spellEnd"/>
      <w:r w:rsidRPr="00407C3A">
        <w:rPr>
          <w:lang w:val="fr-FR" w:eastAsia="de-DE" w:bidi="de-DE"/>
        </w:rPr>
        <w:t xml:space="preserve">), </w:t>
      </w:r>
      <w:proofErr w:type="spellStart"/>
      <w:r w:rsidRPr="00407C3A">
        <w:rPr>
          <w:lang w:val="fr-FR" w:eastAsia="de-DE" w:bidi="de-DE"/>
        </w:rPr>
        <w:t>Präsident</w:t>
      </w:r>
      <w:proofErr w:type="spellEnd"/>
      <w:r w:rsidRPr="00407C3A">
        <w:rPr>
          <w:lang w:val="fr-FR" w:eastAsia="de-DE" w:bidi="de-DE"/>
        </w:rPr>
        <w:t xml:space="preserve"> des Rates;</w:t>
      </w:r>
    </w:p>
    <w:p w:rsidR="00B073FE" w:rsidRPr="00407C3A" w:rsidRDefault="00991D52" w:rsidP="00991D52">
      <w:pPr>
        <w:ind w:firstLine="567"/>
        <w:rPr>
          <w:rFonts w:cs="Arial"/>
          <w:lang w:eastAsia="fr-CH"/>
        </w:rPr>
      </w:pPr>
      <w:r w:rsidRPr="00407C3A">
        <w:rPr>
          <w:lang w:eastAsia="de-DE" w:bidi="de-DE"/>
        </w:rPr>
        <w:t>b) </w:t>
      </w:r>
      <w:r w:rsidRPr="00407C3A">
        <w:rPr>
          <w:lang w:eastAsia="de-DE" w:bidi="de-DE"/>
        </w:rPr>
        <w:tab/>
        <w:t>Hr. Marien Valstar (Niederlande), Vizepräsident des Rates.</w:t>
      </w:r>
    </w:p>
    <w:p w:rsidR="00B073FE" w:rsidRPr="00407C3A" w:rsidRDefault="00B073FE" w:rsidP="00B073FE">
      <w:pPr>
        <w:jc w:val="left"/>
        <w:rPr>
          <w:rFonts w:cs="Arial"/>
          <w:lang w:eastAsia="fr-CH"/>
        </w:rPr>
      </w:pPr>
    </w:p>
    <w:p w:rsidR="00991D52" w:rsidRPr="00407C3A" w:rsidRDefault="00991D52" w:rsidP="00991D52">
      <w:pPr>
        <w:pStyle w:val="Heading2"/>
        <w:rPr>
          <w:lang w:val="de-DE"/>
        </w:rPr>
      </w:pPr>
      <w:bookmarkStart w:id="69" w:name="_Toc478720863"/>
      <w:r w:rsidRPr="00407C3A">
        <w:rPr>
          <w:lang w:val="de-DE"/>
        </w:rPr>
        <w:t xml:space="preserve">Präsident und Vizepräsident des </w:t>
      </w:r>
      <w:r w:rsidRPr="00407C3A">
        <w:rPr>
          <w:lang w:val="de-DE" w:eastAsia="de-DE" w:bidi="de-DE"/>
        </w:rPr>
        <w:t>Verwaltungs- und Rechtsausschusses</w:t>
      </w:r>
      <w:bookmarkEnd w:id="69"/>
    </w:p>
    <w:p w:rsidR="00991D52" w:rsidRPr="00407C3A" w:rsidRDefault="00991D52" w:rsidP="00B073FE">
      <w:pPr>
        <w:jc w:val="left"/>
        <w:rPr>
          <w:rFonts w:cs="Arial"/>
          <w:lang w:eastAsia="fr-CH"/>
        </w:rPr>
      </w:pPr>
    </w:p>
    <w:p w:rsidR="00991D52" w:rsidRPr="00407C3A" w:rsidRDefault="00991D52" w:rsidP="00991D52">
      <w:pPr>
        <w:rPr>
          <w:rFonts w:cs="Arial"/>
          <w:lang w:eastAsia="fr-CH"/>
        </w:rPr>
      </w:pPr>
      <w:r w:rsidRPr="00407C3A">
        <w:fldChar w:fldCharType="begin"/>
      </w:r>
      <w:r w:rsidRPr="00407C3A">
        <w:instrText xml:space="preserve"> AUTONUM  </w:instrText>
      </w:r>
      <w:r w:rsidRPr="00407C3A">
        <w:fldChar w:fldCharType="end"/>
      </w:r>
      <w:r w:rsidRPr="00407C3A">
        <w:tab/>
      </w:r>
      <w:r w:rsidRPr="00407C3A">
        <w:rPr>
          <w:lang w:eastAsia="de-DE" w:bidi="de-DE"/>
        </w:rPr>
        <w:t xml:space="preserve">Der Rat wählte </w:t>
      </w:r>
      <w:r w:rsidRPr="00407C3A">
        <w:rPr>
          <w:rFonts w:cs="Arial"/>
          <w:color w:val="000000"/>
          <w:lang w:eastAsia="fr-CH"/>
        </w:rPr>
        <w:t xml:space="preserve">auf seiner </w:t>
      </w:r>
      <w:r w:rsidR="00407C3A" w:rsidRPr="00407C3A">
        <w:rPr>
          <w:rFonts w:cs="Arial"/>
          <w:color w:val="000000"/>
          <w:lang w:eastAsia="fr-CH"/>
        </w:rPr>
        <w:t>f</w:t>
      </w:r>
      <w:r w:rsidRPr="00407C3A">
        <w:rPr>
          <w:rFonts w:cs="Arial"/>
          <w:color w:val="000000"/>
          <w:lang w:eastAsia="fr-CH"/>
        </w:rPr>
        <w:t>ünfzigste</w:t>
      </w:r>
      <w:r w:rsidR="00407C3A" w:rsidRPr="00407C3A">
        <w:rPr>
          <w:rFonts w:cs="Arial"/>
          <w:color w:val="000000"/>
          <w:lang w:eastAsia="fr-CH"/>
        </w:rPr>
        <w:t>n</w:t>
      </w:r>
      <w:r w:rsidRPr="00407C3A">
        <w:rPr>
          <w:rFonts w:cs="Arial"/>
          <w:color w:val="000000"/>
          <w:lang w:eastAsia="fr-CH"/>
        </w:rPr>
        <w:t xml:space="preserve"> ordentlichen Tagung</w:t>
      </w:r>
      <w:r w:rsidRPr="00407C3A">
        <w:rPr>
          <w:lang w:eastAsia="de-DE" w:bidi="de-DE"/>
        </w:rPr>
        <w:t>, jeweils für eine Amtszeit von drei Jahren, die mit der dreiundfünfzigsten ordentlichen Tagung des Rates im Jahre 2019 endet:</w:t>
      </w:r>
    </w:p>
    <w:p w:rsidR="00991D52" w:rsidRPr="00407C3A" w:rsidRDefault="00991D52" w:rsidP="00991D52">
      <w:pPr>
        <w:jc w:val="left"/>
        <w:rPr>
          <w:rFonts w:cs="Arial"/>
          <w:lang w:eastAsia="fr-CH"/>
        </w:rPr>
      </w:pPr>
    </w:p>
    <w:p w:rsidR="00991D52" w:rsidRPr="00407C3A" w:rsidRDefault="00991D52" w:rsidP="00991D52">
      <w:pPr>
        <w:ind w:left="567"/>
        <w:rPr>
          <w:lang w:eastAsia="de-DE" w:bidi="de-DE"/>
        </w:rPr>
      </w:pPr>
      <w:r w:rsidRPr="00407C3A">
        <w:rPr>
          <w:lang w:eastAsia="de-DE" w:bidi="de-DE"/>
        </w:rPr>
        <w:t>a)</w:t>
      </w:r>
      <w:r w:rsidRPr="00407C3A">
        <w:rPr>
          <w:lang w:eastAsia="de-DE" w:bidi="de-DE"/>
        </w:rPr>
        <w:tab/>
        <w:t>Hr. Anthony Parker (Kanada), Vorsitzender des Verwaltungs- und Rechtsausschusses;</w:t>
      </w:r>
    </w:p>
    <w:p w:rsidR="00991D52" w:rsidRDefault="00991D52" w:rsidP="00991D52">
      <w:pPr>
        <w:ind w:left="1134" w:hanging="567"/>
        <w:rPr>
          <w:lang w:eastAsia="de-DE" w:bidi="de-DE"/>
        </w:rPr>
      </w:pPr>
      <w:r w:rsidRPr="00407C3A">
        <w:rPr>
          <w:lang w:eastAsia="de-DE" w:bidi="de-DE"/>
        </w:rPr>
        <w:t>b) </w:t>
      </w:r>
      <w:r w:rsidRPr="00407C3A">
        <w:rPr>
          <w:lang w:eastAsia="de-DE" w:bidi="de-DE"/>
        </w:rPr>
        <w:tab/>
        <w:t>Hr. Patrick Ngwediagi (Vereinigte Republik Tansania), Stellvertretender Vorsitzender des Verwaltungs- und Rechtsausschusses.</w:t>
      </w:r>
    </w:p>
    <w:p w:rsidR="00991D52" w:rsidRDefault="00991D52" w:rsidP="00991D52">
      <w:pPr>
        <w:jc w:val="left"/>
        <w:rPr>
          <w:lang w:eastAsia="de-DE" w:bidi="de-DE"/>
        </w:rPr>
      </w:pPr>
    </w:p>
    <w:p w:rsidR="00991D52" w:rsidRPr="00991D52" w:rsidRDefault="00991D52" w:rsidP="00991D52">
      <w:pPr>
        <w:pStyle w:val="Heading2"/>
        <w:rPr>
          <w:lang w:val="de-DE"/>
        </w:rPr>
      </w:pPr>
      <w:bookmarkStart w:id="70" w:name="_Toc478720864"/>
      <w:r w:rsidRPr="00991D52">
        <w:rPr>
          <w:lang w:val="de-DE"/>
        </w:rPr>
        <w:lastRenderedPageBreak/>
        <w:t xml:space="preserve">Präsident und Vizepräsident des </w:t>
      </w:r>
      <w:r w:rsidRPr="00991D52">
        <w:rPr>
          <w:lang w:val="de-DE" w:eastAsia="de-DE" w:bidi="de-DE"/>
        </w:rPr>
        <w:t>Technischen Ausschusses</w:t>
      </w:r>
      <w:bookmarkEnd w:id="70"/>
    </w:p>
    <w:p w:rsidR="00991D52" w:rsidRDefault="00991D52" w:rsidP="00991D52">
      <w:pPr>
        <w:jc w:val="left"/>
        <w:rPr>
          <w:lang w:eastAsia="de-DE" w:bidi="de-DE"/>
        </w:rPr>
      </w:pPr>
    </w:p>
    <w:p w:rsidR="00991D52" w:rsidRPr="00CB171C" w:rsidRDefault="00991D52" w:rsidP="00991D52">
      <w:pPr>
        <w:rPr>
          <w:rFonts w:cs="Arial"/>
          <w:lang w:eastAsia="fr-CH"/>
        </w:rPr>
      </w:pPr>
      <w:r w:rsidRPr="00CB171C">
        <w:fldChar w:fldCharType="begin"/>
      </w:r>
      <w:r w:rsidRPr="00CB171C">
        <w:instrText xml:space="preserve"> AUTONUM  </w:instrText>
      </w:r>
      <w:r w:rsidRPr="00CB171C">
        <w:fldChar w:fldCharType="end"/>
      </w:r>
      <w:r w:rsidRPr="00CB171C">
        <w:tab/>
      </w:r>
      <w:r w:rsidRPr="005E789A">
        <w:rPr>
          <w:lang w:eastAsia="de-DE" w:bidi="de-DE"/>
        </w:rPr>
        <w:t xml:space="preserve">Der Rat </w:t>
      </w:r>
      <w:r w:rsidRPr="00407C3A">
        <w:rPr>
          <w:lang w:eastAsia="de-DE" w:bidi="de-DE"/>
        </w:rPr>
        <w:t xml:space="preserve">wählte </w:t>
      </w:r>
      <w:r w:rsidRPr="00407C3A">
        <w:rPr>
          <w:rFonts w:cs="Arial"/>
          <w:color w:val="000000"/>
          <w:lang w:eastAsia="fr-CH"/>
        </w:rPr>
        <w:t xml:space="preserve">auf seiner </w:t>
      </w:r>
      <w:r w:rsidR="00407C3A" w:rsidRPr="00407C3A">
        <w:rPr>
          <w:rFonts w:cs="Arial"/>
          <w:color w:val="000000"/>
          <w:lang w:eastAsia="fr-CH"/>
        </w:rPr>
        <w:t>f</w:t>
      </w:r>
      <w:r w:rsidRPr="00407C3A">
        <w:rPr>
          <w:rFonts w:cs="Arial"/>
          <w:color w:val="000000"/>
          <w:lang w:eastAsia="fr-CH"/>
        </w:rPr>
        <w:t>ünfzigste</w:t>
      </w:r>
      <w:r w:rsidR="00407C3A" w:rsidRPr="00407C3A">
        <w:rPr>
          <w:rFonts w:cs="Arial"/>
          <w:color w:val="000000"/>
          <w:lang w:eastAsia="fr-CH"/>
        </w:rPr>
        <w:t>n</w:t>
      </w:r>
      <w:r w:rsidRPr="00407C3A">
        <w:rPr>
          <w:rFonts w:cs="Arial"/>
          <w:color w:val="000000"/>
          <w:lang w:eastAsia="fr-CH"/>
        </w:rPr>
        <w:t xml:space="preserve"> ordentlichen Tagung</w:t>
      </w:r>
      <w:r w:rsidRPr="00407C3A">
        <w:rPr>
          <w:lang w:eastAsia="de-DE" w:bidi="de-DE"/>
        </w:rPr>
        <w:t>, jeweils</w:t>
      </w:r>
      <w:r w:rsidRPr="005E789A">
        <w:rPr>
          <w:lang w:eastAsia="de-DE" w:bidi="de-DE"/>
        </w:rPr>
        <w:t xml:space="preserve"> für eine Amtszeit von drei Jahren, die mit der dreiundfünfzigsten ordentlichen Tagung des Rates im Jahre 2019 endet</w:t>
      </w:r>
      <w:r>
        <w:rPr>
          <w:lang w:eastAsia="de-DE" w:bidi="de-DE"/>
        </w:rPr>
        <w:t>:</w:t>
      </w:r>
    </w:p>
    <w:p w:rsidR="00991D52" w:rsidRPr="00CB171C" w:rsidRDefault="00991D52" w:rsidP="00991D52">
      <w:pPr>
        <w:jc w:val="left"/>
        <w:rPr>
          <w:rFonts w:cs="Arial"/>
          <w:lang w:eastAsia="fr-CH"/>
        </w:rPr>
      </w:pPr>
    </w:p>
    <w:p w:rsidR="00991D52" w:rsidRPr="00991D52" w:rsidRDefault="00991D52" w:rsidP="00991D52">
      <w:pPr>
        <w:keepNext/>
        <w:ind w:left="567"/>
        <w:rPr>
          <w:lang w:eastAsia="de-DE" w:bidi="de-DE"/>
        </w:rPr>
      </w:pPr>
      <w:r w:rsidRPr="00991D52">
        <w:rPr>
          <w:lang w:eastAsia="de-DE" w:bidi="de-DE"/>
        </w:rPr>
        <w:t>a)</w:t>
      </w:r>
      <w:r w:rsidRPr="00991D52">
        <w:rPr>
          <w:lang w:eastAsia="de-DE" w:bidi="de-DE"/>
        </w:rPr>
        <w:tab/>
      </w:r>
      <w:r w:rsidRPr="005E789A">
        <w:rPr>
          <w:lang w:eastAsia="de-DE" w:bidi="de-DE"/>
        </w:rPr>
        <w:t xml:space="preserve">Hr. Kees van Ettekoven (Niederlande), Vorsitzender </w:t>
      </w:r>
      <w:r>
        <w:rPr>
          <w:lang w:eastAsia="de-DE" w:bidi="de-DE"/>
        </w:rPr>
        <w:t xml:space="preserve">des Technischen Ausschusses; </w:t>
      </w:r>
    </w:p>
    <w:p w:rsidR="00991D52" w:rsidRDefault="00991D52" w:rsidP="00991D52">
      <w:pPr>
        <w:ind w:firstLine="567"/>
        <w:jc w:val="left"/>
        <w:rPr>
          <w:lang w:eastAsia="de-DE" w:bidi="de-DE"/>
        </w:rPr>
      </w:pPr>
      <w:r w:rsidRPr="00991D52">
        <w:rPr>
          <w:lang w:eastAsia="de-DE" w:bidi="de-DE"/>
        </w:rPr>
        <w:t>b) </w:t>
      </w:r>
      <w:r w:rsidRPr="00991D52">
        <w:rPr>
          <w:lang w:eastAsia="de-DE" w:bidi="de-DE"/>
        </w:rPr>
        <w:tab/>
      </w:r>
      <w:r w:rsidRPr="005E789A">
        <w:rPr>
          <w:lang w:eastAsia="de-DE" w:bidi="de-DE"/>
        </w:rPr>
        <w:t>Hr. Nik Hulse (Australien), Stellvertretender Vorsitzender des Technischen Ausschusses</w:t>
      </w:r>
      <w:r>
        <w:rPr>
          <w:lang w:eastAsia="de-DE" w:bidi="de-DE"/>
        </w:rPr>
        <w:t>.</w:t>
      </w:r>
    </w:p>
    <w:p w:rsidR="00991D52" w:rsidRDefault="00991D52" w:rsidP="00991D52">
      <w:pPr>
        <w:jc w:val="left"/>
        <w:rPr>
          <w:lang w:eastAsia="de-DE" w:bidi="de-DE"/>
        </w:rPr>
      </w:pPr>
    </w:p>
    <w:p w:rsidR="00B073FE" w:rsidRPr="00401035" w:rsidRDefault="00B073FE" w:rsidP="00B073FE">
      <w:pPr>
        <w:pStyle w:val="Heading2"/>
        <w:rPr>
          <w:lang w:val="de-DE"/>
        </w:rPr>
      </w:pPr>
      <w:bookmarkStart w:id="71" w:name="_Toc443988416"/>
      <w:bookmarkStart w:id="72" w:name="_Toc444242874"/>
      <w:bookmarkStart w:id="73" w:name="_Toc478720865"/>
      <w:r w:rsidRPr="00401035">
        <w:rPr>
          <w:lang w:val="de-DE"/>
        </w:rPr>
        <w:t>Tagungskalender</w:t>
      </w:r>
      <w:bookmarkEnd w:id="71"/>
      <w:bookmarkEnd w:id="72"/>
      <w:bookmarkEnd w:id="73"/>
    </w:p>
    <w:p w:rsidR="00B073FE" w:rsidRPr="00401035" w:rsidRDefault="00B073FE" w:rsidP="00B073FE">
      <w:pPr>
        <w:rPr>
          <w:rFonts w:cs="Arial"/>
        </w:rPr>
      </w:pPr>
    </w:p>
    <w:p w:rsidR="004067B7" w:rsidRDefault="00991D52" w:rsidP="00B073FE">
      <w:pPr>
        <w:rPr>
          <w:lang w:val="de-CH"/>
        </w:rPr>
      </w:pPr>
      <w:r w:rsidRPr="00454EC9">
        <w:fldChar w:fldCharType="begin"/>
      </w:r>
      <w:r w:rsidRPr="00407C3A">
        <w:rPr>
          <w:lang w:val="de-CH"/>
        </w:rPr>
        <w:instrText xml:space="preserve"> AUTONUM  </w:instrText>
      </w:r>
      <w:r w:rsidRPr="00454EC9">
        <w:fldChar w:fldCharType="end"/>
      </w:r>
      <w:r w:rsidRPr="00407C3A">
        <w:rPr>
          <w:lang w:val="de-CH"/>
        </w:rPr>
        <w:tab/>
      </w:r>
      <w:r w:rsidR="00407C3A" w:rsidRPr="00407C3A">
        <w:rPr>
          <w:lang w:val="de-CH"/>
        </w:rPr>
        <w:t>Entwicklungen betreffend die Organisation der U</w:t>
      </w:r>
      <w:r w:rsidR="00407C3A">
        <w:rPr>
          <w:lang w:val="de-CH"/>
        </w:rPr>
        <w:t>POV</w:t>
      </w:r>
      <w:r w:rsidR="00407C3A" w:rsidRPr="00407C3A">
        <w:rPr>
          <w:lang w:val="de-CH"/>
        </w:rPr>
        <w:t xml:space="preserve">-Tagungen sind </w:t>
      </w:r>
      <w:r w:rsidR="00407C3A" w:rsidRPr="004067B7">
        <w:rPr>
          <w:lang w:val="de-CH"/>
        </w:rPr>
        <w:t xml:space="preserve">in Dokument </w:t>
      </w:r>
      <w:r w:rsidRPr="004067B7">
        <w:rPr>
          <w:lang w:val="de-CH"/>
        </w:rPr>
        <w:t xml:space="preserve">TC/53/14 </w:t>
      </w:r>
      <w:r w:rsidR="004067B7" w:rsidRPr="004067B7">
        <w:rPr>
          <w:lang w:val="de-CH"/>
        </w:rPr>
        <w:t>„</w:t>
      </w:r>
      <w:r w:rsidRPr="004067B7">
        <w:rPr>
          <w:lang w:val="de-CH"/>
        </w:rPr>
        <w:t>Organisation der UPOV-Tagungen</w:t>
      </w:r>
      <w:r w:rsidR="004067B7" w:rsidRPr="004067B7">
        <w:rPr>
          <w:lang w:val="de-CH"/>
        </w:rPr>
        <w:t>“ dargelegt</w:t>
      </w:r>
      <w:r w:rsidRPr="004067B7">
        <w:rPr>
          <w:lang w:val="de-CH"/>
        </w:rPr>
        <w:t>.</w:t>
      </w:r>
    </w:p>
    <w:p w:rsidR="00991D52" w:rsidRPr="004067B7" w:rsidRDefault="00991D52" w:rsidP="00B073FE">
      <w:pPr>
        <w:rPr>
          <w:rFonts w:cs="Arial"/>
          <w:lang w:val="de-CH"/>
        </w:rPr>
      </w:pPr>
    </w:p>
    <w:p w:rsidR="00991D52" w:rsidRPr="004067B7" w:rsidRDefault="004067B7" w:rsidP="00B073FE">
      <w:pPr>
        <w:rPr>
          <w:rFonts w:cs="Arial"/>
          <w:lang w:val="de-CH"/>
        </w:rPr>
      </w:pPr>
      <w:r w:rsidRPr="004067B7">
        <w:rPr>
          <w:lang w:val="de-CH"/>
        </w:rPr>
        <w:t>Der Tagungskalender für das Jahr 2017 sieht wie folgt aus</w:t>
      </w:r>
      <w:r w:rsidR="00991D52" w:rsidRPr="004067B7">
        <w:rPr>
          <w:lang w:val="de-CH"/>
        </w:rPr>
        <w:t>:</w:t>
      </w:r>
    </w:p>
    <w:p w:rsidR="00991D52" w:rsidRPr="004067B7" w:rsidRDefault="00991D52" w:rsidP="00B073FE">
      <w:pPr>
        <w:rPr>
          <w:rFonts w:cs="Arial"/>
          <w:lang w:val="de-CH"/>
        </w:rPr>
      </w:pPr>
    </w:p>
    <w:p w:rsidR="00991D52" w:rsidRPr="00991D52" w:rsidRDefault="00991D52" w:rsidP="00991D52">
      <w:pPr>
        <w:ind w:left="567"/>
        <w:rPr>
          <w:rFonts w:cs="Arial"/>
          <w:i/>
        </w:rPr>
      </w:pPr>
      <w:r w:rsidRPr="00991D52">
        <w:rPr>
          <w:i/>
        </w:rPr>
        <w:t>Der Rat</w:t>
      </w:r>
    </w:p>
    <w:p w:rsidR="00991D52" w:rsidRPr="00272741" w:rsidRDefault="00991D52" w:rsidP="00991D52">
      <w:pPr>
        <w:tabs>
          <w:tab w:val="left" w:pos="567"/>
        </w:tabs>
        <w:ind w:left="1843" w:hanging="1843"/>
        <w:rPr>
          <w:szCs w:val="24"/>
        </w:rPr>
      </w:pPr>
      <w:r>
        <w:tab/>
        <w:t>C(Extr.)/34</w:t>
      </w:r>
      <w:r>
        <w:tab/>
        <w:t>6. April (Nachmittag) (außerordentliche Tagung)</w:t>
      </w:r>
    </w:p>
    <w:p w:rsidR="00991D52" w:rsidRPr="00673575" w:rsidRDefault="00991D52" w:rsidP="00991D52">
      <w:pPr>
        <w:tabs>
          <w:tab w:val="left" w:pos="567"/>
        </w:tabs>
        <w:ind w:left="1843" w:hanging="1843"/>
        <w:rPr>
          <w:szCs w:val="24"/>
        </w:rPr>
      </w:pPr>
      <w:r>
        <w:tab/>
        <w:t>C/51</w:t>
      </w:r>
      <w:r>
        <w:tab/>
        <w:t>26. Oktober</w:t>
      </w:r>
    </w:p>
    <w:p w:rsidR="00991D52" w:rsidRPr="00673575" w:rsidRDefault="00991D52" w:rsidP="00991D52">
      <w:pPr>
        <w:ind w:left="1701" w:hanging="1701"/>
      </w:pPr>
    </w:p>
    <w:p w:rsidR="00991D52" w:rsidRPr="00991D52" w:rsidRDefault="00991D52" w:rsidP="00991D52">
      <w:pPr>
        <w:ind w:left="2268" w:hanging="1701"/>
        <w:rPr>
          <w:rFonts w:cs="Arial"/>
          <w:i/>
        </w:rPr>
      </w:pPr>
      <w:r w:rsidRPr="00991D52">
        <w:rPr>
          <w:i/>
        </w:rPr>
        <w:t>Beratender Ausschuß</w:t>
      </w:r>
    </w:p>
    <w:p w:rsidR="00991D52" w:rsidRPr="00673575" w:rsidRDefault="00991D52" w:rsidP="00991D52">
      <w:pPr>
        <w:tabs>
          <w:tab w:val="left" w:pos="567"/>
        </w:tabs>
        <w:ind w:left="1843" w:hanging="1843"/>
        <w:rPr>
          <w:szCs w:val="24"/>
        </w:rPr>
      </w:pPr>
      <w:r>
        <w:tab/>
        <w:t>CC/93</w:t>
      </w:r>
      <w:r>
        <w:tab/>
        <w:t>6. April (Vormittag)</w:t>
      </w:r>
    </w:p>
    <w:p w:rsidR="00991D52" w:rsidRPr="0081534B" w:rsidRDefault="00991D52" w:rsidP="00991D52">
      <w:pPr>
        <w:ind w:left="1843"/>
        <w:jc w:val="left"/>
        <w:rPr>
          <w:rFonts w:cs="Arial"/>
        </w:rPr>
      </w:pPr>
      <w:r w:rsidRPr="0081534B">
        <w:rPr>
          <w:rFonts w:cs="Arial"/>
        </w:rPr>
        <w:t xml:space="preserve">(Arbeitsgruppe für ein etwaiges internationales Kooperationssystem (WG-ISC/2):  </w:t>
      </w:r>
      <w:r w:rsidRPr="0081534B">
        <w:rPr>
          <w:rFonts w:cs="Arial"/>
        </w:rPr>
        <w:br/>
        <w:t>5. April (Nachmittag))</w:t>
      </w:r>
    </w:p>
    <w:p w:rsidR="00991D52" w:rsidRPr="00673575" w:rsidRDefault="00991D52" w:rsidP="00991D52">
      <w:pPr>
        <w:tabs>
          <w:tab w:val="left" w:pos="567"/>
        </w:tabs>
        <w:ind w:left="1843" w:hanging="1843"/>
        <w:rPr>
          <w:szCs w:val="24"/>
        </w:rPr>
      </w:pPr>
      <w:r>
        <w:tab/>
        <w:t>CC/94</w:t>
      </w:r>
      <w:r>
        <w:tab/>
        <w:t>25. Oktober</w:t>
      </w:r>
    </w:p>
    <w:p w:rsidR="00991D52" w:rsidRPr="00673575" w:rsidRDefault="00991D52" w:rsidP="00991D52">
      <w:pPr>
        <w:ind w:left="1701" w:hanging="1701"/>
      </w:pPr>
    </w:p>
    <w:p w:rsidR="00991D52" w:rsidRPr="00991D52" w:rsidRDefault="00991D52" w:rsidP="00991D52">
      <w:pPr>
        <w:ind w:left="2268" w:hanging="1701"/>
        <w:rPr>
          <w:rFonts w:cs="Arial"/>
          <w:i/>
        </w:rPr>
      </w:pPr>
      <w:r w:rsidRPr="00991D52">
        <w:rPr>
          <w:i/>
        </w:rPr>
        <w:t>Verwaltungs- und Rechtsausschuß</w:t>
      </w:r>
    </w:p>
    <w:p w:rsidR="00991D52" w:rsidRPr="00673575" w:rsidRDefault="00991D52" w:rsidP="00991D52">
      <w:pPr>
        <w:tabs>
          <w:tab w:val="left" w:pos="567"/>
        </w:tabs>
        <w:ind w:left="1843" w:hanging="1843"/>
        <w:rPr>
          <w:szCs w:val="24"/>
        </w:rPr>
      </w:pPr>
      <w:r>
        <w:tab/>
        <w:t>CAJ/74</w:t>
      </w:r>
      <w:r>
        <w:tab/>
        <w:t>23. und 24.Oktober</w:t>
      </w:r>
    </w:p>
    <w:p w:rsidR="00991D52" w:rsidRPr="005014FB" w:rsidRDefault="00991D52" w:rsidP="00991D52">
      <w:pPr>
        <w:ind w:left="1843"/>
        <w:jc w:val="left"/>
        <w:rPr>
          <w:rFonts w:cs="Arial"/>
        </w:rPr>
      </w:pPr>
      <w:r w:rsidRPr="005014FB">
        <w:rPr>
          <w:rFonts w:cs="Arial"/>
        </w:rPr>
        <w:t>(Arbeitsgruppe für Sortenbezeichnungen (WG-DEN/3):  7. April (Vormittag))</w:t>
      </w:r>
    </w:p>
    <w:p w:rsidR="00991D52" w:rsidRPr="005014FB" w:rsidRDefault="00991D52" w:rsidP="00991D52">
      <w:pPr>
        <w:ind w:left="1843" w:right="-142"/>
        <w:jc w:val="left"/>
        <w:rPr>
          <w:rFonts w:cs="Arial"/>
        </w:rPr>
      </w:pPr>
      <w:r w:rsidRPr="005014FB">
        <w:rPr>
          <w:rFonts w:cs="Arial"/>
        </w:rPr>
        <w:t>(Sitzung zur Ausarbeitung eines Prototyps eines elektronischen Formblatts (EAF/9): 7. April (Nachmittag))</w:t>
      </w:r>
    </w:p>
    <w:p w:rsidR="00991D52" w:rsidRPr="00C713FA" w:rsidRDefault="00991D52" w:rsidP="00991D52">
      <w:pPr>
        <w:ind w:left="1701" w:hanging="1701"/>
      </w:pPr>
    </w:p>
    <w:p w:rsidR="00991D52" w:rsidRPr="00991D52" w:rsidRDefault="00991D52" w:rsidP="00991D52">
      <w:pPr>
        <w:ind w:left="2268" w:hanging="1701"/>
        <w:rPr>
          <w:rFonts w:cs="Arial"/>
          <w:i/>
        </w:rPr>
      </w:pPr>
      <w:r w:rsidRPr="00991D52">
        <w:rPr>
          <w:i/>
        </w:rPr>
        <w:t>Technischer Ausschuß</w:t>
      </w:r>
    </w:p>
    <w:p w:rsidR="00991D52" w:rsidRPr="00272741" w:rsidRDefault="00991D52" w:rsidP="00991D52">
      <w:pPr>
        <w:tabs>
          <w:tab w:val="left" w:pos="567"/>
        </w:tabs>
        <w:ind w:left="1843" w:hanging="1843"/>
        <w:rPr>
          <w:szCs w:val="24"/>
        </w:rPr>
      </w:pPr>
      <w:r>
        <w:tab/>
        <w:t>TC/53</w:t>
      </w:r>
      <w:r>
        <w:tab/>
        <w:t>3. bis 5. April (Vormittag)</w:t>
      </w:r>
    </w:p>
    <w:p w:rsidR="00991D52" w:rsidRPr="00272741" w:rsidRDefault="00991D52" w:rsidP="00991D52">
      <w:pPr>
        <w:tabs>
          <w:tab w:val="left" w:pos="567"/>
        </w:tabs>
        <w:ind w:left="1843" w:hanging="1843"/>
        <w:rPr>
          <w:szCs w:val="24"/>
        </w:rPr>
      </w:pPr>
      <w:r>
        <w:tab/>
      </w:r>
      <w:r>
        <w:tab/>
        <w:t>(Redaktionsausschuß: (11. und 12. Januar), 3. April (Abend), 4. April (Abend))</w:t>
      </w:r>
    </w:p>
    <w:p w:rsidR="00991D52" w:rsidRPr="00C713FA" w:rsidRDefault="00991D52" w:rsidP="00991D52">
      <w:pPr>
        <w:ind w:left="1701" w:hanging="1701"/>
      </w:pPr>
    </w:p>
    <w:p w:rsidR="00991D52" w:rsidRPr="00991D52" w:rsidRDefault="00991D52" w:rsidP="00991D52">
      <w:pPr>
        <w:ind w:left="2268" w:hanging="1701"/>
        <w:rPr>
          <w:rFonts w:cs="Arial"/>
          <w:i/>
        </w:rPr>
      </w:pPr>
      <w:r w:rsidRPr="00991D52">
        <w:rPr>
          <w:i/>
        </w:rPr>
        <w:t>Technische Arbeitsgruppe für landwirtschaftliche Arten (TWA)</w:t>
      </w:r>
    </w:p>
    <w:p w:rsidR="00991D52" w:rsidRPr="00397FBC" w:rsidRDefault="00991D52" w:rsidP="00991D52">
      <w:pPr>
        <w:tabs>
          <w:tab w:val="left" w:pos="567"/>
        </w:tabs>
        <w:ind w:left="1701" w:hanging="1701"/>
      </w:pPr>
      <w:r>
        <w:tab/>
        <w:t>TWA/46</w:t>
      </w:r>
      <w:r>
        <w:tab/>
        <w:t>19. bis 23. Juni, Hannover, Deutschland</w:t>
      </w:r>
    </w:p>
    <w:p w:rsidR="00991D52" w:rsidRPr="00397FBC" w:rsidRDefault="00991D52" w:rsidP="00991D52">
      <w:pPr>
        <w:ind w:left="1134" w:firstLine="567"/>
      </w:pPr>
      <w:r>
        <w:t>(vorbereitende Arbeitstagung am 18. Juni)</w:t>
      </w:r>
    </w:p>
    <w:p w:rsidR="00991D52" w:rsidRPr="00397FBC" w:rsidRDefault="00991D52" w:rsidP="00991D52">
      <w:pPr>
        <w:ind w:left="1701" w:hanging="1701"/>
      </w:pPr>
    </w:p>
    <w:p w:rsidR="00991D52" w:rsidRPr="00991D52" w:rsidRDefault="00991D52" w:rsidP="00991D52">
      <w:pPr>
        <w:ind w:left="2268" w:hanging="1701"/>
        <w:rPr>
          <w:rFonts w:cs="Arial"/>
          <w:i/>
        </w:rPr>
      </w:pPr>
      <w:r w:rsidRPr="00991D52">
        <w:rPr>
          <w:i/>
        </w:rPr>
        <w:t>Technische Arbeitsgruppe für Automatisierung und Computerprogramme (TWC)</w:t>
      </w:r>
    </w:p>
    <w:p w:rsidR="00991D52" w:rsidRPr="00C34091" w:rsidRDefault="00991D52" w:rsidP="00991D52">
      <w:r>
        <w:tab/>
        <w:t>TWC/35</w:t>
      </w:r>
      <w:r>
        <w:tab/>
        <w:t>14. bis 17. November, Buenos Aires, Argentinien</w:t>
      </w:r>
    </w:p>
    <w:p w:rsidR="00991D52" w:rsidRPr="00C34091" w:rsidRDefault="00991D52" w:rsidP="00991D52">
      <w:pPr>
        <w:ind w:left="1134" w:firstLine="567"/>
      </w:pPr>
      <w:r>
        <w:t>(vorbereitende Arbeitstagung am 13. November)</w:t>
      </w:r>
    </w:p>
    <w:p w:rsidR="00991D52" w:rsidRPr="00C34091" w:rsidRDefault="00991D52" w:rsidP="00991D52">
      <w:pPr>
        <w:ind w:left="1701" w:hanging="1701"/>
      </w:pPr>
    </w:p>
    <w:p w:rsidR="00991D52" w:rsidRPr="00991D52" w:rsidRDefault="00991D52" w:rsidP="00991D52">
      <w:pPr>
        <w:ind w:left="2268" w:hanging="1701"/>
        <w:rPr>
          <w:rFonts w:cs="Arial"/>
          <w:i/>
        </w:rPr>
      </w:pPr>
      <w:r w:rsidRPr="00991D52">
        <w:rPr>
          <w:i/>
        </w:rPr>
        <w:t>Technische Arbeitsgruppe für Obstarten (TWF)</w:t>
      </w:r>
    </w:p>
    <w:p w:rsidR="00991D52" w:rsidRPr="00A929D4" w:rsidRDefault="00991D52" w:rsidP="00991D52">
      <w:pPr>
        <w:rPr>
          <w:lang w:val="en-GB"/>
        </w:rPr>
      </w:pPr>
      <w:r>
        <w:tab/>
      </w:r>
      <w:r w:rsidRPr="00A929D4">
        <w:rPr>
          <w:lang w:val="en-GB"/>
        </w:rPr>
        <w:t xml:space="preserve">TWF/48 </w:t>
      </w:r>
      <w:r w:rsidRPr="00A929D4">
        <w:rPr>
          <w:lang w:val="en-GB"/>
        </w:rPr>
        <w:tab/>
        <w:t xml:space="preserve">18. </w:t>
      </w:r>
      <w:proofErr w:type="spellStart"/>
      <w:r w:rsidRPr="00A929D4">
        <w:rPr>
          <w:lang w:val="en-GB"/>
        </w:rPr>
        <w:t>bis</w:t>
      </w:r>
      <w:proofErr w:type="spellEnd"/>
      <w:r w:rsidRPr="00A929D4">
        <w:rPr>
          <w:lang w:val="en-GB"/>
        </w:rPr>
        <w:t xml:space="preserve"> 22. September, Kelowna, British Columbia, </w:t>
      </w:r>
      <w:proofErr w:type="spellStart"/>
      <w:r w:rsidRPr="00A929D4">
        <w:rPr>
          <w:lang w:val="en-GB"/>
        </w:rPr>
        <w:t>Kanada</w:t>
      </w:r>
      <w:proofErr w:type="spellEnd"/>
    </w:p>
    <w:p w:rsidR="00991D52" w:rsidRPr="005E6F4E" w:rsidRDefault="00991D52" w:rsidP="00991D52">
      <w:pPr>
        <w:ind w:left="1134" w:firstLine="567"/>
      </w:pPr>
      <w:r>
        <w:t>(vorbereitende Arbeitstagung am 17. September)</w:t>
      </w:r>
    </w:p>
    <w:p w:rsidR="00991D52" w:rsidRPr="005E6F4E" w:rsidRDefault="00991D52" w:rsidP="00991D52">
      <w:pPr>
        <w:ind w:left="1701" w:hanging="1701"/>
      </w:pPr>
    </w:p>
    <w:p w:rsidR="00991D52" w:rsidRPr="00991D52" w:rsidRDefault="00991D52" w:rsidP="00991D52">
      <w:pPr>
        <w:ind w:left="2268" w:hanging="1701"/>
        <w:rPr>
          <w:rFonts w:cs="Arial"/>
          <w:i/>
        </w:rPr>
      </w:pPr>
      <w:r w:rsidRPr="00991D52">
        <w:rPr>
          <w:i/>
        </w:rPr>
        <w:t>Technische Arbeitsgruppe für Zierpflanzen und forstliche Baumarten (TWO)</w:t>
      </w:r>
    </w:p>
    <w:p w:rsidR="00991D52" w:rsidRPr="00A929D4" w:rsidRDefault="00991D52" w:rsidP="00991D52">
      <w:pPr>
        <w:rPr>
          <w:lang w:val="en-GB"/>
        </w:rPr>
      </w:pPr>
      <w:r>
        <w:tab/>
      </w:r>
      <w:r w:rsidRPr="00A929D4">
        <w:rPr>
          <w:lang w:val="en-GB"/>
        </w:rPr>
        <w:t xml:space="preserve">TWO/50 </w:t>
      </w:r>
      <w:r w:rsidRPr="00A929D4">
        <w:rPr>
          <w:lang w:val="en-GB"/>
        </w:rPr>
        <w:tab/>
        <w:t xml:space="preserve">11. </w:t>
      </w:r>
      <w:proofErr w:type="spellStart"/>
      <w:r w:rsidRPr="00A929D4">
        <w:rPr>
          <w:lang w:val="en-GB"/>
        </w:rPr>
        <w:t>bis</w:t>
      </w:r>
      <w:proofErr w:type="spellEnd"/>
      <w:r w:rsidRPr="00A929D4">
        <w:rPr>
          <w:lang w:val="en-GB"/>
        </w:rPr>
        <w:t xml:space="preserve"> 15. September, Victoria, British Columbia, </w:t>
      </w:r>
      <w:proofErr w:type="spellStart"/>
      <w:r w:rsidRPr="00A929D4">
        <w:rPr>
          <w:lang w:val="en-GB"/>
        </w:rPr>
        <w:t>Kanada</w:t>
      </w:r>
      <w:proofErr w:type="spellEnd"/>
    </w:p>
    <w:p w:rsidR="00991D52" w:rsidRPr="005E6F4E" w:rsidRDefault="00991D52" w:rsidP="00991D52">
      <w:pPr>
        <w:ind w:left="1134" w:firstLine="567"/>
      </w:pPr>
      <w:r>
        <w:t>(vorbereitende Arbeitstagung am 10. September)</w:t>
      </w:r>
    </w:p>
    <w:p w:rsidR="00991D52" w:rsidRPr="005E6F4E" w:rsidRDefault="00991D52" w:rsidP="00991D52">
      <w:pPr>
        <w:ind w:left="1701" w:hanging="1701"/>
      </w:pPr>
    </w:p>
    <w:p w:rsidR="00991D52" w:rsidRPr="005E6F4E" w:rsidRDefault="00991D52" w:rsidP="00991D52">
      <w:pPr>
        <w:keepNext/>
        <w:keepLines/>
        <w:ind w:left="2268" w:hanging="1701"/>
        <w:rPr>
          <w:rFonts w:cs="Arial"/>
          <w:sz w:val="16"/>
          <w:u w:val="single"/>
        </w:rPr>
      </w:pPr>
      <w:r w:rsidRPr="00991D52">
        <w:rPr>
          <w:i/>
        </w:rPr>
        <w:t>Technische Arbeitsgruppe für Gemüsearten (TWV)</w:t>
      </w:r>
    </w:p>
    <w:p w:rsidR="00991D52" w:rsidRPr="005E6F4E" w:rsidRDefault="00991D52" w:rsidP="00991D52">
      <w:pPr>
        <w:keepNext/>
      </w:pPr>
      <w:r>
        <w:tab/>
        <w:t>TWV/51</w:t>
      </w:r>
      <w:r>
        <w:tab/>
        <w:t>3. bis 7. Juli, Roelofarendsveen, Niederlande</w:t>
      </w:r>
    </w:p>
    <w:p w:rsidR="00991D52" w:rsidRPr="005E6F4E" w:rsidRDefault="00991D52" w:rsidP="00991D52">
      <w:pPr>
        <w:ind w:left="1134" w:firstLine="567"/>
      </w:pPr>
      <w:r>
        <w:t>(vorbereitende Arbeitstagung am 2. Juli)</w:t>
      </w:r>
    </w:p>
    <w:p w:rsidR="00991D52" w:rsidRPr="005E6F4E" w:rsidRDefault="00991D52" w:rsidP="00991D52">
      <w:pPr>
        <w:ind w:left="1701" w:hanging="1701"/>
      </w:pPr>
    </w:p>
    <w:p w:rsidR="00991D52" w:rsidRPr="00991D52" w:rsidRDefault="00991D52" w:rsidP="00991D52">
      <w:pPr>
        <w:ind w:left="567"/>
        <w:rPr>
          <w:rFonts w:cs="Arial"/>
          <w:i/>
          <w:spacing w:val="-2"/>
        </w:rPr>
      </w:pPr>
      <w:r w:rsidRPr="00991D52">
        <w:rPr>
          <w:i/>
          <w:spacing w:val="-2"/>
        </w:rPr>
        <w:t>Arbeitsgruppe für biochemische und molekulare Verfahren und insbesondere für DNS-Profilierungsverfahren (BMT)</w:t>
      </w:r>
    </w:p>
    <w:p w:rsidR="00991D52" w:rsidRPr="006E3FD3" w:rsidRDefault="00991D52" w:rsidP="00991D52">
      <w:pPr>
        <w:tabs>
          <w:tab w:val="left" w:pos="567"/>
          <w:tab w:val="left" w:pos="1701"/>
        </w:tabs>
        <w:ind w:left="1701" w:hanging="1701"/>
        <w:rPr>
          <w:rFonts w:cs="Arial"/>
        </w:rPr>
      </w:pPr>
      <w:r>
        <w:tab/>
        <w:t>BMT/16</w:t>
      </w:r>
      <w:r>
        <w:tab/>
        <w:t>7. bis 10. November, La Rochelle, Frankreich</w:t>
      </w:r>
    </w:p>
    <w:p w:rsidR="00991D52" w:rsidRPr="00580501" w:rsidRDefault="00991D52" w:rsidP="00991D52">
      <w:pPr>
        <w:ind w:left="1701"/>
        <w:rPr>
          <w:rFonts w:cs="Arial"/>
        </w:rPr>
      </w:pPr>
      <w:r>
        <w:t>(vorbereitende Arbeitstagung am 6. November)</w:t>
      </w:r>
    </w:p>
    <w:p w:rsidR="00991D52" w:rsidRPr="00580501" w:rsidRDefault="00991D52" w:rsidP="00B073FE">
      <w:pPr>
        <w:rPr>
          <w:rFonts w:cs="Arial"/>
        </w:rPr>
      </w:pPr>
    </w:p>
    <w:p w:rsidR="00991D52" w:rsidRPr="00580501" w:rsidRDefault="00991D52" w:rsidP="00B073FE">
      <w:pPr>
        <w:rPr>
          <w:rFonts w:cs="Arial"/>
        </w:rPr>
      </w:pPr>
    </w:p>
    <w:p w:rsidR="00B073FE" w:rsidRDefault="00B073FE" w:rsidP="001D20EA">
      <w:pPr>
        <w:pStyle w:val="Heading1"/>
        <w:keepNext/>
      </w:pPr>
      <w:bookmarkStart w:id="74" w:name="_Toc381174865"/>
      <w:bookmarkStart w:id="75" w:name="_Toc443988418"/>
      <w:bookmarkStart w:id="76" w:name="_Toc444242876"/>
      <w:bookmarkStart w:id="77" w:name="_Toc478720866"/>
      <w:r w:rsidRPr="007B07C7">
        <w:lastRenderedPageBreak/>
        <w:t>UPOV-sammlung</w:t>
      </w:r>
      <w:bookmarkEnd w:id="74"/>
      <w:bookmarkEnd w:id="75"/>
      <w:bookmarkEnd w:id="76"/>
      <w:bookmarkEnd w:id="77"/>
    </w:p>
    <w:p w:rsidR="00B073FE" w:rsidRPr="00CB171C" w:rsidRDefault="00B073FE" w:rsidP="001D20EA">
      <w:pPr>
        <w:keepNext/>
        <w:rPr>
          <w:rFonts w:cs="Arial"/>
        </w:rPr>
      </w:pPr>
      <w:r w:rsidRPr="00CB171C">
        <w:rPr>
          <w:rFonts w:cs="Arial"/>
        </w:rPr>
        <w:t xml:space="preserve">(siehe </w:t>
      </w:r>
      <w:hyperlink r:id="rId10" w:history="1">
        <w:r w:rsidRPr="00CB171C">
          <w:rPr>
            <w:rStyle w:val="Hyperlink"/>
          </w:rPr>
          <w:t>http://www.upov.int/upov_collection/de/</w:t>
        </w:r>
      </w:hyperlink>
      <w:r w:rsidRPr="00CB171C">
        <w:rPr>
          <w:rFonts w:cs="Arial"/>
        </w:rPr>
        <w:t>)</w:t>
      </w:r>
    </w:p>
    <w:p w:rsidR="00B073FE" w:rsidRDefault="00B073FE" w:rsidP="00B073FE">
      <w:pPr>
        <w:rPr>
          <w:rFonts w:cs="Arial"/>
        </w:rPr>
      </w:pPr>
    </w:p>
    <w:p w:rsidR="001D20EA" w:rsidRPr="00CB171C" w:rsidRDefault="001D20EA" w:rsidP="001D20EA">
      <w:pPr>
        <w:pStyle w:val="Heading1"/>
      </w:pPr>
    </w:p>
    <w:p w:rsidR="00B073FE" w:rsidRPr="00CB171C" w:rsidRDefault="00B073FE" w:rsidP="00B073FE">
      <w:pPr>
        <w:pStyle w:val="Heading2"/>
        <w:rPr>
          <w:lang w:val="de-DE"/>
        </w:rPr>
      </w:pPr>
      <w:bookmarkStart w:id="78" w:name="_Toc443988419"/>
      <w:bookmarkStart w:id="79" w:name="_Toc444242877"/>
      <w:bookmarkStart w:id="80" w:name="_Toc478720867"/>
      <w:r w:rsidRPr="00CB171C">
        <w:rPr>
          <w:lang w:val="de-DE"/>
        </w:rPr>
        <w:t>Annahme von Dokumenten</w:t>
      </w:r>
      <w:bookmarkEnd w:id="78"/>
      <w:bookmarkEnd w:id="79"/>
      <w:bookmarkEnd w:id="80"/>
    </w:p>
    <w:p w:rsidR="00B073FE" w:rsidRPr="00CB171C" w:rsidRDefault="00B073FE" w:rsidP="00B073FE">
      <w:pPr>
        <w:rPr>
          <w:rFonts w:cs="Arial"/>
        </w:rPr>
      </w:pPr>
    </w:p>
    <w:p w:rsidR="004067B7" w:rsidRDefault="00B073FE" w:rsidP="00B073FE">
      <w:pPr>
        <w:autoSpaceDE w:val="0"/>
        <w:autoSpaceDN w:val="0"/>
        <w:adjustRightInd w:val="0"/>
        <w:rPr>
          <w:rFonts w:cs="Arial"/>
        </w:rPr>
      </w:pPr>
      <w:r w:rsidRPr="00CB171C">
        <w:rPr>
          <w:rFonts w:cs="Arial"/>
        </w:rPr>
        <w:fldChar w:fldCharType="begin"/>
      </w:r>
      <w:r w:rsidRPr="00CB171C">
        <w:rPr>
          <w:rFonts w:cs="Arial"/>
        </w:rPr>
        <w:instrText xml:space="preserve"> AUTONUM  </w:instrText>
      </w:r>
      <w:r w:rsidRPr="00CB171C">
        <w:rPr>
          <w:rFonts w:cs="Arial"/>
        </w:rPr>
        <w:fldChar w:fldCharType="end"/>
      </w:r>
      <w:r w:rsidRPr="00CB171C">
        <w:rPr>
          <w:rFonts w:cs="Arial"/>
        </w:rPr>
        <w:tab/>
      </w:r>
      <w:r w:rsidR="004067B7">
        <w:rPr>
          <w:rFonts w:cs="Arial"/>
        </w:rPr>
        <w:t xml:space="preserve">Der Rat nahm auf seiner fünfzigsten ordentlichen Tagung </w:t>
      </w:r>
      <w:r w:rsidR="004067B7" w:rsidRPr="00CB171C">
        <w:t>folgende Überarbeitungen von Dokumenten an</w:t>
      </w:r>
      <w:r w:rsidR="004067B7">
        <w:t>:</w:t>
      </w:r>
    </w:p>
    <w:p w:rsidR="00B073FE" w:rsidRDefault="00B073FE" w:rsidP="00B073FE">
      <w:pPr>
        <w:autoSpaceDE w:val="0"/>
        <w:autoSpaceDN w:val="0"/>
        <w:adjustRightInd w:val="0"/>
        <w:rPr>
          <w:rFonts w:cs="Arial"/>
        </w:rPr>
      </w:pPr>
    </w:p>
    <w:p w:rsidR="00580501" w:rsidRPr="00580501" w:rsidRDefault="00580501" w:rsidP="00580501">
      <w:pPr>
        <w:ind w:left="360"/>
        <w:rPr>
          <w:bCs/>
          <w:snapToGrid w:val="0"/>
          <w:szCs w:val="24"/>
        </w:rPr>
      </w:pPr>
      <w:r w:rsidRPr="00580501">
        <w:rPr>
          <w:bCs/>
          <w:snapToGrid w:val="0"/>
          <w:szCs w:val="24"/>
        </w:rPr>
        <w:t>(a)</w:t>
      </w:r>
      <w:r w:rsidRPr="00580501">
        <w:rPr>
          <w:bCs/>
          <w:snapToGrid w:val="0"/>
          <w:szCs w:val="24"/>
        </w:rPr>
        <w:tab/>
      </w:r>
      <w:r w:rsidRPr="007B07C7">
        <w:rPr>
          <w:bCs/>
          <w:snapToGrid w:val="0"/>
          <w:szCs w:val="24"/>
        </w:rPr>
        <w:t>TGP-Dokumente:</w:t>
      </w:r>
    </w:p>
    <w:p w:rsidR="00580501" w:rsidRPr="00580501" w:rsidRDefault="00580501" w:rsidP="00580501">
      <w:pPr>
        <w:ind w:left="360"/>
        <w:rPr>
          <w:bCs/>
          <w:snapToGrid w:val="0"/>
          <w:szCs w:val="24"/>
        </w:rPr>
      </w:pPr>
    </w:p>
    <w:p w:rsidR="00580501" w:rsidRPr="00580501" w:rsidRDefault="00580501" w:rsidP="00580501">
      <w:pPr>
        <w:ind w:left="1134"/>
        <w:rPr>
          <w:bCs/>
          <w:snapToGrid w:val="0"/>
          <w:szCs w:val="24"/>
        </w:rPr>
      </w:pPr>
      <w:r w:rsidRPr="00580501">
        <w:rPr>
          <w:bCs/>
          <w:snapToGrid w:val="0"/>
          <w:szCs w:val="24"/>
        </w:rPr>
        <w:t xml:space="preserve">TGP/7 </w:t>
      </w:r>
      <w:r w:rsidRPr="00580501">
        <w:rPr>
          <w:bCs/>
          <w:snapToGrid w:val="0"/>
          <w:szCs w:val="24"/>
        </w:rPr>
        <w:tab/>
      </w:r>
      <w:r w:rsidRPr="00580501">
        <w:t>Erstellung von Prüfungsrichtlinien</w:t>
      </w:r>
    </w:p>
    <w:p w:rsidR="00580501" w:rsidRPr="00580501" w:rsidRDefault="00580501" w:rsidP="00580501">
      <w:pPr>
        <w:ind w:left="2268" w:hanging="1134"/>
        <w:rPr>
          <w:bCs/>
          <w:snapToGrid w:val="0"/>
          <w:szCs w:val="24"/>
        </w:rPr>
      </w:pPr>
      <w:r w:rsidRPr="00580501">
        <w:rPr>
          <w:bCs/>
          <w:snapToGrid w:val="0"/>
          <w:szCs w:val="24"/>
        </w:rPr>
        <w:t xml:space="preserve">TGP/8 </w:t>
      </w:r>
      <w:r w:rsidRPr="00580501">
        <w:rPr>
          <w:bCs/>
          <w:snapToGrid w:val="0"/>
          <w:szCs w:val="24"/>
        </w:rPr>
        <w:tab/>
      </w:r>
      <w:r w:rsidRPr="00580501">
        <w:rPr>
          <w:lang w:eastAsia="de-DE" w:bidi="de-DE"/>
        </w:rPr>
        <w:t>Prüfungsanlage und Verfahren für die Prüfung der Unterscheidbarkeit, der Homogenität und der Beständigkeit</w:t>
      </w:r>
    </w:p>
    <w:p w:rsidR="00580501" w:rsidRPr="00580501" w:rsidRDefault="00580501" w:rsidP="00580501">
      <w:pPr>
        <w:ind w:left="360"/>
        <w:rPr>
          <w:bCs/>
          <w:snapToGrid w:val="0"/>
          <w:szCs w:val="24"/>
        </w:rPr>
      </w:pPr>
    </w:p>
    <w:p w:rsidR="00580501" w:rsidRPr="00580501" w:rsidRDefault="00580501" w:rsidP="00580501">
      <w:pPr>
        <w:keepNext/>
        <w:ind w:left="360"/>
        <w:rPr>
          <w:bCs/>
          <w:snapToGrid w:val="0"/>
          <w:szCs w:val="24"/>
        </w:rPr>
      </w:pPr>
      <w:r w:rsidRPr="00580501">
        <w:rPr>
          <w:bCs/>
          <w:snapToGrid w:val="0"/>
          <w:szCs w:val="24"/>
        </w:rPr>
        <w:t>(b)</w:t>
      </w:r>
      <w:r w:rsidRPr="00580501">
        <w:rPr>
          <w:bCs/>
          <w:snapToGrid w:val="0"/>
          <w:szCs w:val="24"/>
        </w:rPr>
        <w:tab/>
      </w:r>
      <w:r w:rsidRPr="007B07C7">
        <w:rPr>
          <w:bCs/>
          <w:snapToGrid w:val="0"/>
          <w:szCs w:val="24"/>
        </w:rPr>
        <w:t>Informationsdokumente:</w:t>
      </w:r>
    </w:p>
    <w:p w:rsidR="00580501" w:rsidRPr="00580501" w:rsidRDefault="00580501" w:rsidP="00580501">
      <w:pPr>
        <w:keepNext/>
        <w:ind w:left="360"/>
        <w:rPr>
          <w:bCs/>
          <w:snapToGrid w:val="0"/>
          <w:szCs w:val="24"/>
        </w:rPr>
      </w:pPr>
    </w:p>
    <w:p w:rsidR="00580501" w:rsidRPr="00580501" w:rsidRDefault="00580501" w:rsidP="00580501">
      <w:pPr>
        <w:ind w:left="1134"/>
        <w:rPr>
          <w:kern w:val="28"/>
        </w:rPr>
      </w:pPr>
      <w:r w:rsidRPr="00580501">
        <w:rPr>
          <w:bCs/>
          <w:snapToGrid w:val="0"/>
          <w:szCs w:val="24"/>
        </w:rPr>
        <w:t>UPOV/INF/16</w:t>
      </w:r>
      <w:r w:rsidRPr="00580501">
        <w:rPr>
          <w:bCs/>
          <w:snapToGrid w:val="0"/>
          <w:szCs w:val="24"/>
        </w:rPr>
        <w:tab/>
      </w:r>
      <w:r w:rsidRPr="00580501">
        <w:t>Austauschbare Software</w:t>
      </w:r>
      <w:r w:rsidRPr="00580501">
        <w:rPr>
          <w:bCs/>
          <w:snapToGrid w:val="0"/>
          <w:spacing w:val="-4"/>
          <w:szCs w:val="24"/>
        </w:rPr>
        <w:t xml:space="preserve"> </w:t>
      </w:r>
    </w:p>
    <w:p w:rsidR="00580501" w:rsidRPr="00580501" w:rsidRDefault="00580501" w:rsidP="00580501">
      <w:pPr>
        <w:ind w:left="1134"/>
        <w:rPr>
          <w:bCs/>
          <w:snapToGrid w:val="0"/>
          <w:spacing w:val="-4"/>
          <w:szCs w:val="24"/>
        </w:rPr>
      </w:pPr>
      <w:r w:rsidRPr="00580501">
        <w:rPr>
          <w:bCs/>
          <w:snapToGrid w:val="0"/>
          <w:szCs w:val="24"/>
        </w:rPr>
        <w:t>UPOV/INF/22</w:t>
      </w:r>
      <w:r w:rsidRPr="00580501">
        <w:rPr>
          <w:bCs/>
          <w:snapToGrid w:val="0"/>
          <w:szCs w:val="24"/>
        </w:rPr>
        <w:tab/>
      </w:r>
      <w:r w:rsidRPr="00580501">
        <w:t>Von Verbandsmitgliedern verwendete Software und Ausrüstung</w:t>
      </w:r>
    </w:p>
    <w:p w:rsidR="00580501" w:rsidRPr="00580501" w:rsidRDefault="00580501" w:rsidP="00B073FE">
      <w:pPr>
        <w:autoSpaceDE w:val="0"/>
        <w:autoSpaceDN w:val="0"/>
        <w:adjustRightInd w:val="0"/>
        <w:rPr>
          <w:rFonts w:cs="Arial"/>
        </w:rPr>
      </w:pPr>
    </w:p>
    <w:p w:rsidR="00B073FE" w:rsidRPr="00CB171C" w:rsidRDefault="00B073FE" w:rsidP="00B073FE">
      <w:pPr>
        <w:rPr>
          <w:rFonts w:cs="Arial"/>
        </w:rPr>
      </w:pPr>
      <w:r w:rsidRPr="00CB171C">
        <w:rPr>
          <w:rFonts w:cs="Arial"/>
        </w:rPr>
        <w:fldChar w:fldCharType="begin"/>
      </w:r>
      <w:r w:rsidRPr="00CB171C">
        <w:rPr>
          <w:rFonts w:cs="Arial"/>
        </w:rPr>
        <w:instrText xml:space="preserve"> AUTONUM  </w:instrText>
      </w:r>
      <w:r w:rsidRPr="00CB171C">
        <w:rPr>
          <w:rFonts w:cs="Arial"/>
        </w:rPr>
        <w:fldChar w:fldCharType="end"/>
      </w:r>
      <w:r w:rsidRPr="00CB171C">
        <w:rPr>
          <w:rFonts w:cs="Arial"/>
        </w:rPr>
        <w:tab/>
        <w:t>Alle angenommenen Dokumente wurden in die UPOV-Sammlung aufgenommen.</w:t>
      </w:r>
    </w:p>
    <w:p w:rsidR="00580501" w:rsidRDefault="00580501" w:rsidP="00B073FE">
      <w:pPr>
        <w:rPr>
          <w:rFonts w:cs="Arial"/>
        </w:rPr>
      </w:pPr>
    </w:p>
    <w:p w:rsidR="004067B7" w:rsidRPr="004067B7" w:rsidRDefault="00580501" w:rsidP="00580501">
      <w:pPr>
        <w:rPr>
          <w:rFonts w:cs="Arial"/>
          <w:lang w:val="de-CH"/>
        </w:rPr>
      </w:pPr>
      <w:r w:rsidRPr="009A6348">
        <w:rPr>
          <w:rFonts w:cs="Arial"/>
        </w:rPr>
        <w:fldChar w:fldCharType="begin"/>
      </w:r>
      <w:r w:rsidRPr="004067B7">
        <w:rPr>
          <w:rFonts w:cs="Arial"/>
          <w:lang w:val="de-CH"/>
        </w:rPr>
        <w:instrText xml:space="preserve"> AUTONUM  </w:instrText>
      </w:r>
      <w:r w:rsidRPr="009A6348">
        <w:rPr>
          <w:rFonts w:cs="Arial"/>
        </w:rPr>
        <w:fldChar w:fldCharType="end"/>
      </w:r>
      <w:r w:rsidRPr="004067B7">
        <w:rPr>
          <w:rFonts w:cs="Arial"/>
          <w:lang w:val="de-CH"/>
        </w:rPr>
        <w:tab/>
      </w:r>
      <w:r w:rsidR="004067B7" w:rsidRPr="004067B7">
        <w:rPr>
          <w:rFonts w:cs="Arial"/>
          <w:lang w:val="de-CH"/>
        </w:rPr>
        <w:t>Die folgenden Dokumente werde</w:t>
      </w:r>
      <w:r w:rsidR="004067B7">
        <w:rPr>
          <w:rFonts w:cs="Arial"/>
          <w:lang w:val="de-CH"/>
        </w:rPr>
        <w:t>n</w:t>
      </w:r>
      <w:r w:rsidR="004067B7" w:rsidRPr="004067B7">
        <w:rPr>
          <w:rFonts w:cs="Arial"/>
          <w:lang w:val="de-CH"/>
        </w:rPr>
        <w:t xml:space="preserve"> vom Rat </w:t>
      </w:r>
      <w:r w:rsidR="004067B7">
        <w:rPr>
          <w:rFonts w:cs="Arial"/>
          <w:lang w:val="de-CH"/>
        </w:rPr>
        <w:t>auf seiner dreiunddreißigsten außerordentlichen Tagung am 6 April 2017 im Hinblick auf ihre</w:t>
      </w:r>
      <w:r w:rsidR="004067B7" w:rsidRPr="004067B7">
        <w:rPr>
          <w:rFonts w:cs="Arial"/>
          <w:lang w:val="de-CH"/>
        </w:rPr>
        <w:t xml:space="preserve"> </w:t>
      </w:r>
      <w:r w:rsidR="004067B7">
        <w:rPr>
          <w:rFonts w:cs="Arial"/>
          <w:lang w:val="de-CH"/>
        </w:rPr>
        <w:t>Annahme geprüft werden:</w:t>
      </w:r>
    </w:p>
    <w:p w:rsidR="004067B7" w:rsidRPr="004067B7" w:rsidRDefault="004067B7" w:rsidP="00580501">
      <w:pPr>
        <w:rPr>
          <w:rFonts w:cs="Arial"/>
          <w:lang w:val="de-CH"/>
        </w:rPr>
      </w:pPr>
    </w:p>
    <w:p w:rsidR="00580501" w:rsidRDefault="00580501" w:rsidP="00580501">
      <w:pPr>
        <w:ind w:left="2552" w:hanging="1985"/>
        <w:jc w:val="left"/>
      </w:pPr>
      <w:r>
        <w:t>UPOV/EXN/EDV/2</w:t>
      </w:r>
      <w:r>
        <w:tab/>
        <w:t xml:space="preserve">Erläuterungen zu den im wesentlichen abgeleiteten Sorten nach der </w:t>
      </w:r>
      <w:r>
        <w:br/>
        <w:t>Akte von 1991 des UPOV-Übereinkommens (Überarbeitung)</w:t>
      </w:r>
      <w:r>
        <w:br/>
        <w:t>(Dokument UPOV/EXN/EDV/2 Draft 8)</w:t>
      </w:r>
    </w:p>
    <w:p w:rsidR="00580501" w:rsidRDefault="00580501" w:rsidP="00580501">
      <w:pPr>
        <w:ind w:left="2552" w:hanging="1985"/>
        <w:jc w:val="left"/>
      </w:pPr>
    </w:p>
    <w:p w:rsidR="00580501" w:rsidRPr="009549AD" w:rsidRDefault="00580501" w:rsidP="00580501">
      <w:pPr>
        <w:ind w:left="2552" w:hanging="1985"/>
        <w:jc w:val="left"/>
      </w:pPr>
      <w:r>
        <w:t>UPOV/EXN/PPM/1</w:t>
      </w:r>
      <w:r>
        <w:tab/>
        <w:t>Erläuterungen zu Vermehrungsmaterial nach dem UPOV-Übereinkommen (Dokument UPOV/EXN/PPM/1 Draft 7)</w:t>
      </w:r>
    </w:p>
    <w:p w:rsidR="00580501" w:rsidRPr="009549AD" w:rsidRDefault="00580501" w:rsidP="00580501">
      <w:pPr>
        <w:ind w:left="2552" w:hanging="1985"/>
        <w:jc w:val="left"/>
      </w:pPr>
    </w:p>
    <w:p w:rsidR="00580501" w:rsidRDefault="00580501" w:rsidP="00580501">
      <w:pPr>
        <w:ind w:left="2552" w:hanging="1985"/>
        <w:jc w:val="left"/>
      </w:pPr>
      <w:r>
        <w:t>UPOV/INF/6/5</w:t>
      </w:r>
      <w:r>
        <w:tab/>
        <w:t xml:space="preserve">Anleitung zur Ausarbeitung von Rechtsvorschriften aufgrund der Akte von 1991 des UPOV-Übereinkommens (Überarbeitung) </w:t>
      </w:r>
      <w:r>
        <w:br/>
        <w:t>(Dokument C(Extr.)/34/2, Anlage)</w:t>
      </w:r>
    </w:p>
    <w:p w:rsidR="00580501" w:rsidRDefault="00580501" w:rsidP="00580501">
      <w:pPr>
        <w:ind w:left="2552" w:hanging="1985"/>
        <w:jc w:val="left"/>
      </w:pPr>
    </w:p>
    <w:p w:rsidR="00580501" w:rsidRPr="009549AD" w:rsidRDefault="00580501" w:rsidP="00580501">
      <w:pPr>
        <w:ind w:left="2552" w:hanging="1985"/>
        <w:jc w:val="left"/>
      </w:pPr>
      <w:r>
        <w:t>UPOV/INF-EXN/10</w:t>
      </w:r>
      <w:r>
        <w:tab/>
        <w:t xml:space="preserve">Liste der UPOV/INF-EXN-Dokumente und jüngstes Ausgabedatum (Überarbeitung) </w:t>
      </w:r>
      <w:r>
        <w:br/>
        <w:t>(Dokument UPOV/INF-EXN/10 Draft 1)</w:t>
      </w:r>
    </w:p>
    <w:p w:rsidR="00580501" w:rsidRDefault="00580501" w:rsidP="00B073FE">
      <w:pPr>
        <w:rPr>
          <w:rFonts w:cs="Arial"/>
        </w:rPr>
      </w:pPr>
    </w:p>
    <w:p w:rsidR="00580501" w:rsidRDefault="00580501" w:rsidP="00B073FE">
      <w:pPr>
        <w:rPr>
          <w:rFonts w:cs="Arial"/>
        </w:rPr>
      </w:pPr>
    </w:p>
    <w:p w:rsidR="00580501" w:rsidRPr="00401035" w:rsidRDefault="00580501" w:rsidP="00580501">
      <w:pPr>
        <w:pStyle w:val="Heading2"/>
        <w:rPr>
          <w:lang w:val="de-DE"/>
        </w:rPr>
      </w:pPr>
      <w:bookmarkStart w:id="81" w:name="_Toc478464903"/>
      <w:bookmarkStart w:id="82" w:name="_Toc478571470"/>
      <w:bookmarkStart w:id="83" w:name="_Toc478720868"/>
      <w:r w:rsidRPr="00401035">
        <w:rPr>
          <w:lang w:val="de-DE"/>
        </w:rPr>
        <w:t xml:space="preserve">Angelegenheiten, </w:t>
      </w:r>
      <w:r w:rsidR="004067B7" w:rsidRPr="00401035">
        <w:rPr>
          <w:lang w:val="de-DE"/>
        </w:rPr>
        <w:t>d</w:t>
      </w:r>
      <w:r w:rsidRPr="00401035">
        <w:rPr>
          <w:lang w:val="de-DE"/>
        </w:rPr>
        <w:t xml:space="preserve">ie </w:t>
      </w:r>
      <w:r w:rsidR="004067B7" w:rsidRPr="00401035">
        <w:rPr>
          <w:lang w:val="de-DE"/>
        </w:rPr>
        <w:t>v</w:t>
      </w:r>
      <w:r w:rsidRPr="00401035">
        <w:rPr>
          <w:lang w:val="de-DE"/>
        </w:rPr>
        <w:t xml:space="preserve">om Verwaltungs- </w:t>
      </w:r>
      <w:r w:rsidR="004067B7" w:rsidRPr="00401035">
        <w:rPr>
          <w:lang w:val="de-DE"/>
        </w:rPr>
        <w:t>u</w:t>
      </w:r>
      <w:r w:rsidRPr="00401035">
        <w:rPr>
          <w:lang w:val="de-DE"/>
        </w:rPr>
        <w:t>nd Rechtsausschuss zu prüfen sind</w:t>
      </w:r>
      <w:bookmarkEnd w:id="81"/>
      <w:bookmarkEnd w:id="82"/>
      <w:bookmarkEnd w:id="83"/>
    </w:p>
    <w:p w:rsidR="00580501" w:rsidRPr="00401035" w:rsidRDefault="00580501" w:rsidP="00B073FE">
      <w:pPr>
        <w:rPr>
          <w:rFonts w:cs="Arial"/>
        </w:rPr>
      </w:pPr>
    </w:p>
    <w:p w:rsidR="004067B7" w:rsidRPr="00733771" w:rsidRDefault="003C3CBD" w:rsidP="003C3CBD">
      <w:pPr>
        <w:rPr>
          <w:lang w:val="de-CH"/>
        </w:rPr>
      </w:pPr>
      <w:r w:rsidRPr="00454EC9">
        <w:fldChar w:fldCharType="begin"/>
      </w:r>
      <w:r w:rsidRPr="00733771">
        <w:rPr>
          <w:lang w:val="de-CH"/>
        </w:rPr>
        <w:instrText xml:space="preserve"> AUTONUM  </w:instrText>
      </w:r>
      <w:r w:rsidRPr="00454EC9">
        <w:fldChar w:fldCharType="end"/>
      </w:r>
      <w:r w:rsidRPr="00733771">
        <w:rPr>
          <w:lang w:val="de-CH"/>
        </w:rPr>
        <w:tab/>
      </w:r>
      <w:r w:rsidR="00733771" w:rsidRPr="00733771">
        <w:rPr>
          <w:lang w:val="de-CH"/>
        </w:rPr>
        <w:t>Die folgenden Angelegenheiten werden vom Verwaltungs- und Rechtsausschuss</w:t>
      </w:r>
      <w:r w:rsidR="00733771">
        <w:rPr>
          <w:lang w:val="de-CH"/>
        </w:rPr>
        <w:t xml:space="preserve"> auf seiner siebenundvierzigsten Tagung am 23. und 24. Oktober 2017 geprüft werden.</w:t>
      </w:r>
    </w:p>
    <w:p w:rsidR="003C3CBD" w:rsidRPr="00401035" w:rsidRDefault="003C3CBD" w:rsidP="00B073FE">
      <w:pPr>
        <w:rPr>
          <w:rFonts w:cs="Arial"/>
        </w:rPr>
      </w:pPr>
    </w:p>
    <w:p w:rsidR="00F55E36" w:rsidRPr="00075AC2" w:rsidRDefault="00F55E36" w:rsidP="00F55E36">
      <w:pPr>
        <w:ind w:left="1701" w:hanging="567"/>
        <w:rPr>
          <w:kern w:val="28"/>
        </w:rPr>
      </w:pPr>
      <w:r>
        <w:t>a)</w:t>
      </w:r>
      <w:r>
        <w:tab/>
        <w:t>Etwaige Überarbeitung von Dokument UPOV/EXN/EDV/2 Erläuterungen zu den im wesentlichen abgeleiteten Sorten nach der Akte von 1991 des UPOV-Übereinkommens (Überarbeitung)</w:t>
      </w:r>
    </w:p>
    <w:p w:rsidR="00F55E36" w:rsidRPr="00075AC2" w:rsidRDefault="00F55E36" w:rsidP="00F55E36">
      <w:pPr>
        <w:ind w:left="567"/>
        <w:rPr>
          <w:kern w:val="28"/>
        </w:rPr>
      </w:pPr>
    </w:p>
    <w:p w:rsidR="00F55E36" w:rsidRPr="00075AC2" w:rsidRDefault="00F55E36" w:rsidP="00F55E36">
      <w:pPr>
        <w:keepNext/>
        <w:ind w:left="1701" w:hanging="567"/>
      </w:pPr>
      <w:r>
        <w:t>b)</w:t>
      </w:r>
      <w:r>
        <w:tab/>
        <w:t>Etwaige Überarbeitung von Dokument UPOV/EXN/CAL/1 „Erläuterungen zu den Bedingungen und Einschränkungen im Zusammenhang mit der Zustimmung des Züchters in bezug auf Vermehrungsmaterial nach dem UPOV-Übereinkommen“</w:t>
      </w:r>
    </w:p>
    <w:p w:rsidR="00F55E36" w:rsidRPr="00075AC2" w:rsidRDefault="00F55E36" w:rsidP="00F55E36">
      <w:pPr>
        <w:keepNext/>
      </w:pPr>
    </w:p>
    <w:p w:rsidR="00F55E36" w:rsidRPr="00075AC2" w:rsidRDefault="00F55E36" w:rsidP="00F55E36">
      <w:pPr>
        <w:keepNext/>
        <w:ind w:left="1701" w:hanging="567"/>
      </w:pPr>
      <w:r>
        <w:t>c)</w:t>
      </w:r>
      <w:r>
        <w:tab/>
        <w:t>Etwaige Überarbeitung von Dokument UPOV/EXN/PRP/2 „Erläuterungen zum vorläufigen Schutz nach dem UPOV Übereinkommen“</w:t>
      </w:r>
    </w:p>
    <w:p w:rsidR="00580501" w:rsidRPr="00F55E36" w:rsidRDefault="00580501" w:rsidP="00B073FE">
      <w:pPr>
        <w:rPr>
          <w:rFonts w:cs="Arial"/>
        </w:rPr>
      </w:pPr>
    </w:p>
    <w:p w:rsidR="00580501" w:rsidRPr="00F55E36" w:rsidRDefault="00F55E36" w:rsidP="00B073FE">
      <w:pPr>
        <w:rPr>
          <w:rFonts w:cs="Arial"/>
        </w:rPr>
      </w:pPr>
      <w:r>
        <w:fldChar w:fldCharType="begin"/>
      </w:r>
      <w:r>
        <w:instrText xml:space="preserve"> AUTONUM  </w:instrText>
      </w:r>
      <w:r>
        <w:fldChar w:fldCharType="end"/>
      </w:r>
      <w:r>
        <w:tab/>
      </w:r>
      <w:r w:rsidR="00733771">
        <w:t>D</w:t>
      </w:r>
      <w:r>
        <w:t>er CAJ vereinbarte</w:t>
      </w:r>
      <w:r w:rsidR="00733771">
        <w:t xml:space="preserve"> auf seiner dreiundsiebzigsten Tagung</w:t>
      </w:r>
      <w:r>
        <w:t>, die Ausarbeitung eines Entwurfs einer Überarbeitung von Dokument UPOV/INF/5 „UPOV-Musteramtsblatt für Sortenschutz (Überarbeitung)” (Dokument UPOV/INF/5/1 Draft 1) in Erwartung der Entwicklungen in Bezug auf die Ausarbeitung eines Prototyps des elektronischen Formblatts weiterhin zurückzustellen (vergleiche Dokument CAJ/73/4 „Elektronisches Antragsformblatt“)</w:t>
      </w:r>
    </w:p>
    <w:p w:rsidR="00580501" w:rsidRDefault="00580501" w:rsidP="00B073FE">
      <w:pPr>
        <w:rPr>
          <w:rFonts w:cs="Arial"/>
        </w:rPr>
      </w:pPr>
    </w:p>
    <w:p w:rsidR="00F55E36" w:rsidRDefault="00F55E36" w:rsidP="00B073FE">
      <w:pPr>
        <w:rPr>
          <w:rFonts w:cs="Arial"/>
        </w:rPr>
      </w:pPr>
    </w:p>
    <w:p w:rsidR="003C3CBD" w:rsidRPr="00401035" w:rsidRDefault="003C3CBD" w:rsidP="00733771">
      <w:pPr>
        <w:pStyle w:val="Heading1"/>
        <w:keepNext/>
      </w:pPr>
      <w:bookmarkStart w:id="84" w:name="_Toc478720869"/>
      <w:r w:rsidRPr="00401035">
        <w:t>Beobachter bei UPOV-Organen</w:t>
      </w:r>
      <w:bookmarkEnd w:id="84"/>
      <w:r w:rsidRPr="00401035">
        <w:t xml:space="preserve"> </w:t>
      </w:r>
    </w:p>
    <w:p w:rsidR="003C3CBD" w:rsidRPr="00401035" w:rsidRDefault="003C3CBD" w:rsidP="00733771">
      <w:pPr>
        <w:pStyle w:val="Heading1"/>
        <w:keepNext/>
      </w:pPr>
    </w:p>
    <w:p w:rsidR="003C3CBD" w:rsidRPr="00733771" w:rsidRDefault="003C3CBD" w:rsidP="003C3CBD">
      <w:pPr>
        <w:rPr>
          <w:rFonts w:cs="Arial"/>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 xml:space="preserve">Der Beratende Ausschuß nahm </w:t>
      </w:r>
      <w:r w:rsidR="00733771">
        <w:rPr>
          <w:lang w:eastAsia="de-DE" w:bidi="de-DE"/>
        </w:rPr>
        <w:t xml:space="preserve">auf seiner zweiundneunzigsten Tagung </w:t>
      </w:r>
      <w:r w:rsidRPr="003D204B">
        <w:rPr>
          <w:lang w:eastAsia="de-DE" w:bidi="de-DE"/>
        </w:rPr>
        <w:t>die gegenüber Sachverständigen ausgesprochenen</w:t>
      </w:r>
      <w:r w:rsidRPr="003D204B">
        <w:rPr>
          <w:i/>
          <w:lang w:eastAsia="de-DE" w:bidi="de-DE"/>
        </w:rPr>
        <w:t xml:space="preserve"> </w:t>
      </w:r>
      <w:r w:rsidRPr="003D204B">
        <w:rPr>
          <w:lang w:eastAsia="de-DE" w:bidi="de-DE"/>
        </w:rPr>
        <w:t>Ad-hoc-Einladungen, zur Kenntnis.</w:t>
      </w:r>
    </w:p>
    <w:p w:rsidR="003C3CBD" w:rsidRPr="003D204B" w:rsidRDefault="003C3CBD" w:rsidP="003C3CBD">
      <w:pPr>
        <w:rPr>
          <w:lang w:eastAsia="de-DE" w:bidi="de-DE"/>
        </w:rPr>
      </w:pPr>
    </w:p>
    <w:p w:rsidR="003C3CBD" w:rsidRPr="003D204B" w:rsidRDefault="003C3CBD" w:rsidP="003C3CBD">
      <w:pPr>
        <w:rPr>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 xml:space="preserve">Der Beratende Ausschuß prüfte </w:t>
      </w:r>
      <w:r w:rsidR="00733771">
        <w:rPr>
          <w:lang w:eastAsia="de-DE" w:bidi="de-DE"/>
        </w:rPr>
        <w:t>auf seiner zweiundneunzigsten Tagung</w:t>
      </w:r>
      <w:r w:rsidR="00733771" w:rsidRPr="003D204B">
        <w:rPr>
          <w:lang w:eastAsia="de-DE" w:bidi="de-DE"/>
        </w:rPr>
        <w:t xml:space="preserve"> </w:t>
      </w:r>
      <w:r w:rsidRPr="003D204B">
        <w:rPr>
          <w:lang w:eastAsia="de-DE" w:bidi="de-DE"/>
        </w:rPr>
        <w:t>die vom International Institute for IP Management (I</w:t>
      </w:r>
      <w:r w:rsidRPr="003D204B">
        <w:rPr>
          <w:vertAlign w:val="superscript"/>
          <w:lang w:eastAsia="de-DE" w:bidi="de-DE"/>
        </w:rPr>
        <w:t>3</w:t>
      </w:r>
      <w:r w:rsidRPr="003D204B">
        <w:rPr>
          <w:lang w:eastAsia="de-DE" w:bidi="de-DE"/>
        </w:rPr>
        <w:t>PM) auf seiner zweiundneunzigsten Tagung erteilten Informationen in bezug auf das Gesuch des I</w:t>
      </w:r>
      <w:r w:rsidRPr="003D204B">
        <w:rPr>
          <w:vertAlign w:val="superscript"/>
          <w:lang w:eastAsia="de-DE" w:bidi="de-DE"/>
        </w:rPr>
        <w:t>3</w:t>
      </w:r>
      <w:r w:rsidRPr="003D204B">
        <w:rPr>
          <w:lang w:eastAsia="de-DE" w:bidi="de-DE"/>
        </w:rPr>
        <w:t xml:space="preserve">PM um Erteilung des Beobachterstatus beim Rat (vergleiche Dokument CC/92/5). </w:t>
      </w:r>
      <w:r>
        <w:rPr>
          <w:lang w:eastAsia="de-DE" w:bidi="de-DE"/>
        </w:rPr>
        <w:t xml:space="preserve"> </w:t>
      </w:r>
    </w:p>
    <w:p w:rsidR="003C3CBD" w:rsidRPr="003D204B" w:rsidRDefault="003C3CBD" w:rsidP="003C3CBD">
      <w:pPr>
        <w:rPr>
          <w:lang w:eastAsia="de-DE" w:bidi="de-DE"/>
        </w:rPr>
      </w:pPr>
    </w:p>
    <w:p w:rsidR="003C3CBD" w:rsidRPr="003D204B" w:rsidRDefault="003C3CBD" w:rsidP="003C3CBD">
      <w:pPr>
        <w:rPr>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Der Beratende Ausschuß kam zu dem Schluß, daß es zu diesem Zeitpunkt nicht möglich sei, zuzustimmen, daß das I</w:t>
      </w:r>
      <w:r w:rsidRPr="003D204B">
        <w:rPr>
          <w:vertAlign w:val="superscript"/>
          <w:lang w:eastAsia="de-DE" w:bidi="de-DE"/>
        </w:rPr>
        <w:t>3</w:t>
      </w:r>
      <w:r w:rsidRPr="003D204B">
        <w:rPr>
          <w:lang w:eastAsia="de-DE" w:bidi="de-DE"/>
        </w:rPr>
        <w:t xml:space="preserve">PM seine „Zuständigkeit in Bereichen von direktem Belang bezüglich der vom UPOV-Übereinkommen geregelten Angelegenheiten“ nachgewiesen habe. </w:t>
      </w:r>
      <w:r>
        <w:rPr>
          <w:lang w:eastAsia="de-DE" w:bidi="de-DE"/>
        </w:rPr>
        <w:t xml:space="preserve"> </w:t>
      </w:r>
    </w:p>
    <w:p w:rsidR="003C3CBD" w:rsidRPr="003D204B" w:rsidRDefault="003C3CBD" w:rsidP="003C3CBD">
      <w:pPr>
        <w:rPr>
          <w:lang w:eastAsia="de-DE" w:bidi="de-DE"/>
        </w:rPr>
      </w:pPr>
    </w:p>
    <w:p w:rsidR="003C3CBD" w:rsidRDefault="003C3CBD" w:rsidP="003C3CBD">
      <w:pPr>
        <w:rPr>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In bezug auf das Gesuch der Europäischen Jurastudentenvereinigung (ELSA) um Erteilung des Beobachterstatus beim Rat und beim CAJ kam der Beratende Ausschuß zu dem Schluß, daß es zu diesem Zeitpunkt nicht möglich sei, zuzustimmen, daß ELSA seine „Zuständigkeit in Bereichen von direktem Belang bezüglich der vom UPOV-Übereinkommen geregelten Angelegenheiten“ nachgewiesen habe.</w:t>
      </w:r>
      <w:r>
        <w:rPr>
          <w:lang w:eastAsia="de-DE" w:bidi="de-DE"/>
        </w:rPr>
        <w:t xml:space="preserve"> </w:t>
      </w:r>
    </w:p>
    <w:p w:rsidR="00733771" w:rsidRPr="003D204B" w:rsidRDefault="00733771" w:rsidP="003C3CBD">
      <w:pPr>
        <w:rPr>
          <w:lang w:eastAsia="de-DE" w:bidi="de-DE"/>
        </w:rPr>
      </w:pPr>
    </w:p>
    <w:p w:rsidR="003C3CBD" w:rsidRPr="003D204B" w:rsidRDefault="003C3CBD" w:rsidP="003C3CBD">
      <w:pPr>
        <w:rPr>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Der Beratende Ausschuß bat das Verbandsbüro, wenn es I</w:t>
      </w:r>
      <w:r w:rsidRPr="003D204B">
        <w:rPr>
          <w:vertAlign w:val="superscript"/>
          <w:lang w:eastAsia="de-DE" w:bidi="de-DE"/>
        </w:rPr>
        <w:t>3</w:t>
      </w:r>
      <w:r w:rsidRPr="003D204B">
        <w:rPr>
          <w:lang w:eastAsia="de-DE" w:bidi="de-DE"/>
        </w:rPr>
        <w:t>PM und ELSA über das Ergebnis in Kenntnis setzt, anzubieten, daß es Möglichkeiten dafür erkunden werde, wie den Mitgliedern Informationen über das UPOV-Sortenschutzsystem erteilt werden können.</w:t>
      </w:r>
      <w:r>
        <w:rPr>
          <w:lang w:eastAsia="de-DE" w:bidi="de-DE"/>
        </w:rPr>
        <w:t xml:space="preserve"> </w:t>
      </w:r>
    </w:p>
    <w:p w:rsidR="00F55E36" w:rsidRPr="003C3CBD" w:rsidRDefault="00F55E36" w:rsidP="00B073FE">
      <w:pPr>
        <w:rPr>
          <w:rFonts w:cs="Arial"/>
        </w:rPr>
      </w:pPr>
    </w:p>
    <w:p w:rsidR="00F55E36" w:rsidRPr="003C3CBD" w:rsidRDefault="00F55E36" w:rsidP="00B073FE">
      <w:pPr>
        <w:rPr>
          <w:rFonts w:cs="Arial"/>
        </w:rPr>
      </w:pPr>
    </w:p>
    <w:p w:rsidR="00B073FE" w:rsidRPr="007B07C7" w:rsidRDefault="00B073FE" w:rsidP="00815CDD">
      <w:pPr>
        <w:pStyle w:val="Heading1"/>
      </w:pPr>
      <w:bookmarkStart w:id="85" w:name="_Toc379530085"/>
      <w:bookmarkStart w:id="86" w:name="_Toc380483672"/>
      <w:bookmarkStart w:id="87" w:name="_Toc380419872"/>
      <w:bookmarkStart w:id="88" w:name="_Toc380391632"/>
      <w:bookmarkStart w:id="89" w:name="_Toc444242880"/>
      <w:bookmarkStart w:id="90" w:name="_Toc381174872"/>
      <w:bookmarkStart w:id="91" w:name="_Toc443988421"/>
      <w:bookmarkStart w:id="92" w:name="_Toc478720870"/>
      <w:r w:rsidRPr="007B07C7">
        <w:t>Kommunikationsstrateg</w:t>
      </w:r>
      <w:bookmarkEnd w:id="85"/>
      <w:r w:rsidRPr="007B07C7">
        <w:t>ie</w:t>
      </w:r>
      <w:bookmarkEnd w:id="86"/>
      <w:bookmarkEnd w:id="87"/>
      <w:bookmarkEnd w:id="88"/>
      <w:bookmarkEnd w:id="89"/>
      <w:bookmarkEnd w:id="92"/>
      <w:r w:rsidR="003C3CBD" w:rsidRPr="007B07C7">
        <w:t xml:space="preserve"> </w:t>
      </w:r>
    </w:p>
    <w:bookmarkEnd w:id="90"/>
    <w:bookmarkEnd w:id="91"/>
    <w:p w:rsidR="00B073FE" w:rsidRDefault="00B073FE" w:rsidP="00B073FE">
      <w:pPr>
        <w:rPr>
          <w:rFonts w:cs="Arial"/>
        </w:rPr>
      </w:pPr>
    </w:p>
    <w:p w:rsidR="003C3CBD" w:rsidRPr="003C3CBD" w:rsidRDefault="003C3CBD" w:rsidP="003C3CBD">
      <w:pPr>
        <w:pStyle w:val="Heading2"/>
        <w:rPr>
          <w:lang w:val="de-DE"/>
        </w:rPr>
      </w:pPr>
      <w:bookmarkStart w:id="93" w:name="_Toc478720871"/>
      <w:r w:rsidRPr="003C3CBD">
        <w:rPr>
          <w:lang w:val="de-DE"/>
        </w:rPr>
        <w:t>Neues UPOV-Logo und aktualisierte Website</w:t>
      </w:r>
      <w:bookmarkEnd w:id="93"/>
    </w:p>
    <w:p w:rsidR="003C3CBD" w:rsidRDefault="003C3CBD" w:rsidP="00B073FE">
      <w:pPr>
        <w:rPr>
          <w:rFonts w:cs="Arial"/>
        </w:rPr>
      </w:pPr>
    </w:p>
    <w:p w:rsidR="003C3CBD" w:rsidRPr="000657DF" w:rsidRDefault="00287182" w:rsidP="003C3CBD">
      <w:pPr>
        <w:rPr>
          <w:rFonts w:cs="Arial"/>
          <w:u w:val="singl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r>
      <w:r w:rsidR="003C3CBD" w:rsidRPr="000657DF">
        <w:rPr>
          <w:rFonts w:cs="Arial"/>
        </w:rPr>
        <w:t xml:space="preserve">Am 8. November 2016 </w:t>
      </w:r>
      <w:r w:rsidR="00733771">
        <w:rPr>
          <w:rFonts w:cs="Arial"/>
        </w:rPr>
        <w:t>lancierte die</w:t>
      </w:r>
      <w:r w:rsidR="003C3CBD" w:rsidRPr="000657DF">
        <w:rPr>
          <w:rFonts w:cs="Arial"/>
        </w:rPr>
        <w:t xml:space="preserve"> UPOV </w:t>
      </w:r>
      <w:r w:rsidR="00733771">
        <w:rPr>
          <w:rFonts w:cs="Arial"/>
        </w:rPr>
        <w:t xml:space="preserve">ihr </w:t>
      </w:r>
      <w:r w:rsidR="003C3CBD" w:rsidRPr="000657DF">
        <w:rPr>
          <w:rFonts w:cs="Arial"/>
        </w:rPr>
        <w:t xml:space="preserve">neues Logo, das in Verbindung mit der Einführung der neuen interessengruppenbezogenen Funktionen für Züchter, Landwirte, politische Entscheidungsträger und die allgemeine Öffentlichkeit </w:t>
      </w:r>
      <w:r w:rsidR="003C3CBD">
        <w:rPr>
          <w:rFonts w:cs="Arial"/>
        </w:rPr>
        <w:t>sowie</w:t>
      </w:r>
      <w:r w:rsidR="003C3CBD" w:rsidRPr="000657DF">
        <w:rPr>
          <w:rFonts w:cs="Arial"/>
        </w:rPr>
        <w:t xml:space="preserve"> mit der Einführung des </w:t>
      </w:r>
      <w:r w:rsidR="003C3CBD" w:rsidRPr="005626E9">
        <w:rPr>
          <w:snapToGrid w:val="0"/>
        </w:rPr>
        <w:t xml:space="preserve">UPOV-Kanals auf YouTube </w:t>
      </w:r>
      <w:r w:rsidR="003C3CBD" w:rsidRPr="000657DF">
        <w:rPr>
          <w:rFonts w:cs="Arial"/>
        </w:rPr>
        <w:t xml:space="preserve">auf der </w:t>
      </w:r>
      <w:r w:rsidR="00733771">
        <w:rPr>
          <w:rFonts w:cs="Arial"/>
        </w:rPr>
        <w:t>UPOV</w:t>
      </w:r>
      <w:r w:rsidR="00733771">
        <w:rPr>
          <w:rFonts w:cs="Arial"/>
        </w:rPr>
        <w:noBreakHyphen/>
      </w:r>
      <w:r w:rsidR="003C3CBD" w:rsidRPr="000657DF">
        <w:rPr>
          <w:rFonts w:cs="Arial"/>
        </w:rPr>
        <w:t>Website</w:t>
      </w:r>
      <w:r w:rsidR="003C3CBD">
        <w:rPr>
          <w:rFonts w:cs="Arial"/>
        </w:rPr>
        <w:t xml:space="preserve"> eingeführt </w:t>
      </w:r>
      <w:r w:rsidR="00733771">
        <w:rPr>
          <w:rFonts w:cs="Arial"/>
        </w:rPr>
        <w:t>wurde</w:t>
      </w:r>
      <w:r w:rsidR="003C3CBD" w:rsidRPr="000657DF">
        <w:rPr>
          <w:rFonts w:cs="Arial"/>
        </w:rPr>
        <w:t>.</w:t>
      </w:r>
    </w:p>
    <w:p w:rsidR="003C3CBD" w:rsidRPr="000627DA" w:rsidRDefault="003C3CBD" w:rsidP="003C3CBD">
      <w:pPr>
        <w:rPr>
          <w:rFonts w:cs="Arial"/>
          <w:u w:val="single"/>
          <w:lang w:val="de-C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3C3CBD" w:rsidRPr="000657DF" w:rsidTr="00576258">
        <w:tc>
          <w:tcPr>
            <w:tcW w:w="9855" w:type="dxa"/>
          </w:tcPr>
          <w:p w:rsidR="003C3CBD" w:rsidRPr="000657DF" w:rsidRDefault="003C3CBD" w:rsidP="00576258">
            <w:pPr>
              <w:jc w:val="center"/>
              <w:rPr>
                <w:rFonts w:cs="Arial"/>
              </w:rPr>
            </w:pPr>
            <w:r w:rsidRPr="000657DF">
              <w:rPr>
                <w:rFonts w:cs="Arial"/>
                <w:noProof/>
                <w:lang w:val="en-US"/>
              </w:rPr>
              <w:drawing>
                <wp:inline distT="0" distB="0" distL="0" distR="0" wp14:anchorId="7D1E7B30" wp14:editId="1568E297">
                  <wp:extent cx="3009900" cy="771769"/>
                  <wp:effectExtent l="0" t="0" r="0" b="9525"/>
                  <wp:docPr id="1" name="Picture 1" descr="N:\OrgUPOV\Shared\Logo_new\Finalized_logo\logo\png_jpg\green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gUPOV\Shared\Logo_new\Finalized_logo\logo\png_jpg\green_tran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9900" cy="771769"/>
                          </a:xfrm>
                          <a:prstGeom prst="rect">
                            <a:avLst/>
                          </a:prstGeom>
                          <a:noFill/>
                          <a:ln>
                            <a:noFill/>
                          </a:ln>
                        </pic:spPr>
                      </pic:pic>
                    </a:graphicData>
                  </a:graphic>
                </wp:inline>
              </w:drawing>
            </w:r>
          </w:p>
          <w:p w:rsidR="003C3CBD" w:rsidRPr="000657DF" w:rsidRDefault="003C3CBD" w:rsidP="00576258">
            <w:pPr>
              <w:jc w:val="center"/>
              <w:rPr>
                <w:rFonts w:cs="Arial"/>
              </w:rPr>
            </w:pPr>
          </w:p>
        </w:tc>
      </w:tr>
    </w:tbl>
    <w:p w:rsidR="003C3CBD" w:rsidRDefault="003C3CBD" w:rsidP="00B073FE">
      <w:pPr>
        <w:rPr>
          <w:rFonts w:cs="Arial"/>
        </w:rPr>
      </w:pPr>
    </w:p>
    <w:p w:rsidR="00287182" w:rsidRPr="00287182" w:rsidRDefault="00287182" w:rsidP="00287182">
      <w:pPr>
        <w:pStyle w:val="Heading2"/>
        <w:rPr>
          <w:lang w:val="de-DE"/>
        </w:rPr>
      </w:pPr>
      <w:bookmarkStart w:id="94" w:name="_Toc478720872"/>
      <w:r w:rsidRPr="00287182">
        <w:rPr>
          <w:lang w:val="de-DE"/>
        </w:rPr>
        <w:t>Häufig gestellte Fragen (FAQs)</w:t>
      </w:r>
      <w:bookmarkEnd w:id="94"/>
      <w:r w:rsidRPr="00287182">
        <w:rPr>
          <w:lang w:val="de-DE"/>
        </w:rPr>
        <w:t xml:space="preserve"> </w:t>
      </w:r>
    </w:p>
    <w:p w:rsidR="003C3CBD" w:rsidRDefault="003C3CBD" w:rsidP="00B073FE">
      <w:pPr>
        <w:rPr>
          <w:rFonts w:cs="Arial"/>
        </w:rPr>
      </w:pPr>
    </w:p>
    <w:p w:rsidR="003C3CBD" w:rsidRDefault="00287182" w:rsidP="00B073FE">
      <w:pPr>
        <w:rPr>
          <w:lang w:eastAsia="de-DE" w:bidi="de-DE"/>
        </w:rPr>
      </w:pPr>
      <w:r w:rsidRPr="003D204B">
        <w:rPr>
          <w:lang w:eastAsia="de-DE" w:bidi="de-DE"/>
        </w:rPr>
        <w:fldChar w:fldCharType="begin"/>
      </w:r>
      <w:r w:rsidRPr="00287182">
        <w:rPr>
          <w:lang w:eastAsia="de-DE" w:bidi="de-DE"/>
        </w:rPr>
        <w:instrText xml:space="preserve"> AUTONUM  </w:instrText>
      </w:r>
      <w:r w:rsidRPr="003D204B">
        <w:rPr>
          <w:lang w:eastAsia="de-DE" w:bidi="de-DE"/>
        </w:rPr>
        <w:fldChar w:fldCharType="end"/>
      </w:r>
      <w:r w:rsidRPr="00287182">
        <w:rPr>
          <w:lang w:eastAsia="de-DE" w:bidi="de-DE"/>
        </w:rPr>
        <w:tab/>
      </w:r>
      <w:r w:rsidRPr="003D204B">
        <w:rPr>
          <w:lang w:eastAsia="de-DE" w:bidi="de-DE"/>
        </w:rPr>
        <w:t>Der Beratende Ausschuß vereinbarte</w:t>
      </w:r>
      <w:r w:rsidR="00FC18F7">
        <w:rPr>
          <w:lang w:eastAsia="de-DE" w:bidi="de-DE"/>
        </w:rPr>
        <w:t xml:space="preserve"> auf seiner zweiundneunzigsten Tagung</w:t>
      </w:r>
      <w:r w:rsidRPr="003D204B">
        <w:rPr>
          <w:lang w:eastAsia="de-DE" w:bidi="de-DE"/>
        </w:rPr>
        <w:t>, daß die vorgeschlagene FAQ darüber, wie das UPOV-Sortenschutzsystem zu den Zielen der nachhaltigen Entwicklung (SDG) der Vereinten Nationen beiträgt</w:t>
      </w:r>
      <w:r w:rsidR="000627DA">
        <w:rPr>
          <w:lang w:eastAsia="de-DE" w:bidi="de-DE"/>
        </w:rPr>
        <w:t>,</w:t>
      </w:r>
      <w:r w:rsidRPr="003D204B">
        <w:rPr>
          <w:lang w:eastAsia="de-DE" w:bidi="de-DE"/>
        </w:rPr>
        <w:t xml:space="preserve"> an den Beratenden Ausschuß mit der Einladung, Vorschläge zur Überarbeitung des Textes und Bespiele einzureichen, verbreitet werden soll. Auf der Grundlage der eingegangenen Beiträge würde ein neuer Entwurf zur Prüfung durch den Beratenden Ausschuß auf seiner vierundneunzigsten Tagung im Oktober 2017 erstellt werden</w:t>
      </w:r>
      <w:r>
        <w:rPr>
          <w:lang w:eastAsia="de-DE" w:bidi="de-DE"/>
        </w:rPr>
        <w:t>.</w:t>
      </w:r>
    </w:p>
    <w:p w:rsidR="00287182" w:rsidRDefault="00287182" w:rsidP="00B073FE">
      <w:pPr>
        <w:rPr>
          <w:lang w:eastAsia="de-DE" w:bidi="de-DE"/>
        </w:rPr>
      </w:pPr>
    </w:p>
    <w:p w:rsidR="00287182" w:rsidRPr="00287182" w:rsidRDefault="00287182" w:rsidP="00B073FE">
      <w:pPr>
        <w:rPr>
          <w:rFonts w:cs="Arial"/>
        </w:rPr>
      </w:pPr>
    </w:p>
    <w:p w:rsidR="00287182" w:rsidRPr="00287182" w:rsidRDefault="00287182" w:rsidP="00287182">
      <w:pPr>
        <w:pStyle w:val="Heading2"/>
        <w:rPr>
          <w:lang w:val="de-DE"/>
        </w:rPr>
      </w:pPr>
      <w:bookmarkStart w:id="95" w:name="_Toc478464908"/>
      <w:bookmarkStart w:id="96" w:name="_Toc478720873"/>
      <w:r w:rsidRPr="00287182">
        <w:rPr>
          <w:lang w:val="de-DE"/>
        </w:rPr>
        <w:t>Benefits of the UPOV</w:t>
      </w:r>
      <w:r w:rsidR="000627DA">
        <w:rPr>
          <w:lang w:val="de-DE"/>
        </w:rPr>
        <w:noBreakHyphen/>
      </w:r>
      <w:r w:rsidRPr="00287182">
        <w:rPr>
          <w:lang w:val="de-DE"/>
        </w:rPr>
        <w:t>System</w:t>
      </w:r>
      <w:bookmarkEnd w:id="95"/>
      <w:bookmarkEnd w:id="96"/>
    </w:p>
    <w:p w:rsidR="003C3CBD" w:rsidRPr="00287182" w:rsidRDefault="003C3CBD" w:rsidP="00B073FE">
      <w:pPr>
        <w:rPr>
          <w:rFonts w:cs="Arial"/>
        </w:rPr>
      </w:pPr>
    </w:p>
    <w:p w:rsidR="003C3CBD" w:rsidRPr="00287182" w:rsidRDefault="00287182" w:rsidP="00B073FE">
      <w:pPr>
        <w:rPr>
          <w:rFonts w:cs="Arial"/>
        </w:rPr>
      </w:pPr>
      <w:r w:rsidRPr="003D204B">
        <w:rPr>
          <w:lang w:eastAsia="de-DE" w:bidi="de-DE"/>
        </w:rPr>
        <w:fldChar w:fldCharType="begin"/>
      </w:r>
      <w:r w:rsidRPr="00287182">
        <w:rPr>
          <w:lang w:eastAsia="de-DE" w:bidi="de-DE"/>
        </w:rPr>
        <w:instrText xml:space="preserve"> AUTONUM  </w:instrText>
      </w:r>
      <w:r w:rsidRPr="003D204B">
        <w:rPr>
          <w:lang w:eastAsia="de-DE" w:bidi="de-DE"/>
        </w:rPr>
        <w:fldChar w:fldCharType="end"/>
      </w:r>
      <w:r w:rsidRPr="00287182">
        <w:rPr>
          <w:lang w:eastAsia="de-DE" w:bidi="de-DE"/>
        </w:rPr>
        <w:tab/>
      </w:r>
      <w:r w:rsidRPr="003D204B">
        <w:rPr>
          <w:lang w:eastAsia="de-DE" w:bidi="de-DE"/>
        </w:rPr>
        <w:t>Der Beratende Ausschuß vereinbarte, daß es nicht durchführbar wäre, eine aktualisierte Fassung der Auswirkungsstudie im derzeitigen Format zu erstellen und vereinbarte, daß einzelne Verbandsmitglieder dazu aufgefordert werden sollen, eigene Studien durchzuführen und dem Verbandsbüro die daraus resultierenden Informationen bereitzustellen. Er vereinbarte auch, daß das Verbandsbüro Videos zur Veranschaulichung der verschiedenen Vorteile des UPOV-Sortenschutzsystems entwickeln solle</w:t>
      </w:r>
      <w:r w:rsidR="000627DA">
        <w:rPr>
          <w:lang w:eastAsia="de-DE" w:bidi="de-DE"/>
        </w:rPr>
        <w:t>.</w:t>
      </w:r>
    </w:p>
    <w:p w:rsidR="003C3CBD" w:rsidRPr="00287182" w:rsidRDefault="003C3CBD" w:rsidP="00B073FE">
      <w:pPr>
        <w:rPr>
          <w:rFonts w:cs="Arial"/>
        </w:rPr>
      </w:pPr>
    </w:p>
    <w:p w:rsidR="00B073FE" w:rsidRPr="00CB171C" w:rsidRDefault="00B073FE" w:rsidP="00B073FE">
      <w:pPr>
        <w:rPr>
          <w:rFonts w:cs="Arial"/>
        </w:rPr>
      </w:pPr>
    </w:p>
    <w:p w:rsidR="00B073FE" w:rsidRPr="00CB171C" w:rsidRDefault="00B073FE" w:rsidP="00B073FE">
      <w:pPr>
        <w:pStyle w:val="Heading2"/>
        <w:rPr>
          <w:rFonts w:cs="Arial"/>
          <w:lang w:val="de-DE"/>
        </w:rPr>
      </w:pPr>
      <w:bookmarkStart w:id="97" w:name="_Toc444242881"/>
      <w:bookmarkStart w:id="98" w:name="_Toc478720874"/>
      <w:r w:rsidRPr="00CB171C">
        <w:rPr>
          <w:rFonts w:cs="Arial"/>
          <w:lang w:val="de-DE"/>
        </w:rPr>
        <w:lastRenderedPageBreak/>
        <w:t>Fernlehrgänge</w:t>
      </w:r>
      <w:bookmarkEnd w:id="97"/>
      <w:bookmarkEnd w:id="98"/>
    </w:p>
    <w:p w:rsidR="00B073FE" w:rsidRPr="00CB171C" w:rsidRDefault="00B073FE" w:rsidP="00B073FE">
      <w:pPr>
        <w:keepNext/>
        <w:rPr>
          <w:rFonts w:cs="Arial"/>
        </w:rPr>
      </w:pPr>
    </w:p>
    <w:p w:rsidR="00B073FE" w:rsidRPr="00CB171C" w:rsidRDefault="00B073FE" w:rsidP="00B073FE">
      <w:pPr>
        <w:autoSpaceDE w:val="0"/>
        <w:autoSpaceDN w:val="0"/>
        <w:adjustRightInd w:val="0"/>
        <w:rPr>
          <w:rFonts w:cs="Arial"/>
        </w:rPr>
      </w:pPr>
      <w:r w:rsidRPr="00CB171C">
        <w:rPr>
          <w:rFonts w:cs="Arial"/>
        </w:rPr>
        <w:fldChar w:fldCharType="begin"/>
      </w:r>
      <w:r w:rsidRPr="00CB171C">
        <w:rPr>
          <w:rFonts w:cs="Arial"/>
        </w:rPr>
        <w:instrText xml:space="preserve"> AUTONUM  </w:instrText>
      </w:r>
      <w:r w:rsidRPr="00CB171C">
        <w:rPr>
          <w:rFonts w:cs="Arial"/>
        </w:rPr>
        <w:fldChar w:fldCharType="end"/>
      </w:r>
      <w:r w:rsidRPr="00CB171C">
        <w:rPr>
          <w:rFonts w:cs="Arial"/>
        </w:rPr>
        <w:tab/>
        <w:t>Zwei Sessionen jedes der nachstehenden UPOV-Fernlehrgänge werden im Jahr 201</w:t>
      </w:r>
      <w:r w:rsidR="00287182">
        <w:rPr>
          <w:rFonts w:cs="Arial"/>
        </w:rPr>
        <w:t>7</w:t>
      </w:r>
      <w:r w:rsidRPr="00CB171C">
        <w:rPr>
          <w:rFonts w:cs="Arial"/>
        </w:rPr>
        <w:t xml:space="preserve"> in Deutsch, Englisch, Französisch und Spanisch durchgeführt werden.</w:t>
      </w:r>
    </w:p>
    <w:p w:rsidR="00B073FE" w:rsidRPr="00CB171C" w:rsidRDefault="00B073FE" w:rsidP="00B073FE">
      <w:pPr>
        <w:autoSpaceDE w:val="0"/>
        <w:autoSpaceDN w:val="0"/>
        <w:adjustRightInd w:val="0"/>
        <w:jc w:val="left"/>
        <w:rPr>
          <w:rFonts w:cs="Arial"/>
        </w:rPr>
      </w:pPr>
    </w:p>
    <w:p w:rsidR="00B073FE" w:rsidRPr="00CB171C" w:rsidRDefault="00B073FE" w:rsidP="00B073FE">
      <w:pPr>
        <w:pStyle w:val="ListParagraph"/>
        <w:numPr>
          <w:ilvl w:val="0"/>
          <w:numId w:val="3"/>
        </w:numPr>
        <w:autoSpaceDE w:val="0"/>
        <w:autoSpaceDN w:val="0"/>
        <w:adjustRightInd w:val="0"/>
        <w:jc w:val="left"/>
        <w:rPr>
          <w:rFonts w:cs="Arial"/>
          <w:lang w:val="de-DE"/>
        </w:rPr>
      </w:pPr>
      <w:r w:rsidRPr="00CB171C">
        <w:rPr>
          <w:rFonts w:cs="Arial"/>
          <w:lang w:val="de-DE"/>
        </w:rPr>
        <w:t>DL-205 „Einführung in das UPOV</w:t>
      </w:r>
      <w:r w:rsidRPr="00CB171C">
        <w:rPr>
          <w:rFonts w:cs="Arial"/>
          <w:lang w:val="de-DE"/>
        </w:rPr>
        <w:noBreakHyphen/>
        <w:t>Sortenschutzsystem nach dem UPOV-Übereinkommen“</w:t>
      </w:r>
    </w:p>
    <w:p w:rsidR="00B073FE" w:rsidRPr="00CB171C" w:rsidRDefault="00B073FE" w:rsidP="00B073FE">
      <w:pPr>
        <w:pStyle w:val="ListParagraph"/>
        <w:numPr>
          <w:ilvl w:val="0"/>
          <w:numId w:val="3"/>
        </w:numPr>
        <w:autoSpaceDE w:val="0"/>
        <w:autoSpaceDN w:val="0"/>
        <w:adjustRightInd w:val="0"/>
        <w:jc w:val="left"/>
        <w:rPr>
          <w:rFonts w:cs="Arial"/>
          <w:lang w:val="de-DE"/>
        </w:rPr>
      </w:pPr>
      <w:r w:rsidRPr="00CB171C">
        <w:rPr>
          <w:rFonts w:cs="Arial"/>
          <w:lang w:val="de-DE"/>
        </w:rPr>
        <w:t>DL-305 „Prüfung von Anträgen auf Erteilung von Züchterrechten“</w:t>
      </w:r>
    </w:p>
    <w:p w:rsidR="00B073FE" w:rsidRPr="00CB171C" w:rsidRDefault="00B073FE" w:rsidP="00B073FE">
      <w:pPr>
        <w:pStyle w:val="ListParagraph"/>
        <w:numPr>
          <w:ilvl w:val="0"/>
          <w:numId w:val="3"/>
        </w:numPr>
        <w:autoSpaceDE w:val="0"/>
        <w:autoSpaceDN w:val="0"/>
        <w:adjustRightInd w:val="0"/>
        <w:jc w:val="left"/>
        <w:rPr>
          <w:rFonts w:cs="Arial"/>
          <w:lang w:val="de-DE"/>
        </w:rPr>
      </w:pPr>
      <w:r w:rsidRPr="00CB171C">
        <w:rPr>
          <w:rFonts w:cs="Arial"/>
          <w:lang w:val="de-DE"/>
        </w:rPr>
        <w:t>DL-305A „Verwaltung von Züchterrechten“ (Teil A des Lehrgangs DL-305)</w:t>
      </w:r>
    </w:p>
    <w:p w:rsidR="00B073FE" w:rsidRPr="00CB171C" w:rsidRDefault="00B073FE" w:rsidP="00B073FE">
      <w:pPr>
        <w:pStyle w:val="ListParagraph"/>
        <w:numPr>
          <w:ilvl w:val="0"/>
          <w:numId w:val="3"/>
        </w:numPr>
        <w:autoSpaceDE w:val="0"/>
        <w:autoSpaceDN w:val="0"/>
        <w:adjustRightInd w:val="0"/>
        <w:jc w:val="left"/>
        <w:rPr>
          <w:rFonts w:cs="Arial"/>
          <w:lang w:val="de-DE"/>
        </w:rPr>
      </w:pPr>
      <w:r w:rsidRPr="00CB171C">
        <w:rPr>
          <w:rFonts w:cs="Arial"/>
          <w:lang w:val="de-DE"/>
        </w:rPr>
        <w:t>DL-305B „DUS-Prüfung“ (Teil B des Lehrgangs DL-305)</w:t>
      </w:r>
    </w:p>
    <w:p w:rsidR="00B073FE" w:rsidRPr="00CB171C" w:rsidRDefault="00B073FE" w:rsidP="00B073FE">
      <w:pPr>
        <w:autoSpaceDE w:val="0"/>
        <w:autoSpaceDN w:val="0"/>
        <w:adjustRightInd w:val="0"/>
        <w:jc w:val="left"/>
        <w:rPr>
          <w:rFonts w:cs="Arial"/>
        </w:rPr>
      </w:pPr>
    </w:p>
    <w:p w:rsidR="00B073FE" w:rsidRPr="00CB171C" w:rsidRDefault="00B073FE" w:rsidP="00B073FE">
      <w:pPr>
        <w:autoSpaceDE w:val="0"/>
        <w:autoSpaceDN w:val="0"/>
        <w:adjustRightInd w:val="0"/>
        <w:jc w:val="left"/>
        <w:rPr>
          <w:rFonts w:cs="Arial"/>
        </w:rPr>
      </w:pPr>
      <w:r w:rsidRPr="00CB171C">
        <w:rPr>
          <w:rFonts w:cs="Arial"/>
        </w:rPr>
        <w:fldChar w:fldCharType="begin"/>
      </w:r>
      <w:r w:rsidRPr="00CB171C">
        <w:rPr>
          <w:rFonts w:cs="Arial"/>
        </w:rPr>
        <w:instrText xml:space="preserve"> AUTONUM  </w:instrText>
      </w:r>
      <w:r w:rsidRPr="00CB171C">
        <w:rPr>
          <w:rFonts w:cs="Arial"/>
        </w:rPr>
        <w:fldChar w:fldCharType="end"/>
      </w:r>
      <w:r w:rsidRPr="00CB171C">
        <w:rPr>
          <w:rFonts w:cs="Arial"/>
        </w:rPr>
        <w:tab/>
        <w:t>Der Zeitplan für alle Lehrgänge wird sein:</w:t>
      </w:r>
    </w:p>
    <w:p w:rsidR="00B073FE" w:rsidRPr="00CB171C" w:rsidRDefault="00B073FE" w:rsidP="00B073FE">
      <w:pPr>
        <w:autoSpaceDE w:val="0"/>
        <w:autoSpaceDN w:val="0"/>
        <w:adjustRightInd w:val="0"/>
        <w:jc w:val="left"/>
        <w:rPr>
          <w:rFonts w:cs="Arial"/>
        </w:rPr>
      </w:pPr>
    </w:p>
    <w:p w:rsidR="00B073FE" w:rsidRPr="00CB171C" w:rsidRDefault="00B073FE" w:rsidP="00B073FE">
      <w:pPr>
        <w:autoSpaceDE w:val="0"/>
        <w:autoSpaceDN w:val="0"/>
        <w:adjustRightInd w:val="0"/>
        <w:ind w:left="567"/>
        <w:jc w:val="left"/>
        <w:rPr>
          <w:rFonts w:cs="Arial"/>
          <w:i/>
        </w:rPr>
      </w:pPr>
      <w:r w:rsidRPr="00CB171C">
        <w:rPr>
          <w:rFonts w:cs="Arial"/>
          <w:i/>
        </w:rPr>
        <w:t>Session I – 201</w:t>
      </w:r>
      <w:r w:rsidR="00287182">
        <w:rPr>
          <w:rFonts w:cs="Arial"/>
          <w:i/>
        </w:rPr>
        <w:t>7</w:t>
      </w:r>
    </w:p>
    <w:p w:rsidR="00B073FE" w:rsidRPr="00CB171C" w:rsidRDefault="00B073FE" w:rsidP="00B073FE">
      <w:pPr>
        <w:autoSpaceDE w:val="0"/>
        <w:autoSpaceDN w:val="0"/>
        <w:adjustRightInd w:val="0"/>
        <w:ind w:left="567"/>
        <w:jc w:val="left"/>
        <w:rPr>
          <w:rFonts w:cs="Arial"/>
        </w:rPr>
      </w:pPr>
    </w:p>
    <w:p w:rsidR="00B073FE" w:rsidRPr="0007096E" w:rsidRDefault="00B073FE" w:rsidP="00B073FE">
      <w:pPr>
        <w:autoSpaceDE w:val="0"/>
        <w:autoSpaceDN w:val="0"/>
        <w:adjustRightInd w:val="0"/>
        <w:ind w:left="567"/>
        <w:jc w:val="left"/>
        <w:rPr>
          <w:rFonts w:cs="Arial"/>
        </w:rPr>
      </w:pPr>
      <w:r w:rsidRPr="00CB171C">
        <w:rPr>
          <w:rFonts w:cs="Arial"/>
        </w:rPr>
        <w:t xml:space="preserve">Anmeldung: </w:t>
      </w:r>
      <w:r w:rsidR="00287182">
        <w:rPr>
          <w:rFonts w:cs="Arial"/>
        </w:rPr>
        <w:t xml:space="preserve">9. Januar </w:t>
      </w:r>
      <w:r w:rsidR="00287182" w:rsidRPr="0007096E">
        <w:rPr>
          <w:rFonts w:cs="Arial"/>
        </w:rPr>
        <w:t>bis 10</w:t>
      </w:r>
      <w:r w:rsidRPr="0007096E">
        <w:rPr>
          <w:rFonts w:cs="Arial"/>
        </w:rPr>
        <w:t>. Februar</w:t>
      </w:r>
    </w:p>
    <w:p w:rsidR="00B073FE" w:rsidRPr="0007096E" w:rsidRDefault="00B073FE" w:rsidP="00B073FE">
      <w:pPr>
        <w:autoSpaceDE w:val="0"/>
        <w:autoSpaceDN w:val="0"/>
        <w:adjustRightInd w:val="0"/>
        <w:ind w:left="567"/>
        <w:jc w:val="left"/>
        <w:rPr>
          <w:rFonts w:cs="Arial"/>
        </w:rPr>
      </w:pPr>
      <w:r w:rsidRPr="0007096E">
        <w:rPr>
          <w:rFonts w:cs="Arial"/>
        </w:rPr>
        <w:t xml:space="preserve">Studienperiode: </w:t>
      </w:r>
      <w:r w:rsidR="00287182" w:rsidRPr="0007096E">
        <w:rPr>
          <w:rFonts w:cs="Arial"/>
        </w:rPr>
        <w:t>6</w:t>
      </w:r>
      <w:r w:rsidRPr="0007096E">
        <w:rPr>
          <w:rFonts w:cs="Arial"/>
        </w:rPr>
        <w:t>. März</w:t>
      </w:r>
      <w:r w:rsidR="00287182" w:rsidRPr="0007096E">
        <w:rPr>
          <w:rFonts w:cs="Arial"/>
        </w:rPr>
        <w:t xml:space="preserve"> bis 9.</w:t>
      </w:r>
      <w:r w:rsidR="00287182" w:rsidRPr="0007096E">
        <w:t xml:space="preserve"> </w:t>
      </w:r>
      <w:r w:rsidR="00287182" w:rsidRPr="0007096E">
        <w:rPr>
          <w:rFonts w:cs="Arial"/>
        </w:rPr>
        <w:t>April</w:t>
      </w:r>
    </w:p>
    <w:p w:rsidR="00B073FE" w:rsidRPr="00CB171C" w:rsidRDefault="00B073FE" w:rsidP="00B073FE">
      <w:pPr>
        <w:autoSpaceDE w:val="0"/>
        <w:autoSpaceDN w:val="0"/>
        <w:adjustRightInd w:val="0"/>
        <w:ind w:left="567"/>
        <w:jc w:val="left"/>
        <w:rPr>
          <w:rFonts w:cs="Arial"/>
        </w:rPr>
      </w:pPr>
      <w:r w:rsidRPr="0007096E">
        <w:rPr>
          <w:rFonts w:cs="Arial"/>
        </w:rPr>
        <w:t xml:space="preserve">Schlußprüfung: </w:t>
      </w:r>
      <w:r w:rsidR="00287182" w:rsidRPr="0007096E">
        <w:rPr>
          <w:rFonts w:cs="Arial"/>
        </w:rPr>
        <w:t xml:space="preserve">3. </w:t>
      </w:r>
      <w:r w:rsidRPr="0007096E">
        <w:rPr>
          <w:rFonts w:cs="Arial"/>
        </w:rPr>
        <w:t xml:space="preserve">bis </w:t>
      </w:r>
      <w:r w:rsidR="00287182" w:rsidRPr="0007096E">
        <w:rPr>
          <w:rFonts w:cs="Arial"/>
        </w:rPr>
        <w:t>9</w:t>
      </w:r>
      <w:r w:rsidRPr="0007096E">
        <w:rPr>
          <w:rFonts w:cs="Arial"/>
        </w:rPr>
        <w:t xml:space="preserve">. </w:t>
      </w:r>
      <w:r w:rsidR="00287182" w:rsidRPr="0007096E">
        <w:rPr>
          <w:rFonts w:cs="Arial"/>
        </w:rPr>
        <w:t>April</w:t>
      </w:r>
    </w:p>
    <w:p w:rsidR="00B073FE" w:rsidRPr="00CB171C" w:rsidRDefault="00B073FE" w:rsidP="00B073FE">
      <w:pPr>
        <w:autoSpaceDE w:val="0"/>
        <w:autoSpaceDN w:val="0"/>
        <w:adjustRightInd w:val="0"/>
        <w:ind w:left="567"/>
        <w:jc w:val="left"/>
        <w:rPr>
          <w:rFonts w:cs="Arial"/>
        </w:rPr>
      </w:pPr>
    </w:p>
    <w:p w:rsidR="00B073FE" w:rsidRPr="00CB171C" w:rsidRDefault="00B073FE" w:rsidP="00B073FE">
      <w:pPr>
        <w:autoSpaceDE w:val="0"/>
        <w:autoSpaceDN w:val="0"/>
        <w:adjustRightInd w:val="0"/>
        <w:ind w:left="567"/>
        <w:jc w:val="left"/>
        <w:rPr>
          <w:rFonts w:cs="Arial"/>
          <w:i/>
        </w:rPr>
      </w:pPr>
      <w:r w:rsidRPr="00CB171C">
        <w:rPr>
          <w:rFonts w:cs="Arial"/>
          <w:i/>
        </w:rPr>
        <w:t>Session II – 201</w:t>
      </w:r>
      <w:r w:rsidR="00287182">
        <w:rPr>
          <w:rFonts w:cs="Arial"/>
          <w:i/>
        </w:rPr>
        <w:t>7</w:t>
      </w:r>
    </w:p>
    <w:p w:rsidR="00B073FE" w:rsidRPr="00CB171C" w:rsidRDefault="00B073FE" w:rsidP="00B073FE">
      <w:pPr>
        <w:autoSpaceDE w:val="0"/>
        <w:autoSpaceDN w:val="0"/>
        <w:adjustRightInd w:val="0"/>
        <w:ind w:left="567"/>
        <w:jc w:val="left"/>
        <w:rPr>
          <w:rFonts w:cs="Arial"/>
        </w:rPr>
      </w:pPr>
    </w:p>
    <w:p w:rsidR="00B073FE" w:rsidRPr="00CB171C" w:rsidRDefault="00287182" w:rsidP="00B073FE">
      <w:pPr>
        <w:autoSpaceDE w:val="0"/>
        <w:autoSpaceDN w:val="0"/>
        <w:adjustRightInd w:val="0"/>
        <w:ind w:left="567"/>
        <w:jc w:val="left"/>
        <w:rPr>
          <w:rFonts w:cs="Arial"/>
        </w:rPr>
      </w:pPr>
      <w:r>
        <w:rPr>
          <w:rFonts w:cs="Arial"/>
        </w:rPr>
        <w:t xml:space="preserve">Anmeldung: 7. August bis </w:t>
      </w:r>
      <w:r w:rsidR="00B073FE" w:rsidRPr="00CB171C">
        <w:rPr>
          <w:rFonts w:cs="Arial"/>
        </w:rPr>
        <w:t>8. September</w:t>
      </w:r>
    </w:p>
    <w:p w:rsidR="00B073FE" w:rsidRPr="00CB171C" w:rsidRDefault="00B073FE" w:rsidP="00B073FE">
      <w:pPr>
        <w:autoSpaceDE w:val="0"/>
        <w:autoSpaceDN w:val="0"/>
        <w:adjustRightInd w:val="0"/>
        <w:ind w:left="567"/>
        <w:jc w:val="left"/>
        <w:rPr>
          <w:rFonts w:cs="Arial"/>
        </w:rPr>
      </w:pPr>
      <w:r w:rsidRPr="00CB171C">
        <w:rPr>
          <w:rFonts w:cs="Arial"/>
        </w:rPr>
        <w:t xml:space="preserve">Studienperiode: 25. September bis </w:t>
      </w:r>
      <w:r w:rsidR="00287182">
        <w:rPr>
          <w:rFonts w:cs="Arial"/>
        </w:rPr>
        <w:t>29</w:t>
      </w:r>
      <w:r w:rsidRPr="00CB171C">
        <w:rPr>
          <w:rFonts w:cs="Arial"/>
        </w:rPr>
        <w:t>. Oktober</w:t>
      </w:r>
    </w:p>
    <w:p w:rsidR="00B073FE" w:rsidRPr="00CB171C" w:rsidRDefault="00B073FE" w:rsidP="00B073FE">
      <w:pPr>
        <w:ind w:left="567"/>
        <w:rPr>
          <w:rFonts w:cs="Arial"/>
          <w:highlight w:val="cyan"/>
        </w:rPr>
      </w:pPr>
      <w:r w:rsidRPr="00CB171C">
        <w:rPr>
          <w:rFonts w:cs="Arial"/>
        </w:rPr>
        <w:t>Schlußprüfung: 2</w:t>
      </w:r>
      <w:r w:rsidR="00287182">
        <w:rPr>
          <w:rFonts w:cs="Arial"/>
        </w:rPr>
        <w:t>3</w:t>
      </w:r>
      <w:r w:rsidRPr="00CB171C">
        <w:rPr>
          <w:rFonts w:cs="Arial"/>
        </w:rPr>
        <w:t xml:space="preserve">. bis </w:t>
      </w:r>
      <w:r w:rsidR="00287182">
        <w:rPr>
          <w:rFonts w:cs="Arial"/>
        </w:rPr>
        <w:t>29</w:t>
      </w:r>
      <w:r w:rsidRPr="00CB171C">
        <w:rPr>
          <w:rFonts w:cs="Arial"/>
        </w:rPr>
        <w:t>. Oktober</w:t>
      </w:r>
    </w:p>
    <w:p w:rsidR="00B073FE" w:rsidRPr="00CB171C" w:rsidRDefault="00B073FE" w:rsidP="00B073FE">
      <w:pPr>
        <w:rPr>
          <w:rFonts w:cs="Arial"/>
          <w:highlight w:val="cyan"/>
        </w:rPr>
      </w:pPr>
    </w:p>
    <w:p w:rsidR="00B073FE" w:rsidRPr="00CB171C" w:rsidRDefault="00B073FE" w:rsidP="00B073FE">
      <w:pPr>
        <w:rPr>
          <w:rFonts w:cs="Arial"/>
        </w:rPr>
      </w:pPr>
      <w:r w:rsidRPr="00CB171C">
        <w:rPr>
          <w:rFonts w:cs="Arial"/>
        </w:rPr>
        <w:t xml:space="preserve">(siehe </w:t>
      </w:r>
      <w:hyperlink r:id="rId12" w:history="1">
        <w:r w:rsidRPr="00CB171C">
          <w:rPr>
            <w:rStyle w:val="Hyperlink"/>
          </w:rPr>
          <w:t>http://www.upov.int/resource/de/training.html</w:t>
        </w:r>
      </w:hyperlink>
      <w:r w:rsidRPr="00CB171C">
        <w:rPr>
          <w:rFonts w:cs="Arial"/>
        </w:rPr>
        <w:t>)</w:t>
      </w:r>
    </w:p>
    <w:p w:rsidR="00B073FE" w:rsidRDefault="00B073FE" w:rsidP="00B073FE">
      <w:pPr>
        <w:keepNext/>
        <w:rPr>
          <w:rFonts w:cs="Arial"/>
        </w:rPr>
      </w:pPr>
    </w:p>
    <w:p w:rsidR="00576258" w:rsidRDefault="00576258" w:rsidP="00B073FE">
      <w:pPr>
        <w:keepNext/>
        <w:rPr>
          <w:rFonts w:cs="Arial"/>
        </w:rPr>
      </w:pPr>
    </w:p>
    <w:p w:rsidR="00576258" w:rsidRPr="0007096E" w:rsidRDefault="0007096E" w:rsidP="00815CDD">
      <w:pPr>
        <w:pStyle w:val="Heading1"/>
        <w:rPr>
          <w:lang w:val="de-CH"/>
        </w:rPr>
      </w:pPr>
      <w:bookmarkStart w:id="99" w:name="_Toc478720875"/>
      <w:r w:rsidRPr="0007096E">
        <w:rPr>
          <w:lang w:val="de-CH"/>
        </w:rPr>
        <w:t xml:space="preserve">UPOV </w:t>
      </w:r>
      <w:r w:rsidR="00576258" w:rsidRPr="0007096E">
        <w:rPr>
          <w:lang w:val="de-CH"/>
        </w:rPr>
        <w:t>Elektronisches Antragsformblatt</w:t>
      </w:r>
      <w:bookmarkEnd w:id="99"/>
    </w:p>
    <w:p w:rsidR="00576258" w:rsidRPr="0007096E" w:rsidRDefault="00576258" w:rsidP="00576258">
      <w:pPr>
        <w:rPr>
          <w:lang w:val="de-CH"/>
        </w:rPr>
      </w:pPr>
    </w:p>
    <w:p w:rsidR="00576258" w:rsidRPr="0007096E" w:rsidRDefault="00576258" w:rsidP="0007096E">
      <w:pPr>
        <w:rPr>
          <w:rFonts w:cs="Arial"/>
          <w:lang w:val="de-CH"/>
        </w:rPr>
      </w:pPr>
      <w:r w:rsidRPr="00454EC9">
        <w:fldChar w:fldCharType="begin"/>
      </w:r>
      <w:r w:rsidRPr="0007096E">
        <w:rPr>
          <w:lang w:val="de-CH"/>
        </w:rPr>
        <w:instrText xml:space="preserve"> AUTONUM  </w:instrText>
      </w:r>
      <w:r w:rsidRPr="00454EC9">
        <w:fldChar w:fldCharType="end"/>
      </w:r>
      <w:r w:rsidRPr="0007096E">
        <w:rPr>
          <w:lang w:val="de-CH"/>
        </w:rPr>
        <w:tab/>
      </w:r>
      <w:r w:rsidR="0007096E" w:rsidRPr="0007096E">
        <w:rPr>
          <w:snapToGrid w:val="0"/>
          <w:lang w:val="de-CH"/>
        </w:rPr>
        <w:t xml:space="preserve">Entwicklungen bezüglich des </w:t>
      </w:r>
      <w:r w:rsidR="0007096E" w:rsidRPr="0007096E">
        <w:rPr>
          <w:lang w:val="de-CH"/>
        </w:rPr>
        <w:t>Elektronischen</w:t>
      </w:r>
      <w:r w:rsidRPr="0007096E">
        <w:rPr>
          <w:lang w:val="de-CH"/>
        </w:rPr>
        <w:t xml:space="preserve"> Antragsformblatt</w:t>
      </w:r>
      <w:r w:rsidR="0007096E">
        <w:rPr>
          <w:lang w:val="de-CH"/>
        </w:rPr>
        <w:t>s sind in Dokument TC/53/7 „</w:t>
      </w:r>
      <w:r w:rsidR="0007096E">
        <w:t>Elektronisches Antragsformular“ dargelegt</w:t>
      </w:r>
    </w:p>
    <w:p w:rsidR="00B073FE" w:rsidRDefault="00B073FE" w:rsidP="00B073FE">
      <w:pPr>
        <w:rPr>
          <w:rFonts w:cs="Arial"/>
          <w:snapToGrid w:val="0"/>
          <w:lang w:val="de-CH"/>
        </w:rPr>
      </w:pPr>
    </w:p>
    <w:p w:rsidR="0007096E" w:rsidRPr="0007096E" w:rsidRDefault="0007096E" w:rsidP="00B073FE">
      <w:pPr>
        <w:rPr>
          <w:rFonts w:cs="Arial"/>
          <w:snapToGrid w:val="0"/>
          <w:lang w:val="de-CH"/>
        </w:rPr>
      </w:pPr>
    </w:p>
    <w:p w:rsidR="00B073FE" w:rsidRPr="007B07C7" w:rsidRDefault="00B073FE" w:rsidP="00815CDD">
      <w:pPr>
        <w:pStyle w:val="Heading1"/>
      </w:pPr>
      <w:bookmarkStart w:id="100" w:name="_Toc443988424"/>
      <w:bookmarkStart w:id="101" w:name="_Toc444242882"/>
      <w:bookmarkStart w:id="102" w:name="_Toc381174877"/>
      <w:bookmarkStart w:id="103" w:name="_Toc478720876"/>
      <w:r w:rsidRPr="007B07C7">
        <w:t>InternationalES KOOPERATIONSSystem</w:t>
      </w:r>
      <w:bookmarkEnd w:id="100"/>
      <w:bookmarkEnd w:id="101"/>
      <w:r w:rsidRPr="007B07C7">
        <w:t xml:space="preserve"> (isc)</w:t>
      </w:r>
      <w:bookmarkEnd w:id="103"/>
    </w:p>
    <w:p w:rsidR="00B073FE" w:rsidRPr="00CB171C" w:rsidRDefault="00B073FE" w:rsidP="00B073FE">
      <w:pPr>
        <w:rPr>
          <w:rFonts w:cs="Arial"/>
        </w:rPr>
      </w:pPr>
    </w:p>
    <w:p w:rsidR="00576258" w:rsidRPr="003D204B" w:rsidRDefault="00B073FE" w:rsidP="00576258">
      <w:pPr>
        <w:keepNext/>
        <w:rPr>
          <w:lang w:eastAsia="de-DE" w:bidi="de-DE"/>
        </w:rPr>
      </w:pPr>
      <w:r w:rsidRPr="00CB171C">
        <w:fldChar w:fldCharType="begin"/>
      </w:r>
      <w:r w:rsidRPr="00576258">
        <w:instrText xml:space="preserve"> AUTONUM  </w:instrText>
      </w:r>
      <w:r w:rsidRPr="00CB171C">
        <w:fldChar w:fldCharType="end"/>
      </w:r>
      <w:r w:rsidRPr="00576258">
        <w:tab/>
      </w:r>
      <w:r w:rsidR="0007096E">
        <w:t xml:space="preserve">Der </w:t>
      </w:r>
      <w:r w:rsidR="00576258" w:rsidRPr="003D204B">
        <w:rPr>
          <w:lang w:eastAsia="de-DE" w:bidi="de-DE"/>
        </w:rPr>
        <w:t xml:space="preserve">Beratende Ausschuß vereinbarte </w:t>
      </w:r>
      <w:r w:rsidR="0007096E">
        <w:rPr>
          <w:lang w:eastAsia="de-DE" w:bidi="de-DE"/>
        </w:rPr>
        <w:t xml:space="preserve">auf seiner zweiundneunzigsten Tagung </w:t>
      </w:r>
      <w:r w:rsidR="00576258" w:rsidRPr="003D204B">
        <w:rPr>
          <w:lang w:eastAsia="de-DE" w:bidi="de-DE"/>
        </w:rPr>
        <w:t>den Entwurf eines Mandats und einer Aufgabendefinition für eine Arbeitsgruppe für ein etwaiges Internationales Kooperationssystem (WG-ISC) wie folgt:</w:t>
      </w:r>
    </w:p>
    <w:p w:rsidR="00576258" w:rsidRPr="003D204B" w:rsidRDefault="00576258" w:rsidP="00576258">
      <w:pPr>
        <w:keepNext/>
        <w:rPr>
          <w:lang w:eastAsia="de-DE" w:bidi="de-DE"/>
        </w:rPr>
      </w:pPr>
    </w:p>
    <w:p w:rsidR="00576258" w:rsidRPr="003D204B" w:rsidRDefault="00576258" w:rsidP="00576258">
      <w:pPr>
        <w:keepNext/>
        <w:outlineLvl w:val="2"/>
        <w:rPr>
          <w:i/>
          <w:snapToGrid w:val="0"/>
          <w:lang w:eastAsia="de-DE" w:bidi="de-DE"/>
        </w:rPr>
      </w:pPr>
      <w:r w:rsidRPr="003D204B">
        <w:rPr>
          <w:i/>
          <w:lang w:eastAsia="de-DE" w:bidi="de-DE"/>
        </w:rPr>
        <w:t xml:space="preserve">Zweck </w:t>
      </w:r>
    </w:p>
    <w:p w:rsidR="00576258" w:rsidRPr="003D204B" w:rsidRDefault="00576258" w:rsidP="00576258">
      <w:pPr>
        <w:keepNext/>
        <w:rPr>
          <w:snapToGrid w:val="0"/>
          <w:lang w:eastAsia="de-DE" w:bidi="de-DE"/>
        </w:rPr>
      </w:pPr>
    </w:p>
    <w:p w:rsidR="00576258" w:rsidRPr="003D204B" w:rsidRDefault="00576258" w:rsidP="00576258">
      <w:pPr>
        <w:keepNext/>
        <w:ind w:left="709" w:hanging="425"/>
        <w:rPr>
          <w:snapToGrid w:val="0"/>
          <w:lang w:eastAsia="de-DE" w:bidi="de-DE"/>
        </w:rPr>
      </w:pPr>
      <w:r w:rsidRPr="003D204B">
        <w:rPr>
          <w:lang w:eastAsia="de-DE" w:bidi="de-DE"/>
        </w:rPr>
        <w:t>1.</w:t>
      </w:r>
      <w:r w:rsidRPr="003D204B">
        <w:rPr>
          <w:lang w:eastAsia="de-DE" w:bidi="de-DE"/>
        </w:rPr>
        <w:tab/>
        <w:t>Ausarbeitung von Vorschlägen zur Prüfung durch den Beratenden Ausschuß betreffend ein etwaiges ISC, das:</w:t>
      </w:r>
    </w:p>
    <w:p w:rsidR="00576258" w:rsidRPr="003D204B" w:rsidRDefault="00576258" w:rsidP="00576258">
      <w:pPr>
        <w:keepNext/>
        <w:ind w:left="360"/>
        <w:rPr>
          <w:snapToGrid w:val="0"/>
          <w:lang w:eastAsia="de-DE" w:bidi="de-DE"/>
        </w:rPr>
      </w:pPr>
    </w:p>
    <w:p w:rsidR="00576258" w:rsidRPr="003D204B" w:rsidRDefault="00576258" w:rsidP="00576258">
      <w:pPr>
        <w:keepNext/>
        <w:numPr>
          <w:ilvl w:val="0"/>
          <w:numId w:val="11"/>
        </w:numPr>
        <w:spacing w:after="60"/>
        <w:ind w:left="1134" w:hanging="425"/>
        <w:rPr>
          <w:snapToGrid w:val="0"/>
          <w:lang w:eastAsia="de-DE" w:bidi="de-DE"/>
        </w:rPr>
      </w:pPr>
      <w:r w:rsidRPr="003D204B">
        <w:rPr>
          <w:lang w:eastAsia="de-DE" w:bidi="de-DE"/>
        </w:rPr>
        <w:t>die Zuständigkeit der Verbandsmitglieder in Bezug auf die Erteilung und Wahrung der Züchterrechte oder andere internationale Verpflichtungen nicht beeinträchtigen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für alle Verbandsmitglieder, ungeachtet der Akte des UPOV-Übereinkommens, durch die sie gebunden sind, maßgeblich wäre;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keinen Einfluss auf die bestehende Flexibilität von Verbandsmitgliedern zur Ausformulierung von Grundsätzen und zur Befassung mit ihren eigenen besonderen Bedürfnissen und Umständen gemäß der jeweiligen Akte des UPOV-Übereinkommens hätte;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 xml:space="preserve">auf der freiwilligen Teilnahme einzelner Verbandsmitglieder gemäß ihren Maßnahmen zur Beteiligung basieren würde; </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Verbandsmitgliedern die Wahl ermöglichen würde, sich an ausgewählten Elementen eines ISC zu beteiligen;</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auf freiwilliger Zusammenarbeit zwischen Verbandsmitgliedern basieren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sich nicht auf die Zusammenarbeit mit und zwischen Verbandsmitgliedern, die sich nicht an einem ISC beteiligt hatten, auswirken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auf der Einreichung von Anträgen bei einzelnen Verbandsmitgliedern und nicht beim Verbandsbüro basieren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lastRenderedPageBreak/>
        <w:t>nicht auf der Prüfung von Anträgen durch das Verbandsbüro basieren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 xml:space="preserve">die Festsetzung und Entrichtung von Gebühren durch einzelne Verbandsmitglieder nicht beeinflussen würde;  </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nicht das Recht jedes Verbandsmitgliedes auf Durchführung seiner eigenen Prüfung zur Erteilung von Züchterrechten beeinflussen würde;</w:t>
      </w:r>
    </w:p>
    <w:p w:rsidR="00576258" w:rsidRPr="003D204B" w:rsidRDefault="00576258" w:rsidP="00576258">
      <w:pPr>
        <w:numPr>
          <w:ilvl w:val="0"/>
          <w:numId w:val="11"/>
        </w:numPr>
        <w:spacing w:after="60"/>
        <w:ind w:left="1134" w:hanging="425"/>
        <w:rPr>
          <w:snapToGrid w:val="0"/>
          <w:lang w:eastAsia="de-DE" w:bidi="de-DE"/>
        </w:rPr>
      </w:pPr>
      <w:r w:rsidRPr="003D204B">
        <w:rPr>
          <w:lang w:eastAsia="de-DE" w:bidi="de-DE"/>
        </w:rPr>
        <w:t>nach Möglichkeit auf bestehenden UPOV-Initiativen und -Materialien basieren sollte, einschließlich insbesondere:  der GENIE-Datenbank, dem Projekt eines elektronischen Formulars zur Antragstellung, dem UPOV-Suchinstrument für Ähnlichkeiten zum Zwecke der Sortenbezeichnung und UPOV-Informationsmaterialien.</w:t>
      </w:r>
    </w:p>
    <w:p w:rsidR="00576258" w:rsidRPr="003D204B" w:rsidRDefault="00576258" w:rsidP="00576258">
      <w:pPr>
        <w:ind w:left="360"/>
        <w:jc w:val="left"/>
        <w:rPr>
          <w:lang w:eastAsia="de-DE" w:bidi="de-DE"/>
        </w:rPr>
      </w:pPr>
    </w:p>
    <w:p w:rsidR="00576258" w:rsidRPr="003D204B" w:rsidRDefault="00576258" w:rsidP="00576258">
      <w:pPr>
        <w:ind w:left="709" w:hanging="425"/>
        <w:rPr>
          <w:lang w:eastAsia="de-DE" w:bidi="de-DE"/>
        </w:rPr>
      </w:pPr>
      <w:r w:rsidRPr="003D204B">
        <w:rPr>
          <w:lang w:eastAsia="de-DE" w:bidi="de-DE"/>
        </w:rPr>
        <w:t>2.</w:t>
      </w:r>
      <w:r w:rsidRPr="003D204B">
        <w:rPr>
          <w:lang w:eastAsia="de-DE" w:bidi="de-DE"/>
        </w:rPr>
        <w:tab/>
        <w:t>Für oben genannte Vorschläge soll dem Beratenden Ausschuß eine Analyse folgender Punkte unterbreitet werden:</w:t>
      </w:r>
    </w:p>
    <w:p w:rsidR="00576258" w:rsidRPr="003D204B" w:rsidRDefault="00576258" w:rsidP="00576258">
      <w:pPr>
        <w:ind w:left="360"/>
        <w:jc w:val="left"/>
        <w:rPr>
          <w:lang w:eastAsia="de-DE" w:bidi="de-DE"/>
        </w:rPr>
      </w:pPr>
    </w:p>
    <w:p w:rsidR="00576258" w:rsidRPr="003D204B" w:rsidRDefault="00576258" w:rsidP="00576258">
      <w:pPr>
        <w:pStyle w:val="ListParagraph"/>
        <w:numPr>
          <w:ilvl w:val="0"/>
          <w:numId w:val="12"/>
        </w:numPr>
        <w:spacing w:after="120"/>
        <w:ind w:left="1134" w:hanging="425"/>
        <w:contextualSpacing w:val="0"/>
        <w:rPr>
          <w:snapToGrid w:val="0"/>
          <w:lang w:val="de-DE" w:eastAsia="de-DE" w:bidi="de-DE"/>
        </w:rPr>
      </w:pPr>
      <w:r w:rsidRPr="003D204B">
        <w:rPr>
          <w:lang w:val="de-DE" w:eastAsia="de-DE" w:bidi="de-DE"/>
        </w:rPr>
        <w:t>die Notwendigkeit eines ISC;</w:t>
      </w:r>
    </w:p>
    <w:p w:rsidR="00576258" w:rsidRPr="003D204B" w:rsidRDefault="00576258" w:rsidP="00576258">
      <w:pPr>
        <w:pStyle w:val="ListParagraph"/>
        <w:numPr>
          <w:ilvl w:val="0"/>
          <w:numId w:val="12"/>
        </w:numPr>
        <w:spacing w:after="120"/>
        <w:ind w:left="1134" w:hanging="425"/>
        <w:contextualSpacing w:val="0"/>
        <w:rPr>
          <w:snapToGrid w:val="0"/>
          <w:lang w:val="de-DE" w:eastAsia="de-DE" w:bidi="de-DE"/>
        </w:rPr>
      </w:pPr>
      <w:r w:rsidRPr="003D204B">
        <w:rPr>
          <w:lang w:val="de-DE" w:eastAsia="de-DE" w:bidi="de-DE"/>
        </w:rPr>
        <w:t>Vorteile und Nachteile der Vorschläge im Vergleich zu bestehenden Vereinbarungen;</w:t>
      </w:r>
    </w:p>
    <w:p w:rsidR="00576258" w:rsidRPr="003D204B" w:rsidRDefault="00576258" w:rsidP="00576258">
      <w:pPr>
        <w:pStyle w:val="ListParagraph"/>
        <w:numPr>
          <w:ilvl w:val="0"/>
          <w:numId w:val="12"/>
        </w:numPr>
        <w:spacing w:after="120"/>
        <w:ind w:left="1134" w:hanging="425"/>
        <w:contextualSpacing w:val="0"/>
        <w:rPr>
          <w:snapToGrid w:val="0"/>
          <w:lang w:val="de-DE" w:eastAsia="de-DE" w:bidi="de-DE"/>
        </w:rPr>
      </w:pPr>
      <w:r w:rsidRPr="003D204B">
        <w:rPr>
          <w:lang w:val="de-DE" w:eastAsia="de-DE" w:bidi="de-DE"/>
        </w:rPr>
        <w:t>Bestehen einer rechtlichen Grundlage nach den Akten des UPOV-Übereinkommens;</w:t>
      </w:r>
    </w:p>
    <w:p w:rsidR="00576258" w:rsidRPr="003D204B" w:rsidRDefault="00576258" w:rsidP="00576258">
      <w:pPr>
        <w:pStyle w:val="ListParagraph"/>
        <w:numPr>
          <w:ilvl w:val="0"/>
          <w:numId w:val="12"/>
        </w:numPr>
        <w:spacing w:after="120"/>
        <w:ind w:left="1134" w:hanging="425"/>
        <w:contextualSpacing w:val="0"/>
        <w:rPr>
          <w:snapToGrid w:val="0"/>
          <w:lang w:val="de-DE" w:eastAsia="de-DE" w:bidi="de-DE"/>
        </w:rPr>
      </w:pPr>
      <w:r w:rsidRPr="003D204B">
        <w:rPr>
          <w:lang w:val="de-DE" w:eastAsia="de-DE" w:bidi="de-DE"/>
        </w:rPr>
        <w:t xml:space="preserve">Auswirkungen auf einzelstaatliche Gesetzgebung, administrative Verfahren und den Rahmen für Rechte und Grundsätze in bezug auf die jeweilige Akte des UPOV-Übereinkommens für die Sortenämter der UPOV-Mitglieder; </w:t>
      </w:r>
    </w:p>
    <w:p w:rsidR="00576258" w:rsidRPr="003D204B" w:rsidRDefault="00576258" w:rsidP="00576258">
      <w:pPr>
        <w:pStyle w:val="ListParagraph"/>
        <w:numPr>
          <w:ilvl w:val="0"/>
          <w:numId w:val="12"/>
        </w:numPr>
        <w:spacing w:after="120"/>
        <w:ind w:left="1134" w:hanging="425"/>
        <w:contextualSpacing w:val="0"/>
        <w:rPr>
          <w:lang w:val="de-DE" w:eastAsia="de-DE" w:bidi="de-DE"/>
        </w:rPr>
      </w:pPr>
      <w:r w:rsidRPr="003D204B">
        <w:rPr>
          <w:lang w:val="de-DE" w:eastAsia="de-DE" w:bidi="de-DE"/>
        </w:rPr>
        <w:t>potentielle Vorteile und Nachteile für:</w:t>
      </w:r>
    </w:p>
    <w:p w:rsidR="00576258" w:rsidRPr="003D204B" w:rsidRDefault="00576258" w:rsidP="00576258">
      <w:pPr>
        <w:pStyle w:val="ListParagraph"/>
        <w:numPr>
          <w:ilvl w:val="1"/>
          <w:numId w:val="13"/>
        </w:numPr>
        <w:spacing w:after="60"/>
        <w:ind w:left="1560" w:hanging="284"/>
        <w:contextualSpacing w:val="0"/>
        <w:rPr>
          <w:lang w:val="de-DE" w:eastAsia="de-DE" w:bidi="de-DE"/>
        </w:rPr>
      </w:pPr>
      <w:r w:rsidRPr="003D204B">
        <w:rPr>
          <w:lang w:val="de-DE" w:eastAsia="de-DE" w:bidi="de-DE"/>
        </w:rPr>
        <w:t>die Gesellschaft in den Verbandsmitgliedern;</w:t>
      </w:r>
    </w:p>
    <w:p w:rsidR="00576258" w:rsidRPr="003D204B" w:rsidRDefault="00576258" w:rsidP="00576258">
      <w:pPr>
        <w:pStyle w:val="ListParagraph"/>
        <w:numPr>
          <w:ilvl w:val="1"/>
          <w:numId w:val="13"/>
        </w:numPr>
        <w:spacing w:after="60"/>
        <w:ind w:left="1560" w:hanging="284"/>
        <w:contextualSpacing w:val="0"/>
        <w:rPr>
          <w:lang w:val="de-DE" w:eastAsia="de-DE" w:bidi="de-DE"/>
        </w:rPr>
      </w:pPr>
      <w:r w:rsidRPr="003D204B">
        <w:rPr>
          <w:lang w:val="de-DE" w:eastAsia="de-DE" w:bidi="de-DE"/>
        </w:rPr>
        <w:t>Sortenschutzämter von Verbandsmitgliedern, einschließlich:</w:t>
      </w:r>
    </w:p>
    <w:p w:rsidR="00576258" w:rsidRPr="003D204B" w:rsidRDefault="00576258" w:rsidP="00576258">
      <w:pPr>
        <w:numPr>
          <w:ilvl w:val="2"/>
          <w:numId w:val="7"/>
        </w:numPr>
        <w:spacing w:after="60"/>
        <w:ind w:left="1843" w:hanging="284"/>
        <w:rPr>
          <w:lang w:eastAsia="de-DE" w:bidi="de-DE"/>
        </w:rPr>
      </w:pPr>
      <w:r w:rsidRPr="003D204B">
        <w:rPr>
          <w:lang w:eastAsia="de-DE" w:bidi="de-DE"/>
        </w:rPr>
        <w:t>Kosten und Einnahmen</w:t>
      </w:r>
    </w:p>
    <w:p w:rsidR="00576258" w:rsidRPr="003D204B" w:rsidRDefault="00576258" w:rsidP="00576258">
      <w:pPr>
        <w:numPr>
          <w:ilvl w:val="2"/>
          <w:numId w:val="7"/>
        </w:numPr>
        <w:spacing w:after="60"/>
        <w:ind w:left="1843" w:hanging="284"/>
        <w:rPr>
          <w:lang w:eastAsia="de-DE" w:bidi="de-DE"/>
        </w:rPr>
      </w:pPr>
      <w:r w:rsidRPr="003D204B">
        <w:rPr>
          <w:lang w:eastAsia="de-DE" w:bidi="de-DE"/>
        </w:rPr>
        <w:t>Anzahl der Anträge und für Anträge erhaltene Einnahmen;</w:t>
      </w:r>
    </w:p>
    <w:p w:rsidR="00576258" w:rsidRPr="003D204B" w:rsidRDefault="00576258" w:rsidP="00576258">
      <w:pPr>
        <w:pStyle w:val="ListParagraph"/>
        <w:numPr>
          <w:ilvl w:val="1"/>
          <w:numId w:val="13"/>
        </w:numPr>
        <w:spacing w:after="60"/>
        <w:ind w:left="1560" w:hanging="284"/>
        <w:contextualSpacing w:val="0"/>
        <w:rPr>
          <w:lang w:val="de-DE" w:eastAsia="de-DE" w:bidi="de-DE"/>
        </w:rPr>
      </w:pPr>
      <w:r w:rsidRPr="003D204B">
        <w:rPr>
          <w:lang w:val="de-DE" w:eastAsia="de-DE" w:bidi="de-DE"/>
        </w:rPr>
        <w:t>inländische und ausländische Züchter, einschließlich für kleine und mittlere (KMU);</w:t>
      </w:r>
    </w:p>
    <w:p w:rsidR="00576258" w:rsidRPr="003D204B" w:rsidRDefault="00576258" w:rsidP="00576258">
      <w:pPr>
        <w:pStyle w:val="ListParagraph"/>
        <w:numPr>
          <w:ilvl w:val="1"/>
          <w:numId w:val="13"/>
        </w:numPr>
        <w:spacing w:after="60"/>
        <w:ind w:left="1560" w:hanging="284"/>
        <w:contextualSpacing w:val="0"/>
        <w:rPr>
          <w:lang w:val="de-DE" w:eastAsia="de-DE" w:bidi="de-DE"/>
        </w:rPr>
      </w:pPr>
      <w:r w:rsidRPr="003D204B">
        <w:rPr>
          <w:lang w:val="de-DE" w:eastAsia="de-DE" w:bidi="de-DE"/>
        </w:rPr>
        <w:t>Landwirte; und</w:t>
      </w:r>
    </w:p>
    <w:p w:rsidR="00576258" w:rsidRPr="003D204B" w:rsidRDefault="00576258" w:rsidP="00576258">
      <w:pPr>
        <w:pStyle w:val="ListParagraph"/>
        <w:numPr>
          <w:ilvl w:val="1"/>
          <w:numId w:val="13"/>
        </w:numPr>
        <w:spacing w:after="60"/>
        <w:ind w:left="1560" w:hanging="284"/>
        <w:contextualSpacing w:val="0"/>
        <w:rPr>
          <w:lang w:val="de-DE" w:eastAsia="de-DE" w:bidi="de-DE"/>
        </w:rPr>
      </w:pPr>
      <w:r w:rsidRPr="003D204B">
        <w:rPr>
          <w:lang w:val="de-DE" w:eastAsia="de-DE" w:bidi="de-DE"/>
        </w:rPr>
        <w:t>UPOV.</w:t>
      </w:r>
    </w:p>
    <w:p w:rsidR="00576258" w:rsidRPr="003D204B" w:rsidRDefault="00576258" w:rsidP="00576258">
      <w:pPr>
        <w:rPr>
          <w:lang w:eastAsia="de-DE" w:bidi="de-DE"/>
        </w:rPr>
      </w:pPr>
    </w:p>
    <w:p w:rsidR="00576258" w:rsidRPr="003D204B" w:rsidRDefault="00576258" w:rsidP="00576258">
      <w:pPr>
        <w:keepNext/>
        <w:outlineLvl w:val="2"/>
        <w:rPr>
          <w:i/>
          <w:snapToGrid w:val="0"/>
          <w:lang w:eastAsia="de-DE" w:bidi="de-DE"/>
        </w:rPr>
      </w:pPr>
      <w:r w:rsidRPr="003D204B">
        <w:rPr>
          <w:i/>
          <w:lang w:eastAsia="de-DE" w:bidi="de-DE"/>
        </w:rPr>
        <w:t>Zusammensetzung</w:t>
      </w:r>
    </w:p>
    <w:p w:rsidR="00576258" w:rsidRPr="003D204B" w:rsidRDefault="00576258" w:rsidP="00576258">
      <w:pPr>
        <w:rPr>
          <w:snapToGrid w:val="0"/>
          <w:lang w:eastAsia="de-DE" w:bidi="de-DE"/>
        </w:rPr>
      </w:pPr>
    </w:p>
    <w:p w:rsidR="00576258" w:rsidRPr="003D204B" w:rsidRDefault="00576258" w:rsidP="00576258">
      <w:pPr>
        <w:numPr>
          <w:ilvl w:val="0"/>
          <w:numId w:val="8"/>
        </w:numPr>
        <w:spacing w:after="120"/>
        <w:ind w:left="850" w:hanging="425"/>
        <w:rPr>
          <w:snapToGrid w:val="0"/>
          <w:lang w:eastAsia="de-DE" w:bidi="de-DE"/>
        </w:rPr>
      </w:pPr>
      <w:r w:rsidRPr="003D204B">
        <w:rPr>
          <w:lang w:eastAsia="de-DE" w:bidi="de-DE"/>
        </w:rPr>
        <w:t>soll sich aus folgenden Verbandsmitgliedern zusammensetzen:</w:t>
      </w:r>
    </w:p>
    <w:p w:rsidR="00576258" w:rsidRPr="003D204B" w:rsidRDefault="00576258" w:rsidP="00576258">
      <w:pPr>
        <w:numPr>
          <w:ilvl w:val="0"/>
          <w:numId w:val="10"/>
        </w:numPr>
        <w:spacing w:after="60"/>
        <w:ind w:left="1491" w:hanging="357"/>
        <w:rPr>
          <w:lang w:eastAsia="de-DE" w:bidi="de-DE"/>
        </w:rPr>
      </w:pPr>
      <w:r w:rsidRPr="003D204B">
        <w:rPr>
          <w:lang w:eastAsia="de-DE" w:bidi="de-DE"/>
        </w:rPr>
        <w:t>Bolivien (Plurinationaler Staat)</w:t>
      </w:r>
    </w:p>
    <w:p w:rsidR="00576258" w:rsidRPr="003D204B" w:rsidRDefault="00576258" w:rsidP="00576258">
      <w:pPr>
        <w:numPr>
          <w:ilvl w:val="0"/>
          <w:numId w:val="10"/>
        </w:numPr>
        <w:spacing w:after="60"/>
        <w:ind w:left="1491" w:hanging="357"/>
        <w:rPr>
          <w:lang w:eastAsia="de-DE" w:bidi="de-DE"/>
        </w:rPr>
      </w:pPr>
      <w:r w:rsidRPr="003D204B">
        <w:rPr>
          <w:lang w:eastAsia="de-DE" w:bidi="de-DE"/>
        </w:rPr>
        <w:t>Brasilien</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Kanada</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Chile</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Kolumbien</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Ecuador</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Europäische Union (Europäische Kommission, Gemeinschaftliches Sortenamt der Europäischen Union (CPVO), Estland, Frankreich, Deutschland, Niederlande und Vereinigtes Königreich)</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Japan</w:t>
      </w:r>
    </w:p>
    <w:p w:rsidR="00576258" w:rsidRPr="003D204B" w:rsidRDefault="00576258" w:rsidP="00576258">
      <w:pPr>
        <w:numPr>
          <w:ilvl w:val="0"/>
          <w:numId w:val="10"/>
        </w:numPr>
        <w:spacing w:after="60"/>
        <w:ind w:left="1491" w:hanging="357"/>
        <w:rPr>
          <w:lang w:eastAsia="de-DE" w:bidi="de-DE"/>
        </w:rPr>
      </w:pPr>
      <w:r w:rsidRPr="003D204B">
        <w:rPr>
          <w:snapToGrid w:val="0"/>
          <w:color w:val="000000" w:themeColor="text1"/>
          <w:lang w:eastAsia="de-DE" w:bidi="de-DE"/>
        </w:rPr>
        <w:t>Norwegen</w:t>
      </w:r>
    </w:p>
    <w:p w:rsidR="00576258" w:rsidRPr="003D204B" w:rsidRDefault="00576258" w:rsidP="00576258">
      <w:pPr>
        <w:numPr>
          <w:ilvl w:val="0"/>
          <w:numId w:val="10"/>
        </w:numPr>
        <w:spacing w:after="120"/>
        <w:ind w:left="1491" w:hanging="357"/>
        <w:rPr>
          <w:lang w:eastAsia="de-DE" w:bidi="de-DE"/>
        </w:rPr>
      </w:pPr>
      <w:r w:rsidRPr="003D204B">
        <w:rPr>
          <w:snapToGrid w:val="0"/>
          <w:color w:val="000000" w:themeColor="text1"/>
          <w:lang w:eastAsia="de-DE" w:bidi="de-DE"/>
        </w:rPr>
        <w:t>Vereinigte Staaten von Amerika</w:t>
      </w:r>
    </w:p>
    <w:p w:rsidR="00576258" w:rsidRPr="003D204B" w:rsidRDefault="00576258" w:rsidP="00576258">
      <w:pPr>
        <w:numPr>
          <w:ilvl w:val="0"/>
          <w:numId w:val="8"/>
        </w:numPr>
        <w:spacing w:after="120"/>
        <w:ind w:left="850" w:hanging="425"/>
        <w:rPr>
          <w:snapToGrid w:val="0"/>
          <w:lang w:eastAsia="de-DE" w:bidi="de-DE"/>
        </w:rPr>
      </w:pPr>
      <w:r w:rsidRPr="003D204B">
        <w:rPr>
          <w:lang w:eastAsia="de-DE" w:bidi="de-DE"/>
        </w:rPr>
        <w:t>anderen Verbandsmitgliedern stünde es nach Wunsch frei, an einer Sitzung der ISC-WG teilzunehmen und gegebenenfalls Kommentare abzugeben;</w:t>
      </w:r>
    </w:p>
    <w:p w:rsidR="00576258" w:rsidRPr="003D204B" w:rsidRDefault="00576258" w:rsidP="00576258">
      <w:pPr>
        <w:numPr>
          <w:ilvl w:val="0"/>
          <w:numId w:val="8"/>
        </w:numPr>
        <w:spacing w:after="120"/>
        <w:ind w:left="850" w:hanging="425"/>
        <w:rPr>
          <w:snapToGrid w:val="0"/>
          <w:lang w:eastAsia="de-DE" w:bidi="de-DE"/>
        </w:rPr>
      </w:pPr>
      <w:r w:rsidRPr="003D204B">
        <w:rPr>
          <w:lang w:eastAsia="de-DE" w:bidi="de-DE"/>
        </w:rPr>
        <w:t>die WG-ISC wäre auf Verbandsmitglieder beschränkt und die WG-ISC würde sich wieder an den Beratenden Ausschuß wenden, falls die WG-ISC empfiehlt, Beobachter oder Sachverständige zu irgendeiner ihrer Sitzungen einzuladen;</w:t>
      </w:r>
    </w:p>
    <w:p w:rsidR="00576258" w:rsidRPr="003D204B" w:rsidRDefault="00576258" w:rsidP="00576258">
      <w:pPr>
        <w:numPr>
          <w:ilvl w:val="0"/>
          <w:numId w:val="8"/>
        </w:numPr>
        <w:ind w:left="851" w:hanging="425"/>
        <w:contextualSpacing/>
        <w:rPr>
          <w:snapToGrid w:val="0"/>
          <w:lang w:eastAsia="de-DE" w:bidi="de-DE"/>
        </w:rPr>
      </w:pPr>
      <w:r w:rsidRPr="003D204B">
        <w:rPr>
          <w:lang w:eastAsia="de-DE" w:bidi="de-DE"/>
        </w:rPr>
        <w:t>der Stellvertretende Generalsekretär würde den Vorsitz über die Sitzungen führen.</w:t>
      </w:r>
    </w:p>
    <w:p w:rsidR="00576258" w:rsidRPr="003D204B" w:rsidRDefault="00576258" w:rsidP="00576258">
      <w:pPr>
        <w:rPr>
          <w:snapToGrid w:val="0"/>
          <w:lang w:eastAsia="de-DE" w:bidi="de-DE"/>
        </w:rPr>
      </w:pPr>
    </w:p>
    <w:p w:rsidR="00576258" w:rsidRPr="003D204B" w:rsidRDefault="00576258" w:rsidP="00576258">
      <w:pPr>
        <w:keepNext/>
        <w:rPr>
          <w:i/>
          <w:lang w:eastAsia="de-DE" w:bidi="de-DE"/>
        </w:rPr>
      </w:pPr>
      <w:r w:rsidRPr="003D204B">
        <w:rPr>
          <w:i/>
          <w:lang w:eastAsia="de-DE" w:bidi="de-DE"/>
        </w:rPr>
        <w:lastRenderedPageBreak/>
        <w:t>Modus operandi</w:t>
      </w:r>
    </w:p>
    <w:p w:rsidR="00576258" w:rsidRPr="003D204B" w:rsidRDefault="00576258" w:rsidP="00576258">
      <w:pPr>
        <w:keepNext/>
        <w:rPr>
          <w:lang w:eastAsia="de-DE" w:bidi="de-DE"/>
        </w:rPr>
      </w:pPr>
    </w:p>
    <w:p w:rsidR="00576258" w:rsidRPr="003D204B" w:rsidRDefault="00576258" w:rsidP="00576258">
      <w:pPr>
        <w:numPr>
          <w:ilvl w:val="0"/>
          <w:numId w:val="9"/>
        </w:numPr>
        <w:spacing w:after="120"/>
        <w:ind w:left="850" w:hanging="425"/>
        <w:rPr>
          <w:lang w:eastAsia="de-DE" w:bidi="de-DE"/>
        </w:rPr>
      </w:pPr>
      <w:r w:rsidRPr="003D204B">
        <w:rPr>
          <w:lang w:eastAsia="de-DE" w:bidi="de-DE"/>
        </w:rPr>
        <w:t>nach Möglichkeit in Verbindung mit den Tagungen des Beratenden Ausschusses zu einem Zeitpunkt und mit einer Häufigkeit zusammenzutreten, die es erlauben, die Ersuchen des Beratenden Ausschusses zu behandeln;</w:t>
      </w:r>
    </w:p>
    <w:p w:rsidR="00576258" w:rsidRPr="003D204B" w:rsidRDefault="00576258" w:rsidP="00576258">
      <w:pPr>
        <w:numPr>
          <w:ilvl w:val="0"/>
          <w:numId w:val="9"/>
        </w:numPr>
        <w:spacing w:after="120"/>
        <w:ind w:left="850" w:hanging="425"/>
        <w:rPr>
          <w:lang w:eastAsia="de-DE" w:bidi="de-DE"/>
        </w:rPr>
      </w:pPr>
      <w:r w:rsidRPr="003D204B">
        <w:rPr>
          <w:lang w:eastAsia="de-DE" w:bidi="de-DE"/>
        </w:rPr>
        <w:t>In erster Linie ein Dokument auszuarbeiten, das die zu prüfenden Fragen gemäß folgender Struktur darlegt:</w:t>
      </w:r>
    </w:p>
    <w:p w:rsidR="00576258" w:rsidRPr="003D204B" w:rsidRDefault="00576258" w:rsidP="00576258">
      <w:pPr>
        <w:numPr>
          <w:ilvl w:val="1"/>
          <w:numId w:val="14"/>
        </w:numPr>
        <w:spacing w:after="60"/>
        <w:ind w:hanging="306"/>
        <w:rPr>
          <w:lang w:eastAsia="de-DE" w:bidi="de-DE"/>
        </w:rPr>
      </w:pPr>
      <w:r w:rsidRPr="003D204B">
        <w:rPr>
          <w:lang w:eastAsia="de-DE" w:bidi="de-DE"/>
        </w:rPr>
        <w:t>Internationales Verwaltungssystem</w:t>
      </w:r>
    </w:p>
    <w:p w:rsidR="00576258" w:rsidRPr="003D204B" w:rsidRDefault="00576258" w:rsidP="00576258">
      <w:pPr>
        <w:numPr>
          <w:ilvl w:val="1"/>
          <w:numId w:val="14"/>
        </w:numPr>
        <w:spacing w:after="60"/>
        <w:ind w:hanging="306"/>
        <w:rPr>
          <w:lang w:eastAsia="de-DE" w:bidi="de-DE"/>
        </w:rPr>
      </w:pPr>
      <w:r w:rsidRPr="003D204B">
        <w:rPr>
          <w:lang w:eastAsia="de-DE" w:bidi="de-DE"/>
        </w:rPr>
        <w:t>Vorläufige Feststellung der Neuheit und Bezeichnung</w:t>
      </w:r>
    </w:p>
    <w:p w:rsidR="00576258" w:rsidRPr="003D204B" w:rsidRDefault="00576258" w:rsidP="00576258">
      <w:pPr>
        <w:numPr>
          <w:ilvl w:val="1"/>
          <w:numId w:val="14"/>
        </w:numPr>
        <w:spacing w:after="60"/>
        <w:ind w:hanging="306"/>
        <w:rPr>
          <w:lang w:eastAsia="de-DE" w:bidi="de-DE"/>
        </w:rPr>
      </w:pPr>
      <w:r w:rsidRPr="003D204B">
        <w:rPr>
          <w:lang w:eastAsia="de-DE" w:bidi="de-DE"/>
        </w:rPr>
        <w:t>DUS-Prüfung</w:t>
      </w:r>
    </w:p>
    <w:p w:rsidR="00576258" w:rsidRPr="003D204B" w:rsidRDefault="00576258" w:rsidP="00576258">
      <w:pPr>
        <w:numPr>
          <w:ilvl w:val="1"/>
          <w:numId w:val="14"/>
        </w:numPr>
        <w:spacing w:after="60"/>
        <w:ind w:hanging="306"/>
        <w:rPr>
          <w:lang w:eastAsia="de-DE" w:bidi="de-DE"/>
        </w:rPr>
      </w:pPr>
      <w:r w:rsidRPr="003D204B">
        <w:rPr>
          <w:lang w:eastAsia="de-DE" w:bidi="de-DE"/>
        </w:rPr>
        <w:t>Prüfung durch Verbandsmitglieder anhand des ISC</w:t>
      </w:r>
    </w:p>
    <w:p w:rsidR="00576258" w:rsidRPr="003D204B" w:rsidRDefault="00576258" w:rsidP="00576258">
      <w:pPr>
        <w:numPr>
          <w:ilvl w:val="0"/>
          <w:numId w:val="9"/>
        </w:numPr>
        <w:spacing w:after="120"/>
        <w:ind w:left="850" w:hanging="425"/>
        <w:rPr>
          <w:lang w:eastAsia="de-DE" w:bidi="de-DE"/>
        </w:rPr>
      </w:pPr>
      <w:r w:rsidRPr="003D204B">
        <w:rPr>
          <w:lang w:eastAsia="de-DE" w:bidi="de-DE"/>
        </w:rPr>
        <w:t>gemäß oben dargelegtem Zweck nach einem vom Beratenden Ausschuß festzulegenden Zeitplan ein Dokument mit Vorschlägen und Informationen zur Prüfung durch den Beratenden Ausschuß auszuarbeiten;</w:t>
      </w:r>
    </w:p>
    <w:p w:rsidR="00576258" w:rsidRPr="003D204B" w:rsidRDefault="00576258" w:rsidP="00576258">
      <w:pPr>
        <w:numPr>
          <w:ilvl w:val="0"/>
          <w:numId w:val="9"/>
        </w:numPr>
        <w:spacing w:after="120"/>
        <w:ind w:left="850" w:hanging="425"/>
        <w:rPr>
          <w:lang w:eastAsia="de-DE" w:bidi="de-DE"/>
        </w:rPr>
      </w:pPr>
      <w:r w:rsidRPr="003D204B">
        <w:rPr>
          <w:lang w:eastAsia="de-DE" w:bidi="de-DE"/>
        </w:rPr>
        <w:t>dem Beratenden Ausschuß nach jeder Sitzung der WG-ISC über den Fortschritt zu berichten;</w:t>
      </w:r>
    </w:p>
    <w:p w:rsidR="00576258" w:rsidRPr="003D204B" w:rsidRDefault="00576258" w:rsidP="00576258">
      <w:pPr>
        <w:numPr>
          <w:ilvl w:val="0"/>
          <w:numId w:val="9"/>
        </w:numPr>
        <w:ind w:left="851" w:hanging="425"/>
        <w:contextualSpacing/>
        <w:rPr>
          <w:lang w:eastAsia="de-DE" w:bidi="de-DE"/>
        </w:rPr>
      </w:pPr>
      <w:r w:rsidRPr="003D204B">
        <w:rPr>
          <w:lang w:eastAsia="de-DE" w:bidi="de-DE"/>
        </w:rPr>
        <w:t>dem Beratenden Ausschuß WG-ISC-Dokumente zur Verfügung zu stellen.</w:t>
      </w:r>
    </w:p>
    <w:p w:rsidR="00576258" w:rsidRPr="003D204B" w:rsidRDefault="00576258" w:rsidP="00576258">
      <w:pPr>
        <w:rPr>
          <w:lang w:eastAsia="de-DE" w:bidi="de-DE"/>
        </w:rPr>
      </w:pPr>
    </w:p>
    <w:p w:rsidR="00576258" w:rsidRPr="00576258" w:rsidRDefault="00576258" w:rsidP="00576258">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Der Beratende Ausschuß billigte die Abha</w:t>
      </w:r>
      <w:r w:rsidR="00B6061C">
        <w:rPr>
          <w:lang w:eastAsia="de-DE" w:bidi="de-DE"/>
        </w:rPr>
        <w:t>ltung einer Sitzung der WG</w:t>
      </w:r>
      <w:r w:rsidR="00B6061C">
        <w:rPr>
          <w:lang w:eastAsia="de-DE" w:bidi="de-DE"/>
        </w:rPr>
        <w:noBreakHyphen/>
        <w:t xml:space="preserve">ISC </w:t>
      </w:r>
      <w:r w:rsidRPr="003D204B">
        <w:rPr>
          <w:lang w:eastAsia="de-DE" w:bidi="de-DE"/>
        </w:rPr>
        <w:t>unmittelbar im Anschluß an die zweiundneunzigste Tagung des Beratenden Ausschusses.</w:t>
      </w:r>
    </w:p>
    <w:p w:rsidR="00576258" w:rsidRPr="00576258" w:rsidRDefault="00576258" w:rsidP="00B073FE"/>
    <w:p w:rsidR="00B073FE" w:rsidRPr="00CB171C" w:rsidRDefault="00B073FE" w:rsidP="00B073FE"/>
    <w:p w:rsidR="00B073FE" w:rsidRPr="007B07C7" w:rsidRDefault="00B073FE" w:rsidP="00815CDD">
      <w:pPr>
        <w:pStyle w:val="Heading1"/>
      </w:pPr>
      <w:bookmarkStart w:id="104" w:name="_Toc444242883"/>
      <w:bookmarkStart w:id="105" w:name="_Toc443988425"/>
      <w:bookmarkStart w:id="106" w:name="_Toc478720877"/>
      <w:bookmarkEnd w:id="102"/>
      <w:r w:rsidRPr="007B07C7">
        <w:t>Wechselseitige Beziehung mit dem Internationalen Vertrag über pflanzengenetische Ressourcen für Ernährung und Landwirtschaft (ITPGRFA)</w:t>
      </w:r>
      <w:bookmarkEnd w:id="104"/>
      <w:bookmarkEnd w:id="106"/>
    </w:p>
    <w:p w:rsidR="00B073FE" w:rsidRPr="00CB171C" w:rsidRDefault="00B073FE" w:rsidP="00B073FE">
      <w:pPr>
        <w:rPr>
          <w:u w:val="single"/>
        </w:rPr>
      </w:pPr>
    </w:p>
    <w:p w:rsidR="00576258" w:rsidRPr="00576258" w:rsidRDefault="00B073FE" w:rsidP="00576258">
      <w:r w:rsidRPr="00CB171C">
        <w:fldChar w:fldCharType="begin"/>
      </w:r>
      <w:r w:rsidRPr="00576258">
        <w:instrText xml:space="preserve"> AUTONUM  </w:instrText>
      </w:r>
      <w:r w:rsidRPr="00CB171C">
        <w:fldChar w:fldCharType="end"/>
      </w:r>
      <w:r w:rsidRPr="00576258">
        <w:tab/>
      </w:r>
      <w:r w:rsidR="00B6061C">
        <w:t>Der</w:t>
      </w:r>
      <w:r w:rsidR="00576258" w:rsidRPr="003D204B">
        <w:rPr>
          <w:lang w:eastAsia="de-DE" w:bidi="de-DE"/>
        </w:rPr>
        <w:t xml:space="preserve"> Beratende Ausschuß hörte</w:t>
      </w:r>
      <w:r w:rsidR="00B6061C">
        <w:rPr>
          <w:lang w:eastAsia="de-DE" w:bidi="de-DE"/>
        </w:rPr>
        <w:t xml:space="preserve"> auf seiner </w:t>
      </w:r>
      <w:r w:rsidR="00B6061C" w:rsidRPr="003D204B">
        <w:rPr>
          <w:lang w:eastAsia="de-DE" w:bidi="de-DE"/>
        </w:rPr>
        <w:t>zweiundneunzigste</w:t>
      </w:r>
      <w:r w:rsidR="00B6061C">
        <w:rPr>
          <w:lang w:eastAsia="de-DE" w:bidi="de-DE"/>
        </w:rPr>
        <w:t>n</w:t>
      </w:r>
      <w:r w:rsidR="00B6061C" w:rsidRPr="003D204B">
        <w:rPr>
          <w:lang w:eastAsia="de-DE" w:bidi="de-DE"/>
        </w:rPr>
        <w:t xml:space="preserve"> Tagung</w:t>
      </w:r>
      <w:r w:rsidR="00576258" w:rsidRPr="003D204B">
        <w:rPr>
          <w:lang w:eastAsia="de-DE" w:bidi="de-DE"/>
        </w:rPr>
        <w:t xml:space="preserve"> einen mündlichen Bericht von Herrn Raimundo Lavignolle, Vizepräsident des Rates, über das „Symposium über mögliche wechselseitige Beziehungen zwischen dem ITPGRFA und dem</w:t>
      </w:r>
      <w:r w:rsidR="00B6061C">
        <w:rPr>
          <w:lang w:eastAsia="de-DE" w:bidi="de-DE"/>
        </w:rPr>
        <w:t xml:space="preserve"> UPOV</w:t>
      </w:r>
      <w:r w:rsidR="00B6061C">
        <w:rPr>
          <w:lang w:eastAsia="de-DE" w:bidi="de-DE"/>
        </w:rPr>
        <w:noBreakHyphen/>
      </w:r>
      <w:r w:rsidR="00576258" w:rsidRPr="003D204B">
        <w:rPr>
          <w:lang w:eastAsia="de-DE" w:bidi="de-DE"/>
        </w:rPr>
        <w:t>Übereinkomm</w:t>
      </w:r>
      <w:r w:rsidR="00B6061C">
        <w:rPr>
          <w:lang w:eastAsia="de-DE" w:bidi="de-DE"/>
        </w:rPr>
        <w:t>en“, das am 26. Oktober 2016 am UPOV</w:t>
      </w:r>
      <w:r w:rsidR="00B6061C">
        <w:rPr>
          <w:lang w:eastAsia="de-DE" w:bidi="de-DE"/>
        </w:rPr>
        <w:noBreakHyphen/>
      </w:r>
      <w:r w:rsidR="00576258" w:rsidRPr="003D204B">
        <w:rPr>
          <w:lang w:eastAsia="de-DE" w:bidi="de-DE"/>
        </w:rPr>
        <w:t>Hauptsitz in Genf abgehalten wurde. Er nahm zur Kenntnis, daß an dem Symposium 147 Personen teilgenommen h</w:t>
      </w:r>
      <w:r w:rsidR="00B6061C">
        <w:rPr>
          <w:lang w:eastAsia="de-DE" w:bidi="de-DE"/>
        </w:rPr>
        <w:t>a</w:t>
      </w:r>
      <w:r w:rsidR="00576258" w:rsidRPr="003D204B">
        <w:rPr>
          <w:lang w:eastAsia="de-DE" w:bidi="de-DE"/>
        </w:rPr>
        <w:t xml:space="preserve">tten und es von Herrn Francis Gurry, Generalsekretär, UPOV, und Herrn Kent Nnadozie, Interims-Sekretär des ITPGRFA eröffnet </w:t>
      </w:r>
      <w:r w:rsidR="00B6061C">
        <w:rPr>
          <w:lang w:eastAsia="de-DE" w:bidi="de-DE"/>
        </w:rPr>
        <w:t>wurde</w:t>
      </w:r>
      <w:r w:rsidR="00576258" w:rsidRPr="003D204B">
        <w:rPr>
          <w:lang w:eastAsia="de-DE" w:bidi="de-DE"/>
        </w:rPr>
        <w:t>.</w:t>
      </w:r>
      <w:r w:rsidR="00576258">
        <w:rPr>
          <w:lang w:eastAsia="de-DE" w:bidi="de-DE"/>
        </w:rPr>
        <w:t xml:space="preserve"> </w:t>
      </w:r>
    </w:p>
    <w:p w:rsidR="00576258" w:rsidRPr="003D204B" w:rsidRDefault="00576258" w:rsidP="00576258">
      <w:pPr>
        <w:rPr>
          <w:rFonts w:cs="Arial"/>
          <w:lang w:eastAsia="de-DE" w:bidi="de-DE"/>
        </w:rPr>
      </w:pPr>
    </w:p>
    <w:p w:rsidR="00576258" w:rsidRPr="003D204B" w:rsidRDefault="00576258" w:rsidP="00576258">
      <w:pPr>
        <w:rPr>
          <w:rFonts w:cs="Arial"/>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In ihren Schlußworten hatten die Co-Moderatoren:  Herr Muhamad Sabran, Vorsitzender der Siebten Tagung des Verwaltungsrates, ITPGRFA, und Herr Raimundo Lavignolle, Vizepräsident des Rates der UPOV, folgende Schl</w:t>
      </w:r>
      <w:r w:rsidR="00B6061C">
        <w:rPr>
          <w:lang w:eastAsia="de-DE" w:bidi="de-DE"/>
        </w:rPr>
        <w:t>üsse</w:t>
      </w:r>
      <w:r w:rsidRPr="003D204B">
        <w:rPr>
          <w:lang w:eastAsia="de-DE" w:bidi="de-DE"/>
        </w:rPr>
        <w:t xml:space="preserve"> gezogen:</w:t>
      </w:r>
      <w:r>
        <w:rPr>
          <w:lang w:eastAsia="de-DE" w:bidi="de-DE"/>
        </w:rPr>
        <w:t xml:space="preserve"> </w:t>
      </w:r>
    </w:p>
    <w:p w:rsidR="00576258" w:rsidRPr="003D204B" w:rsidRDefault="00576258" w:rsidP="00576258">
      <w:pPr>
        <w:rPr>
          <w:rFonts w:cs="Arial"/>
          <w:lang w:eastAsia="de-DE" w:bidi="de-DE"/>
        </w:rPr>
      </w:pPr>
    </w:p>
    <w:p w:rsidR="00576258" w:rsidRPr="003D204B" w:rsidRDefault="00576258" w:rsidP="00576258">
      <w:pPr>
        <w:keepNext/>
        <w:numPr>
          <w:ilvl w:val="0"/>
          <w:numId w:val="15"/>
        </w:numPr>
        <w:spacing w:after="60"/>
        <w:ind w:left="777" w:hanging="357"/>
        <w:rPr>
          <w:rFonts w:cs="Arial"/>
          <w:lang w:eastAsia="de-DE" w:bidi="de-DE"/>
        </w:rPr>
      </w:pPr>
      <w:r w:rsidRPr="003D204B">
        <w:rPr>
          <w:lang w:eastAsia="de-DE" w:bidi="de-DE"/>
        </w:rPr>
        <w:t>Wir haben die Ziele und Vorteile beider Verträge gesehen: UPOV-Übereinkommen, ITPGRFA;</w:t>
      </w:r>
    </w:p>
    <w:p w:rsidR="00576258" w:rsidRPr="003D204B" w:rsidRDefault="00576258" w:rsidP="00576258">
      <w:pPr>
        <w:numPr>
          <w:ilvl w:val="0"/>
          <w:numId w:val="15"/>
        </w:numPr>
        <w:spacing w:after="60"/>
        <w:ind w:left="777" w:hanging="357"/>
        <w:rPr>
          <w:rFonts w:cs="Arial"/>
          <w:lang w:eastAsia="de-DE" w:bidi="de-DE"/>
        </w:rPr>
      </w:pPr>
      <w:r w:rsidRPr="003D204B">
        <w:rPr>
          <w:lang w:eastAsia="de-DE" w:bidi="de-DE"/>
        </w:rPr>
        <w:t>Es ist wichtig, beide Verträge auf eine gegenseitig unterstützende Art und Weise im Kontext jeder Vertragspartei auszulegen und umzusetzen;</w:t>
      </w:r>
    </w:p>
    <w:p w:rsidR="00576258" w:rsidRPr="003D204B" w:rsidRDefault="00576258" w:rsidP="00576258">
      <w:pPr>
        <w:numPr>
          <w:ilvl w:val="0"/>
          <w:numId w:val="15"/>
        </w:numPr>
        <w:spacing w:after="60"/>
        <w:ind w:left="777" w:hanging="357"/>
        <w:rPr>
          <w:rFonts w:cs="Arial"/>
          <w:lang w:eastAsia="de-DE" w:bidi="de-DE"/>
        </w:rPr>
      </w:pPr>
      <w:r w:rsidRPr="003D204B">
        <w:rPr>
          <w:lang w:eastAsia="de-DE" w:bidi="de-DE"/>
        </w:rPr>
        <w:t>Um diese Zielsetzungen umsetzen zu können, ist es wichtig, daß die beiden Organisationen zusammenarbeiten und die erforderliche Unterstützung bereitstellen;</w:t>
      </w:r>
    </w:p>
    <w:p w:rsidR="00576258" w:rsidRPr="007B07C7" w:rsidRDefault="00576258" w:rsidP="00576258">
      <w:pPr>
        <w:pStyle w:val="ListParagraph"/>
        <w:numPr>
          <w:ilvl w:val="0"/>
          <w:numId w:val="15"/>
        </w:numPr>
        <w:rPr>
          <w:lang w:val="de-DE"/>
        </w:rPr>
      </w:pPr>
      <w:r w:rsidRPr="007B07C7">
        <w:rPr>
          <w:lang w:val="de-DE" w:eastAsia="de-DE" w:bidi="de-DE"/>
        </w:rPr>
        <w:t>Das Symposium zeigt insbesondere, dass alle Interessenvertreter in diesen Prozess einbezogen werden müssen.</w:t>
      </w:r>
    </w:p>
    <w:p w:rsidR="00576258" w:rsidRPr="00576258" w:rsidRDefault="00576258" w:rsidP="00B073FE"/>
    <w:p w:rsidR="00576258" w:rsidRPr="003D204B" w:rsidRDefault="00576258" w:rsidP="00576258">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Der Beratende Ausschuß vereinbarte, daß Verbandsmitglieder und Beobachter dazu eingeladen werden sollen, Vorschläge zu allen weiteren möglichen Maßnahmen betreffend die wechselseitigen Beziehungen zwischen ITPGRFA und dem UPOV-Übereinkommen zur Prüfung durch den Beratenden Ausschuß auf seiner dreiundneunzigsten Tagung zu unterbreiten.</w:t>
      </w:r>
      <w:r>
        <w:rPr>
          <w:lang w:eastAsia="de-DE" w:bidi="de-DE"/>
        </w:rPr>
        <w:t xml:space="preserve"> </w:t>
      </w:r>
    </w:p>
    <w:p w:rsidR="00576258" w:rsidRPr="003D204B" w:rsidRDefault="00576258" w:rsidP="00576258">
      <w:pPr>
        <w:rPr>
          <w:lang w:eastAsia="de-DE" w:bidi="de-DE"/>
        </w:rPr>
      </w:pPr>
    </w:p>
    <w:p w:rsidR="00576258" w:rsidRPr="003D204B" w:rsidRDefault="00576258" w:rsidP="00576258">
      <w:pPr>
        <w:rPr>
          <w:lang w:eastAsia="de-DE" w:bidi="de-DE"/>
        </w:rPr>
      </w:pPr>
      <w:r w:rsidRPr="003D204B">
        <w:rPr>
          <w:lang w:eastAsia="de-DE" w:bidi="de-DE"/>
        </w:rPr>
        <w:fldChar w:fldCharType="begin"/>
      </w:r>
      <w:r w:rsidRPr="003D204B">
        <w:rPr>
          <w:lang w:eastAsia="de-DE" w:bidi="de-DE"/>
        </w:rPr>
        <w:instrText xml:space="preserve"> AUTONUM  </w:instrText>
      </w:r>
      <w:r w:rsidRPr="003D204B">
        <w:rPr>
          <w:lang w:eastAsia="de-DE" w:bidi="de-DE"/>
        </w:rPr>
        <w:fldChar w:fldCharType="end"/>
      </w:r>
      <w:r w:rsidRPr="003D204B">
        <w:rPr>
          <w:lang w:eastAsia="de-DE" w:bidi="de-DE"/>
        </w:rPr>
        <w:tab/>
        <w:t>Der Beratende Ausschuß nahm die Entwicklungen betreffend die ITPGRFA-Plattform für die gemeinsame Entwicklung und den Transfer von Technologien zur Kenntnis.</w:t>
      </w:r>
      <w:r>
        <w:rPr>
          <w:lang w:eastAsia="de-DE" w:bidi="de-DE"/>
        </w:rPr>
        <w:t xml:space="preserve"> </w:t>
      </w:r>
    </w:p>
    <w:p w:rsidR="00576258" w:rsidRDefault="00576258" w:rsidP="00B073FE"/>
    <w:p w:rsidR="00576258" w:rsidRDefault="00576258" w:rsidP="00B073FE"/>
    <w:p w:rsidR="00576258" w:rsidRPr="007B07C7" w:rsidRDefault="00576258" w:rsidP="00815CDD">
      <w:pPr>
        <w:pStyle w:val="Heading1"/>
      </w:pPr>
      <w:bookmarkStart w:id="107" w:name="_Toc478720878"/>
      <w:r w:rsidRPr="007B07C7">
        <w:t>Seminar über Vermehrungs- und Erntemateri</w:t>
      </w:r>
      <w:r w:rsidR="001D20EA">
        <w:t>al im Zusammenhang mit dem UPOV</w:t>
      </w:r>
      <w:r w:rsidR="001D20EA">
        <w:noBreakHyphen/>
      </w:r>
      <w:r w:rsidRPr="007B07C7">
        <w:t>Übereinkommen</w:t>
      </w:r>
      <w:bookmarkEnd w:id="107"/>
    </w:p>
    <w:p w:rsidR="00576258" w:rsidRDefault="00576258" w:rsidP="00B073FE"/>
    <w:p w:rsidR="001D20EA" w:rsidRPr="001D20EA" w:rsidRDefault="00576258" w:rsidP="00576258">
      <w:pPr>
        <w:rPr>
          <w:lang w:val="de-CH"/>
        </w:rPr>
      </w:pPr>
      <w:r w:rsidRPr="00454EC9">
        <w:fldChar w:fldCharType="begin"/>
      </w:r>
      <w:r w:rsidRPr="001D20EA">
        <w:rPr>
          <w:lang w:val="de-CH"/>
        </w:rPr>
        <w:instrText xml:space="preserve"> AUTONUM  </w:instrText>
      </w:r>
      <w:r w:rsidRPr="00454EC9">
        <w:fldChar w:fldCharType="end"/>
      </w:r>
      <w:r w:rsidRPr="001D20EA">
        <w:rPr>
          <w:lang w:val="de-CH"/>
        </w:rPr>
        <w:tab/>
      </w:r>
      <w:r w:rsidR="001D20EA" w:rsidRPr="001D20EA">
        <w:rPr>
          <w:lang w:val="de-CH"/>
        </w:rPr>
        <w:t>Am 24. Oktober 2016 organisierte die UPOV ein “</w:t>
      </w:r>
      <w:r w:rsidR="001D20EA">
        <w:t>Seminar über Vermehrungs- und Erntematerial im Zusammenhang mit dem UPOV-Übereinkommen“, das von 151 Teilnehmer besucht wurde.</w:t>
      </w:r>
    </w:p>
    <w:bookmarkEnd w:id="105"/>
    <w:p w:rsidR="00B073FE" w:rsidRPr="00401035" w:rsidRDefault="00B073FE" w:rsidP="00B073FE">
      <w:pPr>
        <w:rPr>
          <w:rFonts w:cs="Arial"/>
        </w:rPr>
      </w:pPr>
    </w:p>
    <w:p w:rsidR="00576258" w:rsidRPr="00401035" w:rsidRDefault="00B073FE" w:rsidP="00B073FE">
      <w:pPr>
        <w:pStyle w:val="DecisionParagraphs"/>
        <w:rPr>
          <w:rFonts w:cs="Arial"/>
          <w:snapToGrid w:val="0"/>
        </w:rPr>
      </w:pPr>
      <w:r w:rsidRPr="00CB171C">
        <w:rPr>
          <w:rFonts w:cs="Arial"/>
          <w:snapToGrid w:val="0"/>
        </w:rPr>
        <w:lastRenderedPageBreak/>
        <w:fldChar w:fldCharType="begin"/>
      </w:r>
      <w:r w:rsidRPr="00401035">
        <w:rPr>
          <w:rFonts w:cs="Arial"/>
          <w:snapToGrid w:val="0"/>
        </w:rPr>
        <w:instrText xml:space="preserve"> AUTONUM  </w:instrText>
      </w:r>
      <w:r w:rsidRPr="00CB171C">
        <w:rPr>
          <w:rFonts w:cs="Arial"/>
          <w:snapToGrid w:val="0"/>
        </w:rPr>
        <w:fldChar w:fldCharType="end"/>
      </w:r>
      <w:r w:rsidRPr="00401035">
        <w:rPr>
          <w:rFonts w:cs="Arial"/>
          <w:snapToGrid w:val="0"/>
        </w:rPr>
        <w:tab/>
        <w:t>Der TC wird ersucht</w:t>
      </w:r>
      <w:r w:rsidR="00576258" w:rsidRPr="00401035">
        <w:rPr>
          <w:rFonts w:cs="Arial"/>
          <w:snapToGrid w:val="0"/>
        </w:rPr>
        <w:t>:</w:t>
      </w:r>
    </w:p>
    <w:p w:rsidR="00576258" w:rsidRPr="00401035" w:rsidRDefault="00576258" w:rsidP="00B073FE">
      <w:pPr>
        <w:pStyle w:val="DecisionParagraphs"/>
        <w:rPr>
          <w:rFonts w:cs="Arial"/>
          <w:snapToGrid w:val="0"/>
        </w:rPr>
      </w:pPr>
    </w:p>
    <w:p w:rsidR="00576258" w:rsidRPr="00423CDC" w:rsidRDefault="001D20EA" w:rsidP="00423CDC">
      <w:pPr>
        <w:pStyle w:val="DecisionParagraphs"/>
        <w:tabs>
          <w:tab w:val="left" w:pos="5954"/>
        </w:tabs>
        <w:rPr>
          <w:rFonts w:cs="Arial"/>
          <w:snapToGrid w:val="0"/>
          <w:lang w:val="de-CH"/>
        </w:rPr>
      </w:pPr>
      <w:r>
        <w:rPr>
          <w:rFonts w:cs="Arial"/>
          <w:snapToGrid w:val="0"/>
          <w:lang w:val="de-CH"/>
        </w:rPr>
        <w:tab/>
      </w:r>
      <w:r w:rsidRPr="00423CDC">
        <w:rPr>
          <w:rFonts w:cs="Arial"/>
          <w:snapToGrid w:val="0"/>
          <w:lang w:val="de-CH"/>
        </w:rPr>
        <w:t>(a)</w:t>
      </w:r>
      <w:r w:rsidRPr="00423CDC">
        <w:rPr>
          <w:rFonts w:cs="Arial"/>
          <w:snapToGrid w:val="0"/>
          <w:lang w:val="de-CH"/>
        </w:rPr>
        <w:tab/>
      </w:r>
      <w:r w:rsidRPr="00423CDC">
        <w:rPr>
          <w:snapToGrid w:val="0"/>
        </w:rPr>
        <w:t>die Entwicklungen bei der UPOV seit seiner zweiundfünfzigsten Tagung, die nicht unter spezifischen Tagesordnungspunkten der dreiundfünfzigsten Tagung des Technischen Ausschusses aufgeführt sind, zur Kenntnis zu nehmen. Hierzu gehören wichtige Angelegenheiten, die auf den letzten Tagungen des Verwaltungs- und Rechtsausschusses (CAJ), des Beratenden Ausschusses und des Rates erörtert wurden, wie in den Absätzen 4 bis 47 dieses Dokuments dargelegt</w:t>
      </w:r>
      <w:r w:rsidR="00576258" w:rsidRPr="00423CDC">
        <w:rPr>
          <w:rFonts w:cs="Arial"/>
          <w:snapToGrid w:val="0"/>
          <w:lang w:val="de-CH"/>
        </w:rPr>
        <w:t xml:space="preserve">; </w:t>
      </w:r>
      <w:r w:rsidRPr="00423CDC">
        <w:rPr>
          <w:rFonts w:cs="Arial"/>
          <w:snapToGrid w:val="0"/>
          <w:lang w:val="de-CH"/>
        </w:rPr>
        <w:t>u</w:t>
      </w:r>
      <w:r w:rsidR="00576258" w:rsidRPr="00423CDC">
        <w:rPr>
          <w:rFonts w:cs="Arial"/>
          <w:snapToGrid w:val="0"/>
          <w:lang w:val="de-CH"/>
        </w:rPr>
        <w:t>nd</w:t>
      </w:r>
    </w:p>
    <w:p w:rsidR="00576258" w:rsidRPr="00423CDC" w:rsidRDefault="00576258" w:rsidP="00576258">
      <w:pPr>
        <w:pStyle w:val="DecisionParagraphs"/>
        <w:rPr>
          <w:rFonts w:cs="Arial"/>
          <w:snapToGrid w:val="0"/>
          <w:lang w:val="de-CH"/>
        </w:rPr>
      </w:pPr>
    </w:p>
    <w:p w:rsidR="00B073FE" w:rsidRPr="00CB171C" w:rsidRDefault="00423CDC" w:rsidP="00423CDC">
      <w:pPr>
        <w:pStyle w:val="DecisionParagraphs"/>
        <w:tabs>
          <w:tab w:val="left" w:pos="5954"/>
        </w:tabs>
        <w:rPr>
          <w:rFonts w:cs="Arial"/>
          <w:snapToGrid w:val="0"/>
        </w:rPr>
      </w:pPr>
      <w:r w:rsidRPr="00423CDC">
        <w:rPr>
          <w:rFonts w:cs="Arial"/>
          <w:snapToGrid w:val="0"/>
          <w:lang w:val="de-CH"/>
        </w:rPr>
        <w:tab/>
      </w:r>
      <w:r w:rsidR="00576258" w:rsidRPr="00423CDC">
        <w:rPr>
          <w:rFonts w:cs="Arial"/>
          <w:snapToGrid w:val="0"/>
          <w:lang w:val="de-CH"/>
        </w:rPr>
        <w:t>(b)</w:t>
      </w:r>
      <w:r w:rsidR="00576258" w:rsidRPr="00423CDC">
        <w:rPr>
          <w:rFonts w:cs="Arial"/>
          <w:snapToGrid w:val="0"/>
          <w:lang w:val="de-CH"/>
        </w:rPr>
        <w:tab/>
      </w:r>
      <w:r w:rsidR="001D20EA" w:rsidRPr="00423CDC">
        <w:rPr>
          <w:rFonts w:cs="Arial"/>
          <w:snapToGrid w:val="0"/>
          <w:lang w:val="de-CH" w:eastAsia="ja-JP"/>
        </w:rPr>
        <w:t xml:space="preserve">zur Kenntnis zu nehmen, dass auf der </w:t>
      </w:r>
      <w:r w:rsidR="001D20EA" w:rsidRPr="00423CDC">
        <w:rPr>
          <w:rFonts w:cs="Arial"/>
          <w:snapToGrid w:val="0"/>
          <w:lang w:val="de-CH"/>
        </w:rPr>
        <w:t>drei</w:t>
      </w:r>
      <w:r w:rsidR="001D20EA" w:rsidRPr="00423CDC">
        <w:rPr>
          <w:snapToGrid w:val="0"/>
          <w:lang w:val="de-CH"/>
        </w:rPr>
        <w:t xml:space="preserve">undfünfzigsten Tagung des TC ein Referat gehalten werden wird, das die Punkte in diesem Dokument zusammenfaßt. </w:t>
      </w:r>
      <w:r w:rsidR="001D20EA" w:rsidRPr="00423CDC">
        <w:rPr>
          <w:snapToGrid w:val="0"/>
        </w:rPr>
        <w:t>Ein Exemplar (nur in Englisch) wird als Ergänzung zu diesem Dokument vorgelegt werden.</w:t>
      </w:r>
    </w:p>
    <w:p w:rsidR="001D20EA" w:rsidRDefault="001D20EA" w:rsidP="00050E16">
      <w:pPr>
        <w:jc w:val="right"/>
      </w:pPr>
    </w:p>
    <w:p w:rsidR="001D20EA" w:rsidRDefault="001D20EA" w:rsidP="00050E16">
      <w:pPr>
        <w:jc w:val="right"/>
      </w:pPr>
    </w:p>
    <w:p w:rsidR="001D20EA" w:rsidRDefault="001D20EA" w:rsidP="00050E16">
      <w:pPr>
        <w:jc w:val="right"/>
      </w:pPr>
    </w:p>
    <w:p w:rsidR="009B440E" w:rsidRDefault="001D20EA" w:rsidP="00050E16">
      <w:pPr>
        <w:jc w:val="right"/>
      </w:pPr>
      <w:r w:rsidRPr="00C5280D">
        <w:t xml:space="preserve"> </w:t>
      </w:r>
      <w:r w:rsidR="00050E16" w:rsidRPr="00C5280D">
        <w:t>[</w:t>
      </w:r>
      <w:r w:rsidR="00BC0BD4">
        <w:t>Ende des</w:t>
      </w:r>
      <w:r w:rsidR="00A706D3">
        <w:t xml:space="preserve"> </w:t>
      </w:r>
      <w:r w:rsidR="00BC0BD4">
        <w:t>Dokuments</w:t>
      </w:r>
      <w:r w:rsidR="00050E16" w:rsidRPr="00C5280D">
        <w:t>]</w:t>
      </w:r>
    </w:p>
    <w:sectPr w:rsidR="009B440E" w:rsidSect="00906DDC">
      <w:headerReference w:type="defaul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EB" w:rsidRDefault="00A701EB" w:rsidP="006655D3">
      <w:r>
        <w:separator/>
      </w:r>
    </w:p>
    <w:p w:rsidR="00A701EB" w:rsidRDefault="00A701EB" w:rsidP="006655D3"/>
    <w:p w:rsidR="00A701EB" w:rsidRDefault="00A701EB" w:rsidP="006655D3"/>
  </w:endnote>
  <w:endnote w:type="continuationSeparator" w:id="0">
    <w:p w:rsidR="00A701EB" w:rsidRDefault="00A701EB" w:rsidP="006655D3">
      <w:r>
        <w:separator/>
      </w:r>
    </w:p>
    <w:p w:rsidR="00A701EB" w:rsidRPr="00294751" w:rsidRDefault="00A701EB">
      <w:pPr>
        <w:pStyle w:val="Footer"/>
        <w:spacing w:after="60"/>
        <w:rPr>
          <w:sz w:val="18"/>
          <w:lang w:val="fr-FR"/>
        </w:rPr>
      </w:pPr>
      <w:r w:rsidRPr="00294751">
        <w:rPr>
          <w:sz w:val="18"/>
          <w:lang w:val="fr-FR"/>
        </w:rPr>
        <w:t>[Suite de la note de la page précédente]</w:t>
      </w:r>
    </w:p>
    <w:p w:rsidR="00A701EB" w:rsidRPr="00294751" w:rsidRDefault="00A701EB" w:rsidP="006655D3">
      <w:pPr>
        <w:rPr>
          <w:lang w:val="fr-FR"/>
        </w:rPr>
      </w:pPr>
    </w:p>
    <w:p w:rsidR="00A701EB" w:rsidRPr="00294751" w:rsidRDefault="00A701EB" w:rsidP="006655D3">
      <w:pPr>
        <w:rPr>
          <w:lang w:val="fr-FR"/>
        </w:rPr>
      </w:pPr>
    </w:p>
  </w:endnote>
  <w:endnote w:type="continuationNotice" w:id="1">
    <w:p w:rsidR="00A701EB" w:rsidRPr="00294751" w:rsidRDefault="00A701EB" w:rsidP="006655D3">
      <w:pPr>
        <w:rPr>
          <w:lang w:val="fr-FR"/>
        </w:rPr>
      </w:pPr>
      <w:r w:rsidRPr="00294751">
        <w:rPr>
          <w:lang w:val="fr-FR"/>
        </w:rPr>
        <w:t>[Suite de la note page suivante]</w:t>
      </w:r>
    </w:p>
    <w:p w:rsidR="00A701EB" w:rsidRPr="00294751" w:rsidRDefault="00A701EB" w:rsidP="006655D3">
      <w:pPr>
        <w:rPr>
          <w:lang w:val="fr-FR"/>
        </w:rPr>
      </w:pPr>
    </w:p>
    <w:p w:rsidR="00A701EB" w:rsidRPr="00294751" w:rsidRDefault="00A701E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EB" w:rsidRDefault="00A701EB" w:rsidP="006655D3">
      <w:r>
        <w:separator/>
      </w:r>
    </w:p>
  </w:footnote>
  <w:footnote w:type="continuationSeparator" w:id="0">
    <w:p w:rsidR="00A701EB" w:rsidRDefault="00A701EB" w:rsidP="006655D3">
      <w:r>
        <w:separator/>
      </w:r>
    </w:p>
  </w:footnote>
  <w:footnote w:type="continuationNotice" w:id="1">
    <w:p w:rsidR="00A701EB" w:rsidRPr="00AB530F" w:rsidRDefault="00A701EB"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EB" w:rsidRPr="00202E38" w:rsidRDefault="00A701EB" w:rsidP="00EB048E">
    <w:pPr>
      <w:pStyle w:val="Header"/>
      <w:rPr>
        <w:rStyle w:val="PageNumber"/>
      </w:rPr>
    </w:pPr>
    <w:r w:rsidRPr="00202E38">
      <w:rPr>
        <w:rStyle w:val="PageNumber"/>
      </w:rPr>
      <w:t>TC/53/</w:t>
    </w:r>
    <w:r w:rsidR="0007096E">
      <w:rPr>
        <w:rStyle w:val="PageNumber"/>
      </w:rPr>
      <w:t>10</w:t>
    </w:r>
  </w:p>
  <w:p w:rsidR="00A701EB" w:rsidRPr="00202E38" w:rsidRDefault="00A701EB" w:rsidP="00EB048E">
    <w:pPr>
      <w:pStyle w:val="Header"/>
    </w:pPr>
    <w:r w:rsidRPr="00202E38">
      <w:t xml:space="preserve">Seite </w:t>
    </w:r>
    <w:r w:rsidRPr="00202E38">
      <w:rPr>
        <w:rStyle w:val="PageNumber"/>
      </w:rPr>
      <w:fldChar w:fldCharType="begin"/>
    </w:r>
    <w:r w:rsidRPr="00202E38">
      <w:rPr>
        <w:rStyle w:val="PageNumber"/>
      </w:rPr>
      <w:instrText xml:space="preserve"> PAGE </w:instrText>
    </w:r>
    <w:r w:rsidRPr="00202E38">
      <w:rPr>
        <w:rStyle w:val="PageNumber"/>
      </w:rPr>
      <w:fldChar w:fldCharType="separate"/>
    </w:r>
    <w:r w:rsidR="008821B4">
      <w:rPr>
        <w:rStyle w:val="PageNumber"/>
        <w:noProof/>
      </w:rPr>
      <w:t>2</w:t>
    </w:r>
    <w:r w:rsidRPr="00202E38">
      <w:rPr>
        <w:rStyle w:val="PageNumber"/>
      </w:rPr>
      <w:fldChar w:fldCharType="end"/>
    </w:r>
  </w:p>
  <w:p w:rsidR="00A701EB" w:rsidRPr="00202E38" w:rsidRDefault="00A701EB"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EE3"/>
    <w:multiLevelType w:val="hybridMultilevel"/>
    <w:tmpl w:val="98B2876A"/>
    <w:lvl w:ilvl="0" w:tplc="612AFCFE">
      <w:start w:val="1"/>
      <w:numFmt w:val="lowerRoman"/>
      <w:lvlText w:val="%1)"/>
      <w:lvlJc w:val="right"/>
      <w:pPr>
        <w:ind w:left="1854" w:hanging="360"/>
      </w:pPr>
      <w:rPr>
        <w:rFonts w:hint="default"/>
        <w:i w:val="0"/>
      </w:rPr>
    </w:lvl>
    <w:lvl w:ilvl="1" w:tplc="612AFCFE">
      <w:start w:val="1"/>
      <w:numFmt w:val="lowerRoman"/>
      <w:lvlText w:val="%2)"/>
      <w:lvlJc w:val="right"/>
      <w:pPr>
        <w:ind w:left="2574" w:hanging="360"/>
      </w:pPr>
      <w:rPr>
        <w:rFonts w:hint="default"/>
        <w:i w:val="0"/>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103D3151"/>
    <w:multiLevelType w:val="hybridMultilevel"/>
    <w:tmpl w:val="589CE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7C46F84"/>
    <w:multiLevelType w:val="hybridMultilevel"/>
    <w:tmpl w:val="DD769C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8447FE"/>
    <w:multiLevelType w:val="hybridMultilevel"/>
    <w:tmpl w:val="B1C8DB3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E195460"/>
    <w:multiLevelType w:val="hybridMultilevel"/>
    <w:tmpl w:val="4A724D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244F110C"/>
    <w:multiLevelType w:val="hybridMultilevel"/>
    <w:tmpl w:val="62CE0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FE7040"/>
    <w:multiLevelType w:val="hybridMultilevel"/>
    <w:tmpl w:val="A94665F0"/>
    <w:lvl w:ilvl="0" w:tplc="04090017">
      <w:start w:val="1"/>
      <w:numFmt w:val="lowerLetter"/>
      <w:lvlText w:val="%1)"/>
      <w:lvlJc w:val="left"/>
      <w:pPr>
        <w:ind w:left="1069" w:hanging="360"/>
      </w:pPr>
      <w:rPr>
        <w:rFonts w:hint="default"/>
      </w:rPr>
    </w:lvl>
    <w:lvl w:ilvl="1" w:tplc="33D0FDF0">
      <w:start w:val="1"/>
      <w:numFmt w:val="lowerRoman"/>
      <w:lvlText w:val="%2)"/>
      <w:lvlJc w:val="left"/>
      <w:pPr>
        <w:ind w:left="2149" w:hanging="72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265536BF"/>
    <w:multiLevelType w:val="hybridMultilevel"/>
    <w:tmpl w:val="104C77A0"/>
    <w:lvl w:ilvl="0" w:tplc="04090017">
      <w:start w:val="1"/>
      <w:numFmt w:val="lowerLetter"/>
      <w:lvlText w:val="%1)"/>
      <w:lvlJc w:val="left"/>
      <w:pPr>
        <w:ind w:left="720" w:hanging="360"/>
      </w:pPr>
    </w:lvl>
    <w:lvl w:ilvl="1" w:tplc="147C5972">
      <w:start w:val="1"/>
      <w:numFmt w:val="lowerRoman"/>
      <w:lvlText w:val="%2)"/>
      <w:lvlJc w:val="righ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295835"/>
    <w:multiLevelType w:val="hybridMultilevel"/>
    <w:tmpl w:val="4950E554"/>
    <w:lvl w:ilvl="0" w:tplc="04090017">
      <w:start w:val="1"/>
      <w:numFmt w:val="lowerLetter"/>
      <w:lvlText w:val="%1)"/>
      <w:lvlJc w:val="left"/>
      <w:pPr>
        <w:ind w:left="930" w:hanging="570"/>
      </w:pPr>
      <w:rPr>
        <w:rFonts w:hint="default"/>
      </w:rPr>
    </w:lvl>
    <w:lvl w:ilvl="1" w:tplc="612AFCFE">
      <w:start w:val="1"/>
      <w:numFmt w:val="lowerRoman"/>
      <w:lvlText w:val="%2)"/>
      <w:lvlJc w:val="righ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752B7E"/>
    <w:multiLevelType w:val="hybridMultilevel"/>
    <w:tmpl w:val="67189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E84FCF"/>
    <w:multiLevelType w:val="hybridMultilevel"/>
    <w:tmpl w:val="868E9C2C"/>
    <w:lvl w:ilvl="0" w:tplc="39D86DC4">
      <w:start w:val="1"/>
      <w:numFmt w:val="lowerLetter"/>
      <w:lvlText w:val="%1)"/>
      <w:lvlJc w:val="left"/>
      <w:pPr>
        <w:ind w:left="927" w:hanging="360"/>
      </w:pPr>
      <w:rPr>
        <w:color w:val="000000"/>
      </w:rPr>
    </w:lvl>
    <w:lvl w:ilvl="1" w:tplc="100C0019">
      <w:start w:val="1"/>
      <w:numFmt w:val="lowerLetter"/>
      <w:lvlText w:val="%2."/>
      <w:lvlJc w:val="left"/>
      <w:pPr>
        <w:ind w:left="1647" w:hanging="360"/>
      </w:pPr>
    </w:lvl>
    <w:lvl w:ilvl="2" w:tplc="100C001B">
      <w:start w:val="1"/>
      <w:numFmt w:val="lowerRoman"/>
      <w:lvlText w:val="%3."/>
      <w:lvlJc w:val="right"/>
      <w:pPr>
        <w:ind w:left="2367" w:hanging="180"/>
      </w:pPr>
    </w:lvl>
    <w:lvl w:ilvl="3" w:tplc="100C000F">
      <w:start w:val="1"/>
      <w:numFmt w:val="decimal"/>
      <w:lvlText w:val="%4."/>
      <w:lvlJc w:val="left"/>
      <w:pPr>
        <w:ind w:left="3087" w:hanging="360"/>
      </w:pPr>
    </w:lvl>
    <w:lvl w:ilvl="4" w:tplc="100C0019">
      <w:start w:val="1"/>
      <w:numFmt w:val="lowerLetter"/>
      <w:lvlText w:val="%5."/>
      <w:lvlJc w:val="left"/>
      <w:pPr>
        <w:ind w:left="3807" w:hanging="360"/>
      </w:pPr>
    </w:lvl>
    <w:lvl w:ilvl="5" w:tplc="100C001B">
      <w:start w:val="1"/>
      <w:numFmt w:val="lowerRoman"/>
      <w:lvlText w:val="%6."/>
      <w:lvlJc w:val="right"/>
      <w:pPr>
        <w:ind w:left="4527" w:hanging="180"/>
      </w:pPr>
    </w:lvl>
    <w:lvl w:ilvl="6" w:tplc="100C000F">
      <w:start w:val="1"/>
      <w:numFmt w:val="decimal"/>
      <w:lvlText w:val="%7."/>
      <w:lvlJc w:val="left"/>
      <w:pPr>
        <w:ind w:left="5247" w:hanging="360"/>
      </w:pPr>
    </w:lvl>
    <w:lvl w:ilvl="7" w:tplc="100C0019">
      <w:start w:val="1"/>
      <w:numFmt w:val="lowerLetter"/>
      <w:lvlText w:val="%8."/>
      <w:lvlJc w:val="left"/>
      <w:pPr>
        <w:ind w:left="5967" w:hanging="360"/>
      </w:pPr>
    </w:lvl>
    <w:lvl w:ilvl="8" w:tplc="100C001B">
      <w:start w:val="1"/>
      <w:numFmt w:val="lowerRoman"/>
      <w:lvlText w:val="%9."/>
      <w:lvlJc w:val="right"/>
      <w:pPr>
        <w:ind w:left="6687" w:hanging="180"/>
      </w:pPr>
    </w:lvl>
  </w:abstractNum>
  <w:abstractNum w:abstractNumId="11">
    <w:nsid w:val="55D476B3"/>
    <w:multiLevelType w:val="hybridMultilevel"/>
    <w:tmpl w:val="53E27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B7D49"/>
    <w:multiLevelType w:val="hybridMultilevel"/>
    <w:tmpl w:val="6D7E1A60"/>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77EE4233"/>
    <w:multiLevelType w:val="hybridMultilevel"/>
    <w:tmpl w:val="F9C00358"/>
    <w:lvl w:ilvl="0" w:tplc="04090017">
      <w:start w:val="1"/>
      <w:numFmt w:val="lowerLetter"/>
      <w:lvlText w:val="%1)"/>
      <w:lvlJc w:val="left"/>
      <w:pPr>
        <w:ind w:left="930" w:hanging="570"/>
      </w:pPr>
      <w:rPr>
        <w:rFonts w:hint="default"/>
      </w:rPr>
    </w:lvl>
    <w:lvl w:ilvl="1" w:tplc="462C67EE">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45183C"/>
    <w:multiLevelType w:val="hybridMultilevel"/>
    <w:tmpl w:val="EB28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4"/>
  </w:num>
  <w:num w:numId="4">
    <w:abstractNumId w:val="9"/>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11"/>
  </w:num>
  <w:num w:numId="9">
    <w:abstractNumId w:val="13"/>
  </w:num>
  <w:num w:numId="10">
    <w:abstractNumId w:val="1"/>
  </w:num>
  <w:num w:numId="11">
    <w:abstractNumId w:val="6"/>
  </w:num>
  <w:num w:numId="12">
    <w:abstractNumId w:val="12"/>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3FE"/>
    <w:rsid w:val="00010CF3"/>
    <w:rsid w:val="00011E27"/>
    <w:rsid w:val="000148BC"/>
    <w:rsid w:val="00024AB8"/>
    <w:rsid w:val="00030854"/>
    <w:rsid w:val="00036028"/>
    <w:rsid w:val="00044642"/>
    <w:rsid w:val="000446B9"/>
    <w:rsid w:val="00047E21"/>
    <w:rsid w:val="00050E16"/>
    <w:rsid w:val="000627DA"/>
    <w:rsid w:val="0007096E"/>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A26F4"/>
    <w:rsid w:val="001D20EA"/>
    <w:rsid w:val="001D5CDA"/>
    <w:rsid w:val="00202E38"/>
    <w:rsid w:val="0021332C"/>
    <w:rsid w:val="00213982"/>
    <w:rsid w:val="0024416D"/>
    <w:rsid w:val="002464A3"/>
    <w:rsid w:val="00271911"/>
    <w:rsid w:val="002800A0"/>
    <w:rsid w:val="002801B3"/>
    <w:rsid w:val="00281060"/>
    <w:rsid w:val="00287182"/>
    <w:rsid w:val="002940E8"/>
    <w:rsid w:val="00294751"/>
    <w:rsid w:val="002A6E50"/>
    <w:rsid w:val="002B4298"/>
    <w:rsid w:val="002C256A"/>
    <w:rsid w:val="00305A7F"/>
    <w:rsid w:val="003152FE"/>
    <w:rsid w:val="00327436"/>
    <w:rsid w:val="00344BD6"/>
    <w:rsid w:val="0035528D"/>
    <w:rsid w:val="00361821"/>
    <w:rsid w:val="00361E9E"/>
    <w:rsid w:val="003A56C5"/>
    <w:rsid w:val="003B031A"/>
    <w:rsid w:val="003C3CBD"/>
    <w:rsid w:val="003C7FBE"/>
    <w:rsid w:val="003D227C"/>
    <w:rsid w:val="003D2B4D"/>
    <w:rsid w:val="00401035"/>
    <w:rsid w:val="0040557F"/>
    <w:rsid w:val="004067B7"/>
    <w:rsid w:val="00407C3A"/>
    <w:rsid w:val="00423CDC"/>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52C54"/>
    <w:rsid w:val="0055665B"/>
    <w:rsid w:val="00576258"/>
    <w:rsid w:val="00576BE4"/>
    <w:rsid w:val="00580501"/>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32DEC"/>
    <w:rsid w:val="00733771"/>
    <w:rsid w:val="00735BD5"/>
    <w:rsid w:val="00751613"/>
    <w:rsid w:val="007556F6"/>
    <w:rsid w:val="00760D35"/>
    <w:rsid w:val="00760EEF"/>
    <w:rsid w:val="00777EE5"/>
    <w:rsid w:val="00784836"/>
    <w:rsid w:val="0079023E"/>
    <w:rsid w:val="007A2854"/>
    <w:rsid w:val="007B07C7"/>
    <w:rsid w:val="007C1D92"/>
    <w:rsid w:val="007C4CB9"/>
    <w:rsid w:val="007D0B9D"/>
    <w:rsid w:val="007D19B0"/>
    <w:rsid w:val="007F498F"/>
    <w:rsid w:val="0080679D"/>
    <w:rsid w:val="008108B0"/>
    <w:rsid w:val="00811B20"/>
    <w:rsid w:val="00815CDD"/>
    <w:rsid w:val="008211B5"/>
    <w:rsid w:val="0082296E"/>
    <w:rsid w:val="00824099"/>
    <w:rsid w:val="00833054"/>
    <w:rsid w:val="00846D7C"/>
    <w:rsid w:val="00864C55"/>
    <w:rsid w:val="00867AC1"/>
    <w:rsid w:val="008821B4"/>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1D52"/>
    <w:rsid w:val="00992D82"/>
    <w:rsid w:val="00997029"/>
    <w:rsid w:val="009A7339"/>
    <w:rsid w:val="009B440E"/>
    <w:rsid w:val="009D690D"/>
    <w:rsid w:val="009E65B6"/>
    <w:rsid w:val="009E719B"/>
    <w:rsid w:val="00A24C10"/>
    <w:rsid w:val="00A42AC3"/>
    <w:rsid w:val="00A430CF"/>
    <w:rsid w:val="00A54309"/>
    <w:rsid w:val="00A701EB"/>
    <w:rsid w:val="00A706D3"/>
    <w:rsid w:val="00AB2B93"/>
    <w:rsid w:val="00AB530F"/>
    <w:rsid w:val="00AB7E5B"/>
    <w:rsid w:val="00AC2883"/>
    <w:rsid w:val="00AE0EF1"/>
    <w:rsid w:val="00AE2937"/>
    <w:rsid w:val="00B07301"/>
    <w:rsid w:val="00B073FE"/>
    <w:rsid w:val="00B11F3E"/>
    <w:rsid w:val="00B224DE"/>
    <w:rsid w:val="00B324D4"/>
    <w:rsid w:val="00B46575"/>
    <w:rsid w:val="00B6061C"/>
    <w:rsid w:val="00B61777"/>
    <w:rsid w:val="00B84BBD"/>
    <w:rsid w:val="00BA43FB"/>
    <w:rsid w:val="00BC0BD4"/>
    <w:rsid w:val="00BC127D"/>
    <w:rsid w:val="00BC1FE6"/>
    <w:rsid w:val="00C061B6"/>
    <w:rsid w:val="00C10AEC"/>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2653"/>
    <w:rsid w:val="00E05B79"/>
    <w:rsid w:val="00E07D87"/>
    <w:rsid w:val="00E32F7E"/>
    <w:rsid w:val="00E4205A"/>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5E36"/>
    <w:rsid w:val="00F560F7"/>
    <w:rsid w:val="00F6334D"/>
    <w:rsid w:val="00FA49AB"/>
    <w:rsid w:val="00FB1E26"/>
    <w:rsid w:val="00FC18F7"/>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1D20EA"/>
    <w:pPr>
      <w:jc w:val="both"/>
      <w:outlineLvl w:val="0"/>
    </w:pPr>
    <w:rPr>
      <w:rFonts w:ascii="Arial" w:hAnsi="Arial"/>
      <w:caps/>
      <w:lang w:val="de-DE" w:eastAsia="de-DE" w:bidi="de-DE"/>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01035"/>
    <w:pPr>
      <w:tabs>
        <w:tab w:val="right" w:leader="dot" w:pos="9639"/>
      </w:tabs>
      <w:spacing w:before="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B073FE"/>
    <w:rPr>
      <w:rFonts w:ascii="Arial" w:hAnsi="Arial"/>
      <w:i/>
      <w:lang w:val="de-DE"/>
    </w:rPr>
  </w:style>
  <w:style w:type="paragraph" w:styleId="ListParagraph">
    <w:name w:val="List Paragraph"/>
    <w:basedOn w:val="Normal"/>
    <w:uiPriority w:val="34"/>
    <w:qFormat/>
    <w:rsid w:val="00B073FE"/>
    <w:pPr>
      <w:ind w:left="720"/>
      <w:contextualSpacing/>
    </w:pPr>
    <w:rPr>
      <w:lang w:val="en-US"/>
    </w:rPr>
  </w:style>
  <w:style w:type="character" w:customStyle="1" w:styleId="Heading2Char">
    <w:name w:val="Heading 2 Char"/>
    <w:link w:val="Heading2"/>
    <w:rsid w:val="00B073FE"/>
    <w:rPr>
      <w:rFonts w:ascii="Arial" w:hAnsi="Arial"/>
      <w:u w:val="single"/>
    </w:rPr>
  </w:style>
  <w:style w:type="paragraph" w:customStyle="1" w:styleId="Default">
    <w:name w:val="Default"/>
    <w:rsid w:val="00B073FE"/>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B073FE"/>
    <w:pPr>
      <w:spacing w:after="120" w:line="480" w:lineRule="auto"/>
    </w:pPr>
    <w:rPr>
      <w:lang w:val="en-US"/>
    </w:rPr>
  </w:style>
  <w:style w:type="character" w:customStyle="1" w:styleId="BodyText2Char">
    <w:name w:val="Body Text 2 Char"/>
    <w:basedOn w:val="DefaultParagraphFont"/>
    <w:link w:val="BodyText2"/>
    <w:rsid w:val="00B073FE"/>
    <w:rPr>
      <w:rFonts w:ascii="Arial" w:hAnsi="Arial"/>
    </w:rPr>
  </w:style>
  <w:style w:type="character" w:customStyle="1" w:styleId="f21">
    <w:name w:val="f21"/>
    <w:basedOn w:val="DefaultParagraphFont"/>
    <w:rsid w:val="00B073FE"/>
    <w:rPr>
      <w:rFonts w:ascii="Times New Roman" w:hAnsi="Times New Roman" w:cs="Times New Roman" w:hint="default"/>
      <w:color w:val="000000"/>
      <w:sz w:val="24"/>
      <w:szCs w:val="24"/>
    </w:rPr>
  </w:style>
  <w:style w:type="paragraph" w:customStyle="1" w:styleId="decpara">
    <w:name w:val="dec_para"/>
    <w:basedOn w:val="DecisionParagraphs"/>
    <w:link w:val="decparaChar"/>
    <w:qFormat/>
    <w:rsid w:val="00B073FE"/>
    <w:rPr>
      <w:snapToGrid w:val="0"/>
    </w:rPr>
  </w:style>
  <w:style w:type="character" w:customStyle="1" w:styleId="decparaChar">
    <w:name w:val="dec_para Char"/>
    <w:basedOn w:val="DecisionParagraphsChar"/>
    <w:link w:val="decpara"/>
    <w:rsid w:val="00B073FE"/>
    <w:rPr>
      <w:rFonts w:ascii="Arial" w:hAnsi="Arial"/>
      <w:i/>
      <w:snapToGrid w:val="0"/>
      <w:lang w:val="de-DE"/>
    </w:rPr>
  </w:style>
  <w:style w:type="table" w:styleId="TableGrid">
    <w:name w:val="Table Grid"/>
    <w:basedOn w:val="TableNormal"/>
    <w:rsid w:val="003C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62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1D20EA"/>
    <w:pPr>
      <w:jc w:val="both"/>
      <w:outlineLvl w:val="0"/>
    </w:pPr>
    <w:rPr>
      <w:rFonts w:ascii="Arial" w:hAnsi="Arial"/>
      <w:caps/>
      <w:lang w:val="de-DE" w:eastAsia="de-DE" w:bidi="de-DE"/>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01035"/>
    <w:pPr>
      <w:tabs>
        <w:tab w:val="right" w:leader="dot" w:pos="9639"/>
      </w:tabs>
      <w:spacing w:before="120"/>
      <w:ind w:right="567"/>
      <w:jc w:val="both"/>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B073FE"/>
    <w:rPr>
      <w:rFonts w:ascii="Arial" w:hAnsi="Arial"/>
      <w:i/>
      <w:lang w:val="de-DE"/>
    </w:rPr>
  </w:style>
  <w:style w:type="paragraph" w:styleId="ListParagraph">
    <w:name w:val="List Paragraph"/>
    <w:basedOn w:val="Normal"/>
    <w:uiPriority w:val="34"/>
    <w:qFormat/>
    <w:rsid w:val="00B073FE"/>
    <w:pPr>
      <w:ind w:left="720"/>
      <w:contextualSpacing/>
    </w:pPr>
    <w:rPr>
      <w:lang w:val="en-US"/>
    </w:rPr>
  </w:style>
  <w:style w:type="character" w:customStyle="1" w:styleId="Heading2Char">
    <w:name w:val="Heading 2 Char"/>
    <w:link w:val="Heading2"/>
    <w:rsid w:val="00B073FE"/>
    <w:rPr>
      <w:rFonts w:ascii="Arial" w:hAnsi="Arial"/>
      <w:u w:val="single"/>
    </w:rPr>
  </w:style>
  <w:style w:type="paragraph" w:customStyle="1" w:styleId="Default">
    <w:name w:val="Default"/>
    <w:rsid w:val="00B073FE"/>
    <w:pPr>
      <w:autoSpaceDE w:val="0"/>
      <w:autoSpaceDN w:val="0"/>
      <w:adjustRightInd w:val="0"/>
    </w:pPr>
    <w:rPr>
      <w:rFonts w:ascii="Arial" w:hAnsi="Arial" w:cs="Arial"/>
      <w:color w:val="000000"/>
      <w:sz w:val="24"/>
      <w:szCs w:val="24"/>
    </w:rPr>
  </w:style>
  <w:style w:type="paragraph" w:styleId="BodyText2">
    <w:name w:val="Body Text 2"/>
    <w:basedOn w:val="Normal"/>
    <w:link w:val="BodyText2Char"/>
    <w:rsid w:val="00B073FE"/>
    <w:pPr>
      <w:spacing w:after="120" w:line="480" w:lineRule="auto"/>
    </w:pPr>
    <w:rPr>
      <w:lang w:val="en-US"/>
    </w:rPr>
  </w:style>
  <w:style w:type="character" w:customStyle="1" w:styleId="BodyText2Char">
    <w:name w:val="Body Text 2 Char"/>
    <w:basedOn w:val="DefaultParagraphFont"/>
    <w:link w:val="BodyText2"/>
    <w:rsid w:val="00B073FE"/>
    <w:rPr>
      <w:rFonts w:ascii="Arial" w:hAnsi="Arial"/>
    </w:rPr>
  </w:style>
  <w:style w:type="character" w:customStyle="1" w:styleId="f21">
    <w:name w:val="f21"/>
    <w:basedOn w:val="DefaultParagraphFont"/>
    <w:rsid w:val="00B073FE"/>
    <w:rPr>
      <w:rFonts w:ascii="Times New Roman" w:hAnsi="Times New Roman" w:cs="Times New Roman" w:hint="default"/>
      <w:color w:val="000000"/>
      <w:sz w:val="24"/>
      <w:szCs w:val="24"/>
    </w:rPr>
  </w:style>
  <w:style w:type="paragraph" w:customStyle="1" w:styleId="decpara">
    <w:name w:val="dec_para"/>
    <w:basedOn w:val="DecisionParagraphs"/>
    <w:link w:val="decparaChar"/>
    <w:qFormat/>
    <w:rsid w:val="00B073FE"/>
    <w:rPr>
      <w:snapToGrid w:val="0"/>
    </w:rPr>
  </w:style>
  <w:style w:type="character" w:customStyle="1" w:styleId="decparaChar">
    <w:name w:val="dec_para Char"/>
    <w:basedOn w:val="DecisionParagraphsChar"/>
    <w:link w:val="decpara"/>
    <w:rsid w:val="00B073FE"/>
    <w:rPr>
      <w:rFonts w:ascii="Arial" w:hAnsi="Arial"/>
      <w:i/>
      <w:snapToGrid w:val="0"/>
      <w:lang w:val="de-DE"/>
    </w:rPr>
  </w:style>
  <w:style w:type="table" w:styleId="TableGrid">
    <w:name w:val="Table Grid"/>
    <w:basedOn w:val="TableNormal"/>
    <w:rsid w:val="003C3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762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373">
      <w:bodyDiv w:val="1"/>
      <w:marLeft w:val="0"/>
      <w:marRight w:val="0"/>
      <w:marTop w:val="0"/>
      <w:marBottom w:val="0"/>
      <w:divBdr>
        <w:top w:val="none" w:sz="0" w:space="0" w:color="auto"/>
        <w:left w:val="none" w:sz="0" w:space="0" w:color="auto"/>
        <w:bottom w:val="none" w:sz="0" w:space="0" w:color="auto"/>
        <w:right w:val="none" w:sz="0" w:space="0" w:color="auto"/>
      </w:divBdr>
    </w:div>
    <w:div w:id="513231799">
      <w:bodyDiv w:val="1"/>
      <w:marLeft w:val="0"/>
      <w:marRight w:val="0"/>
      <w:marTop w:val="0"/>
      <w:marBottom w:val="0"/>
      <w:divBdr>
        <w:top w:val="none" w:sz="0" w:space="0" w:color="auto"/>
        <w:left w:val="none" w:sz="0" w:space="0" w:color="auto"/>
        <w:bottom w:val="none" w:sz="0" w:space="0" w:color="auto"/>
        <w:right w:val="none" w:sz="0" w:space="0" w:color="auto"/>
      </w:divBdr>
    </w:div>
    <w:div w:id="1328628662">
      <w:bodyDiv w:val="1"/>
      <w:marLeft w:val="0"/>
      <w:marRight w:val="0"/>
      <w:marTop w:val="0"/>
      <w:marBottom w:val="0"/>
      <w:divBdr>
        <w:top w:val="none" w:sz="0" w:space="0" w:color="auto"/>
        <w:left w:val="none" w:sz="0" w:space="0" w:color="auto"/>
        <w:bottom w:val="none" w:sz="0" w:space="0" w:color="auto"/>
        <w:right w:val="none" w:sz="0" w:space="0" w:color="auto"/>
      </w:divBdr>
    </w:div>
    <w:div w:id="1871261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resource/de/train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pov.int/upov_collection/de/" TargetMode="External"/><Relationship Id="rId4" Type="http://schemas.openxmlformats.org/officeDocument/2006/relationships/settings" Target="settings.xml"/><Relationship Id="rId9" Type="http://schemas.openxmlformats.org/officeDocument/2006/relationships/hyperlink" Target="http://www.upov.int/members/d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TC_53_DE</Template>
  <TotalTime>82</TotalTime>
  <Pages>11</Pages>
  <Words>3270</Words>
  <Characters>25008</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GIACHINO Erika</dc:creator>
  <cp:lastModifiedBy>GIACHINO Erika</cp:lastModifiedBy>
  <cp:revision>9</cp:revision>
  <cp:lastPrinted>2017-03-31T08:53:00Z</cp:lastPrinted>
  <dcterms:created xsi:type="dcterms:W3CDTF">2017-03-30T16:01:00Z</dcterms:created>
  <dcterms:modified xsi:type="dcterms:W3CDTF">2017-03-31T08:53:00Z</dcterms:modified>
</cp:coreProperties>
</file>