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64CD2" w:rsidRPr="00454E0A" w:rsidTr="00267CF8">
        <w:trPr>
          <w:trHeight w:val="1760"/>
        </w:trPr>
        <w:tc>
          <w:tcPr>
            <w:tcW w:w="4243" w:type="dxa"/>
          </w:tcPr>
          <w:p w:rsidR="00D64CD2" w:rsidRPr="00454E0A" w:rsidRDefault="00D64CD2" w:rsidP="00267CF8">
            <w:pPr>
              <w:rPr>
                <w:lang w:val="de-DE"/>
              </w:rPr>
            </w:pPr>
          </w:p>
        </w:tc>
        <w:tc>
          <w:tcPr>
            <w:tcW w:w="1646" w:type="dxa"/>
            <w:vAlign w:val="center"/>
          </w:tcPr>
          <w:p w:rsidR="00D64CD2" w:rsidRPr="00454E0A" w:rsidRDefault="00D64CD2" w:rsidP="00267CF8">
            <w:pPr>
              <w:pStyle w:val="LogoUPOV"/>
              <w:rPr>
                <w:lang w:val="de-DE"/>
              </w:rPr>
            </w:pPr>
            <w:r w:rsidRPr="00454E0A">
              <w:rPr>
                <w:noProof/>
                <w:lang w:val="de-DE"/>
              </w:rPr>
              <w:drawing>
                <wp:inline distT="0" distB="0" distL="0" distR="0" wp14:anchorId="160FF099" wp14:editId="7C8DE6DC">
                  <wp:extent cx="982345" cy="476885"/>
                  <wp:effectExtent l="0" t="0" r="0"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345" cy="476885"/>
                          </a:xfrm>
                          <a:prstGeom prst="rect">
                            <a:avLst/>
                          </a:prstGeom>
                          <a:noFill/>
                          <a:ln>
                            <a:noFill/>
                          </a:ln>
                        </pic:spPr>
                      </pic:pic>
                    </a:graphicData>
                  </a:graphic>
                </wp:inline>
              </w:drawing>
            </w:r>
          </w:p>
        </w:tc>
        <w:tc>
          <w:tcPr>
            <w:tcW w:w="4242" w:type="dxa"/>
            <w:vAlign w:val="center"/>
          </w:tcPr>
          <w:p w:rsidR="00D64CD2" w:rsidRPr="00454E0A" w:rsidRDefault="00D64CD2" w:rsidP="00267CF8">
            <w:pPr>
              <w:pStyle w:val="Lettrine"/>
              <w:rPr>
                <w:lang w:val="de-DE"/>
              </w:rPr>
            </w:pPr>
            <w:r w:rsidRPr="00454E0A">
              <w:rPr>
                <w:lang w:val="de-DE"/>
              </w:rPr>
              <w:t>G</w:t>
            </w:r>
          </w:p>
          <w:p w:rsidR="00D64CD2" w:rsidRPr="00454E0A" w:rsidRDefault="00D64CD2" w:rsidP="00D64CD2">
            <w:pPr>
              <w:pStyle w:val="Docoriginal"/>
              <w:rPr>
                <w:lang w:val="de-DE"/>
              </w:rPr>
            </w:pPr>
            <w:r w:rsidRPr="00454E0A">
              <w:rPr>
                <w:lang w:val="de-DE"/>
              </w:rPr>
              <w:t>TC/52/</w:t>
            </w:r>
            <w:bookmarkStart w:id="0" w:name="Code"/>
            <w:bookmarkEnd w:id="0"/>
            <w:r w:rsidRPr="00454E0A">
              <w:rPr>
                <w:lang w:val="de-DE"/>
              </w:rPr>
              <w:t>20</w:t>
            </w:r>
          </w:p>
          <w:p w:rsidR="00D64CD2" w:rsidRPr="00454E0A" w:rsidRDefault="00D64CD2" w:rsidP="00D64CD2">
            <w:pPr>
              <w:pStyle w:val="Docoriginal"/>
              <w:rPr>
                <w:b w:val="0"/>
                <w:spacing w:val="0"/>
                <w:lang w:val="de-DE"/>
              </w:rPr>
            </w:pPr>
            <w:r w:rsidRPr="00454E0A">
              <w:rPr>
                <w:rStyle w:val="StyleDoclangBold"/>
                <w:b/>
                <w:bCs/>
                <w:spacing w:val="0"/>
                <w:lang w:val="de-DE"/>
              </w:rPr>
              <w:t>ORIGINAL:</w:t>
            </w:r>
            <w:r w:rsidRPr="00454E0A">
              <w:rPr>
                <w:rStyle w:val="StyleDocoriginalNotBold1"/>
                <w:spacing w:val="0"/>
                <w:lang w:val="de-DE"/>
              </w:rPr>
              <w:t xml:space="preserve">  </w:t>
            </w:r>
            <w:bookmarkStart w:id="1" w:name="Original"/>
            <w:bookmarkEnd w:id="1"/>
            <w:r w:rsidR="00CB0E56" w:rsidRPr="00454E0A">
              <w:rPr>
                <w:b w:val="0"/>
                <w:spacing w:val="0"/>
                <w:lang w:val="de-DE"/>
              </w:rPr>
              <w:t>englisch</w:t>
            </w:r>
          </w:p>
          <w:p w:rsidR="00D64CD2" w:rsidRPr="00454E0A" w:rsidRDefault="00D64CD2" w:rsidP="00454E0A">
            <w:pPr>
              <w:pStyle w:val="Docoriginal"/>
              <w:rPr>
                <w:lang w:val="de-DE"/>
              </w:rPr>
            </w:pPr>
            <w:r w:rsidRPr="00454E0A">
              <w:rPr>
                <w:spacing w:val="0"/>
                <w:lang w:val="de-DE"/>
              </w:rPr>
              <w:t>DAT</w:t>
            </w:r>
            <w:r w:rsidR="00F57940" w:rsidRPr="00454E0A">
              <w:rPr>
                <w:spacing w:val="0"/>
                <w:lang w:val="de-DE"/>
              </w:rPr>
              <w:t>UM</w:t>
            </w:r>
            <w:r w:rsidRPr="00454E0A">
              <w:rPr>
                <w:spacing w:val="0"/>
                <w:lang w:val="de-DE"/>
              </w:rPr>
              <w:t xml:space="preserve">: </w:t>
            </w:r>
            <w:r w:rsidRPr="00454E0A">
              <w:rPr>
                <w:rStyle w:val="StyleDocoriginalNotBold1"/>
                <w:spacing w:val="0"/>
                <w:lang w:val="de-DE"/>
              </w:rPr>
              <w:t xml:space="preserve"> </w:t>
            </w:r>
            <w:bookmarkStart w:id="2" w:name="Date"/>
            <w:bookmarkEnd w:id="2"/>
            <w:r w:rsidRPr="00454E0A">
              <w:rPr>
                <w:b w:val="0"/>
                <w:spacing w:val="0"/>
                <w:lang w:val="de-DE"/>
              </w:rPr>
              <w:t>2</w:t>
            </w:r>
            <w:r w:rsidR="00454E0A" w:rsidRPr="00454E0A">
              <w:rPr>
                <w:b w:val="0"/>
                <w:spacing w:val="0"/>
                <w:lang w:val="de-DE"/>
              </w:rPr>
              <w:t>7</w:t>
            </w:r>
            <w:r w:rsidR="00F57940" w:rsidRPr="00454E0A">
              <w:rPr>
                <w:b w:val="0"/>
                <w:spacing w:val="0"/>
                <w:lang w:val="de-DE"/>
              </w:rPr>
              <w:t>. Januar</w:t>
            </w:r>
            <w:r w:rsidR="00454E0A" w:rsidRPr="00454E0A">
              <w:rPr>
                <w:b w:val="0"/>
                <w:spacing w:val="0"/>
                <w:lang w:val="de-DE"/>
              </w:rPr>
              <w:t xml:space="preserve"> 2016</w:t>
            </w:r>
          </w:p>
        </w:tc>
      </w:tr>
      <w:tr w:rsidR="00D64CD2" w:rsidRPr="00CB0E56" w:rsidTr="00267CF8">
        <w:tc>
          <w:tcPr>
            <w:tcW w:w="10131" w:type="dxa"/>
            <w:gridSpan w:val="3"/>
          </w:tcPr>
          <w:p w:rsidR="00D64CD2" w:rsidRPr="005728BA" w:rsidRDefault="00D64CD2" w:rsidP="00267CF8">
            <w:pPr>
              <w:pStyle w:val="upove"/>
              <w:rPr>
                <w:sz w:val="28"/>
                <w:lang w:val="de-DE"/>
              </w:rPr>
            </w:pPr>
            <w:r w:rsidRPr="005728BA">
              <w:rPr>
                <w:snapToGrid w:val="0"/>
                <w:spacing w:val="10"/>
                <w:lang w:val="de-DE"/>
              </w:rPr>
              <w:t>INTERNATIONALER VERBAND ZUM SCHUTZ VON PFLANZENZÜCHTUNGEN</w:t>
            </w:r>
            <w:r w:rsidRPr="005728BA">
              <w:rPr>
                <w:snapToGrid w:val="0"/>
                <w:lang w:val="de-DE"/>
              </w:rPr>
              <w:t xml:space="preserve"> </w:t>
            </w:r>
          </w:p>
        </w:tc>
      </w:tr>
      <w:tr w:rsidR="00D64CD2" w:rsidRPr="005728BA" w:rsidTr="00267CF8">
        <w:tc>
          <w:tcPr>
            <w:tcW w:w="10131" w:type="dxa"/>
            <w:gridSpan w:val="3"/>
          </w:tcPr>
          <w:p w:rsidR="00D64CD2" w:rsidRPr="005728BA" w:rsidRDefault="00D64CD2" w:rsidP="00267CF8">
            <w:pPr>
              <w:pStyle w:val="Country"/>
              <w:rPr>
                <w:lang w:val="de-DE"/>
              </w:rPr>
            </w:pPr>
            <w:r w:rsidRPr="005728BA">
              <w:rPr>
                <w:lang w:val="de-DE"/>
              </w:rPr>
              <w:t>Genf</w:t>
            </w:r>
          </w:p>
        </w:tc>
      </w:tr>
    </w:tbl>
    <w:p w:rsidR="00D64CD2" w:rsidRPr="005728BA" w:rsidRDefault="00D64CD2" w:rsidP="00D64CD2">
      <w:pPr>
        <w:pStyle w:val="Sessiontc"/>
        <w:rPr>
          <w:lang w:val="de-DE"/>
        </w:rPr>
      </w:pPr>
      <w:r w:rsidRPr="005728BA">
        <w:rPr>
          <w:lang w:val="de-DE"/>
        </w:rPr>
        <w:t>TECHNISCHER AUSSCHUSS</w:t>
      </w:r>
    </w:p>
    <w:p w:rsidR="00D64CD2" w:rsidRPr="005728BA" w:rsidRDefault="00D64CD2" w:rsidP="00D64CD2">
      <w:pPr>
        <w:pStyle w:val="Sessiontcplacedate"/>
        <w:rPr>
          <w:lang w:val="de-DE"/>
        </w:rPr>
      </w:pPr>
      <w:r w:rsidRPr="005728BA">
        <w:rPr>
          <w:lang w:val="de-DE"/>
        </w:rPr>
        <w:t>Zweiundfünfzigste Tagung</w:t>
      </w:r>
      <w:r w:rsidRPr="005728BA">
        <w:rPr>
          <w:lang w:val="de-DE"/>
        </w:rPr>
        <w:br/>
        <w:t>Genf, 14. bis 16. März 2016</w:t>
      </w:r>
    </w:p>
    <w:p w:rsidR="006E3E86" w:rsidRPr="005728BA" w:rsidRDefault="006E3E86" w:rsidP="00D64CD2">
      <w:pPr>
        <w:pStyle w:val="Sessiontcplacedate"/>
        <w:rPr>
          <w:lang w:val="de-DE"/>
        </w:rPr>
      </w:pPr>
    </w:p>
    <w:p w:rsidR="00267CF8" w:rsidRPr="005728BA" w:rsidRDefault="006E3E86" w:rsidP="00D64CD2">
      <w:pPr>
        <w:pStyle w:val="preparedby1"/>
        <w:rPr>
          <w:i w:val="0"/>
          <w:iCs w:val="0"/>
          <w:caps/>
          <w:lang w:val="de-DE"/>
        </w:rPr>
      </w:pPr>
      <w:bookmarkStart w:id="3" w:name="TitleOfDoc"/>
      <w:bookmarkStart w:id="4" w:name="Prepared"/>
      <w:bookmarkEnd w:id="3"/>
      <w:bookmarkEnd w:id="4"/>
      <w:r w:rsidRPr="005728BA">
        <w:rPr>
          <w:i w:val="0"/>
          <w:iCs w:val="0"/>
          <w:caps/>
          <w:lang w:val="de-DE"/>
        </w:rPr>
        <w:t xml:space="preserve">Überarbeitung von Dokument TGP/10: Neuer Abschnitt: Prüfung der Homogenität anhand von Abweichern aufgrund von mehr als einer Wachstumsperiode oder aufgrund von Unterproben </w:t>
      </w:r>
    </w:p>
    <w:p w:rsidR="00D64CD2" w:rsidRPr="005728BA" w:rsidRDefault="00D64CD2" w:rsidP="00D64CD2">
      <w:pPr>
        <w:pStyle w:val="preparedby1"/>
        <w:rPr>
          <w:lang w:val="de-DE"/>
        </w:rPr>
      </w:pPr>
      <w:r w:rsidRPr="005728BA">
        <w:rPr>
          <w:lang w:val="de-DE"/>
        </w:rPr>
        <w:t>vom Verbandsbüro erstelltes Dokument</w:t>
      </w:r>
      <w:r w:rsidRPr="005728BA">
        <w:rPr>
          <w:lang w:val="de-DE"/>
        </w:rPr>
        <w:br/>
      </w:r>
      <w:r w:rsidRPr="005728BA">
        <w:rPr>
          <w:lang w:val="de-DE"/>
        </w:rPr>
        <w:br/>
      </w:r>
      <w:proofErr w:type="spellStart"/>
      <w:r w:rsidRPr="005728BA">
        <w:rPr>
          <w:color w:val="A6A6A6" w:themeColor="background1" w:themeShade="A6"/>
          <w:lang w:val="de-DE"/>
        </w:rPr>
        <w:t>Haftungsausschluß</w:t>
      </w:r>
      <w:proofErr w:type="spellEnd"/>
      <w:r w:rsidRPr="005728BA">
        <w:rPr>
          <w:color w:val="A6A6A6" w:themeColor="background1" w:themeShade="A6"/>
          <w:lang w:val="de-DE"/>
        </w:rPr>
        <w:t>: dieses Dokument gibt nicht die Grundsätze oder eine Anleitung der UPOV wieder</w:t>
      </w:r>
    </w:p>
    <w:p w:rsidR="00BF4661" w:rsidRPr="005728BA" w:rsidRDefault="00D64CD2" w:rsidP="00BF4661">
      <w:pPr>
        <w:autoSpaceDE w:val="0"/>
        <w:autoSpaceDN w:val="0"/>
        <w:adjustRightInd w:val="0"/>
        <w:rPr>
          <w:szCs w:val="24"/>
          <w:lang w:val="de-DE"/>
        </w:rPr>
      </w:pPr>
      <w:r w:rsidRPr="005728BA">
        <w:rPr>
          <w:szCs w:val="24"/>
          <w:lang w:val="de-DE"/>
        </w:rPr>
        <w:t>ZUSAMMENFASSUNG</w:t>
      </w:r>
    </w:p>
    <w:p w:rsidR="00BF4661" w:rsidRPr="005728BA" w:rsidRDefault="00BF4661" w:rsidP="00BF4661">
      <w:pPr>
        <w:autoSpaceDE w:val="0"/>
        <w:autoSpaceDN w:val="0"/>
        <w:adjustRightInd w:val="0"/>
        <w:rPr>
          <w:szCs w:val="24"/>
          <w:lang w:val="de-DE"/>
        </w:rPr>
      </w:pPr>
    </w:p>
    <w:p w:rsidR="00BF4661" w:rsidRPr="005728BA" w:rsidRDefault="00BF4661" w:rsidP="00BF4661">
      <w:pPr>
        <w:autoSpaceDE w:val="0"/>
        <w:autoSpaceDN w:val="0"/>
        <w:adjustRightInd w:val="0"/>
        <w:rPr>
          <w:rFonts w:eastAsia="MS Mincho"/>
          <w:color w:val="000000"/>
          <w:szCs w:val="24"/>
          <w:lang w:val="de-DE" w:eastAsia="ja-JP"/>
        </w:rPr>
      </w:pPr>
      <w:r w:rsidRPr="005728BA">
        <w:rPr>
          <w:szCs w:val="24"/>
          <w:lang w:val="de-DE"/>
        </w:rPr>
        <w:fldChar w:fldCharType="begin"/>
      </w:r>
      <w:r w:rsidRPr="005728BA">
        <w:rPr>
          <w:szCs w:val="24"/>
          <w:lang w:val="de-DE"/>
        </w:rPr>
        <w:instrText xml:space="preserve"> AUTONUM  </w:instrText>
      </w:r>
      <w:r w:rsidRPr="005728BA">
        <w:rPr>
          <w:szCs w:val="24"/>
          <w:lang w:val="de-DE"/>
        </w:rPr>
        <w:fldChar w:fldCharType="end"/>
      </w:r>
      <w:r w:rsidRPr="005728BA">
        <w:rPr>
          <w:szCs w:val="24"/>
          <w:lang w:val="de-DE"/>
        </w:rPr>
        <w:tab/>
      </w:r>
      <w:r w:rsidR="00D64CD2" w:rsidRPr="005728BA">
        <w:rPr>
          <w:lang w:val="de-DE"/>
        </w:rPr>
        <w:t>Zweck dieses Dokuments ist es,</w:t>
      </w:r>
      <w:r w:rsidR="00D64CD2" w:rsidRPr="005728BA">
        <w:rPr>
          <w:rFonts w:cs="Arial"/>
          <w:lang w:val="de-DE" w:eastAsia="ja-JP"/>
        </w:rPr>
        <w:t xml:space="preserve"> </w:t>
      </w:r>
      <w:r w:rsidR="00267CF8" w:rsidRPr="005728BA">
        <w:rPr>
          <w:rFonts w:eastAsia="MS Mincho"/>
          <w:color w:val="000000"/>
          <w:szCs w:val="24"/>
          <w:lang w:val="de-DE" w:eastAsia="ja-JP"/>
        </w:rPr>
        <w:t>einen Vorschlag</w:t>
      </w:r>
      <w:r w:rsidRPr="005728BA">
        <w:rPr>
          <w:rFonts w:eastAsia="MS Mincho"/>
          <w:color w:val="000000"/>
          <w:szCs w:val="24"/>
          <w:lang w:val="de-DE" w:eastAsia="ja-JP"/>
        </w:rPr>
        <w:t xml:space="preserve"> </w:t>
      </w:r>
      <w:r w:rsidR="00267CF8" w:rsidRPr="005728BA">
        <w:rPr>
          <w:rFonts w:eastAsia="MS Mincho"/>
          <w:color w:val="000000"/>
          <w:szCs w:val="24"/>
          <w:lang w:val="de-DE" w:eastAsia="ja-JP"/>
        </w:rPr>
        <w:t>für die Überarbeitung von Dokument</w:t>
      </w:r>
      <w:r w:rsidRPr="005728BA">
        <w:rPr>
          <w:rFonts w:eastAsia="MS Mincho"/>
          <w:color w:val="000000"/>
          <w:szCs w:val="24"/>
          <w:lang w:val="de-DE" w:eastAsia="ja-JP"/>
        </w:rPr>
        <w:t xml:space="preserve"> TGP/10 </w:t>
      </w:r>
      <w:r w:rsidR="00267CF8" w:rsidRPr="005728BA">
        <w:rPr>
          <w:rFonts w:eastAsia="MS Mincho"/>
          <w:color w:val="000000"/>
          <w:szCs w:val="24"/>
          <w:lang w:val="de-DE" w:eastAsia="ja-JP"/>
        </w:rPr>
        <w:t>„Prüfung der Homogenität</w:t>
      </w:r>
      <w:r w:rsidR="00AE6216" w:rsidRPr="005728BA">
        <w:rPr>
          <w:rFonts w:eastAsia="MS Mincho"/>
          <w:color w:val="000000"/>
          <w:szCs w:val="24"/>
          <w:lang w:val="de-DE" w:eastAsia="ja-JP"/>
        </w:rPr>
        <w:t>“</w:t>
      </w:r>
      <w:r w:rsidR="00D12A01">
        <w:rPr>
          <w:rFonts w:eastAsia="MS Mincho"/>
          <w:color w:val="000000"/>
          <w:szCs w:val="24"/>
          <w:lang w:val="de-DE" w:eastAsia="ja-JP"/>
        </w:rPr>
        <w:t>,</w:t>
      </w:r>
      <w:r w:rsidRPr="005728BA">
        <w:rPr>
          <w:rFonts w:eastAsia="MS Mincho"/>
          <w:color w:val="000000"/>
          <w:szCs w:val="24"/>
          <w:lang w:val="de-DE" w:eastAsia="ja-JP"/>
        </w:rPr>
        <w:t xml:space="preserve"> </w:t>
      </w:r>
      <w:r w:rsidR="00267CF8" w:rsidRPr="005728BA">
        <w:rPr>
          <w:rFonts w:eastAsia="MS Mincho"/>
          <w:color w:val="000000"/>
          <w:szCs w:val="24"/>
          <w:lang w:val="de-DE" w:eastAsia="ja-JP"/>
        </w:rPr>
        <w:t xml:space="preserve">um Anleitung </w:t>
      </w:r>
      <w:r w:rsidR="00D12A01">
        <w:rPr>
          <w:rFonts w:eastAsia="MS Mincho"/>
          <w:color w:val="000000"/>
          <w:szCs w:val="24"/>
          <w:lang w:val="de-DE" w:eastAsia="ja-JP"/>
        </w:rPr>
        <w:t>für die Prüfung</w:t>
      </w:r>
      <w:r w:rsidR="00267CF8" w:rsidRPr="005728BA">
        <w:rPr>
          <w:rFonts w:eastAsia="MS Mincho"/>
          <w:color w:val="000000"/>
          <w:szCs w:val="24"/>
          <w:lang w:val="de-DE" w:eastAsia="ja-JP"/>
        </w:rPr>
        <w:t xml:space="preserve"> der Homogenität anhand von Abweichern aufgrund von mehr als einer Wachstumsperiode oder aufgrund von Unterproben</w:t>
      </w:r>
      <w:r w:rsidR="00D12A01" w:rsidRPr="00D12A01">
        <w:rPr>
          <w:rFonts w:eastAsia="MS Mincho"/>
          <w:color w:val="000000"/>
          <w:szCs w:val="24"/>
          <w:lang w:val="de-DE" w:eastAsia="ja-JP"/>
        </w:rPr>
        <w:t xml:space="preserve"> </w:t>
      </w:r>
      <w:r w:rsidR="00D12A01" w:rsidRPr="005728BA">
        <w:rPr>
          <w:rFonts w:eastAsia="MS Mincho"/>
          <w:color w:val="000000"/>
          <w:szCs w:val="24"/>
          <w:lang w:val="de-DE" w:eastAsia="ja-JP"/>
        </w:rPr>
        <w:t>zu erteilen</w:t>
      </w:r>
      <w:r w:rsidR="00D12A01">
        <w:rPr>
          <w:rFonts w:eastAsia="MS Mincho"/>
          <w:color w:val="000000"/>
          <w:szCs w:val="24"/>
          <w:lang w:val="de-DE" w:eastAsia="ja-JP"/>
        </w:rPr>
        <w:t>,</w:t>
      </w:r>
      <w:r w:rsidR="00D12A01" w:rsidRPr="00D12A01">
        <w:rPr>
          <w:rFonts w:eastAsia="MS Mincho"/>
          <w:color w:val="000000"/>
          <w:szCs w:val="24"/>
          <w:lang w:val="de-DE" w:eastAsia="ja-JP"/>
        </w:rPr>
        <w:t xml:space="preserve"> </w:t>
      </w:r>
      <w:r w:rsidR="00D12A01" w:rsidRPr="005728BA">
        <w:rPr>
          <w:rFonts w:eastAsia="MS Mincho"/>
          <w:color w:val="000000"/>
          <w:szCs w:val="24"/>
          <w:lang w:val="de-DE" w:eastAsia="ja-JP"/>
        </w:rPr>
        <w:t>vorzulegen</w:t>
      </w:r>
      <w:r w:rsidRPr="005728BA">
        <w:rPr>
          <w:rFonts w:eastAsia="MS Mincho"/>
          <w:color w:val="000000"/>
          <w:szCs w:val="24"/>
          <w:lang w:val="de-DE" w:eastAsia="ja-JP"/>
        </w:rPr>
        <w:t xml:space="preserve">.  </w:t>
      </w:r>
    </w:p>
    <w:p w:rsidR="00BF4661" w:rsidRPr="005728BA" w:rsidRDefault="00BF4661" w:rsidP="00BF4661">
      <w:pPr>
        <w:autoSpaceDE w:val="0"/>
        <w:autoSpaceDN w:val="0"/>
        <w:adjustRightInd w:val="0"/>
        <w:rPr>
          <w:rFonts w:eastAsia="MS Mincho"/>
          <w:color w:val="000000"/>
          <w:szCs w:val="24"/>
          <w:lang w:val="de-DE" w:eastAsia="ja-JP"/>
        </w:rPr>
      </w:pPr>
    </w:p>
    <w:p w:rsidR="00CA7332" w:rsidRPr="005728BA" w:rsidRDefault="00CA7332" w:rsidP="00CA7332">
      <w:pPr>
        <w:rPr>
          <w:snapToGrid w:val="0"/>
          <w:lang w:val="de-DE"/>
        </w:rPr>
      </w:pPr>
      <w:r w:rsidRPr="005728BA">
        <w:rPr>
          <w:snapToGrid w:val="0"/>
          <w:lang w:val="de-DE"/>
        </w:rPr>
        <w:fldChar w:fldCharType="begin"/>
      </w:r>
      <w:r w:rsidRPr="005728BA">
        <w:rPr>
          <w:snapToGrid w:val="0"/>
          <w:lang w:val="de-DE"/>
        </w:rPr>
        <w:instrText xml:space="preserve"> AUTONUM  </w:instrText>
      </w:r>
      <w:r w:rsidRPr="005728BA">
        <w:rPr>
          <w:snapToGrid w:val="0"/>
          <w:lang w:val="de-DE"/>
        </w:rPr>
        <w:fldChar w:fldCharType="end"/>
      </w:r>
      <w:r w:rsidRPr="005728BA">
        <w:rPr>
          <w:snapToGrid w:val="0"/>
          <w:lang w:val="de-DE"/>
        </w:rPr>
        <w:tab/>
      </w:r>
      <w:r w:rsidR="00267CF8" w:rsidRPr="005728BA">
        <w:rPr>
          <w:snapToGrid w:val="0"/>
          <w:lang w:val="de-DE"/>
        </w:rPr>
        <w:t>Der TC wird ersucht</w:t>
      </w:r>
      <w:r w:rsidRPr="005728BA">
        <w:rPr>
          <w:snapToGrid w:val="0"/>
          <w:lang w:val="de-DE"/>
        </w:rPr>
        <w:t xml:space="preserve">: </w:t>
      </w:r>
    </w:p>
    <w:p w:rsidR="00CE466C" w:rsidRPr="005728BA" w:rsidRDefault="00CE466C" w:rsidP="00CA7332">
      <w:pPr>
        <w:rPr>
          <w:snapToGrid w:val="0"/>
          <w:highlight w:val="yellow"/>
          <w:lang w:val="de-DE"/>
        </w:rPr>
      </w:pPr>
    </w:p>
    <w:p w:rsidR="009A7580" w:rsidRPr="005728BA" w:rsidRDefault="009A7580" w:rsidP="00B67732">
      <w:pPr>
        <w:pStyle w:val="DecisionParagraphs"/>
        <w:keepLines/>
        <w:tabs>
          <w:tab w:val="clear" w:pos="5387"/>
          <w:tab w:val="left" w:pos="1134"/>
          <w:tab w:val="left" w:pos="5954"/>
        </w:tabs>
        <w:spacing w:after="120"/>
        <w:ind w:left="0" w:firstLine="567"/>
        <w:rPr>
          <w:i w:val="0"/>
          <w:lang w:val="de-DE"/>
        </w:rPr>
      </w:pPr>
      <w:r w:rsidRPr="005728BA">
        <w:rPr>
          <w:i w:val="0"/>
          <w:lang w:val="de-DE"/>
        </w:rPr>
        <w:t>a)</w:t>
      </w:r>
      <w:r w:rsidRPr="005728BA">
        <w:rPr>
          <w:i w:val="0"/>
          <w:lang w:val="de-DE"/>
        </w:rPr>
        <w:tab/>
      </w:r>
      <w:r w:rsidR="00267CF8" w:rsidRPr="005728BA">
        <w:rPr>
          <w:i w:val="0"/>
          <w:lang w:val="de-DE"/>
        </w:rPr>
        <w:t>den neuen Vorschlag für</w:t>
      </w:r>
      <w:r w:rsidRPr="005728BA">
        <w:rPr>
          <w:i w:val="0"/>
          <w:lang w:val="de-DE"/>
        </w:rPr>
        <w:t xml:space="preserve"> </w:t>
      </w:r>
      <w:r w:rsidR="00267CF8" w:rsidRPr="005728BA">
        <w:rPr>
          <w:i w:val="0"/>
          <w:lang w:val="de-DE"/>
        </w:rPr>
        <w:t>„Ansatz</w:t>
      </w:r>
      <w:r w:rsidRPr="005728BA">
        <w:rPr>
          <w:i w:val="0"/>
          <w:lang w:val="de-DE"/>
        </w:rPr>
        <w:t xml:space="preserve"> 3: </w:t>
      </w:r>
      <w:r w:rsidR="00267CF8" w:rsidRPr="005728BA">
        <w:rPr>
          <w:i w:val="0"/>
          <w:lang w:val="de-DE"/>
        </w:rPr>
        <w:t>Kombination der Ergebnisse aus zwei Wachstumsperioden</w:t>
      </w:r>
      <w:r w:rsidR="00F57940">
        <w:rPr>
          <w:i w:val="0"/>
          <w:lang w:val="de-DE"/>
        </w:rPr>
        <w:t>“</w:t>
      </w:r>
      <w:r w:rsidRPr="005728BA">
        <w:rPr>
          <w:i w:val="0"/>
          <w:lang w:val="de-DE"/>
        </w:rPr>
        <w:t xml:space="preserve"> </w:t>
      </w:r>
      <w:r w:rsidR="00267CF8" w:rsidRPr="005728BA">
        <w:rPr>
          <w:i w:val="0"/>
          <w:lang w:val="de-DE"/>
        </w:rPr>
        <w:t>für die Prüfung der Homogenität anhand von Abweichern</w:t>
      </w:r>
      <w:r w:rsidRPr="005728BA">
        <w:rPr>
          <w:i w:val="0"/>
          <w:lang w:val="de-DE"/>
        </w:rPr>
        <w:t xml:space="preserve">, </w:t>
      </w:r>
      <w:r w:rsidR="00267CF8" w:rsidRPr="005728BA">
        <w:rPr>
          <w:i w:val="0"/>
          <w:lang w:val="de-DE"/>
        </w:rPr>
        <w:t xml:space="preserve">wie </w:t>
      </w:r>
      <w:r w:rsidRPr="005728BA">
        <w:rPr>
          <w:i w:val="0"/>
          <w:lang w:val="de-DE"/>
        </w:rPr>
        <w:t xml:space="preserve">in </w:t>
      </w:r>
      <w:r w:rsidR="00D64CD2" w:rsidRPr="005728BA">
        <w:rPr>
          <w:i w:val="0"/>
          <w:lang w:val="de-DE"/>
        </w:rPr>
        <w:t>Anlage</w:t>
      </w:r>
      <w:r w:rsidRPr="005728BA">
        <w:rPr>
          <w:i w:val="0"/>
          <w:lang w:val="de-DE"/>
        </w:rPr>
        <w:t xml:space="preserve"> I </w:t>
      </w:r>
      <w:r w:rsidR="00267CF8" w:rsidRPr="005728BA">
        <w:rPr>
          <w:i w:val="0"/>
          <w:lang w:val="de-DE"/>
        </w:rPr>
        <w:t>dieses Dokuments</w:t>
      </w:r>
      <w:r w:rsidR="00D12A01" w:rsidRPr="00D12A01">
        <w:rPr>
          <w:i w:val="0"/>
          <w:lang w:val="de-DE"/>
        </w:rPr>
        <w:t xml:space="preserve"> </w:t>
      </w:r>
      <w:r w:rsidR="00D12A01" w:rsidRPr="005728BA">
        <w:rPr>
          <w:i w:val="0"/>
          <w:lang w:val="de-DE"/>
        </w:rPr>
        <w:t>dargelegt</w:t>
      </w:r>
      <w:r w:rsidR="00D12A01">
        <w:rPr>
          <w:i w:val="0"/>
          <w:lang w:val="de-DE"/>
        </w:rPr>
        <w:t>,</w:t>
      </w:r>
      <w:r w:rsidR="00D12A01" w:rsidRPr="00D12A01">
        <w:rPr>
          <w:i w:val="0"/>
          <w:lang w:val="de-DE"/>
        </w:rPr>
        <w:t xml:space="preserve"> </w:t>
      </w:r>
      <w:r w:rsidR="00D12A01" w:rsidRPr="005728BA">
        <w:rPr>
          <w:i w:val="0"/>
          <w:lang w:val="de-DE"/>
        </w:rPr>
        <w:t>zu prüfen</w:t>
      </w:r>
      <w:r w:rsidRPr="005728BA">
        <w:rPr>
          <w:i w:val="0"/>
          <w:lang w:val="de-DE"/>
        </w:rPr>
        <w:t xml:space="preserve">; </w:t>
      </w:r>
    </w:p>
    <w:p w:rsidR="009A7580" w:rsidRPr="005728BA" w:rsidRDefault="009A7580" w:rsidP="00B67732">
      <w:pPr>
        <w:pStyle w:val="DecisionParagraphs"/>
        <w:keepLines/>
        <w:tabs>
          <w:tab w:val="clear" w:pos="5387"/>
          <w:tab w:val="left" w:pos="1134"/>
          <w:tab w:val="left" w:pos="5954"/>
        </w:tabs>
        <w:spacing w:after="120"/>
        <w:ind w:left="0" w:firstLine="567"/>
        <w:rPr>
          <w:i w:val="0"/>
          <w:lang w:val="de-DE"/>
        </w:rPr>
      </w:pPr>
      <w:r w:rsidRPr="005728BA">
        <w:rPr>
          <w:i w:val="0"/>
          <w:lang w:val="de-DE"/>
        </w:rPr>
        <w:t>b)</w:t>
      </w:r>
      <w:r w:rsidRPr="005728BA">
        <w:rPr>
          <w:i w:val="0"/>
          <w:lang w:val="de-DE"/>
        </w:rPr>
        <w:tab/>
      </w:r>
      <w:r w:rsidR="00267CF8" w:rsidRPr="005728BA">
        <w:rPr>
          <w:i w:val="0"/>
          <w:lang w:val="de-DE"/>
        </w:rPr>
        <w:t xml:space="preserve">zur Kenntnis zu nehmen, </w:t>
      </w:r>
      <w:proofErr w:type="spellStart"/>
      <w:r w:rsidR="00267CF8" w:rsidRPr="005728BA">
        <w:rPr>
          <w:i w:val="0"/>
          <w:lang w:val="de-DE"/>
        </w:rPr>
        <w:t>daß</w:t>
      </w:r>
      <w:proofErr w:type="spellEnd"/>
      <w:r w:rsidRPr="005728BA">
        <w:rPr>
          <w:i w:val="0"/>
          <w:lang w:val="de-DE"/>
        </w:rPr>
        <w:t xml:space="preserve"> </w:t>
      </w:r>
      <w:r w:rsidR="00267CF8" w:rsidRPr="005728BA">
        <w:rPr>
          <w:i w:val="0"/>
          <w:lang w:val="de-DE"/>
        </w:rPr>
        <w:t xml:space="preserve">die TWA </w:t>
      </w:r>
      <w:r w:rsidR="00D91ED1" w:rsidRPr="005728BA">
        <w:rPr>
          <w:i w:val="0"/>
          <w:lang w:val="de-DE"/>
        </w:rPr>
        <w:t>vereinbart</w:t>
      </w:r>
      <w:r w:rsidR="00F57940">
        <w:rPr>
          <w:i w:val="0"/>
          <w:lang w:val="de-DE"/>
        </w:rPr>
        <w:t xml:space="preserve"> hat</w:t>
      </w:r>
      <w:r w:rsidR="00D91ED1" w:rsidRPr="005728BA">
        <w:rPr>
          <w:i w:val="0"/>
          <w:lang w:val="de-DE"/>
        </w:rPr>
        <w:t>,</w:t>
      </w:r>
      <w:r w:rsidRPr="005728BA">
        <w:rPr>
          <w:i w:val="0"/>
          <w:lang w:val="de-DE"/>
        </w:rPr>
        <w:t xml:space="preserve"> </w:t>
      </w:r>
      <w:r w:rsidR="00267CF8" w:rsidRPr="005728BA">
        <w:rPr>
          <w:i w:val="0"/>
          <w:lang w:val="de-DE"/>
        </w:rPr>
        <w:t>um eine Videoverbindung mit den Sachverständigen der TWC</w:t>
      </w:r>
      <w:r w:rsidR="00D12A01" w:rsidRPr="00D12A01">
        <w:rPr>
          <w:i w:val="0"/>
          <w:lang w:val="de-DE"/>
        </w:rPr>
        <w:t xml:space="preserve"> </w:t>
      </w:r>
      <w:r w:rsidR="00D12A01" w:rsidRPr="005728BA">
        <w:rPr>
          <w:i w:val="0"/>
          <w:lang w:val="de-DE"/>
        </w:rPr>
        <w:t>zu ersuchen</w:t>
      </w:r>
      <w:r w:rsidR="00D12A01">
        <w:rPr>
          <w:i w:val="0"/>
          <w:lang w:val="de-DE"/>
        </w:rPr>
        <w:t>,</w:t>
      </w:r>
      <w:r w:rsidRPr="005728BA">
        <w:rPr>
          <w:i w:val="0"/>
          <w:lang w:val="de-DE"/>
        </w:rPr>
        <w:t xml:space="preserve"> </w:t>
      </w:r>
      <w:r w:rsidR="00267CF8" w:rsidRPr="005728BA">
        <w:rPr>
          <w:i w:val="0"/>
          <w:lang w:val="de-DE"/>
        </w:rPr>
        <w:t>um den neuen Vorschlag für</w:t>
      </w:r>
      <w:r w:rsidRPr="005728BA">
        <w:rPr>
          <w:i w:val="0"/>
          <w:lang w:val="de-DE"/>
        </w:rPr>
        <w:t xml:space="preserve"> </w:t>
      </w:r>
      <w:r w:rsidR="00267CF8" w:rsidRPr="005728BA">
        <w:rPr>
          <w:i w:val="0"/>
          <w:lang w:val="de-DE"/>
        </w:rPr>
        <w:t>„Ansatz</w:t>
      </w:r>
      <w:r w:rsidRPr="005728BA">
        <w:rPr>
          <w:i w:val="0"/>
          <w:lang w:val="de-DE"/>
        </w:rPr>
        <w:t xml:space="preserve"> 3: </w:t>
      </w:r>
      <w:r w:rsidR="00267CF8" w:rsidRPr="005728BA">
        <w:rPr>
          <w:i w:val="0"/>
          <w:lang w:val="de-DE"/>
        </w:rPr>
        <w:t>Kombination der Ergebnisse aus zwei Wachstumsperioden</w:t>
      </w:r>
      <w:r w:rsidR="00170C91">
        <w:rPr>
          <w:i w:val="0"/>
          <w:lang w:val="de-DE"/>
        </w:rPr>
        <w:t>“</w:t>
      </w:r>
      <w:r w:rsidRPr="005728BA">
        <w:rPr>
          <w:i w:val="0"/>
          <w:lang w:val="de-DE"/>
        </w:rPr>
        <w:t xml:space="preserve"> </w:t>
      </w:r>
      <w:r w:rsidR="00267CF8" w:rsidRPr="005728BA">
        <w:rPr>
          <w:i w:val="0"/>
          <w:lang w:val="de-DE"/>
        </w:rPr>
        <w:t xml:space="preserve">auf ihrer fünfundvierzigsten Tagung </w:t>
      </w:r>
      <w:r w:rsidR="00F57940">
        <w:rPr>
          <w:i w:val="0"/>
          <w:lang w:val="de-DE"/>
        </w:rPr>
        <w:t xml:space="preserve">im Jahr </w:t>
      </w:r>
      <w:r w:rsidRPr="005728BA">
        <w:rPr>
          <w:i w:val="0"/>
          <w:lang w:val="de-DE"/>
        </w:rPr>
        <w:t>2016</w:t>
      </w:r>
      <w:r w:rsidR="007C2800" w:rsidRPr="005728BA">
        <w:rPr>
          <w:i w:val="0"/>
          <w:lang w:val="de-DE"/>
        </w:rPr>
        <w:t xml:space="preserve"> zu erörtern</w:t>
      </w:r>
      <w:r w:rsidRPr="005728BA">
        <w:rPr>
          <w:i w:val="0"/>
          <w:lang w:val="de-DE"/>
        </w:rPr>
        <w:t xml:space="preserve">; </w:t>
      </w:r>
    </w:p>
    <w:p w:rsidR="009A7580" w:rsidRPr="005728BA" w:rsidRDefault="009A7580" w:rsidP="00B67732">
      <w:pPr>
        <w:pStyle w:val="DecisionParagraphs"/>
        <w:keepLines/>
        <w:tabs>
          <w:tab w:val="clear" w:pos="5387"/>
          <w:tab w:val="left" w:pos="1134"/>
          <w:tab w:val="left" w:pos="5954"/>
        </w:tabs>
        <w:spacing w:after="120"/>
        <w:ind w:left="0" w:firstLine="567"/>
        <w:rPr>
          <w:i w:val="0"/>
          <w:lang w:val="de-DE"/>
        </w:rPr>
      </w:pPr>
      <w:r w:rsidRPr="005728BA">
        <w:rPr>
          <w:i w:val="0"/>
          <w:lang w:val="de-DE"/>
        </w:rPr>
        <w:t>c)</w:t>
      </w:r>
      <w:r w:rsidRPr="005728BA">
        <w:rPr>
          <w:i w:val="0"/>
          <w:lang w:val="de-DE"/>
        </w:rPr>
        <w:tab/>
      </w:r>
      <w:r w:rsidR="007C2800" w:rsidRPr="005728BA">
        <w:rPr>
          <w:i w:val="0"/>
          <w:lang w:val="de-DE"/>
        </w:rPr>
        <w:t xml:space="preserve">zu prüfen, ob in dem Text </w:t>
      </w:r>
      <w:r w:rsidR="00722A9C">
        <w:rPr>
          <w:i w:val="0"/>
          <w:lang w:val="de-DE"/>
        </w:rPr>
        <w:t>geklärt</w:t>
      </w:r>
      <w:r w:rsidR="007C2800" w:rsidRPr="005728BA">
        <w:rPr>
          <w:i w:val="0"/>
          <w:lang w:val="de-DE"/>
        </w:rPr>
        <w:t xml:space="preserve"> werden sollte, </w:t>
      </w:r>
      <w:proofErr w:type="spellStart"/>
      <w:r w:rsidR="007C2800" w:rsidRPr="005728BA">
        <w:rPr>
          <w:i w:val="0"/>
          <w:lang w:val="de-DE"/>
        </w:rPr>
        <w:t>daß</w:t>
      </w:r>
      <w:proofErr w:type="spellEnd"/>
      <w:r w:rsidR="007C2800" w:rsidRPr="005728BA">
        <w:rPr>
          <w:i w:val="0"/>
          <w:lang w:val="de-DE"/>
        </w:rPr>
        <w:t xml:space="preserve"> die Anleitung in Anlage I nicht für die </w:t>
      </w:r>
      <w:r w:rsidR="00F57940">
        <w:rPr>
          <w:i w:val="0"/>
          <w:lang w:val="de-DE"/>
        </w:rPr>
        <w:t xml:space="preserve">Verwendung zur Prüfung </w:t>
      </w:r>
      <w:r w:rsidR="00267CF8" w:rsidRPr="005728BA">
        <w:rPr>
          <w:i w:val="0"/>
          <w:lang w:val="de-DE"/>
        </w:rPr>
        <w:t>der Homogenität anhand von Abweichern</w:t>
      </w:r>
      <w:r w:rsidRPr="005728BA">
        <w:rPr>
          <w:i w:val="0"/>
          <w:lang w:val="de-DE"/>
        </w:rPr>
        <w:t xml:space="preserve"> </w:t>
      </w:r>
      <w:r w:rsidR="007C2800" w:rsidRPr="005728BA">
        <w:rPr>
          <w:i w:val="0"/>
          <w:lang w:val="de-DE"/>
        </w:rPr>
        <w:t>an den gleichen Pflanzen in zwei Wachstumsperioden</w:t>
      </w:r>
      <w:r w:rsidR="00D12A01" w:rsidRPr="00D12A01">
        <w:rPr>
          <w:i w:val="0"/>
          <w:lang w:val="de-DE"/>
        </w:rPr>
        <w:t xml:space="preserve"> </w:t>
      </w:r>
      <w:r w:rsidR="00D12A01" w:rsidRPr="005728BA">
        <w:rPr>
          <w:i w:val="0"/>
          <w:lang w:val="de-DE"/>
        </w:rPr>
        <w:t>vorgesehen ist</w:t>
      </w:r>
      <w:r w:rsidR="007C2800" w:rsidRPr="005728BA">
        <w:rPr>
          <w:i w:val="0"/>
          <w:lang w:val="de-DE"/>
        </w:rPr>
        <w:t>; und</w:t>
      </w:r>
    </w:p>
    <w:p w:rsidR="009A7580" w:rsidRPr="005728BA" w:rsidRDefault="009A7580" w:rsidP="006E3018">
      <w:pPr>
        <w:pStyle w:val="DecisionParagraphs"/>
        <w:keepLines/>
        <w:tabs>
          <w:tab w:val="clear" w:pos="5387"/>
          <w:tab w:val="left" w:pos="1134"/>
          <w:tab w:val="left" w:pos="5954"/>
        </w:tabs>
        <w:ind w:left="0" w:firstLine="567"/>
        <w:rPr>
          <w:i w:val="0"/>
          <w:lang w:val="de-DE"/>
        </w:rPr>
      </w:pPr>
      <w:r w:rsidRPr="005728BA">
        <w:rPr>
          <w:i w:val="0"/>
          <w:lang w:val="de-DE"/>
        </w:rPr>
        <w:t>d)</w:t>
      </w:r>
      <w:r w:rsidRPr="005728BA">
        <w:rPr>
          <w:i w:val="0"/>
          <w:lang w:val="de-DE"/>
        </w:rPr>
        <w:tab/>
      </w:r>
      <w:r w:rsidR="007C2800" w:rsidRPr="005728BA">
        <w:rPr>
          <w:i w:val="0"/>
          <w:lang w:val="de-DE"/>
        </w:rPr>
        <w:t>den Entwurf für eine Anleitung</w:t>
      </w:r>
      <w:r w:rsidR="00D12A01">
        <w:rPr>
          <w:i w:val="0"/>
          <w:lang w:val="de-DE"/>
        </w:rPr>
        <w:t>,</w:t>
      </w:r>
      <w:r w:rsidR="007C2800" w:rsidRPr="005728BA">
        <w:rPr>
          <w:i w:val="0"/>
          <w:lang w:val="de-DE"/>
        </w:rPr>
        <w:t xml:space="preserve"> </w:t>
      </w:r>
      <w:r w:rsidR="00267CF8" w:rsidRPr="005728BA">
        <w:rPr>
          <w:i w:val="0"/>
          <w:lang w:val="de-DE"/>
        </w:rPr>
        <w:t xml:space="preserve">wie </w:t>
      </w:r>
      <w:r w:rsidRPr="005728BA">
        <w:rPr>
          <w:i w:val="0"/>
          <w:lang w:val="de-DE"/>
        </w:rPr>
        <w:t xml:space="preserve">in </w:t>
      </w:r>
      <w:r w:rsidR="00D64CD2" w:rsidRPr="005728BA">
        <w:rPr>
          <w:i w:val="0"/>
          <w:lang w:val="de-DE"/>
        </w:rPr>
        <w:t>Anlagen</w:t>
      </w:r>
      <w:r w:rsidRPr="005728BA">
        <w:rPr>
          <w:i w:val="0"/>
          <w:lang w:val="de-DE"/>
        </w:rPr>
        <w:t xml:space="preserve"> I</w:t>
      </w:r>
      <w:r w:rsidR="00D800D5" w:rsidRPr="005728BA">
        <w:rPr>
          <w:i w:val="0"/>
          <w:lang w:val="de-DE"/>
        </w:rPr>
        <w:t xml:space="preserve"> und </w:t>
      </w:r>
      <w:r w:rsidRPr="005728BA">
        <w:rPr>
          <w:i w:val="0"/>
          <w:lang w:val="de-DE"/>
        </w:rPr>
        <w:t>II</w:t>
      </w:r>
      <w:r w:rsidR="00D12A01" w:rsidRPr="00D12A01">
        <w:rPr>
          <w:i w:val="0"/>
          <w:lang w:val="de-DE"/>
        </w:rPr>
        <w:t xml:space="preserve"> </w:t>
      </w:r>
      <w:r w:rsidR="00D12A01" w:rsidRPr="005728BA">
        <w:rPr>
          <w:i w:val="0"/>
          <w:lang w:val="de-DE"/>
        </w:rPr>
        <w:t>dargelegt</w:t>
      </w:r>
      <w:r w:rsidR="00D12A01">
        <w:rPr>
          <w:i w:val="0"/>
          <w:lang w:val="de-DE"/>
        </w:rPr>
        <w:t>,</w:t>
      </w:r>
      <w:r w:rsidRPr="005728BA">
        <w:rPr>
          <w:i w:val="0"/>
          <w:lang w:val="de-DE"/>
        </w:rPr>
        <w:t xml:space="preserve"> </w:t>
      </w:r>
      <w:r w:rsidR="007C2800" w:rsidRPr="005728BA">
        <w:rPr>
          <w:i w:val="0"/>
          <w:lang w:val="de-DE"/>
        </w:rPr>
        <w:t>zur Aufnahme in eine künftige</w:t>
      </w:r>
      <w:r w:rsidRPr="005728BA">
        <w:rPr>
          <w:i w:val="0"/>
          <w:lang w:val="de-DE"/>
        </w:rPr>
        <w:t xml:space="preserve"> </w:t>
      </w:r>
      <w:r w:rsidR="00267CF8" w:rsidRPr="005728BA">
        <w:rPr>
          <w:i w:val="0"/>
          <w:lang w:val="de-DE"/>
        </w:rPr>
        <w:t>Überarbeitung von Dokument</w:t>
      </w:r>
      <w:r w:rsidRPr="005728BA">
        <w:rPr>
          <w:i w:val="0"/>
          <w:lang w:val="de-DE"/>
        </w:rPr>
        <w:t xml:space="preserve"> TGP/10</w:t>
      </w:r>
      <w:r w:rsidR="00D12A01" w:rsidRPr="00D12A01">
        <w:rPr>
          <w:i w:val="0"/>
          <w:lang w:val="de-DE"/>
        </w:rPr>
        <w:t xml:space="preserve"> </w:t>
      </w:r>
      <w:r w:rsidR="00D12A01" w:rsidRPr="005728BA">
        <w:rPr>
          <w:i w:val="0"/>
          <w:lang w:val="de-DE"/>
        </w:rPr>
        <w:t>zu prüfen</w:t>
      </w:r>
      <w:r w:rsidRPr="005728BA">
        <w:rPr>
          <w:i w:val="0"/>
          <w:lang w:val="de-DE"/>
        </w:rPr>
        <w:t>.</w:t>
      </w:r>
    </w:p>
    <w:p w:rsidR="00A52B4A" w:rsidRPr="005728BA" w:rsidRDefault="00A52B4A" w:rsidP="00BF4661">
      <w:pPr>
        <w:autoSpaceDE w:val="0"/>
        <w:autoSpaceDN w:val="0"/>
        <w:adjustRightInd w:val="0"/>
        <w:rPr>
          <w:lang w:val="de-DE"/>
        </w:rPr>
      </w:pPr>
    </w:p>
    <w:p w:rsidR="00BF4661" w:rsidRPr="005728BA" w:rsidRDefault="008454A6" w:rsidP="00BF4661">
      <w:pPr>
        <w:autoSpaceDE w:val="0"/>
        <w:autoSpaceDN w:val="0"/>
        <w:adjustRightInd w:val="0"/>
        <w:rPr>
          <w:rFonts w:eastAsia="MS Mincho"/>
          <w:color w:val="000000"/>
          <w:szCs w:val="24"/>
          <w:lang w:val="de-DE" w:eastAsia="ja-JP"/>
        </w:rPr>
      </w:pPr>
      <w:r w:rsidRPr="005728BA">
        <w:rPr>
          <w:rFonts w:eastAsia="MS Mincho"/>
          <w:color w:val="000000"/>
          <w:szCs w:val="24"/>
          <w:lang w:val="de-DE" w:eastAsia="ja-JP"/>
        </w:rPr>
        <w:fldChar w:fldCharType="begin"/>
      </w:r>
      <w:r w:rsidRPr="005728BA">
        <w:rPr>
          <w:rFonts w:eastAsia="MS Mincho"/>
          <w:color w:val="000000"/>
          <w:szCs w:val="24"/>
          <w:lang w:val="de-DE" w:eastAsia="ja-JP"/>
        </w:rPr>
        <w:instrText xml:space="preserve"> AUTONUM  </w:instrText>
      </w:r>
      <w:r w:rsidRPr="005728BA">
        <w:rPr>
          <w:rFonts w:eastAsia="MS Mincho"/>
          <w:color w:val="000000"/>
          <w:szCs w:val="24"/>
          <w:lang w:val="de-DE" w:eastAsia="ja-JP"/>
        </w:rPr>
        <w:fldChar w:fldCharType="end"/>
      </w:r>
      <w:r w:rsidRPr="005728BA">
        <w:rPr>
          <w:rFonts w:eastAsia="MS Mincho"/>
          <w:color w:val="000000"/>
          <w:szCs w:val="24"/>
          <w:lang w:val="de-DE" w:eastAsia="ja-JP"/>
        </w:rPr>
        <w:tab/>
      </w:r>
      <w:r w:rsidR="00D64CD2" w:rsidRPr="005728BA">
        <w:rPr>
          <w:lang w:val="de-DE"/>
        </w:rPr>
        <w:t>Der Aufbau dieses Dokuments ist nachstehend zusammengefasst</w:t>
      </w:r>
      <w:r w:rsidR="00BF4661" w:rsidRPr="005728BA">
        <w:rPr>
          <w:rFonts w:eastAsia="MS Mincho"/>
          <w:color w:val="000000"/>
          <w:szCs w:val="24"/>
          <w:lang w:val="de-DE" w:eastAsia="ja-JP"/>
        </w:rPr>
        <w:t>:</w:t>
      </w:r>
    </w:p>
    <w:p w:rsidR="008454A6" w:rsidRPr="005728BA" w:rsidRDefault="008454A6" w:rsidP="00BF4661">
      <w:pPr>
        <w:autoSpaceDE w:val="0"/>
        <w:autoSpaceDN w:val="0"/>
        <w:adjustRightInd w:val="0"/>
        <w:rPr>
          <w:rFonts w:eastAsia="MS Mincho"/>
          <w:color w:val="000000"/>
          <w:szCs w:val="24"/>
          <w:lang w:val="de-DE" w:eastAsia="ja-JP"/>
        </w:rPr>
      </w:pPr>
    </w:p>
    <w:p w:rsidR="00F57940" w:rsidRDefault="00BF4661" w:rsidP="00B67732">
      <w:pPr>
        <w:pStyle w:val="TOC1"/>
        <w:rPr>
          <w:rFonts w:asciiTheme="minorHAnsi" w:eastAsiaTheme="minorEastAsia" w:hAnsiTheme="minorHAnsi" w:cstheme="minorBidi"/>
          <w:noProof/>
          <w:sz w:val="22"/>
          <w:szCs w:val="22"/>
          <w:lang w:val="de-DE" w:eastAsia="de-DE"/>
        </w:rPr>
      </w:pPr>
      <w:r w:rsidRPr="005728BA">
        <w:rPr>
          <w:snapToGrid w:val="0"/>
          <w:lang w:val="de-DE"/>
        </w:rPr>
        <w:fldChar w:fldCharType="begin"/>
      </w:r>
      <w:r w:rsidRPr="005728BA">
        <w:rPr>
          <w:snapToGrid w:val="0"/>
          <w:lang w:val="de-DE"/>
        </w:rPr>
        <w:instrText xml:space="preserve"> TOC \o "1-3" \h \z \u </w:instrText>
      </w:r>
      <w:r w:rsidRPr="005728BA">
        <w:rPr>
          <w:snapToGrid w:val="0"/>
          <w:lang w:val="de-DE"/>
        </w:rPr>
        <w:fldChar w:fldCharType="separate"/>
      </w:r>
      <w:hyperlink w:anchor="_Toc442051955" w:history="1">
        <w:r w:rsidR="00F57940" w:rsidRPr="00B93198">
          <w:rPr>
            <w:rStyle w:val="Hyperlink"/>
            <w:noProof/>
            <w:lang w:val="de-DE"/>
          </w:rPr>
          <w:t>ENTWICKLUNGEN IM JAHR 2015</w:t>
        </w:r>
        <w:r w:rsidR="00F57940">
          <w:rPr>
            <w:noProof/>
            <w:webHidden/>
          </w:rPr>
          <w:tab/>
        </w:r>
        <w:r w:rsidR="00F57940">
          <w:rPr>
            <w:noProof/>
            <w:webHidden/>
          </w:rPr>
          <w:fldChar w:fldCharType="begin"/>
        </w:r>
        <w:r w:rsidR="00F57940">
          <w:rPr>
            <w:noProof/>
            <w:webHidden/>
          </w:rPr>
          <w:instrText xml:space="preserve"> PAGEREF _Toc442051955 \h </w:instrText>
        </w:r>
        <w:r w:rsidR="00F57940">
          <w:rPr>
            <w:noProof/>
            <w:webHidden/>
          </w:rPr>
        </w:r>
        <w:r w:rsidR="00F57940">
          <w:rPr>
            <w:noProof/>
            <w:webHidden/>
          </w:rPr>
          <w:fldChar w:fldCharType="separate"/>
        </w:r>
        <w:r w:rsidR="004F4357">
          <w:rPr>
            <w:noProof/>
            <w:webHidden/>
          </w:rPr>
          <w:t>2</w:t>
        </w:r>
        <w:r w:rsidR="00F57940">
          <w:rPr>
            <w:noProof/>
            <w:webHidden/>
          </w:rPr>
          <w:fldChar w:fldCharType="end"/>
        </w:r>
      </w:hyperlink>
    </w:p>
    <w:p w:rsidR="00F57940" w:rsidRDefault="004F4357">
      <w:pPr>
        <w:pStyle w:val="TOC2"/>
        <w:rPr>
          <w:rFonts w:asciiTheme="minorHAnsi" w:eastAsiaTheme="minorEastAsia" w:hAnsiTheme="minorHAnsi" w:cstheme="minorBidi"/>
          <w:smallCaps w:val="0"/>
          <w:noProof/>
          <w:sz w:val="22"/>
          <w:szCs w:val="22"/>
          <w:lang w:val="de-DE" w:eastAsia="de-DE"/>
        </w:rPr>
      </w:pPr>
      <w:hyperlink w:anchor="_Toc442051956" w:history="1">
        <w:r w:rsidR="00F57940" w:rsidRPr="00B93198">
          <w:rPr>
            <w:rStyle w:val="Hyperlink"/>
            <w:noProof/>
            <w:lang w:val="de-DE"/>
          </w:rPr>
          <w:t>Technischer Ausschuß</w:t>
        </w:r>
        <w:r w:rsidR="00F57940">
          <w:rPr>
            <w:noProof/>
            <w:webHidden/>
          </w:rPr>
          <w:tab/>
        </w:r>
        <w:r w:rsidR="00F57940">
          <w:rPr>
            <w:noProof/>
            <w:webHidden/>
          </w:rPr>
          <w:fldChar w:fldCharType="begin"/>
        </w:r>
        <w:r w:rsidR="00F57940">
          <w:rPr>
            <w:noProof/>
            <w:webHidden/>
          </w:rPr>
          <w:instrText xml:space="preserve"> PAGEREF _Toc442051956 \h </w:instrText>
        </w:r>
        <w:r w:rsidR="00F57940">
          <w:rPr>
            <w:noProof/>
            <w:webHidden/>
          </w:rPr>
        </w:r>
        <w:r w:rsidR="00F57940">
          <w:rPr>
            <w:noProof/>
            <w:webHidden/>
          </w:rPr>
          <w:fldChar w:fldCharType="separate"/>
        </w:r>
        <w:r>
          <w:rPr>
            <w:noProof/>
            <w:webHidden/>
          </w:rPr>
          <w:t>2</w:t>
        </w:r>
        <w:r w:rsidR="00F57940">
          <w:rPr>
            <w:noProof/>
            <w:webHidden/>
          </w:rPr>
          <w:fldChar w:fldCharType="end"/>
        </w:r>
      </w:hyperlink>
    </w:p>
    <w:p w:rsidR="00F57940" w:rsidRDefault="004F4357">
      <w:pPr>
        <w:pStyle w:val="TOC2"/>
        <w:rPr>
          <w:rFonts w:asciiTheme="minorHAnsi" w:eastAsiaTheme="minorEastAsia" w:hAnsiTheme="minorHAnsi" w:cstheme="minorBidi"/>
          <w:smallCaps w:val="0"/>
          <w:noProof/>
          <w:sz w:val="22"/>
          <w:szCs w:val="22"/>
          <w:lang w:val="de-DE" w:eastAsia="de-DE"/>
        </w:rPr>
      </w:pPr>
      <w:hyperlink w:anchor="_Toc442051957" w:history="1">
        <w:r w:rsidR="00F57940" w:rsidRPr="00B93198">
          <w:rPr>
            <w:rStyle w:val="Hyperlink"/>
            <w:noProof/>
            <w:snapToGrid w:val="0"/>
            <w:lang w:val="de-DE"/>
          </w:rPr>
          <w:t>Technische Arbeitsgruppen</w:t>
        </w:r>
        <w:r w:rsidR="00F57940">
          <w:rPr>
            <w:noProof/>
            <w:webHidden/>
          </w:rPr>
          <w:tab/>
        </w:r>
        <w:r w:rsidR="00F57940">
          <w:rPr>
            <w:noProof/>
            <w:webHidden/>
          </w:rPr>
          <w:fldChar w:fldCharType="begin"/>
        </w:r>
        <w:r w:rsidR="00F57940">
          <w:rPr>
            <w:noProof/>
            <w:webHidden/>
          </w:rPr>
          <w:instrText xml:space="preserve"> PAGEREF _Toc442051957 \h </w:instrText>
        </w:r>
        <w:r w:rsidR="00F57940">
          <w:rPr>
            <w:noProof/>
            <w:webHidden/>
          </w:rPr>
        </w:r>
        <w:r w:rsidR="00F57940">
          <w:rPr>
            <w:noProof/>
            <w:webHidden/>
          </w:rPr>
          <w:fldChar w:fldCharType="separate"/>
        </w:r>
        <w:r>
          <w:rPr>
            <w:noProof/>
            <w:webHidden/>
          </w:rPr>
          <w:t>3</w:t>
        </w:r>
        <w:r w:rsidR="00F57940">
          <w:rPr>
            <w:noProof/>
            <w:webHidden/>
          </w:rPr>
          <w:fldChar w:fldCharType="end"/>
        </w:r>
      </w:hyperlink>
    </w:p>
    <w:p w:rsidR="00F57940" w:rsidRDefault="004F4357">
      <w:pPr>
        <w:pStyle w:val="TOC3"/>
        <w:rPr>
          <w:rFonts w:asciiTheme="minorHAnsi" w:eastAsiaTheme="minorEastAsia" w:hAnsiTheme="minorHAnsi" w:cstheme="minorBidi"/>
          <w:noProof/>
          <w:sz w:val="22"/>
          <w:szCs w:val="22"/>
          <w:lang w:val="de-DE" w:eastAsia="de-DE"/>
        </w:rPr>
      </w:pPr>
      <w:hyperlink w:anchor="_Toc442051958" w:history="1">
        <w:r w:rsidR="00F57940" w:rsidRPr="00B93198">
          <w:rPr>
            <w:rStyle w:val="Hyperlink"/>
            <w:noProof/>
            <w:snapToGrid w:val="0"/>
            <w:lang w:val="de-DE"/>
          </w:rPr>
          <w:t>Technische Arbeitsgruppe für Gemüsearten</w:t>
        </w:r>
        <w:r w:rsidR="00F57940">
          <w:rPr>
            <w:noProof/>
            <w:webHidden/>
          </w:rPr>
          <w:tab/>
        </w:r>
        <w:r w:rsidR="00F57940">
          <w:rPr>
            <w:noProof/>
            <w:webHidden/>
          </w:rPr>
          <w:fldChar w:fldCharType="begin"/>
        </w:r>
        <w:r w:rsidR="00F57940">
          <w:rPr>
            <w:noProof/>
            <w:webHidden/>
          </w:rPr>
          <w:instrText xml:space="preserve"> PAGEREF _Toc442051958 \h </w:instrText>
        </w:r>
        <w:r w:rsidR="00F57940">
          <w:rPr>
            <w:noProof/>
            <w:webHidden/>
          </w:rPr>
        </w:r>
        <w:r w:rsidR="00F57940">
          <w:rPr>
            <w:noProof/>
            <w:webHidden/>
          </w:rPr>
          <w:fldChar w:fldCharType="separate"/>
        </w:r>
        <w:r>
          <w:rPr>
            <w:noProof/>
            <w:webHidden/>
          </w:rPr>
          <w:t>3</w:t>
        </w:r>
        <w:r w:rsidR="00F57940">
          <w:rPr>
            <w:noProof/>
            <w:webHidden/>
          </w:rPr>
          <w:fldChar w:fldCharType="end"/>
        </w:r>
      </w:hyperlink>
    </w:p>
    <w:p w:rsidR="00F57940" w:rsidRDefault="004F4357">
      <w:pPr>
        <w:pStyle w:val="TOC3"/>
        <w:rPr>
          <w:rFonts w:asciiTheme="minorHAnsi" w:eastAsiaTheme="minorEastAsia" w:hAnsiTheme="minorHAnsi" w:cstheme="minorBidi"/>
          <w:noProof/>
          <w:sz w:val="22"/>
          <w:szCs w:val="22"/>
          <w:lang w:val="de-DE" w:eastAsia="de-DE"/>
        </w:rPr>
      </w:pPr>
      <w:hyperlink w:anchor="_Toc442051959" w:history="1">
        <w:r w:rsidR="00F57940" w:rsidRPr="00B93198">
          <w:rPr>
            <w:rStyle w:val="Hyperlink"/>
            <w:rFonts w:eastAsia="PMingLiU"/>
            <w:noProof/>
            <w:lang w:val="de-DE"/>
          </w:rPr>
          <w:t>Technische Arbeitsgruppe für Automatisierung und Computerprogramme</w:t>
        </w:r>
        <w:r w:rsidR="00F57940">
          <w:rPr>
            <w:noProof/>
            <w:webHidden/>
          </w:rPr>
          <w:tab/>
        </w:r>
        <w:r w:rsidR="00F57940">
          <w:rPr>
            <w:noProof/>
            <w:webHidden/>
          </w:rPr>
          <w:fldChar w:fldCharType="begin"/>
        </w:r>
        <w:r w:rsidR="00F57940">
          <w:rPr>
            <w:noProof/>
            <w:webHidden/>
          </w:rPr>
          <w:instrText xml:space="preserve"> PAGEREF _Toc442051959 \h </w:instrText>
        </w:r>
        <w:r w:rsidR="00F57940">
          <w:rPr>
            <w:noProof/>
            <w:webHidden/>
          </w:rPr>
        </w:r>
        <w:r w:rsidR="00F57940">
          <w:rPr>
            <w:noProof/>
            <w:webHidden/>
          </w:rPr>
          <w:fldChar w:fldCharType="separate"/>
        </w:r>
        <w:r>
          <w:rPr>
            <w:noProof/>
            <w:webHidden/>
          </w:rPr>
          <w:t>3</w:t>
        </w:r>
        <w:r w:rsidR="00F57940">
          <w:rPr>
            <w:noProof/>
            <w:webHidden/>
          </w:rPr>
          <w:fldChar w:fldCharType="end"/>
        </w:r>
      </w:hyperlink>
    </w:p>
    <w:p w:rsidR="00F57940" w:rsidRDefault="004F4357">
      <w:pPr>
        <w:pStyle w:val="TOC3"/>
        <w:rPr>
          <w:rFonts w:asciiTheme="minorHAnsi" w:eastAsiaTheme="minorEastAsia" w:hAnsiTheme="minorHAnsi" w:cstheme="minorBidi"/>
          <w:noProof/>
          <w:sz w:val="22"/>
          <w:szCs w:val="22"/>
          <w:lang w:val="de-DE" w:eastAsia="de-DE"/>
        </w:rPr>
      </w:pPr>
      <w:hyperlink w:anchor="_Toc442051960" w:history="1">
        <w:r w:rsidR="00F57940" w:rsidRPr="00B93198">
          <w:rPr>
            <w:rStyle w:val="Hyperlink"/>
            <w:noProof/>
            <w:lang w:val="de-DE"/>
          </w:rPr>
          <w:t>Technische Arbeitsgruppe für landwirtschaftliche Arten</w:t>
        </w:r>
        <w:r w:rsidR="00F57940">
          <w:rPr>
            <w:noProof/>
            <w:webHidden/>
          </w:rPr>
          <w:tab/>
        </w:r>
        <w:r w:rsidR="00F57940">
          <w:rPr>
            <w:noProof/>
            <w:webHidden/>
          </w:rPr>
          <w:fldChar w:fldCharType="begin"/>
        </w:r>
        <w:r w:rsidR="00F57940">
          <w:rPr>
            <w:noProof/>
            <w:webHidden/>
          </w:rPr>
          <w:instrText xml:space="preserve"> PAGEREF _Toc442051960 \h </w:instrText>
        </w:r>
        <w:r w:rsidR="00F57940">
          <w:rPr>
            <w:noProof/>
            <w:webHidden/>
          </w:rPr>
        </w:r>
        <w:r w:rsidR="00F57940">
          <w:rPr>
            <w:noProof/>
            <w:webHidden/>
          </w:rPr>
          <w:fldChar w:fldCharType="separate"/>
        </w:r>
        <w:r>
          <w:rPr>
            <w:noProof/>
            <w:webHidden/>
          </w:rPr>
          <w:t>4</w:t>
        </w:r>
        <w:r w:rsidR="00F57940">
          <w:rPr>
            <w:noProof/>
            <w:webHidden/>
          </w:rPr>
          <w:fldChar w:fldCharType="end"/>
        </w:r>
      </w:hyperlink>
    </w:p>
    <w:p w:rsidR="00F57940" w:rsidRDefault="004F4357">
      <w:pPr>
        <w:pStyle w:val="TOC3"/>
        <w:rPr>
          <w:rFonts w:asciiTheme="minorHAnsi" w:eastAsiaTheme="minorEastAsia" w:hAnsiTheme="minorHAnsi" w:cstheme="minorBidi"/>
          <w:noProof/>
          <w:sz w:val="22"/>
          <w:szCs w:val="22"/>
          <w:lang w:val="de-DE" w:eastAsia="de-DE"/>
        </w:rPr>
      </w:pPr>
      <w:hyperlink w:anchor="_Toc442051961" w:history="1">
        <w:r w:rsidR="00F57940" w:rsidRPr="00B93198">
          <w:rPr>
            <w:rStyle w:val="Hyperlink"/>
            <w:noProof/>
            <w:lang w:val="de-DE"/>
          </w:rPr>
          <w:t>Technische Arbeitsgruppe für Obstarten</w:t>
        </w:r>
        <w:r w:rsidR="00F57940">
          <w:rPr>
            <w:noProof/>
            <w:webHidden/>
          </w:rPr>
          <w:tab/>
        </w:r>
        <w:r w:rsidR="00F57940">
          <w:rPr>
            <w:noProof/>
            <w:webHidden/>
          </w:rPr>
          <w:fldChar w:fldCharType="begin"/>
        </w:r>
        <w:r w:rsidR="00F57940">
          <w:rPr>
            <w:noProof/>
            <w:webHidden/>
          </w:rPr>
          <w:instrText xml:space="preserve"> PAGEREF _Toc442051961 \h </w:instrText>
        </w:r>
        <w:r w:rsidR="00F57940">
          <w:rPr>
            <w:noProof/>
            <w:webHidden/>
          </w:rPr>
        </w:r>
        <w:r w:rsidR="00F57940">
          <w:rPr>
            <w:noProof/>
            <w:webHidden/>
          </w:rPr>
          <w:fldChar w:fldCharType="separate"/>
        </w:r>
        <w:r>
          <w:rPr>
            <w:noProof/>
            <w:webHidden/>
          </w:rPr>
          <w:t>4</w:t>
        </w:r>
        <w:r w:rsidR="00F57940">
          <w:rPr>
            <w:noProof/>
            <w:webHidden/>
          </w:rPr>
          <w:fldChar w:fldCharType="end"/>
        </w:r>
      </w:hyperlink>
    </w:p>
    <w:p w:rsidR="00F57940" w:rsidRDefault="004F4357">
      <w:pPr>
        <w:pStyle w:val="TOC3"/>
        <w:rPr>
          <w:rFonts w:asciiTheme="minorHAnsi" w:eastAsiaTheme="minorEastAsia" w:hAnsiTheme="minorHAnsi" w:cstheme="minorBidi"/>
          <w:noProof/>
          <w:sz w:val="22"/>
          <w:szCs w:val="22"/>
          <w:lang w:val="de-DE" w:eastAsia="de-DE"/>
        </w:rPr>
      </w:pPr>
      <w:hyperlink w:anchor="_Toc442051962" w:history="1">
        <w:r w:rsidR="00F57940" w:rsidRPr="00B93198">
          <w:rPr>
            <w:rStyle w:val="Hyperlink"/>
            <w:noProof/>
            <w:lang w:val="de-DE"/>
          </w:rPr>
          <w:t>Technische Arbeitsgruppe für Zierpflanzen</w:t>
        </w:r>
        <w:r w:rsidR="00F57940">
          <w:rPr>
            <w:noProof/>
            <w:webHidden/>
          </w:rPr>
          <w:tab/>
        </w:r>
        <w:r w:rsidR="00F57940">
          <w:rPr>
            <w:noProof/>
            <w:webHidden/>
          </w:rPr>
          <w:fldChar w:fldCharType="begin"/>
        </w:r>
        <w:r w:rsidR="00F57940">
          <w:rPr>
            <w:noProof/>
            <w:webHidden/>
          </w:rPr>
          <w:instrText xml:space="preserve"> PAGEREF _Toc442051962 \h </w:instrText>
        </w:r>
        <w:r w:rsidR="00F57940">
          <w:rPr>
            <w:noProof/>
            <w:webHidden/>
          </w:rPr>
        </w:r>
        <w:r w:rsidR="00F57940">
          <w:rPr>
            <w:noProof/>
            <w:webHidden/>
          </w:rPr>
          <w:fldChar w:fldCharType="separate"/>
        </w:r>
        <w:r>
          <w:rPr>
            <w:noProof/>
            <w:webHidden/>
          </w:rPr>
          <w:t>5</w:t>
        </w:r>
        <w:r w:rsidR="00F57940">
          <w:rPr>
            <w:noProof/>
            <w:webHidden/>
          </w:rPr>
          <w:fldChar w:fldCharType="end"/>
        </w:r>
      </w:hyperlink>
    </w:p>
    <w:p w:rsidR="00F57940" w:rsidRDefault="004F4357" w:rsidP="00B67732">
      <w:pPr>
        <w:pStyle w:val="TOC1"/>
        <w:rPr>
          <w:rFonts w:asciiTheme="minorHAnsi" w:eastAsiaTheme="minorEastAsia" w:hAnsiTheme="minorHAnsi" w:cstheme="minorBidi"/>
          <w:noProof/>
          <w:sz w:val="22"/>
          <w:szCs w:val="22"/>
          <w:lang w:val="de-DE" w:eastAsia="de-DE"/>
        </w:rPr>
      </w:pPr>
      <w:hyperlink w:anchor="_Toc442051963" w:history="1">
        <w:r w:rsidR="00F57940" w:rsidRPr="00B93198">
          <w:rPr>
            <w:rStyle w:val="Hyperlink"/>
            <w:noProof/>
            <w:lang w:val="de-DE"/>
          </w:rPr>
          <w:t>ZUSAMMENFASSUNG DER Ansätze</w:t>
        </w:r>
        <w:r w:rsidR="00F57940">
          <w:rPr>
            <w:noProof/>
            <w:webHidden/>
          </w:rPr>
          <w:tab/>
        </w:r>
        <w:r w:rsidR="00F57940">
          <w:rPr>
            <w:noProof/>
            <w:webHidden/>
          </w:rPr>
          <w:fldChar w:fldCharType="begin"/>
        </w:r>
        <w:r w:rsidR="00F57940">
          <w:rPr>
            <w:noProof/>
            <w:webHidden/>
          </w:rPr>
          <w:instrText xml:space="preserve"> PAGEREF _Toc442051963 \h </w:instrText>
        </w:r>
        <w:r w:rsidR="00F57940">
          <w:rPr>
            <w:noProof/>
            <w:webHidden/>
          </w:rPr>
        </w:r>
        <w:r w:rsidR="00F57940">
          <w:rPr>
            <w:noProof/>
            <w:webHidden/>
          </w:rPr>
          <w:fldChar w:fldCharType="separate"/>
        </w:r>
        <w:r>
          <w:rPr>
            <w:noProof/>
            <w:webHidden/>
          </w:rPr>
          <w:t>5</w:t>
        </w:r>
        <w:r w:rsidR="00F57940">
          <w:rPr>
            <w:noProof/>
            <w:webHidden/>
          </w:rPr>
          <w:fldChar w:fldCharType="end"/>
        </w:r>
      </w:hyperlink>
    </w:p>
    <w:p w:rsidR="00D64CD2" w:rsidRPr="005728BA" w:rsidRDefault="00BF4661" w:rsidP="00BF4661">
      <w:pPr>
        <w:rPr>
          <w:snapToGrid w:val="0"/>
          <w:lang w:val="de-DE"/>
        </w:rPr>
      </w:pPr>
      <w:r w:rsidRPr="005728BA">
        <w:rPr>
          <w:snapToGrid w:val="0"/>
          <w:lang w:val="de-DE"/>
        </w:rPr>
        <w:fldChar w:fldCharType="end"/>
      </w:r>
    </w:p>
    <w:p w:rsidR="00BF4661" w:rsidRPr="005728BA" w:rsidRDefault="00D64CD2" w:rsidP="00B67732">
      <w:pPr>
        <w:ind w:left="1134" w:hanging="1134"/>
        <w:rPr>
          <w:rFonts w:eastAsia="MS Mincho"/>
          <w:color w:val="000000"/>
          <w:szCs w:val="24"/>
          <w:lang w:val="de-DE" w:eastAsia="ja-JP"/>
        </w:rPr>
      </w:pPr>
      <w:r w:rsidRPr="005728BA">
        <w:rPr>
          <w:rFonts w:eastAsia="MS Mincho"/>
          <w:color w:val="000000"/>
          <w:szCs w:val="24"/>
          <w:lang w:val="de-DE" w:eastAsia="ja-JP"/>
        </w:rPr>
        <w:lastRenderedPageBreak/>
        <w:t>ANLAGE</w:t>
      </w:r>
      <w:r w:rsidR="00BF4661" w:rsidRPr="005728BA">
        <w:rPr>
          <w:rFonts w:eastAsia="MS Mincho"/>
          <w:color w:val="000000"/>
          <w:szCs w:val="24"/>
          <w:lang w:val="de-DE" w:eastAsia="ja-JP"/>
        </w:rPr>
        <w:t xml:space="preserve"> I: </w:t>
      </w:r>
      <w:r w:rsidR="00BF4661" w:rsidRPr="005728BA">
        <w:rPr>
          <w:rFonts w:eastAsia="MS Mincho"/>
          <w:color w:val="000000"/>
          <w:szCs w:val="24"/>
          <w:lang w:val="de-DE" w:eastAsia="ja-JP"/>
        </w:rPr>
        <w:tab/>
      </w:r>
      <w:r w:rsidR="007C2800" w:rsidRPr="005728BA">
        <w:rPr>
          <w:rFonts w:eastAsia="MS Mincho"/>
          <w:color w:val="000000"/>
          <w:szCs w:val="24"/>
          <w:lang w:val="de-DE" w:eastAsia="ja-JP"/>
        </w:rPr>
        <w:t xml:space="preserve">Prüfung der Homogenität anhand von Abweichern aufgrund von mehr als einer Wachstumsperiode </w:t>
      </w:r>
    </w:p>
    <w:p w:rsidR="00BF4661" w:rsidRPr="005728BA" w:rsidRDefault="00D64CD2" w:rsidP="00B67732">
      <w:pPr>
        <w:tabs>
          <w:tab w:val="left" w:pos="1701"/>
        </w:tabs>
        <w:autoSpaceDE w:val="0"/>
        <w:autoSpaceDN w:val="0"/>
        <w:adjustRightInd w:val="0"/>
        <w:ind w:left="1134" w:hanging="1134"/>
        <w:rPr>
          <w:rFonts w:eastAsia="MS Mincho"/>
          <w:color w:val="000000"/>
          <w:szCs w:val="24"/>
          <w:lang w:val="de-DE" w:eastAsia="ja-JP"/>
        </w:rPr>
      </w:pPr>
      <w:r w:rsidRPr="005728BA">
        <w:rPr>
          <w:rFonts w:eastAsia="MS Mincho"/>
          <w:color w:val="000000"/>
          <w:szCs w:val="24"/>
          <w:lang w:val="de-DE" w:eastAsia="ja-JP"/>
        </w:rPr>
        <w:t>ANLAGE</w:t>
      </w:r>
      <w:r w:rsidR="00BF4661" w:rsidRPr="005728BA">
        <w:rPr>
          <w:rFonts w:eastAsia="MS Mincho"/>
          <w:color w:val="000000"/>
          <w:szCs w:val="24"/>
          <w:lang w:val="de-DE" w:eastAsia="ja-JP"/>
        </w:rPr>
        <w:t xml:space="preserve"> II:</w:t>
      </w:r>
      <w:r w:rsidR="00BF4661" w:rsidRPr="005728BA">
        <w:rPr>
          <w:rFonts w:eastAsia="MS Mincho"/>
          <w:color w:val="000000"/>
          <w:szCs w:val="24"/>
          <w:lang w:val="de-DE" w:eastAsia="ja-JP"/>
        </w:rPr>
        <w:tab/>
      </w:r>
      <w:r w:rsidR="0060257A" w:rsidRPr="005728BA">
        <w:rPr>
          <w:rFonts w:eastAsia="MS Mincho"/>
          <w:color w:val="000000"/>
          <w:szCs w:val="24"/>
          <w:lang w:val="de-DE" w:eastAsia="ja-JP"/>
        </w:rPr>
        <w:t xml:space="preserve">Prüfung </w:t>
      </w:r>
      <w:r w:rsidR="00D12A01">
        <w:rPr>
          <w:rFonts w:eastAsia="MS Mincho"/>
          <w:color w:val="000000"/>
          <w:szCs w:val="24"/>
          <w:lang w:val="de-DE" w:eastAsia="ja-JP"/>
        </w:rPr>
        <w:t xml:space="preserve">der Homogenität anhand von Abweichern aufgrund </w:t>
      </w:r>
      <w:r w:rsidR="0060257A" w:rsidRPr="005728BA">
        <w:rPr>
          <w:rFonts w:eastAsia="MS Mincho"/>
          <w:color w:val="000000"/>
          <w:szCs w:val="24"/>
          <w:lang w:val="de-DE" w:eastAsia="ja-JP"/>
        </w:rPr>
        <w:t>von Unterproben in einer Prüfung / einem Versuch</w:t>
      </w:r>
    </w:p>
    <w:p w:rsidR="00D4034F" w:rsidRPr="005728BA" w:rsidRDefault="00D64CD2" w:rsidP="00B67732">
      <w:pPr>
        <w:tabs>
          <w:tab w:val="left" w:pos="1701"/>
        </w:tabs>
        <w:autoSpaceDE w:val="0"/>
        <w:autoSpaceDN w:val="0"/>
        <w:adjustRightInd w:val="0"/>
        <w:ind w:left="1134" w:hanging="1134"/>
        <w:rPr>
          <w:rFonts w:eastAsia="MS Mincho"/>
          <w:color w:val="000000"/>
          <w:szCs w:val="24"/>
          <w:lang w:val="de-DE" w:eastAsia="ja-JP"/>
        </w:rPr>
      </w:pPr>
      <w:r w:rsidRPr="005728BA">
        <w:rPr>
          <w:rFonts w:eastAsia="MS Mincho"/>
          <w:color w:val="000000"/>
          <w:szCs w:val="24"/>
          <w:lang w:val="de-DE" w:eastAsia="ja-JP"/>
        </w:rPr>
        <w:t>ANLAGE</w:t>
      </w:r>
      <w:r w:rsidR="00D4034F" w:rsidRPr="005728BA">
        <w:rPr>
          <w:rFonts w:eastAsia="MS Mincho"/>
          <w:color w:val="000000"/>
          <w:szCs w:val="24"/>
          <w:lang w:val="de-DE" w:eastAsia="ja-JP"/>
        </w:rPr>
        <w:t xml:space="preserve"> III:</w:t>
      </w:r>
      <w:r w:rsidR="00D4034F" w:rsidRPr="005728BA">
        <w:rPr>
          <w:rFonts w:eastAsia="MS Mincho"/>
          <w:color w:val="000000"/>
          <w:szCs w:val="24"/>
          <w:lang w:val="de-DE" w:eastAsia="ja-JP"/>
        </w:rPr>
        <w:tab/>
      </w:r>
      <w:r w:rsidR="007C2800" w:rsidRPr="005728BA">
        <w:rPr>
          <w:rFonts w:eastAsia="MS Mincho"/>
          <w:color w:val="000000"/>
          <w:szCs w:val="24"/>
          <w:lang w:val="de-DE" w:eastAsia="ja-JP"/>
        </w:rPr>
        <w:t>Prüfung der Homogenität anhand von Abweichern aufgrund von mehr als einer Wachstumsperiode</w:t>
      </w:r>
      <w:r w:rsidR="00D4034F" w:rsidRPr="005728BA">
        <w:rPr>
          <w:rFonts w:eastAsia="MS Mincho"/>
          <w:color w:val="000000"/>
          <w:szCs w:val="24"/>
          <w:lang w:val="de-DE" w:eastAsia="ja-JP"/>
        </w:rPr>
        <w:t xml:space="preserve">: </w:t>
      </w:r>
      <w:r w:rsidR="007C2800" w:rsidRPr="005728BA">
        <w:rPr>
          <w:rFonts w:eastAsia="MS Mincho"/>
          <w:color w:val="000000"/>
          <w:szCs w:val="24"/>
          <w:lang w:val="de-DE" w:eastAsia="ja-JP"/>
        </w:rPr>
        <w:t>Risiken, Vorteile und Kosten</w:t>
      </w:r>
      <w:r w:rsidR="00D4034F" w:rsidRPr="005728BA">
        <w:rPr>
          <w:rFonts w:eastAsia="MS Mincho"/>
          <w:color w:val="000000"/>
          <w:szCs w:val="24"/>
          <w:lang w:val="de-DE" w:eastAsia="ja-JP"/>
        </w:rPr>
        <w:t xml:space="preserve"> (</w:t>
      </w:r>
      <w:r w:rsidR="007C2800" w:rsidRPr="005728BA">
        <w:rPr>
          <w:rFonts w:eastAsia="MS Mincho"/>
          <w:color w:val="000000"/>
          <w:szCs w:val="24"/>
          <w:lang w:val="de-DE" w:eastAsia="ja-JP"/>
        </w:rPr>
        <w:t>Referat von den Sachverständigen aus Deutschland und dem Vereinigten Königreich</w:t>
      </w:r>
      <w:r w:rsidR="00D4034F" w:rsidRPr="005728BA">
        <w:rPr>
          <w:rFonts w:eastAsia="MS Mincho"/>
          <w:color w:val="000000"/>
          <w:szCs w:val="24"/>
          <w:lang w:val="de-DE" w:eastAsia="ja-JP"/>
        </w:rPr>
        <w:t xml:space="preserve"> </w:t>
      </w:r>
      <w:r w:rsidR="007C2800" w:rsidRPr="005728BA">
        <w:rPr>
          <w:rFonts w:eastAsia="MS Mincho"/>
          <w:color w:val="000000"/>
          <w:szCs w:val="24"/>
          <w:lang w:val="de-DE" w:eastAsia="ja-JP"/>
        </w:rPr>
        <w:t>auf der dreiunddreißigsten Tagung der</w:t>
      </w:r>
      <w:r w:rsidR="00D12A01">
        <w:rPr>
          <w:rFonts w:eastAsia="MS Mincho"/>
          <w:color w:val="000000"/>
          <w:szCs w:val="24"/>
          <w:lang w:val="de-DE" w:eastAsia="ja-JP"/>
        </w:rPr>
        <w:t xml:space="preserve"> </w:t>
      </w:r>
      <w:r w:rsidR="00D4034F" w:rsidRPr="005728BA">
        <w:rPr>
          <w:rFonts w:eastAsia="MS Mincho"/>
          <w:color w:val="000000"/>
          <w:szCs w:val="24"/>
          <w:lang w:val="de-DE" w:eastAsia="ja-JP"/>
        </w:rPr>
        <w:t xml:space="preserve">TWC </w:t>
      </w:r>
      <w:r w:rsidR="00F57940">
        <w:rPr>
          <w:rFonts w:eastAsia="MS Mincho"/>
          <w:color w:val="000000"/>
          <w:szCs w:val="24"/>
          <w:lang w:val="de-DE" w:eastAsia="ja-JP"/>
        </w:rPr>
        <w:t>vom 30. Juni bis zum 3. Juli 2015 in Natal, Brasilien</w:t>
      </w:r>
      <w:r w:rsidR="00D4034F" w:rsidRPr="005728BA">
        <w:rPr>
          <w:rFonts w:eastAsia="MS Mincho"/>
          <w:color w:val="000000"/>
          <w:szCs w:val="24"/>
          <w:lang w:val="de-DE" w:eastAsia="ja-JP"/>
        </w:rPr>
        <w:t>)</w:t>
      </w:r>
      <w:r w:rsidR="00666F98" w:rsidRPr="005728BA">
        <w:rPr>
          <w:rFonts w:eastAsia="MS Mincho"/>
          <w:color w:val="000000"/>
          <w:szCs w:val="24"/>
          <w:lang w:val="de-DE" w:eastAsia="ja-JP"/>
        </w:rPr>
        <w:t xml:space="preserve"> (</w:t>
      </w:r>
      <w:r w:rsidR="00D12A01">
        <w:rPr>
          <w:rFonts w:eastAsia="MS Mincho"/>
          <w:color w:val="000000"/>
          <w:szCs w:val="24"/>
          <w:lang w:val="de-DE" w:eastAsia="ja-JP"/>
        </w:rPr>
        <w:t>n</w:t>
      </w:r>
      <w:r w:rsidR="007C2800" w:rsidRPr="005728BA">
        <w:rPr>
          <w:rFonts w:eastAsia="MS Mincho"/>
          <w:color w:val="000000"/>
          <w:szCs w:val="24"/>
          <w:lang w:val="de-DE" w:eastAsia="ja-JP"/>
        </w:rPr>
        <w:t>ur auf Englisch</w:t>
      </w:r>
      <w:r w:rsidR="00666F98" w:rsidRPr="005728BA">
        <w:rPr>
          <w:rFonts w:eastAsia="MS Mincho"/>
          <w:color w:val="000000"/>
          <w:szCs w:val="24"/>
          <w:lang w:val="de-DE" w:eastAsia="ja-JP"/>
        </w:rPr>
        <w:t>)</w:t>
      </w:r>
    </w:p>
    <w:p w:rsidR="007C2800" w:rsidRPr="005728BA" w:rsidRDefault="007C2800" w:rsidP="00D4034F">
      <w:pPr>
        <w:tabs>
          <w:tab w:val="left" w:pos="1701"/>
        </w:tabs>
        <w:autoSpaceDE w:val="0"/>
        <w:autoSpaceDN w:val="0"/>
        <w:adjustRightInd w:val="0"/>
        <w:ind w:left="1701" w:hanging="1701"/>
        <w:rPr>
          <w:rFonts w:eastAsia="MS Mincho"/>
          <w:color w:val="000000"/>
          <w:szCs w:val="24"/>
          <w:lang w:val="de-DE" w:eastAsia="ja-JP"/>
        </w:rPr>
      </w:pPr>
    </w:p>
    <w:p w:rsidR="00D64CD2" w:rsidRPr="005728BA" w:rsidRDefault="00BF4661" w:rsidP="00D64CD2">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bookmarkStart w:id="5" w:name="_Toc380150989"/>
      <w:r w:rsidR="00D64CD2" w:rsidRPr="005728BA">
        <w:rPr>
          <w:lang w:val="de-DE"/>
        </w:rPr>
        <w:t>Folgende Abkürzungen werden in diesem Dokument verwendet:</w:t>
      </w:r>
    </w:p>
    <w:p w:rsidR="00D64CD2" w:rsidRPr="005728BA" w:rsidRDefault="00D64CD2" w:rsidP="00D64CD2">
      <w:pPr>
        <w:rPr>
          <w:lang w:val="de-DE"/>
        </w:rPr>
      </w:pPr>
    </w:p>
    <w:p w:rsidR="00D64CD2" w:rsidRPr="005728BA" w:rsidRDefault="00B67732" w:rsidP="00B67732">
      <w:pPr>
        <w:tabs>
          <w:tab w:val="left" w:pos="2835"/>
        </w:tabs>
        <w:ind w:left="1701" w:hanging="1134"/>
        <w:rPr>
          <w:lang w:val="de-DE"/>
        </w:rPr>
      </w:pPr>
      <w:r>
        <w:rPr>
          <w:lang w:val="de-DE"/>
        </w:rPr>
        <w:t>TC:</w:t>
      </w:r>
      <w:r>
        <w:rPr>
          <w:lang w:val="de-DE"/>
        </w:rPr>
        <w:tab/>
      </w:r>
      <w:r w:rsidR="00D64CD2" w:rsidRPr="005728BA">
        <w:rPr>
          <w:lang w:val="de-DE"/>
        </w:rPr>
        <w:t xml:space="preserve">Technischer </w:t>
      </w:r>
      <w:proofErr w:type="spellStart"/>
      <w:r w:rsidR="00D64CD2" w:rsidRPr="005728BA">
        <w:rPr>
          <w:lang w:val="de-DE"/>
        </w:rPr>
        <w:t>Ausschuß</w:t>
      </w:r>
      <w:proofErr w:type="spellEnd"/>
    </w:p>
    <w:p w:rsidR="00D64CD2" w:rsidRPr="005728BA" w:rsidRDefault="00B67732" w:rsidP="00B67732">
      <w:pPr>
        <w:ind w:left="1701" w:hanging="1134"/>
        <w:rPr>
          <w:lang w:val="de-DE"/>
        </w:rPr>
      </w:pPr>
      <w:r>
        <w:rPr>
          <w:lang w:val="de-DE"/>
        </w:rPr>
        <w:t>TC-EDC:</w:t>
      </w:r>
      <w:r>
        <w:rPr>
          <w:lang w:val="de-DE"/>
        </w:rPr>
        <w:tab/>
      </w:r>
      <w:r w:rsidR="00D64CD2" w:rsidRPr="005728BA">
        <w:rPr>
          <w:lang w:val="de-DE"/>
        </w:rPr>
        <w:t xml:space="preserve">Erweiterter </w:t>
      </w:r>
      <w:proofErr w:type="spellStart"/>
      <w:r w:rsidR="00D64CD2" w:rsidRPr="005728BA">
        <w:rPr>
          <w:lang w:val="de-DE"/>
        </w:rPr>
        <w:t>Redaktionsausschuß</w:t>
      </w:r>
      <w:proofErr w:type="spellEnd"/>
    </w:p>
    <w:p w:rsidR="00D64CD2" w:rsidRPr="005728BA" w:rsidRDefault="00B67732" w:rsidP="00B67732">
      <w:pPr>
        <w:ind w:left="1701" w:hanging="1134"/>
        <w:rPr>
          <w:lang w:val="de-DE"/>
        </w:rPr>
      </w:pPr>
      <w:r>
        <w:rPr>
          <w:lang w:val="de-DE"/>
        </w:rPr>
        <w:t>TWA:</w:t>
      </w:r>
      <w:r>
        <w:rPr>
          <w:lang w:val="de-DE"/>
        </w:rPr>
        <w:tab/>
      </w:r>
      <w:r w:rsidR="00D64CD2" w:rsidRPr="005728BA">
        <w:rPr>
          <w:lang w:val="de-DE"/>
        </w:rPr>
        <w:t>Technische Arbeitsgruppe für landwirtschaftliche Arten</w:t>
      </w:r>
    </w:p>
    <w:p w:rsidR="00D64CD2" w:rsidRPr="005728BA" w:rsidRDefault="00B67732" w:rsidP="00B67732">
      <w:pPr>
        <w:ind w:left="1701" w:hanging="1134"/>
        <w:rPr>
          <w:lang w:val="de-DE"/>
        </w:rPr>
      </w:pPr>
      <w:r>
        <w:rPr>
          <w:lang w:val="de-DE"/>
        </w:rPr>
        <w:t>TWC:</w:t>
      </w:r>
      <w:r>
        <w:rPr>
          <w:lang w:val="de-DE"/>
        </w:rPr>
        <w:tab/>
      </w:r>
      <w:r w:rsidR="00D64CD2" w:rsidRPr="005728BA">
        <w:rPr>
          <w:lang w:val="de-DE"/>
        </w:rPr>
        <w:t>Technische Arbeitsgruppe für Automatisierung und Computerprogramme</w:t>
      </w:r>
    </w:p>
    <w:p w:rsidR="00D64CD2" w:rsidRPr="005728BA" w:rsidRDefault="00B67732" w:rsidP="00B67732">
      <w:pPr>
        <w:ind w:left="1701" w:hanging="1134"/>
        <w:rPr>
          <w:lang w:val="de-DE"/>
        </w:rPr>
      </w:pPr>
      <w:r>
        <w:rPr>
          <w:lang w:val="de-DE"/>
        </w:rPr>
        <w:t>TWF:</w:t>
      </w:r>
      <w:r>
        <w:rPr>
          <w:lang w:val="de-DE"/>
        </w:rPr>
        <w:tab/>
      </w:r>
      <w:r w:rsidR="00D64CD2" w:rsidRPr="005728BA">
        <w:rPr>
          <w:lang w:val="de-DE"/>
        </w:rPr>
        <w:t>Technische Arbeitsgruppe für Obstarten</w:t>
      </w:r>
    </w:p>
    <w:p w:rsidR="00D64CD2" w:rsidRPr="005728BA" w:rsidRDefault="00B67732" w:rsidP="00B67732">
      <w:pPr>
        <w:ind w:left="1701" w:hanging="1134"/>
        <w:rPr>
          <w:lang w:val="de-DE"/>
        </w:rPr>
      </w:pPr>
      <w:r>
        <w:rPr>
          <w:lang w:val="de-DE"/>
        </w:rPr>
        <w:t>TWO:</w:t>
      </w:r>
      <w:r>
        <w:rPr>
          <w:lang w:val="de-DE"/>
        </w:rPr>
        <w:tab/>
      </w:r>
      <w:r w:rsidR="00D64CD2" w:rsidRPr="005728BA">
        <w:rPr>
          <w:lang w:val="de-DE"/>
        </w:rPr>
        <w:t>Technische Arbeitsgruppe für Zierpflanzen und forstliche Baumarten</w:t>
      </w:r>
    </w:p>
    <w:p w:rsidR="00D64CD2" w:rsidRPr="005728BA" w:rsidRDefault="00D64CD2" w:rsidP="00B67732">
      <w:pPr>
        <w:ind w:left="1701" w:hanging="1134"/>
        <w:rPr>
          <w:lang w:val="de-DE"/>
        </w:rPr>
      </w:pPr>
      <w:r w:rsidRPr="005728BA">
        <w:rPr>
          <w:lang w:val="de-DE"/>
        </w:rPr>
        <w:t xml:space="preserve">TWP: </w:t>
      </w:r>
      <w:r w:rsidR="00B67732">
        <w:rPr>
          <w:lang w:val="de-DE"/>
        </w:rPr>
        <w:tab/>
      </w:r>
      <w:r w:rsidRPr="005728BA">
        <w:rPr>
          <w:lang w:val="de-DE"/>
        </w:rPr>
        <w:t>Technische Arbeitsgruppen</w:t>
      </w:r>
    </w:p>
    <w:p w:rsidR="00D64CD2" w:rsidRPr="005728BA" w:rsidRDefault="00D64CD2" w:rsidP="00B67732">
      <w:pPr>
        <w:ind w:left="1701" w:hanging="1134"/>
        <w:rPr>
          <w:color w:val="000000"/>
          <w:lang w:val="de-DE"/>
        </w:rPr>
      </w:pPr>
      <w:r w:rsidRPr="005728BA">
        <w:rPr>
          <w:lang w:val="de-DE"/>
        </w:rPr>
        <w:t xml:space="preserve">TWV: </w:t>
      </w:r>
      <w:r w:rsidR="00B67732">
        <w:rPr>
          <w:lang w:val="de-DE"/>
        </w:rPr>
        <w:tab/>
      </w:r>
      <w:r w:rsidRPr="005728BA">
        <w:rPr>
          <w:lang w:val="de-DE"/>
        </w:rPr>
        <w:t>Technische Arbeitsgruppe für Gemüsearten</w:t>
      </w:r>
    </w:p>
    <w:p w:rsidR="00BF4661" w:rsidRPr="005728BA" w:rsidRDefault="00BF4661" w:rsidP="00D64CD2">
      <w:pPr>
        <w:keepNext/>
        <w:rPr>
          <w:lang w:val="de-DE"/>
        </w:rPr>
      </w:pPr>
    </w:p>
    <w:p w:rsidR="00957503" w:rsidRPr="005728BA" w:rsidRDefault="00957503" w:rsidP="00BF4661">
      <w:pPr>
        <w:rPr>
          <w:lang w:val="de-DE"/>
        </w:rPr>
      </w:pPr>
    </w:p>
    <w:p w:rsidR="00BF4661" w:rsidRPr="005728BA" w:rsidRDefault="00683A78" w:rsidP="00BF4661">
      <w:pPr>
        <w:rPr>
          <w:rFonts w:eastAsia="MS Mincho"/>
          <w:lang w:val="de-DE" w:eastAsia="ja-JP"/>
        </w:rPr>
      </w:pPr>
      <w:r w:rsidRPr="005728BA">
        <w:rPr>
          <w:rFonts w:eastAsia="MS Mincho"/>
          <w:lang w:val="de-DE" w:eastAsia="ja-JP"/>
        </w:rPr>
        <w:t>HINTERGRUND</w:t>
      </w:r>
      <w:bookmarkEnd w:id="5"/>
    </w:p>
    <w:p w:rsidR="00BF4661" w:rsidRPr="005728BA" w:rsidRDefault="00BF4661" w:rsidP="00BF4661">
      <w:pPr>
        <w:rPr>
          <w:rFonts w:eastAsia="MS Mincho"/>
          <w:lang w:val="de-DE" w:eastAsia="ja-JP"/>
        </w:rPr>
      </w:pPr>
    </w:p>
    <w:p w:rsidR="00BF4661" w:rsidRPr="005728BA" w:rsidRDefault="00BF4661" w:rsidP="00BF4661">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683A78" w:rsidRPr="005728BA">
        <w:rPr>
          <w:szCs w:val="24"/>
          <w:lang w:val="de-DE"/>
        </w:rPr>
        <w:t xml:space="preserve">Der Hintergrund zu dieser Angelegenheit ist in Dokument </w:t>
      </w:r>
      <w:r w:rsidRPr="005728BA">
        <w:rPr>
          <w:lang w:val="de-DE"/>
        </w:rPr>
        <w:t>TC/</w:t>
      </w:r>
      <w:r w:rsidR="006D0EBA" w:rsidRPr="005728BA">
        <w:rPr>
          <w:lang w:val="de-DE"/>
        </w:rPr>
        <w:t>51</w:t>
      </w:r>
      <w:r w:rsidRPr="005728BA">
        <w:rPr>
          <w:lang w:val="de-DE"/>
        </w:rPr>
        <w:t>/</w:t>
      </w:r>
      <w:r w:rsidR="006D0EBA" w:rsidRPr="005728BA">
        <w:rPr>
          <w:lang w:val="de-DE"/>
        </w:rPr>
        <w:t>24</w:t>
      </w:r>
      <w:r w:rsidRPr="005728BA">
        <w:rPr>
          <w:lang w:val="de-DE"/>
        </w:rPr>
        <w:t xml:space="preserve"> </w:t>
      </w:r>
      <w:r w:rsidR="00AE6216" w:rsidRPr="005728BA">
        <w:rPr>
          <w:lang w:val="de-DE"/>
        </w:rPr>
        <w:t>„</w:t>
      </w:r>
      <w:r w:rsidR="00683A78" w:rsidRPr="005728BA">
        <w:rPr>
          <w:lang w:val="de-DE"/>
        </w:rPr>
        <w:t>Prüfung der Homogenität anhand von Abweichern aufgrund von mehr als einer Probe oder Unterproben</w:t>
      </w:r>
      <w:r w:rsidR="00F57940">
        <w:rPr>
          <w:lang w:val="de-DE"/>
        </w:rPr>
        <w:t>“</w:t>
      </w:r>
      <w:r w:rsidR="00D12A01">
        <w:rPr>
          <w:lang w:val="de-DE"/>
        </w:rPr>
        <w:t xml:space="preserve"> dargelegt</w:t>
      </w:r>
      <w:r w:rsidR="00F57940">
        <w:rPr>
          <w:lang w:val="de-DE"/>
        </w:rPr>
        <w:t>.</w:t>
      </w:r>
    </w:p>
    <w:p w:rsidR="00BF4661" w:rsidRPr="00B67732" w:rsidRDefault="00BF4661" w:rsidP="00B67732">
      <w:bookmarkStart w:id="6" w:name="_Toc380151005"/>
    </w:p>
    <w:p w:rsidR="00957503" w:rsidRPr="00B67732" w:rsidRDefault="00957503" w:rsidP="00B67732"/>
    <w:p w:rsidR="00BF4661" w:rsidRPr="005728BA" w:rsidRDefault="00683A78" w:rsidP="00BF4661">
      <w:pPr>
        <w:pStyle w:val="Heading1"/>
        <w:rPr>
          <w:lang w:val="de-DE"/>
        </w:rPr>
      </w:pPr>
      <w:bookmarkStart w:id="7" w:name="_Toc442051955"/>
      <w:r w:rsidRPr="005728BA">
        <w:rPr>
          <w:lang w:val="de-DE"/>
        </w:rPr>
        <w:t xml:space="preserve">ENTWICKLUNGEN </w:t>
      </w:r>
      <w:r w:rsidR="00F57940">
        <w:rPr>
          <w:lang w:val="de-DE"/>
        </w:rPr>
        <w:t xml:space="preserve">IM JAHR </w:t>
      </w:r>
      <w:r w:rsidR="00BF4661" w:rsidRPr="005728BA">
        <w:rPr>
          <w:lang w:val="de-DE"/>
        </w:rPr>
        <w:t>2015</w:t>
      </w:r>
      <w:bookmarkEnd w:id="7"/>
    </w:p>
    <w:p w:rsidR="00BF4661" w:rsidRPr="005728BA" w:rsidRDefault="00BF4661" w:rsidP="00BF4661">
      <w:pPr>
        <w:ind w:left="567" w:right="567"/>
        <w:rPr>
          <w:b/>
          <w:sz w:val="18"/>
          <w:lang w:val="de-DE"/>
        </w:rPr>
      </w:pPr>
    </w:p>
    <w:p w:rsidR="00BF4661" w:rsidRPr="005728BA" w:rsidRDefault="00683A78" w:rsidP="00BF4661">
      <w:pPr>
        <w:pStyle w:val="Heading2"/>
        <w:rPr>
          <w:lang w:val="de-DE"/>
        </w:rPr>
      </w:pPr>
      <w:bookmarkStart w:id="8" w:name="_Toc442051956"/>
      <w:r w:rsidRPr="005728BA">
        <w:rPr>
          <w:lang w:val="de-DE"/>
        </w:rPr>
        <w:t xml:space="preserve">Technischer </w:t>
      </w:r>
      <w:proofErr w:type="spellStart"/>
      <w:r w:rsidRPr="005728BA">
        <w:rPr>
          <w:lang w:val="de-DE"/>
        </w:rPr>
        <w:t>Ausschuß</w:t>
      </w:r>
      <w:bookmarkEnd w:id="8"/>
      <w:proofErr w:type="spellEnd"/>
    </w:p>
    <w:p w:rsidR="00BF4661" w:rsidRPr="005728BA" w:rsidRDefault="00BF4661" w:rsidP="00BF4661">
      <w:pPr>
        <w:rPr>
          <w:lang w:val="de-DE"/>
        </w:rPr>
      </w:pPr>
    </w:p>
    <w:p w:rsidR="00BF4661" w:rsidRPr="005728BA" w:rsidRDefault="00BF4661" w:rsidP="00BF4661">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683A78" w:rsidRPr="005728BA">
        <w:rPr>
          <w:lang w:val="de-DE"/>
        </w:rPr>
        <w:t>Der TC prüfte auf seiner einundfünfzigsten Tagung vom 23. bis 25. März 2015</w:t>
      </w:r>
      <w:r w:rsidRPr="005728BA">
        <w:rPr>
          <w:lang w:val="de-DE"/>
        </w:rPr>
        <w:t xml:space="preserve"> </w:t>
      </w:r>
      <w:r w:rsidR="00170C91" w:rsidRPr="005728BA">
        <w:rPr>
          <w:lang w:val="de-DE"/>
        </w:rPr>
        <w:t xml:space="preserve">in Genf </w:t>
      </w:r>
      <w:r w:rsidR="00683A78" w:rsidRPr="005728BA">
        <w:rPr>
          <w:lang w:val="de-DE"/>
        </w:rPr>
        <w:t>Dokument</w:t>
      </w:r>
      <w:r w:rsidR="009464A8" w:rsidRPr="005728BA">
        <w:rPr>
          <w:lang w:val="de-DE"/>
        </w:rPr>
        <w:t> </w:t>
      </w:r>
      <w:r w:rsidRPr="005728BA">
        <w:rPr>
          <w:lang w:val="de-DE"/>
        </w:rPr>
        <w:t xml:space="preserve">TC/51/24 </w:t>
      </w:r>
      <w:bookmarkStart w:id="9" w:name="_Toc412193733"/>
      <w:r w:rsidR="00683A78" w:rsidRPr="005728BA">
        <w:rPr>
          <w:lang w:val="de-DE"/>
        </w:rPr>
        <w:t>„</w:t>
      </w:r>
      <w:r w:rsidR="00267CF8" w:rsidRPr="005728BA">
        <w:rPr>
          <w:lang w:val="de-DE"/>
        </w:rPr>
        <w:t>Überarbeitung von Dokument</w:t>
      </w:r>
      <w:r w:rsidRPr="005728BA">
        <w:rPr>
          <w:lang w:val="de-DE"/>
        </w:rPr>
        <w:t xml:space="preserve"> TGP/10: </w:t>
      </w:r>
      <w:r w:rsidR="00683A78" w:rsidRPr="005728BA">
        <w:rPr>
          <w:lang w:val="de-DE"/>
        </w:rPr>
        <w:t>Neuer Abschnitt</w:t>
      </w:r>
      <w:r w:rsidRPr="005728BA">
        <w:rPr>
          <w:lang w:val="de-DE"/>
        </w:rPr>
        <w:t xml:space="preserve">: </w:t>
      </w:r>
      <w:r w:rsidR="00683A78" w:rsidRPr="005728BA">
        <w:rPr>
          <w:lang w:val="de-DE"/>
        </w:rPr>
        <w:t>Prüfung der Homogenität anhand von Abweichern aufgrund von mehr als einer Probe oder Unterproben</w:t>
      </w:r>
      <w:bookmarkEnd w:id="9"/>
      <w:r w:rsidR="00D12A01">
        <w:rPr>
          <w:lang w:val="de-DE"/>
        </w:rPr>
        <w:t>“</w:t>
      </w:r>
      <w:r w:rsidRPr="005728BA">
        <w:rPr>
          <w:lang w:val="de-DE"/>
        </w:rPr>
        <w:t>.</w:t>
      </w:r>
    </w:p>
    <w:p w:rsidR="00BF4661" w:rsidRPr="005728BA" w:rsidRDefault="00BF4661" w:rsidP="00BF4661">
      <w:pPr>
        <w:rPr>
          <w:lang w:val="de-DE"/>
        </w:rPr>
      </w:pPr>
    </w:p>
    <w:p w:rsidR="00BF4661" w:rsidRPr="005728BA" w:rsidRDefault="00BF4661" w:rsidP="00BF4661">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AA1E32" w:rsidRPr="005728BA">
        <w:rPr>
          <w:lang w:val="de-DE"/>
        </w:rPr>
        <w:t xml:space="preserve">Der TC stimmte den von den TWP auf ihren Tagungen im Jahr 2014 und vom TC-EDC auf seiner Tagung im Januar 2015 </w:t>
      </w:r>
      <w:r w:rsidR="00F57940">
        <w:rPr>
          <w:lang w:val="de-DE"/>
        </w:rPr>
        <w:t>unterbreiteten</w:t>
      </w:r>
      <w:r w:rsidR="00AA1E32" w:rsidRPr="005728BA">
        <w:rPr>
          <w:lang w:val="de-DE"/>
        </w:rPr>
        <w:t xml:space="preserve"> Vorschlägen </w:t>
      </w:r>
      <w:r w:rsidR="00D12A01">
        <w:rPr>
          <w:lang w:val="de-DE"/>
        </w:rPr>
        <w:t>für den</w:t>
      </w:r>
      <w:r w:rsidR="00D12A01" w:rsidRPr="005728BA">
        <w:rPr>
          <w:lang w:val="de-DE"/>
        </w:rPr>
        <w:t xml:space="preserve"> </w:t>
      </w:r>
      <w:r w:rsidR="00AA1E32" w:rsidRPr="005728BA">
        <w:rPr>
          <w:lang w:val="de-DE"/>
        </w:rPr>
        <w:t>Entwurf einer Anleitung zur Aufnahme in eine künftige Überarbeitung von Dokument TGP/10, wie in den Anlagen I bis IV von Dokument TC/51/24 dargelegt, zu</w:t>
      </w:r>
      <w:r w:rsidRPr="005728BA">
        <w:rPr>
          <w:lang w:val="de-DE"/>
        </w:rPr>
        <w:t>.</w:t>
      </w:r>
    </w:p>
    <w:p w:rsidR="00BF4661" w:rsidRPr="005728BA" w:rsidRDefault="00BF4661" w:rsidP="00BF4661">
      <w:pPr>
        <w:rPr>
          <w:lang w:val="de-DE"/>
        </w:rPr>
      </w:pPr>
    </w:p>
    <w:p w:rsidR="00BF4661" w:rsidRPr="005728BA" w:rsidRDefault="00BF4661" w:rsidP="00BF4661">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AA1E32" w:rsidRPr="005728BA">
        <w:rPr>
          <w:lang w:val="de-DE"/>
        </w:rPr>
        <w:t xml:space="preserve">Der TC </w:t>
      </w:r>
      <w:r w:rsidR="00D12A01">
        <w:rPr>
          <w:lang w:val="de-DE"/>
        </w:rPr>
        <w:t>vereinbarte</w:t>
      </w:r>
      <w:r w:rsidR="00B84A2B" w:rsidRPr="005728BA">
        <w:rPr>
          <w:lang w:val="de-DE"/>
        </w:rPr>
        <w:t xml:space="preserve">, </w:t>
      </w:r>
      <w:proofErr w:type="spellStart"/>
      <w:r w:rsidR="00B84A2B" w:rsidRPr="005728BA">
        <w:rPr>
          <w:lang w:val="de-DE"/>
        </w:rPr>
        <w:t>daß</w:t>
      </w:r>
      <w:proofErr w:type="spellEnd"/>
      <w:r w:rsidR="00B84A2B" w:rsidRPr="005728BA">
        <w:rPr>
          <w:lang w:val="de-DE"/>
        </w:rPr>
        <w:t xml:space="preserve"> der Titel des Dokuments folgendermaßen geändert werden soll</w:t>
      </w:r>
      <w:r w:rsidR="00170C91">
        <w:rPr>
          <w:lang w:val="de-DE"/>
        </w:rPr>
        <w:t>te</w:t>
      </w:r>
      <w:r w:rsidR="00B84A2B" w:rsidRPr="005728BA">
        <w:rPr>
          <w:lang w:val="de-DE"/>
        </w:rPr>
        <w:t>: „Prüfung der Homogenität anhand von Abweichern aufgrund von mehr als einer Wachstumsperiode oder aufgrund von Unterproben</w:t>
      </w:r>
      <w:r w:rsidR="00AE6216" w:rsidRPr="005728BA">
        <w:rPr>
          <w:lang w:val="de-DE"/>
        </w:rPr>
        <w:t>“</w:t>
      </w:r>
      <w:r w:rsidR="00285DC9" w:rsidRPr="005728BA">
        <w:rPr>
          <w:lang w:val="de-DE"/>
        </w:rPr>
        <w:t>.</w:t>
      </w:r>
    </w:p>
    <w:p w:rsidR="00BF4661" w:rsidRPr="005728BA" w:rsidRDefault="00BF4661" w:rsidP="00BF4661">
      <w:pPr>
        <w:rPr>
          <w:lang w:val="de-DE"/>
        </w:rPr>
      </w:pPr>
    </w:p>
    <w:p w:rsidR="00BF4661" w:rsidRPr="005728BA" w:rsidRDefault="00BF4661" w:rsidP="00BF4661">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B84A2B" w:rsidRPr="005728BA">
        <w:rPr>
          <w:lang w:val="de-DE"/>
        </w:rPr>
        <w:t xml:space="preserve">Der TC vereinbarte, </w:t>
      </w:r>
      <w:proofErr w:type="spellStart"/>
      <w:r w:rsidR="00B84A2B" w:rsidRPr="005728BA">
        <w:rPr>
          <w:lang w:val="de-DE"/>
        </w:rPr>
        <w:t>daß</w:t>
      </w:r>
      <w:proofErr w:type="spellEnd"/>
      <w:r w:rsidR="00B84A2B" w:rsidRPr="005728BA">
        <w:rPr>
          <w:lang w:val="de-DE"/>
        </w:rPr>
        <w:t xml:space="preserve"> die Situationen A und B, wie in den Anlagen I und II von Dokument TC/51/24 dargelegt, kombiniert werden sollten, mit einer Erklärung gemäß Dokument T</w:t>
      </w:r>
      <w:r w:rsidR="00B67732">
        <w:rPr>
          <w:lang w:val="de-DE"/>
        </w:rPr>
        <w:t>GP/8 Teil I, Abschnitte 1.2 und </w:t>
      </w:r>
      <w:r w:rsidR="00B84A2B" w:rsidRPr="005728BA">
        <w:rPr>
          <w:lang w:val="de-DE"/>
        </w:rPr>
        <w:t xml:space="preserve">1.3, </w:t>
      </w:r>
      <w:proofErr w:type="spellStart"/>
      <w:r w:rsidR="00B84A2B" w:rsidRPr="005728BA">
        <w:rPr>
          <w:lang w:val="de-DE"/>
        </w:rPr>
        <w:t>daß</w:t>
      </w:r>
      <w:proofErr w:type="spellEnd"/>
      <w:r w:rsidR="00B84A2B" w:rsidRPr="005728BA">
        <w:rPr>
          <w:lang w:val="de-DE"/>
        </w:rPr>
        <w:t xml:space="preserve"> zwei unabhängige Wachstumsperioden an einem Prüfungsort in verschiedenen Jahren oder an verschiedenen Prüfungsorten im selben Jahr stattfinden könnten</w:t>
      </w:r>
      <w:r w:rsidR="00285DC9" w:rsidRPr="005728BA">
        <w:rPr>
          <w:lang w:val="de-DE"/>
        </w:rPr>
        <w:t>.</w:t>
      </w:r>
    </w:p>
    <w:p w:rsidR="00BF4661" w:rsidRPr="005728BA" w:rsidRDefault="00BF4661" w:rsidP="00BF4661">
      <w:pPr>
        <w:rPr>
          <w:lang w:val="de-DE"/>
        </w:rPr>
      </w:pPr>
    </w:p>
    <w:p w:rsidR="00BF4661" w:rsidRPr="005728BA" w:rsidRDefault="00BF4661" w:rsidP="00BF4661">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B84A2B" w:rsidRPr="005728BA">
        <w:rPr>
          <w:lang w:val="de-DE"/>
        </w:rPr>
        <w:t xml:space="preserve">Der TC vereinbarte, Verbandsmitglieder zu ersuchen, den TWP und dem TC Informationen über die Risiken, Vorteile, Kostenfolgen und andere maßgebliche Aspekte ihrer Wahl von Ansatz 1 und 2 bei der Prüfung der Homogenität </w:t>
      </w:r>
      <w:r w:rsidR="00D12A01">
        <w:rPr>
          <w:lang w:val="de-DE"/>
        </w:rPr>
        <w:t>anhand von</w:t>
      </w:r>
      <w:r w:rsidR="00D12A01" w:rsidRPr="005728BA">
        <w:rPr>
          <w:lang w:val="de-DE"/>
        </w:rPr>
        <w:t xml:space="preserve"> </w:t>
      </w:r>
      <w:r w:rsidR="00B84A2B" w:rsidRPr="005728BA">
        <w:rPr>
          <w:lang w:val="de-DE"/>
        </w:rPr>
        <w:t xml:space="preserve">Abweichern </w:t>
      </w:r>
      <w:r w:rsidR="00D12A01">
        <w:rPr>
          <w:lang w:val="de-DE"/>
        </w:rPr>
        <w:t>aufgrund</w:t>
      </w:r>
      <w:r w:rsidR="00B84A2B" w:rsidRPr="005728BA">
        <w:rPr>
          <w:lang w:val="de-DE"/>
        </w:rPr>
        <w:t xml:space="preserve"> von mehr als einer Probe oder Unterproben, wie in den Anlagen I und II von Dokument TC/51/24 dargelegt, zu erteilen.</w:t>
      </w:r>
    </w:p>
    <w:p w:rsidR="00A52B4A" w:rsidRPr="005728BA" w:rsidRDefault="00A52B4A" w:rsidP="00BF4661">
      <w:pPr>
        <w:rPr>
          <w:lang w:val="de-DE"/>
        </w:rPr>
      </w:pPr>
    </w:p>
    <w:p w:rsidR="00BF4661" w:rsidRPr="005728BA" w:rsidRDefault="00BF4661" w:rsidP="00B84A2B">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B84A2B" w:rsidRPr="005728BA">
        <w:rPr>
          <w:lang w:val="de-DE"/>
        </w:rPr>
        <w:t xml:space="preserve">Der TC vereinbarte, die Möglichkeit der Zurückweisung einer Sorte nach einer einzigen Wachstumsperiode aufgrund fehlender Homogenität zu klären. Weiterhin vereinbarte er, das fünfte Beispiel so zu überarbeiten, </w:t>
      </w:r>
      <w:proofErr w:type="spellStart"/>
      <w:r w:rsidR="00B84A2B" w:rsidRPr="005728BA">
        <w:rPr>
          <w:lang w:val="de-DE"/>
        </w:rPr>
        <w:t>daß</w:t>
      </w:r>
      <w:proofErr w:type="spellEnd"/>
      <w:r w:rsidR="00B84A2B" w:rsidRPr="005728BA">
        <w:rPr>
          <w:lang w:val="de-DE"/>
        </w:rPr>
        <w:t xml:space="preserve"> es realistischer ist, da eine Sorte mit 10 Abweichern in der ersten Wachstumsperiode nach der ersten Wachstumsperiode wahrscheinlich zurückgewiesen würde </w:t>
      </w:r>
      <w:r w:rsidRPr="005728BA">
        <w:rPr>
          <w:lang w:val="de-DE"/>
        </w:rPr>
        <w:t>(</w:t>
      </w:r>
      <w:r w:rsidR="00D800D5" w:rsidRPr="005728BA">
        <w:rPr>
          <w:lang w:val="de-DE"/>
        </w:rPr>
        <w:t xml:space="preserve">vergleiche Dokument </w:t>
      </w:r>
      <w:r w:rsidRPr="005728BA">
        <w:rPr>
          <w:lang w:val="de-DE"/>
        </w:rPr>
        <w:t xml:space="preserve">TC/51/39 </w:t>
      </w:r>
      <w:r w:rsidR="00B84A2B" w:rsidRPr="005728BA">
        <w:rPr>
          <w:lang w:val="de-DE"/>
        </w:rPr>
        <w:t>„Bericht</w:t>
      </w:r>
      <w:r w:rsidR="00AE6216" w:rsidRPr="005728BA">
        <w:rPr>
          <w:lang w:val="de-DE"/>
        </w:rPr>
        <w:t>“</w:t>
      </w:r>
      <w:r w:rsidRPr="005728BA">
        <w:rPr>
          <w:lang w:val="de-DE"/>
        </w:rPr>
        <w:t xml:space="preserve">, </w:t>
      </w:r>
      <w:r w:rsidR="00B84A2B" w:rsidRPr="005728BA">
        <w:rPr>
          <w:lang w:val="de-DE"/>
        </w:rPr>
        <w:t>Absätze</w:t>
      </w:r>
      <w:r w:rsidRPr="005728BA">
        <w:rPr>
          <w:lang w:val="de-DE"/>
        </w:rPr>
        <w:t xml:space="preserve"> 157 </w:t>
      </w:r>
      <w:r w:rsidR="00B84A2B" w:rsidRPr="005728BA">
        <w:rPr>
          <w:lang w:val="de-DE"/>
        </w:rPr>
        <w:t>bis</w:t>
      </w:r>
      <w:r w:rsidRPr="005728BA">
        <w:rPr>
          <w:lang w:val="de-DE"/>
        </w:rPr>
        <w:t xml:space="preserve"> 162). </w:t>
      </w:r>
    </w:p>
    <w:p w:rsidR="00BF4661" w:rsidRPr="005728BA" w:rsidRDefault="00BF4661" w:rsidP="00BF4661">
      <w:pPr>
        <w:rPr>
          <w:lang w:val="de-DE"/>
        </w:rPr>
      </w:pPr>
    </w:p>
    <w:p w:rsidR="00BF4661" w:rsidRPr="005728BA" w:rsidRDefault="00BF4661" w:rsidP="00BF4661">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042798" w:rsidRPr="005728BA">
        <w:rPr>
          <w:lang w:val="de-DE"/>
        </w:rPr>
        <w:t>Mit dem Rundschreiben</w:t>
      </w:r>
      <w:r w:rsidR="00830374" w:rsidRPr="005728BA">
        <w:rPr>
          <w:lang w:val="de-DE"/>
        </w:rPr>
        <w:t xml:space="preserve"> E-15/108 </w:t>
      </w:r>
      <w:r w:rsidR="00042798" w:rsidRPr="005728BA">
        <w:rPr>
          <w:lang w:val="de-DE"/>
        </w:rPr>
        <w:t>vom 5. Mai 2015 wurden die Mitglieder und Beobachter des TC und der TWP</w:t>
      </w:r>
      <w:r w:rsidRPr="005728BA">
        <w:rPr>
          <w:lang w:val="de-DE"/>
        </w:rPr>
        <w:t xml:space="preserve"> </w:t>
      </w:r>
      <w:r w:rsidR="00042798" w:rsidRPr="005728BA">
        <w:rPr>
          <w:lang w:val="de-DE"/>
        </w:rPr>
        <w:t>ersucht,</w:t>
      </w:r>
      <w:r w:rsidRPr="005728BA">
        <w:rPr>
          <w:rFonts w:cs="Arial"/>
          <w:lang w:val="de-DE"/>
        </w:rPr>
        <w:t xml:space="preserve"> </w:t>
      </w:r>
      <w:r w:rsidR="00042798" w:rsidRPr="005728BA">
        <w:rPr>
          <w:rFonts w:cs="Arial"/>
          <w:lang w:val="de-DE"/>
        </w:rPr>
        <w:t xml:space="preserve">Informationen über die Risiken, Vorteile, Kostenfolgen und andere maßgebliche Aspekte ihrer Wahl von Ansatz 1 und 2 bei der Prüfung der Homogenität </w:t>
      </w:r>
      <w:r w:rsidR="00D12A01">
        <w:rPr>
          <w:rFonts w:cs="Arial"/>
          <w:lang w:val="de-DE"/>
        </w:rPr>
        <w:t>anhand von</w:t>
      </w:r>
      <w:r w:rsidR="00D12A01" w:rsidRPr="005728BA">
        <w:rPr>
          <w:rFonts w:cs="Arial"/>
          <w:lang w:val="de-DE"/>
        </w:rPr>
        <w:t xml:space="preserve"> </w:t>
      </w:r>
      <w:r w:rsidR="00042798" w:rsidRPr="005728BA">
        <w:rPr>
          <w:rFonts w:cs="Arial"/>
          <w:lang w:val="de-DE"/>
        </w:rPr>
        <w:t xml:space="preserve">Abweichern </w:t>
      </w:r>
      <w:r w:rsidR="00D12A01">
        <w:rPr>
          <w:rFonts w:cs="Arial"/>
          <w:lang w:val="de-DE"/>
        </w:rPr>
        <w:t>aufgrund</w:t>
      </w:r>
      <w:r w:rsidR="00D12A01" w:rsidRPr="005728BA">
        <w:rPr>
          <w:rFonts w:cs="Arial"/>
          <w:lang w:val="de-DE"/>
        </w:rPr>
        <w:t xml:space="preserve"> </w:t>
      </w:r>
      <w:r w:rsidR="00042798" w:rsidRPr="005728BA">
        <w:rPr>
          <w:rFonts w:cs="Arial"/>
          <w:lang w:val="de-DE"/>
        </w:rPr>
        <w:t xml:space="preserve">von mehr </w:t>
      </w:r>
      <w:r w:rsidR="00042798" w:rsidRPr="005728BA">
        <w:rPr>
          <w:rFonts w:cs="Arial"/>
          <w:lang w:val="de-DE"/>
        </w:rPr>
        <w:lastRenderedPageBreak/>
        <w:t>als einer Probe oder Unterproben, wie in den Anlagen I und II von Dokument TC/51/24 dargelegt, zu erteilen</w:t>
      </w:r>
      <w:r w:rsidRPr="005728BA">
        <w:rPr>
          <w:lang w:val="de-DE"/>
        </w:rPr>
        <w:t>.</w:t>
      </w:r>
    </w:p>
    <w:p w:rsidR="00A52B4A" w:rsidRPr="005728BA" w:rsidRDefault="00A52B4A" w:rsidP="00BF4661">
      <w:pPr>
        <w:rPr>
          <w:lang w:val="de-DE"/>
        </w:rPr>
      </w:pPr>
    </w:p>
    <w:p w:rsidR="00EB33EB" w:rsidRPr="005728BA" w:rsidRDefault="00D800D5" w:rsidP="00EB33EB">
      <w:pPr>
        <w:pStyle w:val="Heading2"/>
        <w:rPr>
          <w:snapToGrid w:val="0"/>
          <w:lang w:val="de-DE"/>
        </w:rPr>
      </w:pPr>
      <w:bookmarkStart w:id="10" w:name="_Toc442051957"/>
      <w:r w:rsidRPr="005728BA">
        <w:rPr>
          <w:snapToGrid w:val="0"/>
          <w:lang w:val="de-DE"/>
        </w:rPr>
        <w:t>Technische Arbeitsgruppen</w:t>
      </w:r>
      <w:bookmarkEnd w:id="10"/>
    </w:p>
    <w:p w:rsidR="00EB33EB" w:rsidRPr="005728BA" w:rsidRDefault="00EB33EB" w:rsidP="00EB33EB">
      <w:pPr>
        <w:rPr>
          <w:snapToGrid w:val="0"/>
          <w:lang w:val="de-DE"/>
        </w:rPr>
      </w:pPr>
    </w:p>
    <w:p w:rsidR="00EB33EB" w:rsidRPr="005728BA" w:rsidRDefault="00D800D5" w:rsidP="00EB33EB">
      <w:pPr>
        <w:pStyle w:val="Heading3"/>
        <w:rPr>
          <w:snapToGrid w:val="0"/>
          <w:lang w:val="de-DE"/>
        </w:rPr>
      </w:pPr>
      <w:bookmarkStart w:id="11" w:name="_Toc442051958"/>
      <w:r w:rsidRPr="005728BA">
        <w:rPr>
          <w:snapToGrid w:val="0"/>
          <w:lang w:val="de-DE"/>
        </w:rPr>
        <w:t>Technische Arbeitsgruppe für Gemüsearten</w:t>
      </w:r>
      <w:bookmarkEnd w:id="11"/>
    </w:p>
    <w:p w:rsidR="00EB33EB" w:rsidRPr="005728BA" w:rsidRDefault="00EB33EB" w:rsidP="00EB33EB">
      <w:pPr>
        <w:rPr>
          <w:lang w:val="de-DE"/>
        </w:rPr>
      </w:pPr>
    </w:p>
    <w:p w:rsidR="00EB33EB" w:rsidRPr="005728BA" w:rsidRDefault="00EB33EB" w:rsidP="00D800D5">
      <w:pPr>
        <w:rPr>
          <w:snapToGrid w:val="0"/>
          <w:lang w:val="de-DE"/>
        </w:rPr>
      </w:pPr>
      <w:r w:rsidRPr="005728BA">
        <w:rPr>
          <w:snapToGrid w:val="0"/>
          <w:lang w:val="de-DE"/>
        </w:rPr>
        <w:fldChar w:fldCharType="begin"/>
      </w:r>
      <w:r w:rsidRPr="005728BA">
        <w:rPr>
          <w:snapToGrid w:val="0"/>
          <w:lang w:val="de-DE"/>
        </w:rPr>
        <w:instrText xml:space="preserve"> AUTONUM  </w:instrText>
      </w:r>
      <w:r w:rsidRPr="005728BA">
        <w:rPr>
          <w:snapToGrid w:val="0"/>
          <w:lang w:val="de-DE"/>
        </w:rPr>
        <w:fldChar w:fldCharType="end"/>
      </w:r>
      <w:r w:rsidRPr="005728BA">
        <w:rPr>
          <w:snapToGrid w:val="0"/>
          <w:lang w:val="de-DE"/>
        </w:rPr>
        <w:tab/>
      </w:r>
      <w:r w:rsidR="00D800D5" w:rsidRPr="005728BA">
        <w:rPr>
          <w:snapToGrid w:val="0"/>
          <w:lang w:val="de-DE"/>
        </w:rPr>
        <w:t xml:space="preserve">Die TWV prüfte auf ihrer neunundvierzigsten Tagung vom 15. bis 19. Juni 2015 in Angers, Frankreich, Dokument </w:t>
      </w:r>
      <w:r w:rsidRPr="005728BA">
        <w:rPr>
          <w:snapToGrid w:val="0"/>
          <w:lang w:val="de-DE"/>
        </w:rPr>
        <w:t xml:space="preserve">TWV/49/9 </w:t>
      </w:r>
      <w:r w:rsidR="00D800D5" w:rsidRPr="005728BA">
        <w:rPr>
          <w:snapToGrid w:val="0"/>
          <w:lang w:val="de-DE"/>
        </w:rPr>
        <w:t>„</w:t>
      </w:r>
      <w:r w:rsidR="00267CF8" w:rsidRPr="005728BA">
        <w:rPr>
          <w:lang w:val="de-DE"/>
        </w:rPr>
        <w:t>Überarbeitung von Dokument</w:t>
      </w:r>
      <w:r w:rsidRPr="005728BA">
        <w:rPr>
          <w:lang w:val="de-DE"/>
        </w:rPr>
        <w:t xml:space="preserve"> TGP/10: </w:t>
      </w:r>
      <w:r w:rsidR="00683A78" w:rsidRPr="005728BA">
        <w:rPr>
          <w:lang w:val="de-DE"/>
        </w:rPr>
        <w:t>Neuer Abschnitt</w:t>
      </w:r>
      <w:r w:rsidRPr="005728BA">
        <w:rPr>
          <w:lang w:val="de-DE"/>
        </w:rPr>
        <w:t xml:space="preserve">: </w:t>
      </w:r>
      <w:r w:rsidR="007C2800" w:rsidRPr="005728BA">
        <w:rPr>
          <w:lang w:val="de-DE"/>
        </w:rPr>
        <w:t xml:space="preserve">Prüfung der Homogenität anhand von Abweichern aufgrund von mehr als einer Wachstumsperiode </w:t>
      </w:r>
      <w:r w:rsidR="00D800D5" w:rsidRPr="005728BA">
        <w:rPr>
          <w:lang w:val="de-DE"/>
        </w:rPr>
        <w:t>oder aufgrund von Unterproben</w:t>
      </w:r>
      <w:r w:rsidR="00170C91">
        <w:rPr>
          <w:lang w:val="de-DE"/>
        </w:rPr>
        <w:t>“</w:t>
      </w:r>
      <w:r w:rsidRPr="005728BA">
        <w:rPr>
          <w:snapToGrid w:val="0"/>
          <w:lang w:val="de-DE"/>
        </w:rPr>
        <w:t>.</w:t>
      </w:r>
    </w:p>
    <w:p w:rsidR="00EB33EB" w:rsidRPr="005728BA" w:rsidRDefault="00EB33EB" w:rsidP="00EB33EB">
      <w:pPr>
        <w:rPr>
          <w:snapToGrid w:val="0"/>
          <w:lang w:val="de-DE"/>
        </w:rPr>
      </w:pPr>
    </w:p>
    <w:p w:rsidR="00EB33EB" w:rsidRPr="005728BA" w:rsidRDefault="00EB33EB" w:rsidP="00EB33EB">
      <w:pPr>
        <w:rPr>
          <w:snapToGrid w:val="0"/>
          <w:lang w:val="de-DE"/>
        </w:rPr>
      </w:pPr>
      <w:r w:rsidRPr="005728BA">
        <w:rPr>
          <w:snapToGrid w:val="0"/>
          <w:lang w:val="de-DE"/>
        </w:rPr>
        <w:fldChar w:fldCharType="begin"/>
      </w:r>
      <w:r w:rsidRPr="005728BA">
        <w:rPr>
          <w:snapToGrid w:val="0"/>
          <w:lang w:val="de-DE"/>
        </w:rPr>
        <w:instrText xml:space="preserve"> AUTONUM  </w:instrText>
      </w:r>
      <w:r w:rsidRPr="005728BA">
        <w:rPr>
          <w:snapToGrid w:val="0"/>
          <w:lang w:val="de-DE"/>
        </w:rPr>
        <w:fldChar w:fldCharType="end"/>
      </w:r>
      <w:r w:rsidRPr="005728BA">
        <w:rPr>
          <w:snapToGrid w:val="0"/>
          <w:lang w:val="de-DE"/>
        </w:rPr>
        <w:tab/>
        <w:t xml:space="preserve">The TWV </w:t>
      </w:r>
      <w:r w:rsidR="00683A78" w:rsidRPr="005728BA">
        <w:rPr>
          <w:snapToGrid w:val="0"/>
          <w:lang w:val="de-DE"/>
        </w:rPr>
        <w:t>stimmte de</w:t>
      </w:r>
      <w:r w:rsidR="00D800D5" w:rsidRPr="005728BA">
        <w:rPr>
          <w:snapToGrid w:val="0"/>
          <w:lang w:val="de-DE"/>
        </w:rPr>
        <w:t xml:space="preserve">m </w:t>
      </w:r>
      <w:r w:rsidR="00683A78" w:rsidRPr="005728BA">
        <w:rPr>
          <w:snapToGrid w:val="0"/>
          <w:lang w:val="de-DE"/>
        </w:rPr>
        <w:t>Entwurf für eine Anleitung</w:t>
      </w:r>
      <w:r w:rsidRPr="005728BA">
        <w:rPr>
          <w:snapToGrid w:val="0"/>
          <w:lang w:val="de-DE"/>
        </w:rPr>
        <w:t xml:space="preserve"> </w:t>
      </w:r>
      <w:r w:rsidR="007C2800" w:rsidRPr="005728BA">
        <w:rPr>
          <w:snapToGrid w:val="0"/>
          <w:lang w:val="de-DE"/>
        </w:rPr>
        <w:t>zur Aufnahme in eine künftige</w:t>
      </w:r>
      <w:r w:rsidRPr="005728BA">
        <w:rPr>
          <w:snapToGrid w:val="0"/>
          <w:lang w:val="de-DE"/>
        </w:rPr>
        <w:t xml:space="preserve"> </w:t>
      </w:r>
      <w:r w:rsidR="00267CF8" w:rsidRPr="005728BA">
        <w:rPr>
          <w:snapToGrid w:val="0"/>
          <w:lang w:val="de-DE"/>
        </w:rPr>
        <w:t>Überarbeitung von Dokument</w:t>
      </w:r>
      <w:r w:rsidRPr="005728BA">
        <w:rPr>
          <w:snapToGrid w:val="0"/>
          <w:lang w:val="de-DE"/>
        </w:rPr>
        <w:t xml:space="preserve"> TGP/10, </w:t>
      </w:r>
      <w:r w:rsidR="00267CF8" w:rsidRPr="005728BA">
        <w:rPr>
          <w:snapToGrid w:val="0"/>
          <w:lang w:val="de-DE"/>
        </w:rPr>
        <w:t xml:space="preserve">wie </w:t>
      </w:r>
      <w:r w:rsidRPr="005728BA">
        <w:rPr>
          <w:snapToGrid w:val="0"/>
          <w:lang w:val="de-DE"/>
        </w:rPr>
        <w:t xml:space="preserve">in </w:t>
      </w:r>
      <w:r w:rsidR="00D64CD2" w:rsidRPr="005728BA">
        <w:rPr>
          <w:snapToGrid w:val="0"/>
          <w:lang w:val="de-DE"/>
        </w:rPr>
        <w:t>Anlagen</w:t>
      </w:r>
      <w:r w:rsidRPr="005728BA">
        <w:rPr>
          <w:snapToGrid w:val="0"/>
          <w:lang w:val="de-DE"/>
        </w:rPr>
        <w:t xml:space="preserve"> I</w:t>
      </w:r>
      <w:r w:rsidR="00D800D5" w:rsidRPr="005728BA">
        <w:rPr>
          <w:snapToGrid w:val="0"/>
          <w:lang w:val="de-DE"/>
        </w:rPr>
        <w:t xml:space="preserve"> und </w:t>
      </w:r>
      <w:r w:rsidRPr="005728BA">
        <w:rPr>
          <w:snapToGrid w:val="0"/>
          <w:lang w:val="de-DE"/>
        </w:rPr>
        <w:t xml:space="preserve">II </w:t>
      </w:r>
      <w:r w:rsidR="00683A78" w:rsidRPr="005728BA">
        <w:rPr>
          <w:snapToGrid w:val="0"/>
          <w:lang w:val="de-DE"/>
        </w:rPr>
        <w:t>des Dokuments</w:t>
      </w:r>
      <w:r w:rsidRPr="005728BA">
        <w:rPr>
          <w:snapToGrid w:val="0"/>
          <w:lang w:val="de-DE"/>
        </w:rPr>
        <w:t xml:space="preserve"> TWV/49/9 </w:t>
      </w:r>
      <w:r w:rsidR="00D12A01" w:rsidRPr="005728BA">
        <w:rPr>
          <w:snapToGrid w:val="0"/>
          <w:lang w:val="de-DE"/>
        </w:rPr>
        <w:t>dargelegt</w:t>
      </w:r>
      <w:r w:rsidR="00F57940">
        <w:rPr>
          <w:snapToGrid w:val="0"/>
          <w:lang w:val="de-DE"/>
        </w:rPr>
        <w:t>,</w:t>
      </w:r>
      <w:r w:rsidR="00D12A01" w:rsidRPr="005728BA">
        <w:rPr>
          <w:snapToGrid w:val="0"/>
          <w:lang w:val="de-DE"/>
        </w:rPr>
        <w:t xml:space="preserve"> zu </w:t>
      </w:r>
      <w:r w:rsidRPr="005728BA">
        <w:rPr>
          <w:snapToGrid w:val="0"/>
          <w:lang w:val="de-DE"/>
        </w:rPr>
        <w:t>(</w:t>
      </w:r>
      <w:r w:rsidR="00D800D5" w:rsidRPr="005728BA">
        <w:rPr>
          <w:snapToGrid w:val="0"/>
          <w:lang w:val="de-DE"/>
        </w:rPr>
        <w:t xml:space="preserve">vergleiche Dokument </w:t>
      </w:r>
      <w:r w:rsidRPr="005728BA">
        <w:rPr>
          <w:snapToGrid w:val="0"/>
          <w:lang w:val="de-DE"/>
        </w:rPr>
        <w:t xml:space="preserve">TWV/49/32 </w:t>
      </w:r>
      <w:proofErr w:type="spellStart"/>
      <w:r w:rsidRPr="005728BA">
        <w:rPr>
          <w:snapToGrid w:val="0"/>
          <w:lang w:val="de-DE"/>
        </w:rPr>
        <w:t>Rev</w:t>
      </w:r>
      <w:proofErr w:type="spellEnd"/>
      <w:r w:rsidRPr="005728BA">
        <w:rPr>
          <w:snapToGrid w:val="0"/>
          <w:lang w:val="de-DE"/>
        </w:rPr>
        <w:t xml:space="preserve">. </w:t>
      </w:r>
      <w:r w:rsidR="00D800D5" w:rsidRPr="005728BA">
        <w:rPr>
          <w:snapToGrid w:val="0"/>
          <w:lang w:val="de-DE"/>
        </w:rPr>
        <w:t>„</w:t>
      </w:r>
      <w:r w:rsidR="00D12A01">
        <w:rPr>
          <w:snapToGrid w:val="0"/>
          <w:lang w:val="de-DE"/>
        </w:rPr>
        <w:t>Ü</w:t>
      </w:r>
      <w:r w:rsidR="00D800D5" w:rsidRPr="005728BA">
        <w:rPr>
          <w:snapToGrid w:val="0"/>
          <w:lang w:val="de-DE"/>
        </w:rPr>
        <w:t>berarbeiteter Bericht</w:t>
      </w:r>
      <w:r w:rsidR="00AE6216" w:rsidRPr="005728BA">
        <w:rPr>
          <w:snapToGrid w:val="0"/>
          <w:lang w:val="de-DE"/>
        </w:rPr>
        <w:t>“</w:t>
      </w:r>
      <w:r w:rsidRPr="005728BA">
        <w:rPr>
          <w:snapToGrid w:val="0"/>
          <w:lang w:val="de-DE"/>
        </w:rPr>
        <w:t xml:space="preserve">, </w:t>
      </w:r>
      <w:r w:rsidR="00B84A2B" w:rsidRPr="005728BA">
        <w:rPr>
          <w:snapToGrid w:val="0"/>
          <w:lang w:val="de-DE"/>
        </w:rPr>
        <w:t>Absätze</w:t>
      </w:r>
      <w:r w:rsidRPr="005728BA">
        <w:rPr>
          <w:snapToGrid w:val="0"/>
          <w:lang w:val="de-DE"/>
        </w:rPr>
        <w:t xml:space="preserve"> 62</w:t>
      </w:r>
      <w:r w:rsidR="00D800D5" w:rsidRPr="005728BA">
        <w:rPr>
          <w:snapToGrid w:val="0"/>
          <w:lang w:val="de-DE"/>
        </w:rPr>
        <w:t xml:space="preserve"> und </w:t>
      </w:r>
      <w:r w:rsidRPr="005728BA">
        <w:rPr>
          <w:snapToGrid w:val="0"/>
          <w:lang w:val="de-DE"/>
        </w:rPr>
        <w:t>63).</w:t>
      </w:r>
    </w:p>
    <w:p w:rsidR="00EB33EB" w:rsidRPr="005728BA" w:rsidRDefault="00EB33EB" w:rsidP="00EB33EB">
      <w:pPr>
        <w:rPr>
          <w:iCs/>
          <w:spacing w:val="-4"/>
          <w:lang w:val="de-DE"/>
        </w:rPr>
      </w:pPr>
    </w:p>
    <w:p w:rsidR="00EB33EB" w:rsidRPr="005728BA" w:rsidRDefault="00D800D5" w:rsidP="003C0A78">
      <w:pPr>
        <w:pStyle w:val="Heading3"/>
        <w:rPr>
          <w:rFonts w:eastAsia="PMingLiU"/>
          <w:lang w:val="de-DE"/>
        </w:rPr>
      </w:pPr>
      <w:bookmarkStart w:id="12" w:name="_Toc442051959"/>
      <w:r w:rsidRPr="005728BA">
        <w:rPr>
          <w:rFonts w:eastAsia="PMingLiU"/>
          <w:lang w:val="de-DE"/>
        </w:rPr>
        <w:t>Technische Arbeitsgruppe für Automatisierung und Computerprogramme</w:t>
      </w:r>
      <w:bookmarkEnd w:id="12"/>
    </w:p>
    <w:p w:rsidR="003C0A78" w:rsidRPr="005728BA" w:rsidRDefault="003C0A78" w:rsidP="00EB33EB">
      <w:pPr>
        <w:rPr>
          <w:iCs/>
          <w:spacing w:val="-4"/>
          <w:lang w:val="de-DE"/>
        </w:rPr>
      </w:pPr>
    </w:p>
    <w:p w:rsidR="003C0A78" w:rsidRPr="005728BA" w:rsidRDefault="003C0A78" w:rsidP="00EB33EB">
      <w:pPr>
        <w:rPr>
          <w:lang w:val="de-DE"/>
        </w:rPr>
      </w:pPr>
      <w:r w:rsidRPr="005728BA">
        <w:rPr>
          <w:snapToGrid w:val="0"/>
          <w:lang w:val="de-DE"/>
        </w:rPr>
        <w:fldChar w:fldCharType="begin"/>
      </w:r>
      <w:r w:rsidRPr="005728BA">
        <w:rPr>
          <w:snapToGrid w:val="0"/>
          <w:lang w:val="de-DE"/>
        </w:rPr>
        <w:instrText xml:space="preserve"> AUTONUM  </w:instrText>
      </w:r>
      <w:r w:rsidRPr="005728BA">
        <w:rPr>
          <w:snapToGrid w:val="0"/>
          <w:lang w:val="de-DE"/>
        </w:rPr>
        <w:fldChar w:fldCharType="end"/>
      </w:r>
      <w:r w:rsidRPr="005728BA">
        <w:rPr>
          <w:snapToGrid w:val="0"/>
          <w:lang w:val="de-DE"/>
        </w:rPr>
        <w:tab/>
      </w:r>
      <w:r w:rsidR="00D800D5" w:rsidRPr="005728BA">
        <w:rPr>
          <w:snapToGrid w:val="0"/>
          <w:lang w:val="de-DE"/>
        </w:rPr>
        <w:t>Die TWC</w:t>
      </w:r>
      <w:r w:rsidR="00D12A01" w:rsidRPr="00D12A01">
        <w:rPr>
          <w:snapToGrid w:val="0"/>
          <w:lang w:val="de-DE"/>
        </w:rPr>
        <w:t xml:space="preserve"> </w:t>
      </w:r>
      <w:r w:rsidR="00D12A01" w:rsidRPr="005728BA">
        <w:rPr>
          <w:snapToGrid w:val="0"/>
          <w:lang w:val="de-DE"/>
        </w:rPr>
        <w:t>prüfte</w:t>
      </w:r>
      <w:r w:rsidRPr="005728BA">
        <w:rPr>
          <w:snapToGrid w:val="0"/>
          <w:lang w:val="de-DE"/>
        </w:rPr>
        <w:t xml:space="preserve"> </w:t>
      </w:r>
      <w:r w:rsidR="00D800D5" w:rsidRPr="005728BA">
        <w:rPr>
          <w:snapToGrid w:val="0"/>
          <w:lang w:val="de-DE"/>
        </w:rPr>
        <w:t>auf ihrer dreiunddreißigsten Tagung</w:t>
      </w:r>
      <w:r w:rsidRPr="005728BA">
        <w:rPr>
          <w:snapToGrid w:val="0"/>
          <w:lang w:val="de-DE"/>
        </w:rPr>
        <w:t xml:space="preserve"> </w:t>
      </w:r>
      <w:r w:rsidR="007C2800" w:rsidRPr="005728BA">
        <w:rPr>
          <w:snapToGrid w:val="0"/>
          <w:lang w:val="de-DE"/>
        </w:rPr>
        <w:t>vom 30. Juni bis 3. Juli 2015</w:t>
      </w:r>
      <w:r w:rsidR="00F57940" w:rsidRPr="00F57940">
        <w:rPr>
          <w:snapToGrid w:val="0"/>
          <w:lang w:val="de-DE"/>
        </w:rPr>
        <w:t xml:space="preserve"> </w:t>
      </w:r>
      <w:r w:rsidR="00F57940" w:rsidRPr="005728BA">
        <w:rPr>
          <w:snapToGrid w:val="0"/>
          <w:lang w:val="de-DE"/>
        </w:rPr>
        <w:t xml:space="preserve">in Natal, Brasilien, </w:t>
      </w:r>
      <w:r w:rsidR="00683A78" w:rsidRPr="005728BA">
        <w:rPr>
          <w:snapToGrid w:val="0"/>
          <w:lang w:val="de-DE"/>
        </w:rPr>
        <w:t>Dokument</w:t>
      </w:r>
      <w:r w:rsidRPr="005728BA">
        <w:rPr>
          <w:snapToGrid w:val="0"/>
          <w:lang w:val="de-DE"/>
        </w:rPr>
        <w:t xml:space="preserve"> TWC/33/9 </w:t>
      </w:r>
      <w:r w:rsidR="00D800D5" w:rsidRPr="005728BA">
        <w:rPr>
          <w:lang w:val="de-DE"/>
        </w:rPr>
        <w:t>„Überarbeitung von</w:t>
      </w:r>
      <w:r w:rsidR="00267CF8" w:rsidRPr="005728BA">
        <w:rPr>
          <w:lang w:val="de-DE"/>
        </w:rPr>
        <w:t xml:space="preserve"> Dokument</w:t>
      </w:r>
      <w:r w:rsidRPr="005728BA">
        <w:rPr>
          <w:lang w:val="de-DE"/>
        </w:rPr>
        <w:t xml:space="preserve"> TGP/10: </w:t>
      </w:r>
      <w:r w:rsidR="00683A78" w:rsidRPr="005728BA">
        <w:rPr>
          <w:lang w:val="de-DE"/>
        </w:rPr>
        <w:t>Neuer Abschnitt</w:t>
      </w:r>
      <w:r w:rsidRPr="005728BA">
        <w:rPr>
          <w:lang w:val="de-DE"/>
        </w:rPr>
        <w:t xml:space="preserve">: </w:t>
      </w:r>
      <w:r w:rsidR="007C2800" w:rsidRPr="005728BA">
        <w:rPr>
          <w:lang w:val="de-DE"/>
        </w:rPr>
        <w:t xml:space="preserve">Prüfung der Homogenität anhand von Abweichern aufgrund von mehr als einer Wachstumsperiode </w:t>
      </w:r>
      <w:r w:rsidR="00D800D5" w:rsidRPr="005728BA">
        <w:rPr>
          <w:lang w:val="de-DE"/>
        </w:rPr>
        <w:t>oder aufgrund von Unterproben</w:t>
      </w:r>
      <w:r w:rsidR="00D12A01">
        <w:rPr>
          <w:lang w:val="de-DE"/>
        </w:rPr>
        <w:t>“</w:t>
      </w:r>
      <w:r w:rsidRPr="005728BA">
        <w:rPr>
          <w:lang w:val="de-DE"/>
        </w:rPr>
        <w:t>.</w:t>
      </w:r>
    </w:p>
    <w:p w:rsidR="003C0A78" w:rsidRPr="005728BA" w:rsidRDefault="003C0A78" w:rsidP="00EB33EB">
      <w:pPr>
        <w:rPr>
          <w:lang w:val="de-DE"/>
        </w:rPr>
      </w:pPr>
    </w:p>
    <w:p w:rsidR="00EB33EB" w:rsidRPr="005728BA" w:rsidRDefault="003C0A78" w:rsidP="00EB33EB">
      <w:pPr>
        <w:rPr>
          <w:lang w:val="de-DE"/>
        </w:rPr>
      </w:pPr>
      <w:r w:rsidRPr="005728BA">
        <w:rPr>
          <w:snapToGrid w:val="0"/>
          <w:lang w:val="de-DE"/>
        </w:rPr>
        <w:fldChar w:fldCharType="begin"/>
      </w:r>
      <w:r w:rsidRPr="005728BA">
        <w:rPr>
          <w:snapToGrid w:val="0"/>
          <w:lang w:val="de-DE"/>
        </w:rPr>
        <w:instrText xml:space="preserve"> AUTONUM  </w:instrText>
      </w:r>
      <w:r w:rsidRPr="005728BA">
        <w:rPr>
          <w:snapToGrid w:val="0"/>
          <w:lang w:val="de-DE"/>
        </w:rPr>
        <w:fldChar w:fldCharType="end"/>
      </w:r>
      <w:r w:rsidRPr="005728BA">
        <w:rPr>
          <w:snapToGrid w:val="0"/>
          <w:lang w:val="de-DE"/>
        </w:rPr>
        <w:tab/>
      </w:r>
      <w:r w:rsidR="00D800D5" w:rsidRPr="005728BA">
        <w:rPr>
          <w:lang w:val="de-DE"/>
        </w:rPr>
        <w:t>Die TWC</w:t>
      </w:r>
      <w:r w:rsidR="009738EA" w:rsidRPr="005728BA">
        <w:rPr>
          <w:lang w:val="de-DE"/>
        </w:rPr>
        <w:t xml:space="preserve"> </w:t>
      </w:r>
      <w:r w:rsidR="00D800D5" w:rsidRPr="005728BA">
        <w:rPr>
          <w:lang w:val="de-DE"/>
        </w:rPr>
        <w:t xml:space="preserve">prüfte den Entwurf </w:t>
      </w:r>
      <w:r w:rsidR="00683A78" w:rsidRPr="005728BA">
        <w:rPr>
          <w:lang w:val="de-DE"/>
        </w:rPr>
        <w:t>für eine Anleitung</w:t>
      </w:r>
      <w:r w:rsidR="009738EA" w:rsidRPr="005728BA">
        <w:rPr>
          <w:lang w:val="de-DE"/>
        </w:rPr>
        <w:t xml:space="preserve"> in </w:t>
      </w:r>
      <w:r w:rsidR="00683A78" w:rsidRPr="005728BA">
        <w:rPr>
          <w:lang w:val="de-DE"/>
        </w:rPr>
        <w:t>Dokument</w:t>
      </w:r>
      <w:r w:rsidR="009738EA" w:rsidRPr="005728BA">
        <w:rPr>
          <w:lang w:val="de-DE"/>
        </w:rPr>
        <w:t xml:space="preserve"> TWC/33/9, </w:t>
      </w:r>
      <w:r w:rsidR="00D64CD2" w:rsidRPr="005728BA">
        <w:rPr>
          <w:lang w:val="de-DE"/>
        </w:rPr>
        <w:t>Anlage</w:t>
      </w:r>
      <w:r w:rsidR="009738EA" w:rsidRPr="005728BA">
        <w:rPr>
          <w:lang w:val="de-DE"/>
        </w:rPr>
        <w:t xml:space="preserve"> I,</w:t>
      </w:r>
      <w:r w:rsidR="00D800D5" w:rsidRPr="005728BA">
        <w:rPr>
          <w:lang w:val="de-DE"/>
        </w:rPr>
        <w:t xml:space="preserve"> und </w:t>
      </w:r>
      <w:r w:rsidR="002A01A8" w:rsidRPr="005728BA">
        <w:rPr>
          <w:lang w:val="de-DE"/>
        </w:rPr>
        <w:t>vereinbarte,</w:t>
      </w:r>
      <w:r w:rsidR="009738EA" w:rsidRPr="005728BA">
        <w:rPr>
          <w:lang w:val="de-DE"/>
        </w:rPr>
        <w:t xml:space="preserve"> </w:t>
      </w:r>
      <w:r w:rsidR="00F57940">
        <w:rPr>
          <w:lang w:val="de-DE"/>
        </w:rPr>
        <w:t>folgende</w:t>
      </w:r>
      <w:r w:rsidR="00D12A01">
        <w:rPr>
          <w:lang w:val="de-DE"/>
        </w:rPr>
        <w:t xml:space="preserve"> Änderung des Titels von</w:t>
      </w:r>
      <w:r w:rsidR="009738EA" w:rsidRPr="005728BA">
        <w:rPr>
          <w:lang w:val="de-DE"/>
        </w:rPr>
        <w:t xml:space="preserve"> </w:t>
      </w:r>
      <w:r w:rsidR="00AC00B2" w:rsidRPr="005728BA">
        <w:rPr>
          <w:lang w:val="de-DE"/>
        </w:rPr>
        <w:t>Ansatz</w:t>
      </w:r>
      <w:r w:rsidR="009738EA" w:rsidRPr="005728BA">
        <w:rPr>
          <w:lang w:val="de-DE"/>
        </w:rPr>
        <w:t xml:space="preserve"> 2 </w:t>
      </w:r>
      <w:r w:rsidR="00D12A01">
        <w:rPr>
          <w:lang w:val="de-DE"/>
        </w:rPr>
        <w:t>vorzuschlagen</w:t>
      </w:r>
      <w:r w:rsidR="00170C91">
        <w:rPr>
          <w:lang w:val="de-DE"/>
        </w:rPr>
        <w:t>:</w:t>
      </w:r>
      <w:r w:rsidR="009738EA" w:rsidRPr="005728BA">
        <w:rPr>
          <w:lang w:val="de-DE"/>
        </w:rPr>
        <w:t xml:space="preserve"> </w:t>
      </w:r>
      <w:r w:rsidR="00AE6216" w:rsidRPr="005728BA">
        <w:rPr>
          <w:lang w:val="de-DE"/>
        </w:rPr>
        <w:t>„</w:t>
      </w:r>
      <w:r w:rsidR="00267CF8" w:rsidRPr="005728BA">
        <w:rPr>
          <w:lang w:val="de-DE"/>
        </w:rPr>
        <w:t>Kombination der Ergebnisse aus zwei Wachstumsperioden</w:t>
      </w:r>
      <w:r w:rsidR="009738EA" w:rsidRPr="005728BA">
        <w:rPr>
          <w:lang w:val="de-DE"/>
        </w:rPr>
        <w:t xml:space="preserve"> </w:t>
      </w:r>
      <w:r w:rsidR="002A01A8" w:rsidRPr="005728BA">
        <w:rPr>
          <w:highlight w:val="lightGray"/>
          <w:u w:val="single"/>
          <w:lang w:val="de-DE"/>
        </w:rPr>
        <w:t>im Fall widersprüchlicher Ergebnisse</w:t>
      </w:r>
      <w:r w:rsidR="00F57940">
        <w:rPr>
          <w:lang w:val="de-DE"/>
        </w:rPr>
        <w:t>“</w:t>
      </w:r>
      <w:r w:rsidR="009738EA" w:rsidRPr="005728BA">
        <w:rPr>
          <w:lang w:val="de-DE"/>
        </w:rPr>
        <w:t xml:space="preserve">. </w:t>
      </w:r>
    </w:p>
    <w:p w:rsidR="00EB33EB" w:rsidRPr="005728BA" w:rsidRDefault="00EB33EB" w:rsidP="00EB33EB">
      <w:pPr>
        <w:rPr>
          <w:lang w:val="de-DE"/>
        </w:rPr>
      </w:pPr>
    </w:p>
    <w:p w:rsidR="00EB33EB" w:rsidRPr="005728BA" w:rsidRDefault="009738EA" w:rsidP="00EB33EB">
      <w:pPr>
        <w:rPr>
          <w:lang w:val="de-DE"/>
        </w:rPr>
      </w:pPr>
      <w:r w:rsidRPr="005728BA">
        <w:rPr>
          <w:snapToGrid w:val="0"/>
          <w:lang w:val="de-DE"/>
        </w:rPr>
        <w:fldChar w:fldCharType="begin"/>
      </w:r>
      <w:r w:rsidRPr="005728BA">
        <w:rPr>
          <w:snapToGrid w:val="0"/>
          <w:lang w:val="de-DE"/>
        </w:rPr>
        <w:instrText xml:space="preserve"> AUTONUM  </w:instrText>
      </w:r>
      <w:r w:rsidRPr="005728BA">
        <w:rPr>
          <w:snapToGrid w:val="0"/>
          <w:lang w:val="de-DE"/>
        </w:rPr>
        <w:fldChar w:fldCharType="end"/>
      </w:r>
      <w:r w:rsidRPr="005728BA">
        <w:rPr>
          <w:snapToGrid w:val="0"/>
          <w:lang w:val="de-DE"/>
        </w:rPr>
        <w:tab/>
      </w:r>
      <w:r w:rsidR="00D800D5" w:rsidRPr="005728BA">
        <w:rPr>
          <w:snapToGrid w:val="0"/>
          <w:lang w:val="de-DE"/>
        </w:rPr>
        <w:t>Die TWC</w:t>
      </w:r>
      <w:r w:rsidR="00EB33EB" w:rsidRPr="005728BA">
        <w:rPr>
          <w:snapToGrid w:val="0"/>
          <w:lang w:val="de-DE"/>
        </w:rPr>
        <w:t xml:space="preserve"> </w:t>
      </w:r>
      <w:r w:rsidR="002A01A8" w:rsidRPr="005728BA">
        <w:rPr>
          <w:lang w:val="de-DE"/>
        </w:rPr>
        <w:t>hörte ein Referat</w:t>
      </w:r>
      <w:r w:rsidR="007C2800" w:rsidRPr="005728BA">
        <w:rPr>
          <w:lang w:val="de-DE"/>
        </w:rPr>
        <w:t xml:space="preserve"> von den Sachverständigen aus Deutschland und dem Vereinigten Königreich</w:t>
      </w:r>
      <w:r w:rsidR="00EB33EB" w:rsidRPr="005728BA">
        <w:rPr>
          <w:lang w:val="de-DE"/>
        </w:rPr>
        <w:t xml:space="preserve">, </w:t>
      </w:r>
      <w:r w:rsidR="002A01A8" w:rsidRPr="005728BA">
        <w:rPr>
          <w:lang w:val="de-DE"/>
        </w:rPr>
        <w:t xml:space="preserve">wie </w:t>
      </w:r>
      <w:r w:rsidR="00EB33EB" w:rsidRPr="005728BA">
        <w:rPr>
          <w:lang w:val="de-DE"/>
        </w:rPr>
        <w:t xml:space="preserve">in </w:t>
      </w:r>
      <w:r w:rsidR="00D64CD2" w:rsidRPr="005728BA">
        <w:rPr>
          <w:lang w:val="de-DE"/>
        </w:rPr>
        <w:t>Anlage</w:t>
      </w:r>
      <w:r w:rsidR="00666F98" w:rsidRPr="005728BA">
        <w:rPr>
          <w:lang w:val="de-DE"/>
        </w:rPr>
        <w:t xml:space="preserve"> III </w:t>
      </w:r>
      <w:r w:rsidR="002A01A8" w:rsidRPr="005728BA">
        <w:rPr>
          <w:lang w:val="de-DE"/>
        </w:rPr>
        <w:t xml:space="preserve">dieses Dokuments </w:t>
      </w:r>
      <w:r w:rsidR="00666F98" w:rsidRPr="005728BA">
        <w:rPr>
          <w:lang w:val="de-DE"/>
        </w:rPr>
        <w:t>(</w:t>
      </w:r>
      <w:r w:rsidR="002A01A8" w:rsidRPr="005728BA">
        <w:rPr>
          <w:lang w:val="de-DE"/>
        </w:rPr>
        <w:t>n</w:t>
      </w:r>
      <w:r w:rsidR="007C2800" w:rsidRPr="005728BA">
        <w:rPr>
          <w:lang w:val="de-DE"/>
        </w:rPr>
        <w:t>ur auf Englisch</w:t>
      </w:r>
      <w:r w:rsidR="00666F98" w:rsidRPr="005728BA">
        <w:rPr>
          <w:lang w:val="de-DE"/>
        </w:rPr>
        <w:t>)</w:t>
      </w:r>
      <w:r w:rsidR="00D12A01" w:rsidRPr="00D12A01">
        <w:rPr>
          <w:lang w:val="de-DE"/>
        </w:rPr>
        <w:t xml:space="preserve"> </w:t>
      </w:r>
      <w:r w:rsidR="00D12A01" w:rsidRPr="005728BA">
        <w:rPr>
          <w:lang w:val="de-DE"/>
        </w:rPr>
        <w:t>wiedergegeben</w:t>
      </w:r>
      <w:r w:rsidR="00EB33EB" w:rsidRPr="005728BA">
        <w:rPr>
          <w:lang w:val="de-DE"/>
        </w:rPr>
        <w:t>,</w:t>
      </w:r>
      <w:r w:rsidR="00D800D5" w:rsidRPr="005728BA">
        <w:rPr>
          <w:lang w:val="de-DE"/>
        </w:rPr>
        <w:t xml:space="preserve"> und </w:t>
      </w:r>
      <w:r w:rsidR="002A01A8" w:rsidRPr="005728BA">
        <w:rPr>
          <w:snapToGrid w:val="0"/>
          <w:lang w:val="de-DE"/>
        </w:rPr>
        <w:t>vereinbarte,</w:t>
      </w:r>
      <w:r w:rsidR="00EB33EB" w:rsidRPr="005728BA">
        <w:rPr>
          <w:snapToGrid w:val="0"/>
          <w:lang w:val="de-DE"/>
        </w:rPr>
        <w:t xml:space="preserve"> </w:t>
      </w:r>
      <w:r w:rsidR="00F57940">
        <w:rPr>
          <w:snapToGrid w:val="0"/>
          <w:lang w:val="de-DE"/>
        </w:rPr>
        <w:t xml:space="preserve">folgende </w:t>
      </w:r>
      <w:r w:rsidR="002A01A8" w:rsidRPr="005728BA">
        <w:rPr>
          <w:snapToGrid w:val="0"/>
          <w:lang w:val="de-DE"/>
        </w:rPr>
        <w:t>Hinzufügung des dritten Ansatzes zu dem</w:t>
      </w:r>
      <w:r w:rsidR="00EB33EB" w:rsidRPr="005728BA">
        <w:rPr>
          <w:snapToGrid w:val="0"/>
          <w:lang w:val="de-DE"/>
        </w:rPr>
        <w:t xml:space="preserve"> </w:t>
      </w:r>
      <w:r w:rsidR="00683A78" w:rsidRPr="005728BA">
        <w:rPr>
          <w:snapToGrid w:val="0"/>
          <w:lang w:val="de-DE"/>
        </w:rPr>
        <w:t>Entwurf für eine Anleitung</w:t>
      </w:r>
      <w:r w:rsidR="00170C91">
        <w:rPr>
          <w:snapToGrid w:val="0"/>
          <w:lang w:val="de-DE"/>
        </w:rPr>
        <w:t xml:space="preserve"> </w:t>
      </w:r>
      <w:r w:rsidR="00D12A01" w:rsidRPr="005728BA">
        <w:rPr>
          <w:snapToGrid w:val="0"/>
          <w:lang w:val="de-DE"/>
        </w:rPr>
        <w:t>vorzuschlagen</w:t>
      </w:r>
      <w:r w:rsidR="00EB33EB" w:rsidRPr="005728BA">
        <w:rPr>
          <w:snapToGrid w:val="0"/>
          <w:lang w:val="de-DE"/>
        </w:rPr>
        <w:t xml:space="preserve">: </w:t>
      </w:r>
    </w:p>
    <w:p w:rsidR="00EB33EB" w:rsidRPr="005728BA" w:rsidRDefault="00EB33EB" w:rsidP="00EB33EB">
      <w:pPr>
        <w:rPr>
          <w:lang w:val="de-DE" w:eastAsia="ja-JP"/>
        </w:rPr>
      </w:pPr>
    </w:p>
    <w:p w:rsidR="00EB33EB" w:rsidRPr="005728BA" w:rsidRDefault="00267CF8" w:rsidP="00EB33EB">
      <w:pPr>
        <w:keepNext/>
        <w:ind w:left="567" w:right="567"/>
        <w:rPr>
          <w:b/>
          <w:bCs/>
          <w:lang w:val="de-DE"/>
        </w:rPr>
      </w:pPr>
      <w:r w:rsidRPr="005728BA">
        <w:rPr>
          <w:b/>
          <w:bCs/>
          <w:lang w:val="de-DE"/>
        </w:rPr>
        <w:t>„Ansatz</w:t>
      </w:r>
      <w:r w:rsidR="00EB33EB" w:rsidRPr="005728BA">
        <w:rPr>
          <w:b/>
          <w:bCs/>
          <w:lang w:val="de-DE"/>
        </w:rPr>
        <w:t xml:space="preserve"> 3:  </w:t>
      </w:r>
      <w:r w:rsidRPr="005728BA">
        <w:rPr>
          <w:b/>
          <w:bCs/>
          <w:lang w:val="de-DE"/>
        </w:rPr>
        <w:t>Kombination der Ergebnisse aus zwei Wachstumsperioden</w:t>
      </w:r>
    </w:p>
    <w:p w:rsidR="00EB33EB" w:rsidRPr="005728BA" w:rsidRDefault="00EB33EB" w:rsidP="00EB33EB">
      <w:pPr>
        <w:keepNext/>
        <w:ind w:left="567" w:right="567"/>
        <w:rPr>
          <w:lang w:val="de-DE"/>
        </w:rPr>
      </w:pPr>
    </w:p>
    <w:p w:rsidR="00EB33EB" w:rsidRPr="005728BA" w:rsidRDefault="00AE6216" w:rsidP="00EB33EB">
      <w:pPr>
        <w:ind w:left="567" w:right="567"/>
        <w:rPr>
          <w:lang w:val="de-DE"/>
        </w:rPr>
      </w:pPr>
      <w:r w:rsidRPr="005728BA">
        <w:rPr>
          <w:lang w:val="de-DE"/>
        </w:rPr>
        <w:t xml:space="preserve">„Eine Sorte wird als homogen betrachtet, wenn die Gesamtzahl der </w:t>
      </w:r>
      <w:proofErr w:type="spellStart"/>
      <w:r w:rsidRPr="005728BA">
        <w:rPr>
          <w:lang w:val="de-DE"/>
        </w:rPr>
        <w:t>Abweicher</w:t>
      </w:r>
      <w:proofErr w:type="spellEnd"/>
      <w:r w:rsidRPr="005728BA">
        <w:rPr>
          <w:lang w:val="de-DE"/>
        </w:rPr>
        <w:t xml:space="preserve"> am Ende der beiden Wachstumsperioden die Anzahl der erlaubten </w:t>
      </w:r>
      <w:proofErr w:type="spellStart"/>
      <w:r w:rsidRPr="005728BA">
        <w:rPr>
          <w:lang w:val="de-DE"/>
        </w:rPr>
        <w:t>Abweicher</w:t>
      </w:r>
      <w:proofErr w:type="spellEnd"/>
      <w:r w:rsidRPr="005728BA">
        <w:rPr>
          <w:lang w:val="de-DE"/>
        </w:rPr>
        <w:t xml:space="preserve"> in der kombinierten Probe nicht übersteigt</w:t>
      </w:r>
      <w:r w:rsidR="00EB33EB" w:rsidRPr="005728BA">
        <w:rPr>
          <w:lang w:val="de-DE"/>
        </w:rPr>
        <w:t>.</w:t>
      </w:r>
    </w:p>
    <w:p w:rsidR="00EB33EB" w:rsidRPr="005728BA" w:rsidRDefault="00EB33EB" w:rsidP="00EB33EB">
      <w:pPr>
        <w:ind w:left="567" w:right="567"/>
        <w:rPr>
          <w:lang w:val="de-DE"/>
        </w:rPr>
      </w:pPr>
      <w:r w:rsidRPr="005728BA">
        <w:rPr>
          <w:lang w:val="de-DE"/>
        </w:rPr>
        <w:t> </w:t>
      </w:r>
    </w:p>
    <w:p w:rsidR="00EB33EB" w:rsidRPr="005728BA" w:rsidRDefault="00AE6216" w:rsidP="00EB33EB">
      <w:pPr>
        <w:ind w:left="567" w:right="567"/>
        <w:rPr>
          <w:lang w:val="de-DE"/>
        </w:rPr>
      </w:pPr>
      <w:r w:rsidRPr="005728BA">
        <w:rPr>
          <w:lang w:val="de-DE"/>
        </w:rPr>
        <w:t xml:space="preserve">„Eine Sorte wird als nicht homogen betrachtet, wenn die Anzahl der </w:t>
      </w:r>
      <w:proofErr w:type="spellStart"/>
      <w:r w:rsidRPr="005728BA">
        <w:rPr>
          <w:lang w:val="de-DE"/>
        </w:rPr>
        <w:t>Abweicher</w:t>
      </w:r>
      <w:proofErr w:type="spellEnd"/>
      <w:r w:rsidRPr="005728BA">
        <w:rPr>
          <w:lang w:val="de-DE"/>
        </w:rPr>
        <w:t xml:space="preserve"> am Ende der beiden Wachstumsperioden die Anzahl der erlaubten </w:t>
      </w:r>
      <w:proofErr w:type="spellStart"/>
      <w:r w:rsidRPr="005728BA">
        <w:rPr>
          <w:lang w:val="de-DE"/>
        </w:rPr>
        <w:t>Abweicher</w:t>
      </w:r>
      <w:proofErr w:type="spellEnd"/>
      <w:r w:rsidRPr="005728BA">
        <w:rPr>
          <w:lang w:val="de-DE"/>
        </w:rPr>
        <w:t xml:space="preserve"> der kombinierten Probe übersteigt</w:t>
      </w:r>
      <w:r w:rsidR="00EB33EB" w:rsidRPr="005728BA">
        <w:rPr>
          <w:lang w:val="de-DE"/>
        </w:rPr>
        <w:t>.</w:t>
      </w:r>
    </w:p>
    <w:p w:rsidR="00EB33EB" w:rsidRPr="005728BA" w:rsidRDefault="00EB33EB" w:rsidP="00EB33EB">
      <w:pPr>
        <w:ind w:left="567" w:right="567"/>
        <w:rPr>
          <w:lang w:val="de-DE"/>
        </w:rPr>
      </w:pPr>
      <w:r w:rsidRPr="005728BA">
        <w:rPr>
          <w:lang w:val="de-DE"/>
        </w:rPr>
        <w:t> </w:t>
      </w:r>
    </w:p>
    <w:p w:rsidR="00EB33EB" w:rsidRPr="005728BA" w:rsidRDefault="00AE6216" w:rsidP="00EB33EB">
      <w:pPr>
        <w:ind w:left="567" w:right="567"/>
        <w:rPr>
          <w:lang w:val="de-DE"/>
        </w:rPr>
      </w:pPr>
      <w:r w:rsidRPr="005728BA">
        <w:rPr>
          <w:lang w:val="de-DE"/>
        </w:rPr>
        <w:t>„Eine Sorte kann nach einer Wachstu</w:t>
      </w:r>
      <w:r w:rsidR="00913EB8">
        <w:rPr>
          <w:lang w:val="de-DE"/>
        </w:rPr>
        <w:t>msperiode zurückgewiesen werden,</w:t>
      </w:r>
      <w:r w:rsidRPr="005728BA">
        <w:rPr>
          <w:lang w:val="de-DE"/>
        </w:rPr>
        <w:t xml:space="preserve"> wenn die Anzahl der </w:t>
      </w:r>
      <w:proofErr w:type="spellStart"/>
      <w:r w:rsidRPr="005728BA">
        <w:rPr>
          <w:lang w:val="de-DE"/>
        </w:rPr>
        <w:t>Abweicher</w:t>
      </w:r>
      <w:proofErr w:type="spellEnd"/>
      <w:r w:rsidRPr="005728BA">
        <w:rPr>
          <w:lang w:val="de-DE"/>
        </w:rPr>
        <w:t xml:space="preserve"> die Anzahl der erlaubten </w:t>
      </w:r>
      <w:proofErr w:type="spellStart"/>
      <w:r w:rsidRPr="005728BA">
        <w:rPr>
          <w:lang w:val="de-DE"/>
        </w:rPr>
        <w:t>Abweicher</w:t>
      </w:r>
      <w:proofErr w:type="spellEnd"/>
      <w:r w:rsidRPr="005728BA">
        <w:rPr>
          <w:lang w:val="de-DE"/>
        </w:rPr>
        <w:t xml:space="preserve"> der kombinierten Probe </w:t>
      </w:r>
      <w:r w:rsidR="00F57940">
        <w:rPr>
          <w:lang w:val="de-DE"/>
        </w:rPr>
        <w:t>(über zwei Perioden) übersteigt</w:t>
      </w:r>
      <w:r w:rsidR="00EB33EB" w:rsidRPr="005728BA">
        <w:rPr>
          <w:lang w:val="de-DE"/>
        </w:rPr>
        <w:t>.</w:t>
      </w:r>
    </w:p>
    <w:p w:rsidR="00EB33EB" w:rsidRPr="005728BA" w:rsidRDefault="00EB33EB" w:rsidP="00EB33EB">
      <w:pPr>
        <w:ind w:left="567" w:right="567"/>
        <w:rPr>
          <w:lang w:val="de-DE"/>
        </w:rPr>
      </w:pPr>
    </w:p>
    <w:p w:rsidR="00EB33EB" w:rsidRPr="005728BA" w:rsidRDefault="00AE6216" w:rsidP="00EB33EB">
      <w:pPr>
        <w:ind w:left="567" w:right="567"/>
        <w:rPr>
          <w:lang w:val="de-DE"/>
        </w:rPr>
      </w:pPr>
      <w:r w:rsidRPr="005728BA">
        <w:rPr>
          <w:lang w:val="de-DE"/>
        </w:rPr>
        <w:t>„</w:t>
      </w:r>
      <w:r w:rsidR="00CA3F80" w:rsidRPr="005728BA">
        <w:rPr>
          <w:lang w:val="de-DE"/>
        </w:rPr>
        <w:t xml:space="preserve">Bei der Prüfung von Ergebnissen, die in jeder der Wachstumsperioden sehr unterschiedlich sind, </w:t>
      </w:r>
      <w:proofErr w:type="spellStart"/>
      <w:r w:rsidR="00CA3F80" w:rsidRPr="005728BA">
        <w:rPr>
          <w:lang w:val="de-DE"/>
        </w:rPr>
        <w:t>muß</w:t>
      </w:r>
      <w:proofErr w:type="spellEnd"/>
      <w:r w:rsidR="00CA3F80" w:rsidRPr="005728BA">
        <w:rPr>
          <w:lang w:val="de-DE"/>
        </w:rPr>
        <w:t xml:space="preserve"> mit größter Sorgfalt verfahren werden, etwa wenn ein </w:t>
      </w:r>
      <w:proofErr w:type="spellStart"/>
      <w:r w:rsidR="004006EE">
        <w:rPr>
          <w:lang w:val="de-DE"/>
        </w:rPr>
        <w:t>Abweichertyp</w:t>
      </w:r>
      <w:proofErr w:type="spellEnd"/>
      <w:r w:rsidR="00170C91">
        <w:rPr>
          <w:lang w:val="de-DE"/>
        </w:rPr>
        <w:t xml:space="preserve"> </w:t>
      </w:r>
      <w:r w:rsidR="00CA3F80" w:rsidRPr="005728BA">
        <w:rPr>
          <w:lang w:val="de-DE"/>
        </w:rPr>
        <w:t>in einer Wachstumsperiode sehr häufig und in einer anderen überhaupt nicht vorkommt</w:t>
      </w:r>
      <w:r w:rsidR="00EB33EB" w:rsidRPr="005728BA">
        <w:rPr>
          <w:lang w:val="de-DE"/>
        </w:rPr>
        <w:t xml:space="preserve">. </w:t>
      </w:r>
      <w:r w:rsidR="00CA3F80" w:rsidRPr="005728BA">
        <w:rPr>
          <w:lang w:val="de-DE"/>
        </w:rPr>
        <w:t>Eine statistische Prüfung auf Einheitlichkeit ist möglich</w:t>
      </w:r>
      <w:r w:rsidR="00170C91">
        <w:rPr>
          <w:lang w:val="de-DE"/>
        </w:rPr>
        <w:t>.“</w:t>
      </w:r>
    </w:p>
    <w:p w:rsidR="00EB33EB" w:rsidRPr="005728BA" w:rsidRDefault="00EB33EB" w:rsidP="00EB33EB">
      <w:pPr>
        <w:rPr>
          <w:lang w:val="de-DE"/>
        </w:rPr>
      </w:pPr>
    </w:p>
    <w:p w:rsidR="00EB33EB" w:rsidRPr="005728BA" w:rsidRDefault="009738EA" w:rsidP="00EB33EB">
      <w:pPr>
        <w:rPr>
          <w:lang w:val="de-DE"/>
        </w:rPr>
      </w:pPr>
      <w:r w:rsidRPr="005728BA">
        <w:rPr>
          <w:snapToGrid w:val="0"/>
          <w:lang w:val="de-DE"/>
        </w:rPr>
        <w:fldChar w:fldCharType="begin"/>
      </w:r>
      <w:r w:rsidRPr="005728BA">
        <w:rPr>
          <w:snapToGrid w:val="0"/>
          <w:lang w:val="de-DE"/>
        </w:rPr>
        <w:instrText xml:space="preserve"> AUTONUM  </w:instrText>
      </w:r>
      <w:r w:rsidRPr="005728BA">
        <w:rPr>
          <w:snapToGrid w:val="0"/>
          <w:lang w:val="de-DE"/>
        </w:rPr>
        <w:fldChar w:fldCharType="end"/>
      </w:r>
      <w:r w:rsidRPr="005728BA">
        <w:rPr>
          <w:snapToGrid w:val="0"/>
          <w:lang w:val="de-DE"/>
        </w:rPr>
        <w:tab/>
      </w:r>
      <w:r w:rsidR="00D800D5" w:rsidRPr="005728BA">
        <w:rPr>
          <w:snapToGrid w:val="0"/>
          <w:lang w:val="de-DE"/>
        </w:rPr>
        <w:t>Die TWC</w:t>
      </w:r>
      <w:r w:rsidR="00EB33EB" w:rsidRPr="005728BA">
        <w:rPr>
          <w:snapToGrid w:val="0"/>
          <w:lang w:val="de-DE"/>
        </w:rPr>
        <w:t xml:space="preserve"> </w:t>
      </w:r>
      <w:r w:rsidR="00543B0C" w:rsidRPr="005728BA">
        <w:rPr>
          <w:snapToGrid w:val="0"/>
          <w:lang w:val="de-DE"/>
        </w:rPr>
        <w:t xml:space="preserve">nahm zur Kenntnis, </w:t>
      </w:r>
      <w:proofErr w:type="spellStart"/>
      <w:r w:rsidR="00543B0C" w:rsidRPr="005728BA">
        <w:rPr>
          <w:snapToGrid w:val="0"/>
          <w:lang w:val="de-DE"/>
        </w:rPr>
        <w:t>daß</w:t>
      </w:r>
      <w:proofErr w:type="spellEnd"/>
      <w:r w:rsidR="00EB33EB" w:rsidRPr="005728BA">
        <w:rPr>
          <w:snapToGrid w:val="0"/>
          <w:lang w:val="de-DE"/>
        </w:rPr>
        <w:t xml:space="preserve"> </w:t>
      </w:r>
      <w:r w:rsidR="00543B0C" w:rsidRPr="005728BA">
        <w:rPr>
          <w:snapToGrid w:val="0"/>
          <w:lang w:val="de-DE"/>
        </w:rPr>
        <w:t>der von den Sachverständigen</w:t>
      </w:r>
      <w:r w:rsidR="00EB33EB" w:rsidRPr="005728BA">
        <w:rPr>
          <w:snapToGrid w:val="0"/>
          <w:lang w:val="de-DE"/>
        </w:rPr>
        <w:t xml:space="preserve"> </w:t>
      </w:r>
      <w:r w:rsidR="00543B0C" w:rsidRPr="005728BA">
        <w:rPr>
          <w:snapToGrid w:val="0"/>
          <w:lang w:val="de-DE"/>
        </w:rPr>
        <w:t>aus Deutschland und dem Vereinigten Königreich</w:t>
      </w:r>
      <w:r w:rsidR="00722A9C" w:rsidRPr="00722A9C">
        <w:rPr>
          <w:snapToGrid w:val="0"/>
          <w:lang w:val="de-DE"/>
        </w:rPr>
        <w:t xml:space="preserve"> </w:t>
      </w:r>
      <w:r w:rsidR="00722A9C" w:rsidRPr="005728BA">
        <w:rPr>
          <w:snapToGrid w:val="0"/>
          <w:lang w:val="de-DE"/>
        </w:rPr>
        <w:t>vorgelegte</w:t>
      </w:r>
      <w:r w:rsidR="00722A9C" w:rsidRPr="00722A9C">
        <w:rPr>
          <w:snapToGrid w:val="0"/>
          <w:lang w:val="de-DE"/>
        </w:rPr>
        <w:t xml:space="preserve"> </w:t>
      </w:r>
      <w:r w:rsidR="00722A9C" w:rsidRPr="005728BA">
        <w:rPr>
          <w:snapToGrid w:val="0"/>
          <w:lang w:val="de-DE"/>
        </w:rPr>
        <w:t>Ansatz</w:t>
      </w:r>
      <w:r w:rsidR="00F57940">
        <w:rPr>
          <w:snapToGrid w:val="0"/>
          <w:lang w:val="de-DE"/>
        </w:rPr>
        <w:t xml:space="preserve"> </w:t>
      </w:r>
      <w:r w:rsidR="00170C91" w:rsidRPr="005728BA">
        <w:rPr>
          <w:snapToGrid w:val="0"/>
          <w:lang w:val="de-DE"/>
        </w:rPr>
        <w:t>im Vereinigten Königreich</w:t>
      </w:r>
      <w:r w:rsidR="00170C91" w:rsidRPr="00722A9C">
        <w:rPr>
          <w:snapToGrid w:val="0"/>
          <w:lang w:val="de-DE"/>
        </w:rPr>
        <w:t xml:space="preserve"> </w:t>
      </w:r>
      <w:r w:rsidR="00F57940" w:rsidRPr="005728BA">
        <w:rPr>
          <w:snapToGrid w:val="0"/>
          <w:lang w:val="de-DE"/>
        </w:rPr>
        <w:t xml:space="preserve">verwendet wird </w:t>
      </w:r>
      <w:r w:rsidR="00F57940">
        <w:rPr>
          <w:snapToGrid w:val="0"/>
          <w:lang w:val="de-DE"/>
        </w:rPr>
        <w:t>und</w:t>
      </w:r>
      <w:r w:rsidR="00D800D5" w:rsidRPr="005728BA">
        <w:rPr>
          <w:snapToGrid w:val="0"/>
          <w:lang w:val="de-DE"/>
        </w:rPr>
        <w:t xml:space="preserve"> </w:t>
      </w:r>
      <w:r w:rsidR="00543B0C" w:rsidRPr="005728BA">
        <w:rPr>
          <w:snapToGrid w:val="0"/>
          <w:lang w:val="de-DE"/>
        </w:rPr>
        <w:t>immer die</w:t>
      </w:r>
      <w:r w:rsidR="00EB33EB" w:rsidRPr="005728BA">
        <w:rPr>
          <w:lang w:val="de-DE"/>
        </w:rPr>
        <w:t xml:space="preserve"> </w:t>
      </w:r>
      <w:r w:rsidR="00543B0C" w:rsidRPr="005728BA">
        <w:rPr>
          <w:lang w:val="de-DE"/>
        </w:rPr>
        <w:t>Ergebnisse von zwei Wachstumsperioden</w:t>
      </w:r>
      <w:r w:rsidR="00722A9C" w:rsidRPr="00722A9C">
        <w:rPr>
          <w:snapToGrid w:val="0"/>
          <w:lang w:val="de-DE"/>
        </w:rPr>
        <w:t xml:space="preserve"> </w:t>
      </w:r>
      <w:r w:rsidR="00722A9C" w:rsidRPr="005728BA">
        <w:rPr>
          <w:snapToGrid w:val="0"/>
          <w:lang w:val="de-DE"/>
        </w:rPr>
        <w:t>kombiniert</w:t>
      </w:r>
      <w:r w:rsidR="00EB33EB" w:rsidRPr="005728BA">
        <w:rPr>
          <w:lang w:val="de-DE"/>
        </w:rPr>
        <w:t xml:space="preserve">. </w:t>
      </w:r>
      <w:r w:rsidR="00D800D5" w:rsidRPr="005728BA">
        <w:rPr>
          <w:lang w:val="de-DE"/>
        </w:rPr>
        <w:t>Die TWC</w:t>
      </w:r>
      <w:r w:rsidR="00EB33EB" w:rsidRPr="005728BA">
        <w:rPr>
          <w:lang w:val="de-DE"/>
        </w:rPr>
        <w:t xml:space="preserve"> </w:t>
      </w:r>
      <w:r w:rsidR="00543B0C" w:rsidRPr="005728BA">
        <w:rPr>
          <w:lang w:val="de-DE"/>
        </w:rPr>
        <w:t>nahm die Erläuterung</w:t>
      </w:r>
      <w:r w:rsidR="00722A9C" w:rsidRPr="00722A9C">
        <w:rPr>
          <w:lang w:val="de-DE"/>
        </w:rPr>
        <w:t xml:space="preserve"> </w:t>
      </w:r>
      <w:r w:rsidR="00722A9C" w:rsidRPr="005728BA">
        <w:rPr>
          <w:lang w:val="de-DE"/>
        </w:rPr>
        <w:t>zur Kenntnis</w:t>
      </w:r>
      <w:r w:rsidR="00543B0C" w:rsidRPr="005728BA">
        <w:rPr>
          <w:lang w:val="de-DE"/>
        </w:rPr>
        <w:t xml:space="preserve">, </w:t>
      </w:r>
      <w:proofErr w:type="spellStart"/>
      <w:r w:rsidR="00543B0C" w:rsidRPr="005728BA">
        <w:rPr>
          <w:lang w:val="de-DE"/>
        </w:rPr>
        <w:t>daß</w:t>
      </w:r>
      <w:proofErr w:type="spellEnd"/>
      <w:r w:rsidR="00543B0C" w:rsidRPr="005728BA">
        <w:rPr>
          <w:lang w:val="de-DE"/>
        </w:rPr>
        <w:t xml:space="preserve"> dieser Ansatz</w:t>
      </w:r>
      <w:r w:rsidR="00EB33EB" w:rsidRPr="005728BA">
        <w:rPr>
          <w:lang w:val="de-DE"/>
        </w:rPr>
        <w:t xml:space="preserve"> </w:t>
      </w:r>
      <w:r w:rsidR="00543B0C" w:rsidRPr="005728BA">
        <w:rPr>
          <w:lang w:val="de-DE"/>
        </w:rPr>
        <w:t>ein</w:t>
      </w:r>
      <w:r w:rsidR="00221F3C" w:rsidRPr="005728BA">
        <w:rPr>
          <w:lang w:val="de-DE"/>
        </w:rPr>
        <w:t>e</w:t>
      </w:r>
      <w:r w:rsidR="00543B0C" w:rsidRPr="005728BA">
        <w:rPr>
          <w:lang w:val="de-DE"/>
        </w:rPr>
        <w:t xml:space="preserve"> frühe Entscheidung</w:t>
      </w:r>
      <w:r w:rsidR="00EB33EB" w:rsidRPr="005728BA">
        <w:rPr>
          <w:lang w:val="de-DE" w:eastAsia="ja-JP"/>
        </w:rPr>
        <w:t xml:space="preserve"> </w:t>
      </w:r>
      <w:r w:rsidR="00543B0C" w:rsidRPr="005728BA">
        <w:rPr>
          <w:lang w:val="de-DE" w:eastAsia="ja-JP"/>
        </w:rPr>
        <w:t xml:space="preserve">über </w:t>
      </w:r>
      <w:r w:rsidR="00221F3C" w:rsidRPr="005728BA">
        <w:rPr>
          <w:lang w:val="de-DE"/>
        </w:rPr>
        <w:t>Homogenität</w:t>
      </w:r>
      <w:r w:rsidR="00EB33EB" w:rsidRPr="005728BA">
        <w:rPr>
          <w:lang w:val="de-DE"/>
        </w:rPr>
        <w:t xml:space="preserve"> </w:t>
      </w:r>
      <w:r w:rsidR="00722A9C" w:rsidRPr="005728BA">
        <w:rPr>
          <w:lang w:val="de-DE"/>
        </w:rPr>
        <w:t>ermöglicht</w:t>
      </w:r>
      <w:r w:rsidR="00221F3C" w:rsidRPr="005728BA">
        <w:rPr>
          <w:lang w:val="de-DE"/>
        </w:rPr>
        <w:t xml:space="preserve">, wenn die </w:t>
      </w:r>
      <w:r w:rsidR="000F603F" w:rsidRPr="005728BA">
        <w:rPr>
          <w:lang w:val="de-DE"/>
        </w:rPr>
        <w:t xml:space="preserve">Anzahl an </w:t>
      </w:r>
      <w:r w:rsidR="00221F3C" w:rsidRPr="005728BA">
        <w:rPr>
          <w:lang w:val="de-DE"/>
        </w:rPr>
        <w:t>Abweichern</w:t>
      </w:r>
      <w:r w:rsidR="00EB33EB" w:rsidRPr="005728BA">
        <w:rPr>
          <w:lang w:val="de-DE"/>
        </w:rPr>
        <w:t xml:space="preserve"> </w:t>
      </w:r>
      <w:r w:rsidR="00221F3C" w:rsidRPr="005728BA">
        <w:rPr>
          <w:lang w:val="de-DE"/>
        </w:rPr>
        <w:t>in einer Unterprobe</w:t>
      </w:r>
      <w:r w:rsidR="00EB33EB" w:rsidRPr="005728BA">
        <w:rPr>
          <w:lang w:val="de-DE"/>
        </w:rPr>
        <w:t xml:space="preserve"> </w:t>
      </w:r>
      <w:r w:rsidR="00221F3C" w:rsidRPr="005728BA">
        <w:rPr>
          <w:lang w:val="de-DE"/>
        </w:rPr>
        <w:t>größer ist als die zulässige Anzahl</w:t>
      </w:r>
      <w:r w:rsidR="00EB33EB" w:rsidRPr="005728BA">
        <w:rPr>
          <w:lang w:val="de-DE"/>
        </w:rPr>
        <w:t xml:space="preserve"> </w:t>
      </w:r>
      <w:r w:rsidR="00267CF8" w:rsidRPr="005728BA">
        <w:rPr>
          <w:lang w:val="de-DE"/>
        </w:rPr>
        <w:t xml:space="preserve">für die </w:t>
      </w:r>
      <w:r w:rsidR="00221F3C" w:rsidRPr="005728BA">
        <w:rPr>
          <w:lang w:val="de-DE"/>
        </w:rPr>
        <w:t xml:space="preserve">kombinierte Probe. </w:t>
      </w:r>
      <w:r w:rsidR="00D800D5" w:rsidRPr="005728BA">
        <w:rPr>
          <w:lang w:val="de-DE"/>
        </w:rPr>
        <w:t>Die TWC</w:t>
      </w:r>
      <w:r w:rsidR="00EB33EB" w:rsidRPr="005728BA">
        <w:rPr>
          <w:lang w:val="de-DE"/>
        </w:rPr>
        <w:t xml:space="preserve"> </w:t>
      </w:r>
      <w:r w:rsidR="00543B0C" w:rsidRPr="005728BA">
        <w:rPr>
          <w:lang w:val="de-DE"/>
        </w:rPr>
        <w:t xml:space="preserve">nahm </w:t>
      </w:r>
      <w:r w:rsidR="00722A9C">
        <w:rPr>
          <w:lang w:val="de-DE"/>
        </w:rPr>
        <w:t xml:space="preserve">auch </w:t>
      </w:r>
      <w:r w:rsidR="00543B0C" w:rsidRPr="005728BA">
        <w:rPr>
          <w:lang w:val="de-DE"/>
        </w:rPr>
        <w:t>die Erläuterung</w:t>
      </w:r>
      <w:r w:rsidR="00722A9C" w:rsidRPr="00722A9C">
        <w:rPr>
          <w:lang w:val="de-DE"/>
        </w:rPr>
        <w:t xml:space="preserve"> </w:t>
      </w:r>
      <w:r w:rsidR="00722A9C" w:rsidRPr="005728BA">
        <w:rPr>
          <w:lang w:val="de-DE"/>
        </w:rPr>
        <w:t>zur Kenntnis</w:t>
      </w:r>
      <w:r w:rsidR="00543B0C" w:rsidRPr="005728BA">
        <w:rPr>
          <w:lang w:val="de-DE"/>
        </w:rPr>
        <w:t xml:space="preserve">, </w:t>
      </w:r>
      <w:proofErr w:type="spellStart"/>
      <w:r w:rsidR="00543B0C" w:rsidRPr="005728BA">
        <w:rPr>
          <w:lang w:val="de-DE"/>
        </w:rPr>
        <w:t>daß</w:t>
      </w:r>
      <w:proofErr w:type="spellEnd"/>
      <w:r w:rsidR="00543B0C" w:rsidRPr="005728BA">
        <w:rPr>
          <w:lang w:val="de-DE"/>
        </w:rPr>
        <w:t xml:space="preserve"> dieser Ansatz</w:t>
      </w:r>
      <w:r w:rsidR="00EB33EB" w:rsidRPr="005728BA">
        <w:rPr>
          <w:lang w:val="de-DE"/>
        </w:rPr>
        <w:t xml:space="preserve"> </w:t>
      </w:r>
      <w:r w:rsidR="00221F3C" w:rsidRPr="005728BA">
        <w:rPr>
          <w:lang w:val="de-DE"/>
        </w:rPr>
        <w:t xml:space="preserve">den </w:t>
      </w:r>
      <w:r w:rsidR="00722A9C">
        <w:rPr>
          <w:lang w:val="de-DE"/>
        </w:rPr>
        <w:t>Fehler vom Typ 2</w:t>
      </w:r>
      <w:r w:rsidR="00221F3C" w:rsidRPr="005728BA">
        <w:rPr>
          <w:lang w:val="de-DE"/>
        </w:rPr>
        <w:t xml:space="preserve"> </w:t>
      </w:r>
      <w:r w:rsidR="00EB33EB" w:rsidRPr="005728BA">
        <w:rPr>
          <w:lang w:val="de-DE"/>
        </w:rPr>
        <w:t>(</w:t>
      </w:r>
      <w:r w:rsidR="00221F3C" w:rsidRPr="005728BA">
        <w:rPr>
          <w:lang w:val="de-DE"/>
        </w:rPr>
        <w:t>eine nicht homogene Sorte zu akzeptieren</w:t>
      </w:r>
      <w:r w:rsidR="00EB33EB" w:rsidRPr="005728BA">
        <w:rPr>
          <w:lang w:val="de-DE"/>
        </w:rPr>
        <w:t xml:space="preserve">) </w:t>
      </w:r>
      <w:r w:rsidR="00221F3C" w:rsidRPr="005728BA">
        <w:rPr>
          <w:lang w:val="de-DE"/>
        </w:rPr>
        <w:t>im Vergleich zu den anderen beiden in dem</w:t>
      </w:r>
      <w:r w:rsidR="00EB33EB" w:rsidRPr="005728BA">
        <w:rPr>
          <w:lang w:val="de-DE"/>
        </w:rPr>
        <w:t xml:space="preserve"> </w:t>
      </w:r>
      <w:r w:rsidR="00683A78" w:rsidRPr="005728BA">
        <w:rPr>
          <w:lang w:val="de-DE"/>
        </w:rPr>
        <w:t>Entwurf für eine Anleitung</w:t>
      </w:r>
      <w:r w:rsidR="00722A9C" w:rsidRPr="00722A9C">
        <w:rPr>
          <w:lang w:val="de-DE"/>
        </w:rPr>
        <w:t xml:space="preserve"> </w:t>
      </w:r>
      <w:r w:rsidR="00722A9C" w:rsidRPr="005728BA">
        <w:rPr>
          <w:lang w:val="de-DE"/>
        </w:rPr>
        <w:t>vorgelegten</w:t>
      </w:r>
      <w:r w:rsidR="00722A9C" w:rsidRPr="00722A9C">
        <w:rPr>
          <w:lang w:val="de-DE"/>
        </w:rPr>
        <w:t xml:space="preserve"> </w:t>
      </w:r>
      <w:r w:rsidR="00722A9C" w:rsidRPr="005728BA">
        <w:rPr>
          <w:lang w:val="de-DE"/>
        </w:rPr>
        <w:t>Ansätzen</w:t>
      </w:r>
      <w:r w:rsidR="00EB33EB" w:rsidRPr="005728BA">
        <w:rPr>
          <w:lang w:val="de-DE"/>
        </w:rPr>
        <w:t xml:space="preserve"> </w:t>
      </w:r>
      <w:r w:rsidR="00221F3C" w:rsidRPr="005728BA">
        <w:rPr>
          <w:lang w:val="de-DE"/>
        </w:rPr>
        <w:t>durch</w:t>
      </w:r>
      <w:r w:rsidR="00170C91">
        <w:rPr>
          <w:lang w:val="de-DE"/>
        </w:rPr>
        <w:t xml:space="preserve"> eine</w:t>
      </w:r>
      <w:r w:rsidR="00221F3C" w:rsidRPr="005728BA">
        <w:rPr>
          <w:lang w:val="de-DE"/>
        </w:rPr>
        <w:t xml:space="preserve"> Prüfung des Gesamtrisikos der kombinierten Proben anstatt</w:t>
      </w:r>
      <w:r w:rsidR="00EB33EB" w:rsidRPr="005728BA">
        <w:rPr>
          <w:lang w:val="de-DE"/>
        </w:rPr>
        <w:t xml:space="preserve"> </w:t>
      </w:r>
      <w:r w:rsidR="00221F3C" w:rsidRPr="005728BA">
        <w:rPr>
          <w:lang w:val="de-DE"/>
        </w:rPr>
        <w:t>der Risiken für jede Auswertungsphase</w:t>
      </w:r>
      <w:r w:rsidR="00EB33EB" w:rsidRPr="005728BA">
        <w:rPr>
          <w:lang w:val="de-DE"/>
        </w:rPr>
        <w:t xml:space="preserve"> separat</w:t>
      </w:r>
      <w:r w:rsidR="00F57940" w:rsidRPr="00F57940">
        <w:rPr>
          <w:lang w:val="de-DE"/>
        </w:rPr>
        <w:t xml:space="preserve"> </w:t>
      </w:r>
      <w:r w:rsidR="00F57940" w:rsidRPr="005728BA">
        <w:rPr>
          <w:lang w:val="de-DE"/>
        </w:rPr>
        <w:t>reduziert</w:t>
      </w:r>
      <w:r w:rsidR="00EB33EB" w:rsidRPr="005728BA">
        <w:rPr>
          <w:lang w:val="de-DE"/>
        </w:rPr>
        <w:t xml:space="preserve">.  </w:t>
      </w:r>
    </w:p>
    <w:p w:rsidR="00EB33EB" w:rsidRPr="005728BA" w:rsidRDefault="00EB33EB" w:rsidP="00EB33EB">
      <w:pPr>
        <w:rPr>
          <w:lang w:val="de-DE"/>
        </w:rPr>
      </w:pPr>
    </w:p>
    <w:p w:rsidR="00EB33EB" w:rsidRPr="005728BA" w:rsidRDefault="009738EA" w:rsidP="00C47E8F">
      <w:pPr>
        <w:rPr>
          <w:lang w:val="de-DE"/>
        </w:rPr>
      </w:pPr>
      <w:r w:rsidRPr="005728BA">
        <w:rPr>
          <w:snapToGrid w:val="0"/>
          <w:lang w:val="de-DE"/>
        </w:rPr>
        <w:fldChar w:fldCharType="begin"/>
      </w:r>
      <w:r w:rsidRPr="005728BA">
        <w:rPr>
          <w:snapToGrid w:val="0"/>
          <w:lang w:val="de-DE"/>
        </w:rPr>
        <w:instrText xml:space="preserve"> AUTONUM  </w:instrText>
      </w:r>
      <w:r w:rsidRPr="005728BA">
        <w:rPr>
          <w:snapToGrid w:val="0"/>
          <w:lang w:val="de-DE"/>
        </w:rPr>
        <w:fldChar w:fldCharType="end"/>
      </w:r>
      <w:r w:rsidRPr="005728BA">
        <w:rPr>
          <w:snapToGrid w:val="0"/>
          <w:lang w:val="de-DE"/>
        </w:rPr>
        <w:tab/>
      </w:r>
      <w:r w:rsidR="00D800D5" w:rsidRPr="005728BA">
        <w:rPr>
          <w:snapToGrid w:val="0"/>
          <w:lang w:val="de-DE"/>
        </w:rPr>
        <w:t>Die TWC</w:t>
      </w:r>
      <w:r w:rsidR="00EB33EB" w:rsidRPr="005728BA">
        <w:rPr>
          <w:snapToGrid w:val="0"/>
          <w:lang w:val="de-DE"/>
        </w:rPr>
        <w:t xml:space="preserve"> </w:t>
      </w:r>
      <w:r w:rsidR="00221F3C" w:rsidRPr="005728BA">
        <w:rPr>
          <w:lang w:val="de-DE"/>
        </w:rPr>
        <w:t xml:space="preserve">vereinbarte, </w:t>
      </w:r>
      <w:proofErr w:type="spellStart"/>
      <w:r w:rsidR="00221F3C" w:rsidRPr="005728BA">
        <w:rPr>
          <w:lang w:val="de-DE"/>
        </w:rPr>
        <w:t>daß</w:t>
      </w:r>
      <w:proofErr w:type="spellEnd"/>
      <w:r w:rsidR="00EB33EB" w:rsidRPr="005728BA">
        <w:rPr>
          <w:lang w:val="de-DE"/>
        </w:rPr>
        <w:t xml:space="preserve"> </w:t>
      </w:r>
      <w:r w:rsidR="00221F3C" w:rsidRPr="005728BA">
        <w:rPr>
          <w:lang w:val="de-DE"/>
        </w:rPr>
        <w:t>das Referat von den</w:t>
      </w:r>
      <w:r w:rsidR="00EB33EB" w:rsidRPr="005728BA">
        <w:rPr>
          <w:lang w:val="de-DE"/>
        </w:rPr>
        <w:t xml:space="preserve"> </w:t>
      </w:r>
      <w:r w:rsidR="00543B0C" w:rsidRPr="005728BA">
        <w:rPr>
          <w:lang w:val="de-DE"/>
        </w:rPr>
        <w:t>Sachverständigen</w:t>
      </w:r>
      <w:r w:rsidR="00EB33EB" w:rsidRPr="005728BA">
        <w:rPr>
          <w:lang w:val="de-DE"/>
        </w:rPr>
        <w:t xml:space="preserve"> </w:t>
      </w:r>
      <w:r w:rsidR="00543B0C" w:rsidRPr="005728BA">
        <w:rPr>
          <w:lang w:val="de-DE"/>
        </w:rPr>
        <w:t>aus Deutschland und dem Vereinigten Königreich</w:t>
      </w:r>
      <w:r w:rsidR="00EB33EB" w:rsidRPr="005728BA">
        <w:rPr>
          <w:lang w:val="de-DE"/>
        </w:rPr>
        <w:t xml:space="preserve"> </w:t>
      </w:r>
      <w:r w:rsidR="00221F3C" w:rsidRPr="005728BA">
        <w:rPr>
          <w:lang w:val="de-DE"/>
        </w:rPr>
        <w:t>den anderen</w:t>
      </w:r>
      <w:r w:rsidR="00EB33EB" w:rsidRPr="005728BA">
        <w:rPr>
          <w:lang w:val="de-DE"/>
        </w:rPr>
        <w:t xml:space="preserve"> TWP</w:t>
      </w:r>
      <w:r w:rsidR="00221F3C" w:rsidRPr="005728BA">
        <w:rPr>
          <w:lang w:val="de-DE"/>
        </w:rPr>
        <w:t xml:space="preserve"> zur </w:t>
      </w:r>
      <w:r w:rsidR="00722A9C">
        <w:rPr>
          <w:lang w:val="de-DE"/>
        </w:rPr>
        <w:t>Verfügung</w:t>
      </w:r>
      <w:r w:rsidR="00722A9C" w:rsidRPr="005728BA">
        <w:rPr>
          <w:lang w:val="de-DE"/>
        </w:rPr>
        <w:t xml:space="preserve"> </w:t>
      </w:r>
      <w:r w:rsidR="00221F3C" w:rsidRPr="005728BA">
        <w:rPr>
          <w:lang w:val="de-DE"/>
        </w:rPr>
        <w:t>gestellt werden sollte</w:t>
      </w:r>
      <w:r w:rsidRPr="005728BA">
        <w:rPr>
          <w:lang w:val="de-DE"/>
        </w:rPr>
        <w:t xml:space="preserve"> (</w:t>
      </w:r>
      <w:r w:rsidR="00D800D5" w:rsidRPr="005728BA">
        <w:rPr>
          <w:lang w:val="de-DE"/>
        </w:rPr>
        <w:t xml:space="preserve">vergleiche Dokument </w:t>
      </w:r>
      <w:r w:rsidRPr="005728BA">
        <w:rPr>
          <w:lang w:val="de-DE"/>
        </w:rPr>
        <w:t xml:space="preserve">TWC/33/30 </w:t>
      </w:r>
      <w:r w:rsidR="00B84A2B" w:rsidRPr="005728BA">
        <w:rPr>
          <w:lang w:val="de-DE"/>
        </w:rPr>
        <w:t>„Bericht</w:t>
      </w:r>
      <w:r w:rsidR="00AE6216" w:rsidRPr="005728BA">
        <w:rPr>
          <w:lang w:val="de-DE"/>
        </w:rPr>
        <w:t>“</w:t>
      </w:r>
      <w:r w:rsidRPr="005728BA">
        <w:rPr>
          <w:lang w:val="de-DE"/>
        </w:rPr>
        <w:t xml:space="preserve">, </w:t>
      </w:r>
      <w:r w:rsidR="00B84A2B" w:rsidRPr="005728BA">
        <w:rPr>
          <w:lang w:val="de-DE"/>
        </w:rPr>
        <w:t>Absätze</w:t>
      </w:r>
      <w:r w:rsidRPr="005728BA">
        <w:rPr>
          <w:lang w:val="de-DE"/>
        </w:rPr>
        <w:t xml:space="preserve"> 57 </w:t>
      </w:r>
      <w:r w:rsidR="00221F3C" w:rsidRPr="005728BA">
        <w:rPr>
          <w:lang w:val="de-DE"/>
        </w:rPr>
        <w:t>bis</w:t>
      </w:r>
      <w:r w:rsidRPr="005728BA">
        <w:rPr>
          <w:lang w:val="de-DE"/>
        </w:rPr>
        <w:t xml:space="preserve"> 61)</w:t>
      </w:r>
      <w:r w:rsidR="00EB33EB" w:rsidRPr="005728BA">
        <w:rPr>
          <w:lang w:val="de-DE"/>
        </w:rPr>
        <w:t xml:space="preserve">. </w:t>
      </w:r>
    </w:p>
    <w:p w:rsidR="00A52B4A" w:rsidRPr="005728BA" w:rsidRDefault="00A52B4A" w:rsidP="00EB33EB">
      <w:pPr>
        <w:pStyle w:val="Style1"/>
        <w:tabs>
          <w:tab w:val="clear" w:pos="907"/>
          <w:tab w:val="clear" w:pos="1077"/>
        </w:tabs>
        <w:rPr>
          <w:rFonts w:ascii="Arial" w:hAnsi="Arial" w:cs="Arial"/>
          <w:sz w:val="20"/>
          <w:szCs w:val="20"/>
          <w:lang w:val="de-DE"/>
        </w:rPr>
      </w:pPr>
    </w:p>
    <w:p w:rsidR="00EB33EB" w:rsidRPr="005728BA" w:rsidRDefault="00221F3C" w:rsidP="00C47E8F">
      <w:pPr>
        <w:pStyle w:val="Heading3"/>
        <w:rPr>
          <w:lang w:val="de-DE"/>
        </w:rPr>
      </w:pPr>
      <w:bookmarkStart w:id="13" w:name="_Toc442051960"/>
      <w:r w:rsidRPr="005728BA">
        <w:rPr>
          <w:lang w:val="de-DE"/>
        </w:rPr>
        <w:t>Technische Arbeitsgruppe für landwirtschaftliche Arten</w:t>
      </w:r>
      <w:bookmarkEnd w:id="13"/>
    </w:p>
    <w:p w:rsidR="00EB33EB" w:rsidRPr="005728BA" w:rsidRDefault="00EB33EB" w:rsidP="00EB33EB">
      <w:pPr>
        <w:pStyle w:val="Style1"/>
        <w:tabs>
          <w:tab w:val="clear" w:pos="907"/>
          <w:tab w:val="clear" w:pos="1077"/>
        </w:tabs>
        <w:rPr>
          <w:rFonts w:ascii="Arial" w:hAnsi="Arial" w:cs="Arial"/>
          <w:sz w:val="20"/>
          <w:szCs w:val="20"/>
          <w:lang w:val="de-DE"/>
        </w:rPr>
      </w:pPr>
    </w:p>
    <w:p w:rsidR="00C47E8F" w:rsidRPr="005728BA" w:rsidRDefault="00C47E8F" w:rsidP="00D74F07">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D74F07" w:rsidRPr="005728BA">
        <w:rPr>
          <w:snapToGrid w:val="0"/>
          <w:lang w:val="de-DE"/>
        </w:rPr>
        <w:t xml:space="preserve">Die TWA prüfte auf ihrer vierundvierzigsten Tagung vom 6. bis 10. Juli 2015 in Obihiro, Japan, Dokument </w:t>
      </w:r>
      <w:r w:rsidRPr="005728BA">
        <w:rPr>
          <w:snapToGrid w:val="0"/>
          <w:lang w:val="de-DE"/>
        </w:rPr>
        <w:t>TW</w:t>
      </w:r>
      <w:r w:rsidR="000C5373" w:rsidRPr="005728BA">
        <w:rPr>
          <w:snapToGrid w:val="0"/>
          <w:lang w:val="de-DE"/>
        </w:rPr>
        <w:t>A</w:t>
      </w:r>
      <w:r w:rsidRPr="005728BA">
        <w:rPr>
          <w:snapToGrid w:val="0"/>
          <w:lang w:val="de-DE"/>
        </w:rPr>
        <w:t>/</w:t>
      </w:r>
      <w:r w:rsidR="000C5373" w:rsidRPr="005728BA">
        <w:rPr>
          <w:snapToGrid w:val="0"/>
          <w:lang w:val="de-DE"/>
        </w:rPr>
        <w:t>44</w:t>
      </w:r>
      <w:r w:rsidRPr="005728BA">
        <w:rPr>
          <w:snapToGrid w:val="0"/>
          <w:lang w:val="de-DE"/>
        </w:rPr>
        <w:t xml:space="preserve">/9 </w:t>
      </w:r>
      <w:r w:rsidR="00D800D5" w:rsidRPr="005728BA">
        <w:rPr>
          <w:lang w:val="de-DE"/>
        </w:rPr>
        <w:t>„Überarbeitung von</w:t>
      </w:r>
      <w:r w:rsidR="00267CF8" w:rsidRPr="005728BA">
        <w:rPr>
          <w:lang w:val="de-DE"/>
        </w:rPr>
        <w:t xml:space="preserve"> Dokument</w:t>
      </w:r>
      <w:r w:rsidRPr="005728BA">
        <w:rPr>
          <w:lang w:val="de-DE"/>
        </w:rPr>
        <w:t xml:space="preserve"> TGP/10: </w:t>
      </w:r>
      <w:r w:rsidR="00683A78" w:rsidRPr="005728BA">
        <w:rPr>
          <w:lang w:val="de-DE"/>
        </w:rPr>
        <w:t>Neuer Abschnitt</w:t>
      </w:r>
      <w:r w:rsidRPr="005728BA">
        <w:rPr>
          <w:lang w:val="de-DE"/>
        </w:rPr>
        <w:t xml:space="preserve">: </w:t>
      </w:r>
      <w:r w:rsidR="007C2800" w:rsidRPr="005728BA">
        <w:rPr>
          <w:lang w:val="de-DE"/>
        </w:rPr>
        <w:t xml:space="preserve">Prüfung der Homogenität anhand von Abweichern aufgrund von mehr als einer Wachstumsperiode </w:t>
      </w:r>
      <w:r w:rsidR="00D800D5" w:rsidRPr="005728BA">
        <w:rPr>
          <w:lang w:val="de-DE"/>
        </w:rPr>
        <w:t>oder aufgrund von Unterproben</w:t>
      </w:r>
      <w:r w:rsidR="00170C91">
        <w:rPr>
          <w:lang w:val="de-DE"/>
        </w:rPr>
        <w:t>“</w:t>
      </w:r>
      <w:r w:rsidRPr="005728BA">
        <w:rPr>
          <w:lang w:val="de-DE"/>
        </w:rPr>
        <w:t>.</w:t>
      </w:r>
    </w:p>
    <w:p w:rsidR="00C47E8F" w:rsidRPr="005728BA" w:rsidRDefault="00C47E8F" w:rsidP="00EB33EB">
      <w:pPr>
        <w:rPr>
          <w:lang w:val="de-DE"/>
        </w:rPr>
      </w:pPr>
    </w:p>
    <w:p w:rsidR="00EB33EB" w:rsidRPr="005728BA" w:rsidRDefault="00C47E8F" w:rsidP="00EB33EB">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267CF8" w:rsidRPr="005728BA">
        <w:rPr>
          <w:lang w:val="de-DE"/>
        </w:rPr>
        <w:t xml:space="preserve">Die TWA </w:t>
      </w:r>
      <w:r w:rsidR="00D91ED1" w:rsidRPr="005728BA">
        <w:rPr>
          <w:lang w:val="de-DE"/>
        </w:rPr>
        <w:t>vereinbarte,</w:t>
      </w:r>
      <w:r w:rsidR="00EB33EB" w:rsidRPr="005728BA">
        <w:rPr>
          <w:lang w:val="de-DE"/>
        </w:rPr>
        <w:t xml:space="preserve"> </w:t>
      </w:r>
      <w:proofErr w:type="spellStart"/>
      <w:r w:rsidR="009D6210" w:rsidRPr="005728BA">
        <w:rPr>
          <w:lang w:val="de-DE"/>
        </w:rPr>
        <w:t>daß</w:t>
      </w:r>
      <w:proofErr w:type="spellEnd"/>
      <w:r w:rsidR="009D6210" w:rsidRPr="005728BA">
        <w:rPr>
          <w:lang w:val="de-DE"/>
        </w:rPr>
        <w:t xml:space="preserve"> der </w:t>
      </w:r>
      <w:r w:rsidR="00683A78" w:rsidRPr="005728BA">
        <w:rPr>
          <w:lang w:val="de-DE"/>
        </w:rPr>
        <w:t>Entwurf für eine Anleitung</w:t>
      </w:r>
      <w:r w:rsidR="00EB33EB" w:rsidRPr="005728BA">
        <w:rPr>
          <w:lang w:val="de-DE"/>
        </w:rPr>
        <w:t xml:space="preserve"> </w:t>
      </w:r>
      <w:r w:rsidR="007C2800" w:rsidRPr="005728BA">
        <w:rPr>
          <w:lang w:val="de-DE"/>
        </w:rPr>
        <w:t>zur Aufnahme in eine künftige</w:t>
      </w:r>
      <w:r w:rsidR="00EB33EB" w:rsidRPr="005728BA">
        <w:rPr>
          <w:lang w:val="de-DE"/>
        </w:rPr>
        <w:t xml:space="preserve"> </w:t>
      </w:r>
      <w:r w:rsidR="00267CF8" w:rsidRPr="005728BA">
        <w:rPr>
          <w:lang w:val="de-DE"/>
        </w:rPr>
        <w:t>Überarbeitung von Dokument</w:t>
      </w:r>
      <w:r w:rsidR="00EB33EB" w:rsidRPr="005728BA">
        <w:rPr>
          <w:lang w:val="de-DE"/>
        </w:rPr>
        <w:t xml:space="preserve"> TGP/10, </w:t>
      </w:r>
      <w:r w:rsidR="00267CF8" w:rsidRPr="005728BA">
        <w:rPr>
          <w:lang w:val="de-DE"/>
        </w:rPr>
        <w:t xml:space="preserve">wie </w:t>
      </w:r>
      <w:r w:rsidR="00EB33EB" w:rsidRPr="005728BA">
        <w:rPr>
          <w:lang w:val="de-DE"/>
        </w:rPr>
        <w:t xml:space="preserve">in </w:t>
      </w:r>
      <w:r w:rsidR="00683A78" w:rsidRPr="005728BA">
        <w:rPr>
          <w:lang w:val="de-DE"/>
        </w:rPr>
        <w:t>Dokument</w:t>
      </w:r>
      <w:r w:rsidR="00EB33EB" w:rsidRPr="005728BA">
        <w:rPr>
          <w:lang w:val="de-DE"/>
        </w:rPr>
        <w:t xml:space="preserve"> TWA/44/9</w:t>
      </w:r>
      <w:r w:rsidR="00722A9C">
        <w:rPr>
          <w:lang w:val="de-DE"/>
        </w:rPr>
        <w:t>,</w:t>
      </w:r>
      <w:r w:rsidR="00EB33EB" w:rsidRPr="005728BA">
        <w:rPr>
          <w:lang w:val="de-DE"/>
        </w:rPr>
        <w:t xml:space="preserve"> </w:t>
      </w:r>
      <w:r w:rsidR="00D64CD2" w:rsidRPr="005728BA">
        <w:rPr>
          <w:lang w:val="de-DE"/>
        </w:rPr>
        <w:t>Anlage</w:t>
      </w:r>
      <w:r w:rsidR="00EB33EB" w:rsidRPr="005728BA">
        <w:rPr>
          <w:lang w:val="de-DE"/>
        </w:rPr>
        <w:t xml:space="preserve"> I</w:t>
      </w:r>
      <w:r w:rsidR="00722A9C" w:rsidRPr="00722A9C">
        <w:rPr>
          <w:lang w:val="de-DE"/>
        </w:rPr>
        <w:t xml:space="preserve"> </w:t>
      </w:r>
      <w:r w:rsidR="00722A9C" w:rsidRPr="005728BA">
        <w:rPr>
          <w:lang w:val="de-DE"/>
        </w:rPr>
        <w:t>dargelegt</w:t>
      </w:r>
      <w:r w:rsidR="00170C91">
        <w:rPr>
          <w:lang w:val="de-DE"/>
        </w:rPr>
        <w:t>,</w:t>
      </w:r>
      <w:r w:rsidR="00EB33EB" w:rsidRPr="005728BA">
        <w:rPr>
          <w:lang w:val="de-DE"/>
        </w:rPr>
        <w:t xml:space="preserve">, </w:t>
      </w:r>
      <w:r w:rsidR="009D6210" w:rsidRPr="005728BA">
        <w:rPr>
          <w:lang w:val="de-DE"/>
        </w:rPr>
        <w:t xml:space="preserve">unter Berücksichtigung der von den </w:t>
      </w:r>
      <w:r w:rsidR="00D800D5" w:rsidRPr="005728BA">
        <w:rPr>
          <w:lang w:val="de-DE"/>
        </w:rPr>
        <w:t>TWC</w:t>
      </w:r>
      <w:r w:rsidR="00722A9C" w:rsidRPr="00722A9C">
        <w:rPr>
          <w:lang w:val="de-DE"/>
        </w:rPr>
        <w:t xml:space="preserve"> </w:t>
      </w:r>
      <w:r w:rsidR="00722A9C" w:rsidRPr="005728BA">
        <w:rPr>
          <w:lang w:val="de-DE"/>
        </w:rPr>
        <w:t>bereitgestellten</w:t>
      </w:r>
      <w:r w:rsidR="00722A9C" w:rsidRPr="00722A9C">
        <w:rPr>
          <w:lang w:val="de-DE"/>
        </w:rPr>
        <w:t xml:space="preserve"> </w:t>
      </w:r>
      <w:r w:rsidR="00722A9C" w:rsidRPr="005728BA">
        <w:rPr>
          <w:lang w:val="de-DE"/>
        </w:rPr>
        <w:t>Information</w:t>
      </w:r>
      <w:r w:rsidR="00EB33EB" w:rsidRPr="005728BA">
        <w:rPr>
          <w:lang w:val="de-DE"/>
        </w:rPr>
        <w:t xml:space="preserve"> </w:t>
      </w:r>
      <w:r w:rsidR="009D6210" w:rsidRPr="005728BA">
        <w:rPr>
          <w:lang w:val="de-DE"/>
        </w:rPr>
        <w:t xml:space="preserve">über </w:t>
      </w:r>
      <w:r w:rsidR="009D6210" w:rsidRPr="00F57940">
        <w:rPr>
          <w:lang w:val="de-DE"/>
        </w:rPr>
        <w:t>den vorgeschlagenen</w:t>
      </w:r>
      <w:r w:rsidR="00EB33EB" w:rsidRPr="00F57940">
        <w:rPr>
          <w:lang w:val="de-DE"/>
        </w:rPr>
        <w:t xml:space="preserve"> </w:t>
      </w:r>
      <w:r w:rsidR="00267CF8" w:rsidRPr="00F57940">
        <w:rPr>
          <w:lang w:val="de-DE"/>
        </w:rPr>
        <w:t>„Ansatz</w:t>
      </w:r>
      <w:r w:rsidR="00EB33EB" w:rsidRPr="00F57940">
        <w:rPr>
          <w:lang w:val="de-DE"/>
        </w:rPr>
        <w:t xml:space="preserve"> 3: </w:t>
      </w:r>
      <w:r w:rsidR="00267CF8" w:rsidRPr="00F57940">
        <w:rPr>
          <w:lang w:val="de-DE"/>
        </w:rPr>
        <w:t>Kombination der Ergebnisse aus zwei Wachstumsperioden</w:t>
      </w:r>
      <w:r w:rsidR="00EB33EB" w:rsidRPr="00F57940">
        <w:rPr>
          <w:lang w:val="de-DE"/>
        </w:rPr>
        <w:t>”</w:t>
      </w:r>
      <w:r w:rsidR="00D800D5" w:rsidRPr="00F57940">
        <w:rPr>
          <w:lang w:val="de-DE"/>
        </w:rPr>
        <w:t xml:space="preserve"> und </w:t>
      </w:r>
      <w:r w:rsidR="009D6210" w:rsidRPr="00F57940">
        <w:rPr>
          <w:lang w:val="de-DE"/>
        </w:rPr>
        <w:t>de</w:t>
      </w:r>
      <w:r w:rsidR="00170C91">
        <w:rPr>
          <w:lang w:val="de-DE"/>
        </w:rPr>
        <w:t>n</w:t>
      </w:r>
      <w:r w:rsidR="009D6210" w:rsidRPr="00F57940">
        <w:rPr>
          <w:lang w:val="de-DE"/>
        </w:rPr>
        <w:t xml:space="preserve"> Vergleich zwischen dem Gesamtrisiko der kombinierten Proben und dem Risiko für jede Auswertungsphase separat</w:t>
      </w:r>
      <w:r w:rsidR="00F57940" w:rsidRPr="00F57940">
        <w:rPr>
          <w:lang w:val="de-DE"/>
        </w:rPr>
        <w:t xml:space="preserve"> weiterentwickelt werden sollte</w:t>
      </w:r>
      <w:r w:rsidR="00EB33EB" w:rsidRPr="00F57940">
        <w:rPr>
          <w:lang w:val="de-DE"/>
        </w:rPr>
        <w:t xml:space="preserve">. </w:t>
      </w:r>
      <w:r w:rsidR="00267CF8" w:rsidRPr="00F57940">
        <w:rPr>
          <w:lang w:val="de-DE"/>
        </w:rPr>
        <w:t>Die TWA vereinbart</w:t>
      </w:r>
      <w:r w:rsidR="009D6210" w:rsidRPr="00F57940">
        <w:rPr>
          <w:lang w:val="de-DE"/>
        </w:rPr>
        <w:t>e</w:t>
      </w:r>
      <w:r w:rsidR="00267CF8" w:rsidRPr="00F57940">
        <w:rPr>
          <w:lang w:val="de-DE"/>
        </w:rPr>
        <w:t>,</w:t>
      </w:r>
      <w:r w:rsidR="00EB33EB" w:rsidRPr="00F57940">
        <w:rPr>
          <w:lang w:val="de-DE"/>
        </w:rPr>
        <w:t xml:space="preserve"> </w:t>
      </w:r>
      <w:r w:rsidR="00267CF8" w:rsidRPr="00F57940">
        <w:rPr>
          <w:lang w:val="de-DE"/>
        </w:rPr>
        <w:t>um eine Videoverbindung mit den Sachverständigen der TWC</w:t>
      </w:r>
      <w:r w:rsidR="00EB33EB" w:rsidRPr="00F57940">
        <w:rPr>
          <w:lang w:val="de-DE"/>
        </w:rPr>
        <w:t xml:space="preserve"> </w:t>
      </w:r>
      <w:r w:rsidR="009D6210" w:rsidRPr="00F57940">
        <w:rPr>
          <w:lang w:val="de-DE"/>
        </w:rPr>
        <w:t>zu ersuchen, um den vorgeschlagenen</w:t>
      </w:r>
      <w:r w:rsidR="009D6210" w:rsidRPr="005728BA">
        <w:rPr>
          <w:lang w:val="de-DE"/>
        </w:rPr>
        <w:t xml:space="preserve"> </w:t>
      </w:r>
      <w:r w:rsidR="00267CF8" w:rsidRPr="005728BA">
        <w:rPr>
          <w:lang w:val="de-DE"/>
        </w:rPr>
        <w:t>„Ansatz</w:t>
      </w:r>
      <w:r w:rsidR="00EB33EB" w:rsidRPr="005728BA">
        <w:rPr>
          <w:lang w:val="de-DE"/>
        </w:rPr>
        <w:t xml:space="preserve"> 3</w:t>
      </w:r>
      <w:r w:rsidR="00F57940">
        <w:rPr>
          <w:lang w:val="de-DE"/>
        </w:rPr>
        <w:t>“</w:t>
      </w:r>
      <w:r w:rsidR="00722A9C" w:rsidRPr="00722A9C">
        <w:rPr>
          <w:lang w:val="de-DE"/>
        </w:rPr>
        <w:t xml:space="preserve"> </w:t>
      </w:r>
      <w:r w:rsidR="00722A9C" w:rsidRPr="005728BA">
        <w:rPr>
          <w:lang w:val="de-DE"/>
        </w:rPr>
        <w:t>zu erörtern</w:t>
      </w:r>
      <w:r w:rsidR="00EB33EB" w:rsidRPr="005728BA">
        <w:rPr>
          <w:lang w:val="de-DE"/>
        </w:rPr>
        <w:t>.</w:t>
      </w:r>
    </w:p>
    <w:p w:rsidR="00EB33EB" w:rsidRPr="005728BA" w:rsidRDefault="00EB33EB" w:rsidP="00EB33EB">
      <w:pPr>
        <w:rPr>
          <w:lang w:val="de-DE"/>
        </w:rPr>
      </w:pPr>
    </w:p>
    <w:p w:rsidR="00EB33EB" w:rsidRPr="005728BA" w:rsidRDefault="000C5373" w:rsidP="00EB33EB">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267CF8" w:rsidRPr="005728BA">
        <w:rPr>
          <w:lang w:val="de-DE"/>
        </w:rPr>
        <w:t>Die TWA vereinbart</w:t>
      </w:r>
      <w:r w:rsidR="009D6210" w:rsidRPr="005728BA">
        <w:rPr>
          <w:lang w:val="de-DE"/>
        </w:rPr>
        <w:t>e</w:t>
      </w:r>
      <w:r w:rsidR="00267CF8" w:rsidRPr="005728BA">
        <w:rPr>
          <w:lang w:val="de-DE"/>
        </w:rPr>
        <w:t>,</w:t>
      </w:r>
      <w:r w:rsidR="00EB33EB" w:rsidRPr="005728BA">
        <w:rPr>
          <w:lang w:val="de-DE"/>
        </w:rPr>
        <w:t xml:space="preserve"> </w:t>
      </w:r>
      <w:r w:rsidR="009D6210" w:rsidRPr="005728BA">
        <w:rPr>
          <w:lang w:val="de-DE"/>
        </w:rPr>
        <w:t xml:space="preserve">vorzuschlagen, </w:t>
      </w:r>
      <w:r w:rsidR="00F57940">
        <w:rPr>
          <w:lang w:val="de-DE"/>
        </w:rPr>
        <w:t>den ersten</w:t>
      </w:r>
      <w:r w:rsidR="009D6210" w:rsidRPr="005728BA">
        <w:rPr>
          <w:lang w:val="de-DE"/>
        </w:rPr>
        <w:t xml:space="preserve"> Satz</w:t>
      </w:r>
      <w:r w:rsidR="00EB33EB" w:rsidRPr="005728BA">
        <w:rPr>
          <w:lang w:val="de-DE"/>
        </w:rPr>
        <w:t xml:space="preserve"> in </w:t>
      </w:r>
      <w:r w:rsidR="00D64CD2" w:rsidRPr="005728BA">
        <w:rPr>
          <w:lang w:val="de-DE"/>
        </w:rPr>
        <w:t>Anlage</w:t>
      </w:r>
      <w:r w:rsidR="00EB33EB" w:rsidRPr="005728BA">
        <w:rPr>
          <w:lang w:val="de-DE"/>
        </w:rPr>
        <w:t xml:space="preserve"> I </w:t>
      </w:r>
      <w:r w:rsidR="009D6210" w:rsidRPr="005728BA">
        <w:rPr>
          <w:lang w:val="de-DE"/>
        </w:rPr>
        <w:t>folgendermaßen zu ändern</w:t>
      </w:r>
      <w:r w:rsidR="00EB33EB" w:rsidRPr="005728BA">
        <w:rPr>
          <w:lang w:val="de-DE"/>
        </w:rPr>
        <w:t xml:space="preserve">: </w:t>
      </w:r>
      <w:r w:rsidR="00AE6216" w:rsidRPr="005728BA">
        <w:rPr>
          <w:lang w:val="de-DE"/>
        </w:rPr>
        <w:t>„</w:t>
      </w:r>
      <w:r w:rsidR="009D6210" w:rsidRPr="005728BA">
        <w:rPr>
          <w:lang w:val="de-DE"/>
        </w:rPr>
        <w:t>gemäß Dokument TGP/8 Teil I, Abschnitte 1.2 und 1.3</w:t>
      </w:r>
      <w:r w:rsidR="00170C91">
        <w:rPr>
          <w:lang w:val="de-DE"/>
        </w:rPr>
        <w:t>,</w:t>
      </w:r>
      <w:r w:rsidR="00F57940">
        <w:rPr>
          <w:lang w:val="de-DE"/>
        </w:rPr>
        <w:t xml:space="preserve"> </w:t>
      </w:r>
      <w:r w:rsidR="00F57940" w:rsidRPr="005728BA">
        <w:rPr>
          <w:lang w:val="de-DE"/>
        </w:rPr>
        <w:t>könnten</w:t>
      </w:r>
      <w:r w:rsidR="009D6210" w:rsidRPr="005728BA">
        <w:rPr>
          <w:lang w:val="de-DE"/>
        </w:rPr>
        <w:t xml:space="preserve"> zwei unabhängige Wachstumsperioden an einem Prüfungsort in verschiedenen Jahren oder an verschiedenen Prüfungsorten im selben Jahr stattfinden.“</w:t>
      </w:r>
    </w:p>
    <w:p w:rsidR="00EB33EB" w:rsidRPr="005728BA" w:rsidRDefault="00EB33EB" w:rsidP="00EB33EB">
      <w:pPr>
        <w:rPr>
          <w:lang w:val="de-DE"/>
        </w:rPr>
      </w:pPr>
    </w:p>
    <w:p w:rsidR="00EB33EB" w:rsidRPr="005728BA" w:rsidRDefault="000C5373" w:rsidP="00EB33EB">
      <w:pPr>
        <w:rPr>
          <w:rFonts w:eastAsia="SimSun"/>
          <w:lang w:val="de-DE" w:eastAsia="zh-CN"/>
        </w:rPr>
      </w:pPr>
      <w:r w:rsidRPr="005728BA">
        <w:rPr>
          <w:rFonts w:eastAsia="SimSun"/>
          <w:lang w:val="de-DE" w:eastAsia="zh-CN"/>
        </w:rPr>
        <w:fldChar w:fldCharType="begin"/>
      </w:r>
      <w:r w:rsidRPr="005728BA">
        <w:rPr>
          <w:rFonts w:eastAsia="SimSun"/>
          <w:lang w:val="de-DE" w:eastAsia="zh-CN"/>
        </w:rPr>
        <w:instrText xml:space="preserve"> AUTONUM  </w:instrText>
      </w:r>
      <w:r w:rsidRPr="005728BA">
        <w:rPr>
          <w:rFonts w:eastAsia="SimSun"/>
          <w:lang w:val="de-DE" w:eastAsia="zh-CN"/>
        </w:rPr>
        <w:fldChar w:fldCharType="end"/>
      </w:r>
      <w:r w:rsidRPr="005728BA">
        <w:rPr>
          <w:rFonts w:eastAsia="SimSun"/>
          <w:lang w:val="de-DE" w:eastAsia="zh-CN"/>
        </w:rPr>
        <w:tab/>
      </w:r>
      <w:r w:rsidR="00EB33EB" w:rsidRPr="005728BA">
        <w:rPr>
          <w:lang w:val="de-DE"/>
        </w:rPr>
        <w:t xml:space="preserve">The TWA </w:t>
      </w:r>
      <w:r w:rsidR="00D800D5" w:rsidRPr="005728BA">
        <w:rPr>
          <w:lang w:val="de-DE"/>
        </w:rPr>
        <w:t xml:space="preserve">prüfte den </w:t>
      </w:r>
      <w:r w:rsidR="00EB33EB" w:rsidRPr="005728BA">
        <w:rPr>
          <w:lang w:val="de-DE"/>
        </w:rPr>
        <w:t xml:space="preserve">in </w:t>
      </w:r>
      <w:r w:rsidR="00683A78" w:rsidRPr="005728BA">
        <w:rPr>
          <w:lang w:val="de-DE"/>
        </w:rPr>
        <w:t>Dokument</w:t>
      </w:r>
      <w:r w:rsidR="00EB33EB" w:rsidRPr="005728BA">
        <w:rPr>
          <w:lang w:val="de-DE"/>
        </w:rPr>
        <w:t xml:space="preserve"> TWA/44/9</w:t>
      </w:r>
      <w:r w:rsidR="00722A9C">
        <w:rPr>
          <w:lang w:val="de-DE"/>
        </w:rPr>
        <w:t>,</w:t>
      </w:r>
      <w:r w:rsidR="00EB33EB" w:rsidRPr="005728BA">
        <w:rPr>
          <w:lang w:val="de-DE"/>
        </w:rPr>
        <w:t xml:space="preserve"> </w:t>
      </w:r>
      <w:r w:rsidR="00D64CD2" w:rsidRPr="005728BA">
        <w:rPr>
          <w:lang w:val="de-DE"/>
        </w:rPr>
        <w:t>Anlage</w:t>
      </w:r>
      <w:r w:rsidR="00EB33EB" w:rsidRPr="005728BA">
        <w:rPr>
          <w:lang w:val="de-DE"/>
        </w:rPr>
        <w:t xml:space="preserve"> I,</w:t>
      </w:r>
      <w:r w:rsidR="00722A9C">
        <w:rPr>
          <w:lang w:val="de-DE"/>
        </w:rPr>
        <w:t xml:space="preserve"> dargelegten</w:t>
      </w:r>
      <w:r w:rsidR="00EB33EB" w:rsidRPr="005728BA">
        <w:rPr>
          <w:lang w:val="de-DE"/>
        </w:rPr>
        <w:t xml:space="preserve"> </w:t>
      </w:r>
      <w:r w:rsidR="00722A9C" w:rsidRPr="005728BA">
        <w:rPr>
          <w:lang w:val="de-DE"/>
        </w:rPr>
        <w:t xml:space="preserve">Entwurf für eine Anleitung </w:t>
      </w:r>
      <w:r w:rsidR="00722A9C">
        <w:rPr>
          <w:lang w:val="de-DE"/>
        </w:rPr>
        <w:t>für die</w:t>
      </w:r>
      <w:r w:rsidR="00EB33EB" w:rsidRPr="005728BA">
        <w:rPr>
          <w:lang w:val="de-DE"/>
        </w:rPr>
        <w:t xml:space="preserve"> </w:t>
      </w:r>
      <w:r w:rsidR="00D91ED1" w:rsidRPr="005728BA">
        <w:rPr>
          <w:lang w:val="de-DE"/>
        </w:rPr>
        <w:t>Möglichkeit der Zurückweisung einer Sorte nach einer einzigen Wachstumsperiode aufgrund fehlender Homogenität</w:t>
      </w:r>
      <w:r w:rsidR="00EB33EB" w:rsidRPr="005728BA">
        <w:rPr>
          <w:lang w:val="de-DE"/>
        </w:rPr>
        <w:t xml:space="preserve">. </w:t>
      </w:r>
      <w:r w:rsidR="00267CF8" w:rsidRPr="005728BA">
        <w:rPr>
          <w:rFonts w:eastAsia="SimSun"/>
          <w:lang w:val="de-DE" w:eastAsia="zh-CN"/>
        </w:rPr>
        <w:t xml:space="preserve">Die TWA </w:t>
      </w:r>
      <w:r w:rsidR="00D91ED1" w:rsidRPr="005728BA">
        <w:rPr>
          <w:rFonts w:eastAsia="SimSun"/>
          <w:lang w:val="de-DE" w:eastAsia="zh-CN"/>
        </w:rPr>
        <w:t xml:space="preserve">vereinbarte, </w:t>
      </w:r>
      <w:proofErr w:type="spellStart"/>
      <w:r w:rsidR="00D91ED1" w:rsidRPr="005728BA">
        <w:rPr>
          <w:rFonts w:eastAsia="SimSun"/>
          <w:lang w:val="de-DE" w:eastAsia="zh-CN"/>
        </w:rPr>
        <w:t>daß</w:t>
      </w:r>
      <w:proofErr w:type="spellEnd"/>
      <w:r w:rsidR="00D91ED1" w:rsidRPr="005728BA">
        <w:rPr>
          <w:rFonts w:eastAsia="SimSun"/>
          <w:lang w:val="de-DE" w:eastAsia="zh-CN"/>
        </w:rPr>
        <w:t xml:space="preserve"> eine Sorte nicht zurückgewiesen werden sollte, wenn </w:t>
      </w:r>
      <w:r w:rsidR="00722A9C">
        <w:rPr>
          <w:rFonts w:eastAsia="SimSun"/>
          <w:lang w:val="de-DE" w:eastAsia="zh-CN"/>
        </w:rPr>
        <w:t>der</w:t>
      </w:r>
      <w:r w:rsidR="00722A9C" w:rsidRPr="005728BA">
        <w:rPr>
          <w:rFonts w:eastAsia="SimSun"/>
          <w:lang w:val="de-DE" w:eastAsia="zh-CN"/>
        </w:rPr>
        <w:t xml:space="preserve"> </w:t>
      </w:r>
      <w:r w:rsidR="00D91ED1" w:rsidRPr="005728BA">
        <w:rPr>
          <w:rFonts w:eastAsia="SimSun"/>
          <w:lang w:val="de-DE" w:eastAsia="zh-CN"/>
        </w:rPr>
        <w:t>Homogenitätsstandard</w:t>
      </w:r>
      <w:r w:rsidR="00EB33EB" w:rsidRPr="005728BA">
        <w:rPr>
          <w:rFonts w:eastAsia="SimSun"/>
          <w:lang w:val="de-DE" w:eastAsia="zh-CN"/>
        </w:rPr>
        <w:t xml:space="preserve"> </w:t>
      </w:r>
      <w:r w:rsidR="00D91ED1" w:rsidRPr="005728BA">
        <w:rPr>
          <w:rFonts w:eastAsia="SimSun"/>
          <w:lang w:val="de-DE" w:eastAsia="zh-CN"/>
        </w:rPr>
        <w:t xml:space="preserve">im ersten Jahr leicht überschritten </w:t>
      </w:r>
      <w:r w:rsidR="00722A9C">
        <w:rPr>
          <w:rFonts w:eastAsia="SimSun"/>
          <w:lang w:val="de-DE" w:eastAsia="zh-CN"/>
        </w:rPr>
        <w:t>wird</w:t>
      </w:r>
      <w:r w:rsidR="00EB33EB" w:rsidRPr="005728BA">
        <w:rPr>
          <w:rFonts w:eastAsia="SimSun"/>
          <w:lang w:val="de-DE" w:eastAsia="zh-CN"/>
        </w:rPr>
        <w:t xml:space="preserve">. </w:t>
      </w:r>
      <w:r w:rsidR="00D91ED1" w:rsidRPr="005728BA">
        <w:rPr>
          <w:rFonts w:eastAsia="SimSun"/>
          <w:lang w:val="de-DE" w:eastAsia="zh-CN"/>
        </w:rPr>
        <w:t>Diese</w:t>
      </w:r>
      <w:r w:rsidR="00EB33EB" w:rsidRPr="005728BA">
        <w:rPr>
          <w:rFonts w:eastAsia="SimSun"/>
          <w:lang w:val="de-DE" w:eastAsia="zh-CN"/>
        </w:rPr>
        <w:t xml:space="preserve"> </w:t>
      </w:r>
      <w:r w:rsidR="00D91ED1" w:rsidRPr="005728BA">
        <w:rPr>
          <w:rFonts w:eastAsia="SimSun"/>
          <w:lang w:val="de-DE" w:eastAsia="zh-CN"/>
        </w:rPr>
        <w:t>Möglichkeit</w:t>
      </w:r>
      <w:r w:rsidR="00EB33EB" w:rsidRPr="005728BA">
        <w:rPr>
          <w:rFonts w:eastAsia="SimSun"/>
          <w:lang w:val="de-DE" w:eastAsia="zh-CN"/>
        </w:rPr>
        <w:t xml:space="preserve"> </w:t>
      </w:r>
      <w:r w:rsidR="00D91ED1" w:rsidRPr="005728BA">
        <w:rPr>
          <w:rFonts w:eastAsia="SimSun"/>
          <w:lang w:val="de-DE" w:eastAsia="zh-CN"/>
        </w:rPr>
        <w:t xml:space="preserve">sollte nur angewendet werden, wenn abzusehen ist, </w:t>
      </w:r>
      <w:proofErr w:type="spellStart"/>
      <w:r w:rsidR="00D91ED1" w:rsidRPr="005728BA">
        <w:rPr>
          <w:rFonts w:eastAsia="SimSun"/>
          <w:lang w:val="de-DE" w:eastAsia="zh-CN"/>
        </w:rPr>
        <w:t>daß</w:t>
      </w:r>
      <w:proofErr w:type="spellEnd"/>
      <w:r w:rsidR="009D6210" w:rsidRPr="005728BA">
        <w:rPr>
          <w:rFonts w:eastAsia="SimSun"/>
          <w:lang w:val="de-DE" w:eastAsia="zh-CN"/>
        </w:rPr>
        <w:t xml:space="preserve"> </w:t>
      </w:r>
      <w:r w:rsidR="00D91ED1" w:rsidRPr="005728BA">
        <w:rPr>
          <w:rFonts w:eastAsia="SimSun"/>
          <w:lang w:val="de-DE" w:eastAsia="zh-CN"/>
        </w:rPr>
        <w:t>die Höchstgrenze</w:t>
      </w:r>
      <w:r w:rsidR="00EB33EB" w:rsidRPr="005728BA">
        <w:rPr>
          <w:rFonts w:eastAsia="SimSun"/>
          <w:lang w:val="de-DE" w:eastAsia="zh-CN"/>
        </w:rPr>
        <w:t xml:space="preserve"> </w:t>
      </w:r>
      <w:r w:rsidR="00D91ED1" w:rsidRPr="005728BA">
        <w:rPr>
          <w:rFonts w:eastAsia="SimSun"/>
          <w:lang w:val="de-DE" w:eastAsia="zh-CN"/>
        </w:rPr>
        <w:t>auch in einer weiteren</w:t>
      </w:r>
      <w:r w:rsidR="00EB33EB" w:rsidRPr="005728BA">
        <w:rPr>
          <w:rFonts w:eastAsia="SimSun"/>
          <w:lang w:val="de-DE" w:eastAsia="zh-CN"/>
        </w:rPr>
        <w:t xml:space="preserve"> </w:t>
      </w:r>
      <w:r w:rsidR="00D91ED1" w:rsidRPr="005728BA">
        <w:rPr>
          <w:rFonts w:eastAsia="SimSun"/>
          <w:lang w:val="de-DE" w:eastAsia="zh-CN"/>
        </w:rPr>
        <w:t>Wachstumsperiode</w:t>
      </w:r>
      <w:r w:rsidR="00722A9C" w:rsidRPr="00722A9C">
        <w:rPr>
          <w:rFonts w:eastAsia="SimSun"/>
          <w:lang w:val="de-DE" w:eastAsia="zh-CN"/>
        </w:rPr>
        <w:t xml:space="preserve"> </w:t>
      </w:r>
      <w:r w:rsidR="00722A9C" w:rsidRPr="005728BA">
        <w:rPr>
          <w:rFonts w:eastAsia="SimSun"/>
          <w:lang w:val="de-DE" w:eastAsia="zh-CN"/>
        </w:rPr>
        <w:t>überschritten wird</w:t>
      </w:r>
      <w:r w:rsidR="00EB33EB" w:rsidRPr="005728BA">
        <w:rPr>
          <w:rFonts w:eastAsia="SimSun"/>
          <w:lang w:val="de-DE" w:eastAsia="zh-CN"/>
        </w:rPr>
        <w:t xml:space="preserve">. </w:t>
      </w:r>
      <w:r w:rsidR="00D91ED1" w:rsidRPr="005728BA">
        <w:rPr>
          <w:rFonts w:eastAsia="SimSun"/>
          <w:lang w:val="de-DE" w:eastAsia="zh-CN"/>
        </w:rPr>
        <w:t>Diesbezüglich</w:t>
      </w:r>
      <w:r w:rsidR="00EB33EB" w:rsidRPr="005728BA">
        <w:rPr>
          <w:rFonts w:eastAsia="SimSun"/>
          <w:lang w:val="de-DE" w:eastAsia="zh-CN"/>
        </w:rPr>
        <w:t xml:space="preserve"> </w:t>
      </w:r>
      <w:r w:rsidR="00D91ED1" w:rsidRPr="005728BA">
        <w:rPr>
          <w:rFonts w:eastAsia="SimSun"/>
          <w:lang w:val="de-DE" w:eastAsia="zh-CN"/>
        </w:rPr>
        <w:t>vereinbarte die TWA,</w:t>
      </w:r>
      <w:r w:rsidR="00EB33EB" w:rsidRPr="005728BA">
        <w:rPr>
          <w:rFonts w:eastAsia="SimSun"/>
          <w:lang w:val="de-DE" w:eastAsia="zh-CN"/>
        </w:rPr>
        <w:t xml:space="preserve"> </w:t>
      </w:r>
      <w:r w:rsidR="009D6210" w:rsidRPr="005728BA">
        <w:rPr>
          <w:rFonts w:eastAsia="SimSun"/>
          <w:lang w:val="de-DE" w:eastAsia="zh-CN"/>
        </w:rPr>
        <w:t xml:space="preserve">vorzuschlagen, </w:t>
      </w:r>
      <w:r w:rsidR="00D91ED1" w:rsidRPr="005728BA">
        <w:rPr>
          <w:rFonts w:eastAsia="SimSun"/>
          <w:lang w:val="de-DE" w:eastAsia="zh-CN"/>
        </w:rPr>
        <w:t xml:space="preserve">die </w:t>
      </w:r>
      <w:r w:rsidR="00EB33EB" w:rsidRPr="005728BA">
        <w:rPr>
          <w:lang w:val="de-DE"/>
        </w:rPr>
        <w:t xml:space="preserve">in </w:t>
      </w:r>
      <w:r w:rsidR="00D64CD2" w:rsidRPr="005728BA">
        <w:rPr>
          <w:lang w:val="de-DE"/>
        </w:rPr>
        <w:t>Anlage</w:t>
      </w:r>
      <w:r w:rsidR="00EB33EB" w:rsidRPr="005728BA">
        <w:rPr>
          <w:lang w:val="de-DE"/>
        </w:rPr>
        <w:t xml:space="preserve"> I</w:t>
      </w:r>
      <w:r w:rsidR="00722A9C" w:rsidRPr="00722A9C">
        <w:rPr>
          <w:lang w:val="de-DE"/>
        </w:rPr>
        <w:t xml:space="preserve"> </w:t>
      </w:r>
      <w:r w:rsidR="00722A9C" w:rsidRPr="005728BA">
        <w:rPr>
          <w:lang w:val="de-DE"/>
        </w:rPr>
        <w:t>dargelegte</w:t>
      </w:r>
      <w:r w:rsidR="00722A9C" w:rsidRPr="00722A9C">
        <w:rPr>
          <w:lang w:val="de-DE"/>
        </w:rPr>
        <w:t xml:space="preserve"> </w:t>
      </w:r>
      <w:r w:rsidR="00722A9C" w:rsidRPr="005728BA">
        <w:rPr>
          <w:lang w:val="de-DE"/>
        </w:rPr>
        <w:t>Erläuterung</w:t>
      </w:r>
      <w:r w:rsidR="00EB33EB" w:rsidRPr="005728BA">
        <w:rPr>
          <w:lang w:val="de-DE"/>
        </w:rPr>
        <w:t xml:space="preserve"> </w:t>
      </w:r>
      <w:r w:rsidR="00D91ED1" w:rsidRPr="005728BA">
        <w:rPr>
          <w:lang w:val="de-DE"/>
        </w:rPr>
        <w:t>über die</w:t>
      </w:r>
      <w:r w:rsidR="00EB33EB" w:rsidRPr="005728BA">
        <w:rPr>
          <w:lang w:val="de-DE"/>
        </w:rPr>
        <w:t xml:space="preserve"> </w:t>
      </w:r>
      <w:r w:rsidR="00D91ED1" w:rsidRPr="005728BA">
        <w:rPr>
          <w:lang w:val="de-DE"/>
        </w:rPr>
        <w:t>Möglichkeit der Zurückweisung einer Sorte nach einer einzigen Wachstumsperiode aufgrund fehlender Homogenität</w:t>
      </w:r>
      <w:r w:rsidR="00EB33EB" w:rsidRPr="005728BA">
        <w:rPr>
          <w:lang w:val="de-DE"/>
        </w:rPr>
        <w:t xml:space="preserve"> </w:t>
      </w:r>
      <w:r w:rsidR="00AA1E32" w:rsidRPr="005728BA">
        <w:rPr>
          <w:lang w:val="de-DE"/>
        </w:rPr>
        <w:t xml:space="preserve">folgendermaßen </w:t>
      </w:r>
      <w:r w:rsidR="00F57940">
        <w:rPr>
          <w:lang w:val="de-DE"/>
        </w:rPr>
        <w:t>zu ändern</w:t>
      </w:r>
      <w:r w:rsidR="00EB33EB" w:rsidRPr="005728BA">
        <w:rPr>
          <w:lang w:val="de-DE"/>
        </w:rPr>
        <w:t xml:space="preserve">:  </w:t>
      </w:r>
      <w:r w:rsidR="00AE6216" w:rsidRPr="005728BA">
        <w:rPr>
          <w:rFonts w:eastAsia="SimSun"/>
          <w:lang w:val="de-DE" w:eastAsia="zh-CN"/>
        </w:rPr>
        <w:t>„</w:t>
      </w:r>
      <w:r w:rsidR="00831C0E" w:rsidRPr="005728BA">
        <w:rPr>
          <w:rFonts w:eastAsia="SimSun"/>
          <w:lang w:val="de-DE" w:eastAsia="zh-CN"/>
        </w:rPr>
        <w:t>Außerdem</w:t>
      </w:r>
      <w:r w:rsidR="00722A9C">
        <w:rPr>
          <w:rFonts w:eastAsia="SimSun"/>
          <w:lang w:val="de-DE" w:eastAsia="zh-CN"/>
        </w:rPr>
        <w:t xml:space="preserve"> </w:t>
      </w:r>
      <w:r w:rsidR="00831C0E" w:rsidRPr="005728BA">
        <w:rPr>
          <w:rFonts w:eastAsia="SimSun"/>
          <w:lang w:val="de-DE" w:eastAsia="zh-CN"/>
        </w:rPr>
        <w:t>kann eine Sorte nach einer einzigen Wachstumsperiode</w:t>
      </w:r>
      <w:r w:rsidR="00722A9C" w:rsidRPr="005728BA">
        <w:rPr>
          <w:rFonts w:eastAsia="SimSun"/>
          <w:lang w:val="de-DE" w:eastAsia="zh-CN"/>
        </w:rPr>
        <w:t xml:space="preserve"> </w:t>
      </w:r>
      <w:r w:rsidR="004006EE">
        <w:rPr>
          <w:rFonts w:eastAsia="SimSun"/>
          <w:lang w:val="de-DE" w:eastAsia="zh-CN"/>
        </w:rPr>
        <w:t xml:space="preserve">aufgrund </w:t>
      </w:r>
      <w:r w:rsidR="004006EE" w:rsidRPr="00170C91">
        <w:rPr>
          <w:rFonts w:eastAsia="SimSun"/>
          <w:highlight w:val="lightGray"/>
          <w:u w:val="single"/>
          <w:lang w:val="de-DE" w:eastAsia="zh-CN"/>
        </w:rPr>
        <w:t>deutlich</w:t>
      </w:r>
      <w:r w:rsidR="004006EE">
        <w:rPr>
          <w:rFonts w:eastAsia="SimSun"/>
          <w:lang w:val="de-DE" w:eastAsia="zh-CN"/>
        </w:rPr>
        <w:t xml:space="preserve"> fehlender Homogenität</w:t>
      </w:r>
      <w:r w:rsidR="00831C0E" w:rsidRPr="005728BA">
        <w:rPr>
          <w:rFonts w:eastAsia="SimSun"/>
          <w:lang w:val="de-DE" w:eastAsia="zh-CN"/>
        </w:rPr>
        <w:t xml:space="preserve"> zurückgewiesen werden</w:t>
      </w:r>
      <w:r w:rsidR="00EB33EB" w:rsidRPr="005728BA">
        <w:rPr>
          <w:rFonts w:eastAsia="SimSun"/>
          <w:lang w:val="de-DE" w:eastAsia="zh-CN"/>
        </w:rPr>
        <w:t>”</w:t>
      </w:r>
      <w:r w:rsidRPr="005728BA">
        <w:rPr>
          <w:rFonts w:eastAsia="SimSun"/>
          <w:lang w:val="de-DE" w:eastAsia="zh-CN"/>
        </w:rPr>
        <w:t xml:space="preserve"> (</w:t>
      </w:r>
      <w:r w:rsidR="00D800D5" w:rsidRPr="005728BA">
        <w:rPr>
          <w:rFonts w:eastAsia="SimSun"/>
          <w:lang w:val="de-DE" w:eastAsia="zh-CN"/>
        </w:rPr>
        <w:t xml:space="preserve">vergleiche Dokument </w:t>
      </w:r>
      <w:r w:rsidRPr="005728BA">
        <w:rPr>
          <w:rFonts w:eastAsia="SimSun"/>
          <w:lang w:val="de-DE" w:eastAsia="zh-CN"/>
        </w:rPr>
        <w:t xml:space="preserve">TWA/44/23 </w:t>
      </w:r>
      <w:r w:rsidR="00B84A2B" w:rsidRPr="005728BA">
        <w:rPr>
          <w:rFonts w:eastAsia="SimSun"/>
          <w:lang w:val="de-DE" w:eastAsia="zh-CN"/>
        </w:rPr>
        <w:t>„Bericht</w:t>
      </w:r>
      <w:r w:rsidR="00AE6216" w:rsidRPr="005728BA">
        <w:rPr>
          <w:rFonts w:eastAsia="SimSun"/>
          <w:lang w:val="de-DE" w:eastAsia="zh-CN"/>
        </w:rPr>
        <w:t>“</w:t>
      </w:r>
      <w:r w:rsidRPr="005728BA">
        <w:rPr>
          <w:rFonts w:eastAsia="SimSun"/>
          <w:lang w:val="de-DE" w:eastAsia="zh-CN"/>
        </w:rPr>
        <w:t xml:space="preserve">, </w:t>
      </w:r>
      <w:r w:rsidR="00B84A2B" w:rsidRPr="005728BA">
        <w:rPr>
          <w:rFonts w:eastAsia="SimSun"/>
          <w:lang w:val="de-DE" w:eastAsia="zh-CN"/>
        </w:rPr>
        <w:t>Absätze</w:t>
      </w:r>
      <w:r w:rsidRPr="005728BA">
        <w:rPr>
          <w:rFonts w:eastAsia="SimSun"/>
          <w:lang w:val="de-DE" w:eastAsia="zh-CN"/>
        </w:rPr>
        <w:t xml:space="preserve"> 52 </w:t>
      </w:r>
      <w:r w:rsidR="00831C0E" w:rsidRPr="005728BA">
        <w:rPr>
          <w:rFonts w:eastAsia="SimSun"/>
          <w:lang w:val="de-DE" w:eastAsia="zh-CN"/>
        </w:rPr>
        <w:t>bis</w:t>
      </w:r>
      <w:r w:rsidRPr="005728BA">
        <w:rPr>
          <w:rFonts w:eastAsia="SimSun"/>
          <w:lang w:val="de-DE" w:eastAsia="zh-CN"/>
        </w:rPr>
        <w:t xml:space="preserve"> 55)</w:t>
      </w:r>
      <w:r w:rsidR="00EB33EB" w:rsidRPr="005728BA">
        <w:rPr>
          <w:rFonts w:eastAsia="SimSun"/>
          <w:lang w:val="de-DE" w:eastAsia="zh-CN"/>
        </w:rPr>
        <w:t xml:space="preserve"> </w:t>
      </w:r>
    </w:p>
    <w:p w:rsidR="00EB33EB" w:rsidRPr="005728BA" w:rsidRDefault="00EB33EB" w:rsidP="00EB33EB">
      <w:pPr>
        <w:rPr>
          <w:lang w:val="de-DE"/>
        </w:rPr>
      </w:pPr>
    </w:p>
    <w:p w:rsidR="00EB33EB" w:rsidRPr="005728BA" w:rsidRDefault="00831C0E" w:rsidP="00720F43">
      <w:pPr>
        <w:pStyle w:val="Heading3"/>
        <w:rPr>
          <w:lang w:val="de-DE"/>
        </w:rPr>
      </w:pPr>
      <w:bookmarkStart w:id="14" w:name="_Toc442051961"/>
      <w:r w:rsidRPr="005728BA">
        <w:rPr>
          <w:lang w:val="de-DE"/>
        </w:rPr>
        <w:t>Technische Arbeitsgruppe für Obstarten</w:t>
      </w:r>
      <w:bookmarkEnd w:id="14"/>
    </w:p>
    <w:p w:rsidR="00EB33EB" w:rsidRPr="005728BA" w:rsidRDefault="00EB33EB" w:rsidP="00EB33EB">
      <w:pPr>
        <w:rPr>
          <w:lang w:val="de-DE"/>
        </w:rPr>
      </w:pPr>
    </w:p>
    <w:p w:rsidR="00720F43" w:rsidRPr="005728BA" w:rsidRDefault="00720F43" w:rsidP="00720F43">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5E2688" w:rsidRPr="005728BA">
        <w:rPr>
          <w:snapToGrid w:val="0"/>
          <w:lang w:val="de-DE"/>
        </w:rPr>
        <w:t>Die TWF</w:t>
      </w:r>
      <w:r w:rsidR="00722A9C" w:rsidRPr="00722A9C">
        <w:rPr>
          <w:snapToGrid w:val="0"/>
          <w:lang w:val="de-DE"/>
        </w:rPr>
        <w:t xml:space="preserve"> </w:t>
      </w:r>
      <w:r w:rsidR="00722A9C" w:rsidRPr="005728BA">
        <w:rPr>
          <w:snapToGrid w:val="0"/>
          <w:lang w:val="de-DE"/>
        </w:rPr>
        <w:t>prüfte</w:t>
      </w:r>
      <w:r w:rsidR="005E2688" w:rsidRPr="005728BA">
        <w:rPr>
          <w:snapToGrid w:val="0"/>
          <w:lang w:val="de-DE"/>
        </w:rPr>
        <w:t xml:space="preserve"> auf ihrer sechsundvierzigsten Tagung</w:t>
      </w:r>
      <w:r w:rsidRPr="005728BA">
        <w:rPr>
          <w:snapToGrid w:val="0"/>
          <w:lang w:val="de-DE"/>
        </w:rPr>
        <w:t xml:space="preserve"> </w:t>
      </w:r>
      <w:r w:rsidR="005E2688" w:rsidRPr="005728BA">
        <w:rPr>
          <w:snapToGrid w:val="0"/>
          <w:lang w:val="de-DE"/>
        </w:rPr>
        <w:t xml:space="preserve">vom </w:t>
      </w:r>
      <w:r w:rsidRPr="005728BA">
        <w:rPr>
          <w:snapToGrid w:val="0"/>
          <w:lang w:val="de-DE"/>
        </w:rPr>
        <w:t>24</w:t>
      </w:r>
      <w:r w:rsidR="00722A9C">
        <w:rPr>
          <w:snapToGrid w:val="0"/>
          <w:lang w:val="de-DE"/>
        </w:rPr>
        <w:t>.</w:t>
      </w:r>
      <w:r w:rsidR="005E2688" w:rsidRPr="005728BA">
        <w:rPr>
          <w:snapToGrid w:val="0"/>
          <w:lang w:val="de-DE"/>
        </w:rPr>
        <w:t xml:space="preserve"> bis </w:t>
      </w:r>
      <w:r w:rsidRPr="005728BA">
        <w:rPr>
          <w:snapToGrid w:val="0"/>
          <w:lang w:val="de-DE"/>
        </w:rPr>
        <w:t>28</w:t>
      </w:r>
      <w:r w:rsidR="005E2688" w:rsidRPr="005728BA">
        <w:rPr>
          <w:snapToGrid w:val="0"/>
          <w:lang w:val="de-DE"/>
        </w:rPr>
        <w:t>. August</w:t>
      </w:r>
      <w:r w:rsidRPr="005728BA">
        <w:rPr>
          <w:snapToGrid w:val="0"/>
          <w:lang w:val="de-DE"/>
        </w:rPr>
        <w:t xml:space="preserve"> 2015 </w:t>
      </w:r>
      <w:r w:rsidR="00F57940" w:rsidRPr="005728BA">
        <w:rPr>
          <w:snapToGrid w:val="0"/>
          <w:lang w:val="de-DE"/>
        </w:rPr>
        <w:t xml:space="preserve">in </w:t>
      </w:r>
      <w:proofErr w:type="spellStart"/>
      <w:r w:rsidR="00F57940" w:rsidRPr="005728BA">
        <w:rPr>
          <w:snapToGrid w:val="0"/>
          <w:lang w:val="de-DE"/>
        </w:rPr>
        <w:t>Mpumalanga</w:t>
      </w:r>
      <w:proofErr w:type="spellEnd"/>
      <w:r w:rsidR="00F57940" w:rsidRPr="005728BA">
        <w:rPr>
          <w:snapToGrid w:val="0"/>
          <w:lang w:val="de-DE"/>
        </w:rPr>
        <w:t xml:space="preserve">, Südafrika, </w:t>
      </w:r>
      <w:r w:rsidR="00683A78" w:rsidRPr="005728BA">
        <w:rPr>
          <w:snapToGrid w:val="0"/>
          <w:lang w:val="de-DE"/>
        </w:rPr>
        <w:t>Dokument</w:t>
      </w:r>
      <w:r w:rsidRPr="005728BA">
        <w:rPr>
          <w:snapToGrid w:val="0"/>
          <w:lang w:val="de-DE"/>
        </w:rPr>
        <w:t xml:space="preserve"> TWF/46/9 </w:t>
      </w:r>
      <w:r w:rsidR="00D800D5" w:rsidRPr="005728BA">
        <w:rPr>
          <w:lang w:val="de-DE"/>
        </w:rPr>
        <w:t>„Überarbeitung von</w:t>
      </w:r>
      <w:r w:rsidR="00267CF8" w:rsidRPr="005728BA">
        <w:rPr>
          <w:lang w:val="de-DE"/>
        </w:rPr>
        <w:t xml:space="preserve"> Dokument</w:t>
      </w:r>
      <w:r w:rsidRPr="005728BA">
        <w:rPr>
          <w:lang w:val="de-DE"/>
        </w:rPr>
        <w:t xml:space="preserve"> TGP/10: </w:t>
      </w:r>
      <w:r w:rsidR="00683A78" w:rsidRPr="005728BA">
        <w:rPr>
          <w:lang w:val="de-DE"/>
        </w:rPr>
        <w:t>Neuer Abschnitt</w:t>
      </w:r>
      <w:r w:rsidRPr="005728BA">
        <w:rPr>
          <w:lang w:val="de-DE"/>
        </w:rPr>
        <w:t xml:space="preserve">: </w:t>
      </w:r>
      <w:r w:rsidR="007C2800" w:rsidRPr="005728BA">
        <w:rPr>
          <w:lang w:val="de-DE"/>
        </w:rPr>
        <w:t xml:space="preserve">Prüfung der Homogenität anhand von Abweichern aufgrund von mehr als einer Wachstumsperiode </w:t>
      </w:r>
      <w:r w:rsidR="00D800D5" w:rsidRPr="005728BA">
        <w:rPr>
          <w:lang w:val="de-DE"/>
        </w:rPr>
        <w:t>oder aufgrund von Unterproben</w:t>
      </w:r>
      <w:r w:rsidR="00170C91">
        <w:rPr>
          <w:lang w:val="de-DE"/>
        </w:rPr>
        <w:t>“</w:t>
      </w:r>
      <w:r w:rsidRPr="005728BA">
        <w:rPr>
          <w:lang w:val="de-DE"/>
        </w:rPr>
        <w:t>.</w:t>
      </w:r>
    </w:p>
    <w:p w:rsidR="00720F43" w:rsidRPr="005728BA" w:rsidRDefault="00720F43" w:rsidP="00EB33EB">
      <w:pPr>
        <w:rPr>
          <w:lang w:val="de-DE"/>
        </w:rPr>
      </w:pPr>
    </w:p>
    <w:p w:rsidR="00EB33EB" w:rsidRPr="005728BA" w:rsidRDefault="00720F43" w:rsidP="00EB33EB">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5E2688" w:rsidRPr="005728BA">
        <w:rPr>
          <w:lang w:val="de-DE"/>
        </w:rPr>
        <w:t>Die TWF hörte einen mündlichen Bericht von einem</w:t>
      </w:r>
      <w:r w:rsidR="00EB33EB" w:rsidRPr="005728BA">
        <w:rPr>
          <w:lang w:val="de-DE"/>
        </w:rPr>
        <w:t xml:space="preserve"> </w:t>
      </w:r>
      <w:r w:rsidR="005E2688" w:rsidRPr="005728BA">
        <w:rPr>
          <w:lang w:val="de-DE"/>
        </w:rPr>
        <w:t>Sachverständigen</w:t>
      </w:r>
      <w:r w:rsidR="00EB33EB" w:rsidRPr="005728BA">
        <w:rPr>
          <w:lang w:val="de-DE"/>
        </w:rPr>
        <w:t xml:space="preserve"> </w:t>
      </w:r>
      <w:r w:rsidR="005E2688" w:rsidRPr="005728BA">
        <w:rPr>
          <w:lang w:val="de-DE"/>
        </w:rPr>
        <w:t>aus Neuseeland</w:t>
      </w:r>
      <w:r w:rsidR="00EB33EB" w:rsidRPr="005728BA">
        <w:rPr>
          <w:lang w:val="de-DE"/>
        </w:rPr>
        <w:t xml:space="preserve"> </w:t>
      </w:r>
      <w:r w:rsidR="005E2688" w:rsidRPr="005728BA">
        <w:rPr>
          <w:lang w:val="de-DE"/>
        </w:rPr>
        <w:t xml:space="preserve">über die </w:t>
      </w:r>
      <w:r w:rsidR="004974C2" w:rsidRPr="005728BA">
        <w:rPr>
          <w:lang w:val="de-DE"/>
        </w:rPr>
        <w:t>Prüfung der Homogenität</w:t>
      </w:r>
      <w:r w:rsidR="00EB33EB" w:rsidRPr="005728BA">
        <w:rPr>
          <w:lang w:val="de-DE"/>
        </w:rPr>
        <w:t xml:space="preserve"> </w:t>
      </w:r>
      <w:r w:rsidR="00863F0E" w:rsidRPr="005728BA">
        <w:rPr>
          <w:lang w:val="de-DE"/>
        </w:rPr>
        <w:t>über mehr als eine</w:t>
      </w:r>
      <w:r w:rsidR="00EB33EB" w:rsidRPr="005728BA">
        <w:rPr>
          <w:lang w:val="de-DE"/>
        </w:rPr>
        <w:t xml:space="preserve"> </w:t>
      </w:r>
      <w:r w:rsidR="00D91ED1" w:rsidRPr="005728BA">
        <w:rPr>
          <w:lang w:val="de-DE"/>
        </w:rPr>
        <w:t>Wachstumsperiode</w:t>
      </w:r>
      <w:r w:rsidR="00EB33EB" w:rsidRPr="005728BA">
        <w:rPr>
          <w:lang w:val="de-DE"/>
        </w:rPr>
        <w:t xml:space="preserve">: </w:t>
      </w:r>
      <w:r w:rsidR="00863F0E" w:rsidRPr="005728BA">
        <w:rPr>
          <w:lang w:val="de-DE"/>
        </w:rPr>
        <w:t xml:space="preserve">Die Erfahrung </w:t>
      </w:r>
      <w:r w:rsidR="005E2688" w:rsidRPr="005728BA">
        <w:rPr>
          <w:lang w:val="de-DE"/>
        </w:rPr>
        <w:t>Neuseeland</w:t>
      </w:r>
      <w:r w:rsidR="00EB33EB" w:rsidRPr="005728BA">
        <w:rPr>
          <w:lang w:val="de-DE"/>
        </w:rPr>
        <w:t>s</w:t>
      </w:r>
      <w:r w:rsidR="00863F0E" w:rsidRPr="005728BA">
        <w:rPr>
          <w:lang w:val="de-DE"/>
        </w:rPr>
        <w:t xml:space="preserve"> mit Apfelsorten aus Mutationen</w:t>
      </w:r>
      <w:r w:rsidR="00EB33EB" w:rsidRPr="005728BA">
        <w:rPr>
          <w:lang w:val="de-DE"/>
        </w:rPr>
        <w:t xml:space="preserve">.  </w:t>
      </w:r>
    </w:p>
    <w:p w:rsidR="00EB33EB" w:rsidRPr="005728BA" w:rsidRDefault="00EB33EB" w:rsidP="00EB33EB">
      <w:pPr>
        <w:rPr>
          <w:highlight w:val="cyan"/>
          <w:lang w:val="de-DE"/>
        </w:rPr>
      </w:pPr>
    </w:p>
    <w:p w:rsidR="00EB33EB" w:rsidRPr="005728BA" w:rsidRDefault="00720F43" w:rsidP="00EB33EB">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5E2688" w:rsidRPr="005728BA">
        <w:rPr>
          <w:lang w:val="de-DE"/>
        </w:rPr>
        <w:t>Die TWF hörte</w:t>
      </w:r>
      <w:r w:rsidR="00863F0E" w:rsidRPr="005728BA">
        <w:rPr>
          <w:lang w:val="de-DE"/>
        </w:rPr>
        <w:t xml:space="preserve"> auch</w:t>
      </w:r>
      <w:r w:rsidR="005E2688" w:rsidRPr="005728BA">
        <w:rPr>
          <w:lang w:val="de-DE"/>
        </w:rPr>
        <w:t xml:space="preserve"> einen mündlichen Bericht von</w:t>
      </w:r>
      <w:r w:rsidR="00EB33EB" w:rsidRPr="005728BA">
        <w:rPr>
          <w:lang w:val="de-DE"/>
        </w:rPr>
        <w:t xml:space="preserve"> </w:t>
      </w:r>
      <w:r w:rsidR="00722A9C">
        <w:rPr>
          <w:lang w:val="de-DE"/>
        </w:rPr>
        <w:t>einem</w:t>
      </w:r>
      <w:r w:rsidR="00722A9C" w:rsidRPr="005728BA">
        <w:rPr>
          <w:lang w:val="de-DE"/>
        </w:rPr>
        <w:t xml:space="preserve"> </w:t>
      </w:r>
      <w:r w:rsidR="005E2688" w:rsidRPr="005728BA">
        <w:rPr>
          <w:lang w:val="de-DE"/>
        </w:rPr>
        <w:t>Sachverständigen</w:t>
      </w:r>
      <w:r w:rsidR="00EB33EB" w:rsidRPr="005728BA">
        <w:rPr>
          <w:lang w:val="de-DE"/>
        </w:rPr>
        <w:t xml:space="preserve"> </w:t>
      </w:r>
      <w:r w:rsidR="00863F0E" w:rsidRPr="005728BA">
        <w:rPr>
          <w:lang w:val="de-DE"/>
        </w:rPr>
        <w:t>aus Frankreich</w:t>
      </w:r>
      <w:r w:rsidR="00EB33EB" w:rsidRPr="005728BA">
        <w:rPr>
          <w:lang w:val="de-DE"/>
        </w:rPr>
        <w:t xml:space="preserve"> </w:t>
      </w:r>
      <w:r w:rsidR="00863F0E" w:rsidRPr="005728BA">
        <w:rPr>
          <w:lang w:val="de-DE"/>
        </w:rPr>
        <w:t xml:space="preserve">über die </w:t>
      </w:r>
      <w:r w:rsidR="004974C2" w:rsidRPr="005728BA">
        <w:rPr>
          <w:lang w:val="de-DE"/>
        </w:rPr>
        <w:t>Prüfung der Homogenität</w:t>
      </w:r>
      <w:r w:rsidR="00863F0E" w:rsidRPr="005728BA">
        <w:rPr>
          <w:lang w:val="de-DE"/>
        </w:rPr>
        <w:t xml:space="preserve"> anhand von </w:t>
      </w:r>
      <w:r w:rsidR="004006EE">
        <w:rPr>
          <w:lang w:val="de-DE"/>
        </w:rPr>
        <w:t>Abweicher</w:t>
      </w:r>
      <w:r w:rsidR="00170C91">
        <w:rPr>
          <w:lang w:val="de-DE"/>
        </w:rPr>
        <w:t>n</w:t>
      </w:r>
      <w:r w:rsidR="00863F0E" w:rsidRPr="005728BA">
        <w:rPr>
          <w:lang w:val="de-DE"/>
        </w:rPr>
        <w:t xml:space="preserve"> aufgrund von mehr als einer</w:t>
      </w:r>
      <w:r w:rsidR="00EB33EB" w:rsidRPr="005728BA">
        <w:rPr>
          <w:lang w:val="de-DE"/>
        </w:rPr>
        <w:t xml:space="preserve"> </w:t>
      </w:r>
      <w:r w:rsidR="00D91ED1" w:rsidRPr="005728BA">
        <w:rPr>
          <w:lang w:val="de-DE"/>
        </w:rPr>
        <w:t>Wachstumsperiode</w:t>
      </w:r>
      <w:r w:rsidR="00EB33EB" w:rsidRPr="005728BA">
        <w:rPr>
          <w:lang w:val="de-DE"/>
        </w:rPr>
        <w:t xml:space="preserve"> </w:t>
      </w:r>
      <w:r w:rsidR="00863F0E" w:rsidRPr="005728BA">
        <w:rPr>
          <w:lang w:val="de-DE"/>
        </w:rPr>
        <w:t>oder aufgrund von Unterproben</w:t>
      </w:r>
      <w:r w:rsidR="00EB33EB" w:rsidRPr="005728BA">
        <w:rPr>
          <w:lang w:val="de-DE"/>
        </w:rPr>
        <w:t xml:space="preserve">: </w:t>
      </w:r>
      <w:r w:rsidR="00863F0E" w:rsidRPr="005728BA">
        <w:rPr>
          <w:lang w:val="de-DE"/>
        </w:rPr>
        <w:t>Betrachtungen zu</w:t>
      </w:r>
      <w:r w:rsidRPr="005728BA">
        <w:rPr>
          <w:lang w:val="de-DE"/>
        </w:rPr>
        <w:t xml:space="preserve"> </w:t>
      </w:r>
      <w:r w:rsidR="00221F3C" w:rsidRPr="005728BA">
        <w:rPr>
          <w:lang w:val="de-DE"/>
        </w:rPr>
        <w:t>Homogenität</w:t>
      </w:r>
      <w:r w:rsidRPr="005728BA">
        <w:rPr>
          <w:lang w:val="de-DE"/>
        </w:rPr>
        <w:t xml:space="preserve">, </w:t>
      </w:r>
      <w:r w:rsidR="0026414F" w:rsidRPr="005728BA">
        <w:rPr>
          <w:lang w:val="de-DE"/>
        </w:rPr>
        <w:t>Unterscheidbarkeit</w:t>
      </w:r>
      <w:r w:rsidR="00D800D5" w:rsidRPr="005728BA">
        <w:rPr>
          <w:lang w:val="de-DE"/>
        </w:rPr>
        <w:t xml:space="preserve"> und </w:t>
      </w:r>
      <w:r w:rsidR="00722A9C">
        <w:rPr>
          <w:lang w:val="de-DE"/>
        </w:rPr>
        <w:t>B</w:t>
      </w:r>
      <w:r w:rsidR="0026414F" w:rsidRPr="005728BA">
        <w:rPr>
          <w:lang w:val="de-DE"/>
        </w:rPr>
        <w:t>eschreibung</w:t>
      </w:r>
      <w:r w:rsidR="00EB33EB" w:rsidRPr="005728BA">
        <w:rPr>
          <w:lang w:val="de-DE"/>
        </w:rPr>
        <w:t xml:space="preserve">.  </w:t>
      </w:r>
    </w:p>
    <w:p w:rsidR="00EB33EB" w:rsidRPr="005728BA" w:rsidRDefault="00EB33EB" w:rsidP="00EB33EB">
      <w:pPr>
        <w:rPr>
          <w:lang w:val="de-DE"/>
        </w:rPr>
      </w:pPr>
    </w:p>
    <w:p w:rsidR="00EB33EB" w:rsidRPr="005728BA" w:rsidRDefault="00720F43" w:rsidP="00EB33EB">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5E2688" w:rsidRPr="005728BA">
        <w:rPr>
          <w:lang w:val="de-DE"/>
        </w:rPr>
        <w:t xml:space="preserve">Die TWF </w:t>
      </w:r>
      <w:r w:rsidR="00221F3C" w:rsidRPr="005728BA">
        <w:rPr>
          <w:lang w:val="de-DE"/>
        </w:rPr>
        <w:t xml:space="preserve">vereinbarte, </w:t>
      </w:r>
      <w:proofErr w:type="spellStart"/>
      <w:r w:rsidR="00221F3C" w:rsidRPr="005728BA">
        <w:rPr>
          <w:lang w:val="de-DE"/>
        </w:rPr>
        <w:t>daß</w:t>
      </w:r>
      <w:proofErr w:type="spellEnd"/>
      <w:r w:rsidR="00EB33EB" w:rsidRPr="005728BA">
        <w:rPr>
          <w:lang w:val="de-DE"/>
        </w:rPr>
        <w:t xml:space="preserve"> </w:t>
      </w:r>
      <w:r w:rsidR="0026414F" w:rsidRPr="005728BA">
        <w:rPr>
          <w:lang w:val="de-DE"/>
        </w:rPr>
        <w:t>die für die DUS-Prüfung zuständige Behörde einen</w:t>
      </w:r>
      <w:r w:rsidR="00EB33EB" w:rsidRPr="005728BA">
        <w:rPr>
          <w:lang w:val="de-DE"/>
        </w:rPr>
        <w:t xml:space="preserve"> </w:t>
      </w:r>
      <w:r w:rsidR="0026414F" w:rsidRPr="005728BA">
        <w:rPr>
          <w:lang w:val="de-DE"/>
        </w:rPr>
        <w:t>Kandidaten</w:t>
      </w:r>
      <w:r w:rsidR="00722A9C" w:rsidRPr="00722A9C">
        <w:rPr>
          <w:lang w:val="de-DE"/>
        </w:rPr>
        <w:t xml:space="preserve"> </w:t>
      </w:r>
      <w:r w:rsidR="00722A9C" w:rsidRPr="005728BA">
        <w:rPr>
          <w:lang w:val="de-DE"/>
        </w:rPr>
        <w:t>nach der ersten Wachstumsperiode</w:t>
      </w:r>
      <w:r w:rsidR="0026414F" w:rsidRPr="005728BA">
        <w:rPr>
          <w:lang w:val="de-DE"/>
        </w:rPr>
        <w:t xml:space="preserve"> aufgrund </w:t>
      </w:r>
      <w:r w:rsidR="00722A9C">
        <w:rPr>
          <w:lang w:val="de-DE"/>
        </w:rPr>
        <w:t>fehlender</w:t>
      </w:r>
      <w:r w:rsidR="00722A9C" w:rsidRPr="005728BA">
        <w:rPr>
          <w:lang w:val="de-DE"/>
        </w:rPr>
        <w:t xml:space="preserve"> </w:t>
      </w:r>
      <w:r w:rsidR="0026414F" w:rsidRPr="005728BA">
        <w:rPr>
          <w:lang w:val="de-DE"/>
        </w:rPr>
        <w:t>Homogenität</w:t>
      </w:r>
      <w:r w:rsidR="00722A9C" w:rsidRPr="00722A9C">
        <w:rPr>
          <w:lang w:val="de-DE"/>
        </w:rPr>
        <w:t xml:space="preserve"> </w:t>
      </w:r>
      <w:r w:rsidR="00722A9C" w:rsidRPr="005728BA">
        <w:rPr>
          <w:lang w:val="de-DE"/>
        </w:rPr>
        <w:t>zurückweisen können sollte</w:t>
      </w:r>
      <w:r w:rsidR="00EB33EB" w:rsidRPr="005728BA">
        <w:rPr>
          <w:lang w:val="de-DE"/>
        </w:rPr>
        <w:t xml:space="preserve">, </w:t>
      </w:r>
      <w:r w:rsidR="0026414F" w:rsidRPr="005728BA">
        <w:rPr>
          <w:lang w:val="de-DE"/>
        </w:rPr>
        <w:t>insbesondere</w:t>
      </w:r>
      <w:r w:rsidR="00EB33EB" w:rsidRPr="005728BA">
        <w:rPr>
          <w:lang w:val="de-DE"/>
        </w:rPr>
        <w:t xml:space="preserve"> </w:t>
      </w:r>
      <w:r w:rsidR="004006EE">
        <w:rPr>
          <w:lang w:val="de-DE"/>
        </w:rPr>
        <w:t>bei</w:t>
      </w:r>
      <w:r w:rsidR="0026414F" w:rsidRPr="005728BA">
        <w:rPr>
          <w:lang w:val="de-DE"/>
        </w:rPr>
        <w:t xml:space="preserve"> Obstarten, wo die </w:t>
      </w:r>
      <w:r w:rsidR="000F603F" w:rsidRPr="005728BA">
        <w:rPr>
          <w:lang w:val="de-DE"/>
        </w:rPr>
        <w:t xml:space="preserve">Anzahl an </w:t>
      </w:r>
      <w:r w:rsidR="0026414F" w:rsidRPr="005728BA">
        <w:rPr>
          <w:lang w:val="de-DE"/>
        </w:rPr>
        <w:t>Wachstumsperioden</w:t>
      </w:r>
      <w:r w:rsidR="00EB33EB" w:rsidRPr="005728BA">
        <w:rPr>
          <w:lang w:val="de-DE"/>
        </w:rPr>
        <w:t xml:space="preserve"> </w:t>
      </w:r>
      <w:r w:rsidR="0026414F" w:rsidRPr="005728BA">
        <w:rPr>
          <w:lang w:val="de-DE"/>
        </w:rPr>
        <w:t>in der Regel zwei beträgt</w:t>
      </w:r>
      <w:r w:rsidR="00EB33EB" w:rsidRPr="005728BA">
        <w:rPr>
          <w:lang w:val="de-DE"/>
        </w:rPr>
        <w:t>.</w:t>
      </w:r>
    </w:p>
    <w:p w:rsidR="00EB33EB" w:rsidRPr="005728BA" w:rsidRDefault="00EB33EB" w:rsidP="00EB33EB">
      <w:pPr>
        <w:jc w:val="left"/>
        <w:rPr>
          <w:highlight w:val="cyan"/>
          <w:lang w:val="de-DE"/>
        </w:rPr>
      </w:pPr>
    </w:p>
    <w:p w:rsidR="00EB33EB" w:rsidRPr="005728BA" w:rsidRDefault="00720F43" w:rsidP="00EB33EB">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5E2688" w:rsidRPr="005728BA">
        <w:rPr>
          <w:lang w:val="de-DE"/>
        </w:rPr>
        <w:t xml:space="preserve">Die TWF </w:t>
      </w:r>
      <w:r w:rsidR="00D800D5" w:rsidRPr="005728BA">
        <w:rPr>
          <w:lang w:val="de-DE"/>
        </w:rPr>
        <w:t xml:space="preserve">prüfte den Entwurf </w:t>
      </w:r>
      <w:r w:rsidR="00683A78" w:rsidRPr="005728BA">
        <w:rPr>
          <w:lang w:val="de-DE"/>
        </w:rPr>
        <w:t>für eine Anleitung</w:t>
      </w:r>
      <w:r w:rsidR="00EB33EB" w:rsidRPr="005728BA">
        <w:rPr>
          <w:lang w:val="de-DE"/>
        </w:rPr>
        <w:t xml:space="preserve"> </w:t>
      </w:r>
      <w:r w:rsidR="007C2800" w:rsidRPr="005728BA">
        <w:rPr>
          <w:lang w:val="de-DE"/>
        </w:rPr>
        <w:t>zur Aufnahme in eine künftige</w:t>
      </w:r>
      <w:r w:rsidR="00EB33EB" w:rsidRPr="005728BA">
        <w:rPr>
          <w:lang w:val="de-DE"/>
        </w:rPr>
        <w:t xml:space="preserve"> </w:t>
      </w:r>
      <w:r w:rsidR="00267CF8" w:rsidRPr="005728BA">
        <w:rPr>
          <w:lang w:val="de-DE"/>
        </w:rPr>
        <w:t>Überarbeitung von Dokument</w:t>
      </w:r>
      <w:r w:rsidR="00EB33EB" w:rsidRPr="005728BA">
        <w:rPr>
          <w:lang w:val="de-DE"/>
        </w:rPr>
        <w:t xml:space="preserve"> TGP/10,</w:t>
      </w:r>
      <w:r w:rsidR="00EB33EB" w:rsidRPr="005728BA">
        <w:rPr>
          <w:szCs w:val="24"/>
          <w:lang w:val="de-DE"/>
        </w:rPr>
        <w:t xml:space="preserve"> </w:t>
      </w:r>
      <w:r w:rsidR="00267CF8" w:rsidRPr="005728BA">
        <w:rPr>
          <w:szCs w:val="24"/>
          <w:lang w:val="de-DE"/>
        </w:rPr>
        <w:t xml:space="preserve">wie </w:t>
      </w:r>
      <w:r w:rsidR="00EB33EB" w:rsidRPr="005728BA">
        <w:rPr>
          <w:szCs w:val="24"/>
          <w:lang w:val="de-DE"/>
        </w:rPr>
        <w:t xml:space="preserve">in </w:t>
      </w:r>
      <w:r w:rsidR="00D64CD2" w:rsidRPr="005728BA">
        <w:rPr>
          <w:szCs w:val="24"/>
          <w:lang w:val="de-DE"/>
        </w:rPr>
        <w:t>Anlagen</w:t>
      </w:r>
      <w:r w:rsidR="00EB33EB" w:rsidRPr="005728BA">
        <w:rPr>
          <w:szCs w:val="24"/>
          <w:lang w:val="de-DE"/>
        </w:rPr>
        <w:t xml:space="preserve"> I</w:t>
      </w:r>
      <w:r w:rsidR="00D800D5" w:rsidRPr="005728BA">
        <w:rPr>
          <w:szCs w:val="24"/>
          <w:lang w:val="de-DE"/>
        </w:rPr>
        <w:t xml:space="preserve"> und </w:t>
      </w:r>
      <w:r w:rsidR="00EB33EB" w:rsidRPr="005728BA">
        <w:rPr>
          <w:szCs w:val="24"/>
          <w:lang w:val="de-DE"/>
        </w:rPr>
        <w:t xml:space="preserve">II </w:t>
      </w:r>
      <w:r w:rsidR="00683A78" w:rsidRPr="005728BA">
        <w:rPr>
          <w:szCs w:val="24"/>
          <w:lang w:val="de-DE"/>
        </w:rPr>
        <w:t>des Dokuments</w:t>
      </w:r>
      <w:r w:rsidR="00EB33EB" w:rsidRPr="005728BA">
        <w:rPr>
          <w:lang w:val="de-DE"/>
        </w:rPr>
        <w:t xml:space="preserve"> TWF/46/9</w:t>
      </w:r>
      <w:r w:rsidR="00722A9C" w:rsidRPr="00722A9C">
        <w:rPr>
          <w:szCs w:val="24"/>
          <w:lang w:val="de-DE"/>
        </w:rPr>
        <w:t xml:space="preserve"> </w:t>
      </w:r>
      <w:r w:rsidR="00722A9C" w:rsidRPr="005728BA">
        <w:rPr>
          <w:szCs w:val="24"/>
          <w:lang w:val="de-DE"/>
        </w:rPr>
        <w:t>dargelegt</w:t>
      </w:r>
      <w:r w:rsidR="0026414F" w:rsidRPr="005728BA">
        <w:rPr>
          <w:lang w:val="de-DE"/>
        </w:rPr>
        <w:t xml:space="preserve">. </w:t>
      </w:r>
      <w:r w:rsidR="005E2688" w:rsidRPr="005728BA">
        <w:rPr>
          <w:lang w:val="de-DE"/>
        </w:rPr>
        <w:t xml:space="preserve">Die TWF </w:t>
      </w:r>
      <w:r w:rsidR="00221F3C" w:rsidRPr="005728BA">
        <w:rPr>
          <w:lang w:val="de-DE"/>
        </w:rPr>
        <w:t xml:space="preserve">vereinbarte, </w:t>
      </w:r>
      <w:proofErr w:type="spellStart"/>
      <w:r w:rsidR="00221F3C" w:rsidRPr="005728BA">
        <w:rPr>
          <w:lang w:val="de-DE"/>
        </w:rPr>
        <w:t>daß</w:t>
      </w:r>
      <w:proofErr w:type="spellEnd"/>
      <w:r w:rsidR="00722A9C" w:rsidRPr="00722A9C">
        <w:rPr>
          <w:lang w:val="de-DE"/>
        </w:rPr>
        <w:t xml:space="preserve"> </w:t>
      </w:r>
      <w:r w:rsidR="00722A9C" w:rsidRPr="005728BA">
        <w:rPr>
          <w:lang w:val="de-DE"/>
        </w:rPr>
        <w:t>in dem Dokument</w:t>
      </w:r>
      <w:r w:rsidR="00EB33EB" w:rsidRPr="005728BA">
        <w:rPr>
          <w:lang w:val="de-DE"/>
        </w:rPr>
        <w:t xml:space="preserve"> </w:t>
      </w:r>
      <w:r w:rsidR="00722A9C">
        <w:rPr>
          <w:lang w:val="de-DE"/>
        </w:rPr>
        <w:t>geklärt</w:t>
      </w:r>
      <w:r w:rsidR="0026414F" w:rsidRPr="005728BA">
        <w:rPr>
          <w:lang w:val="de-DE"/>
        </w:rPr>
        <w:t xml:space="preserve"> werden sollte, ob</w:t>
      </w:r>
      <w:r w:rsidR="00EB33EB" w:rsidRPr="005728BA">
        <w:rPr>
          <w:lang w:val="de-DE"/>
        </w:rPr>
        <w:t xml:space="preserve"> </w:t>
      </w:r>
      <w:r w:rsidR="0026414F" w:rsidRPr="005728BA">
        <w:rPr>
          <w:lang w:val="de-DE"/>
        </w:rPr>
        <w:t>die Anleitung</w:t>
      </w:r>
      <w:r w:rsidR="00EB33EB" w:rsidRPr="005728BA">
        <w:rPr>
          <w:lang w:val="de-DE"/>
        </w:rPr>
        <w:t xml:space="preserve"> in </w:t>
      </w:r>
      <w:r w:rsidR="00D64CD2" w:rsidRPr="005728BA">
        <w:rPr>
          <w:lang w:val="de-DE"/>
        </w:rPr>
        <w:t>Anlage</w:t>
      </w:r>
      <w:r w:rsidR="00EB33EB" w:rsidRPr="005728BA">
        <w:rPr>
          <w:lang w:val="de-DE"/>
        </w:rPr>
        <w:t xml:space="preserve"> I </w:t>
      </w:r>
      <w:r w:rsidR="0026414F" w:rsidRPr="005728BA">
        <w:rPr>
          <w:lang w:val="de-DE"/>
        </w:rPr>
        <w:t xml:space="preserve">für die </w:t>
      </w:r>
      <w:r w:rsidR="00267CF8" w:rsidRPr="005728BA">
        <w:rPr>
          <w:lang w:val="de-DE"/>
        </w:rPr>
        <w:t>Kombination der Ergebnisse aus zwei Wachstumsperioden</w:t>
      </w:r>
      <w:r w:rsidR="0026414F" w:rsidRPr="005728BA">
        <w:rPr>
          <w:lang w:val="de-DE"/>
        </w:rPr>
        <w:t xml:space="preserve"> des gleichen Pflanzenmaterials</w:t>
      </w:r>
      <w:r w:rsidR="00EB33EB" w:rsidRPr="005728BA">
        <w:rPr>
          <w:lang w:val="de-DE"/>
        </w:rPr>
        <w:t xml:space="preserve"> (</w:t>
      </w:r>
      <w:r w:rsidR="00A62BEF" w:rsidRPr="005728BA">
        <w:rPr>
          <w:lang w:val="de-DE"/>
        </w:rPr>
        <w:t>mehrjährige Pflanzen</w:t>
      </w:r>
      <w:r w:rsidR="00EB33EB" w:rsidRPr="005728BA">
        <w:rPr>
          <w:lang w:val="de-DE"/>
        </w:rPr>
        <w:t>)</w:t>
      </w:r>
      <w:r w:rsidR="00DF0EAD" w:rsidRPr="00DF0EAD">
        <w:rPr>
          <w:lang w:val="de-DE"/>
        </w:rPr>
        <w:t xml:space="preserve"> </w:t>
      </w:r>
      <w:r w:rsidR="00DF0EAD" w:rsidRPr="005728BA">
        <w:rPr>
          <w:lang w:val="de-DE"/>
        </w:rPr>
        <w:t>vorgesehen ist</w:t>
      </w:r>
      <w:r w:rsidR="00EB33EB" w:rsidRPr="005728BA">
        <w:rPr>
          <w:lang w:val="de-DE"/>
        </w:rPr>
        <w:t xml:space="preserve">. </w:t>
      </w:r>
      <w:r w:rsidR="005E2688" w:rsidRPr="005728BA">
        <w:rPr>
          <w:lang w:val="de-DE"/>
        </w:rPr>
        <w:t xml:space="preserve">Die TWF </w:t>
      </w:r>
      <w:r w:rsidR="00221F3C" w:rsidRPr="005728BA">
        <w:rPr>
          <w:lang w:val="de-DE"/>
        </w:rPr>
        <w:t xml:space="preserve">vereinbarte, </w:t>
      </w:r>
      <w:proofErr w:type="spellStart"/>
      <w:r w:rsidR="00221F3C" w:rsidRPr="005728BA">
        <w:rPr>
          <w:lang w:val="de-DE"/>
        </w:rPr>
        <w:t>daß</w:t>
      </w:r>
      <w:proofErr w:type="spellEnd"/>
      <w:r w:rsidR="00EB33EB" w:rsidRPr="005728BA">
        <w:rPr>
          <w:lang w:val="de-DE"/>
        </w:rPr>
        <w:t xml:space="preserve"> </w:t>
      </w:r>
      <w:r w:rsidR="00A62BEF" w:rsidRPr="005728BA">
        <w:rPr>
          <w:lang w:val="de-DE"/>
        </w:rPr>
        <w:t>das Dokument bei ihrer nächsten Tagung</w:t>
      </w:r>
      <w:r w:rsidR="00DF0EAD" w:rsidRPr="00DF0EAD">
        <w:rPr>
          <w:lang w:val="de-DE"/>
        </w:rPr>
        <w:t xml:space="preserve"> </w:t>
      </w:r>
      <w:r w:rsidR="00DF0EAD" w:rsidRPr="005728BA">
        <w:rPr>
          <w:lang w:val="de-DE"/>
        </w:rPr>
        <w:t>weiter erörtert werden sollte</w:t>
      </w:r>
      <w:r w:rsidR="00EB33EB" w:rsidRPr="005728BA">
        <w:rPr>
          <w:lang w:val="de-DE"/>
        </w:rPr>
        <w:t>.</w:t>
      </w:r>
    </w:p>
    <w:p w:rsidR="00EB33EB" w:rsidRPr="005728BA" w:rsidRDefault="00EB33EB" w:rsidP="00EB33EB">
      <w:pPr>
        <w:rPr>
          <w:lang w:val="de-DE"/>
        </w:rPr>
      </w:pPr>
    </w:p>
    <w:p w:rsidR="00EB33EB" w:rsidRPr="005728BA" w:rsidRDefault="00B73675" w:rsidP="00EB33EB">
      <w:pPr>
        <w:rPr>
          <w:lang w:val="de-DE"/>
        </w:rPr>
      </w:pPr>
      <w:r w:rsidRPr="005728BA">
        <w:rPr>
          <w:rFonts w:eastAsia="SimSun"/>
          <w:lang w:val="de-DE" w:eastAsia="zh-CN"/>
        </w:rPr>
        <w:fldChar w:fldCharType="begin"/>
      </w:r>
      <w:r w:rsidRPr="005728BA">
        <w:rPr>
          <w:rFonts w:eastAsia="SimSun"/>
          <w:lang w:val="de-DE" w:eastAsia="zh-CN"/>
        </w:rPr>
        <w:instrText xml:space="preserve"> AUTONUM  </w:instrText>
      </w:r>
      <w:r w:rsidRPr="005728BA">
        <w:rPr>
          <w:rFonts w:eastAsia="SimSun"/>
          <w:lang w:val="de-DE" w:eastAsia="zh-CN"/>
        </w:rPr>
        <w:fldChar w:fldCharType="end"/>
      </w:r>
      <w:r w:rsidRPr="005728BA">
        <w:rPr>
          <w:rFonts w:eastAsia="SimSun"/>
          <w:lang w:val="de-DE" w:eastAsia="zh-CN"/>
        </w:rPr>
        <w:tab/>
      </w:r>
      <w:r w:rsidR="005E2688" w:rsidRPr="005728BA">
        <w:rPr>
          <w:rFonts w:eastAsia="SimSun"/>
          <w:lang w:val="de-DE" w:eastAsia="zh-CN"/>
        </w:rPr>
        <w:t xml:space="preserve">Die TWF </w:t>
      </w:r>
      <w:r w:rsidR="002A01A8" w:rsidRPr="005728BA">
        <w:rPr>
          <w:rFonts w:eastAsia="SimSun"/>
          <w:lang w:val="de-DE" w:eastAsia="zh-CN"/>
        </w:rPr>
        <w:t>vereinbarte,</w:t>
      </w:r>
      <w:r w:rsidR="00EB33EB" w:rsidRPr="005728BA">
        <w:rPr>
          <w:rFonts w:eastAsia="SimSun"/>
          <w:lang w:val="de-DE" w:eastAsia="zh-CN"/>
        </w:rPr>
        <w:t xml:space="preserve"> </w:t>
      </w:r>
      <w:r w:rsidR="007255D8" w:rsidRPr="005728BA">
        <w:rPr>
          <w:rFonts w:eastAsia="SimSun"/>
          <w:lang w:val="de-DE" w:eastAsia="zh-CN"/>
        </w:rPr>
        <w:t>folgende Änderung</w:t>
      </w:r>
      <w:r w:rsidR="00EB33EB" w:rsidRPr="005728BA">
        <w:rPr>
          <w:rFonts w:eastAsia="SimSun"/>
          <w:lang w:val="de-DE" w:eastAsia="zh-CN"/>
        </w:rPr>
        <w:t xml:space="preserve"> </w:t>
      </w:r>
      <w:r w:rsidR="007255D8" w:rsidRPr="005728BA">
        <w:rPr>
          <w:rFonts w:eastAsia="SimSun"/>
          <w:lang w:val="de-DE" w:eastAsia="zh-CN"/>
        </w:rPr>
        <w:t xml:space="preserve">vorzuschlagen, </w:t>
      </w:r>
      <w:r w:rsidR="00DF0EAD">
        <w:rPr>
          <w:rFonts w:eastAsia="SimSun"/>
          <w:lang w:val="de-DE" w:eastAsia="zh-CN"/>
        </w:rPr>
        <w:t>um</w:t>
      </w:r>
      <w:r w:rsidR="00DF0EAD" w:rsidRPr="005728BA">
        <w:rPr>
          <w:rFonts w:eastAsia="SimSun"/>
          <w:lang w:val="de-DE" w:eastAsia="zh-CN"/>
        </w:rPr>
        <w:t xml:space="preserve"> </w:t>
      </w:r>
      <w:r w:rsidR="007255D8" w:rsidRPr="005728BA">
        <w:rPr>
          <w:rFonts w:eastAsia="SimSun"/>
          <w:lang w:val="de-DE" w:eastAsia="zh-CN"/>
        </w:rPr>
        <w:t>die Entscheidungsregel</w:t>
      </w:r>
      <w:r w:rsidR="00EB33EB" w:rsidRPr="005728BA">
        <w:rPr>
          <w:rFonts w:eastAsia="SimSun"/>
          <w:lang w:val="de-DE" w:eastAsia="zh-CN"/>
        </w:rPr>
        <w:t xml:space="preserve"> in </w:t>
      </w:r>
      <w:r w:rsidR="00D64CD2" w:rsidRPr="005728BA">
        <w:rPr>
          <w:rFonts w:eastAsia="SimSun"/>
          <w:lang w:val="de-DE" w:eastAsia="zh-CN"/>
        </w:rPr>
        <w:t>Anlage</w:t>
      </w:r>
      <w:r w:rsidR="00EB33EB" w:rsidRPr="005728BA">
        <w:rPr>
          <w:rFonts w:eastAsia="SimSun"/>
          <w:lang w:val="de-DE" w:eastAsia="zh-CN"/>
        </w:rPr>
        <w:t xml:space="preserve"> I, </w:t>
      </w:r>
      <w:r w:rsidR="00AC00B2" w:rsidRPr="005728BA">
        <w:rPr>
          <w:rFonts w:eastAsia="SimSun"/>
          <w:lang w:val="de-DE" w:eastAsia="zh-CN"/>
        </w:rPr>
        <w:t>Ansatz</w:t>
      </w:r>
      <w:r w:rsidR="00EB33EB" w:rsidRPr="005728BA">
        <w:rPr>
          <w:rFonts w:eastAsia="SimSun"/>
          <w:lang w:val="de-DE" w:eastAsia="zh-CN"/>
        </w:rPr>
        <w:t> 2</w:t>
      </w:r>
      <w:r w:rsidR="004006EE">
        <w:rPr>
          <w:rFonts w:eastAsia="SimSun"/>
          <w:lang w:val="de-DE" w:eastAsia="zh-CN"/>
        </w:rPr>
        <w:t>,</w:t>
      </w:r>
      <w:r w:rsidR="00DF0EAD">
        <w:rPr>
          <w:rFonts w:eastAsia="SimSun"/>
          <w:lang w:val="de-DE" w:eastAsia="zh-CN"/>
        </w:rPr>
        <w:t xml:space="preserve"> zu klären</w:t>
      </w:r>
      <w:r w:rsidR="00EB33EB" w:rsidRPr="005728BA">
        <w:rPr>
          <w:rFonts w:eastAsia="SimSun"/>
          <w:lang w:val="de-DE" w:eastAsia="zh-CN"/>
        </w:rPr>
        <w:t xml:space="preserve">: </w:t>
      </w:r>
      <w:r w:rsidR="00AE6216" w:rsidRPr="005728BA">
        <w:rPr>
          <w:rFonts w:eastAsia="SimSun"/>
          <w:lang w:val="de-DE" w:eastAsia="zh-CN"/>
        </w:rPr>
        <w:t>„</w:t>
      </w:r>
      <w:r w:rsidR="00EB33EB" w:rsidRPr="005728BA">
        <w:rPr>
          <w:rFonts w:eastAsia="SimSun"/>
          <w:lang w:val="de-DE" w:eastAsia="zh-CN"/>
        </w:rPr>
        <w:t>…</w:t>
      </w:r>
      <w:r w:rsidR="00AE6216" w:rsidRPr="005728BA">
        <w:rPr>
          <w:rFonts w:eastAsia="SimSun"/>
          <w:lang w:val="de-DE" w:eastAsia="zh-CN"/>
        </w:rPr>
        <w:t xml:space="preserve">Eine Sorte wird als homogen betrachtet, wenn die Gesamtzahl der </w:t>
      </w:r>
      <w:proofErr w:type="spellStart"/>
      <w:r w:rsidR="00AE6216" w:rsidRPr="005728BA">
        <w:rPr>
          <w:rFonts w:eastAsia="SimSun"/>
          <w:lang w:val="de-DE" w:eastAsia="zh-CN"/>
        </w:rPr>
        <w:t>Abweicher</w:t>
      </w:r>
      <w:proofErr w:type="spellEnd"/>
      <w:r w:rsidR="00AE6216" w:rsidRPr="005728BA">
        <w:rPr>
          <w:rFonts w:eastAsia="SimSun"/>
          <w:lang w:val="de-DE" w:eastAsia="zh-CN"/>
        </w:rPr>
        <w:t xml:space="preserve"> am Ende der beiden Wachstumsperioden die Anzahl der erlaubten </w:t>
      </w:r>
      <w:proofErr w:type="spellStart"/>
      <w:r w:rsidR="00AE6216" w:rsidRPr="005728BA">
        <w:rPr>
          <w:rFonts w:eastAsia="SimSun"/>
          <w:lang w:val="de-DE" w:eastAsia="zh-CN"/>
        </w:rPr>
        <w:t>Abweicher</w:t>
      </w:r>
      <w:proofErr w:type="spellEnd"/>
      <w:r w:rsidR="00AE6216" w:rsidRPr="005728BA">
        <w:rPr>
          <w:rFonts w:eastAsia="SimSun"/>
          <w:lang w:val="de-DE" w:eastAsia="zh-CN"/>
        </w:rPr>
        <w:t xml:space="preserve"> in der </w:t>
      </w:r>
      <w:r w:rsidR="00AE6216" w:rsidRPr="00C65FC1">
        <w:rPr>
          <w:rFonts w:eastAsia="SimSun"/>
          <w:strike/>
          <w:highlight w:val="lightGray"/>
          <w:lang w:val="de-DE" w:eastAsia="zh-CN"/>
        </w:rPr>
        <w:t>kombinierten</w:t>
      </w:r>
      <w:r w:rsidR="004006EE">
        <w:rPr>
          <w:rFonts w:eastAsia="SimSun"/>
          <w:lang w:val="de-DE" w:eastAsia="zh-CN"/>
        </w:rPr>
        <w:t xml:space="preserve"> </w:t>
      </w:r>
      <w:r w:rsidR="004006EE" w:rsidRPr="00170C91">
        <w:rPr>
          <w:rFonts w:eastAsia="SimSun"/>
          <w:lang w:val="de-DE" w:eastAsia="zh-CN"/>
        </w:rPr>
        <w:t>Probe</w:t>
      </w:r>
      <w:r w:rsidR="004006EE" w:rsidRPr="00170C91">
        <w:rPr>
          <w:rFonts w:eastAsia="SimSun"/>
          <w:highlight w:val="lightGray"/>
          <w:u w:val="single"/>
          <w:lang w:val="de-DE" w:eastAsia="zh-CN"/>
        </w:rPr>
        <w:t>n</w:t>
      </w:r>
      <w:r w:rsidR="004006EE" w:rsidRPr="00170C91">
        <w:rPr>
          <w:rFonts w:cs="Arial"/>
          <w:color w:val="000000"/>
          <w:highlight w:val="lightGray"/>
          <w:u w:val="single"/>
          <w:lang w:val="de-DE"/>
        </w:rPr>
        <w:t>g</w:t>
      </w:r>
      <w:r w:rsidR="007255D8" w:rsidRPr="00170C91">
        <w:rPr>
          <w:rFonts w:cs="Arial"/>
          <w:color w:val="000000"/>
          <w:highlight w:val="lightGray"/>
          <w:u w:val="single"/>
          <w:lang w:val="de-DE"/>
        </w:rPr>
        <w:t>röße</w:t>
      </w:r>
      <w:r w:rsidR="007255D8" w:rsidRPr="005728BA">
        <w:rPr>
          <w:rFonts w:cs="Arial"/>
          <w:color w:val="000000"/>
          <w:highlight w:val="lightGray"/>
          <w:u w:val="single"/>
          <w:lang w:val="de-DE"/>
        </w:rPr>
        <w:t xml:space="preserve"> in den kombinierten Wachstumsperioden 1 und 2</w:t>
      </w:r>
      <w:r w:rsidR="00170C91">
        <w:rPr>
          <w:rFonts w:cs="Arial"/>
          <w:color w:val="000000"/>
          <w:lang w:val="de-DE"/>
        </w:rPr>
        <w:t>“</w:t>
      </w:r>
      <w:r w:rsidR="00DF0EAD" w:rsidRPr="00DF0EAD">
        <w:rPr>
          <w:rFonts w:eastAsia="SimSun"/>
          <w:lang w:val="de-DE" w:eastAsia="zh-CN"/>
        </w:rPr>
        <w:t xml:space="preserve"> </w:t>
      </w:r>
      <w:r w:rsidR="00DF0EAD" w:rsidRPr="005728BA">
        <w:rPr>
          <w:rFonts w:eastAsia="SimSun"/>
          <w:lang w:val="de-DE" w:eastAsia="zh-CN"/>
        </w:rPr>
        <w:t>nicht</w:t>
      </w:r>
      <w:r w:rsidR="00DF0EAD" w:rsidRPr="00DF0EAD">
        <w:rPr>
          <w:rFonts w:eastAsia="SimSun"/>
          <w:lang w:val="de-DE" w:eastAsia="zh-CN"/>
        </w:rPr>
        <w:t xml:space="preserve"> </w:t>
      </w:r>
      <w:r w:rsidR="00DF0EAD" w:rsidRPr="005728BA">
        <w:rPr>
          <w:rFonts w:eastAsia="SimSun"/>
          <w:lang w:val="de-DE" w:eastAsia="zh-CN"/>
        </w:rPr>
        <w:t>übersteigt</w:t>
      </w:r>
      <w:r w:rsidRPr="005728BA">
        <w:rPr>
          <w:rFonts w:cs="Arial"/>
          <w:color w:val="000000"/>
          <w:lang w:val="de-DE"/>
        </w:rPr>
        <w:t xml:space="preserve"> (</w:t>
      </w:r>
      <w:r w:rsidR="00D800D5" w:rsidRPr="005728BA">
        <w:rPr>
          <w:rFonts w:cs="Arial"/>
          <w:color w:val="000000"/>
          <w:lang w:val="de-DE"/>
        </w:rPr>
        <w:t xml:space="preserve">vergleiche Dokument </w:t>
      </w:r>
      <w:r w:rsidRPr="005728BA">
        <w:rPr>
          <w:rFonts w:cs="Arial"/>
          <w:color w:val="000000"/>
          <w:lang w:val="de-DE"/>
        </w:rPr>
        <w:t xml:space="preserve">TWF/46/29 </w:t>
      </w:r>
      <w:r w:rsidR="00B84A2B" w:rsidRPr="005728BA">
        <w:rPr>
          <w:rFonts w:cs="Arial"/>
          <w:color w:val="000000"/>
          <w:lang w:val="de-DE"/>
        </w:rPr>
        <w:t>„Bericht</w:t>
      </w:r>
      <w:r w:rsidR="00AE6216" w:rsidRPr="005728BA">
        <w:rPr>
          <w:rFonts w:cs="Arial"/>
          <w:color w:val="000000"/>
          <w:lang w:val="de-DE"/>
        </w:rPr>
        <w:t>“</w:t>
      </w:r>
      <w:r w:rsidRPr="005728BA">
        <w:rPr>
          <w:rFonts w:cs="Arial"/>
          <w:color w:val="000000"/>
          <w:lang w:val="de-DE"/>
        </w:rPr>
        <w:t xml:space="preserve">, </w:t>
      </w:r>
      <w:r w:rsidR="00B84A2B" w:rsidRPr="005728BA">
        <w:rPr>
          <w:rFonts w:cs="Arial"/>
          <w:color w:val="000000"/>
          <w:lang w:val="de-DE"/>
        </w:rPr>
        <w:t>Absätze</w:t>
      </w:r>
      <w:r w:rsidRPr="005728BA">
        <w:rPr>
          <w:rFonts w:cs="Arial"/>
          <w:color w:val="000000"/>
          <w:lang w:val="de-DE"/>
        </w:rPr>
        <w:t xml:space="preserve"> 55 </w:t>
      </w:r>
      <w:r w:rsidR="00DF0EAD">
        <w:rPr>
          <w:rFonts w:cs="Arial"/>
          <w:color w:val="000000"/>
          <w:lang w:val="de-DE"/>
        </w:rPr>
        <w:t>bis</w:t>
      </w:r>
      <w:r w:rsidRPr="005728BA">
        <w:rPr>
          <w:rFonts w:cs="Arial"/>
          <w:color w:val="000000"/>
          <w:lang w:val="de-DE"/>
        </w:rPr>
        <w:t xml:space="preserve"> 60).</w:t>
      </w:r>
    </w:p>
    <w:p w:rsidR="00CA59E0" w:rsidRPr="005728BA" w:rsidRDefault="008F0399" w:rsidP="00BC4C4D">
      <w:pPr>
        <w:pStyle w:val="Heading3"/>
        <w:rPr>
          <w:lang w:val="de-DE"/>
        </w:rPr>
      </w:pPr>
      <w:bookmarkStart w:id="15" w:name="_Toc442051962"/>
      <w:r w:rsidRPr="005728BA">
        <w:rPr>
          <w:lang w:val="de-DE"/>
        </w:rPr>
        <w:t>Technische Arbeitsgruppe für Zierpflanzen</w:t>
      </w:r>
      <w:bookmarkEnd w:id="15"/>
    </w:p>
    <w:p w:rsidR="00BC4C4D" w:rsidRPr="005728BA" w:rsidRDefault="00BC4C4D" w:rsidP="00B67732">
      <w:pPr>
        <w:keepNext/>
        <w:rPr>
          <w:lang w:val="de-DE"/>
        </w:rPr>
      </w:pPr>
    </w:p>
    <w:p w:rsidR="00BC4C4D" w:rsidRPr="005728BA" w:rsidRDefault="00BC4C4D" w:rsidP="008F0399">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8F0399" w:rsidRPr="005728BA">
        <w:rPr>
          <w:snapToGrid w:val="0"/>
          <w:lang w:val="de-DE"/>
        </w:rPr>
        <w:t>Die TWO prüfte auf ihrer achtundvierzigsten Tagung vom 14. bis 18.</w:t>
      </w:r>
      <w:r w:rsidR="004006EE">
        <w:rPr>
          <w:snapToGrid w:val="0"/>
          <w:lang w:val="de-DE"/>
        </w:rPr>
        <w:t xml:space="preserve"> </w:t>
      </w:r>
      <w:r w:rsidR="008F0399" w:rsidRPr="005728BA">
        <w:rPr>
          <w:snapToGrid w:val="0"/>
          <w:lang w:val="de-DE"/>
        </w:rPr>
        <w:t xml:space="preserve">September 2015 in Cambridge, Vereinigtes Königreich, Dokument </w:t>
      </w:r>
      <w:r w:rsidRPr="005728BA">
        <w:rPr>
          <w:snapToGrid w:val="0"/>
          <w:lang w:val="de-DE"/>
        </w:rPr>
        <w:t xml:space="preserve">TWO/48/9 </w:t>
      </w:r>
      <w:r w:rsidR="00D800D5" w:rsidRPr="005728BA">
        <w:rPr>
          <w:lang w:val="de-DE"/>
        </w:rPr>
        <w:t>„Überarbeitung von</w:t>
      </w:r>
      <w:r w:rsidR="00267CF8" w:rsidRPr="005728BA">
        <w:rPr>
          <w:lang w:val="de-DE"/>
        </w:rPr>
        <w:t xml:space="preserve"> Dokument</w:t>
      </w:r>
      <w:r w:rsidRPr="005728BA">
        <w:rPr>
          <w:lang w:val="de-DE"/>
        </w:rPr>
        <w:t xml:space="preserve"> TGP/10: </w:t>
      </w:r>
      <w:r w:rsidR="00683A78" w:rsidRPr="005728BA">
        <w:rPr>
          <w:lang w:val="de-DE"/>
        </w:rPr>
        <w:t>Neuer Abschnitt</w:t>
      </w:r>
      <w:r w:rsidRPr="005728BA">
        <w:rPr>
          <w:lang w:val="de-DE"/>
        </w:rPr>
        <w:t xml:space="preserve">: </w:t>
      </w:r>
      <w:r w:rsidR="007C2800" w:rsidRPr="005728BA">
        <w:rPr>
          <w:lang w:val="de-DE"/>
        </w:rPr>
        <w:t xml:space="preserve">Prüfung der Homogenität anhand von Abweichern aufgrund von mehr als einer Wachstumsperiode </w:t>
      </w:r>
      <w:r w:rsidR="00D800D5" w:rsidRPr="005728BA">
        <w:rPr>
          <w:lang w:val="de-DE"/>
        </w:rPr>
        <w:t>oder aufgrund von Unterproben</w:t>
      </w:r>
      <w:r w:rsidR="004006EE">
        <w:rPr>
          <w:lang w:val="de-DE"/>
        </w:rPr>
        <w:t>“.</w:t>
      </w:r>
    </w:p>
    <w:p w:rsidR="00BC4C4D" w:rsidRPr="005728BA" w:rsidRDefault="00BC4C4D" w:rsidP="00BF4661">
      <w:pPr>
        <w:rPr>
          <w:lang w:val="de-DE"/>
        </w:rPr>
      </w:pPr>
    </w:p>
    <w:p w:rsidR="00BC4C4D" w:rsidRPr="005728BA" w:rsidRDefault="00BC4C4D" w:rsidP="00BF4661">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8F0399" w:rsidRPr="005728BA">
        <w:rPr>
          <w:lang w:val="de-DE"/>
        </w:rPr>
        <w:t>Die TWO</w:t>
      </w:r>
      <w:r w:rsidRPr="005728BA">
        <w:rPr>
          <w:lang w:val="de-DE"/>
        </w:rPr>
        <w:t xml:space="preserve"> </w:t>
      </w:r>
      <w:r w:rsidR="00543B0C" w:rsidRPr="005728BA">
        <w:rPr>
          <w:lang w:val="de-DE"/>
        </w:rPr>
        <w:t xml:space="preserve">nahm zur Kenntnis, </w:t>
      </w:r>
      <w:proofErr w:type="spellStart"/>
      <w:r w:rsidR="00543B0C" w:rsidRPr="005728BA">
        <w:rPr>
          <w:lang w:val="de-DE"/>
        </w:rPr>
        <w:t>daß</w:t>
      </w:r>
      <w:proofErr w:type="spellEnd"/>
      <w:r w:rsidRPr="005728BA">
        <w:rPr>
          <w:lang w:val="de-DE"/>
        </w:rPr>
        <w:t xml:space="preserve"> </w:t>
      </w:r>
      <w:r w:rsidR="008F0399" w:rsidRPr="005728BA">
        <w:rPr>
          <w:lang w:val="de-DE"/>
        </w:rPr>
        <w:t xml:space="preserve">bei der </w:t>
      </w:r>
      <w:r w:rsidR="004974C2" w:rsidRPr="005728BA">
        <w:rPr>
          <w:lang w:val="de-DE"/>
        </w:rPr>
        <w:t>Prüfung der Homogenität</w:t>
      </w:r>
      <w:r w:rsidR="008F0399" w:rsidRPr="005728BA">
        <w:rPr>
          <w:lang w:val="de-DE"/>
        </w:rPr>
        <w:t xml:space="preserve"> anhand von Abweicher</w:t>
      </w:r>
      <w:r w:rsidR="00DF0EAD">
        <w:rPr>
          <w:lang w:val="de-DE"/>
        </w:rPr>
        <w:t>n</w:t>
      </w:r>
      <w:r w:rsidR="008F0399" w:rsidRPr="005728BA">
        <w:rPr>
          <w:lang w:val="de-DE"/>
        </w:rPr>
        <w:t xml:space="preserve"> </w:t>
      </w:r>
      <w:r w:rsidR="007C2800" w:rsidRPr="005728BA">
        <w:rPr>
          <w:lang w:val="de-DE"/>
        </w:rPr>
        <w:t>an den gleichen Pflanzen in zwei Wachstumsperioden</w:t>
      </w:r>
      <w:r w:rsidRPr="005728BA">
        <w:rPr>
          <w:lang w:val="de-DE"/>
        </w:rPr>
        <w:t xml:space="preserve"> </w:t>
      </w:r>
      <w:r w:rsidR="008F0399" w:rsidRPr="005728BA">
        <w:rPr>
          <w:lang w:val="de-DE"/>
        </w:rPr>
        <w:t>die gleichen</w:t>
      </w:r>
      <w:r w:rsidR="00DF0EAD">
        <w:rPr>
          <w:lang w:val="de-DE"/>
        </w:rPr>
        <w:t xml:space="preserve"> in der ersten</w:t>
      </w:r>
      <w:r w:rsidRPr="005728BA">
        <w:rPr>
          <w:lang w:val="de-DE"/>
        </w:rPr>
        <w:t xml:space="preserve"> </w:t>
      </w:r>
      <w:r w:rsidR="00D91ED1" w:rsidRPr="005728BA">
        <w:rPr>
          <w:lang w:val="de-DE"/>
        </w:rPr>
        <w:t>Wachstumsperiode</w:t>
      </w:r>
      <w:r w:rsidRPr="005728BA">
        <w:rPr>
          <w:lang w:val="de-DE"/>
        </w:rPr>
        <w:t xml:space="preserve"> </w:t>
      </w:r>
      <w:proofErr w:type="spellStart"/>
      <w:r w:rsidR="00CF79DA" w:rsidRPr="005728BA">
        <w:rPr>
          <w:lang w:val="de-DE"/>
        </w:rPr>
        <w:t>erfaßten</w:t>
      </w:r>
      <w:proofErr w:type="spellEnd"/>
      <w:r w:rsidR="004006EE" w:rsidRPr="004006EE">
        <w:rPr>
          <w:lang w:val="de-DE"/>
        </w:rPr>
        <w:t xml:space="preserve"> </w:t>
      </w:r>
      <w:proofErr w:type="spellStart"/>
      <w:r w:rsidR="004006EE" w:rsidRPr="005728BA">
        <w:rPr>
          <w:lang w:val="de-DE"/>
        </w:rPr>
        <w:t>Abweicher</w:t>
      </w:r>
      <w:proofErr w:type="spellEnd"/>
      <w:r w:rsidR="00170C91">
        <w:rPr>
          <w:lang w:val="de-DE"/>
        </w:rPr>
        <w:t>,</w:t>
      </w:r>
      <w:r w:rsidR="00CF79DA" w:rsidRPr="005728BA">
        <w:rPr>
          <w:lang w:val="de-DE"/>
        </w:rPr>
        <w:t xml:space="preserve"> </w:t>
      </w:r>
      <w:r w:rsidR="004006EE" w:rsidRPr="005728BA">
        <w:rPr>
          <w:lang w:val="de-DE"/>
        </w:rPr>
        <w:t>zusätzlich zu jeglichen anderen nur in der zweiten Wachstumsperiode</w:t>
      </w:r>
      <w:r w:rsidR="004006EE" w:rsidRPr="00CF79DA">
        <w:rPr>
          <w:lang w:val="de-DE"/>
        </w:rPr>
        <w:t xml:space="preserve"> </w:t>
      </w:r>
      <w:proofErr w:type="spellStart"/>
      <w:r w:rsidR="004006EE" w:rsidRPr="005728BA">
        <w:rPr>
          <w:lang w:val="de-DE"/>
        </w:rPr>
        <w:t>erfaßten</w:t>
      </w:r>
      <w:proofErr w:type="spellEnd"/>
      <w:r w:rsidR="004006EE" w:rsidRPr="005728BA">
        <w:rPr>
          <w:lang w:val="de-DE"/>
        </w:rPr>
        <w:t xml:space="preserve"> Abweichern</w:t>
      </w:r>
      <w:r w:rsidR="00170C91">
        <w:rPr>
          <w:lang w:val="de-DE"/>
        </w:rPr>
        <w:t>,</w:t>
      </w:r>
      <w:r w:rsidR="004006EE" w:rsidRPr="005728BA">
        <w:rPr>
          <w:lang w:val="de-DE"/>
        </w:rPr>
        <w:t xml:space="preserve"> </w:t>
      </w:r>
      <w:r w:rsidR="008F0399" w:rsidRPr="005728BA">
        <w:rPr>
          <w:lang w:val="de-DE"/>
        </w:rPr>
        <w:t>in der zweiten</w:t>
      </w:r>
      <w:r w:rsidRPr="005728BA">
        <w:rPr>
          <w:lang w:val="de-DE"/>
        </w:rPr>
        <w:t xml:space="preserve"> </w:t>
      </w:r>
      <w:r w:rsidR="00D91ED1" w:rsidRPr="005728BA">
        <w:rPr>
          <w:lang w:val="de-DE"/>
        </w:rPr>
        <w:t>Wachstumsperiode</w:t>
      </w:r>
      <w:r w:rsidR="004006EE">
        <w:rPr>
          <w:lang w:val="de-DE"/>
        </w:rPr>
        <w:t xml:space="preserve"> </w:t>
      </w:r>
      <w:r w:rsidR="00170C91" w:rsidRPr="005728BA">
        <w:rPr>
          <w:lang w:val="de-DE"/>
        </w:rPr>
        <w:t xml:space="preserve">immer noch </w:t>
      </w:r>
      <w:proofErr w:type="spellStart"/>
      <w:r w:rsidR="00170C91" w:rsidRPr="005728BA">
        <w:rPr>
          <w:lang w:val="de-DE"/>
        </w:rPr>
        <w:t>Abweicher</w:t>
      </w:r>
      <w:proofErr w:type="spellEnd"/>
      <w:r w:rsidR="00170C91" w:rsidRPr="005728BA">
        <w:rPr>
          <w:lang w:val="de-DE"/>
        </w:rPr>
        <w:t xml:space="preserve"> </w:t>
      </w:r>
      <w:r w:rsidR="004006EE">
        <w:rPr>
          <w:lang w:val="de-DE"/>
        </w:rPr>
        <w:t>wären,</w:t>
      </w:r>
      <w:r w:rsidRPr="005728BA">
        <w:rPr>
          <w:lang w:val="de-DE"/>
        </w:rPr>
        <w:t xml:space="preserve"> </w:t>
      </w:r>
      <w:r w:rsidR="00D800D5" w:rsidRPr="005728BA">
        <w:rPr>
          <w:lang w:val="de-DE"/>
        </w:rPr>
        <w:t xml:space="preserve">und </w:t>
      </w:r>
      <w:r w:rsidR="00221F3C" w:rsidRPr="005728BA">
        <w:rPr>
          <w:lang w:val="de-DE"/>
        </w:rPr>
        <w:t xml:space="preserve">vereinbarte, </w:t>
      </w:r>
      <w:proofErr w:type="spellStart"/>
      <w:r w:rsidR="00221F3C" w:rsidRPr="005728BA">
        <w:rPr>
          <w:lang w:val="de-DE"/>
        </w:rPr>
        <w:t>daß</w:t>
      </w:r>
      <w:proofErr w:type="spellEnd"/>
      <w:r w:rsidRPr="005728BA">
        <w:rPr>
          <w:lang w:val="de-DE"/>
        </w:rPr>
        <w:t xml:space="preserve"> </w:t>
      </w:r>
      <w:r w:rsidR="008F0399" w:rsidRPr="005728BA">
        <w:rPr>
          <w:lang w:val="de-DE"/>
        </w:rPr>
        <w:t>eine Kombination der Probengrößen</w:t>
      </w:r>
      <w:r w:rsidRPr="005728BA">
        <w:rPr>
          <w:lang w:val="de-DE"/>
        </w:rPr>
        <w:t xml:space="preserve"> </w:t>
      </w:r>
      <w:r w:rsidR="008F0399" w:rsidRPr="005728BA">
        <w:rPr>
          <w:lang w:val="de-DE"/>
        </w:rPr>
        <w:t>in beiden Wachstumsperioden</w:t>
      </w:r>
      <w:r w:rsidR="00170C91">
        <w:rPr>
          <w:lang w:val="de-DE"/>
        </w:rPr>
        <w:t xml:space="preserve"> </w:t>
      </w:r>
      <w:r w:rsidR="00170C91" w:rsidRPr="005728BA">
        <w:rPr>
          <w:lang w:val="de-DE"/>
        </w:rPr>
        <w:t>bei Zierpflanzen</w:t>
      </w:r>
      <w:r w:rsidRPr="005728BA">
        <w:rPr>
          <w:lang w:val="de-DE"/>
        </w:rPr>
        <w:t xml:space="preserve"> </w:t>
      </w:r>
      <w:r w:rsidR="008F0399" w:rsidRPr="005728BA">
        <w:rPr>
          <w:lang w:val="de-DE"/>
        </w:rPr>
        <w:t>nicht nützlich</w:t>
      </w:r>
      <w:r w:rsidRPr="005728BA">
        <w:rPr>
          <w:lang w:val="de-DE"/>
        </w:rPr>
        <w:t xml:space="preserve"> </w:t>
      </w:r>
      <w:r w:rsidR="00267CF8" w:rsidRPr="005728BA">
        <w:rPr>
          <w:lang w:val="de-DE"/>
        </w:rPr>
        <w:t>für die Prüfung der Homogenität anhand von Abweichern</w:t>
      </w:r>
      <w:r w:rsidRPr="005728BA">
        <w:rPr>
          <w:lang w:val="de-DE"/>
        </w:rPr>
        <w:t xml:space="preserve"> </w:t>
      </w:r>
      <w:r w:rsidR="008F0399" w:rsidRPr="005728BA">
        <w:rPr>
          <w:lang w:val="de-DE"/>
        </w:rPr>
        <w:t>sei</w:t>
      </w:r>
      <w:r w:rsidRPr="005728BA">
        <w:rPr>
          <w:lang w:val="de-DE"/>
        </w:rPr>
        <w:t xml:space="preserve">. </w:t>
      </w:r>
    </w:p>
    <w:p w:rsidR="00BC4C4D" w:rsidRPr="005728BA" w:rsidRDefault="00BC4C4D" w:rsidP="00BF4661">
      <w:pPr>
        <w:rPr>
          <w:lang w:val="de-DE"/>
        </w:rPr>
      </w:pPr>
    </w:p>
    <w:p w:rsidR="00BC4C4D" w:rsidRPr="005728BA" w:rsidRDefault="00BC4C4D" w:rsidP="00BF4661">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8F0399" w:rsidRPr="005728BA">
        <w:rPr>
          <w:lang w:val="de-DE"/>
        </w:rPr>
        <w:t>Die TWO</w:t>
      </w:r>
      <w:r w:rsidRPr="005728BA">
        <w:rPr>
          <w:lang w:val="de-DE"/>
        </w:rPr>
        <w:t xml:space="preserve"> </w:t>
      </w:r>
      <w:r w:rsidR="00221F3C" w:rsidRPr="005728BA">
        <w:rPr>
          <w:lang w:val="de-DE"/>
        </w:rPr>
        <w:t xml:space="preserve">vereinbarte, </w:t>
      </w:r>
      <w:proofErr w:type="spellStart"/>
      <w:r w:rsidR="00221F3C" w:rsidRPr="005728BA">
        <w:rPr>
          <w:lang w:val="de-DE"/>
        </w:rPr>
        <w:t>daß</w:t>
      </w:r>
      <w:proofErr w:type="spellEnd"/>
      <w:r w:rsidRPr="005728BA">
        <w:rPr>
          <w:lang w:val="de-DE"/>
        </w:rPr>
        <w:t xml:space="preserve"> in </w:t>
      </w:r>
      <w:r w:rsidR="00683A78" w:rsidRPr="005728BA">
        <w:rPr>
          <w:lang w:val="de-DE"/>
        </w:rPr>
        <w:t>Dokument</w:t>
      </w:r>
      <w:r w:rsidRPr="005728BA">
        <w:rPr>
          <w:lang w:val="de-DE"/>
        </w:rPr>
        <w:t xml:space="preserve"> TWO/48/9</w:t>
      </w:r>
      <w:r w:rsidR="00CF79DA" w:rsidRPr="00CF79DA">
        <w:rPr>
          <w:lang w:val="de-DE"/>
        </w:rPr>
        <w:t xml:space="preserve"> </w:t>
      </w:r>
      <w:r w:rsidR="00CF79DA">
        <w:rPr>
          <w:lang w:val="de-DE"/>
        </w:rPr>
        <w:t>geklärt</w:t>
      </w:r>
      <w:r w:rsidR="00CF79DA" w:rsidRPr="005728BA">
        <w:rPr>
          <w:lang w:val="de-DE"/>
        </w:rPr>
        <w:t xml:space="preserve"> werden sollte</w:t>
      </w:r>
      <w:r w:rsidR="00CF79DA">
        <w:rPr>
          <w:lang w:val="de-DE"/>
        </w:rPr>
        <w:t>,</w:t>
      </w:r>
      <w:r w:rsidRPr="005728BA">
        <w:rPr>
          <w:lang w:val="de-DE"/>
        </w:rPr>
        <w:t xml:space="preserve"> </w:t>
      </w:r>
      <w:proofErr w:type="spellStart"/>
      <w:r w:rsidR="009D6210" w:rsidRPr="005728BA">
        <w:rPr>
          <w:lang w:val="de-DE"/>
        </w:rPr>
        <w:t>daß</w:t>
      </w:r>
      <w:proofErr w:type="spellEnd"/>
      <w:r w:rsidR="009D6210" w:rsidRPr="005728BA">
        <w:rPr>
          <w:lang w:val="de-DE"/>
        </w:rPr>
        <w:t xml:space="preserve"> </w:t>
      </w:r>
      <w:r w:rsidR="008F0399" w:rsidRPr="005728BA">
        <w:rPr>
          <w:lang w:val="de-DE"/>
        </w:rPr>
        <w:t>die erteilte Anleitung</w:t>
      </w:r>
      <w:r w:rsidR="00CF79DA">
        <w:rPr>
          <w:lang w:val="de-DE"/>
        </w:rPr>
        <w:t xml:space="preserve"> nicht</w:t>
      </w:r>
      <w:r w:rsidRPr="005728BA">
        <w:rPr>
          <w:lang w:val="de-DE"/>
        </w:rPr>
        <w:t xml:space="preserve"> </w:t>
      </w:r>
      <w:r w:rsidR="008F0399" w:rsidRPr="005728BA">
        <w:rPr>
          <w:lang w:val="de-DE"/>
        </w:rPr>
        <w:t xml:space="preserve">für die </w:t>
      </w:r>
      <w:r w:rsidR="00F57940">
        <w:rPr>
          <w:lang w:val="de-DE"/>
        </w:rPr>
        <w:t xml:space="preserve">Verwendung zur Prüfung </w:t>
      </w:r>
      <w:r w:rsidR="00267CF8" w:rsidRPr="005728BA">
        <w:rPr>
          <w:lang w:val="de-DE"/>
        </w:rPr>
        <w:t>der Homogenität anhand von Abweichern</w:t>
      </w:r>
      <w:r w:rsidRPr="005728BA">
        <w:rPr>
          <w:lang w:val="de-DE"/>
        </w:rPr>
        <w:t xml:space="preserve"> </w:t>
      </w:r>
      <w:r w:rsidR="007C2800" w:rsidRPr="005728BA">
        <w:rPr>
          <w:lang w:val="de-DE"/>
        </w:rPr>
        <w:t>an den gleichen Pflanzen in zwei Wachstumsperioden</w:t>
      </w:r>
      <w:r w:rsidR="00CF79DA" w:rsidRPr="00CF79DA">
        <w:rPr>
          <w:lang w:val="de-DE"/>
        </w:rPr>
        <w:t xml:space="preserve"> </w:t>
      </w:r>
      <w:r w:rsidR="00CF79DA" w:rsidRPr="005728BA">
        <w:rPr>
          <w:lang w:val="de-DE"/>
        </w:rPr>
        <w:t>vorgesehen</w:t>
      </w:r>
      <w:r w:rsidR="00CF79DA">
        <w:rPr>
          <w:lang w:val="de-DE"/>
        </w:rPr>
        <w:t xml:space="preserve"> </w:t>
      </w:r>
      <w:r w:rsidR="004006EE">
        <w:rPr>
          <w:lang w:val="de-DE"/>
        </w:rPr>
        <w:t>ist</w:t>
      </w:r>
      <w:r w:rsidRPr="005728BA">
        <w:rPr>
          <w:lang w:val="de-DE"/>
        </w:rPr>
        <w:t xml:space="preserve">. </w:t>
      </w:r>
    </w:p>
    <w:p w:rsidR="00BC4C4D" w:rsidRPr="005728BA" w:rsidRDefault="00BC4C4D" w:rsidP="00BF4661">
      <w:pPr>
        <w:rPr>
          <w:lang w:val="de-DE"/>
        </w:rPr>
      </w:pPr>
    </w:p>
    <w:p w:rsidR="00BC4C4D" w:rsidRPr="005728BA" w:rsidRDefault="00BC4C4D" w:rsidP="00BF4661">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8F0399" w:rsidRPr="005728BA">
        <w:rPr>
          <w:lang w:val="de-DE"/>
        </w:rPr>
        <w:t>Die TWO</w:t>
      </w:r>
      <w:r w:rsidRPr="005728BA">
        <w:rPr>
          <w:lang w:val="de-DE"/>
        </w:rPr>
        <w:t xml:space="preserve"> </w:t>
      </w:r>
      <w:r w:rsidR="008F0399" w:rsidRPr="005728BA">
        <w:rPr>
          <w:lang w:val="de-DE"/>
        </w:rPr>
        <w:t>vereinbarte auch</w:t>
      </w:r>
      <w:r w:rsidR="00221F3C" w:rsidRPr="005728BA">
        <w:rPr>
          <w:lang w:val="de-DE"/>
        </w:rPr>
        <w:t xml:space="preserve">, </w:t>
      </w:r>
      <w:proofErr w:type="spellStart"/>
      <w:r w:rsidR="00221F3C" w:rsidRPr="005728BA">
        <w:rPr>
          <w:lang w:val="de-DE"/>
        </w:rPr>
        <w:t>daß</w:t>
      </w:r>
      <w:proofErr w:type="spellEnd"/>
      <w:r w:rsidRPr="005728BA">
        <w:rPr>
          <w:lang w:val="de-DE"/>
        </w:rPr>
        <w:t xml:space="preserve"> </w:t>
      </w:r>
      <w:r w:rsidR="008F0399" w:rsidRPr="005728BA">
        <w:rPr>
          <w:lang w:val="de-DE"/>
        </w:rPr>
        <w:t xml:space="preserve">die Anzahlen </w:t>
      </w:r>
      <w:r w:rsidR="004006EE">
        <w:rPr>
          <w:lang w:val="de-DE"/>
        </w:rPr>
        <w:t>der</w:t>
      </w:r>
      <w:r w:rsidRPr="005728BA">
        <w:rPr>
          <w:lang w:val="de-DE"/>
        </w:rPr>
        <w:t xml:space="preserve"> </w:t>
      </w:r>
      <w:proofErr w:type="spellStart"/>
      <w:r w:rsidR="004006EE">
        <w:rPr>
          <w:lang w:val="de-DE"/>
        </w:rPr>
        <w:t>Abweiche</w:t>
      </w:r>
      <w:r w:rsidR="00170C91">
        <w:rPr>
          <w:lang w:val="de-DE"/>
        </w:rPr>
        <w:t>r</w:t>
      </w:r>
      <w:proofErr w:type="spellEnd"/>
      <w:r w:rsidRPr="005728BA">
        <w:rPr>
          <w:lang w:val="de-DE"/>
        </w:rPr>
        <w:t xml:space="preserve"> in </w:t>
      </w:r>
      <w:r w:rsidR="008F0399" w:rsidRPr="005728BA">
        <w:rPr>
          <w:lang w:val="de-DE"/>
        </w:rPr>
        <w:t xml:space="preserve">den </w:t>
      </w:r>
      <w:r w:rsidRPr="005728BA">
        <w:rPr>
          <w:lang w:val="de-DE"/>
        </w:rPr>
        <w:t xml:space="preserve">in </w:t>
      </w:r>
      <w:r w:rsidR="00D64CD2" w:rsidRPr="005728BA">
        <w:rPr>
          <w:lang w:val="de-DE"/>
        </w:rPr>
        <w:t>Anlage</w:t>
      </w:r>
      <w:r w:rsidRPr="005728BA">
        <w:rPr>
          <w:lang w:val="de-DE"/>
        </w:rPr>
        <w:t xml:space="preserve"> I</w:t>
      </w:r>
      <w:r w:rsidR="008F0399" w:rsidRPr="005728BA">
        <w:rPr>
          <w:lang w:val="de-DE"/>
        </w:rPr>
        <w:t xml:space="preserve"> aufgeführten Beispielen</w:t>
      </w:r>
      <w:r w:rsidRPr="005728BA">
        <w:rPr>
          <w:lang w:val="de-DE"/>
        </w:rPr>
        <w:t xml:space="preserve">, </w:t>
      </w:r>
      <w:r w:rsidR="00CF79DA">
        <w:rPr>
          <w:lang w:val="de-DE"/>
        </w:rPr>
        <w:t>S</w:t>
      </w:r>
      <w:r w:rsidR="008F0399" w:rsidRPr="005728BA">
        <w:rPr>
          <w:lang w:val="de-DE"/>
        </w:rPr>
        <w:t>palte</w:t>
      </w:r>
      <w:r w:rsidR="00170C91" w:rsidRPr="00170C91">
        <w:rPr>
          <w:lang w:val="de-DE"/>
        </w:rPr>
        <w:t xml:space="preserve"> </w:t>
      </w:r>
      <w:r w:rsidR="00170C91" w:rsidRPr="005728BA">
        <w:rPr>
          <w:lang w:val="de-DE"/>
        </w:rPr>
        <w:t>zweite Wachstumsperiode</w:t>
      </w:r>
      <w:r w:rsidRPr="005728BA">
        <w:rPr>
          <w:lang w:val="de-DE"/>
        </w:rPr>
        <w:t xml:space="preserve">, </w:t>
      </w:r>
      <w:r w:rsidR="008F0399" w:rsidRPr="005728BA">
        <w:rPr>
          <w:lang w:val="de-DE"/>
        </w:rPr>
        <w:t>Zeilen</w:t>
      </w:r>
      <w:r w:rsidRPr="005728BA">
        <w:rPr>
          <w:lang w:val="de-DE"/>
        </w:rPr>
        <w:t xml:space="preserve"> 2</w:t>
      </w:r>
      <w:r w:rsidR="00D800D5" w:rsidRPr="005728BA">
        <w:rPr>
          <w:lang w:val="de-DE"/>
        </w:rPr>
        <w:t xml:space="preserve"> und </w:t>
      </w:r>
      <w:r w:rsidRPr="005728BA">
        <w:rPr>
          <w:lang w:val="de-DE"/>
        </w:rPr>
        <w:t>3 (</w:t>
      </w:r>
      <w:r w:rsidR="000F603F" w:rsidRPr="005728BA">
        <w:rPr>
          <w:lang w:val="de-DE"/>
        </w:rPr>
        <w:t xml:space="preserve">Anzahl an </w:t>
      </w:r>
      <w:r w:rsidR="00221F3C" w:rsidRPr="005728BA">
        <w:rPr>
          <w:lang w:val="de-DE"/>
        </w:rPr>
        <w:t>Abweichern</w:t>
      </w:r>
      <w:r w:rsidRPr="005728BA">
        <w:rPr>
          <w:lang w:val="de-DE"/>
        </w:rPr>
        <w:t xml:space="preserve"> = 3), </w:t>
      </w:r>
      <w:r w:rsidR="00CF79DA">
        <w:rPr>
          <w:lang w:val="de-DE"/>
        </w:rPr>
        <w:t>mit ein</w:t>
      </w:r>
      <w:r w:rsidR="00235FD7">
        <w:rPr>
          <w:lang w:val="de-DE"/>
        </w:rPr>
        <w:t>e</w:t>
      </w:r>
      <w:r w:rsidR="00CF79DA">
        <w:rPr>
          <w:lang w:val="de-DE"/>
        </w:rPr>
        <w:t>m</w:t>
      </w:r>
      <w:r w:rsidR="00CF79DA" w:rsidRPr="005728BA">
        <w:rPr>
          <w:lang w:val="de-DE"/>
        </w:rPr>
        <w:t xml:space="preserve"> </w:t>
      </w:r>
      <w:r w:rsidR="008F0399" w:rsidRPr="005728BA">
        <w:rPr>
          <w:lang w:val="de-DE"/>
        </w:rPr>
        <w:t xml:space="preserve">Sternchen versehen </w:t>
      </w:r>
      <w:r w:rsidR="00170C91">
        <w:rPr>
          <w:lang w:val="de-DE"/>
        </w:rPr>
        <w:t xml:space="preserve">werden sollte, um anzugeben, </w:t>
      </w:r>
      <w:proofErr w:type="spellStart"/>
      <w:r w:rsidR="00170C91">
        <w:rPr>
          <w:lang w:val="de-DE"/>
        </w:rPr>
        <w:t>daß</w:t>
      </w:r>
      <w:proofErr w:type="spellEnd"/>
      <w:r w:rsidR="00170C91">
        <w:rPr>
          <w:lang w:val="de-DE"/>
        </w:rPr>
        <w:t xml:space="preserve"> b</w:t>
      </w:r>
      <w:r w:rsidR="008F0399" w:rsidRPr="005728BA">
        <w:rPr>
          <w:lang w:val="de-DE"/>
        </w:rPr>
        <w:t>ei der Prüfung von Ergebnissen, die in jeder der Wachstumsperioden sehr unterschiedlich sind, mit größter Sorgfalt verfahren werden</w:t>
      </w:r>
      <w:r w:rsidR="00CF79DA" w:rsidRPr="00CF79DA">
        <w:rPr>
          <w:lang w:val="de-DE"/>
        </w:rPr>
        <w:t xml:space="preserve"> </w:t>
      </w:r>
      <w:proofErr w:type="spellStart"/>
      <w:r w:rsidR="00CF79DA" w:rsidRPr="005728BA">
        <w:rPr>
          <w:lang w:val="de-DE"/>
        </w:rPr>
        <w:t>muß</w:t>
      </w:r>
      <w:proofErr w:type="spellEnd"/>
      <w:r w:rsidR="008F0399" w:rsidRPr="005728BA">
        <w:rPr>
          <w:lang w:val="de-DE"/>
        </w:rPr>
        <w:t xml:space="preserve">, etwa wenn ein </w:t>
      </w:r>
      <w:proofErr w:type="spellStart"/>
      <w:r w:rsidR="004006EE">
        <w:rPr>
          <w:lang w:val="de-DE"/>
        </w:rPr>
        <w:t>Abweichertyp</w:t>
      </w:r>
      <w:proofErr w:type="spellEnd"/>
      <w:r w:rsidR="008F0399" w:rsidRPr="005728BA">
        <w:rPr>
          <w:lang w:val="de-DE"/>
        </w:rPr>
        <w:t xml:space="preserve"> in einer Wachstumsperiode sehr häufig und in einer anderen überhaupt nicht vorkommt</w:t>
      </w:r>
      <w:r w:rsidR="004006EE">
        <w:rPr>
          <w:lang w:val="de-DE"/>
        </w:rPr>
        <w:t>.“</w:t>
      </w:r>
    </w:p>
    <w:p w:rsidR="008F0399" w:rsidRDefault="008F0399" w:rsidP="00BF4661">
      <w:pPr>
        <w:rPr>
          <w:lang w:val="de-DE"/>
        </w:rPr>
      </w:pPr>
    </w:p>
    <w:p w:rsidR="00B67732" w:rsidRPr="005728BA" w:rsidRDefault="00B67732" w:rsidP="00BF4661">
      <w:pPr>
        <w:rPr>
          <w:lang w:val="de-DE"/>
        </w:rPr>
      </w:pPr>
    </w:p>
    <w:p w:rsidR="00BF4661" w:rsidRPr="005728BA" w:rsidRDefault="00CD6904" w:rsidP="00BF4661">
      <w:pPr>
        <w:pStyle w:val="Heading1"/>
        <w:rPr>
          <w:lang w:val="de-DE"/>
        </w:rPr>
      </w:pPr>
      <w:bookmarkStart w:id="16" w:name="_Toc442051963"/>
      <w:r w:rsidRPr="005728BA">
        <w:rPr>
          <w:lang w:val="de-DE"/>
        </w:rPr>
        <w:t>ZUSAMMENFASSUNG DER</w:t>
      </w:r>
      <w:r w:rsidR="00BF4661" w:rsidRPr="005728BA">
        <w:rPr>
          <w:lang w:val="de-DE"/>
        </w:rPr>
        <w:t xml:space="preserve"> </w:t>
      </w:r>
      <w:r w:rsidR="00221F3C" w:rsidRPr="005728BA">
        <w:rPr>
          <w:lang w:val="de-DE"/>
        </w:rPr>
        <w:t>Ansätze</w:t>
      </w:r>
      <w:bookmarkEnd w:id="6"/>
      <w:bookmarkEnd w:id="16"/>
    </w:p>
    <w:p w:rsidR="00BF4661" w:rsidRPr="005728BA" w:rsidRDefault="00BF4661" w:rsidP="00BF4661">
      <w:pPr>
        <w:keepNext/>
        <w:rPr>
          <w:rFonts w:cs="Arial"/>
          <w:caps/>
          <w:snapToGrid w:val="0"/>
          <w:lang w:val="de-DE"/>
        </w:rPr>
      </w:pPr>
    </w:p>
    <w:p w:rsidR="00BF4661" w:rsidRPr="005728BA" w:rsidRDefault="00BF4661" w:rsidP="00BF4661">
      <w:pPr>
        <w:keepNext/>
        <w:rPr>
          <w:szCs w:val="24"/>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CF79DA">
        <w:rPr>
          <w:lang w:val="de-DE"/>
        </w:rPr>
        <w:t>D</w:t>
      </w:r>
      <w:r w:rsidR="00AC00B2" w:rsidRPr="005728BA">
        <w:rPr>
          <w:szCs w:val="24"/>
          <w:lang w:val="de-DE"/>
        </w:rPr>
        <w:t xml:space="preserve">ie </w:t>
      </w:r>
      <w:r w:rsidR="00170C91">
        <w:rPr>
          <w:szCs w:val="24"/>
          <w:lang w:val="de-DE"/>
        </w:rPr>
        <w:t>Anlagen I und II</w:t>
      </w:r>
      <w:r w:rsidR="00AC00B2" w:rsidRPr="005728BA">
        <w:rPr>
          <w:szCs w:val="24"/>
          <w:lang w:val="de-DE"/>
        </w:rPr>
        <w:t xml:space="preserve"> dieses Dokuments fassen verschiedene Situationen</w:t>
      </w:r>
      <w:r w:rsidR="004006EE">
        <w:rPr>
          <w:szCs w:val="24"/>
          <w:lang w:val="de-DE"/>
        </w:rPr>
        <w:t xml:space="preserve"> zusammen</w:t>
      </w:r>
      <w:r w:rsidR="00AC00B2" w:rsidRPr="005728BA">
        <w:rPr>
          <w:szCs w:val="24"/>
          <w:lang w:val="de-DE"/>
        </w:rPr>
        <w:t>, in denen unterschiedliche Proben für die Gesamtprüfung der Homogenität einer Sorte gemäß den Entschließungen des TC auf seiner ein</w:t>
      </w:r>
      <w:r w:rsidR="00235FD7">
        <w:rPr>
          <w:szCs w:val="24"/>
          <w:lang w:val="de-DE"/>
        </w:rPr>
        <w:t>und</w:t>
      </w:r>
      <w:r w:rsidR="00AC00B2" w:rsidRPr="005728BA">
        <w:rPr>
          <w:szCs w:val="24"/>
          <w:lang w:val="de-DE"/>
        </w:rPr>
        <w:t xml:space="preserve">fünfzigsten Tagung auf der Grundlage der </w:t>
      </w:r>
      <w:r w:rsidR="00CF79DA">
        <w:rPr>
          <w:szCs w:val="24"/>
          <w:lang w:val="de-DE"/>
        </w:rPr>
        <w:t xml:space="preserve">Vorschläge </w:t>
      </w:r>
      <w:r w:rsidR="00AC00B2" w:rsidRPr="005728BA">
        <w:rPr>
          <w:szCs w:val="24"/>
          <w:lang w:val="de-DE"/>
        </w:rPr>
        <w:t>von den TWP auf ihren Tagungen im Jahr 2015</w:t>
      </w:r>
      <w:r w:rsidR="00CF79DA">
        <w:rPr>
          <w:szCs w:val="24"/>
          <w:lang w:val="de-DE"/>
        </w:rPr>
        <w:t xml:space="preserve"> kombiniert werden, wie folgt</w:t>
      </w:r>
      <w:r w:rsidRPr="005728BA">
        <w:rPr>
          <w:szCs w:val="24"/>
          <w:lang w:val="de-DE"/>
        </w:rPr>
        <w:t>:</w:t>
      </w:r>
    </w:p>
    <w:p w:rsidR="005B35D0" w:rsidRPr="005728BA" w:rsidRDefault="005B35D0" w:rsidP="00BF4661">
      <w:pPr>
        <w:snapToGrid w:val="0"/>
        <w:jc w:val="left"/>
        <w:rPr>
          <w:szCs w:val="24"/>
          <w:lang w:val="de-DE"/>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5B35D0" w:rsidRPr="00CB0E56" w:rsidTr="00267CF8">
        <w:trPr>
          <w:cantSplit/>
          <w:jc w:val="center"/>
        </w:trPr>
        <w:tc>
          <w:tcPr>
            <w:tcW w:w="6664" w:type="dxa"/>
            <w:shd w:val="clear" w:color="auto" w:fill="E6E6E6"/>
          </w:tcPr>
          <w:p w:rsidR="005B35D0" w:rsidRPr="005728BA" w:rsidRDefault="00AC00B2" w:rsidP="00AC00B2">
            <w:pPr>
              <w:jc w:val="center"/>
              <w:rPr>
                <w:rFonts w:cs="Arial"/>
                <w:sz w:val="18"/>
                <w:szCs w:val="22"/>
                <w:u w:val="single"/>
                <w:lang w:val="de-DE"/>
              </w:rPr>
            </w:pPr>
            <w:r w:rsidRPr="005728BA">
              <w:rPr>
                <w:rFonts w:cs="Arial"/>
                <w:sz w:val="18"/>
                <w:szCs w:val="22"/>
                <w:u w:val="single"/>
                <w:lang w:val="de-DE"/>
              </w:rPr>
              <w:t>Anmerkung für Überarbeitungen der Anlage I</w:t>
            </w:r>
          </w:p>
          <w:p w:rsidR="00AC00B2" w:rsidRPr="005728BA" w:rsidRDefault="00AC00B2" w:rsidP="00267CF8">
            <w:pPr>
              <w:rPr>
                <w:rFonts w:cs="Arial"/>
                <w:sz w:val="18"/>
                <w:szCs w:val="22"/>
                <w:u w:val="single"/>
                <w:lang w:val="de-DE"/>
              </w:rPr>
            </w:pPr>
          </w:p>
          <w:p w:rsidR="00AC00B2" w:rsidRPr="005728BA" w:rsidRDefault="00AC00B2" w:rsidP="00AC00B2">
            <w:pPr>
              <w:rPr>
                <w:rFonts w:cs="Arial"/>
                <w:b/>
                <w:strike/>
                <w:sz w:val="18"/>
                <w:szCs w:val="22"/>
                <w:lang w:val="de-DE"/>
              </w:rPr>
            </w:pPr>
          </w:p>
          <w:p w:rsidR="00AC00B2" w:rsidRPr="005728BA" w:rsidRDefault="00AC00B2" w:rsidP="00AC00B2">
            <w:pPr>
              <w:rPr>
                <w:rFonts w:cs="Arial"/>
                <w:sz w:val="18"/>
                <w:szCs w:val="22"/>
                <w:lang w:val="de-DE"/>
              </w:rPr>
            </w:pPr>
            <w:r w:rsidRPr="005728BA">
              <w:rPr>
                <w:rFonts w:cs="Arial"/>
                <w:b/>
                <w:strike/>
                <w:sz w:val="18"/>
                <w:szCs w:val="22"/>
                <w:lang w:val="de-DE"/>
              </w:rPr>
              <w:t>Durchgestrichener</w:t>
            </w:r>
            <w:r w:rsidR="00913EB8" w:rsidRPr="00076B73">
              <w:rPr>
                <w:rFonts w:cs="Arial"/>
                <w:b/>
                <w:sz w:val="18"/>
                <w:szCs w:val="22"/>
                <w:lang w:val="de-DE"/>
              </w:rPr>
              <w:t xml:space="preserve"> </w:t>
            </w:r>
            <w:r w:rsidRPr="005728BA">
              <w:rPr>
                <w:rFonts w:cs="Arial"/>
                <w:b/>
                <w:sz w:val="18"/>
                <w:szCs w:val="22"/>
                <w:lang w:val="de-DE"/>
              </w:rPr>
              <w:t>(hervorgehobener)</w:t>
            </w:r>
            <w:r w:rsidR="004006EE">
              <w:rPr>
                <w:rFonts w:cs="Arial"/>
                <w:b/>
                <w:sz w:val="18"/>
                <w:szCs w:val="22"/>
                <w:lang w:val="de-DE"/>
              </w:rPr>
              <w:t xml:space="preserve"> </w:t>
            </w:r>
            <w:r w:rsidRPr="005728BA">
              <w:rPr>
                <w:rFonts w:cs="Arial"/>
                <w:sz w:val="18"/>
                <w:szCs w:val="22"/>
                <w:lang w:val="de-DE"/>
              </w:rPr>
              <w:t>Wortlaut gibt die vorgeschlagene Streichung von Text gemäß den von den TWP auf ihren Tagungen im Jahr 2015 vorgeschlagenen Änderungen an.</w:t>
            </w:r>
          </w:p>
          <w:p w:rsidR="00AC00B2" w:rsidRPr="005728BA" w:rsidRDefault="00AC00B2" w:rsidP="00AC00B2">
            <w:pPr>
              <w:rPr>
                <w:rFonts w:cs="Arial"/>
                <w:b/>
                <w:strike/>
                <w:sz w:val="18"/>
                <w:szCs w:val="22"/>
                <w:lang w:val="de-DE"/>
              </w:rPr>
            </w:pPr>
          </w:p>
          <w:p w:rsidR="005B35D0" w:rsidRPr="005728BA" w:rsidRDefault="00AC00B2" w:rsidP="00913EB8">
            <w:pPr>
              <w:rPr>
                <w:rFonts w:cs="Arial"/>
                <w:sz w:val="18"/>
                <w:szCs w:val="22"/>
                <w:lang w:val="de-DE"/>
              </w:rPr>
            </w:pPr>
            <w:r w:rsidRPr="005728BA">
              <w:rPr>
                <w:rFonts w:cs="Arial"/>
                <w:b/>
                <w:sz w:val="18"/>
                <w:szCs w:val="22"/>
                <w:u w:val="single"/>
                <w:lang w:val="de-DE"/>
              </w:rPr>
              <w:t>Unterstrichener</w:t>
            </w:r>
            <w:r w:rsidR="00913EB8">
              <w:rPr>
                <w:rFonts w:cs="Arial"/>
                <w:b/>
                <w:sz w:val="18"/>
                <w:szCs w:val="22"/>
                <w:u w:val="single"/>
                <w:lang w:val="de-DE"/>
              </w:rPr>
              <w:t xml:space="preserve"> </w:t>
            </w:r>
            <w:r w:rsidRPr="005728BA">
              <w:rPr>
                <w:rFonts w:cs="Arial"/>
                <w:b/>
                <w:sz w:val="18"/>
                <w:szCs w:val="22"/>
                <w:lang w:val="de-DE"/>
              </w:rPr>
              <w:t xml:space="preserve">(hervorgehobener) </w:t>
            </w:r>
            <w:r w:rsidRPr="005728BA">
              <w:rPr>
                <w:rFonts w:cs="Arial"/>
                <w:sz w:val="18"/>
                <w:szCs w:val="22"/>
                <w:lang w:val="de-DE"/>
              </w:rPr>
              <w:t xml:space="preserve">Wortlaut gibt </w:t>
            </w:r>
            <w:r w:rsidR="00170C91">
              <w:rPr>
                <w:rFonts w:cs="Arial"/>
                <w:sz w:val="18"/>
                <w:szCs w:val="22"/>
                <w:lang w:val="de-DE"/>
              </w:rPr>
              <w:t xml:space="preserve">die </w:t>
            </w:r>
            <w:r w:rsidRPr="005728BA">
              <w:rPr>
                <w:rFonts w:cs="Arial"/>
                <w:sz w:val="18"/>
                <w:szCs w:val="22"/>
                <w:lang w:val="de-DE"/>
              </w:rPr>
              <w:t>vorgeschlagene Hinzufügung von Text gemäß den von den TWP auf ihren Tagungen im Jahr 2015 vorgeschlagenen Änderungen an.</w:t>
            </w:r>
          </w:p>
        </w:tc>
      </w:tr>
    </w:tbl>
    <w:p w:rsidR="005B35D0" w:rsidRPr="005728BA" w:rsidRDefault="005B35D0" w:rsidP="00BF4661">
      <w:pPr>
        <w:snapToGrid w:val="0"/>
        <w:jc w:val="left"/>
        <w:rPr>
          <w:szCs w:val="24"/>
          <w:lang w:val="de-DE"/>
        </w:rPr>
      </w:pPr>
    </w:p>
    <w:p w:rsidR="00BF4661" w:rsidRPr="005728BA" w:rsidRDefault="00D64CD2" w:rsidP="00BF4661">
      <w:pPr>
        <w:autoSpaceDE w:val="0"/>
        <w:autoSpaceDN w:val="0"/>
        <w:adjustRightInd w:val="0"/>
        <w:snapToGrid w:val="0"/>
        <w:rPr>
          <w:i/>
          <w:szCs w:val="24"/>
          <w:lang w:val="de-DE"/>
        </w:rPr>
      </w:pPr>
      <w:r w:rsidRPr="005728BA">
        <w:rPr>
          <w:i/>
          <w:szCs w:val="24"/>
          <w:lang w:val="de-DE"/>
        </w:rPr>
        <w:t>Anlage</w:t>
      </w:r>
      <w:r w:rsidR="00BF4661" w:rsidRPr="005728BA">
        <w:rPr>
          <w:i/>
          <w:szCs w:val="24"/>
          <w:lang w:val="de-DE"/>
        </w:rPr>
        <w:t xml:space="preserve"> I: </w:t>
      </w:r>
      <w:r w:rsidR="007C2800" w:rsidRPr="005728BA">
        <w:rPr>
          <w:i/>
          <w:szCs w:val="24"/>
          <w:lang w:val="de-DE"/>
        </w:rPr>
        <w:t xml:space="preserve">Prüfung der Homogenität anhand von Abweichern aufgrund von mehr als einer Wachstumsperiode </w:t>
      </w:r>
    </w:p>
    <w:p w:rsidR="00BF4661" w:rsidRPr="005728BA" w:rsidRDefault="00BF4661" w:rsidP="00BF4661">
      <w:pPr>
        <w:autoSpaceDE w:val="0"/>
        <w:autoSpaceDN w:val="0"/>
        <w:adjustRightInd w:val="0"/>
        <w:snapToGrid w:val="0"/>
        <w:ind w:left="567"/>
        <w:rPr>
          <w:szCs w:val="24"/>
          <w:lang w:val="de-DE"/>
        </w:rPr>
      </w:pPr>
    </w:p>
    <w:p w:rsidR="00BF4661" w:rsidRPr="00B67732" w:rsidRDefault="00AC00B2" w:rsidP="00B67732">
      <w:pPr>
        <w:autoSpaceDE w:val="0"/>
        <w:autoSpaceDN w:val="0"/>
        <w:adjustRightInd w:val="0"/>
        <w:snapToGrid w:val="0"/>
        <w:ind w:left="1843" w:hanging="992"/>
        <w:rPr>
          <w:spacing w:val="-2"/>
          <w:szCs w:val="24"/>
          <w:lang w:val="de-DE"/>
        </w:rPr>
      </w:pPr>
      <w:r w:rsidRPr="00B67732">
        <w:rPr>
          <w:spacing w:val="-2"/>
          <w:szCs w:val="24"/>
          <w:lang w:val="de-DE"/>
        </w:rPr>
        <w:t>Ansatz</w:t>
      </w:r>
      <w:r w:rsidR="00B67732">
        <w:rPr>
          <w:spacing w:val="-2"/>
          <w:szCs w:val="24"/>
          <w:lang w:val="de-DE"/>
        </w:rPr>
        <w:t xml:space="preserve"> 1:</w:t>
      </w:r>
      <w:r w:rsidR="00B67732">
        <w:rPr>
          <w:spacing w:val="-2"/>
          <w:szCs w:val="24"/>
          <w:lang w:val="de-DE"/>
        </w:rPr>
        <w:tab/>
      </w:r>
      <w:r w:rsidR="000F603F" w:rsidRPr="00B67732">
        <w:rPr>
          <w:spacing w:val="-2"/>
          <w:szCs w:val="24"/>
          <w:lang w:val="de-DE"/>
        </w:rPr>
        <w:t>Dritte</w:t>
      </w:r>
      <w:r w:rsidR="00BF4661" w:rsidRPr="00B67732">
        <w:rPr>
          <w:spacing w:val="-2"/>
          <w:szCs w:val="24"/>
          <w:lang w:val="de-DE"/>
        </w:rPr>
        <w:t xml:space="preserve"> </w:t>
      </w:r>
      <w:r w:rsidR="00D91ED1" w:rsidRPr="00B67732">
        <w:rPr>
          <w:spacing w:val="-2"/>
          <w:szCs w:val="24"/>
          <w:lang w:val="de-DE"/>
        </w:rPr>
        <w:t>Wachstumsperiode</w:t>
      </w:r>
      <w:r w:rsidR="00BF4661" w:rsidRPr="00B67732">
        <w:rPr>
          <w:spacing w:val="-2"/>
          <w:szCs w:val="24"/>
          <w:lang w:val="de-DE"/>
        </w:rPr>
        <w:t xml:space="preserve"> </w:t>
      </w:r>
      <w:r w:rsidR="002A01A8" w:rsidRPr="00B67732">
        <w:rPr>
          <w:spacing w:val="-2"/>
          <w:szCs w:val="24"/>
          <w:lang w:val="de-DE"/>
        </w:rPr>
        <w:t>im Fall widersprüchlicher Ergebnisse</w:t>
      </w:r>
      <w:r w:rsidR="00BF4661" w:rsidRPr="00B67732">
        <w:rPr>
          <w:spacing w:val="-2"/>
          <w:szCs w:val="24"/>
          <w:lang w:val="de-DE"/>
        </w:rPr>
        <w:t xml:space="preserve"> </w:t>
      </w:r>
    </w:p>
    <w:p w:rsidR="00BF4661" w:rsidRPr="00B67732" w:rsidRDefault="00AC00B2" w:rsidP="00B67732">
      <w:pPr>
        <w:autoSpaceDE w:val="0"/>
        <w:autoSpaceDN w:val="0"/>
        <w:adjustRightInd w:val="0"/>
        <w:snapToGrid w:val="0"/>
        <w:ind w:left="1843" w:hanging="992"/>
        <w:rPr>
          <w:spacing w:val="-2"/>
          <w:szCs w:val="24"/>
          <w:u w:val="single"/>
          <w:lang w:val="de-DE"/>
        </w:rPr>
      </w:pPr>
      <w:r w:rsidRPr="00B67732">
        <w:rPr>
          <w:spacing w:val="-2"/>
          <w:szCs w:val="24"/>
          <w:lang w:val="de-DE"/>
        </w:rPr>
        <w:t>Ansatz</w:t>
      </w:r>
      <w:r w:rsidR="00B67732">
        <w:rPr>
          <w:spacing w:val="-2"/>
          <w:szCs w:val="24"/>
          <w:lang w:val="de-DE"/>
        </w:rPr>
        <w:t xml:space="preserve"> 2:</w:t>
      </w:r>
      <w:r w:rsidR="00B67732">
        <w:rPr>
          <w:spacing w:val="-2"/>
          <w:szCs w:val="24"/>
          <w:lang w:val="de-DE"/>
        </w:rPr>
        <w:tab/>
      </w:r>
      <w:r w:rsidR="00267CF8" w:rsidRPr="00B67732">
        <w:rPr>
          <w:spacing w:val="-2"/>
          <w:szCs w:val="24"/>
          <w:lang w:val="de-DE"/>
        </w:rPr>
        <w:t>Kombination der Ergebnisse aus zwei Wachstumsperioden</w:t>
      </w:r>
      <w:r w:rsidR="005B35D0" w:rsidRPr="00B67732">
        <w:rPr>
          <w:spacing w:val="-2"/>
          <w:szCs w:val="24"/>
          <w:lang w:val="de-DE"/>
        </w:rPr>
        <w:t xml:space="preserve"> </w:t>
      </w:r>
      <w:r w:rsidR="002A01A8" w:rsidRPr="00B67732">
        <w:rPr>
          <w:spacing w:val="-2"/>
          <w:szCs w:val="24"/>
          <w:highlight w:val="lightGray"/>
          <w:u w:val="single"/>
          <w:lang w:val="de-DE"/>
        </w:rPr>
        <w:t>im Fall widersprüchlicher Ergebnisse</w:t>
      </w:r>
    </w:p>
    <w:p w:rsidR="005B35D0" w:rsidRPr="00B67732" w:rsidRDefault="00AC00B2" w:rsidP="00B67732">
      <w:pPr>
        <w:autoSpaceDE w:val="0"/>
        <w:autoSpaceDN w:val="0"/>
        <w:adjustRightInd w:val="0"/>
        <w:snapToGrid w:val="0"/>
        <w:ind w:left="1843" w:hanging="992"/>
        <w:rPr>
          <w:spacing w:val="-2"/>
          <w:szCs w:val="24"/>
          <w:u w:val="single"/>
          <w:lang w:val="de-DE"/>
        </w:rPr>
      </w:pPr>
      <w:r w:rsidRPr="00B67732">
        <w:rPr>
          <w:spacing w:val="-2"/>
          <w:szCs w:val="24"/>
          <w:highlight w:val="lightGray"/>
          <w:u w:val="single"/>
          <w:lang w:val="de-DE"/>
        </w:rPr>
        <w:t>Ansatz</w:t>
      </w:r>
      <w:r w:rsidR="00B67732">
        <w:rPr>
          <w:spacing w:val="-2"/>
          <w:szCs w:val="24"/>
          <w:highlight w:val="lightGray"/>
          <w:u w:val="single"/>
          <w:lang w:val="de-DE"/>
        </w:rPr>
        <w:t xml:space="preserve"> 3:</w:t>
      </w:r>
      <w:r w:rsidR="00B67732">
        <w:rPr>
          <w:spacing w:val="-2"/>
          <w:szCs w:val="24"/>
          <w:highlight w:val="lightGray"/>
          <w:u w:val="single"/>
          <w:lang w:val="de-DE"/>
        </w:rPr>
        <w:tab/>
      </w:r>
      <w:r w:rsidR="00267CF8" w:rsidRPr="00B67732">
        <w:rPr>
          <w:spacing w:val="-2"/>
          <w:szCs w:val="24"/>
          <w:highlight w:val="lightGray"/>
          <w:u w:val="single"/>
          <w:lang w:val="de-DE"/>
        </w:rPr>
        <w:t>Kombination der Ergebnisse aus zwei Wachstumsperioden</w:t>
      </w:r>
    </w:p>
    <w:p w:rsidR="00BF4661" w:rsidRPr="005728BA" w:rsidRDefault="00BF4661" w:rsidP="00BF4661">
      <w:pPr>
        <w:jc w:val="left"/>
        <w:rPr>
          <w:szCs w:val="24"/>
          <w:lang w:val="de-DE"/>
        </w:rPr>
      </w:pPr>
    </w:p>
    <w:p w:rsidR="00BF4661" w:rsidRPr="005728BA" w:rsidRDefault="00D64CD2" w:rsidP="00BF4661">
      <w:pPr>
        <w:keepNext/>
        <w:snapToGrid w:val="0"/>
        <w:jc w:val="left"/>
        <w:rPr>
          <w:i/>
          <w:szCs w:val="24"/>
          <w:lang w:val="de-DE"/>
        </w:rPr>
      </w:pPr>
      <w:r w:rsidRPr="005728BA">
        <w:rPr>
          <w:i/>
          <w:szCs w:val="24"/>
          <w:lang w:val="de-DE"/>
        </w:rPr>
        <w:t>Anlage</w:t>
      </w:r>
      <w:r w:rsidR="00BF4661" w:rsidRPr="005728BA">
        <w:rPr>
          <w:i/>
          <w:szCs w:val="24"/>
          <w:lang w:val="de-DE"/>
        </w:rPr>
        <w:t xml:space="preserve"> II: </w:t>
      </w:r>
      <w:r w:rsidR="0060257A" w:rsidRPr="005728BA">
        <w:rPr>
          <w:i/>
          <w:szCs w:val="24"/>
          <w:lang w:val="de-DE"/>
        </w:rPr>
        <w:t>Prüfung von Unterproben in einer Prüfung / einem Versuch</w:t>
      </w:r>
    </w:p>
    <w:p w:rsidR="00BF4661" w:rsidRPr="005728BA" w:rsidRDefault="00BF4661" w:rsidP="00BF4661">
      <w:pPr>
        <w:keepNext/>
        <w:snapToGrid w:val="0"/>
        <w:ind w:left="567"/>
        <w:jc w:val="left"/>
        <w:rPr>
          <w:i/>
          <w:szCs w:val="24"/>
          <w:lang w:val="de-DE"/>
        </w:rPr>
      </w:pPr>
    </w:p>
    <w:p w:rsidR="00BF4661" w:rsidRPr="005728BA" w:rsidRDefault="00AC00B2" w:rsidP="00B67732">
      <w:pPr>
        <w:keepNext/>
        <w:snapToGrid w:val="0"/>
        <w:ind w:left="851"/>
        <w:jc w:val="left"/>
        <w:rPr>
          <w:i/>
          <w:szCs w:val="24"/>
          <w:lang w:val="de-DE"/>
        </w:rPr>
      </w:pPr>
      <w:r w:rsidRPr="005728BA">
        <w:rPr>
          <w:szCs w:val="24"/>
          <w:lang w:val="de-DE"/>
        </w:rPr>
        <w:t>Ansatz</w:t>
      </w:r>
      <w:r w:rsidR="00BF4661" w:rsidRPr="005728BA">
        <w:rPr>
          <w:i/>
          <w:szCs w:val="24"/>
          <w:lang w:val="de-DE"/>
        </w:rPr>
        <w:t xml:space="preserve">: </w:t>
      </w:r>
      <w:r w:rsidR="00BF4661" w:rsidRPr="005728BA">
        <w:rPr>
          <w:szCs w:val="24"/>
          <w:lang w:val="de-DE"/>
        </w:rPr>
        <w:t xml:space="preserve"> </w:t>
      </w:r>
      <w:r w:rsidR="0060257A" w:rsidRPr="005728BA">
        <w:rPr>
          <w:szCs w:val="24"/>
          <w:lang w:val="de-DE"/>
        </w:rPr>
        <w:t>Unterprobe als erster Schritt der Prüfung</w:t>
      </w:r>
      <w:r w:rsidR="00BF4661" w:rsidRPr="005728BA">
        <w:rPr>
          <w:szCs w:val="24"/>
          <w:lang w:val="de-DE"/>
        </w:rPr>
        <w:t xml:space="preserve"> </w:t>
      </w:r>
    </w:p>
    <w:p w:rsidR="00BF4661" w:rsidRPr="005728BA" w:rsidRDefault="00BF4661" w:rsidP="00BF4661">
      <w:pPr>
        <w:snapToGrid w:val="0"/>
        <w:jc w:val="left"/>
        <w:rPr>
          <w:szCs w:val="24"/>
          <w:lang w:val="de-DE"/>
        </w:rPr>
      </w:pPr>
    </w:p>
    <w:p w:rsidR="00BF4661" w:rsidRPr="005728BA" w:rsidRDefault="00BF4661" w:rsidP="00220F22">
      <w:pPr>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220F22" w:rsidRPr="005728BA">
        <w:rPr>
          <w:lang w:val="de-DE"/>
        </w:rPr>
        <w:t xml:space="preserve">Die Zusammenfassung in den </w:t>
      </w:r>
      <w:r w:rsidR="00170C91">
        <w:rPr>
          <w:lang w:val="de-DE"/>
        </w:rPr>
        <w:t>Anlagen I und II</w:t>
      </w:r>
      <w:r w:rsidR="00220F22" w:rsidRPr="005728BA">
        <w:rPr>
          <w:lang w:val="de-DE"/>
        </w:rPr>
        <w:t xml:space="preserve"> bezieh</w:t>
      </w:r>
      <w:r w:rsidR="004006EE">
        <w:rPr>
          <w:lang w:val="de-DE"/>
        </w:rPr>
        <w:t>t</w:t>
      </w:r>
      <w:r w:rsidR="00220F22" w:rsidRPr="005728BA">
        <w:rPr>
          <w:lang w:val="de-DE"/>
        </w:rPr>
        <w:t xml:space="preserve"> sich lediglich auf Situationen, in denen mehr als eine Probe oder Unterprobe die Prüfung desselben Merkmals betreffen. Im Falle verschiedener Proben oder Unterproben (z. B. Sonderprüfung) zur Prüfung eines unterschiedlichen Merkmals gibt es keine Anforderung zur Kombination der Ergebnisse, da eine Sorte in allen maßgeblichen Merkmalen homogen sein </w:t>
      </w:r>
      <w:proofErr w:type="spellStart"/>
      <w:r w:rsidR="00220F22" w:rsidRPr="005728BA">
        <w:rPr>
          <w:lang w:val="de-DE"/>
        </w:rPr>
        <w:t>muß</w:t>
      </w:r>
      <w:proofErr w:type="spellEnd"/>
      <w:r w:rsidRPr="005728BA">
        <w:rPr>
          <w:lang w:val="de-DE"/>
        </w:rPr>
        <w:t>.</w:t>
      </w:r>
    </w:p>
    <w:p w:rsidR="00BF4661" w:rsidRPr="005728BA" w:rsidRDefault="00BF4661" w:rsidP="00BF4661">
      <w:pPr>
        <w:jc w:val="left"/>
        <w:rPr>
          <w:szCs w:val="24"/>
          <w:lang w:val="de-DE"/>
        </w:rPr>
      </w:pPr>
    </w:p>
    <w:p w:rsidR="00BF4661" w:rsidRPr="005728BA" w:rsidRDefault="00BF4661" w:rsidP="00B67732">
      <w:pPr>
        <w:pStyle w:val="DecisionParagraphs"/>
        <w:keepNext/>
        <w:rPr>
          <w:lang w:val="de-DE"/>
        </w:rPr>
      </w:pPr>
      <w:r w:rsidRPr="005728BA">
        <w:rPr>
          <w:lang w:val="de-DE"/>
        </w:rPr>
        <w:fldChar w:fldCharType="begin"/>
      </w:r>
      <w:r w:rsidRPr="005728BA">
        <w:rPr>
          <w:lang w:val="de-DE"/>
        </w:rPr>
        <w:instrText xml:space="preserve"> AUTONUM  </w:instrText>
      </w:r>
      <w:r w:rsidRPr="005728BA">
        <w:rPr>
          <w:lang w:val="de-DE"/>
        </w:rPr>
        <w:fldChar w:fldCharType="end"/>
      </w:r>
      <w:r w:rsidRPr="005728BA">
        <w:rPr>
          <w:lang w:val="de-DE"/>
        </w:rPr>
        <w:tab/>
      </w:r>
      <w:r w:rsidR="00267CF8" w:rsidRPr="005728BA">
        <w:rPr>
          <w:lang w:val="de-DE"/>
        </w:rPr>
        <w:t>Der TC wird ersucht</w:t>
      </w:r>
      <w:r w:rsidRPr="005728BA">
        <w:rPr>
          <w:lang w:val="de-DE"/>
        </w:rPr>
        <w:t xml:space="preserve">: </w:t>
      </w:r>
    </w:p>
    <w:p w:rsidR="00516825" w:rsidRPr="005728BA" w:rsidRDefault="00516825" w:rsidP="00B67732">
      <w:pPr>
        <w:pStyle w:val="DecisionParagraphs"/>
        <w:keepNext/>
        <w:keepLines/>
        <w:tabs>
          <w:tab w:val="clear" w:pos="5387"/>
          <w:tab w:val="left" w:pos="5954"/>
        </w:tabs>
        <w:ind w:firstLine="567"/>
        <w:rPr>
          <w:lang w:val="de-DE"/>
        </w:rPr>
      </w:pPr>
    </w:p>
    <w:p w:rsidR="00516825" w:rsidRPr="005728BA" w:rsidRDefault="009A7580" w:rsidP="002A15A5">
      <w:pPr>
        <w:pStyle w:val="DecisionParagraphs"/>
        <w:keepLines/>
        <w:tabs>
          <w:tab w:val="clear" w:pos="5387"/>
          <w:tab w:val="left" w:pos="5954"/>
        </w:tabs>
        <w:ind w:firstLine="567"/>
        <w:rPr>
          <w:lang w:val="de-DE"/>
        </w:rPr>
      </w:pPr>
      <w:r w:rsidRPr="005728BA">
        <w:rPr>
          <w:lang w:val="de-DE"/>
        </w:rPr>
        <w:t>a</w:t>
      </w:r>
      <w:r w:rsidR="00516825" w:rsidRPr="005728BA">
        <w:rPr>
          <w:lang w:val="de-DE"/>
        </w:rPr>
        <w:t>)</w:t>
      </w:r>
      <w:r w:rsidR="00516825" w:rsidRPr="005728BA">
        <w:rPr>
          <w:lang w:val="de-DE"/>
        </w:rPr>
        <w:tab/>
      </w:r>
      <w:r w:rsidR="00267CF8" w:rsidRPr="005728BA">
        <w:rPr>
          <w:lang w:val="de-DE"/>
        </w:rPr>
        <w:t>den neuen Vorschlag für</w:t>
      </w:r>
      <w:r w:rsidR="00516825" w:rsidRPr="005728BA">
        <w:rPr>
          <w:lang w:val="de-DE"/>
        </w:rPr>
        <w:t xml:space="preserve"> </w:t>
      </w:r>
      <w:r w:rsidR="00267CF8" w:rsidRPr="005728BA">
        <w:rPr>
          <w:lang w:val="de-DE"/>
        </w:rPr>
        <w:t>„Ansatz</w:t>
      </w:r>
      <w:r w:rsidR="00516825" w:rsidRPr="005728BA">
        <w:rPr>
          <w:lang w:val="de-DE"/>
        </w:rPr>
        <w:t xml:space="preserve"> 3: </w:t>
      </w:r>
      <w:r w:rsidR="00267CF8" w:rsidRPr="005728BA">
        <w:rPr>
          <w:lang w:val="de-DE"/>
        </w:rPr>
        <w:t>Kombination der Ergebnisse aus zwei Wachstumsperioden</w:t>
      </w:r>
      <w:r w:rsidR="004006EE">
        <w:rPr>
          <w:lang w:val="de-DE"/>
        </w:rPr>
        <w:t>“</w:t>
      </w:r>
      <w:r w:rsidR="00516825" w:rsidRPr="005728BA">
        <w:rPr>
          <w:lang w:val="de-DE"/>
        </w:rPr>
        <w:t xml:space="preserve"> </w:t>
      </w:r>
      <w:r w:rsidR="00267CF8" w:rsidRPr="005728BA">
        <w:rPr>
          <w:lang w:val="de-DE"/>
        </w:rPr>
        <w:t>für die Prüfung der Homogenität anhand von Abweichern</w:t>
      </w:r>
      <w:r w:rsidR="00516825" w:rsidRPr="005728BA">
        <w:rPr>
          <w:lang w:val="de-DE"/>
        </w:rPr>
        <w:t xml:space="preserve">, </w:t>
      </w:r>
      <w:r w:rsidR="00267CF8" w:rsidRPr="005728BA">
        <w:rPr>
          <w:lang w:val="de-DE"/>
        </w:rPr>
        <w:t xml:space="preserve">wie </w:t>
      </w:r>
      <w:r w:rsidR="00516825" w:rsidRPr="005728BA">
        <w:rPr>
          <w:lang w:val="de-DE"/>
        </w:rPr>
        <w:t xml:space="preserve">in </w:t>
      </w:r>
      <w:r w:rsidR="00D64CD2" w:rsidRPr="005728BA">
        <w:rPr>
          <w:lang w:val="de-DE"/>
        </w:rPr>
        <w:t>Anlage</w:t>
      </w:r>
      <w:r w:rsidR="00516825" w:rsidRPr="005728BA">
        <w:rPr>
          <w:lang w:val="de-DE"/>
        </w:rPr>
        <w:t xml:space="preserve"> I </w:t>
      </w:r>
      <w:r w:rsidR="00267CF8" w:rsidRPr="005728BA">
        <w:rPr>
          <w:lang w:val="de-DE"/>
        </w:rPr>
        <w:t>dieses Dokuments</w:t>
      </w:r>
      <w:r w:rsidR="00CF79DA" w:rsidRPr="00CF79DA">
        <w:rPr>
          <w:lang w:val="de-DE"/>
        </w:rPr>
        <w:t xml:space="preserve"> </w:t>
      </w:r>
      <w:r w:rsidR="00CF79DA" w:rsidRPr="005728BA">
        <w:rPr>
          <w:lang w:val="de-DE"/>
        </w:rPr>
        <w:t>dargelegt</w:t>
      </w:r>
      <w:r w:rsidR="00CF79DA">
        <w:rPr>
          <w:lang w:val="de-DE"/>
        </w:rPr>
        <w:t>,</w:t>
      </w:r>
      <w:r w:rsidR="00CF79DA" w:rsidRPr="00CF79DA">
        <w:rPr>
          <w:lang w:val="de-DE"/>
        </w:rPr>
        <w:t xml:space="preserve"> </w:t>
      </w:r>
      <w:r w:rsidR="00CF79DA" w:rsidRPr="005728BA">
        <w:rPr>
          <w:lang w:val="de-DE"/>
        </w:rPr>
        <w:t>zu prüfen</w:t>
      </w:r>
      <w:r w:rsidR="00516825" w:rsidRPr="005728BA">
        <w:rPr>
          <w:lang w:val="de-DE"/>
        </w:rPr>
        <w:t xml:space="preserve">; </w:t>
      </w:r>
    </w:p>
    <w:p w:rsidR="00516825" w:rsidRPr="005728BA" w:rsidRDefault="00516825" w:rsidP="002A15A5">
      <w:pPr>
        <w:pStyle w:val="DecisionParagraphs"/>
        <w:keepLines/>
        <w:tabs>
          <w:tab w:val="clear" w:pos="5387"/>
          <w:tab w:val="left" w:pos="5954"/>
        </w:tabs>
        <w:ind w:firstLine="567"/>
        <w:rPr>
          <w:lang w:val="de-DE"/>
        </w:rPr>
      </w:pPr>
    </w:p>
    <w:p w:rsidR="00516825" w:rsidRPr="005728BA" w:rsidRDefault="009A7580" w:rsidP="002A15A5">
      <w:pPr>
        <w:pStyle w:val="DecisionParagraphs"/>
        <w:keepLines/>
        <w:tabs>
          <w:tab w:val="clear" w:pos="5387"/>
          <w:tab w:val="left" w:pos="5954"/>
        </w:tabs>
        <w:ind w:firstLine="567"/>
        <w:rPr>
          <w:lang w:val="de-DE"/>
        </w:rPr>
      </w:pPr>
      <w:r w:rsidRPr="005728BA">
        <w:rPr>
          <w:lang w:val="de-DE"/>
        </w:rPr>
        <w:t>b</w:t>
      </w:r>
      <w:r w:rsidR="00516825" w:rsidRPr="005728BA">
        <w:rPr>
          <w:lang w:val="de-DE"/>
        </w:rPr>
        <w:t>)</w:t>
      </w:r>
      <w:r w:rsidR="00516825" w:rsidRPr="005728BA">
        <w:rPr>
          <w:lang w:val="de-DE"/>
        </w:rPr>
        <w:tab/>
      </w:r>
      <w:r w:rsidR="00267CF8" w:rsidRPr="005728BA">
        <w:rPr>
          <w:lang w:val="de-DE"/>
        </w:rPr>
        <w:t xml:space="preserve">zur Kenntnis zu nehmen, </w:t>
      </w:r>
      <w:proofErr w:type="spellStart"/>
      <w:r w:rsidR="00267CF8" w:rsidRPr="005728BA">
        <w:rPr>
          <w:lang w:val="de-DE"/>
        </w:rPr>
        <w:t>daß</w:t>
      </w:r>
      <w:proofErr w:type="spellEnd"/>
      <w:r w:rsidR="00516825" w:rsidRPr="005728BA">
        <w:rPr>
          <w:lang w:val="de-DE"/>
        </w:rPr>
        <w:t xml:space="preserve"> </w:t>
      </w:r>
      <w:r w:rsidR="00267CF8" w:rsidRPr="005728BA">
        <w:rPr>
          <w:lang w:val="de-DE"/>
        </w:rPr>
        <w:t xml:space="preserve">die TWA </w:t>
      </w:r>
      <w:r w:rsidR="00D91ED1" w:rsidRPr="005728BA">
        <w:rPr>
          <w:lang w:val="de-DE"/>
        </w:rPr>
        <w:t>vereinbarte,</w:t>
      </w:r>
      <w:r w:rsidR="00516825" w:rsidRPr="005728BA">
        <w:rPr>
          <w:lang w:val="de-DE"/>
        </w:rPr>
        <w:t xml:space="preserve"> </w:t>
      </w:r>
      <w:r w:rsidR="00267CF8" w:rsidRPr="005728BA">
        <w:rPr>
          <w:lang w:val="de-DE"/>
        </w:rPr>
        <w:t>um eine Videoverbindung mit den Sachverständigen der TWC</w:t>
      </w:r>
      <w:r w:rsidR="00CF79DA" w:rsidRPr="00CF79DA">
        <w:rPr>
          <w:lang w:val="de-DE"/>
        </w:rPr>
        <w:t xml:space="preserve"> </w:t>
      </w:r>
      <w:r w:rsidR="00CF79DA" w:rsidRPr="005728BA">
        <w:rPr>
          <w:lang w:val="de-DE"/>
        </w:rPr>
        <w:t>zu ersuchen</w:t>
      </w:r>
      <w:r w:rsidR="00CF79DA">
        <w:rPr>
          <w:lang w:val="de-DE"/>
        </w:rPr>
        <w:t>,</w:t>
      </w:r>
      <w:r w:rsidR="00516825" w:rsidRPr="005728BA">
        <w:rPr>
          <w:lang w:val="de-DE"/>
        </w:rPr>
        <w:t xml:space="preserve"> </w:t>
      </w:r>
      <w:r w:rsidR="00267CF8" w:rsidRPr="005728BA">
        <w:rPr>
          <w:lang w:val="de-DE"/>
        </w:rPr>
        <w:t>um den neuen Vorschlag für</w:t>
      </w:r>
      <w:r w:rsidR="00516825" w:rsidRPr="005728BA">
        <w:rPr>
          <w:lang w:val="de-DE"/>
        </w:rPr>
        <w:t xml:space="preserve"> </w:t>
      </w:r>
      <w:r w:rsidR="00267CF8" w:rsidRPr="005728BA">
        <w:rPr>
          <w:lang w:val="de-DE"/>
        </w:rPr>
        <w:t>„Ansatz</w:t>
      </w:r>
      <w:r w:rsidR="00516825" w:rsidRPr="005728BA">
        <w:rPr>
          <w:lang w:val="de-DE"/>
        </w:rPr>
        <w:t xml:space="preserve"> 3: </w:t>
      </w:r>
      <w:r w:rsidR="00267CF8" w:rsidRPr="005728BA">
        <w:rPr>
          <w:lang w:val="de-DE"/>
        </w:rPr>
        <w:t>Kombination der Ergebnisse aus zwei Wachstumsperioden</w:t>
      </w:r>
      <w:r w:rsidR="004006EE">
        <w:rPr>
          <w:lang w:val="de-DE"/>
        </w:rPr>
        <w:t>“</w:t>
      </w:r>
      <w:r w:rsidR="00516825" w:rsidRPr="005728BA">
        <w:rPr>
          <w:lang w:val="de-DE"/>
        </w:rPr>
        <w:t xml:space="preserve"> </w:t>
      </w:r>
      <w:r w:rsidR="00267CF8" w:rsidRPr="005728BA">
        <w:rPr>
          <w:lang w:val="de-DE"/>
        </w:rPr>
        <w:t>auf ihrer fünfundvierzigsten Tagung</w:t>
      </w:r>
      <w:r w:rsidR="00E53D99" w:rsidRPr="005728BA">
        <w:rPr>
          <w:lang w:val="de-DE"/>
        </w:rPr>
        <w:t xml:space="preserve"> im Jahr </w:t>
      </w:r>
      <w:r w:rsidR="00516825" w:rsidRPr="005728BA">
        <w:rPr>
          <w:lang w:val="de-DE"/>
        </w:rPr>
        <w:t>2016</w:t>
      </w:r>
      <w:r w:rsidR="00CF79DA">
        <w:rPr>
          <w:lang w:val="de-DE"/>
        </w:rPr>
        <w:t xml:space="preserve"> zu erörtern</w:t>
      </w:r>
      <w:r w:rsidR="00516825" w:rsidRPr="005728BA">
        <w:rPr>
          <w:lang w:val="de-DE"/>
        </w:rPr>
        <w:t xml:space="preserve">; </w:t>
      </w:r>
    </w:p>
    <w:p w:rsidR="00516825" w:rsidRPr="005728BA" w:rsidRDefault="00516825" w:rsidP="002A15A5">
      <w:pPr>
        <w:pStyle w:val="DecisionParagraphs"/>
        <w:keepLines/>
        <w:tabs>
          <w:tab w:val="clear" w:pos="5387"/>
          <w:tab w:val="left" w:pos="5954"/>
        </w:tabs>
        <w:ind w:firstLine="567"/>
        <w:rPr>
          <w:lang w:val="de-DE"/>
        </w:rPr>
      </w:pPr>
    </w:p>
    <w:p w:rsidR="00BF4661" w:rsidRPr="005728BA" w:rsidRDefault="009A7580" w:rsidP="002A15A5">
      <w:pPr>
        <w:pStyle w:val="DecisionParagraphs"/>
        <w:keepLines/>
        <w:tabs>
          <w:tab w:val="clear" w:pos="5387"/>
          <w:tab w:val="left" w:pos="5954"/>
        </w:tabs>
        <w:ind w:firstLine="567"/>
        <w:rPr>
          <w:lang w:val="de-DE"/>
        </w:rPr>
      </w:pPr>
      <w:r w:rsidRPr="005728BA">
        <w:rPr>
          <w:lang w:val="de-DE"/>
        </w:rPr>
        <w:t>c</w:t>
      </w:r>
      <w:r w:rsidR="00516825" w:rsidRPr="005728BA">
        <w:rPr>
          <w:lang w:val="de-DE"/>
        </w:rPr>
        <w:t>)</w:t>
      </w:r>
      <w:r w:rsidR="00516825" w:rsidRPr="005728BA">
        <w:rPr>
          <w:lang w:val="de-DE"/>
        </w:rPr>
        <w:tab/>
      </w:r>
      <w:r w:rsidR="007C2800" w:rsidRPr="005728BA">
        <w:rPr>
          <w:lang w:val="de-DE"/>
        </w:rPr>
        <w:t xml:space="preserve">zu prüfen, ob in dem Text </w:t>
      </w:r>
      <w:r w:rsidR="00722A9C">
        <w:rPr>
          <w:lang w:val="de-DE"/>
        </w:rPr>
        <w:t>geklärt</w:t>
      </w:r>
      <w:r w:rsidR="007C2800" w:rsidRPr="005728BA">
        <w:rPr>
          <w:lang w:val="de-DE"/>
        </w:rPr>
        <w:t xml:space="preserve"> werden sollte, </w:t>
      </w:r>
      <w:proofErr w:type="spellStart"/>
      <w:r w:rsidR="007C2800" w:rsidRPr="005728BA">
        <w:rPr>
          <w:lang w:val="de-DE"/>
        </w:rPr>
        <w:t>daß</w:t>
      </w:r>
      <w:proofErr w:type="spellEnd"/>
      <w:r w:rsidR="007C2800" w:rsidRPr="005728BA">
        <w:rPr>
          <w:lang w:val="de-DE"/>
        </w:rPr>
        <w:t xml:space="preserve"> die Anleitung in Anlage I nicht für die </w:t>
      </w:r>
      <w:r w:rsidR="00F57940">
        <w:rPr>
          <w:lang w:val="de-DE"/>
        </w:rPr>
        <w:t xml:space="preserve">Verwendung zur Prüfung </w:t>
      </w:r>
      <w:r w:rsidR="00267CF8" w:rsidRPr="005728BA">
        <w:rPr>
          <w:lang w:val="de-DE"/>
        </w:rPr>
        <w:t>der Homogenität anhand von Abweichern</w:t>
      </w:r>
      <w:r w:rsidR="00516825" w:rsidRPr="005728BA">
        <w:rPr>
          <w:lang w:val="de-DE"/>
        </w:rPr>
        <w:t xml:space="preserve"> </w:t>
      </w:r>
      <w:r w:rsidR="007C2800" w:rsidRPr="005728BA">
        <w:rPr>
          <w:lang w:val="de-DE"/>
        </w:rPr>
        <w:t>an den gleichen Pflanzen in zwei Wachstumsperioden</w:t>
      </w:r>
      <w:r w:rsidR="00CF79DA" w:rsidRPr="00CF79DA">
        <w:rPr>
          <w:lang w:val="de-DE"/>
        </w:rPr>
        <w:t xml:space="preserve"> </w:t>
      </w:r>
      <w:r w:rsidR="00CF79DA" w:rsidRPr="005728BA">
        <w:rPr>
          <w:lang w:val="de-DE"/>
        </w:rPr>
        <w:t>vorgesehen ist</w:t>
      </w:r>
      <w:r w:rsidR="007C2800" w:rsidRPr="005728BA">
        <w:rPr>
          <w:lang w:val="de-DE"/>
        </w:rPr>
        <w:t>; und</w:t>
      </w:r>
    </w:p>
    <w:p w:rsidR="009A7580" w:rsidRPr="005728BA" w:rsidRDefault="009A7580" w:rsidP="009A7580">
      <w:pPr>
        <w:pStyle w:val="DecisionParagraphs"/>
        <w:tabs>
          <w:tab w:val="clear" w:pos="5387"/>
          <w:tab w:val="left" w:pos="5954"/>
        </w:tabs>
        <w:ind w:firstLine="567"/>
        <w:rPr>
          <w:highlight w:val="yellow"/>
          <w:lang w:val="de-DE"/>
        </w:rPr>
      </w:pPr>
    </w:p>
    <w:p w:rsidR="009A7580" w:rsidRPr="005728BA" w:rsidRDefault="009A7580" w:rsidP="009A7580">
      <w:pPr>
        <w:pStyle w:val="DecisionParagraphs"/>
        <w:keepLines/>
        <w:tabs>
          <w:tab w:val="clear" w:pos="5387"/>
          <w:tab w:val="left" w:pos="5954"/>
        </w:tabs>
        <w:ind w:firstLine="567"/>
        <w:rPr>
          <w:lang w:val="de-DE"/>
        </w:rPr>
      </w:pPr>
      <w:r w:rsidRPr="005728BA">
        <w:rPr>
          <w:lang w:val="de-DE"/>
        </w:rPr>
        <w:t>d)</w:t>
      </w:r>
      <w:r w:rsidRPr="005728BA">
        <w:rPr>
          <w:lang w:val="de-DE"/>
        </w:rPr>
        <w:tab/>
      </w:r>
      <w:r w:rsidR="007C2800" w:rsidRPr="005728BA">
        <w:rPr>
          <w:lang w:val="de-DE"/>
        </w:rPr>
        <w:t>den Entwurf für eine Anleitung</w:t>
      </w:r>
      <w:r w:rsidR="00E53D99" w:rsidRPr="005728BA">
        <w:rPr>
          <w:lang w:val="de-DE"/>
        </w:rPr>
        <w:t>,</w:t>
      </w:r>
      <w:r w:rsidRPr="005728BA">
        <w:rPr>
          <w:lang w:val="de-DE"/>
        </w:rPr>
        <w:t xml:space="preserve"> </w:t>
      </w:r>
      <w:r w:rsidR="00267CF8" w:rsidRPr="005728BA">
        <w:rPr>
          <w:lang w:val="de-DE"/>
        </w:rPr>
        <w:t xml:space="preserve">wie </w:t>
      </w:r>
      <w:r w:rsidRPr="005728BA">
        <w:rPr>
          <w:lang w:val="de-DE"/>
        </w:rPr>
        <w:t xml:space="preserve">in </w:t>
      </w:r>
      <w:r w:rsidR="00D64CD2" w:rsidRPr="005728BA">
        <w:rPr>
          <w:lang w:val="de-DE"/>
        </w:rPr>
        <w:t>Anlagen</w:t>
      </w:r>
      <w:r w:rsidRPr="005728BA">
        <w:rPr>
          <w:lang w:val="de-DE"/>
        </w:rPr>
        <w:t xml:space="preserve"> I</w:t>
      </w:r>
      <w:r w:rsidR="00D800D5" w:rsidRPr="005728BA">
        <w:rPr>
          <w:lang w:val="de-DE"/>
        </w:rPr>
        <w:t xml:space="preserve"> und </w:t>
      </w:r>
      <w:r w:rsidRPr="005728BA">
        <w:rPr>
          <w:lang w:val="de-DE"/>
        </w:rPr>
        <w:t>II</w:t>
      </w:r>
      <w:r w:rsidR="00CF79DA" w:rsidRPr="00CF79DA">
        <w:rPr>
          <w:lang w:val="de-DE"/>
        </w:rPr>
        <w:t xml:space="preserve"> </w:t>
      </w:r>
      <w:r w:rsidR="00CF79DA" w:rsidRPr="005728BA">
        <w:rPr>
          <w:lang w:val="de-DE"/>
        </w:rPr>
        <w:t>dargelegt</w:t>
      </w:r>
      <w:r w:rsidR="00CF79DA">
        <w:rPr>
          <w:lang w:val="de-DE"/>
        </w:rPr>
        <w:t>,</w:t>
      </w:r>
      <w:r w:rsidRPr="005728BA">
        <w:rPr>
          <w:lang w:val="de-DE"/>
        </w:rPr>
        <w:t xml:space="preserve"> </w:t>
      </w:r>
      <w:r w:rsidR="007C2800" w:rsidRPr="005728BA">
        <w:rPr>
          <w:lang w:val="de-DE"/>
        </w:rPr>
        <w:t>zur Aufnahme in eine künftige</w:t>
      </w:r>
      <w:r w:rsidRPr="005728BA">
        <w:rPr>
          <w:lang w:val="de-DE"/>
        </w:rPr>
        <w:t xml:space="preserve"> </w:t>
      </w:r>
      <w:r w:rsidR="00267CF8" w:rsidRPr="005728BA">
        <w:rPr>
          <w:lang w:val="de-DE"/>
        </w:rPr>
        <w:t>Überarbeitung von Dokument</w:t>
      </w:r>
      <w:r w:rsidRPr="005728BA">
        <w:rPr>
          <w:lang w:val="de-DE"/>
        </w:rPr>
        <w:t xml:space="preserve"> TGP/10</w:t>
      </w:r>
      <w:r w:rsidR="004006EE">
        <w:rPr>
          <w:lang w:val="de-DE"/>
        </w:rPr>
        <w:t xml:space="preserve"> </w:t>
      </w:r>
      <w:r w:rsidR="004006EE" w:rsidRPr="005728BA">
        <w:rPr>
          <w:lang w:val="de-DE"/>
        </w:rPr>
        <w:t>zu prüfen</w:t>
      </w:r>
      <w:r w:rsidRPr="005728BA">
        <w:rPr>
          <w:lang w:val="de-DE"/>
        </w:rPr>
        <w:t>.</w:t>
      </w:r>
    </w:p>
    <w:p w:rsidR="002A15A5" w:rsidRPr="005728BA" w:rsidRDefault="002A15A5" w:rsidP="00A52B4A">
      <w:pPr>
        <w:pStyle w:val="DecisionParagraphs"/>
        <w:keepLines/>
        <w:tabs>
          <w:tab w:val="clear" w:pos="5387"/>
          <w:tab w:val="left" w:pos="5954"/>
        </w:tabs>
        <w:ind w:left="4536" w:firstLine="567"/>
        <w:rPr>
          <w:lang w:val="de-DE"/>
        </w:rPr>
      </w:pPr>
    </w:p>
    <w:p w:rsidR="002A15A5" w:rsidRPr="005728BA" w:rsidRDefault="002A15A5" w:rsidP="00A52B4A">
      <w:pPr>
        <w:pStyle w:val="DecisionParagraphs"/>
        <w:keepLines/>
        <w:tabs>
          <w:tab w:val="clear" w:pos="5387"/>
          <w:tab w:val="left" w:pos="5954"/>
        </w:tabs>
        <w:ind w:left="4536" w:firstLine="567"/>
        <w:rPr>
          <w:lang w:val="de-DE"/>
        </w:rPr>
      </w:pPr>
    </w:p>
    <w:p w:rsidR="002A15A5" w:rsidRPr="005728BA" w:rsidRDefault="002A15A5" w:rsidP="00A52B4A">
      <w:pPr>
        <w:pStyle w:val="DecisionParagraphs"/>
        <w:keepLines/>
        <w:tabs>
          <w:tab w:val="clear" w:pos="5387"/>
          <w:tab w:val="left" w:pos="5954"/>
        </w:tabs>
        <w:ind w:left="4536" w:firstLine="567"/>
        <w:rPr>
          <w:lang w:val="de-DE"/>
        </w:rPr>
      </w:pPr>
    </w:p>
    <w:p w:rsidR="00BF4661" w:rsidRPr="005728BA" w:rsidRDefault="00BF4661" w:rsidP="00BF4661">
      <w:pPr>
        <w:jc w:val="right"/>
        <w:rPr>
          <w:lang w:val="de-DE"/>
        </w:rPr>
      </w:pPr>
      <w:r w:rsidRPr="005728BA">
        <w:rPr>
          <w:lang w:val="de-DE"/>
        </w:rPr>
        <w:t>[</w:t>
      </w:r>
      <w:r w:rsidR="00D64CD2" w:rsidRPr="005728BA">
        <w:rPr>
          <w:lang w:val="de-DE"/>
        </w:rPr>
        <w:t>Anlagen</w:t>
      </w:r>
      <w:r w:rsidRPr="005728BA">
        <w:rPr>
          <w:lang w:val="de-DE"/>
        </w:rPr>
        <w:t xml:space="preserve"> </w:t>
      </w:r>
      <w:r w:rsidR="00D64CD2" w:rsidRPr="005728BA">
        <w:rPr>
          <w:lang w:val="de-DE"/>
        </w:rPr>
        <w:t>folgen</w:t>
      </w:r>
      <w:r w:rsidRPr="005728BA">
        <w:rPr>
          <w:lang w:val="de-DE"/>
        </w:rPr>
        <w:t>]</w:t>
      </w:r>
    </w:p>
    <w:p w:rsidR="00BF4661" w:rsidRPr="005728BA" w:rsidRDefault="00BF4661" w:rsidP="00BF4661">
      <w:pPr>
        <w:rPr>
          <w:lang w:val="de-DE"/>
        </w:rPr>
      </w:pPr>
    </w:p>
    <w:p w:rsidR="00BF4661" w:rsidRPr="005728BA" w:rsidRDefault="00BF4661" w:rsidP="00BF4661">
      <w:pPr>
        <w:rPr>
          <w:snapToGrid w:val="0"/>
          <w:lang w:val="de-DE"/>
        </w:rPr>
        <w:sectPr w:rsidR="00BF4661" w:rsidRPr="005728BA" w:rsidSect="00720F43">
          <w:headerReference w:type="default" r:id="rId10"/>
          <w:pgSz w:w="11907" w:h="16840" w:code="9"/>
          <w:pgMar w:top="510" w:right="1134" w:bottom="993"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BF4661" w:rsidRPr="00CB0E56" w:rsidTr="00720F43">
        <w:trPr>
          <w:trHeight w:val="350"/>
        </w:trPr>
        <w:tc>
          <w:tcPr>
            <w:tcW w:w="10206" w:type="dxa"/>
          </w:tcPr>
          <w:p w:rsidR="00143660" w:rsidRPr="005728BA" w:rsidRDefault="00143660" w:rsidP="00720F43">
            <w:pPr>
              <w:autoSpaceDE w:val="0"/>
              <w:autoSpaceDN w:val="0"/>
              <w:adjustRightInd w:val="0"/>
              <w:jc w:val="center"/>
              <w:rPr>
                <w:rFonts w:eastAsia="SimSun"/>
                <w:szCs w:val="24"/>
                <w:lang w:val="de-DE" w:eastAsia="zh-CN"/>
              </w:rPr>
            </w:pPr>
          </w:p>
          <w:p w:rsidR="00BF4661" w:rsidRPr="005728BA" w:rsidRDefault="007C2800" w:rsidP="00720F43">
            <w:pPr>
              <w:autoSpaceDE w:val="0"/>
              <w:autoSpaceDN w:val="0"/>
              <w:adjustRightInd w:val="0"/>
              <w:jc w:val="center"/>
              <w:rPr>
                <w:rFonts w:eastAsia="SimSun"/>
                <w:szCs w:val="24"/>
                <w:lang w:val="de-DE" w:eastAsia="zh-CN"/>
              </w:rPr>
            </w:pPr>
            <w:r w:rsidRPr="005728BA">
              <w:rPr>
                <w:rFonts w:eastAsia="SimSun"/>
                <w:szCs w:val="24"/>
                <w:lang w:val="de-DE" w:eastAsia="zh-CN"/>
              </w:rPr>
              <w:t>PRÜFUNG DER HOMOGENITÄT ANHAND VON ABWEICHERN AUFGRUND VON MEHR ALS EINER WACHSTUMSPERIODE</w:t>
            </w:r>
            <w:r w:rsidR="00BF4661" w:rsidRPr="005728BA">
              <w:rPr>
                <w:rFonts w:eastAsia="SimSun"/>
                <w:szCs w:val="24"/>
                <w:lang w:val="de-DE" w:eastAsia="zh-CN"/>
              </w:rPr>
              <w:t xml:space="preserve"> </w:t>
            </w:r>
          </w:p>
          <w:p w:rsidR="00BF4661" w:rsidRPr="005728BA" w:rsidRDefault="00BF4661" w:rsidP="00720F43">
            <w:pPr>
              <w:autoSpaceDE w:val="0"/>
              <w:autoSpaceDN w:val="0"/>
              <w:adjustRightInd w:val="0"/>
              <w:jc w:val="center"/>
              <w:rPr>
                <w:rFonts w:eastAsia="SimSun"/>
                <w:szCs w:val="24"/>
                <w:lang w:val="de-DE" w:eastAsia="zh-CN"/>
              </w:rPr>
            </w:pPr>
          </w:p>
        </w:tc>
      </w:tr>
      <w:tr w:rsidR="00BF4661" w:rsidRPr="00CB0E56" w:rsidTr="00243ACF">
        <w:trPr>
          <w:trHeight w:val="8239"/>
        </w:trPr>
        <w:tc>
          <w:tcPr>
            <w:tcW w:w="10206" w:type="dxa"/>
          </w:tcPr>
          <w:p w:rsidR="00143660" w:rsidRPr="005728BA" w:rsidRDefault="00143660" w:rsidP="00720F43">
            <w:pPr>
              <w:rPr>
                <w:lang w:val="de-DE"/>
              </w:rPr>
            </w:pPr>
          </w:p>
          <w:p w:rsidR="00BF4661" w:rsidRPr="005728BA" w:rsidRDefault="00E53D99" w:rsidP="00720F43">
            <w:pPr>
              <w:rPr>
                <w:szCs w:val="24"/>
                <w:lang w:val="de-DE"/>
              </w:rPr>
            </w:pPr>
            <w:r w:rsidRPr="005728BA">
              <w:rPr>
                <w:lang w:val="de-DE"/>
              </w:rPr>
              <w:t>Zwei unabhängige</w:t>
            </w:r>
            <w:r w:rsidR="00BF4661" w:rsidRPr="005728BA">
              <w:rPr>
                <w:lang w:val="de-DE"/>
              </w:rPr>
              <w:t xml:space="preserve"> </w:t>
            </w:r>
            <w:r w:rsidRPr="005728BA">
              <w:rPr>
                <w:lang w:val="de-DE"/>
              </w:rPr>
              <w:t>Wachstumsperioden</w:t>
            </w:r>
            <w:r w:rsidR="00BF4661" w:rsidRPr="005728BA">
              <w:rPr>
                <w:lang w:val="de-DE"/>
              </w:rPr>
              <w:t xml:space="preserve"> </w:t>
            </w:r>
            <w:r w:rsidR="00CF79DA" w:rsidRPr="005728BA">
              <w:rPr>
                <w:lang w:val="de-DE"/>
              </w:rPr>
              <w:t xml:space="preserve">könnten </w:t>
            </w:r>
            <w:r w:rsidR="001242D4" w:rsidRPr="005728BA">
              <w:rPr>
                <w:lang w:val="de-DE"/>
              </w:rPr>
              <w:t>an einem einzigen Prüfungsort in verschiedenen Jahren oder an unterschiedlichen Prüfungsorten im selben Jahr stattfinden</w:t>
            </w:r>
            <w:r w:rsidR="003A2653" w:rsidRPr="005728BA">
              <w:rPr>
                <w:highlight w:val="lightGray"/>
                <w:u w:val="single"/>
                <w:lang w:val="de-DE"/>
              </w:rPr>
              <w:t xml:space="preserve"> </w:t>
            </w:r>
            <w:r w:rsidR="00380D22" w:rsidRPr="005728BA">
              <w:rPr>
                <w:highlight w:val="lightGray"/>
                <w:u w:val="single"/>
                <w:lang w:val="de-DE"/>
              </w:rPr>
              <w:t>gemäß</w:t>
            </w:r>
            <w:r w:rsidR="00BF4661" w:rsidRPr="005728BA">
              <w:rPr>
                <w:highlight w:val="lightGray"/>
                <w:lang w:val="de-DE"/>
              </w:rPr>
              <w:t xml:space="preserve"> </w:t>
            </w:r>
            <w:r w:rsidR="00BF4661" w:rsidRPr="005728BA">
              <w:rPr>
                <w:strike/>
                <w:highlight w:val="lightGray"/>
                <w:lang w:val="de-DE"/>
              </w:rPr>
              <w:t>(</w:t>
            </w:r>
            <w:r w:rsidR="00D800D5" w:rsidRPr="005728BA">
              <w:rPr>
                <w:strike/>
                <w:highlight w:val="lightGray"/>
                <w:lang w:val="de-DE"/>
              </w:rPr>
              <w:t>vergleiche</w:t>
            </w:r>
            <w:r w:rsidR="00D800D5" w:rsidRPr="00170C91">
              <w:rPr>
                <w:highlight w:val="lightGray"/>
                <w:lang w:val="de-DE"/>
              </w:rPr>
              <w:t xml:space="preserve"> </w:t>
            </w:r>
            <w:r w:rsidR="00D800D5" w:rsidRPr="00170C91">
              <w:rPr>
                <w:lang w:val="de-DE"/>
              </w:rPr>
              <w:t xml:space="preserve">Dokument </w:t>
            </w:r>
            <w:r w:rsidR="00BF4661" w:rsidRPr="00170C91">
              <w:rPr>
                <w:lang w:val="de-DE"/>
              </w:rPr>
              <w:t>T</w:t>
            </w:r>
            <w:r w:rsidR="00BF4661" w:rsidRPr="005728BA">
              <w:rPr>
                <w:lang w:val="de-DE"/>
              </w:rPr>
              <w:t>GP/8</w:t>
            </w:r>
            <w:r w:rsidR="00380D22" w:rsidRPr="005728BA">
              <w:rPr>
                <w:lang w:val="de-DE"/>
              </w:rPr>
              <w:t xml:space="preserve"> Teil </w:t>
            </w:r>
            <w:r w:rsidR="00BF4661" w:rsidRPr="005728BA">
              <w:rPr>
                <w:lang w:val="de-DE"/>
              </w:rPr>
              <w:t xml:space="preserve">I, </w:t>
            </w:r>
            <w:r w:rsidR="00380D22" w:rsidRPr="005728BA">
              <w:rPr>
                <w:lang w:val="de-DE"/>
              </w:rPr>
              <w:t>Abschnitt</w:t>
            </w:r>
            <w:r w:rsidR="00380D22" w:rsidRPr="004006EE">
              <w:rPr>
                <w:highlight w:val="lightGray"/>
                <w:u w:val="single"/>
                <w:lang w:val="de-DE"/>
              </w:rPr>
              <w:t>e</w:t>
            </w:r>
            <w:r w:rsidR="00BF4661" w:rsidRPr="005728BA">
              <w:rPr>
                <w:lang w:val="de-DE"/>
              </w:rPr>
              <w:t xml:space="preserve"> 1.2</w:t>
            </w:r>
            <w:r w:rsidR="00D800D5" w:rsidRPr="005728BA">
              <w:rPr>
                <w:lang w:val="de-DE"/>
              </w:rPr>
              <w:t xml:space="preserve"> </w:t>
            </w:r>
            <w:r w:rsidR="00D800D5" w:rsidRPr="00170C91">
              <w:rPr>
                <w:highlight w:val="lightGray"/>
                <w:u w:val="single"/>
                <w:lang w:val="de-DE"/>
              </w:rPr>
              <w:t xml:space="preserve">und </w:t>
            </w:r>
            <w:r w:rsidR="003A2653" w:rsidRPr="00170C91">
              <w:rPr>
                <w:highlight w:val="lightGray"/>
                <w:u w:val="single"/>
                <w:lang w:val="de-DE"/>
              </w:rPr>
              <w:t>1</w:t>
            </w:r>
            <w:r w:rsidR="003A2653" w:rsidRPr="005728BA">
              <w:rPr>
                <w:highlight w:val="lightGray"/>
                <w:u w:val="single"/>
                <w:lang w:val="de-DE"/>
              </w:rPr>
              <w:t>.3</w:t>
            </w:r>
            <w:r w:rsidR="00BF4661" w:rsidRPr="005728BA">
              <w:rPr>
                <w:strike/>
                <w:highlight w:val="lightGray"/>
                <w:lang w:val="de-DE"/>
              </w:rPr>
              <w:t>)</w:t>
            </w:r>
          </w:p>
          <w:p w:rsidR="00BF4661" w:rsidRPr="005728BA" w:rsidRDefault="00BF4661" w:rsidP="00720F43">
            <w:pPr>
              <w:rPr>
                <w:szCs w:val="24"/>
                <w:lang w:val="de-DE"/>
              </w:rPr>
            </w:pPr>
          </w:p>
          <w:p w:rsidR="00D6322F" w:rsidRPr="005728BA" w:rsidRDefault="00380D22" w:rsidP="00720F43">
            <w:pPr>
              <w:rPr>
                <w:szCs w:val="24"/>
                <w:u w:val="single"/>
                <w:lang w:val="de-DE"/>
              </w:rPr>
            </w:pPr>
            <w:r w:rsidRPr="005728BA">
              <w:rPr>
                <w:highlight w:val="lightGray"/>
                <w:u w:val="single"/>
                <w:lang w:val="de-DE"/>
              </w:rPr>
              <w:t>Die folgende Anleitung</w:t>
            </w:r>
            <w:r w:rsidR="00D6322F" w:rsidRPr="005728BA">
              <w:rPr>
                <w:highlight w:val="lightGray"/>
                <w:u w:val="single"/>
                <w:lang w:val="de-DE"/>
              </w:rPr>
              <w:t xml:space="preserve"> </w:t>
            </w:r>
            <w:r w:rsidRPr="005728BA">
              <w:rPr>
                <w:highlight w:val="lightGray"/>
                <w:u w:val="single"/>
                <w:lang w:val="de-DE"/>
              </w:rPr>
              <w:t xml:space="preserve">ist nicht für die </w:t>
            </w:r>
            <w:r w:rsidR="00F57940">
              <w:rPr>
                <w:highlight w:val="lightGray"/>
                <w:u w:val="single"/>
                <w:lang w:val="de-DE"/>
              </w:rPr>
              <w:t xml:space="preserve">Verwendung zur Prüfung </w:t>
            </w:r>
            <w:r w:rsidRPr="005728BA">
              <w:rPr>
                <w:highlight w:val="lightGray"/>
                <w:u w:val="single"/>
                <w:lang w:val="de-DE"/>
              </w:rPr>
              <w:t>der Homogenität anhand von Abweichern an den gleichen Pflanzen in zwei Wachstumsperioden vorgesehen</w:t>
            </w:r>
            <w:r w:rsidR="00D6322F" w:rsidRPr="005728BA">
              <w:rPr>
                <w:highlight w:val="lightGray"/>
                <w:u w:val="single"/>
                <w:lang w:val="de-DE"/>
              </w:rPr>
              <w:t>.</w:t>
            </w:r>
          </w:p>
          <w:p w:rsidR="00143660" w:rsidRPr="005728BA" w:rsidRDefault="00143660" w:rsidP="00720F43">
            <w:pPr>
              <w:rPr>
                <w:szCs w:val="24"/>
                <w:lang w:val="de-DE"/>
              </w:rPr>
            </w:pPr>
          </w:p>
          <w:p w:rsidR="00D6322F" w:rsidRPr="005728BA" w:rsidRDefault="00D6322F" w:rsidP="00720F43">
            <w:pPr>
              <w:rPr>
                <w:szCs w:val="24"/>
                <w:lang w:val="de-DE"/>
              </w:rPr>
            </w:pPr>
          </w:p>
          <w:p w:rsidR="00BF4661" w:rsidRPr="005728BA" w:rsidRDefault="00AC00B2" w:rsidP="00720F43">
            <w:pPr>
              <w:rPr>
                <w:b/>
                <w:szCs w:val="24"/>
                <w:lang w:val="de-DE"/>
              </w:rPr>
            </w:pPr>
            <w:r w:rsidRPr="005728BA">
              <w:rPr>
                <w:b/>
                <w:szCs w:val="24"/>
                <w:lang w:val="de-DE"/>
              </w:rPr>
              <w:t>Ansatz</w:t>
            </w:r>
            <w:r w:rsidR="00BF4661" w:rsidRPr="005728BA">
              <w:rPr>
                <w:b/>
                <w:szCs w:val="24"/>
                <w:lang w:val="de-DE"/>
              </w:rPr>
              <w:t xml:space="preserve"> 1:  </w:t>
            </w:r>
            <w:r w:rsidR="00380D22" w:rsidRPr="005728BA">
              <w:rPr>
                <w:b/>
                <w:szCs w:val="24"/>
                <w:lang w:val="de-DE"/>
              </w:rPr>
              <w:t>Dritte Wachstumsperiode im Fall widersprüchlicher Ergebnisse</w:t>
            </w:r>
            <w:r w:rsidR="00BF4661" w:rsidRPr="005728BA">
              <w:rPr>
                <w:b/>
                <w:szCs w:val="24"/>
                <w:lang w:val="de-DE"/>
              </w:rPr>
              <w:t xml:space="preserve"> </w:t>
            </w:r>
          </w:p>
          <w:p w:rsidR="00BF4661" w:rsidRPr="005728BA" w:rsidRDefault="00BF4661" w:rsidP="00720F43">
            <w:pPr>
              <w:rPr>
                <w:b/>
                <w:szCs w:val="24"/>
                <w:lang w:val="de-DE"/>
              </w:rPr>
            </w:pPr>
          </w:p>
          <w:p w:rsidR="00380D22" w:rsidRPr="005728BA" w:rsidRDefault="00380D22" w:rsidP="00380D22">
            <w:pPr>
              <w:rPr>
                <w:rFonts w:eastAsia="SimSun"/>
                <w:szCs w:val="24"/>
                <w:lang w:val="de-DE" w:eastAsia="zh-CN"/>
              </w:rPr>
            </w:pPr>
            <w:r w:rsidRPr="005728BA">
              <w:rPr>
                <w:rFonts w:eastAsia="SimSun"/>
                <w:szCs w:val="24"/>
                <w:lang w:val="de-DE" w:eastAsia="zh-CN"/>
              </w:rPr>
              <w:t>Eine Sorte wird als homogen betrachtet, wenn sie in beiden Wachstumsperioden dem Homogenitätsstandard entspricht.</w:t>
            </w:r>
          </w:p>
          <w:p w:rsidR="00380D22" w:rsidRPr="005728BA" w:rsidRDefault="00380D22" w:rsidP="00380D22">
            <w:pPr>
              <w:rPr>
                <w:rFonts w:eastAsia="SimSun"/>
                <w:szCs w:val="24"/>
                <w:lang w:val="de-DE" w:eastAsia="zh-CN"/>
              </w:rPr>
            </w:pPr>
          </w:p>
          <w:p w:rsidR="00380D22" w:rsidRPr="005728BA" w:rsidRDefault="00380D22" w:rsidP="00380D22">
            <w:pPr>
              <w:rPr>
                <w:rFonts w:eastAsia="SimSun"/>
                <w:szCs w:val="24"/>
                <w:lang w:val="de-DE" w:eastAsia="zh-CN"/>
              </w:rPr>
            </w:pPr>
            <w:r w:rsidRPr="005728BA">
              <w:rPr>
                <w:rFonts w:eastAsia="SimSun"/>
                <w:szCs w:val="24"/>
                <w:lang w:val="de-DE" w:eastAsia="zh-CN"/>
              </w:rPr>
              <w:t>Eine Sorte wird als nicht homogen betrachtet, wenn sie in beiden Wachstumsperioden nicht dem Homogenitätsstandard entspricht.</w:t>
            </w:r>
          </w:p>
          <w:p w:rsidR="00380D22" w:rsidRPr="005728BA" w:rsidRDefault="00380D22" w:rsidP="00380D22">
            <w:pPr>
              <w:rPr>
                <w:rFonts w:eastAsia="SimSun"/>
                <w:szCs w:val="24"/>
                <w:lang w:val="de-DE" w:eastAsia="zh-CN"/>
              </w:rPr>
            </w:pPr>
          </w:p>
          <w:p w:rsidR="00380D22" w:rsidRPr="005728BA" w:rsidRDefault="00380D22" w:rsidP="00380D22">
            <w:pPr>
              <w:rPr>
                <w:rFonts w:eastAsia="SimSun"/>
                <w:szCs w:val="24"/>
                <w:lang w:val="de-DE" w:eastAsia="zh-CN"/>
              </w:rPr>
            </w:pPr>
            <w:r w:rsidRPr="005728BA">
              <w:rPr>
                <w:rFonts w:eastAsia="SimSun"/>
                <w:szCs w:val="24"/>
                <w:lang w:val="de-DE" w:eastAsia="zh-CN"/>
              </w:rPr>
              <w:t>Entspricht die Sorte am Ende der beiden Wachstumsperioden in einer Wachstumsperiode dem Homogenitätsstandard, in der anderen Wachstumsperiode aber nicht, dann wird die Homogenität in einer dritten Wachstumsperiode geprüft.</w:t>
            </w:r>
            <w:r w:rsidR="00CF79DA">
              <w:rPr>
                <w:rFonts w:eastAsia="SimSun"/>
                <w:szCs w:val="24"/>
                <w:lang w:val="de-DE" w:eastAsia="zh-CN"/>
              </w:rPr>
              <w:t xml:space="preserve"> </w:t>
            </w:r>
            <w:r w:rsidRPr="005728BA">
              <w:rPr>
                <w:rFonts w:eastAsia="SimSun"/>
                <w:szCs w:val="24"/>
                <w:lang w:val="de-DE" w:eastAsia="zh-CN"/>
              </w:rPr>
              <w:t>Liegt die Sorte in der dritten Wachstumsperiode im Homogenitätsstandard, so wird die Sorte als homogen betrachtet.</w:t>
            </w:r>
            <w:r w:rsidR="00CF79DA">
              <w:rPr>
                <w:rFonts w:eastAsia="SimSun"/>
                <w:szCs w:val="24"/>
                <w:lang w:val="de-DE" w:eastAsia="zh-CN"/>
              </w:rPr>
              <w:t xml:space="preserve"> </w:t>
            </w:r>
            <w:r w:rsidRPr="005728BA">
              <w:rPr>
                <w:rFonts w:eastAsia="SimSun"/>
                <w:szCs w:val="24"/>
                <w:lang w:val="de-DE" w:eastAsia="zh-CN"/>
              </w:rPr>
              <w:t>Entspricht die Sorte in der dritten Wachstumsperiode nicht dem Homogenitätsstandard, so wird die Sorte als nicht homogen betrachtet.</w:t>
            </w:r>
          </w:p>
          <w:p w:rsidR="00380D22" w:rsidRPr="005728BA" w:rsidRDefault="00380D22" w:rsidP="00380D22">
            <w:pPr>
              <w:rPr>
                <w:rFonts w:eastAsia="SimSun"/>
                <w:szCs w:val="24"/>
                <w:lang w:val="de-DE" w:eastAsia="zh-CN"/>
              </w:rPr>
            </w:pPr>
          </w:p>
          <w:p w:rsidR="00BF4661" w:rsidRPr="005728BA" w:rsidRDefault="00380D22" w:rsidP="00380D22">
            <w:pPr>
              <w:keepNext/>
              <w:keepLines/>
              <w:rPr>
                <w:rFonts w:eastAsia="SimSun"/>
                <w:szCs w:val="24"/>
                <w:lang w:val="de-DE" w:eastAsia="zh-CN"/>
              </w:rPr>
            </w:pPr>
            <w:r w:rsidRPr="005728BA">
              <w:rPr>
                <w:rFonts w:eastAsia="SimSun"/>
                <w:szCs w:val="24"/>
                <w:lang w:val="de-DE" w:eastAsia="zh-CN"/>
              </w:rPr>
              <w:t xml:space="preserve">Bei der Prüfung von Ergebnissen, die in jeder der Wachstumsperioden sehr unterschiedlich sind, </w:t>
            </w:r>
            <w:proofErr w:type="spellStart"/>
            <w:r w:rsidRPr="005728BA">
              <w:rPr>
                <w:rFonts w:eastAsia="SimSun"/>
                <w:szCs w:val="24"/>
                <w:lang w:val="de-DE" w:eastAsia="zh-CN"/>
              </w:rPr>
              <w:t>muß</w:t>
            </w:r>
            <w:proofErr w:type="spellEnd"/>
            <w:r w:rsidRPr="005728BA">
              <w:rPr>
                <w:rFonts w:eastAsia="SimSun"/>
                <w:szCs w:val="24"/>
                <w:lang w:val="de-DE" w:eastAsia="zh-CN"/>
              </w:rPr>
              <w:t xml:space="preserve"> mit größter Sorgfalt verfahren werden, etwa wenn ein </w:t>
            </w:r>
            <w:proofErr w:type="spellStart"/>
            <w:r w:rsidR="004006EE">
              <w:rPr>
                <w:rFonts w:eastAsia="SimSun"/>
                <w:szCs w:val="24"/>
                <w:lang w:val="de-DE" w:eastAsia="zh-CN"/>
              </w:rPr>
              <w:t>Abweichertyp</w:t>
            </w:r>
            <w:proofErr w:type="spellEnd"/>
            <w:r w:rsidRPr="005728BA">
              <w:rPr>
                <w:rFonts w:eastAsia="SimSun"/>
                <w:szCs w:val="24"/>
                <w:lang w:val="de-DE" w:eastAsia="zh-CN"/>
              </w:rPr>
              <w:t xml:space="preserve"> in einer Wachstumsperiode sehr häufig und in einer anderen überhaupt nicht vorkommt</w:t>
            </w:r>
            <w:r w:rsidR="00BF4661" w:rsidRPr="005728BA">
              <w:rPr>
                <w:color w:val="000000"/>
                <w:szCs w:val="24"/>
                <w:lang w:val="de-DE"/>
              </w:rPr>
              <w:t>.</w:t>
            </w:r>
          </w:p>
          <w:p w:rsidR="00BF4661" w:rsidRPr="005728BA" w:rsidRDefault="00BF4661" w:rsidP="00720F43">
            <w:pPr>
              <w:keepNext/>
              <w:keepLines/>
              <w:rPr>
                <w:rFonts w:eastAsia="SimSun"/>
                <w:szCs w:val="24"/>
                <w:lang w:val="de-DE" w:eastAsia="zh-CN"/>
              </w:rPr>
            </w:pPr>
          </w:p>
          <w:p w:rsidR="00BF4661" w:rsidRPr="005728BA" w:rsidRDefault="00831C0E" w:rsidP="00720F43">
            <w:pPr>
              <w:keepNext/>
              <w:keepLines/>
              <w:rPr>
                <w:rFonts w:eastAsia="SimSun"/>
                <w:szCs w:val="24"/>
                <w:lang w:val="de-DE" w:eastAsia="zh-CN"/>
              </w:rPr>
            </w:pPr>
            <w:r w:rsidRPr="005728BA">
              <w:rPr>
                <w:rFonts w:eastAsia="SimSun"/>
                <w:szCs w:val="24"/>
                <w:lang w:val="de-DE" w:eastAsia="zh-CN"/>
              </w:rPr>
              <w:t>Außerdem</w:t>
            </w:r>
            <w:r w:rsidR="00380D22" w:rsidRPr="005728BA">
              <w:rPr>
                <w:rFonts w:eastAsia="SimSun"/>
                <w:szCs w:val="24"/>
                <w:lang w:val="de-DE" w:eastAsia="zh-CN"/>
              </w:rPr>
              <w:t xml:space="preserve"> kann</w:t>
            </w:r>
            <w:r w:rsidR="00BF4661" w:rsidRPr="005728BA">
              <w:rPr>
                <w:rFonts w:eastAsia="SimSun"/>
                <w:szCs w:val="24"/>
                <w:lang w:val="de-DE" w:eastAsia="zh-CN"/>
              </w:rPr>
              <w:t xml:space="preserve"> </w:t>
            </w:r>
            <w:r w:rsidR="00CF79DA" w:rsidRPr="005728BA">
              <w:rPr>
                <w:rFonts w:eastAsia="SimSun"/>
                <w:szCs w:val="24"/>
                <w:lang w:val="de-DE" w:eastAsia="zh-CN"/>
              </w:rPr>
              <w:t xml:space="preserve">eine Sorte </w:t>
            </w:r>
            <w:r w:rsidR="004006EE">
              <w:rPr>
                <w:rFonts w:eastAsia="SimSun"/>
                <w:szCs w:val="24"/>
                <w:lang w:val="de-DE" w:eastAsia="zh-CN"/>
              </w:rPr>
              <w:t xml:space="preserve">aufgrund </w:t>
            </w:r>
            <w:r w:rsidR="004006EE" w:rsidRPr="00170C91">
              <w:rPr>
                <w:rFonts w:eastAsia="SimSun"/>
                <w:szCs w:val="24"/>
                <w:highlight w:val="lightGray"/>
                <w:u w:val="single"/>
                <w:lang w:val="de-DE" w:eastAsia="zh-CN"/>
              </w:rPr>
              <w:t>deutlich</w:t>
            </w:r>
            <w:r w:rsidR="004006EE">
              <w:rPr>
                <w:rFonts w:eastAsia="SimSun"/>
                <w:szCs w:val="24"/>
                <w:lang w:val="de-DE" w:eastAsia="zh-CN"/>
              </w:rPr>
              <w:t xml:space="preserve"> fehlender Homogenität</w:t>
            </w:r>
            <w:r w:rsidRPr="005728BA">
              <w:rPr>
                <w:rFonts w:eastAsia="SimSun"/>
                <w:szCs w:val="24"/>
                <w:lang w:val="de-DE" w:eastAsia="zh-CN"/>
              </w:rPr>
              <w:t xml:space="preserve"> nach einer einzigen Wachstumsperiode zurückgewiesen werden</w:t>
            </w:r>
            <w:r w:rsidR="00BF4661" w:rsidRPr="005728BA">
              <w:rPr>
                <w:rFonts w:eastAsia="SimSun"/>
                <w:szCs w:val="24"/>
                <w:lang w:val="de-DE" w:eastAsia="zh-CN"/>
              </w:rPr>
              <w:t>.</w:t>
            </w:r>
          </w:p>
          <w:p w:rsidR="00BF4661" w:rsidRPr="005728BA" w:rsidRDefault="00BF4661" w:rsidP="00720F43">
            <w:pPr>
              <w:keepNext/>
              <w:keepLines/>
              <w:rPr>
                <w:rFonts w:eastAsia="SimSun"/>
                <w:szCs w:val="24"/>
                <w:lang w:val="de-DE" w:eastAsia="zh-CN"/>
              </w:rPr>
            </w:pPr>
          </w:p>
          <w:p w:rsidR="00143660" w:rsidRPr="005728BA" w:rsidRDefault="00143660" w:rsidP="00720F43">
            <w:pPr>
              <w:keepNext/>
              <w:keepLines/>
              <w:rPr>
                <w:rFonts w:eastAsia="SimSun"/>
                <w:szCs w:val="24"/>
                <w:lang w:val="de-DE" w:eastAsia="zh-CN"/>
              </w:rPr>
            </w:pPr>
          </w:p>
          <w:p w:rsidR="00BF4661" w:rsidRPr="005728BA" w:rsidRDefault="00AC00B2" w:rsidP="00720F43">
            <w:pPr>
              <w:rPr>
                <w:b/>
                <w:szCs w:val="24"/>
                <w:lang w:val="de-DE"/>
              </w:rPr>
            </w:pPr>
            <w:r w:rsidRPr="005728BA">
              <w:rPr>
                <w:b/>
                <w:szCs w:val="24"/>
                <w:lang w:val="de-DE"/>
              </w:rPr>
              <w:t>Ansatz</w:t>
            </w:r>
            <w:r w:rsidR="00BF4661" w:rsidRPr="005728BA">
              <w:rPr>
                <w:b/>
                <w:szCs w:val="24"/>
                <w:lang w:val="de-DE"/>
              </w:rPr>
              <w:t xml:space="preserve"> 2:  </w:t>
            </w:r>
            <w:r w:rsidR="00267CF8" w:rsidRPr="005728BA">
              <w:rPr>
                <w:b/>
                <w:szCs w:val="24"/>
                <w:lang w:val="de-DE"/>
              </w:rPr>
              <w:t>Kombination der Ergebnisse aus zwei Wachstumsperioden</w:t>
            </w:r>
            <w:r w:rsidR="00DD7375" w:rsidRPr="005728BA">
              <w:rPr>
                <w:b/>
                <w:szCs w:val="24"/>
                <w:lang w:val="de-DE"/>
              </w:rPr>
              <w:t xml:space="preserve"> </w:t>
            </w:r>
            <w:r w:rsidR="002A01A8" w:rsidRPr="005728BA">
              <w:rPr>
                <w:b/>
                <w:szCs w:val="24"/>
                <w:highlight w:val="lightGray"/>
                <w:u w:val="single"/>
                <w:lang w:val="de-DE"/>
              </w:rPr>
              <w:t>im Fall widersprüchlicher Ergebnisse</w:t>
            </w:r>
          </w:p>
          <w:p w:rsidR="00BF4661" w:rsidRPr="005728BA" w:rsidRDefault="00BF4661" w:rsidP="00720F43">
            <w:pPr>
              <w:keepNext/>
              <w:keepLines/>
              <w:rPr>
                <w:rFonts w:eastAsia="MS Mincho"/>
                <w:color w:val="000000"/>
                <w:lang w:val="de-DE" w:eastAsia="ja-JP"/>
              </w:rPr>
            </w:pPr>
          </w:p>
          <w:p w:rsidR="00380D22" w:rsidRPr="005728BA" w:rsidRDefault="00380D22" w:rsidP="00380D22">
            <w:pPr>
              <w:rPr>
                <w:rFonts w:eastAsia="SimSun"/>
                <w:lang w:val="de-DE"/>
              </w:rPr>
            </w:pPr>
            <w:r w:rsidRPr="005728BA">
              <w:rPr>
                <w:lang w:val="de-DE"/>
              </w:rPr>
              <w:t>Eine Sorte wird als homogen betrachtet, wenn sie in beiden Wachstumsperioden dem Homogenitätsstandard entspricht.</w:t>
            </w:r>
          </w:p>
          <w:p w:rsidR="00380D22" w:rsidRPr="005728BA" w:rsidRDefault="00380D22" w:rsidP="00380D22">
            <w:pPr>
              <w:rPr>
                <w:rFonts w:eastAsia="SimSun"/>
                <w:lang w:val="de-DE"/>
              </w:rPr>
            </w:pPr>
          </w:p>
          <w:p w:rsidR="00380D22" w:rsidRPr="005728BA" w:rsidRDefault="00380D22" w:rsidP="00380D22">
            <w:pPr>
              <w:rPr>
                <w:rFonts w:eastAsia="SimSun"/>
                <w:lang w:val="de-DE"/>
              </w:rPr>
            </w:pPr>
            <w:r w:rsidRPr="005728BA">
              <w:rPr>
                <w:lang w:val="de-DE"/>
              </w:rPr>
              <w:t>Eine Sorte wird als nicht homogen betrachtet, wenn sie in beiden Wachstumsperioden nicht dem Homogenitätsstandard entspricht.</w:t>
            </w:r>
          </w:p>
          <w:p w:rsidR="00380D22" w:rsidRPr="005728BA" w:rsidRDefault="00380D22" w:rsidP="00380D22">
            <w:pPr>
              <w:rPr>
                <w:rFonts w:eastAsia="SimSun"/>
                <w:lang w:val="de-DE"/>
              </w:rPr>
            </w:pPr>
          </w:p>
          <w:p w:rsidR="00380D22" w:rsidRPr="005728BA" w:rsidRDefault="00380D22" w:rsidP="00380D22">
            <w:pPr>
              <w:keepNext/>
              <w:keepLines/>
              <w:rPr>
                <w:rFonts w:eastAsia="SimSun"/>
                <w:lang w:val="de-DE"/>
              </w:rPr>
            </w:pPr>
            <w:r w:rsidRPr="005728BA">
              <w:rPr>
                <w:lang w:val="de-DE"/>
              </w:rPr>
              <w:t xml:space="preserve">Entspricht die Sorte am Ende der beiden Wachstumsperioden in einer Wachstumsperiode dem Homogenitätsstandard, in der anderen Wachstumsperiode aber nicht, wird eine Sorte als homogen betrachtet, wenn die </w:t>
            </w:r>
            <w:r w:rsidR="00CF79DA">
              <w:rPr>
                <w:lang w:val="de-DE"/>
              </w:rPr>
              <w:t>Gesamta</w:t>
            </w:r>
            <w:r w:rsidRPr="005728BA">
              <w:rPr>
                <w:lang w:val="de-DE"/>
              </w:rPr>
              <w:t xml:space="preserve">nzahl der </w:t>
            </w:r>
            <w:proofErr w:type="spellStart"/>
            <w:r w:rsidRPr="005728BA">
              <w:rPr>
                <w:lang w:val="de-DE"/>
              </w:rPr>
              <w:t>Abweicher</w:t>
            </w:r>
            <w:proofErr w:type="spellEnd"/>
            <w:r w:rsidRPr="005728BA">
              <w:rPr>
                <w:lang w:val="de-DE"/>
              </w:rPr>
              <w:t xml:space="preserve"> am Ende der beiden Wachstumsperioden die Anzahl der erlaubten </w:t>
            </w:r>
            <w:proofErr w:type="spellStart"/>
            <w:r w:rsidRPr="005728BA">
              <w:rPr>
                <w:lang w:val="de-DE"/>
              </w:rPr>
              <w:t>Abweicher</w:t>
            </w:r>
            <w:proofErr w:type="spellEnd"/>
            <w:r w:rsidRPr="005728BA">
              <w:rPr>
                <w:lang w:val="de-DE"/>
              </w:rPr>
              <w:t xml:space="preserve"> der </w:t>
            </w:r>
            <w:r w:rsidRPr="00C65FC1">
              <w:rPr>
                <w:strike/>
                <w:highlight w:val="lightGray"/>
                <w:lang w:val="de-DE"/>
              </w:rPr>
              <w:t>kombinierten</w:t>
            </w:r>
            <w:r w:rsidRPr="005728BA">
              <w:rPr>
                <w:lang w:val="de-DE"/>
              </w:rPr>
              <w:t xml:space="preserve"> </w:t>
            </w:r>
            <w:r w:rsidR="00CF79DA" w:rsidRPr="00170C91">
              <w:rPr>
                <w:lang w:val="de-DE"/>
              </w:rPr>
              <w:t>Probe</w:t>
            </w:r>
            <w:r w:rsidR="00CF79DA" w:rsidRPr="004006EE">
              <w:rPr>
                <w:highlight w:val="lightGray"/>
                <w:u w:val="single"/>
                <w:lang w:val="de-DE"/>
              </w:rPr>
              <w:t>ngröße in den kombinierten Wachstumsperioden 1 und 2</w:t>
            </w:r>
            <w:r w:rsidR="00CF79DA" w:rsidRPr="005728BA">
              <w:rPr>
                <w:lang w:val="de-DE"/>
              </w:rPr>
              <w:t xml:space="preserve"> </w:t>
            </w:r>
            <w:r w:rsidRPr="005728BA">
              <w:rPr>
                <w:lang w:val="de-DE"/>
              </w:rPr>
              <w:t>nicht übersteigt.</w:t>
            </w:r>
          </w:p>
          <w:p w:rsidR="00380D22" w:rsidRPr="005728BA" w:rsidRDefault="00380D22" w:rsidP="00380D22">
            <w:pPr>
              <w:keepNext/>
              <w:keepLines/>
              <w:ind w:right="459"/>
              <w:rPr>
                <w:rFonts w:eastAsia="SimSun"/>
                <w:lang w:val="de-DE"/>
              </w:rPr>
            </w:pPr>
          </w:p>
          <w:p w:rsidR="00BF4661" w:rsidRPr="005728BA" w:rsidRDefault="00380D22" w:rsidP="00380D22">
            <w:pPr>
              <w:keepNext/>
              <w:keepLines/>
              <w:rPr>
                <w:rFonts w:eastAsia="SimSun"/>
                <w:lang w:val="de-DE" w:eastAsia="zh-CN"/>
              </w:rPr>
            </w:pPr>
            <w:r w:rsidRPr="005728BA">
              <w:rPr>
                <w:lang w:val="de-DE"/>
              </w:rPr>
              <w:t xml:space="preserve">Bei der Prüfung von Ergebnissen, die in jeder der Wachstumsperioden sehr unterschiedlich sind, </w:t>
            </w:r>
            <w:proofErr w:type="spellStart"/>
            <w:r w:rsidRPr="005728BA">
              <w:rPr>
                <w:lang w:val="de-DE"/>
              </w:rPr>
              <w:t>muß</w:t>
            </w:r>
            <w:proofErr w:type="spellEnd"/>
            <w:r w:rsidRPr="005728BA">
              <w:rPr>
                <w:lang w:val="de-DE"/>
              </w:rPr>
              <w:t xml:space="preserve"> mit größter Sorgfalt verfahren werden, etwa wenn ein </w:t>
            </w:r>
            <w:proofErr w:type="spellStart"/>
            <w:r w:rsidR="004006EE">
              <w:rPr>
                <w:lang w:val="de-DE"/>
              </w:rPr>
              <w:t>Abweichertyp</w:t>
            </w:r>
            <w:proofErr w:type="spellEnd"/>
            <w:r w:rsidRPr="005728BA">
              <w:rPr>
                <w:lang w:val="de-DE"/>
              </w:rPr>
              <w:t xml:space="preserve"> in einer Wachstumsperiode sehr häufig und in einer anderen überhaupt nicht vorkommt</w:t>
            </w:r>
            <w:r w:rsidR="00BF4661" w:rsidRPr="005728BA">
              <w:rPr>
                <w:rFonts w:eastAsia="SimSun"/>
                <w:lang w:val="de-DE" w:eastAsia="zh-CN"/>
              </w:rPr>
              <w:t>.</w:t>
            </w:r>
          </w:p>
          <w:p w:rsidR="00BF4661" w:rsidRPr="005728BA" w:rsidRDefault="00BF4661" w:rsidP="00720F43">
            <w:pPr>
              <w:keepNext/>
              <w:keepLines/>
              <w:rPr>
                <w:rFonts w:eastAsia="SimSun"/>
                <w:szCs w:val="24"/>
                <w:lang w:val="de-DE" w:eastAsia="zh-CN"/>
              </w:rPr>
            </w:pPr>
          </w:p>
          <w:p w:rsidR="00BF4661" w:rsidRPr="005728BA" w:rsidRDefault="00380D22" w:rsidP="00720F43">
            <w:pPr>
              <w:keepNext/>
              <w:keepLines/>
              <w:rPr>
                <w:rFonts w:eastAsia="SimSun"/>
                <w:szCs w:val="24"/>
                <w:lang w:val="de-DE" w:eastAsia="zh-CN"/>
              </w:rPr>
            </w:pPr>
            <w:r w:rsidRPr="005728BA">
              <w:rPr>
                <w:rFonts w:eastAsia="SimSun"/>
                <w:szCs w:val="24"/>
                <w:lang w:val="de-DE" w:eastAsia="zh-CN"/>
              </w:rPr>
              <w:t xml:space="preserve">Außerdem kann eine Sorte </w:t>
            </w:r>
            <w:r w:rsidR="004006EE">
              <w:rPr>
                <w:rFonts w:eastAsia="SimSun"/>
                <w:szCs w:val="24"/>
                <w:lang w:val="de-DE" w:eastAsia="zh-CN"/>
              </w:rPr>
              <w:t>aufgrund fehlender Homogenität</w:t>
            </w:r>
            <w:r w:rsidRPr="005728BA">
              <w:rPr>
                <w:rFonts w:eastAsia="SimSun"/>
                <w:szCs w:val="24"/>
                <w:lang w:val="de-DE" w:eastAsia="zh-CN"/>
              </w:rPr>
              <w:t xml:space="preserve"> nach einer einzigen Wachstumsperiode zurückgewiesen werden</w:t>
            </w:r>
            <w:r w:rsidR="00BF4661" w:rsidRPr="005728BA">
              <w:rPr>
                <w:rFonts w:eastAsia="SimSun"/>
                <w:szCs w:val="24"/>
                <w:lang w:val="de-DE" w:eastAsia="zh-CN"/>
              </w:rPr>
              <w:t>.</w:t>
            </w:r>
          </w:p>
          <w:p w:rsidR="00DD7375" w:rsidRPr="005728BA" w:rsidRDefault="00DD7375" w:rsidP="00720F43">
            <w:pPr>
              <w:keepNext/>
              <w:keepLines/>
              <w:rPr>
                <w:rFonts w:eastAsia="SimSun"/>
                <w:szCs w:val="24"/>
                <w:lang w:val="de-DE" w:eastAsia="zh-CN"/>
              </w:rPr>
            </w:pPr>
          </w:p>
          <w:p w:rsidR="00143660" w:rsidRPr="005728BA" w:rsidRDefault="00143660" w:rsidP="00720F43">
            <w:pPr>
              <w:keepNext/>
              <w:keepLines/>
              <w:rPr>
                <w:rFonts w:eastAsia="SimSun"/>
                <w:szCs w:val="24"/>
                <w:lang w:val="de-DE" w:eastAsia="zh-CN"/>
              </w:rPr>
            </w:pPr>
          </w:p>
          <w:p w:rsidR="00DD7375" w:rsidRPr="005728BA" w:rsidRDefault="00AC00B2" w:rsidP="00DD7375">
            <w:pPr>
              <w:keepNext/>
              <w:ind w:left="34"/>
              <w:rPr>
                <w:b/>
                <w:bCs/>
                <w:highlight w:val="lightGray"/>
                <w:u w:val="single"/>
                <w:lang w:val="de-DE"/>
              </w:rPr>
            </w:pPr>
            <w:r w:rsidRPr="005728BA">
              <w:rPr>
                <w:b/>
                <w:bCs/>
                <w:highlight w:val="lightGray"/>
                <w:u w:val="single"/>
                <w:lang w:val="de-DE"/>
              </w:rPr>
              <w:t>Ansatz</w:t>
            </w:r>
            <w:r w:rsidR="00DD7375" w:rsidRPr="005728BA">
              <w:rPr>
                <w:b/>
                <w:bCs/>
                <w:highlight w:val="lightGray"/>
                <w:u w:val="single"/>
                <w:lang w:val="de-DE"/>
              </w:rPr>
              <w:t xml:space="preserve"> 3:  </w:t>
            </w:r>
            <w:r w:rsidR="00267CF8" w:rsidRPr="005728BA">
              <w:rPr>
                <w:b/>
                <w:bCs/>
                <w:highlight w:val="lightGray"/>
                <w:u w:val="single"/>
                <w:lang w:val="de-DE"/>
              </w:rPr>
              <w:t>Kombination der Ergebnisse aus zwei Wachstumsperioden</w:t>
            </w:r>
          </w:p>
          <w:p w:rsidR="00DD7375" w:rsidRPr="005728BA" w:rsidRDefault="00DD7375" w:rsidP="00DD7375">
            <w:pPr>
              <w:keepNext/>
              <w:ind w:left="34"/>
              <w:rPr>
                <w:highlight w:val="lightGray"/>
                <w:u w:val="single"/>
                <w:lang w:val="de-DE"/>
              </w:rPr>
            </w:pPr>
          </w:p>
          <w:p w:rsidR="00DD7375" w:rsidRPr="005728BA" w:rsidRDefault="00AE6216" w:rsidP="00DD7375">
            <w:pPr>
              <w:ind w:left="34"/>
              <w:rPr>
                <w:highlight w:val="lightGray"/>
                <w:u w:val="single"/>
                <w:lang w:val="de-DE"/>
              </w:rPr>
            </w:pPr>
            <w:r w:rsidRPr="005728BA">
              <w:rPr>
                <w:highlight w:val="lightGray"/>
                <w:u w:val="single"/>
                <w:lang w:val="de-DE"/>
              </w:rPr>
              <w:t xml:space="preserve">Eine Sorte wird als homogen betrachtet, wenn die Gesamtzahl der </w:t>
            </w:r>
            <w:proofErr w:type="spellStart"/>
            <w:r w:rsidRPr="005728BA">
              <w:rPr>
                <w:highlight w:val="lightGray"/>
                <w:u w:val="single"/>
                <w:lang w:val="de-DE"/>
              </w:rPr>
              <w:t>Abweicher</w:t>
            </w:r>
            <w:proofErr w:type="spellEnd"/>
            <w:r w:rsidRPr="005728BA">
              <w:rPr>
                <w:highlight w:val="lightGray"/>
                <w:u w:val="single"/>
                <w:lang w:val="de-DE"/>
              </w:rPr>
              <w:t xml:space="preserve"> am Ende der beiden Wachstumsperioden die Anzahl der erlaubten </w:t>
            </w:r>
            <w:proofErr w:type="spellStart"/>
            <w:r w:rsidRPr="005728BA">
              <w:rPr>
                <w:highlight w:val="lightGray"/>
                <w:u w:val="single"/>
                <w:lang w:val="de-DE"/>
              </w:rPr>
              <w:t>Abweicher</w:t>
            </w:r>
            <w:proofErr w:type="spellEnd"/>
            <w:r w:rsidRPr="005728BA">
              <w:rPr>
                <w:highlight w:val="lightGray"/>
                <w:u w:val="single"/>
                <w:lang w:val="de-DE"/>
              </w:rPr>
              <w:t xml:space="preserve"> in der kombinierten Probe nicht übersteigt</w:t>
            </w:r>
            <w:r w:rsidR="00DD7375" w:rsidRPr="005728BA">
              <w:rPr>
                <w:highlight w:val="lightGray"/>
                <w:u w:val="single"/>
                <w:lang w:val="de-DE"/>
              </w:rPr>
              <w:t>.</w:t>
            </w:r>
          </w:p>
          <w:p w:rsidR="00DD7375" w:rsidRPr="005728BA" w:rsidRDefault="00DD7375" w:rsidP="00DD7375">
            <w:pPr>
              <w:ind w:left="34"/>
              <w:rPr>
                <w:highlight w:val="lightGray"/>
                <w:u w:val="single"/>
                <w:lang w:val="de-DE"/>
              </w:rPr>
            </w:pPr>
          </w:p>
          <w:p w:rsidR="00DD7375" w:rsidRPr="005728BA" w:rsidRDefault="00AE6216" w:rsidP="00DD7375">
            <w:pPr>
              <w:ind w:left="34"/>
              <w:rPr>
                <w:highlight w:val="lightGray"/>
                <w:u w:val="single"/>
                <w:lang w:val="de-DE"/>
              </w:rPr>
            </w:pPr>
            <w:r w:rsidRPr="005728BA">
              <w:rPr>
                <w:highlight w:val="lightGray"/>
                <w:u w:val="single"/>
                <w:lang w:val="de-DE"/>
              </w:rPr>
              <w:t xml:space="preserve">Eine Sorte wird als nicht homogen betrachtet, wenn die </w:t>
            </w:r>
            <w:r w:rsidR="00CF79DA">
              <w:rPr>
                <w:highlight w:val="lightGray"/>
                <w:u w:val="single"/>
                <w:lang w:val="de-DE"/>
              </w:rPr>
              <w:t>Gesamta</w:t>
            </w:r>
            <w:r w:rsidRPr="005728BA">
              <w:rPr>
                <w:highlight w:val="lightGray"/>
                <w:u w:val="single"/>
                <w:lang w:val="de-DE"/>
              </w:rPr>
              <w:t xml:space="preserve">nzahl der </w:t>
            </w:r>
            <w:proofErr w:type="spellStart"/>
            <w:r w:rsidRPr="005728BA">
              <w:rPr>
                <w:highlight w:val="lightGray"/>
                <w:u w:val="single"/>
                <w:lang w:val="de-DE"/>
              </w:rPr>
              <w:t>Abweicher</w:t>
            </w:r>
            <w:proofErr w:type="spellEnd"/>
            <w:r w:rsidRPr="005728BA">
              <w:rPr>
                <w:highlight w:val="lightGray"/>
                <w:u w:val="single"/>
                <w:lang w:val="de-DE"/>
              </w:rPr>
              <w:t xml:space="preserve"> am Ende der beiden Wachstumsperioden die Anzahl der erlaubten </w:t>
            </w:r>
            <w:proofErr w:type="spellStart"/>
            <w:r w:rsidRPr="005728BA">
              <w:rPr>
                <w:highlight w:val="lightGray"/>
                <w:u w:val="single"/>
                <w:lang w:val="de-DE"/>
              </w:rPr>
              <w:t>Abweicher</w:t>
            </w:r>
            <w:proofErr w:type="spellEnd"/>
            <w:r w:rsidRPr="005728BA">
              <w:rPr>
                <w:highlight w:val="lightGray"/>
                <w:u w:val="single"/>
                <w:lang w:val="de-DE"/>
              </w:rPr>
              <w:t xml:space="preserve"> der kombinierten Probe übersteigt</w:t>
            </w:r>
            <w:r w:rsidR="00DD7375" w:rsidRPr="005728BA">
              <w:rPr>
                <w:highlight w:val="lightGray"/>
                <w:u w:val="single"/>
                <w:lang w:val="de-DE"/>
              </w:rPr>
              <w:t>.</w:t>
            </w:r>
          </w:p>
          <w:p w:rsidR="00DD7375" w:rsidRPr="005728BA" w:rsidRDefault="00DD7375" w:rsidP="00DD7375">
            <w:pPr>
              <w:ind w:left="34"/>
              <w:rPr>
                <w:highlight w:val="lightGray"/>
                <w:u w:val="single"/>
                <w:lang w:val="de-DE"/>
              </w:rPr>
            </w:pPr>
          </w:p>
          <w:p w:rsidR="00DD7375" w:rsidRPr="005728BA" w:rsidRDefault="00AE6216" w:rsidP="00DD7375">
            <w:pPr>
              <w:ind w:left="34"/>
              <w:rPr>
                <w:highlight w:val="lightGray"/>
                <w:u w:val="single"/>
                <w:lang w:val="de-DE"/>
              </w:rPr>
            </w:pPr>
            <w:r w:rsidRPr="005728BA">
              <w:rPr>
                <w:highlight w:val="lightGray"/>
                <w:u w:val="single"/>
                <w:lang w:val="de-DE"/>
              </w:rPr>
              <w:t xml:space="preserve">Eine Sorte kann nach einer Wachstumsperiode zurückgewiesen werden, wenn die Anzahl der </w:t>
            </w:r>
            <w:proofErr w:type="spellStart"/>
            <w:r w:rsidRPr="005728BA">
              <w:rPr>
                <w:highlight w:val="lightGray"/>
                <w:u w:val="single"/>
                <w:lang w:val="de-DE"/>
              </w:rPr>
              <w:t>Abweicher</w:t>
            </w:r>
            <w:proofErr w:type="spellEnd"/>
            <w:r w:rsidRPr="005728BA">
              <w:rPr>
                <w:highlight w:val="lightGray"/>
                <w:u w:val="single"/>
                <w:lang w:val="de-DE"/>
              </w:rPr>
              <w:t xml:space="preserve"> die Anzahl der erlaubten </w:t>
            </w:r>
            <w:proofErr w:type="spellStart"/>
            <w:r w:rsidRPr="005728BA">
              <w:rPr>
                <w:highlight w:val="lightGray"/>
                <w:u w:val="single"/>
                <w:lang w:val="de-DE"/>
              </w:rPr>
              <w:t>Abweicher</w:t>
            </w:r>
            <w:proofErr w:type="spellEnd"/>
            <w:r w:rsidRPr="005728BA">
              <w:rPr>
                <w:highlight w:val="lightGray"/>
                <w:u w:val="single"/>
                <w:lang w:val="de-DE"/>
              </w:rPr>
              <w:t xml:space="preserve"> der kombinierten Probe </w:t>
            </w:r>
            <w:r w:rsidR="00F57940">
              <w:rPr>
                <w:highlight w:val="lightGray"/>
                <w:u w:val="single"/>
                <w:lang w:val="de-DE"/>
              </w:rPr>
              <w:t>(über zwei Perioden) übersteigt</w:t>
            </w:r>
            <w:r w:rsidR="00DD7375" w:rsidRPr="005728BA">
              <w:rPr>
                <w:highlight w:val="lightGray"/>
                <w:u w:val="single"/>
                <w:lang w:val="de-DE"/>
              </w:rPr>
              <w:t>.</w:t>
            </w:r>
          </w:p>
          <w:p w:rsidR="00DD7375" w:rsidRPr="005728BA" w:rsidRDefault="00DD7375" w:rsidP="00DD7375">
            <w:pPr>
              <w:ind w:left="34"/>
              <w:rPr>
                <w:highlight w:val="lightGray"/>
                <w:u w:val="single"/>
                <w:lang w:val="de-DE"/>
              </w:rPr>
            </w:pPr>
          </w:p>
          <w:p w:rsidR="00DD7375" w:rsidRPr="005728BA" w:rsidRDefault="00CA3F80" w:rsidP="00DD7375">
            <w:pPr>
              <w:ind w:left="34"/>
              <w:rPr>
                <w:lang w:val="de-DE"/>
              </w:rPr>
            </w:pPr>
            <w:r w:rsidRPr="005728BA">
              <w:rPr>
                <w:highlight w:val="lightGray"/>
                <w:u w:val="single"/>
                <w:lang w:val="de-DE"/>
              </w:rPr>
              <w:t xml:space="preserve">Bei der Prüfung von Ergebnissen, die in jeder der Wachstumsperioden sehr unterschiedlich sind, </w:t>
            </w:r>
            <w:proofErr w:type="spellStart"/>
            <w:r w:rsidRPr="005728BA">
              <w:rPr>
                <w:highlight w:val="lightGray"/>
                <w:u w:val="single"/>
                <w:lang w:val="de-DE"/>
              </w:rPr>
              <w:t>muß</w:t>
            </w:r>
            <w:proofErr w:type="spellEnd"/>
            <w:r w:rsidRPr="005728BA">
              <w:rPr>
                <w:highlight w:val="lightGray"/>
                <w:u w:val="single"/>
                <w:lang w:val="de-DE"/>
              </w:rPr>
              <w:t xml:space="preserve"> mit größter Sorgfalt verfahren werden, etwa wenn ein </w:t>
            </w:r>
            <w:proofErr w:type="spellStart"/>
            <w:r w:rsidR="004006EE">
              <w:rPr>
                <w:highlight w:val="lightGray"/>
                <w:u w:val="single"/>
                <w:lang w:val="de-DE"/>
              </w:rPr>
              <w:t>Abweichertyp</w:t>
            </w:r>
            <w:proofErr w:type="spellEnd"/>
            <w:r w:rsidRPr="005728BA">
              <w:rPr>
                <w:highlight w:val="lightGray"/>
                <w:u w:val="single"/>
                <w:lang w:val="de-DE"/>
              </w:rPr>
              <w:t xml:space="preserve"> in einer Wachstumsperiode sehr häufig und in einer anderen überhaupt nicht vorkommt</w:t>
            </w:r>
            <w:r w:rsidR="00DD7375" w:rsidRPr="005728BA">
              <w:rPr>
                <w:highlight w:val="lightGray"/>
                <w:u w:val="single"/>
                <w:lang w:val="de-DE"/>
              </w:rPr>
              <w:t xml:space="preserve">. </w:t>
            </w:r>
            <w:r w:rsidRPr="005728BA">
              <w:rPr>
                <w:highlight w:val="lightGray"/>
                <w:u w:val="single"/>
                <w:lang w:val="de-DE"/>
              </w:rPr>
              <w:t>Eine statistische Prüfung auf Einheitlichkeit ist möglich</w:t>
            </w:r>
            <w:r w:rsidR="00DD7375" w:rsidRPr="005728BA">
              <w:rPr>
                <w:highlight w:val="lightGray"/>
                <w:u w:val="single"/>
                <w:lang w:val="de-DE"/>
              </w:rPr>
              <w:t>.</w:t>
            </w:r>
          </w:p>
          <w:p w:rsidR="00DD7375" w:rsidRPr="005728BA" w:rsidRDefault="00DD7375" w:rsidP="00720F43">
            <w:pPr>
              <w:keepNext/>
              <w:keepLines/>
              <w:rPr>
                <w:rFonts w:eastAsia="SimSun"/>
                <w:szCs w:val="24"/>
                <w:lang w:val="de-DE" w:eastAsia="zh-CN"/>
              </w:rPr>
            </w:pPr>
          </w:p>
          <w:p w:rsidR="00BF4661" w:rsidRPr="005728BA" w:rsidRDefault="000F603F" w:rsidP="00720F43">
            <w:pPr>
              <w:keepNext/>
              <w:keepLines/>
              <w:jc w:val="left"/>
              <w:rPr>
                <w:szCs w:val="24"/>
                <w:lang w:val="de-DE"/>
              </w:rPr>
            </w:pPr>
            <w:r w:rsidRPr="005728BA">
              <w:rPr>
                <w:szCs w:val="24"/>
                <w:lang w:val="de-DE"/>
              </w:rPr>
              <w:t>Beispiel</w:t>
            </w:r>
            <w:r w:rsidR="00BF4661" w:rsidRPr="005728BA">
              <w:rPr>
                <w:szCs w:val="24"/>
                <w:lang w:val="de-DE"/>
              </w:rPr>
              <w:t>:</w:t>
            </w:r>
          </w:p>
          <w:tbl>
            <w:tblPr>
              <w:tblW w:w="9124" w:type="dxa"/>
              <w:tblInd w:w="600" w:type="dxa"/>
              <w:tblLook w:val="04A0" w:firstRow="1" w:lastRow="0" w:firstColumn="1" w:lastColumn="0" w:noHBand="0" w:noVBand="1"/>
            </w:tblPr>
            <w:tblGrid>
              <w:gridCol w:w="424"/>
              <w:gridCol w:w="696"/>
              <w:gridCol w:w="1134"/>
              <w:gridCol w:w="180"/>
              <w:gridCol w:w="954"/>
              <w:gridCol w:w="1807"/>
              <w:gridCol w:w="320"/>
              <w:gridCol w:w="1985"/>
              <w:gridCol w:w="1624"/>
            </w:tblGrid>
            <w:tr w:rsidR="000F603F" w:rsidRPr="00235FD7" w:rsidTr="00DD7375">
              <w:trPr>
                <w:gridAfter w:val="1"/>
                <w:wAfter w:w="1624" w:type="dxa"/>
                <w:trHeight w:val="255"/>
              </w:trPr>
              <w:tc>
                <w:tcPr>
                  <w:tcW w:w="1120" w:type="dxa"/>
                  <w:gridSpan w:val="2"/>
                  <w:tcBorders>
                    <w:top w:val="nil"/>
                    <w:left w:val="nil"/>
                    <w:bottom w:val="nil"/>
                  </w:tcBorders>
                  <w:shd w:val="clear" w:color="auto" w:fill="auto"/>
                  <w:noWrap/>
                  <w:vAlign w:val="bottom"/>
                </w:tcPr>
                <w:p w:rsidR="000F603F" w:rsidRPr="005728BA" w:rsidRDefault="000F603F" w:rsidP="000F603F">
                  <w:pPr>
                    <w:jc w:val="left"/>
                    <w:rPr>
                      <w:rFonts w:cs="Arial"/>
                      <w:color w:val="000000"/>
                      <w:lang w:val="de-DE"/>
                    </w:rPr>
                  </w:pPr>
                </w:p>
              </w:tc>
              <w:tc>
                <w:tcPr>
                  <w:tcW w:w="6380" w:type="dxa"/>
                  <w:gridSpan w:val="6"/>
                  <w:tcBorders>
                    <w:top w:val="nil"/>
                    <w:right w:val="nil"/>
                  </w:tcBorders>
                  <w:shd w:val="clear" w:color="auto" w:fill="auto"/>
                  <w:vAlign w:val="bottom"/>
                </w:tcPr>
                <w:p w:rsidR="000F603F" w:rsidRPr="005728BA" w:rsidRDefault="000F603F" w:rsidP="000F603F">
                  <w:pPr>
                    <w:jc w:val="left"/>
                    <w:rPr>
                      <w:rFonts w:cs="Arial"/>
                      <w:color w:val="000000"/>
                      <w:lang w:val="de-DE"/>
                    </w:rPr>
                  </w:pPr>
                  <w:r w:rsidRPr="005728BA">
                    <w:rPr>
                      <w:color w:val="000000"/>
                      <w:lang w:val="de-DE"/>
                    </w:rPr>
                    <w:t xml:space="preserve">Populationsstandard  = 1%  </w:t>
                  </w:r>
                </w:p>
              </w:tc>
            </w:tr>
            <w:tr w:rsidR="000F603F" w:rsidRPr="00235FD7" w:rsidTr="00DD7375">
              <w:trPr>
                <w:gridAfter w:val="1"/>
                <w:wAfter w:w="1624" w:type="dxa"/>
                <w:trHeight w:val="270"/>
              </w:trPr>
              <w:tc>
                <w:tcPr>
                  <w:tcW w:w="1120" w:type="dxa"/>
                  <w:gridSpan w:val="2"/>
                  <w:tcBorders>
                    <w:top w:val="nil"/>
                    <w:left w:val="nil"/>
                    <w:bottom w:val="nil"/>
                  </w:tcBorders>
                  <w:shd w:val="clear" w:color="auto" w:fill="auto"/>
                  <w:noWrap/>
                  <w:vAlign w:val="bottom"/>
                  <w:hideMark/>
                </w:tcPr>
                <w:p w:rsidR="000F603F" w:rsidRPr="005728BA" w:rsidRDefault="000F603F" w:rsidP="000F603F">
                  <w:pPr>
                    <w:jc w:val="left"/>
                    <w:rPr>
                      <w:rFonts w:cs="Arial"/>
                      <w:color w:val="000000"/>
                      <w:lang w:val="de-DE"/>
                    </w:rPr>
                  </w:pPr>
                </w:p>
              </w:tc>
              <w:tc>
                <w:tcPr>
                  <w:tcW w:w="6380" w:type="dxa"/>
                  <w:gridSpan w:val="6"/>
                  <w:tcBorders>
                    <w:top w:val="nil"/>
                    <w:bottom w:val="single" w:sz="4" w:space="0" w:color="auto"/>
                    <w:right w:val="nil"/>
                  </w:tcBorders>
                  <w:shd w:val="clear" w:color="auto" w:fill="auto"/>
                  <w:vAlign w:val="bottom"/>
                </w:tcPr>
                <w:p w:rsidR="000F603F" w:rsidRPr="005728BA" w:rsidRDefault="000F603F" w:rsidP="000F603F">
                  <w:pPr>
                    <w:jc w:val="left"/>
                    <w:rPr>
                      <w:rFonts w:cs="Arial"/>
                      <w:color w:val="000000"/>
                      <w:lang w:val="de-DE"/>
                    </w:rPr>
                  </w:pPr>
                  <w:r w:rsidRPr="005728BA">
                    <w:rPr>
                      <w:color w:val="000000"/>
                      <w:lang w:val="de-DE"/>
                    </w:rPr>
                    <w:t>Akzeptanzwahrscheinlichkeit ≥ 95%</w:t>
                  </w:r>
                </w:p>
              </w:tc>
            </w:tr>
            <w:tr w:rsidR="000F603F" w:rsidRPr="00CF79DA" w:rsidTr="00DD7375">
              <w:trPr>
                <w:gridBefore w:val="2"/>
                <w:gridAfter w:val="1"/>
                <w:wBefore w:w="1120" w:type="dxa"/>
                <w:wAfter w:w="1624"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0F603F" w:rsidRPr="005728BA" w:rsidRDefault="00CF79DA" w:rsidP="000F603F">
                  <w:pPr>
                    <w:jc w:val="left"/>
                    <w:rPr>
                      <w:rFonts w:cs="Arial"/>
                      <w:color w:val="000000"/>
                      <w:lang w:val="de-DE"/>
                    </w:rPr>
                  </w:pPr>
                  <w:r>
                    <w:rPr>
                      <w:rFonts w:cs="Arial"/>
                      <w:color w:val="000000"/>
                      <w:lang w:val="de-DE"/>
                    </w:rPr>
                    <w:t>Probengröße in jeder der</w:t>
                  </w:r>
                  <w:r w:rsidR="000F603F" w:rsidRPr="005728BA">
                    <w:rPr>
                      <w:rFonts w:cs="Arial"/>
                      <w:color w:val="000000"/>
                      <w:lang w:val="de-DE"/>
                    </w:rPr>
                    <w:t xml:space="preserve"> Wachstumsperioden 1 und 2 = 50</w:t>
                  </w:r>
                </w:p>
              </w:tc>
            </w:tr>
            <w:tr w:rsidR="000F603F" w:rsidRPr="00235FD7" w:rsidTr="00DD7375">
              <w:trPr>
                <w:gridBefore w:val="2"/>
                <w:gridAfter w:val="1"/>
                <w:wBefore w:w="1120" w:type="dxa"/>
                <w:wAfter w:w="1624"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0F603F" w:rsidRPr="005728BA" w:rsidRDefault="00CF79DA" w:rsidP="000F603F">
                  <w:pPr>
                    <w:jc w:val="left"/>
                    <w:rPr>
                      <w:rFonts w:cs="Arial"/>
                      <w:color w:val="000000"/>
                      <w:lang w:val="de-DE"/>
                    </w:rPr>
                  </w:pPr>
                  <w:r>
                    <w:rPr>
                      <w:rFonts w:cs="Arial"/>
                      <w:color w:val="000000"/>
                      <w:lang w:val="de-DE"/>
                    </w:rPr>
                    <w:t>Höchstzahl</w:t>
                  </w:r>
                  <w:r w:rsidR="000F603F" w:rsidRPr="005728BA">
                    <w:rPr>
                      <w:rFonts w:cs="Arial"/>
                      <w:color w:val="000000"/>
                      <w:lang w:val="de-DE"/>
                    </w:rPr>
                    <w:t xml:space="preserve"> an Abweichern = 2</w:t>
                  </w:r>
                </w:p>
              </w:tc>
            </w:tr>
            <w:tr w:rsidR="000F603F" w:rsidRPr="00CF79DA" w:rsidTr="00DD7375">
              <w:trPr>
                <w:gridBefore w:val="2"/>
                <w:gridAfter w:val="1"/>
                <w:wBefore w:w="1120" w:type="dxa"/>
                <w:wAfter w:w="1624"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0F603F" w:rsidRPr="005728BA" w:rsidRDefault="00CF79DA" w:rsidP="00CF79DA">
                  <w:pPr>
                    <w:jc w:val="left"/>
                    <w:rPr>
                      <w:rFonts w:cs="Arial"/>
                      <w:color w:val="000000"/>
                      <w:lang w:val="de-DE"/>
                    </w:rPr>
                  </w:pPr>
                  <w:r>
                    <w:rPr>
                      <w:rFonts w:cs="Arial"/>
                      <w:color w:val="000000"/>
                      <w:lang w:val="de-DE"/>
                    </w:rPr>
                    <w:t>Probengröße</w:t>
                  </w:r>
                  <w:r w:rsidR="000F603F" w:rsidRPr="005728BA">
                    <w:rPr>
                      <w:rFonts w:cs="Arial"/>
                      <w:color w:val="000000"/>
                      <w:lang w:val="de-DE"/>
                    </w:rPr>
                    <w:t xml:space="preserve"> in Wachstumsperioden 1 und 2 </w:t>
                  </w:r>
                  <w:r>
                    <w:rPr>
                      <w:rFonts w:cs="Arial"/>
                      <w:color w:val="000000"/>
                      <w:lang w:val="de-DE"/>
                    </w:rPr>
                    <w:t>kombiniert</w:t>
                  </w:r>
                  <w:r w:rsidRPr="005728BA">
                    <w:rPr>
                      <w:rFonts w:cs="Arial"/>
                      <w:color w:val="000000"/>
                      <w:lang w:val="de-DE"/>
                    </w:rPr>
                    <w:t xml:space="preserve"> </w:t>
                  </w:r>
                  <w:r w:rsidR="000F603F" w:rsidRPr="005728BA">
                    <w:rPr>
                      <w:rFonts w:cs="Arial"/>
                      <w:color w:val="000000"/>
                      <w:lang w:val="de-DE"/>
                    </w:rPr>
                    <w:t>= 100</w:t>
                  </w:r>
                </w:p>
              </w:tc>
            </w:tr>
            <w:tr w:rsidR="000F603F" w:rsidRPr="00CF79DA" w:rsidTr="00DD7375">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0F603F" w:rsidRPr="005728BA" w:rsidRDefault="00CF79DA" w:rsidP="000F603F">
                  <w:pPr>
                    <w:jc w:val="left"/>
                    <w:rPr>
                      <w:rFonts w:cs="Arial"/>
                      <w:color w:val="000000"/>
                      <w:lang w:val="de-DE"/>
                    </w:rPr>
                  </w:pPr>
                  <w:r>
                    <w:rPr>
                      <w:rFonts w:cs="Arial"/>
                      <w:color w:val="000000"/>
                      <w:lang w:val="de-DE"/>
                    </w:rPr>
                    <w:t>Höchstzahl</w:t>
                  </w:r>
                  <w:r w:rsidR="000F603F" w:rsidRPr="005728BA">
                    <w:rPr>
                      <w:rFonts w:cs="Arial"/>
                      <w:color w:val="000000"/>
                      <w:lang w:val="de-DE"/>
                    </w:rPr>
                    <w:t xml:space="preserve"> an Abweichern = 3</w:t>
                  </w:r>
                </w:p>
              </w:tc>
            </w:tr>
            <w:tr w:rsidR="00BF4661" w:rsidRPr="00CF79DA" w:rsidTr="00DD7375">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BF4661" w:rsidRPr="005728BA" w:rsidRDefault="00BF4661" w:rsidP="00720F43">
                  <w:pPr>
                    <w:jc w:val="left"/>
                    <w:rPr>
                      <w:rFonts w:cs="Arial"/>
                      <w:color w:val="000000"/>
                      <w:lang w:val="de-DE"/>
                    </w:rPr>
                  </w:pPr>
                  <w:r w:rsidRPr="005728BA">
                    <w:rPr>
                      <w:rFonts w:cs="Arial"/>
                      <w:color w:val="000000"/>
                      <w:lang w:val="de-DE"/>
                    </w:rPr>
                    <w:t> </w:t>
                  </w:r>
                </w:p>
              </w:tc>
              <w:tc>
                <w:tcPr>
                  <w:tcW w:w="954" w:type="dxa"/>
                  <w:tcBorders>
                    <w:top w:val="nil"/>
                    <w:left w:val="nil"/>
                    <w:bottom w:val="single" w:sz="4" w:space="0" w:color="auto"/>
                    <w:right w:val="nil"/>
                  </w:tcBorders>
                  <w:shd w:val="clear" w:color="auto" w:fill="auto"/>
                  <w:noWrap/>
                  <w:vAlign w:val="bottom"/>
                  <w:hideMark/>
                </w:tcPr>
                <w:p w:rsidR="00BF4661" w:rsidRPr="005728BA" w:rsidRDefault="00BF4661" w:rsidP="00720F43">
                  <w:pPr>
                    <w:jc w:val="left"/>
                    <w:rPr>
                      <w:rFonts w:cs="Arial"/>
                      <w:color w:val="000000"/>
                      <w:lang w:val="de-DE"/>
                    </w:rPr>
                  </w:pPr>
                  <w:r w:rsidRPr="005728BA">
                    <w:rPr>
                      <w:rFonts w:cs="Arial"/>
                      <w:color w:val="000000"/>
                      <w:lang w:val="de-DE"/>
                    </w:rPr>
                    <w:t> </w:t>
                  </w:r>
                </w:p>
              </w:tc>
              <w:tc>
                <w:tcPr>
                  <w:tcW w:w="1807" w:type="dxa"/>
                  <w:tcBorders>
                    <w:top w:val="nil"/>
                    <w:left w:val="nil"/>
                    <w:bottom w:val="single" w:sz="4" w:space="0" w:color="auto"/>
                    <w:right w:val="nil"/>
                  </w:tcBorders>
                  <w:shd w:val="clear" w:color="auto" w:fill="auto"/>
                  <w:noWrap/>
                  <w:vAlign w:val="bottom"/>
                  <w:hideMark/>
                </w:tcPr>
                <w:p w:rsidR="00BF4661" w:rsidRPr="005728BA" w:rsidRDefault="00BF4661" w:rsidP="00720F43">
                  <w:pPr>
                    <w:jc w:val="left"/>
                    <w:rPr>
                      <w:rFonts w:cs="Arial"/>
                      <w:color w:val="000000"/>
                      <w:lang w:val="de-DE"/>
                    </w:rPr>
                  </w:pPr>
                  <w:r w:rsidRPr="005728BA">
                    <w:rPr>
                      <w:rFonts w:cs="Arial"/>
                      <w:color w:val="000000"/>
                      <w:lang w:val="de-DE"/>
                    </w:rPr>
                    <w:t> </w:t>
                  </w:r>
                </w:p>
              </w:tc>
              <w:tc>
                <w:tcPr>
                  <w:tcW w:w="2305" w:type="dxa"/>
                  <w:gridSpan w:val="2"/>
                  <w:tcBorders>
                    <w:top w:val="nil"/>
                    <w:left w:val="nil"/>
                    <w:bottom w:val="single" w:sz="4" w:space="0" w:color="auto"/>
                    <w:right w:val="nil"/>
                  </w:tcBorders>
                  <w:shd w:val="clear" w:color="auto" w:fill="auto"/>
                  <w:noWrap/>
                  <w:vAlign w:val="bottom"/>
                  <w:hideMark/>
                </w:tcPr>
                <w:p w:rsidR="00BF4661" w:rsidRPr="005728BA" w:rsidRDefault="00BF4661" w:rsidP="00720F43">
                  <w:pPr>
                    <w:jc w:val="left"/>
                    <w:rPr>
                      <w:rFonts w:cs="Arial"/>
                      <w:color w:val="000000"/>
                      <w:lang w:val="de-DE"/>
                    </w:rPr>
                  </w:pPr>
                  <w:r w:rsidRPr="005728BA">
                    <w:rPr>
                      <w:rFonts w:cs="Arial"/>
                      <w:color w:val="000000"/>
                      <w:lang w:val="de-DE"/>
                    </w:rPr>
                    <w:t> </w:t>
                  </w:r>
                </w:p>
              </w:tc>
            </w:tr>
            <w:tr w:rsidR="00DD7375" w:rsidRPr="00CF79DA" w:rsidTr="00267CF8">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DD7375" w:rsidRPr="005728BA" w:rsidRDefault="00DD7375" w:rsidP="00720F43">
                  <w:pPr>
                    <w:jc w:val="left"/>
                    <w:rPr>
                      <w:rFonts w:cs="Arial"/>
                      <w:color w:val="000000"/>
                      <w:lang w:val="de-DE"/>
                    </w:rPr>
                  </w:pPr>
                  <w:r w:rsidRPr="005728BA">
                    <w:rPr>
                      <w:rFonts w:cs="Arial"/>
                      <w:color w:val="000000"/>
                      <w:lang w:val="de-DE"/>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DD7375" w:rsidRPr="005728BA" w:rsidRDefault="00D91ED1" w:rsidP="00720F43">
                  <w:pPr>
                    <w:jc w:val="center"/>
                    <w:rPr>
                      <w:rFonts w:cs="Arial"/>
                      <w:color w:val="000000"/>
                      <w:lang w:val="de-DE"/>
                    </w:rPr>
                  </w:pPr>
                  <w:r w:rsidRPr="005728BA">
                    <w:rPr>
                      <w:rFonts w:cs="Arial"/>
                      <w:color w:val="000000"/>
                      <w:lang w:val="de-DE"/>
                    </w:rPr>
                    <w:t>Wachstumsperiode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DD7375" w:rsidRPr="005728BA" w:rsidRDefault="000F603F" w:rsidP="00DD7375">
                  <w:pPr>
                    <w:jc w:val="center"/>
                    <w:rPr>
                      <w:lang w:val="de-DE"/>
                    </w:rPr>
                  </w:pPr>
                  <w:r w:rsidRPr="005728BA">
                    <w:rPr>
                      <w:color w:val="000000"/>
                      <w:lang w:val="de-DE"/>
                    </w:rPr>
                    <w:t>Entscheidung</w:t>
                  </w:r>
                </w:p>
              </w:tc>
            </w:tr>
            <w:tr w:rsidR="00DD7375" w:rsidRPr="00CF79DA" w:rsidTr="00DD7375">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DD7375" w:rsidRPr="005728BA" w:rsidRDefault="00DD7375" w:rsidP="00720F43">
                  <w:pPr>
                    <w:jc w:val="left"/>
                    <w:rPr>
                      <w:rFonts w:cs="Arial"/>
                      <w:color w:val="000000"/>
                      <w:lang w:val="de-DE"/>
                    </w:rPr>
                  </w:pPr>
                  <w:r w:rsidRPr="005728BA">
                    <w:rPr>
                      <w:rFonts w:cs="Arial"/>
                      <w:color w:val="000000"/>
                      <w:lang w:val="de-DE"/>
                    </w:rPr>
                    <w:t> </w:t>
                  </w:r>
                </w:p>
              </w:tc>
              <w:tc>
                <w:tcPr>
                  <w:tcW w:w="1134" w:type="dxa"/>
                  <w:tcBorders>
                    <w:top w:val="nil"/>
                    <w:left w:val="nil"/>
                    <w:bottom w:val="single" w:sz="8" w:space="0" w:color="auto"/>
                    <w:right w:val="single" w:sz="4" w:space="0" w:color="auto"/>
                  </w:tcBorders>
                  <w:shd w:val="clear" w:color="auto" w:fill="auto"/>
                  <w:noWrap/>
                  <w:vAlign w:val="bottom"/>
                  <w:hideMark/>
                </w:tcPr>
                <w:p w:rsidR="00DD7375" w:rsidRPr="005728BA" w:rsidRDefault="00CF79DA" w:rsidP="00720F43">
                  <w:pPr>
                    <w:spacing w:after="100" w:afterAutospacing="1"/>
                    <w:jc w:val="center"/>
                    <w:rPr>
                      <w:rFonts w:cs="Arial"/>
                      <w:color w:val="000000"/>
                      <w:lang w:val="de-DE"/>
                    </w:rPr>
                  </w:pPr>
                  <w:r>
                    <w:rPr>
                      <w:rFonts w:cs="Arial"/>
                      <w:color w:val="000000"/>
                      <w:lang w:val="de-DE"/>
                    </w:rPr>
                    <w:t>Erste</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DD7375" w:rsidRPr="005728BA" w:rsidRDefault="008F0399" w:rsidP="00720F43">
                  <w:pPr>
                    <w:jc w:val="center"/>
                    <w:rPr>
                      <w:rFonts w:cs="Arial"/>
                      <w:color w:val="000000"/>
                      <w:lang w:val="de-DE"/>
                    </w:rPr>
                  </w:pPr>
                  <w:r w:rsidRPr="005728BA">
                    <w:rPr>
                      <w:rFonts w:cs="Arial"/>
                      <w:color w:val="000000"/>
                      <w:lang w:val="de-DE"/>
                    </w:rPr>
                    <w:t>Zweite</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DD7375" w:rsidRPr="005728BA" w:rsidRDefault="00AC00B2" w:rsidP="00720F43">
                  <w:pPr>
                    <w:jc w:val="center"/>
                    <w:rPr>
                      <w:rFonts w:cs="Arial"/>
                      <w:color w:val="000000"/>
                      <w:lang w:val="de-DE"/>
                    </w:rPr>
                  </w:pPr>
                  <w:r w:rsidRPr="005728BA">
                    <w:rPr>
                      <w:rFonts w:cs="Arial"/>
                      <w:color w:val="000000"/>
                      <w:lang w:val="de-DE"/>
                    </w:rPr>
                    <w:t>Ansatz</w:t>
                  </w:r>
                  <w:r w:rsidR="00DD7375" w:rsidRPr="005728BA">
                    <w:rPr>
                      <w:rFonts w:cs="Arial"/>
                      <w:color w:val="000000"/>
                      <w:lang w:val="de-DE"/>
                    </w:rPr>
                    <w:t xml:space="preserve"> 1</w:t>
                  </w:r>
                </w:p>
              </w:tc>
              <w:tc>
                <w:tcPr>
                  <w:tcW w:w="1985" w:type="dxa"/>
                  <w:tcBorders>
                    <w:top w:val="nil"/>
                    <w:left w:val="nil"/>
                    <w:bottom w:val="single" w:sz="8" w:space="0" w:color="auto"/>
                    <w:right w:val="single" w:sz="4" w:space="0" w:color="auto"/>
                  </w:tcBorders>
                  <w:shd w:val="clear" w:color="auto" w:fill="auto"/>
                  <w:noWrap/>
                  <w:vAlign w:val="center"/>
                  <w:hideMark/>
                </w:tcPr>
                <w:p w:rsidR="00DD7375" w:rsidRPr="005728BA" w:rsidRDefault="00AC00B2" w:rsidP="00720F43">
                  <w:pPr>
                    <w:jc w:val="center"/>
                    <w:rPr>
                      <w:rFonts w:cs="Arial"/>
                      <w:color w:val="000000"/>
                      <w:lang w:val="de-DE"/>
                    </w:rPr>
                  </w:pPr>
                  <w:r w:rsidRPr="005728BA">
                    <w:rPr>
                      <w:rFonts w:cs="Arial"/>
                      <w:color w:val="000000"/>
                      <w:lang w:val="de-DE"/>
                    </w:rPr>
                    <w:t>Ansatz</w:t>
                  </w:r>
                  <w:r w:rsidR="00DD7375" w:rsidRPr="005728BA">
                    <w:rPr>
                      <w:rFonts w:cs="Arial"/>
                      <w:color w:val="000000"/>
                      <w:lang w:val="de-DE"/>
                    </w:rPr>
                    <w:t xml:space="preserve"> 2</w:t>
                  </w:r>
                </w:p>
              </w:tc>
              <w:tc>
                <w:tcPr>
                  <w:tcW w:w="1624" w:type="dxa"/>
                  <w:tcBorders>
                    <w:top w:val="single" w:sz="4" w:space="0" w:color="auto"/>
                    <w:bottom w:val="single" w:sz="4" w:space="0" w:color="auto"/>
                    <w:right w:val="single" w:sz="4" w:space="0" w:color="auto"/>
                  </w:tcBorders>
                  <w:shd w:val="clear" w:color="auto" w:fill="auto"/>
                </w:tcPr>
                <w:p w:rsidR="00DD7375" w:rsidRPr="005728BA" w:rsidRDefault="00AC00B2" w:rsidP="00143660">
                  <w:pPr>
                    <w:jc w:val="center"/>
                    <w:rPr>
                      <w:highlight w:val="lightGray"/>
                      <w:u w:val="single"/>
                      <w:lang w:val="de-DE"/>
                    </w:rPr>
                  </w:pPr>
                  <w:r w:rsidRPr="005728BA">
                    <w:rPr>
                      <w:highlight w:val="lightGray"/>
                      <w:u w:val="single"/>
                      <w:lang w:val="de-DE"/>
                    </w:rPr>
                    <w:t>Ansatz</w:t>
                  </w:r>
                  <w:r w:rsidR="00DD7375" w:rsidRPr="005728BA">
                    <w:rPr>
                      <w:highlight w:val="lightGray"/>
                      <w:u w:val="single"/>
                      <w:lang w:val="de-DE"/>
                    </w:rPr>
                    <w:t xml:space="preserve"> 3</w:t>
                  </w:r>
                </w:p>
              </w:tc>
            </w:tr>
            <w:tr w:rsidR="00F503BA" w:rsidRPr="00CF79DA" w:rsidTr="00DD7375">
              <w:trPr>
                <w:gridBefore w:val="1"/>
                <w:wBefore w:w="424" w:type="dxa"/>
                <w:trHeight w:val="240"/>
              </w:trPr>
              <w:tc>
                <w:tcPr>
                  <w:tcW w:w="696" w:type="dxa"/>
                  <w:vMerge w:val="restart"/>
                  <w:tcBorders>
                    <w:top w:val="nil"/>
                    <w:left w:val="single" w:sz="4" w:space="0" w:color="auto"/>
                    <w:right w:val="single" w:sz="4" w:space="0" w:color="000000"/>
                  </w:tcBorders>
                  <w:shd w:val="clear" w:color="auto" w:fill="auto"/>
                  <w:textDirection w:val="btLr"/>
                  <w:vAlign w:val="center"/>
                </w:tcPr>
                <w:p w:rsidR="00F503BA" w:rsidRPr="005728BA" w:rsidRDefault="000F603F" w:rsidP="004006EE">
                  <w:pPr>
                    <w:jc w:val="center"/>
                    <w:rPr>
                      <w:rFonts w:cs="Arial"/>
                      <w:color w:val="000000"/>
                      <w:lang w:val="de-DE"/>
                    </w:rPr>
                  </w:pPr>
                  <w:r w:rsidRPr="005728BA">
                    <w:rPr>
                      <w:rFonts w:cs="Arial"/>
                      <w:color w:val="000000"/>
                      <w:lang w:val="de-DE"/>
                    </w:rPr>
                    <w:t xml:space="preserve">Anzahl </w:t>
                  </w:r>
                  <w:r w:rsidR="004006EE">
                    <w:rPr>
                      <w:rFonts w:cs="Arial"/>
                      <w:color w:val="000000"/>
                      <w:lang w:val="de-DE"/>
                    </w:rPr>
                    <w:t>der</w:t>
                  </w:r>
                  <w:r w:rsidRPr="005728BA">
                    <w:rPr>
                      <w:rFonts w:cs="Arial"/>
                      <w:color w:val="000000"/>
                      <w:lang w:val="de-DE"/>
                    </w:rPr>
                    <w:t xml:space="preserve"> </w:t>
                  </w:r>
                  <w:r w:rsidR="00F503BA" w:rsidRPr="005728BA">
                    <w:rPr>
                      <w:rFonts w:cs="Arial"/>
                      <w:color w:val="000000"/>
                      <w:lang w:val="de-DE"/>
                    </w:rPr>
                    <w:br/>
                  </w:r>
                  <w:proofErr w:type="spellStart"/>
                  <w:r w:rsidR="004006EE">
                    <w:rPr>
                      <w:rFonts w:cs="Arial"/>
                      <w:color w:val="000000"/>
                      <w:lang w:val="de-DE"/>
                    </w:rPr>
                    <w:t>Abweicher</w:t>
                  </w:r>
                  <w:proofErr w:type="spellEnd"/>
                </w:p>
              </w:tc>
              <w:tc>
                <w:tcPr>
                  <w:tcW w:w="1134" w:type="dxa"/>
                  <w:tcBorders>
                    <w:top w:val="nil"/>
                    <w:left w:val="single" w:sz="8" w:space="0" w:color="auto"/>
                    <w:bottom w:val="single" w:sz="8" w:space="0" w:color="auto"/>
                    <w:right w:val="single" w:sz="4" w:space="0" w:color="auto"/>
                  </w:tcBorders>
                  <w:shd w:val="clear" w:color="auto" w:fill="auto"/>
                  <w:noWrap/>
                  <w:vAlign w:val="center"/>
                </w:tcPr>
                <w:p w:rsidR="00F503BA" w:rsidRPr="005728BA" w:rsidRDefault="00F503BA" w:rsidP="00720F43">
                  <w:pPr>
                    <w:jc w:val="center"/>
                    <w:rPr>
                      <w:rFonts w:cs="Arial"/>
                      <w:color w:val="000000"/>
                      <w:highlight w:val="lightGray"/>
                      <w:u w:val="single"/>
                      <w:lang w:val="de-DE"/>
                    </w:rPr>
                  </w:pPr>
                  <w:r w:rsidRPr="005728BA">
                    <w:rPr>
                      <w:rFonts w:cs="Arial"/>
                      <w:color w:val="000000"/>
                      <w:highlight w:val="lightGray"/>
                      <w:u w:val="single"/>
                      <w:lang w:val="de-DE"/>
                    </w:rPr>
                    <w:t>1</w:t>
                  </w:r>
                </w:p>
              </w:tc>
              <w:tc>
                <w:tcPr>
                  <w:tcW w:w="1134" w:type="dxa"/>
                  <w:gridSpan w:val="2"/>
                  <w:tcBorders>
                    <w:top w:val="nil"/>
                    <w:left w:val="nil"/>
                    <w:bottom w:val="single" w:sz="8" w:space="0" w:color="auto"/>
                    <w:right w:val="single" w:sz="4" w:space="0" w:color="auto"/>
                  </w:tcBorders>
                  <w:shd w:val="clear" w:color="auto" w:fill="auto"/>
                  <w:noWrap/>
                  <w:vAlign w:val="center"/>
                </w:tcPr>
                <w:p w:rsidR="00F503BA" w:rsidRPr="005728BA" w:rsidRDefault="00F503BA" w:rsidP="00720F43">
                  <w:pPr>
                    <w:jc w:val="center"/>
                    <w:rPr>
                      <w:rFonts w:cs="Arial"/>
                      <w:color w:val="000000"/>
                      <w:highlight w:val="lightGray"/>
                      <w:u w:val="single"/>
                      <w:lang w:val="de-DE"/>
                    </w:rPr>
                  </w:pPr>
                  <w:r w:rsidRPr="005728BA">
                    <w:rPr>
                      <w:rFonts w:cs="Arial"/>
                      <w:color w:val="000000"/>
                      <w:highlight w:val="lightGray"/>
                      <w:u w:val="single"/>
                      <w:lang w:val="de-DE"/>
                    </w:rPr>
                    <w:t>1</w:t>
                  </w:r>
                </w:p>
              </w:tc>
              <w:tc>
                <w:tcPr>
                  <w:tcW w:w="2127" w:type="dxa"/>
                  <w:gridSpan w:val="2"/>
                  <w:tcBorders>
                    <w:top w:val="nil"/>
                    <w:left w:val="nil"/>
                    <w:bottom w:val="single" w:sz="8" w:space="0" w:color="auto"/>
                    <w:right w:val="single" w:sz="4" w:space="0" w:color="auto"/>
                  </w:tcBorders>
                  <w:shd w:val="clear" w:color="auto" w:fill="auto"/>
                  <w:noWrap/>
                  <w:vAlign w:val="center"/>
                </w:tcPr>
                <w:p w:rsidR="00F503BA" w:rsidRPr="005728BA" w:rsidRDefault="000F603F" w:rsidP="00720F43">
                  <w:pPr>
                    <w:jc w:val="center"/>
                    <w:rPr>
                      <w:rFonts w:cs="Arial"/>
                      <w:color w:val="000000"/>
                      <w:highlight w:val="lightGray"/>
                      <w:u w:val="single"/>
                      <w:lang w:val="de-DE"/>
                    </w:rPr>
                  </w:pPr>
                  <w:r w:rsidRPr="005728BA">
                    <w:rPr>
                      <w:rFonts w:cs="Arial"/>
                      <w:color w:val="000000"/>
                      <w:highlight w:val="lightGray"/>
                      <w:u w:val="single"/>
                      <w:lang w:val="de-DE"/>
                    </w:rPr>
                    <w:t>homogen</w:t>
                  </w:r>
                </w:p>
              </w:tc>
              <w:tc>
                <w:tcPr>
                  <w:tcW w:w="1985" w:type="dxa"/>
                  <w:tcBorders>
                    <w:top w:val="nil"/>
                    <w:left w:val="nil"/>
                    <w:bottom w:val="single" w:sz="8" w:space="0" w:color="auto"/>
                    <w:right w:val="single" w:sz="8" w:space="0" w:color="auto"/>
                  </w:tcBorders>
                  <w:shd w:val="clear" w:color="auto" w:fill="auto"/>
                  <w:vAlign w:val="center"/>
                </w:tcPr>
                <w:p w:rsidR="00F503BA" w:rsidRPr="005728BA" w:rsidRDefault="000F603F" w:rsidP="00720F43">
                  <w:pPr>
                    <w:jc w:val="center"/>
                    <w:rPr>
                      <w:rFonts w:cs="Arial"/>
                      <w:color w:val="000000"/>
                      <w:highlight w:val="lightGray"/>
                      <w:u w:val="single"/>
                      <w:lang w:val="de-DE"/>
                    </w:rPr>
                  </w:pPr>
                  <w:r w:rsidRPr="005728BA">
                    <w:rPr>
                      <w:rFonts w:cs="Arial"/>
                      <w:color w:val="000000"/>
                      <w:highlight w:val="lightGray"/>
                      <w:u w:val="single"/>
                      <w:lang w:val="de-DE"/>
                    </w:rPr>
                    <w:t>homogen</w:t>
                  </w:r>
                </w:p>
              </w:tc>
              <w:tc>
                <w:tcPr>
                  <w:tcW w:w="1624" w:type="dxa"/>
                  <w:tcBorders>
                    <w:top w:val="single" w:sz="4" w:space="0" w:color="auto"/>
                    <w:bottom w:val="single" w:sz="4" w:space="0" w:color="auto"/>
                    <w:right w:val="single" w:sz="4" w:space="0" w:color="auto"/>
                  </w:tcBorders>
                  <w:shd w:val="clear" w:color="auto" w:fill="auto"/>
                </w:tcPr>
                <w:p w:rsidR="00F503BA" w:rsidRPr="005728BA" w:rsidRDefault="000F603F" w:rsidP="00143660">
                  <w:pPr>
                    <w:jc w:val="center"/>
                    <w:rPr>
                      <w:highlight w:val="lightGray"/>
                      <w:u w:val="single"/>
                      <w:lang w:val="de-DE"/>
                    </w:rPr>
                  </w:pPr>
                  <w:r w:rsidRPr="005728BA">
                    <w:rPr>
                      <w:rFonts w:cs="Arial"/>
                      <w:color w:val="000000"/>
                      <w:highlight w:val="lightGray"/>
                      <w:u w:val="single"/>
                      <w:lang w:val="de-DE"/>
                    </w:rPr>
                    <w:t>homogen</w:t>
                  </w:r>
                </w:p>
              </w:tc>
            </w:tr>
            <w:tr w:rsidR="00F503BA" w:rsidRPr="00CF79DA" w:rsidTr="00267CF8">
              <w:trPr>
                <w:gridBefore w:val="1"/>
                <w:wBefore w:w="424" w:type="dxa"/>
                <w:trHeight w:val="240"/>
              </w:trPr>
              <w:tc>
                <w:tcPr>
                  <w:tcW w:w="696" w:type="dxa"/>
                  <w:vMerge/>
                  <w:tcBorders>
                    <w:left w:val="single" w:sz="4" w:space="0" w:color="auto"/>
                    <w:right w:val="single" w:sz="4" w:space="0" w:color="000000"/>
                  </w:tcBorders>
                  <w:shd w:val="clear" w:color="auto" w:fill="auto"/>
                  <w:textDirection w:val="btLr"/>
                  <w:vAlign w:val="center"/>
                  <w:hideMark/>
                </w:tcPr>
                <w:p w:rsidR="00F503BA" w:rsidRPr="005728BA" w:rsidRDefault="00F503BA" w:rsidP="00720F43">
                  <w:pPr>
                    <w:jc w:val="center"/>
                    <w:rPr>
                      <w:rFonts w:cs="Arial"/>
                      <w:color w:val="000000"/>
                      <w:lang w:val="de-DE"/>
                    </w:rPr>
                  </w:pP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F503BA" w:rsidRPr="005728BA" w:rsidRDefault="00F503BA" w:rsidP="00720F43">
                  <w:pPr>
                    <w:jc w:val="center"/>
                    <w:rPr>
                      <w:rFonts w:cs="Arial"/>
                      <w:color w:val="000000"/>
                      <w:lang w:val="de-DE"/>
                    </w:rPr>
                  </w:pPr>
                  <w:r w:rsidRPr="005728BA">
                    <w:rPr>
                      <w:rFonts w:cs="Arial"/>
                      <w:color w:val="000000"/>
                      <w:lang w:val="de-DE"/>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F503BA" w:rsidRPr="005728BA" w:rsidRDefault="00F503BA" w:rsidP="00720F43">
                  <w:pPr>
                    <w:jc w:val="center"/>
                    <w:rPr>
                      <w:rFonts w:cs="Arial"/>
                      <w:color w:val="000000"/>
                      <w:lang w:val="de-DE"/>
                    </w:rPr>
                  </w:pPr>
                  <w:r w:rsidRPr="005728BA">
                    <w:rPr>
                      <w:rFonts w:cs="Arial"/>
                      <w:color w:val="000000"/>
                      <w:lang w:val="de-DE"/>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F503BA" w:rsidRPr="005728BA" w:rsidRDefault="000F603F" w:rsidP="00720F43">
                  <w:pPr>
                    <w:jc w:val="center"/>
                    <w:rPr>
                      <w:rFonts w:cs="Arial"/>
                      <w:color w:val="000000"/>
                      <w:lang w:val="de-DE"/>
                    </w:rPr>
                  </w:pPr>
                  <w:r w:rsidRPr="005728BA">
                    <w:rPr>
                      <w:rFonts w:cs="Arial"/>
                      <w:color w:val="000000"/>
                      <w:lang w:val="de-DE"/>
                    </w:rPr>
                    <w:t>homogen</w:t>
                  </w:r>
                </w:p>
              </w:tc>
              <w:tc>
                <w:tcPr>
                  <w:tcW w:w="1985" w:type="dxa"/>
                  <w:tcBorders>
                    <w:top w:val="nil"/>
                    <w:left w:val="nil"/>
                    <w:bottom w:val="single" w:sz="8" w:space="0" w:color="auto"/>
                    <w:right w:val="single" w:sz="8" w:space="0" w:color="auto"/>
                  </w:tcBorders>
                  <w:shd w:val="clear" w:color="auto" w:fill="auto"/>
                  <w:vAlign w:val="center"/>
                  <w:hideMark/>
                </w:tcPr>
                <w:p w:rsidR="00F503BA" w:rsidRPr="005728BA" w:rsidRDefault="000F603F" w:rsidP="00720F43">
                  <w:pPr>
                    <w:jc w:val="center"/>
                    <w:rPr>
                      <w:rFonts w:cs="Arial"/>
                      <w:color w:val="000000"/>
                      <w:lang w:val="de-DE"/>
                    </w:rPr>
                  </w:pPr>
                  <w:r w:rsidRPr="005728BA">
                    <w:rPr>
                      <w:rFonts w:cs="Arial"/>
                      <w:color w:val="000000"/>
                      <w:lang w:val="de-DE"/>
                    </w:rPr>
                    <w:t>homogen</w:t>
                  </w:r>
                </w:p>
              </w:tc>
              <w:tc>
                <w:tcPr>
                  <w:tcW w:w="1624" w:type="dxa"/>
                  <w:tcBorders>
                    <w:top w:val="single" w:sz="4" w:space="0" w:color="auto"/>
                    <w:bottom w:val="single" w:sz="4" w:space="0" w:color="auto"/>
                    <w:right w:val="single" w:sz="4" w:space="0" w:color="auto"/>
                  </w:tcBorders>
                  <w:shd w:val="clear" w:color="auto" w:fill="auto"/>
                </w:tcPr>
                <w:p w:rsidR="00F503BA" w:rsidRPr="005728BA" w:rsidRDefault="000F603F" w:rsidP="00143660">
                  <w:pPr>
                    <w:jc w:val="center"/>
                    <w:rPr>
                      <w:highlight w:val="lightGray"/>
                      <w:u w:val="single"/>
                      <w:lang w:val="de-DE"/>
                    </w:rPr>
                  </w:pPr>
                  <w:r w:rsidRPr="005728BA">
                    <w:rPr>
                      <w:highlight w:val="lightGray"/>
                      <w:u w:val="single"/>
                      <w:lang w:val="de-DE"/>
                    </w:rPr>
                    <w:t>nicht homogen</w:t>
                  </w:r>
                </w:p>
              </w:tc>
            </w:tr>
            <w:tr w:rsidR="00F503BA" w:rsidRPr="00CF79DA" w:rsidTr="00DD7375">
              <w:trPr>
                <w:gridBefore w:val="1"/>
                <w:wBefore w:w="424" w:type="dxa"/>
                <w:trHeight w:val="273"/>
              </w:trPr>
              <w:tc>
                <w:tcPr>
                  <w:tcW w:w="696" w:type="dxa"/>
                  <w:vMerge/>
                  <w:tcBorders>
                    <w:left w:val="single" w:sz="4" w:space="0" w:color="auto"/>
                    <w:right w:val="single" w:sz="4" w:space="0" w:color="000000"/>
                  </w:tcBorders>
                  <w:vAlign w:val="center"/>
                  <w:hideMark/>
                </w:tcPr>
                <w:p w:rsidR="00F503BA" w:rsidRPr="005728BA" w:rsidRDefault="00F503BA" w:rsidP="00720F43">
                  <w:pPr>
                    <w:jc w:val="left"/>
                    <w:rPr>
                      <w:rFonts w:cs="Arial"/>
                      <w:color w:val="000000"/>
                      <w:lang w:val="de-DE"/>
                    </w:rPr>
                  </w:pPr>
                </w:p>
              </w:tc>
              <w:tc>
                <w:tcPr>
                  <w:tcW w:w="1134" w:type="dxa"/>
                  <w:tcBorders>
                    <w:top w:val="nil"/>
                    <w:left w:val="nil"/>
                    <w:bottom w:val="single" w:sz="8" w:space="0" w:color="auto"/>
                    <w:right w:val="single" w:sz="4" w:space="0" w:color="auto"/>
                  </w:tcBorders>
                  <w:shd w:val="clear" w:color="auto" w:fill="auto"/>
                  <w:vAlign w:val="center"/>
                  <w:hideMark/>
                </w:tcPr>
                <w:p w:rsidR="00F503BA" w:rsidRPr="005728BA" w:rsidRDefault="00F503BA" w:rsidP="00720F43">
                  <w:pPr>
                    <w:jc w:val="center"/>
                    <w:rPr>
                      <w:rFonts w:cs="Arial"/>
                      <w:color w:val="000000"/>
                      <w:lang w:val="de-DE"/>
                    </w:rPr>
                  </w:pPr>
                  <w:r w:rsidRPr="005728BA">
                    <w:rPr>
                      <w:rFonts w:cs="Arial"/>
                      <w:color w:val="000000"/>
                      <w:lang w:val="de-DE"/>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5728BA" w:rsidRDefault="00F503BA" w:rsidP="00720F43">
                  <w:pPr>
                    <w:jc w:val="center"/>
                    <w:rPr>
                      <w:rFonts w:cs="Arial"/>
                      <w:color w:val="000000"/>
                      <w:lang w:val="de-DE"/>
                    </w:rPr>
                  </w:pPr>
                  <w:r w:rsidRPr="005728BA">
                    <w:rPr>
                      <w:rFonts w:cs="Arial"/>
                      <w:color w:val="000000"/>
                      <w:lang w:val="de-DE"/>
                    </w:rPr>
                    <w:t>3</w:t>
                  </w:r>
                  <w:r w:rsidRPr="005728BA">
                    <w:rPr>
                      <w:rFonts w:cs="Arial"/>
                      <w:color w:val="000000"/>
                      <w:highlight w:val="lightGray"/>
                      <w:u w:val="single"/>
                      <w:lang w:val="de-DE"/>
                    </w:rPr>
                    <w:t>*</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5728BA" w:rsidRDefault="000F603F" w:rsidP="00720F43">
                  <w:pPr>
                    <w:rPr>
                      <w:rFonts w:cs="Arial"/>
                      <w:color w:val="000000"/>
                      <w:lang w:val="de-DE"/>
                    </w:rPr>
                  </w:pPr>
                  <w:r w:rsidRPr="005728BA">
                    <w:rPr>
                      <w:rFonts w:cs="Arial"/>
                      <w:color w:val="000000"/>
                      <w:lang w:val="de-DE"/>
                    </w:rPr>
                    <w:t>dritte</w:t>
                  </w:r>
                  <w:r w:rsidR="00F503BA" w:rsidRPr="005728BA">
                    <w:rPr>
                      <w:rFonts w:cs="Arial"/>
                      <w:color w:val="000000"/>
                      <w:lang w:val="de-DE"/>
                    </w:rPr>
                    <w:t xml:space="preserve"> </w:t>
                  </w:r>
                  <w:r w:rsidR="00D91ED1" w:rsidRPr="005728BA">
                    <w:rPr>
                      <w:rFonts w:cs="Arial"/>
                      <w:color w:val="000000"/>
                      <w:lang w:val="de-DE"/>
                    </w:rPr>
                    <w:t>Wachstumsperiode</w:t>
                  </w:r>
                  <w:r w:rsidR="00F503BA" w:rsidRPr="005728BA">
                    <w:rPr>
                      <w:rFonts w:cs="Arial"/>
                      <w:color w:val="000000"/>
                      <w:highlight w:val="lightGray"/>
                      <w:u w:val="single"/>
                      <w:lang w:val="de-DE"/>
                    </w:rPr>
                    <w:t>*</w:t>
                  </w:r>
                </w:p>
              </w:tc>
              <w:tc>
                <w:tcPr>
                  <w:tcW w:w="1985" w:type="dxa"/>
                  <w:tcBorders>
                    <w:top w:val="nil"/>
                    <w:left w:val="nil"/>
                    <w:bottom w:val="single" w:sz="8" w:space="0" w:color="auto"/>
                    <w:right w:val="single" w:sz="4" w:space="0" w:color="auto"/>
                  </w:tcBorders>
                  <w:shd w:val="clear" w:color="auto" w:fill="auto"/>
                  <w:vAlign w:val="center"/>
                  <w:hideMark/>
                </w:tcPr>
                <w:p w:rsidR="00F503BA" w:rsidRPr="005728BA" w:rsidRDefault="000F603F" w:rsidP="00720F43">
                  <w:pPr>
                    <w:jc w:val="center"/>
                    <w:rPr>
                      <w:rFonts w:cs="Arial"/>
                      <w:color w:val="000000"/>
                      <w:lang w:val="de-DE"/>
                    </w:rPr>
                  </w:pPr>
                  <w:r w:rsidRPr="005728BA">
                    <w:rPr>
                      <w:rFonts w:cs="Arial"/>
                      <w:color w:val="000000"/>
                      <w:lang w:val="de-DE"/>
                    </w:rPr>
                    <w:t>homogen</w:t>
                  </w:r>
                  <w:r w:rsidR="00F503BA" w:rsidRPr="005728BA">
                    <w:rPr>
                      <w:rFonts w:cs="Arial"/>
                      <w:color w:val="000000"/>
                      <w:highlight w:val="lightGray"/>
                      <w:u w:val="single"/>
                      <w:lang w:val="de-DE"/>
                    </w:rPr>
                    <w:t>*</w:t>
                  </w:r>
                </w:p>
              </w:tc>
              <w:tc>
                <w:tcPr>
                  <w:tcW w:w="1624" w:type="dxa"/>
                  <w:tcBorders>
                    <w:top w:val="single" w:sz="4" w:space="0" w:color="auto"/>
                    <w:bottom w:val="single" w:sz="4" w:space="0" w:color="auto"/>
                    <w:right w:val="single" w:sz="4" w:space="0" w:color="auto"/>
                  </w:tcBorders>
                  <w:shd w:val="clear" w:color="auto" w:fill="auto"/>
                </w:tcPr>
                <w:p w:rsidR="00F503BA" w:rsidRPr="005728BA" w:rsidRDefault="000F603F" w:rsidP="00143660">
                  <w:pPr>
                    <w:jc w:val="center"/>
                    <w:rPr>
                      <w:highlight w:val="lightGray"/>
                      <w:u w:val="single"/>
                      <w:lang w:val="de-DE"/>
                    </w:rPr>
                  </w:pPr>
                  <w:r w:rsidRPr="005728BA">
                    <w:rPr>
                      <w:highlight w:val="lightGray"/>
                      <w:u w:val="single"/>
                      <w:lang w:val="de-DE"/>
                    </w:rPr>
                    <w:t>homogen</w:t>
                  </w:r>
                  <w:r w:rsidR="00F503BA" w:rsidRPr="005728BA">
                    <w:rPr>
                      <w:highlight w:val="lightGray"/>
                      <w:u w:val="single"/>
                      <w:lang w:val="de-DE"/>
                    </w:rPr>
                    <w:t>*</w:t>
                  </w:r>
                </w:p>
              </w:tc>
            </w:tr>
            <w:tr w:rsidR="00F503BA" w:rsidRPr="00CF79DA" w:rsidTr="00DD7375">
              <w:trPr>
                <w:gridBefore w:val="1"/>
                <w:wBefore w:w="424" w:type="dxa"/>
                <w:trHeight w:val="248"/>
              </w:trPr>
              <w:tc>
                <w:tcPr>
                  <w:tcW w:w="696" w:type="dxa"/>
                  <w:vMerge/>
                  <w:tcBorders>
                    <w:left w:val="single" w:sz="4" w:space="0" w:color="auto"/>
                    <w:right w:val="single" w:sz="4" w:space="0" w:color="000000"/>
                  </w:tcBorders>
                  <w:vAlign w:val="center"/>
                  <w:hideMark/>
                </w:tcPr>
                <w:p w:rsidR="00F503BA" w:rsidRPr="005728BA" w:rsidRDefault="00F503BA" w:rsidP="00720F43">
                  <w:pPr>
                    <w:jc w:val="left"/>
                    <w:rPr>
                      <w:rFonts w:cs="Arial"/>
                      <w:color w:val="000000"/>
                      <w:lang w:val="de-DE"/>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F503BA" w:rsidRPr="005728BA" w:rsidRDefault="00F503BA" w:rsidP="00720F43">
                  <w:pPr>
                    <w:jc w:val="center"/>
                    <w:rPr>
                      <w:rFonts w:cs="Arial"/>
                      <w:color w:val="000000"/>
                      <w:lang w:val="de-DE"/>
                    </w:rPr>
                  </w:pPr>
                  <w:r w:rsidRPr="005728BA">
                    <w:rPr>
                      <w:rFonts w:cs="Arial"/>
                      <w:color w:val="000000"/>
                      <w:lang w:val="de-DE"/>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F503BA" w:rsidRPr="005728BA" w:rsidRDefault="00F503BA" w:rsidP="00720F43">
                  <w:pPr>
                    <w:jc w:val="center"/>
                    <w:rPr>
                      <w:rFonts w:cs="Arial"/>
                      <w:color w:val="000000"/>
                      <w:lang w:val="de-DE"/>
                    </w:rPr>
                  </w:pPr>
                  <w:r w:rsidRPr="005728BA">
                    <w:rPr>
                      <w:rFonts w:cs="Arial"/>
                      <w:color w:val="000000"/>
                      <w:lang w:val="de-DE"/>
                    </w:rPr>
                    <w:t>3</w:t>
                  </w:r>
                  <w:r w:rsidRPr="005728BA">
                    <w:rPr>
                      <w:rFonts w:cs="Arial"/>
                      <w:color w:val="000000"/>
                      <w:highlight w:val="lightGray"/>
                      <w:u w:val="single"/>
                      <w:lang w:val="de-DE"/>
                    </w:rPr>
                    <w:t>*</w:t>
                  </w:r>
                </w:p>
              </w:tc>
              <w:tc>
                <w:tcPr>
                  <w:tcW w:w="2127" w:type="dxa"/>
                  <w:gridSpan w:val="2"/>
                  <w:tcBorders>
                    <w:top w:val="nil"/>
                    <w:left w:val="nil"/>
                    <w:bottom w:val="single" w:sz="8" w:space="0" w:color="auto"/>
                    <w:right w:val="single" w:sz="4" w:space="0" w:color="auto"/>
                  </w:tcBorders>
                  <w:shd w:val="clear" w:color="auto" w:fill="auto"/>
                  <w:vAlign w:val="center"/>
                  <w:hideMark/>
                </w:tcPr>
                <w:p w:rsidR="00F503BA" w:rsidRPr="005728BA" w:rsidRDefault="000F603F" w:rsidP="00720F43">
                  <w:pPr>
                    <w:rPr>
                      <w:rFonts w:cs="Arial"/>
                      <w:color w:val="000000"/>
                      <w:lang w:val="de-DE"/>
                    </w:rPr>
                  </w:pPr>
                  <w:r w:rsidRPr="005728BA">
                    <w:rPr>
                      <w:rFonts w:cs="Arial"/>
                      <w:color w:val="000000"/>
                      <w:lang w:val="de-DE"/>
                    </w:rPr>
                    <w:t>dritte</w:t>
                  </w:r>
                  <w:r w:rsidR="00F503BA" w:rsidRPr="005728BA">
                    <w:rPr>
                      <w:rFonts w:cs="Arial"/>
                      <w:color w:val="000000"/>
                      <w:lang w:val="de-DE"/>
                    </w:rPr>
                    <w:t xml:space="preserve"> </w:t>
                  </w:r>
                  <w:r w:rsidR="00D91ED1" w:rsidRPr="005728BA">
                    <w:rPr>
                      <w:rFonts w:cs="Arial"/>
                      <w:color w:val="000000"/>
                      <w:lang w:val="de-DE"/>
                    </w:rPr>
                    <w:t>Wachstumsperiode</w:t>
                  </w:r>
                  <w:r w:rsidR="00F503BA" w:rsidRPr="005728BA">
                    <w:rPr>
                      <w:rFonts w:cs="Arial"/>
                      <w:color w:val="000000"/>
                      <w:highlight w:val="lightGray"/>
                      <w:u w:val="single"/>
                      <w:lang w:val="de-DE"/>
                    </w:rPr>
                    <w:t>*</w:t>
                  </w:r>
                </w:p>
              </w:tc>
              <w:tc>
                <w:tcPr>
                  <w:tcW w:w="1985" w:type="dxa"/>
                  <w:tcBorders>
                    <w:top w:val="nil"/>
                    <w:left w:val="nil"/>
                    <w:bottom w:val="single" w:sz="4" w:space="0" w:color="auto"/>
                    <w:right w:val="single" w:sz="8" w:space="0" w:color="auto"/>
                  </w:tcBorders>
                  <w:shd w:val="clear" w:color="auto" w:fill="auto"/>
                  <w:vAlign w:val="center"/>
                  <w:hideMark/>
                </w:tcPr>
                <w:p w:rsidR="00F503BA" w:rsidRPr="005728BA" w:rsidRDefault="000F603F" w:rsidP="00720F43">
                  <w:pPr>
                    <w:jc w:val="center"/>
                    <w:rPr>
                      <w:rFonts w:cs="Arial"/>
                      <w:color w:val="000000"/>
                      <w:lang w:val="de-DE"/>
                    </w:rPr>
                  </w:pPr>
                  <w:r w:rsidRPr="005728BA">
                    <w:rPr>
                      <w:rFonts w:cs="Arial"/>
                      <w:color w:val="000000"/>
                      <w:lang w:val="de-DE"/>
                    </w:rPr>
                    <w:t>nicht homogen</w:t>
                  </w:r>
                  <w:r w:rsidR="00F503BA" w:rsidRPr="005728BA">
                    <w:rPr>
                      <w:rFonts w:cs="Arial"/>
                      <w:color w:val="000000"/>
                      <w:highlight w:val="lightGray"/>
                      <w:u w:val="single"/>
                      <w:lang w:val="de-DE"/>
                    </w:rPr>
                    <w:t>*</w:t>
                  </w:r>
                </w:p>
              </w:tc>
              <w:tc>
                <w:tcPr>
                  <w:tcW w:w="1624" w:type="dxa"/>
                  <w:tcBorders>
                    <w:top w:val="single" w:sz="4" w:space="0" w:color="auto"/>
                    <w:bottom w:val="single" w:sz="4" w:space="0" w:color="auto"/>
                    <w:right w:val="single" w:sz="4" w:space="0" w:color="auto"/>
                  </w:tcBorders>
                  <w:shd w:val="clear" w:color="auto" w:fill="auto"/>
                </w:tcPr>
                <w:p w:rsidR="00F503BA" w:rsidRPr="005728BA" w:rsidRDefault="000F603F" w:rsidP="00143660">
                  <w:pPr>
                    <w:jc w:val="center"/>
                    <w:rPr>
                      <w:highlight w:val="lightGray"/>
                      <w:u w:val="single"/>
                      <w:lang w:val="de-DE"/>
                    </w:rPr>
                  </w:pPr>
                  <w:r w:rsidRPr="005728BA">
                    <w:rPr>
                      <w:highlight w:val="lightGray"/>
                      <w:u w:val="single"/>
                      <w:lang w:val="de-DE"/>
                    </w:rPr>
                    <w:t>nicht homogen</w:t>
                  </w:r>
                  <w:r w:rsidR="00F503BA" w:rsidRPr="005728BA">
                    <w:rPr>
                      <w:highlight w:val="lightGray"/>
                      <w:u w:val="single"/>
                      <w:lang w:val="de-DE"/>
                    </w:rPr>
                    <w:t>*</w:t>
                  </w:r>
                </w:p>
              </w:tc>
            </w:tr>
            <w:tr w:rsidR="00F503BA" w:rsidRPr="00CF79DA" w:rsidTr="00DD7375">
              <w:trPr>
                <w:gridBefore w:val="1"/>
                <w:wBefore w:w="424" w:type="dxa"/>
                <w:trHeight w:val="267"/>
              </w:trPr>
              <w:tc>
                <w:tcPr>
                  <w:tcW w:w="696" w:type="dxa"/>
                  <w:vMerge/>
                  <w:tcBorders>
                    <w:left w:val="single" w:sz="4" w:space="0" w:color="auto"/>
                    <w:right w:val="single" w:sz="4" w:space="0" w:color="000000"/>
                  </w:tcBorders>
                  <w:vAlign w:val="center"/>
                  <w:hideMark/>
                </w:tcPr>
                <w:p w:rsidR="00F503BA" w:rsidRPr="005728BA" w:rsidRDefault="00F503BA" w:rsidP="00720F43">
                  <w:pPr>
                    <w:jc w:val="left"/>
                    <w:rPr>
                      <w:rFonts w:cs="Arial"/>
                      <w:color w:val="000000"/>
                      <w:lang w:val="de-DE"/>
                    </w:rPr>
                  </w:pPr>
                </w:p>
              </w:tc>
              <w:tc>
                <w:tcPr>
                  <w:tcW w:w="1134" w:type="dxa"/>
                  <w:tcBorders>
                    <w:top w:val="nil"/>
                    <w:left w:val="nil"/>
                    <w:bottom w:val="single" w:sz="4" w:space="0" w:color="auto"/>
                    <w:right w:val="single" w:sz="4" w:space="0" w:color="auto"/>
                  </w:tcBorders>
                  <w:shd w:val="clear" w:color="auto" w:fill="auto"/>
                  <w:noWrap/>
                  <w:vAlign w:val="center"/>
                  <w:hideMark/>
                </w:tcPr>
                <w:p w:rsidR="00F503BA" w:rsidRPr="005728BA" w:rsidRDefault="00F503BA" w:rsidP="00720F43">
                  <w:pPr>
                    <w:jc w:val="center"/>
                    <w:rPr>
                      <w:rFonts w:cs="Arial"/>
                      <w:color w:val="000000"/>
                      <w:lang w:val="de-DE"/>
                    </w:rPr>
                  </w:pPr>
                  <w:r w:rsidRPr="005728BA">
                    <w:rPr>
                      <w:rFonts w:cs="Arial"/>
                      <w:color w:val="000000"/>
                      <w:lang w:val="de-DE"/>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F503BA" w:rsidRPr="005728BA" w:rsidRDefault="00F503BA" w:rsidP="00720F43">
                  <w:pPr>
                    <w:ind w:left="49"/>
                    <w:jc w:val="center"/>
                    <w:rPr>
                      <w:rFonts w:cs="Arial"/>
                      <w:color w:val="000000"/>
                      <w:lang w:val="de-DE"/>
                    </w:rPr>
                  </w:pPr>
                  <w:r w:rsidRPr="005728BA">
                    <w:rPr>
                      <w:rFonts w:cs="Arial"/>
                      <w:color w:val="000000"/>
                      <w:lang w:val="de-DE"/>
                    </w:rPr>
                    <w:t>4*</w:t>
                  </w:r>
                </w:p>
              </w:tc>
              <w:tc>
                <w:tcPr>
                  <w:tcW w:w="2127" w:type="dxa"/>
                  <w:gridSpan w:val="2"/>
                  <w:tcBorders>
                    <w:top w:val="nil"/>
                    <w:left w:val="nil"/>
                    <w:bottom w:val="single" w:sz="4" w:space="0" w:color="auto"/>
                    <w:right w:val="single" w:sz="4" w:space="0" w:color="auto"/>
                  </w:tcBorders>
                  <w:shd w:val="clear" w:color="auto" w:fill="auto"/>
                  <w:vAlign w:val="center"/>
                  <w:hideMark/>
                </w:tcPr>
                <w:p w:rsidR="00F503BA" w:rsidRPr="005728BA" w:rsidRDefault="000F603F" w:rsidP="00720F43">
                  <w:pPr>
                    <w:rPr>
                      <w:rFonts w:cs="Arial"/>
                      <w:color w:val="000000"/>
                      <w:lang w:val="de-DE"/>
                    </w:rPr>
                  </w:pPr>
                  <w:r w:rsidRPr="005728BA">
                    <w:rPr>
                      <w:rFonts w:cs="Arial"/>
                      <w:color w:val="000000"/>
                      <w:lang w:val="de-DE"/>
                    </w:rPr>
                    <w:t>dritte</w:t>
                  </w:r>
                  <w:r w:rsidR="00F503BA" w:rsidRPr="005728BA">
                    <w:rPr>
                      <w:rFonts w:cs="Arial"/>
                      <w:color w:val="000000"/>
                      <w:lang w:val="de-DE"/>
                    </w:rPr>
                    <w:t xml:space="preserve"> </w:t>
                  </w:r>
                  <w:r w:rsidR="00D91ED1" w:rsidRPr="005728BA">
                    <w:rPr>
                      <w:rFonts w:cs="Arial"/>
                      <w:color w:val="000000"/>
                      <w:lang w:val="de-DE"/>
                    </w:rPr>
                    <w:t>Wachstumsperiode</w:t>
                  </w:r>
                  <w:r w:rsidR="00F503BA" w:rsidRPr="005728BA">
                    <w:rPr>
                      <w:rFonts w:cs="Arial"/>
                      <w:color w:val="000000"/>
                      <w:lang w:val="de-DE"/>
                    </w:rPr>
                    <w:t>*</w:t>
                  </w:r>
                </w:p>
              </w:tc>
              <w:tc>
                <w:tcPr>
                  <w:tcW w:w="1985" w:type="dxa"/>
                  <w:tcBorders>
                    <w:top w:val="nil"/>
                    <w:left w:val="nil"/>
                    <w:bottom w:val="single" w:sz="4" w:space="0" w:color="auto"/>
                    <w:right w:val="single" w:sz="4" w:space="0" w:color="auto"/>
                  </w:tcBorders>
                  <w:shd w:val="clear" w:color="auto" w:fill="auto"/>
                  <w:vAlign w:val="center"/>
                  <w:hideMark/>
                </w:tcPr>
                <w:p w:rsidR="00F503BA" w:rsidRPr="005728BA" w:rsidRDefault="000F603F" w:rsidP="00720F43">
                  <w:pPr>
                    <w:jc w:val="center"/>
                    <w:rPr>
                      <w:rFonts w:cs="Arial"/>
                      <w:color w:val="000000"/>
                      <w:lang w:val="de-DE"/>
                    </w:rPr>
                  </w:pPr>
                  <w:r w:rsidRPr="005728BA">
                    <w:rPr>
                      <w:rFonts w:cs="Arial"/>
                      <w:color w:val="000000"/>
                      <w:lang w:val="de-DE"/>
                    </w:rPr>
                    <w:t>nicht homogen</w:t>
                  </w:r>
                  <w:r w:rsidR="00F503BA" w:rsidRPr="005728BA">
                    <w:rPr>
                      <w:rFonts w:cs="Arial"/>
                      <w:color w:val="000000"/>
                      <w:lang w:val="de-DE"/>
                    </w:rPr>
                    <w:t>*</w:t>
                  </w:r>
                </w:p>
              </w:tc>
              <w:tc>
                <w:tcPr>
                  <w:tcW w:w="1624" w:type="dxa"/>
                  <w:tcBorders>
                    <w:top w:val="single" w:sz="4" w:space="0" w:color="auto"/>
                    <w:bottom w:val="single" w:sz="4" w:space="0" w:color="auto"/>
                    <w:right w:val="single" w:sz="4" w:space="0" w:color="auto"/>
                  </w:tcBorders>
                  <w:shd w:val="clear" w:color="auto" w:fill="auto"/>
                </w:tcPr>
                <w:p w:rsidR="00F503BA" w:rsidRPr="005728BA" w:rsidRDefault="000F603F" w:rsidP="00143660">
                  <w:pPr>
                    <w:jc w:val="center"/>
                    <w:rPr>
                      <w:highlight w:val="lightGray"/>
                      <w:u w:val="single"/>
                      <w:lang w:val="de-DE"/>
                    </w:rPr>
                  </w:pPr>
                  <w:r w:rsidRPr="005728BA">
                    <w:rPr>
                      <w:highlight w:val="lightGray"/>
                      <w:u w:val="single"/>
                      <w:lang w:val="de-DE"/>
                    </w:rPr>
                    <w:t>nicht homogen</w:t>
                  </w:r>
                  <w:r w:rsidR="00F503BA" w:rsidRPr="005728BA">
                    <w:rPr>
                      <w:highlight w:val="lightGray"/>
                      <w:u w:val="single"/>
                      <w:lang w:val="de-DE"/>
                    </w:rPr>
                    <w:t>*</w:t>
                  </w:r>
                </w:p>
              </w:tc>
            </w:tr>
            <w:tr w:rsidR="00F503BA" w:rsidRPr="00CF79DA" w:rsidTr="00DD7375">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F503BA" w:rsidRPr="005728BA" w:rsidRDefault="00F503BA" w:rsidP="00720F43">
                  <w:pPr>
                    <w:jc w:val="left"/>
                    <w:rPr>
                      <w:rFonts w:cs="Arial"/>
                      <w:color w:val="000000"/>
                      <w:lang w:val="de-DE"/>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F503BA" w:rsidRPr="005728BA" w:rsidRDefault="00F503BA" w:rsidP="00720F43">
                  <w:pPr>
                    <w:ind w:left="49"/>
                    <w:jc w:val="center"/>
                    <w:rPr>
                      <w:rFonts w:cs="Arial"/>
                      <w:color w:val="000000"/>
                      <w:lang w:val="de-DE"/>
                    </w:rPr>
                  </w:pPr>
                  <w:r w:rsidRPr="005728BA">
                    <w:rPr>
                      <w:rFonts w:cs="Arial"/>
                      <w:color w:val="000000"/>
                      <w:lang w:val="de-DE"/>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5728BA" w:rsidRDefault="00F503BA" w:rsidP="00720F43">
                  <w:pPr>
                    <w:ind w:right="-123"/>
                    <w:jc w:val="center"/>
                    <w:rPr>
                      <w:rFonts w:cs="Arial"/>
                      <w:color w:val="000000"/>
                      <w:lang w:val="de-DE"/>
                    </w:rPr>
                  </w:pPr>
                  <w:r w:rsidRPr="005728BA">
                    <w:rPr>
                      <w:rFonts w:cs="Arial"/>
                      <w:color w:val="000000"/>
                      <w:lang w:val="de-DE"/>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F503BA" w:rsidRPr="005728BA" w:rsidRDefault="000F603F" w:rsidP="00720F43">
                  <w:pPr>
                    <w:ind w:right="-122"/>
                    <w:rPr>
                      <w:rFonts w:cs="Arial"/>
                      <w:color w:val="000000"/>
                      <w:lang w:val="de-DE"/>
                    </w:rPr>
                  </w:pPr>
                  <w:r w:rsidRPr="005728BA">
                    <w:rPr>
                      <w:rFonts w:cs="Arial"/>
                      <w:color w:val="000000"/>
                      <w:lang w:val="de-DE"/>
                    </w:rPr>
                    <w:t>dritte</w:t>
                  </w:r>
                  <w:r w:rsidR="00F503BA" w:rsidRPr="005728BA">
                    <w:rPr>
                      <w:rFonts w:cs="Arial"/>
                      <w:color w:val="000000"/>
                      <w:lang w:val="de-DE"/>
                    </w:rPr>
                    <w:t xml:space="preserve"> </w:t>
                  </w:r>
                  <w:r w:rsidR="00D91ED1" w:rsidRPr="005728BA">
                    <w:rPr>
                      <w:rFonts w:cs="Arial"/>
                      <w:color w:val="000000"/>
                      <w:lang w:val="de-DE"/>
                    </w:rPr>
                    <w:t>Wachstumsperiode</w:t>
                  </w:r>
                  <w:r w:rsidR="00F503BA" w:rsidRPr="005728BA">
                    <w:rPr>
                      <w:rFonts w:cs="Arial"/>
                      <w:color w:val="000000"/>
                      <w:lang w:val="de-DE"/>
                    </w:rPr>
                    <w:t xml:space="preserv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F503BA" w:rsidRPr="005728BA" w:rsidRDefault="000F603F" w:rsidP="00720F43">
                  <w:pPr>
                    <w:jc w:val="center"/>
                    <w:rPr>
                      <w:rFonts w:cs="Arial"/>
                      <w:color w:val="000000"/>
                      <w:lang w:val="de-DE"/>
                    </w:rPr>
                  </w:pPr>
                  <w:r w:rsidRPr="005728BA">
                    <w:rPr>
                      <w:rFonts w:cs="Arial"/>
                      <w:color w:val="000000"/>
                      <w:lang w:val="de-DE"/>
                    </w:rPr>
                    <w:t>nicht homogen</w:t>
                  </w:r>
                  <w:r w:rsidR="00F503BA" w:rsidRPr="005728BA">
                    <w:rPr>
                      <w:rFonts w:cs="Arial"/>
                      <w:color w:val="000000"/>
                      <w:lang w:val="de-DE"/>
                    </w:rPr>
                    <w:t>*</w:t>
                  </w:r>
                </w:p>
              </w:tc>
              <w:tc>
                <w:tcPr>
                  <w:tcW w:w="1624" w:type="dxa"/>
                  <w:tcBorders>
                    <w:top w:val="single" w:sz="4" w:space="0" w:color="auto"/>
                    <w:bottom w:val="single" w:sz="4" w:space="0" w:color="auto"/>
                    <w:right w:val="single" w:sz="4" w:space="0" w:color="auto"/>
                  </w:tcBorders>
                  <w:shd w:val="clear" w:color="auto" w:fill="auto"/>
                </w:tcPr>
                <w:p w:rsidR="00F503BA" w:rsidRPr="005728BA" w:rsidRDefault="000F603F" w:rsidP="00143660">
                  <w:pPr>
                    <w:jc w:val="center"/>
                    <w:rPr>
                      <w:highlight w:val="lightGray"/>
                      <w:u w:val="single"/>
                      <w:lang w:val="de-DE"/>
                    </w:rPr>
                  </w:pPr>
                  <w:r w:rsidRPr="005728BA">
                    <w:rPr>
                      <w:highlight w:val="lightGray"/>
                      <w:u w:val="single"/>
                      <w:lang w:val="de-DE"/>
                    </w:rPr>
                    <w:t>nicht homogen</w:t>
                  </w:r>
                </w:p>
              </w:tc>
            </w:tr>
          </w:tbl>
          <w:p w:rsidR="00BF4661" w:rsidRPr="005728BA" w:rsidRDefault="00BF4661" w:rsidP="00720F43">
            <w:pPr>
              <w:pStyle w:val="Titleofdoc0"/>
              <w:spacing w:before="0"/>
              <w:jc w:val="both"/>
              <w:rPr>
                <w:sz w:val="12"/>
                <w:szCs w:val="24"/>
                <w:lang w:val="de-DE"/>
              </w:rPr>
            </w:pPr>
          </w:p>
          <w:p w:rsidR="00BF4661" w:rsidRPr="005728BA" w:rsidRDefault="00BF4661" w:rsidP="004006EE">
            <w:pPr>
              <w:keepNext/>
              <w:keepLines/>
              <w:ind w:left="34"/>
              <w:rPr>
                <w:rFonts w:eastAsia="SimSun"/>
                <w:sz w:val="18"/>
                <w:lang w:val="de-DE" w:eastAsia="zh-CN"/>
              </w:rPr>
            </w:pPr>
            <w:r w:rsidRPr="005728BA">
              <w:rPr>
                <w:sz w:val="18"/>
                <w:szCs w:val="24"/>
                <w:lang w:val="de-DE"/>
              </w:rPr>
              <w:t xml:space="preserve">*  </w:t>
            </w:r>
            <w:r w:rsidR="008F0399" w:rsidRPr="005728BA">
              <w:rPr>
                <w:rFonts w:eastAsia="SimSun"/>
                <w:sz w:val="18"/>
                <w:lang w:val="de-DE" w:eastAsia="zh-CN"/>
              </w:rPr>
              <w:t xml:space="preserve">Bei der Prüfung von Ergebnissen, die in jeder der Wachstumsperioden sehr unterschiedlich sind, </w:t>
            </w:r>
            <w:proofErr w:type="spellStart"/>
            <w:r w:rsidR="008F0399" w:rsidRPr="005728BA">
              <w:rPr>
                <w:rFonts w:eastAsia="SimSun"/>
                <w:sz w:val="18"/>
                <w:lang w:val="de-DE" w:eastAsia="zh-CN"/>
              </w:rPr>
              <w:t>muß</w:t>
            </w:r>
            <w:proofErr w:type="spellEnd"/>
            <w:r w:rsidR="008F0399" w:rsidRPr="005728BA">
              <w:rPr>
                <w:rFonts w:eastAsia="SimSun"/>
                <w:sz w:val="18"/>
                <w:lang w:val="de-DE" w:eastAsia="zh-CN"/>
              </w:rPr>
              <w:t xml:space="preserve"> mit größter Sorgfalt verfahren werden, etwa wenn ein </w:t>
            </w:r>
            <w:proofErr w:type="spellStart"/>
            <w:r w:rsidR="004006EE">
              <w:rPr>
                <w:rFonts w:eastAsia="SimSun"/>
                <w:sz w:val="18"/>
                <w:lang w:val="de-DE" w:eastAsia="zh-CN"/>
              </w:rPr>
              <w:t>Abweichertyp</w:t>
            </w:r>
            <w:proofErr w:type="spellEnd"/>
            <w:r w:rsidR="004006EE">
              <w:rPr>
                <w:rFonts w:eastAsia="SimSun"/>
                <w:sz w:val="18"/>
                <w:lang w:val="de-DE" w:eastAsia="zh-CN"/>
              </w:rPr>
              <w:t xml:space="preserve"> </w:t>
            </w:r>
            <w:r w:rsidR="008F0399" w:rsidRPr="005728BA">
              <w:rPr>
                <w:rFonts w:eastAsia="SimSun"/>
                <w:sz w:val="18"/>
                <w:lang w:val="de-DE" w:eastAsia="zh-CN"/>
              </w:rPr>
              <w:t>in einer Wachstumsperiode sehr häufig und in einer anderen überhaupt nicht vorkommt</w:t>
            </w:r>
            <w:r w:rsidRPr="005728BA">
              <w:rPr>
                <w:rFonts w:eastAsia="SimSun"/>
                <w:sz w:val="18"/>
                <w:lang w:val="de-DE" w:eastAsia="zh-CN"/>
              </w:rPr>
              <w:t>.</w:t>
            </w:r>
          </w:p>
        </w:tc>
      </w:tr>
    </w:tbl>
    <w:p w:rsidR="00BF4661" w:rsidRDefault="00BF4661" w:rsidP="00BF4661">
      <w:pPr>
        <w:jc w:val="right"/>
        <w:rPr>
          <w:rFonts w:eastAsia="MS Mincho"/>
          <w:color w:val="000000"/>
          <w:sz w:val="16"/>
          <w:lang w:val="de-DE" w:eastAsia="ja-JP"/>
        </w:rPr>
      </w:pPr>
    </w:p>
    <w:p w:rsidR="00243ACF" w:rsidRDefault="00243ACF" w:rsidP="00BF4661">
      <w:pPr>
        <w:jc w:val="right"/>
        <w:rPr>
          <w:rFonts w:eastAsia="MS Mincho"/>
          <w:color w:val="000000"/>
          <w:sz w:val="16"/>
          <w:lang w:val="de-DE" w:eastAsia="ja-JP"/>
        </w:rPr>
      </w:pPr>
    </w:p>
    <w:p w:rsidR="00243ACF" w:rsidRPr="005728BA" w:rsidRDefault="00243ACF" w:rsidP="00BF4661">
      <w:pPr>
        <w:jc w:val="right"/>
        <w:rPr>
          <w:rFonts w:eastAsia="MS Mincho"/>
          <w:color w:val="000000"/>
          <w:sz w:val="16"/>
          <w:lang w:val="de-DE" w:eastAsia="ja-JP"/>
        </w:rPr>
      </w:pPr>
    </w:p>
    <w:p w:rsidR="00BF4661" w:rsidRPr="005728BA" w:rsidRDefault="00BF4661" w:rsidP="00BF4661">
      <w:pPr>
        <w:jc w:val="right"/>
        <w:rPr>
          <w:rFonts w:eastAsia="MS Mincho"/>
          <w:color w:val="000000"/>
          <w:lang w:val="de-DE" w:eastAsia="ja-JP"/>
        </w:rPr>
      </w:pPr>
      <w:r w:rsidRPr="005728BA">
        <w:rPr>
          <w:rFonts w:eastAsia="MS Mincho"/>
          <w:color w:val="000000"/>
          <w:lang w:val="de-DE" w:eastAsia="ja-JP"/>
        </w:rPr>
        <w:t>[</w:t>
      </w:r>
      <w:r w:rsidR="00D64CD2" w:rsidRPr="005728BA">
        <w:rPr>
          <w:rFonts w:eastAsia="MS Mincho"/>
          <w:color w:val="000000"/>
          <w:lang w:val="de-DE" w:eastAsia="ja-JP"/>
        </w:rPr>
        <w:t>Anlage</w:t>
      </w:r>
      <w:r w:rsidRPr="005728BA">
        <w:rPr>
          <w:rFonts w:eastAsia="MS Mincho"/>
          <w:color w:val="000000"/>
          <w:lang w:val="de-DE" w:eastAsia="ja-JP"/>
        </w:rPr>
        <w:t xml:space="preserve"> II </w:t>
      </w:r>
      <w:r w:rsidR="00D64CD2" w:rsidRPr="005728BA">
        <w:rPr>
          <w:rFonts w:eastAsia="MS Mincho"/>
          <w:color w:val="000000"/>
          <w:lang w:val="de-DE" w:eastAsia="ja-JP"/>
        </w:rPr>
        <w:t>folgt</w:t>
      </w:r>
      <w:r w:rsidRPr="005728BA">
        <w:rPr>
          <w:rFonts w:eastAsia="MS Mincho"/>
          <w:color w:val="000000"/>
          <w:lang w:val="de-DE" w:eastAsia="ja-JP"/>
        </w:rPr>
        <w:t>]</w:t>
      </w:r>
    </w:p>
    <w:p w:rsidR="00BF4661" w:rsidRPr="005728BA" w:rsidRDefault="00BF4661" w:rsidP="00BF4661">
      <w:pPr>
        <w:jc w:val="right"/>
        <w:rPr>
          <w:rFonts w:eastAsia="MS Mincho"/>
          <w:color w:val="000000"/>
          <w:lang w:val="de-DE" w:eastAsia="ja-JP"/>
        </w:rPr>
        <w:sectPr w:rsidR="00BF4661" w:rsidRPr="005728BA" w:rsidSect="0074415C">
          <w:headerReference w:type="default" r:id="rId11"/>
          <w:headerReference w:type="first" r:id="rId12"/>
          <w:pgSz w:w="11907" w:h="16840" w:code="9"/>
          <w:pgMar w:top="510" w:right="1134" w:bottom="851" w:left="1134" w:header="510" w:footer="680" w:gutter="0"/>
          <w:pgNumType w:start="1"/>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BF4661" w:rsidRPr="00CB0E56" w:rsidTr="00720F43">
        <w:trPr>
          <w:trHeight w:val="350"/>
        </w:trPr>
        <w:tc>
          <w:tcPr>
            <w:tcW w:w="10206" w:type="dxa"/>
          </w:tcPr>
          <w:p w:rsidR="00BF4661" w:rsidRPr="005728BA" w:rsidRDefault="00BF4661" w:rsidP="00720F43">
            <w:pPr>
              <w:autoSpaceDE w:val="0"/>
              <w:autoSpaceDN w:val="0"/>
              <w:adjustRightInd w:val="0"/>
              <w:jc w:val="center"/>
              <w:rPr>
                <w:rFonts w:eastAsia="SimSun"/>
                <w:szCs w:val="24"/>
                <w:lang w:val="de-DE" w:eastAsia="zh-CN"/>
              </w:rPr>
            </w:pPr>
          </w:p>
          <w:p w:rsidR="00BF4661" w:rsidRPr="005728BA" w:rsidRDefault="00BF4661" w:rsidP="00720F43">
            <w:pPr>
              <w:autoSpaceDE w:val="0"/>
              <w:autoSpaceDN w:val="0"/>
              <w:adjustRightInd w:val="0"/>
              <w:jc w:val="center"/>
              <w:rPr>
                <w:szCs w:val="24"/>
                <w:lang w:val="de-DE"/>
              </w:rPr>
            </w:pPr>
            <w:r w:rsidRPr="005728BA">
              <w:rPr>
                <w:rFonts w:eastAsia="SimSun"/>
                <w:szCs w:val="24"/>
                <w:lang w:val="de-DE" w:eastAsia="zh-CN"/>
              </w:rPr>
              <w:t xml:space="preserve">SITUATION:  </w:t>
            </w:r>
            <w:r w:rsidR="0089357F" w:rsidRPr="005728BA">
              <w:rPr>
                <w:rFonts w:eastAsia="SimSun"/>
                <w:szCs w:val="24"/>
                <w:lang w:val="de-DE" w:eastAsia="zh-CN"/>
              </w:rPr>
              <w:t xml:space="preserve">PRÜFUNG </w:t>
            </w:r>
            <w:r w:rsidR="00CF79DA">
              <w:rPr>
                <w:rFonts w:eastAsia="SimSun"/>
                <w:szCs w:val="24"/>
                <w:lang w:val="de-DE" w:eastAsia="zh-CN"/>
              </w:rPr>
              <w:t>DER</w:t>
            </w:r>
            <w:r w:rsidR="00CF79DA" w:rsidRPr="005728BA">
              <w:rPr>
                <w:rFonts w:eastAsia="SimSun"/>
                <w:szCs w:val="24"/>
                <w:lang w:val="de-DE" w:eastAsia="zh-CN"/>
              </w:rPr>
              <w:t xml:space="preserve"> </w:t>
            </w:r>
            <w:r w:rsidR="0089357F" w:rsidRPr="005728BA">
              <w:rPr>
                <w:rFonts w:eastAsia="SimSun"/>
                <w:szCs w:val="24"/>
                <w:lang w:val="de-DE" w:eastAsia="zh-CN"/>
              </w:rPr>
              <w:t>HOMOGENITÄT ANHAND VON ABWEICHER</w:t>
            </w:r>
            <w:r w:rsidR="00235FD7">
              <w:rPr>
                <w:rFonts w:eastAsia="SimSun"/>
                <w:szCs w:val="24"/>
                <w:lang w:val="de-DE" w:eastAsia="zh-CN"/>
              </w:rPr>
              <w:t>N</w:t>
            </w:r>
            <w:r w:rsidR="0089357F" w:rsidRPr="005728BA">
              <w:rPr>
                <w:rFonts w:eastAsia="SimSun"/>
                <w:szCs w:val="24"/>
                <w:lang w:val="de-DE" w:eastAsia="zh-CN"/>
              </w:rPr>
              <w:t xml:space="preserve"> AUFGRUND VON </w:t>
            </w:r>
            <w:r w:rsidR="0089357F" w:rsidRPr="005728BA">
              <w:rPr>
                <w:szCs w:val="24"/>
                <w:lang w:val="de-DE"/>
              </w:rPr>
              <w:t xml:space="preserve">UNTERPROBEN </w:t>
            </w:r>
            <w:r w:rsidR="0089357F" w:rsidRPr="005728BA">
              <w:rPr>
                <w:rFonts w:eastAsia="MS Mincho"/>
                <w:color w:val="000000"/>
                <w:szCs w:val="24"/>
                <w:lang w:val="de-DE" w:eastAsia="ja-JP"/>
              </w:rPr>
              <w:t>IN EINER PRÜFUNG / EINEM VERSUCH</w:t>
            </w:r>
          </w:p>
          <w:p w:rsidR="00BF4661" w:rsidRPr="005728BA" w:rsidRDefault="00BF4661" w:rsidP="00720F43">
            <w:pPr>
              <w:autoSpaceDE w:val="0"/>
              <w:autoSpaceDN w:val="0"/>
              <w:adjustRightInd w:val="0"/>
              <w:jc w:val="center"/>
              <w:rPr>
                <w:rFonts w:eastAsia="SimSun"/>
                <w:szCs w:val="24"/>
                <w:lang w:val="de-DE" w:eastAsia="zh-CN"/>
              </w:rPr>
            </w:pPr>
          </w:p>
        </w:tc>
      </w:tr>
      <w:tr w:rsidR="00BF4661" w:rsidRPr="005728BA" w:rsidTr="00720F43">
        <w:trPr>
          <w:trHeight w:val="6949"/>
        </w:trPr>
        <w:tc>
          <w:tcPr>
            <w:tcW w:w="10206" w:type="dxa"/>
          </w:tcPr>
          <w:p w:rsidR="00BF4661" w:rsidRPr="005728BA" w:rsidRDefault="00BF4661" w:rsidP="00720F43">
            <w:pPr>
              <w:rPr>
                <w:lang w:val="de-DE"/>
              </w:rPr>
            </w:pPr>
          </w:p>
          <w:p w:rsidR="00BF4661" w:rsidRPr="005728BA" w:rsidRDefault="00AC00B2" w:rsidP="00720F43">
            <w:pPr>
              <w:rPr>
                <w:b/>
                <w:lang w:val="de-DE"/>
              </w:rPr>
            </w:pPr>
            <w:r w:rsidRPr="005728BA">
              <w:rPr>
                <w:b/>
                <w:lang w:val="de-DE"/>
              </w:rPr>
              <w:t>Ansatz</w:t>
            </w:r>
            <w:r w:rsidR="00BF4661" w:rsidRPr="005728BA">
              <w:rPr>
                <w:b/>
                <w:lang w:val="de-DE"/>
              </w:rPr>
              <w:t xml:space="preserve">:  </w:t>
            </w:r>
            <w:r w:rsidR="004974C2" w:rsidRPr="005728BA">
              <w:rPr>
                <w:b/>
                <w:lang w:val="de-DE"/>
              </w:rPr>
              <w:t>Verwendung von Unterproben als erster Prüfungsschritt</w:t>
            </w:r>
          </w:p>
          <w:p w:rsidR="00BF4661" w:rsidRPr="005728BA" w:rsidRDefault="00BF4661" w:rsidP="00720F43">
            <w:pPr>
              <w:rPr>
                <w:b/>
                <w:lang w:val="de-DE"/>
              </w:rPr>
            </w:pPr>
          </w:p>
          <w:p w:rsidR="005728BA" w:rsidRPr="005728BA" w:rsidRDefault="005728BA" w:rsidP="005728BA">
            <w:pPr>
              <w:rPr>
                <w:lang w:val="de-DE"/>
              </w:rPr>
            </w:pPr>
            <w:r w:rsidRPr="005728BA">
              <w:rPr>
                <w:lang w:val="de-DE"/>
              </w:rPr>
              <w:t xml:space="preserve">Eine Sorte wird als homogen betrachtet, wenn die Anzahl der </w:t>
            </w:r>
            <w:proofErr w:type="spellStart"/>
            <w:r w:rsidRPr="005728BA">
              <w:rPr>
                <w:lang w:val="de-DE"/>
              </w:rPr>
              <w:t>Abweicher</w:t>
            </w:r>
            <w:proofErr w:type="spellEnd"/>
            <w:r w:rsidRPr="005728BA">
              <w:rPr>
                <w:lang w:val="de-DE"/>
              </w:rPr>
              <w:t xml:space="preserve"> einen festgelegten unteren Grenzwert in der Unterprobe nicht übersteigt.</w:t>
            </w:r>
          </w:p>
          <w:p w:rsidR="005728BA" w:rsidRPr="005728BA" w:rsidRDefault="005728BA" w:rsidP="005728BA">
            <w:pPr>
              <w:rPr>
                <w:lang w:val="de-DE"/>
              </w:rPr>
            </w:pPr>
          </w:p>
          <w:p w:rsidR="005728BA" w:rsidRPr="005728BA" w:rsidRDefault="005728BA" w:rsidP="005728BA">
            <w:pPr>
              <w:rPr>
                <w:lang w:val="de-DE"/>
              </w:rPr>
            </w:pPr>
            <w:r w:rsidRPr="005728BA">
              <w:rPr>
                <w:lang w:val="de-DE"/>
              </w:rPr>
              <w:t xml:space="preserve">Eine Sorte wird als nicht homogen betrachtet, wenn die Anzahl der </w:t>
            </w:r>
            <w:proofErr w:type="spellStart"/>
            <w:r w:rsidRPr="005728BA">
              <w:rPr>
                <w:lang w:val="de-DE"/>
              </w:rPr>
              <w:t>Abweicher</w:t>
            </w:r>
            <w:proofErr w:type="spellEnd"/>
            <w:r w:rsidRPr="005728BA">
              <w:rPr>
                <w:lang w:val="de-DE"/>
              </w:rPr>
              <w:t xml:space="preserve"> einen festgelegten oberen Grenzwert in der Unterprobe übersteigt.</w:t>
            </w:r>
          </w:p>
          <w:p w:rsidR="005728BA" w:rsidRPr="005728BA" w:rsidRDefault="005728BA" w:rsidP="005728BA">
            <w:pPr>
              <w:rPr>
                <w:lang w:val="de-DE"/>
              </w:rPr>
            </w:pPr>
          </w:p>
          <w:p w:rsidR="00BF4661" w:rsidRPr="005728BA" w:rsidRDefault="005728BA" w:rsidP="005728BA">
            <w:pPr>
              <w:rPr>
                <w:lang w:val="de-DE"/>
              </w:rPr>
            </w:pPr>
            <w:r w:rsidRPr="005728BA">
              <w:rPr>
                <w:lang w:val="de-DE"/>
              </w:rPr>
              <w:t>Ist die Anzahl an Abweicher</w:t>
            </w:r>
            <w:r w:rsidR="00235FD7">
              <w:rPr>
                <w:lang w:val="de-DE"/>
              </w:rPr>
              <w:t>n</w:t>
            </w:r>
            <w:r w:rsidRPr="005728BA">
              <w:rPr>
                <w:lang w:val="de-DE"/>
              </w:rPr>
              <w:t xml:space="preserve"> zwischen den festgelegten unteren und oberen Grenzwerten, wird die gesamte Probe geprüft. Die unteren und oberen Grenzwerte müssen unter Berücksichtigung vergleichbarer Fehler vom Typ I und Typ II in der Unterprobe und der gesamten Probe gewählt werden</w:t>
            </w:r>
            <w:r w:rsidR="00BF4661" w:rsidRPr="005728BA">
              <w:rPr>
                <w:lang w:val="de-DE"/>
              </w:rPr>
              <w:t>.</w:t>
            </w:r>
          </w:p>
          <w:p w:rsidR="00BF4661" w:rsidRPr="005728BA" w:rsidRDefault="004F4357" w:rsidP="00720F43">
            <w:pPr>
              <w:rPr>
                <w:lang w:val="de-DE"/>
              </w:rPr>
            </w:pPr>
            <w:r>
              <w:rPr>
                <w:rFonts w:eastAsia="SimSun"/>
                <w:szCs w:val="24"/>
                <w:lang w:val="de-DE" w:eastAsia="zh-CN"/>
              </w:rPr>
              <w:pict>
                <v:rect id="_x0000_i1025" style="width:0;height:1.5pt" o:hralign="center" o:hrstd="t" o:hr="t" fillcolor="#a0a0a0" stroked="f"/>
              </w:pict>
            </w:r>
          </w:p>
          <w:p w:rsidR="00BF4661" w:rsidRPr="005728BA" w:rsidRDefault="00BF4661" w:rsidP="00720F43">
            <w:pPr>
              <w:rPr>
                <w:szCs w:val="24"/>
                <w:lang w:val="de-DE"/>
              </w:rPr>
            </w:pPr>
          </w:p>
          <w:p w:rsidR="005728BA" w:rsidRPr="005728BA" w:rsidRDefault="005728BA" w:rsidP="005728BA">
            <w:pPr>
              <w:rPr>
                <w:szCs w:val="24"/>
                <w:lang w:val="de-DE"/>
              </w:rPr>
            </w:pPr>
            <w:r w:rsidRPr="005728BA">
              <w:rPr>
                <w:lang w:val="de-DE"/>
              </w:rPr>
              <w:t>Beispiel:</w:t>
            </w:r>
          </w:p>
          <w:p w:rsidR="005728BA" w:rsidRPr="005728BA" w:rsidRDefault="005728BA" w:rsidP="005728BA">
            <w:pPr>
              <w:rPr>
                <w:szCs w:val="24"/>
                <w:lang w:val="de-DE"/>
              </w:rPr>
            </w:pPr>
          </w:p>
          <w:p w:rsidR="005728BA" w:rsidRPr="005728BA" w:rsidRDefault="005728BA" w:rsidP="005728BA">
            <w:pPr>
              <w:autoSpaceDE w:val="0"/>
              <w:autoSpaceDN w:val="0"/>
              <w:adjustRightInd w:val="0"/>
              <w:rPr>
                <w:color w:val="000000"/>
                <w:szCs w:val="24"/>
                <w:lang w:val="de-DE"/>
              </w:rPr>
            </w:pPr>
            <w:r w:rsidRPr="005728BA">
              <w:rPr>
                <w:color w:val="000000"/>
                <w:lang w:val="de-DE"/>
              </w:rPr>
              <w:t>In einer Probengröße von 100 Pflanzen beträgt die akzeptierte Anzahl an Abweicher</w:t>
            </w:r>
            <w:r w:rsidR="00235FD7">
              <w:rPr>
                <w:color w:val="000000"/>
                <w:lang w:val="de-DE"/>
              </w:rPr>
              <w:t>n</w:t>
            </w:r>
            <w:r w:rsidRPr="005728BA">
              <w:rPr>
                <w:color w:val="000000"/>
                <w:lang w:val="de-DE"/>
              </w:rPr>
              <w:t xml:space="preserve"> 3 (ausgehend von einem Populationsstandard von 1% und einer Akzeptanzwahrscheinlichkeit von mindestens 95%).</w:t>
            </w:r>
          </w:p>
          <w:p w:rsidR="005728BA" w:rsidRPr="005728BA" w:rsidRDefault="005728BA" w:rsidP="005728BA">
            <w:pPr>
              <w:autoSpaceDE w:val="0"/>
              <w:autoSpaceDN w:val="0"/>
              <w:adjustRightInd w:val="0"/>
              <w:ind w:firstLine="567"/>
              <w:rPr>
                <w:color w:val="000000"/>
                <w:szCs w:val="24"/>
                <w:lang w:val="de-DE"/>
              </w:rPr>
            </w:pPr>
          </w:p>
          <w:p w:rsidR="005728BA" w:rsidRPr="005728BA" w:rsidRDefault="005728BA" w:rsidP="005728BA">
            <w:pPr>
              <w:autoSpaceDE w:val="0"/>
              <w:autoSpaceDN w:val="0"/>
              <w:adjustRightInd w:val="0"/>
              <w:rPr>
                <w:color w:val="000000"/>
                <w:szCs w:val="24"/>
                <w:lang w:val="de-DE"/>
              </w:rPr>
            </w:pPr>
            <w:r w:rsidRPr="005728BA">
              <w:rPr>
                <w:color w:val="000000"/>
                <w:lang w:val="de-DE"/>
              </w:rPr>
              <w:t>In einer Unterprobe von 20 Pflanzen, die in Zusammenhang mit der oben genannten Probengröße von 100 Pflanzen verwendet wird</w:t>
            </w:r>
            <w:r w:rsidR="004006EE">
              <w:rPr>
                <w:color w:val="000000"/>
                <w:lang w:val="de-DE"/>
              </w:rPr>
              <w:t>, gilt folgendes</w:t>
            </w:r>
            <w:r w:rsidRPr="005728BA">
              <w:rPr>
                <w:color w:val="000000"/>
                <w:lang w:val="de-DE"/>
              </w:rPr>
              <w:t>:</w:t>
            </w:r>
          </w:p>
          <w:p w:rsidR="005728BA" w:rsidRPr="005728BA" w:rsidRDefault="005728BA" w:rsidP="005728BA">
            <w:pPr>
              <w:autoSpaceDE w:val="0"/>
              <w:autoSpaceDN w:val="0"/>
              <w:adjustRightInd w:val="0"/>
              <w:rPr>
                <w:color w:val="000000"/>
                <w:szCs w:val="24"/>
                <w:lang w:val="de-DE"/>
              </w:rPr>
            </w:pPr>
          </w:p>
          <w:p w:rsidR="005728BA" w:rsidRPr="005728BA" w:rsidRDefault="005728BA" w:rsidP="005728BA">
            <w:pPr>
              <w:ind w:left="567"/>
              <w:rPr>
                <w:lang w:val="de-DE"/>
              </w:rPr>
            </w:pPr>
            <w:r w:rsidRPr="005728BA">
              <w:rPr>
                <w:lang w:val="de-DE"/>
              </w:rPr>
              <w:t>Eine Sorte wird als homogen betrachtet, wenn die Unterprobe keine Abweicher aufweist.</w:t>
            </w:r>
          </w:p>
          <w:p w:rsidR="005728BA" w:rsidRPr="005728BA" w:rsidRDefault="005728BA" w:rsidP="005728BA">
            <w:pPr>
              <w:rPr>
                <w:lang w:val="de-DE"/>
              </w:rPr>
            </w:pPr>
          </w:p>
          <w:p w:rsidR="005728BA" w:rsidRPr="005728BA" w:rsidRDefault="005728BA" w:rsidP="005728BA">
            <w:pPr>
              <w:ind w:left="567"/>
              <w:rPr>
                <w:lang w:val="de-DE"/>
              </w:rPr>
            </w:pPr>
            <w:r w:rsidRPr="005728BA">
              <w:rPr>
                <w:lang w:val="de-DE"/>
              </w:rPr>
              <w:t>Eine Sorte wird als nicht homogen betrachtet, wenn die Unterprobe mehr als 3 Abweicher aufweist.</w:t>
            </w:r>
          </w:p>
          <w:p w:rsidR="005728BA" w:rsidRPr="005728BA" w:rsidRDefault="005728BA" w:rsidP="005728BA">
            <w:pPr>
              <w:rPr>
                <w:lang w:val="de-DE"/>
              </w:rPr>
            </w:pPr>
          </w:p>
          <w:p w:rsidR="005728BA" w:rsidRPr="005728BA" w:rsidRDefault="004006EE" w:rsidP="005728BA">
            <w:pPr>
              <w:ind w:left="567"/>
              <w:rPr>
                <w:lang w:val="de-DE"/>
              </w:rPr>
            </w:pPr>
            <w:r>
              <w:rPr>
                <w:lang w:val="de-DE"/>
              </w:rPr>
              <w:t>Ist die Anzahl der Abweicher</w:t>
            </w:r>
            <w:r w:rsidR="005728BA" w:rsidRPr="005728BA">
              <w:rPr>
                <w:lang w:val="de-DE"/>
              </w:rPr>
              <w:t xml:space="preserve"> 1 bis 3, so wird die gesamte Probe von 100 Pflanzen geprüft.</w:t>
            </w:r>
          </w:p>
          <w:p w:rsidR="005728BA" w:rsidRPr="005728BA" w:rsidRDefault="005728BA" w:rsidP="005728BA">
            <w:pPr>
              <w:ind w:left="567"/>
              <w:rPr>
                <w:lang w:val="de-DE"/>
              </w:rPr>
            </w:pPr>
          </w:p>
          <w:p w:rsidR="005728BA" w:rsidRPr="005728BA" w:rsidRDefault="005728BA" w:rsidP="005728BA">
            <w:pPr>
              <w:ind w:left="567"/>
              <w:rPr>
                <w:lang w:val="de-DE"/>
              </w:rPr>
            </w:pPr>
            <w:r w:rsidRPr="005728BA">
              <w:rPr>
                <w:lang w:val="de-DE"/>
              </w:rPr>
              <w:t>Die Sorte wird als nicht homogen betrachtet, wenn die Anzahl der Abweicher in der Probe mit 100 Pflanzen größer als 3 ist.</w:t>
            </w:r>
          </w:p>
          <w:p w:rsidR="005728BA" w:rsidRPr="005728BA" w:rsidRDefault="005728BA" w:rsidP="005728BA">
            <w:pPr>
              <w:ind w:left="34" w:right="600"/>
              <w:rPr>
                <w:lang w:val="de-DE"/>
              </w:rPr>
            </w:pPr>
          </w:p>
          <w:p w:rsidR="00BF4661" w:rsidRPr="005728BA" w:rsidRDefault="005728BA" w:rsidP="00720F43">
            <w:pPr>
              <w:ind w:left="34" w:right="600"/>
              <w:rPr>
                <w:szCs w:val="24"/>
                <w:lang w:val="de-DE"/>
              </w:rPr>
            </w:pPr>
            <w:r w:rsidRPr="005728BA">
              <w:rPr>
                <w:lang w:val="de-DE"/>
              </w:rPr>
              <w:t>Anlage V von Dokument TWC/32/9 enthält eine vollständige Beschreibung der statistischen Grundlage für diesen Ansatz.</w:t>
            </w:r>
          </w:p>
          <w:p w:rsidR="00BF4661" w:rsidRPr="005728BA" w:rsidRDefault="00BF4661" w:rsidP="00720F43">
            <w:pPr>
              <w:ind w:left="34" w:right="600"/>
              <w:rPr>
                <w:szCs w:val="24"/>
                <w:lang w:val="de-DE"/>
              </w:rPr>
            </w:pPr>
          </w:p>
        </w:tc>
      </w:tr>
    </w:tbl>
    <w:p w:rsidR="00BF4661" w:rsidRDefault="00BF4661" w:rsidP="00BF4661">
      <w:pPr>
        <w:rPr>
          <w:lang w:val="de-DE"/>
        </w:rPr>
      </w:pPr>
    </w:p>
    <w:p w:rsidR="00243ACF" w:rsidRDefault="00243ACF" w:rsidP="00BF4661">
      <w:pPr>
        <w:rPr>
          <w:lang w:val="de-DE"/>
        </w:rPr>
      </w:pPr>
    </w:p>
    <w:p w:rsidR="00243ACF" w:rsidRDefault="00243ACF" w:rsidP="00BF4661">
      <w:pPr>
        <w:rPr>
          <w:lang w:val="de-DE"/>
        </w:rPr>
      </w:pPr>
    </w:p>
    <w:p w:rsidR="00243ACF" w:rsidRPr="005728BA" w:rsidRDefault="00243ACF" w:rsidP="00243ACF">
      <w:pPr>
        <w:jc w:val="right"/>
        <w:rPr>
          <w:lang w:val="de-DE"/>
        </w:rPr>
      </w:pPr>
      <w:r>
        <w:rPr>
          <w:lang w:val="de-DE"/>
        </w:rPr>
        <w:t>[Anlage III folgt]</w:t>
      </w:r>
    </w:p>
    <w:p w:rsidR="00050E16" w:rsidRPr="005728BA" w:rsidRDefault="00050E16" w:rsidP="004B1215">
      <w:pPr>
        <w:rPr>
          <w:lang w:val="de-DE"/>
        </w:rPr>
      </w:pPr>
    </w:p>
    <w:p w:rsidR="00C47E8F" w:rsidRPr="005728BA" w:rsidRDefault="00C47E8F" w:rsidP="00050E16">
      <w:pPr>
        <w:rPr>
          <w:lang w:val="de-DE"/>
        </w:rPr>
        <w:sectPr w:rsidR="00C47E8F" w:rsidRPr="005728BA" w:rsidSect="00906DDC">
          <w:headerReference w:type="default" r:id="rId13"/>
          <w:headerReference w:type="first" r:id="rId14"/>
          <w:pgSz w:w="11907" w:h="16840" w:code="9"/>
          <w:pgMar w:top="510" w:right="1134" w:bottom="1134" w:left="1134" w:header="510" w:footer="680" w:gutter="0"/>
          <w:cols w:space="720"/>
          <w:titlePg/>
        </w:sectPr>
      </w:pPr>
    </w:p>
    <w:p w:rsidR="00050E16" w:rsidRPr="005728BA" w:rsidRDefault="00050E16" w:rsidP="00050E16">
      <w:pPr>
        <w:rPr>
          <w:lang w:val="de-DE"/>
        </w:rPr>
      </w:pPr>
    </w:p>
    <w:p w:rsidR="00666F98" w:rsidRPr="005728BA" w:rsidRDefault="007C2800" w:rsidP="00666F98">
      <w:pPr>
        <w:jc w:val="center"/>
        <w:rPr>
          <w:rFonts w:eastAsia="MS Mincho"/>
          <w:caps/>
          <w:color w:val="000000"/>
          <w:szCs w:val="24"/>
          <w:lang w:val="de-DE" w:eastAsia="ja-JP"/>
        </w:rPr>
      </w:pPr>
      <w:r w:rsidRPr="005728BA">
        <w:rPr>
          <w:rFonts w:eastAsia="MS Mincho"/>
          <w:caps/>
          <w:color w:val="000000"/>
          <w:szCs w:val="24"/>
          <w:lang w:val="de-DE" w:eastAsia="ja-JP"/>
        </w:rPr>
        <w:t>Prüfung der Homogenität anhand von Abweichern aufgrund von mehr als einer Wachstumsperiode</w:t>
      </w:r>
      <w:r w:rsidR="008C0A0C" w:rsidRPr="005728BA">
        <w:rPr>
          <w:rFonts w:eastAsia="MS Mincho"/>
          <w:caps/>
          <w:color w:val="000000"/>
          <w:szCs w:val="24"/>
          <w:lang w:val="de-DE" w:eastAsia="ja-JP"/>
        </w:rPr>
        <w:t xml:space="preserve">: </w:t>
      </w:r>
      <w:r w:rsidRPr="005728BA">
        <w:rPr>
          <w:rFonts w:eastAsia="MS Mincho"/>
          <w:caps/>
          <w:color w:val="000000"/>
          <w:szCs w:val="24"/>
          <w:lang w:val="de-DE" w:eastAsia="ja-JP"/>
        </w:rPr>
        <w:t>Risiken, Vorteile und Kosten</w:t>
      </w:r>
    </w:p>
    <w:p w:rsidR="00666F98" w:rsidRPr="005728BA" w:rsidRDefault="00666F98" w:rsidP="00666F98">
      <w:pPr>
        <w:jc w:val="center"/>
        <w:rPr>
          <w:rFonts w:eastAsia="MS Mincho"/>
          <w:caps/>
          <w:color w:val="000000"/>
          <w:szCs w:val="24"/>
          <w:lang w:val="de-DE" w:eastAsia="ja-JP"/>
        </w:rPr>
      </w:pPr>
    </w:p>
    <w:p w:rsidR="000A63AB" w:rsidRDefault="007C2800" w:rsidP="00666F98">
      <w:pPr>
        <w:jc w:val="center"/>
        <w:rPr>
          <w:rFonts w:eastAsia="MS Mincho"/>
          <w:color w:val="000000"/>
          <w:szCs w:val="24"/>
          <w:lang w:val="de-DE" w:eastAsia="ja-JP"/>
        </w:rPr>
      </w:pPr>
      <w:r w:rsidRPr="005728BA">
        <w:rPr>
          <w:rFonts w:eastAsia="MS Mincho"/>
          <w:color w:val="000000"/>
          <w:szCs w:val="24"/>
          <w:lang w:val="de-DE" w:eastAsia="ja-JP"/>
        </w:rPr>
        <w:t>Referat von den Sachverständigen aus Deutschland und dem Vereinigten Königreich</w:t>
      </w:r>
      <w:r w:rsidR="008C0A0C" w:rsidRPr="005728BA">
        <w:rPr>
          <w:rFonts w:eastAsia="MS Mincho"/>
          <w:color w:val="000000"/>
          <w:szCs w:val="24"/>
          <w:lang w:val="de-DE" w:eastAsia="ja-JP"/>
        </w:rPr>
        <w:t xml:space="preserve"> </w:t>
      </w:r>
      <w:r w:rsidRPr="005728BA">
        <w:rPr>
          <w:rFonts w:eastAsia="MS Mincho"/>
          <w:color w:val="000000"/>
          <w:szCs w:val="24"/>
          <w:lang w:val="de-DE" w:eastAsia="ja-JP"/>
        </w:rPr>
        <w:t>auf der dreiunddreißigsten Tagung der</w:t>
      </w:r>
      <w:r w:rsidR="005728BA" w:rsidRPr="005728BA">
        <w:rPr>
          <w:rFonts w:eastAsia="MS Mincho"/>
          <w:color w:val="000000"/>
          <w:szCs w:val="24"/>
          <w:lang w:val="de-DE" w:eastAsia="ja-JP"/>
        </w:rPr>
        <w:t xml:space="preserve"> </w:t>
      </w:r>
      <w:r w:rsidR="008C0A0C" w:rsidRPr="005728BA">
        <w:rPr>
          <w:rFonts w:eastAsia="MS Mincho"/>
          <w:color w:val="000000"/>
          <w:szCs w:val="24"/>
          <w:lang w:val="de-DE" w:eastAsia="ja-JP"/>
        </w:rPr>
        <w:t xml:space="preserve">TWC </w:t>
      </w:r>
      <w:r w:rsidR="00F57940">
        <w:rPr>
          <w:rFonts w:eastAsia="MS Mincho"/>
          <w:color w:val="000000"/>
          <w:szCs w:val="24"/>
          <w:lang w:val="de-DE" w:eastAsia="ja-JP"/>
        </w:rPr>
        <w:t>vom 30. Juni bis zum 3. Juli 2015 in Natal, Brasilien</w:t>
      </w:r>
      <w:r w:rsidR="000A63AB" w:rsidRPr="005728BA">
        <w:rPr>
          <w:rFonts w:eastAsia="MS Mincho"/>
          <w:color w:val="000000"/>
          <w:szCs w:val="24"/>
          <w:lang w:val="de-DE" w:eastAsia="ja-JP"/>
        </w:rPr>
        <w:t xml:space="preserve"> (</w:t>
      </w:r>
      <w:r w:rsidR="00683A78" w:rsidRPr="005728BA">
        <w:rPr>
          <w:rFonts w:eastAsia="MS Mincho"/>
          <w:color w:val="000000"/>
          <w:szCs w:val="24"/>
          <w:lang w:val="de-DE" w:eastAsia="ja-JP"/>
        </w:rPr>
        <w:t>Dokument</w:t>
      </w:r>
      <w:r w:rsidR="00C32DA7">
        <w:rPr>
          <w:rFonts w:eastAsia="MS Mincho"/>
          <w:color w:val="000000"/>
          <w:szCs w:val="24"/>
          <w:lang w:val="de-DE" w:eastAsia="ja-JP"/>
        </w:rPr>
        <w:t> </w:t>
      </w:r>
      <w:r w:rsidR="000A63AB" w:rsidRPr="005728BA">
        <w:rPr>
          <w:rFonts w:eastAsia="MS Mincho"/>
          <w:color w:val="000000"/>
          <w:szCs w:val="24"/>
          <w:lang w:val="de-DE" w:eastAsia="ja-JP"/>
        </w:rPr>
        <w:t>TWC/33/25)</w:t>
      </w:r>
    </w:p>
    <w:p w:rsidR="00C32DA7" w:rsidRPr="005728BA" w:rsidRDefault="00C32DA7" w:rsidP="00666F98">
      <w:pPr>
        <w:jc w:val="center"/>
        <w:rPr>
          <w:rFonts w:eastAsia="MS Mincho"/>
          <w:color w:val="000000"/>
          <w:szCs w:val="24"/>
          <w:lang w:val="de-DE" w:eastAsia="ja-JP"/>
        </w:rPr>
      </w:pPr>
    </w:p>
    <w:p w:rsidR="00C824BA" w:rsidRPr="005728BA" w:rsidRDefault="00C824BA" w:rsidP="00666F98">
      <w:pPr>
        <w:jc w:val="center"/>
        <w:rPr>
          <w:lang w:val="de-DE"/>
        </w:rPr>
      </w:pPr>
      <w:r w:rsidRPr="005728BA">
        <w:rPr>
          <w:rFonts w:eastAsia="MS Mincho"/>
          <w:color w:val="000000"/>
          <w:szCs w:val="24"/>
          <w:lang w:val="de-DE" w:eastAsia="ja-JP"/>
        </w:rPr>
        <w:t>(</w:t>
      </w:r>
      <w:r w:rsidR="00170C91">
        <w:rPr>
          <w:rFonts w:eastAsia="MS Mincho"/>
          <w:color w:val="000000"/>
          <w:szCs w:val="24"/>
          <w:lang w:val="de-DE" w:eastAsia="ja-JP"/>
        </w:rPr>
        <w:t>n</w:t>
      </w:r>
      <w:r w:rsidR="007C2800" w:rsidRPr="005728BA">
        <w:rPr>
          <w:rFonts w:eastAsia="MS Mincho"/>
          <w:color w:val="000000"/>
          <w:szCs w:val="24"/>
          <w:lang w:val="de-DE" w:eastAsia="ja-JP"/>
        </w:rPr>
        <w:t>ur auf Englisch</w:t>
      </w:r>
      <w:r w:rsidRPr="005728BA">
        <w:rPr>
          <w:rFonts w:eastAsia="MS Mincho"/>
          <w:color w:val="000000"/>
          <w:szCs w:val="24"/>
          <w:lang w:val="de-DE" w:eastAsia="ja-JP"/>
        </w:rPr>
        <w:t>)</w:t>
      </w:r>
    </w:p>
    <w:p w:rsidR="00C32DA7" w:rsidRDefault="00C32DA7" w:rsidP="00C32DA7">
      <w:bookmarkStart w:id="17" w:name="_GoBack"/>
      <w:bookmarkEnd w:id="17"/>
    </w:p>
    <w:p w:rsidR="00C32DA7" w:rsidRPr="0033778D" w:rsidRDefault="00C32DA7" w:rsidP="00C32DA7"/>
    <w:p w:rsidR="00C32DA7" w:rsidRDefault="00C32DA7" w:rsidP="00C32DA7">
      <w:pPr>
        <w:jc w:val="center"/>
      </w:pPr>
      <w:r w:rsidRPr="000302C1">
        <w:rPr>
          <w:noProof/>
        </w:rPr>
        <w:drawing>
          <wp:inline distT="0" distB="0" distL="0" distR="0" wp14:anchorId="224C1E33" wp14:editId="5D2F444C">
            <wp:extent cx="4572638" cy="3429479"/>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a:ln>
                      <a:solidFill>
                        <a:schemeClr val="tx1"/>
                      </a:solidFill>
                    </a:ln>
                  </pic:spPr>
                </pic:pic>
              </a:graphicData>
            </a:graphic>
          </wp:inline>
        </w:drawing>
      </w:r>
    </w:p>
    <w:p w:rsidR="00C32DA7"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795BF32B" wp14:editId="578CB779">
            <wp:extent cx="4572638" cy="3429479"/>
            <wp:effectExtent l="19050" t="19050" r="1841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4C678ABA" wp14:editId="3B41DF62">
            <wp:extent cx="4572638" cy="3429479"/>
            <wp:effectExtent l="19050" t="19050" r="1841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tx1"/>
                      </a:solidFill>
                    </a:ln>
                  </pic:spPr>
                </pic:pic>
              </a:graphicData>
            </a:graphic>
          </wp:inline>
        </w:drawing>
      </w:r>
    </w:p>
    <w:p w:rsidR="00C32DA7"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692375F6" wp14:editId="10714386">
            <wp:extent cx="4572638" cy="3429479"/>
            <wp:effectExtent l="19050" t="19050" r="1841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p>
    <w:p w:rsidR="00C32DA7" w:rsidRDefault="00C32DA7" w:rsidP="00C32DA7">
      <w:pPr>
        <w:jc w:val="center"/>
      </w:pPr>
    </w:p>
    <w:p w:rsidR="00C32DA7" w:rsidRDefault="00C32DA7" w:rsidP="00C32DA7">
      <w:pPr>
        <w:jc w:val="left"/>
      </w:pPr>
      <w:r>
        <w:br w:type="page"/>
      </w:r>
    </w:p>
    <w:p w:rsidR="00C32DA7" w:rsidRDefault="00C32DA7" w:rsidP="00C32DA7">
      <w:pPr>
        <w:jc w:val="center"/>
      </w:pPr>
    </w:p>
    <w:p w:rsidR="00C32DA7" w:rsidRDefault="00C32DA7" w:rsidP="00C32DA7">
      <w:pPr>
        <w:jc w:val="center"/>
      </w:pPr>
    </w:p>
    <w:p w:rsidR="00C32DA7" w:rsidRPr="000302C1" w:rsidRDefault="00C32DA7" w:rsidP="00C32DA7">
      <w:pPr>
        <w:jc w:val="center"/>
      </w:pPr>
      <w:r w:rsidRPr="000302C1">
        <w:rPr>
          <w:noProof/>
        </w:rPr>
        <w:drawing>
          <wp:inline distT="0" distB="0" distL="0" distR="0" wp14:anchorId="64382765" wp14:editId="594C44FA">
            <wp:extent cx="4572638" cy="3429479"/>
            <wp:effectExtent l="19050" t="19050" r="1841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5DFF0B40" wp14:editId="1C5F8DB0">
            <wp:extent cx="4572638" cy="3429479"/>
            <wp:effectExtent l="19050" t="19050" r="1841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p>
    <w:p w:rsidR="00C32DA7" w:rsidRDefault="00C32DA7" w:rsidP="00C32DA7">
      <w:pPr>
        <w:jc w:val="left"/>
      </w:pPr>
      <w:r>
        <w:br w:type="page"/>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18CB60F2" wp14:editId="4D52ECBE">
            <wp:extent cx="4572638" cy="3429479"/>
            <wp:effectExtent l="19050" t="19050" r="1841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01512425" wp14:editId="20E4613B">
            <wp:extent cx="4572638" cy="3429479"/>
            <wp:effectExtent l="19050" t="19050" r="1841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p>
    <w:p w:rsidR="00C32DA7" w:rsidRDefault="00C32DA7" w:rsidP="00C32DA7">
      <w:pPr>
        <w:jc w:val="left"/>
      </w:pPr>
      <w:r>
        <w:br w:type="page"/>
      </w:r>
    </w:p>
    <w:p w:rsidR="00C32DA7"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7472DA57" wp14:editId="752F3300">
            <wp:extent cx="5391302" cy="4043477"/>
            <wp:effectExtent l="19050" t="19050" r="19050" b="14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392054" cy="4044041"/>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2EC4851B" wp14:editId="44332B42">
            <wp:extent cx="5391302" cy="4043477"/>
            <wp:effectExtent l="19050" t="19050" r="19050"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392054" cy="4044041"/>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Default="00C32DA7" w:rsidP="00C32DA7">
      <w:pPr>
        <w:jc w:val="left"/>
      </w:pPr>
      <w:r>
        <w:br w:type="page"/>
      </w:r>
    </w:p>
    <w:p w:rsidR="00C32DA7"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7A0F63A1" wp14:editId="3B6E23D4">
            <wp:extent cx="5398617" cy="4048963"/>
            <wp:effectExtent l="19050" t="19050" r="12065" b="279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399370" cy="4049528"/>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0B615E1A" wp14:editId="3163B601">
            <wp:extent cx="4572638" cy="3429479"/>
            <wp:effectExtent l="19050" t="19050" r="18415"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Default="00C32DA7" w:rsidP="00C32DA7">
      <w:pPr>
        <w:jc w:val="left"/>
      </w:pPr>
      <w:r>
        <w:br w:type="page"/>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594A24CB" wp14:editId="0C72772F">
            <wp:extent cx="4572638" cy="3429479"/>
            <wp:effectExtent l="19050" t="19050" r="1841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72638" cy="3429479"/>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1E530E15" wp14:editId="73500475">
            <wp:extent cx="4572638" cy="3429479"/>
            <wp:effectExtent l="19050" t="19050" r="18415"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572638" cy="3429479"/>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Default="00C32DA7" w:rsidP="00C32DA7">
      <w:pPr>
        <w:jc w:val="left"/>
      </w:pPr>
      <w:r>
        <w:br w:type="page"/>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5FC7EB9F" wp14:editId="13A71AFD">
            <wp:extent cx="5405932" cy="4054449"/>
            <wp:effectExtent l="19050" t="19050" r="23495" b="228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06686" cy="4055015"/>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0CC328CA" wp14:editId="36008ECC">
            <wp:extent cx="5405932" cy="4054449"/>
            <wp:effectExtent l="19050" t="19050" r="23495" b="228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406686" cy="4055015"/>
                    </a:xfrm>
                    <a:prstGeom prst="rect">
                      <a:avLst/>
                    </a:prstGeom>
                    <a:ln>
                      <a:solidFill>
                        <a:schemeClr val="tx1"/>
                      </a:solidFill>
                    </a:ln>
                  </pic:spPr>
                </pic:pic>
              </a:graphicData>
            </a:graphic>
          </wp:inline>
        </w:drawing>
      </w:r>
    </w:p>
    <w:p w:rsidR="00C32DA7" w:rsidRPr="000302C1" w:rsidRDefault="00C32DA7" w:rsidP="00C32DA7">
      <w:pPr>
        <w:jc w:val="center"/>
      </w:pPr>
    </w:p>
    <w:p w:rsidR="00C32DA7" w:rsidRDefault="00C32DA7" w:rsidP="00C32DA7">
      <w:pPr>
        <w:jc w:val="left"/>
      </w:pPr>
      <w:r>
        <w:br w:type="page"/>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4E72F18A" wp14:editId="2AA91546">
            <wp:extent cx="5391302" cy="4043477"/>
            <wp:effectExtent l="19050" t="19050" r="19050" b="146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392054" cy="4044041"/>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33A1E59D" wp14:editId="64F280F0">
            <wp:extent cx="5391302" cy="4043477"/>
            <wp:effectExtent l="19050" t="19050" r="19050" b="146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392054" cy="4044041"/>
                    </a:xfrm>
                    <a:prstGeom prst="rect">
                      <a:avLst/>
                    </a:prstGeom>
                    <a:ln>
                      <a:solidFill>
                        <a:schemeClr val="tx1"/>
                      </a:solidFill>
                    </a:ln>
                  </pic:spPr>
                </pic:pic>
              </a:graphicData>
            </a:graphic>
          </wp:inline>
        </w:drawing>
      </w:r>
    </w:p>
    <w:p w:rsidR="00C32DA7" w:rsidRPr="000302C1" w:rsidRDefault="00C32DA7" w:rsidP="00C32DA7">
      <w:pPr>
        <w:jc w:val="center"/>
      </w:pPr>
    </w:p>
    <w:p w:rsidR="00C32DA7" w:rsidRDefault="00C32DA7" w:rsidP="00C32DA7">
      <w:pPr>
        <w:jc w:val="left"/>
      </w:pPr>
      <w:r>
        <w:br w:type="page"/>
      </w:r>
    </w:p>
    <w:p w:rsidR="00C32DA7"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46496D46" wp14:editId="09F1FA76">
            <wp:extent cx="5398617" cy="4048963"/>
            <wp:effectExtent l="19050" t="19050" r="12065" b="279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399370" cy="4049528"/>
                    </a:xfrm>
                    <a:prstGeom prst="rect">
                      <a:avLst/>
                    </a:prstGeom>
                    <a:ln>
                      <a:solidFill>
                        <a:schemeClr val="tx1"/>
                      </a:solidFill>
                    </a:ln>
                  </pic:spPr>
                </pic:pic>
              </a:graphicData>
            </a:graphic>
          </wp:inline>
        </w:drawing>
      </w:r>
    </w:p>
    <w:p w:rsidR="00C32DA7" w:rsidRPr="000302C1" w:rsidRDefault="00C32DA7" w:rsidP="00C32DA7">
      <w:pPr>
        <w:jc w:val="center"/>
      </w:pPr>
    </w:p>
    <w:p w:rsidR="00C32DA7" w:rsidRPr="000302C1" w:rsidRDefault="00C32DA7" w:rsidP="00C32DA7">
      <w:pPr>
        <w:jc w:val="center"/>
      </w:pPr>
    </w:p>
    <w:p w:rsidR="00C32DA7" w:rsidRPr="000302C1" w:rsidRDefault="00C32DA7" w:rsidP="00C32DA7">
      <w:pPr>
        <w:jc w:val="center"/>
      </w:pPr>
      <w:r w:rsidRPr="000302C1">
        <w:rPr>
          <w:noProof/>
        </w:rPr>
        <w:drawing>
          <wp:inline distT="0" distB="0" distL="0" distR="0" wp14:anchorId="23224727" wp14:editId="7510652D">
            <wp:extent cx="5442508" cy="4081881"/>
            <wp:effectExtent l="19050" t="19050" r="25400" b="139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5443267" cy="4082451"/>
                    </a:xfrm>
                    <a:prstGeom prst="rect">
                      <a:avLst/>
                    </a:prstGeom>
                    <a:ln>
                      <a:solidFill>
                        <a:schemeClr val="tx1"/>
                      </a:solidFill>
                    </a:ln>
                  </pic:spPr>
                </pic:pic>
              </a:graphicData>
            </a:graphic>
          </wp:inline>
        </w:drawing>
      </w:r>
    </w:p>
    <w:p w:rsidR="00C32DA7" w:rsidRPr="000302C1" w:rsidRDefault="00C32DA7" w:rsidP="00C32DA7">
      <w:pPr>
        <w:jc w:val="center"/>
      </w:pPr>
    </w:p>
    <w:p w:rsidR="00050E16" w:rsidRPr="005728BA" w:rsidRDefault="00050E16" w:rsidP="008E1C47">
      <w:pPr>
        <w:jc w:val="right"/>
        <w:rPr>
          <w:lang w:val="de-DE"/>
        </w:rPr>
      </w:pPr>
      <w:r w:rsidRPr="005728BA">
        <w:rPr>
          <w:lang w:val="de-DE"/>
        </w:rPr>
        <w:t xml:space="preserve"> [</w:t>
      </w:r>
      <w:r w:rsidR="00D64CD2" w:rsidRPr="005728BA">
        <w:rPr>
          <w:lang w:val="de-DE"/>
        </w:rPr>
        <w:t>Ende</w:t>
      </w:r>
      <w:r w:rsidR="00C32DA7">
        <w:rPr>
          <w:lang w:val="de-DE"/>
        </w:rPr>
        <w:t xml:space="preserve"> der Anlage III und</w:t>
      </w:r>
      <w:r w:rsidR="00D64CD2" w:rsidRPr="005728BA">
        <w:rPr>
          <w:lang w:val="de-DE"/>
        </w:rPr>
        <w:t xml:space="preserve"> des Dokuments</w:t>
      </w:r>
      <w:r w:rsidRPr="005728BA">
        <w:rPr>
          <w:lang w:val="de-DE"/>
        </w:rPr>
        <w:t>]</w:t>
      </w:r>
    </w:p>
    <w:sectPr w:rsidR="00050E16" w:rsidRPr="005728BA" w:rsidSect="00526139">
      <w:headerReference w:type="default" r:id="rId35"/>
      <w:headerReference w:type="first" r:id="rId3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E5D" w:rsidRDefault="00E24E5D" w:rsidP="006655D3">
      <w:r>
        <w:separator/>
      </w:r>
    </w:p>
    <w:p w:rsidR="00E24E5D" w:rsidRDefault="00E24E5D" w:rsidP="006655D3"/>
    <w:p w:rsidR="00E24E5D" w:rsidRDefault="00E24E5D" w:rsidP="006655D3"/>
  </w:endnote>
  <w:endnote w:type="continuationSeparator" w:id="0">
    <w:p w:rsidR="00E24E5D" w:rsidRDefault="00E24E5D" w:rsidP="006655D3">
      <w:r>
        <w:separator/>
      </w:r>
    </w:p>
    <w:p w:rsidR="00E24E5D" w:rsidRPr="00BF4661" w:rsidRDefault="00E24E5D">
      <w:pPr>
        <w:pStyle w:val="Footer"/>
        <w:spacing w:after="60"/>
        <w:rPr>
          <w:sz w:val="18"/>
          <w:lang w:val="fr-FR"/>
        </w:rPr>
      </w:pPr>
      <w:r w:rsidRPr="00BF4661">
        <w:rPr>
          <w:sz w:val="18"/>
          <w:lang w:val="fr-FR"/>
        </w:rPr>
        <w:t>[Suite de la note de la page précédente]</w:t>
      </w:r>
    </w:p>
    <w:p w:rsidR="00E24E5D" w:rsidRPr="00BF4661" w:rsidRDefault="00E24E5D" w:rsidP="006655D3">
      <w:pPr>
        <w:rPr>
          <w:lang w:val="fr-FR"/>
        </w:rPr>
      </w:pPr>
    </w:p>
    <w:p w:rsidR="00E24E5D" w:rsidRPr="00BF4661" w:rsidRDefault="00E24E5D" w:rsidP="006655D3">
      <w:pPr>
        <w:rPr>
          <w:lang w:val="fr-FR"/>
        </w:rPr>
      </w:pPr>
    </w:p>
  </w:endnote>
  <w:endnote w:type="continuationNotice" w:id="1">
    <w:p w:rsidR="00E24E5D" w:rsidRPr="00BF4661" w:rsidRDefault="00E24E5D" w:rsidP="006655D3">
      <w:pPr>
        <w:rPr>
          <w:lang w:val="fr-FR"/>
        </w:rPr>
      </w:pPr>
      <w:r w:rsidRPr="00BF4661">
        <w:rPr>
          <w:lang w:val="fr-FR"/>
        </w:rPr>
        <w:t>[Suite de la note page suivante]</w:t>
      </w:r>
    </w:p>
    <w:p w:rsidR="00E24E5D" w:rsidRPr="00BF4661" w:rsidRDefault="00E24E5D" w:rsidP="006655D3">
      <w:pPr>
        <w:rPr>
          <w:lang w:val="fr-FR"/>
        </w:rPr>
      </w:pPr>
    </w:p>
    <w:p w:rsidR="00E24E5D" w:rsidRPr="00BF4661" w:rsidRDefault="00E24E5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E5D" w:rsidRDefault="00E24E5D" w:rsidP="006655D3">
      <w:r>
        <w:separator/>
      </w:r>
    </w:p>
  </w:footnote>
  <w:footnote w:type="continuationSeparator" w:id="0">
    <w:p w:rsidR="00E24E5D" w:rsidRDefault="00E24E5D" w:rsidP="006655D3">
      <w:r>
        <w:separator/>
      </w:r>
    </w:p>
  </w:footnote>
  <w:footnote w:type="continuationNotice" w:id="1">
    <w:p w:rsidR="00E24E5D" w:rsidRPr="00AB530F" w:rsidRDefault="00E24E5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A01" w:rsidRDefault="00D12A01" w:rsidP="00EB048E">
    <w:pPr>
      <w:pStyle w:val="Header"/>
    </w:pPr>
    <w:r>
      <w:t>TC/52/20</w:t>
    </w:r>
  </w:p>
  <w:p w:rsidR="00D12A01" w:rsidRPr="00C5280D" w:rsidRDefault="00D12A01" w:rsidP="00EB048E">
    <w:pPr>
      <w:pStyle w:val="Header"/>
    </w:pPr>
    <w:proofErr w:type="spellStart"/>
    <w:r>
      <w:t>Seite</w:t>
    </w:r>
    <w:proofErr w:type="spell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F4357">
      <w:rPr>
        <w:rStyle w:val="PageNumber"/>
        <w:noProof/>
      </w:rPr>
      <w:t>6</w:t>
    </w:r>
    <w:r w:rsidRPr="00C5280D">
      <w:rPr>
        <w:rStyle w:val="PageNumber"/>
      </w:rPr>
      <w:fldChar w:fldCharType="end"/>
    </w:r>
  </w:p>
  <w:p w:rsidR="00D12A01" w:rsidRPr="00C5280D" w:rsidRDefault="00D12A01" w:rsidP="00720F43">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3A" w:rsidRDefault="00B6543A" w:rsidP="00EB048E">
    <w:pPr>
      <w:pStyle w:val="Header"/>
    </w:pPr>
    <w:r>
      <w:t>TC/52/20</w:t>
    </w:r>
  </w:p>
  <w:p w:rsidR="00B6543A" w:rsidRPr="00C5280D" w:rsidRDefault="00B6543A" w:rsidP="00EB048E">
    <w:pPr>
      <w:pStyle w:val="Header"/>
    </w:pPr>
    <w:proofErr w:type="spellStart"/>
    <w:r>
      <w:t>Anlage</w:t>
    </w:r>
    <w:proofErr w:type="spellEnd"/>
    <w:r>
      <w:t xml:space="preserve"> I, </w:t>
    </w:r>
    <w:proofErr w:type="spellStart"/>
    <w:r>
      <w:t>Seite</w:t>
    </w:r>
    <w:proofErr w:type="spell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F4357">
      <w:rPr>
        <w:rStyle w:val="PageNumber"/>
        <w:noProof/>
      </w:rPr>
      <w:t>2</w:t>
    </w:r>
    <w:r w:rsidRPr="00C5280D">
      <w:rPr>
        <w:rStyle w:val="PageNumber"/>
      </w:rPr>
      <w:fldChar w:fldCharType="end"/>
    </w:r>
  </w:p>
  <w:p w:rsidR="00B6543A" w:rsidRPr="00C5280D" w:rsidRDefault="00B6543A" w:rsidP="00720F43">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3A" w:rsidRDefault="00B6543A" w:rsidP="00720F43">
    <w:pPr>
      <w:pStyle w:val="Header"/>
    </w:pPr>
    <w:r>
      <w:t>TC/52/20</w:t>
    </w:r>
  </w:p>
  <w:p w:rsidR="00B6543A" w:rsidRDefault="00B6543A" w:rsidP="00720F43">
    <w:pPr>
      <w:pStyle w:val="Header"/>
    </w:pPr>
  </w:p>
  <w:p w:rsidR="00B6543A" w:rsidRPr="005C056F" w:rsidRDefault="00B6543A" w:rsidP="00720F43">
    <w:pPr>
      <w:pStyle w:val="Header"/>
    </w:pPr>
    <w:r>
      <w:t>ANLAGE</w:t>
    </w:r>
    <w:r w:rsidRPr="005C056F">
      <w:t xml:space="preserve"> I</w:t>
    </w:r>
  </w:p>
  <w:p w:rsidR="00B6543A" w:rsidRPr="005C056F" w:rsidRDefault="00B6543A" w:rsidP="00720F43">
    <w:pPr>
      <w:pStyle w:val="Header"/>
      <w:rPr>
        <w:rFonts w:eastAsia="MS Mincho"/>
        <w:lang w:eastAsia="ja-JP"/>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3A" w:rsidRPr="00C65FC1" w:rsidRDefault="00B6543A" w:rsidP="00EB048E">
    <w:pPr>
      <w:pStyle w:val="Header"/>
      <w:rPr>
        <w:rStyle w:val="PageNumber"/>
        <w:lang w:val="de-DE"/>
      </w:rPr>
    </w:pPr>
    <w:r w:rsidRPr="00C65FC1">
      <w:rPr>
        <w:rStyle w:val="PageNumber"/>
        <w:lang w:val="de-DE"/>
      </w:rPr>
      <w:t>TC/52/20</w:t>
    </w:r>
  </w:p>
  <w:p w:rsidR="00B6543A" w:rsidRPr="00C65FC1" w:rsidRDefault="00B6543A" w:rsidP="00EB048E">
    <w:pPr>
      <w:pStyle w:val="Header"/>
      <w:rPr>
        <w:lang w:val="de-DE"/>
      </w:rPr>
    </w:pPr>
    <w:r w:rsidRPr="00C65FC1">
      <w:rPr>
        <w:lang w:val="de-DE"/>
      </w:rPr>
      <w:t>Page?</w:t>
    </w:r>
    <w:r>
      <w:rPr>
        <w:lang w:val="de-DE"/>
      </w:rPr>
      <w:t>?</w:t>
    </w:r>
    <w:r w:rsidRPr="00C65FC1">
      <w:rPr>
        <w:lang w:val="de-DE"/>
      </w:rPr>
      <w:t xml:space="preserve"> </w:t>
    </w:r>
    <w:r w:rsidRPr="00C5280D">
      <w:rPr>
        <w:rStyle w:val="PageNumber"/>
        <w:lang w:val="en-US"/>
      </w:rPr>
      <w:fldChar w:fldCharType="begin"/>
    </w:r>
    <w:r w:rsidRPr="00C65FC1">
      <w:rPr>
        <w:rStyle w:val="PageNumber"/>
        <w:lang w:val="de-DE"/>
      </w:rPr>
      <w:instrText xml:space="preserve"> PAGE </w:instrText>
    </w:r>
    <w:r w:rsidRPr="00C5280D">
      <w:rPr>
        <w:rStyle w:val="PageNumber"/>
        <w:lang w:val="en-US"/>
      </w:rPr>
      <w:fldChar w:fldCharType="separate"/>
    </w:r>
    <w:r w:rsidR="004F4357">
      <w:rPr>
        <w:rStyle w:val="PageNumber"/>
        <w:noProof/>
        <w:lang w:val="de-DE"/>
      </w:rPr>
      <w:t>10</w:t>
    </w:r>
    <w:r w:rsidRPr="00C5280D">
      <w:rPr>
        <w:rStyle w:val="PageNumber"/>
        <w:lang w:val="en-US"/>
      </w:rPr>
      <w:fldChar w:fldCharType="end"/>
    </w:r>
  </w:p>
  <w:p w:rsidR="00B6543A" w:rsidRPr="00C65FC1" w:rsidRDefault="00B6543A" w:rsidP="006655D3">
    <w:pPr>
      <w:rPr>
        <w:lang w:val="de-D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3A" w:rsidRDefault="00B6543A" w:rsidP="00720F43">
    <w:pPr>
      <w:pStyle w:val="Header"/>
    </w:pPr>
    <w:r>
      <w:t>TC/52/20</w:t>
    </w:r>
  </w:p>
  <w:p w:rsidR="00B6543A" w:rsidRDefault="00B6543A" w:rsidP="00720F43">
    <w:pPr>
      <w:pStyle w:val="Header"/>
    </w:pPr>
  </w:p>
  <w:p w:rsidR="00B6543A" w:rsidRPr="005C056F" w:rsidRDefault="00B6543A" w:rsidP="00720F43">
    <w:pPr>
      <w:pStyle w:val="Header"/>
    </w:pPr>
    <w:r>
      <w:t>ANLAGE</w:t>
    </w:r>
    <w:r w:rsidRPr="005C056F">
      <w:t xml:space="preserve"> I</w:t>
    </w:r>
    <w:r>
      <w:t>I</w:t>
    </w:r>
  </w:p>
  <w:p w:rsidR="00B6543A" w:rsidRPr="005C056F" w:rsidRDefault="00B6543A" w:rsidP="00720F43">
    <w:pPr>
      <w:pStyle w:val="Header"/>
      <w:rPr>
        <w:rFonts w:eastAsia="MS Mincho"/>
        <w:lang w:eastAsia="ja-JP"/>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3A" w:rsidRPr="00C5280D" w:rsidRDefault="00B6543A" w:rsidP="00EB048E">
    <w:pPr>
      <w:pStyle w:val="Header"/>
      <w:rPr>
        <w:rStyle w:val="PageNumber"/>
        <w:lang w:val="en-US"/>
      </w:rPr>
    </w:pPr>
    <w:r>
      <w:rPr>
        <w:rStyle w:val="PageNumber"/>
        <w:lang w:val="en-US"/>
      </w:rPr>
      <w:t>TC/52/20</w:t>
    </w:r>
  </w:p>
  <w:p w:rsidR="00B6543A" w:rsidRPr="00C5280D" w:rsidRDefault="00B6543A" w:rsidP="00EB048E">
    <w:pPr>
      <w:pStyle w:val="Header"/>
      <w:rPr>
        <w:lang w:val="en-US"/>
      </w:rPr>
    </w:pPr>
    <w:r>
      <w:rPr>
        <w:lang w:val="en-US"/>
      </w:rPr>
      <w:t xml:space="preserve">Anlage III,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F4357">
      <w:rPr>
        <w:rStyle w:val="PageNumber"/>
        <w:noProof/>
        <w:lang w:val="en-US"/>
      </w:rPr>
      <w:t>10</w:t>
    </w:r>
    <w:r w:rsidRPr="00C5280D">
      <w:rPr>
        <w:rStyle w:val="PageNumber"/>
        <w:lang w:val="en-US"/>
      </w:rPr>
      <w:fldChar w:fldCharType="end"/>
    </w:r>
  </w:p>
  <w:p w:rsidR="00B6543A" w:rsidRPr="00C5280D" w:rsidRDefault="00B6543A"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43A" w:rsidRDefault="00B6543A" w:rsidP="00720F43">
    <w:pPr>
      <w:pStyle w:val="Header"/>
    </w:pPr>
    <w:r>
      <w:t>TC/52/20</w:t>
    </w:r>
  </w:p>
  <w:p w:rsidR="00B6543A" w:rsidRDefault="00B6543A" w:rsidP="00720F43">
    <w:pPr>
      <w:pStyle w:val="Header"/>
    </w:pPr>
  </w:p>
  <w:p w:rsidR="00B6543A" w:rsidRPr="005C056F" w:rsidRDefault="00B6543A" w:rsidP="00720F43">
    <w:pPr>
      <w:pStyle w:val="Header"/>
    </w:pPr>
    <w:r>
      <w:t>ANLAGE</w:t>
    </w:r>
    <w:r w:rsidRPr="005C056F">
      <w:t xml:space="preserve"> I</w:t>
    </w:r>
    <w:r>
      <w:t>II</w:t>
    </w:r>
  </w:p>
  <w:p w:rsidR="00B6543A" w:rsidRPr="005C056F" w:rsidRDefault="00B6543A" w:rsidP="00720F43">
    <w:pPr>
      <w:pStyle w:val="Header"/>
      <w:rPr>
        <w:rFonts w:eastAsia="MS Mincho"/>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3E39"/>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abstractNum w:abstractNumId="1">
    <w:nsid w:val="6A574A55"/>
    <w:multiLevelType w:val="hybridMultilevel"/>
    <w:tmpl w:val="6E46F8A0"/>
    <w:lvl w:ilvl="0" w:tplc="0E4CF37C">
      <w:start w:val="1"/>
      <w:numFmt w:val="lowerLetter"/>
      <w:lvlText w:val="(%1)"/>
      <w:lvlJc w:val="left"/>
      <w:pPr>
        <w:ind w:left="5747" w:hanging="360"/>
      </w:pPr>
      <w:rPr>
        <w:rFonts w:hint="default"/>
      </w:rPr>
    </w:lvl>
    <w:lvl w:ilvl="1" w:tplc="04090019" w:tentative="1">
      <w:start w:val="1"/>
      <w:numFmt w:val="lowerLetter"/>
      <w:lvlText w:val="%2."/>
      <w:lvlJc w:val="left"/>
      <w:pPr>
        <w:ind w:left="6313" w:hanging="360"/>
      </w:pPr>
    </w:lvl>
    <w:lvl w:ilvl="2" w:tplc="0409001B" w:tentative="1">
      <w:start w:val="1"/>
      <w:numFmt w:val="lowerRoman"/>
      <w:lvlText w:val="%3."/>
      <w:lvlJc w:val="right"/>
      <w:pPr>
        <w:ind w:left="7033" w:hanging="180"/>
      </w:pPr>
    </w:lvl>
    <w:lvl w:ilvl="3" w:tplc="0409000F" w:tentative="1">
      <w:start w:val="1"/>
      <w:numFmt w:val="decimal"/>
      <w:lvlText w:val="%4."/>
      <w:lvlJc w:val="left"/>
      <w:pPr>
        <w:ind w:left="7753" w:hanging="360"/>
      </w:pPr>
    </w:lvl>
    <w:lvl w:ilvl="4" w:tplc="04090019" w:tentative="1">
      <w:start w:val="1"/>
      <w:numFmt w:val="lowerLetter"/>
      <w:lvlText w:val="%5."/>
      <w:lvlJc w:val="left"/>
      <w:pPr>
        <w:ind w:left="8473" w:hanging="360"/>
      </w:pPr>
    </w:lvl>
    <w:lvl w:ilvl="5" w:tplc="0409001B" w:tentative="1">
      <w:start w:val="1"/>
      <w:numFmt w:val="lowerRoman"/>
      <w:lvlText w:val="%6."/>
      <w:lvlJc w:val="right"/>
      <w:pPr>
        <w:ind w:left="9193" w:hanging="180"/>
      </w:pPr>
    </w:lvl>
    <w:lvl w:ilvl="6" w:tplc="0409000F" w:tentative="1">
      <w:start w:val="1"/>
      <w:numFmt w:val="decimal"/>
      <w:lvlText w:val="%7."/>
      <w:lvlJc w:val="left"/>
      <w:pPr>
        <w:ind w:left="9913" w:hanging="360"/>
      </w:pPr>
    </w:lvl>
    <w:lvl w:ilvl="7" w:tplc="04090019" w:tentative="1">
      <w:start w:val="1"/>
      <w:numFmt w:val="lowerLetter"/>
      <w:lvlText w:val="%8."/>
      <w:lvlJc w:val="left"/>
      <w:pPr>
        <w:ind w:left="10633" w:hanging="360"/>
      </w:pPr>
    </w:lvl>
    <w:lvl w:ilvl="8" w:tplc="0409001B" w:tentative="1">
      <w:start w:val="1"/>
      <w:numFmt w:val="lowerRoman"/>
      <w:lvlText w:val="%9."/>
      <w:lvlJc w:val="right"/>
      <w:pPr>
        <w:ind w:left="113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661"/>
    <w:rsid w:val="00010CF3"/>
    <w:rsid w:val="00011E27"/>
    <w:rsid w:val="000148BC"/>
    <w:rsid w:val="00024AB8"/>
    <w:rsid w:val="00030854"/>
    <w:rsid w:val="00036028"/>
    <w:rsid w:val="00036A89"/>
    <w:rsid w:val="00042798"/>
    <w:rsid w:val="00044642"/>
    <w:rsid w:val="000446B9"/>
    <w:rsid w:val="00047E21"/>
    <w:rsid w:val="00050E16"/>
    <w:rsid w:val="00076B73"/>
    <w:rsid w:val="00085505"/>
    <w:rsid w:val="000A63AB"/>
    <w:rsid w:val="000C5373"/>
    <w:rsid w:val="000C7021"/>
    <w:rsid w:val="000D587B"/>
    <w:rsid w:val="000D6BBC"/>
    <w:rsid w:val="000D7780"/>
    <w:rsid w:val="000E037F"/>
    <w:rsid w:val="000F2F11"/>
    <w:rsid w:val="000F603F"/>
    <w:rsid w:val="00105929"/>
    <w:rsid w:val="00110C36"/>
    <w:rsid w:val="001131D5"/>
    <w:rsid w:val="00113C51"/>
    <w:rsid w:val="00122E67"/>
    <w:rsid w:val="001242D4"/>
    <w:rsid w:val="00141DB8"/>
    <w:rsid w:val="00143660"/>
    <w:rsid w:val="00157224"/>
    <w:rsid w:val="00170C91"/>
    <w:rsid w:val="0017474A"/>
    <w:rsid w:val="001758C6"/>
    <w:rsid w:val="00182B99"/>
    <w:rsid w:val="00184BBD"/>
    <w:rsid w:val="001F1551"/>
    <w:rsid w:val="0021332C"/>
    <w:rsid w:val="00213982"/>
    <w:rsid w:val="00220F22"/>
    <w:rsid w:val="00221F3C"/>
    <w:rsid w:val="00235FD7"/>
    <w:rsid w:val="00243ACF"/>
    <w:rsid w:val="0024416D"/>
    <w:rsid w:val="00254A58"/>
    <w:rsid w:val="0026414F"/>
    <w:rsid w:val="00267CF8"/>
    <w:rsid w:val="00271911"/>
    <w:rsid w:val="002800A0"/>
    <w:rsid w:val="002801B3"/>
    <w:rsid w:val="00281060"/>
    <w:rsid w:val="00285DC9"/>
    <w:rsid w:val="002940E8"/>
    <w:rsid w:val="002A01A8"/>
    <w:rsid w:val="002A15A5"/>
    <w:rsid w:val="002A6E50"/>
    <w:rsid w:val="002C256A"/>
    <w:rsid w:val="00305A7F"/>
    <w:rsid w:val="003152FE"/>
    <w:rsid w:val="00321444"/>
    <w:rsid w:val="00321E4A"/>
    <w:rsid w:val="00327436"/>
    <w:rsid w:val="00344BD6"/>
    <w:rsid w:val="00346A9B"/>
    <w:rsid w:val="003551F1"/>
    <w:rsid w:val="0035528D"/>
    <w:rsid w:val="00361821"/>
    <w:rsid w:val="00380D22"/>
    <w:rsid w:val="003A2653"/>
    <w:rsid w:val="003C0A78"/>
    <w:rsid w:val="003C34C1"/>
    <w:rsid w:val="003D227C"/>
    <w:rsid w:val="003D2B4D"/>
    <w:rsid w:val="004006EE"/>
    <w:rsid w:val="00422FCF"/>
    <w:rsid w:val="00444A88"/>
    <w:rsid w:val="00454E0A"/>
    <w:rsid w:val="00474DA4"/>
    <w:rsid w:val="00476B4D"/>
    <w:rsid w:val="004805FA"/>
    <w:rsid w:val="004935D2"/>
    <w:rsid w:val="004974C2"/>
    <w:rsid w:val="004B1215"/>
    <w:rsid w:val="004D047D"/>
    <w:rsid w:val="004D1EB4"/>
    <w:rsid w:val="004D3EC3"/>
    <w:rsid w:val="004F305A"/>
    <w:rsid w:val="004F4357"/>
    <w:rsid w:val="00512164"/>
    <w:rsid w:val="00514A8A"/>
    <w:rsid w:val="00516825"/>
    <w:rsid w:val="00520297"/>
    <w:rsid w:val="00526139"/>
    <w:rsid w:val="005338F9"/>
    <w:rsid w:val="005408F0"/>
    <w:rsid w:val="0054281C"/>
    <w:rsid w:val="00543B0C"/>
    <w:rsid w:val="00544581"/>
    <w:rsid w:val="0055268D"/>
    <w:rsid w:val="0057099E"/>
    <w:rsid w:val="005728BA"/>
    <w:rsid w:val="00576BE4"/>
    <w:rsid w:val="005A400A"/>
    <w:rsid w:val="005B35D0"/>
    <w:rsid w:val="005E2688"/>
    <w:rsid w:val="005F4E24"/>
    <w:rsid w:val="0060257A"/>
    <w:rsid w:val="00612379"/>
    <w:rsid w:val="0061555F"/>
    <w:rsid w:val="00641200"/>
    <w:rsid w:val="006463C7"/>
    <w:rsid w:val="006655D3"/>
    <w:rsid w:val="00666F98"/>
    <w:rsid w:val="00667404"/>
    <w:rsid w:val="00677F0B"/>
    <w:rsid w:val="00683A78"/>
    <w:rsid w:val="00687EB4"/>
    <w:rsid w:val="006B17D2"/>
    <w:rsid w:val="006C224E"/>
    <w:rsid w:val="006D0EBA"/>
    <w:rsid w:val="006D780A"/>
    <w:rsid w:val="006E3018"/>
    <w:rsid w:val="006E3E86"/>
    <w:rsid w:val="00720F43"/>
    <w:rsid w:val="00722A9C"/>
    <w:rsid w:val="007255D8"/>
    <w:rsid w:val="00732DEC"/>
    <w:rsid w:val="00735BD5"/>
    <w:rsid w:val="0074415C"/>
    <w:rsid w:val="007556F6"/>
    <w:rsid w:val="00760EEF"/>
    <w:rsid w:val="00777EE5"/>
    <w:rsid w:val="00784836"/>
    <w:rsid w:val="00785952"/>
    <w:rsid w:val="0079023E"/>
    <w:rsid w:val="00797CC9"/>
    <w:rsid w:val="007A2854"/>
    <w:rsid w:val="007C2800"/>
    <w:rsid w:val="007D0B9D"/>
    <w:rsid w:val="007D19B0"/>
    <w:rsid w:val="007F498F"/>
    <w:rsid w:val="0080679D"/>
    <w:rsid w:val="008108B0"/>
    <w:rsid w:val="00811B20"/>
    <w:rsid w:val="0082296E"/>
    <w:rsid w:val="00824099"/>
    <w:rsid w:val="00830374"/>
    <w:rsid w:val="00831C0E"/>
    <w:rsid w:val="008454A6"/>
    <w:rsid w:val="00846D7C"/>
    <w:rsid w:val="00863F0E"/>
    <w:rsid w:val="00867AC1"/>
    <w:rsid w:val="00884009"/>
    <w:rsid w:val="00892BDB"/>
    <w:rsid w:val="0089357F"/>
    <w:rsid w:val="008A4541"/>
    <w:rsid w:val="008A743F"/>
    <w:rsid w:val="008C0970"/>
    <w:rsid w:val="008C0A0C"/>
    <w:rsid w:val="008D0BC5"/>
    <w:rsid w:val="008D2CF7"/>
    <w:rsid w:val="008E1C47"/>
    <w:rsid w:val="008F0399"/>
    <w:rsid w:val="00900C26"/>
    <w:rsid w:val="0090197F"/>
    <w:rsid w:val="00906DDC"/>
    <w:rsid w:val="00913EB8"/>
    <w:rsid w:val="00934E09"/>
    <w:rsid w:val="00936253"/>
    <w:rsid w:val="009456F3"/>
    <w:rsid w:val="009464A8"/>
    <w:rsid w:val="00951BEE"/>
    <w:rsid w:val="00952DD4"/>
    <w:rsid w:val="00954BDC"/>
    <w:rsid w:val="00957503"/>
    <w:rsid w:val="00970FED"/>
    <w:rsid w:val="009724B1"/>
    <w:rsid w:val="009738EA"/>
    <w:rsid w:val="00992D82"/>
    <w:rsid w:val="00997029"/>
    <w:rsid w:val="009A7580"/>
    <w:rsid w:val="009B440E"/>
    <w:rsid w:val="009D6210"/>
    <w:rsid w:val="009D690D"/>
    <w:rsid w:val="009E65B6"/>
    <w:rsid w:val="00A00541"/>
    <w:rsid w:val="00A24C10"/>
    <w:rsid w:val="00A42AC3"/>
    <w:rsid w:val="00A430CF"/>
    <w:rsid w:val="00A52B4A"/>
    <w:rsid w:val="00A54309"/>
    <w:rsid w:val="00A62BEF"/>
    <w:rsid w:val="00AA1E32"/>
    <w:rsid w:val="00AB2B93"/>
    <w:rsid w:val="00AB530F"/>
    <w:rsid w:val="00AB7E5B"/>
    <w:rsid w:val="00AC00B2"/>
    <w:rsid w:val="00AE0EF1"/>
    <w:rsid w:val="00AE2937"/>
    <w:rsid w:val="00AE4DCC"/>
    <w:rsid w:val="00AE6216"/>
    <w:rsid w:val="00B07301"/>
    <w:rsid w:val="00B224DE"/>
    <w:rsid w:val="00B324D4"/>
    <w:rsid w:val="00B46575"/>
    <w:rsid w:val="00B6543A"/>
    <w:rsid w:val="00B67732"/>
    <w:rsid w:val="00B734BD"/>
    <w:rsid w:val="00B73675"/>
    <w:rsid w:val="00B84A2B"/>
    <w:rsid w:val="00B84BBD"/>
    <w:rsid w:val="00BA43FB"/>
    <w:rsid w:val="00BC127D"/>
    <w:rsid w:val="00BC1FE6"/>
    <w:rsid w:val="00BC4C4D"/>
    <w:rsid w:val="00BD1FDB"/>
    <w:rsid w:val="00BE7EAC"/>
    <w:rsid w:val="00BF4661"/>
    <w:rsid w:val="00C061B6"/>
    <w:rsid w:val="00C12643"/>
    <w:rsid w:val="00C2446C"/>
    <w:rsid w:val="00C32DA7"/>
    <w:rsid w:val="00C36AE5"/>
    <w:rsid w:val="00C41F17"/>
    <w:rsid w:val="00C47E8F"/>
    <w:rsid w:val="00C511D2"/>
    <w:rsid w:val="00C5280D"/>
    <w:rsid w:val="00C5791C"/>
    <w:rsid w:val="00C65FC1"/>
    <w:rsid w:val="00C66290"/>
    <w:rsid w:val="00C72B7A"/>
    <w:rsid w:val="00C824BA"/>
    <w:rsid w:val="00C973F2"/>
    <w:rsid w:val="00CA304C"/>
    <w:rsid w:val="00CA3F80"/>
    <w:rsid w:val="00CA59E0"/>
    <w:rsid w:val="00CA7332"/>
    <w:rsid w:val="00CA774A"/>
    <w:rsid w:val="00CB0E56"/>
    <w:rsid w:val="00CC11B0"/>
    <w:rsid w:val="00CD6904"/>
    <w:rsid w:val="00CE466C"/>
    <w:rsid w:val="00CF79DA"/>
    <w:rsid w:val="00CF7E36"/>
    <w:rsid w:val="00D12A01"/>
    <w:rsid w:val="00D3708D"/>
    <w:rsid w:val="00D4034F"/>
    <w:rsid w:val="00D40426"/>
    <w:rsid w:val="00D579C7"/>
    <w:rsid w:val="00D57C96"/>
    <w:rsid w:val="00D6322F"/>
    <w:rsid w:val="00D63A9C"/>
    <w:rsid w:val="00D64CD2"/>
    <w:rsid w:val="00D74F07"/>
    <w:rsid w:val="00D800D5"/>
    <w:rsid w:val="00D91203"/>
    <w:rsid w:val="00D91ED1"/>
    <w:rsid w:val="00D95174"/>
    <w:rsid w:val="00DA6F36"/>
    <w:rsid w:val="00DB596E"/>
    <w:rsid w:val="00DB7773"/>
    <w:rsid w:val="00DC00EA"/>
    <w:rsid w:val="00DD7375"/>
    <w:rsid w:val="00DF0EAD"/>
    <w:rsid w:val="00DF4FDF"/>
    <w:rsid w:val="00E113D4"/>
    <w:rsid w:val="00E24E5D"/>
    <w:rsid w:val="00E32F7E"/>
    <w:rsid w:val="00E53D99"/>
    <w:rsid w:val="00E662B7"/>
    <w:rsid w:val="00E72D49"/>
    <w:rsid w:val="00E7593C"/>
    <w:rsid w:val="00E7678A"/>
    <w:rsid w:val="00E935F1"/>
    <w:rsid w:val="00E94A81"/>
    <w:rsid w:val="00EA1FFB"/>
    <w:rsid w:val="00EB048E"/>
    <w:rsid w:val="00EB33EB"/>
    <w:rsid w:val="00EE34DF"/>
    <w:rsid w:val="00EF2C31"/>
    <w:rsid w:val="00EF2F89"/>
    <w:rsid w:val="00F1237A"/>
    <w:rsid w:val="00F22CBD"/>
    <w:rsid w:val="00F24735"/>
    <w:rsid w:val="00F349FD"/>
    <w:rsid w:val="00F45372"/>
    <w:rsid w:val="00F503BA"/>
    <w:rsid w:val="00F560F7"/>
    <w:rsid w:val="00F57940"/>
    <w:rsid w:val="00F6334D"/>
    <w:rsid w:val="00F6647C"/>
    <w:rsid w:val="00F84577"/>
    <w:rsid w:val="00FA49AB"/>
    <w:rsid w:val="00FE39C7"/>
    <w:rsid w:val="00FE4D82"/>
    <w:rsid w:val="00FE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67732"/>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67732"/>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F4661"/>
    <w:rPr>
      <w:rFonts w:ascii="Arial" w:hAnsi="Arial"/>
      <w:caps/>
    </w:rPr>
  </w:style>
  <w:style w:type="paragraph" w:customStyle="1" w:styleId="Style1">
    <w:name w:val="Style1"/>
    <w:basedOn w:val="Normal"/>
    <w:rsid w:val="00EB33EB"/>
    <w:pPr>
      <w:tabs>
        <w:tab w:val="decimal" w:pos="907"/>
        <w:tab w:val="left" w:pos="1077"/>
      </w:tabs>
    </w:pPr>
    <w:rPr>
      <w:rFonts w:ascii="Times New Roman" w:hAnsi="Times New Roman"/>
      <w:sz w:val="24"/>
      <w:szCs w:val="24"/>
      <w:lang w:eastAsia="ja-JP"/>
    </w:rPr>
  </w:style>
  <w:style w:type="table" w:styleId="TableGrid">
    <w:name w:val="Table Grid"/>
    <w:basedOn w:val="TableNormal"/>
    <w:rsid w:val="005B3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image" Target="media/image21.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eader" Target="header7.xml"/><Relationship Id="rId10" Type="http://schemas.openxmlformats.org/officeDocument/2006/relationships/header" Target="header1.xml"/><Relationship Id="rId19" Type="http://schemas.openxmlformats.org/officeDocument/2006/relationships/image" Target="media/image6.png"/><Relationship Id="rId31" Type="http://schemas.openxmlformats.org/officeDocument/2006/relationships/image" Target="media/image1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3FB7-084D-465D-8F59-A2CE55E0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12</TotalTime>
  <Pages>19</Pages>
  <Words>3794</Words>
  <Characters>21629</Characters>
  <Application>Microsoft Office Word</Application>
  <DocSecurity>0</DocSecurity>
  <Lines>180</Lines>
  <Paragraphs>50</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9</vt:i4>
      </vt:variant>
    </vt:vector>
  </HeadingPairs>
  <TitlesOfParts>
    <vt:vector size="11" baseType="lpstr">
      <vt:lpstr>TC/50</vt:lpstr>
      <vt:lpstr>TC/50</vt:lpstr>
      <vt:lpstr>ENTWICKLUNGEN IM JAHR 2015</vt:lpstr>
      <vt:lpstr>    Technischer Ausschuß</vt:lpstr>
      <vt:lpstr>    Technische Arbeitsgruppen</vt:lpstr>
      <vt:lpstr>        Technische Arbeitsgruppe für Gemüsearten</vt:lpstr>
      <vt:lpstr>        Technische Arbeitsgruppe für Automatisierung und Computerprogramme</vt:lpstr>
      <vt:lpstr>        Technische Arbeitsgruppe für landwirtschaftliche Arten</vt:lpstr>
      <vt:lpstr>        Technische Arbeitsgruppe für Obstarten</vt:lpstr>
      <vt:lpstr>        Technische Arbeitsgruppe für Zierpflanzen</vt:lpstr>
      <vt:lpstr>ZUSAMMENFASSUNG DER Ansätze</vt:lpstr>
    </vt:vector>
  </TitlesOfParts>
  <Company>UPOV</Company>
  <LinksUpToDate>false</LinksUpToDate>
  <CharactersWithSpaces>25373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11</cp:revision>
  <cp:lastPrinted>2016-02-17T18:26:00Z</cp:lastPrinted>
  <dcterms:created xsi:type="dcterms:W3CDTF">2016-02-01T07:59:00Z</dcterms:created>
  <dcterms:modified xsi:type="dcterms:W3CDTF">2016-02-17T18:27:00Z</dcterms:modified>
</cp:coreProperties>
</file>