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A0471" w:rsidTr="0080679D">
        <w:trPr>
          <w:trHeight w:val="1760"/>
        </w:trPr>
        <w:tc>
          <w:tcPr>
            <w:tcW w:w="3993" w:type="dxa"/>
          </w:tcPr>
          <w:p w:rsidR="000D7780" w:rsidRPr="006A0471" w:rsidRDefault="000D7780" w:rsidP="006655D3"/>
        </w:tc>
        <w:tc>
          <w:tcPr>
            <w:tcW w:w="1549" w:type="dxa"/>
            <w:vAlign w:val="center"/>
          </w:tcPr>
          <w:p w:rsidR="000D7780" w:rsidRPr="003B7AA3" w:rsidRDefault="00B324D4" w:rsidP="006655D3">
            <w:pPr>
              <w:pStyle w:val="LogoUPOV"/>
            </w:pPr>
            <w:r w:rsidRPr="003B7AA3">
              <w:rPr>
                <w:noProof/>
                <w:lang w:val="en-US" w:eastAsia="en-US" w:bidi="ar-SA"/>
              </w:rPr>
              <w:drawing>
                <wp:inline distT="0" distB="0" distL="0" distR="0" wp14:anchorId="64E0B696" wp14:editId="1BC983B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3B7AA3" w:rsidRDefault="0024416D" w:rsidP="006655D3">
            <w:pPr>
              <w:pStyle w:val="Lettrine"/>
            </w:pPr>
            <w:r w:rsidRPr="003B7AA3">
              <w:t>G</w:t>
            </w:r>
          </w:p>
          <w:p w:rsidR="000D7780" w:rsidRPr="003B7AA3" w:rsidRDefault="00667404" w:rsidP="006655D3">
            <w:pPr>
              <w:pStyle w:val="Docoriginal"/>
            </w:pPr>
            <w:r w:rsidRPr="003B7AA3">
              <w:t>TC/52/</w:t>
            </w:r>
            <w:bookmarkStart w:id="0" w:name="Code"/>
            <w:bookmarkEnd w:id="0"/>
            <w:r w:rsidRPr="003B7AA3">
              <w:t>1</w:t>
            </w:r>
            <w:r w:rsidR="00B84A94">
              <w:t xml:space="preserve"> </w:t>
            </w:r>
            <w:proofErr w:type="spellStart"/>
            <w:r w:rsidR="00B84A94">
              <w:t>Rev</w:t>
            </w:r>
            <w:proofErr w:type="spellEnd"/>
            <w:r w:rsidR="00B84A94">
              <w:t>.</w:t>
            </w:r>
          </w:p>
          <w:p w:rsidR="000D7780" w:rsidRPr="003B7AA3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3B7AA3">
              <w:rPr>
                <w:rStyle w:val="StyleDoclangBold"/>
                <w:b/>
                <w:spacing w:val="0"/>
              </w:rPr>
              <w:t>ORIGINAL:</w:t>
            </w:r>
            <w:r w:rsidRPr="003B7AA3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3B7AA3">
              <w:rPr>
                <w:b w:val="0"/>
                <w:spacing w:val="0"/>
              </w:rPr>
              <w:t>englisch</w:t>
            </w:r>
          </w:p>
          <w:p w:rsidR="000D7780" w:rsidRPr="006A0471" w:rsidRDefault="000D7780" w:rsidP="00B84A94">
            <w:pPr>
              <w:pStyle w:val="Docoriginal"/>
            </w:pPr>
            <w:r w:rsidRPr="003B7AA3">
              <w:t xml:space="preserve">DATUM: </w:t>
            </w:r>
            <w:r w:rsidRPr="003B7AA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C4A92">
              <w:rPr>
                <w:b w:val="0"/>
                <w:spacing w:val="0"/>
              </w:rPr>
              <w:t>2</w:t>
            </w:r>
            <w:bookmarkStart w:id="3" w:name="_GoBack"/>
            <w:bookmarkEnd w:id="3"/>
            <w:r w:rsidRPr="003B7AA3">
              <w:rPr>
                <w:b w:val="0"/>
                <w:spacing w:val="0"/>
              </w:rPr>
              <w:t xml:space="preserve">. </w:t>
            </w:r>
            <w:r w:rsidR="00B84A94">
              <w:rPr>
                <w:b w:val="0"/>
                <w:spacing w:val="0"/>
              </w:rPr>
              <w:t>März 2016</w:t>
            </w:r>
          </w:p>
        </w:tc>
      </w:tr>
      <w:tr w:rsidR="000D7780" w:rsidRPr="006A0471" w:rsidTr="00FA49AB">
        <w:tc>
          <w:tcPr>
            <w:tcW w:w="9534" w:type="dxa"/>
            <w:gridSpan w:val="3"/>
          </w:tcPr>
          <w:p w:rsidR="000D7780" w:rsidRPr="006A0471" w:rsidRDefault="0024416D" w:rsidP="006655D3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6A0471" w:rsidTr="00FA49AB">
        <w:tc>
          <w:tcPr>
            <w:tcW w:w="9534" w:type="dxa"/>
            <w:gridSpan w:val="3"/>
          </w:tcPr>
          <w:p w:rsidR="000D7780" w:rsidRPr="006A0471" w:rsidRDefault="00867AC1" w:rsidP="006655D3">
            <w:pPr>
              <w:pStyle w:val="Country"/>
            </w:pPr>
            <w:r>
              <w:t>Genf</w:t>
            </w:r>
          </w:p>
        </w:tc>
      </w:tr>
    </w:tbl>
    <w:p w:rsidR="000D7780" w:rsidRPr="006A0471" w:rsidRDefault="0024416D" w:rsidP="006655D3">
      <w:pPr>
        <w:pStyle w:val="Sessiontc"/>
      </w:pPr>
      <w:r>
        <w:t>TECHNISCHER AUSSCHUSS</w:t>
      </w:r>
    </w:p>
    <w:p w:rsidR="00361821" w:rsidRPr="006A0471" w:rsidRDefault="0061555F" w:rsidP="006655D3">
      <w:pPr>
        <w:pStyle w:val="Sessiontcplacedate"/>
      </w:pPr>
      <w:r>
        <w:t>Zweiundfünfzigste Tagung</w:t>
      </w:r>
      <w:r>
        <w:br/>
        <w:t>Genf, 14. bis 16. März 2016</w:t>
      </w:r>
      <w:r>
        <w:rPr>
          <w:rStyle w:val="FootnoteReference"/>
          <w:color w:val="FFFFFF" w:themeColor="background1"/>
        </w:rPr>
        <w:footnoteReference w:id="2"/>
      </w:r>
    </w:p>
    <w:p w:rsidR="000D7780" w:rsidRPr="006A0471" w:rsidRDefault="00B84A94" w:rsidP="006655D3">
      <w:pPr>
        <w:pStyle w:val="Titleofdoc0"/>
      </w:pPr>
      <w:bookmarkStart w:id="4" w:name="TitleOfDoc"/>
      <w:bookmarkEnd w:id="4"/>
      <w:r>
        <w:t xml:space="preserve">Revidierter </w:t>
      </w:r>
      <w:r w:rsidR="002110B2">
        <w:t>Entwurf einer Tagesordnung</w:t>
      </w:r>
    </w:p>
    <w:p w:rsidR="00050E16" w:rsidRPr="006A0471" w:rsidRDefault="00AE0EF1" w:rsidP="00050E16">
      <w:pPr>
        <w:pStyle w:val="preparedby1"/>
      </w:pPr>
      <w:bookmarkStart w:id="5" w:name="Prepared"/>
      <w:bookmarkEnd w:id="5"/>
      <w:r>
        <w:t>vom Verbandsbüro erstelltes Dokument</w:t>
      </w:r>
      <w:r>
        <w:br/>
      </w:r>
      <w:r>
        <w:br/>
      </w:r>
      <w:r>
        <w:rPr>
          <w:color w:val="A6A6A6" w:themeColor="background1" w:themeShade="A6"/>
        </w:rPr>
        <w:t>Haftungsausschluß:  dieses Dokument gibt nicht die Grundsätze oder eine Anleitung der UPOV wieder</w:t>
      </w:r>
    </w:p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Eröffnung der Tagung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Annahme der Tagesordnung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autoSpaceDE w:val="0"/>
        <w:autoSpaceDN w:val="0"/>
        <w:adjustRightInd w:val="0"/>
        <w:rPr>
          <w:rFonts w:cs="Arial"/>
        </w:rPr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Erörterungen zu:</w:t>
      </w:r>
    </w:p>
    <w:p w:rsidR="002110B2" w:rsidRPr="006A0471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2110B2" w:rsidRDefault="002110B2" w:rsidP="00B24935">
      <w:pPr>
        <w:ind w:left="1134" w:hanging="567"/>
      </w:pPr>
      <w:r>
        <w:t>a)</w:t>
      </w:r>
      <w:r>
        <w:tab/>
        <w:t>Sortenbeschreibungen und die Rolle von Pflanzenmaterial, einschließlich der Mindestanzahl von Wachstumsperioden für die DUS-Prüfung</w:t>
      </w:r>
    </w:p>
    <w:p w:rsidR="00B24935" w:rsidRPr="006A0471" w:rsidRDefault="00B24935" w:rsidP="00B24935">
      <w:pPr>
        <w:ind w:left="1134" w:hanging="567"/>
      </w:pPr>
    </w:p>
    <w:p w:rsidR="002110B2" w:rsidRDefault="002110B2" w:rsidP="00B24935">
      <w:pPr>
        <w:ind w:left="1134" w:hanging="567"/>
      </w:pPr>
      <w:r>
        <w:t>b)</w:t>
      </w:r>
      <w:r>
        <w:tab/>
        <w:t>Qualitätsparameter für die DUS-Prüfung</w:t>
      </w:r>
    </w:p>
    <w:p w:rsidR="00B24935" w:rsidRPr="006A0471" w:rsidRDefault="00B24935" w:rsidP="00B24935">
      <w:pPr>
        <w:ind w:left="1134" w:hanging="567"/>
      </w:pPr>
    </w:p>
    <w:p w:rsidR="002110B2" w:rsidRDefault="002110B2" w:rsidP="00B24935">
      <w:pPr>
        <w:ind w:left="1134" w:hanging="567"/>
      </w:pPr>
      <w:r>
        <w:t>c)</w:t>
      </w:r>
      <w:r>
        <w:tab/>
        <w:t>Erleichterung der Entwicklung von Datenbanken</w:t>
      </w:r>
    </w:p>
    <w:p w:rsidR="00B24935" w:rsidRPr="006A0471" w:rsidRDefault="00B24935" w:rsidP="00B24935">
      <w:pPr>
        <w:ind w:left="1134" w:hanging="567"/>
      </w:pPr>
    </w:p>
    <w:p w:rsidR="002110B2" w:rsidRPr="006A0471" w:rsidRDefault="002110B2" w:rsidP="00B24935">
      <w:pPr>
        <w:ind w:left="1134" w:hanging="567"/>
      </w:pPr>
      <w:r>
        <w:t>d)</w:t>
      </w:r>
      <w:r>
        <w:tab/>
        <w:t>Mindestabstand zwischen Sorten</w:t>
      </w:r>
    </w:p>
    <w:p w:rsidR="002110B2" w:rsidRPr="006A0471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Bericht über die Entwicklungen in der UPOV, u. a. die auf den letzten Tagungen des Verwaltungs- und Rechtsausschusses, des Beratenden Ausschusses und des Rates erörterten wichtigen Angelegenheiten (Dokument TC/52/10)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Berichte über den Fortschritt der Arbeiten der Technischen Arbeitsgruppen, einschließlich der Arbeitsgruppe für biochemische und molekulare Ver</w:t>
      </w:r>
      <w:r w:rsidR="005D07B9">
        <w:t>fahren und insbesondere für DNS</w:t>
      </w:r>
      <w:r w:rsidR="005D07B9">
        <w:noBreakHyphen/>
      </w:r>
      <w:r>
        <w:t>Profilierungsverfahren (BMT) (Dokumente TWA/44/23, TWC/33/30, TWF/46/29, TWO/48/26, TWV/49/32 und mündliche Berichte der Vorsitzenden)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Fragen, die von den technischen Arbeitsgruppen aufgeworfen wurden (Dokument TC/52/3)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rPr>
          <w:rFonts w:cs="Arial"/>
        </w:rPr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TGP-Dokumente (Dokument TC/52/5)</w:t>
      </w:r>
    </w:p>
    <w:p w:rsidR="002110B2" w:rsidRPr="006A0471" w:rsidRDefault="002110B2" w:rsidP="005D32A1">
      <w:pPr>
        <w:tabs>
          <w:tab w:val="left" w:pos="567"/>
        </w:tabs>
        <w:rPr>
          <w:rFonts w:cs="Arial"/>
        </w:rPr>
      </w:pPr>
    </w:p>
    <w:p w:rsidR="002110B2" w:rsidRPr="006A0471" w:rsidRDefault="002110B2" w:rsidP="005D32A1">
      <w:pPr>
        <w:tabs>
          <w:tab w:val="left" w:pos="567"/>
        </w:tabs>
        <w:ind w:left="567"/>
        <w:rPr>
          <w:rFonts w:cs="Arial"/>
        </w:rPr>
      </w:pPr>
      <w:r>
        <w:rPr>
          <w:i/>
          <w:snapToGrid w:val="0"/>
        </w:rPr>
        <w:t xml:space="preserve">Überarbeitung von TGP-Dokumenten: </w:t>
      </w:r>
    </w:p>
    <w:p w:rsidR="002110B2" w:rsidRPr="006A0471" w:rsidRDefault="002110B2" w:rsidP="005D32A1">
      <w:pPr>
        <w:ind w:left="2126" w:hanging="992"/>
        <w:rPr>
          <w:rFonts w:cs="Arial"/>
          <w:snapToGrid w:val="0"/>
        </w:rPr>
      </w:pPr>
    </w:p>
    <w:p w:rsidR="002110B2" w:rsidRPr="006A0471" w:rsidRDefault="002110B2" w:rsidP="005D32A1">
      <w:pPr>
        <w:spacing w:after="160"/>
        <w:ind w:left="567"/>
        <w:rPr>
          <w:snapToGrid w:val="0"/>
        </w:rPr>
      </w:pPr>
      <w:r>
        <w:t xml:space="preserve">TGP/7:  Erstellung von Prüfungsrichtlinien </w:t>
      </w:r>
    </w:p>
    <w:p w:rsidR="002110B2" w:rsidRPr="006A0471" w:rsidRDefault="002110B2" w:rsidP="005D32A1">
      <w:pPr>
        <w:spacing w:after="160"/>
        <w:ind w:left="1134"/>
      </w:pPr>
      <w:r>
        <w:rPr>
          <w:i/>
        </w:rPr>
        <w:t>Überarbeitung von Dokument TGP/7</w:t>
      </w:r>
      <w:r>
        <w:t>:  Anleitung für Verfasser von Prüfungsrichtlinien (Dokument TC/52/</w:t>
      </w:r>
      <w:r w:rsidR="00B84A94">
        <w:t>28</w:t>
      </w:r>
      <w:r>
        <w:t>)</w:t>
      </w:r>
    </w:p>
    <w:p w:rsidR="002110B2" w:rsidRPr="006A0471" w:rsidRDefault="002110B2" w:rsidP="005D32A1">
      <w:pPr>
        <w:spacing w:after="160"/>
        <w:ind w:left="1134"/>
      </w:pPr>
      <w:r>
        <w:rPr>
          <w:i/>
        </w:rPr>
        <w:lastRenderedPageBreak/>
        <w:t>Überarbeitung von Dokument TGP/7:</w:t>
      </w:r>
      <w:r>
        <w:t xml:space="preserve">  Verwendung gesetzlich geschützter Texte, Fotoaufnahmen und Abbildungen in Prüfungsrichtlinien (Dokument TC/52/14) </w:t>
      </w:r>
    </w:p>
    <w:p w:rsidR="002110B2" w:rsidRPr="006A0471" w:rsidRDefault="002110B2" w:rsidP="005D32A1">
      <w:pPr>
        <w:spacing w:after="160"/>
        <w:ind w:left="1134"/>
      </w:pPr>
      <w:r>
        <w:rPr>
          <w:i/>
        </w:rPr>
        <w:t>Überarbeitung von Dokument TGP/7:</w:t>
      </w:r>
      <w:r>
        <w:t xml:space="preserve">  Regionale Serien von Beispielssorten (Dokument TC/52/15)</w:t>
      </w:r>
    </w:p>
    <w:p w:rsidR="002110B2" w:rsidRPr="006A0471" w:rsidRDefault="002110B2" w:rsidP="005D32A1">
      <w:pPr>
        <w:rPr>
          <w:snapToGrid w:val="0"/>
        </w:rPr>
      </w:pPr>
    </w:p>
    <w:p w:rsidR="002110B2" w:rsidRDefault="002110B2" w:rsidP="005D07B9">
      <w:pPr>
        <w:ind w:left="567"/>
      </w:pPr>
      <w:r>
        <w:t>TGP/8: Prüfungsanlage und Verfahren für die Prüfung der Unterscheidbarkeit, der Homogenität und der Beständigkeit</w:t>
      </w:r>
    </w:p>
    <w:p w:rsidR="005D07B9" w:rsidRPr="006A0471" w:rsidRDefault="005D07B9" w:rsidP="005D07B9">
      <w:pPr>
        <w:ind w:left="567"/>
        <w:rPr>
          <w:rFonts w:cs="Arial"/>
        </w:rPr>
      </w:pPr>
    </w:p>
    <w:p w:rsidR="002110B2" w:rsidRPr="006A0471" w:rsidRDefault="002110B2" w:rsidP="005D32A1">
      <w:pPr>
        <w:spacing w:after="160"/>
        <w:ind w:left="1134"/>
        <w:rPr>
          <w:i/>
        </w:rPr>
      </w:pPr>
      <w:r>
        <w:rPr>
          <w:i/>
        </w:rPr>
        <w:t xml:space="preserve">Überarbeitung von Dokument TGP/8:  </w:t>
      </w:r>
      <w:r>
        <w:t>Teil I:  DUS-Prüfung</w:t>
      </w:r>
      <w:r w:rsidR="00F67EB0">
        <w:t>sanlage und Datenanalyse, neuer </w:t>
      </w:r>
      <w:r>
        <w:t>Abschnitt: Minimierung der Variation infolge verschiedener Erfasser im selben Anbauversuch (Dokument TC/52/16)</w:t>
      </w:r>
    </w:p>
    <w:p w:rsidR="002110B2" w:rsidRPr="006A0471" w:rsidRDefault="002110B2" w:rsidP="005D32A1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>
        <w:rPr>
          <w:i/>
        </w:rPr>
        <w:t xml:space="preserve">Überarbeitung von Dokument TGP/8:  </w:t>
      </w:r>
      <w:r>
        <w:t>Teil II:  Ausgewählte Verfahren für die DUS-Prüfung, Abschnitt 9: Das kombinierte Homogenitätskriterium über mehrere Jahre (COYU) (Dokument</w:t>
      </w:r>
      <w:r w:rsidR="00B84A94">
        <w:t>e</w:t>
      </w:r>
      <w:r>
        <w:t> TC/52/17</w:t>
      </w:r>
      <w:r w:rsidR="00B84A94">
        <w:t xml:space="preserve"> und TC/52/17 Add.</w:t>
      </w:r>
      <w:r>
        <w:t>)</w:t>
      </w:r>
    </w:p>
    <w:p w:rsidR="002110B2" w:rsidRPr="006A0471" w:rsidRDefault="002110B2" w:rsidP="005D32A1">
      <w:pPr>
        <w:spacing w:after="160"/>
        <w:ind w:left="1134"/>
        <w:rPr>
          <w:rFonts w:cs="Arial"/>
        </w:rPr>
      </w:pPr>
      <w:r>
        <w:rPr>
          <w:i/>
        </w:rPr>
        <w:t xml:space="preserve">Überarbeitung von Dokument TGP/8:  </w:t>
      </w:r>
      <w:r>
        <w:t>Teil II</w:t>
      </w:r>
      <w:r>
        <w:rPr>
          <w:i/>
        </w:rPr>
        <w:t xml:space="preserve">:  </w:t>
      </w:r>
      <w:r>
        <w:t>Ausgewählte Verfahren für die DUS-Prüfung, neuer Abschnitt: DUS-Prüfung an Mischproben (Dokument TC/52/18)</w:t>
      </w:r>
    </w:p>
    <w:p w:rsidR="002110B2" w:rsidRPr="006A0471" w:rsidRDefault="002110B2" w:rsidP="005D32A1">
      <w:pPr>
        <w:ind w:left="1134"/>
        <w:rPr>
          <w:rFonts w:cs="Arial"/>
        </w:rPr>
      </w:pPr>
      <w:r>
        <w:rPr>
          <w:i/>
        </w:rPr>
        <w:t>Überarbeitung von Dokument TGP/8</w:t>
      </w:r>
      <w:r>
        <w:t>:  Teil II:  Ausgewählte Verfahren für die DUS-Prüfung, neuer Abschnitt: Datenverarbeitung für die Prüfung der Unterscheidbarkeit und die Erstellung von Sortenbeschreibungen (Dokument TC/52/19)</w:t>
      </w:r>
    </w:p>
    <w:p w:rsidR="002110B2" w:rsidRPr="006A0471" w:rsidRDefault="002110B2" w:rsidP="005D32A1">
      <w:pPr>
        <w:ind w:left="2126" w:hanging="992"/>
        <w:rPr>
          <w:rFonts w:cs="Arial"/>
          <w:i/>
        </w:rPr>
      </w:pPr>
    </w:p>
    <w:p w:rsidR="002110B2" w:rsidRPr="006A0471" w:rsidRDefault="002110B2" w:rsidP="005D32A1">
      <w:pPr>
        <w:spacing w:after="160"/>
        <w:ind w:left="2410" w:hanging="1843"/>
        <w:rPr>
          <w:rFonts w:cs="Arial"/>
          <w:snapToGrid w:val="0"/>
        </w:rPr>
      </w:pPr>
      <w:r>
        <w:t>TGP/10: Prüfung der Homogenität</w:t>
      </w:r>
    </w:p>
    <w:p w:rsidR="002110B2" w:rsidRPr="006A0471" w:rsidRDefault="002110B2" w:rsidP="005D32A1">
      <w:pPr>
        <w:ind w:left="1134"/>
        <w:rPr>
          <w:rFonts w:cs="Arial"/>
          <w:snapToGrid w:val="0"/>
        </w:rPr>
      </w:pPr>
      <w:r>
        <w:rPr>
          <w:i/>
        </w:rPr>
        <w:t xml:space="preserve">Überarbeitung von Dokument TGP/10: </w:t>
      </w:r>
      <w:r>
        <w:t>Neuer Abschnitt: Prüfung der Homogenität anhand von Abweichern aufgrund von mehr als einer Wachstumsperiode oder aufgrund von Unterproben</w:t>
      </w:r>
      <w:r>
        <w:rPr>
          <w:i/>
        </w:rPr>
        <w:t xml:space="preserve"> </w:t>
      </w:r>
      <w:r>
        <w:t>(Dokument</w:t>
      </w:r>
      <w:r w:rsidR="00B84A94">
        <w:t>e</w:t>
      </w:r>
      <w:r>
        <w:t xml:space="preserve"> TC/52/20</w:t>
      </w:r>
      <w:r w:rsidR="00B84A94">
        <w:t xml:space="preserve"> und TC/52/20 Add.</w:t>
      </w:r>
      <w:r>
        <w:t xml:space="preserve">) </w:t>
      </w:r>
    </w:p>
    <w:p w:rsidR="002110B2" w:rsidRPr="006A0471" w:rsidRDefault="002110B2" w:rsidP="005D32A1">
      <w:pPr>
        <w:tabs>
          <w:tab w:val="left" w:pos="1773"/>
        </w:tabs>
        <w:ind w:left="2410" w:hanging="1843"/>
        <w:rPr>
          <w:rFonts w:cs="Arial"/>
        </w:rPr>
      </w:pPr>
    </w:p>
    <w:p w:rsidR="002110B2" w:rsidRPr="006A0471" w:rsidRDefault="002110B2" w:rsidP="005D32A1">
      <w:pPr>
        <w:ind w:left="2410" w:hanging="1843"/>
        <w:rPr>
          <w:rFonts w:cs="Arial"/>
          <w:snapToGrid w:val="0"/>
        </w:rPr>
      </w:pPr>
      <w:bookmarkStart w:id="6" w:name="_Toc374385107"/>
      <w:bookmarkStart w:id="7" w:name="_Toc374547087"/>
      <w:bookmarkStart w:id="8" w:name="_Toc374631044"/>
      <w:bookmarkStart w:id="9" w:name="_Toc374632516"/>
      <w:bookmarkStart w:id="10" w:name="_Toc374635716"/>
      <w:bookmarkStart w:id="11" w:name="_Toc404790966"/>
      <w:bookmarkStart w:id="12" w:name="_Toc404793276"/>
      <w:r>
        <w:t>TGP/0: Liste der TGP-Dokumente und Datum der jüngsten Ausgabe</w:t>
      </w:r>
      <w:bookmarkEnd w:id="6"/>
      <w:bookmarkEnd w:id="7"/>
      <w:bookmarkEnd w:id="8"/>
      <w:bookmarkEnd w:id="9"/>
      <w:bookmarkEnd w:id="10"/>
      <w:bookmarkEnd w:id="11"/>
      <w:bookmarkEnd w:id="12"/>
      <w:r>
        <w:t xml:space="preserve"> (Dokument TC/52/5)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Molekulare Verfahren (Dokument TC/52/11)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6A04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530"/>
        </w:tabs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Sortenbezeichnungen (Dokument TC/52/12)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 xml:space="preserve">Informationen und Datenbanken 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spacing w:after="160"/>
        <w:ind w:left="1134" w:hanging="567"/>
      </w:pPr>
      <w:r>
        <w:t>a)</w:t>
      </w:r>
      <w:r>
        <w:tab/>
        <w:t>UPOV-Informationsdatenbanken (Dokument TC/52/6)</w:t>
      </w:r>
    </w:p>
    <w:p w:rsidR="002110B2" w:rsidRPr="006A0471" w:rsidRDefault="002110B2" w:rsidP="005D32A1">
      <w:pPr>
        <w:spacing w:after="160"/>
        <w:ind w:left="1134" w:hanging="567"/>
      </w:pPr>
      <w:r>
        <w:t>b)</w:t>
      </w:r>
      <w:r>
        <w:tab/>
      </w:r>
      <w:r w:rsidR="00B84A94" w:rsidRPr="00B84A94">
        <w:t>Elektronisches Antragsformblatt</w:t>
      </w:r>
      <w:r>
        <w:t xml:space="preserve"> (Dokument TC/52/7)</w:t>
      </w:r>
    </w:p>
    <w:p w:rsidR="002110B2" w:rsidRPr="006A0471" w:rsidRDefault="002110B2" w:rsidP="005D32A1">
      <w:pPr>
        <w:spacing w:after="160"/>
        <w:ind w:left="1134" w:hanging="567"/>
      </w:pPr>
      <w:r>
        <w:t>c)</w:t>
      </w:r>
      <w:r>
        <w:tab/>
        <w:t>Austausch und Verwendung von Software und Ausrüstung (Dokument TC/52/8)</w:t>
      </w:r>
    </w:p>
    <w:p w:rsidR="002110B2" w:rsidRPr="006A0471" w:rsidRDefault="002110B2" w:rsidP="005D32A1">
      <w:pPr>
        <w:ind w:left="1134" w:hanging="567"/>
      </w:pPr>
      <w:r>
        <w:t>b)</w:t>
      </w:r>
      <w:r>
        <w:tab/>
        <w:t>Datenbanken für Sortenbeschreibungen (Dokument TC/52/9)</w:t>
      </w:r>
    </w:p>
    <w:p w:rsidR="002110B2" w:rsidRPr="006A0471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E94C7E" w:rsidRPr="006A0471" w:rsidRDefault="00E94C7E" w:rsidP="00E94C7E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Angelegenheiten betreffend Sortenbeschreibungen (Dokument TC/52/21</w:t>
      </w:r>
      <w:r w:rsidR="00C230F9">
        <w:t>)</w:t>
      </w:r>
    </w:p>
    <w:p w:rsidR="00E94C7E" w:rsidRPr="006A0471" w:rsidRDefault="00E94C7E" w:rsidP="00E94C7E">
      <w:pPr>
        <w:ind w:left="567" w:hanging="567"/>
      </w:pPr>
    </w:p>
    <w:p w:rsidR="00310395" w:rsidRPr="006A0471" w:rsidRDefault="00310395" w:rsidP="005D32A1">
      <w:pPr>
        <w:ind w:left="567" w:hanging="567"/>
        <w:rPr>
          <w:rFonts w:cs="Arial"/>
          <w:snapToGrid w:val="0"/>
        </w:rPr>
      </w:pPr>
      <w:r w:rsidRPr="006A0471">
        <w:rPr>
          <w:rFonts w:cs="Arial"/>
          <w:snapToGrid w:val="0"/>
        </w:rPr>
        <w:fldChar w:fldCharType="begin"/>
      </w:r>
      <w:r w:rsidRPr="006A0471">
        <w:rPr>
          <w:rFonts w:cs="Arial"/>
          <w:snapToGrid w:val="0"/>
        </w:rPr>
        <w:instrText xml:space="preserve"> AUTONUM  </w:instrText>
      </w:r>
      <w:r w:rsidRPr="006A0471">
        <w:rPr>
          <w:rFonts w:cs="Arial"/>
          <w:snapToGrid w:val="0"/>
        </w:rPr>
        <w:fldChar w:fldCharType="end"/>
      </w:r>
      <w:r>
        <w:tab/>
        <w:t>Festlegung von Farbgruppen aus den RHS-Farbkarten (Dokument TC/52/22)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pPr>
        <w:ind w:left="567" w:hanging="567"/>
        <w:rPr>
          <w:rFonts w:cs="Arial"/>
          <w:b/>
          <w:snapToGrid w:val="0"/>
        </w:rPr>
      </w:pPr>
      <w:r w:rsidRPr="006A0471">
        <w:rPr>
          <w:rFonts w:cs="Arial"/>
          <w:snapToGrid w:val="0"/>
        </w:rPr>
        <w:fldChar w:fldCharType="begin"/>
      </w:r>
      <w:r w:rsidRPr="006A0471">
        <w:rPr>
          <w:rFonts w:cs="Arial"/>
          <w:snapToGrid w:val="0"/>
        </w:rPr>
        <w:instrText xml:space="preserve"> AUTONUM  </w:instrText>
      </w:r>
      <w:r w:rsidRPr="006A0471">
        <w:rPr>
          <w:rFonts w:cs="Arial"/>
          <w:snapToGrid w:val="0"/>
        </w:rPr>
        <w:fldChar w:fldCharType="end"/>
      </w:r>
      <w:r>
        <w:tab/>
        <w:t>Statistische Verfahren für visuell erfaßte Merkmale (Dokument TC/52/23)</w:t>
      </w:r>
    </w:p>
    <w:p w:rsidR="002110B2" w:rsidRPr="006A0471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2110B2" w:rsidRPr="006A0471" w:rsidRDefault="002110B2" w:rsidP="005D32A1">
      <w:pPr>
        <w:ind w:left="567" w:hanging="567"/>
        <w:rPr>
          <w:rFonts w:cs="Arial"/>
          <w:snapToGrid w:val="0"/>
        </w:rPr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Vorbereitende Arbeitstagungen (Dokument TC/52/13)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Prüfungsrichtlinien (Dokument TC/52/2, TC/52/24, TC/52/25, TC/52/26 und TC/52/27)</w:t>
      </w:r>
    </w:p>
    <w:p w:rsidR="0013039A" w:rsidRPr="006A0471" w:rsidRDefault="0013039A" w:rsidP="005D32A1"/>
    <w:p w:rsidR="002110B2" w:rsidRPr="006A0471" w:rsidRDefault="002110B2" w:rsidP="005D32A1">
      <w:pPr>
        <w:ind w:left="567" w:hanging="567"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Liste der Gattungen und Arten, für die die Behörden über praktische Erfahrung bei der Prüfung der Unterscheidbarkeit, Homogenität und Beständigkeit verfügen (Dokument TC/52/4)</w:t>
      </w:r>
    </w:p>
    <w:p w:rsidR="002110B2" w:rsidRPr="006A0471" w:rsidRDefault="002110B2" w:rsidP="005D32A1">
      <w:pPr>
        <w:ind w:left="567" w:hanging="567"/>
      </w:pPr>
    </w:p>
    <w:p w:rsidR="002110B2" w:rsidRPr="006A0471" w:rsidRDefault="002110B2" w:rsidP="005D32A1"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Programm für die dreiundfünfzigste Tagung</w:t>
      </w:r>
    </w:p>
    <w:p w:rsidR="002110B2" w:rsidRPr="006A0471" w:rsidRDefault="002110B2" w:rsidP="005D32A1"/>
    <w:p w:rsidR="002110B2" w:rsidRPr="006A0471" w:rsidRDefault="002110B2" w:rsidP="00B24935">
      <w:pPr>
        <w:keepNext/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Annahme des Berichts (sofern zeitlich möglich)</w:t>
      </w:r>
    </w:p>
    <w:p w:rsidR="002110B2" w:rsidRPr="006A0471" w:rsidRDefault="002110B2" w:rsidP="00B24935">
      <w:pPr>
        <w:keepNext/>
        <w:ind w:left="567" w:hanging="567"/>
      </w:pPr>
    </w:p>
    <w:p w:rsidR="002110B2" w:rsidRPr="006A0471" w:rsidRDefault="002110B2" w:rsidP="0099332F">
      <w:pPr>
        <w:ind w:left="567" w:hanging="567"/>
        <w:rPr>
          <w:snapToGrid w:val="0"/>
        </w:rPr>
      </w:pPr>
      <w:r w:rsidRPr="006A0471">
        <w:fldChar w:fldCharType="begin"/>
      </w:r>
      <w:r w:rsidRPr="006A0471">
        <w:instrText xml:space="preserve"> AUTONUM  </w:instrText>
      </w:r>
      <w:r w:rsidRPr="006A0471">
        <w:fldChar w:fldCharType="end"/>
      </w:r>
      <w:r>
        <w:tab/>
        <w:t>Schließung der Tagung</w:t>
      </w:r>
    </w:p>
    <w:p w:rsidR="00F67EB0" w:rsidRDefault="00F67EB0" w:rsidP="008D2DEF">
      <w:pPr>
        <w:jc w:val="right"/>
      </w:pPr>
    </w:p>
    <w:p w:rsidR="00103311" w:rsidRPr="006A0471" w:rsidRDefault="002110B2" w:rsidP="008D2DEF">
      <w:pPr>
        <w:jc w:val="right"/>
        <w:rPr>
          <w:snapToGrid w:val="0"/>
        </w:rPr>
      </w:pPr>
      <w:r>
        <w:t>[Ende des Dokuments]</w:t>
      </w:r>
    </w:p>
    <w:sectPr w:rsidR="00103311" w:rsidRPr="006A0471" w:rsidSect="00F67EB0">
      <w:headerReference w:type="default" r:id="rId9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79F" w:rsidRDefault="00BD379F" w:rsidP="006655D3">
      <w:r>
        <w:separator/>
      </w:r>
    </w:p>
    <w:p w:rsidR="00BD379F" w:rsidRDefault="00BD379F" w:rsidP="006655D3"/>
    <w:p w:rsidR="00BD379F" w:rsidRDefault="00BD379F" w:rsidP="006655D3"/>
  </w:endnote>
  <w:endnote w:type="continuationSeparator" w:id="0">
    <w:p w:rsidR="00BD379F" w:rsidRDefault="00BD379F" w:rsidP="006655D3">
      <w:r>
        <w:separator/>
      </w:r>
    </w:p>
    <w:p w:rsidR="00BD379F" w:rsidRPr="00103311" w:rsidRDefault="00BD379F">
      <w:pPr>
        <w:pStyle w:val="Footer"/>
        <w:spacing w:after="60"/>
        <w:rPr>
          <w:sz w:val="18"/>
          <w:lang w:val="fr-FR"/>
        </w:rPr>
      </w:pPr>
      <w:r w:rsidRPr="00103311">
        <w:rPr>
          <w:sz w:val="18"/>
          <w:lang w:val="fr-FR"/>
        </w:rPr>
        <w:t>[Suite de la note de la page précédente]</w:t>
      </w:r>
    </w:p>
    <w:p w:rsidR="00BD379F" w:rsidRPr="00103311" w:rsidRDefault="00BD379F" w:rsidP="006655D3">
      <w:pPr>
        <w:rPr>
          <w:lang w:val="fr-FR"/>
        </w:rPr>
      </w:pPr>
    </w:p>
    <w:p w:rsidR="00BD379F" w:rsidRPr="00103311" w:rsidRDefault="00BD379F" w:rsidP="006655D3">
      <w:pPr>
        <w:rPr>
          <w:lang w:val="fr-FR"/>
        </w:rPr>
      </w:pPr>
    </w:p>
  </w:endnote>
  <w:endnote w:type="continuationNotice" w:id="1">
    <w:p w:rsidR="00BD379F" w:rsidRPr="00103311" w:rsidRDefault="00BD379F" w:rsidP="006655D3">
      <w:pPr>
        <w:rPr>
          <w:lang w:val="fr-FR"/>
        </w:rPr>
      </w:pPr>
      <w:r w:rsidRPr="00103311">
        <w:rPr>
          <w:lang w:val="fr-FR"/>
        </w:rPr>
        <w:t>[Suite de la note page suivante]</w:t>
      </w:r>
    </w:p>
    <w:p w:rsidR="00BD379F" w:rsidRPr="00103311" w:rsidRDefault="00BD379F" w:rsidP="006655D3">
      <w:pPr>
        <w:rPr>
          <w:lang w:val="fr-FR"/>
        </w:rPr>
      </w:pPr>
    </w:p>
    <w:p w:rsidR="00BD379F" w:rsidRPr="00103311" w:rsidRDefault="00BD379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79F" w:rsidRDefault="00BD379F" w:rsidP="006655D3">
      <w:r>
        <w:separator/>
      </w:r>
    </w:p>
  </w:footnote>
  <w:footnote w:type="continuationSeparator" w:id="0">
    <w:p w:rsidR="00BD379F" w:rsidRDefault="00BD379F" w:rsidP="006655D3">
      <w:r>
        <w:separator/>
      </w:r>
    </w:p>
  </w:footnote>
  <w:footnote w:type="continuationNotice" w:id="1">
    <w:p w:rsidR="00BD379F" w:rsidRPr="00AB530F" w:rsidRDefault="00BD379F" w:rsidP="00AB530F">
      <w:pPr>
        <w:pStyle w:val="Footer"/>
      </w:pPr>
    </w:p>
  </w:footnote>
  <w:footnote w:id="2">
    <w:p w:rsidR="00B24935" w:rsidRDefault="00B24935" w:rsidP="00B24935">
      <w:pPr>
        <w:pStyle w:val="FootnoteText"/>
        <w:ind w:left="0" w:firstLine="0"/>
      </w:pPr>
      <w:r>
        <w:rPr>
          <w:u w:val="single"/>
        </w:rPr>
        <w:t xml:space="preserve">Die Tagung wird am Sitz der UPOV (34, chemin des Colombettes, Genf, Schweiz) stattfinden.  Sie wird am Montag, dem 14. März 2016 um 9.30 Uhr beginnen und am </w:t>
      </w:r>
      <w:r w:rsidR="003B7AA3">
        <w:rPr>
          <w:u w:val="single"/>
        </w:rPr>
        <w:t>Mittwoch</w:t>
      </w:r>
      <w:r>
        <w:rPr>
          <w:u w:val="single"/>
        </w:rPr>
        <w:t>, dem 16. März 2016 um 17.30 Uhr enden.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</w:rPr>
    </w:pPr>
    <w:r>
      <w:rPr>
        <w:rStyle w:val="PageNumber"/>
      </w:rPr>
      <w:t>TC/52/1</w:t>
    </w:r>
    <w:r w:rsidR="00B84A94">
      <w:rPr>
        <w:rStyle w:val="PageNumber"/>
      </w:rPr>
      <w:t xml:space="preserve"> </w:t>
    </w:r>
    <w:proofErr w:type="spellStart"/>
    <w:r w:rsidR="00B84A94">
      <w:rPr>
        <w:rStyle w:val="PageNumber"/>
      </w:rPr>
      <w:t>Rev</w:t>
    </w:r>
    <w:proofErr w:type="spellEnd"/>
    <w:r w:rsidR="00B84A94">
      <w:rPr>
        <w:rStyle w:val="PageNumber"/>
      </w:rPr>
      <w:t>.</w:t>
    </w:r>
  </w:p>
  <w:p w:rsidR="00182B99" w:rsidRPr="00C5280D" w:rsidRDefault="00182B99" w:rsidP="00EB048E">
    <w:pPr>
      <w:pStyle w:val="Header"/>
    </w:pPr>
    <w:r>
      <w:t>Seite</w:t>
    </w:r>
    <w:r w:rsidR="00B84A94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F5BC3">
      <w:rPr>
        <w:rStyle w:val="PageNumber"/>
        <w:noProof/>
      </w:rPr>
      <w:t>1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1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0E98"/>
    <w:rsid w:val="000F2F11"/>
    <w:rsid w:val="000F5BC3"/>
    <w:rsid w:val="00103311"/>
    <w:rsid w:val="00105929"/>
    <w:rsid w:val="00110C36"/>
    <w:rsid w:val="001131D5"/>
    <w:rsid w:val="0013039A"/>
    <w:rsid w:val="00141DB8"/>
    <w:rsid w:val="0017474A"/>
    <w:rsid w:val="001758C6"/>
    <w:rsid w:val="00182B99"/>
    <w:rsid w:val="002110B2"/>
    <w:rsid w:val="0021332C"/>
    <w:rsid w:val="00213982"/>
    <w:rsid w:val="00222589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0395"/>
    <w:rsid w:val="003152FE"/>
    <w:rsid w:val="00315CE1"/>
    <w:rsid w:val="00327436"/>
    <w:rsid w:val="003303D8"/>
    <w:rsid w:val="00344BD6"/>
    <w:rsid w:val="0035528D"/>
    <w:rsid w:val="00355FB5"/>
    <w:rsid w:val="00361821"/>
    <w:rsid w:val="00376A88"/>
    <w:rsid w:val="003B7AA3"/>
    <w:rsid w:val="003D227C"/>
    <w:rsid w:val="003D2B4D"/>
    <w:rsid w:val="0040166D"/>
    <w:rsid w:val="00444A88"/>
    <w:rsid w:val="00474DA4"/>
    <w:rsid w:val="00476B4D"/>
    <w:rsid w:val="004805FA"/>
    <w:rsid w:val="004935D2"/>
    <w:rsid w:val="004B02AE"/>
    <w:rsid w:val="004B1215"/>
    <w:rsid w:val="004D047D"/>
    <w:rsid w:val="004E3448"/>
    <w:rsid w:val="004F305A"/>
    <w:rsid w:val="00512164"/>
    <w:rsid w:val="00520297"/>
    <w:rsid w:val="005338F9"/>
    <w:rsid w:val="0054281C"/>
    <w:rsid w:val="0055268D"/>
    <w:rsid w:val="00576BE4"/>
    <w:rsid w:val="005A400A"/>
    <w:rsid w:val="005D07B9"/>
    <w:rsid w:val="005D32A1"/>
    <w:rsid w:val="00604073"/>
    <w:rsid w:val="00612379"/>
    <w:rsid w:val="0061555F"/>
    <w:rsid w:val="00641200"/>
    <w:rsid w:val="006655D3"/>
    <w:rsid w:val="00667404"/>
    <w:rsid w:val="00687EB4"/>
    <w:rsid w:val="006A0471"/>
    <w:rsid w:val="006B17D2"/>
    <w:rsid w:val="006C224E"/>
    <w:rsid w:val="006C4620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5DBA"/>
    <w:rsid w:val="007F498F"/>
    <w:rsid w:val="0080679D"/>
    <w:rsid w:val="008108B0"/>
    <w:rsid w:val="00811B20"/>
    <w:rsid w:val="0082296E"/>
    <w:rsid w:val="00824099"/>
    <w:rsid w:val="00846D7C"/>
    <w:rsid w:val="00867AC1"/>
    <w:rsid w:val="008A743F"/>
    <w:rsid w:val="008C0970"/>
    <w:rsid w:val="008C4A92"/>
    <w:rsid w:val="008D0BC5"/>
    <w:rsid w:val="008D2CF7"/>
    <w:rsid w:val="008D2DEF"/>
    <w:rsid w:val="00900C26"/>
    <w:rsid w:val="0090197F"/>
    <w:rsid w:val="00906DDC"/>
    <w:rsid w:val="00934E09"/>
    <w:rsid w:val="00936253"/>
    <w:rsid w:val="00952DD4"/>
    <w:rsid w:val="00970FED"/>
    <w:rsid w:val="00992D82"/>
    <w:rsid w:val="0099332F"/>
    <w:rsid w:val="00997029"/>
    <w:rsid w:val="009B440E"/>
    <w:rsid w:val="009D690D"/>
    <w:rsid w:val="009E65B6"/>
    <w:rsid w:val="00A0548D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F1256"/>
    <w:rsid w:val="00B07301"/>
    <w:rsid w:val="00B224DE"/>
    <w:rsid w:val="00B24935"/>
    <w:rsid w:val="00B324D4"/>
    <w:rsid w:val="00B46575"/>
    <w:rsid w:val="00B84A94"/>
    <w:rsid w:val="00B84BBD"/>
    <w:rsid w:val="00BA43FB"/>
    <w:rsid w:val="00BB581C"/>
    <w:rsid w:val="00BC127D"/>
    <w:rsid w:val="00BC1FE6"/>
    <w:rsid w:val="00BD379F"/>
    <w:rsid w:val="00BF665F"/>
    <w:rsid w:val="00C061B6"/>
    <w:rsid w:val="00C230F9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E05DF"/>
    <w:rsid w:val="00CE065B"/>
    <w:rsid w:val="00CE209C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D08AC"/>
    <w:rsid w:val="00DF5C7A"/>
    <w:rsid w:val="00DF76B3"/>
    <w:rsid w:val="00E32F7E"/>
    <w:rsid w:val="00E72D49"/>
    <w:rsid w:val="00E7593C"/>
    <w:rsid w:val="00E7678A"/>
    <w:rsid w:val="00E935F1"/>
    <w:rsid w:val="00E94A81"/>
    <w:rsid w:val="00E94C7E"/>
    <w:rsid w:val="00EA1FFB"/>
    <w:rsid w:val="00EB048E"/>
    <w:rsid w:val="00EE34DF"/>
    <w:rsid w:val="00EF2F89"/>
    <w:rsid w:val="00EF6D0E"/>
    <w:rsid w:val="00F1237A"/>
    <w:rsid w:val="00F22CBD"/>
    <w:rsid w:val="00F45372"/>
    <w:rsid w:val="00F560F7"/>
    <w:rsid w:val="00F6334D"/>
    <w:rsid w:val="00F67EB0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B24935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B2493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F8C0-ABA8-4C66-903F-A9924E0E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tc_52_EN.dotx</Template>
  <TotalTime>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TC/50</vt:lpstr>
      <vt:lpstr>TC/50</vt:lpstr>
    </vt:vector>
  </TitlesOfParts>
  <Company>UPOV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REZENDE TAVEIRA Leontino</dc:creator>
  <cp:lastModifiedBy>SANCHEZ-VIZCAINO GOMEZ Rosa Maria</cp:lastModifiedBy>
  <cp:revision>8</cp:revision>
  <cp:lastPrinted>2016-03-03T08:36:00Z</cp:lastPrinted>
  <dcterms:created xsi:type="dcterms:W3CDTF">2016-03-01T13:54:00Z</dcterms:created>
  <dcterms:modified xsi:type="dcterms:W3CDTF">2016-03-03T08:36:00Z</dcterms:modified>
</cp:coreProperties>
</file>