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Pr>
                <w:noProof/>
                <w:lang w:val="en-US" w:eastAsia="zh-CN" w:bidi="ar-SA"/>
              </w:rPr>
              <w:drawing>
                <wp:inline distT="0" distB="0" distL="0" distR="0">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t>G</w:t>
            </w:r>
          </w:p>
          <w:p w:rsidR="00ED52D7" w:rsidRPr="006B6D27" w:rsidRDefault="00520DB0" w:rsidP="004B5437">
            <w:pPr>
              <w:pStyle w:val="Docoriginal"/>
            </w:pPr>
            <w:r>
              <w:t>TC/52/17</w:t>
            </w:r>
          </w:p>
          <w:p w:rsidR="00ED52D7" w:rsidRPr="006B6D27" w:rsidRDefault="00ED52D7" w:rsidP="004B5437">
            <w:pPr>
              <w:pStyle w:val="Docoriginal"/>
              <w:rPr>
                <w:b w:val="0"/>
                <w:spacing w:val="0"/>
              </w:rPr>
            </w:pPr>
            <w:r>
              <w:rPr>
                <w:rStyle w:val="StyleDoclangBold"/>
                <w:b/>
                <w:spacing w:val="0"/>
              </w:rPr>
              <w:t>ORIGINAL</w:t>
            </w:r>
            <w:r w:rsidRPr="00815647">
              <w:rPr>
                <w:rStyle w:val="StyleDoclangBold"/>
                <w:b/>
                <w:spacing w:val="0"/>
              </w:rPr>
              <w:t>:</w:t>
            </w:r>
            <w:r>
              <w:rPr>
                <w:rStyle w:val="StyleDocoriginalNotBold1"/>
                <w:spacing w:val="0"/>
              </w:rPr>
              <w:t xml:space="preserve"> </w:t>
            </w:r>
            <w:r>
              <w:rPr>
                <w:b w:val="0"/>
                <w:spacing w:val="0"/>
              </w:rPr>
              <w:t>englisch</w:t>
            </w:r>
          </w:p>
          <w:p w:rsidR="00ED52D7" w:rsidRPr="00C5280D" w:rsidRDefault="00ED52D7" w:rsidP="00D41BD4">
            <w:pPr>
              <w:pStyle w:val="Docoriginal"/>
            </w:pPr>
            <w:r>
              <w:t>DATUM:</w:t>
            </w:r>
            <w:r>
              <w:rPr>
                <w:rStyle w:val="StyleDocoriginalNotBold1"/>
                <w:spacing w:val="0"/>
              </w:rPr>
              <w:t xml:space="preserve"> </w:t>
            </w:r>
            <w:r>
              <w:t xml:space="preserve"> </w:t>
            </w:r>
            <w:r w:rsidR="00A61D4A">
              <w:rPr>
                <w:b w:val="0"/>
              </w:rPr>
              <w:t>27</w:t>
            </w:r>
            <w:r w:rsidRPr="00815647">
              <w:rPr>
                <w:b w:val="0"/>
              </w:rPr>
              <w:t>. Januar</w:t>
            </w:r>
            <w:r w:rsidRPr="00815647">
              <w:rPr>
                <w:b w:val="0"/>
                <w:spacing w:val="0"/>
              </w:rPr>
              <w:t xml:space="preserve"> 2016</w:t>
            </w:r>
          </w:p>
        </w:tc>
      </w:tr>
      <w:tr w:rsidR="00ED52D7" w:rsidRPr="00C5280D" w:rsidTr="00ED52D7">
        <w:tc>
          <w:tcPr>
            <w:tcW w:w="10131" w:type="dxa"/>
            <w:gridSpan w:val="3"/>
          </w:tcPr>
          <w:p w:rsidR="00ED52D7" w:rsidRPr="00C5280D" w:rsidRDefault="00ED52D7" w:rsidP="004B5437">
            <w:pPr>
              <w:pStyle w:val="upove"/>
              <w:rPr>
                <w:sz w:val="28"/>
              </w:rPr>
            </w:pPr>
            <w:r>
              <w:t xml:space="preserve">INTERNATIONALER VERBAND ZUM SCHUTZ VON PFLANZENZÜCHTUNGEN </w:t>
            </w:r>
          </w:p>
        </w:tc>
      </w:tr>
      <w:tr w:rsidR="00ED52D7" w:rsidRPr="00C5280D" w:rsidTr="00ED52D7">
        <w:tc>
          <w:tcPr>
            <w:tcW w:w="10131" w:type="dxa"/>
            <w:gridSpan w:val="3"/>
          </w:tcPr>
          <w:p w:rsidR="00ED52D7" w:rsidRPr="00C5280D" w:rsidRDefault="00ED52D7" w:rsidP="004B5437">
            <w:pPr>
              <w:pStyle w:val="Country"/>
            </w:pPr>
            <w:r>
              <w:t>Genf</w:t>
            </w:r>
          </w:p>
        </w:tc>
      </w:tr>
    </w:tbl>
    <w:p w:rsidR="00ED52D7" w:rsidRPr="00C5280D" w:rsidRDefault="00ED52D7" w:rsidP="00ED52D7">
      <w:pPr>
        <w:pStyle w:val="Sessiontc"/>
      </w:pPr>
      <w:r>
        <w:t>Technischer Ausschuss</w:t>
      </w:r>
    </w:p>
    <w:p w:rsidR="00ED52D7" w:rsidRPr="00C5280D" w:rsidRDefault="00ED52D7" w:rsidP="00ED52D7">
      <w:pPr>
        <w:pStyle w:val="Sessiontcplacedate"/>
      </w:pPr>
      <w:r>
        <w:t>Zweiundfünfzigste Tagung</w:t>
      </w:r>
      <w:r>
        <w:br/>
        <w:t>Genf, 14. bis 16. März 2016</w:t>
      </w:r>
    </w:p>
    <w:p w:rsidR="00ED52D7" w:rsidRPr="00C5280D" w:rsidRDefault="00ED52D7" w:rsidP="00ED52D7">
      <w:pPr>
        <w:pStyle w:val="Titleofdoc0"/>
      </w:pPr>
      <w:r>
        <w:t>Überarbeitung von Dokument TGP/8: Teil II: Ausgewählte Verfahren für die DUS</w:t>
      </w:r>
      <w:r w:rsidR="00815647">
        <w:noBreakHyphen/>
      </w:r>
      <w:r>
        <w:t>Prüfung, Abschnitt 9: DAS KOMBINIERTE HOMOGENITÄTSKRITERIUM ÜBER MEHRERE JAHRE (COYU)</w:t>
      </w:r>
    </w:p>
    <w:p w:rsidR="00ED52D7" w:rsidRPr="00C5280D" w:rsidRDefault="00ED52D7" w:rsidP="00ED52D7">
      <w:pPr>
        <w:pStyle w:val="preparedby1"/>
      </w:pPr>
      <w:bookmarkStart w:id="0" w:name="Prepared"/>
      <w:bookmarkEnd w:id="0"/>
      <w:r>
        <w:t>vom Verbandsbüro erstelltes Dokument</w:t>
      </w:r>
      <w:r>
        <w:br/>
      </w:r>
      <w:r>
        <w:br/>
      </w:r>
      <w:r>
        <w:rPr>
          <w:color w:val="A6A6A6" w:themeColor="background1" w:themeShade="A6"/>
        </w:rPr>
        <w:t>Haftungsausschluß: dieses Dokument gibt nicht die Grundsätze oder eine Anleitung der UPOV wieder</w:t>
      </w:r>
    </w:p>
    <w:p w:rsidR="00604A31" w:rsidRDefault="00604A31" w:rsidP="00604A31">
      <w:pPr>
        <w:pStyle w:val="Heading1"/>
      </w:pPr>
      <w:bookmarkStart w:id="1" w:name="_Ref438649598"/>
      <w:bookmarkStart w:id="2" w:name="_Toc441496115"/>
      <w:bookmarkStart w:id="3" w:name="_Toc441750245"/>
      <w:r>
        <w:t>ZUSAMMENFASSUNG</w:t>
      </w:r>
      <w:bookmarkEnd w:id="1"/>
      <w:bookmarkEnd w:id="2"/>
      <w:bookmarkEnd w:id="3"/>
    </w:p>
    <w:p w:rsidR="00604A31" w:rsidRDefault="00604A31" w:rsidP="00604A31"/>
    <w:p w:rsidR="00BE4B61" w:rsidRPr="00AC360C" w:rsidRDefault="001154CD" w:rsidP="00BE4B61">
      <w:r w:rsidRPr="00AC360C">
        <w:fldChar w:fldCharType="begin"/>
      </w:r>
      <w:r w:rsidR="00BE4B61" w:rsidRPr="00AC360C">
        <w:instrText xml:space="preserve"> AUTONUM  </w:instrText>
      </w:r>
      <w:r w:rsidRPr="00AC360C">
        <w:fldChar w:fldCharType="end"/>
      </w:r>
      <w:r w:rsidR="00BE4B61">
        <w:tab/>
        <w:t>Zweck dieses Dokuments ist es, über Entwicklungen betreffend die Methode zur Berechnung des kombinierten Homogenitätskriteriums über mehrere Jahre (COYU) zu berichten.</w:t>
      </w:r>
    </w:p>
    <w:p w:rsidR="00BE4B61" w:rsidRDefault="00BE4B61" w:rsidP="00BE4B61"/>
    <w:p w:rsidR="00604A31" w:rsidRDefault="001154CD" w:rsidP="00604A31">
      <w:r w:rsidRPr="00AC360C">
        <w:fldChar w:fldCharType="begin"/>
      </w:r>
      <w:r w:rsidR="00604A31" w:rsidRPr="00AC360C">
        <w:instrText xml:space="preserve"> AUTONUM  </w:instrText>
      </w:r>
      <w:r w:rsidRPr="00AC360C">
        <w:fldChar w:fldCharType="end"/>
      </w:r>
      <w:r w:rsidR="00604A31">
        <w:tab/>
        <w:t>Der TC wird ersucht, zur Kenntnis zu nehmen, daß:</w:t>
      </w:r>
    </w:p>
    <w:p w:rsidR="00604A31" w:rsidRDefault="00604A31" w:rsidP="00604A31"/>
    <w:p w:rsidR="00A96E44" w:rsidRDefault="00A96E44" w:rsidP="00A96E44">
      <w:r>
        <w:t>a)</w:t>
      </w:r>
      <w:r>
        <w:tab/>
        <w:t>Sachverständige aus Finnland, Frankreich, Deutschland, Kenia und dem Vereinigten Königreich</w:t>
      </w:r>
      <w:r w:rsidR="0001220B">
        <w:t xml:space="preserve"> </w:t>
      </w:r>
      <w:r>
        <w:t>an dem Versuch zum Testen der Software für das neue Verfahren für die Berechnung von COYU teilnahmen;</w:t>
      </w:r>
    </w:p>
    <w:p w:rsidR="00A96E44" w:rsidRDefault="00A96E44" w:rsidP="00A96E44"/>
    <w:p w:rsidR="00A96E44" w:rsidRDefault="00A96E44" w:rsidP="00A96E44">
      <w:r>
        <w:t>b)</w:t>
      </w:r>
      <w:r>
        <w:tab/>
        <w:t xml:space="preserve">die TWC übereinkam, daß das neue Verfahren für die Berechnung von COYU in der Praxis gut funktioniert und vereinbarte, den Sachverständigen aus dem Vereinigten Königreich zu ersuchen, Anleitung zu Hochrechnungen zu erteilen, wenn </w:t>
      </w:r>
      <w:r w:rsidR="00815647">
        <w:t xml:space="preserve">die </w:t>
      </w:r>
      <w:r>
        <w:t>Kandidaten</w:t>
      </w:r>
      <w:r w:rsidR="00815647">
        <w:t>sorte</w:t>
      </w:r>
      <w:r>
        <w:t xml:space="preserve"> eine Ausprägungsstufe aufweis</w:t>
      </w:r>
      <w:r w:rsidR="00815647">
        <w:t>t</w:t>
      </w:r>
      <w:r>
        <w:t>, die außerhalb der Referenzsorten liegt;</w:t>
      </w:r>
    </w:p>
    <w:p w:rsidR="00A96E44" w:rsidRDefault="00A96E44" w:rsidP="00A96E44"/>
    <w:p w:rsidR="00A96E44" w:rsidRDefault="00A96E44" w:rsidP="00A96E44">
      <w:r>
        <w:t>c)</w:t>
      </w:r>
      <w:r>
        <w:tab/>
        <w:t xml:space="preserve"> die TWC anmerkte, daß umfangreichere Datensätze getestet werden müssten, um Wahrscheinlichkeitsniveaus für das neue Verfahren entwickeln zu können.</w:t>
      </w:r>
      <w:r w:rsidR="0001220B">
        <w:t xml:space="preserve"> </w:t>
      </w:r>
      <w:r>
        <w:t>Solche Datensätze sollten mindestens 100 Kandidatensorten umfassen, wobei die Daten dieser 100 Sorten aus mehreren Jahren stammen könnten;</w:t>
      </w:r>
    </w:p>
    <w:p w:rsidR="00A96E44" w:rsidRDefault="00A96E44" w:rsidP="00A96E44"/>
    <w:p w:rsidR="00A96E44" w:rsidRDefault="00A96E44" w:rsidP="00A96E44">
      <w:r>
        <w:t>d)</w:t>
      </w:r>
      <w:r>
        <w:tab/>
        <w:t>die TWC vereinbarte, Sachverständige aus China und Frankreich zu ersuchen, sich an den nächsten Schritten der praktischen Versuche zu beteiligen und ihre Datensätze zur Verwendung beim Testen bereitzustellen; und</w:t>
      </w:r>
    </w:p>
    <w:p w:rsidR="00A96E44" w:rsidRDefault="00A96E44" w:rsidP="00A96E44"/>
    <w:p w:rsidR="00604A31" w:rsidRDefault="00A96E44" w:rsidP="00A96E44">
      <w:r>
        <w:t>e)</w:t>
      </w:r>
      <w:r>
        <w:tab/>
        <w:t>die TWC vorschlug, die TWA zu ersuchen umfangreichere Datensätze zu Feldsorten bereitzustellen, um geeignete Wahrscheinlichkeitsniveaus für die neue Berechnungsmethode von COYU zu ermitteln.</w:t>
      </w:r>
    </w:p>
    <w:p w:rsidR="00A96E44" w:rsidRDefault="00A96E44" w:rsidP="00A96E44"/>
    <w:p w:rsidR="00BE4B61" w:rsidRPr="009B48EB" w:rsidRDefault="001154CD" w:rsidP="00BE4B61">
      <w:pPr>
        <w:rPr>
          <w:rFonts w:cs="Arial"/>
          <w:color w:val="000000"/>
        </w:rPr>
      </w:pPr>
      <w:r w:rsidRPr="009B48EB">
        <w:fldChar w:fldCharType="begin"/>
      </w:r>
      <w:r w:rsidR="00BE4B61" w:rsidRPr="009B48EB">
        <w:instrText xml:space="preserve"> AUTONUM  </w:instrText>
      </w:r>
      <w:r w:rsidRPr="009B48EB">
        <w:fldChar w:fldCharType="end"/>
      </w:r>
      <w:r w:rsidR="00BE4B61">
        <w:tab/>
        <w:t>In diesem Dokument werden folgende Abkürzungen verwendet:</w:t>
      </w:r>
    </w:p>
    <w:p w:rsidR="00BE4B61" w:rsidRPr="009B48EB" w:rsidRDefault="00BE4B61" w:rsidP="00BE4B61">
      <w:pPr>
        <w:rPr>
          <w:rFonts w:cs="Arial"/>
          <w:color w:val="000000"/>
        </w:rPr>
      </w:pPr>
    </w:p>
    <w:p w:rsidR="00BE4B61" w:rsidRPr="009B48EB" w:rsidRDefault="00BE4B61" w:rsidP="00BE4B61">
      <w:pPr>
        <w:rPr>
          <w:rFonts w:cs="Arial"/>
        </w:rPr>
      </w:pPr>
      <w:r>
        <w:tab/>
        <w:t xml:space="preserve">TC:  </w:t>
      </w:r>
      <w:r>
        <w:tab/>
      </w:r>
      <w:r>
        <w:tab/>
        <w:t>Technischer Ausschuß</w:t>
      </w:r>
    </w:p>
    <w:p w:rsidR="00BE4B61" w:rsidRPr="009B48EB" w:rsidRDefault="00BE4B61" w:rsidP="00BE4B61">
      <w:pPr>
        <w:rPr>
          <w:rFonts w:eastAsia="PMingLiU" w:cs="Arial"/>
          <w:szCs w:val="24"/>
        </w:rPr>
      </w:pPr>
      <w:r>
        <w:tab/>
        <w:t xml:space="preserve">TC-EDC:  </w:t>
      </w:r>
      <w:r>
        <w:tab/>
        <w:t>Erweiterter Redaktionsausschuß</w:t>
      </w:r>
    </w:p>
    <w:p w:rsidR="00BE4B61" w:rsidRPr="009B48EB" w:rsidRDefault="0001220B" w:rsidP="00BE4B61">
      <w:pPr>
        <w:rPr>
          <w:rFonts w:eastAsia="PMingLiU" w:cs="Arial"/>
          <w:szCs w:val="24"/>
        </w:rPr>
      </w:pPr>
      <w:r>
        <w:tab/>
        <w:t xml:space="preserve">TWA:  </w:t>
      </w:r>
      <w:r>
        <w:tab/>
      </w:r>
      <w:r w:rsidR="00BE4B61">
        <w:t>Technische Arbeitsgruppe für landwirtschaftliche Arten</w:t>
      </w:r>
    </w:p>
    <w:p w:rsidR="00BE4B61" w:rsidRPr="009B48EB" w:rsidRDefault="00BE4B61" w:rsidP="00BE4B61">
      <w:pPr>
        <w:rPr>
          <w:rFonts w:eastAsia="PMingLiU" w:cs="Arial"/>
          <w:szCs w:val="24"/>
        </w:rPr>
      </w:pPr>
      <w:r>
        <w:tab/>
        <w:t xml:space="preserve">TWC:  </w:t>
      </w:r>
      <w:r>
        <w:tab/>
        <w:t>Technische Arbeitsgruppe für Automatisierung und Computerprogramme</w:t>
      </w:r>
    </w:p>
    <w:p w:rsidR="00BE4B61" w:rsidRPr="009B48EB" w:rsidRDefault="0001220B" w:rsidP="00BE4B61">
      <w:pPr>
        <w:rPr>
          <w:rFonts w:eastAsia="PMingLiU" w:cs="Arial"/>
          <w:szCs w:val="24"/>
        </w:rPr>
      </w:pPr>
      <w:r>
        <w:tab/>
        <w:t xml:space="preserve">TWF:  </w:t>
      </w:r>
      <w:r>
        <w:tab/>
      </w:r>
      <w:r w:rsidR="00BE4B61">
        <w:t>Technische Arbeitsgruppe für Obstarten</w:t>
      </w:r>
    </w:p>
    <w:p w:rsidR="00BE4B61" w:rsidRPr="009B48EB" w:rsidRDefault="0001220B" w:rsidP="00BE4B61">
      <w:pPr>
        <w:rPr>
          <w:rFonts w:eastAsia="PMingLiU" w:cs="Arial"/>
          <w:szCs w:val="24"/>
        </w:rPr>
      </w:pPr>
      <w:r>
        <w:tab/>
        <w:t xml:space="preserve">TWO:  </w:t>
      </w:r>
      <w:r>
        <w:tab/>
      </w:r>
      <w:r w:rsidR="00BE4B61">
        <w:t>Technische Arbeitsgruppe für Zierpflanzen und forstliche Baumarten</w:t>
      </w:r>
    </w:p>
    <w:p w:rsidR="00BE4B61" w:rsidRPr="009B48EB" w:rsidRDefault="00BE4B61" w:rsidP="00BE4B61">
      <w:pPr>
        <w:rPr>
          <w:rFonts w:eastAsia="PMingLiU" w:cs="Arial"/>
          <w:szCs w:val="24"/>
        </w:rPr>
      </w:pPr>
      <w:r>
        <w:lastRenderedPageBreak/>
        <w:tab/>
        <w:t>TWP:</w:t>
      </w:r>
      <w:r>
        <w:tab/>
      </w:r>
      <w:r>
        <w:tab/>
        <w:t>Technische Arbeitsgruppen</w:t>
      </w:r>
    </w:p>
    <w:p w:rsidR="00604A31" w:rsidRDefault="0001220B" w:rsidP="00815647">
      <w:r>
        <w:tab/>
        <w:t xml:space="preserve">TWV:  </w:t>
      </w:r>
      <w:r>
        <w:tab/>
      </w:r>
      <w:r w:rsidR="00BE4B61">
        <w:t>Technische Arbeitsgruppe für Gemüsearten</w:t>
      </w:r>
    </w:p>
    <w:p w:rsidR="00815647" w:rsidRDefault="00815647" w:rsidP="00815647"/>
    <w:p w:rsidR="00604A31" w:rsidRDefault="001154CD" w:rsidP="00604A31">
      <w:pPr>
        <w:rPr>
          <w:rFonts w:cs="Arial"/>
        </w:rPr>
      </w:pPr>
      <w:r w:rsidRPr="004D24C8">
        <w:rPr>
          <w:rFonts w:cs="Arial"/>
        </w:rPr>
        <w:fldChar w:fldCharType="begin"/>
      </w:r>
      <w:r w:rsidR="00604A31" w:rsidRPr="004D24C8">
        <w:rPr>
          <w:rFonts w:cs="Arial"/>
        </w:rPr>
        <w:instrText xml:space="preserve"> AUTONUM  </w:instrText>
      </w:r>
      <w:r w:rsidRPr="004D24C8">
        <w:rPr>
          <w:rFonts w:cs="Arial"/>
        </w:rPr>
        <w:fldChar w:fldCharType="end"/>
      </w:r>
      <w:r w:rsidR="00604A31">
        <w:tab/>
        <w:t>Der Aufbau dieses Dokuments ist nachstehend zusammengefasst:</w:t>
      </w:r>
    </w:p>
    <w:p w:rsidR="00604A31" w:rsidRDefault="00604A31" w:rsidP="00604A31">
      <w:pPr>
        <w:rPr>
          <w:caps/>
        </w:rPr>
      </w:pPr>
    </w:p>
    <w:p w:rsidR="0001220B" w:rsidRDefault="001154CD">
      <w:pPr>
        <w:pStyle w:val="TOC1"/>
        <w:rPr>
          <w:rFonts w:asciiTheme="minorHAnsi" w:hAnsiTheme="minorHAnsi" w:cstheme="minorBidi"/>
          <w:caps w:val="0"/>
          <w:noProof/>
          <w:sz w:val="22"/>
          <w:szCs w:val="22"/>
          <w:lang w:val="fr-FR" w:eastAsia="fr-FR" w:bidi="ar-SA"/>
        </w:rPr>
      </w:pPr>
      <w:r>
        <w:rPr>
          <w:snapToGrid w:val="0"/>
        </w:rPr>
        <w:fldChar w:fldCharType="begin"/>
      </w:r>
      <w:r w:rsidR="00604A31" w:rsidRPr="0001220B">
        <w:rPr>
          <w:snapToGrid w:val="0"/>
          <w:lang w:val="en-US"/>
        </w:rPr>
        <w:instrText xml:space="preserve"> TOC \o "1-3" \h \z \u </w:instrText>
      </w:r>
      <w:r>
        <w:rPr>
          <w:snapToGrid w:val="0"/>
        </w:rPr>
        <w:fldChar w:fldCharType="separate"/>
      </w:r>
      <w:hyperlink w:anchor="_Toc441750245" w:history="1">
        <w:r w:rsidR="0001220B" w:rsidRPr="008337C6">
          <w:rPr>
            <w:rStyle w:val="Hyperlink"/>
            <w:noProof/>
          </w:rPr>
          <w:t>ZUSAMMENFASSUNG</w:t>
        </w:r>
        <w:r w:rsidR="0001220B">
          <w:rPr>
            <w:noProof/>
            <w:webHidden/>
          </w:rPr>
          <w:tab/>
        </w:r>
        <w:r w:rsidR="0001220B">
          <w:rPr>
            <w:noProof/>
            <w:webHidden/>
          </w:rPr>
          <w:fldChar w:fldCharType="begin"/>
        </w:r>
        <w:r w:rsidR="0001220B">
          <w:rPr>
            <w:noProof/>
            <w:webHidden/>
          </w:rPr>
          <w:instrText xml:space="preserve"> PAGEREF _Toc441750245 \h </w:instrText>
        </w:r>
        <w:r w:rsidR="0001220B">
          <w:rPr>
            <w:noProof/>
            <w:webHidden/>
          </w:rPr>
        </w:r>
        <w:r w:rsidR="0001220B">
          <w:rPr>
            <w:noProof/>
            <w:webHidden/>
          </w:rPr>
          <w:fldChar w:fldCharType="separate"/>
        </w:r>
        <w:r w:rsidR="00224009">
          <w:rPr>
            <w:noProof/>
            <w:webHidden/>
          </w:rPr>
          <w:t>1</w:t>
        </w:r>
        <w:r w:rsidR="0001220B">
          <w:rPr>
            <w:noProof/>
            <w:webHidden/>
          </w:rPr>
          <w:fldChar w:fldCharType="end"/>
        </w:r>
      </w:hyperlink>
    </w:p>
    <w:p w:rsidR="0001220B" w:rsidRDefault="009A4274">
      <w:pPr>
        <w:pStyle w:val="TOC1"/>
        <w:rPr>
          <w:rFonts w:asciiTheme="minorHAnsi" w:hAnsiTheme="minorHAnsi" w:cstheme="minorBidi"/>
          <w:caps w:val="0"/>
          <w:noProof/>
          <w:sz w:val="22"/>
          <w:szCs w:val="22"/>
          <w:lang w:val="fr-FR" w:eastAsia="fr-FR" w:bidi="ar-SA"/>
        </w:rPr>
      </w:pPr>
      <w:hyperlink w:anchor="_Toc441750246" w:history="1">
        <w:r w:rsidR="0001220B" w:rsidRPr="008337C6">
          <w:rPr>
            <w:rStyle w:val="Hyperlink"/>
            <w:noProof/>
          </w:rPr>
          <w:t>HINTERGRUND</w:t>
        </w:r>
        <w:r w:rsidR="0001220B">
          <w:rPr>
            <w:noProof/>
            <w:webHidden/>
          </w:rPr>
          <w:tab/>
        </w:r>
        <w:r w:rsidR="0001220B">
          <w:rPr>
            <w:noProof/>
            <w:webHidden/>
          </w:rPr>
          <w:fldChar w:fldCharType="begin"/>
        </w:r>
        <w:r w:rsidR="0001220B">
          <w:rPr>
            <w:noProof/>
            <w:webHidden/>
          </w:rPr>
          <w:instrText xml:space="preserve"> PAGEREF _Toc441750246 \h </w:instrText>
        </w:r>
        <w:r w:rsidR="0001220B">
          <w:rPr>
            <w:noProof/>
            <w:webHidden/>
          </w:rPr>
        </w:r>
        <w:r w:rsidR="0001220B">
          <w:rPr>
            <w:noProof/>
            <w:webHidden/>
          </w:rPr>
          <w:fldChar w:fldCharType="separate"/>
        </w:r>
        <w:r w:rsidR="00224009">
          <w:rPr>
            <w:noProof/>
            <w:webHidden/>
          </w:rPr>
          <w:t>2</w:t>
        </w:r>
        <w:r w:rsidR="0001220B">
          <w:rPr>
            <w:noProof/>
            <w:webHidden/>
          </w:rPr>
          <w:fldChar w:fldCharType="end"/>
        </w:r>
      </w:hyperlink>
    </w:p>
    <w:p w:rsidR="0001220B" w:rsidRDefault="009A4274">
      <w:pPr>
        <w:pStyle w:val="TOC1"/>
        <w:rPr>
          <w:rFonts w:asciiTheme="minorHAnsi" w:hAnsiTheme="minorHAnsi" w:cstheme="minorBidi"/>
          <w:caps w:val="0"/>
          <w:noProof/>
          <w:sz w:val="22"/>
          <w:szCs w:val="22"/>
          <w:lang w:val="fr-FR" w:eastAsia="fr-FR" w:bidi="ar-SA"/>
        </w:rPr>
      </w:pPr>
      <w:hyperlink w:anchor="_Toc441750247" w:history="1">
        <w:r w:rsidR="0001220B" w:rsidRPr="008337C6">
          <w:rPr>
            <w:rStyle w:val="Hyperlink"/>
            <w:noProof/>
          </w:rPr>
          <w:t>ENTWICKLUNGEN IM JAHR 2015</w:t>
        </w:r>
        <w:r w:rsidR="0001220B">
          <w:rPr>
            <w:noProof/>
            <w:webHidden/>
          </w:rPr>
          <w:tab/>
        </w:r>
        <w:r w:rsidR="0001220B">
          <w:rPr>
            <w:noProof/>
            <w:webHidden/>
          </w:rPr>
          <w:fldChar w:fldCharType="begin"/>
        </w:r>
        <w:r w:rsidR="0001220B">
          <w:rPr>
            <w:noProof/>
            <w:webHidden/>
          </w:rPr>
          <w:instrText xml:space="preserve"> PAGEREF _Toc441750247 \h </w:instrText>
        </w:r>
        <w:r w:rsidR="0001220B">
          <w:rPr>
            <w:noProof/>
            <w:webHidden/>
          </w:rPr>
        </w:r>
        <w:r w:rsidR="0001220B">
          <w:rPr>
            <w:noProof/>
            <w:webHidden/>
          </w:rPr>
          <w:fldChar w:fldCharType="separate"/>
        </w:r>
        <w:r w:rsidR="00224009">
          <w:rPr>
            <w:noProof/>
            <w:webHidden/>
          </w:rPr>
          <w:t>2</w:t>
        </w:r>
        <w:r w:rsidR="0001220B">
          <w:rPr>
            <w:noProof/>
            <w:webHidden/>
          </w:rPr>
          <w:fldChar w:fldCharType="end"/>
        </w:r>
      </w:hyperlink>
    </w:p>
    <w:p w:rsidR="0001220B" w:rsidRDefault="009A4274">
      <w:pPr>
        <w:pStyle w:val="TOC2"/>
        <w:rPr>
          <w:rFonts w:asciiTheme="minorHAnsi" w:hAnsiTheme="minorHAnsi" w:cstheme="minorBidi"/>
          <w:smallCaps w:val="0"/>
          <w:noProof/>
          <w:sz w:val="22"/>
          <w:szCs w:val="22"/>
          <w:lang w:val="fr-FR" w:eastAsia="fr-FR" w:bidi="ar-SA"/>
        </w:rPr>
      </w:pPr>
      <w:hyperlink w:anchor="_Toc441750248" w:history="1">
        <w:r w:rsidR="0001220B" w:rsidRPr="008337C6">
          <w:rPr>
            <w:rStyle w:val="Hyperlink"/>
            <w:noProof/>
          </w:rPr>
          <w:t>Technischer Ausschu</w:t>
        </w:r>
        <w:r w:rsidR="00815647">
          <w:rPr>
            <w:rStyle w:val="Hyperlink"/>
            <w:noProof/>
          </w:rPr>
          <w:t>ss</w:t>
        </w:r>
        <w:r w:rsidR="0001220B">
          <w:rPr>
            <w:noProof/>
            <w:webHidden/>
          </w:rPr>
          <w:tab/>
        </w:r>
        <w:r w:rsidR="0001220B">
          <w:rPr>
            <w:noProof/>
            <w:webHidden/>
          </w:rPr>
          <w:fldChar w:fldCharType="begin"/>
        </w:r>
        <w:r w:rsidR="0001220B">
          <w:rPr>
            <w:noProof/>
            <w:webHidden/>
          </w:rPr>
          <w:instrText xml:space="preserve"> PAGEREF _Toc441750248 \h </w:instrText>
        </w:r>
        <w:r w:rsidR="0001220B">
          <w:rPr>
            <w:noProof/>
            <w:webHidden/>
          </w:rPr>
        </w:r>
        <w:r w:rsidR="0001220B">
          <w:rPr>
            <w:noProof/>
            <w:webHidden/>
          </w:rPr>
          <w:fldChar w:fldCharType="separate"/>
        </w:r>
        <w:r w:rsidR="00224009">
          <w:rPr>
            <w:noProof/>
            <w:webHidden/>
          </w:rPr>
          <w:t>2</w:t>
        </w:r>
        <w:r w:rsidR="0001220B">
          <w:rPr>
            <w:noProof/>
            <w:webHidden/>
          </w:rPr>
          <w:fldChar w:fldCharType="end"/>
        </w:r>
      </w:hyperlink>
    </w:p>
    <w:p w:rsidR="0001220B" w:rsidRDefault="009A4274">
      <w:pPr>
        <w:pStyle w:val="TOC2"/>
        <w:rPr>
          <w:rFonts w:asciiTheme="minorHAnsi" w:hAnsiTheme="minorHAnsi" w:cstheme="minorBidi"/>
          <w:smallCaps w:val="0"/>
          <w:noProof/>
          <w:sz w:val="22"/>
          <w:szCs w:val="22"/>
          <w:lang w:val="fr-FR" w:eastAsia="fr-FR" w:bidi="ar-SA"/>
        </w:rPr>
      </w:pPr>
      <w:hyperlink w:anchor="_Toc441750249" w:history="1">
        <w:r w:rsidR="0001220B" w:rsidRPr="008337C6">
          <w:rPr>
            <w:rStyle w:val="Hyperlink"/>
            <w:noProof/>
          </w:rPr>
          <w:t>Technische Arbeitsgruppen</w:t>
        </w:r>
        <w:r w:rsidR="0001220B">
          <w:rPr>
            <w:noProof/>
            <w:webHidden/>
          </w:rPr>
          <w:tab/>
        </w:r>
        <w:r w:rsidR="0001220B">
          <w:rPr>
            <w:noProof/>
            <w:webHidden/>
          </w:rPr>
          <w:fldChar w:fldCharType="begin"/>
        </w:r>
        <w:r w:rsidR="0001220B">
          <w:rPr>
            <w:noProof/>
            <w:webHidden/>
          </w:rPr>
          <w:instrText xml:space="preserve"> PAGEREF _Toc441750249 \h </w:instrText>
        </w:r>
        <w:r w:rsidR="0001220B">
          <w:rPr>
            <w:noProof/>
            <w:webHidden/>
          </w:rPr>
        </w:r>
        <w:r w:rsidR="0001220B">
          <w:rPr>
            <w:noProof/>
            <w:webHidden/>
          </w:rPr>
          <w:fldChar w:fldCharType="separate"/>
        </w:r>
        <w:r w:rsidR="00224009">
          <w:rPr>
            <w:noProof/>
            <w:webHidden/>
          </w:rPr>
          <w:t>2</w:t>
        </w:r>
        <w:r w:rsidR="0001220B">
          <w:rPr>
            <w:noProof/>
            <w:webHidden/>
          </w:rPr>
          <w:fldChar w:fldCharType="end"/>
        </w:r>
      </w:hyperlink>
    </w:p>
    <w:p w:rsidR="00B40567" w:rsidRPr="0001220B" w:rsidRDefault="001154CD">
      <w:pPr>
        <w:pStyle w:val="TOC1"/>
        <w:rPr>
          <w:rFonts w:asciiTheme="minorHAnsi" w:hAnsiTheme="minorHAnsi" w:cstheme="minorBidi"/>
          <w:caps w:val="0"/>
          <w:noProof/>
          <w:sz w:val="22"/>
          <w:szCs w:val="22"/>
          <w:lang w:val="en-US"/>
        </w:rPr>
      </w:pPr>
      <w:r>
        <w:rPr>
          <w:caps w:val="0"/>
          <w:smallCaps/>
          <w:snapToGrid w:val="0"/>
        </w:rPr>
        <w:fldChar w:fldCharType="end"/>
      </w:r>
    </w:p>
    <w:p w:rsidR="00F41AAB" w:rsidRPr="0001220B" w:rsidRDefault="00604A31" w:rsidP="00604A31">
      <w:pPr>
        <w:ind w:left="1418" w:hanging="1418"/>
        <w:rPr>
          <w:lang w:val="en-US"/>
        </w:rPr>
      </w:pPr>
      <w:r w:rsidRPr="0001220B">
        <w:rPr>
          <w:lang w:val="en-US"/>
        </w:rPr>
        <w:t>ANLAGE:</w:t>
      </w:r>
      <w:r w:rsidRPr="0001220B">
        <w:rPr>
          <w:lang w:val="en-US"/>
        </w:rPr>
        <w:tab/>
        <w:t>New Statistical Method for Visually Observed Characteristics with Multinomial Distributed Data (</w:t>
      </w:r>
      <w:proofErr w:type="spellStart"/>
      <w:r w:rsidRPr="0001220B">
        <w:rPr>
          <w:lang w:val="en-US"/>
        </w:rPr>
        <w:t>nur</w:t>
      </w:r>
      <w:proofErr w:type="spellEnd"/>
      <w:r w:rsidRPr="0001220B">
        <w:rPr>
          <w:lang w:val="en-US"/>
        </w:rPr>
        <w:t xml:space="preserve"> in </w:t>
      </w:r>
      <w:proofErr w:type="spellStart"/>
      <w:r w:rsidRPr="0001220B">
        <w:rPr>
          <w:lang w:val="en-US"/>
        </w:rPr>
        <w:t>Englisch</w:t>
      </w:r>
      <w:proofErr w:type="spellEnd"/>
      <w:r w:rsidRPr="0001220B">
        <w:rPr>
          <w:lang w:val="en-US"/>
        </w:rPr>
        <w:t>)</w:t>
      </w:r>
    </w:p>
    <w:p w:rsidR="00604A31" w:rsidRPr="0001220B" w:rsidRDefault="00604A31" w:rsidP="00BE4B61">
      <w:pPr>
        <w:rPr>
          <w:lang w:val="en-US"/>
        </w:rPr>
      </w:pPr>
    </w:p>
    <w:p w:rsidR="00BE4B61" w:rsidRPr="0001220B" w:rsidRDefault="00BE4B61" w:rsidP="00BE4B61">
      <w:pPr>
        <w:rPr>
          <w:lang w:val="en-US"/>
        </w:rPr>
      </w:pPr>
    </w:p>
    <w:p w:rsidR="00BE4B61" w:rsidRPr="00AC360C" w:rsidRDefault="00BE4B61" w:rsidP="00103733">
      <w:pPr>
        <w:pStyle w:val="Heading1"/>
      </w:pPr>
      <w:bookmarkStart w:id="4" w:name="_Toc441496116"/>
      <w:bookmarkStart w:id="5" w:name="_Toc441750246"/>
      <w:r>
        <w:t>HINTERGRUND</w:t>
      </w:r>
      <w:bookmarkEnd w:id="4"/>
      <w:bookmarkEnd w:id="5"/>
    </w:p>
    <w:p w:rsidR="00BE4B61" w:rsidRDefault="00BE4B61" w:rsidP="00BE4B61">
      <w:pPr>
        <w:rPr>
          <w:u w:val="single"/>
        </w:rPr>
      </w:pPr>
    </w:p>
    <w:p w:rsidR="00BE4B61" w:rsidRDefault="001154CD" w:rsidP="00BE4B61">
      <w:pPr>
        <w:rPr>
          <w:szCs w:val="24"/>
        </w:rPr>
      </w:pPr>
      <w:r w:rsidRPr="005623A7">
        <w:fldChar w:fldCharType="begin"/>
      </w:r>
      <w:r w:rsidR="00BE4B61" w:rsidRPr="005623A7">
        <w:instrText xml:space="preserve"> AUTONUM  </w:instrText>
      </w:r>
      <w:r w:rsidRPr="005623A7">
        <w:fldChar w:fldCharType="end"/>
      </w:r>
      <w:r w:rsidR="00BE4B61">
        <w:tab/>
        <w:t>Der Hintergrund zu dieser Angelegenheit ist in</w:t>
      </w:r>
      <w:r w:rsidR="0001220B">
        <w:t xml:space="preserve"> </w:t>
      </w:r>
      <w:r w:rsidR="00BE4B61">
        <w:t>Dokument TC/5</w:t>
      </w:r>
      <w:r w:rsidR="00815647">
        <w:t>1</w:t>
      </w:r>
      <w:r w:rsidR="00BE4B61">
        <w:t>/</w:t>
      </w:r>
      <w:r w:rsidR="00815647">
        <w:t>17</w:t>
      </w:r>
      <w:r w:rsidR="00BE4B61">
        <w:t xml:space="preserve"> „Überarbeitung von Dokument TGP/8: Teil II: Ausgewählte Verfahren für die DUS-Prüfung, Abschnitt 9: Das kombinierte Homogenitätskriterium über mehrere Jahre (COYU)</w:t>
      </w:r>
    </w:p>
    <w:p w:rsidR="00BE4B61" w:rsidRDefault="00BE4B61" w:rsidP="00BE4B61">
      <w:pPr>
        <w:rPr>
          <w:u w:val="single"/>
        </w:rPr>
      </w:pPr>
    </w:p>
    <w:p w:rsidR="00BE4B61" w:rsidRDefault="00BE4B61" w:rsidP="00BE4B61">
      <w:pPr>
        <w:keepNext/>
        <w:keepLines/>
        <w:rPr>
          <w:color w:val="000000"/>
        </w:rPr>
      </w:pPr>
    </w:p>
    <w:p w:rsidR="00BE4B61" w:rsidRDefault="00BE4B61" w:rsidP="00103733">
      <w:pPr>
        <w:pStyle w:val="Heading1"/>
      </w:pPr>
      <w:bookmarkStart w:id="6" w:name="_Toc441496117"/>
      <w:bookmarkStart w:id="7" w:name="_Toc441750247"/>
      <w:r>
        <w:t>ENTWICKLUNGEN IM JAHR 2015</w:t>
      </w:r>
      <w:bookmarkEnd w:id="6"/>
      <w:bookmarkEnd w:id="7"/>
    </w:p>
    <w:p w:rsidR="00BE4B61" w:rsidRDefault="00BE4B61" w:rsidP="00BE4B61">
      <w:pPr>
        <w:keepNext/>
        <w:keepLines/>
      </w:pPr>
    </w:p>
    <w:p w:rsidR="00BE4B61" w:rsidRDefault="00BE4B61" w:rsidP="00BE4B61">
      <w:pPr>
        <w:pStyle w:val="Heading2"/>
        <w:rPr>
          <w:snapToGrid w:val="0"/>
        </w:rPr>
      </w:pPr>
      <w:bookmarkStart w:id="8" w:name="_Toc441496118"/>
      <w:bookmarkStart w:id="9" w:name="_Toc441750248"/>
      <w:r>
        <w:t>Technischer Ausschuß</w:t>
      </w:r>
      <w:bookmarkEnd w:id="8"/>
      <w:bookmarkEnd w:id="9"/>
    </w:p>
    <w:p w:rsidR="00BE4B61" w:rsidRDefault="00BE4B61" w:rsidP="00BE4B61">
      <w:pPr>
        <w:keepNext/>
        <w:keepLines/>
        <w:rPr>
          <w:color w:val="000000"/>
        </w:rPr>
      </w:pPr>
    </w:p>
    <w:p w:rsidR="00DF02BC" w:rsidRDefault="001154CD" w:rsidP="00DF02BC">
      <w:r>
        <w:rPr>
          <w:rFonts w:cs="Arial"/>
        </w:rPr>
        <w:fldChar w:fldCharType="begin"/>
      </w:r>
      <w:r w:rsidR="00DF02BC">
        <w:rPr>
          <w:rFonts w:cs="Arial"/>
        </w:rPr>
        <w:instrText xml:space="preserve"> AUTONUM  </w:instrText>
      </w:r>
      <w:r>
        <w:rPr>
          <w:rFonts w:cs="Arial"/>
        </w:rPr>
        <w:fldChar w:fldCharType="end"/>
      </w:r>
      <w:r w:rsidR="00DF02BC">
        <w:tab/>
        <w:t>Der TC prüfte auf seiner einundfünfzisten Tagung vom 23. bis 25. März 2015 in Genf das Dokument TC/51/17 „Überarbeitung von Dokument TGP/8: Teil II: Ausgewählte Verfahren für die DUS-Prüfung, Abschnitt 9: Das kombinierte Homogenitätskriterium über mehrere Jahre (COYU)“ und einen praktischen Versuch anhand von realen Daten zum Vergleich von Entscheidungen, die unter Verwendung des derzeitigen und des vorgeschlagenen verbesserten Verfahrens zur Berechnung von COYU getroffen wurden (vergleiche Dokument TC/51/39 „Bericht”, Absätze 134 bis 138).</w:t>
      </w:r>
    </w:p>
    <w:p w:rsidR="00DF02BC" w:rsidRDefault="00DF02BC" w:rsidP="00DF02BC">
      <w:pPr>
        <w:pStyle w:val="Default"/>
        <w:rPr>
          <w:sz w:val="20"/>
          <w:szCs w:val="20"/>
        </w:rPr>
      </w:pPr>
    </w:p>
    <w:p w:rsidR="00DF02BC" w:rsidRDefault="001154CD" w:rsidP="00DF02BC">
      <w:r>
        <w:rPr>
          <w:rFonts w:cs="Arial"/>
        </w:rPr>
        <w:fldChar w:fldCharType="begin"/>
      </w:r>
      <w:r w:rsidR="00DF02BC">
        <w:rPr>
          <w:rFonts w:cs="Arial"/>
        </w:rPr>
        <w:instrText xml:space="preserve"> AUTONUM  </w:instrText>
      </w:r>
      <w:r>
        <w:rPr>
          <w:rFonts w:cs="Arial"/>
        </w:rPr>
        <w:fldChar w:fldCharType="end"/>
      </w:r>
      <w:r w:rsidR="00DF02BC">
        <w:tab/>
        <w:t xml:space="preserve">Der TC nahm zur Kenntnis, daß die Teilnehmer an dem Versuch zum Testen der Software für das neue Verfahren für die Berechnung von COYU folgendes tun sollten: </w:t>
      </w:r>
    </w:p>
    <w:p w:rsidR="008E02DD" w:rsidRDefault="008E02DD" w:rsidP="00DF02BC"/>
    <w:p w:rsidR="00DF02BC" w:rsidRDefault="00DF02BC" w:rsidP="00DF02BC">
      <w:pPr>
        <w:pStyle w:val="Default"/>
        <w:ind w:firstLine="567"/>
        <w:rPr>
          <w:sz w:val="20"/>
          <w:szCs w:val="20"/>
        </w:rPr>
      </w:pPr>
      <w:r>
        <w:rPr>
          <w:sz w:val="20"/>
        </w:rPr>
        <w:t xml:space="preserve">i) </w:t>
      </w:r>
      <w:r>
        <w:tab/>
      </w:r>
      <w:r>
        <w:rPr>
          <w:sz w:val="20"/>
        </w:rPr>
        <w:t>versuchen, Wahrscheinlichkeitsniveaus festzulegen, um Entscheidungen, die unter Verwendung des früheren COYU-Verfahrens getroffen wurden, abzugleichen;</w:t>
      </w:r>
      <w:r w:rsidR="0001220B">
        <w:t xml:space="preserve"> </w:t>
      </w:r>
    </w:p>
    <w:p w:rsidR="00DF02BC" w:rsidRDefault="00DF02BC" w:rsidP="00DF02BC">
      <w:pPr>
        <w:pStyle w:val="Default"/>
        <w:ind w:firstLine="567"/>
        <w:rPr>
          <w:sz w:val="20"/>
          <w:szCs w:val="20"/>
        </w:rPr>
      </w:pPr>
      <w:r>
        <w:rPr>
          <w:sz w:val="20"/>
        </w:rPr>
        <w:t xml:space="preserve">ii) </w:t>
      </w:r>
      <w:r>
        <w:tab/>
      </w:r>
      <w:r>
        <w:rPr>
          <w:sz w:val="20"/>
        </w:rPr>
        <w:t xml:space="preserve">den Test für Zurückweisungswahrscheinlichkeiten von Niveaus von 1, 2 und 5 % durchführen; und </w:t>
      </w:r>
    </w:p>
    <w:p w:rsidR="00604A31" w:rsidRDefault="00DF02BC" w:rsidP="00604A31">
      <w:pPr>
        <w:pStyle w:val="Default"/>
        <w:ind w:firstLine="567"/>
        <w:rPr>
          <w:sz w:val="20"/>
          <w:szCs w:val="20"/>
        </w:rPr>
      </w:pPr>
      <w:r>
        <w:rPr>
          <w:sz w:val="20"/>
        </w:rPr>
        <w:t xml:space="preserve">iii) </w:t>
      </w:r>
      <w:r>
        <w:tab/>
      </w:r>
      <w:r>
        <w:rPr>
          <w:sz w:val="20"/>
        </w:rPr>
        <w:t xml:space="preserve">beurteilen, ob die Ergebnisse bei allen Pflanzen übereinstimmen. </w:t>
      </w:r>
    </w:p>
    <w:p w:rsidR="00604A31" w:rsidRDefault="00604A31" w:rsidP="00604A31">
      <w:pPr>
        <w:pStyle w:val="Default"/>
        <w:ind w:firstLine="567"/>
        <w:rPr>
          <w:sz w:val="20"/>
          <w:szCs w:val="20"/>
        </w:rPr>
      </w:pPr>
    </w:p>
    <w:p w:rsidR="00DF02BC" w:rsidRDefault="001154CD" w:rsidP="00564DD8">
      <w:pPr>
        <w:pStyle w:val="Default"/>
        <w:jc w:val="both"/>
        <w:rPr>
          <w:color w:val="auto"/>
          <w:sz w:val="20"/>
          <w:szCs w:val="20"/>
        </w:rPr>
      </w:pPr>
      <w:r w:rsidRPr="005F49C5">
        <w:rPr>
          <w:color w:val="auto"/>
          <w:sz w:val="20"/>
          <w:szCs w:val="20"/>
        </w:rPr>
        <w:fldChar w:fldCharType="begin"/>
      </w:r>
      <w:r w:rsidR="005F49C5" w:rsidRPr="005F49C5">
        <w:rPr>
          <w:color w:val="auto"/>
          <w:sz w:val="20"/>
          <w:szCs w:val="20"/>
        </w:rPr>
        <w:instrText xml:space="preserve"> AUTONUM  </w:instrText>
      </w:r>
      <w:r w:rsidRPr="005F49C5">
        <w:rPr>
          <w:color w:val="auto"/>
          <w:sz w:val="20"/>
          <w:szCs w:val="20"/>
        </w:rPr>
        <w:fldChar w:fldCharType="end"/>
      </w:r>
      <w:r w:rsidR="005F49C5">
        <w:tab/>
      </w:r>
      <w:r w:rsidR="005F49C5">
        <w:rPr>
          <w:color w:val="auto"/>
          <w:sz w:val="20"/>
        </w:rPr>
        <w:t>Der TC nahm zur Kenntnis, daß der Sachverständige aus dem Vereinigten Königreich das Softwaremodul für die Berechnung von COYU und das Anleitungsdokument an die Teilnehmer des Versuchs versandt hat.</w:t>
      </w:r>
    </w:p>
    <w:p w:rsidR="005F49C5" w:rsidRDefault="005F49C5" w:rsidP="00DF02BC">
      <w:pPr>
        <w:pStyle w:val="Default"/>
        <w:rPr>
          <w:color w:val="auto"/>
          <w:sz w:val="20"/>
          <w:szCs w:val="20"/>
        </w:rPr>
      </w:pPr>
    </w:p>
    <w:p w:rsidR="00DF02BC" w:rsidRDefault="001154CD" w:rsidP="005F49C5">
      <w:pPr>
        <w:pStyle w:val="Default"/>
        <w:jc w:val="both"/>
        <w:rPr>
          <w:color w:val="auto"/>
          <w:sz w:val="20"/>
          <w:szCs w:val="20"/>
        </w:rPr>
      </w:pPr>
      <w:r w:rsidRPr="005F49C5">
        <w:rPr>
          <w:color w:val="auto"/>
          <w:sz w:val="20"/>
          <w:szCs w:val="20"/>
        </w:rPr>
        <w:fldChar w:fldCharType="begin"/>
      </w:r>
      <w:r w:rsidR="005F49C5" w:rsidRPr="005F49C5">
        <w:rPr>
          <w:color w:val="auto"/>
          <w:sz w:val="20"/>
          <w:szCs w:val="20"/>
        </w:rPr>
        <w:instrText xml:space="preserve"> AUTONUM  </w:instrText>
      </w:r>
      <w:r w:rsidRPr="005F49C5">
        <w:rPr>
          <w:color w:val="auto"/>
          <w:sz w:val="20"/>
          <w:szCs w:val="20"/>
        </w:rPr>
        <w:fldChar w:fldCharType="end"/>
      </w:r>
      <w:r w:rsidR="005F49C5">
        <w:tab/>
      </w:r>
      <w:r w:rsidR="005F49C5">
        <w:rPr>
          <w:color w:val="auto"/>
          <w:sz w:val="20"/>
        </w:rPr>
        <w:t>Der TC nahm zur Kenntnis, daß die Sachverständigen aus Deutschland, Finnland, Frankreich, Kenia, Polen, der Tschechischen Republik und dem Vereinigten Königreich an dem Versuch zum Testen der neuen Software für COYU teilnehmen würden.</w:t>
      </w:r>
    </w:p>
    <w:p w:rsidR="005F49C5" w:rsidRDefault="005F49C5" w:rsidP="00DF02BC">
      <w:pPr>
        <w:pStyle w:val="Default"/>
        <w:rPr>
          <w:color w:val="auto"/>
          <w:sz w:val="20"/>
          <w:szCs w:val="20"/>
        </w:rPr>
      </w:pPr>
    </w:p>
    <w:p w:rsidR="00DF02BC" w:rsidRDefault="001154CD" w:rsidP="005F49C5">
      <w:pPr>
        <w:keepNext/>
        <w:keepLines/>
        <w:rPr>
          <w:color w:val="000000"/>
        </w:rPr>
      </w:pPr>
      <w:r w:rsidRPr="005F49C5">
        <w:fldChar w:fldCharType="begin"/>
      </w:r>
      <w:r w:rsidR="005F49C5" w:rsidRPr="005F49C5">
        <w:instrText xml:space="preserve"> AUTONUM  </w:instrText>
      </w:r>
      <w:r w:rsidRPr="005F49C5">
        <w:fldChar w:fldCharType="end"/>
      </w:r>
      <w:r w:rsidR="005F49C5">
        <w:tab/>
        <w:t>Der TC nahm zur Kenntnis, daß auf der dreiunddreißigsten Tagung der TWC ein Bericht über den praktischen Versuch und die Entwicklung des DUST-Moduls vorgelegt werde.</w:t>
      </w:r>
    </w:p>
    <w:p w:rsidR="00BE4B61" w:rsidRDefault="00BE4B61" w:rsidP="00BE4B61">
      <w:pPr>
        <w:keepNext/>
        <w:keepLines/>
        <w:rPr>
          <w:color w:val="000000"/>
        </w:rPr>
      </w:pPr>
    </w:p>
    <w:p w:rsidR="00BE4B61" w:rsidRDefault="00BE4B61" w:rsidP="00BE4B61">
      <w:pPr>
        <w:pStyle w:val="Heading2"/>
        <w:rPr>
          <w:snapToGrid w:val="0"/>
        </w:rPr>
      </w:pPr>
      <w:bookmarkStart w:id="10" w:name="_Toc441496119"/>
      <w:bookmarkStart w:id="11" w:name="_Toc441750249"/>
      <w:r>
        <w:t>Technische Arbeitsgruppen</w:t>
      </w:r>
      <w:bookmarkEnd w:id="10"/>
      <w:bookmarkEnd w:id="11"/>
    </w:p>
    <w:p w:rsidR="00BE4B61" w:rsidRDefault="00BE4B61" w:rsidP="00BE4B61">
      <w:pPr>
        <w:keepNext/>
        <w:keepLines/>
        <w:rPr>
          <w:color w:val="000000"/>
        </w:rPr>
      </w:pPr>
    </w:p>
    <w:p w:rsidR="00BE4B61" w:rsidRPr="009E5484" w:rsidRDefault="001154CD" w:rsidP="00BE4B61">
      <w:pPr>
        <w:rPr>
          <w:szCs w:val="24"/>
        </w:rPr>
      </w:pPr>
      <w:r>
        <w:rPr>
          <w:rFonts w:cs="Arial"/>
        </w:rPr>
        <w:fldChar w:fldCharType="begin"/>
      </w:r>
      <w:r w:rsidR="00BE4B61">
        <w:rPr>
          <w:rFonts w:cs="Arial"/>
        </w:rPr>
        <w:instrText xml:space="preserve"> AUTONUM  </w:instrText>
      </w:r>
      <w:r>
        <w:rPr>
          <w:rFonts w:cs="Arial"/>
        </w:rPr>
        <w:fldChar w:fldCharType="end"/>
      </w:r>
      <w:r w:rsidR="00BE4B61">
        <w:tab/>
        <w:t>Auf ihren Tagungen im Jahr 2015 prüften die TWV, TWC, TWA, TWF und TWO jeweils die Dokumente TWV/49/16, TWC/33/16 und TWC/33/16 Add., TWA/44/16, TWF/46/16 und TWO/48/16</w:t>
      </w:r>
      <w:r w:rsidR="00815647">
        <w:t xml:space="preserve"> </w:t>
      </w:r>
      <w:r w:rsidR="00BE4B61">
        <w:t>“Revision of document TGP/8: Part II: Selected Techniques Used in DUS Examination, Section 9: The Combined-Over-Years Uniformity Criterion (COYU)”.</w:t>
      </w:r>
    </w:p>
    <w:p w:rsidR="00BE4B61" w:rsidRDefault="00BE4B61" w:rsidP="00BE4B61">
      <w:pPr>
        <w:keepNext/>
        <w:keepLines/>
        <w:rPr>
          <w:color w:val="000000"/>
        </w:rPr>
      </w:pPr>
    </w:p>
    <w:p w:rsidR="00596AEA" w:rsidRPr="00567580" w:rsidRDefault="001154CD" w:rsidP="00596AEA">
      <w:pPr>
        <w:rPr>
          <w:snapToGrid w:val="0"/>
        </w:rPr>
      </w:pPr>
      <w:r w:rsidRPr="00AF2207">
        <w:rPr>
          <w:snapToGrid w:val="0"/>
        </w:rPr>
        <w:fldChar w:fldCharType="begin"/>
      </w:r>
      <w:r w:rsidR="00596AEA" w:rsidRPr="00AF2207">
        <w:rPr>
          <w:snapToGrid w:val="0"/>
        </w:rPr>
        <w:instrText xml:space="preserve"> AUTONUM  </w:instrText>
      </w:r>
      <w:r w:rsidRPr="00AF2207">
        <w:rPr>
          <w:snapToGrid w:val="0"/>
        </w:rPr>
        <w:fldChar w:fldCharType="end"/>
      </w:r>
      <w:r w:rsidR="00596AEA">
        <w:tab/>
        <w:t xml:space="preserve">Die TWV, TWA, TWF und TWO nahmen zur Kenntnis, daß die Teilnehmer an dem Versuch zum Testen der Software für die neue Berechnungsmethode folgendes tun sollten (vergleiche Dokumente </w:t>
      </w:r>
      <w:r w:rsidR="00596AEA">
        <w:lastRenderedPageBreak/>
        <w:t>TWV/49/32 „</w:t>
      </w:r>
      <w:r w:rsidR="00596AEA" w:rsidRPr="009A4274">
        <w:rPr>
          <w:i/>
        </w:rPr>
        <w:t>Report</w:t>
      </w:r>
      <w:r w:rsidR="00596AEA">
        <w:t>”, Absatz 45, TWA/44/23 „Report”, Absatz 38, TWF/46/29</w:t>
      </w:r>
      <w:r w:rsidR="009A4274">
        <w:t xml:space="preserve"> Rev.</w:t>
      </w:r>
      <w:r w:rsidR="00596AEA">
        <w:t xml:space="preserve"> „</w:t>
      </w:r>
      <w:r w:rsidR="009A4274" w:rsidRPr="009A4274">
        <w:rPr>
          <w:i/>
        </w:rPr>
        <w:t>Revised</w:t>
      </w:r>
      <w:r w:rsidR="009A4274">
        <w:t xml:space="preserve"> </w:t>
      </w:r>
      <w:r w:rsidR="00596AEA" w:rsidRPr="009A4274">
        <w:rPr>
          <w:i/>
        </w:rPr>
        <w:t>Report</w:t>
      </w:r>
      <w:r w:rsidR="00596AEA">
        <w:t>”, Absatz 41 und TWO/48/26 „</w:t>
      </w:r>
      <w:r w:rsidR="00596AEA" w:rsidRPr="009A4274">
        <w:rPr>
          <w:i/>
        </w:rPr>
        <w:t>Report</w:t>
      </w:r>
      <w:r w:rsidR="00596AEA">
        <w:t>”, Absatz 34):</w:t>
      </w:r>
    </w:p>
    <w:p w:rsidR="00596AEA" w:rsidRPr="00567580" w:rsidRDefault="00596AEA" w:rsidP="00596AEA">
      <w:pPr>
        <w:rPr>
          <w:snapToGrid w:val="0"/>
        </w:rPr>
      </w:pPr>
    </w:p>
    <w:p w:rsidR="00596AEA" w:rsidRPr="0001220B" w:rsidRDefault="00596AEA" w:rsidP="00406673">
      <w:pPr>
        <w:ind w:firstLine="567"/>
      </w:pPr>
      <w:r>
        <w:t>i)</w:t>
      </w:r>
      <w:r>
        <w:tab/>
        <w:t xml:space="preserve">versuchen, Wahrscheinlichkeitsniveaus festzulegen, um Entscheidungen, die unter Verwendung des früheren COYU-Verfahrens getroffen wurden, abzugleichen; </w:t>
      </w:r>
    </w:p>
    <w:p w:rsidR="00596AEA" w:rsidRPr="0001220B" w:rsidRDefault="00596AEA" w:rsidP="00406673">
      <w:pPr>
        <w:ind w:firstLine="567"/>
      </w:pPr>
      <w:r>
        <w:t>ii)</w:t>
      </w:r>
      <w:r>
        <w:tab/>
        <w:t>den Test für Zurückweisungswahrscheinlichkeiten von Niveaus von 1, 2 und 5 % durchführen; und</w:t>
      </w:r>
    </w:p>
    <w:p w:rsidR="00596AEA" w:rsidRPr="00567580" w:rsidRDefault="00596AEA" w:rsidP="00406673">
      <w:pPr>
        <w:ind w:firstLine="567"/>
        <w:rPr>
          <w:snapToGrid w:val="0"/>
        </w:rPr>
      </w:pPr>
      <w:r>
        <w:t>iii)</w:t>
      </w:r>
      <w:r>
        <w:tab/>
        <w:t>beurteilen, ob die Ergebnisse bei allen Pflanzen übereinstimmen.</w:t>
      </w:r>
    </w:p>
    <w:p w:rsidR="00AC4CF1" w:rsidRDefault="00AC4CF1" w:rsidP="00406673">
      <w:pPr>
        <w:rPr>
          <w:snapToGrid w:val="0"/>
        </w:rPr>
      </w:pPr>
    </w:p>
    <w:p w:rsidR="00406673" w:rsidRDefault="001154CD" w:rsidP="00406673">
      <w:r w:rsidRPr="00AF2207">
        <w:rPr>
          <w:snapToGrid w:val="0"/>
        </w:rPr>
        <w:fldChar w:fldCharType="begin"/>
      </w:r>
      <w:r w:rsidR="00406673" w:rsidRPr="00AF2207">
        <w:rPr>
          <w:snapToGrid w:val="0"/>
        </w:rPr>
        <w:instrText xml:space="preserve"> AUTONUM  </w:instrText>
      </w:r>
      <w:r w:rsidRPr="00AF2207">
        <w:rPr>
          <w:snapToGrid w:val="0"/>
        </w:rPr>
        <w:fldChar w:fldCharType="end"/>
      </w:r>
      <w:r w:rsidR="00406673">
        <w:tab/>
        <w:t>Die TWV, TWA, TWF und TWO nahmen zur Kenntnis, daß der Sachverständige aus dem Vereinigten Königreich das Softwaremodul für die Berechnung von COYU und das Anleitungsdokument an die Teilnehmer des Versuchs versandt hat (vergleiche Dokumente TWV/49/32 „</w:t>
      </w:r>
      <w:r w:rsidR="00406673" w:rsidRPr="009A4274">
        <w:rPr>
          <w:i/>
        </w:rPr>
        <w:t>Report</w:t>
      </w:r>
      <w:r w:rsidR="00406673">
        <w:t>”, Absatz 46, TWA/44/23 „Report”, Absatz 39, TWF/46/29</w:t>
      </w:r>
      <w:r w:rsidR="009A4274">
        <w:t xml:space="preserve"> Rev.</w:t>
      </w:r>
      <w:r w:rsidR="00406673">
        <w:t xml:space="preserve"> „</w:t>
      </w:r>
      <w:r w:rsidR="009A4274" w:rsidRPr="009A4274">
        <w:rPr>
          <w:i/>
        </w:rPr>
        <w:t>Revised</w:t>
      </w:r>
      <w:r w:rsidR="009A4274">
        <w:t xml:space="preserve"> </w:t>
      </w:r>
      <w:r w:rsidR="009A4274" w:rsidRPr="009A4274">
        <w:rPr>
          <w:i/>
        </w:rPr>
        <w:t>Report</w:t>
      </w:r>
      <w:r w:rsidR="00406673">
        <w:t>”, Absatz 42 und TWO/48/26 „</w:t>
      </w:r>
      <w:r w:rsidR="00406673" w:rsidRPr="009A4274">
        <w:rPr>
          <w:i/>
        </w:rPr>
        <w:t>Report</w:t>
      </w:r>
      <w:r w:rsidR="00406673">
        <w:t>”, Absatz 35)</w:t>
      </w:r>
      <w:r w:rsidR="00882994">
        <w:t>.</w:t>
      </w:r>
    </w:p>
    <w:p w:rsidR="00596AEA" w:rsidRDefault="00596AEA" w:rsidP="00BE4B61">
      <w:pPr>
        <w:keepNext/>
        <w:keepLines/>
        <w:rPr>
          <w:color w:val="000000"/>
        </w:rPr>
      </w:pPr>
    </w:p>
    <w:p w:rsidR="00263B47" w:rsidRDefault="001154CD" w:rsidP="00406673">
      <w:r w:rsidRPr="00AF2207">
        <w:rPr>
          <w:snapToGrid w:val="0"/>
        </w:rPr>
        <w:fldChar w:fldCharType="begin"/>
      </w:r>
      <w:r w:rsidR="00263B47" w:rsidRPr="00AF2207">
        <w:rPr>
          <w:snapToGrid w:val="0"/>
        </w:rPr>
        <w:instrText xml:space="preserve"> AUTONUM  </w:instrText>
      </w:r>
      <w:r w:rsidRPr="00AF2207">
        <w:rPr>
          <w:snapToGrid w:val="0"/>
        </w:rPr>
        <w:fldChar w:fldCharType="end"/>
      </w:r>
      <w:r w:rsidR="00263B47">
        <w:tab/>
        <w:t xml:space="preserve">Die TWV, TWA, TWF und TWO nahmen zur Kenntnis, daß die Sachverständigen aus Deutschland, Finnland, Frankreich, Kenia, Polen, der Tschechischen Republik und dem Vereinigten Königreich an dem Versuch zum Testen der neuen Software für COYU teilnehmen </w:t>
      </w:r>
      <w:r w:rsidR="00C310D2">
        <w:t xml:space="preserve">werden </w:t>
      </w:r>
      <w:r w:rsidR="00263B47">
        <w:t>(vergleiche Dokumente TWV/49/32 „</w:t>
      </w:r>
      <w:r w:rsidR="00263B47" w:rsidRPr="009A4274">
        <w:rPr>
          <w:i/>
        </w:rPr>
        <w:t>Report</w:t>
      </w:r>
      <w:r w:rsidR="00263B47">
        <w:t xml:space="preserve">”, Absatz 47, TWA/44/23 „Report”, Absatz 40, TWF/46/29 </w:t>
      </w:r>
      <w:r w:rsidR="009A4274">
        <w:t xml:space="preserve">Rev. </w:t>
      </w:r>
      <w:r w:rsidR="00263B47">
        <w:t>„</w:t>
      </w:r>
      <w:r w:rsidR="009A4274" w:rsidRPr="009A4274">
        <w:rPr>
          <w:i/>
        </w:rPr>
        <w:t>Revised</w:t>
      </w:r>
      <w:r w:rsidR="009A4274">
        <w:t xml:space="preserve"> </w:t>
      </w:r>
      <w:r w:rsidR="00263B47" w:rsidRPr="009A4274">
        <w:rPr>
          <w:i/>
        </w:rPr>
        <w:t>Report</w:t>
      </w:r>
      <w:r w:rsidR="00263B47">
        <w:t>”, Absatz 43 und TWO/48/26 „</w:t>
      </w:r>
      <w:r w:rsidR="00263B47" w:rsidRPr="009A4274">
        <w:rPr>
          <w:i/>
        </w:rPr>
        <w:t>Report</w:t>
      </w:r>
      <w:r w:rsidR="00263B47">
        <w:t>”, Absatz 36)</w:t>
      </w:r>
      <w:r w:rsidR="00882994">
        <w:t>.</w:t>
      </w:r>
    </w:p>
    <w:p w:rsidR="00406673" w:rsidRDefault="00406673" w:rsidP="00406673">
      <w:pPr>
        <w:rPr>
          <w:snapToGrid w:val="0"/>
        </w:rPr>
      </w:pPr>
    </w:p>
    <w:p w:rsidR="00406673" w:rsidRDefault="001154CD" w:rsidP="00406673">
      <w:r w:rsidRPr="00AF2207">
        <w:rPr>
          <w:snapToGrid w:val="0"/>
        </w:rPr>
        <w:fldChar w:fldCharType="begin"/>
      </w:r>
      <w:r w:rsidR="00406673" w:rsidRPr="00AF2207">
        <w:rPr>
          <w:snapToGrid w:val="0"/>
        </w:rPr>
        <w:instrText xml:space="preserve"> AUTONUM  </w:instrText>
      </w:r>
      <w:r w:rsidRPr="00AF2207">
        <w:rPr>
          <w:snapToGrid w:val="0"/>
        </w:rPr>
        <w:fldChar w:fldCharType="end"/>
      </w:r>
      <w:r w:rsidR="00406673">
        <w:tab/>
        <w:t>Die TWV nahm zur Kenntnis, daß auf der dreiunddreißigsten Tagung der TWC ein Bericht eines Sachverständigen aus dem Vereinigten Königreich über den praktischen Versuch und die Entwicklung des DUST-Moduls vorgelegt werde (vergleiche Dokument TWV/49/32 „</w:t>
      </w:r>
      <w:r w:rsidR="00406673" w:rsidRPr="009A4274">
        <w:rPr>
          <w:i/>
        </w:rPr>
        <w:t>Report</w:t>
      </w:r>
      <w:r w:rsidR="00406673">
        <w:t>”, Absatz 48).</w:t>
      </w:r>
    </w:p>
    <w:p w:rsidR="00406673" w:rsidRDefault="00406673" w:rsidP="00406673"/>
    <w:p w:rsidR="00406673" w:rsidRPr="008E02DD" w:rsidRDefault="001154CD" w:rsidP="00406673">
      <w:pPr>
        <w:rPr>
          <w:color w:val="000000"/>
        </w:rPr>
      </w:pPr>
      <w:r w:rsidRPr="008E02DD">
        <w:rPr>
          <w:snapToGrid w:val="0"/>
        </w:rPr>
        <w:fldChar w:fldCharType="begin"/>
      </w:r>
      <w:r w:rsidR="00406673" w:rsidRPr="008E02DD">
        <w:rPr>
          <w:snapToGrid w:val="0"/>
        </w:rPr>
        <w:instrText xml:space="preserve"> AUTONUM  </w:instrText>
      </w:r>
      <w:r w:rsidRPr="008E02DD">
        <w:rPr>
          <w:snapToGrid w:val="0"/>
        </w:rPr>
        <w:fldChar w:fldCharType="end"/>
      </w:r>
      <w:r w:rsidR="00406673">
        <w:tab/>
        <w:t>Die TWC nahm zur Kenntnis, daß Sachverständige aus Finnland, Frankreich, Deutschland, Kenia und dem Vereinigten Königreich an dem Versuch zum Testen der Software für das neue Berechnungsverfahren teilnahmen (vergleiche Dokument TWC/33/30 „</w:t>
      </w:r>
      <w:r w:rsidR="00406673" w:rsidRPr="009A4274">
        <w:rPr>
          <w:i/>
        </w:rPr>
        <w:t>Report</w:t>
      </w:r>
      <w:r w:rsidR="00406673">
        <w:t>”, Absatz 23).</w:t>
      </w:r>
    </w:p>
    <w:p w:rsidR="00406673" w:rsidRDefault="00406673" w:rsidP="00406673">
      <w:pPr>
        <w:rPr>
          <w:color w:val="000000"/>
        </w:rPr>
      </w:pPr>
    </w:p>
    <w:p w:rsidR="000F6871" w:rsidRPr="00340C7C" w:rsidRDefault="001154CD" w:rsidP="000F6871">
      <w:pPr>
        <w:rPr>
          <w:snapToGrid w:val="0"/>
        </w:rPr>
      </w:pPr>
      <w:r w:rsidRPr="00340C7C">
        <w:rPr>
          <w:snapToGrid w:val="0"/>
        </w:rPr>
        <w:fldChar w:fldCharType="begin"/>
      </w:r>
      <w:r w:rsidR="000F6871" w:rsidRPr="00340C7C">
        <w:rPr>
          <w:snapToGrid w:val="0"/>
        </w:rPr>
        <w:instrText xml:space="preserve"> AUTONUM  </w:instrText>
      </w:r>
      <w:r w:rsidRPr="00340C7C">
        <w:rPr>
          <w:snapToGrid w:val="0"/>
        </w:rPr>
        <w:fldChar w:fldCharType="end"/>
      </w:r>
      <w:r w:rsidR="000F6871">
        <w:tab/>
        <w:t>Die TWC prüfte den Bericht über den praktischen Versuch</w:t>
      </w:r>
      <w:r w:rsidR="00C310D2">
        <w:t xml:space="preserve"> in der Anlage zu Dokument TWC/33/16</w:t>
      </w:r>
      <w:r w:rsidR="000F6871">
        <w:t xml:space="preserve">, der von einem Sachverständigen aus dem Vereinigten Königreich </w:t>
      </w:r>
      <w:r w:rsidR="00C310D2">
        <w:t>erstellt</w:t>
      </w:r>
      <w:r w:rsidR="000F6871">
        <w:t xml:space="preserve"> wurde (vergleiche Dokument TWC/33/30 „</w:t>
      </w:r>
      <w:r w:rsidR="000F6871" w:rsidRPr="009A4274">
        <w:rPr>
          <w:i/>
        </w:rPr>
        <w:t>Report</w:t>
      </w:r>
      <w:r w:rsidR="000F6871">
        <w:t>”, Absatz 24).</w:t>
      </w:r>
      <w:r w:rsidR="0001220B">
        <w:t xml:space="preserve"> </w:t>
      </w:r>
    </w:p>
    <w:p w:rsidR="000F6871" w:rsidRPr="008E02DD" w:rsidRDefault="000F6871" w:rsidP="00406673">
      <w:pPr>
        <w:rPr>
          <w:color w:val="000000"/>
        </w:rPr>
      </w:pPr>
    </w:p>
    <w:p w:rsidR="00263B47" w:rsidRDefault="001154CD" w:rsidP="00263B47">
      <w:pPr>
        <w:rPr>
          <w:color w:val="000000"/>
        </w:rPr>
      </w:pPr>
      <w:r w:rsidRPr="008E02DD">
        <w:rPr>
          <w:snapToGrid w:val="0"/>
        </w:rPr>
        <w:fldChar w:fldCharType="begin"/>
      </w:r>
      <w:r w:rsidR="00263B47" w:rsidRPr="008E02DD">
        <w:rPr>
          <w:snapToGrid w:val="0"/>
        </w:rPr>
        <w:instrText xml:space="preserve"> AUTONUM  </w:instrText>
      </w:r>
      <w:r w:rsidRPr="008E02DD">
        <w:rPr>
          <w:snapToGrid w:val="0"/>
        </w:rPr>
        <w:fldChar w:fldCharType="end"/>
      </w:r>
      <w:r w:rsidR="00263B47">
        <w:tab/>
        <w:t>Die TWC hörte ein Referat über das „Verfahren zur Berechnung von COYU“ eines Sachverständigen aus dem Vereinigten Königreich, das in der Ergänzung zu Dokument TWC/33/16 und als Anlage zu diesem Dokument wiedergegeben ist (nur in Englisch).</w:t>
      </w:r>
      <w:r w:rsidR="0001220B">
        <w:rPr>
          <w:color w:val="000000"/>
        </w:rPr>
        <w:t xml:space="preserve"> </w:t>
      </w:r>
      <w:r w:rsidR="00263B47">
        <w:rPr>
          <w:color w:val="000000"/>
        </w:rPr>
        <w:t>Die TWC kam überein, da</w:t>
      </w:r>
      <w:r w:rsidR="0001220B">
        <w:rPr>
          <w:color w:val="000000"/>
        </w:rPr>
        <w:t>ß</w:t>
      </w:r>
      <w:r w:rsidR="00263B47">
        <w:rPr>
          <w:color w:val="000000"/>
        </w:rPr>
        <w:t xml:space="preserve"> das neue Verfahren für die Berechnung von COYU in der Praxis gut funktioniert und vereinbarte, den Sachverständigen aus dem Vereinigten Königreich zu ersuchen, Anleitung zu Hochrechnungen zu erteilen, wenn </w:t>
      </w:r>
      <w:r w:rsidR="00C310D2">
        <w:rPr>
          <w:color w:val="000000"/>
        </w:rPr>
        <w:t xml:space="preserve">die </w:t>
      </w:r>
      <w:r w:rsidR="00263B47">
        <w:rPr>
          <w:color w:val="000000"/>
        </w:rPr>
        <w:t>Kandidaten</w:t>
      </w:r>
      <w:r w:rsidR="00C310D2">
        <w:rPr>
          <w:color w:val="000000"/>
        </w:rPr>
        <w:t>sorte</w:t>
      </w:r>
      <w:r w:rsidR="00263B47">
        <w:rPr>
          <w:color w:val="000000"/>
        </w:rPr>
        <w:t xml:space="preserve"> eine Ausprägungsstufe aufweis</w:t>
      </w:r>
      <w:r w:rsidR="00C310D2">
        <w:rPr>
          <w:color w:val="000000"/>
        </w:rPr>
        <w:t>t</w:t>
      </w:r>
      <w:r w:rsidR="00263B47">
        <w:rPr>
          <w:color w:val="000000"/>
        </w:rPr>
        <w:t>, die außerhalb der Referenzsorten liegt (vergleiche Dokument TWC/33/30 „</w:t>
      </w:r>
      <w:r w:rsidR="00263B47" w:rsidRPr="009A4274">
        <w:rPr>
          <w:i/>
          <w:color w:val="000000"/>
        </w:rPr>
        <w:t>Report</w:t>
      </w:r>
      <w:r w:rsidR="00263B47">
        <w:rPr>
          <w:color w:val="000000"/>
        </w:rPr>
        <w:t>”, Absatz 25).</w:t>
      </w:r>
    </w:p>
    <w:p w:rsidR="000F6871" w:rsidRDefault="000F6871" w:rsidP="00263B47">
      <w:pPr>
        <w:rPr>
          <w:color w:val="000000"/>
        </w:rPr>
      </w:pPr>
    </w:p>
    <w:p w:rsidR="000F6871" w:rsidRPr="00340C7C" w:rsidRDefault="001154CD" w:rsidP="000F6871">
      <w:pPr>
        <w:rPr>
          <w:snapToGrid w:val="0"/>
        </w:rPr>
      </w:pPr>
      <w:r w:rsidRPr="00340C7C">
        <w:rPr>
          <w:snapToGrid w:val="0"/>
        </w:rPr>
        <w:fldChar w:fldCharType="begin"/>
      </w:r>
      <w:r w:rsidR="000F6871" w:rsidRPr="00340C7C">
        <w:rPr>
          <w:snapToGrid w:val="0"/>
        </w:rPr>
        <w:instrText xml:space="preserve"> AUTONUM  </w:instrText>
      </w:r>
      <w:r w:rsidRPr="00340C7C">
        <w:rPr>
          <w:snapToGrid w:val="0"/>
        </w:rPr>
        <w:fldChar w:fldCharType="end"/>
      </w:r>
      <w:r w:rsidR="000F6871">
        <w:tab/>
        <w:t>Die TWC merkte an, da</w:t>
      </w:r>
      <w:r w:rsidR="0001220B">
        <w:t>ß</w:t>
      </w:r>
      <w:r w:rsidR="000F6871">
        <w:t xml:space="preserve"> umfangreichere Datensätze getestet werden müssten, um Wahrscheinlichkeitsniveaus für das neue Verfahren entwickeln zu können.</w:t>
      </w:r>
      <w:r w:rsidR="0001220B">
        <w:t xml:space="preserve"> </w:t>
      </w:r>
      <w:r w:rsidR="000F6871">
        <w:t xml:space="preserve">Solche Datensätze sollten mindestens 100 Kandidatensorten umfassen, wobei die Daten dieser 100 Sorten aus mehreren Jahren stammen könnten </w:t>
      </w:r>
      <w:r w:rsidR="000F6871">
        <w:rPr>
          <w:rFonts w:hint="eastAsia"/>
          <w:color w:val="000000"/>
        </w:rPr>
        <w:t xml:space="preserve">(vergleiche Dokument TWC/33/30 </w:t>
      </w:r>
      <w:r w:rsidR="000F6871">
        <w:rPr>
          <w:color w:val="000000"/>
        </w:rPr>
        <w:t>„</w:t>
      </w:r>
      <w:r w:rsidR="000F6871" w:rsidRPr="009A4274">
        <w:rPr>
          <w:i/>
          <w:color w:val="000000"/>
        </w:rPr>
        <w:t>Report</w:t>
      </w:r>
      <w:r w:rsidR="000F6871">
        <w:rPr>
          <w:color w:val="000000"/>
        </w:rPr>
        <w:t>”, Absatz 26)</w:t>
      </w:r>
      <w:r w:rsidR="000F6871">
        <w:t xml:space="preserve">. </w:t>
      </w:r>
    </w:p>
    <w:p w:rsidR="00406673" w:rsidRPr="00D41BD4" w:rsidRDefault="00406673" w:rsidP="00406673">
      <w:pPr>
        <w:rPr>
          <w:color w:val="000000"/>
        </w:rPr>
      </w:pPr>
    </w:p>
    <w:p w:rsidR="00406673" w:rsidRDefault="001154CD" w:rsidP="00406673">
      <w:pPr>
        <w:rPr>
          <w:color w:val="000000"/>
        </w:rPr>
      </w:pPr>
      <w:r w:rsidRPr="008E02DD">
        <w:rPr>
          <w:snapToGrid w:val="0"/>
        </w:rPr>
        <w:fldChar w:fldCharType="begin"/>
      </w:r>
      <w:r w:rsidR="00263B47" w:rsidRPr="008E02DD">
        <w:rPr>
          <w:snapToGrid w:val="0"/>
        </w:rPr>
        <w:instrText xml:space="preserve"> AUTONUM  </w:instrText>
      </w:r>
      <w:r w:rsidRPr="008E02DD">
        <w:rPr>
          <w:snapToGrid w:val="0"/>
        </w:rPr>
        <w:fldChar w:fldCharType="end"/>
      </w:r>
      <w:r w:rsidR="00263B47">
        <w:tab/>
      </w:r>
      <w:r w:rsidR="00263B47">
        <w:rPr>
          <w:color w:val="000000"/>
        </w:rPr>
        <w:t>Die TWC vereinbarte, Sachverständige aus China und Frankreich zu ersuchen, sich an den nächsten Schritten der praktischen Versuche zu beteiligen und ihre Datensätze zur Verwendung beim Testen bereitzustellen.</w:t>
      </w:r>
      <w:r w:rsidR="0001220B">
        <w:rPr>
          <w:color w:val="000000"/>
        </w:rPr>
        <w:t xml:space="preserve"> </w:t>
      </w:r>
      <w:r w:rsidR="00263B47">
        <w:rPr>
          <w:color w:val="000000"/>
        </w:rPr>
        <w:t>Die TWC vereinbarte ferner, die TWA zu ersuchen umfangreichere Datensätze zu Feldsorten bereitzustellen (vergleiche Dokument TWC/33/30 „</w:t>
      </w:r>
      <w:bookmarkStart w:id="12" w:name="_GoBack"/>
      <w:r w:rsidR="00263B47" w:rsidRPr="009A4274">
        <w:rPr>
          <w:i/>
          <w:color w:val="000000"/>
        </w:rPr>
        <w:t>Report</w:t>
      </w:r>
      <w:bookmarkEnd w:id="12"/>
      <w:r w:rsidR="00263B47">
        <w:rPr>
          <w:color w:val="000000"/>
        </w:rPr>
        <w:t>”, Absatz 27).</w:t>
      </w:r>
    </w:p>
    <w:p w:rsidR="00263B47" w:rsidRDefault="00263B47" w:rsidP="00406673">
      <w:pPr>
        <w:rPr>
          <w:color w:val="000000"/>
        </w:rPr>
      </w:pPr>
    </w:p>
    <w:p w:rsidR="00406673" w:rsidRDefault="001154CD" w:rsidP="00406673">
      <w:r w:rsidRPr="00AF2207">
        <w:rPr>
          <w:snapToGrid w:val="0"/>
        </w:rPr>
        <w:fldChar w:fldCharType="begin"/>
      </w:r>
      <w:r w:rsidR="00406673" w:rsidRPr="00AF2207">
        <w:rPr>
          <w:snapToGrid w:val="0"/>
        </w:rPr>
        <w:instrText xml:space="preserve"> AUTONUM  </w:instrText>
      </w:r>
      <w:r w:rsidRPr="00AF2207">
        <w:rPr>
          <w:snapToGrid w:val="0"/>
        </w:rPr>
        <w:fldChar w:fldCharType="end"/>
      </w:r>
      <w:r w:rsidR="00406673">
        <w:tab/>
        <w:t>Die TWA, TWF und TWO nahmen zur Kenntnis, daß auf der dreiunddreißigsten Tagung der TWC ein Bericht eines Sachverständigen aus dem Vereinigten Königreich über den praktischen Versuch und die Entwicklung des DUST-Moduls vorgelegt wurde (vergleiche Dokumente TWA/44/23, Absatz 41, TWF/46/29, Absatz 44 und TWO/48/26, Absatz 37).</w:t>
      </w:r>
    </w:p>
    <w:p w:rsidR="00BE4B61" w:rsidRDefault="00BE4B61" w:rsidP="00BE4B61">
      <w:pPr>
        <w:keepNext/>
        <w:keepLines/>
        <w:rPr>
          <w:color w:val="000000"/>
        </w:rPr>
      </w:pPr>
    </w:p>
    <w:p w:rsidR="00AC4CF1" w:rsidRDefault="00AC4CF1" w:rsidP="00BE4B61">
      <w:pPr>
        <w:keepNext/>
        <w:keepLines/>
        <w:rPr>
          <w:color w:val="000000"/>
        </w:rPr>
      </w:pPr>
    </w:p>
    <w:p w:rsidR="000F6871" w:rsidRDefault="000F6871" w:rsidP="00BE4B61">
      <w:pPr>
        <w:keepNext/>
        <w:keepLines/>
        <w:rPr>
          <w:color w:val="000000"/>
        </w:rPr>
      </w:pPr>
    </w:p>
    <w:p w:rsidR="00BE4B61" w:rsidRPr="00C310D2" w:rsidRDefault="001154CD" w:rsidP="00C310D2">
      <w:pPr>
        <w:pStyle w:val="DecisionParagraphs"/>
        <w:keepNext/>
        <w:keepLines/>
        <w:tabs>
          <w:tab w:val="left" w:pos="5400"/>
        </w:tabs>
        <w:ind w:left="4820"/>
        <w:rPr>
          <w:iCs/>
          <w:spacing w:val="-4"/>
          <w:sz w:val="20"/>
        </w:rPr>
      </w:pPr>
      <w:r w:rsidRPr="00C310D2">
        <w:rPr>
          <w:sz w:val="20"/>
        </w:rPr>
        <w:fldChar w:fldCharType="begin"/>
      </w:r>
      <w:r w:rsidR="00BE4B61" w:rsidRPr="00C310D2">
        <w:rPr>
          <w:sz w:val="20"/>
        </w:rPr>
        <w:instrText xml:space="preserve"> AUTONUM  </w:instrText>
      </w:r>
      <w:r w:rsidRPr="00C310D2">
        <w:rPr>
          <w:sz w:val="20"/>
        </w:rPr>
        <w:fldChar w:fldCharType="end"/>
      </w:r>
      <w:r w:rsidR="00BE4B61" w:rsidRPr="00C310D2">
        <w:rPr>
          <w:sz w:val="20"/>
        </w:rPr>
        <w:tab/>
        <w:t>Der TC wird ersucht, zur Kenntnis zu nehmen, daß:</w:t>
      </w:r>
    </w:p>
    <w:p w:rsidR="00AC4CF1" w:rsidRPr="00C310D2" w:rsidRDefault="00AC4CF1" w:rsidP="00C310D2">
      <w:pPr>
        <w:pStyle w:val="DecisionParagraphs"/>
        <w:keepNext/>
        <w:keepLines/>
        <w:tabs>
          <w:tab w:val="left" w:pos="5400"/>
        </w:tabs>
        <w:ind w:left="4820"/>
        <w:rPr>
          <w:iCs/>
          <w:spacing w:val="-4"/>
          <w:sz w:val="20"/>
        </w:rPr>
      </w:pPr>
    </w:p>
    <w:p w:rsidR="00263B47" w:rsidRPr="00C310D2" w:rsidRDefault="00A83496" w:rsidP="00AC4CF1">
      <w:pPr>
        <w:pStyle w:val="DecisionParagraphs"/>
        <w:tabs>
          <w:tab w:val="left" w:pos="5400"/>
          <w:tab w:val="left" w:pos="5954"/>
        </w:tabs>
        <w:ind w:left="4820" w:firstLine="567"/>
        <w:rPr>
          <w:iCs/>
          <w:spacing w:val="-4"/>
          <w:sz w:val="20"/>
        </w:rPr>
      </w:pPr>
      <w:r w:rsidRPr="00C310D2">
        <w:rPr>
          <w:sz w:val="20"/>
        </w:rPr>
        <w:t>a)</w:t>
      </w:r>
      <w:r w:rsidRPr="00C310D2">
        <w:rPr>
          <w:sz w:val="20"/>
        </w:rPr>
        <w:tab/>
        <w:t>Sachverständige aus Finnland, Frankreich, Deutschland, Kenia und dem Vereinigten Königreich</w:t>
      </w:r>
      <w:r w:rsidR="0001220B" w:rsidRPr="00C310D2">
        <w:rPr>
          <w:sz w:val="20"/>
        </w:rPr>
        <w:t xml:space="preserve"> </w:t>
      </w:r>
      <w:r w:rsidRPr="00C310D2">
        <w:rPr>
          <w:sz w:val="20"/>
        </w:rPr>
        <w:t xml:space="preserve">an dem Versuch zum Testen der Software </w:t>
      </w:r>
      <w:r w:rsidRPr="00C310D2">
        <w:rPr>
          <w:sz w:val="20"/>
        </w:rPr>
        <w:lastRenderedPageBreak/>
        <w:t>für das neue Verfahren für die Berechnung von COYU teilnahmen.</w:t>
      </w:r>
    </w:p>
    <w:p w:rsidR="00AC4CF1" w:rsidRPr="00C310D2" w:rsidRDefault="00AC4CF1" w:rsidP="00AC4CF1">
      <w:pPr>
        <w:pStyle w:val="DecisionParagraphs"/>
        <w:tabs>
          <w:tab w:val="left" w:pos="5400"/>
          <w:tab w:val="left" w:pos="5954"/>
        </w:tabs>
        <w:ind w:left="4820" w:firstLine="567"/>
        <w:rPr>
          <w:iCs/>
          <w:spacing w:val="-4"/>
          <w:sz w:val="20"/>
        </w:rPr>
      </w:pPr>
    </w:p>
    <w:p w:rsidR="00263B47" w:rsidRPr="00C310D2" w:rsidRDefault="00DF6F05" w:rsidP="00AC4CF1">
      <w:pPr>
        <w:pStyle w:val="DecisionParagraphs"/>
        <w:tabs>
          <w:tab w:val="left" w:pos="5400"/>
          <w:tab w:val="left" w:pos="5954"/>
        </w:tabs>
        <w:ind w:left="4820" w:firstLine="567"/>
        <w:rPr>
          <w:iCs/>
          <w:spacing w:val="-4"/>
          <w:sz w:val="20"/>
        </w:rPr>
      </w:pPr>
      <w:r w:rsidRPr="00C310D2">
        <w:rPr>
          <w:sz w:val="20"/>
        </w:rPr>
        <w:t>b)</w:t>
      </w:r>
      <w:r w:rsidRPr="00C310D2">
        <w:rPr>
          <w:sz w:val="20"/>
        </w:rPr>
        <w:tab/>
        <w:t>die TWC übereinkam, da</w:t>
      </w:r>
      <w:r w:rsidR="0001220B" w:rsidRPr="00C310D2">
        <w:rPr>
          <w:sz w:val="20"/>
        </w:rPr>
        <w:t>ß</w:t>
      </w:r>
      <w:r w:rsidRPr="00C310D2">
        <w:rPr>
          <w:sz w:val="20"/>
        </w:rPr>
        <w:t xml:space="preserve"> das neue Verfahren für die Berechnung von COYU in der Praxis gut funktioniert und vereinbarte, den Sachverständigen aus dem Vereinigten Köni</w:t>
      </w:r>
      <w:r w:rsidR="00C310D2">
        <w:rPr>
          <w:sz w:val="20"/>
        </w:rPr>
        <w:t>greich zu ersuchen, Anleitung zu</w:t>
      </w:r>
      <w:r w:rsidRPr="00C310D2">
        <w:rPr>
          <w:sz w:val="20"/>
        </w:rPr>
        <w:t xml:space="preserve"> Hochrechnungen zu erteilen, wenn </w:t>
      </w:r>
      <w:r w:rsidR="00C310D2">
        <w:rPr>
          <w:sz w:val="20"/>
        </w:rPr>
        <w:t>die Kandidatensorte</w:t>
      </w:r>
      <w:r w:rsidRPr="00C310D2">
        <w:rPr>
          <w:sz w:val="20"/>
        </w:rPr>
        <w:t xml:space="preserve"> eine Ausprägungsstufe aufweis</w:t>
      </w:r>
      <w:r w:rsidR="00C310D2">
        <w:rPr>
          <w:sz w:val="20"/>
        </w:rPr>
        <w:t>t</w:t>
      </w:r>
      <w:r w:rsidRPr="00C310D2">
        <w:rPr>
          <w:sz w:val="20"/>
        </w:rPr>
        <w:t>, die außerhalb der Referenzsorten liegt.</w:t>
      </w:r>
    </w:p>
    <w:p w:rsidR="00AC4CF1" w:rsidRPr="00C310D2" w:rsidRDefault="00AC4CF1" w:rsidP="00AC4CF1">
      <w:pPr>
        <w:pStyle w:val="DecisionParagraphs"/>
        <w:tabs>
          <w:tab w:val="left" w:pos="5400"/>
          <w:tab w:val="left" w:pos="5954"/>
        </w:tabs>
        <w:ind w:left="4820" w:firstLine="567"/>
        <w:rPr>
          <w:iCs/>
          <w:spacing w:val="-4"/>
          <w:sz w:val="20"/>
        </w:rPr>
      </w:pPr>
    </w:p>
    <w:p w:rsidR="000F6871" w:rsidRPr="00C310D2" w:rsidRDefault="000F6871" w:rsidP="00AC4CF1">
      <w:pPr>
        <w:pStyle w:val="DecisionParagraphs"/>
        <w:tabs>
          <w:tab w:val="left" w:pos="5400"/>
          <w:tab w:val="left" w:pos="5954"/>
        </w:tabs>
        <w:ind w:left="4820" w:firstLine="567"/>
        <w:rPr>
          <w:sz w:val="20"/>
        </w:rPr>
      </w:pPr>
      <w:r w:rsidRPr="00C310D2">
        <w:rPr>
          <w:sz w:val="20"/>
        </w:rPr>
        <w:t>c)</w:t>
      </w:r>
      <w:r w:rsidRPr="00C310D2">
        <w:rPr>
          <w:sz w:val="20"/>
        </w:rPr>
        <w:tab/>
        <w:t xml:space="preserve"> die TWC anmerkte, da</w:t>
      </w:r>
      <w:r w:rsidR="0001220B" w:rsidRPr="00C310D2">
        <w:rPr>
          <w:sz w:val="20"/>
        </w:rPr>
        <w:t>ß</w:t>
      </w:r>
      <w:r w:rsidRPr="00C310D2">
        <w:rPr>
          <w:sz w:val="20"/>
        </w:rPr>
        <w:t xml:space="preserve"> umfangreichere Datensätze getestet werden müssten, um Wahrscheinlichkeitsniveaus für das neue Verfahren</w:t>
      </w:r>
      <w:r w:rsidR="0001220B" w:rsidRPr="00C310D2">
        <w:rPr>
          <w:sz w:val="20"/>
        </w:rPr>
        <w:t xml:space="preserve"> </w:t>
      </w:r>
      <w:r w:rsidRPr="00C310D2">
        <w:rPr>
          <w:sz w:val="20"/>
        </w:rPr>
        <w:t>entwickeln zu können.</w:t>
      </w:r>
      <w:r w:rsidR="0001220B" w:rsidRPr="00C310D2">
        <w:rPr>
          <w:sz w:val="20"/>
        </w:rPr>
        <w:t xml:space="preserve"> </w:t>
      </w:r>
      <w:r w:rsidRPr="00C310D2">
        <w:rPr>
          <w:sz w:val="20"/>
        </w:rPr>
        <w:t>Solche Datensätze sollten mindestens 100 Kandidatensorten umfassen, wobei die Daten dieser 100 Sorten aus mehreren Jahren stammen könnten.</w:t>
      </w:r>
    </w:p>
    <w:p w:rsidR="000F6871" w:rsidRPr="00C310D2" w:rsidRDefault="000F6871" w:rsidP="00AC4CF1">
      <w:pPr>
        <w:pStyle w:val="DecisionParagraphs"/>
        <w:tabs>
          <w:tab w:val="left" w:pos="5400"/>
          <w:tab w:val="left" w:pos="5954"/>
        </w:tabs>
        <w:ind w:left="4820" w:firstLine="567"/>
        <w:rPr>
          <w:iCs/>
          <w:spacing w:val="-4"/>
          <w:sz w:val="20"/>
        </w:rPr>
      </w:pPr>
    </w:p>
    <w:p w:rsidR="00AC4CF1" w:rsidRPr="00C310D2" w:rsidRDefault="00D41BD4" w:rsidP="00AC4CF1">
      <w:pPr>
        <w:pStyle w:val="DecisionParagraphs"/>
        <w:tabs>
          <w:tab w:val="left" w:pos="5400"/>
          <w:tab w:val="left" w:pos="5954"/>
        </w:tabs>
        <w:ind w:left="4820" w:firstLine="567"/>
        <w:rPr>
          <w:iCs/>
          <w:spacing w:val="-4"/>
          <w:sz w:val="20"/>
        </w:rPr>
      </w:pPr>
      <w:r w:rsidRPr="00C310D2">
        <w:rPr>
          <w:sz w:val="20"/>
        </w:rPr>
        <w:t>d)</w:t>
      </w:r>
      <w:r w:rsidRPr="00C310D2">
        <w:rPr>
          <w:sz w:val="20"/>
        </w:rPr>
        <w:tab/>
        <w:t>die TWC vereinbarte, Sachverständige aus China und Frankreich zu ersuchen, sich an den nächsten Schritten der praktischen Versuche zu beteiligen und ihre Datensätze zur Verwendung beim Testen bereitzustellen; und</w:t>
      </w:r>
    </w:p>
    <w:p w:rsidR="00AC4CF1" w:rsidRPr="00C310D2" w:rsidRDefault="00AC4CF1" w:rsidP="00AC4CF1">
      <w:pPr>
        <w:pStyle w:val="DecisionParagraphs"/>
        <w:tabs>
          <w:tab w:val="left" w:pos="5400"/>
          <w:tab w:val="left" w:pos="5954"/>
        </w:tabs>
        <w:ind w:left="4820" w:firstLine="567"/>
        <w:rPr>
          <w:iCs/>
          <w:spacing w:val="-4"/>
          <w:sz w:val="20"/>
        </w:rPr>
      </w:pPr>
    </w:p>
    <w:p w:rsidR="00AC4CF1" w:rsidRPr="00C310D2" w:rsidRDefault="00D41BD4" w:rsidP="00AC4CF1">
      <w:pPr>
        <w:pStyle w:val="DecisionParagraphs"/>
        <w:tabs>
          <w:tab w:val="left" w:pos="5400"/>
          <w:tab w:val="left" w:pos="5954"/>
        </w:tabs>
        <w:spacing w:after="120"/>
        <w:ind w:left="4820" w:firstLine="567"/>
        <w:rPr>
          <w:iCs/>
          <w:spacing w:val="-4"/>
          <w:sz w:val="20"/>
        </w:rPr>
      </w:pPr>
      <w:r w:rsidRPr="00C310D2">
        <w:rPr>
          <w:sz w:val="20"/>
        </w:rPr>
        <w:t>e)</w:t>
      </w:r>
      <w:r w:rsidRPr="00C310D2">
        <w:rPr>
          <w:sz w:val="20"/>
        </w:rPr>
        <w:tab/>
        <w:t>die TWC vorschlug, die TWA zu ersuchen umfangreichere Datensätze zu Feldsorten bereitzustellen, um geeignete Wahrscheinlichkeitsniveaus für die neue Berechnungsmethode von COYU zu ermitteln.</w:t>
      </w:r>
    </w:p>
    <w:p w:rsidR="00AC4CF1" w:rsidRDefault="00AC4CF1" w:rsidP="00AC4CF1">
      <w:pPr>
        <w:pStyle w:val="DecisionParagraphs"/>
        <w:tabs>
          <w:tab w:val="left" w:pos="5400"/>
          <w:tab w:val="left" w:pos="5954"/>
        </w:tabs>
        <w:spacing w:after="120"/>
        <w:ind w:left="4820" w:firstLine="567"/>
        <w:rPr>
          <w:iCs/>
          <w:spacing w:val="-4"/>
          <w:sz w:val="20"/>
        </w:rPr>
      </w:pPr>
    </w:p>
    <w:p w:rsidR="00BE4B61" w:rsidRDefault="00311D6F" w:rsidP="00B52EB1">
      <w:pPr>
        <w:pStyle w:val="DecisionParagraphs"/>
        <w:tabs>
          <w:tab w:val="left" w:pos="5400"/>
          <w:tab w:val="left" w:pos="5954"/>
        </w:tabs>
        <w:ind w:left="4820" w:firstLine="567"/>
        <w:jc w:val="right"/>
        <w:rPr>
          <w:i w:val="0"/>
          <w:spacing w:val="-4"/>
          <w:sz w:val="20"/>
        </w:rPr>
      </w:pPr>
      <w:r>
        <w:rPr>
          <w:rFonts w:hint="eastAsia"/>
          <w:i w:val="0"/>
          <w:spacing w:val="-4"/>
          <w:sz w:val="20"/>
        </w:rPr>
        <w:t xml:space="preserve"> </w:t>
      </w:r>
      <w:r>
        <w:rPr>
          <w:i w:val="0"/>
          <w:spacing w:val="-4"/>
          <w:sz w:val="20"/>
        </w:rPr>
        <w:t>[Anlage folg</w:t>
      </w:r>
      <w:r w:rsidR="00693710">
        <w:rPr>
          <w:i w:val="0"/>
          <w:spacing w:val="-4"/>
          <w:sz w:val="20"/>
        </w:rPr>
        <w:t>t</w:t>
      </w:r>
      <w:r>
        <w:rPr>
          <w:i w:val="0"/>
          <w:spacing w:val="-4"/>
          <w:sz w:val="20"/>
        </w:rPr>
        <w:t>]</w:t>
      </w:r>
    </w:p>
    <w:p w:rsidR="005F2956" w:rsidRDefault="005F2956" w:rsidP="00B01308">
      <w:pPr>
        <w:pStyle w:val="DecisionParagraphs"/>
        <w:tabs>
          <w:tab w:val="left" w:pos="5400"/>
          <w:tab w:val="left" w:pos="5954"/>
        </w:tabs>
        <w:ind w:left="4820" w:right="500" w:firstLine="567"/>
        <w:jc w:val="right"/>
        <w:rPr>
          <w:i w:val="0"/>
          <w:spacing w:val="-4"/>
          <w:sz w:val="20"/>
        </w:rPr>
      </w:pPr>
    </w:p>
    <w:p w:rsidR="00A80150" w:rsidRDefault="00B01308" w:rsidP="00B01308">
      <w:pPr>
        <w:pStyle w:val="DecisionParagraphs"/>
        <w:tabs>
          <w:tab w:val="left" w:pos="5400"/>
          <w:tab w:val="left" w:pos="5954"/>
        </w:tabs>
        <w:ind w:left="4820" w:right="500" w:firstLine="567"/>
        <w:jc w:val="right"/>
        <w:rPr>
          <w:i w:val="0"/>
          <w:spacing w:val="-4"/>
          <w:sz w:val="20"/>
        </w:rPr>
        <w:sectPr w:rsidR="00A80150" w:rsidSect="00BE4B61">
          <w:headerReference w:type="default" r:id="rId10"/>
          <w:pgSz w:w="11907" w:h="16840" w:code="9"/>
          <w:pgMar w:top="510" w:right="1134" w:bottom="1134" w:left="1134" w:header="510" w:footer="680" w:gutter="0"/>
          <w:pgNumType w:start="1"/>
          <w:cols w:space="720"/>
          <w:titlePg/>
          <w:docGrid w:linePitch="360"/>
        </w:sectPr>
      </w:pPr>
      <w:r>
        <w:rPr>
          <w:i w:val="0"/>
          <w:spacing w:val="-4"/>
          <w:sz w:val="20"/>
        </w:rPr>
        <w:t xml:space="preserve">      </w:t>
      </w:r>
    </w:p>
    <w:p w:rsidR="00A807B2" w:rsidRDefault="00A807B2" w:rsidP="00CB10F5">
      <w:pPr>
        <w:jc w:val="center"/>
        <w:rPr>
          <w:rFonts w:cs="Arial"/>
          <w:bCs/>
        </w:rPr>
      </w:pPr>
    </w:p>
    <w:p w:rsidR="00CB10F5" w:rsidRDefault="00CB10F5" w:rsidP="00CB10F5">
      <w:pPr>
        <w:jc w:val="center"/>
        <w:rPr>
          <w:rFonts w:cs="Arial"/>
          <w:bCs/>
          <w:lang w:eastAsia="ja-JP"/>
        </w:rPr>
      </w:pPr>
      <w:r w:rsidRPr="003870DA">
        <w:rPr>
          <w:rFonts w:cs="Arial"/>
          <w:bCs/>
        </w:rPr>
        <w:t>METHOD OF CALCULATION OF COYU</w:t>
      </w:r>
    </w:p>
    <w:p w:rsidR="00CB10F5" w:rsidRDefault="00CB10F5" w:rsidP="00CB10F5">
      <w:pPr>
        <w:jc w:val="center"/>
        <w:rPr>
          <w:rFonts w:cs="Arial"/>
          <w:bCs/>
          <w:lang w:eastAsia="ja-JP"/>
        </w:rPr>
      </w:pPr>
      <w:r>
        <w:rPr>
          <w:rFonts w:cs="Arial" w:hint="eastAsia"/>
          <w:bCs/>
          <w:lang w:eastAsia="ja-JP"/>
        </w:rPr>
        <w:t>(ENGLISH ONLY)</w:t>
      </w:r>
    </w:p>
    <w:p w:rsidR="00CB10F5" w:rsidRDefault="00CB10F5" w:rsidP="00CB10F5">
      <w:pPr>
        <w:jc w:val="center"/>
        <w:rPr>
          <w:rFonts w:cs="Arial"/>
          <w:bCs/>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0D3FBE42" wp14:editId="61729C7A">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04E9DE7F" wp14:editId="1B097060">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lastRenderedPageBreak/>
        <w:drawing>
          <wp:inline distT="0" distB="0" distL="0" distR="0" wp14:anchorId="5428DC3B" wp14:editId="3E95969B">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0BBF839D" wp14:editId="4D28E691">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lastRenderedPageBreak/>
        <w:drawing>
          <wp:inline distT="0" distB="0" distL="0" distR="0" wp14:anchorId="35221BEC" wp14:editId="7895FF01">
            <wp:extent cx="4572638" cy="3429479"/>
            <wp:effectExtent l="19050" t="19050" r="1841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2D64B423" wp14:editId="0B5F766A">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lastRenderedPageBreak/>
        <w:drawing>
          <wp:inline distT="0" distB="0" distL="0" distR="0" wp14:anchorId="684E6FDC" wp14:editId="24264355">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460733">
        <w:rPr>
          <w:rFonts w:cs="Arial"/>
          <w:noProof/>
          <w:lang w:val="en-US" w:eastAsia="zh-CN" w:bidi="ar-SA"/>
        </w:rPr>
        <w:drawing>
          <wp:inline distT="0" distB="0" distL="0" distR="0" wp14:anchorId="6AF1E9BF" wp14:editId="5DA1245E">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lastRenderedPageBreak/>
        <w:drawing>
          <wp:inline distT="0" distB="0" distL="0" distR="0" wp14:anchorId="09FD1E37" wp14:editId="4E7CE551">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28763D41" wp14:editId="5B189E82">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460733">
        <w:rPr>
          <w:rFonts w:cs="Arial"/>
          <w:noProof/>
          <w:lang w:val="en-US" w:eastAsia="zh-CN" w:bidi="ar-SA"/>
        </w:rPr>
        <w:lastRenderedPageBreak/>
        <w:drawing>
          <wp:inline distT="0" distB="0" distL="0" distR="0" wp14:anchorId="5A85CE65" wp14:editId="5A4BEB7B">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2D95B204" wp14:editId="62DAFF3E">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lastRenderedPageBreak/>
        <w:drawing>
          <wp:inline distT="0" distB="0" distL="0" distR="0" wp14:anchorId="067EEBC8" wp14:editId="4E280D9B">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460733">
        <w:rPr>
          <w:rFonts w:cs="Arial"/>
          <w:noProof/>
          <w:lang w:val="en-US" w:eastAsia="zh-CN" w:bidi="ar-SA"/>
        </w:rPr>
        <w:drawing>
          <wp:inline distT="0" distB="0" distL="0" distR="0" wp14:anchorId="719EC4C1" wp14:editId="72EF0AF5">
            <wp:extent cx="4572638" cy="3429479"/>
            <wp:effectExtent l="19050" t="19050" r="18415" b="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lastRenderedPageBreak/>
        <w:drawing>
          <wp:inline distT="0" distB="0" distL="0" distR="0" wp14:anchorId="578459F4" wp14:editId="0B7BD6B6">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r w:rsidRPr="003870DA">
        <w:rPr>
          <w:rFonts w:cs="Arial"/>
          <w:noProof/>
          <w:lang w:val="en-US" w:eastAsia="zh-CN" w:bidi="ar-SA"/>
        </w:rPr>
        <w:drawing>
          <wp:inline distT="0" distB="0" distL="0" distR="0" wp14:anchorId="28E8BB44" wp14:editId="0364ED8F">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CB10F5" w:rsidRDefault="00CB10F5" w:rsidP="00CB10F5">
      <w:pPr>
        <w:jc w:val="center"/>
        <w:rPr>
          <w:rFonts w:cs="Arial"/>
          <w:lang w:eastAsia="ja-JP"/>
        </w:rPr>
      </w:pPr>
    </w:p>
    <w:p w:rsidR="00610B84" w:rsidRDefault="00610B84" w:rsidP="00610B84">
      <w:pPr>
        <w:jc w:val="right"/>
      </w:pPr>
      <w:r>
        <w:t>[Ende der Anlage und des Dokuments]</w:t>
      </w:r>
    </w:p>
    <w:p w:rsidR="00B01308" w:rsidRDefault="00B01308" w:rsidP="00B01308">
      <w:pPr>
        <w:pStyle w:val="DecisionParagraphs"/>
        <w:tabs>
          <w:tab w:val="left" w:pos="5400"/>
          <w:tab w:val="left" w:pos="5954"/>
        </w:tabs>
        <w:ind w:left="4820" w:right="500" w:firstLine="567"/>
        <w:jc w:val="right"/>
        <w:rPr>
          <w:i w:val="0"/>
          <w:spacing w:val="-4"/>
          <w:sz w:val="20"/>
        </w:rPr>
      </w:pPr>
    </w:p>
    <w:sectPr w:rsidR="00B01308" w:rsidSect="00BE4B61">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CD" w:rsidRDefault="006A0ECD" w:rsidP="006655D3">
      <w:r>
        <w:separator/>
      </w:r>
    </w:p>
    <w:p w:rsidR="006A0ECD" w:rsidRDefault="006A0ECD" w:rsidP="006655D3"/>
    <w:p w:rsidR="006A0ECD" w:rsidRDefault="006A0ECD" w:rsidP="006655D3"/>
  </w:endnote>
  <w:endnote w:type="continuationSeparator" w:id="0">
    <w:p w:rsidR="006A0ECD" w:rsidRDefault="006A0ECD" w:rsidP="006655D3">
      <w:r>
        <w:separator/>
      </w:r>
    </w:p>
    <w:p w:rsidR="006A0ECD" w:rsidRPr="00311399" w:rsidRDefault="006A0ECD">
      <w:pPr>
        <w:pStyle w:val="Footer"/>
        <w:spacing w:after="60"/>
        <w:rPr>
          <w:sz w:val="18"/>
          <w:lang w:val="fr-CH"/>
        </w:rPr>
      </w:pPr>
      <w:r w:rsidRPr="00311399">
        <w:rPr>
          <w:sz w:val="18"/>
          <w:lang w:val="fr-CH"/>
        </w:rPr>
        <w:t>[Suite de la note de la page précédente]</w:t>
      </w:r>
    </w:p>
    <w:p w:rsidR="006A0ECD" w:rsidRPr="00311399" w:rsidRDefault="006A0ECD" w:rsidP="006655D3">
      <w:pPr>
        <w:rPr>
          <w:lang w:val="fr-CH"/>
        </w:rPr>
      </w:pPr>
    </w:p>
    <w:p w:rsidR="006A0ECD" w:rsidRPr="00311399" w:rsidRDefault="006A0ECD" w:rsidP="006655D3">
      <w:pPr>
        <w:rPr>
          <w:lang w:val="fr-CH"/>
        </w:rPr>
      </w:pPr>
    </w:p>
  </w:endnote>
  <w:endnote w:type="continuationNotice" w:id="1">
    <w:p w:rsidR="006A0ECD" w:rsidRPr="00311399" w:rsidRDefault="006A0ECD" w:rsidP="006655D3">
      <w:pPr>
        <w:rPr>
          <w:lang w:val="fr-CH"/>
        </w:rPr>
      </w:pPr>
      <w:r w:rsidRPr="00311399">
        <w:rPr>
          <w:lang w:val="fr-CH"/>
        </w:rPr>
        <w:t>[Suite de la note page suivante]</w:t>
      </w:r>
    </w:p>
    <w:p w:rsidR="006A0ECD" w:rsidRPr="00311399" w:rsidRDefault="006A0ECD" w:rsidP="006655D3">
      <w:pPr>
        <w:rPr>
          <w:lang w:val="fr-CH"/>
        </w:rPr>
      </w:pPr>
    </w:p>
    <w:p w:rsidR="006A0ECD" w:rsidRPr="00311399" w:rsidRDefault="006A0EC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CD" w:rsidRDefault="006A0ECD" w:rsidP="006655D3">
      <w:r>
        <w:separator/>
      </w:r>
    </w:p>
  </w:footnote>
  <w:footnote w:type="continuationSeparator" w:id="0">
    <w:p w:rsidR="006A0ECD" w:rsidRDefault="006A0ECD" w:rsidP="006655D3">
      <w:r>
        <w:separator/>
      </w:r>
    </w:p>
    <w:p w:rsidR="006A0ECD" w:rsidRPr="00311399" w:rsidRDefault="006A0ECD">
      <w:pPr>
        <w:pStyle w:val="Footer"/>
        <w:spacing w:after="60"/>
        <w:rPr>
          <w:sz w:val="18"/>
          <w:lang w:val="fr-CH"/>
        </w:rPr>
      </w:pPr>
      <w:r w:rsidRPr="00311399">
        <w:rPr>
          <w:sz w:val="18"/>
          <w:lang w:val="fr-CH"/>
        </w:rPr>
        <w:t>[Suite de la note de la page précédente]</w:t>
      </w:r>
    </w:p>
    <w:p w:rsidR="006A0ECD" w:rsidRPr="00311399" w:rsidRDefault="006A0ECD" w:rsidP="006655D3">
      <w:pPr>
        <w:rPr>
          <w:lang w:val="fr-CH"/>
        </w:rPr>
      </w:pPr>
    </w:p>
    <w:p w:rsidR="006A0ECD" w:rsidRPr="00311399" w:rsidRDefault="006A0ECD" w:rsidP="006655D3">
      <w:pPr>
        <w:rPr>
          <w:lang w:val="fr-CH"/>
        </w:rPr>
      </w:pPr>
    </w:p>
    <w:p w:rsidR="006A0ECD" w:rsidRPr="00311399" w:rsidRDefault="006A0ECD" w:rsidP="006655D3">
      <w:pPr>
        <w:rPr>
          <w:lang w:val="fr-CH"/>
        </w:rPr>
      </w:pPr>
    </w:p>
  </w:footnote>
  <w:footnote w:type="continuationNotice" w:id="1">
    <w:p w:rsidR="006A0ECD" w:rsidRPr="00311399" w:rsidRDefault="006A0ECD" w:rsidP="006655D3">
      <w:pPr>
        <w:rPr>
          <w:lang w:val="fr-CH"/>
        </w:rPr>
      </w:pPr>
      <w:r w:rsidRPr="00311399">
        <w:rPr>
          <w:lang w:val="fr-CH"/>
        </w:rPr>
        <w:t>[Suite de la note page suivante]</w:t>
      </w:r>
    </w:p>
    <w:p w:rsidR="006A0ECD" w:rsidRPr="00311399" w:rsidRDefault="006A0ECD" w:rsidP="006655D3">
      <w:pPr>
        <w:rPr>
          <w:lang w:val="fr-CH"/>
        </w:rPr>
      </w:pPr>
    </w:p>
    <w:p w:rsidR="006A0ECD" w:rsidRPr="00311399" w:rsidRDefault="006A0ECD"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99645"/>
      <w:docPartObj>
        <w:docPartGallery w:val="Page Numbers (Top of Page)"/>
        <w:docPartUnique/>
      </w:docPartObj>
    </w:sdtPr>
    <w:sdtEndPr>
      <w:rPr>
        <w:noProof/>
      </w:rPr>
    </w:sdtEndPr>
    <w:sdtContent>
      <w:p w:rsidR="00BE4B61" w:rsidRDefault="00A74FC2">
        <w:pPr>
          <w:pStyle w:val="Header"/>
        </w:pPr>
        <w:r>
          <w:t>TC/52/17</w:t>
        </w:r>
      </w:p>
      <w:p w:rsidR="00BE4B61" w:rsidRDefault="00BE4B61">
        <w:pPr>
          <w:pStyle w:val="Header"/>
        </w:pPr>
        <w:r>
          <w:t xml:space="preserve">Seite </w:t>
        </w:r>
        <w:r w:rsidR="001154CD">
          <w:fldChar w:fldCharType="begin"/>
        </w:r>
        <w:r>
          <w:instrText xml:space="preserve"> PAGE   \* MERGEFORMAT </w:instrText>
        </w:r>
        <w:r w:rsidR="001154CD">
          <w:fldChar w:fldCharType="separate"/>
        </w:r>
        <w:r w:rsidR="009A4274">
          <w:rPr>
            <w:noProof/>
          </w:rPr>
          <w:t>4</w:t>
        </w:r>
        <w:r w:rsidR="001154CD">
          <w:rPr>
            <w:noProof/>
          </w:rPr>
          <w:fldChar w:fldCharType="end"/>
        </w:r>
      </w:p>
    </w:sdtContent>
  </w:sdt>
  <w:p w:rsidR="00BE4B61" w:rsidRPr="00E96CD3" w:rsidRDefault="00BE4B6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BE4B61" w:rsidRDefault="00A74FC2">
        <w:pPr>
          <w:pStyle w:val="Header"/>
          <w:rPr>
            <w:lang w:eastAsia="ja-JP"/>
          </w:rPr>
        </w:pPr>
        <w:r>
          <w:rPr>
            <w:rFonts w:hint="eastAsia"/>
            <w:lang w:eastAsia="ja-JP"/>
          </w:rPr>
          <w:t>TC/52</w:t>
        </w:r>
        <w:r w:rsidR="00BE4B61">
          <w:rPr>
            <w:rFonts w:hint="eastAsia"/>
            <w:lang w:eastAsia="ja-JP"/>
          </w:rPr>
          <w:t>/17</w:t>
        </w:r>
      </w:p>
      <w:p w:rsidR="00BE4B61" w:rsidRDefault="00A807B2">
        <w:pPr>
          <w:pStyle w:val="Header"/>
        </w:pPr>
        <w:r>
          <w:rPr>
            <w:lang w:eastAsia="ja-JP"/>
          </w:rPr>
          <w:t>Anlage</w:t>
        </w:r>
        <w:r w:rsidR="00BE4B61">
          <w:rPr>
            <w:rFonts w:hint="eastAsia"/>
            <w:lang w:eastAsia="ja-JP"/>
          </w:rPr>
          <w:t xml:space="preserve">, </w:t>
        </w:r>
        <w:r>
          <w:rPr>
            <w:lang w:eastAsia="ja-JP"/>
          </w:rPr>
          <w:t>Seite</w:t>
        </w:r>
        <w:r w:rsidR="00BE4B61">
          <w:rPr>
            <w:rFonts w:hint="eastAsia"/>
            <w:lang w:eastAsia="ja-JP"/>
          </w:rPr>
          <w:t xml:space="preserve"> </w:t>
        </w:r>
        <w:r w:rsidR="00BE4B61">
          <w:fldChar w:fldCharType="begin"/>
        </w:r>
        <w:r w:rsidR="00BE4B61">
          <w:instrText xml:space="preserve"> PAGE   \* MERGEFORMAT </w:instrText>
        </w:r>
        <w:r w:rsidR="00BE4B61">
          <w:fldChar w:fldCharType="separate"/>
        </w:r>
        <w:r w:rsidR="009A4274">
          <w:rPr>
            <w:noProof/>
          </w:rPr>
          <w:t>8</w:t>
        </w:r>
        <w:r w:rsidR="00BE4B61">
          <w:rPr>
            <w:noProof/>
          </w:rPr>
          <w:fldChar w:fldCharType="end"/>
        </w:r>
      </w:p>
    </w:sdtContent>
  </w:sdt>
  <w:p w:rsidR="00BE4B61" w:rsidRPr="00E96CD3" w:rsidRDefault="00BE4B6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61" w:rsidRPr="00C616F4" w:rsidRDefault="00BE4B61">
    <w:pPr>
      <w:pStyle w:val="Header"/>
      <w:rPr>
        <w:lang w:val="en-US" w:eastAsia="ja-JP"/>
      </w:rPr>
    </w:pPr>
    <w:r w:rsidRPr="00C616F4">
      <w:rPr>
        <w:lang w:val="en-US"/>
      </w:rPr>
      <w:t>T</w:t>
    </w:r>
    <w:r>
      <w:rPr>
        <w:lang w:val="en-US"/>
      </w:rPr>
      <w:t>C/5</w:t>
    </w:r>
    <w:r w:rsidR="00FF7064">
      <w:rPr>
        <w:rFonts w:hint="eastAsia"/>
        <w:lang w:val="en-US" w:eastAsia="ja-JP"/>
      </w:rPr>
      <w:t>2</w:t>
    </w:r>
    <w:r>
      <w:rPr>
        <w:lang w:val="en-US"/>
      </w:rPr>
      <w:t>/</w:t>
    </w:r>
    <w:r>
      <w:rPr>
        <w:rFonts w:hint="eastAsia"/>
        <w:lang w:val="en-US" w:eastAsia="ja-JP"/>
      </w:rPr>
      <w:t>17</w:t>
    </w:r>
  </w:p>
  <w:p w:rsidR="00BE4B61" w:rsidRDefault="00BE4B61">
    <w:pPr>
      <w:pStyle w:val="Header"/>
      <w:rPr>
        <w:lang w:val="en-US" w:eastAsia="ja-JP"/>
      </w:rPr>
    </w:pPr>
  </w:p>
  <w:p w:rsidR="00BE4B61" w:rsidRPr="00C616F4" w:rsidRDefault="00A807B2">
    <w:pPr>
      <w:pStyle w:val="Header"/>
      <w:rPr>
        <w:lang w:val="en-US" w:eastAsia="ja-JP"/>
      </w:rPr>
    </w:pPr>
    <w:r>
      <w:rPr>
        <w:lang w:val="en-US" w:eastAsia="ja-JP"/>
      </w:rPr>
      <w:t>ANLAGE</w:t>
    </w:r>
  </w:p>
  <w:p w:rsidR="00BE4B61" w:rsidRPr="00824A90" w:rsidRDefault="00BE4B6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77020F"/>
    <w:rsid w:val="000036DA"/>
    <w:rsid w:val="00010CF3"/>
    <w:rsid w:val="000118AD"/>
    <w:rsid w:val="00011E27"/>
    <w:rsid w:val="0001220B"/>
    <w:rsid w:val="000148BC"/>
    <w:rsid w:val="00023353"/>
    <w:rsid w:val="000237DB"/>
    <w:rsid w:val="00024AB8"/>
    <w:rsid w:val="00026C86"/>
    <w:rsid w:val="00030854"/>
    <w:rsid w:val="00036028"/>
    <w:rsid w:val="00036F8F"/>
    <w:rsid w:val="00044642"/>
    <w:rsid w:val="000446B9"/>
    <w:rsid w:val="00047E21"/>
    <w:rsid w:val="00050F06"/>
    <w:rsid w:val="00055F13"/>
    <w:rsid w:val="00081C5B"/>
    <w:rsid w:val="00083EE0"/>
    <w:rsid w:val="00085505"/>
    <w:rsid w:val="00087B0E"/>
    <w:rsid w:val="00097D5C"/>
    <w:rsid w:val="000B3827"/>
    <w:rsid w:val="000C23A8"/>
    <w:rsid w:val="000C7021"/>
    <w:rsid w:val="000C7985"/>
    <w:rsid w:val="000C7C99"/>
    <w:rsid w:val="000D6BBC"/>
    <w:rsid w:val="000D7780"/>
    <w:rsid w:val="000F307E"/>
    <w:rsid w:val="000F5750"/>
    <w:rsid w:val="000F6871"/>
    <w:rsid w:val="00103733"/>
    <w:rsid w:val="00105929"/>
    <w:rsid w:val="001131D5"/>
    <w:rsid w:val="001154CD"/>
    <w:rsid w:val="00121372"/>
    <w:rsid w:val="001220FC"/>
    <w:rsid w:val="00125EFC"/>
    <w:rsid w:val="00131CDE"/>
    <w:rsid w:val="00141DB8"/>
    <w:rsid w:val="0015302F"/>
    <w:rsid w:val="00165CF3"/>
    <w:rsid w:val="0017474A"/>
    <w:rsid w:val="001758C6"/>
    <w:rsid w:val="00182B99"/>
    <w:rsid w:val="001A4241"/>
    <w:rsid w:val="001E30F9"/>
    <w:rsid w:val="002126CE"/>
    <w:rsid w:val="0021332C"/>
    <w:rsid w:val="00213982"/>
    <w:rsid w:val="002205C0"/>
    <w:rsid w:val="00224009"/>
    <w:rsid w:val="0024416D"/>
    <w:rsid w:val="002446EF"/>
    <w:rsid w:val="00246A94"/>
    <w:rsid w:val="00263B47"/>
    <w:rsid w:val="00266165"/>
    <w:rsid w:val="002733BD"/>
    <w:rsid w:val="002800A0"/>
    <w:rsid w:val="002801B3"/>
    <w:rsid w:val="00281060"/>
    <w:rsid w:val="002940E8"/>
    <w:rsid w:val="002A6E50"/>
    <w:rsid w:val="002B355B"/>
    <w:rsid w:val="002C0481"/>
    <w:rsid w:val="002C256A"/>
    <w:rsid w:val="002C30F1"/>
    <w:rsid w:val="002C42D2"/>
    <w:rsid w:val="002C659F"/>
    <w:rsid w:val="002D0191"/>
    <w:rsid w:val="002F2BDB"/>
    <w:rsid w:val="00305791"/>
    <w:rsid w:val="00305A7F"/>
    <w:rsid w:val="00311399"/>
    <w:rsid w:val="00311D6F"/>
    <w:rsid w:val="003152FE"/>
    <w:rsid w:val="00327436"/>
    <w:rsid w:val="00344BD6"/>
    <w:rsid w:val="0034770A"/>
    <w:rsid w:val="0035528D"/>
    <w:rsid w:val="00361821"/>
    <w:rsid w:val="00381028"/>
    <w:rsid w:val="003A173D"/>
    <w:rsid w:val="003B212C"/>
    <w:rsid w:val="003B450F"/>
    <w:rsid w:val="003D227C"/>
    <w:rsid w:val="003D2B4D"/>
    <w:rsid w:val="003D620E"/>
    <w:rsid w:val="003D692A"/>
    <w:rsid w:val="003E174C"/>
    <w:rsid w:val="003F11B1"/>
    <w:rsid w:val="00406673"/>
    <w:rsid w:val="00444A88"/>
    <w:rsid w:val="00452531"/>
    <w:rsid w:val="0047445B"/>
    <w:rsid w:val="00474DA4"/>
    <w:rsid w:val="00476B4D"/>
    <w:rsid w:val="004805FA"/>
    <w:rsid w:val="00484C03"/>
    <w:rsid w:val="00486903"/>
    <w:rsid w:val="00494A5B"/>
    <w:rsid w:val="004B5437"/>
    <w:rsid w:val="004D047D"/>
    <w:rsid w:val="004D3B68"/>
    <w:rsid w:val="004F158B"/>
    <w:rsid w:val="004F305A"/>
    <w:rsid w:val="00512164"/>
    <w:rsid w:val="00517AEB"/>
    <w:rsid w:val="00520297"/>
    <w:rsid w:val="00520DB0"/>
    <w:rsid w:val="00523791"/>
    <w:rsid w:val="005338F9"/>
    <w:rsid w:val="00535EE4"/>
    <w:rsid w:val="0054281C"/>
    <w:rsid w:val="005429B9"/>
    <w:rsid w:val="00545C7D"/>
    <w:rsid w:val="0055268D"/>
    <w:rsid w:val="0056340D"/>
    <w:rsid w:val="00564DD8"/>
    <w:rsid w:val="00567580"/>
    <w:rsid w:val="00576BE4"/>
    <w:rsid w:val="0059249A"/>
    <w:rsid w:val="00596AEA"/>
    <w:rsid w:val="005A2056"/>
    <w:rsid w:val="005A400A"/>
    <w:rsid w:val="005F2956"/>
    <w:rsid w:val="005F49C5"/>
    <w:rsid w:val="00604A31"/>
    <w:rsid w:val="00610B84"/>
    <w:rsid w:val="00612379"/>
    <w:rsid w:val="0061555F"/>
    <w:rsid w:val="00616CF7"/>
    <w:rsid w:val="00621B39"/>
    <w:rsid w:val="00624332"/>
    <w:rsid w:val="00641200"/>
    <w:rsid w:val="00655FE0"/>
    <w:rsid w:val="006655D3"/>
    <w:rsid w:val="00682F1A"/>
    <w:rsid w:val="00687EB4"/>
    <w:rsid w:val="00693710"/>
    <w:rsid w:val="006A0ECD"/>
    <w:rsid w:val="006A6302"/>
    <w:rsid w:val="006B17D2"/>
    <w:rsid w:val="006B3329"/>
    <w:rsid w:val="006B6D27"/>
    <w:rsid w:val="006C12EE"/>
    <w:rsid w:val="006C224E"/>
    <w:rsid w:val="006D780A"/>
    <w:rsid w:val="006F5579"/>
    <w:rsid w:val="00721915"/>
    <w:rsid w:val="00732DEC"/>
    <w:rsid w:val="00733082"/>
    <w:rsid w:val="0073381B"/>
    <w:rsid w:val="00735BD5"/>
    <w:rsid w:val="007556F6"/>
    <w:rsid w:val="00760EEF"/>
    <w:rsid w:val="0077020F"/>
    <w:rsid w:val="00777EE5"/>
    <w:rsid w:val="00784836"/>
    <w:rsid w:val="0079023E"/>
    <w:rsid w:val="00797416"/>
    <w:rsid w:val="007A2854"/>
    <w:rsid w:val="007D06FE"/>
    <w:rsid w:val="007D0B9D"/>
    <w:rsid w:val="007D19B0"/>
    <w:rsid w:val="007D4DB1"/>
    <w:rsid w:val="007F0252"/>
    <w:rsid w:val="007F027D"/>
    <w:rsid w:val="007F498F"/>
    <w:rsid w:val="0080679D"/>
    <w:rsid w:val="008108B0"/>
    <w:rsid w:val="00811B20"/>
    <w:rsid w:val="008129EA"/>
    <w:rsid w:val="00815647"/>
    <w:rsid w:val="00821B9D"/>
    <w:rsid w:val="0082296E"/>
    <w:rsid w:val="00824099"/>
    <w:rsid w:val="00824A90"/>
    <w:rsid w:val="00825450"/>
    <w:rsid w:val="00825737"/>
    <w:rsid w:val="0083600D"/>
    <w:rsid w:val="00847699"/>
    <w:rsid w:val="00864082"/>
    <w:rsid w:val="00867AC1"/>
    <w:rsid w:val="008753AD"/>
    <w:rsid w:val="00882994"/>
    <w:rsid w:val="008904E8"/>
    <w:rsid w:val="008A743F"/>
    <w:rsid w:val="008B167D"/>
    <w:rsid w:val="008C0970"/>
    <w:rsid w:val="008C452D"/>
    <w:rsid w:val="008C5CDB"/>
    <w:rsid w:val="008D0460"/>
    <w:rsid w:val="008D2CF7"/>
    <w:rsid w:val="008E02DD"/>
    <w:rsid w:val="00900C26"/>
    <w:rsid w:val="0090197F"/>
    <w:rsid w:val="00906DDC"/>
    <w:rsid w:val="009211F7"/>
    <w:rsid w:val="00934E09"/>
    <w:rsid w:val="00936253"/>
    <w:rsid w:val="00952DD4"/>
    <w:rsid w:val="00961164"/>
    <w:rsid w:val="00970FED"/>
    <w:rsid w:val="00973986"/>
    <w:rsid w:val="00997029"/>
    <w:rsid w:val="009A0C21"/>
    <w:rsid w:val="009A4274"/>
    <w:rsid w:val="009D690D"/>
    <w:rsid w:val="009E5484"/>
    <w:rsid w:val="009E571A"/>
    <w:rsid w:val="009E65B6"/>
    <w:rsid w:val="00A30864"/>
    <w:rsid w:val="00A350F8"/>
    <w:rsid w:val="00A42AC3"/>
    <w:rsid w:val="00A430CF"/>
    <w:rsid w:val="00A54309"/>
    <w:rsid w:val="00A565F1"/>
    <w:rsid w:val="00A61D4A"/>
    <w:rsid w:val="00A63CBC"/>
    <w:rsid w:val="00A67DE6"/>
    <w:rsid w:val="00A70248"/>
    <w:rsid w:val="00A74FC2"/>
    <w:rsid w:val="00A80150"/>
    <w:rsid w:val="00A807B2"/>
    <w:rsid w:val="00A83496"/>
    <w:rsid w:val="00A96E44"/>
    <w:rsid w:val="00AB2B93"/>
    <w:rsid w:val="00AB7E5B"/>
    <w:rsid w:val="00AC0578"/>
    <w:rsid w:val="00AC360C"/>
    <w:rsid w:val="00AC4CF1"/>
    <w:rsid w:val="00AC61D0"/>
    <w:rsid w:val="00AD25A3"/>
    <w:rsid w:val="00AD736F"/>
    <w:rsid w:val="00AE0EF1"/>
    <w:rsid w:val="00AE176D"/>
    <w:rsid w:val="00AE1D00"/>
    <w:rsid w:val="00AE2937"/>
    <w:rsid w:val="00AF673C"/>
    <w:rsid w:val="00B0125F"/>
    <w:rsid w:val="00B01308"/>
    <w:rsid w:val="00B07301"/>
    <w:rsid w:val="00B224DE"/>
    <w:rsid w:val="00B40567"/>
    <w:rsid w:val="00B46575"/>
    <w:rsid w:val="00B52004"/>
    <w:rsid w:val="00B52EB1"/>
    <w:rsid w:val="00B64E07"/>
    <w:rsid w:val="00B701C6"/>
    <w:rsid w:val="00B740C8"/>
    <w:rsid w:val="00B74253"/>
    <w:rsid w:val="00B81376"/>
    <w:rsid w:val="00B84BBD"/>
    <w:rsid w:val="00B85539"/>
    <w:rsid w:val="00BA43FB"/>
    <w:rsid w:val="00BC127D"/>
    <w:rsid w:val="00BC1FE6"/>
    <w:rsid w:val="00BE4B61"/>
    <w:rsid w:val="00BF3687"/>
    <w:rsid w:val="00C01157"/>
    <w:rsid w:val="00C061B6"/>
    <w:rsid w:val="00C2446C"/>
    <w:rsid w:val="00C310D2"/>
    <w:rsid w:val="00C33DF3"/>
    <w:rsid w:val="00C36AE5"/>
    <w:rsid w:val="00C41F17"/>
    <w:rsid w:val="00C5280D"/>
    <w:rsid w:val="00C5791C"/>
    <w:rsid w:val="00C616F4"/>
    <w:rsid w:val="00C64F06"/>
    <w:rsid w:val="00C65407"/>
    <w:rsid w:val="00C66290"/>
    <w:rsid w:val="00C72B7A"/>
    <w:rsid w:val="00C95A90"/>
    <w:rsid w:val="00C95BBB"/>
    <w:rsid w:val="00C973F2"/>
    <w:rsid w:val="00CA304C"/>
    <w:rsid w:val="00CA774A"/>
    <w:rsid w:val="00CB10F5"/>
    <w:rsid w:val="00CC021D"/>
    <w:rsid w:val="00CC11B0"/>
    <w:rsid w:val="00CD191E"/>
    <w:rsid w:val="00CD4D50"/>
    <w:rsid w:val="00CF3C25"/>
    <w:rsid w:val="00CF7E36"/>
    <w:rsid w:val="00D0138F"/>
    <w:rsid w:val="00D0147A"/>
    <w:rsid w:val="00D26DF6"/>
    <w:rsid w:val="00D3708D"/>
    <w:rsid w:val="00D40426"/>
    <w:rsid w:val="00D41BD4"/>
    <w:rsid w:val="00D57C96"/>
    <w:rsid w:val="00D73637"/>
    <w:rsid w:val="00D876B7"/>
    <w:rsid w:val="00D91203"/>
    <w:rsid w:val="00D95174"/>
    <w:rsid w:val="00DA059B"/>
    <w:rsid w:val="00DA6F36"/>
    <w:rsid w:val="00DB365A"/>
    <w:rsid w:val="00DB596E"/>
    <w:rsid w:val="00DC00EA"/>
    <w:rsid w:val="00DF0269"/>
    <w:rsid w:val="00DF02BC"/>
    <w:rsid w:val="00DF6F05"/>
    <w:rsid w:val="00E00E04"/>
    <w:rsid w:val="00E01BFF"/>
    <w:rsid w:val="00E02775"/>
    <w:rsid w:val="00E04B68"/>
    <w:rsid w:val="00E13641"/>
    <w:rsid w:val="00E148BB"/>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34DF"/>
    <w:rsid w:val="00EF2F89"/>
    <w:rsid w:val="00F04802"/>
    <w:rsid w:val="00F1237A"/>
    <w:rsid w:val="00F22CBD"/>
    <w:rsid w:val="00F26D16"/>
    <w:rsid w:val="00F27DDE"/>
    <w:rsid w:val="00F32D39"/>
    <w:rsid w:val="00F41AAB"/>
    <w:rsid w:val="00F45372"/>
    <w:rsid w:val="00F51440"/>
    <w:rsid w:val="00F560F7"/>
    <w:rsid w:val="00F6027A"/>
    <w:rsid w:val="00F6334D"/>
    <w:rsid w:val="00F72061"/>
    <w:rsid w:val="00F7283E"/>
    <w:rsid w:val="00F7420C"/>
    <w:rsid w:val="00FA49AB"/>
    <w:rsid w:val="00FC1034"/>
    <w:rsid w:val="00FD65CC"/>
    <w:rsid w:val="00FE39C7"/>
    <w:rsid w:val="00FE55F1"/>
    <w:rsid w:val="00FF706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de-DE"/>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rPr>
  </w:style>
  <w:style w:type="character" w:customStyle="1" w:styleId="HeaderChar">
    <w:name w:val="Header Char"/>
    <w:basedOn w:val="DefaultParagraphFont"/>
    <w:link w:val="Header"/>
    <w:uiPriority w:val="99"/>
    <w:rsid w:val="00864082"/>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de-DE" w:eastAsia="de-DE" w:bidi="de-DE"/>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 w:id="97872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9B6C-FE11-4558-94AF-5714BE89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10954</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BERGER Fanny</cp:lastModifiedBy>
  <cp:revision>12</cp:revision>
  <cp:lastPrinted>2016-02-01T15:42:00Z</cp:lastPrinted>
  <dcterms:created xsi:type="dcterms:W3CDTF">2016-01-25T16:00:00Z</dcterms:created>
  <dcterms:modified xsi:type="dcterms:W3CDTF">2016-02-01T16:27:00Z</dcterms:modified>
</cp:coreProperties>
</file>