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822961" w:rsidRPr="004B1F8F" w:rsidTr="00B07C1A">
        <w:trPr>
          <w:trHeight w:val="1760"/>
        </w:trPr>
        <w:tc>
          <w:tcPr>
            <w:tcW w:w="4243" w:type="dxa"/>
          </w:tcPr>
          <w:p w:rsidR="00822961" w:rsidRPr="004B1F8F" w:rsidRDefault="00385E3C" w:rsidP="00377FF4">
            <w:pPr>
              <w:rPr>
                <w:lang w:val="de-DE" w:eastAsia="ja-JP"/>
              </w:rPr>
            </w:pPr>
            <w:r w:rsidRPr="004B1F8F">
              <w:rPr>
                <w:lang w:val="de-DE" w:eastAsia="ja-JP"/>
              </w:rPr>
              <w:t xml:space="preserve"> </w:t>
            </w:r>
          </w:p>
        </w:tc>
        <w:tc>
          <w:tcPr>
            <w:tcW w:w="1646" w:type="dxa"/>
            <w:vAlign w:val="center"/>
          </w:tcPr>
          <w:p w:rsidR="00822961" w:rsidRPr="000C7DC8" w:rsidRDefault="002A199F" w:rsidP="00377FF4">
            <w:pPr>
              <w:pStyle w:val="LogoUPOV"/>
              <w:rPr>
                <w:lang w:val="de-DE"/>
              </w:rPr>
            </w:pPr>
            <w:r w:rsidRPr="000C7DC8">
              <w:rPr>
                <w:noProof/>
              </w:rPr>
              <w:drawing>
                <wp:inline distT="0" distB="0" distL="0" distR="0" wp14:anchorId="0BCE1FCC" wp14:editId="7DA679F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22961" w:rsidRPr="000C7DC8" w:rsidRDefault="00B07C1A" w:rsidP="00377FF4">
            <w:pPr>
              <w:pStyle w:val="Lettrine"/>
              <w:rPr>
                <w:lang w:val="de-DE"/>
              </w:rPr>
            </w:pPr>
            <w:r w:rsidRPr="000C7DC8">
              <w:rPr>
                <w:lang w:val="de-DE"/>
              </w:rPr>
              <w:t>G</w:t>
            </w:r>
          </w:p>
          <w:p w:rsidR="00822961" w:rsidRPr="000C7DC8" w:rsidRDefault="00A747D1" w:rsidP="00377FF4">
            <w:pPr>
              <w:pStyle w:val="Docoriginal"/>
              <w:rPr>
                <w:lang w:val="de-DE" w:eastAsia="ja-JP"/>
              </w:rPr>
            </w:pPr>
            <w:r w:rsidRPr="000C7DC8">
              <w:rPr>
                <w:lang w:val="de-DE"/>
              </w:rPr>
              <w:t>TC/5</w:t>
            </w:r>
            <w:r w:rsidR="003F3F9F" w:rsidRPr="000C7DC8">
              <w:rPr>
                <w:lang w:val="de-DE" w:eastAsia="ja-JP"/>
              </w:rPr>
              <w:t>2</w:t>
            </w:r>
            <w:r w:rsidR="00822961" w:rsidRPr="000C7DC8">
              <w:rPr>
                <w:lang w:val="de-DE"/>
              </w:rPr>
              <w:t>/</w:t>
            </w:r>
            <w:bookmarkStart w:id="0" w:name="Code"/>
            <w:bookmarkEnd w:id="0"/>
            <w:r w:rsidR="00EF1129" w:rsidRPr="000C7DC8">
              <w:rPr>
                <w:lang w:val="de-DE"/>
              </w:rPr>
              <w:t>1</w:t>
            </w:r>
            <w:r w:rsidR="00EF1129" w:rsidRPr="000C7DC8">
              <w:rPr>
                <w:lang w:val="de-DE" w:eastAsia="ja-JP"/>
              </w:rPr>
              <w:t>2</w:t>
            </w:r>
          </w:p>
          <w:p w:rsidR="00822961" w:rsidRPr="000C7DC8" w:rsidRDefault="00822961" w:rsidP="00377FF4">
            <w:pPr>
              <w:pStyle w:val="Docoriginal"/>
              <w:rPr>
                <w:b w:val="0"/>
                <w:spacing w:val="0"/>
                <w:lang w:val="de-DE"/>
              </w:rPr>
            </w:pPr>
            <w:r w:rsidRPr="000C7DC8">
              <w:rPr>
                <w:rStyle w:val="StyleDoclangBold"/>
                <w:b/>
                <w:spacing w:val="0"/>
                <w:lang w:val="de-DE"/>
              </w:rPr>
              <w:t>ORIGINAL:</w:t>
            </w:r>
            <w:r w:rsidRPr="000C7DC8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C91AEB" w:rsidRPr="000C7DC8">
              <w:rPr>
                <w:rStyle w:val="StyleDocoriginalNotBold1"/>
                <w:spacing w:val="0"/>
                <w:lang w:val="de-DE"/>
              </w:rPr>
              <w:t>e</w:t>
            </w:r>
            <w:r w:rsidR="00C91AEB" w:rsidRPr="000C7DC8">
              <w:rPr>
                <w:b w:val="0"/>
                <w:spacing w:val="0"/>
                <w:lang w:val="de-DE"/>
              </w:rPr>
              <w:t>nglisch</w:t>
            </w:r>
          </w:p>
          <w:p w:rsidR="00822961" w:rsidRPr="004B1F8F" w:rsidRDefault="00822961" w:rsidP="00B07C1A">
            <w:pPr>
              <w:pStyle w:val="Docoriginal"/>
              <w:rPr>
                <w:lang w:val="de-DE" w:eastAsia="ja-JP"/>
              </w:rPr>
            </w:pPr>
            <w:r w:rsidRPr="000C7DC8">
              <w:rPr>
                <w:spacing w:val="0"/>
                <w:lang w:val="de-DE"/>
              </w:rPr>
              <w:t>DAT</w:t>
            </w:r>
            <w:r w:rsidR="00B07C1A" w:rsidRPr="000C7DC8">
              <w:rPr>
                <w:spacing w:val="0"/>
                <w:lang w:val="de-DE"/>
              </w:rPr>
              <w:t>UM</w:t>
            </w:r>
            <w:r w:rsidRPr="000C7DC8">
              <w:rPr>
                <w:spacing w:val="0"/>
                <w:lang w:val="de-DE"/>
              </w:rPr>
              <w:t>:</w:t>
            </w:r>
            <w:r w:rsidR="00AD2897" w:rsidRPr="000C7DC8">
              <w:rPr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B07C1A" w:rsidRPr="000C7DC8">
              <w:rPr>
                <w:b w:val="0"/>
                <w:spacing w:val="0"/>
                <w:lang w:val="de-DE"/>
              </w:rPr>
              <w:t>3. F</w:t>
            </w:r>
            <w:r w:rsidR="00CD7CD3" w:rsidRPr="000C7DC8">
              <w:rPr>
                <w:b w:val="0"/>
                <w:spacing w:val="0"/>
                <w:lang w:val="de-DE"/>
              </w:rPr>
              <w:t>ebruar</w:t>
            </w:r>
            <w:r w:rsidRPr="000C7DC8">
              <w:rPr>
                <w:b w:val="0"/>
                <w:spacing w:val="0"/>
                <w:lang w:val="de-DE"/>
              </w:rPr>
              <w:t xml:space="preserve"> 201</w:t>
            </w:r>
            <w:r w:rsidR="0062530A" w:rsidRPr="000C7DC8">
              <w:rPr>
                <w:b w:val="0"/>
                <w:spacing w:val="0"/>
                <w:lang w:val="de-DE"/>
              </w:rPr>
              <w:t>6</w:t>
            </w:r>
          </w:p>
        </w:tc>
      </w:tr>
      <w:tr w:rsidR="00822961" w:rsidRPr="004B1F8F" w:rsidTr="00B07C1A">
        <w:tc>
          <w:tcPr>
            <w:tcW w:w="10131" w:type="dxa"/>
            <w:gridSpan w:val="3"/>
          </w:tcPr>
          <w:p w:rsidR="00822961" w:rsidRPr="004B1F8F" w:rsidRDefault="00B07C1A" w:rsidP="00B07C1A">
            <w:pPr>
              <w:pStyle w:val="upove"/>
              <w:rPr>
                <w:sz w:val="28"/>
                <w:lang w:val="de-DE"/>
              </w:rPr>
            </w:pPr>
            <w:r w:rsidRPr="004B1F8F">
              <w:rPr>
                <w:lang w:val="de-DE"/>
              </w:rPr>
              <w:t>INTERNATIONALER VERBAND ZUM SCHUTZ VON PFLANZENZÜCHTUNGEN</w:t>
            </w:r>
          </w:p>
        </w:tc>
      </w:tr>
      <w:tr w:rsidR="00822961" w:rsidRPr="004B1F8F" w:rsidTr="00B07C1A">
        <w:tc>
          <w:tcPr>
            <w:tcW w:w="10131" w:type="dxa"/>
            <w:gridSpan w:val="3"/>
          </w:tcPr>
          <w:p w:rsidR="00822961" w:rsidRPr="004B1F8F" w:rsidRDefault="00822961" w:rsidP="00B07C1A">
            <w:pPr>
              <w:pStyle w:val="Country"/>
              <w:rPr>
                <w:lang w:val="de-DE"/>
              </w:rPr>
            </w:pPr>
            <w:r w:rsidRPr="004B1F8F">
              <w:rPr>
                <w:lang w:val="de-DE"/>
              </w:rPr>
              <w:t>Gen</w:t>
            </w:r>
            <w:r w:rsidR="00B07C1A" w:rsidRPr="004B1F8F">
              <w:rPr>
                <w:lang w:val="de-DE"/>
              </w:rPr>
              <w:t>f</w:t>
            </w:r>
          </w:p>
        </w:tc>
      </w:tr>
    </w:tbl>
    <w:p w:rsidR="00B07C1A" w:rsidRPr="004B1F8F" w:rsidRDefault="00B07C1A" w:rsidP="00B07C1A">
      <w:pPr>
        <w:pStyle w:val="Sessiontc"/>
        <w:rPr>
          <w:lang w:val="de-DE"/>
        </w:rPr>
      </w:pPr>
      <w:r w:rsidRPr="004B1F8F">
        <w:rPr>
          <w:lang w:val="de-DE"/>
        </w:rPr>
        <w:t>Technischer AusschuSS</w:t>
      </w:r>
    </w:p>
    <w:p w:rsidR="00B07C1A" w:rsidRPr="004B1F8F" w:rsidRDefault="00B07C1A" w:rsidP="00B07C1A">
      <w:pPr>
        <w:pStyle w:val="Sessiontcplacedate"/>
        <w:rPr>
          <w:lang w:val="de-DE"/>
        </w:rPr>
      </w:pPr>
      <w:r w:rsidRPr="004B1F8F">
        <w:rPr>
          <w:lang w:val="de-DE"/>
        </w:rPr>
        <w:t>Zweiundfünfzigste Tagung</w:t>
      </w:r>
      <w:r w:rsidRPr="004B1F8F">
        <w:rPr>
          <w:lang w:val="de-DE"/>
        </w:rPr>
        <w:br/>
        <w:t>Genf, 14. bis 16. März 2016</w:t>
      </w:r>
    </w:p>
    <w:p w:rsidR="00B07C1A" w:rsidRPr="004B1F8F" w:rsidRDefault="005B1882" w:rsidP="00B07C1A">
      <w:pPr>
        <w:pStyle w:val="Titleofdoc0"/>
        <w:rPr>
          <w:lang w:val="de-DE"/>
        </w:rPr>
      </w:pPr>
      <w:r w:rsidRPr="004B1F8F">
        <w:rPr>
          <w:lang w:val="de-DE"/>
        </w:rPr>
        <w:t>SORTENBEZEICHNUNGEN</w:t>
      </w:r>
    </w:p>
    <w:p w:rsidR="00B07C1A" w:rsidRPr="004B1F8F" w:rsidRDefault="00B07C1A" w:rsidP="00B07C1A">
      <w:pPr>
        <w:pStyle w:val="preparedby0"/>
        <w:rPr>
          <w:lang w:val="de-DE"/>
        </w:rPr>
      </w:pPr>
      <w:r w:rsidRPr="004B1F8F">
        <w:rPr>
          <w:lang w:val="de-DE"/>
        </w:rPr>
        <w:t>vom Verbandsbüro erstelltes Dokument</w:t>
      </w:r>
      <w:r w:rsidRPr="004B1F8F">
        <w:rPr>
          <w:lang w:val="de-DE"/>
        </w:rPr>
        <w:br/>
      </w:r>
      <w:r w:rsidRPr="004B1F8F">
        <w:rPr>
          <w:lang w:val="de-DE"/>
        </w:rPr>
        <w:br/>
      </w:r>
      <w:r w:rsidRPr="004B1F8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172A6A" w:rsidRPr="004B1F8F" w:rsidRDefault="005B1882" w:rsidP="00172A6A">
      <w:pPr>
        <w:pStyle w:val="Heading1"/>
        <w:rPr>
          <w:rFonts w:eastAsia="MS Mincho"/>
          <w:lang w:val="de-DE" w:eastAsia="ja-JP"/>
        </w:rPr>
      </w:pPr>
      <w:bookmarkStart w:id="3" w:name="_Toc438649862"/>
      <w:bookmarkStart w:id="4" w:name="_Ref438649598"/>
      <w:bookmarkStart w:id="5" w:name="_Toc442277850"/>
      <w:bookmarkStart w:id="6" w:name="_Toc442429784"/>
      <w:bookmarkStart w:id="7" w:name="_Toc443497708"/>
      <w:r w:rsidRPr="004B1F8F">
        <w:rPr>
          <w:rFonts w:eastAsia="MS Mincho"/>
          <w:lang w:val="de-DE" w:eastAsia="ja-JP"/>
        </w:rPr>
        <w:t>ZUSAMMENFASSUNG</w:t>
      </w:r>
      <w:bookmarkEnd w:id="3"/>
      <w:bookmarkEnd w:id="4"/>
      <w:bookmarkEnd w:id="5"/>
      <w:bookmarkEnd w:id="6"/>
      <w:bookmarkEnd w:id="7"/>
    </w:p>
    <w:p w:rsidR="00101F79" w:rsidRPr="004B1F8F" w:rsidRDefault="00101F79" w:rsidP="00172A6A">
      <w:pPr>
        <w:rPr>
          <w:rFonts w:eastAsia="MS Mincho"/>
          <w:lang w:val="de-DE" w:eastAsia="ja-JP"/>
        </w:rPr>
      </w:pPr>
    </w:p>
    <w:p w:rsidR="0064661D" w:rsidRPr="004B1F8F" w:rsidRDefault="0064661D" w:rsidP="0064661D">
      <w:pPr>
        <w:rPr>
          <w:rFonts w:cs="Arial"/>
          <w:snapToGrid w:val="0"/>
          <w:lang w:val="de-DE"/>
        </w:rPr>
      </w:pPr>
      <w:r w:rsidRPr="004B1F8F">
        <w:rPr>
          <w:rFonts w:cs="Arial"/>
          <w:snapToGrid w:val="0"/>
          <w:lang w:val="de-DE"/>
        </w:rPr>
        <w:fldChar w:fldCharType="begin"/>
      </w:r>
      <w:r w:rsidRPr="004B1F8F">
        <w:rPr>
          <w:rFonts w:cs="Arial"/>
          <w:snapToGrid w:val="0"/>
          <w:lang w:val="de-DE"/>
        </w:rPr>
        <w:instrText xml:space="preserve"> AUTONUM  </w:instrText>
      </w:r>
      <w:r w:rsidRPr="004B1F8F">
        <w:rPr>
          <w:rFonts w:cs="Arial"/>
          <w:snapToGrid w:val="0"/>
          <w:lang w:val="de-DE"/>
        </w:rPr>
        <w:fldChar w:fldCharType="end"/>
      </w:r>
      <w:r w:rsidRPr="004B1F8F">
        <w:rPr>
          <w:rFonts w:cs="Arial"/>
          <w:snapToGrid w:val="0"/>
          <w:lang w:val="de-DE"/>
        </w:rPr>
        <w:tab/>
      </w:r>
      <w:r w:rsidRPr="004B1F8F">
        <w:rPr>
          <w:rFonts w:cs="Arial"/>
          <w:lang w:val="de-DE"/>
        </w:rPr>
        <w:t>Zweck dieses Dokuments ist es, über die Arbeiten zur etwaigen Entwicklung eines UPOV</w:t>
      </w:r>
      <w:r w:rsidRPr="004B1F8F">
        <w:rPr>
          <w:rFonts w:cs="Arial"/>
          <w:lang w:val="de-DE"/>
        </w:rPr>
        <w:noBreakHyphen/>
      </w:r>
      <w:r w:rsidR="00906C57" w:rsidRPr="004B1F8F">
        <w:rPr>
          <w:rFonts w:cs="Arial"/>
          <w:lang w:val="de-DE"/>
        </w:rPr>
        <w:t>Suchi</w:t>
      </w:r>
      <w:r w:rsidRPr="004B1F8F">
        <w:rPr>
          <w:rFonts w:cs="Arial"/>
          <w:lang w:val="de-DE"/>
        </w:rPr>
        <w:t xml:space="preserve">nstruments für Ähnlichkeiten zum Zweck der Sortenbezeichnung und </w:t>
      </w:r>
      <w:r w:rsidR="00B64C8C" w:rsidRPr="004B1F8F">
        <w:rPr>
          <w:rFonts w:cs="Arial"/>
          <w:lang w:val="de-DE"/>
        </w:rPr>
        <w:t>zur</w:t>
      </w:r>
      <w:r w:rsidRPr="004B1F8F">
        <w:rPr>
          <w:rFonts w:cs="Arial"/>
          <w:lang w:val="de-DE"/>
        </w:rPr>
        <w:t xml:space="preserve"> etwaige</w:t>
      </w:r>
      <w:r w:rsidR="00B64C8C" w:rsidRPr="004B1F8F">
        <w:rPr>
          <w:rFonts w:cs="Arial"/>
          <w:lang w:val="de-DE"/>
        </w:rPr>
        <w:t>n</w:t>
      </w:r>
      <w:r w:rsidR="000C7DC8">
        <w:rPr>
          <w:rFonts w:cs="Arial"/>
          <w:lang w:val="de-DE"/>
        </w:rPr>
        <w:t xml:space="preserve"> Überarbeitung des Dokuments </w:t>
      </w:r>
      <w:r w:rsidRPr="004B1F8F">
        <w:rPr>
          <w:rFonts w:cs="Arial"/>
          <w:lang w:val="de-DE"/>
        </w:rPr>
        <w:t>UPOV/INF/12 „Erläuterungen zu Sortenbezeichnungen nach dem UPOV</w:t>
      </w:r>
      <w:r w:rsidR="00B64C8C" w:rsidRPr="004B1F8F">
        <w:rPr>
          <w:rFonts w:cs="Arial"/>
          <w:lang w:val="de-DE"/>
        </w:rPr>
        <w:noBreakHyphen/>
      </w:r>
      <w:r w:rsidRPr="004B1F8F">
        <w:rPr>
          <w:rFonts w:cs="Arial"/>
          <w:lang w:val="de-DE"/>
        </w:rPr>
        <w:t>Übereinkommen“</w:t>
      </w:r>
      <w:r w:rsidR="00B64C8C" w:rsidRPr="004B1F8F">
        <w:rPr>
          <w:rFonts w:cs="Arial"/>
          <w:lang w:val="de-DE"/>
        </w:rPr>
        <w:t>,</w:t>
      </w:r>
      <w:r w:rsidRPr="004B1F8F">
        <w:rPr>
          <w:rFonts w:cs="Arial"/>
          <w:lang w:val="de-DE"/>
        </w:rPr>
        <w:t xml:space="preserve"> zu berichten</w:t>
      </w:r>
      <w:r w:rsidRPr="004B1F8F">
        <w:rPr>
          <w:rFonts w:cs="Arial"/>
          <w:snapToGrid w:val="0"/>
          <w:lang w:val="de-DE"/>
        </w:rPr>
        <w:t>.</w:t>
      </w:r>
    </w:p>
    <w:p w:rsidR="00822961" w:rsidRPr="004B1F8F" w:rsidRDefault="00822961" w:rsidP="00377FF4">
      <w:pPr>
        <w:rPr>
          <w:rFonts w:cs="Arial"/>
          <w:snapToGrid w:val="0"/>
          <w:lang w:val="de-DE" w:eastAsia="ja-JP"/>
        </w:rPr>
      </w:pPr>
    </w:p>
    <w:p w:rsidR="0074400D" w:rsidRPr="004B1F8F" w:rsidRDefault="0074400D" w:rsidP="0074400D">
      <w:pPr>
        <w:pStyle w:val="dec"/>
        <w:ind w:left="0"/>
        <w:rPr>
          <w:rFonts w:eastAsia="MS Mincho"/>
          <w:i w:val="0"/>
          <w:color w:val="000000" w:themeColor="text1"/>
          <w:spacing w:val="0"/>
          <w:lang w:val="de-DE" w:eastAsia="ja-JP"/>
        </w:rPr>
      </w:pPr>
      <w:r w:rsidRPr="004B1F8F">
        <w:rPr>
          <w:i w:val="0"/>
          <w:lang w:val="de-DE"/>
        </w:rPr>
        <w:fldChar w:fldCharType="begin"/>
      </w:r>
      <w:r w:rsidRPr="004B1F8F">
        <w:rPr>
          <w:i w:val="0"/>
          <w:lang w:val="de-DE"/>
        </w:rPr>
        <w:instrText xml:space="preserve"> AUTONUM  </w:instrText>
      </w:r>
      <w:r w:rsidRPr="004B1F8F">
        <w:rPr>
          <w:i w:val="0"/>
          <w:lang w:val="de-DE"/>
        </w:rPr>
        <w:fldChar w:fldCharType="end"/>
      </w:r>
      <w:r w:rsidRPr="004B1F8F">
        <w:rPr>
          <w:i w:val="0"/>
          <w:lang w:val="de-DE"/>
        </w:rPr>
        <w:tab/>
        <w:t>Der</w:t>
      </w:r>
      <w:r w:rsidRPr="004B1F8F">
        <w:rPr>
          <w:i w:val="0"/>
          <w:color w:val="000000" w:themeColor="text1"/>
          <w:spacing w:val="0"/>
          <w:lang w:val="de-DE"/>
        </w:rPr>
        <w:t xml:space="preserve"> TC wird ersucht, folgendes zur Kenntnis zu nehmen:</w:t>
      </w:r>
    </w:p>
    <w:p w:rsidR="0074400D" w:rsidRPr="004B1F8F" w:rsidRDefault="0074400D" w:rsidP="0074400D">
      <w:pPr>
        <w:keepNext/>
        <w:ind w:firstLine="567"/>
        <w:rPr>
          <w:rFonts w:cs="Arial"/>
          <w:lang w:val="de-DE" w:eastAsia="ja-JP"/>
        </w:rPr>
      </w:pPr>
    </w:p>
    <w:p w:rsidR="0074400D" w:rsidRPr="004B1F8F" w:rsidRDefault="0074400D" w:rsidP="0074400D">
      <w:pPr>
        <w:pStyle w:val="dec"/>
        <w:ind w:left="0" w:firstLine="567"/>
        <w:rPr>
          <w:i w:val="0"/>
          <w:color w:val="000000" w:themeColor="text1"/>
          <w:spacing w:val="0"/>
          <w:lang w:val="de-DE"/>
        </w:rPr>
      </w:pPr>
      <w:r w:rsidRPr="004B1F8F">
        <w:rPr>
          <w:i w:val="0"/>
          <w:color w:val="000000" w:themeColor="text1"/>
          <w:spacing w:val="0"/>
          <w:lang w:val="de-DE"/>
        </w:rPr>
        <w:t>a)</w:t>
      </w:r>
      <w:r w:rsidRPr="004B1F8F">
        <w:rPr>
          <w:i w:val="0"/>
          <w:color w:val="000000" w:themeColor="text1"/>
          <w:spacing w:val="0"/>
          <w:lang w:val="de-DE"/>
        </w:rPr>
        <w:tab/>
        <w:t xml:space="preserve">die Arbeit der WG-DST </w:t>
      </w:r>
      <w:r w:rsidRPr="004B1F8F">
        <w:rPr>
          <w:rFonts w:cs="Arial"/>
          <w:i w:val="0"/>
          <w:lang w:val="de-DE"/>
        </w:rPr>
        <w:t>zur etwaigen Entwicklung eines UPOV-Such</w:t>
      </w:r>
      <w:r w:rsidR="00906C57" w:rsidRPr="004B1F8F">
        <w:rPr>
          <w:rFonts w:cs="Arial"/>
          <w:i w:val="0"/>
          <w:lang w:val="de-DE"/>
        </w:rPr>
        <w:t>instrument</w:t>
      </w:r>
      <w:r w:rsidRPr="004B1F8F">
        <w:rPr>
          <w:rFonts w:cs="Arial"/>
          <w:i w:val="0"/>
          <w:lang w:val="de-DE"/>
        </w:rPr>
        <w:t>s für Ähnlichkeiten zum Zweck der Sortenbezeichnung</w:t>
      </w:r>
      <w:r w:rsidR="00B64C8C" w:rsidRPr="004B1F8F">
        <w:rPr>
          <w:rFonts w:cs="Arial"/>
          <w:i w:val="0"/>
          <w:lang w:val="de-DE"/>
        </w:rPr>
        <w:t>,</w:t>
      </w:r>
      <w:r w:rsidRPr="004B1F8F">
        <w:rPr>
          <w:rFonts w:cs="Arial"/>
          <w:i w:val="0"/>
          <w:lang w:val="de-DE"/>
        </w:rPr>
        <w:t xml:space="preserve"> </w:t>
      </w:r>
      <w:r w:rsidRPr="004B1F8F">
        <w:rPr>
          <w:i w:val="0"/>
          <w:color w:val="000000" w:themeColor="text1"/>
          <w:spacing w:val="0"/>
          <w:lang w:val="de-DE"/>
        </w:rPr>
        <w:t xml:space="preserve">einschließlich der Teststudie, wie in den Absätzen </w:t>
      </w:r>
      <w:r w:rsidR="001044B2" w:rsidRPr="004B1F8F">
        <w:rPr>
          <w:i w:val="0"/>
          <w:color w:val="000000" w:themeColor="text1"/>
          <w:spacing w:val="0"/>
          <w:lang w:val="de-DE"/>
        </w:rPr>
        <w:t>5</w:t>
      </w:r>
      <w:r w:rsidRPr="004B1F8F">
        <w:rPr>
          <w:i w:val="0"/>
          <w:color w:val="000000" w:themeColor="text1"/>
          <w:spacing w:val="0"/>
          <w:lang w:val="de-DE"/>
        </w:rPr>
        <w:t xml:space="preserve"> bis 15 dieses Dokuments dargelegt</w:t>
      </w:r>
      <w:r w:rsidRPr="004B1F8F">
        <w:rPr>
          <w:rFonts w:eastAsia="MS Mincho"/>
          <w:i w:val="0"/>
          <w:snapToGrid w:val="0"/>
          <w:spacing w:val="0"/>
          <w:lang w:val="de-DE" w:eastAsia="ja-JP"/>
        </w:rPr>
        <w:t>;</w:t>
      </w:r>
    </w:p>
    <w:p w:rsidR="0074400D" w:rsidRPr="004B1F8F" w:rsidRDefault="0074400D" w:rsidP="0074400D">
      <w:pPr>
        <w:keepNext/>
        <w:ind w:firstLine="567"/>
        <w:rPr>
          <w:rFonts w:cs="Arial"/>
          <w:lang w:val="de-DE" w:eastAsia="ja-JP"/>
        </w:rPr>
      </w:pPr>
    </w:p>
    <w:p w:rsidR="0074400D" w:rsidRPr="004B1F8F" w:rsidRDefault="0074400D" w:rsidP="0074400D">
      <w:pPr>
        <w:pStyle w:val="dec"/>
        <w:ind w:left="0"/>
        <w:rPr>
          <w:rFonts w:eastAsia="MS Mincho"/>
          <w:i w:val="0"/>
          <w:color w:val="000000"/>
          <w:lang w:val="de-DE" w:eastAsia="ja-JP"/>
        </w:rPr>
      </w:pPr>
      <w:r w:rsidRPr="004B1F8F">
        <w:rPr>
          <w:rFonts w:eastAsia="MS Mincho" w:cs="Arial"/>
          <w:i w:val="0"/>
          <w:lang w:val="de-DE" w:eastAsia="ja-JP"/>
        </w:rPr>
        <w:tab/>
        <w:t>b)</w:t>
      </w:r>
      <w:r w:rsidRPr="004B1F8F">
        <w:rPr>
          <w:rFonts w:eastAsia="MS Mincho" w:cs="Arial"/>
          <w:i w:val="0"/>
          <w:lang w:val="de-DE" w:eastAsia="ja-JP"/>
        </w:rPr>
        <w:tab/>
        <w:t>daß die Überarbeitung des Dokuments</w:t>
      </w:r>
      <w:r w:rsidRPr="004B1F8F">
        <w:rPr>
          <w:i w:val="0"/>
          <w:lang w:val="de-DE"/>
        </w:rPr>
        <w:t xml:space="preserve"> UPOV/INF/12 in </w:t>
      </w:r>
      <w:r w:rsidR="00906C57" w:rsidRPr="004B1F8F">
        <w:rPr>
          <w:i w:val="0"/>
          <w:lang w:val="de-DE"/>
        </w:rPr>
        <w:t>b</w:t>
      </w:r>
      <w:r w:rsidRPr="004B1F8F">
        <w:rPr>
          <w:i w:val="0"/>
          <w:lang w:val="de-DE"/>
        </w:rPr>
        <w:t xml:space="preserve">ezug auf die Änderung eingetragener Sortenbezeichnungen vom Rat auf seiner neunundvierzigsten ordentlichen Tagung </w:t>
      </w:r>
      <w:r w:rsidR="00601171" w:rsidRPr="004B1F8F">
        <w:rPr>
          <w:i w:val="0"/>
          <w:lang w:val="de-DE"/>
        </w:rPr>
        <w:t xml:space="preserve">vom 29. Oktober 2015 in Genf </w:t>
      </w:r>
      <w:r w:rsidRPr="004B1F8F">
        <w:rPr>
          <w:i w:val="0"/>
          <w:lang w:val="de-DE"/>
        </w:rPr>
        <w:t>angenommen wurde (vergleiche Absatz 17);</w:t>
      </w:r>
    </w:p>
    <w:p w:rsidR="0074400D" w:rsidRPr="004B1F8F" w:rsidRDefault="0074400D" w:rsidP="0074400D">
      <w:pPr>
        <w:keepNext/>
        <w:ind w:firstLine="567"/>
        <w:rPr>
          <w:rFonts w:cs="Arial"/>
          <w:lang w:val="de-DE" w:eastAsia="ja-JP"/>
        </w:rPr>
      </w:pPr>
    </w:p>
    <w:p w:rsidR="0074400D" w:rsidRPr="004B1F8F" w:rsidRDefault="0074400D" w:rsidP="0074400D">
      <w:pPr>
        <w:pStyle w:val="dec"/>
        <w:ind w:left="0" w:firstLine="567"/>
        <w:rPr>
          <w:rFonts w:eastAsia="MS Mincho" w:cs="Arial"/>
          <w:i w:val="0"/>
          <w:lang w:val="de-DE" w:eastAsia="ja-JP"/>
        </w:rPr>
      </w:pPr>
      <w:r w:rsidRPr="004B1F8F">
        <w:rPr>
          <w:rFonts w:eastAsia="MS Mincho" w:cs="Arial"/>
          <w:i w:val="0"/>
          <w:lang w:val="de-DE" w:eastAsia="ja-JP"/>
        </w:rPr>
        <w:t>c)</w:t>
      </w:r>
      <w:r w:rsidRPr="004B1F8F">
        <w:rPr>
          <w:rFonts w:eastAsia="MS Mincho" w:cs="Arial"/>
          <w:i w:val="0"/>
          <w:lang w:val="de-DE" w:eastAsia="ja-JP"/>
        </w:rPr>
        <w:tab/>
        <w:t xml:space="preserve">daß </w:t>
      </w:r>
      <w:r w:rsidR="00721DE9" w:rsidRPr="004B1F8F">
        <w:rPr>
          <w:rFonts w:eastAsia="MS Mincho" w:cs="Arial"/>
          <w:i w:val="0"/>
          <w:lang w:val="de-DE" w:eastAsia="ja-JP"/>
        </w:rPr>
        <w:t xml:space="preserve">das </w:t>
      </w:r>
      <w:r w:rsidR="00906C57" w:rsidRPr="004B1F8F">
        <w:rPr>
          <w:i w:val="0"/>
          <w:snapToGrid w:val="0"/>
          <w:lang w:val="de-DE"/>
        </w:rPr>
        <w:t xml:space="preserve">Mandat und die Zusammensetzung der </w:t>
      </w:r>
      <w:r w:rsidR="001044B2" w:rsidRPr="004B1F8F">
        <w:rPr>
          <w:rStyle w:val="f21"/>
          <w:i w:val="0"/>
          <w:lang w:val="de-DE"/>
        </w:rPr>
        <w:t xml:space="preserve">WG-DST </w:t>
      </w:r>
      <w:r w:rsidR="00906C57" w:rsidRPr="004B1F8F">
        <w:rPr>
          <w:rStyle w:val="f21"/>
          <w:i w:val="0"/>
          <w:lang w:val="de-DE"/>
        </w:rPr>
        <w:t>aus</w:t>
      </w:r>
      <w:r w:rsidR="00721DE9" w:rsidRPr="004B1F8F">
        <w:rPr>
          <w:rStyle w:val="f21"/>
          <w:i w:val="0"/>
          <w:lang w:val="de-DE"/>
        </w:rPr>
        <w:t>ge</w:t>
      </w:r>
      <w:r w:rsidR="00906C57" w:rsidRPr="004B1F8F">
        <w:rPr>
          <w:rStyle w:val="f21"/>
          <w:i w:val="0"/>
          <w:lang w:val="de-DE"/>
        </w:rPr>
        <w:t>weite</w:t>
      </w:r>
      <w:r w:rsidR="00721DE9" w:rsidRPr="004B1F8F">
        <w:rPr>
          <w:rStyle w:val="f21"/>
          <w:i w:val="0"/>
          <w:lang w:val="de-DE"/>
        </w:rPr>
        <w:t>t wurde</w:t>
      </w:r>
      <w:r w:rsidR="00906C57" w:rsidRPr="004B1F8F">
        <w:rPr>
          <w:rStyle w:val="f21"/>
          <w:i w:val="0"/>
          <w:lang w:val="de-DE"/>
        </w:rPr>
        <w:t xml:space="preserve">n, um Empfehlungen für den </w:t>
      </w:r>
      <w:r w:rsidR="00906C57" w:rsidRPr="004B1F8F">
        <w:rPr>
          <w:rFonts w:cs="Arial"/>
          <w:i w:val="0"/>
          <w:snapToGrid w:val="0"/>
          <w:lang w:val="de-DE" w:eastAsia="ja-JP"/>
        </w:rPr>
        <w:t xml:space="preserve">CAJ betreffend </w:t>
      </w:r>
      <w:r w:rsidR="000C7DC8">
        <w:rPr>
          <w:rFonts w:cs="Arial"/>
          <w:i w:val="0"/>
          <w:snapToGrid w:val="0"/>
          <w:lang w:val="de-DE" w:eastAsia="ja-JP"/>
        </w:rPr>
        <w:t xml:space="preserve">die Überarbeitung des Dokuments </w:t>
      </w:r>
      <w:r w:rsidR="00906C57" w:rsidRPr="004B1F8F">
        <w:rPr>
          <w:rFonts w:cs="Arial"/>
          <w:i w:val="0"/>
          <w:snapToGrid w:val="0"/>
          <w:lang w:val="de-DE" w:eastAsia="ja-JP"/>
        </w:rPr>
        <w:t>UPOV/INF/12 „Erläuterungen zu Sortenbezeichnungen nach dem UPOV-Übereinkommen“, auszuarbeiten (soll zur WG-DEN werden)</w:t>
      </w:r>
      <w:r w:rsidR="001044B2" w:rsidRPr="004B1F8F">
        <w:rPr>
          <w:rFonts w:cs="Arial"/>
          <w:i w:val="0"/>
          <w:snapToGrid w:val="0"/>
          <w:lang w:val="de-DE" w:eastAsia="ja-JP"/>
        </w:rPr>
        <w:t>,</w:t>
      </w:r>
      <w:r w:rsidR="00906C57" w:rsidRPr="004B1F8F">
        <w:rPr>
          <w:rFonts w:cs="Arial"/>
          <w:i w:val="0"/>
          <w:snapToGrid w:val="0"/>
          <w:lang w:val="de-DE" w:eastAsia="ja-JP"/>
        </w:rPr>
        <w:t xml:space="preserve"> und daß die WG-DEN </w:t>
      </w:r>
      <w:r w:rsidR="00721DE9" w:rsidRPr="004B1F8F">
        <w:rPr>
          <w:rFonts w:cs="Arial"/>
          <w:i w:val="0"/>
          <w:snapToGrid w:val="0"/>
          <w:lang w:val="de-DE" w:eastAsia="ja-JP"/>
        </w:rPr>
        <w:t>in der Woche der UPOV</w:t>
      </w:r>
      <w:r w:rsidR="00721DE9" w:rsidRPr="004B1F8F">
        <w:rPr>
          <w:rFonts w:cs="Arial"/>
          <w:i w:val="0"/>
          <w:snapToGrid w:val="0"/>
          <w:lang w:val="de-DE" w:eastAsia="ja-JP"/>
        </w:rPr>
        <w:noBreakHyphen/>
        <w:t>Tagungen a</w:t>
      </w:r>
      <w:r w:rsidR="00906C57" w:rsidRPr="004B1F8F">
        <w:rPr>
          <w:rFonts w:cs="Arial"/>
          <w:i w:val="0"/>
          <w:snapToGrid w:val="0"/>
          <w:lang w:val="de-DE" w:eastAsia="ja-JP"/>
        </w:rPr>
        <w:t xml:space="preserve">m </w:t>
      </w:r>
      <w:r w:rsidR="00721DE9" w:rsidRPr="004B1F8F">
        <w:rPr>
          <w:rFonts w:cs="Arial"/>
          <w:i w:val="0"/>
          <w:snapToGrid w:val="0"/>
          <w:lang w:val="de-DE" w:eastAsia="ja-JP"/>
        </w:rPr>
        <w:t xml:space="preserve">18. </w:t>
      </w:r>
      <w:r w:rsidR="00906C57" w:rsidRPr="004B1F8F">
        <w:rPr>
          <w:rFonts w:cs="Arial"/>
          <w:i w:val="0"/>
          <w:snapToGrid w:val="0"/>
          <w:lang w:val="de-DE" w:eastAsia="ja-JP"/>
        </w:rPr>
        <w:t>März 2016 zusammentreten</w:t>
      </w:r>
      <w:r w:rsidR="000C7DC8">
        <w:rPr>
          <w:rFonts w:cs="Arial"/>
          <w:i w:val="0"/>
          <w:snapToGrid w:val="0"/>
          <w:lang w:val="de-DE" w:eastAsia="ja-JP"/>
        </w:rPr>
        <w:t xml:space="preserve"> wird;</w:t>
      </w:r>
      <w:r w:rsidR="00721DE9" w:rsidRPr="004B1F8F">
        <w:rPr>
          <w:rFonts w:cs="Arial"/>
          <w:i w:val="0"/>
          <w:snapToGrid w:val="0"/>
          <w:lang w:val="de-DE" w:eastAsia="ja-JP"/>
        </w:rPr>
        <w:t xml:space="preserve"> und</w:t>
      </w:r>
    </w:p>
    <w:p w:rsidR="0074400D" w:rsidRPr="004B1F8F" w:rsidRDefault="0074400D" w:rsidP="0074400D">
      <w:pPr>
        <w:keepNext/>
        <w:ind w:firstLine="567"/>
        <w:rPr>
          <w:rFonts w:cs="Arial"/>
          <w:lang w:val="de-DE" w:eastAsia="ja-JP"/>
        </w:rPr>
      </w:pPr>
    </w:p>
    <w:p w:rsidR="0074400D" w:rsidRPr="004B1F8F" w:rsidRDefault="0074400D" w:rsidP="0074400D">
      <w:pPr>
        <w:pStyle w:val="dec"/>
        <w:spacing w:after="120"/>
        <w:ind w:left="0" w:firstLine="567"/>
        <w:rPr>
          <w:rFonts w:cs="Arial"/>
          <w:i w:val="0"/>
          <w:lang w:val="de-DE"/>
        </w:rPr>
      </w:pPr>
      <w:r w:rsidRPr="004B1F8F">
        <w:rPr>
          <w:rFonts w:eastAsia="MS Mincho" w:cs="Arial"/>
          <w:i w:val="0"/>
          <w:lang w:val="de-DE" w:eastAsia="ja-JP"/>
        </w:rPr>
        <w:t>d</w:t>
      </w:r>
      <w:r w:rsidRPr="004B1F8F">
        <w:rPr>
          <w:rFonts w:cs="Arial"/>
          <w:i w:val="0"/>
          <w:lang w:val="de-DE"/>
        </w:rPr>
        <w:t>)</w:t>
      </w:r>
      <w:r w:rsidRPr="004B1F8F">
        <w:rPr>
          <w:rFonts w:cs="Arial"/>
          <w:i w:val="0"/>
          <w:lang w:val="de-DE"/>
        </w:rPr>
        <w:tab/>
        <w:t xml:space="preserve">daß </w:t>
      </w:r>
      <w:r w:rsidR="00906C57" w:rsidRPr="004B1F8F">
        <w:rPr>
          <w:rFonts w:cs="Arial"/>
          <w:i w:val="0"/>
          <w:lang w:val="de-DE"/>
        </w:rPr>
        <w:t>das Verbandsbüro ein Rundschreiben herausgeg</w:t>
      </w:r>
      <w:r w:rsidR="00721DE9" w:rsidRPr="004B1F8F">
        <w:rPr>
          <w:rFonts w:cs="Arial"/>
          <w:i w:val="0"/>
          <w:lang w:val="de-DE"/>
        </w:rPr>
        <w:t>e</w:t>
      </w:r>
      <w:r w:rsidR="00906C57" w:rsidRPr="004B1F8F">
        <w:rPr>
          <w:rFonts w:cs="Arial"/>
          <w:i w:val="0"/>
          <w:lang w:val="de-DE"/>
        </w:rPr>
        <w:t xml:space="preserve">ben hat, in dem die Mitglieder </w:t>
      </w:r>
      <w:r w:rsidR="001044B2" w:rsidRPr="004B1F8F">
        <w:rPr>
          <w:rFonts w:cs="Arial"/>
          <w:i w:val="0"/>
          <w:lang w:val="de-DE"/>
        </w:rPr>
        <w:t xml:space="preserve">und Beobachter des CAJ </w:t>
      </w:r>
      <w:r w:rsidR="00906C57" w:rsidRPr="004B1F8F">
        <w:rPr>
          <w:rFonts w:cs="Arial"/>
          <w:i w:val="0"/>
          <w:lang w:val="de-DE"/>
        </w:rPr>
        <w:t xml:space="preserve">sowie die Mitglieder der WG-DST ersucht </w:t>
      </w:r>
      <w:r w:rsidR="00C91AEB" w:rsidRPr="004B1F8F">
        <w:rPr>
          <w:rFonts w:cs="Arial"/>
          <w:i w:val="0"/>
          <w:lang w:val="de-DE"/>
        </w:rPr>
        <w:t>werden</w:t>
      </w:r>
      <w:r w:rsidR="00906C57" w:rsidRPr="004B1F8F">
        <w:rPr>
          <w:rFonts w:cs="Arial"/>
          <w:i w:val="0"/>
          <w:lang w:val="de-DE"/>
        </w:rPr>
        <w:t xml:space="preserve">, ihr Interesse an einer Teilnahme an der WG-DEN zu </w:t>
      </w:r>
      <w:r w:rsidR="00170A37" w:rsidRPr="004B1F8F">
        <w:rPr>
          <w:rFonts w:cs="Arial"/>
          <w:i w:val="0"/>
          <w:lang w:val="de-DE"/>
        </w:rPr>
        <w:t>äußern</w:t>
      </w:r>
      <w:r w:rsidR="00906C57" w:rsidRPr="004B1F8F">
        <w:rPr>
          <w:rFonts w:cs="Arial"/>
          <w:i w:val="0"/>
          <w:lang w:val="de-DE"/>
        </w:rPr>
        <w:t xml:space="preserve"> und Bemerkungen zu Dokument UPOV/INF/12/5 abzugeben.</w:t>
      </w:r>
    </w:p>
    <w:p w:rsidR="00CD7CD3" w:rsidRPr="004B1F8F" w:rsidRDefault="00CD7CD3" w:rsidP="00CD7CD3">
      <w:pPr>
        <w:rPr>
          <w:rFonts w:cs="Arial"/>
          <w:snapToGrid w:val="0"/>
          <w:lang w:val="de-DE" w:eastAsia="ja-JP"/>
        </w:rPr>
      </w:pPr>
    </w:p>
    <w:p w:rsidR="0064661D" w:rsidRPr="004B1F8F" w:rsidRDefault="0064661D" w:rsidP="0064661D">
      <w:pPr>
        <w:keepNext/>
        <w:rPr>
          <w:rFonts w:cs="Arial"/>
          <w:snapToGrid w:val="0"/>
          <w:lang w:val="de-DE"/>
        </w:rPr>
      </w:pPr>
      <w:r w:rsidRPr="004B1F8F">
        <w:rPr>
          <w:rFonts w:cs="Arial"/>
          <w:snapToGrid w:val="0"/>
          <w:lang w:val="de-DE"/>
        </w:rPr>
        <w:fldChar w:fldCharType="begin"/>
      </w:r>
      <w:r w:rsidRPr="004B1F8F">
        <w:rPr>
          <w:rFonts w:cs="Arial"/>
          <w:snapToGrid w:val="0"/>
          <w:lang w:val="de-DE"/>
        </w:rPr>
        <w:instrText xml:space="preserve"> AUTONUM  </w:instrText>
      </w:r>
      <w:r w:rsidRPr="004B1F8F">
        <w:rPr>
          <w:rFonts w:cs="Arial"/>
          <w:snapToGrid w:val="0"/>
          <w:lang w:val="de-DE"/>
        </w:rPr>
        <w:fldChar w:fldCharType="end"/>
      </w:r>
      <w:r w:rsidRPr="004B1F8F">
        <w:rPr>
          <w:rFonts w:cs="Arial"/>
          <w:snapToGrid w:val="0"/>
          <w:lang w:val="de-DE"/>
        </w:rPr>
        <w:tab/>
        <w:t>Folgende Abkürzungen werden in diesem Dokument verwendet:</w:t>
      </w:r>
    </w:p>
    <w:p w:rsidR="0064661D" w:rsidRPr="004B1F8F" w:rsidRDefault="0064661D" w:rsidP="0064661D">
      <w:pPr>
        <w:keepNext/>
        <w:rPr>
          <w:rFonts w:cs="Arial"/>
          <w:snapToGrid w:val="0"/>
          <w:lang w:val="de-DE"/>
        </w:rPr>
      </w:pPr>
    </w:p>
    <w:p w:rsidR="0064661D" w:rsidRPr="004B1F8F" w:rsidRDefault="0064661D" w:rsidP="0064661D">
      <w:pPr>
        <w:keepNext/>
        <w:ind w:firstLine="567"/>
        <w:rPr>
          <w:rFonts w:cs="Arial"/>
          <w:snapToGrid w:val="0"/>
          <w:lang w:val="de-DE"/>
        </w:rPr>
      </w:pPr>
      <w:r w:rsidRPr="004B1F8F">
        <w:rPr>
          <w:rFonts w:cs="Arial"/>
          <w:snapToGrid w:val="0"/>
          <w:color w:val="000000"/>
          <w:lang w:val="de-DE"/>
        </w:rPr>
        <w:t>CAJ:</w:t>
      </w:r>
      <w:r w:rsidRPr="004B1F8F">
        <w:rPr>
          <w:rFonts w:cs="Arial"/>
          <w:snapToGrid w:val="0"/>
          <w:color w:val="000000"/>
          <w:lang w:val="de-DE" w:eastAsia="ja-JP"/>
        </w:rPr>
        <w:tab/>
      </w:r>
      <w:r w:rsidRPr="004B1F8F">
        <w:rPr>
          <w:rFonts w:cs="Arial"/>
          <w:snapToGrid w:val="0"/>
          <w:color w:val="000000"/>
          <w:lang w:val="de-DE" w:eastAsia="ja-JP"/>
        </w:rPr>
        <w:tab/>
      </w:r>
      <w:r w:rsidRPr="004B1F8F">
        <w:rPr>
          <w:rFonts w:cs="Arial"/>
          <w:snapToGrid w:val="0"/>
          <w:color w:val="000000"/>
          <w:lang w:val="de-DE"/>
        </w:rPr>
        <w:t xml:space="preserve">Verwaltungs- und </w:t>
      </w:r>
      <w:r w:rsidR="00C91AEB" w:rsidRPr="004B1F8F">
        <w:rPr>
          <w:rFonts w:cs="Arial"/>
          <w:snapToGrid w:val="0"/>
          <w:color w:val="000000"/>
          <w:lang w:val="de-DE"/>
        </w:rPr>
        <w:t>Rechtsausschuß</w:t>
      </w:r>
    </w:p>
    <w:p w:rsidR="0064661D" w:rsidRPr="004B1F8F" w:rsidRDefault="0064661D" w:rsidP="0064661D">
      <w:pPr>
        <w:keepNext/>
        <w:ind w:left="567"/>
        <w:rPr>
          <w:rFonts w:cs="Arial"/>
          <w:snapToGrid w:val="0"/>
          <w:lang w:val="de-DE"/>
        </w:rPr>
      </w:pPr>
      <w:r w:rsidRPr="004B1F8F">
        <w:rPr>
          <w:rFonts w:cs="Arial"/>
          <w:snapToGrid w:val="0"/>
          <w:lang w:val="de-DE"/>
        </w:rPr>
        <w:t>CAJ-AG:</w:t>
      </w:r>
      <w:r w:rsidRPr="004B1F8F">
        <w:rPr>
          <w:rFonts w:cs="Arial"/>
          <w:snapToGrid w:val="0"/>
          <w:lang w:val="de-DE" w:eastAsia="ja-JP"/>
        </w:rPr>
        <w:tab/>
      </w:r>
      <w:r w:rsidRPr="004B1F8F">
        <w:rPr>
          <w:rFonts w:cs="Arial"/>
          <w:snapToGrid w:val="0"/>
          <w:lang w:val="de-DE"/>
        </w:rPr>
        <w:t>Beratungsgruppe des Verwaltungs- und Rechtsausschusses</w:t>
      </w:r>
    </w:p>
    <w:p w:rsidR="0064661D" w:rsidRPr="004B1F8F" w:rsidRDefault="0064661D" w:rsidP="0064661D">
      <w:pPr>
        <w:keepNext/>
        <w:ind w:left="567"/>
        <w:rPr>
          <w:rFonts w:cs="Arial"/>
          <w:snapToGrid w:val="0"/>
          <w:lang w:val="de-DE" w:eastAsia="ja-JP"/>
        </w:rPr>
      </w:pPr>
      <w:r w:rsidRPr="004B1F8F">
        <w:rPr>
          <w:rFonts w:cs="Arial"/>
          <w:snapToGrid w:val="0"/>
          <w:lang w:val="de-DE"/>
        </w:rPr>
        <w:t>TC:</w:t>
      </w:r>
      <w:r w:rsidRPr="004B1F8F">
        <w:rPr>
          <w:rFonts w:cs="Arial"/>
          <w:snapToGrid w:val="0"/>
          <w:lang w:val="de-DE" w:eastAsia="ja-JP"/>
        </w:rPr>
        <w:tab/>
      </w:r>
      <w:r w:rsidRPr="004B1F8F">
        <w:rPr>
          <w:rFonts w:cs="Arial"/>
          <w:snapToGrid w:val="0"/>
          <w:lang w:val="de-DE" w:eastAsia="ja-JP"/>
        </w:rPr>
        <w:tab/>
      </w:r>
      <w:r w:rsidRPr="004B1F8F">
        <w:rPr>
          <w:rFonts w:cs="Arial"/>
          <w:snapToGrid w:val="0"/>
          <w:lang w:val="de-DE"/>
        </w:rPr>
        <w:t>Technischer Ausschuß</w:t>
      </w:r>
    </w:p>
    <w:p w:rsidR="0064661D" w:rsidRPr="004B1F8F" w:rsidRDefault="0064661D" w:rsidP="0064661D">
      <w:pPr>
        <w:ind w:left="1701" w:hanging="1134"/>
        <w:rPr>
          <w:snapToGrid w:val="0"/>
          <w:lang w:val="de-DE" w:eastAsia="ja-JP"/>
        </w:rPr>
      </w:pPr>
      <w:r w:rsidRPr="004B1F8F">
        <w:rPr>
          <w:snapToGrid w:val="0"/>
          <w:lang w:val="de-DE" w:eastAsia="ja-JP"/>
        </w:rPr>
        <w:t>WG-DST:</w:t>
      </w:r>
      <w:r w:rsidRPr="004B1F8F">
        <w:rPr>
          <w:snapToGrid w:val="0"/>
          <w:lang w:val="de-DE" w:eastAsia="ja-JP"/>
        </w:rPr>
        <w:tab/>
        <w:t>Arbeitsgruppe zur Entwicklung eines UPOV-Suchinstruments für Ähnlichkeiten zum Zweck der Sortenbezeichnung</w:t>
      </w:r>
    </w:p>
    <w:p w:rsidR="0064661D" w:rsidRPr="004B1F8F" w:rsidRDefault="0064661D" w:rsidP="0064661D">
      <w:pPr>
        <w:keepNext/>
        <w:ind w:left="567"/>
        <w:rPr>
          <w:snapToGrid w:val="0"/>
          <w:lang w:val="de-DE" w:eastAsia="ja-JP"/>
        </w:rPr>
      </w:pPr>
    </w:p>
    <w:p w:rsidR="00B64C8C" w:rsidRPr="004B1F8F" w:rsidRDefault="00B64C8C">
      <w:pPr>
        <w:jc w:val="left"/>
        <w:rPr>
          <w:rFonts w:cs="Arial"/>
          <w:snapToGrid w:val="0"/>
          <w:lang w:val="de-DE"/>
        </w:rPr>
      </w:pPr>
      <w:r w:rsidRPr="004B1F8F">
        <w:rPr>
          <w:rFonts w:cs="Arial"/>
          <w:snapToGrid w:val="0"/>
          <w:lang w:val="de-DE"/>
        </w:rPr>
        <w:br w:type="page"/>
      </w:r>
    </w:p>
    <w:p w:rsidR="0064661D" w:rsidRPr="004B1F8F" w:rsidRDefault="0064661D" w:rsidP="0064661D">
      <w:pPr>
        <w:keepNext/>
        <w:rPr>
          <w:rFonts w:cs="Arial"/>
          <w:snapToGrid w:val="0"/>
          <w:lang w:val="de-DE" w:eastAsia="ja-JP"/>
        </w:rPr>
      </w:pPr>
      <w:r w:rsidRPr="004B1F8F">
        <w:rPr>
          <w:rFonts w:cs="Arial"/>
          <w:snapToGrid w:val="0"/>
          <w:lang w:val="de-DE"/>
        </w:rPr>
        <w:lastRenderedPageBreak/>
        <w:fldChar w:fldCharType="begin"/>
      </w:r>
      <w:r w:rsidRPr="004B1F8F">
        <w:rPr>
          <w:rFonts w:cs="Arial"/>
          <w:snapToGrid w:val="0"/>
          <w:lang w:val="de-DE"/>
        </w:rPr>
        <w:instrText xml:space="preserve"> AUTONUM  </w:instrText>
      </w:r>
      <w:r w:rsidRPr="004B1F8F">
        <w:rPr>
          <w:rFonts w:cs="Arial"/>
          <w:snapToGrid w:val="0"/>
          <w:lang w:val="de-DE"/>
        </w:rPr>
        <w:fldChar w:fldCharType="end"/>
      </w:r>
      <w:r w:rsidRPr="004B1F8F">
        <w:rPr>
          <w:rFonts w:cs="Arial"/>
          <w:snapToGrid w:val="0"/>
          <w:lang w:val="de-DE"/>
        </w:rPr>
        <w:tab/>
      </w:r>
      <w:r w:rsidRPr="004B1F8F">
        <w:rPr>
          <w:rFonts w:cs="Arial"/>
          <w:snapToGrid w:val="0"/>
          <w:lang w:val="de-DE" w:eastAsia="ja-JP"/>
        </w:rPr>
        <w:t>Das Dokument ist wie folgt gegliedert:</w:t>
      </w:r>
    </w:p>
    <w:p w:rsidR="00DF2259" w:rsidRPr="004B1F8F" w:rsidRDefault="00DF2259" w:rsidP="00377FF4">
      <w:pPr>
        <w:rPr>
          <w:rFonts w:cs="Arial"/>
          <w:snapToGrid w:val="0"/>
          <w:lang w:val="de-DE" w:eastAsia="ja-JP"/>
        </w:rPr>
      </w:pPr>
    </w:p>
    <w:p w:rsidR="001A1818" w:rsidRDefault="001412B2">
      <w:pPr>
        <w:pStyle w:val="TOC1"/>
        <w:rPr>
          <w:rFonts w:asciiTheme="minorHAnsi" w:hAnsiTheme="minorHAnsi" w:cstheme="minorBidi"/>
          <w:bCs w:val="0"/>
          <w:caps w:val="0"/>
          <w:noProof/>
          <w:sz w:val="22"/>
          <w:szCs w:val="22"/>
        </w:rPr>
      </w:pPr>
      <w:r w:rsidRPr="004B1F8F">
        <w:rPr>
          <w:rFonts w:cs="Arial"/>
          <w:snapToGrid w:val="0"/>
          <w:lang w:val="de-DE" w:eastAsia="ja-JP"/>
        </w:rPr>
        <w:fldChar w:fldCharType="begin"/>
      </w:r>
      <w:r w:rsidRPr="004B1F8F">
        <w:rPr>
          <w:rFonts w:cs="Arial"/>
          <w:snapToGrid w:val="0"/>
          <w:lang w:val="de-DE" w:eastAsia="ja-JP"/>
        </w:rPr>
        <w:instrText xml:space="preserve"> TOC \o "1-2" \h \z \u </w:instrText>
      </w:r>
      <w:r w:rsidRPr="004B1F8F">
        <w:rPr>
          <w:rFonts w:cs="Arial"/>
          <w:snapToGrid w:val="0"/>
          <w:lang w:val="de-DE" w:eastAsia="ja-JP"/>
        </w:rPr>
        <w:fldChar w:fldCharType="separate"/>
      </w:r>
      <w:hyperlink w:anchor="_Toc443497708" w:history="1">
        <w:r w:rsidR="001A1818" w:rsidRPr="00B267D5">
          <w:rPr>
            <w:rStyle w:val="Hyperlink"/>
            <w:rFonts w:eastAsia="MS Mincho"/>
            <w:noProof/>
            <w:lang w:val="de-DE" w:eastAsia="ja-JP"/>
          </w:rPr>
          <w:t>ZUSAMMENFASSUNG</w:t>
        </w:r>
        <w:r w:rsidR="001A1818">
          <w:rPr>
            <w:noProof/>
            <w:webHidden/>
          </w:rPr>
          <w:tab/>
        </w:r>
        <w:r w:rsidR="001A1818">
          <w:rPr>
            <w:noProof/>
            <w:webHidden/>
          </w:rPr>
          <w:fldChar w:fldCharType="begin"/>
        </w:r>
        <w:r w:rsidR="001A1818">
          <w:rPr>
            <w:noProof/>
            <w:webHidden/>
          </w:rPr>
          <w:instrText xml:space="preserve"> PAGEREF _Toc443497708 \h </w:instrText>
        </w:r>
        <w:r w:rsidR="001A1818">
          <w:rPr>
            <w:noProof/>
            <w:webHidden/>
          </w:rPr>
        </w:r>
        <w:r w:rsidR="001A1818">
          <w:rPr>
            <w:noProof/>
            <w:webHidden/>
          </w:rPr>
          <w:fldChar w:fldCharType="separate"/>
        </w:r>
        <w:r w:rsidR="001A1818">
          <w:rPr>
            <w:noProof/>
            <w:webHidden/>
          </w:rPr>
          <w:t>1</w:t>
        </w:r>
        <w:r w:rsidR="001A1818">
          <w:rPr>
            <w:noProof/>
            <w:webHidden/>
          </w:rPr>
          <w:fldChar w:fldCharType="end"/>
        </w:r>
      </w:hyperlink>
    </w:p>
    <w:p w:rsidR="001A1818" w:rsidRDefault="001A1818">
      <w:pPr>
        <w:pStyle w:val="TOC1"/>
        <w:rPr>
          <w:rFonts w:asciiTheme="minorHAnsi" w:hAnsiTheme="minorHAnsi" w:cstheme="minorBidi"/>
          <w:bCs w:val="0"/>
          <w:caps w:val="0"/>
          <w:noProof/>
          <w:sz w:val="22"/>
          <w:szCs w:val="22"/>
        </w:rPr>
      </w:pPr>
      <w:hyperlink w:anchor="_Toc443497709" w:history="1">
        <w:r w:rsidRPr="00B267D5">
          <w:rPr>
            <w:rStyle w:val="Hyperlink"/>
            <w:noProof/>
            <w:snapToGrid w:val="0"/>
            <w:lang w:val="de-DE"/>
          </w:rPr>
          <w:t>ETWAIGE ENTWICKLUNG EINES UPOV-SUCHINSTRUMENTS FÜR ÄHNLICHKEITEN ZUM ZWECK DER SORTENBEZEICHNUNG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_Toc443497709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A1818" w:rsidRDefault="001A1818">
      <w:pPr>
        <w:pStyle w:val="TOC1"/>
        <w:rPr>
          <w:rFonts w:asciiTheme="minorHAnsi" w:hAnsiTheme="minorHAnsi" w:cstheme="minorBidi"/>
          <w:bCs w:val="0"/>
          <w:caps w:val="0"/>
          <w:noProof/>
          <w:sz w:val="22"/>
          <w:szCs w:val="22"/>
        </w:rPr>
      </w:pPr>
      <w:hyperlink w:anchor="_Toc443497710" w:history="1">
        <w:r w:rsidRPr="00B267D5">
          <w:rPr>
            <w:rStyle w:val="Hyperlink"/>
            <w:noProof/>
            <w:snapToGrid w:val="0"/>
            <w:lang w:val="de-DE" w:eastAsia="ja-JP"/>
          </w:rPr>
          <w:t xml:space="preserve">ETWAIGE ÜBERARBEITUNG DES </w:t>
        </w:r>
        <w:r w:rsidRPr="00B267D5">
          <w:rPr>
            <w:rStyle w:val="Hyperlink"/>
            <w:noProof/>
            <w:snapToGrid w:val="0"/>
            <w:lang w:val="de-DE"/>
          </w:rPr>
          <w:t>DokumentS UPOV/INF/12 „ERLÄUTERUNGEN ZU SORTENBEZEICHNUNGEN NACH DEM UPOV-ÜBEREINKOMMEN“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_Toc443497710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1818" w:rsidRDefault="001A181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</w:rPr>
      </w:pPr>
      <w:hyperlink w:anchor="_Toc443497711" w:history="1">
        <w:r w:rsidRPr="00B267D5">
          <w:rPr>
            <w:rStyle w:val="Hyperlink"/>
            <w:noProof/>
            <w:lang w:val="de-DE"/>
          </w:rPr>
          <w:t>Anleitung bezüglich der Änderungen eingetragener Sortenbezeichnungen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_Toc443497711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1818" w:rsidRDefault="001A181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</w:rPr>
      </w:pPr>
      <w:hyperlink w:anchor="_Toc443497712" w:history="1">
        <w:r w:rsidRPr="00B267D5">
          <w:rPr>
            <w:rStyle w:val="Hyperlink"/>
            <w:noProof/>
            <w:lang w:val="de-DE"/>
          </w:rPr>
          <w:t>Weitere Abschnitte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_Toc443497712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A1818" w:rsidRDefault="001A181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</w:rPr>
      </w:pPr>
      <w:hyperlink w:anchor="_Toc443497713" w:history="1">
        <w:r w:rsidRPr="00B267D5">
          <w:rPr>
            <w:rStyle w:val="Hyperlink"/>
            <w:noProof/>
            <w:lang w:val="de-DE"/>
          </w:rPr>
          <w:t>Referat Argentiniens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_Toc443497713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A1818" w:rsidRDefault="001A1818">
      <w:pPr>
        <w:pStyle w:val="TOC2"/>
        <w:rPr>
          <w:rFonts w:asciiTheme="minorHAnsi" w:hAnsiTheme="minorHAnsi" w:cstheme="minorBidi"/>
          <w:i w:val="0"/>
          <w:noProof/>
          <w:sz w:val="22"/>
          <w:szCs w:val="22"/>
        </w:rPr>
      </w:pPr>
      <w:hyperlink w:anchor="_Toc443497714" w:history="1">
        <w:r w:rsidRPr="00B267D5">
          <w:rPr>
            <w:rStyle w:val="Hyperlink"/>
            <w:noProof/>
            <w:lang w:val="de-DE"/>
          </w:rPr>
          <w:t>Nächste Schritte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_Toc443497714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22961" w:rsidRPr="004B1F8F" w:rsidRDefault="001412B2" w:rsidP="00DF2259">
      <w:pPr>
        <w:rPr>
          <w:rFonts w:cs="Arial"/>
          <w:snapToGrid w:val="0"/>
          <w:lang w:val="de-DE" w:eastAsia="ja-JP"/>
        </w:rPr>
      </w:pPr>
      <w:r w:rsidRPr="004B1F8F">
        <w:rPr>
          <w:rFonts w:cs="Arial"/>
          <w:snapToGrid w:val="0"/>
          <w:lang w:val="de-DE" w:eastAsia="ja-JP"/>
        </w:rPr>
        <w:fldChar w:fldCharType="end"/>
      </w:r>
    </w:p>
    <w:p w:rsidR="00F44C35" w:rsidRPr="004B1F8F" w:rsidRDefault="00F44C35" w:rsidP="00DF2259">
      <w:pPr>
        <w:rPr>
          <w:rFonts w:cs="Arial"/>
          <w:snapToGrid w:val="0"/>
          <w:lang w:val="de-DE" w:eastAsia="ja-JP"/>
        </w:rPr>
      </w:pPr>
    </w:p>
    <w:p w:rsidR="008F5F2F" w:rsidRPr="004B1F8F" w:rsidRDefault="00721DE9" w:rsidP="00F44C35">
      <w:pPr>
        <w:pStyle w:val="Heading1"/>
        <w:rPr>
          <w:snapToGrid w:val="0"/>
          <w:lang w:val="de-DE"/>
        </w:rPr>
      </w:pPr>
      <w:bookmarkStart w:id="8" w:name="_Toc382388623"/>
      <w:bookmarkStart w:id="9" w:name="_Toc442429785"/>
      <w:bookmarkStart w:id="10" w:name="_Toc443497709"/>
      <w:r w:rsidRPr="004B1F8F">
        <w:rPr>
          <w:snapToGrid w:val="0"/>
          <w:lang w:val="de-DE"/>
        </w:rPr>
        <w:t xml:space="preserve">ETWAIGE </w:t>
      </w:r>
      <w:r w:rsidR="00C91AEB" w:rsidRPr="004B1F8F">
        <w:rPr>
          <w:snapToGrid w:val="0"/>
          <w:lang w:val="de-DE"/>
        </w:rPr>
        <w:t>ENTWICKLUNG</w:t>
      </w:r>
      <w:r w:rsidRPr="004B1F8F">
        <w:rPr>
          <w:snapToGrid w:val="0"/>
          <w:lang w:val="de-DE"/>
        </w:rPr>
        <w:t xml:space="preserve"> EINES UPOV-SUCHINSTRUMENTS FÜR ÄHNLICHKEITEN ZUM </w:t>
      </w:r>
      <w:r w:rsidR="00C91AEB" w:rsidRPr="004B1F8F">
        <w:rPr>
          <w:snapToGrid w:val="0"/>
          <w:lang w:val="de-DE"/>
        </w:rPr>
        <w:t>ZWECK</w:t>
      </w:r>
      <w:r w:rsidRPr="004B1F8F">
        <w:rPr>
          <w:snapToGrid w:val="0"/>
          <w:lang w:val="de-DE"/>
        </w:rPr>
        <w:t xml:space="preserve"> DER SORTENBEZEICHNUNG</w:t>
      </w:r>
      <w:bookmarkEnd w:id="8"/>
      <w:bookmarkEnd w:id="9"/>
      <w:bookmarkEnd w:id="10"/>
    </w:p>
    <w:p w:rsidR="008F5F2F" w:rsidRPr="004B1F8F" w:rsidRDefault="008F5F2F" w:rsidP="008F5F2F">
      <w:pPr>
        <w:rPr>
          <w:rFonts w:cs="Arial"/>
          <w:snapToGrid w:val="0"/>
          <w:lang w:val="de-DE"/>
        </w:rPr>
      </w:pPr>
    </w:p>
    <w:p w:rsidR="008F5F2F" w:rsidRPr="004B1F8F" w:rsidRDefault="008F5F2F" w:rsidP="008F5F2F">
      <w:pPr>
        <w:rPr>
          <w:szCs w:val="24"/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C91AEB" w:rsidRPr="004B1F8F">
        <w:rPr>
          <w:lang w:val="de-DE"/>
        </w:rPr>
        <w:t xml:space="preserve">Der Hintergrund zu dieser Angelegenheit ist in </w:t>
      </w:r>
      <w:r w:rsidR="008C7675" w:rsidRPr="004B1F8F">
        <w:rPr>
          <w:szCs w:val="24"/>
          <w:lang w:val="de-DE"/>
        </w:rPr>
        <w:t>Dokument</w:t>
      </w:r>
      <w:r w:rsidR="003F3F9F" w:rsidRPr="004B1F8F">
        <w:rPr>
          <w:szCs w:val="24"/>
          <w:lang w:val="de-DE"/>
        </w:rPr>
        <w:t xml:space="preserve"> TC/5</w:t>
      </w:r>
      <w:r w:rsidR="003F3F9F" w:rsidRPr="004B1F8F">
        <w:rPr>
          <w:szCs w:val="24"/>
          <w:lang w:val="de-DE" w:eastAsia="ja-JP"/>
        </w:rPr>
        <w:t>1</w:t>
      </w:r>
      <w:r w:rsidRPr="004B1F8F">
        <w:rPr>
          <w:szCs w:val="24"/>
          <w:lang w:val="de-DE"/>
        </w:rPr>
        <w:t>/</w:t>
      </w:r>
      <w:r w:rsidR="003F3F9F" w:rsidRPr="004B1F8F">
        <w:rPr>
          <w:szCs w:val="24"/>
          <w:lang w:val="de-DE" w:eastAsia="ja-JP"/>
        </w:rPr>
        <w:t>12</w:t>
      </w:r>
      <w:r w:rsidR="000C7DC8">
        <w:rPr>
          <w:szCs w:val="24"/>
          <w:lang w:val="de-DE" w:eastAsia="ja-JP"/>
        </w:rPr>
        <w:t xml:space="preserve"> „</w:t>
      </w:r>
      <w:r w:rsidR="00C91AEB" w:rsidRPr="004B1F8F">
        <w:rPr>
          <w:szCs w:val="24"/>
          <w:lang w:val="de-DE" w:eastAsia="ja-JP"/>
        </w:rPr>
        <w:t>Sortenbezeichnungen“, wiedergegeben.</w:t>
      </w:r>
    </w:p>
    <w:p w:rsidR="007B5BBF" w:rsidRPr="004B1F8F" w:rsidRDefault="007B5BBF" w:rsidP="008F5F2F">
      <w:pPr>
        <w:rPr>
          <w:szCs w:val="24"/>
          <w:lang w:val="de-DE" w:eastAsia="ja-JP"/>
        </w:rPr>
      </w:pPr>
    </w:p>
    <w:p w:rsidR="007B5BBF" w:rsidRPr="004B1F8F" w:rsidRDefault="007B5BBF" w:rsidP="008F5F2F">
      <w:pPr>
        <w:rPr>
          <w:szCs w:val="24"/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721DE9" w:rsidRPr="004B1F8F">
        <w:rPr>
          <w:lang w:val="de-DE"/>
        </w:rPr>
        <w:t xml:space="preserve">Der TC nahm auf </w:t>
      </w:r>
      <w:r w:rsidR="00C91AEB" w:rsidRPr="004B1F8F">
        <w:rPr>
          <w:lang w:val="de-DE"/>
        </w:rPr>
        <w:t>seiner</w:t>
      </w:r>
      <w:r w:rsidR="00721DE9" w:rsidRPr="004B1F8F">
        <w:rPr>
          <w:lang w:val="de-DE"/>
        </w:rPr>
        <w:t xml:space="preserve"> einundfünfzigsten Tagung vom 23. bis 25. März 2015 in Genf die Arbeit der Arbeitsgruppe für die Entwicklung eines UPOV-Suchinstruments für Ähnlichkeiten zum Zweck der Sortenbezeichnung (WG-DST) zur etwaigen Entwicklung eines UPOV</w:t>
      </w:r>
      <w:r w:rsidR="00721DE9" w:rsidRPr="004B1F8F">
        <w:rPr>
          <w:lang w:val="de-DE"/>
        </w:rPr>
        <w:noBreakHyphen/>
        <w:t>Suchinstruments für Ähnlichkeiten zum Zweck der Sortenbezeichnung, einschließlich der Teststudie, wie in den Absätzen 4 bis 15 des Dokuments TC/51/12 dargelegt, zur Kenntnis. Ferner nahm der TC zur Kenntnis, daß d</w:t>
      </w:r>
      <w:r w:rsidR="006B44DE" w:rsidRPr="004B1F8F">
        <w:rPr>
          <w:lang w:val="de-DE"/>
        </w:rPr>
        <w:t>as</w:t>
      </w:r>
      <w:r w:rsidR="00721DE9" w:rsidRPr="004B1F8F">
        <w:rPr>
          <w:lang w:val="de-DE"/>
        </w:rPr>
        <w:t xml:space="preserve"> Ergebnis der Teststudie auf der zweiten Sitzung der WG-DST vorgestellt </w:t>
      </w:r>
      <w:r w:rsidR="006B44DE" w:rsidRPr="004B1F8F">
        <w:rPr>
          <w:lang w:val="de-DE"/>
        </w:rPr>
        <w:t>werden soll und daß</w:t>
      </w:r>
      <w:r w:rsidR="00721DE9" w:rsidRPr="004B1F8F">
        <w:rPr>
          <w:lang w:val="de-DE"/>
        </w:rPr>
        <w:t xml:space="preserve"> das effektivste Suchinstrument beschrieben und dokumentiert </w:t>
      </w:r>
      <w:r w:rsidR="00C91AEB" w:rsidRPr="004B1F8F">
        <w:rPr>
          <w:lang w:val="de-DE"/>
        </w:rPr>
        <w:t>werden</w:t>
      </w:r>
      <w:r w:rsidR="00721DE9" w:rsidRPr="004B1F8F">
        <w:rPr>
          <w:lang w:val="de-DE"/>
        </w:rPr>
        <w:t xml:space="preserve"> würde </w:t>
      </w:r>
      <w:r w:rsidRPr="004B1F8F">
        <w:rPr>
          <w:lang w:val="de-DE" w:eastAsia="ja-JP"/>
        </w:rPr>
        <w:t>(</w:t>
      </w:r>
      <w:r w:rsidR="00721DE9" w:rsidRPr="004B1F8F">
        <w:rPr>
          <w:lang w:val="de-DE" w:eastAsia="ja-JP"/>
        </w:rPr>
        <w:t>vergleiche Dokument</w:t>
      </w:r>
      <w:r w:rsidRPr="004B1F8F">
        <w:rPr>
          <w:lang w:val="de-DE" w:eastAsia="ja-JP"/>
        </w:rPr>
        <w:t> TC/51/39</w:t>
      </w:r>
      <w:r w:rsidR="000C7DC8">
        <w:rPr>
          <w:lang w:val="de-DE" w:eastAsia="ja-JP"/>
        </w:rPr>
        <w:t xml:space="preserve"> „</w:t>
      </w:r>
      <w:r w:rsidR="00721DE9" w:rsidRPr="004B1F8F">
        <w:rPr>
          <w:lang w:val="de-DE" w:eastAsia="ja-JP"/>
        </w:rPr>
        <w:t>Bericht</w:t>
      </w:r>
      <w:r w:rsidR="006B44DE" w:rsidRPr="004B1F8F">
        <w:rPr>
          <w:lang w:val="de-DE" w:eastAsia="ja-JP"/>
        </w:rPr>
        <w:t>“</w:t>
      </w:r>
      <w:r w:rsidR="00721DE9" w:rsidRPr="004B1F8F">
        <w:rPr>
          <w:lang w:val="de-DE" w:eastAsia="ja-JP"/>
        </w:rPr>
        <w:t>,</w:t>
      </w:r>
      <w:r w:rsidRPr="004B1F8F">
        <w:rPr>
          <w:lang w:val="de-DE" w:eastAsia="ja-JP"/>
        </w:rPr>
        <w:t xml:space="preserve"> </w:t>
      </w:r>
      <w:r w:rsidR="00721DE9" w:rsidRPr="004B1F8F">
        <w:rPr>
          <w:lang w:val="de-DE" w:eastAsia="ja-JP"/>
        </w:rPr>
        <w:t>Absatz</w:t>
      </w:r>
      <w:r w:rsidRPr="004B1F8F">
        <w:rPr>
          <w:lang w:val="de-DE" w:eastAsia="ja-JP"/>
        </w:rPr>
        <w:t xml:space="preserve"> 183)</w:t>
      </w:r>
      <w:r w:rsidRPr="004B1F8F">
        <w:rPr>
          <w:szCs w:val="24"/>
          <w:lang w:val="de-DE" w:eastAsia="ja-JP"/>
        </w:rPr>
        <w:t>.</w:t>
      </w:r>
    </w:p>
    <w:p w:rsidR="007B5BBF" w:rsidRPr="004B1F8F" w:rsidRDefault="007B5BBF" w:rsidP="008F5F2F">
      <w:pPr>
        <w:rPr>
          <w:szCs w:val="24"/>
          <w:lang w:val="de-DE" w:eastAsia="ja-JP"/>
        </w:rPr>
      </w:pPr>
    </w:p>
    <w:p w:rsidR="0033446A" w:rsidRPr="004B1F8F" w:rsidRDefault="0033446A" w:rsidP="008F5F2F">
      <w:pPr>
        <w:rPr>
          <w:szCs w:val="24"/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721DE9" w:rsidRPr="004B1F8F">
        <w:rPr>
          <w:lang w:val="de-DE"/>
        </w:rPr>
        <w:t>Der CAJ nahm auf seiner einundsiebzigsten Tagung vom 26. März 2015 in Genf die Arbeit der WG</w:t>
      </w:r>
      <w:r w:rsidR="008C7675" w:rsidRPr="004B1F8F">
        <w:rPr>
          <w:lang w:val="de-DE"/>
        </w:rPr>
        <w:noBreakHyphen/>
      </w:r>
      <w:r w:rsidR="00721DE9" w:rsidRPr="004B1F8F">
        <w:rPr>
          <w:lang w:val="de-DE"/>
        </w:rPr>
        <w:t>DST zur etwaigen Entwicklung eines UPOV-Such</w:t>
      </w:r>
      <w:r w:rsidR="008C7675" w:rsidRPr="004B1F8F">
        <w:rPr>
          <w:lang w:val="de-DE"/>
        </w:rPr>
        <w:t>instrument</w:t>
      </w:r>
      <w:r w:rsidR="00721DE9" w:rsidRPr="004B1F8F">
        <w:rPr>
          <w:lang w:val="de-DE"/>
        </w:rPr>
        <w:t>s für Ähnlichkeiten zum Zweck der Sortenbezeichnung</w:t>
      </w:r>
      <w:r w:rsidR="008C7675" w:rsidRPr="004B1F8F">
        <w:rPr>
          <w:lang w:val="de-DE"/>
        </w:rPr>
        <w:t>,</w:t>
      </w:r>
      <w:r w:rsidR="00721DE9" w:rsidRPr="004B1F8F">
        <w:rPr>
          <w:lang w:val="de-DE"/>
        </w:rPr>
        <w:t xml:space="preserve"> einschließlich der Teststudie, wie in Dokument CAJ/71/3, Absätze 6 bis 13, dargelegt, zur Kenntnis</w:t>
      </w:r>
      <w:r w:rsidR="008C7675" w:rsidRPr="004B1F8F">
        <w:rPr>
          <w:lang w:val="de-DE"/>
        </w:rPr>
        <w:t xml:space="preserve"> </w:t>
      </w:r>
      <w:r w:rsidRPr="004B1F8F">
        <w:rPr>
          <w:szCs w:val="24"/>
          <w:lang w:val="de-DE" w:eastAsia="ja-JP"/>
        </w:rPr>
        <w:t>(</w:t>
      </w:r>
      <w:r w:rsidR="008C7675" w:rsidRPr="004B1F8F">
        <w:rPr>
          <w:szCs w:val="24"/>
          <w:lang w:val="de-DE" w:eastAsia="ja-JP"/>
        </w:rPr>
        <w:t xml:space="preserve">vergleiche Dokument </w:t>
      </w:r>
      <w:r w:rsidRPr="004B1F8F">
        <w:rPr>
          <w:lang w:val="de-DE" w:eastAsia="ja-JP"/>
        </w:rPr>
        <w:t>CAJ/71/10</w:t>
      </w:r>
      <w:r w:rsidR="000C7DC8">
        <w:rPr>
          <w:lang w:val="de-DE" w:eastAsia="ja-JP"/>
        </w:rPr>
        <w:t xml:space="preserve"> „</w:t>
      </w:r>
      <w:r w:rsidR="008C7675" w:rsidRPr="004B1F8F">
        <w:rPr>
          <w:lang w:val="de-DE" w:eastAsia="ja-JP"/>
        </w:rPr>
        <w:t xml:space="preserve">Bericht über die </w:t>
      </w:r>
      <w:r w:rsidR="00C91AEB" w:rsidRPr="004B1F8F">
        <w:rPr>
          <w:lang w:val="de-DE" w:eastAsia="ja-JP"/>
        </w:rPr>
        <w:t>Entschließungen</w:t>
      </w:r>
      <w:r w:rsidR="008C7675" w:rsidRPr="004B1F8F">
        <w:rPr>
          <w:lang w:val="de-DE" w:eastAsia="ja-JP"/>
        </w:rPr>
        <w:t>“,</w:t>
      </w:r>
      <w:r w:rsidRPr="004B1F8F">
        <w:rPr>
          <w:lang w:val="de-DE" w:eastAsia="ja-JP"/>
        </w:rPr>
        <w:t xml:space="preserve"> </w:t>
      </w:r>
      <w:r w:rsidR="008C7675" w:rsidRPr="004B1F8F">
        <w:rPr>
          <w:lang w:val="de-DE" w:eastAsia="ja-JP"/>
        </w:rPr>
        <w:t xml:space="preserve">Absatz </w:t>
      </w:r>
      <w:r w:rsidRPr="004B1F8F">
        <w:rPr>
          <w:lang w:val="de-DE" w:eastAsia="ja-JP"/>
        </w:rPr>
        <w:t>33)</w:t>
      </w:r>
      <w:r w:rsidRPr="004B1F8F">
        <w:rPr>
          <w:szCs w:val="24"/>
          <w:lang w:val="de-DE" w:eastAsia="ja-JP"/>
        </w:rPr>
        <w:t>.</w:t>
      </w:r>
    </w:p>
    <w:p w:rsidR="00002A8E" w:rsidRPr="004B1F8F" w:rsidRDefault="00002A8E" w:rsidP="008F5F2F">
      <w:pPr>
        <w:rPr>
          <w:lang w:val="de-DE" w:eastAsia="ja-JP"/>
        </w:rPr>
      </w:pPr>
    </w:p>
    <w:p w:rsidR="002B33A3" w:rsidRPr="004B1F8F" w:rsidRDefault="003E1463" w:rsidP="002B33A3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8C7675" w:rsidRPr="004B1F8F">
        <w:rPr>
          <w:lang w:val="de-DE"/>
        </w:rPr>
        <w:t xml:space="preserve">Der CAJ nahm auf seiner einundsiebzigsten Tagung das Interesse Japans an </w:t>
      </w:r>
      <w:r w:rsidR="006B44DE" w:rsidRPr="004B1F8F">
        <w:rPr>
          <w:lang w:val="de-DE"/>
        </w:rPr>
        <w:t>ein</w:t>
      </w:r>
      <w:r w:rsidR="008C7675" w:rsidRPr="004B1F8F">
        <w:rPr>
          <w:lang w:val="de-DE"/>
        </w:rPr>
        <w:t>er Teilnahme an der WG-DST zur Kenntnis</w:t>
      </w:r>
      <w:r w:rsidR="008C7675" w:rsidRPr="004B1F8F">
        <w:rPr>
          <w:lang w:val="de-DE" w:eastAsia="ja-JP"/>
        </w:rPr>
        <w:t xml:space="preserve"> </w:t>
      </w:r>
      <w:r w:rsidR="002B33A3" w:rsidRPr="004B1F8F">
        <w:rPr>
          <w:lang w:val="de-DE" w:eastAsia="ja-JP"/>
        </w:rPr>
        <w:t>(</w:t>
      </w:r>
      <w:r w:rsidR="008C7675" w:rsidRPr="004B1F8F">
        <w:rPr>
          <w:lang w:val="de-DE" w:eastAsia="ja-JP"/>
        </w:rPr>
        <w:t>vergleiche Dokument</w:t>
      </w:r>
      <w:r w:rsidR="006B44DE" w:rsidRPr="004B1F8F">
        <w:rPr>
          <w:lang w:val="de-DE" w:eastAsia="ja-JP"/>
        </w:rPr>
        <w:t xml:space="preserve"> CAJ/71/</w:t>
      </w:r>
      <w:r w:rsidR="002B33A3" w:rsidRPr="004B1F8F">
        <w:rPr>
          <w:lang w:val="de-DE" w:eastAsia="ja-JP"/>
        </w:rPr>
        <w:t>10</w:t>
      </w:r>
      <w:r w:rsidR="000C7DC8">
        <w:rPr>
          <w:lang w:val="de-DE" w:eastAsia="ja-JP"/>
        </w:rPr>
        <w:t xml:space="preserve"> „</w:t>
      </w:r>
      <w:r w:rsidR="008C7675" w:rsidRPr="004B1F8F">
        <w:rPr>
          <w:lang w:val="de-DE" w:eastAsia="ja-JP"/>
        </w:rPr>
        <w:t>Bericht über die Entschließungen“</w:t>
      </w:r>
      <w:r w:rsidR="002B33A3" w:rsidRPr="004B1F8F">
        <w:rPr>
          <w:lang w:val="de-DE" w:eastAsia="ja-JP"/>
        </w:rPr>
        <w:t xml:space="preserve">, </w:t>
      </w:r>
      <w:r w:rsidR="008C7675" w:rsidRPr="004B1F8F">
        <w:rPr>
          <w:lang w:val="de-DE" w:eastAsia="ja-JP"/>
        </w:rPr>
        <w:t>Absatz</w:t>
      </w:r>
      <w:r w:rsidR="002B33A3" w:rsidRPr="004B1F8F">
        <w:rPr>
          <w:lang w:val="de-DE" w:eastAsia="ja-JP"/>
        </w:rPr>
        <w:t xml:space="preserve"> 36).</w:t>
      </w:r>
    </w:p>
    <w:p w:rsidR="0029141E" w:rsidRPr="004B1F8F" w:rsidRDefault="0029141E" w:rsidP="0029141E">
      <w:pPr>
        <w:rPr>
          <w:lang w:val="de-DE" w:eastAsia="ja-JP"/>
        </w:rPr>
      </w:pPr>
    </w:p>
    <w:p w:rsidR="00BC6B1E" w:rsidRPr="004B1F8F" w:rsidRDefault="003E1463" w:rsidP="0029141E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8C7675" w:rsidRPr="004B1F8F">
        <w:rPr>
          <w:lang w:val="de-DE"/>
        </w:rPr>
        <w:t>Der</w:t>
      </w:r>
      <w:r w:rsidR="0029141E" w:rsidRPr="004B1F8F">
        <w:rPr>
          <w:lang w:val="de-DE" w:eastAsia="ja-JP"/>
        </w:rPr>
        <w:t xml:space="preserve"> CAJ</w:t>
      </w:r>
      <w:r w:rsidR="008C7675" w:rsidRPr="004B1F8F">
        <w:rPr>
          <w:lang w:val="de-DE" w:eastAsia="ja-JP"/>
        </w:rPr>
        <w:t xml:space="preserve"> prüfte auf seiner zweiundsiebzigsten </w:t>
      </w:r>
      <w:r w:rsidR="00C91AEB" w:rsidRPr="004B1F8F">
        <w:rPr>
          <w:lang w:val="de-DE" w:eastAsia="ja-JP"/>
        </w:rPr>
        <w:t>Tagung</w:t>
      </w:r>
      <w:r w:rsidR="008C7675" w:rsidRPr="004B1F8F">
        <w:rPr>
          <w:lang w:val="de-DE" w:eastAsia="ja-JP"/>
        </w:rPr>
        <w:t xml:space="preserve"> vom 26. bis 27. Oktober 2015 in Genf das Dokument </w:t>
      </w:r>
      <w:r w:rsidR="0029141E" w:rsidRPr="004B1F8F">
        <w:rPr>
          <w:lang w:val="de-DE" w:eastAsia="ja-JP"/>
        </w:rPr>
        <w:t>CAJ/72/3</w:t>
      </w:r>
      <w:r w:rsidR="000C7DC8">
        <w:rPr>
          <w:lang w:val="de-DE" w:eastAsia="ja-JP"/>
        </w:rPr>
        <w:t xml:space="preserve"> „</w:t>
      </w:r>
      <w:r w:rsidR="008C7675" w:rsidRPr="004B1F8F">
        <w:rPr>
          <w:lang w:val="de-DE" w:eastAsia="ja-JP"/>
        </w:rPr>
        <w:t>Sortenbezeichnungen“</w:t>
      </w:r>
      <w:r w:rsidRPr="004B1F8F">
        <w:rPr>
          <w:lang w:val="de-DE" w:eastAsia="ja-JP"/>
        </w:rPr>
        <w:t xml:space="preserve"> </w:t>
      </w:r>
      <w:r w:rsidR="003D3694" w:rsidRPr="004B1F8F">
        <w:rPr>
          <w:lang w:val="de-DE" w:eastAsia="ja-JP"/>
        </w:rPr>
        <w:t>(</w:t>
      </w:r>
      <w:r w:rsidR="008C7675" w:rsidRPr="004B1F8F">
        <w:rPr>
          <w:lang w:val="de-DE" w:eastAsia="ja-JP"/>
        </w:rPr>
        <w:t>vergleiche Dokument</w:t>
      </w:r>
      <w:r w:rsidR="003D3694" w:rsidRPr="004B1F8F">
        <w:rPr>
          <w:lang w:val="de-DE" w:eastAsia="ja-JP"/>
        </w:rPr>
        <w:t xml:space="preserve"> C</w:t>
      </w:r>
      <w:r w:rsidR="00821160" w:rsidRPr="004B1F8F">
        <w:rPr>
          <w:lang w:val="de-DE" w:eastAsia="ja-JP"/>
        </w:rPr>
        <w:t>A</w:t>
      </w:r>
      <w:r w:rsidR="003D3694" w:rsidRPr="004B1F8F">
        <w:rPr>
          <w:lang w:val="de-DE" w:eastAsia="ja-JP"/>
        </w:rPr>
        <w:t>J</w:t>
      </w:r>
      <w:r w:rsidR="00821160" w:rsidRPr="004B1F8F">
        <w:rPr>
          <w:lang w:val="de-DE" w:eastAsia="ja-JP"/>
        </w:rPr>
        <w:t>/72/9</w:t>
      </w:r>
      <w:r w:rsidR="000C7DC8">
        <w:rPr>
          <w:lang w:val="de-DE" w:eastAsia="ja-JP"/>
        </w:rPr>
        <w:t xml:space="preserve"> „</w:t>
      </w:r>
      <w:r w:rsidR="008C7675" w:rsidRPr="004B1F8F">
        <w:rPr>
          <w:lang w:val="de-DE" w:eastAsia="ja-JP"/>
        </w:rPr>
        <w:t>Bericht über die Entschließungen“</w:t>
      </w:r>
      <w:r w:rsidR="003D3694" w:rsidRPr="004B1F8F">
        <w:rPr>
          <w:lang w:val="de-DE" w:eastAsia="ja-JP"/>
        </w:rPr>
        <w:t xml:space="preserve">, </w:t>
      </w:r>
      <w:r w:rsidR="008C7675" w:rsidRPr="004B1F8F">
        <w:rPr>
          <w:lang w:val="de-DE" w:eastAsia="ja-JP"/>
        </w:rPr>
        <w:t>Absatz</w:t>
      </w:r>
      <w:r w:rsidR="003D3694" w:rsidRPr="004B1F8F">
        <w:rPr>
          <w:lang w:val="de-DE" w:eastAsia="ja-JP"/>
        </w:rPr>
        <w:t> </w:t>
      </w:r>
      <w:r w:rsidR="00821160" w:rsidRPr="004B1F8F">
        <w:rPr>
          <w:lang w:val="de-DE" w:eastAsia="ja-JP"/>
        </w:rPr>
        <w:t>19)</w:t>
      </w:r>
      <w:r w:rsidR="003D3694" w:rsidRPr="004B1F8F">
        <w:rPr>
          <w:lang w:val="de-DE" w:eastAsia="ja-JP"/>
        </w:rPr>
        <w:t>.</w:t>
      </w:r>
    </w:p>
    <w:p w:rsidR="00BC6B1E" w:rsidRPr="004B1F8F" w:rsidRDefault="00BC6B1E" w:rsidP="0029141E">
      <w:pPr>
        <w:rPr>
          <w:lang w:val="de-DE" w:eastAsia="ja-JP"/>
        </w:rPr>
      </w:pPr>
    </w:p>
    <w:p w:rsidR="0029141E" w:rsidRPr="004B1F8F" w:rsidRDefault="00BC6B1E" w:rsidP="0029141E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8C7675" w:rsidRPr="004B1F8F">
        <w:rPr>
          <w:lang w:val="de-DE"/>
        </w:rPr>
        <w:t xml:space="preserve">Der CAJ nahm auf seiner zweiundsiebzigsten Tagung die Arbeit der WG-DST betreffend die etwaige Entwicklung eines UPOV-Suchinstruments für Ähnlichkeiten zum Zweck der Sortenbezeichnung zur Kenntnis </w:t>
      </w:r>
      <w:r w:rsidR="003E08A3" w:rsidRPr="004B1F8F">
        <w:rPr>
          <w:lang w:val="de-DE" w:eastAsia="ja-JP"/>
        </w:rPr>
        <w:t>(</w:t>
      </w:r>
      <w:r w:rsidR="008C7675" w:rsidRPr="004B1F8F">
        <w:rPr>
          <w:lang w:val="de-DE" w:eastAsia="ja-JP"/>
        </w:rPr>
        <w:t>vergleiche Dokument</w:t>
      </w:r>
      <w:r w:rsidR="003E08A3" w:rsidRPr="004B1F8F">
        <w:rPr>
          <w:lang w:val="de-DE" w:eastAsia="ja-JP"/>
        </w:rPr>
        <w:t xml:space="preserve"> CAJ/72/9</w:t>
      </w:r>
      <w:r w:rsidR="000C7DC8">
        <w:rPr>
          <w:lang w:val="de-DE" w:eastAsia="ja-JP"/>
        </w:rPr>
        <w:t xml:space="preserve"> „</w:t>
      </w:r>
      <w:r w:rsidR="008C7675" w:rsidRPr="004B1F8F">
        <w:rPr>
          <w:lang w:val="de-DE" w:eastAsia="ja-JP"/>
        </w:rPr>
        <w:t>Bericht über die Entschließungen“</w:t>
      </w:r>
      <w:r w:rsidR="003E08A3" w:rsidRPr="004B1F8F">
        <w:rPr>
          <w:lang w:val="de-DE" w:eastAsia="ja-JP"/>
        </w:rPr>
        <w:t>,</w:t>
      </w:r>
      <w:r w:rsidRPr="004B1F8F">
        <w:rPr>
          <w:lang w:val="de-DE" w:eastAsia="ja-JP"/>
        </w:rPr>
        <w:t xml:space="preserve"> </w:t>
      </w:r>
      <w:r w:rsidR="008C7675" w:rsidRPr="004B1F8F">
        <w:rPr>
          <w:lang w:val="de-DE" w:eastAsia="ja-JP"/>
        </w:rPr>
        <w:t>Absätze</w:t>
      </w:r>
      <w:r w:rsidRPr="004B1F8F">
        <w:rPr>
          <w:lang w:val="de-DE" w:eastAsia="ja-JP"/>
        </w:rPr>
        <w:t xml:space="preserve"> 21</w:t>
      </w:r>
      <w:r w:rsidR="008C7675" w:rsidRPr="004B1F8F">
        <w:rPr>
          <w:lang w:val="de-DE" w:eastAsia="ja-JP"/>
        </w:rPr>
        <w:t xml:space="preserve"> u</w:t>
      </w:r>
      <w:r w:rsidRPr="004B1F8F">
        <w:rPr>
          <w:lang w:val="de-DE" w:eastAsia="ja-JP"/>
        </w:rPr>
        <w:t>nd 22</w:t>
      </w:r>
      <w:r w:rsidR="003E08A3" w:rsidRPr="004B1F8F">
        <w:rPr>
          <w:lang w:val="de-DE" w:eastAsia="ja-JP"/>
        </w:rPr>
        <w:t>).</w:t>
      </w:r>
    </w:p>
    <w:p w:rsidR="0029141E" w:rsidRPr="004B1F8F" w:rsidRDefault="0029141E" w:rsidP="0029141E">
      <w:pPr>
        <w:rPr>
          <w:lang w:val="de-DE" w:eastAsia="ja-JP"/>
        </w:rPr>
      </w:pPr>
    </w:p>
    <w:p w:rsidR="0029141E" w:rsidRPr="004B1F8F" w:rsidRDefault="003E1463" w:rsidP="00314381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314381" w:rsidRPr="004B1F8F">
        <w:rPr>
          <w:lang w:val="de-DE"/>
        </w:rPr>
        <w:t xml:space="preserve">Der CAJ nahm auf seiner zweiundsiebzigsten Tagung den mündlichen Bericht des Stellvertretenden Generalsekretärs auf der dritten Sitzung der WG-DST vom 2. Oktober 2015 </w:t>
      </w:r>
      <w:r w:rsidR="006B44DE" w:rsidRPr="004B1F8F">
        <w:rPr>
          <w:lang w:val="de-DE"/>
        </w:rPr>
        <w:t>i</w:t>
      </w:r>
      <w:r w:rsidR="00314381" w:rsidRPr="004B1F8F">
        <w:rPr>
          <w:lang w:val="de-DE"/>
        </w:rPr>
        <w:t>n Genf zur Kenntnis, daß die Verbandsmitglieder mittels eines Rundschreibens E-15/237 vom 21. Oktober 2015 zur Teilnahme am zweiten Schritt der Teststudie für die Entwicklung eines wirksamen Suchinstruments für ähnliche Sortenbezeichnungen eingeladen worden</w:t>
      </w:r>
      <w:r w:rsidR="006B44DE" w:rsidRPr="004B1F8F">
        <w:rPr>
          <w:lang w:val="de-DE"/>
        </w:rPr>
        <w:t xml:space="preserve"> seien</w:t>
      </w:r>
      <w:r w:rsidR="00314381" w:rsidRPr="004B1F8F">
        <w:rPr>
          <w:lang w:val="de-DE"/>
        </w:rPr>
        <w:t>. Ziel des zweiten Schrittes sei es, den Algorithmus, der im ersten Schritt der Teststudie als bester Algorithmus identifiziert worden war, zu verfeinern. Ausgehend von den Ergebnissen des zweiten Schritt</w:t>
      </w:r>
      <w:r w:rsidR="00601171" w:rsidRPr="004B1F8F">
        <w:rPr>
          <w:lang w:val="de-DE"/>
        </w:rPr>
        <w:t>e</w:t>
      </w:r>
      <w:r w:rsidR="00314381" w:rsidRPr="004B1F8F">
        <w:rPr>
          <w:lang w:val="de-DE"/>
        </w:rPr>
        <w:t>s w</w:t>
      </w:r>
      <w:r w:rsidR="006B44DE" w:rsidRPr="004B1F8F">
        <w:rPr>
          <w:lang w:val="de-DE"/>
        </w:rPr>
        <w:t>e</w:t>
      </w:r>
      <w:r w:rsidR="00314381" w:rsidRPr="004B1F8F">
        <w:rPr>
          <w:lang w:val="de-DE"/>
        </w:rPr>
        <w:t>rde das Verbandsbüro den Algorithmus im Verlauf von November/Dezember 2015 verfeinern und den Algorithmus bis Dezember 2015 anpassen. Der überarbeitete Algorithmus w</w:t>
      </w:r>
      <w:r w:rsidR="006B44DE" w:rsidRPr="004B1F8F">
        <w:rPr>
          <w:lang w:val="de-DE"/>
        </w:rPr>
        <w:t>e</w:t>
      </w:r>
      <w:r w:rsidR="00314381" w:rsidRPr="004B1F8F">
        <w:rPr>
          <w:lang w:val="de-DE"/>
        </w:rPr>
        <w:t xml:space="preserve">rde von der WG-DST auf ihrer vierten Sitzung am 4. Februar 2016 überprüft werden </w:t>
      </w:r>
      <w:r w:rsidR="002D788F" w:rsidRPr="004B1F8F">
        <w:rPr>
          <w:lang w:val="de-DE" w:eastAsia="ja-JP"/>
        </w:rPr>
        <w:t>(</w:t>
      </w:r>
      <w:r w:rsidR="008C7675" w:rsidRPr="004B1F8F">
        <w:rPr>
          <w:lang w:val="de-DE" w:eastAsia="ja-JP"/>
        </w:rPr>
        <w:t>vergleiche Dokument</w:t>
      </w:r>
      <w:r w:rsidR="002D788F" w:rsidRPr="004B1F8F">
        <w:rPr>
          <w:lang w:val="de-DE" w:eastAsia="ja-JP"/>
        </w:rPr>
        <w:t xml:space="preserve"> CAJ/72/9</w:t>
      </w:r>
      <w:r w:rsidR="000C7DC8">
        <w:rPr>
          <w:lang w:val="de-DE" w:eastAsia="ja-JP"/>
        </w:rPr>
        <w:t xml:space="preserve"> „</w:t>
      </w:r>
      <w:r w:rsidR="008C7675" w:rsidRPr="004B1F8F">
        <w:rPr>
          <w:lang w:val="de-DE" w:eastAsia="ja-JP"/>
        </w:rPr>
        <w:t>Bericht über die Entschließungen</w:t>
      </w:r>
      <w:r w:rsidR="00314381" w:rsidRPr="004B1F8F">
        <w:rPr>
          <w:lang w:val="de-DE" w:eastAsia="ja-JP"/>
        </w:rPr>
        <w:t>“</w:t>
      </w:r>
      <w:r w:rsidR="002D788F" w:rsidRPr="004B1F8F">
        <w:rPr>
          <w:lang w:val="de-DE" w:eastAsia="ja-JP"/>
        </w:rPr>
        <w:t xml:space="preserve">, </w:t>
      </w:r>
      <w:r w:rsidR="008C7675" w:rsidRPr="004B1F8F">
        <w:rPr>
          <w:lang w:val="de-DE" w:eastAsia="ja-JP"/>
        </w:rPr>
        <w:t>Absatz</w:t>
      </w:r>
      <w:r w:rsidR="002D788F" w:rsidRPr="004B1F8F">
        <w:rPr>
          <w:lang w:val="de-DE" w:eastAsia="ja-JP"/>
        </w:rPr>
        <w:t xml:space="preserve"> 22</w:t>
      </w:r>
      <w:r w:rsidR="00904AC6" w:rsidRPr="004B1F8F">
        <w:rPr>
          <w:lang w:val="de-DE" w:eastAsia="ja-JP"/>
        </w:rPr>
        <w:t>)</w:t>
      </w:r>
      <w:r w:rsidR="002D788F" w:rsidRPr="004B1F8F">
        <w:rPr>
          <w:lang w:val="de-DE" w:eastAsia="ja-JP"/>
        </w:rPr>
        <w:t>.</w:t>
      </w:r>
    </w:p>
    <w:p w:rsidR="0029141E" w:rsidRPr="004B1F8F" w:rsidRDefault="0029141E" w:rsidP="0029141E">
      <w:pPr>
        <w:rPr>
          <w:lang w:val="de-DE" w:eastAsia="ja-JP"/>
        </w:rPr>
      </w:pPr>
    </w:p>
    <w:p w:rsidR="00D073CE" w:rsidRPr="004B1F8F" w:rsidRDefault="00514760" w:rsidP="00D073CE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314381" w:rsidRPr="004B1F8F">
        <w:rPr>
          <w:lang w:val="de-DE"/>
        </w:rPr>
        <w:t xml:space="preserve">Aus einer Zusammenfassung der </w:t>
      </w:r>
      <w:r w:rsidR="00C91AEB" w:rsidRPr="004B1F8F">
        <w:rPr>
          <w:lang w:val="de-DE"/>
        </w:rPr>
        <w:t>Antworten</w:t>
      </w:r>
      <w:r w:rsidR="00314381" w:rsidRPr="004B1F8F">
        <w:rPr>
          <w:lang w:val="de-DE"/>
        </w:rPr>
        <w:t xml:space="preserve"> auf den zweiten </w:t>
      </w:r>
      <w:r w:rsidR="00C91AEB" w:rsidRPr="004B1F8F">
        <w:rPr>
          <w:lang w:val="de-DE"/>
        </w:rPr>
        <w:t>Schritt</w:t>
      </w:r>
      <w:r w:rsidR="00314381" w:rsidRPr="004B1F8F">
        <w:rPr>
          <w:lang w:val="de-DE"/>
        </w:rPr>
        <w:t xml:space="preserve"> der Teststudie ging hervor</w:t>
      </w:r>
      <w:r w:rsidR="00601171" w:rsidRPr="004B1F8F">
        <w:rPr>
          <w:lang w:val="de-DE"/>
        </w:rPr>
        <w:t>,</w:t>
      </w:r>
      <w:r w:rsidR="00314381" w:rsidRPr="004B1F8F">
        <w:rPr>
          <w:lang w:val="de-DE"/>
        </w:rPr>
        <w:t xml:space="preserve"> daß e</w:t>
      </w:r>
      <w:r w:rsidR="006B44DE" w:rsidRPr="004B1F8F">
        <w:rPr>
          <w:lang w:val="de-DE"/>
        </w:rPr>
        <w:t>s</w:t>
      </w:r>
      <w:r w:rsidR="00314381" w:rsidRPr="004B1F8F">
        <w:rPr>
          <w:lang w:val="de-DE"/>
        </w:rPr>
        <w:t xml:space="preserve"> eine erhebliche Vielfalt der Anzahl Bezeichnungen gab, die als ähnlich ausgewählt wurden, und weitere Untersuchungen </w:t>
      </w:r>
      <w:r w:rsidR="00C91AEB" w:rsidRPr="004B1F8F">
        <w:rPr>
          <w:lang w:val="de-DE"/>
        </w:rPr>
        <w:t>ergaben</w:t>
      </w:r>
      <w:r w:rsidR="00314381" w:rsidRPr="004B1F8F">
        <w:rPr>
          <w:lang w:val="de-DE"/>
        </w:rPr>
        <w:t xml:space="preserve">, </w:t>
      </w:r>
      <w:r w:rsidR="00C91AEB" w:rsidRPr="004B1F8F">
        <w:rPr>
          <w:lang w:val="de-DE"/>
        </w:rPr>
        <w:t>daß</w:t>
      </w:r>
      <w:r w:rsidR="00314381" w:rsidRPr="004B1F8F">
        <w:rPr>
          <w:lang w:val="de-DE"/>
        </w:rPr>
        <w:t xml:space="preserve"> es bei als ähnlich ausgewählten Bezeichnungen keine sehr hohe Übereinstimmung gab</w:t>
      </w:r>
      <w:r w:rsidR="00D073CE" w:rsidRPr="004B1F8F">
        <w:rPr>
          <w:lang w:val="de-DE"/>
        </w:rPr>
        <w:t>.</w:t>
      </w:r>
      <w:r w:rsidR="004449D5" w:rsidRPr="004B1F8F">
        <w:rPr>
          <w:lang w:val="de-DE" w:eastAsia="ja-JP"/>
        </w:rPr>
        <w:t xml:space="preserve"> </w:t>
      </w:r>
      <w:r w:rsidR="00314381" w:rsidRPr="004B1F8F">
        <w:rPr>
          <w:lang w:val="de-DE" w:eastAsia="ja-JP"/>
        </w:rPr>
        <w:t>Auf dieser Grundlage wurde ein weitere</w:t>
      </w:r>
      <w:r w:rsidR="00EB24D5" w:rsidRPr="004B1F8F">
        <w:rPr>
          <w:lang w:val="de-DE" w:eastAsia="ja-JP"/>
        </w:rPr>
        <w:t>r Versuch</w:t>
      </w:r>
      <w:r w:rsidR="006D2EDC" w:rsidRPr="004B1F8F">
        <w:rPr>
          <w:lang w:val="de-DE" w:eastAsia="ja-JP"/>
        </w:rPr>
        <w:t xml:space="preserve"> d</w:t>
      </w:r>
      <w:r w:rsidR="00314381" w:rsidRPr="004B1F8F">
        <w:rPr>
          <w:lang w:val="de-DE" w:eastAsia="ja-JP"/>
        </w:rPr>
        <w:t>urchgeführt.</w:t>
      </w:r>
    </w:p>
    <w:p w:rsidR="00781D3C" w:rsidRPr="004B1F8F" w:rsidRDefault="00781D3C" w:rsidP="00D073CE">
      <w:pPr>
        <w:rPr>
          <w:lang w:val="de-DE" w:eastAsia="ja-JP"/>
        </w:rPr>
      </w:pPr>
    </w:p>
    <w:p w:rsidR="00AA1974" w:rsidRPr="004B1F8F" w:rsidRDefault="00AA1974" w:rsidP="00AA1974">
      <w:pPr>
        <w:rPr>
          <w:lang w:val="de-DE"/>
        </w:rPr>
      </w:pPr>
      <w:r w:rsidRPr="004B1F8F">
        <w:rPr>
          <w:lang w:val="de-DE"/>
        </w:rPr>
        <w:lastRenderedPageBreak/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6D2EDC" w:rsidRPr="004B1F8F">
        <w:rPr>
          <w:lang w:val="de-DE"/>
        </w:rPr>
        <w:t>In Rundschreiben E-15/291 vom 21. Dezember 2015 wurde der WG-DST und den auf d</w:t>
      </w:r>
      <w:r w:rsidR="00EB24D5" w:rsidRPr="004B1F8F">
        <w:rPr>
          <w:lang w:val="de-DE"/>
        </w:rPr>
        <w:t xml:space="preserve">en Versuch </w:t>
      </w:r>
      <w:r w:rsidR="006D2EDC" w:rsidRPr="004B1F8F">
        <w:rPr>
          <w:lang w:val="de-DE"/>
        </w:rPr>
        <w:t xml:space="preserve">des zweiten </w:t>
      </w:r>
      <w:r w:rsidR="00C91AEB" w:rsidRPr="004B1F8F">
        <w:rPr>
          <w:lang w:val="de-DE"/>
        </w:rPr>
        <w:t>Schrittes</w:t>
      </w:r>
      <w:r w:rsidR="006D2EDC" w:rsidRPr="004B1F8F">
        <w:rPr>
          <w:lang w:val="de-DE"/>
        </w:rPr>
        <w:t xml:space="preserve"> der Teststudie Antwortenden ein weiter</w:t>
      </w:r>
      <w:r w:rsidR="00EB24D5" w:rsidRPr="004B1F8F">
        <w:rPr>
          <w:lang w:val="de-DE"/>
        </w:rPr>
        <w:t>er</w:t>
      </w:r>
      <w:r w:rsidR="006D2EDC" w:rsidRPr="004B1F8F">
        <w:rPr>
          <w:lang w:val="de-DE"/>
        </w:rPr>
        <w:t xml:space="preserve"> </w:t>
      </w:r>
      <w:r w:rsidR="00EB24D5" w:rsidRPr="004B1F8F">
        <w:rPr>
          <w:lang w:val="de-DE"/>
        </w:rPr>
        <w:t>Versuch</w:t>
      </w:r>
      <w:r w:rsidR="006D2EDC" w:rsidRPr="004B1F8F">
        <w:rPr>
          <w:lang w:val="de-DE"/>
        </w:rPr>
        <w:t xml:space="preserve"> </w:t>
      </w:r>
      <w:r w:rsidR="00C91AEB" w:rsidRPr="004B1F8F">
        <w:rPr>
          <w:lang w:val="de-DE"/>
        </w:rPr>
        <w:t>vorgeschlagen im Bestreben, eine Liste mit Bezeichnungen zu erstellen, die von den teilnehmenden Sachverständigen als ähnlich akzeptiert werden könnten.</w:t>
      </w:r>
    </w:p>
    <w:p w:rsidR="00EA3CC8" w:rsidRPr="004B1F8F" w:rsidRDefault="00EA3CC8" w:rsidP="0029141E">
      <w:pPr>
        <w:rPr>
          <w:lang w:val="de-DE" w:eastAsia="ja-JP"/>
        </w:rPr>
      </w:pPr>
    </w:p>
    <w:p w:rsidR="00063692" w:rsidRPr="004B1F8F" w:rsidRDefault="00EE7F87" w:rsidP="00063692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063692" w:rsidRPr="004B1F8F">
        <w:rPr>
          <w:lang w:val="de-DE"/>
        </w:rPr>
        <w:t>All</w:t>
      </w:r>
      <w:r w:rsidR="006D2EDC" w:rsidRPr="004B1F8F">
        <w:rPr>
          <w:lang w:val="de-DE"/>
        </w:rPr>
        <w:t xml:space="preserve">e zum zweiten </w:t>
      </w:r>
      <w:r w:rsidR="00C91AEB" w:rsidRPr="004B1F8F">
        <w:rPr>
          <w:lang w:val="de-DE"/>
        </w:rPr>
        <w:t>Schritt</w:t>
      </w:r>
      <w:r w:rsidR="006D2EDC" w:rsidRPr="004B1F8F">
        <w:rPr>
          <w:lang w:val="de-DE"/>
        </w:rPr>
        <w:t xml:space="preserve"> der Teststudie Beitragenden leisteten Beiträge zu</w:t>
      </w:r>
      <w:r w:rsidR="00EB24D5" w:rsidRPr="004B1F8F">
        <w:rPr>
          <w:lang w:val="de-DE"/>
        </w:rPr>
        <w:t>m</w:t>
      </w:r>
      <w:r w:rsidR="006D2EDC" w:rsidRPr="004B1F8F">
        <w:rPr>
          <w:lang w:val="de-DE"/>
        </w:rPr>
        <w:t xml:space="preserve"> </w:t>
      </w:r>
      <w:r w:rsidR="00C91AEB" w:rsidRPr="004B1F8F">
        <w:rPr>
          <w:lang w:val="de-DE"/>
        </w:rPr>
        <w:t>zusätzlichen</w:t>
      </w:r>
      <w:r w:rsidR="006D2EDC" w:rsidRPr="004B1F8F">
        <w:rPr>
          <w:lang w:val="de-DE"/>
        </w:rPr>
        <w:t xml:space="preserve"> </w:t>
      </w:r>
      <w:r w:rsidR="00EB24D5" w:rsidRPr="004B1F8F">
        <w:rPr>
          <w:lang w:val="de-DE"/>
        </w:rPr>
        <w:t>Versuch</w:t>
      </w:r>
      <w:r w:rsidR="006D2EDC" w:rsidRPr="004B1F8F">
        <w:rPr>
          <w:lang w:val="de-DE"/>
        </w:rPr>
        <w:t>.</w:t>
      </w:r>
      <w:r w:rsidR="00063692" w:rsidRPr="004B1F8F">
        <w:rPr>
          <w:lang w:val="de-DE" w:eastAsia="ja-JP"/>
        </w:rPr>
        <w:t xml:space="preserve"> </w:t>
      </w:r>
      <w:r w:rsidR="00C91AEB" w:rsidRPr="004B1F8F">
        <w:rPr>
          <w:lang w:val="de-DE" w:eastAsia="ja-JP"/>
        </w:rPr>
        <w:t>Außerdem</w:t>
      </w:r>
      <w:r w:rsidR="006D2EDC" w:rsidRPr="004B1F8F">
        <w:rPr>
          <w:lang w:val="de-DE" w:eastAsia="ja-JP"/>
        </w:rPr>
        <w:t xml:space="preserve"> leisteten drei weitere Sachverständige Beiträge zu</w:t>
      </w:r>
      <w:r w:rsidR="00EB24D5" w:rsidRPr="004B1F8F">
        <w:rPr>
          <w:lang w:val="de-DE" w:eastAsia="ja-JP"/>
        </w:rPr>
        <w:t>m</w:t>
      </w:r>
      <w:r w:rsidR="006D2EDC" w:rsidRPr="004B1F8F">
        <w:rPr>
          <w:lang w:val="de-DE" w:eastAsia="ja-JP"/>
        </w:rPr>
        <w:t xml:space="preserve"> zusätzlichen </w:t>
      </w:r>
      <w:r w:rsidR="00EB24D5" w:rsidRPr="004B1F8F">
        <w:rPr>
          <w:lang w:val="de-DE" w:eastAsia="ja-JP"/>
        </w:rPr>
        <w:t>Versuch</w:t>
      </w:r>
      <w:r w:rsidR="006D2EDC" w:rsidRPr="004B1F8F">
        <w:rPr>
          <w:lang w:val="de-DE" w:eastAsia="ja-JP"/>
        </w:rPr>
        <w:t>.</w:t>
      </w:r>
    </w:p>
    <w:p w:rsidR="00EE7F87" w:rsidRPr="004B1F8F" w:rsidRDefault="00EE7F87" w:rsidP="0029141E">
      <w:pPr>
        <w:rPr>
          <w:lang w:val="de-DE" w:eastAsia="ja-JP"/>
        </w:rPr>
      </w:pPr>
    </w:p>
    <w:p w:rsidR="00104F4D" w:rsidRPr="004B1F8F" w:rsidRDefault="00D073CE" w:rsidP="0029141E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69009C" w:rsidRPr="004B1F8F">
        <w:rPr>
          <w:lang w:val="de-DE"/>
        </w:rPr>
        <w:t xml:space="preserve">Ein weiterer Bericht über </w:t>
      </w:r>
      <w:r w:rsidR="00C91AEB" w:rsidRPr="004B1F8F">
        <w:rPr>
          <w:lang w:val="de-DE"/>
        </w:rPr>
        <w:t>den</w:t>
      </w:r>
      <w:r w:rsidR="0069009C" w:rsidRPr="004B1F8F">
        <w:rPr>
          <w:lang w:val="de-DE"/>
        </w:rPr>
        <w:t xml:space="preserve"> Fortschritt der </w:t>
      </w:r>
      <w:r w:rsidR="00C91AEB" w:rsidRPr="004B1F8F">
        <w:rPr>
          <w:lang w:val="de-DE"/>
        </w:rPr>
        <w:t>Arbeit</w:t>
      </w:r>
      <w:r w:rsidR="0069009C" w:rsidRPr="004B1F8F">
        <w:rPr>
          <w:lang w:val="de-DE"/>
        </w:rPr>
        <w:t xml:space="preserve"> zur etwaigen Entwicklung eines UPOV</w:t>
      </w:r>
      <w:r w:rsidR="0069009C" w:rsidRPr="004B1F8F">
        <w:rPr>
          <w:lang w:val="de-DE"/>
        </w:rPr>
        <w:noBreakHyphen/>
        <w:t>Suchinstruments für Ähnlichkeiten zum Zweck der Sortenbezeichnung</w:t>
      </w:r>
      <w:r w:rsidR="0069009C" w:rsidRPr="004B1F8F">
        <w:rPr>
          <w:lang w:val="de-DE" w:eastAsia="ja-JP"/>
        </w:rPr>
        <w:t xml:space="preserve"> wird dem TC auf seiner zweiundfünfzigsten </w:t>
      </w:r>
      <w:r w:rsidR="00C91AEB" w:rsidRPr="004B1F8F">
        <w:rPr>
          <w:lang w:val="de-DE" w:eastAsia="ja-JP"/>
        </w:rPr>
        <w:t>Tagung</w:t>
      </w:r>
      <w:r w:rsidR="0069009C" w:rsidRPr="004B1F8F">
        <w:rPr>
          <w:lang w:val="de-DE" w:eastAsia="ja-JP"/>
        </w:rPr>
        <w:t xml:space="preserve"> vorgelegt werden</w:t>
      </w:r>
      <w:r w:rsidR="00104F4D" w:rsidRPr="004B1F8F">
        <w:rPr>
          <w:szCs w:val="24"/>
          <w:lang w:val="de-DE" w:eastAsia="ja-JP"/>
        </w:rPr>
        <w:t>.</w:t>
      </w:r>
    </w:p>
    <w:p w:rsidR="00104F4D" w:rsidRPr="004B1F8F" w:rsidRDefault="00104F4D" w:rsidP="0029141E">
      <w:pPr>
        <w:rPr>
          <w:lang w:val="de-DE" w:eastAsia="ja-JP"/>
        </w:rPr>
      </w:pPr>
    </w:p>
    <w:p w:rsidR="001F7A59" w:rsidRPr="004B1F8F" w:rsidRDefault="001F7A59" w:rsidP="00DF2259">
      <w:pPr>
        <w:rPr>
          <w:lang w:val="de-DE" w:eastAsia="ja-JP"/>
        </w:rPr>
      </w:pPr>
    </w:p>
    <w:p w:rsidR="00822961" w:rsidRPr="004B1F8F" w:rsidRDefault="0069009C" w:rsidP="00F44C35">
      <w:pPr>
        <w:pStyle w:val="Heading1"/>
        <w:rPr>
          <w:snapToGrid w:val="0"/>
          <w:lang w:val="de-DE"/>
        </w:rPr>
      </w:pPr>
      <w:bookmarkStart w:id="11" w:name="_Toc442429786"/>
      <w:bookmarkStart w:id="12" w:name="_Toc443497710"/>
      <w:r w:rsidRPr="004B1F8F">
        <w:rPr>
          <w:snapToGrid w:val="0"/>
          <w:lang w:val="de-DE" w:eastAsia="ja-JP"/>
        </w:rPr>
        <w:t xml:space="preserve">ETWAIGE ÜBERARBEITUNG DES </w:t>
      </w:r>
      <w:r w:rsidR="008C7675" w:rsidRPr="004B1F8F">
        <w:rPr>
          <w:snapToGrid w:val="0"/>
          <w:lang w:val="de-DE"/>
        </w:rPr>
        <w:t>Dokument</w:t>
      </w:r>
      <w:r w:rsidRPr="004B1F8F">
        <w:rPr>
          <w:snapToGrid w:val="0"/>
          <w:lang w:val="de-DE"/>
        </w:rPr>
        <w:t>S</w:t>
      </w:r>
      <w:r w:rsidR="00822961" w:rsidRPr="004B1F8F">
        <w:rPr>
          <w:snapToGrid w:val="0"/>
          <w:lang w:val="de-DE"/>
        </w:rPr>
        <w:t xml:space="preserve"> UPOV/INF/12</w:t>
      </w:r>
      <w:r w:rsidR="000C7DC8">
        <w:rPr>
          <w:snapToGrid w:val="0"/>
          <w:lang w:val="de-DE"/>
        </w:rPr>
        <w:t xml:space="preserve"> „</w:t>
      </w:r>
      <w:r w:rsidRPr="004B1F8F">
        <w:rPr>
          <w:snapToGrid w:val="0"/>
          <w:lang w:val="de-DE"/>
        </w:rPr>
        <w:t xml:space="preserve">ERLÄUTERUNGEN ZU SORTENBEZEICHNUNGEN NACH </w:t>
      </w:r>
      <w:r w:rsidR="00C91AEB" w:rsidRPr="004B1F8F">
        <w:rPr>
          <w:snapToGrid w:val="0"/>
          <w:lang w:val="de-DE"/>
        </w:rPr>
        <w:t>DEM</w:t>
      </w:r>
      <w:r w:rsidRPr="004B1F8F">
        <w:rPr>
          <w:snapToGrid w:val="0"/>
          <w:lang w:val="de-DE"/>
        </w:rPr>
        <w:t xml:space="preserve"> UPOV-ÜBEREINKOMMEN“</w:t>
      </w:r>
      <w:bookmarkEnd w:id="11"/>
      <w:bookmarkEnd w:id="12"/>
    </w:p>
    <w:p w:rsidR="00822961" w:rsidRPr="004B1F8F" w:rsidRDefault="00822961" w:rsidP="00377FF4">
      <w:pPr>
        <w:keepNext/>
        <w:rPr>
          <w:rFonts w:cs="Arial"/>
          <w:snapToGrid w:val="0"/>
          <w:lang w:val="de-DE" w:eastAsia="ja-JP"/>
        </w:rPr>
      </w:pPr>
    </w:p>
    <w:p w:rsidR="00B23E19" w:rsidRPr="004B1F8F" w:rsidRDefault="0069009C" w:rsidP="00832DCD">
      <w:pPr>
        <w:pStyle w:val="Heading2"/>
        <w:rPr>
          <w:lang w:val="de-DE"/>
        </w:rPr>
      </w:pPr>
      <w:bookmarkStart w:id="13" w:name="_Toc442429787"/>
      <w:bookmarkStart w:id="14" w:name="_Toc443497711"/>
      <w:r w:rsidRPr="004B1F8F">
        <w:rPr>
          <w:lang w:val="de-DE"/>
        </w:rPr>
        <w:t>Anleitung bezüglich der Änderungen eingetragener Sortenbezeichnungen</w:t>
      </w:r>
      <w:bookmarkEnd w:id="13"/>
      <w:bookmarkEnd w:id="14"/>
    </w:p>
    <w:p w:rsidR="00832DCD" w:rsidRPr="004B1F8F" w:rsidRDefault="00832DCD" w:rsidP="00377FF4">
      <w:pPr>
        <w:keepNext/>
        <w:rPr>
          <w:rFonts w:cs="Arial"/>
          <w:snapToGrid w:val="0"/>
          <w:lang w:val="de-DE" w:eastAsia="ja-JP"/>
        </w:rPr>
      </w:pPr>
    </w:p>
    <w:p w:rsidR="008B203B" w:rsidRPr="004B1F8F" w:rsidRDefault="007B3011" w:rsidP="008B203B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69009C" w:rsidRPr="004B1F8F">
        <w:rPr>
          <w:lang w:val="de-DE"/>
        </w:rPr>
        <w:t>Der TC nahm auf seiner einundfünfzigsten Tagung die Überarbeitung des Dokuments UPOV/INF/12</w:t>
      </w:r>
      <w:r w:rsidR="000C7DC8">
        <w:rPr>
          <w:lang w:val="de-DE"/>
        </w:rPr>
        <w:t xml:space="preserve"> „</w:t>
      </w:r>
      <w:r w:rsidR="0069009C" w:rsidRPr="004B1F8F">
        <w:rPr>
          <w:lang w:val="de-DE"/>
        </w:rPr>
        <w:t xml:space="preserve">Erläuterungen zu Sortenbezeichnungen nach dem UPOV-Übereinkommen“, in Bezug auf die Änderung eingetragener Sortenbezeichnungen, </w:t>
      </w:r>
      <w:r w:rsidR="00D51F11" w:rsidRPr="004B1F8F">
        <w:rPr>
          <w:lang w:val="de-DE"/>
        </w:rPr>
        <w:t xml:space="preserve">zur Kenntnis, und der CAJ billigte diese auf seiner einundsiebzigsten Tagung. </w:t>
      </w:r>
      <w:r w:rsidR="000C7DC8">
        <w:rPr>
          <w:lang w:val="de-DE"/>
        </w:rPr>
        <w:t xml:space="preserve">Der CAJ </w:t>
      </w:r>
      <w:r w:rsidR="00D51F11" w:rsidRPr="004B1F8F">
        <w:rPr>
          <w:lang w:val="de-DE"/>
        </w:rPr>
        <w:t>vereinbarte</w:t>
      </w:r>
      <w:r w:rsidR="0069009C" w:rsidRPr="004B1F8F">
        <w:rPr>
          <w:lang w:val="de-DE"/>
        </w:rPr>
        <w:t xml:space="preserve">, diese Anleitung dem Rat zur Annahme auf seiner neunundvierzigsten ordentlichen Tagung vom 29. Oktober 2015 zu unterbreiten </w:t>
      </w:r>
      <w:r w:rsidR="00585099" w:rsidRPr="004B1F8F">
        <w:rPr>
          <w:lang w:val="de-DE" w:eastAsia="ja-JP"/>
        </w:rPr>
        <w:t>(</w:t>
      </w:r>
      <w:r w:rsidR="008C7675" w:rsidRPr="004B1F8F">
        <w:rPr>
          <w:lang w:val="de-DE" w:eastAsia="ja-JP"/>
        </w:rPr>
        <w:t>vergleiche die Dokumente</w:t>
      </w:r>
      <w:r w:rsidR="00781D3C" w:rsidRPr="004B1F8F">
        <w:rPr>
          <w:lang w:val="de-DE" w:eastAsia="ja-JP"/>
        </w:rPr>
        <w:t> </w:t>
      </w:r>
      <w:r w:rsidR="00585099" w:rsidRPr="004B1F8F">
        <w:rPr>
          <w:lang w:val="de-DE" w:eastAsia="ja-JP"/>
        </w:rPr>
        <w:t>TC/51/39</w:t>
      </w:r>
      <w:r w:rsidR="000C7DC8">
        <w:rPr>
          <w:lang w:val="de-DE" w:eastAsia="ja-JP"/>
        </w:rPr>
        <w:t xml:space="preserve"> „</w:t>
      </w:r>
      <w:r w:rsidR="0069009C" w:rsidRPr="004B1F8F">
        <w:rPr>
          <w:lang w:val="de-DE" w:eastAsia="ja-JP"/>
        </w:rPr>
        <w:t>Bericht</w:t>
      </w:r>
      <w:r w:rsidR="00D51F11" w:rsidRPr="004B1F8F">
        <w:rPr>
          <w:lang w:val="de-DE" w:eastAsia="ja-JP"/>
        </w:rPr>
        <w:t>“</w:t>
      </w:r>
      <w:r w:rsidR="00585099" w:rsidRPr="004B1F8F">
        <w:rPr>
          <w:lang w:val="de-DE" w:eastAsia="ja-JP"/>
        </w:rPr>
        <w:t xml:space="preserve">, </w:t>
      </w:r>
      <w:r w:rsidR="008C7675" w:rsidRPr="004B1F8F">
        <w:rPr>
          <w:lang w:val="de-DE" w:eastAsia="ja-JP"/>
        </w:rPr>
        <w:t>Absatz</w:t>
      </w:r>
      <w:r w:rsidR="00585099" w:rsidRPr="004B1F8F">
        <w:rPr>
          <w:lang w:val="de-DE" w:eastAsia="ja-JP"/>
        </w:rPr>
        <w:t xml:space="preserve"> 184, </w:t>
      </w:r>
      <w:r w:rsidR="0069009C" w:rsidRPr="004B1F8F">
        <w:rPr>
          <w:lang w:val="de-DE" w:eastAsia="ja-JP"/>
        </w:rPr>
        <w:t>u</w:t>
      </w:r>
      <w:r w:rsidR="00585099" w:rsidRPr="004B1F8F">
        <w:rPr>
          <w:lang w:val="de-DE" w:eastAsia="ja-JP"/>
        </w:rPr>
        <w:t>nd CAJ/71/10</w:t>
      </w:r>
      <w:r w:rsidR="000C7DC8">
        <w:rPr>
          <w:lang w:val="de-DE" w:eastAsia="ja-JP"/>
        </w:rPr>
        <w:t xml:space="preserve"> „</w:t>
      </w:r>
      <w:r w:rsidR="008C7675" w:rsidRPr="004B1F8F">
        <w:rPr>
          <w:lang w:val="de-DE" w:eastAsia="ja-JP"/>
        </w:rPr>
        <w:t>Bericht über die Entschließungen</w:t>
      </w:r>
      <w:r w:rsidR="0069009C" w:rsidRPr="004B1F8F">
        <w:rPr>
          <w:lang w:val="de-DE" w:eastAsia="ja-JP"/>
        </w:rPr>
        <w:t>“</w:t>
      </w:r>
      <w:r w:rsidR="00585099" w:rsidRPr="004B1F8F">
        <w:rPr>
          <w:lang w:val="de-DE" w:eastAsia="ja-JP"/>
        </w:rPr>
        <w:t xml:space="preserve">, </w:t>
      </w:r>
      <w:r w:rsidR="008C7675" w:rsidRPr="004B1F8F">
        <w:rPr>
          <w:lang w:val="de-DE" w:eastAsia="ja-JP"/>
        </w:rPr>
        <w:t>Absatz</w:t>
      </w:r>
      <w:r w:rsidR="00B35889" w:rsidRPr="004B1F8F">
        <w:rPr>
          <w:lang w:val="de-DE" w:eastAsia="ja-JP"/>
        </w:rPr>
        <w:t> </w:t>
      </w:r>
      <w:r w:rsidR="00585099" w:rsidRPr="004B1F8F">
        <w:rPr>
          <w:lang w:val="de-DE" w:eastAsia="ja-JP"/>
        </w:rPr>
        <w:t>34)</w:t>
      </w:r>
      <w:r w:rsidR="0069009C" w:rsidRPr="004B1F8F">
        <w:rPr>
          <w:lang w:val="de-DE" w:eastAsia="ja-JP"/>
        </w:rPr>
        <w:t>.</w:t>
      </w:r>
    </w:p>
    <w:p w:rsidR="008B203B" w:rsidRPr="004B1F8F" w:rsidRDefault="008B203B" w:rsidP="008B203B">
      <w:pPr>
        <w:rPr>
          <w:lang w:val="de-DE" w:eastAsia="ja-JP"/>
        </w:rPr>
      </w:pPr>
    </w:p>
    <w:p w:rsidR="008B203B" w:rsidRPr="004B1F8F" w:rsidRDefault="006E31FF" w:rsidP="008B203B">
      <w:pPr>
        <w:rPr>
          <w:rFonts w:cs="Arial"/>
          <w:snapToGrid w:val="0"/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C91AEB" w:rsidRPr="004B1F8F">
        <w:rPr>
          <w:lang w:val="de-DE"/>
        </w:rPr>
        <w:t>Der Rat nahm auf seiner neunundvierzigsten ordentlichen Tagung eine Überarbeitung des Dokuments UPOV/INF/12/4</w:t>
      </w:r>
      <w:r w:rsidR="000C7DC8">
        <w:rPr>
          <w:lang w:val="de-DE"/>
        </w:rPr>
        <w:t xml:space="preserve"> „</w:t>
      </w:r>
      <w:r w:rsidR="00C91AEB" w:rsidRPr="004B1F8F">
        <w:rPr>
          <w:lang w:val="de-DE"/>
        </w:rPr>
        <w:t xml:space="preserve">Erläuterungen zu Sortenbezeichnungen nach dem UPOV-Übereinkommen“ </w:t>
      </w:r>
      <w:r w:rsidR="00C91AEB" w:rsidRPr="004B1F8F">
        <w:rPr>
          <w:rFonts w:cs="Arial"/>
          <w:snapToGrid w:val="0"/>
          <w:lang w:val="de-DE" w:eastAsia="ja-JP"/>
        </w:rPr>
        <w:t>(Dokument UPOV/INF/12/5), auf der Grundl</w:t>
      </w:r>
      <w:r w:rsidR="00D51F11" w:rsidRPr="004B1F8F">
        <w:rPr>
          <w:rFonts w:cs="Arial"/>
          <w:snapToGrid w:val="0"/>
          <w:lang w:val="de-DE" w:eastAsia="ja-JP"/>
        </w:rPr>
        <w:t>a</w:t>
      </w:r>
      <w:r w:rsidR="00C91AEB" w:rsidRPr="004B1F8F">
        <w:rPr>
          <w:rFonts w:cs="Arial"/>
          <w:snapToGrid w:val="0"/>
          <w:lang w:val="de-DE" w:eastAsia="ja-JP"/>
        </w:rPr>
        <w:t>ge der in Dokument C/49/14, Anlage III</w:t>
      </w:r>
      <w:r w:rsidR="000C7DC8">
        <w:rPr>
          <w:rFonts w:cs="Arial"/>
          <w:snapToGrid w:val="0"/>
          <w:lang w:val="de-DE" w:eastAsia="ja-JP"/>
        </w:rPr>
        <w:t xml:space="preserve"> „</w:t>
      </w:r>
      <w:r w:rsidR="00C91AEB" w:rsidRPr="004B1F8F">
        <w:rPr>
          <w:rFonts w:cs="Arial"/>
          <w:snapToGrid w:val="0"/>
          <w:lang w:val="de-DE" w:eastAsia="ja-JP"/>
        </w:rPr>
        <w:t xml:space="preserve">Vorgeschlagene Änderungen zu Dokument </w:t>
      </w:r>
      <w:r w:rsidR="00C91AEB" w:rsidRPr="004B1F8F">
        <w:rPr>
          <w:lang w:val="de-DE"/>
        </w:rPr>
        <w:t>UPOV/INF/12 ‚Erläuterungen zu Sortenbezeichnungen nach dem UPOV</w:t>
      </w:r>
      <w:r w:rsidR="00C91AEB" w:rsidRPr="004B1F8F">
        <w:rPr>
          <w:lang w:val="de-DE"/>
        </w:rPr>
        <w:noBreakHyphen/>
        <w:t>Übereinkommen‘</w:t>
      </w:r>
      <w:r w:rsidR="00C91AEB" w:rsidRPr="004B1F8F">
        <w:rPr>
          <w:rFonts w:cs="Arial"/>
          <w:snapToGrid w:val="0"/>
          <w:lang w:val="de-DE" w:eastAsia="ja-JP"/>
        </w:rPr>
        <w:t>“</w:t>
      </w:r>
      <w:r w:rsidR="00D51F11" w:rsidRPr="004B1F8F">
        <w:rPr>
          <w:rFonts w:cs="Arial"/>
          <w:snapToGrid w:val="0"/>
          <w:lang w:val="de-DE" w:eastAsia="ja-JP"/>
        </w:rPr>
        <w:t>,</w:t>
      </w:r>
      <w:r w:rsidR="00C91AEB" w:rsidRPr="004B1F8F">
        <w:rPr>
          <w:rFonts w:cs="Arial"/>
          <w:snapToGrid w:val="0"/>
          <w:lang w:val="de-DE" w:eastAsia="ja-JP"/>
        </w:rPr>
        <w:t xml:space="preserve"> vorgeschlagenen Änderungen wie folgt an:</w:t>
      </w:r>
    </w:p>
    <w:p w:rsidR="008B203B" w:rsidRPr="004B1F8F" w:rsidRDefault="008B203B" w:rsidP="008B203B">
      <w:pPr>
        <w:ind w:left="540"/>
        <w:rPr>
          <w:rFonts w:cs="Arial"/>
          <w:i/>
          <w:snapToGrid w:val="0"/>
          <w:lang w:val="de-DE" w:eastAsia="ja-JP"/>
        </w:rPr>
      </w:pPr>
    </w:p>
    <w:p w:rsidR="002766B6" w:rsidRPr="004B1F8F" w:rsidRDefault="00D51F11" w:rsidP="002766B6">
      <w:pPr>
        <w:ind w:left="567" w:right="567"/>
        <w:rPr>
          <w:sz w:val="18"/>
          <w:szCs w:val="18"/>
          <w:lang w:val="de-DE"/>
        </w:rPr>
      </w:pPr>
      <w:r w:rsidRPr="004B1F8F">
        <w:rPr>
          <w:sz w:val="18"/>
          <w:szCs w:val="18"/>
          <w:lang w:val="de-DE"/>
        </w:rPr>
        <w:t>„7.2</w:t>
      </w:r>
      <w:r w:rsidR="002766B6" w:rsidRPr="004B1F8F">
        <w:rPr>
          <w:sz w:val="18"/>
          <w:szCs w:val="18"/>
          <w:lang w:val="de-DE"/>
        </w:rPr>
        <w:tab/>
        <w:t>Folgende Punkte erteilen Anleitung zu Änderungen eingetragener Sortenbezeichnungen:</w:t>
      </w:r>
    </w:p>
    <w:p w:rsidR="002766B6" w:rsidRPr="004B1F8F" w:rsidRDefault="002766B6" w:rsidP="002766B6">
      <w:pPr>
        <w:ind w:right="567"/>
        <w:rPr>
          <w:sz w:val="18"/>
          <w:szCs w:val="18"/>
          <w:lang w:val="de-DE"/>
        </w:rPr>
      </w:pPr>
    </w:p>
    <w:p w:rsidR="002766B6" w:rsidRPr="004B1F8F" w:rsidRDefault="002766B6" w:rsidP="002766B6">
      <w:pPr>
        <w:ind w:left="1701" w:right="567" w:hanging="567"/>
        <w:rPr>
          <w:sz w:val="18"/>
          <w:szCs w:val="18"/>
          <w:lang w:val="de-DE"/>
        </w:rPr>
      </w:pPr>
      <w:r w:rsidRPr="004B1F8F">
        <w:rPr>
          <w:sz w:val="18"/>
          <w:szCs w:val="18"/>
          <w:lang w:val="de-DE"/>
        </w:rPr>
        <w:t>a)</w:t>
      </w:r>
      <w:r w:rsidRPr="004B1F8F">
        <w:rPr>
          <w:sz w:val="18"/>
          <w:szCs w:val="18"/>
          <w:lang w:val="de-DE"/>
        </w:rPr>
        <w:tab/>
        <w:t xml:space="preserve">Das UPOV-Übereinkommen erfordert eine Änderung der eingetragenen Bezeichnung, wenn die Bezeichnung der Sorte nach Erteilung des Rechts gestrichen wird. Die zuständige Behörde sollte eine Sortenbezeichnung streichen, falls: </w:t>
      </w:r>
    </w:p>
    <w:p w:rsidR="002766B6" w:rsidRPr="004B1F8F" w:rsidRDefault="002766B6" w:rsidP="002766B6">
      <w:pPr>
        <w:pStyle w:val="ListParagraph"/>
        <w:ind w:left="1701" w:right="567" w:hanging="567"/>
        <w:rPr>
          <w:sz w:val="18"/>
          <w:szCs w:val="18"/>
          <w:lang w:val="de-DE"/>
        </w:rPr>
      </w:pPr>
    </w:p>
    <w:p w:rsidR="002766B6" w:rsidRPr="004B1F8F" w:rsidRDefault="002766B6" w:rsidP="002766B6">
      <w:pPr>
        <w:ind w:left="1701" w:right="567" w:hanging="567"/>
        <w:rPr>
          <w:sz w:val="18"/>
          <w:szCs w:val="18"/>
          <w:lang w:val="de-DE"/>
        </w:rPr>
      </w:pPr>
      <w:r w:rsidRPr="004B1F8F">
        <w:rPr>
          <w:sz w:val="18"/>
          <w:szCs w:val="18"/>
          <w:lang w:val="de-DE"/>
        </w:rPr>
        <w:tab/>
        <w:t>i)</w:t>
      </w:r>
      <w:r w:rsidRPr="004B1F8F">
        <w:rPr>
          <w:sz w:val="18"/>
          <w:szCs w:val="18"/>
          <w:lang w:val="de-DE"/>
        </w:rPr>
        <w:tab/>
        <w:t xml:space="preserve">die Benutzung der Sortenbezeichnung einer Person, die nach Absatz 7 zu ihrer Benutzung verpflichtet ist, auf Grund eines älteren Rechtes untersagt wird (siehe Absatz 4 „Ältere Rechte Dritter“); </w:t>
      </w:r>
    </w:p>
    <w:p w:rsidR="002766B6" w:rsidRPr="004B1F8F" w:rsidRDefault="002766B6" w:rsidP="002766B6">
      <w:pPr>
        <w:ind w:left="1701" w:right="567" w:hanging="567"/>
        <w:rPr>
          <w:sz w:val="18"/>
          <w:szCs w:val="18"/>
          <w:lang w:val="de-DE"/>
        </w:rPr>
      </w:pPr>
    </w:p>
    <w:p w:rsidR="002766B6" w:rsidRPr="004B1F8F" w:rsidRDefault="002766B6" w:rsidP="002766B6">
      <w:pPr>
        <w:ind w:left="1701" w:right="567" w:hanging="567"/>
        <w:rPr>
          <w:sz w:val="18"/>
          <w:szCs w:val="18"/>
          <w:lang w:val="de-DE"/>
        </w:rPr>
      </w:pPr>
      <w:r w:rsidRPr="004B1F8F">
        <w:rPr>
          <w:sz w:val="18"/>
          <w:szCs w:val="18"/>
          <w:lang w:val="de-DE"/>
        </w:rPr>
        <w:tab/>
        <w:t>ii)</w:t>
      </w:r>
      <w:r w:rsidRPr="004B1F8F">
        <w:rPr>
          <w:sz w:val="18"/>
          <w:szCs w:val="18"/>
          <w:lang w:val="de-DE"/>
        </w:rPr>
        <w:tab/>
        <w:t xml:space="preserve">die Bezeichnung ungeeignet ist, da sie in Widerspruch zu den Bestimmungen in Absatz 2 „Eigenschaften der Bezeichnung“ steht; </w:t>
      </w:r>
    </w:p>
    <w:p w:rsidR="002766B6" w:rsidRPr="004B1F8F" w:rsidRDefault="002766B6" w:rsidP="002766B6">
      <w:pPr>
        <w:pStyle w:val="ListParagraph"/>
        <w:ind w:left="1701" w:right="567" w:hanging="567"/>
        <w:rPr>
          <w:sz w:val="18"/>
          <w:szCs w:val="18"/>
          <w:lang w:val="de-DE"/>
        </w:rPr>
      </w:pPr>
    </w:p>
    <w:p w:rsidR="002766B6" w:rsidRPr="004B1F8F" w:rsidRDefault="002766B6" w:rsidP="002766B6">
      <w:pPr>
        <w:ind w:left="1701" w:right="567" w:hanging="567"/>
        <w:rPr>
          <w:sz w:val="18"/>
          <w:szCs w:val="18"/>
          <w:lang w:val="de-DE"/>
        </w:rPr>
      </w:pPr>
      <w:r w:rsidRPr="004B1F8F">
        <w:rPr>
          <w:sz w:val="18"/>
          <w:szCs w:val="18"/>
          <w:lang w:val="de-DE"/>
        </w:rPr>
        <w:t>b)</w:t>
      </w:r>
      <w:r w:rsidRPr="004B1F8F">
        <w:rPr>
          <w:sz w:val="18"/>
          <w:szCs w:val="18"/>
          <w:lang w:val="de-DE"/>
        </w:rPr>
        <w:tab/>
        <w:t>In Fällen, in denen die eingetragene Bezeichnung im Nachhinein in einem anderen Verbandsmitglied abgelehnt wird, da sie in diesem Hoheitsgebiet ungeeignet ist (z.</w:t>
      </w:r>
      <w:r w:rsidR="00252A34" w:rsidRPr="004B1F8F">
        <w:rPr>
          <w:sz w:val="18"/>
          <w:szCs w:val="18"/>
          <w:lang w:val="de-DE"/>
        </w:rPr>
        <w:t> </w:t>
      </w:r>
      <w:r w:rsidRPr="004B1F8F">
        <w:rPr>
          <w:sz w:val="18"/>
          <w:szCs w:val="18"/>
          <w:lang w:val="de-DE"/>
        </w:rPr>
        <w:t>B. älteres Recht), kann es die Behörde auf Antrag des Züchters als zweckmäßig erachten, die Bezeichnung in die in dem genannten anderen Verbandsmitglied eingetragene Bezeichnung abzuändern (siehe Bestimmungen in Absatz 5 „Einheitlichkeit der Bezeichnung in allen Vertragsparteien“)</w:t>
      </w:r>
      <w:r w:rsidR="00252A34" w:rsidRPr="004B1F8F">
        <w:rPr>
          <w:sz w:val="18"/>
          <w:szCs w:val="18"/>
          <w:lang w:val="de-DE"/>
        </w:rPr>
        <w:t>,</w:t>
      </w:r>
      <w:r w:rsidRPr="004B1F8F">
        <w:rPr>
          <w:sz w:val="18"/>
          <w:szCs w:val="18"/>
          <w:lang w:val="de-DE"/>
        </w:rPr>
        <w:t xml:space="preserve"> und</w:t>
      </w:r>
    </w:p>
    <w:p w:rsidR="002766B6" w:rsidRPr="004B1F8F" w:rsidRDefault="002766B6" w:rsidP="002766B6">
      <w:pPr>
        <w:ind w:left="1701" w:right="567" w:hanging="567"/>
        <w:rPr>
          <w:sz w:val="18"/>
          <w:szCs w:val="18"/>
          <w:lang w:val="de-DE"/>
        </w:rPr>
      </w:pPr>
    </w:p>
    <w:p w:rsidR="002766B6" w:rsidRPr="004B1F8F" w:rsidRDefault="002766B6" w:rsidP="002766B6">
      <w:pPr>
        <w:ind w:left="1701" w:right="567" w:hanging="567"/>
        <w:rPr>
          <w:sz w:val="18"/>
          <w:szCs w:val="18"/>
          <w:lang w:val="de-DE"/>
        </w:rPr>
      </w:pPr>
      <w:r w:rsidRPr="004B1F8F">
        <w:rPr>
          <w:sz w:val="18"/>
          <w:szCs w:val="18"/>
          <w:lang w:val="de-DE"/>
        </w:rPr>
        <w:t>c)</w:t>
      </w:r>
      <w:r w:rsidRPr="004B1F8F">
        <w:rPr>
          <w:sz w:val="18"/>
          <w:szCs w:val="18"/>
          <w:lang w:val="de-DE"/>
        </w:rPr>
        <w:tab/>
        <w:t xml:space="preserve">im </w:t>
      </w:r>
      <w:r w:rsidR="00252A34" w:rsidRPr="004B1F8F">
        <w:rPr>
          <w:sz w:val="18"/>
          <w:szCs w:val="18"/>
          <w:lang w:val="de-DE"/>
        </w:rPr>
        <w:t>a</w:t>
      </w:r>
      <w:r w:rsidRPr="004B1F8F">
        <w:rPr>
          <w:sz w:val="18"/>
          <w:szCs w:val="18"/>
          <w:lang w:val="de-DE"/>
        </w:rPr>
        <w:t>llgemeinen wäre es</w:t>
      </w:r>
      <w:r w:rsidR="00D51F11" w:rsidRPr="004B1F8F">
        <w:rPr>
          <w:sz w:val="18"/>
          <w:szCs w:val="18"/>
          <w:lang w:val="de-DE"/>
        </w:rPr>
        <w:t>,</w:t>
      </w:r>
      <w:r w:rsidRPr="004B1F8F">
        <w:rPr>
          <w:sz w:val="18"/>
          <w:szCs w:val="18"/>
          <w:lang w:val="de-DE"/>
        </w:rPr>
        <w:t xml:space="preserve"> vorbehaltlich a) und b) oben</w:t>
      </w:r>
      <w:r w:rsidR="00D51F11" w:rsidRPr="004B1F8F">
        <w:rPr>
          <w:sz w:val="18"/>
          <w:szCs w:val="18"/>
          <w:lang w:val="de-DE"/>
        </w:rPr>
        <w:t>,</w:t>
      </w:r>
      <w:r w:rsidRPr="004B1F8F">
        <w:rPr>
          <w:sz w:val="18"/>
          <w:szCs w:val="18"/>
          <w:lang w:val="de-DE"/>
        </w:rPr>
        <w:t xml:space="preserve"> nicht zweckmäßig, wenn die Behörde eine eingetragene Bezeichnung auf Anfrage eines Züchters ändern würde.“</w:t>
      </w:r>
    </w:p>
    <w:p w:rsidR="00DD0DF1" w:rsidRPr="004B1F8F" w:rsidRDefault="00DD0DF1" w:rsidP="006E31FF">
      <w:pPr>
        <w:keepNext/>
        <w:rPr>
          <w:rFonts w:cs="Arial"/>
          <w:snapToGrid w:val="0"/>
          <w:lang w:val="de-DE" w:eastAsia="ja-JP"/>
        </w:rPr>
      </w:pPr>
    </w:p>
    <w:p w:rsidR="00B23E19" w:rsidRPr="004B1F8F" w:rsidRDefault="002766B6" w:rsidP="00B23E19">
      <w:pPr>
        <w:pStyle w:val="Heading2"/>
        <w:rPr>
          <w:lang w:val="de-DE"/>
        </w:rPr>
      </w:pPr>
      <w:bookmarkStart w:id="15" w:name="_Toc442429788"/>
      <w:bookmarkStart w:id="16" w:name="_Toc443497712"/>
      <w:r w:rsidRPr="004B1F8F">
        <w:rPr>
          <w:lang w:val="de-DE"/>
        </w:rPr>
        <w:t>Weitere Abschnitte</w:t>
      </w:r>
      <w:bookmarkEnd w:id="15"/>
      <w:bookmarkEnd w:id="16"/>
    </w:p>
    <w:p w:rsidR="00B23E19" w:rsidRPr="004B1F8F" w:rsidRDefault="00B23E19" w:rsidP="006E31FF">
      <w:pPr>
        <w:keepNext/>
        <w:rPr>
          <w:rFonts w:cs="Arial"/>
          <w:snapToGrid w:val="0"/>
          <w:lang w:val="de-DE" w:eastAsia="ja-JP"/>
        </w:rPr>
      </w:pPr>
    </w:p>
    <w:p w:rsidR="00B35889" w:rsidRPr="004B1F8F" w:rsidRDefault="007B3011" w:rsidP="00B35889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C91AEB" w:rsidRPr="004B1F8F">
        <w:rPr>
          <w:lang w:val="de-DE"/>
        </w:rPr>
        <w:t>Der CAJ entschied auf seiner einundsiebzigsten Tagung, die WG-DST zu ersuchen, die Bemerkungen der CAJ-AG zu den Vorschlägen für die Abschnitte 2.2.2 b), 2.3.1 c) und d) sowie 2.3.3 in Dokument UPOV/INF/12/5 Draft</w:t>
      </w:r>
      <w:r w:rsidR="00D51F11" w:rsidRPr="004B1F8F">
        <w:rPr>
          <w:lang w:val="de-DE"/>
        </w:rPr>
        <w:t xml:space="preserve"> 2</w:t>
      </w:r>
      <w:r w:rsidR="00C91AEB" w:rsidRPr="004B1F8F">
        <w:rPr>
          <w:lang w:val="de-DE"/>
        </w:rPr>
        <w:t>, wie in Dokument CAJ/71/3</w:t>
      </w:r>
      <w:r w:rsidR="000C7DC8">
        <w:rPr>
          <w:lang w:val="de-DE"/>
        </w:rPr>
        <w:t xml:space="preserve"> „</w:t>
      </w:r>
      <w:r w:rsidR="00C91AEB" w:rsidRPr="004B1F8F">
        <w:rPr>
          <w:lang w:val="de-DE"/>
        </w:rPr>
        <w:t xml:space="preserve">Sortenbezeichnungen“, Absatz 27, dargelegt, zu prüfen </w:t>
      </w:r>
      <w:r w:rsidR="00C91AEB" w:rsidRPr="004B1F8F">
        <w:rPr>
          <w:lang w:val="de-DE" w:eastAsia="ja-JP"/>
        </w:rPr>
        <w:t>(vergleiche Dokument CAJ/71/10</w:t>
      </w:r>
      <w:r w:rsidR="000C7DC8">
        <w:rPr>
          <w:lang w:val="de-DE" w:eastAsia="ja-JP"/>
        </w:rPr>
        <w:t xml:space="preserve"> „</w:t>
      </w:r>
      <w:r w:rsidR="00C91AEB" w:rsidRPr="004B1F8F">
        <w:rPr>
          <w:lang w:val="de-DE" w:eastAsia="ja-JP"/>
        </w:rPr>
        <w:t xml:space="preserve">Bericht über die Entschließungen“, Absatz 35). </w:t>
      </w:r>
      <w:r w:rsidR="00357F8D" w:rsidRPr="004B1F8F">
        <w:rPr>
          <w:lang w:val="de-DE" w:eastAsia="ja-JP"/>
        </w:rPr>
        <w:t xml:space="preserve">Die Bemerkungen der </w:t>
      </w:r>
      <w:r w:rsidR="00B23E19" w:rsidRPr="004B1F8F">
        <w:rPr>
          <w:lang w:val="de-DE" w:eastAsia="ja-JP"/>
        </w:rPr>
        <w:t>C</w:t>
      </w:r>
      <w:r w:rsidR="00904AC6" w:rsidRPr="004B1F8F">
        <w:rPr>
          <w:lang w:val="de-DE" w:eastAsia="ja-JP"/>
        </w:rPr>
        <w:t xml:space="preserve">AJ-AG </w:t>
      </w:r>
      <w:r w:rsidR="00357F8D" w:rsidRPr="004B1F8F">
        <w:rPr>
          <w:lang w:val="de-DE" w:eastAsia="ja-JP"/>
        </w:rPr>
        <w:t>sind nachstehend wiedergegeben</w:t>
      </w:r>
      <w:r w:rsidR="00904AC6" w:rsidRPr="004B1F8F">
        <w:rPr>
          <w:lang w:val="de-DE" w:eastAsia="ja-JP"/>
        </w:rPr>
        <w:t>:</w:t>
      </w:r>
    </w:p>
    <w:p w:rsidR="007E54F5" w:rsidRPr="004B1F8F" w:rsidRDefault="007E54F5" w:rsidP="007E54F5">
      <w:pPr>
        <w:keepNext/>
        <w:rPr>
          <w:rFonts w:cs="Arial"/>
          <w:lang w:val="de-DE"/>
        </w:rPr>
      </w:pPr>
    </w:p>
    <w:tbl>
      <w:tblPr>
        <w:tblW w:w="918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357F8D" w:rsidRPr="004B1F8F" w:rsidTr="00666088">
        <w:trPr>
          <w:cantSplit/>
        </w:trPr>
        <w:tc>
          <w:tcPr>
            <w:tcW w:w="1391" w:type="dxa"/>
          </w:tcPr>
          <w:p w:rsidR="00357F8D" w:rsidRPr="004B1F8F" w:rsidRDefault="00357F8D" w:rsidP="002A4A72">
            <w:pPr>
              <w:rPr>
                <w:rFonts w:cs="Arial"/>
                <w:lang w:val="de-DE"/>
              </w:rPr>
            </w:pPr>
            <w:r w:rsidRPr="004B1F8F">
              <w:rPr>
                <w:lang w:val="de-DE"/>
              </w:rPr>
              <w:t>2.2.2 b)</w:t>
            </w:r>
          </w:p>
        </w:tc>
        <w:tc>
          <w:tcPr>
            <w:tcW w:w="7789" w:type="dxa"/>
          </w:tcPr>
          <w:p w:rsidR="00357F8D" w:rsidRPr="004B1F8F" w:rsidRDefault="00357F8D" w:rsidP="002A4A72">
            <w:pPr>
              <w:rPr>
                <w:snapToGrid w:val="0"/>
                <w:lang w:val="de-DE"/>
              </w:rPr>
            </w:pPr>
            <w:r w:rsidRPr="004B1F8F">
              <w:rPr>
                <w:snapToGrid w:val="0"/>
                <w:lang w:val="de-DE"/>
              </w:rPr>
              <w:t>Die Terminologie in 2.2.2 b) ist zu klären.</w:t>
            </w:r>
            <w:r w:rsidRPr="004B1F8F">
              <w:rPr>
                <w:lang w:val="de-DE"/>
              </w:rPr>
              <w:t xml:space="preserve"> </w:t>
            </w:r>
            <w:r w:rsidRPr="004B1F8F">
              <w:rPr>
                <w:snapToGrid w:val="0"/>
                <w:lang w:val="de-DE"/>
              </w:rPr>
              <w:t xml:space="preserve">Insbesondere ist zu prüfen, ob die Beispiele in folgendem Satz geändert werden oder ob „Arten“ durch „Gattungen“ oder „Taxa“ ersetzt werden soll: </w:t>
            </w:r>
          </w:p>
          <w:p w:rsidR="00357F8D" w:rsidRPr="004B1F8F" w:rsidRDefault="00357F8D" w:rsidP="002A4A72">
            <w:pPr>
              <w:rPr>
                <w:snapToGrid w:val="0"/>
                <w:lang w:val="de-DE"/>
              </w:rPr>
            </w:pPr>
          </w:p>
          <w:p w:rsidR="00357F8D" w:rsidRPr="004B1F8F" w:rsidRDefault="00357F8D" w:rsidP="002A4A72">
            <w:pPr>
              <w:rPr>
                <w:snapToGrid w:val="0"/>
                <w:lang w:val="de-DE"/>
              </w:rPr>
            </w:pPr>
            <w:r w:rsidRPr="004B1F8F">
              <w:rPr>
                <w:snapToGrid w:val="0"/>
                <w:lang w:val="de-DE"/>
              </w:rPr>
              <w:t>„</w:t>
            </w:r>
            <w:r w:rsidRPr="004B1F8F">
              <w:rPr>
                <w:color w:val="000000"/>
                <w:lang w:val="de-DE"/>
              </w:rPr>
              <w:t>b)</w:t>
            </w:r>
            <w:r w:rsidRPr="004B1F8F">
              <w:rPr>
                <w:color w:val="000000"/>
                <w:lang w:val="de-DE"/>
              </w:rPr>
              <w:tab/>
              <w:t>die anerkannte Marktpraxis für bestimmte Sortentypen (z. B. Hybriden) und bestimmte Arten (z. B. Medicago, Helianthus)“.</w:t>
            </w:r>
          </w:p>
        </w:tc>
      </w:tr>
      <w:tr w:rsidR="00357F8D" w:rsidRPr="004B1F8F" w:rsidTr="00666088">
        <w:trPr>
          <w:cantSplit/>
        </w:trPr>
        <w:tc>
          <w:tcPr>
            <w:tcW w:w="1391" w:type="dxa"/>
          </w:tcPr>
          <w:p w:rsidR="00357F8D" w:rsidRPr="004B1F8F" w:rsidRDefault="00357F8D" w:rsidP="00666088">
            <w:pPr>
              <w:rPr>
                <w:rFonts w:cs="Arial"/>
                <w:lang w:val="de-DE"/>
              </w:rPr>
            </w:pPr>
            <w:r w:rsidRPr="004B1F8F">
              <w:rPr>
                <w:rFonts w:cs="Arial"/>
                <w:lang w:val="de-DE"/>
              </w:rPr>
              <w:t>2.2.2 c)</w:t>
            </w:r>
          </w:p>
        </w:tc>
        <w:tc>
          <w:tcPr>
            <w:tcW w:w="7789" w:type="dxa"/>
          </w:tcPr>
          <w:p w:rsidR="00357F8D" w:rsidRPr="004B1F8F" w:rsidRDefault="00357F8D" w:rsidP="00357F8D">
            <w:pPr>
              <w:rPr>
                <w:rFonts w:cs="Arial"/>
                <w:lang w:val="de-DE"/>
              </w:rPr>
            </w:pPr>
            <w:r w:rsidRPr="004B1F8F">
              <w:rPr>
                <w:rFonts w:cs="Arial"/>
                <w:lang w:val="de-DE"/>
              </w:rPr>
              <w:t>2.2.2 c) ist wie folgt hinzuzufügen:</w:t>
            </w:r>
          </w:p>
          <w:p w:rsidR="00357F8D" w:rsidRPr="004B1F8F" w:rsidRDefault="00357F8D" w:rsidP="00357F8D">
            <w:pPr>
              <w:keepNext/>
              <w:ind w:firstLine="567"/>
              <w:rPr>
                <w:rFonts w:cs="Arial"/>
                <w:lang w:val="de-DE" w:eastAsia="ja-JP"/>
              </w:rPr>
            </w:pPr>
          </w:p>
          <w:p w:rsidR="00357F8D" w:rsidRPr="004B1F8F" w:rsidRDefault="00357F8D" w:rsidP="00D51F11">
            <w:pPr>
              <w:rPr>
                <w:rFonts w:cs="Arial"/>
                <w:lang w:val="de-DE"/>
              </w:rPr>
            </w:pPr>
            <w:r w:rsidRPr="004B1F8F">
              <w:rPr>
                <w:rFonts w:cs="Arial"/>
                <w:lang w:val="de-DE"/>
              </w:rPr>
              <w:t>„c)</w:t>
            </w:r>
            <w:r w:rsidRPr="004B1F8F">
              <w:rPr>
                <w:rFonts w:cs="Arial"/>
                <w:lang w:val="de-DE"/>
              </w:rPr>
              <w:tab/>
              <w:t xml:space="preserve">als </w:t>
            </w:r>
            <w:r w:rsidR="00D51F11" w:rsidRPr="004B1F8F">
              <w:rPr>
                <w:rFonts w:cs="Arial"/>
                <w:lang w:val="de-DE"/>
              </w:rPr>
              <w:t>‚</w:t>
            </w:r>
            <w:r w:rsidRPr="004B1F8F">
              <w:rPr>
                <w:rFonts w:cs="Arial"/>
                <w:lang w:val="de-DE"/>
              </w:rPr>
              <w:t>feststehende Praxis</w:t>
            </w:r>
            <w:r w:rsidR="00D51F11" w:rsidRPr="004B1F8F">
              <w:rPr>
                <w:rFonts w:cs="Arial"/>
                <w:lang w:val="de-DE"/>
              </w:rPr>
              <w:t>‘</w:t>
            </w:r>
            <w:r w:rsidRPr="004B1F8F">
              <w:rPr>
                <w:rFonts w:cs="Arial"/>
                <w:lang w:val="de-DE"/>
              </w:rPr>
              <w:t xml:space="preserve"> gilt es, wenn die Eintragung für eine Art oder Gruppe akzeptiert wurde, so </w:t>
            </w:r>
            <w:r w:rsidR="00C91AEB" w:rsidRPr="004B1F8F">
              <w:rPr>
                <w:rFonts w:cs="Arial"/>
                <w:lang w:val="de-DE"/>
              </w:rPr>
              <w:t>daß</w:t>
            </w:r>
            <w:r w:rsidRPr="004B1F8F">
              <w:rPr>
                <w:rFonts w:cs="Arial"/>
                <w:lang w:val="de-DE"/>
              </w:rPr>
              <w:t xml:space="preserve"> sie bei anderen Arten verwendet werden kann, für die noch keine Sorte eingetragen ist, deren Bezeichnung ausschließlich aus Zahlen besteht.“</w:t>
            </w:r>
          </w:p>
        </w:tc>
      </w:tr>
      <w:tr w:rsidR="00357F8D" w:rsidRPr="004B1F8F" w:rsidTr="00666088">
        <w:trPr>
          <w:cantSplit/>
        </w:trPr>
        <w:tc>
          <w:tcPr>
            <w:tcW w:w="1391" w:type="dxa"/>
          </w:tcPr>
          <w:p w:rsidR="00357F8D" w:rsidRPr="004B1F8F" w:rsidRDefault="00357F8D" w:rsidP="00357F8D">
            <w:pPr>
              <w:rPr>
                <w:rFonts w:cs="Arial"/>
                <w:lang w:val="de-DE"/>
              </w:rPr>
            </w:pPr>
            <w:r w:rsidRPr="004B1F8F">
              <w:rPr>
                <w:lang w:val="de-DE"/>
              </w:rPr>
              <w:t>2.3.1 c)</w:t>
            </w:r>
          </w:p>
        </w:tc>
        <w:tc>
          <w:tcPr>
            <w:tcW w:w="7789" w:type="dxa"/>
          </w:tcPr>
          <w:p w:rsidR="00357F8D" w:rsidRPr="004B1F8F" w:rsidRDefault="00357F8D" w:rsidP="002A4A72">
            <w:pPr>
              <w:rPr>
                <w:lang w:val="de-DE"/>
              </w:rPr>
            </w:pPr>
            <w:r w:rsidRPr="004B1F8F">
              <w:rPr>
                <w:lang w:val="de-DE"/>
              </w:rPr>
              <w:t>Es ist weitere Anleitung zu 2.3.1 c) zu erarbeiten, und es sind weitere zweckmäßigere Beispiele anzuführen.</w:t>
            </w:r>
          </w:p>
          <w:p w:rsidR="00357F8D" w:rsidRPr="004B1F8F" w:rsidRDefault="00357F8D" w:rsidP="002A4A72">
            <w:pPr>
              <w:keepNext/>
              <w:rPr>
                <w:lang w:val="de-DE"/>
              </w:rPr>
            </w:pPr>
          </w:p>
          <w:p w:rsidR="00357F8D" w:rsidRPr="004B1F8F" w:rsidRDefault="00357F8D" w:rsidP="002A4A72">
            <w:pPr>
              <w:keepNext/>
              <w:rPr>
                <w:lang w:val="de-DE"/>
              </w:rPr>
            </w:pPr>
            <w:r w:rsidRPr="004B1F8F">
              <w:rPr>
                <w:lang w:val="de-DE"/>
              </w:rPr>
              <w:t>„c)</w:t>
            </w:r>
            <w:r w:rsidRPr="004B1F8F">
              <w:rPr>
                <w:lang w:val="de-DE"/>
              </w:rPr>
              <w:tab/>
              <w:t xml:space="preserve">den Eindruck erwecken, </w:t>
            </w:r>
            <w:r w:rsidR="00C91AEB" w:rsidRPr="004B1F8F">
              <w:rPr>
                <w:lang w:val="de-DE"/>
              </w:rPr>
              <w:t>daß</w:t>
            </w:r>
            <w:r w:rsidRPr="004B1F8F">
              <w:rPr>
                <w:lang w:val="de-DE"/>
              </w:rPr>
              <w:t xml:space="preserve"> die Sorte von einer anderen Sorte abstammt oder mit ihr verwandt ist, wenn dies tatsächlich nicht der Fall ist;</w:t>
            </w:r>
          </w:p>
          <w:p w:rsidR="00357F8D" w:rsidRPr="004B1F8F" w:rsidRDefault="00357F8D" w:rsidP="002A4A72">
            <w:pPr>
              <w:keepNext/>
              <w:rPr>
                <w:lang w:val="de-DE"/>
              </w:rPr>
            </w:pPr>
          </w:p>
          <w:p w:rsidR="00357F8D" w:rsidRPr="004B1F8F" w:rsidRDefault="00357F8D" w:rsidP="00D51F11">
            <w:pPr>
              <w:rPr>
                <w:rFonts w:cs="Arial"/>
                <w:lang w:val="de-DE"/>
              </w:rPr>
            </w:pPr>
            <w:r w:rsidRPr="004B1F8F">
              <w:rPr>
                <w:i/>
                <w:lang w:val="de-DE"/>
              </w:rPr>
              <w:t>Beispiel:</w:t>
            </w:r>
            <w:r w:rsidRPr="004B1F8F">
              <w:rPr>
                <w:lang w:val="de-DE"/>
              </w:rPr>
              <w:t xml:space="preserve"> Eine Sortenbezeichnung, die derjenigen einer anderen Sorte derselben Art oder einer verwandten Art ähnlich ist, z. B. „Kreuz des Südens 1“; „Kreuz des Südens</w:t>
            </w:r>
            <w:r w:rsidR="00D51F11" w:rsidRPr="004B1F8F">
              <w:rPr>
                <w:lang w:val="de-DE"/>
              </w:rPr>
              <w:t> </w:t>
            </w:r>
            <w:r w:rsidRPr="004B1F8F">
              <w:rPr>
                <w:lang w:val="de-DE"/>
              </w:rPr>
              <w:t xml:space="preserve">2“ usw., was den Eindruck erweckt, </w:t>
            </w:r>
            <w:r w:rsidR="00C91AEB" w:rsidRPr="004B1F8F">
              <w:rPr>
                <w:lang w:val="de-DE"/>
              </w:rPr>
              <w:t>daß</w:t>
            </w:r>
            <w:r w:rsidRPr="004B1F8F">
              <w:rPr>
                <w:lang w:val="de-DE"/>
              </w:rPr>
              <w:t xml:space="preserve"> es sich hierbei um eine Serie verwandter Sorten mit ähnlichen Eigenschaften handelt, wenn dies t</w:t>
            </w:r>
            <w:r w:rsidR="00D51F11" w:rsidRPr="004B1F8F">
              <w:rPr>
                <w:lang w:val="de-DE"/>
              </w:rPr>
              <w:t>atsächlich nicht der Fall ist.“</w:t>
            </w:r>
          </w:p>
        </w:tc>
      </w:tr>
      <w:tr w:rsidR="00357F8D" w:rsidRPr="004B1F8F" w:rsidTr="00666088">
        <w:trPr>
          <w:cantSplit/>
        </w:trPr>
        <w:tc>
          <w:tcPr>
            <w:tcW w:w="1391" w:type="dxa"/>
          </w:tcPr>
          <w:p w:rsidR="00357F8D" w:rsidRPr="004B1F8F" w:rsidRDefault="00357F8D" w:rsidP="00357F8D">
            <w:pPr>
              <w:rPr>
                <w:lang w:val="de-DE"/>
              </w:rPr>
            </w:pPr>
            <w:r w:rsidRPr="004B1F8F">
              <w:rPr>
                <w:lang w:val="de-DE"/>
              </w:rPr>
              <w:t>2.3.1 d)</w:t>
            </w:r>
          </w:p>
        </w:tc>
        <w:tc>
          <w:tcPr>
            <w:tcW w:w="7789" w:type="dxa"/>
          </w:tcPr>
          <w:p w:rsidR="00357F8D" w:rsidRPr="004B1F8F" w:rsidRDefault="00357F8D" w:rsidP="002A4A72">
            <w:pPr>
              <w:rPr>
                <w:lang w:val="de-DE"/>
              </w:rPr>
            </w:pPr>
            <w:r w:rsidRPr="004B1F8F">
              <w:rPr>
                <w:lang w:val="de-DE"/>
              </w:rPr>
              <w:t>2.3.1 d) ist wie folgt hinzuzufügen:</w:t>
            </w:r>
          </w:p>
          <w:p w:rsidR="00357F8D" w:rsidRPr="004B1F8F" w:rsidRDefault="00357F8D" w:rsidP="002A4A72">
            <w:pPr>
              <w:rPr>
                <w:lang w:val="de-DE"/>
              </w:rPr>
            </w:pPr>
          </w:p>
          <w:p w:rsidR="00357F8D" w:rsidRPr="004B1F8F" w:rsidRDefault="00D51F11" w:rsidP="002A4A72">
            <w:pPr>
              <w:rPr>
                <w:lang w:val="de-DE"/>
              </w:rPr>
            </w:pPr>
            <w:r w:rsidRPr="004B1F8F">
              <w:rPr>
                <w:lang w:val="de-DE"/>
              </w:rPr>
              <w:t>„d)</w:t>
            </w:r>
            <w:r w:rsidR="00357F8D" w:rsidRPr="004B1F8F">
              <w:rPr>
                <w:lang w:val="de-DE"/>
              </w:rPr>
              <w:tab/>
              <w:t>den botanischen oder landesüblichen Namen der Gattung enthalten, der die Sorte angehört. Welches die Sortenbezeichnung bzw. der Name der zugehörigen Gattung ist, könnte unklar sein oder verwechselt werden.“</w:t>
            </w:r>
          </w:p>
          <w:p w:rsidR="00357F8D" w:rsidRPr="004B1F8F" w:rsidRDefault="00357F8D" w:rsidP="002A4A72">
            <w:pPr>
              <w:rPr>
                <w:highlight w:val="lightGray"/>
                <w:lang w:val="de-DE"/>
              </w:rPr>
            </w:pPr>
          </w:p>
          <w:p w:rsidR="00357F8D" w:rsidRPr="004B1F8F" w:rsidRDefault="00357F8D" w:rsidP="002A4A72">
            <w:pPr>
              <w:rPr>
                <w:lang w:val="de-DE"/>
              </w:rPr>
            </w:pPr>
            <w:r w:rsidRPr="004B1F8F">
              <w:rPr>
                <w:lang w:val="de-DE"/>
              </w:rPr>
              <w:t>Folgendes Beispiel ist klarer zu fassen:</w:t>
            </w:r>
          </w:p>
          <w:p w:rsidR="00357F8D" w:rsidRPr="004B1F8F" w:rsidRDefault="00357F8D" w:rsidP="002A4A72">
            <w:pPr>
              <w:rPr>
                <w:lang w:val="de-DE"/>
              </w:rPr>
            </w:pPr>
          </w:p>
          <w:p w:rsidR="00357F8D" w:rsidRPr="004B1F8F" w:rsidRDefault="00357F8D" w:rsidP="002A4A72">
            <w:pPr>
              <w:ind w:left="567"/>
              <w:rPr>
                <w:lang w:val="de-DE"/>
              </w:rPr>
            </w:pPr>
            <w:r w:rsidRPr="004B1F8F">
              <w:rPr>
                <w:i/>
                <w:lang w:val="de-DE"/>
              </w:rPr>
              <w:t>Beispiel</w:t>
            </w:r>
            <w:r w:rsidRPr="004B1F8F">
              <w:rPr>
                <w:lang w:val="de-DE"/>
              </w:rPr>
              <w:t xml:space="preserve">: </w:t>
            </w:r>
            <w:r w:rsidRPr="004B1F8F">
              <w:rPr>
                <w:i/>
                <w:lang w:val="de-DE"/>
              </w:rPr>
              <w:t xml:space="preserve">Carex </w:t>
            </w:r>
            <w:r w:rsidRPr="004B1F8F">
              <w:rPr>
                <w:lang w:val="de-DE"/>
              </w:rPr>
              <w:t xml:space="preserve">Sorte </w:t>
            </w:r>
            <w:r w:rsidR="00B23FF3" w:rsidRPr="004B1F8F">
              <w:rPr>
                <w:lang w:val="de-DE"/>
              </w:rPr>
              <w:t>‚</w:t>
            </w:r>
            <w:r w:rsidRPr="004B1F8F">
              <w:rPr>
                <w:lang w:val="de-DE"/>
              </w:rPr>
              <w:t>Sedge</w:t>
            </w:r>
            <w:r w:rsidR="00B23FF3" w:rsidRPr="004B1F8F">
              <w:rPr>
                <w:lang w:val="de-DE"/>
              </w:rPr>
              <w:t>‘</w:t>
            </w:r>
            <w:r w:rsidRPr="004B1F8F">
              <w:rPr>
                <w:lang w:val="de-DE"/>
              </w:rPr>
              <w:t xml:space="preserve">. Darauf könnte möglicherweise als </w:t>
            </w:r>
            <w:r w:rsidR="00B23FF3" w:rsidRPr="004B1F8F">
              <w:rPr>
                <w:lang w:val="de-DE"/>
              </w:rPr>
              <w:t>‚</w:t>
            </w:r>
            <w:r w:rsidRPr="004B1F8F">
              <w:rPr>
                <w:lang w:val="de-DE"/>
              </w:rPr>
              <w:t>Sedge</w:t>
            </w:r>
            <w:r w:rsidR="00B23FF3" w:rsidRPr="004B1F8F">
              <w:rPr>
                <w:lang w:val="de-DE"/>
              </w:rPr>
              <w:t>‘</w:t>
            </w:r>
            <w:r w:rsidRPr="004B1F8F">
              <w:rPr>
                <w:lang w:val="de-DE"/>
              </w:rPr>
              <w:t xml:space="preserve"> Carex Bezug genommen werden, und ohne Verwendung von Kursivdruck oder einfachen Anführungszeichen könnte unklar sein, welches die Sortenbezeichnung bzw. der Gattungsname ist.</w:t>
            </w:r>
          </w:p>
          <w:p w:rsidR="00357F8D" w:rsidRPr="004B1F8F" w:rsidRDefault="00357F8D" w:rsidP="002A4A72">
            <w:pPr>
              <w:rPr>
                <w:lang w:val="de-DE"/>
              </w:rPr>
            </w:pPr>
          </w:p>
          <w:p w:rsidR="00357F8D" w:rsidRPr="004B1F8F" w:rsidRDefault="00357F8D" w:rsidP="002A4A72">
            <w:pPr>
              <w:rPr>
                <w:lang w:val="de-DE"/>
              </w:rPr>
            </w:pPr>
            <w:r w:rsidRPr="004B1F8F">
              <w:rPr>
                <w:lang w:val="de-DE"/>
              </w:rPr>
              <w:t xml:space="preserve">Es ist Anleitung zu einer möglichen Verwechslungsgefahr bezüglich des botanischen oder landesüblichen Namens einer Gattung, zu der die Sorte </w:t>
            </w:r>
            <w:r w:rsidRPr="004B1F8F">
              <w:rPr>
                <w:u w:val="single"/>
                <w:lang w:val="de-DE"/>
              </w:rPr>
              <w:t>nicht</w:t>
            </w:r>
            <w:r w:rsidRPr="004B1F8F">
              <w:rPr>
                <w:lang w:val="de-DE"/>
              </w:rPr>
              <w:t xml:space="preserve"> gehört, zu erarbeiten – von Fall zu Fall.</w:t>
            </w:r>
          </w:p>
        </w:tc>
      </w:tr>
      <w:tr w:rsidR="00357F8D" w:rsidRPr="004B1F8F" w:rsidTr="00666088">
        <w:trPr>
          <w:cantSplit/>
        </w:trPr>
        <w:tc>
          <w:tcPr>
            <w:tcW w:w="1391" w:type="dxa"/>
          </w:tcPr>
          <w:p w:rsidR="00357F8D" w:rsidRPr="004B1F8F" w:rsidRDefault="00357F8D" w:rsidP="00666088">
            <w:pPr>
              <w:rPr>
                <w:lang w:val="de-DE"/>
              </w:rPr>
            </w:pPr>
            <w:r w:rsidRPr="004B1F8F">
              <w:rPr>
                <w:lang w:val="de-DE"/>
              </w:rPr>
              <w:t>2.3.3</w:t>
            </w:r>
          </w:p>
        </w:tc>
        <w:tc>
          <w:tcPr>
            <w:tcW w:w="7789" w:type="dxa"/>
          </w:tcPr>
          <w:p w:rsidR="00357F8D" w:rsidRPr="004B1F8F" w:rsidRDefault="00357F8D" w:rsidP="00357F8D">
            <w:pPr>
              <w:rPr>
                <w:rFonts w:cs="Arial"/>
                <w:lang w:val="de-DE"/>
              </w:rPr>
            </w:pPr>
            <w:r w:rsidRPr="004B1F8F">
              <w:rPr>
                <w:snapToGrid w:val="0"/>
                <w:lang w:val="de-DE"/>
              </w:rPr>
              <w:t>Die Vorschläge in 2.3.3 von Dokument UPOV/INF/12/5 Draft 2 sind als erster Schritt zur Ausarbeitung weiterer Anleitung und zweckmäßiger Beispiele in Verbindung mit der Entwicklung eines effektiven UPOV-Suchinstruments für Ähnlichkeiten zu prüfen.</w:t>
            </w:r>
          </w:p>
        </w:tc>
      </w:tr>
      <w:tr w:rsidR="00357F8D" w:rsidRPr="004B1F8F" w:rsidTr="00666088">
        <w:trPr>
          <w:cantSplit/>
        </w:trPr>
        <w:tc>
          <w:tcPr>
            <w:tcW w:w="1391" w:type="dxa"/>
          </w:tcPr>
          <w:p w:rsidR="00357F8D" w:rsidRPr="004B1F8F" w:rsidRDefault="00357F8D" w:rsidP="00357F8D">
            <w:pPr>
              <w:rPr>
                <w:lang w:val="de-DE"/>
              </w:rPr>
            </w:pPr>
            <w:r w:rsidRPr="004B1F8F">
              <w:rPr>
                <w:lang w:val="de-DE"/>
              </w:rPr>
              <w:t>4 a)</w:t>
            </w:r>
          </w:p>
        </w:tc>
        <w:tc>
          <w:tcPr>
            <w:tcW w:w="7789" w:type="dxa"/>
          </w:tcPr>
          <w:p w:rsidR="00357F8D" w:rsidRPr="004B1F8F" w:rsidRDefault="00357F8D" w:rsidP="002A4A72">
            <w:pPr>
              <w:rPr>
                <w:snapToGrid w:val="0"/>
                <w:lang w:val="de-DE"/>
              </w:rPr>
            </w:pPr>
            <w:r w:rsidRPr="004B1F8F">
              <w:rPr>
                <w:snapToGrid w:val="0"/>
                <w:lang w:val="de-DE"/>
              </w:rPr>
              <w:t>4 a) ist wie folgt zu ändern:</w:t>
            </w:r>
          </w:p>
          <w:p w:rsidR="00357F8D" w:rsidRPr="004B1F8F" w:rsidRDefault="00357F8D" w:rsidP="002A4A72">
            <w:pPr>
              <w:keepNext/>
              <w:ind w:firstLine="567"/>
              <w:rPr>
                <w:rFonts w:cs="Arial"/>
                <w:lang w:val="de-DE" w:eastAsia="ja-JP"/>
              </w:rPr>
            </w:pPr>
          </w:p>
          <w:p w:rsidR="00357F8D" w:rsidRPr="004B1F8F" w:rsidRDefault="00357F8D" w:rsidP="002A4A72">
            <w:pPr>
              <w:ind w:firstLine="567"/>
              <w:rPr>
                <w:lang w:val="de-DE"/>
              </w:rPr>
            </w:pPr>
            <w:r w:rsidRPr="004B1F8F">
              <w:rPr>
                <w:lang w:val="de-DE"/>
              </w:rPr>
              <w:t>„a)</w:t>
            </w:r>
            <w:r w:rsidRPr="004B1F8F">
              <w:rPr>
                <w:lang w:val="de-DE"/>
              </w:rPr>
              <w:tab/>
              <w:t>Eine Behörde sollte eine Sortenbezeichnung nicht akzeptieren, wenn ein älteres Recht vorliegt, dessen Ausübung der Benutzung der vorgeschlagenen Sortenbezeichnung entgegenstehen könnte.</w:t>
            </w:r>
            <w:r w:rsidRPr="004B1F8F">
              <w:rPr>
                <w:strike/>
                <w:lang w:val="de-DE"/>
              </w:rPr>
              <w:t>bereits einem Dritten nach den Züchterrechtsvorschriften, dem Markenrecht oder anderen Rechtsvorschriften über geistiges Eigentum erteilt wurde.</w:t>
            </w:r>
            <w:r w:rsidRPr="004B1F8F">
              <w:rPr>
                <w:lang w:val="de-DE"/>
              </w:rPr>
              <w:t xml:space="preserve"> Es obliegt dem Inhaber eines älteren Rechts, seine Rechte mittels der verfügbaren Einwendungs- oder Gerichtsverfahren geltend zu machen. Die Behörden werden jedoch dazu angehalten, in entsprechenden Veröffentlichungen (z. B. Amtsblättern) und Datenbanken (z. B. UPOV-Datenbank für Pflanzensorten (PLUTO) </w:t>
            </w:r>
            <w:hyperlink r:id="rId10" w:history="1">
              <w:r w:rsidRPr="004B1F8F">
                <w:rPr>
                  <w:rStyle w:val="Hyperlink"/>
                  <w:lang w:val="de-DE"/>
                </w:rPr>
                <w:t>http://www.upov.int/pluto/de/</w:t>
              </w:r>
            </w:hyperlink>
            <w:r w:rsidRPr="004B1F8F">
              <w:rPr>
                <w:lang w:val="de-DE"/>
              </w:rPr>
              <w:t>) vorherige Nachforschungen anzustellen, um ältere Rechte an Sortenbezeichnungen zu ermitteln. Sie können auch in anderen Registern wie Handelsmarkenregistern suchen, bevor sie eine Sortenbezeichnung akzeptieren.“</w:t>
            </w:r>
          </w:p>
        </w:tc>
      </w:tr>
      <w:tr w:rsidR="00357F8D" w:rsidRPr="004B1F8F" w:rsidTr="00666088">
        <w:trPr>
          <w:cantSplit/>
        </w:trPr>
        <w:tc>
          <w:tcPr>
            <w:tcW w:w="1391" w:type="dxa"/>
          </w:tcPr>
          <w:p w:rsidR="00357F8D" w:rsidRPr="004B1F8F" w:rsidRDefault="00357F8D" w:rsidP="00357F8D">
            <w:pPr>
              <w:rPr>
                <w:lang w:val="de-DE"/>
              </w:rPr>
            </w:pPr>
            <w:r w:rsidRPr="004B1F8F">
              <w:rPr>
                <w:lang w:val="de-DE"/>
              </w:rPr>
              <w:t>4 e) i)</w:t>
            </w:r>
          </w:p>
        </w:tc>
        <w:tc>
          <w:tcPr>
            <w:tcW w:w="7789" w:type="dxa"/>
          </w:tcPr>
          <w:p w:rsidR="00357F8D" w:rsidRPr="004B1F8F" w:rsidRDefault="00357F8D" w:rsidP="002A4A72">
            <w:pPr>
              <w:rPr>
                <w:snapToGrid w:val="0"/>
                <w:lang w:val="de-DE"/>
              </w:rPr>
            </w:pPr>
            <w:r w:rsidRPr="004B1F8F">
              <w:rPr>
                <w:snapToGrid w:val="0"/>
                <w:lang w:val="de-DE"/>
              </w:rPr>
              <w:t>Der letzte Satz von 4 e) i) ist wie folgt zu ändern:</w:t>
            </w:r>
          </w:p>
          <w:p w:rsidR="00357F8D" w:rsidRPr="004B1F8F" w:rsidRDefault="00357F8D" w:rsidP="002A4A72">
            <w:pPr>
              <w:keepNext/>
              <w:ind w:firstLine="567"/>
              <w:rPr>
                <w:rFonts w:cs="Arial"/>
                <w:lang w:val="de-DE" w:eastAsia="ja-JP"/>
              </w:rPr>
            </w:pPr>
          </w:p>
          <w:p w:rsidR="00357F8D" w:rsidRPr="004B1F8F" w:rsidRDefault="00357F8D" w:rsidP="00357F8D">
            <w:pPr>
              <w:tabs>
                <w:tab w:val="right" w:pos="1134"/>
                <w:tab w:val="left" w:pos="1418"/>
              </w:tabs>
              <w:rPr>
                <w:lang w:val="de-DE"/>
              </w:rPr>
            </w:pPr>
            <w:r w:rsidRPr="004B1F8F">
              <w:rPr>
                <w:lang w:val="de-DE"/>
              </w:rPr>
              <w:t>„In Fällen bloßer Ähnlichkeit oder einer geringen Wahrscheinlichkeit</w:t>
            </w:r>
            <w:r w:rsidRPr="004B1F8F">
              <w:rPr>
                <w:strike/>
                <w:lang w:val="de-DE"/>
              </w:rPr>
              <w:t xml:space="preserve">, </w:t>
            </w:r>
            <w:r w:rsidR="00C91AEB" w:rsidRPr="004B1F8F">
              <w:rPr>
                <w:strike/>
                <w:lang w:val="de-DE"/>
              </w:rPr>
              <w:t>daß</w:t>
            </w:r>
            <w:r w:rsidRPr="004B1F8F">
              <w:rPr>
                <w:strike/>
                <w:lang w:val="de-DE"/>
              </w:rPr>
              <w:t xml:space="preserve"> sie</w:t>
            </w:r>
            <w:r w:rsidRPr="004B1F8F">
              <w:rPr>
                <w:lang w:val="de-DE"/>
              </w:rPr>
              <w:t xml:space="preserve"> </w:t>
            </w:r>
            <w:r w:rsidRPr="004B1F8F">
              <w:rPr>
                <w:strike/>
                <w:lang w:val="de-DE"/>
              </w:rPr>
              <w:t>von den Benutzern in Zusammenhang gebracht werden</w:t>
            </w:r>
            <w:r w:rsidRPr="004B1F8F">
              <w:rPr>
                <w:lang w:val="de-DE"/>
              </w:rPr>
              <w:t xml:space="preserve"> der Verwechslung durch Benutzer könnte ein Verzicht auf Einwendungen durch die Rechtsinhaber einer Handelsmarke zugunsten der Züchter eine geeignete Lösung sein.“</w:t>
            </w:r>
          </w:p>
        </w:tc>
      </w:tr>
    </w:tbl>
    <w:p w:rsidR="00DD0DF1" w:rsidRPr="004B1F8F" w:rsidRDefault="00DD0DF1" w:rsidP="00B35889">
      <w:pPr>
        <w:rPr>
          <w:lang w:val="de-DE" w:eastAsia="ja-JP"/>
        </w:rPr>
      </w:pPr>
    </w:p>
    <w:p w:rsidR="00B35889" w:rsidRPr="004B1F8F" w:rsidRDefault="007B3011" w:rsidP="00B35889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357F8D" w:rsidRPr="004B1F8F">
        <w:rPr>
          <w:lang w:val="de-DE"/>
        </w:rPr>
        <w:t>Der CAJ vereinbarte, die Vorschläge der CAJ-AG gemäß den Abschnitten 2.2.2 c), 4 a) und 4 e) i), wie in Dokument CAJ/71/3, Absatz 28, dargelegt, auf seiner zweiundsiebzigsten Tagung zu prüfen</w:t>
      </w:r>
      <w:r w:rsidR="00357F8D" w:rsidRPr="004B1F8F">
        <w:rPr>
          <w:lang w:val="de-DE" w:eastAsia="ja-JP"/>
        </w:rPr>
        <w:t xml:space="preserve"> </w:t>
      </w:r>
      <w:r w:rsidR="00B35889" w:rsidRPr="004B1F8F">
        <w:rPr>
          <w:lang w:val="de-DE" w:eastAsia="ja-JP"/>
        </w:rPr>
        <w:t>(</w:t>
      </w:r>
      <w:r w:rsidR="008C7675" w:rsidRPr="004B1F8F">
        <w:rPr>
          <w:lang w:val="de-DE" w:eastAsia="ja-JP"/>
        </w:rPr>
        <w:t>vergleiche Dokument</w:t>
      </w:r>
      <w:r w:rsidR="00B35889" w:rsidRPr="004B1F8F">
        <w:rPr>
          <w:lang w:val="de-DE" w:eastAsia="ja-JP"/>
        </w:rPr>
        <w:t xml:space="preserve"> CAJ/71/10</w:t>
      </w:r>
      <w:r w:rsidR="000C7DC8">
        <w:rPr>
          <w:lang w:val="de-DE" w:eastAsia="ja-JP"/>
        </w:rPr>
        <w:t xml:space="preserve"> „</w:t>
      </w:r>
      <w:r w:rsidR="00B23FF3" w:rsidRPr="004B1F8F">
        <w:rPr>
          <w:lang w:val="de-DE" w:eastAsia="ja-JP"/>
        </w:rPr>
        <w:t xml:space="preserve">Bericht über die Entschließungen“, </w:t>
      </w:r>
      <w:r w:rsidR="008C7675" w:rsidRPr="004B1F8F">
        <w:rPr>
          <w:lang w:val="de-DE" w:eastAsia="ja-JP"/>
        </w:rPr>
        <w:t>Absatz</w:t>
      </w:r>
      <w:r w:rsidR="00B35889" w:rsidRPr="004B1F8F">
        <w:rPr>
          <w:lang w:val="de-DE" w:eastAsia="ja-JP"/>
        </w:rPr>
        <w:t xml:space="preserve"> 37).</w:t>
      </w:r>
    </w:p>
    <w:p w:rsidR="00D0753E" w:rsidRPr="004B1F8F" w:rsidRDefault="00D0753E" w:rsidP="00B35889">
      <w:pPr>
        <w:rPr>
          <w:lang w:val="de-DE" w:eastAsia="ja-JP"/>
        </w:rPr>
      </w:pPr>
    </w:p>
    <w:p w:rsidR="00781D3C" w:rsidRPr="004B1F8F" w:rsidRDefault="001629E2" w:rsidP="00781D3C">
      <w:pPr>
        <w:pStyle w:val="Heading2"/>
        <w:rPr>
          <w:rFonts w:cs="Arial"/>
          <w:lang w:val="de-DE"/>
        </w:rPr>
      </w:pPr>
      <w:bookmarkStart w:id="17" w:name="_Toc442429789"/>
      <w:bookmarkStart w:id="18" w:name="_Toc443497713"/>
      <w:r w:rsidRPr="004B1F8F">
        <w:rPr>
          <w:lang w:val="de-DE"/>
        </w:rPr>
        <w:t xml:space="preserve">Referat </w:t>
      </w:r>
      <w:r w:rsidR="00AB71CF" w:rsidRPr="004B1F8F">
        <w:rPr>
          <w:lang w:val="de-DE"/>
        </w:rPr>
        <w:t>Argentiniens</w:t>
      </w:r>
      <w:bookmarkEnd w:id="17"/>
      <w:bookmarkEnd w:id="18"/>
    </w:p>
    <w:p w:rsidR="00781D3C" w:rsidRPr="004B1F8F" w:rsidRDefault="00781D3C" w:rsidP="00377FF4">
      <w:pPr>
        <w:keepNext/>
        <w:rPr>
          <w:rFonts w:cs="Arial"/>
          <w:snapToGrid w:val="0"/>
          <w:lang w:val="de-DE" w:eastAsia="ja-JP"/>
        </w:rPr>
      </w:pPr>
    </w:p>
    <w:p w:rsidR="00B35889" w:rsidRPr="004B1F8F" w:rsidRDefault="007B3011" w:rsidP="00B35889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1629E2" w:rsidRPr="004B1F8F">
        <w:rPr>
          <w:lang w:val="de-DE"/>
        </w:rPr>
        <w:t>Der</w:t>
      </w:r>
      <w:r w:rsidR="00B35889" w:rsidRPr="004B1F8F">
        <w:rPr>
          <w:lang w:val="de-DE" w:eastAsia="ja-JP"/>
        </w:rPr>
        <w:t xml:space="preserve"> TC</w:t>
      </w:r>
      <w:r w:rsidR="001629E2" w:rsidRPr="004B1F8F">
        <w:rPr>
          <w:lang w:val="de-DE" w:eastAsia="ja-JP"/>
        </w:rPr>
        <w:t xml:space="preserve"> nahm auf seiner einundfünfzigsten Tagung und der CAJ auf seiner einundsiebzigsten Tagung zur Kenntnis, </w:t>
      </w:r>
      <w:r w:rsidR="00AB71CF" w:rsidRPr="004B1F8F">
        <w:rPr>
          <w:lang w:val="de-DE" w:eastAsia="ja-JP"/>
        </w:rPr>
        <w:t>daß</w:t>
      </w:r>
      <w:r w:rsidR="00B35889" w:rsidRPr="004B1F8F">
        <w:rPr>
          <w:lang w:val="de-DE" w:eastAsia="ja-JP"/>
        </w:rPr>
        <w:t xml:space="preserve"> </w:t>
      </w:r>
      <w:r w:rsidR="001629E2" w:rsidRPr="004B1F8F">
        <w:rPr>
          <w:lang w:val="de-DE"/>
        </w:rPr>
        <w:t xml:space="preserve">die Delegation Argentiniens eine Studie über Sortenbezeichnungen </w:t>
      </w:r>
      <w:r w:rsidR="00AB71CF" w:rsidRPr="004B1F8F">
        <w:rPr>
          <w:lang w:val="de-DE"/>
        </w:rPr>
        <w:t>durchführe</w:t>
      </w:r>
      <w:r w:rsidR="001629E2" w:rsidRPr="004B1F8F">
        <w:rPr>
          <w:lang w:val="de-DE"/>
        </w:rPr>
        <w:t>, die dem CAJ auf seiner zweiundsiebzigsten Tagung vom 26. und 27. Oktober 2015 vorgelegt werden würde</w:t>
      </w:r>
      <w:r w:rsidR="001629E2" w:rsidRPr="004B1F8F">
        <w:rPr>
          <w:lang w:val="de-DE" w:eastAsia="ja-JP"/>
        </w:rPr>
        <w:t xml:space="preserve"> </w:t>
      </w:r>
      <w:r w:rsidR="00B35889" w:rsidRPr="004B1F8F">
        <w:rPr>
          <w:lang w:val="de-DE" w:eastAsia="ja-JP"/>
        </w:rPr>
        <w:t>(</w:t>
      </w:r>
      <w:r w:rsidR="008C7675" w:rsidRPr="004B1F8F">
        <w:rPr>
          <w:lang w:val="de-DE" w:eastAsia="ja-JP"/>
        </w:rPr>
        <w:t>vergleiche die Dokumente</w:t>
      </w:r>
      <w:r w:rsidR="00B35889" w:rsidRPr="004B1F8F">
        <w:rPr>
          <w:lang w:val="de-DE" w:eastAsia="ja-JP"/>
        </w:rPr>
        <w:t xml:space="preserve"> TC/51/39</w:t>
      </w:r>
      <w:r w:rsidR="000C7DC8">
        <w:rPr>
          <w:lang w:val="de-DE" w:eastAsia="ja-JP"/>
        </w:rPr>
        <w:t xml:space="preserve"> „</w:t>
      </w:r>
      <w:r w:rsidR="001629E2" w:rsidRPr="004B1F8F">
        <w:rPr>
          <w:lang w:val="de-DE" w:eastAsia="ja-JP"/>
        </w:rPr>
        <w:t>Bericht</w:t>
      </w:r>
      <w:r w:rsidR="00B23FF3" w:rsidRPr="004B1F8F">
        <w:rPr>
          <w:lang w:val="de-DE" w:eastAsia="ja-JP"/>
        </w:rPr>
        <w:t>“</w:t>
      </w:r>
      <w:r w:rsidR="00B35889" w:rsidRPr="004B1F8F">
        <w:rPr>
          <w:lang w:val="de-DE" w:eastAsia="ja-JP"/>
        </w:rPr>
        <w:t xml:space="preserve">, </w:t>
      </w:r>
      <w:r w:rsidR="008C7675" w:rsidRPr="004B1F8F">
        <w:rPr>
          <w:lang w:val="de-DE" w:eastAsia="ja-JP"/>
        </w:rPr>
        <w:t>Absatz</w:t>
      </w:r>
      <w:r w:rsidR="00B35889" w:rsidRPr="004B1F8F">
        <w:rPr>
          <w:lang w:val="de-DE" w:eastAsia="ja-JP"/>
        </w:rPr>
        <w:t xml:space="preserve"> 187</w:t>
      </w:r>
      <w:r w:rsidR="001629E2" w:rsidRPr="004B1F8F">
        <w:rPr>
          <w:lang w:val="de-DE" w:eastAsia="ja-JP"/>
        </w:rPr>
        <w:t>,</w:t>
      </w:r>
      <w:r w:rsidR="00B35889" w:rsidRPr="004B1F8F">
        <w:rPr>
          <w:lang w:val="de-DE" w:eastAsia="ja-JP"/>
        </w:rPr>
        <w:t xml:space="preserve"> </w:t>
      </w:r>
      <w:r w:rsidR="001629E2" w:rsidRPr="004B1F8F">
        <w:rPr>
          <w:lang w:val="de-DE" w:eastAsia="ja-JP"/>
        </w:rPr>
        <w:t>u</w:t>
      </w:r>
      <w:r w:rsidR="00B35889" w:rsidRPr="004B1F8F">
        <w:rPr>
          <w:lang w:val="de-DE" w:eastAsia="ja-JP"/>
        </w:rPr>
        <w:t>nd CAJ/71/10</w:t>
      </w:r>
      <w:r w:rsidR="000C7DC8">
        <w:rPr>
          <w:lang w:val="de-DE" w:eastAsia="ja-JP"/>
        </w:rPr>
        <w:t xml:space="preserve"> „</w:t>
      </w:r>
      <w:r w:rsidR="00B23FF3" w:rsidRPr="004B1F8F">
        <w:rPr>
          <w:lang w:val="de-DE" w:eastAsia="ja-JP"/>
        </w:rPr>
        <w:t xml:space="preserve">Bericht über die Entschließungen“, </w:t>
      </w:r>
      <w:r w:rsidR="008C7675" w:rsidRPr="004B1F8F">
        <w:rPr>
          <w:lang w:val="de-DE" w:eastAsia="ja-JP"/>
        </w:rPr>
        <w:t>Absatz</w:t>
      </w:r>
      <w:r w:rsidR="00B35889" w:rsidRPr="004B1F8F">
        <w:rPr>
          <w:lang w:val="de-DE" w:eastAsia="ja-JP"/>
        </w:rPr>
        <w:t xml:space="preserve"> 38).</w:t>
      </w:r>
    </w:p>
    <w:p w:rsidR="00904AC6" w:rsidRPr="004B1F8F" w:rsidRDefault="00904AC6" w:rsidP="00B35889">
      <w:pPr>
        <w:rPr>
          <w:lang w:val="de-DE" w:eastAsia="ja-JP"/>
        </w:rPr>
      </w:pPr>
    </w:p>
    <w:p w:rsidR="00B35889" w:rsidRPr="004B1F8F" w:rsidRDefault="007B3011" w:rsidP="00B35889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B23FF3" w:rsidRPr="004B1F8F">
        <w:rPr>
          <w:lang w:val="de-DE"/>
        </w:rPr>
        <w:t>D</w:t>
      </w:r>
      <w:r w:rsidR="001629E2" w:rsidRPr="004B1F8F">
        <w:rPr>
          <w:lang w:val="de-DE"/>
        </w:rPr>
        <w:t>er</w:t>
      </w:r>
      <w:r w:rsidR="00B35889" w:rsidRPr="004B1F8F">
        <w:rPr>
          <w:lang w:val="de-DE" w:eastAsia="ja-JP"/>
        </w:rPr>
        <w:t xml:space="preserve"> CAJ</w:t>
      </w:r>
      <w:r w:rsidR="001629E2" w:rsidRPr="004B1F8F">
        <w:rPr>
          <w:lang w:val="de-DE" w:eastAsia="ja-JP"/>
        </w:rPr>
        <w:t xml:space="preserve"> nahm auf seiner zweiundsiebzigsten Tagung </w:t>
      </w:r>
      <w:r w:rsidR="001629E2" w:rsidRPr="004B1F8F">
        <w:rPr>
          <w:lang w:val="de-DE"/>
        </w:rPr>
        <w:t>das Referat Argentiniens über Sortenbezeichnungen zur Kenntnis, von dem eine Kopie in einer Ergänzung zu Dokument CAJ/72/3</w:t>
      </w:r>
      <w:r w:rsidR="000C7DC8">
        <w:rPr>
          <w:lang w:val="de-DE"/>
        </w:rPr>
        <w:t xml:space="preserve"> „</w:t>
      </w:r>
      <w:r w:rsidR="001629E2" w:rsidRPr="004B1F8F">
        <w:rPr>
          <w:lang w:val="de-DE"/>
        </w:rPr>
        <w:t>Sortenbezeichnungen“, bereitgestellt w</w:t>
      </w:r>
      <w:r w:rsidR="00B23FF3" w:rsidRPr="004B1F8F">
        <w:rPr>
          <w:lang w:val="de-DE"/>
        </w:rPr>
        <w:t>u</w:t>
      </w:r>
      <w:r w:rsidR="001629E2" w:rsidRPr="004B1F8F">
        <w:rPr>
          <w:lang w:val="de-DE"/>
        </w:rPr>
        <w:t xml:space="preserve">rde </w:t>
      </w:r>
      <w:r w:rsidR="00B35889" w:rsidRPr="004B1F8F">
        <w:rPr>
          <w:lang w:val="de-DE" w:eastAsia="ja-JP"/>
        </w:rPr>
        <w:t>(</w:t>
      </w:r>
      <w:r w:rsidR="008C7675" w:rsidRPr="004B1F8F">
        <w:rPr>
          <w:lang w:val="de-DE" w:eastAsia="ja-JP"/>
        </w:rPr>
        <w:t>vergleiche Dokument</w:t>
      </w:r>
      <w:r w:rsidR="00B35889" w:rsidRPr="004B1F8F">
        <w:rPr>
          <w:lang w:val="de-DE" w:eastAsia="ja-JP"/>
        </w:rPr>
        <w:t xml:space="preserve"> CAJ/72/9</w:t>
      </w:r>
      <w:r w:rsidR="000C7DC8">
        <w:rPr>
          <w:lang w:val="de-DE" w:eastAsia="ja-JP"/>
        </w:rPr>
        <w:t xml:space="preserve"> „</w:t>
      </w:r>
      <w:r w:rsidR="008C7675" w:rsidRPr="004B1F8F">
        <w:rPr>
          <w:lang w:val="de-DE" w:eastAsia="ja-JP"/>
        </w:rPr>
        <w:t>Bericht über die Entschließungen</w:t>
      </w:r>
      <w:r w:rsidR="001629E2" w:rsidRPr="004B1F8F">
        <w:rPr>
          <w:lang w:val="de-DE" w:eastAsia="ja-JP"/>
        </w:rPr>
        <w:t>“</w:t>
      </w:r>
      <w:r w:rsidR="00B35889" w:rsidRPr="004B1F8F">
        <w:rPr>
          <w:lang w:val="de-DE" w:eastAsia="ja-JP"/>
        </w:rPr>
        <w:t xml:space="preserve">, </w:t>
      </w:r>
      <w:r w:rsidR="008C7675" w:rsidRPr="004B1F8F">
        <w:rPr>
          <w:lang w:val="de-DE" w:eastAsia="ja-JP"/>
        </w:rPr>
        <w:t>Absatz</w:t>
      </w:r>
      <w:r w:rsidR="00B35889" w:rsidRPr="004B1F8F">
        <w:rPr>
          <w:lang w:val="de-DE" w:eastAsia="ja-JP"/>
        </w:rPr>
        <w:t xml:space="preserve"> 20).</w:t>
      </w:r>
    </w:p>
    <w:p w:rsidR="00D0753E" w:rsidRPr="004B1F8F" w:rsidRDefault="00D0753E" w:rsidP="00CD5FCA">
      <w:pPr>
        <w:rPr>
          <w:rFonts w:cs="Arial"/>
          <w:snapToGrid w:val="0"/>
          <w:lang w:val="de-DE" w:eastAsia="ja-JP"/>
        </w:rPr>
      </w:pPr>
    </w:p>
    <w:p w:rsidR="00781D3C" w:rsidRPr="004B1F8F" w:rsidRDefault="00781D3C" w:rsidP="00781D3C">
      <w:pPr>
        <w:pStyle w:val="Heading2"/>
        <w:rPr>
          <w:lang w:val="de-DE"/>
        </w:rPr>
      </w:pPr>
      <w:bookmarkStart w:id="19" w:name="_Toc442429790"/>
      <w:bookmarkStart w:id="20" w:name="_Toc443497714"/>
      <w:r w:rsidRPr="004B1F8F">
        <w:rPr>
          <w:lang w:val="de-DE"/>
        </w:rPr>
        <w:t>N</w:t>
      </w:r>
      <w:r w:rsidR="001629E2" w:rsidRPr="004B1F8F">
        <w:rPr>
          <w:lang w:val="de-DE"/>
        </w:rPr>
        <w:t>ächste Schritte</w:t>
      </w:r>
      <w:bookmarkEnd w:id="19"/>
      <w:bookmarkEnd w:id="20"/>
    </w:p>
    <w:p w:rsidR="00781D3C" w:rsidRPr="004B1F8F" w:rsidRDefault="00781D3C" w:rsidP="00B35889">
      <w:pPr>
        <w:keepNext/>
        <w:rPr>
          <w:rFonts w:cs="Arial"/>
          <w:snapToGrid w:val="0"/>
          <w:lang w:val="de-DE" w:eastAsia="ja-JP"/>
        </w:rPr>
      </w:pPr>
    </w:p>
    <w:p w:rsidR="00E1329C" w:rsidRPr="004B1F8F" w:rsidRDefault="007B3011" w:rsidP="00E1329C">
      <w:pPr>
        <w:rPr>
          <w:lang w:val="de-DE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E1329C" w:rsidRPr="004B1F8F">
        <w:rPr>
          <w:lang w:val="de-DE"/>
        </w:rPr>
        <w:t xml:space="preserve">Der CAJ vereinbarte auf seiner zweiundsiebzigsten Tagung folgende Schritte für die Überarbeitung der „Erläuterungen zu Sortenbezeichnungen nach dem UPOV-Übereinkommen“ </w:t>
      </w:r>
      <w:r w:rsidR="00E1329C" w:rsidRPr="004B1F8F">
        <w:rPr>
          <w:lang w:val="de-DE" w:eastAsia="ja-JP"/>
        </w:rPr>
        <w:t>(vergleiche Dokument CAJ/72/9</w:t>
      </w:r>
      <w:r w:rsidR="000C7DC8">
        <w:rPr>
          <w:lang w:val="de-DE" w:eastAsia="ja-JP"/>
        </w:rPr>
        <w:t xml:space="preserve"> „</w:t>
      </w:r>
      <w:r w:rsidR="00E1329C" w:rsidRPr="004B1F8F">
        <w:rPr>
          <w:lang w:val="de-DE" w:eastAsia="ja-JP"/>
        </w:rPr>
        <w:t>Bericht über die Entschließungen“, Absatz 23)</w:t>
      </w:r>
      <w:r w:rsidR="00E1329C" w:rsidRPr="004B1F8F">
        <w:rPr>
          <w:lang w:val="de-DE"/>
        </w:rPr>
        <w:t>:</w:t>
      </w:r>
    </w:p>
    <w:p w:rsidR="00E1329C" w:rsidRPr="004B1F8F" w:rsidRDefault="00E1329C" w:rsidP="00E1329C">
      <w:pPr>
        <w:rPr>
          <w:lang w:val="de-DE"/>
        </w:rPr>
      </w:pPr>
    </w:p>
    <w:p w:rsidR="00E1329C" w:rsidRPr="004B1F8F" w:rsidRDefault="00E1329C" w:rsidP="00170A37">
      <w:pPr>
        <w:ind w:left="567" w:right="567"/>
        <w:rPr>
          <w:lang w:val="de-DE"/>
        </w:rPr>
      </w:pPr>
      <w:r w:rsidRPr="004B1F8F">
        <w:rPr>
          <w:lang w:val="de-DE"/>
        </w:rPr>
        <w:t>a)</w:t>
      </w:r>
      <w:r w:rsidRPr="004B1F8F">
        <w:rPr>
          <w:lang w:val="de-DE"/>
        </w:rPr>
        <w:tab/>
        <w:t>das Mandat und die Zusammensetzung der Arbeitsgruppe für die Entwicklung eines UPOV</w:t>
      </w:r>
      <w:r w:rsidRPr="004B1F8F">
        <w:rPr>
          <w:lang w:val="de-DE"/>
        </w:rPr>
        <w:noBreakHyphen/>
        <w:t>Suchinstruments für Ähnlichkeiten zum Zweck der Sortenbezeichnung (WG-DST) zu erweitern, um Empfehlungen für den CAJ betreffend die Überarbeitung von Dokument UPOV/INF/12</w:t>
      </w:r>
      <w:r w:rsidR="000C7DC8">
        <w:rPr>
          <w:lang w:val="de-DE"/>
        </w:rPr>
        <w:t xml:space="preserve"> „</w:t>
      </w:r>
      <w:r w:rsidRPr="004B1F8F">
        <w:rPr>
          <w:lang w:val="de-DE"/>
        </w:rPr>
        <w:t>Erläuterungen zu Sortenbezeichnungen nach dem UPOV-Übereinkommen“, auszuarbeiten (Arbeitsgruppe für Sortenbezeichnungen (WG-DEN));</w:t>
      </w:r>
    </w:p>
    <w:p w:rsidR="00E1329C" w:rsidRPr="004B1F8F" w:rsidRDefault="00E1329C" w:rsidP="00170A37">
      <w:pPr>
        <w:ind w:left="567" w:right="567"/>
        <w:rPr>
          <w:lang w:val="de-DE"/>
        </w:rPr>
      </w:pPr>
    </w:p>
    <w:p w:rsidR="00E1329C" w:rsidRPr="004B1F8F" w:rsidRDefault="00E1329C" w:rsidP="00170A37">
      <w:pPr>
        <w:ind w:left="567" w:right="567"/>
        <w:rPr>
          <w:lang w:val="de-DE"/>
        </w:rPr>
      </w:pPr>
      <w:r w:rsidRPr="004B1F8F">
        <w:rPr>
          <w:lang w:val="de-DE"/>
        </w:rPr>
        <w:t>b)</w:t>
      </w:r>
      <w:r w:rsidRPr="004B1F8F">
        <w:rPr>
          <w:lang w:val="de-DE"/>
        </w:rPr>
        <w:tab/>
        <w:t xml:space="preserve">das Verbandsbüro soll ein Rundschreiben mit der Bitte an CAJ-Mitglieder und </w:t>
      </w:r>
      <w:r w:rsidR="00252A34" w:rsidRPr="004B1F8F">
        <w:rPr>
          <w:lang w:val="de-DE"/>
        </w:rPr>
        <w:noBreakHyphen/>
      </w:r>
      <w:r w:rsidRPr="004B1F8F">
        <w:rPr>
          <w:lang w:val="de-DE"/>
        </w:rPr>
        <w:t xml:space="preserve">Beobachter, </w:t>
      </w:r>
      <w:r w:rsidR="000C7DC8" w:rsidRPr="004B1F8F">
        <w:rPr>
          <w:rFonts w:cs="Arial"/>
          <w:snapToGrid w:val="0"/>
          <w:lang w:val="de-DE" w:eastAsia="ja-JP"/>
        </w:rPr>
        <w:t>ihr Interesse an einer Teilnahme an der WG-DEN zu äußern</w:t>
      </w:r>
      <w:r w:rsidRPr="004B1F8F">
        <w:rPr>
          <w:lang w:val="de-DE"/>
        </w:rPr>
        <w:t xml:space="preserve"> und gegebenenfalls bis zum 20. Januar 2016 Vorschläge für die Überarbeitung </w:t>
      </w:r>
      <w:r w:rsidR="00170A37" w:rsidRPr="004B1F8F">
        <w:rPr>
          <w:lang w:val="de-DE"/>
        </w:rPr>
        <w:t>des</w:t>
      </w:r>
      <w:r w:rsidRPr="004B1F8F">
        <w:rPr>
          <w:lang w:val="de-DE"/>
        </w:rPr>
        <w:t xml:space="preserve"> Dokument</w:t>
      </w:r>
      <w:r w:rsidR="00170A37" w:rsidRPr="004B1F8F">
        <w:rPr>
          <w:lang w:val="de-DE"/>
        </w:rPr>
        <w:t>s</w:t>
      </w:r>
      <w:r w:rsidRPr="004B1F8F">
        <w:rPr>
          <w:lang w:val="de-DE"/>
        </w:rPr>
        <w:t xml:space="preserve"> UPOV/INF/12 zu unterbreiten, herausgeben;</w:t>
      </w:r>
    </w:p>
    <w:p w:rsidR="00E1329C" w:rsidRPr="004B1F8F" w:rsidRDefault="00E1329C" w:rsidP="00170A37">
      <w:pPr>
        <w:ind w:left="567" w:right="567"/>
        <w:rPr>
          <w:lang w:val="de-DE"/>
        </w:rPr>
      </w:pPr>
    </w:p>
    <w:p w:rsidR="00E1329C" w:rsidRPr="004B1F8F" w:rsidRDefault="00E1329C" w:rsidP="00170A37">
      <w:pPr>
        <w:ind w:left="567" w:right="567"/>
        <w:rPr>
          <w:lang w:val="de-DE"/>
        </w:rPr>
      </w:pPr>
      <w:r w:rsidRPr="004B1F8F">
        <w:rPr>
          <w:lang w:val="de-DE"/>
        </w:rPr>
        <w:t>c)</w:t>
      </w:r>
      <w:r w:rsidRPr="004B1F8F">
        <w:rPr>
          <w:lang w:val="de-DE"/>
        </w:rPr>
        <w:tab/>
        <w:t>die WG-DEN soll in der Woche der UPOV-Tagungen im März 2016 tagen;</w:t>
      </w:r>
    </w:p>
    <w:p w:rsidR="00E1329C" w:rsidRPr="004B1F8F" w:rsidRDefault="00E1329C" w:rsidP="00170A37">
      <w:pPr>
        <w:ind w:left="567" w:right="567"/>
        <w:rPr>
          <w:lang w:val="de-DE"/>
        </w:rPr>
      </w:pPr>
    </w:p>
    <w:p w:rsidR="00E1329C" w:rsidRPr="004B1F8F" w:rsidRDefault="00E1329C" w:rsidP="00170A37">
      <w:pPr>
        <w:ind w:left="567" w:right="567"/>
        <w:rPr>
          <w:lang w:val="de-DE"/>
        </w:rPr>
      </w:pPr>
      <w:r w:rsidRPr="004B1F8F">
        <w:rPr>
          <w:lang w:val="de-DE"/>
        </w:rPr>
        <w:t>d)</w:t>
      </w:r>
      <w:r w:rsidRPr="004B1F8F">
        <w:rPr>
          <w:lang w:val="de-DE"/>
        </w:rPr>
        <w:tab/>
        <w:t>die WG-DEN soll die in Antwort auf das Rundschreiben in Absatz b) oben eingegangenen Vorschläge und die Vorschläge aus den Absätzen 28 bis 37 und 41 von Dokument CAJ/72/3 in Verbindung mit der Arbeit an der Entwicklung eines wirksamen UPOV-Suchinstruments für Ähnlichkeiten aufgreifen;</w:t>
      </w:r>
    </w:p>
    <w:p w:rsidR="00E1329C" w:rsidRPr="004B1F8F" w:rsidRDefault="00E1329C" w:rsidP="00170A37">
      <w:pPr>
        <w:ind w:left="567" w:right="567"/>
        <w:rPr>
          <w:lang w:val="de-DE"/>
        </w:rPr>
      </w:pPr>
    </w:p>
    <w:p w:rsidR="00E1329C" w:rsidRPr="004B1F8F" w:rsidRDefault="00E1329C" w:rsidP="00170A37">
      <w:pPr>
        <w:ind w:left="567" w:right="567"/>
        <w:rPr>
          <w:snapToGrid w:val="0"/>
          <w:lang w:val="de-DE"/>
        </w:rPr>
      </w:pPr>
      <w:r w:rsidRPr="004B1F8F">
        <w:rPr>
          <w:lang w:val="de-DE"/>
        </w:rPr>
        <w:t>e)</w:t>
      </w:r>
      <w:r w:rsidRPr="004B1F8F">
        <w:rPr>
          <w:lang w:val="de-DE"/>
        </w:rPr>
        <w:tab/>
        <w:t>die WG-DEN soll die Vorschläge zur Erweiterung des Inhalts der PLUTO-Datenbank, damit sie alle anerkannten Sorten, einschließlich jener, die nicht erfaßt oder geschützt wurden oder nicht mehr erfaßt oder geschützt sind, umfaßt (vergleiche Dokument CAJ/72/6</w:t>
      </w:r>
      <w:r w:rsidR="000C7DC8">
        <w:rPr>
          <w:lang w:val="de-DE"/>
        </w:rPr>
        <w:t xml:space="preserve"> „</w:t>
      </w:r>
      <w:r w:rsidRPr="004B1F8F">
        <w:rPr>
          <w:lang w:val="de-DE"/>
        </w:rPr>
        <w:t>UPOV</w:t>
      </w:r>
      <w:r w:rsidR="00170A37" w:rsidRPr="004B1F8F">
        <w:rPr>
          <w:lang w:val="de-DE"/>
        </w:rPr>
        <w:noBreakHyphen/>
      </w:r>
      <w:r w:rsidRPr="004B1F8F">
        <w:rPr>
          <w:lang w:val="de-DE"/>
        </w:rPr>
        <w:t>Informationsdatenbanken</w:t>
      </w:r>
      <w:r w:rsidR="00170A37" w:rsidRPr="004B1F8F">
        <w:rPr>
          <w:lang w:val="de-DE"/>
        </w:rPr>
        <w:t>“</w:t>
      </w:r>
      <w:r w:rsidRPr="004B1F8F">
        <w:rPr>
          <w:lang w:val="de-DE"/>
        </w:rPr>
        <w:t>, Absatz 38), prüfen.</w:t>
      </w:r>
    </w:p>
    <w:p w:rsidR="00B35889" w:rsidRPr="004B1F8F" w:rsidRDefault="00B35889" w:rsidP="00CD5FCA">
      <w:pPr>
        <w:rPr>
          <w:rFonts w:cs="Arial"/>
          <w:snapToGrid w:val="0"/>
          <w:lang w:val="de-DE" w:eastAsia="ja-JP"/>
        </w:rPr>
      </w:pPr>
    </w:p>
    <w:p w:rsidR="009E746E" w:rsidRPr="004B1F8F" w:rsidRDefault="009E746E" w:rsidP="00CD5FCA">
      <w:pPr>
        <w:rPr>
          <w:rFonts w:cs="Arial"/>
          <w:snapToGrid w:val="0"/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E1329C" w:rsidRPr="004B1F8F">
        <w:rPr>
          <w:lang w:val="de-DE"/>
        </w:rPr>
        <w:t xml:space="preserve">Der Rat erhielt auf seiner neunundvierzigsten ordentlichen </w:t>
      </w:r>
      <w:r w:rsidR="00AB71CF" w:rsidRPr="004B1F8F">
        <w:rPr>
          <w:lang w:val="de-DE"/>
        </w:rPr>
        <w:t>Tagung</w:t>
      </w:r>
      <w:r w:rsidR="00E1329C" w:rsidRPr="004B1F8F">
        <w:rPr>
          <w:lang w:val="de-DE"/>
        </w:rPr>
        <w:t xml:space="preserve"> </w:t>
      </w:r>
      <w:r w:rsidR="00E500AB" w:rsidRPr="004B1F8F">
        <w:rPr>
          <w:lang w:val="de-DE"/>
        </w:rPr>
        <w:t>einen Bericht über die Empfehlungen des Beratenden Ausschusses</w:t>
      </w:r>
      <w:r w:rsidR="000C7DC8">
        <w:rPr>
          <w:lang w:val="de-DE"/>
        </w:rPr>
        <w:t xml:space="preserve"> bezüglich des Tagungskalenders </w:t>
      </w:r>
      <w:r w:rsidR="00E500AB" w:rsidRPr="004B1F8F">
        <w:rPr>
          <w:lang w:val="de-DE"/>
        </w:rPr>
        <w:t>2016 (vergleiche D</w:t>
      </w:r>
      <w:r w:rsidR="00E500AB" w:rsidRPr="004B1F8F">
        <w:rPr>
          <w:snapToGrid w:val="0"/>
          <w:lang w:val="de-DE"/>
        </w:rPr>
        <w:t>okument C/49/16</w:t>
      </w:r>
      <w:r w:rsidR="000C7DC8">
        <w:rPr>
          <w:snapToGrid w:val="0"/>
          <w:lang w:val="de-DE"/>
        </w:rPr>
        <w:t xml:space="preserve"> „</w:t>
      </w:r>
      <w:r w:rsidR="000C7DC8" w:rsidRPr="000C7DC8">
        <w:rPr>
          <w:i/>
          <w:snapToGrid w:val="0"/>
        </w:rPr>
        <w:t xml:space="preserve">Report by the President on the work of the ninetieth session of the Consultative Committee; adoption of recommendations, if </w:t>
      </w:r>
      <w:r w:rsidR="000C7DC8" w:rsidRPr="000C7DC8">
        <w:rPr>
          <w:i/>
          <w:snapToGrid w:val="0"/>
        </w:rPr>
        <w:t>any, prepared by that Committee</w:t>
      </w:r>
      <w:r w:rsidR="000C7DC8">
        <w:rPr>
          <w:lang w:val="de-DE"/>
        </w:rPr>
        <w:t>“</w:t>
      </w:r>
      <w:r w:rsidR="000C7DC8">
        <w:rPr>
          <w:snapToGrid w:val="0"/>
          <w:lang w:val="de-DE"/>
        </w:rPr>
        <w:t xml:space="preserve"> (</w:t>
      </w:r>
      <w:r w:rsidR="00E500AB" w:rsidRPr="004B1F8F">
        <w:rPr>
          <w:lang w:val="de-DE"/>
        </w:rPr>
        <w:t>Bericht der Präsidentin über die Arbeiten der neunzigsten Tagung des Beratenden Ausschusses; gegebenenfalls Annahme von Empfehlungen, die dieser Ausschuß ausgearbeitet hat</w:t>
      </w:r>
      <w:r w:rsidR="000C7DC8">
        <w:rPr>
          <w:lang w:val="de-DE"/>
        </w:rPr>
        <w:t>)</w:t>
      </w:r>
      <w:r w:rsidR="00E500AB" w:rsidRPr="004B1F8F">
        <w:rPr>
          <w:lang w:val="de-DE"/>
        </w:rPr>
        <w:t>, Absätze</w:t>
      </w:r>
      <w:r w:rsidR="00E500AB" w:rsidRPr="004B1F8F">
        <w:rPr>
          <w:snapToGrid w:val="0"/>
          <w:lang w:val="de-DE"/>
        </w:rPr>
        <w:t xml:space="preserve"> 64 bis 66), in dem berichtet wurde, daß der CAJ auf seiner zweiundsiebzigsten Tagung </w:t>
      </w:r>
      <w:r w:rsidR="00E1329C" w:rsidRPr="004B1F8F">
        <w:rPr>
          <w:snapToGrid w:val="0"/>
          <w:lang w:val="de-DE"/>
        </w:rPr>
        <w:t xml:space="preserve">vereinbart habe, das Mandat und die Zusammensetzung der </w:t>
      </w:r>
      <w:r w:rsidR="00E1329C" w:rsidRPr="004B1F8F">
        <w:rPr>
          <w:rStyle w:val="f21"/>
          <w:lang w:val="de-DE"/>
        </w:rPr>
        <w:t>Arbeitsgruppe für die Entwicklung eines UPOV</w:t>
      </w:r>
      <w:r w:rsidR="00E500AB" w:rsidRPr="004B1F8F">
        <w:rPr>
          <w:rStyle w:val="f21"/>
          <w:lang w:val="de-DE"/>
        </w:rPr>
        <w:noBreakHyphen/>
      </w:r>
      <w:r w:rsidR="00E1329C" w:rsidRPr="004B1F8F">
        <w:rPr>
          <w:rStyle w:val="f21"/>
          <w:lang w:val="de-DE"/>
        </w:rPr>
        <w:t xml:space="preserve">Suchinstruments für Ähnlichkeiten zum Zweck der Sortenbezeichnung auszuweiten, um Empfehlungen für den </w:t>
      </w:r>
      <w:r w:rsidR="00E1329C" w:rsidRPr="004B1F8F">
        <w:rPr>
          <w:rFonts w:cs="Arial"/>
          <w:snapToGrid w:val="0"/>
          <w:lang w:val="de-DE" w:eastAsia="ja-JP"/>
        </w:rPr>
        <w:t xml:space="preserve">CAJ betreffend </w:t>
      </w:r>
      <w:r w:rsidR="000C7DC8">
        <w:rPr>
          <w:rFonts w:cs="Arial"/>
          <w:snapToGrid w:val="0"/>
          <w:lang w:val="de-DE" w:eastAsia="ja-JP"/>
        </w:rPr>
        <w:t xml:space="preserve">die Überarbeitung des Dokuments </w:t>
      </w:r>
      <w:r w:rsidR="00E1329C" w:rsidRPr="004B1F8F">
        <w:rPr>
          <w:rFonts w:cs="Arial"/>
          <w:snapToGrid w:val="0"/>
          <w:lang w:val="de-DE" w:eastAsia="ja-JP"/>
        </w:rPr>
        <w:t>UPOV/INF/12</w:t>
      </w:r>
      <w:r w:rsidR="000C7DC8">
        <w:rPr>
          <w:rFonts w:cs="Arial"/>
          <w:snapToGrid w:val="0"/>
          <w:lang w:val="de-DE" w:eastAsia="ja-JP"/>
        </w:rPr>
        <w:t xml:space="preserve"> „</w:t>
      </w:r>
      <w:r w:rsidR="00E1329C" w:rsidRPr="004B1F8F">
        <w:rPr>
          <w:rFonts w:cs="Arial"/>
          <w:snapToGrid w:val="0"/>
          <w:lang w:val="de-DE" w:eastAsia="ja-JP"/>
        </w:rPr>
        <w:t>Erläuterungen zu Sortenbezeichnungen nach dem UPOV-Übereinkommen“, auszuarbeiten (soll zur WG-DEN werden), und vorgeschlagen habe, daß die WG-DEN in der Woche der UPOV</w:t>
      </w:r>
      <w:r w:rsidR="00E1329C" w:rsidRPr="004B1F8F">
        <w:rPr>
          <w:rFonts w:cs="Arial"/>
          <w:snapToGrid w:val="0"/>
          <w:lang w:val="de-DE" w:eastAsia="ja-JP"/>
        </w:rPr>
        <w:noBreakHyphen/>
        <w:t>Tagungen im März 2016 zusammentreten soll</w:t>
      </w:r>
      <w:r w:rsidR="00E500AB" w:rsidRPr="004B1F8F">
        <w:rPr>
          <w:rFonts w:cs="Arial"/>
          <w:snapToGrid w:val="0"/>
          <w:lang w:val="de-DE" w:eastAsia="ja-JP"/>
        </w:rPr>
        <w:t xml:space="preserve"> </w:t>
      </w:r>
      <w:r w:rsidRPr="004B1F8F">
        <w:rPr>
          <w:rFonts w:cs="Arial"/>
          <w:snapToGrid w:val="0"/>
          <w:lang w:val="de-DE" w:eastAsia="ja-JP"/>
        </w:rPr>
        <w:t>(</w:t>
      </w:r>
      <w:r w:rsidR="008C7675" w:rsidRPr="004B1F8F">
        <w:rPr>
          <w:rFonts w:cs="Arial"/>
          <w:snapToGrid w:val="0"/>
          <w:lang w:val="de-DE" w:eastAsia="ja-JP"/>
        </w:rPr>
        <w:t>vergleiche Dokument</w:t>
      </w:r>
      <w:r w:rsidRPr="004B1F8F">
        <w:rPr>
          <w:rFonts w:cs="Arial"/>
          <w:snapToGrid w:val="0"/>
          <w:lang w:val="de-DE" w:eastAsia="ja-JP"/>
        </w:rPr>
        <w:t xml:space="preserve"> C/49/18</w:t>
      </w:r>
      <w:r w:rsidR="000C7DC8">
        <w:rPr>
          <w:rFonts w:cs="Arial"/>
          <w:snapToGrid w:val="0"/>
          <w:lang w:val="de-DE" w:eastAsia="ja-JP"/>
        </w:rPr>
        <w:t xml:space="preserve"> „</w:t>
      </w:r>
      <w:r w:rsidR="00E500AB" w:rsidRPr="004B1F8F">
        <w:rPr>
          <w:rFonts w:cs="Arial"/>
          <w:snapToGrid w:val="0"/>
          <w:lang w:val="de-DE" w:eastAsia="ja-JP"/>
        </w:rPr>
        <w:t xml:space="preserve">Bericht </w:t>
      </w:r>
      <w:r w:rsidR="00AB71CF" w:rsidRPr="004B1F8F">
        <w:rPr>
          <w:rFonts w:cs="Arial"/>
          <w:snapToGrid w:val="0"/>
          <w:lang w:val="de-DE" w:eastAsia="ja-JP"/>
        </w:rPr>
        <w:t>über</w:t>
      </w:r>
      <w:r w:rsidR="00E500AB" w:rsidRPr="004B1F8F">
        <w:rPr>
          <w:rFonts w:cs="Arial"/>
          <w:snapToGrid w:val="0"/>
          <w:lang w:val="de-DE" w:eastAsia="ja-JP"/>
        </w:rPr>
        <w:t xml:space="preserve"> die Entscheidungen“,</w:t>
      </w:r>
      <w:r w:rsidRPr="004B1F8F">
        <w:rPr>
          <w:rFonts w:cs="Arial"/>
          <w:snapToGrid w:val="0"/>
          <w:lang w:val="de-DE" w:eastAsia="ja-JP"/>
        </w:rPr>
        <w:t xml:space="preserve"> </w:t>
      </w:r>
      <w:r w:rsidR="008C7675" w:rsidRPr="004B1F8F">
        <w:rPr>
          <w:rFonts w:cs="Arial"/>
          <w:snapToGrid w:val="0"/>
          <w:lang w:val="de-DE" w:eastAsia="ja-JP"/>
        </w:rPr>
        <w:t>Absatz</w:t>
      </w:r>
      <w:r w:rsidRPr="004B1F8F">
        <w:rPr>
          <w:rFonts w:cs="Arial"/>
          <w:snapToGrid w:val="0"/>
          <w:lang w:val="de-DE" w:eastAsia="ja-JP"/>
        </w:rPr>
        <w:t xml:space="preserve"> 53).</w:t>
      </w:r>
    </w:p>
    <w:p w:rsidR="00D0753E" w:rsidRPr="004B1F8F" w:rsidRDefault="00D0753E" w:rsidP="00CD5FCA">
      <w:pPr>
        <w:rPr>
          <w:rFonts w:cs="Arial"/>
          <w:snapToGrid w:val="0"/>
          <w:lang w:val="de-DE" w:eastAsia="ja-JP"/>
        </w:rPr>
      </w:pPr>
    </w:p>
    <w:p w:rsidR="00D0753E" w:rsidRPr="004B1F8F" w:rsidRDefault="00D0753E" w:rsidP="00CD5FCA">
      <w:pPr>
        <w:rPr>
          <w:rFonts w:cs="Arial"/>
          <w:snapToGrid w:val="0"/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E500AB" w:rsidRPr="004B1F8F">
        <w:rPr>
          <w:lang w:val="de-DE"/>
        </w:rPr>
        <w:t>Der Rat billigte auf seiner neunundvierzig</w:t>
      </w:r>
      <w:r w:rsidR="000C7DC8">
        <w:rPr>
          <w:lang w:val="de-DE"/>
        </w:rPr>
        <w:t xml:space="preserve">sten Tagung den Tagungskalender </w:t>
      </w:r>
      <w:r w:rsidR="00E500AB" w:rsidRPr="004B1F8F">
        <w:rPr>
          <w:lang w:val="de-DE"/>
        </w:rPr>
        <w:t xml:space="preserve">2016 </w:t>
      </w:r>
      <w:r w:rsidRPr="004B1F8F">
        <w:rPr>
          <w:rFonts w:cs="Arial"/>
          <w:snapToGrid w:val="0"/>
          <w:lang w:val="de-DE" w:eastAsia="ja-JP"/>
        </w:rPr>
        <w:t>(</w:t>
      </w:r>
      <w:r w:rsidR="008C7675" w:rsidRPr="004B1F8F">
        <w:rPr>
          <w:rFonts w:cs="Arial"/>
          <w:snapToGrid w:val="0"/>
          <w:lang w:val="de-DE" w:eastAsia="ja-JP"/>
        </w:rPr>
        <w:t>vergleiche Dokument</w:t>
      </w:r>
      <w:r w:rsidRPr="004B1F8F">
        <w:rPr>
          <w:rFonts w:cs="Arial"/>
          <w:snapToGrid w:val="0"/>
          <w:lang w:val="de-DE" w:eastAsia="ja-JP"/>
        </w:rPr>
        <w:t xml:space="preserve"> C/49/18</w:t>
      </w:r>
      <w:r w:rsidR="000C7DC8">
        <w:rPr>
          <w:rFonts w:cs="Arial"/>
          <w:snapToGrid w:val="0"/>
          <w:lang w:val="de-DE" w:eastAsia="ja-JP"/>
        </w:rPr>
        <w:t xml:space="preserve"> „</w:t>
      </w:r>
      <w:r w:rsidR="00E500AB" w:rsidRPr="004B1F8F">
        <w:rPr>
          <w:rFonts w:cs="Arial"/>
          <w:snapToGrid w:val="0"/>
          <w:lang w:val="de-DE" w:eastAsia="ja-JP"/>
        </w:rPr>
        <w:t>Bericht über die Entscheidungen“,</w:t>
      </w:r>
      <w:r w:rsidRPr="004B1F8F">
        <w:rPr>
          <w:rFonts w:cs="Arial"/>
          <w:snapToGrid w:val="0"/>
          <w:lang w:val="de-DE" w:eastAsia="ja-JP"/>
        </w:rPr>
        <w:t xml:space="preserve"> </w:t>
      </w:r>
      <w:r w:rsidR="008C7675" w:rsidRPr="004B1F8F">
        <w:rPr>
          <w:rFonts w:cs="Arial"/>
          <w:snapToGrid w:val="0"/>
          <w:lang w:val="de-DE" w:eastAsia="ja-JP"/>
        </w:rPr>
        <w:t>Absatz</w:t>
      </w:r>
      <w:r w:rsidRPr="004B1F8F">
        <w:rPr>
          <w:rFonts w:cs="Arial"/>
          <w:snapToGrid w:val="0"/>
          <w:lang w:val="de-DE" w:eastAsia="ja-JP"/>
        </w:rPr>
        <w:t xml:space="preserve"> 54).</w:t>
      </w:r>
      <w:r w:rsidR="00CD7CD3" w:rsidRPr="004B1F8F">
        <w:rPr>
          <w:rFonts w:cs="Arial"/>
          <w:snapToGrid w:val="0"/>
          <w:lang w:val="de-DE" w:eastAsia="ja-JP"/>
        </w:rPr>
        <w:t xml:space="preserve"> </w:t>
      </w:r>
      <w:r w:rsidR="00E500AB" w:rsidRPr="004B1F8F">
        <w:rPr>
          <w:rFonts w:cs="Arial"/>
          <w:snapToGrid w:val="0"/>
          <w:lang w:val="de-DE" w:eastAsia="ja-JP"/>
        </w:rPr>
        <w:t>Die</w:t>
      </w:r>
      <w:r w:rsidR="00CD7CD3" w:rsidRPr="004B1F8F">
        <w:rPr>
          <w:rFonts w:cs="Arial"/>
          <w:snapToGrid w:val="0"/>
          <w:lang w:val="de-DE" w:eastAsia="ja-JP"/>
        </w:rPr>
        <w:t xml:space="preserve"> WG-DEN wi</w:t>
      </w:r>
      <w:r w:rsidR="00E500AB" w:rsidRPr="004B1F8F">
        <w:rPr>
          <w:rFonts w:cs="Arial"/>
          <w:snapToGrid w:val="0"/>
          <w:lang w:val="de-DE" w:eastAsia="ja-JP"/>
        </w:rPr>
        <w:t>rd am 18. März 2016 in Genf zusammentreten.</w:t>
      </w:r>
    </w:p>
    <w:p w:rsidR="009E746E" w:rsidRPr="004B1F8F" w:rsidRDefault="009E746E" w:rsidP="00CD5FCA">
      <w:pPr>
        <w:rPr>
          <w:rFonts w:cs="Arial"/>
          <w:snapToGrid w:val="0"/>
          <w:lang w:val="de-DE" w:eastAsia="ja-JP"/>
        </w:rPr>
      </w:pPr>
    </w:p>
    <w:p w:rsidR="00B35889" w:rsidRPr="004B1F8F" w:rsidRDefault="007B3011" w:rsidP="00CD5FCA">
      <w:pPr>
        <w:rPr>
          <w:rFonts w:cs="Arial"/>
          <w:snapToGrid w:val="0"/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E500AB" w:rsidRPr="004B1F8F">
        <w:rPr>
          <w:lang w:val="de-DE"/>
        </w:rPr>
        <w:t xml:space="preserve">Am 3. Dezember 2015 gab das Verbandsbüro ein Rundschreiben </w:t>
      </w:r>
      <w:r w:rsidR="009E746E" w:rsidRPr="004B1F8F">
        <w:rPr>
          <w:rFonts w:cs="Arial"/>
          <w:snapToGrid w:val="0"/>
          <w:lang w:val="de-DE" w:eastAsia="ja-JP"/>
        </w:rPr>
        <w:t>E-15/276</w:t>
      </w:r>
      <w:r w:rsidRPr="004B1F8F">
        <w:rPr>
          <w:rFonts w:cs="Arial"/>
          <w:snapToGrid w:val="0"/>
          <w:lang w:val="de-DE" w:eastAsia="ja-JP"/>
        </w:rPr>
        <w:t xml:space="preserve"> </w:t>
      </w:r>
      <w:r w:rsidR="00E500AB" w:rsidRPr="004B1F8F">
        <w:rPr>
          <w:rFonts w:cs="Arial"/>
          <w:snapToGrid w:val="0"/>
          <w:lang w:val="de-DE" w:eastAsia="ja-JP"/>
        </w:rPr>
        <w:t xml:space="preserve">heraus, in dem die Mitglieder und Beobachter des </w:t>
      </w:r>
      <w:r w:rsidR="00AB71CF" w:rsidRPr="004B1F8F">
        <w:rPr>
          <w:rFonts w:cs="Arial"/>
          <w:snapToGrid w:val="0"/>
          <w:lang w:val="de-DE" w:eastAsia="ja-JP"/>
        </w:rPr>
        <w:t>CAJ</w:t>
      </w:r>
      <w:r w:rsidR="00E500AB" w:rsidRPr="004B1F8F">
        <w:rPr>
          <w:rFonts w:cs="Arial"/>
          <w:snapToGrid w:val="0"/>
          <w:lang w:val="de-DE" w:eastAsia="ja-JP"/>
        </w:rPr>
        <w:t xml:space="preserve"> und die Mitglieder der WG</w:t>
      </w:r>
      <w:r w:rsidRPr="004B1F8F">
        <w:rPr>
          <w:rFonts w:cs="Arial"/>
          <w:snapToGrid w:val="0"/>
          <w:lang w:val="de-DE" w:eastAsia="ja-JP"/>
        </w:rPr>
        <w:t xml:space="preserve">-DST </w:t>
      </w:r>
      <w:r w:rsidR="00E500AB" w:rsidRPr="004B1F8F">
        <w:rPr>
          <w:rFonts w:cs="Arial"/>
          <w:snapToGrid w:val="0"/>
          <w:lang w:val="de-DE" w:eastAsia="ja-JP"/>
        </w:rPr>
        <w:t xml:space="preserve">ersucht wurden, ihr Interesse an einer Teilnahme an der </w:t>
      </w:r>
      <w:r w:rsidRPr="004B1F8F">
        <w:rPr>
          <w:rFonts w:cs="Arial"/>
          <w:snapToGrid w:val="0"/>
          <w:lang w:val="de-DE" w:eastAsia="ja-JP"/>
        </w:rPr>
        <w:t xml:space="preserve">WG-DEN </w:t>
      </w:r>
      <w:r w:rsidR="00E500AB" w:rsidRPr="004B1F8F">
        <w:rPr>
          <w:rFonts w:cs="Arial"/>
          <w:snapToGrid w:val="0"/>
          <w:lang w:val="de-DE" w:eastAsia="ja-JP"/>
        </w:rPr>
        <w:t xml:space="preserve">zu </w:t>
      </w:r>
      <w:r w:rsidR="00170A37" w:rsidRPr="004B1F8F">
        <w:rPr>
          <w:rFonts w:cs="Arial"/>
          <w:snapToGrid w:val="0"/>
          <w:lang w:val="de-DE" w:eastAsia="ja-JP"/>
        </w:rPr>
        <w:t>äußern</w:t>
      </w:r>
      <w:r w:rsidR="00E500AB" w:rsidRPr="004B1F8F">
        <w:rPr>
          <w:rFonts w:cs="Arial"/>
          <w:snapToGrid w:val="0"/>
          <w:lang w:val="de-DE" w:eastAsia="ja-JP"/>
        </w:rPr>
        <w:t xml:space="preserve"> und Bemerkungen zu</w:t>
      </w:r>
      <w:r w:rsidRPr="004B1F8F">
        <w:rPr>
          <w:rFonts w:cs="Arial"/>
          <w:snapToGrid w:val="0"/>
          <w:lang w:val="de-DE" w:eastAsia="ja-JP"/>
        </w:rPr>
        <w:t xml:space="preserve"> </w:t>
      </w:r>
      <w:r w:rsidR="008C7675" w:rsidRPr="004B1F8F">
        <w:rPr>
          <w:rFonts w:cs="Arial"/>
          <w:snapToGrid w:val="0"/>
          <w:lang w:val="de-DE" w:eastAsia="ja-JP"/>
        </w:rPr>
        <w:t>Dokument</w:t>
      </w:r>
      <w:r w:rsidRPr="004B1F8F">
        <w:rPr>
          <w:rFonts w:cs="Arial"/>
          <w:snapToGrid w:val="0"/>
          <w:lang w:val="de-DE" w:eastAsia="ja-JP"/>
        </w:rPr>
        <w:t xml:space="preserve"> UPOV/INF/12/5</w:t>
      </w:r>
      <w:r w:rsidR="000C7DC8">
        <w:rPr>
          <w:rFonts w:cs="Arial"/>
          <w:snapToGrid w:val="0"/>
          <w:lang w:val="de-DE" w:eastAsia="ja-JP"/>
        </w:rPr>
        <w:t xml:space="preserve"> „</w:t>
      </w:r>
      <w:r w:rsidR="00E500AB" w:rsidRPr="004B1F8F">
        <w:rPr>
          <w:rFonts w:cs="Arial"/>
          <w:snapToGrid w:val="0"/>
          <w:lang w:val="de-DE" w:eastAsia="ja-JP"/>
        </w:rPr>
        <w:t xml:space="preserve">Erläuterungen zu Sortenbezeichnungen nach </w:t>
      </w:r>
      <w:r w:rsidR="00AB71CF" w:rsidRPr="004B1F8F">
        <w:rPr>
          <w:rFonts w:cs="Arial"/>
          <w:snapToGrid w:val="0"/>
          <w:lang w:val="de-DE" w:eastAsia="ja-JP"/>
        </w:rPr>
        <w:t>dem</w:t>
      </w:r>
      <w:r w:rsidR="00E500AB" w:rsidRPr="004B1F8F">
        <w:rPr>
          <w:rFonts w:cs="Arial"/>
          <w:snapToGrid w:val="0"/>
          <w:lang w:val="de-DE" w:eastAsia="ja-JP"/>
        </w:rPr>
        <w:t xml:space="preserve"> UPOV-Übereinkommen“, abzugeben.</w:t>
      </w:r>
    </w:p>
    <w:p w:rsidR="00801300" w:rsidRPr="004B1F8F" w:rsidRDefault="00801300" w:rsidP="00CD5FCA">
      <w:pPr>
        <w:rPr>
          <w:snapToGrid w:val="0"/>
          <w:lang w:val="de-DE" w:eastAsia="ja-JP"/>
        </w:rPr>
      </w:pPr>
      <w:bookmarkStart w:id="21" w:name="_Toc382388626"/>
    </w:p>
    <w:p w:rsidR="00104F4D" w:rsidRPr="004B1F8F" w:rsidRDefault="00104F4D" w:rsidP="00104F4D">
      <w:pPr>
        <w:rPr>
          <w:lang w:val="de-DE" w:eastAsia="ja-JP"/>
        </w:rPr>
      </w:pPr>
      <w:r w:rsidRPr="004B1F8F">
        <w:rPr>
          <w:lang w:val="de-DE"/>
        </w:rPr>
        <w:fldChar w:fldCharType="begin"/>
      </w:r>
      <w:r w:rsidRPr="004B1F8F">
        <w:rPr>
          <w:lang w:val="de-DE"/>
        </w:rPr>
        <w:instrText xml:space="preserve"> AUTONUM  </w:instrText>
      </w:r>
      <w:r w:rsidRPr="004B1F8F">
        <w:rPr>
          <w:lang w:val="de-DE"/>
        </w:rPr>
        <w:fldChar w:fldCharType="end"/>
      </w:r>
      <w:r w:rsidRPr="004B1F8F">
        <w:rPr>
          <w:lang w:val="de-DE"/>
        </w:rPr>
        <w:tab/>
      </w:r>
      <w:r w:rsidR="00E500AB" w:rsidRPr="004B1F8F">
        <w:rPr>
          <w:lang w:val="de-DE"/>
        </w:rPr>
        <w:t xml:space="preserve">Ein Bericht über den Fortschritt der Arbeit zur etwaigen </w:t>
      </w:r>
      <w:r w:rsidR="00AB71CF" w:rsidRPr="004B1F8F">
        <w:rPr>
          <w:lang w:val="de-DE"/>
        </w:rPr>
        <w:t>Überarbeitung</w:t>
      </w:r>
      <w:r w:rsidR="00E500AB" w:rsidRPr="004B1F8F">
        <w:rPr>
          <w:lang w:val="de-DE"/>
        </w:rPr>
        <w:t xml:space="preserve"> des </w:t>
      </w:r>
      <w:r w:rsidR="000C7DC8">
        <w:rPr>
          <w:rFonts w:cs="Arial"/>
          <w:snapToGrid w:val="0"/>
          <w:lang w:val="de-DE" w:eastAsia="ja-JP"/>
        </w:rPr>
        <w:t xml:space="preserve">Dokuments </w:t>
      </w:r>
      <w:r w:rsidR="00E500AB" w:rsidRPr="004B1F8F">
        <w:rPr>
          <w:rFonts w:cs="Arial"/>
          <w:snapToGrid w:val="0"/>
          <w:lang w:val="de-DE" w:eastAsia="ja-JP"/>
        </w:rPr>
        <w:t>UPOV/INF/12/5</w:t>
      </w:r>
      <w:r w:rsidR="000C7DC8">
        <w:rPr>
          <w:rFonts w:cs="Arial"/>
          <w:snapToGrid w:val="0"/>
          <w:lang w:val="de-DE" w:eastAsia="ja-JP"/>
        </w:rPr>
        <w:t xml:space="preserve"> „</w:t>
      </w:r>
      <w:r w:rsidR="00E500AB" w:rsidRPr="004B1F8F">
        <w:rPr>
          <w:rFonts w:cs="Arial"/>
          <w:snapToGrid w:val="0"/>
          <w:lang w:val="de-DE" w:eastAsia="ja-JP"/>
        </w:rPr>
        <w:t xml:space="preserve">Erläuterungen zu Sortenbezeichnungen nach </w:t>
      </w:r>
      <w:r w:rsidR="00AB71CF" w:rsidRPr="004B1F8F">
        <w:rPr>
          <w:rFonts w:cs="Arial"/>
          <w:snapToGrid w:val="0"/>
          <w:lang w:val="de-DE" w:eastAsia="ja-JP"/>
        </w:rPr>
        <w:t>dem</w:t>
      </w:r>
      <w:r w:rsidR="00E500AB" w:rsidRPr="004B1F8F">
        <w:rPr>
          <w:rFonts w:cs="Arial"/>
          <w:snapToGrid w:val="0"/>
          <w:lang w:val="de-DE" w:eastAsia="ja-JP"/>
        </w:rPr>
        <w:t xml:space="preserve"> UPOV-Übereinkommen“, </w:t>
      </w:r>
      <w:r w:rsidR="00E500AB" w:rsidRPr="004B1F8F">
        <w:rPr>
          <w:lang w:val="de-DE" w:eastAsia="ja-JP"/>
        </w:rPr>
        <w:t>wird dem TC auf seiner dreiundfünfzigsten Tagung vorgelegt werden</w:t>
      </w:r>
      <w:r w:rsidRPr="004B1F8F">
        <w:rPr>
          <w:szCs w:val="24"/>
          <w:lang w:val="de-DE" w:eastAsia="ja-JP"/>
        </w:rPr>
        <w:t>.</w:t>
      </w:r>
    </w:p>
    <w:p w:rsidR="003024B5" w:rsidRPr="004B1F8F" w:rsidRDefault="003024B5" w:rsidP="00801300">
      <w:pPr>
        <w:rPr>
          <w:snapToGrid w:val="0"/>
          <w:lang w:val="de-DE" w:eastAsia="ja-JP"/>
        </w:rPr>
      </w:pPr>
    </w:p>
    <w:p w:rsidR="003E45E4" w:rsidRPr="000C7DC8" w:rsidRDefault="003E5C14" w:rsidP="00D0753E">
      <w:pPr>
        <w:pStyle w:val="dec"/>
        <w:tabs>
          <w:tab w:val="left" w:pos="5400"/>
        </w:tabs>
        <w:ind w:left="4860"/>
        <w:rPr>
          <w:rFonts w:cs="Arial"/>
          <w:spacing w:val="0"/>
          <w:lang w:val="de-DE" w:eastAsia="ja-JP"/>
        </w:rPr>
      </w:pPr>
      <w:r w:rsidRPr="000C7DC8">
        <w:rPr>
          <w:spacing w:val="0"/>
          <w:lang w:val="de-DE"/>
        </w:rPr>
        <w:fldChar w:fldCharType="begin"/>
      </w:r>
      <w:r w:rsidRPr="000C7DC8">
        <w:rPr>
          <w:spacing w:val="0"/>
          <w:lang w:val="de-DE"/>
        </w:rPr>
        <w:instrText xml:space="preserve"> AUTONUM  </w:instrText>
      </w:r>
      <w:r w:rsidRPr="000C7DC8">
        <w:rPr>
          <w:spacing w:val="0"/>
          <w:lang w:val="de-DE"/>
        </w:rPr>
        <w:fldChar w:fldCharType="end"/>
      </w:r>
      <w:r w:rsidR="00FD0FD0" w:rsidRPr="000C7DC8">
        <w:rPr>
          <w:spacing w:val="0"/>
          <w:lang w:val="de-DE"/>
        </w:rPr>
        <w:tab/>
      </w:r>
      <w:r w:rsidR="00E500AB" w:rsidRPr="000C7DC8">
        <w:rPr>
          <w:spacing w:val="0"/>
          <w:lang w:val="de-DE"/>
        </w:rPr>
        <w:t>Der</w:t>
      </w:r>
      <w:r w:rsidR="00801300" w:rsidRPr="000C7DC8">
        <w:rPr>
          <w:color w:val="000000" w:themeColor="text1"/>
          <w:spacing w:val="0"/>
          <w:lang w:val="de-DE"/>
        </w:rPr>
        <w:t xml:space="preserve"> TC </w:t>
      </w:r>
      <w:r w:rsidR="00E500AB" w:rsidRPr="000C7DC8">
        <w:rPr>
          <w:color w:val="000000" w:themeColor="text1"/>
          <w:spacing w:val="0"/>
          <w:lang w:val="de-DE"/>
        </w:rPr>
        <w:t>wird ersucht, folgendes zur Kenntnis zu</w:t>
      </w:r>
      <w:r w:rsidR="000C7DC8" w:rsidRPr="000C7DC8">
        <w:rPr>
          <w:color w:val="000000" w:themeColor="text1"/>
          <w:spacing w:val="0"/>
          <w:lang w:val="de-DE"/>
        </w:rPr>
        <w:t xml:space="preserve"> </w:t>
      </w:r>
      <w:r w:rsidR="00E500AB" w:rsidRPr="000C7DC8">
        <w:rPr>
          <w:color w:val="000000" w:themeColor="text1"/>
          <w:spacing w:val="0"/>
          <w:lang w:val="de-DE"/>
        </w:rPr>
        <w:t>nehmen:</w:t>
      </w:r>
      <w:bookmarkEnd w:id="21"/>
    </w:p>
    <w:p w:rsidR="00FD0FD0" w:rsidRPr="000C7DC8" w:rsidRDefault="00FD0FD0" w:rsidP="00E500AB">
      <w:pPr>
        <w:pStyle w:val="dec"/>
        <w:ind w:left="0"/>
        <w:rPr>
          <w:rFonts w:eastAsia="MS Mincho"/>
          <w:i w:val="0"/>
          <w:snapToGrid w:val="0"/>
          <w:spacing w:val="0"/>
          <w:lang w:val="de-DE" w:eastAsia="ja-JP"/>
        </w:rPr>
      </w:pPr>
    </w:p>
    <w:p w:rsidR="00E500AB" w:rsidRPr="000C7DC8" w:rsidRDefault="00E500AB" w:rsidP="001044B2">
      <w:pPr>
        <w:pStyle w:val="dec"/>
        <w:tabs>
          <w:tab w:val="left" w:pos="5954"/>
        </w:tabs>
        <w:ind w:left="4820" w:firstLine="567"/>
        <w:rPr>
          <w:color w:val="000000" w:themeColor="text1"/>
          <w:spacing w:val="0"/>
          <w:lang w:val="de-DE"/>
        </w:rPr>
      </w:pPr>
      <w:r w:rsidRPr="000C7DC8">
        <w:rPr>
          <w:color w:val="000000" w:themeColor="text1"/>
          <w:spacing w:val="0"/>
          <w:lang w:val="de-DE"/>
        </w:rPr>
        <w:t>a)</w:t>
      </w:r>
      <w:r w:rsidRPr="000C7DC8">
        <w:rPr>
          <w:color w:val="000000" w:themeColor="text1"/>
          <w:spacing w:val="0"/>
          <w:lang w:val="de-DE"/>
        </w:rPr>
        <w:tab/>
        <w:t xml:space="preserve">die Arbeit der WG-DST </w:t>
      </w:r>
      <w:r w:rsidRPr="000C7DC8">
        <w:rPr>
          <w:rFonts w:cs="Arial"/>
          <w:spacing w:val="0"/>
          <w:lang w:val="de-DE"/>
        </w:rPr>
        <w:t>zur etwaigen Entwicklung eines UPOV-Suchinstruments für Ähnlichkeiten zum Zweck der Sortenbezeichnung</w:t>
      </w:r>
      <w:r w:rsidR="00170A37" w:rsidRPr="000C7DC8">
        <w:rPr>
          <w:rFonts w:cs="Arial"/>
          <w:spacing w:val="0"/>
          <w:lang w:val="de-DE"/>
        </w:rPr>
        <w:t>,</w:t>
      </w:r>
      <w:r w:rsidRPr="000C7DC8">
        <w:rPr>
          <w:rFonts w:cs="Arial"/>
          <w:spacing w:val="0"/>
          <w:lang w:val="de-DE"/>
        </w:rPr>
        <w:t xml:space="preserve"> </w:t>
      </w:r>
      <w:r w:rsidRPr="000C7DC8">
        <w:rPr>
          <w:color w:val="000000" w:themeColor="text1"/>
          <w:spacing w:val="0"/>
          <w:lang w:val="de-DE"/>
        </w:rPr>
        <w:t xml:space="preserve">einschließlich der Teststudie, wie in den Absätzen </w:t>
      </w:r>
      <w:r w:rsidR="001044B2" w:rsidRPr="000C7DC8">
        <w:rPr>
          <w:color w:val="000000" w:themeColor="text1"/>
          <w:spacing w:val="0"/>
          <w:lang w:val="de-DE"/>
        </w:rPr>
        <w:t>5</w:t>
      </w:r>
      <w:r w:rsidRPr="000C7DC8">
        <w:rPr>
          <w:color w:val="000000" w:themeColor="text1"/>
          <w:spacing w:val="0"/>
          <w:lang w:val="de-DE"/>
        </w:rPr>
        <w:t xml:space="preserve"> bis 15 dieses Dokuments dargelegt</w:t>
      </w:r>
      <w:r w:rsidRPr="000C7DC8">
        <w:rPr>
          <w:rFonts w:eastAsia="MS Mincho"/>
          <w:snapToGrid w:val="0"/>
          <w:spacing w:val="0"/>
          <w:lang w:val="de-DE" w:eastAsia="ja-JP"/>
        </w:rPr>
        <w:t>;</w:t>
      </w:r>
    </w:p>
    <w:p w:rsidR="00E500AB" w:rsidRPr="000C7DC8" w:rsidRDefault="00E500AB" w:rsidP="00E500AB">
      <w:pPr>
        <w:keepNext/>
        <w:ind w:left="4820" w:firstLine="567"/>
        <w:rPr>
          <w:rFonts w:cs="Arial"/>
          <w:i/>
          <w:lang w:val="de-DE" w:eastAsia="ja-JP"/>
        </w:rPr>
      </w:pPr>
    </w:p>
    <w:p w:rsidR="00E500AB" w:rsidRPr="000C7DC8" w:rsidRDefault="00E500AB" w:rsidP="001044B2">
      <w:pPr>
        <w:pStyle w:val="dec"/>
        <w:tabs>
          <w:tab w:val="left" w:pos="5954"/>
        </w:tabs>
        <w:ind w:left="4820" w:firstLine="567"/>
        <w:rPr>
          <w:rFonts w:eastAsia="MS Mincho"/>
          <w:color w:val="000000"/>
          <w:spacing w:val="0"/>
          <w:lang w:val="de-DE" w:eastAsia="ja-JP"/>
        </w:rPr>
      </w:pPr>
      <w:r w:rsidRPr="000C7DC8">
        <w:rPr>
          <w:rFonts w:eastAsia="MS Mincho" w:cs="Arial"/>
          <w:spacing w:val="0"/>
          <w:lang w:val="de-DE" w:eastAsia="ja-JP"/>
        </w:rPr>
        <w:t>b)</w:t>
      </w:r>
      <w:r w:rsidRPr="000C7DC8">
        <w:rPr>
          <w:rFonts w:eastAsia="MS Mincho" w:cs="Arial"/>
          <w:spacing w:val="0"/>
          <w:lang w:val="de-DE" w:eastAsia="ja-JP"/>
        </w:rPr>
        <w:tab/>
        <w:t>daß die Überarbeitung des Dokuments</w:t>
      </w:r>
      <w:r w:rsidRPr="000C7DC8">
        <w:rPr>
          <w:spacing w:val="0"/>
          <w:lang w:val="de-DE"/>
        </w:rPr>
        <w:t xml:space="preserve"> UPOV/INF/12 in bezug auf die Änderung eingetragener Sortenbezeichnungen vom Rat auf seiner neunundvierzigsten ordentlichen Tagung angenommen wurde (vergleiche Absatz 17);</w:t>
      </w:r>
    </w:p>
    <w:p w:rsidR="00E500AB" w:rsidRPr="000C7DC8" w:rsidRDefault="00E500AB" w:rsidP="00E500AB">
      <w:pPr>
        <w:keepNext/>
        <w:ind w:left="4820" w:firstLine="567"/>
        <w:rPr>
          <w:rFonts w:cs="Arial"/>
          <w:i/>
          <w:lang w:val="de-DE" w:eastAsia="ja-JP"/>
        </w:rPr>
      </w:pPr>
    </w:p>
    <w:p w:rsidR="00E500AB" w:rsidRPr="000C7DC8" w:rsidRDefault="00E500AB" w:rsidP="001044B2">
      <w:pPr>
        <w:pStyle w:val="dec"/>
        <w:tabs>
          <w:tab w:val="left" w:pos="5954"/>
        </w:tabs>
        <w:ind w:left="4820" w:firstLine="567"/>
        <w:rPr>
          <w:rFonts w:eastAsia="MS Mincho" w:cs="Arial"/>
          <w:spacing w:val="0"/>
          <w:lang w:val="de-DE" w:eastAsia="ja-JP"/>
        </w:rPr>
      </w:pPr>
      <w:r w:rsidRPr="000C7DC8">
        <w:rPr>
          <w:rFonts w:eastAsia="MS Mincho" w:cs="Arial"/>
          <w:spacing w:val="0"/>
          <w:lang w:val="de-DE" w:eastAsia="ja-JP"/>
        </w:rPr>
        <w:t>c)</w:t>
      </w:r>
      <w:r w:rsidRPr="000C7DC8">
        <w:rPr>
          <w:rFonts w:eastAsia="MS Mincho" w:cs="Arial"/>
          <w:spacing w:val="0"/>
          <w:lang w:val="de-DE" w:eastAsia="ja-JP"/>
        </w:rPr>
        <w:tab/>
        <w:t xml:space="preserve">daß das </w:t>
      </w:r>
      <w:r w:rsidRPr="000C7DC8">
        <w:rPr>
          <w:snapToGrid w:val="0"/>
          <w:spacing w:val="0"/>
          <w:lang w:val="de-DE"/>
        </w:rPr>
        <w:t xml:space="preserve">Mandat und die Zusammensetzung der </w:t>
      </w:r>
      <w:r w:rsidR="001044B2" w:rsidRPr="000C7DC8">
        <w:rPr>
          <w:snapToGrid w:val="0"/>
          <w:spacing w:val="0"/>
          <w:lang w:val="de-DE"/>
        </w:rPr>
        <w:t xml:space="preserve">WG-DST </w:t>
      </w:r>
      <w:r w:rsidRPr="000C7DC8">
        <w:rPr>
          <w:rStyle w:val="f21"/>
          <w:spacing w:val="0"/>
          <w:lang w:val="de-DE"/>
        </w:rPr>
        <w:t xml:space="preserve">ausgeweitet wurden, um Empfehlungen für den </w:t>
      </w:r>
      <w:r w:rsidRPr="000C7DC8">
        <w:rPr>
          <w:rFonts w:cs="Arial"/>
          <w:snapToGrid w:val="0"/>
          <w:spacing w:val="0"/>
          <w:lang w:val="de-DE" w:eastAsia="ja-JP"/>
        </w:rPr>
        <w:t xml:space="preserve">CAJ betreffend </w:t>
      </w:r>
      <w:r w:rsidR="000C7DC8" w:rsidRPr="000C7DC8">
        <w:rPr>
          <w:rFonts w:cs="Arial"/>
          <w:snapToGrid w:val="0"/>
          <w:spacing w:val="0"/>
          <w:lang w:val="de-DE" w:eastAsia="ja-JP"/>
        </w:rPr>
        <w:t xml:space="preserve">die Überarbeitung des Dokuments </w:t>
      </w:r>
      <w:r w:rsidRPr="000C7DC8">
        <w:rPr>
          <w:rFonts w:cs="Arial"/>
          <w:snapToGrid w:val="0"/>
          <w:spacing w:val="0"/>
          <w:lang w:val="de-DE" w:eastAsia="ja-JP"/>
        </w:rPr>
        <w:t>UPOV/INF/12</w:t>
      </w:r>
      <w:r w:rsidR="000C7DC8" w:rsidRPr="000C7DC8">
        <w:rPr>
          <w:rFonts w:cs="Arial"/>
          <w:snapToGrid w:val="0"/>
          <w:spacing w:val="0"/>
          <w:lang w:val="de-DE" w:eastAsia="ja-JP"/>
        </w:rPr>
        <w:t xml:space="preserve"> „</w:t>
      </w:r>
      <w:r w:rsidRPr="000C7DC8">
        <w:rPr>
          <w:rFonts w:cs="Arial"/>
          <w:snapToGrid w:val="0"/>
          <w:spacing w:val="0"/>
          <w:lang w:val="de-DE" w:eastAsia="ja-JP"/>
        </w:rPr>
        <w:t>Erläuterungen zu Sortenbezeichnungen nach dem UPOV-Übereinkommen“, auszuarbeiten (soll zur WG</w:t>
      </w:r>
      <w:r w:rsidR="001044B2" w:rsidRPr="000C7DC8">
        <w:rPr>
          <w:rFonts w:cs="Arial"/>
          <w:snapToGrid w:val="0"/>
          <w:spacing w:val="0"/>
          <w:lang w:val="de-DE" w:eastAsia="ja-JP"/>
        </w:rPr>
        <w:noBreakHyphen/>
      </w:r>
      <w:r w:rsidRPr="000C7DC8">
        <w:rPr>
          <w:rFonts w:cs="Arial"/>
          <w:snapToGrid w:val="0"/>
          <w:spacing w:val="0"/>
          <w:lang w:val="de-DE" w:eastAsia="ja-JP"/>
        </w:rPr>
        <w:t>DEN werden)</w:t>
      </w:r>
      <w:r w:rsidR="001044B2" w:rsidRPr="000C7DC8">
        <w:rPr>
          <w:rFonts w:cs="Arial"/>
          <w:snapToGrid w:val="0"/>
          <w:spacing w:val="0"/>
          <w:lang w:val="de-DE" w:eastAsia="ja-JP"/>
        </w:rPr>
        <w:t>,</w:t>
      </w:r>
      <w:r w:rsidRPr="000C7DC8">
        <w:rPr>
          <w:rFonts w:cs="Arial"/>
          <w:snapToGrid w:val="0"/>
          <w:spacing w:val="0"/>
          <w:lang w:val="de-DE" w:eastAsia="ja-JP"/>
        </w:rPr>
        <w:t xml:space="preserve"> und daß die WG-DEN in der Woche der UPOV</w:t>
      </w:r>
      <w:r w:rsidRPr="000C7DC8">
        <w:rPr>
          <w:rFonts w:cs="Arial"/>
          <w:snapToGrid w:val="0"/>
          <w:spacing w:val="0"/>
          <w:lang w:val="de-DE" w:eastAsia="ja-JP"/>
        </w:rPr>
        <w:noBreakHyphen/>
        <w:t>Tagungen am 18.</w:t>
      </w:r>
      <w:r w:rsidR="00073EF4" w:rsidRPr="000C7DC8">
        <w:rPr>
          <w:rFonts w:cs="Arial"/>
          <w:snapToGrid w:val="0"/>
          <w:spacing w:val="0"/>
          <w:lang w:val="de-DE" w:eastAsia="ja-JP"/>
        </w:rPr>
        <w:t> </w:t>
      </w:r>
      <w:r w:rsidRPr="000C7DC8">
        <w:rPr>
          <w:rFonts w:cs="Arial"/>
          <w:snapToGrid w:val="0"/>
          <w:spacing w:val="0"/>
          <w:lang w:val="de-DE" w:eastAsia="ja-JP"/>
        </w:rPr>
        <w:t>März 2016 zusammentreten wird, und</w:t>
      </w:r>
    </w:p>
    <w:p w:rsidR="00E500AB" w:rsidRPr="000C7DC8" w:rsidRDefault="00E500AB" w:rsidP="00E500AB">
      <w:pPr>
        <w:keepNext/>
        <w:ind w:left="4820" w:firstLine="567"/>
        <w:rPr>
          <w:rFonts w:cs="Arial"/>
          <w:i/>
          <w:lang w:val="de-DE" w:eastAsia="ja-JP"/>
        </w:rPr>
      </w:pPr>
    </w:p>
    <w:p w:rsidR="00E500AB" w:rsidRPr="000C7DC8" w:rsidRDefault="00E500AB" w:rsidP="001044B2">
      <w:pPr>
        <w:pStyle w:val="dec"/>
        <w:tabs>
          <w:tab w:val="left" w:pos="5954"/>
        </w:tabs>
        <w:spacing w:after="120"/>
        <w:ind w:left="4820" w:firstLine="567"/>
        <w:rPr>
          <w:rFonts w:cs="Arial"/>
          <w:spacing w:val="0"/>
          <w:lang w:val="de-DE"/>
        </w:rPr>
      </w:pPr>
      <w:r w:rsidRPr="000C7DC8">
        <w:rPr>
          <w:rFonts w:eastAsia="MS Mincho" w:cs="Arial"/>
          <w:spacing w:val="0"/>
          <w:lang w:val="de-DE" w:eastAsia="ja-JP"/>
        </w:rPr>
        <w:t>d</w:t>
      </w:r>
      <w:r w:rsidRPr="000C7DC8">
        <w:rPr>
          <w:rFonts w:cs="Arial"/>
          <w:spacing w:val="0"/>
          <w:lang w:val="de-DE"/>
        </w:rPr>
        <w:t>)</w:t>
      </w:r>
      <w:r w:rsidRPr="000C7DC8">
        <w:rPr>
          <w:rFonts w:cs="Arial"/>
          <w:spacing w:val="0"/>
          <w:lang w:val="de-DE"/>
        </w:rPr>
        <w:tab/>
        <w:t xml:space="preserve">daß das Verbandsbüro ein Rundschreiben herausgegeben hat, in dem die Mitglieder </w:t>
      </w:r>
      <w:r w:rsidR="001044B2" w:rsidRPr="000C7DC8">
        <w:rPr>
          <w:rFonts w:cs="Arial"/>
          <w:spacing w:val="0"/>
          <w:lang w:val="de-DE"/>
        </w:rPr>
        <w:t xml:space="preserve">und Beobachter des CAJ </w:t>
      </w:r>
      <w:r w:rsidRPr="000C7DC8">
        <w:rPr>
          <w:rFonts w:cs="Arial"/>
          <w:spacing w:val="0"/>
          <w:lang w:val="de-DE"/>
        </w:rPr>
        <w:t xml:space="preserve">sowie die Mitglieder der WG-DST ersucht werden, ihr Interesse an einer Teilnahme an der WG-DEN zu </w:t>
      </w:r>
      <w:r w:rsidR="00170A37" w:rsidRPr="000C7DC8">
        <w:rPr>
          <w:rFonts w:cs="Arial"/>
          <w:spacing w:val="0"/>
          <w:lang w:val="de-DE"/>
        </w:rPr>
        <w:t>äußern</w:t>
      </w:r>
      <w:r w:rsidRPr="000C7DC8">
        <w:rPr>
          <w:rFonts w:cs="Arial"/>
          <w:spacing w:val="0"/>
          <w:lang w:val="de-DE"/>
        </w:rPr>
        <w:t xml:space="preserve"> und Bemerkungen zu Dokument UPOV/INF/12/5 abzugeben.</w:t>
      </w:r>
    </w:p>
    <w:p w:rsidR="00D0753E" w:rsidRPr="004B1F8F" w:rsidRDefault="00D0753E" w:rsidP="007A1349">
      <w:pPr>
        <w:rPr>
          <w:lang w:val="de-DE"/>
        </w:rPr>
      </w:pPr>
    </w:p>
    <w:p w:rsidR="007A1349" w:rsidRPr="004B1F8F" w:rsidRDefault="007A1349" w:rsidP="007A1349">
      <w:pPr>
        <w:rPr>
          <w:lang w:val="de-DE"/>
        </w:rPr>
      </w:pPr>
    </w:p>
    <w:p w:rsidR="007A1349" w:rsidRPr="004B1F8F" w:rsidRDefault="007A1349" w:rsidP="007A1349">
      <w:pPr>
        <w:rPr>
          <w:lang w:val="de-DE"/>
        </w:rPr>
      </w:pPr>
      <w:bookmarkStart w:id="22" w:name="_GoBack"/>
      <w:bookmarkEnd w:id="22"/>
    </w:p>
    <w:p w:rsidR="00F44C35" w:rsidRPr="004B1F8F" w:rsidRDefault="00F551A2" w:rsidP="00D0753E">
      <w:pPr>
        <w:pStyle w:val="dec"/>
        <w:tabs>
          <w:tab w:val="left" w:pos="5387"/>
          <w:tab w:val="left" w:pos="5954"/>
        </w:tabs>
        <w:ind w:left="4820" w:firstLine="567"/>
        <w:jc w:val="right"/>
        <w:rPr>
          <w:rFonts w:cs="Arial"/>
          <w:i w:val="0"/>
          <w:lang w:val="de-DE"/>
        </w:rPr>
      </w:pPr>
      <w:r w:rsidRPr="004B1F8F">
        <w:rPr>
          <w:rFonts w:cs="Arial"/>
          <w:i w:val="0"/>
          <w:lang w:val="de-DE"/>
        </w:rPr>
        <w:t>[End</w:t>
      </w:r>
      <w:r w:rsidR="00E500AB" w:rsidRPr="004B1F8F">
        <w:rPr>
          <w:rFonts w:cs="Arial"/>
          <w:i w:val="0"/>
          <w:lang w:val="de-DE"/>
        </w:rPr>
        <w:t>e</w:t>
      </w:r>
      <w:r w:rsidRPr="004B1F8F">
        <w:rPr>
          <w:rFonts w:cs="Arial"/>
          <w:i w:val="0"/>
          <w:lang w:val="de-DE"/>
        </w:rPr>
        <w:t xml:space="preserve"> </w:t>
      </w:r>
      <w:r w:rsidR="00E500AB" w:rsidRPr="004B1F8F">
        <w:rPr>
          <w:rFonts w:cs="Arial"/>
          <w:i w:val="0"/>
          <w:lang w:val="de-DE"/>
        </w:rPr>
        <w:t>des</w:t>
      </w:r>
      <w:r w:rsidRPr="004B1F8F">
        <w:rPr>
          <w:rFonts w:cs="Arial"/>
          <w:i w:val="0"/>
          <w:lang w:val="de-DE"/>
        </w:rPr>
        <w:t xml:space="preserve"> </w:t>
      </w:r>
      <w:r w:rsidR="008C7675" w:rsidRPr="004B1F8F">
        <w:rPr>
          <w:rFonts w:cs="Arial"/>
          <w:i w:val="0"/>
          <w:lang w:val="de-DE"/>
        </w:rPr>
        <w:t>Dokument</w:t>
      </w:r>
      <w:r w:rsidR="00E500AB" w:rsidRPr="004B1F8F">
        <w:rPr>
          <w:rFonts w:cs="Arial"/>
          <w:i w:val="0"/>
          <w:lang w:val="de-DE"/>
        </w:rPr>
        <w:t>s</w:t>
      </w:r>
      <w:r w:rsidRPr="004B1F8F">
        <w:rPr>
          <w:rFonts w:cs="Arial"/>
          <w:i w:val="0"/>
          <w:lang w:val="de-DE"/>
        </w:rPr>
        <w:t>]</w:t>
      </w:r>
    </w:p>
    <w:sectPr w:rsidR="00F44C35" w:rsidRPr="004B1F8F" w:rsidSect="00377FF4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54B" w:rsidRDefault="0060254B" w:rsidP="00822961">
      <w:r>
        <w:separator/>
      </w:r>
    </w:p>
  </w:endnote>
  <w:endnote w:type="continuationSeparator" w:id="0">
    <w:p w:rsidR="0060254B" w:rsidRDefault="0060254B" w:rsidP="0082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54B" w:rsidRDefault="0060254B" w:rsidP="00822961">
      <w:r>
        <w:separator/>
      </w:r>
    </w:p>
  </w:footnote>
  <w:footnote w:type="continuationSeparator" w:id="0">
    <w:p w:rsidR="0060254B" w:rsidRDefault="0060254B" w:rsidP="00822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C35" w:rsidRPr="00997029" w:rsidRDefault="00F44C35" w:rsidP="00377FF4">
    <w:pPr>
      <w:pStyle w:val="Header"/>
      <w:rPr>
        <w:rStyle w:val="PageNumber"/>
      </w:rPr>
    </w:pPr>
    <w:r>
      <w:rPr>
        <w:rStyle w:val="PageNumber"/>
      </w:rPr>
      <w:t>TC/5</w:t>
    </w:r>
    <w:r w:rsidR="008C6F4B">
      <w:rPr>
        <w:rStyle w:val="PageNumber"/>
        <w:rFonts w:hint="eastAsia"/>
        <w:lang w:eastAsia="ja-JP"/>
      </w:rPr>
      <w:t>2</w:t>
    </w:r>
    <w:r>
      <w:rPr>
        <w:rStyle w:val="PageNumber"/>
        <w:rFonts w:hint="eastAsia"/>
        <w:lang w:eastAsia="ja-JP"/>
      </w:rPr>
      <w:t>/</w:t>
    </w:r>
    <w:r>
      <w:rPr>
        <w:rStyle w:val="PageNumber"/>
      </w:rPr>
      <w:t>12</w:t>
    </w:r>
  </w:p>
  <w:p w:rsidR="00F44C35" w:rsidRPr="00997029" w:rsidRDefault="00AB71CF" w:rsidP="00377FF4">
    <w:pPr>
      <w:pStyle w:val="Header"/>
    </w:pPr>
    <w:r>
      <w:t>Seit</w:t>
    </w:r>
    <w:r w:rsidR="00F44C35" w:rsidRPr="00997029">
      <w:t xml:space="preserve">e </w:t>
    </w:r>
    <w:r w:rsidR="00F44C35" w:rsidRPr="00997029">
      <w:rPr>
        <w:rStyle w:val="PageNumber"/>
      </w:rPr>
      <w:fldChar w:fldCharType="begin"/>
    </w:r>
    <w:r w:rsidR="00F44C35" w:rsidRPr="00997029">
      <w:rPr>
        <w:rStyle w:val="PageNumber"/>
      </w:rPr>
      <w:instrText xml:space="preserve"> PAGE </w:instrText>
    </w:r>
    <w:r w:rsidR="00F44C35" w:rsidRPr="00997029">
      <w:rPr>
        <w:rStyle w:val="PageNumber"/>
      </w:rPr>
      <w:fldChar w:fldCharType="separate"/>
    </w:r>
    <w:r w:rsidR="001A1818">
      <w:rPr>
        <w:rStyle w:val="PageNumber"/>
        <w:noProof/>
      </w:rPr>
      <w:t>6</w:t>
    </w:r>
    <w:r w:rsidR="00F44C35" w:rsidRPr="00997029">
      <w:rPr>
        <w:rStyle w:val="PageNumber"/>
      </w:rPr>
      <w:fldChar w:fldCharType="end"/>
    </w:r>
  </w:p>
  <w:p w:rsidR="00F44C35" w:rsidRPr="00997029" w:rsidRDefault="00F44C35" w:rsidP="00377FF4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094C"/>
    <w:multiLevelType w:val="hybridMultilevel"/>
    <w:tmpl w:val="BF26958A"/>
    <w:lvl w:ilvl="0" w:tplc="32FC68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DE121CD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5145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1960F0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84CE6F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D690D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E9C60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33428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C9AC75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">
    <w:nsid w:val="2A1B1583"/>
    <w:multiLevelType w:val="singleLevel"/>
    <w:tmpl w:val="E1787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29D6820"/>
    <w:multiLevelType w:val="hybridMultilevel"/>
    <w:tmpl w:val="C2B2D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7004C7C"/>
    <w:multiLevelType w:val="hybridMultilevel"/>
    <w:tmpl w:val="F2BA6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8096B"/>
    <w:multiLevelType w:val="hybridMultilevel"/>
    <w:tmpl w:val="0A9C5D1E"/>
    <w:lvl w:ilvl="0" w:tplc="A18AA3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25B61E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B33ECC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7AA485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F65E36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C62059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8B5A5B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96EC61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0BB463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5">
    <w:nsid w:val="41272C0A"/>
    <w:multiLevelType w:val="hybridMultilevel"/>
    <w:tmpl w:val="9C22679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AA3FDB"/>
    <w:multiLevelType w:val="hybridMultilevel"/>
    <w:tmpl w:val="C7B63D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3775F5"/>
    <w:multiLevelType w:val="hybridMultilevel"/>
    <w:tmpl w:val="0D166088"/>
    <w:lvl w:ilvl="0" w:tplc="D1C611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BBDC7C3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79345F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DB9ED1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AE6E38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AA7C0B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2110A7D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D8FE3D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468A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8">
    <w:nsid w:val="777B7CAB"/>
    <w:multiLevelType w:val="hybridMultilevel"/>
    <w:tmpl w:val="F748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  <w:num w:numId="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131078" w:nlCheck="1" w:checkStyle="1"/>
  <w:activeWritingStyle w:appName="MSWord" w:lang="en-GB" w:vendorID="64" w:dllVersion="131078" w:nlCheck="1" w:checkStyle="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00531"/>
    <w:rsid w:val="00002775"/>
    <w:rsid w:val="00002A8E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4723"/>
    <w:rsid w:val="000162E4"/>
    <w:rsid w:val="0001787D"/>
    <w:rsid w:val="000206FC"/>
    <w:rsid w:val="000208DA"/>
    <w:rsid w:val="00021087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2C02"/>
    <w:rsid w:val="000351A2"/>
    <w:rsid w:val="000354B4"/>
    <w:rsid w:val="00035D04"/>
    <w:rsid w:val="00036210"/>
    <w:rsid w:val="000362B4"/>
    <w:rsid w:val="0003732E"/>
    <w:rsid w:val="00040547"/>
    <w:rsid w:val="0004179D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30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3692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EF4"/>
    <w:rsid w:val="00074168"/>
    <w:rsid w:val="00074B8E"/>
    <w:rsid w:val="00074B97"/>
    <w:rsid w:val="00074C3D"/>
    <w:rsid w:val="000762E5"/>
    <w:rsid w:val="00076651"/>
    <w:rsid w:val="00077138"/>
    <w:rsid w:val="00080744"/>
    <w:rsid w:val="00082605"/>
    <w:rsid w:val="00082F8A"/>
    <w:rsid w:val="00083D83"/>
    <w:rsid w:val="00083E36"/>
    <w:rsid w:val="0008525F"/>
    <w:rsid w:val="000855FB"/>
    <w:rsid w:val="00085885"/>
    <w:rsid w:val="00085A1E"/>
    <w:rsid w:val="00086DA8"/>
    <w:rsid w:val="0009063D"/>
    <w:rsid w:val="000906CD"/>
    <w:rsid w:val="000916DC"/>
    <w:rsid w:val="00091F9C"/>
    <w:rsid w:val="00092143"/>
    <w:rsid w:val="0009226C"/>
    <w:rsid w:val="00093556"/>
    <w:rsid w:val="00093F65"/>
    <w:rsid w:val="00094A83"/>
    <w:rsid w:val="00095525"/>
    <w:rsid w:val="00095A20"/>
    <w:rsid w:val="000A0D14"/>
    <w:rsid w:val="000A14C2"/>
    <w:rsid w:val="000A16C8"/>
    <w:rsid w:val="000A1D0F"/>
    <w:rsid w:val="000A2039"/>
    <w:rsid w:val="000A242A"/>
    <w:rsid w:val="000A2F5D"/>
    <w:rsid w:val="000A3293"/>
    <w:rsid w:val="000A4E0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C7DC8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2DDA"/>
    <w:rsid w:val="000E37F8"/>
    <w:rsid w:val="000E3FE3"/>
    <w:rsid w:val="000E4221"/>
    <w:rsid w:val="000E491C"/>
    <w:rsid w:val="000E562B"/>
    <w:rsid w:val="000E5C22"/>
    <w:rsid w:val="000E7A1B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100AB7"/>
    <w:rsid w:val="00100D18"/>
    <w:rsid w:val="00101F79"/>
    <w:rsid w:val="00101FD5"/>
    <w:rsid w:val="00103274"/>
    <w:rsid w:val="001044B2"/>
    <w:rsid w:val="0010482D"/>
    <w:rsid w:val="00104864"/>
    <w:rsid w:val="00104F4D"/>
    <w:rsid w:val="001051F1"/>
    <w:rsid w:val="00105420"/>
    <w:rsid w:val="00106091"/>
    <w:rsid w:val="00106F43"/>
    <w:rsid w:val="00111C96"/>
    <w:rsid w:val="0011245B"/>
    <w:rsid w:val="00113AE2"/>
    <w:rsid w:val="001166FC"/>
    <w:rsid w:val="00120461"/>
    <w:rsid w:val="00122F6C"/>
    <w:rsid w:val="00127C0D"/>
    <w:rsid w:val="0013000A"/>
    <w:rsid w:val="00130571"/>
    <w:rsid w:val="00131413"/>
    <w:rsid w:val="00131973"/>
    <w:rsid w:val="00131DA6"/>
    <w:rsid w:val="00132C88"/>
    <w:rsid w:val="00133122"/>
    <w:rsid w:val="00133DEF"/>
    <w:rsid w:val="001350AE"/>
    <w:rsid w:val="00135728"/>
    <w:rsid w:val="0013633B"/>
    <w:rsid w:val="001401B9"/>
    <w:rsid w:val="001412B2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241A"/>
    <w:rsid w:val="001629E2"/>
    <w:rsid w:val="001641C6"/>
    <w:rsid w:val="00165579"/>
    <w:rsid w:val="00167EC8"/>
    <w:rsid w:val="00167FBD"/>
    <w:rsid w:val="001703F3"/>
    <w:rsid w:val="001706B9"/>
    <w:rsid w:val="00170A37"/>
    <w:rsid w:val="00171099"/>
    <w:rsid w:val="00172A6A"/>
    <w:rsid w:val="00176502"/>
    <w:rsid w:val="001769B8"/>
    <w:rsid w:val="00177001"/>
    <w:rsid w:val="00177708"/>
    <w:rsid w:val="0017786C"/>
    <w:rsid w:val="00180595"/>
    <w:rsid w:val="00180802"/>
    <w:rsid w:val="001811B0"/>
    <w:rsid w:val="001815F2"/>
    <w:rsid w:val="00185DEA"/>
    <w:rsid w:val="001870D8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351"/>
    <w:rsid w:val="00195503"/>
    <w:rsid w:val="001956F6"/>
    <w:rsid w:val="001960CC"/>
    <w:rsid w:val="00197074"/>
    <w:rsid w:val="001976BB"/>
    <w:rsid w:val="001A0105"/>
    <w:rsid w:val="001A08A2"/>
    <w:rsid w:val="001A1679"/>
    <w:rsid w:val="001A1818"/>
    <w:rsid w:val="001A1940"/>
    <w:rsid w:val="001A387A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86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A59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981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0EEC"/>
    <w:rsid w:val="002334C6"/>
    <w:rsid w:val="00233B80"/>
    <w:rsid w:val="00233F1F"/>
    <w:rsid w:val="00236F3A"/>
    <w:rsid w:val="002403C8"/>
    <w:rsid w:val="00240860"/>
    <w:rsid w:val="00242EB1"/>
    <w:rsid w:val="002432FA"/>
    <w:rsid w:val="002437D1"/>
    <w:rsid w:val="00243953"/>
    <w:rsid w:val="002453DC"/>
    <w:rsid w:val="00245FF4"/>
    <w:rsid w:val="0024755E"/>
    <w:rsid w:val="002509D7"/>
    <w:rsid w:val="00251097"/>
    <w:rsid w:val="00252A34"/>
    <w:rsid w:val="00255928"/>
    <w:rsid w:val="002560D7"/>
    <w:rsid w:val="00256210"/>
    <w:rsid w:val="00260B84"/>
    <w:rsid w:val="00260F87"/>
    <w:rsid w:val="00261F07"/>
    <w:rsid w:val="002629CA"/>
    <w:rsid w:val="00262D64"/>
    <w:rsid w:val="00265AF2"/>
    <w:rsid w:val="002668EC"/>
    <w:rsid w:val="00266AE7"/>
    <w:rsid w:val="00267280"/>
    <w:rsid w:val="00270479"/>
    <w:rsid w:val="00270CF1"/>
    <w:rsid w:val="0027174A"/>
    <w:rsid w:val="002730CC"/>
    <w:rsid w:val="00275D7F"/>
    <w:rsid w:val="00275EF2"/>
    <w:rsid w:val="00276166"/>
    <w:rsid w:val="002766B6"/>
    <w:rsid w:val="002777B8"/>
    <w:rsid w:val="00280406"/>
    <w:rsid w:val="00280426"/>
    <w:rsid w:val="00280BF5"/>
    <w:rsid w:val="00281DF2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41E"/>
    <w:rsid w:val="00291D33"/>
    <w:rsid w:val="00292460"/>
    <w:rsid w:val="00292CE5"/>
    <w:rsid w:val="0029329A"/>
    <w:rsid w:val="00293ED3"/>
    <w:rsid w:val="00294904"/>
    <w:rsid w:val="00294DB4"/>
    <w:rsid w:val="00295353"/>
    <w:rsid w:val="00297213"/>
    <w:rsid w:val="002973EA"/>
    <w:rsid w:val="00297B8D"/>
    <w:rsid w:val="002A07D0"/>
    <w:rsid w:val="002A0A33"/>
    <w:rsid w:val="002A199F"/>
    <w:rsid w:val="002A29A5"/>
    <w:rsid w:val="002A3501"/>
    <w:rsid w:val="002A3D46"/>
    <w:rsid w:val="002A56B5"/>
    <w:rsid w:val="002A5A71"/>
    <w:rsid w:val="002A5ECE"/>
    <w:rsid w:val="002A60E6"/>
    <w:rsid w:val="002A7756"/>
    <w:rsid w:val="002B13E8"/>
    <w:rsid w:val="002B33A3"/>
    <w:rsid w:val="002B3CB7"/>
    <w:rsid w:val="002B52E9"/>
    <w:rsid w:val="002B5EB6"/>
    <w:rsid w:val="002B6038"/>
    <w:rsid w:val="002C5439"/>
    <w:rsid w:val="002C57C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88F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44F2"/>
    <w:rsid w:val="002F5834"/>
    <w:rsid w:val="002F6A5B"/>
    <w:rsid w:val="002F7C69"/>
    <w:rsid w:val="002F7F8A"/>
    <w:rsid w:val="00300EB9"/>
    <w:rsid w:val="003012F6"/>
    <w:rsid w:val="003024B5"/>
    <w:rsid w:val="0030281F"/>
    <w:rsid w:val="0030435A"/>
    <w:rsid w:val="00305903"/>
    <w:rsid w:val="00305D05"/>
    <w:rsid w:val="00306247"/>
    <w:rsid w:val="003077CA"/>
    <w:rsid w:val="00307A9E"/>
    <w:rsid w:val="00307AC6"/>
    <w:rsid w:val="0031187D"/>
    <w:rsid w:val="003127A5"/>
    <w:rsid w:val="00313974"/>
    <w:rsid w:val="00314381"/>
    <w:rsid w:val="00314BB8"/>
    <w:rsid w:val="00314CF8"/>
    <w:rsid w:val="00315460"/>
    <w:rsid w:val="003156B9"/>
    <w:rsid w:val="00315915"/>
    <w:rsid w:val="003159C3"/>
    <w:rsid w:val="0031633F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446A"/>
    <w:rsid w:val="00334558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140A"/>
    <w:rsid w:val="00352499"/>
    <w:rsid w:val="003526C7"/>
    <w:rsid w:val="003526EA"/>
    <w:rsid w:val="00354B79"/>
    <w:rsid w:val="0035506D"/>
    <w:rsid w:val="0035533A"/>
    <w:rsid w:val="003566BA"/>
    <w:rsid w:val="00357F8D"/>
    <w:rsid w:val="003624A3"/>
    <w:rsid w:val="00362DFB"/>
    <w:rsid w:val="00364D90"/>
    <w:rsid w:val="0036502F"/>
    <w:rsid w:val="0036717D"/>
    <w:rsid w:val="003677C6"/>
    <w:rsid w:val="003709D6"/>
    <w:rsid w:val="003711CB"/>
    <w:rsid w:val="00371545"/>
    <w:rsid w:val="00371FFE"/>
    <w:rsid w:val="00372C60"/>
    <w:rsid w:val="00372EAA"/>
    <w:rsid w:val="00372F0B"/>
    <w:rsid w:val="003730E9"/>
    <w:rsid w:val="00373211"/>
    <w:rsid w:val="003772B8"/>
    <w:rsid w:val="003774DA"/>
    <w:rsid w:val="0037768F"/>
    <w:rsid w:val="00377FF4"/>
    <w:rsid w:val="00380A87"/>
    <w:rsid w:val="00380AE4"/>
    <w:rsid w:val="00381DEE"/>
    <w:rsid w:val="00382B96"/>
    <w:rsid w:val="003839BE"/>
    <w:rsid w:val="00383CA3"/>
    <w:rsid w:val="00385E3C"/>
    <w:rsid w:val="003868FD"/>
    <w:rsid w:val="003911C4"/>
    <w:rsid w:val="003911FB"/>
    <w:rsid w:val="00391411"/>
    <w:rsid w:val="00391A76"/>
    <w:rsid w:val="00394208"/>
    <w:rsid w:val="00396AC0"/>
    <w:rsid w:val="003A002F"/>
    <w:rsid w:val="003A0663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172A"/>
    <w:rsid w:val="003B215F"/>
    <w:rsid w:val="003B2370"/>
    <w:rsid w:val="003B2927"/>
    <w:rsid w:val="003B5C6C"/>
    <w:rsid w:val="003B670A"/>
    <w:rsid w:val="003B74CD"/>
    <w:rsid w:val="003C0AC2"/>
    <w:rsid w:val="003C0C8B"/>
    <w:rsid w:val="003C11E2"/>
    <w:rsid w:val="003C13EA"/>
    <w:rsid w:val="003C18DB"/>
    <w:rsid w:val="003C1C4A"/>
    <w:rsid w:val="003C3DE3"/>
    <w:rsid w:val="003C5DB7"/>
    <w:rsid w:val="003C681B"/>
    <w:rsid w:val="003C7AC0"/>
    <w:rsid w:val="003D15FB"/>
    <w:rsid w:val="003D2AD2"/>
    <w:rsid w:val="003D3694"/>
    <w:rsid w:val="003D3956"/>
    <w:rsid w:val="003D3BE0"/>
    <w:rsid w:val="003D6645"/>
    <w:rsid w:val="003D73E3"/>
    <w:rsid w:val="003D7A69"/>
    <w:rsid w:val="003D7AB1"/>
    <w:rsid w:val="003E02A5"/>
    <w:rsid w:val="003E08A3"/>
    <w:rsid w:val="003E1463"/>
    <w:rsid w:val="003E1B82"/>
    <w:rsid w:val="003E23B4"/>
    <w:rsid w:val="003E2531"/>
    <w:rsid w:val="003E25D4"/>
    <w:rsid w:val="003E2C7F"/>
    <w:rsid w:val="003E376C"/>
    <w:rsid w:val="003E4515"/>
    <w:rsid w:val="003E45E4"/>
    <w:rsid w:val="003E4C27"/>
    <w:rsid w:val="003E5C14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3F9F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739"/>
    <w:rsid w:val="0041053C"/>
    <w:rsid w:val="00411203"/>
    <w:rsid w:val="00411A9E"/>
    <w:rsid w:val="004126B6"/>
    <w:rsid w:val="00412E09"/>
    <w:rsid w:val="00414E05"/>
    <w:rsid w:val="00414ED4"/>
    <w:rsid w:val="00415150"/>
    <w:rsid w:val="00415C9E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38B2"/>
    <w:rsid w:val="00434151"/>
    <w:rsid w:val="00434FEF"/>
    <w:rsid w:val="004401FC"/>
    <w:rsid w:val="00443537"/>
    <w:rsid w:val="00443CED"/>
    <w:rsid w:val="004449D5"/>
    <w:rsid w:val="00445492"/>
    <w:rsid w:val="004454BC"/>
    <w:rsid w:val="004458CD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F66"/>
    <w:rsid w:val="004662EE"/>
    <w:rsid w:val="004663DB"/>
    <w:rsid w:val="004665EE"/>
    <w:rsid w:val="00466F95"/>
    <w:rsid w:val="00470205"/>
    <w:rsid w:val="00472A58"/>
    <w:rsid w:val="00473812"/>
    <w:rsid w:val="004757E7"/>
    <w:rsid w:val="0047691A"/>
    <w:rsid w:val="00476E80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A7314"/>
    <w:rsid w:val="004B07C3"/>
    <w:rsid w:val="004B1F8F"/>
    <w:rsid w:val="004B4AD0"/>
    <w:rsid w:val="004B4B82"/>
    <w:rsid w:val="004B506E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5E8C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F5"/>
    <w:rsid w:val="004D7637"/>
    <w:rsid w:val="004D7A17"/>
    <w:rsid w:val="004E0C17"/>
    <w:rsid w:val="004E1AF5"/>
    <w:rsid w:val="004E3C65"/>
    <w:rsid w:val="004E3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710E"/>
    <w:rsid w:val="005074D8"/>
    <w:rsid w:val="00507E04"/>
    <w:rsid w:val="00510EB1"/>
    <w:rsid w:val="00511731"/>
    <w:rsid w:val="00512FC9"/>
    <w:rsid w:val="005131CD"/>
    <w:rsid w:val="005146C4"/>
    <w:rsid w:val="00514760"/>
    <w:rsid w:val="005172B2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D1A"/>
    <w:rsid w:val="00543F37"/>
    <w:rsid w:val="00546DB4"/>
    <w:rsid w:val="00546F4D"/>
    <w:rsid w:val="00547816"/>
    <w:rsid w:val="00547E3C"/>
    <w:rsid w:val="005513DF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099"/>
    <w:rsid w:val="005853AF"/>
    <w:rsid w:val="00587BE6"/>
    <w:rsid w:val="0059000E"/>
    <w:rsid w:val="00590D24"/>
    <w:rsid w:val="00591010"/>
    <w:rsid w:val="00592C5D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654E"/>
    <w:rsid w:val="005B1117"/>
    <w:rsid w:val="005B1882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9FF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2F41"/>
    <w:rsid w:val="005E38FD"/>
    <w:rsid w:val="005E3ECF"/>
    <w:rsid w:val="005E40F4"/>
    <w:rsid w:val="005E5265"/>
    <w:rsid w:val="005E532E"/>
    <w:rsid w:val="005E6790"/>
    <w:rsid w:val="005F0328"/>
    <w:rsid w:val="005F03EB"/>
    <w:rsid w:val="005F16FB"/>
    <w:rsid w:val="005F4000"/>
    <w:rsid w:val="005F4D73"/>
    <w:rsid w:val="005F56C7"/>
    <w:rsid w:val="005F6641"/>
    <w:rsid w:val="005F69DD"/>
    <w:rsid w:val="005F6A20"/>
    <w:rsid w:val="005F6B6F"/>
    <w:rsid w:val="005F703B"/>
    <w:rsid w:val="005F74EC"/>
    <w:rsid w:val="00600FF7"/>
    <w:rsid w:val="00601171"/>
    <w:rsid w:val="00601B8D"/>
    <w:rsid w:val="0060205C"/>
    <w:rsid w:val="0060254B"/>
    <w:rsid w:val="00603BB6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530A"/>
    <w:rsid w:val="0062679D"/>
    <w:rsid w:val="00626B9D"/>
    <w:rsid w:val="00627F3C"/>
    <w:rsid w:val="006319D6"/>
    <w:rsid w:val="00631DB2"/>
    <w:rsid w:val="006333EC"/>
    <w:rsid w:val="00633793"/>
    <w:rsid w:val="00634C7E"/>
    <w:rsid w:val="00634DB2"/>
    <w:rsid w:val="00635959"/>
    <w:rsid w:val="006376C3"/>
    <w:rsid w:val="0064223D"/>
    <w:rsid w:val="00642B0B"/>
    <w:rsid w:val="00643649"/>
    <w:rsid w:val="006443ED"/>
    <w:rsid w:val="0064485D"/>
    <w:rsid w:val="00645B98"/>
    <w:rsid w:val="00645F6B"/>
    <w:rsid w:val="0064661D"/>
    <w:rsid w:val="006466AA"/>
    <w:rsid w:val="00646C3A"/>
    <w:rsid w:val="00646EBF"/>
    <w:rsid w:val="00647286"/>
    <w:rsid w:val="0064750A"/>
    <w:rsid w:val="006477D2"/>
    <w:rsid w:val="006502C7"/>
    <w:rsid w:val="00650370"/>
    <w:rsid w:val="006531B5"/>
    <w:rsid w:val="00653610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67DEC"/>
    <w:rsid w:val="006701FD"/>
    <w:rsid w:val="006702E4"/>
    <w:rsid w:val="006713E6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4620"/>
    <w:rsid w:val="0068533F"/>
    <w:rsid w:val="006854B3"/>
    <w:rsid w:val="00685525"/>
    <w:rsid w:val="0068562E"/>
    <w:rsid w:val="0068688B"/>
    <w:rsid w:val="00686ECD"/>
    <w:rsid w:val="00686F03"/>
    <w:rsid w:val="00687D47"/>
    <w:rsid w:val="0069009C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97DAE"/>
    <w:rsid w:val="006A1CD0"/>
    <w:rsid w:val="006A394F"/>
    <w:rsid w:val="006A46EF"/>
    <w:rsid w:val="006A59E4"/>
    <w:rsid w:val="006B03E2"/>
    <w:rsid w:val="006B0539"/>
    <w:rsid w:val="006B1269"/>
    <w:rsid w:val="006B26A6"/>
    <w:rsid w:val="006B3AEC"/>
    <w:rsid w:val="006B44DE"/>
    <w:rsid w:val="006B61BA"/>
    <w:rsid w:val="006B67A8"/>
    <w:rsid w:val="006B6B11"/>
    <w:rsid w:val="006C1E31"/>
    <w:rsid w:val="006C3139"/>
    <w:rsid w:val="006C7C62"/>
    <w:rsid w:val="006D026B"/>
    <w:rsid w:val="006D05D3"/>
    <w:rsid w:val="006D08C3"/>
    <w:rsid w:val="006D1CCA"/>
    <w:rsid w:val="006D2359"/>
    <w:rsid w:val="006D265A"/>
    <w:rsid w:val="006D2EDC"/>
    <w:rsid w:val="006D30F2"/>
    <w:rsid w:val="006D313F"/>
    <w:rsid w:val="006D3C53"/>
    <w:rsid w:val="006D6A67"/>
    <w:rsid w:val="006D6C74"/>
    <w:rsid w:val="006D6D94"/>
    <w:rsid w:val="006D7782"/>
    <w:rsid w:val="006E1474"/>
    <w:rsid w:val="006E193B"/>
    <w:rsid w:val="006E2B83"/>
    <w:rsid w:val="006E2C68"/>
    <w:rsid w:val="006E31FF"/>
    <w:rsid w:val="006E3A5F"/>
    <w:rsid w:val="006E3A8E"/>
    <w:rsid w:val="006E3C2E"/>
    <w:rsid w:val="006E4E4E"/>
    <w:rsid w:val="006E5489"/>
    <w:rsid w:val="006E5537"/>
    <w:rsid w:val="006E5D43"/>
    <w:rsid w:val="006E752D"/>
    <w:rsid w:val="006E757B"/>
    <w:rsid w:val="006F12AA"/>
    <w:rsid w:val="006F14D7"/>
    <w:rsid w:val="006F1D2A"/>
    <w:rsid w:val="006F240D"/>
    <w:rsid w:val="006F4357"/>
    <w:rsid w:val="006F5603"/>
    <w:rsid w:val="006F56C5"/>
    <w:rsid w:val="006F6210"/>
    <w:rsid w:val="006F62B1"/>
    <w:rsid w:val="006F687D"/>
    <w:rsid w:val="006F73B0"/>
    <w:rsid w:val="006F75F8"/>
    <w:rsid w:val="00700171"/>
    <w:rsid w:val="0070029C"/>
    <w:rsid w:val="00700C10"/>
    <w:rsid w:val="00701F48"/>
    <w:rsid w:val="0070244E"/>
    <w:rsid w:val="00703BE9"/>
    <w:rsid w:val="00705A54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1DE9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3D3"/>
    <w:rsid w:val="00734A61"/>
    <w:rsid w:val="007369D4"/>
    <w:rsid w:val="00736D73"/>
    <w:rsid w:val="00736FE8"/>
    <w:rsid w:val="007372E2"/>
    <w:rsid w:val="00740108"/>
    <w:rsid w:val="007403E3"/>
    <w:rsid w:val="00740E84"/>
    <w:rsid w:val="0074292A"/>
    <w:rsid w:val="00742972"/>
    <w:rsid w:val="0074400D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7526"/>
    <w:rsid w:val="00761FB7"/>
    <w:rsid w:val="007623E3"/>
    <w:rsid w:val="00763372"/>
    <w:rsid w:val="00766AAD"/>
    <w:rsid w:val="00766F6F"/>
    <w:rsid w:val="00767D20"/>
    <w:rsid w:val="00770A36"/>
    <w:rsid w:val="00771846"/>
    <w:rsid w:val="00773385"/>
    <w:rsid w:val="007735EA"/>
    <w:rsid w:val="00774F51"/>
    <w:rsid w:val="00777AEF"/>
    <w:rsid w:val="00781062"/>
    <w:rsid w:val="00781D3C"/>
    <w:rsid w:val="007825DF"/>
    <w:rsid w:val="00782E26"/>
    <w:rsid w:val="00782F3D"/>
    <w:rsid w:val="0078367A"/>
    <w:rsid w:val="007837BE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1349"/>
    <w:rsid w:val="007A13F5"/>
    <w:rsid w:val="007A5B13"/>
    <w:rsid w:val="007A5B1D"/>
    <w:rsid w:val="007A720D"/>
    <w:rsid w:val="007B0581"/>
    <w:rsid w:val="007B0E4D"/>
    <w:rsid w:val="007B3011"/>
    <w:rsid w:val="007B3903"/>
    <w:rsid w:val="007B4153"/>
    <w:rsid w:val="007B4ACF"/>
    <w:rsid w:val="007B5094"/>
    <w:rsid w:val="007B5B1C"/>
    <w:rsid w:val="007B5BBF"/>
    <w:rsid w:val="007B5D6A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5CEE"/>
    <w:rsid w:val="007C72DC"/>
    <w:rsid w:val="007C7FF9"/>
    <w:rsid w:val="007D1805"/>
    <w:rsid w:val="007D2262"/>
    <w:rsid w:val="007D3FD7"/>
    <w:rsid w:val="007D4460"/>
    <w:rsid w:val="007D5525"/>
    <w:rsid w:val="007D670E"/>
    <w:rsid w:val="007D6D34"/>
    <w:rsid w:val="007E01DE"/>
    <w:rsid w:val="007E0283"/>
    <w:rsid w:val="007E18DD"/>
    <w:rsid w:val="007E210D"/>
    <w:rsid w:val="007E24D0"/>
    <w:rsid w:val="007E2583"/>
    <w:rsid w:val="007E297C"/>
    <w:rsid w:val="007E29DB"/>
    <w:rsid w:val="007E4104"/>
    <w:rsid w:val="007E54F5"/>
    <w:rsid w:val="007E560A"/>
    <w:rsid w:val="007E69EE"/>
    <w:rsid w:val="007E6C5A"/>
    <w:rsid w:val="007E7836"/>
    <w:rsid w:val="007E7869"/>
    <w:rsid w:val="007F0B0F"/>
    <w:rsid w:val="007F0D3C"/>
    <w:rsid w:val="007F1695"/>
    <w:rsid w:val="007F21FC"/>
    <w:rsid w:val="007F2B90"/>
    <w:rsid w:val="007F2ECE"/>
    <w:rsid w:val="007F412B"/>
    <w:rsid w:val="007F5C6F"/>
    <w:rsid w:val="007F6A2B"/>
    <w:rsid w:val="0080101C"/>
    <w:rsid w:val="00801300"/>
    <w:rsid w:val="0080293A"/>
    <w:rsid w:val="00802B83"/>
    <w:rsid w:val="00803D19"/>
    <w:rsid w:val="0080429D"/>
    <w:rsid w:val="0080476C"/>
    <w:rsid w:val="008058F0"/>
    <w:rsid w:val="008059B5"/>
    <w:rsid w:val="00805BDC"/>
    <w:rsid w:val="0080722A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160"/>
    <w:rsid w:val="00821272"/>
    <w:rsid w:val="008212B7"/>
    <w:rsid w:val="00821EB9"/>
    <w:rsid w:val="00821F35"/>
    <w:rsid w:val="008220D0"/>
    <w:rsid w:val="008226C9"/>
    <w:rsid w:val="00822898"/>
    <w:rsid w:val="00822961"/>
    <w:rsid w:val="0082356B"/>
    <w:rsid w:val="00823D91"/>
    <w:rsid w:val="00825B54"/>
    <w:rsid w:val="008264A6"/>
    <w:rsid w:val="00827CAC"/>
    <w:rsid w:val="00832DCD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0E3"/>
    <w:rsid w:val="00862436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F85"/>
    <w:rsid w:val="00875714"/>
    <w:rsid w:val="0087587C"/>
    <w:rsid w:val="008771D1"/>
    <w:rsid w:val="008810DA"/>
    <w:rsid w:val="008812F1"/>
    <w:rsid w:val="00881E38"/>
    <w:rsid w:val="008821E5"/>
    <w:rsid w:val="008835E1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F8"/>
    <w:rsid w:val="008948E1"/>
    <w:rsid w:val="00894CA0"/>
    <w:rsid w:val="00895711"/>
    <w:rsid w:val="00896568"/>
    <w:rsid w:val="00896CBF"/>
    <w:rsid w:val="0089763A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03B"/>
    <w:rsid w:val="008B2198"/>
    <w:rsid w:val="008B25B1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3BA"/>
    <w:rsid w:val="008C1DFC"/>
    <w:rsid w:val="008C31B9"/>
    <w:rsid w:val="008C4616"/>
    <w:rsid w:val="008C529A"/>
    <w:rsid w:val="008C547D"/>
    <w:rsid w:val="008C5F38"/>
    <w:rsid w:val="008C6058"/>
    <w:rsid w:val="008C68AB"/>
    <w:rsid w:val="008C6DDE"/>
    <w:rsid w:val="008C6F4B"/>
    <w:rsid w:val="008C7675"/>
    <w:rsid w:val="008C7833"/>
    <w:rsid w:val="008C7AE6"/>
    <w:rsid w:val="008D0254"/>
    <w:rsid w:val="008D085C"/>
    <w:rsid w:val="008D09CC"/>
    <w:rsid w:val="008D1291"/>
    <w:rsid w:val="008D1BC4"/>
    <w:rsid w:val="008D235B"/>
    <w:rsid w:val="008D4B4B"/>
    <w:rsid w:val="008D4BA5"/>
    <w:rsid w:val="008D5A54"/>
    <w:rsid w:val="008D7A68"/>
    <w:rsid w:val="008D7E42"/>
    <w:rsid w:val="008D7F3E"/>
    <w:rsid w:val="008E3A89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57F0"/>
    <w:rsid w:val="008F5816"/>
    <w:rsid w:val="008F5F2F"/>
    <w:rsid w:val="008F6E44"/>
    <w:rsid w:val="008F7A9D"/>
    <w:rsid w:val="008F7F61"/>
    <w:rsid w:val="009005BE"/>
    <w:rsid w:val="009008CC"/>
    <w:rsid w:val="00903BF7"/>
    <w:rsid w:val="00903C78"/>
    <w:rsid w:val="009044A3"/>
    <w:rsid w:val="00904AC6"/>
    <w:rsid w:val="00906363"/>
    <w:rsid w:val="00906724"/>
    <w:rsid w:val="009067A6"/>
    <w:rsid w:val="00906C57"/>
    <w:rsid w:val="00910F50"/>
    <w:rsid w:val="00912F51"/>
    <w:rsid w:val="00913118"/>
    <w:rsid w:val="00913A3A"/>
    <w:rsid w:val="00917594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6DA4"/>
    <w:rsid w:val="00927687"/>
    <w:rsid w:val="0093090A"/>
    <w:rsid w:val="00930C2D"/>
    <w:rsid w:val="009320D7"/>
    <w:rsid w:val="00932824"/>
    <w:rsid w:val="009331B8"/>
    <w:rsid w:val="00933BF4"/>
    <w:rsid w:val="00933FDD"/>
    <w:rsid w:val="0093410A"/>
    <w:rsid w:val="00934528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E43"/>
    <w:rsid w:val="00953EEC"/>
    <w:rsid w:val="00955A00"/>
    <w:rsid w:val="00955EDA"/>
    <w:rsid w:val="00956325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76DC"/>
    <w:rsid w:val="009A09E8"/>
    <w:rsid w:val="009A313B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287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C38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46E"/>
    <w:rsid w:val="009E7723"/>
    <w:rsid w:val="009E7FCD"/>
    <w:rsid w:val="009F1503"/>
    <w:rsid w:val="009F16FE"/>
    <w:rsid w:val="009F3068"/>
    <w:rsid w:val="009F3DF5"/>
    <w:rsid w:val="009F50A6"/>
    <w:rsid w:val="00A005AE"/>
    <w:rsid w:val="00A00E08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554"/>
    <w:rsid w:val="00A11E72"/>
    <w:rsid w:val="00A13C0F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B21"/>
    <w:rsid w:val="00A51DA2"/>
    <w:rsid w:val="00A527F9"/>
    <w:rsid w:val="00A53C7D"/>
    <w:rsid w:val="00A53F26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47D1"/>
    <w:rsid w:val="00A76972"/>
    <w:rsid w:val="00A76D35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37F2"/>
    <w:rsid w:val="00A8417F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1974"/>
    <w:rsid w:val="00AA271B"/>
    <w:rsid w:val="00AA2C95"/>
    <w:rsid w:val="00AA3949"/>
    <w:rsid w:val="00AA39B0"/>
    <w:rsid w:val="00AA4720"/>
    <w:rsid w:val="00AA54BF"/>
    <w:rsid w:val="00AA55F7"/>
    <w:rsid w:val="00AA5ECB"/>
    <w:rsid w:val="00AA6D37"/>
    <w:rsid w:val="00AA7159"/>
    <w:rsid w:val="00AA7E74"/>
    <w:rsid w:val="00AA7EDC"/>
    <w:rsid w:val="00AB0360"/>
    <w:rsid w:val="00AB1816"/>
    <w:rsid w:val="00AB19BD"/>
    <w:rsid w:val="00AB1A2C"/>
    <w:rsid w:val="00AB393D"/>
    <w:rsid w:val="00AB3B90"/>
    <w:rsid w:val="00AB510A"/>
    <w:rsid w:val="00AB5E30"/>
    <w:rsid w:val="00AB640C"/>
    <w:rsid w:val="00AB66B2"/>
    <w:rsid w:val="00AB6DDB"/>
    <w:rsid w:val="00AB71CF"/>
    <w:rsid w:val="00AB74C7"/>
    <w:rsid w:val="00AC0154"/>
    <w:rsid w:val="00AC028C"/>
    <w:rsid w:val="00AC040C"/>
    <w:rsid w:val="00AC40A2"/>
    <w:rsid w:val="00AC49C5"/>
    <w:rsid w:val="00AC4CDA"/>
    <w:rsid w:val="00AC510D"/>
    <w:rsid w:val="00AC71D2"/>
    <w:rsid w:val="00AC7A38"/>
    <w:rsid w:val="00AC7A70"/>
    <w:rsid w:val="00AD0C63"/>
    <w:rsid w:val="00AD100B"/>
    <w:rsid w:val="00AD17A1"/>
    <w:rsid w:val="00AD1F3B"/>
    <w:rsid w:val="00AD2897"/>
    <w:rsid w:val="00AD3016"/>
    <w:rsid w:val="00AD4576"/>
    <w:rsid w:val="00AD4C00"/>
    <w:rsid w:val="00AD4DB1"/>
    <w:rsid w:val="00AD5A35"/>
    <w:rsid w:val="00AD5E55"/>
    <w:rsid w:val="00AD5EE0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45E"/>
    <w:rsid w:val="00AF17BA"/>
    <w:rsid w:val="00AF203C"/>
    <w:rsid w:val="00AF20F9"/>
    <w:rsid w:val="00AF2159"/>
    <w:rsid w:val="00AF28B1"/>
    <w:rsid w:val="00AF30E2"/>
    <w:rsid w:val="00AF34F8"/>
    <w:rsid w:val="00AF3AB8"/>
    <w:rsid w:val="00AF3B67"/>
    <w:rsid w:val="00AF3D34"/>
    <w:rsid w:val="00AF41EB"/>
    <w:rsid w:val="00AF51D4"/>
    <w:rsid w:val="00AF5B96"/>
    <w:rsid w:val="00AF7060"/>
    <w:rsid w:val="00AF70C7"/>
    <w:rsid w:val="00B0149B"/>
    <w:rsid w:val="00B03319"/>
    <w:rsid w:val="00B04CE3"/>
    <w:rsid w:val="00B06A49"/>
    <w:rsid w:val="00B0742F"/>
    <w:rsid w:val="00B074DF"/>
    <w:rsid w:val="00B07C1A"/>
    <w:rsid w:val="00B10805"/>
    <w:rsid w:val="00B10F67"/>
    <w:rsid w:val="00B11044"/>
    <w:rsid w:val="00B11198"/>
    <w:rsid w:val="00B118C5"/>
    <w:rsid w:val="00B1354A"/>
    <w:rsid w:val="00B14034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1F9F"/>
    <w:rsid w:val="00B223F1"/>
    <w:rsid w:val="00B2254F"/>
    <w:rsid w:val="00B23E19"/>
    <w:rsid w:val="00B23FF3"/>
    <w:rsid w:val="00B2424B"/>
    <w:rsid w:val="00B24352"/>
    <w:rsid w:val="00B24B81"/>
    <w:rsid w:val="00B24E75"/>
    <w:rsid w:val="00B257C7"/>
    <w:rsid w:val="00B25ED5"/>
    <w:rsid w:val="00B26602"/>
    <w:rsid w:val="00B26915"/>
    <w:rsid w:val="00B2787C"/>
    <w:rsid w:val="00B27B20"/>
    <w:rsid w:val="00B30130"/>
    <w:rsid w:val="00B31E30"/>
    <w:rsid w:val="00B32406"/>
    <w:rsid w:val="00B32FE5"/>
    <w:rsid w:val="00B33046"/>
    <w:rsid w:val="00B3405A"/>
    <w:rsid w:val="00B34E39"/>
    <w:rsid w:val="00B35889"/>
    <w:rsid w:val="00B3636D"/>
    <w:rsid w:val="00B37C2B"/>
    <w:rsid w:val="00B41020"/>
    <w:rsid w:val="00B41EEA"/>
    <w:rsid w:val="00B426C8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31A"/>
    <w:rsid w:val="00B60A3C"/>
    <w:rsid w:val="00B60A6A"/>
    <w:rsid w:val="00B614F6"/>
    <w:rsid w:val="00B636EF"/>
    <w:rsid w:val="00B63BCF"/>
    <w:rsid w:val="00B6440E"/>
    <w:rsid w:val="00B64C8C"/>
    <w:rsid w:val="00B67E7A"/>
    <w:rsid w:val="00B703E8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1312"/>
    <w:rsid w:val="00B8224F"/>
    <w:rsid w:val="00B829A2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B1E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4965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7C5E"/>
    <w:rsid w:val="00C217A9"/>
    <w:rsid w:val="00C22700"/>
    <w:rsid w:val="00C24935"/>
    <w:rsid w:val="00C25291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327"/>
    <w:rsid w:val="00C47ED1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1AEB"/>
    <w:rsid w:val="00C920D5"/>
    <w:rsid w:val="00C925A2"/>
    <w:rsid w:val="00C92AD8"/>
    <w:rsid w:val="00C9338B"/>
    <w:rsid w:val="00C93515"/>
    <w:rsid w:val="00C95441"/>
    <w:rsid w:val="00C95E67"/>
    <w:rsid w:val="00C970C0"/>
    <w:rsid w:val="00C977F5"/>
    <w:rsid w:val="00CA1047"/>
    <w:rsid w:val="00CA195F"/>
    <w:rsid w:val="00CA1F73"/>
    <w:rsid w:val="00CA2398"/>
    <w:rsid w:val="00CA28E2"/>
    <w:rsid w:val="00CA2A84"/>
    <w:rsid w:val="00CA2E85"/>
    <w:rsid w:val="00CA3469"/>
    <w:rsid w:val="00CA4100"/>
    <w:rsid w:val="00CA4765"/>
    <w:rsid w:val="00CA662C"/>
    <w:rsid w:val="00CB03B3"/>
    <w:rsid w:val="00CB0ED3"/>
    <w:rsid w:val="00CB24CE"/>
    <w:rsid w:val="00CB29F2"/>
    <w:rsid w:val="00CB38C8"/>
    <w:rsid w:val="00CB44BE"/>
    <w:rsid w:val="00CB5C6B"/>
    <w:rsid w:val="00CB5DC7"/>
    <w:rsid w:val="00CB6402"/>
    <w:rsid w:val="00CB708E"/>
    <w:rsid w:val="00CB70B3"/>
    <w:rsid w:val="00CC13C4"/>
    <w:rsid w:val="00CC1D2F"/>
    <w:rsid w:val="00CC3C0E"/>
    <w:rsid w:val="00CC3E64"/>
    <w:rsid w:val="00CC5E74"/>
    <w:rsid w:val="00CC6D28"/>
    <w:rsid w:val="00CD0380"/>
    <w:rsid w:val="00CD2E4A"/>
    <w:rsid w:val="00CD303E"/>
    <w:rsid w:val="00CD311A"/>
    <w:rsid w:val="00CD4C21"/>
    <w:rsid w:val="00CD5C79"/>
    <w:rsid w:val="00CD5FCA"/>
    <w:rsid w:val="00CD6470"/>
    <w:rsid w:val="00CD7696"/>
    <w:rsid w:val="00CD7CD3"/>
    <w:rsid w:val="00CE0E08"/>
    <w:rsid w:val="00CE2DFA"/>
    <w:rsid w:val="00CE48FA"/>
    <w:rsid w:val="00CE5818"/>
    <w:rsid w:val="00CE63E8"/>
    <w:rsid w:val="00CE6991"/>
    <w:rsid w:val="00CE713F"/>
    <w:rsid w:val="00CE7EDA"/>
    <w:rsid w:val="00CF0186"/>
    <w:rsid w:val="00CF0C04"/>
    <w:rsid w:val="00CF1735"/>
    <w:rsid w:val="00CF2454"/>
    <w:rsid w:val="00CF2E0A"/>
    <w:rsid w:val="00CF6272"/>
    <w:rsid w:val="00D00338"/>
    <w:rsid w:val="00D01E37"/>
    <w:rsid w:val="00D02D52"/>
    <w:rsid w:val="00D03461"/>
    <w:rsid w:val="00D05099"/>
    <w:rsid w:val="00D05774"/>
    <w:rsid w:val="00D06257"/>
    <w:rsid w:val="00D0668A"/>
    <w:rsid w:val="00D06AEB"/>
    <w:rsid w:val="00D073CE"/>
    <w:rsid w:val="00D0753E"/>
    <w:rsid w:val="00D1321A"/>
    <w:rsid w:val="00D1331B"/>
    <w:rsid w:val="00D14951"/>
    <w:rsid w:val="00D16200"/>
    <w:rsid w:val="00D16D64"/>
    <w:rsid w:val="00D16FA7"/>
    <w:rsid w:val="00D1700C"/>
    <w:rsid w:val="00D17854"/>
    <w:rsid w:val="00D17CE8"/>
    <w:rsid w:val="00D22312"/>
    <w:rsid w:val="00D22717"/>
    <w:rsid w:val="00D22A27"/>
    <w:rsid w:val="00D232D6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53A"/>
    <w:rsid w:val="00D31990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1F11"/>
    <w:rsid w:val="00D5220F"/>
    <w:rsid w:val="00D52899"/>
    <w:rsid w:val="00D5293F"/>
    <w:rsid w:val="00D52E71"/>
    <w:rsid w:val="00D54D70"/>
    <w:rsid w:val="00D555B0"/>
    <w:rsid w:val="00D57A32"/>
    <w:rsid w:val="00D6291D"/>
    <w:rsid w:val="00D6384D"/>
    <w:rsid w:val="00D65283"/>
    <w:rsid w:val="00D66E61"/>
    <w:rsid w:val="00D66EC3"/>
    <w:rsid w:val="00D67921"/>
    <w:rsid w:val="00D701C8"/>
    <w:rsid w:val="00D74999"/>
    <w:rsid w:val="00D75105"/>
    <w:rsid w:val="00D7555C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12A"/>
    <w:rsid w:val="00D9184F"/>
    <w:rsid w:val="00D93782"/>
    <w:rsid w:val="00D94636"/>
    <w:rsid w:val="00D9463E"/>
    <w:rsid w:val="00D957E8"/>
    <w:rsid w:val="00D95B0C"/>
    <w:rsid w:val="00D962A5"/>
    <w:rsid w:val="00D96B33"/>
    <w:rsid w:val="00D96D10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75D2"/>
    <w:rsid w:val="00DD0AEB"/>
    <w:rsid w:val="00DD0DF1"/>
    <w:rsid w:val="00DD13BE"/>
    <w:rsid w:val="00DD1527"/>
    <w:rsid w:val="00DD2324"/>
    <w:rsid w:val="00DD51BA"/>
    <w:rsid w:val="00DD5826"/>
    <w:rsid w:val="00DD5C73"/>
    <w:rsid w:val="00DD74BE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14"/>
    <w:rsid w:val="00DE4565"/>
    <w:rsid w:val="00DE4E74"/>
    <w:rsid w:val="00DE5076"/>
    <w:rsid w:val="00DE55CA"/>
    <w:rsid w:val="00DE601B"/>
    <w:rsid w:val="00DE6A85"/>
    <w:rsid w:val="00DE6E48"/>
    <w:rsid w:val="00DF09EA"/>
    <w:rsid w:val="00DF17B3"/>
    <w:rsid w:val="00DF222E"/>
    <w:rsid w:val="00DF2259"/>
    <w:rsid w:val="00DF2A36"/>
    <w:rsid w:val="00DF3FFB"/>
    <w:rsid w:val="00DF4C84"/>
    <w:rsid w:val="00DF5916"/>
    <w:rsid w:val="00DF6361"/>
    <w:rsid w:val="00DF6863"/>
    <w:rsid w:val="00DF70A3"/>
    <w:rsid w:val="00DF741A"/>
    <w:rsid w:val="00DF7AD5"/>
    <w:rsid w:val="00E00032"/>
    <w:rsid w:val="00E0074A"/>
    <w:rsid w:val="00E00812"/>
    <w:rsid w:val="00E029C5"/>
    <w:rsid w:val="00E02C96"/>
    <w:rsid w:val="00E044EF"/>
    <w:rsid w:val="00E06103"/>
    <w:rsid w:val="00E074AB"/>
    <w:rsid w:val="00E07777"/>
    <w:rsid w:val="00E07AE8"/>
    <w:rsid w:val="00E07D50"/>
    <w:rsid w:val="00E109B6"/>
    <w:rsid w:val="00E1329C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500AB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1B14"/>
    <w:rsid w:val="00E829D3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3CC8"/>
    <w:rsid w:val="00EA4817"/>
    <w:rsid w:val="00EA54D5"/>
    <w:rsid w:val="00EA6590"/>
    <w:rsid w:val="00EA7BC3"/>
    <w:rsid w:val="00EB01AC"/>
    <w:rsid w:val="00EB06C5"/>
    <w:rsid w:val="00EB1C72"/>
    <w:rsid w:val="00EB24D5"/>
    <w:rsid w:val="00EB2520"/>
    <w:rsid w:val="00EB2752"/>
    <w:rsid w:val="00EB313E"/>
    <w:rsid w:val="00EB35DA"/>
    <w:rsid w:val="00EB3983"/>
    <w:rsid w:val="00EB41E1"/>
    <w:rsid w:val="00EB4723"/>
    <w:rsid w:val="00EB5421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3F5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3CE1"/>
    <w:rsid w:val="00EE6837"/>
    <w:rsid w:val="00EE779C"/>
    <w:rsid w:val="00EE7F87"/>
    <w:rsid w:val="00EF06D0"/>
    <w:rsid w:val="00EF0E3E"/>
    <w:rsid w:val="00EF1129"/>
    <w:rsid w:val="00EF1BC6"/>
    <w:rsid w:val="00EF383F"/>
    <w:rsid w:val="00EF5516"/>
    <w:rsid w:val="00EF5988"/>
    <w:rsid w:val="00EF6F1E"/>
    <w:rsid w:val="00EF7982"/>
    <w:rsid w:val="00F014B0"/>
    <w:rsid w:val="00F01745"/>
    <w:rsid w:val="00F03987"/>
    <w:rsid w:val="00F03996"/>
    <w:rsid w:val="00F04ADA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B03"/>
    <w:rsid w:val="00F20EE0"/>
    <w:rsid w:val="00F215AD"/>
    <w:rsid w:val="00F23560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351"/>
    <w:rsid w:val="00F369EE"/>
    <w:rsid w:val="00F378D2"/>
    <w:rsid w:val="00F41136"/>
    <w:rsid w:val="00F41376"/>
    <w:rsid w:val="00F4164C"/>
    <w:rsid w:val="00F41716"/>
    <w:rsid w:val="00F42AD8"/>
    <w:rsid w:val="00F437ED"/>
    <w:rsid w:val="00F43C60"/>
    <w:rsid w:val="00F44106"/>
    <w:rsid w:val="00F4414B"/>
    <w:rsid w:val="00F44C35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3BAF"/>
    <w:rsid w:val="00F540BB"/>
    <w:rsid w:val="00F5461E"/>
    <w:rsid w:val="00F54A74"/>
    <w:rsid w:val="00F551A2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3B21"/>
    <w:rsid w:val="00F66A4D"/>
    <w:rsid w:val="00F677C3"/>
    <w:rsid w:val="00F7070A"/>
    <w:rsid w:val="00F71CC6"/>
    <w:rsid w:val="00F71EE1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4E0D"/>
    <w:rsid w:val="00F853C1"/>
    <w:rsid w:val="00F9048F"/>
    <w:rsid w:val="00F9151B"/>
    <w:rsid w:val="00F9213D"/>
    <w:rsid w:val="00F92376"/>
    <w:rsid w:val="00F92D3A"/>
    <w:rsid w:val="00F9468A"/>
    <w:rsid w:val="00F94B2A"/>
    <w:rsid w:val="00F96285"/>
    <w:rsid w:val="00F96CB3"/>
    <w:rsid w:val="00FA07DA"/>
    <w:rsid w:val="00FA26D6"/>
    <w:rsid w:val="00FA3CC3"/>
    <w:rsid w:val="00FA4498"/>
    <w:rsid w:val="00FA5C99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1C35"/>
    <w:rsid w:val="00FC2651"/>
    <w:rsid w:val="00FC26C4"/>
    <w:rsid w:val="00FC4A02"/>
    <w:rsid w:val="00FC4E77"/>
    <w:rsid w:val="00FC619B"/>
    <w:rsid w:val="00FC64C4"/>
    <w:rsid w:val="00FC773B"/>
    <w:rsid w:val="00FC7DBB"/>
    <w:rsid w:val="00FD00EA"/>
    <w:rsid w:val="00FD0FD0"/>
    <w:rsid w:val="00FD38D5"/>
    <w:rsid w:val="00FD4EBC"/>
    <w:rsid w:val="00FE0B0B"/>
    <w:rsid w:val="00FE10C9"/>
    <w:rsid w:val="00FE117A"/>
    <w:rsid w:val="00FE19DA"/>
    <w:rsid w:val="00FE3CB7"/>
    <w:rsid w:val="00FE4FF1"/>
    <w:rsid w:val="00FE503B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AC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44C35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16D64"/>
    <w:pPr>
      <w:keepNext/>
      <w:jc w:val="both"/>
      <w:outlineLvl w:val="1"/>
    </w:pPr>
    <w:rPr>
      <w:rFonts w:ascii="Arial" w:hAnsi="Arial"/>
      <w:snapToGrid w:val="0"/>
      <w:u w:val="single"/>
      <w:lang w:eastAsia="ja-JP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rsid w:val="00904AC6"/>
    <w:pPr>
      <w:tabs>
        <w:tab w:val="right" w:leader="dot" w:pos="9639"/>
      </w:tabs>
      <w:spacing w:before="60" w:after="120"/>
      <w:ind w:right="567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Docoriginal">
    <w:name w:val="Doc_original"/>
    <w:basedOn w:val="Normal"/>
    <w:link w:val="DocoriginalChar"/>
    <w:rsid w:val="00822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22961"/>
    <w:pPr>
      <w:tabs>
        <w:tab w:val="left" w:pos="5387"/>
      </w:tabs>
      <w:ind w:left="4820"/>
    </w:pPr>
    <w:rPr>
      <w:i/>
    </w:rPr>
  </w:style>
  <w:style w:type="paragraph" w:customStyle="1" w:styleId="upove">
    <w:name w:val="upov_e"/>
    <w:basedOn w:val="Normal"/>
    <w:rsid w:val="00822961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822961"/>
    <w:pPr>
      <w:spacing w:before="60" w:after="480"/>
      <w:jc w:val="center"/>
    </w:pPr>
  </w:style>
  <w:style w:type="paragraph" w:customStyle="1" w:styleId="Lettrine">
    <w:name w:val="Lettrine"/>
    <w:basedOn w:val="Normal"/>
    <w:rsid w:val="00822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22961"/>
    <w:pPr>
      <w:spacing w:before="720"/>
      <w:jc w:val="center"/>
    </w:pPr>
  </w:style>
  <w:style w:type="paragraph" w:customStyle="1" w:styleId="Sessiontc">
    <w:name w:val="Session_tc"/>
    <w:basedOn w:val="Normal"/>
    <w:rsid w:val="00822961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822961"/>
    <w:pPr>
      <w:spacing w:before="240"/>
      <w:jc w:val="center"/>
    </w:pPr>
    <w:rPr>
      <w:b/>
      <w:bCs/>
      <w:kern w:val="28"/>
      <w:sz w:val="24"/>
    </w:rPr>
  </w:style>
  <w:style w:type="paragraph" w:customStyle="1" w:styleId="Titleofdoc0">
    <w:name w:val="Title_of_doc"/>
    <w:basedOn w:val="TitleofDoc"/>
    <w:rsid w:val="00822961"/>
    <w:pPr>
      <w:spacing w:before="600"/>
    </w:pPr>
  </w:style>
  <w:style w:type="paragraph" w:customStyle="1" w:styleId="preparedby0">
    <w:name w:val="prepared_by"/>
    <w:basedOn w:val="Normal"/>
    <w:rsid w:val="00822961"/>
    <w:pPr>
      <w:spacing w:before="240" w:after="60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822961"/>
    <w:rPr>
      <w:rFonts w:ascii="Arial" w:hAnsi="Arial"/>
      <w:b/>
      <w:bCs/>
      <w:spacing w:val="10"/>
    </w:rPr>
  </w:style>
  <w:style w:type="character" w:customStyle="1" w:styleId="StyleDocoriginalNotBold1">
    <w:name w:val="Style Doc_original + Not Bold1"/>
    <w:basedOn w:val="DefaultParagraphFont"/>
    <w:rsid w:val="00822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822961"/>
    <w:rPr>
      <w:rFonts w:ascii="Arial" w:hAnsi="Arial"/>
      <w:b/>
      <w:bCs/>
      <w:sz w:val="20"/>
      <w:lang w:val="en-US"/>
    </w:rPr>
  </w:style>
  <w:style w:type="paragraph" w:styleId="BodyText2">
    <w:name w:val="Body Text 2"/>
    <w:basedOn w:val="Normal"/>
    <w:link w:val="BodyText2Char"/>
    <w:rsid w:val="008229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2961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822961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22961"/>
    <w:rPr>
      <w:rFonts w:ascii="Arial" w:hAnsi="Arial"/>
      <w:sz w:val="14"/>
    </w:rPr>
  </w:style>
  <w:style w:type="character" w:customStyle="1" w:styleId="BodyTextChar">
    <w:name w:val="Body Text Char"/>
    <w:basedOn w:val="DefaultParagraphFont"/>
    <w:link w:val="BodyText"/>
    <w:rsid w:val="00822961"/>
    <w:rPr>
      <w:rFonts w:ascii="Arial" w:hAnsi="Arial"/>
    </w:rPr>
  </w:style>
  <w:style w:type="paragraph" w:customStyle="1" w:styleId="dec">
    <w:name w:val="dec"/>
    <w:basedOn w:val="Normal"/>
    <w:link w:val="decChar"/>
    <w:qFormat/>
    <w:rsid w:val="00822961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22961"/>
    <w:rPr>
      <w:rFonts w:ascii="Arial" w:hAnsi="Arial"/>
      <w:i/>
      <w:spacing w:val="-2"/>
    </w:rPr>
  </w:style>
  <w:style w:type="character" w:customStyle="1" w:styleId="DecisionParagraphsChar">
    <w:name w:val="DecisionParagraphs Char"/>
    <w:basedOn w:val="DefaultParagraphFont"/>
    <w:link w:val="DecisionParagraphs"/>
    <w:rsid w:val="00822961"/>
    <w:rPr>
      <w:rFonts w:ascii="Arial" w:hAnsi="Arial"/>
      <w:i/>
    </w:rPr>
  </w:style>
  <w:style w:type="character" w:customStyle="1" w:styleId="BodyTextIndentChar">
    <w:name w:val="Body Text Indent Char"/>
    <w:basedOn w:val="DefaultParagraphFont"/>
    <w:link w:val="BodyTextIndent"/>
    <w:rsid w:val="005F400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5F4000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B26602"/>
    <w:pPr>
      <w:ind w:left="720"/>
      <w:contextualSpacing/>
    </w:pPr>
    <w:rPr>
      <w:rFonts w:eastAsia="Times New Roman"/>
    </w:rPr>
  </w:style>
  <w:style w:type="character" w:customStyle="1" w:styleId="FootnoteTextChar">
    <w:name w:val="Footnote Text Char"/>
    <w:link w:val="FootnoteText"/>
    <w:rsid w:val="007837BE"/>
    <w:rPr>
      <w:rFonts w:ascii="Arial" w:hAnsi="Arial"/>
      <w:sz w:val="16"/>
    </w:rPr>
  </w:style>
  <w:style w:type="character" w:customStyle="1" w:styleId="f21">
    <w:name w:val="f21"/>
    <w:basedOn w:val="DefaultParagraphFont"/>
    <w:rsid w:val="00906C57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4AC6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44C35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16D64"/>
    <w:pPr>
      <w:keepNext/>
      <w:jc w:val="both"/>
      <w:outlineLvl w:val="1"/>
    </w:pPr>
    <w:rPr>
      <w:rFonts w:ascii="Arial" w:hAnsi="Arial"/>
      <w:snapToGrid w:val="0"/>
      <w:u w:val="single"/>
      <w:lang w:eastAsia="ja-JP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qFormat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link w:val="FooterChar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link w:val="FootnoteTextChar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rsid w:val="00904AC6"/>
    <w:pPr>
      <w:tabs>
        <w:tab w:val="right" w:leader="dot" w:pos="9639"/>
      </w:tabs>
      <w:spacing w:before="60" w:after="120"/>
      <w:ind w:right="567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qFormat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qFormat/>
    <w:rsid w:val="004C0802"/>
    <w:rPr>
      <w:b/>
      <w:bCs/>
    </w:rPr>
  </w:style>
  <w:style w:type="paragraph" w:styleId="Subtitle">
    <w:name w:val="Subtitle"/>
    <w:basedOn w:val="Normal"/>
    <w:qFormat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qFormat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Docoriginal">
    <w:name w:val="Doc_original"/>
    <w:basedOn w:val="Normal"/>
    <w:link w:val="DocoriginalChar"/>
    <w:rsid w:val="00822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822961"/>
    <w:pPr>
      <w:tabs>
        <w:tab w:val="left" w:pos="5387"/>
      </w:tabs>
      <w:ind w:left="4820"/>
    </w:pPr>
    <w:rPr>
      <w:i/>
    </w:rPr>
  </w:style>
  <w:style w:type="paragraph" w:customStyle="1" w:styleId="upove">
    <w:name w:val="upov_e"/>
    <w:basedOn w:val="Normal"/>
    <w:rsid w:val="00822961"/>
    <w:pPr>
      <w:spacing w:before="60"/>
      <w:jc w:val="center"/>
    </w:pPr>
    <w:rPr>
      <w:b/>
      <w:bCs/>
      <w:spacing w:val="8"/>
      <w:sz w:val="24"/>
    </w:rPr>
  </w:style>
  <w:style w:type="paragraph" w:customStyle="1" w:styleId="Country">
    <w:name w:val="Country"/>
    <w:basedOn w:val="Normal"/>
    <w:semiHidden/>
    <w:rsid w:val="00822961"/>
    <w:pPr>
      <w:spacing w:before="60" w:after="480"/>
      <w:jc w:val="center"/>
    </w:pPr>
  </w:style>
  <w:style w:type="paragraph" w:customStyle="1" w:styleId="Lettrine">
    <w:name w:val="Lettrine"/>
    <w:basedOn w:val="Normal"/>
    <w:rsid w:val="00822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22961"/>
    <w:pPr>
      <w:spacing w:before="720"/>
      <w:jc w:val="center"/>
    </w:pPr>
  </w:style>
  <w:style w:type="paragraph" w:customStyle="1" w:styleId="Sessiontc">
    <w:name w:val="Session_tc"/>
    <w:basedOn w:val="Normal"/>
    <w:rsid w:val="00822961"/>
    <w:pPr>
      <w:spacing w:before="240"/>
      <w:jc w:val="center"/>
    </w:pPr>
    <w:rPr>
      <w:b/>
      <w:bCs/>
      <w:caps/>
      <w:kern w:val="28"/>
      <w:sz w:val="24"/>
    </w:rPr>
  </w:style>
  <w:style w:type="paragraph" w:customStyle="1" w:styleId="Sessiontcplacedate">
    <w:name w:val="Session_tc_place_date"/>
    <w:basedOn w:val="Normal"/>
    <w:rsid w:val="00822961"/>
    <w:pPr>
      <w:spacing w:before="240"/>
      <w:jc w:val="center"/>
    </w:pPr>
    <w:rPr>
      <w:b/>
      <w:bCs/>
      <w:kern w:val="28"/>
      <w:sz w:val="24"/>
    </w:rPr>
  </w:style>
  <w:style w:type="paragraph" w:customStyle="1" w:styleId="Titleofdoc0">
    <w:name w:val="Title_of_doc"/>
    <w:basedOn w:val="TitleofDoc"/>
    <w:rsid w:val="00822961"/>
    <w:pPr>
      <w:spacing w:before="600"/>
    </w:pPr>
  </w:style>
  <w:style w:type="paragraph" w:customStyle="1" w:styleId="preparedby0">
    <w:name w:val="prepared_by"/>
    <w:basedOn w:val="Normal"/>
    <w:rsid w:val="00822961"/>
    <w:pPr>
      <w:spacing w:before="240" w:after="600"/>
      <w:jc w:val="center"/>
    </w:pPr>
    <w:rPr>
      <w:i/>
      <w:iCs/>
    </w:rPr>
  </w:style>
  <w:style w:type="character" w:customStyle="1" w:styleId="DocoriginalChar">
    <w:name w:val="Doc_original Char"/>
    <w:basedOn w:val="DefaultParagraphFont"/>
    <w:link w:val="Docoriginal"/>
    <w:rsid w:val="00822961"/>
    <w:rPr>
      <w:rFonts w:ascii="Arial" w:hAnsi="Arial"/>
      <w:b/>
      <w:bCs/>
      <w:spacing w:val="10"/>
    </w:rPr>
  </w:style>
  <w:style w:type="character" w:customStyle="1" w:styleId="StyleDocoriginalNotBold1">
    <w:name w:val="Style Doc_original + Not Bold1"/>
    <w:basedOn w:val="DefaultParagraphFont"/>
    <w:rsid w:val="00822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efaultParagraphFont"/>
    <w:rsid w:val="00822961"/>
    <w:rPr>
      <w:rFonts w:ascii="Arial" w:hAnsi="Arial"/>
      <w:b/>
      <w:bCs/>
      <w:sz w:val="20"/>
      <w:lang w:val="en-US"/>
    </w:rPr>
  </w:style>
  <w:style w:type="paragraph" w:styleId="BodyText2">
    <w:name w:val="Body Text 2"/>
    <w:basedOn w:val="Normal"/>
    <w:link w:val="BodyText2Char"/>
    <w:rsid w:val="008229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22961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822961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822961"/>
    <w:rPr>
      <w:rFonts w:ascii="Arial" w:hAnsi="Arial"/>
      <w:sz w:val="14"/>
    </w:rPr>
  </w:style>
  <w:style w:type="character" w:customStyle="1" w:styleId="BodyTextChar">
    <w:name w:val="Body Text Char"/>
    <w:basedOn w:val="DefaultParagraphFont"/>
    <w:link w:val="BodyText"/>
    <w:rsid w:val="00822961"/>
    <w:rPr>
      <w:rFonts w:ascii="Arial" w:hAnsi="Arial"/>
    </w:rPr>
  </w:style>
  <w:style w:type="paragraph" w:customStyle="1" w:styleId="dec">
    <w:name w:val="dec"/>
    <w:basedOn w:val="Normal"/>
    <w:link w:val="decChar"/>
    <w:qFormat/>
    <w:rsid w:val="00822961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822961"/>
    <w:rPr>
      <w:rFonts w:ascii="Arial" w:hAnsi="Arial"/>
      <w:i/>
      <w:spacing w:val="-2"/>
    </w:rPr>
  </w:style>
  <w:style w:type="character" w:customStyle="1" w:styleId="DecisionParagraphsChar">
    <w:name w:val="DecisionParagraphs Char"/>
    <w:basedOn w:val="DefaultParagraphFont"/>
    <w:link w:val="DecisionParagraphs"/>
    <w:rsid w:val="00822961"/>
    <w:rPr>
      <w:rFonts w:ascii="Arial" w:hAnsi="Arial"/>
      <w:i/>
    </w:rPr>
  </w:style>
  <w:style w:type="character" w:customStyle="1" w:styleId="BodyTextIndentChar">
    <w:name w:val="Body Text Indent Char"/>
    <w:basedOn w:val="DefaultParagraphFont"/>
    <w:link w:val="BodyTextIndent"/>
    <w:rsid w:val="005F4000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5F4000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B26602"/>
    <w:pPr>
      <w:ind w:left="720"/>
      <w:contextualSpacing/>
    </w:pPr>
    <w:rPr>
      <w:rFonts w:eastAsia="Times New Roman"/>
    </w:rPr>
  </w:style>
  <w:style w:type="character" w:customStyle="1" w:styleId="FootnoteTextChar">
    <w:name w:val="Footnote Text Char"/>
    <w:link w:val="FootnoteText"/>
    <w:rsid w:val="007837BE"/>
    <w:rPr>
      <w:rFonts w:ascii="Arial" w:hAnsi="Arial"/>
      <w:sz w:val="16"/>
    </w:rPr>
  </w:style>
  <w:style w:type="character" w:customStyle="1" w:styleId="f21">
    <w:name w:val="f21"/>
    <w:basedOn w:val="DefaultParagraphFont"/>
    <w:rsid w:val="00906C57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7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25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9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3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2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1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9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3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36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7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4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4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6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85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1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0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2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44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83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8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7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4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9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upov.int/pluto/d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DFEE7-583B-4942-B8F8-FF3FDEC20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6</Pages>
  <Words>2910</Words>
  <Characters>16587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19459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SANCHEZ-VIZCAINO GOMEZ Rosa Maria</cp:lastModifiedBy>
  <cp:revision>25</cp:revision>
  <cp:lastPrinted>2016-02-17T17:39:00Z</cp:lastPrinted>
  <dcterms:created xsi:type="dcterms:W3CDTF">2016-02-04T08:19:00Z</dcterms:created>
  <dcterms:modified xsi:type="dcterms:W3CDTF">2016-02-17T17:40:00Z</dcterms:modified>
</cp:coreProperties>
</file>