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A4B1C" w:rsidRPr="001E3AC7" w:rsidTr="000D3F83">
        <w:trPr>
          <w:trHeight w:val="1760"/>
        </w:trPr>
        <w:tc>
          <w:tcPr>
            <w:tcW w:w="4243" w:type="dxa"/>
          </w:tcPr>
          <w:p w:rsidR="004A4B1C" w:rsidRPr="001E3AC7" w:rsidRDefault="004A4B1C" w:rsidP="000D3F83">
            <w:pPr>
              <w:rPr>
                <w:lang w:val="de-DE"/>
              </w:rPr>
            </w:pPr>
            <w:bookmarkStart w:id="0" w:name="_GoBack"/>
            <w:bookmarkEnd w:id="0"/>
          </w:p>
        </w:tc>
        <w:tc>
          <w:tcPr>
            <w:tcW w:w="1646" w:type="dxa"/>
            <w:vAlign w:val="center"/>
          </w:tcPr>
          <w:p w:rsidR="004A4B1C" w:rsidRPr="001E3AC7" w:rsidRDefault="004A4B1C" w:rsidP="000D3F83">
            <w:pPr>
              <w:pStyle w:val="LogoUPOV"/>
              <w:rPr>
                <w:lang w:val="de-DE"/>
              </w:rPr>
            </w:pPr>
            <w:r w:rsidRPr="001E3AC7">
              <w:rPr>
                <w:noProof/>
              </w:rPr>
              <w:drawing>
                <wp:inline distT="0" distB="0" distL="0" distR="0" wp14:anchorId="143933F1" wp14:editId="718A67E9">
                  <wp:extent cx="981710" cy="48133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A4B1C" w:rsidRPr="001E3AC7" w:rsidRDefault="004A4B1C" w:rsidP="000D3F83">
            <w:pPr>
              <w:pStyle w:val="Lettrine"/>
              <w:rPr>
                <w:lang w:val="de-DE"/>
              </w:rPr>
            </w:pPr>
            <w:r w:rsidRPr="001E3AC7">
              <w:rPr>
                <w:lang w:val="de-DE"/>
              </w:rPr>
              <w:t>G</w:t>
            </w:r>
          </w:p>
          <w:p w:rsidR="004A4B1C" w:rsidRPr="001E3AC7" w:rsidRDefault="004A4B1C" w:rsidP="004A4B1C">
            <w:pPr>
              <w:pStyle w:val="Docoriginal"/>
              <w:rPr>
                <w:lang w:val="de-DE" w:eastAsia="ja-JP"/>
              </w:rPr>
            </w:pPr>
            <w:r w:rsidRPr="001E3AC7">
              <w:rPr>
                <w:lang w:val="de-DE"/>
              </w:rPr>
              <w:t>TC/5</w:t>
            </w:r>
            <w:r w:rsidRPr="001E3AC7">
              <w:rPr>
                <w:lang w:val="de-DE" w:eastAsia="ja-JP"/>
              </w:rPr>
              <w:t>2</w:t>
            </w:r>
            <w:r w:rsidRPr="001E3AC7">
              <w:rPr>
                <w:lang w:val="de-DE"/>
              </w:rPr>
              <w:t>/</w:t>
            </w:r>
            <w:bookmarkStart w:id="1" w:name="Code"/>
            <w:bookmarkEnd w:id="1"/>
            <w:r w:rsidRPr="001E3AC7">
              <w:rPr>
                <w:lang w:val="de-DE" w:eastAsia="ja-JP"/>
              </w:rPr>
              <w:t>11</w:t>
            </w:r>
          </w:p>
          <w:p w:rsidR="004A4B1C" w:rsidRPr="001E3AC7" w:rsidRDefault="004A4B1C" w:rsidP="004A4B1C">
            <w:pPr>
              <w:pStyle w:val="Docoriginal"/>
              <w:rPr>
                <w:b w:val="0"/>
                <w:spacing w:val="0"/>
                <w:lang w:val="de-DE"/>
              </w:rPr>
            </w:pPr>
            <w:r w:rsidRPr="001E3AC7">
              <w:rPr>
                <w:rStyle w:val="StyleDoclangBold"/>
                <w:b/>
                <w:bCs/>
                <w:spacing w:val="0"/>
                <w:lang w:val="de-DE"/>
              </w:rPr>
              <w:t>ORIGINAL:</w:t>
            </w:r>
            <w:r w:rsidRPr="001E3AC7">
              <w:rPr>
                <w:rStyle w:val="StyleDocoriginalNotBold1"/>
                <w:spacing w:val="0"/>
                <w:lang w:val="de-DE"/>
              </w:rPr>
              <w:t xml:space="preserve"> </w:t>
            </w:r>
            <w:r w:rsidRPr="001E3AC7">
              <w:rPr>
                <w:spacing w:val="0"/>
                <w:lang w:val="de-DE"/>
              </w:rPr>
              <w:t xml:space="preserve"> </w:t>
            </w:r>
            <w:bookmarkStart w:id="2" w:name="Original"/>
            <w:bookmarkEnd w:id="2"/>
            <w:r w:rsidR="00D76C56">
              <w:rPr>
                <w:b w:val="0"/>
                <w:spacing w:val="0"/>
                <w:lang w:val="de-DE"/>
              </w:rPr>
              <w:t>e</w:t>
            </w:r>
            <w:r w:rsidRPr="001E3AC7">
              <w:rPr>
                <w:b w:val="0"/>
                <w:spacing w:val="0"/>
                <w:lang w:val="de-DE"/>
              </w:rPr>
              <w:t>nglis</w:t>
            </w:r>
            <w:r w:rsidR="00D76C56">
              <w:rPr>
                <w:b w:val="0"/>
                <w:spacing w:val="0"/>
                <w:lang w:val="de-DE"/>
              </w:rPr>
              <w:t>c</w:t>
            </w:r>
            <w:r w:rsidRPr="001E3AC7">
              <w:rPr>
                <w:b w:val="0"/>
                <w:spacing w:val="0"/>
                <w:lang w:val="de-DE"/>
              </w:rPr>
              <w:t>h</w:t>
            </w:r>
          </w:p>
          <w:p w:rsidR="004A4B1C" w:rsidRPr="001E3AC7" w:rsidRDefault="004A4B1C" w:rsidP="00D76C56">
            <w:pPr>
              <w:pStyle w:val="Docoriginal"/>
              <w:rPr>
                <w:lang w:val="de-DE"/>
              </w:rPr>
            </w:pPr>
            <w:r w:rsidRPr="001E3AC7">
              <w:rPr>
                <w:spacing w:val="0"/>
                <w:lang w:val="de-DE"/>
              </w:rPr>
              <w:t>DAT</w:t>
            </w:r>
            <w:r w:rsidR="00D76C56">
              <w:rPr>
                <w:spacing w:val="0"/>
                <w:lang w:val="de-DE"/>
              </w:rPr>
              <w:t>UM</w:t>
            </w:r>
            <w:r w:rsidRPr="001E3AC7">
              <w:rPr>
                <w:spacing w:val="0"/>
                <w:lang w:val="de-DE"/>
              </w:rPr>
              <w:t xml:space="preserve">: </w:t>
            </w:r>
            <w:bookmarkStart w:id="3" w:name="Date"/>
            <w:bookmarkEnd w:id="3"/>
            <w:r w:rsidRPr="001E3AC7">
              <w:rPr>
                <w:b w:val="0"/>
                <w:spacing w:val="0"/>
                <w:lang w:val="de-DE" w:eastAsia="ja-JP"/>
              </w:rPr>
              <w:t>23</w:t>
            </w:r>
            <w:r w:rsidR="00D76C56">
              <w:rPr>
                <w:b w:val="0"/>
                <w:spacing w:val="0"/>
                <w:lang w:val="de-DE" w:eastAsia="ja-JP"/>
              </w:rPr>
              <w:t>. Februar</w:t>
            </w:r>
            <w:r w:rsidRPr="001E3AC7">
              <w:rPr>
                <w:b w:val="0"/>
                <w:spacing w:val="0"/>
                <w:lang w:val="de-DE"/>
              </w:rPr>
              <w:t xml:space="preserve"> 201</w:t>
            </w:r>
            <w:r w:rsidRPr="001E3AC7">
              <w:rPr>
                <w:b w:val="0"/>
                <w:spacing w:val="0"/>
                <w:lang w:val="de-DE" w:eastAsia="ja-JP"/>
              </w:rPr>
              <w:t>6</w:t>
            </w:r>
          </w:p>
        </w:tc>
      </w:tr>
      <w:tr w:rsidR="004A4B1C" w:rsidRPr="008570F2" w:rsidTr="000D3F83">
        <w:tc>
          <w:tcPr>
            <w:tcW w:w="10131" w:type="dxa"/>
            <w:gridSpan w:val="3"/>
          </w:tcPr>
          <w:p w:rsidR="004A4B1C" w:rsidRPr="001E3AC7" w:rsidRDefault="004A4B1C" w:rsidP="000D3F83">
            <w:pPr>
              <w:pStyle w:val="upove"/>
              <w:rPr>
                <w:sz w:val="28"/>
                <w:lang w:val="de-DE"/>
              </w:rPr>
            </w:pPr>
            <w:r w:rsidRPr="001E3AC7">
              <w:rPr>
                <w:snapToGrid w:val="0"/>
                <w:lang w:val="de-DE"/>
              </w:rPr>
              <w:t>INTERNATIONALER VERBAND ZUM SCHUTZ VON PFLANZENZÜCHTUNGEN</w:t>
            </w:r>
          </w:p>
        </w:tc>
      </w:tr>
      <w:tr w:rsidR="004A4B1C" w:rsidRPr="001E3AC7" w:rsidTr="000D3F83">
        <w:tc>
          <w:tcPr>
            <w:tcW w:w="10131" w:type="dxa"/>
            <w:gridSpan w:val="3"/>
          </w:tcPr>
          <w:p w:rsidR="004A4B1C" w:rsidRPr="001E3AC7" w:rsidRDefault="004A4B1C" w:rsidP="000D3F83">
            <w:pPr>
              <w:pStyle w:val="Country"/>
              <w:rPr>
                <w:lang w:val="de-DE"/>
              </w:rPr>
            </w:pPr>
            <w:r w:rsidRPr="001E3AC7">
              <w:rPr>
                <w:lang w:val="de-DE"/>
              </w:rPr>
              <w:t>Genf</w:t>
            </w:r>
          </w:p>
        </w:tc>
      </w:tr>
    </w:tbl>
    <w:p w:rsidR="004A4B1C" w:rsidRPr="001E3AC7" w:rsidRDefault="004A4B1C" w:rsidP="004A4B1C">
      <w:pPr>
        <w:pStyle w:val="Sessiontc"/>
        <w:rPr>
          <w:lang w:val="de-DE"/>
        </w:rPr>
      </w:pPr>
      <w:bookmarkStart w:id="4" w:name="TitleOfDoc"/>
      <w:bookmarkStart w:id="5" w:name="Prepared"/>
      <w:bookmarkEnd w:id="4"/>
      <w:bookmarkEnd w:id="5"/>
      <w:r w:rsidRPr="001E3AC7">
        <w:rPr>
          <w:lang w:val="de-DE"/>
        </w:rPr>
        <w:t>Technischer AusschuSS</w:t>
      </w:r>
    </w:p>
    <w:p w:rsidR="004A4B1C" w:rsidRPr="001E3AC7" w:rsidRDefault="004A4B1C" w:rsidP="004A4B1C">
      <w:pPr>
        <w:pStyle w:val="Sessiontcplacedate"/>
        <w:rPr>
          <w:lang w:val="de-DE"/>
        </w:rPr>
      </w:pPr>
      <w:r w:rsidRPr="001E3AC7">
        <w:rPr>
          <w:lang w:val="de-DE"/>
        </w:rPr>
        <w:t>Zweiundfünfzigste Tagung</w:t>
      </w:r>
      <w:r w:rsidRPr="001E3AC7">
        <w:rPr>
          <w:lang w:val="de-DE"/>
        </w:rPr>
        <w:br/>
        <w:t>Genf, 14. bis 16. März 2016</w:t>
      </w:r>
    </w:p>
    <w:p w:rsidR="004A4B1C" w:rsidRPr="001E3AC7" w:rsidRDefault="001E3AC7" w:rsidP="004A4B1C">
      <w:pPr>
        <w:pStyle w:val="Titleofdoc0"/>
        <w:rPr>
          <w:lang w:val="de-DE"/>
        </w:rPr>
      </w:pPr>
      <w:r>
        <w:rPr>
          <w:lang w:val="de-DE"/>
        </w:rPr>
        <w:t>Molekulare Verfahren</w:t>
      </w:r>
    </w:p>
    <w:p w:rsidR="004A4B1C" w:rsidRPr="001E3AC7" w:rsidRDefault="004A4B1C" w:rsidP="004A4B1C">
      <w:pPr>
        <w:pStyle w:val="preparedby1"/>
        <w:rPr>
          <w:color w:val="A6A6A6" w:themeColor="background1" w:themeShade="A6"/>
          <w:lang w:val="de-DE"/>
        </w:rPr>
      </w:pPr>
      <w:r w:rsidRPr="001E3AC7">
        <w:rPr>
          <w:lang w:val="de-DE"/>
        </w:rPr>
        <w:t>vom Verbandsbüro erstelltes Dokument</w:t>
      </w:r>
      <w:r w:rsidRPr="001E3AC7">
        <w:rPr>
          <w:lang w:val="de-DE"/>
        </w:rPr>
        <w:br/>
      </w:r>
      <w:r w:rsidRPr="001E3AC7">
        <w:rPr>
          <w:lang w:val="de-DE"/>
        </w:rPr>
        <w:br/>
      </w:r>
      <w:r w:rsidRPr="001E3AC7">
        <w:rPr>
          <w:color w:val="A6A6A6" w:themeColor="background1" w:themeShade="A6"/>
          <w:lang w:val="de-DE"/>
        </w:rPr>
        <w:t>Haftungsausschluß: dieses Dokument gibt nicht die Grundsätze oder eine Anleitung der UPOV wieder</w:t>
      </w:r>
    </w:p>
    <w:p w:rsidR="003F4BEF" w:rsidRPr="001E3AC7" w:rsidRDefault="00D76C56" w:rsidP="003F4BEF">
      <w:pPr>
        <w:pStyle w:val="Heading1"/>
        <w:rPr>
          <w:lang w:val="de-DE" w:eastAsia="ja-JP"/>
        </w:rPr>
      </w:pPr>
      <w:bookmarkStart w:id="6" w:name="_Toc444612389"/>
      <w:r>
        <w:rPr>
          <w:lang w:val="de-DE" w:eastAsia="ja-JP"/>
        </w:rPr>
        <w:t>ZUSAMMENFASSUNG</w:t>
      </w:r>
      <w:bookmarkEnd w:id="6"/>
    </w:p>
    <w:p w:rsidR="003F4BEF" w:rsidRPr="001E3AC7" w:rsidRDefault="003F4BEF" w:rsidP="000F7E6A">
      <w:pPr>
        <w:rPr>
          <w:lang w:val="de-DE" w:eastAsia="ja-JP"/>
        </w:rPr>
      </w:pPr>
    </w:p>
    <w:p w:rsidR="001873AF" w:rsidRPr="001E3AC7" w:rsidRDefault="000F7E6A" w:rsidP="00560113">
      <w:pPr>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4A4B1C" w:rsidRPr="001E3AC7">
        <w:rPr>
          <w:rFonts w:cs="Arial"/>
          <w:lang w:val="de-DE"/>
        </w:rPr>
        <w:t>Zweck dieses Dokument ist es, über Entwicklungen betreffend molekulare Verfahren in Bezug auf</w:t>
      </w:r>
      <w:r w:rsidR="005A5314" w:rsidRPr="001E3AC7">
        <w:rPr>
          <w:lang w:val="de-DE"/>
        </w:rPr>
        <w:t xml:space="preserve"> </w:t>
      </w:r>
      <w:r w:rsidR="004D1C2F">
        <w:rPr>
          <w:lang w:val="de-DE"/>
        </w:rPr>
        <w:t>die</w:t>
      </w:r>
      <w:r w:rsidR="005A5314" w:rsidRPr="001E3AC7">
        <w:rPr>
          <w:lang w:val="de-DE" w:eastAsia="ja-JP"/>
        </w:rPr>
        <w:t xml:space="preserve"> </w:t>
      </w:r>
      <w:r w:rsidR="004A4B1C" w:rsidRPr="001E3AC7">
        <w:rPr>
          <w:lang w:val="de-DE"/>
        </w:rPr>
        <w:t>Technische</w:t>
      </w:r>
      <w:r w:rsidR="008570F2">
        <w:rPr>
          <w:lang w:val="de-DE"/>
        </w:rPr>
        <w:t>n</w:t>
      </w:r>
      <w:r w:rsidR="004A4B1C" w:rsidRPr="001E3AC7">
        <w:rPr>
          <w:lang w:val="de-DE"/>
        </w:rPr>
        <w:t xml:space="preserve"> Arbeitsgruppen</w:t>
      </w:r>
      <w:r w:rsidR="004D1C2F">
        <w:rPr>
          <w:lang w:val="de-DE"/>
        </w:rPr>
        <w:t xml:space="preserve"> und die</w:t>
      </w:r>
      <w:r w:rsidR="00DE64AE">
        <w:rPr>
          <w:lang w:val="de-DE"/>
        </w:rPr>
        <w:t xml:space="preserve"> gemeinsam</w:t>
      </w:r>
      <w:r w:rsidR="008570F2">
        <w:rPr>
          <w:lang w:val="de-DE" w:eastAsia="ja-JP"/>
        </w:rPr>
        <w:t>e Arbeitstagung von OECD, UPOV und</w:t>
      </w:r>
      <w:r w:rsidR="004A4B1C" w:rsidRPr="001E3AC7">
        <w:rPr>
          <w:lang w:val="de-DE" w:eastAsia="ja-JP"/>
        </w:rPr>
        <w:t xml:space="preserve"> ISTA über molekulare Verfahren</w:t>
      </w:r>
      <w:r w:rsidR="008570F2" w:rsidRPr="008570F2">
        <w:rPr>
          <w:rFonts w:cs="Arial"/>
          <w:lang w:val="de-DE"/>
        </w:rPr>
        <w:t xml:space="preserve"> </w:t>
      </w:r>
      <w:r w:rsidR="008570F2" w:rsidRPr="001E3AC7">
        <w:rPr>
          <w:rFonts w:cs="Arial"/>
          <w:lang w:val="de-DE"/>
        </w:rPr>
        <w:t>Bericht zu erstatten</w:t>
      </w:r>
      <w:r w:rsidR="004D1C2F">
        <w:rPr>
          <w:lang w:val="de-DE" w:eastAsia="ja-JP"/>
        </w:rPr>
        <w:t xml:space="preserve"> und einen </w:t>
      </w:r>
      <w:r w:rsidR="004D1C2F" w:rsidRPr="004D1C2F">
        <w:rPr>
          <w:lang w:val="de-DE" w:eastAsia="ja-JP"/>
        </w:rPr>
        <w:t>Entwurf für Frage und Antwort bezüglich der Informationen über die Lage in der UPOV hinsichtlich der Verwendung molekularer Verfahren für ein breiteres Publikum, einschließlich der Öffentlichkeit im allgemeinen</w:t>
      </w:r>
      <w:r w:rsidR="008570F2">
        <w:rPr>
          <w:lang w:val="de-DE" w:eastAsia="ja-JP"/>
        </w:rPr>
        <w:t>,</w:t>
      </w:r>
      <w:r w:rsidR="004D1C2F">
        <w:rPr>
          <w:lang w:val="de-DE" w:eastAsia="ja-JP"/>
        </w:rPr>
        <w:t xml:space="preserve"> zu prüfen</w:t>
      </w:r>
      <w:r w:rsidR="006D5C91" w:rsidRPr="001E3AC7">
        <w:rPr>
          <w:lang w:val="de-DE"/>
        </w:rPr>
        <w:t>.</w:t>
      </w:r>
    </w:p>
    <w:p w:rsidR="003F4BEF" w:rsidRPr="001E3AC7" w:rsidRDefault="003F4BEF" w:rsidP="003F4BEF">
      <w:pPr>
        <w:rPr>
          <w:lang w:val="de-DE" w:eastAsia="ja-JP"/>
        </w:rPr>
      </w:pPr>
    </w:p>
    <w:p w:rsidR="003F4BEF" w:rsidRPr="001E3AC7" w:rsidRDefault="003F4BEF" w:rsidP="003F4BEF">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4D1C2F">
        <w:rPr>
          <w:lang w:val="de-DE" w:eastAsia="ja-JP"/>
        </w:rPr>
        <w:t>Der TC wird ersucht</w:t>
      </w:r>
      <w:r w:rsidRPr="001E3AC7">
        <w:rPr>
          <w:lang w:val="de-DE" w:eastAsia="ja-JP"/>
        </w:rPr>
        <w:t>:</w:t>
      </w:r>
    </w:p>
    <w:p w:rsidR="00A20C90" w:rsidRPr="001E3AC7" w:rsidRDefault="00A20C90" w:rsidP="00A20C90">
      <w:pPr>
        <w:ind w:left="540" w:hanging="540"/>
        <w:rPr>
          <w:lang w:val="de-DE" w:eastAsia="ja-JP"/>
        </w:rPr>
      </w:pPr>
    </w:p>
    <w:p w:rsidR="00D10599" w:rsidRPr="001E3AC7" w:rsidRDefault="00D10599" w:rsidP="00D10599">
      <w:pPr>
        <w:rPr>
          <w:lang w:val="de-DE"/>
        </w:rPr>
      </w:pPr>
      <w:r w:rsidRPr="001E3AC7">
        <w:rPr>
          <w:lang w:val="de-DE"/>
        </w:rPr>
        <w:tab/>
        <w:t>a)</w:t>
      </w:r>
      <w:r w:rsidRPr="001E3AC7">
        <w:rPr>
          <w:lang w:val="de-DE"/>
        </w:rPr>
        <w:tab/>
      </w:r>
      <w:r w:rsidR="001E3AC7">
        <w:rPr>
          <w:lang w:val="de-DE"/>
        </w:rPr>
        <w:t>den Bericht über die Entwicklungen in den TWP und</w:t>
      </w:r>
      <w:r w:rsidR="008570F2">
        <w:rPr>
          <w:lang w:val="de-DE"/>
        </w:rPr>
        <w:t xml:space="preserve"> der</w:t>
      </w:r>
      <w:r w:rsidR="001E3AC7">
        <w:rPr>
          <w:lang w:val="de-DE"/>
        </w:rPr>
        <w:t xml:space="preserve"> BMT</w:t>
      </w:r>
      <w:r w:rsidRPr="001E3AC7">
        <w:rPr>
          <w:lang w:val="de-DE"/>
        </w:rPr>
        <w:t xml:space="preserve">, </w:t>
      </w:r>
      <w:r w:rsidR="001E3AC7">
        <w:rPr>
          <w:lang w:val="de-DE"/>
        </w:rPr>
        <w:t xml:space="preserve">wie in Absätzen 5 bis 15 dieses </w:t>
      </w:r>
      <w:r w:rsidR="008570F2">
        <w:rPr>
          <w:lang w:val="de-DE"/>
        </w:rPr>
        <w:t>Dokuments</w:t>
      </w:r>
      <w:r w:rsidR="001E3AC7">
        <w:rPr>
          <w:lang w:val="de-DE"/>
        </w:rPr>
        <w:t xml:space="preserve"> dargelegt</w:t>
      </w:r>
      <w:r w:rsidR="008570F2">
        <w:rPr>
          <w:lang w:val="de-DE"/>
        </w:rPr>
        <w:t>,</w:t>
      </w:r>
      <w:r w:rsidR="008570F2" w:rsidRPr="008570F2">
        <w:rPr>
          <w:lang w:val="de-DE"/>
        </w:rPr>
        <w:t xml:space="preserve"> </w:t>
      </w:r>
      <w:r w:rsidR="008570F2">
        <w:rPr>
          <w:lang w:val="de-DE"/>
        </w:rPr>
        <w:t>zur Kenntnis zu nehmen;</w:t>
      </w:r>
    </w:p>
    <w:p w:rsidR="00D10599" w:rsidRPr="001E3AC7" w:rsidRDefault="00D10599" w:rsidP="00D10599">
      <w:pPr>
        <w:rPr>
          <w:lang w:val="de-DE"/>
        </w:rPr>
      </w:pPr>
    </w:p>
    <w:p w:rsidR="00D10599" w:rsidRPr="001E3AC7" w:rsidRDefault="00D10599" w:rsidP="00D10599">
      <w:pPr>
        <w:rPr>
          <w:lang w:val="de-DE"/>
        </w:rPr>
      </w:pPr>
      <w:r w:rsidRPr="001E3AC7">
        <w:rPr>
          <w:lang w:val="de-DE"/>
        </w:rPr>
        <w:tab/>
        <w:t>b)</w:t>
      </w:r>
      <w:r w:rsidRPr="001E3AC7">
        <w:rPr>
          <w:lang w:val="de-DE"/>
        </w:rPr>
        <w:tab/>
      </w:r>
      <w:r w:rsidR="001E3AC7">
        <w:rPr>
          <w:lang w:val="de-DE"/>
        </w:rPr>
        <w:t>die Vorhaben für die</w:t>
      </w:r>
      <w:r w:rsidRPr="001E3AC7">
        <w:rPr>
          <w:lang w:val="de-DE"/>
        </w:rPr>
        <w:t xml:space="preserve"> </w:t>
      </w:r>
      <w:r w:rsidR="001E3AC7">
        <w:rPr>
          <w:lang w:val="de-DE"/>
        </w:rPr>
        <w:t>OECD-Saatgutsysteme</w:t>
      </w:r>
      <w:r w:rsidR="00DE64AE">
        <w:rPr>
          <w:lang w:val="de-DE"/>
        </w:rPr>
        <w:t xml:space="preserve"> zur Kenntnis zu nehmen</w:t>
      </w:r>
      <w:r w:rsidR="008570F2">
        <w:rPr>
          <w:lang w:val="de-DE"/>
        </w:rPr>
        <w:t>,</w:t>
      </w:r>
      <w:r w:rsidR="001E3AC7">
        <w:rPr>
          <w:lang w:val="de-DE"/>
        </w:rPr>
        <w:t xml:space="preserve"> </w:t>
      </w:r>
      <w:r w:rsidR="004D1C2F">
        <w:rPr>
          <w:lang w:val="de-DE"/>
        </w:rPr>
        <w:t>eine</w:t>
      </w:r>
      <w:r w:rsidR="00DE64AE">
        <w:rPr>
          <w:lang w:val="de-DE"/>
        </w:rPr>
        <w:t xml:space="preserve"> </w:t>
      </w:r>
      <w:r w:rsidR="008570F2">
        <w:rPr>
          <w:lang w:val="de-DE"/>
        </w:rPr>
        <w:t>gemeinsame</w:t>
      </w:r>
      <w:r w:rsidR="004D1C2F">
        <w:rPr>
          <w:lang w:val="de-DE"/>
        </w:rPr>
        <w:t xml:space="preserve"> Arbeitstagung von OECD, UPOV, ISTA </w:t>
      </w:r>
      <w:r w:rsidR="008570F2">
        <w:rPr>
          <w:lang w:val="de-DE"/>
        </w:rPr>
        <w:t xml:space="preserve">und AOSA </w:t>
      </w:r>
      <w:r w:rsidR="004D1C2F">
        <w:rPr>
          <w:lang w:val="de-DE"/>
        </w:rPr>
        <w:t xml:space="preserve">über biochemische und molekulare Verfahren </w:t>
      </w:r>
      <w:r w:rsidR="008570F2">
        <w:rPr>
          <w:lang w:val="de-DE"/>
        </w:rPr>
        <w:t xml:space="preserve">am 7. und 8. Juni 2016 </w:t>
      </w:r>
      <w:r w:rsidR="004D1C2F">
        <w:rPr>
          <w:lang w:val="de-DE"/>
        </w:rPr>
        <w:t>in Paris, Frankreich, zu organisieren</w:t>
      </w:r>
      <w:r w:rsidRPr="001E3AC7">
        <w:rPr>
          <w:lang w:val="de-DE"/>
        </w:rPr>
        <w:t>;</w:t>
      </w:r>
    </w:p>
    <w:p w:rsidR="00D10599" w:rsidRPr="001E3AC7" w:rsidRDefault="00D10599" w:rsidP="00D10599">
      <w:pPr>
        <w:rPr>
          <w:lang w:val="de-DE"/>
        </w:rPr>
      </w:pPr>
    </w:p>
    <w:p w:rsidR="00D10599" w:rsidRPr="001E3AC7" w:rsidRDefault="00D10599" w:rsidP="00D10599">
      <w:pPr>
        <w:rPr>
          <w:lang w:val="de-DE"/>
        </w:rPr>
      </w:pPr>
      <w:r w:rsidRPr="001E3AC7">
        <w:rPr>
          <w:lang w:val="de-DE"/>
        </w:rPr>
        <w:tab/>
        <w:t>c)</w:t>
      </w:r>
      <w:r w:rsidRPr="001E3AC7">
        <w:rPr>
          <w:lang w:val="de-DE"/>
        </w:rPr>
        <w:tab/>
      </w:r>
      <w:r w:rsidR="001E3AC7">
        <w:rPr>
          <w:lang w:val="de-DE"/>
        </w:rPr>
        <w:t xml:space="preserve">zur Kenntnis </w:t>
      </w:r>
      <w:r w:rsidR="004D1C2F">
        <w:rPr>
          <w:lang w:val="de-DE"/>
        </w:rPr>
        <w:t>zu nehmen, daß die Bemerkungen von OECD und ISTA zu den wesentlichen Besonderheiten der Systeme</w:t>
      </w:r>
      <w:r w:rsidR="008570F2">
        <w:rPr>
          <w:lang w:val="de-DE"/>
        </w:rPr>
        <w:t xml:space="preserve"> von OECD, UPOV und ISTA dem TC</w:t>
      </w:r>
      <w:r w:rsidR="004D1C2F">
        <w:rPr>
          <w:lang w:val="de-DE"/>
        </w:rPr>
        <w:t xml:space="preserve"> auf seiner dreiundfünfzigsten Tagung berichtet würden</w:t>
      </w:r>
      <w:r w:rsidRPr="001E3AC7">
        <w:rPr>
          <w:lang w:val="de-DE"/>
        </w:rPr>
        <w:t>;</w:t>
      </w:r>
    </w:p>
    <w:p w:rsidR="00D10599" w:rsidRPr="001E3AC7" w:rsidRDefault="00D10599" w:rsidP="00D10599">
      <w:pPr>
        <w:rPr>
          <w:lang w:val="de-DE"/>
        </w:rPr>
      </w:pPr>
    </w:p>
    <w:p w:rsidR="00D10599" w:rsidRPr="001E3AC7" w:rsidRDefault="00D10599" w:rsidP="00D10599">
      <w:pPr>
        <w:rPr>
          <w:lang w:val="de-DE"/>
        </w:rPr>
      </w:pPr>
      <w:r w:rsidRPr="001E3AC7">
        <w:rPr>
          <w:lang w:val="de-DE"/>
        </w:rPr>
        <w:tab/>
        <w:t>d)</w:t>
      </w:r>
      <w:r w:rsidRPr="001E3AC7">
        <w:rPr>
          <w:lang w:val="de-DE"/>
        </w:rPr>
        <w:tab/>
      </w:r>
      <w:r w:rsidR="001E3AC7">
        <w:rPr>
          <w:lang w:val="de-DE"/>
        </w:rPr>
        <w:t xml:space="preserve">zur Kenntnis </w:t>
      </w:r>
      <w:r w:rsidR="004D1C2F">
        <w:rPr>
          <w:lang w:val="de-DE"/>
        </w:rPr>
        <w:t>zu nehmen, daß die Bemerkungen von</w:t>
      </w:r>
      <w:r w:rsidRPr="001E3AC7">
        <w:rPr>
          <w:lang w:val="de-DE"/>
        </w:rPr>
        <w:t xml:space="preserve"> OECD</w:t>
      </w:r>
      <w:r w:rsidR="004D1C2F">
        <w:rPr>
          <w:lang w:val="de-DE"/>
        </w:rPr>
        <w:t xml:space="preserve"> und </w:t>
      </w:r>
      <w:r w:rsidRPr="001E3AC7">
        <w:rPr>
          <w:lang w:val="de-DE"/>
        </w:rPr>
        <w:t xml:space="preserve">ISTA </w:t>
      </w:r>
      <w:r w:rsidR="004D1C2F">
        <w:rPr>
          <w:lang w:val="de-DE"/>
        </w:rPr>
        <w:t>über die Verwendung molekularer Markerverfahren nach Pflanze</w:t>
      </w:r>
      <w:r w:rsidRPr="001E3AC7">
        <w:rPr>
          <w:lang w:val="de-DE"/>
        </w:rPr>
        <w:t xml:space="preserve"> </w:t>
      </w:r>
      <w:r w:rsidR="004D1C2F">
        <w:rPr>
          <w:lang w:val="de-DE"/>
        </w:rPr>
        <w:t>dem TC auf seiner dreiundfünfzigsten Tagung berichtet würden</w:t>
      </w:r>
      <w:r w:rsidRPr="001E3AC7">
        <w:rPr>
          <w:lang w:val="de-DE"/>
        </w:rPr>
        <w:t>;</w:t>
      </w:r>
    </w:p>
    <w:p w:rsidR="00D10599" w:rsidRPr="001E3AC7" w:rsidRDefault="00D10599" w:rsidP="00D10599">
      <w:pPr>
        <w:rPr>
          <w:lang w:val="de-DE"/>
        </w:rPr>
      </w:pPr>
    </w:p>
    <w:p w:rsidR="00D10599" w:rsidRPr="001E3AC7" w:rsidRDefault="00D10599" w:rsidP="00D10599">
      <w:pPr>
        <w:rPr>
          <w:lang w:val="de-DE"/>
        </w:rPr>
      </w:pPr>
      <w:r w:rsidRPr="001E3AC7">
        <w:rPr>
          <w:lang w:val="de-DE"/>
        </w:rPr>
        <w:tab/>
        <w:t>e)</w:t>
      </w:r>
      <w:r w:rsidRPr="001E3AC7">
        <w:rPr>
          <w:lang w:val="de-DE"/>
        </w:rPr>
        <w:tab/>
      </w:r>
      <w:r w:rsidR="001E3AC7">
        <w:rPr>
          <w:lang w:val="de-DE"/>
        </w:rPr>
        <w:t xml:space="preserve">zur Kenntnis </w:t>
      </w:r>
      <w:r w:rsidR="004D1C2F">
        <w:rPr>
          <w:lang w:val="de-DE"/>
        </w:rPr>
        <w:t>zu nehmen, daß die BMT auf ihrer fünfzigsten Tagung</w:t>
      </w:r>
      <w:r w:rsidRPr="001E3AC7">
        <w:rPr>
          <w:lang w:val="de-DE"/>
        </w:rPr>
        <w:t xml:space="preserve"> </w:t>
      </w:r>
      <w:r w:rsidR="004D1C2F">
        <w:rPr>
          <w:lang w:val="de-DE"/>
        </w:rPr>
        <w:t>ersucht würde,</w:t>
      </w:r>
      <w:r w:rsidRPr="001E3AC7">
        <w:rPr>
          <w:lang w:val="de-DE"/>
        </w:rPr>
        <w:t xml:space="preserve"> </w:t>
      </w:r>
      <w:r w:rsidR="004D1C2F">
        <w:rPr>
          <w:lang w:val="de-DE"/>
        </w:rPr>
        <w:t>eine Liste möglicher</w:t>
      </w:r>
      <w:r w:rsidR="00DE64AE">
        <w:rPr>
          <w:lang w:val="de-DE"/>
        </w:rPr>
        <w:t xml:space="preserve"> gemeinsam</w:t>
      </w:r>
      <w:r w:rsidR="004D1C2F">
        <w:rPr>
          <w:lang w:val="de-DE"/>
        </w:rPr>
        <w:t xml:space="preserve">er Initiativen mit OECD und ISTA </w:t>
      </w:r>
      <w:r w:rsidR="00E20A84">
        <w:rPr>
          <w:lang w:val="de-DE"/>
        </w:rPr>
        <w:t>zu erstellen</w:t>
      </w:r>
      <w:r w:rsidRPr="001E3AC7">
        <w:rPr>
          <w:lang w:val="de-DE"/>
        </w:rPr>
        <w:t xml:space="preserve">, </w:t>
      </w:r>
      <w:r w:rsidR="004D1C2F">
        <w:rPr>
          <w:lang w:val="de-DE"/>
        </w:rPr>
        <w:t>die dem TC auf seiner dreiundfünfzigsten Tagung vorgelegt würde; und</w:t>
      </w:r>
    </w:p>
    <w:p w:rsidR="00D10599" w:rsidRPr="001E3AC7" w:rsidRDefault="00D10599" w:rsidP="00D10599">
      <w:pPr>
        <w:rPr>
          <w:lang w:val="de-DE"/>
        </w:rPr>
      </w:pPr>
    </w:p>
    <w:p w:rsidR="00D10599" w:rsidRPr="001E3AC7" w:rsidRDefault="00D10599" w:rsidP="00D10599">
      <w:pPr>
        <w:rPr>
          <w:lang w:val="de-DE"/>
        </w:rPr>
      </w:pPr>
      <w:r w:rsidRPr="001E3AC7">
        <w:rPr>
          <w:lang w:val="de-DE"/>
        </w:rPr>
        <w:tab/>
        <w:t>f)</w:t>
      </w:r>
      <w:r w:rsidRPr="001E3AC7">
        <w:rPr>
          <w:lang w:val="de-DE"/>
        </w:rPr>
        <w:tab/>
      </w:r>
      <w:r w:rsidR="004D1C2F">
        <w:rPr>
          <w:lang w:val="de-DE"/>
        </w:rPr>
        <w:t>einen Entwurf für Frage und Antwort bezüglich der Informationen über die Lage in der UPOV hinsichtlich der Verwendung molekularer Verfahren für ein breiteres Publikum, einschließlich der Öffentlichkeit im allgemeinen</w:t>
      </w:r>
      <w:r w:rsidR="008570F2">
        <w:rPr>
          <w:lang w:val="de-DE"/>
        </w:rPr>
        <w:t>,</w:t>
      </w:r>
      <w:r w:rsidR="004D1C2F">
        <w:rPr>
          <w:lang w:val="de-DE"/>
        </w:rPr>
        <w:t xml:space="preserve"> </w:t>
      </w:r>
      <w:r w:rsidR="001E3AC7">
        <w:rPr>
          <w:lang w:val="de-DE"/>
        </w:rPr>
        <w:t xml:space="preserve">wie </w:t>
      </w:r>
      <w:r w:rsidRPr="001E3AC7">
        <w:rPr>
          <w:lang w:val="de-DE"/>
        </w:rPr>
        <w:t xml:space="preserve">in </w:t>
      </w:r>
      <w:r w:rsidR="000D3F83" w:rsidRPr="001E3AC7">
        <w:rPr>
          <w:lang w:val="de-DE"/>
        </w:rPr>
        <w:t>Absatz</w:t>
      </w:r>
      <w:r w:rsidRPr="001E3AC7">
        <w:rPr>
          <w:lang w:val="de-DE"/>
        </w:rPr>
        <w:t xml:space="preserve"> 38 </w:t>
      </w:r>
      <w:r w:rsidR="001E3AC7">
        <w:rPr>
          <w:lang w:val="de-DE"/>
        </w:rPr>
        <w:t xml:space="preserve">dieses </w:t>
      </w:r>
      <w:r w:rsidR="008570F2">
        <w:rPr>
          <w:lang w:val="de-DE"/>
        </w:rPr>
        <w:t>Dokuments</w:t>
      </w:r>
      <w:r w:rsidR="008570F2" w:rsidRPr="008570F2">
        <w:rPr>
          <w:lang w:val="de-DE"/>
        </w:rPr>
        <w:t xml:space="preserve"> </w:t>
      </w:r>
      <w:r w:rsidR="008570F2">
        <w:rPr>
          <w:lang w:val="de-DE"/>
        </w:rPr>
        <w:t>dargelegt</w:t>
      </w:r>
      <w:r w:rsidR="00DE64AE">
        <w:rPr>
          <w:lang w:val="de-DE"/>
        </w:rPr>
        <w:t>,</w:t>
      </w:r>
      <w:r w:rsidR="008570F2" w:rsidRPr="008570F2">
        <w:rPr>
          <w:lang w:val="de-DE"/>
        </w:rPr>
        <w:t xml:space="preserve"> </w:t>
      </w:r>
      <w:r w:rsidR="008570F2">
        <w:rPr>
          <w:lang w:val="de-DE"/>
        </w:rPr>
        <w:t>zu prüfen.</w:t>
      </w:r>
    </w:p>
    <w:p w:rsidR="00D10599" w:rsidRPr="001E3AC7" w:rsidRDefault="00D10599" w:rsidP="00D10599">
      <w:pPr>
        <w:rPr>
          <w:lang w:val="de-DE"/>
        </w:rPr>
      </w:pPr>
    </w:p>
    <w:p w:rsidR="00D10599" w:rsidRPr="001E3AC7" w:rsidRDefault="00D10599">
      <w:pPr>
        <w:jc w:val="left"/>
        <w:rPr>
          <w:lang w:val="de-DE"/>
        </w:rPr>
      </w:pPr>
      <w:r w:rsidRPr="001E3AC7">
        <w:rPr>
          <w:lang w:val="de-DE"/>
        </w:rPr>
        <w:br w:type="page"/>
      </w:r>
    </w:p>
    <w:p w:rsidR="00362C4E" w:rsidRPr="001E3AC7" w:rsidRDefault="00D10599" w:rsidP="00D10599">
      <w:pPr>
        <w:rPr>
          <w:lang w:val="de-DE"/>
        </w:rPr>
      </w:pPr>
      <w:r w:rsidRPr="001E3AC7">
        <w:rPr>
          <w:lang w:val="de-DE"/>
        </w:rPr>
        <w:lastRenderedPageBreak/>
        <w:t>3.</w:t>
      </w:r>
      <w:r w:rsidR="00195A44" w:rsidRPr="001E3AC7">
        <w:rPr>
          <w:lang w:val="de-DE"/>
        </w:rPr>
        <w:tab/>
      </w:r>
      <w:r w:rsidR="004A4B1C" w:rsidRPr="001E3AC7">
        <w:rPr>
          <w:rFonts w:cs="Arial"/>
          <w:lang w:val="de-DE"/>
        </w:rPr>
        <w:t>In diesem Dokument werden folgende Abkürzungen verwendet</w:t>
      </w:r>
      <w:r w:rsidR="00362C4E" w:rsidRPr="001E3AC7">
        <w:rPr>
          <w:lang w:val="de-DE"/>
        </w:rPr>
        <w:t>:</w:t>
      </w:r>
    </w:p>
    <w:p w:rsidR="00362C4E" w:rsidRDefault="00362C4E" w:rsidP="00362C4E">
      <w:pPr>
        <w:keepNext/>
        <w:ind w:left="1692" w:hanging="1125"/>
        <w:jc w:val="left"/>
        <w:rPr>
          <w:color w:val="000000"/>
          <w:lang w:val="de-DE"/>
        </w:rPr>
      </w:pPr>
    </w:p>
    <w:p w:rsidR="001E73EE" w:rsidRPr="001E3AC7" w:rsidRDefault="001E73EE" w:rsidP="00362C4E">
      <w:pPr>
        <w:keepNext/>
        <w:ind w:left="1692" w:hanging="1125"/>
        <w:jc w:val="left"/>
        <w:rPr>
          <w:color w:val="000000"/>
          <w:lang w:val="de-DE"/>
        </w:rPr>
      </w:pPr>
      <w:r>
        <w:rPr>
          <w:color w:val="000000"/>
          <w:lang w:val="de-DE"/>
        </w:rPr>
        <w:t>BMT:</w:t>
      </w:r>
      <w:r>
        <w:rPr>
          <w:color w:val="000000"/>
          <w:lang w:val="de-DE"/>
        </w:rPr>
        <w:tab/>
      </w:r>
      <w:r w:rsidRPr="001E73EE">
        <w:rPr>
          <w:color w:val="000000"/>
          <w:lang w:val="de-DE"/>
        </w:rPr>
        <w:t>Arbeitsgruppe für biochemische und molekulare Verfahren und insbesondere für DNS-Profilierungsverfahren</w:t>
      </w:r>
    </w:p>
    <w:p w:rsidR="000D3F83" w:rsidRPr="001E3AC7" w:rsidRDefault="000D3F83" w:rsidP="000D3F83">
      <w:pPr>
        <w:ind w:left="567"/>
        <w:jc w:val="left"/>
        <w:rPr>
          <w:rFonts w:cs="Arial"/>
          <w:lang w:val="de-DE"/>
        </w:rPr>
      </w:pPr>
      <w:r w:rsidRPr="001E3AC7">
        <w:rPr>
          <w:rFonts w:cs="Arial"/>
          <w:lang w:val="de-DE"/>
        </w:rPr>
        <w:t>CAJ:</w:t>
      </w:r>
      <w:r w:rsidRPr="001E3AC7">
        <w:rPr>
          <w:rFonts w:cs="Arial"/>
          <w:lang w:val="de-DE"/>
        </w:rPr>
        <w:tab/>
      </w:r>
      <w:r w:rsidRPr="001E3AC7">
        <w:rPr>
          <w:rFonts w:cs="Arial"/>
          <w:lang w:val="de-DE"/>
        </w:rPr>
        <w:tab/>
        <w:t>Verwaltungs- und Rechtsausschuß</w:t>
      </w:r>
    </w:p>
    <w:p w:rsidR="000D3F83" w:rsidRPr="001E3AC7" w:rsidRDefault="000D3F83" w:rsidP="000D3F83">
      <w:pPr>
        <w:ind w:left="567"/>
        <w:jc w:val="left"/>
        <w:rPr>
          <w:rFonts w:cs="Arial"/>
          <w:lang w:val="de-DE"/>
        </w:rPr>
      </w:pPr>
      <w:r w:rsidRPr="001E3AC7">
        <w:rPr>
          <w:rFonts w:cs="Arial"/>
          <w:lang w:val="de-DE"/>
        </w:rPr>
        <w:t>TC:</w:t>
      </w:r>
      <w:r w:rsidRPr="001E3AC7">
        <w:rPr>
          <w:rFonts w:cs="Arial"/>
          <w:lang w:val="de-DE"/>
        </w:rPr>
        <w:tab/>
      </w:r>
      <w:r w:rsidRPr="001E3AC7">
        <w:rPr>
          <w:rFonts w:cs="Arial"/>
          <w:lang w:val="de-DE"/>
        </w:rPr>
        <w:tab/>
        <w:t>Technischer Ausschuß</w:t>
      </w:r>
    </w:p>
    <w:p w:rsidR="000D3F83" w:rsidRPr="001E3AC7" w:rsidRDefault="000D3F83" w:rsidP="000D3F83">
      <w:pPr>
        <w:ind w:left="567"/>
        <w:jc w:val="left"/>
        <w:rPr>
          <w:rFonts w:eastAsia="PMingLiU" w:cs="Arial"/>
          <w:szCs w:val="24"/>
          <w:lang w:val="de-DE"/>
        </w:rPr>
      </w:pPr>
      <w:r w:rsidRPr="001E3AC7">
        <w:rPr>
          <w:rFonts w:cs="Arial"/>
          <w:lang w:val="de-DE"/>
        </w:rPr>
        <w:t>TC-EDC:</w:t>
      </w:r>
      <w:r w:rsidRPr="001E3AC7">
        <w:rPr>
          <w:rFonts w:cs="Arial"/>
          <w:lang w:val="de-DE"/>
        </w:rPr>
        <w:tab/>
        <w:t>Erweiterter Redaktionsausschuß</w:t>
      </w:r>
    </w:p>
    <w:p w:rsidR="000D3F83" w:rsidRPr="001E3AC7" w:rsidRDefault="000D3F83" w:rsidP="000D3F83">
      <w:pPr>
        <w:ind w:left="567"/>
        <w:jc w:val="left"/>
        <w:rPr>
          <w:rFonts w:eastAsia="PMingLiU" w:cs="Arial"/>
          <w:szCs w:val="24"/>
          <w:lang w:val="de-DE"/>
        </w:rPr>
      </w:pPr>
      <w:r w:rsidRPr="001E3AC7">
        <w:rPr>
          <w:rFonts w:cs="Arial"/>
          <w:lang w:val="de-DE"/>
        </w:rPr>
        <w:t>TWA:</w:t>
      </w:r>
      <w:r w:rsidRPr="001E3AC7">
        <w:rPr>
          <w:rFonts w:cs="Arial"/>
          <w:lang w:val="de-DE"/>
        </w:rPr>
        <w:tab/>
      </w:r>
      <w:r w:rsidRPr="001E3AC7">
        <w:rPr>
          <w:rFonts w:cs="Arial"/>
          <w:lang w:val="de-DE"/>
        </w:rPr>
        <w:tab/>
        <w:t>Technische Arbeitsgruppe für landwirtschaftliche Arten</w:t>
      </w:r>
    </w:p>
    <w:p w:rsidR="000D3F83" w:rsidRPr="001E3AC7" w:rsidRDefault="000D3F83" w:rsidP="000D3F83">
      <w:pPr>
        <w:ind w:left="567"/>
        <w:jc w:val="left"/>
        <w:rPr>
          <w:rFonts w:eastAsia="PMingLiU" w:cs="Arial"/>
          <w:szCs w:val="24"/>
          <w:lang w:val="de-DE"/>
        </w:rPr>
      </w:pPr>
      <w:r w:rsidRPr="001E3AC7">
        <w:rPr>
          <w:rFonts w:cs="Arial"/>
          <w:lang w:val="de-DE"/>
        </w:rPr>
        <w:t>TWC:</w:t>
      </w:r>
      <w:r w:rsidRPr="001E3AC7">
        <w:rPr>
          <w:rFonts w:cs="Arial"/>
          <w:lang w:val="de-DE"/>
        </w:rPr>
        <w:tab/>
      </w:r>
      <w:r w:rsidRPr="001E3AC7">
        <w:rPr>
          <w:rFonts w:cs="Arial"/>
          <w:lang w:val="de-DE"/>
        </w:rPr>
        <w:tab/>
        <w:t>Technische Arbeitsgruppe für Automatisierung und Computerprogramme</w:t>
      </w:r>
    </w:p>
    <w:p w:rsidR="000D3F83" w:rsidRPr="001E3AC7" w:rsidRDefault="000D3F83" w:rsidP="000D3F83">
      <w:pPr>
        <w:ind w:left="567"/>
        <w:jc w:val="left"/>
        <w:rPr>
          <w:rFonts w:eastAsia="PMingLiU" w:cs="Arial"/>
          <w:szCs w:val="24"/>
          <w:lang w:val="de-DE"/>
        </w:rPr>
      </w:pPr>
      <w:r w:rsidRPr="001E3AC7">
        <w:rPr>
          <w:rFonts w:cs="Arial"/>
          <w:lang w:val="de-DE"/>
        </w:rPr>
        <w:t xml:space="preserve">TWF: </w:t>
      </w:r>
      <w:r w:rsidRPr="001E3AC7">
        <w:rPr>
          <w:rFonts w:cs="Arial"/>
          <w:lang w:val="de-DE"/>
        </w:rPr>
        <w:tab/>
      </w:r>
      <w:r w:rsidRPr="001E3AC7">
        <w:rPr>
          <w:rFonts w:cs="Arial"/>
          <w:lang w:val="de-DE"/>
        </w:rPr>
        <w:tab/>
        <w:t>Technische Arbeitsgruppe für Obstarten</w:t>
      </w:r>
    </w:p>
    <w:p w:rsidR="000D3F83" w:rsidRPr="001E3AC7" w:rsidRDefault="000D3F83" w:rsidP="000D3F83">
      <w:pPr>
        <w:ind w:left="567"/>
        <w:jc w:val="left"/>
        <w:rPr>
          <w:rFonts w:eastAsia="PMingLiU" w:cs="Arial"/>
          <w:szCs w:val="24"/>
          <w:lang w:val="de-DE"/>
        </w:rPr>
      </w:pPr>
      <w:r w:rsidRPr="001E3AC7">
        <w:rPr>
          <w:rFonts w:cs="Arial"/>
          <w:lang w:val="de-DE"/>
        </w:rPr>
        <w:t>TWO</w:t>
      </w:r>
      <w:r w:rsidRPr="001E3AC7">
        <w:rPr>
          <w:rFonts w:cs="Arial"/>
          <w:lang w:val="de-DE"/>
        </w:rPr>
        <w:tab/>
      </w:r>
      <w:r w:rsidRPr="001E3AC7">
        <w:rPr>
          <w:rFonts w:cs="Arial"/>
          <w:lang w:val="de-DE"/>
        </w:rPr>
        <w:tab/>
        <w:t>Technische Arbeitsgruppe für Zierpflanzen und forstliche Baumarten</w:t>
      </w:r>
    </w:p>
    <w:p w:rsidR="000D3F83" w:rsidRPr="001E3AC7" w:rsidRDefault="000D3F83" w:rsidP="000D3F83">
      <w:pPr>
        <w:ind w:left="567"/>
        <w:jc w:val="left"/>
        <w:rPr>
          <w:rFonts w:eastAsia="PMingLiU" w:cs="Arial"/>
          <w:szCs w:val="24"/>
          <w:lang w:val="de-DE"/>
        </w:rPr>
      </w:pPr>
      <w:r w:rsidRPr="001E3AC7">
        <w:rPr>
          <w:rFonts w:cs="Arial"/>
          <w:lang w:val="de-DE"/>
        </w:rPr>
        <w:t>TWP:</w:t>
      </w:r>
      <w:r w:rsidRPr="001E3AC7">
        <w:rPr>
          <w:rFonts w:cs="Arial"/>
          <w:lang w:val="de-DE"/>
        </w:rPr>
        <w:tab/>
      </w:r>
      <w:r w:rsidRPr="001E3AC7">
        <w:rPr>
          <w:rFonts w:cs="Arial"/>
          <w:lang w:val="de-DE"/>
        </w:rPr>
        <w:tab/>
        <w:t>Technische Arbeitsgruppen</w:t>
      </w:r>
    </w:p>
    <w:p w:rsidR="000D3F83" w:rsidRPr="001E3AC7" w:rsidRDefault="000D3F83" w:rsidP="000D3F83">
      <w:pPr>
        <w:ind w:left="567"/>
        <w:jc w:val="left"/>
        <w:rPr>
          <w:rFonts w:eastAsia="PMingLiU" w:cs="Arial"/>
          <w:szCs w:val="24"/>
          <w:lang w:val="de-DE"/>
        </w:rPr>
      </w:pPr>
      <w:r w:rsidRPr="001E3AC7">
        <w:rPr>
          <w:rFonts w:cs="Arial"/>
          <w:lang w:val="de-DE"/>
        </w:rPr>
        <w:t>TWV:</w:t>
      </w:r>
      <w:r w:rsidRPr="001E3AC7">
        <w:rPr>
          <w:rFonts w:cs="Arial"/>
          <w:lang w:val="de-DE"/>
        </w:rPr>
        <w:tab/>
      </w:r>
      <w:r w:rsidRPr="001E3AC7">
        <w:rPr>
          <w:rFonts w:cs="Arial"/>
          <w:lang w:val="de-DE"/>
        </w:rPr>
        <w:tab/>
        <w:t>Technische Arbeitsgruppe für Gemüsearten</w:t>
      </w:r>
    </w:p>
    <w:p w:rsidR="006D5C91" w:rsidRPr="001E3AC7" w:rsidRDefault="006D5C91" w:rsidP="00967457">
      <w:pPr>
        <w:ind w:left="1560" w:hanging="993"/>
        <w:rPr>
          <w:rFonts w:eastAsia="PMingLiU" w:cs="Arial"/>
          <w:snapToGrid w:val="0"/>
          <w:szCs w:val="24"/>
          <w:lang w:val="de-DE"/>
        </w:rPr>
      </w:pPr>
      <w:r w:rsidRPr="001E3AC7">
        <w:rPr>
          <w:rFonts w:eastAsia="PMingLiU" w:cs="Arial"/>
          <w:szCs w:val="24"/>
          <w:lang w:val="de-DE"/>
        </w:rPr>
        <w:t>OECD:</w:t>
      </w:r>
      <w:r w:rsidRPr="001E3AC7">
        <w:rPr>
          <w:rFonts w:eastAsia="PMingLiU" w:cs="Arial"/>
          <w:szCs w:val="24"/>
          <w:lang w:val="de-DE"/>
        </w:rPr>
        <w:tab/>
      </w:r>
      <w:r w:rsidR="000D3F83" w:rsidRPr="001E3AC7">
        <w:rPr>
          <w:rFonts w:eastAsia="PMingLiU" w:cs="Arial"/>
          <w:szCs w:val="24"/>
          <w:lang w:val="de-DE"/>
        </w:rPr>
        <w:tab/>
      </w:r>
      <w:r w:rsidR="000D3F83" w:rsidRPr="001E3AC7">
        <w:rPr>
          <w:rFonts w:eastAsia="PMingLiU" w:cs="Arial"/>
          <w:snapToGrid w:val="0"/>
          <w:szCs w:val="24"/>
          <w:lang w:val="de-DE"/>
        </w:rPr>
        <w:t>Organisation für wirtschaftliche Zusammenarbeit und Entwicklung</w:t>
      </w:r>
    </w:p>
    <w:p w:rsidR="006D5C91" w:rsidRPr="001E3AC7" w:rsidRDefault="006D5C91" w:rsidP="00967457">
      <w:pPr>
        <w:ind w:left="1560" w:hanging="993"/>
        <w:rPr>
          <w:rFonts w:eastAsia="PMingLiU" w:cs="Arial"/>
          <w:szCs w:val="24"/>
          <w:lang w:val="de-DE"/>
        </w:rPr>
      </w:pPr>
      <w:r w:rsidRPr="001E3AC7">
        <w:rPr>
          <w:rFonts w:eastAsia="PMingLiU" w:cs="Arial"/>
          <w:snapToGrid w:val="0"/>
          <w:szCs w:val="24"/>
          <w:lang w:val="de-DE" w:eastAsia="fr-FR"/>
        </w:rPr>
        <w:t xml:space="preserve">ISTA: </w:t>
      </w:r>
      <w:r w:rsidRPr="001E3AC7">
        <w:rPr>
          <w:rFonts w:eastAsia="PMingLiU" w:cs="Arial"/>
          <w:snapToGrid w:val="0"/>
          <w:szCs w:val="24"/>
          <w:lang w:val="de-DE" w:eastAsia="fr-FR"/>
        </w:rPr>
        <w:tab/>
      </w:r>
      <w:r w:rsidR="000D3F83" w:rsidRPr="001E3AC7">
        <w:rPr>
          <w:rFonts w:eastAsia="PMingLiU" w:cs="Arial"/>
          <w:snapToGrid w:val="0"/>
          <w:szCs w:val="24"/>
          <w:lang w:val="de-DE" w:eastAsia="fr-FR"/>
        </w:rPr>
        <w:tab/>
      </w:r>
      <w:r w:rsidR="00DE64AE">
        <w:rPr>
          <w:rFonts w:eastAsia="PMingLiU" w:cs="Arial"/>
          <w:snapToGrid w:val="0"/>
          <w:szCs w:val="24"/>
          <w:lang w:val="de-DE" w:eastAsia="fr-FR"/>
        </w:rPr>
        <w:t>Internationale Vereinigung für Saatgutprüfung</w:t>
      </w:r>
    </w:p>
    <w:p w:rsidR="006F40BE" w:rsidRPr="001E3AC7" w:rsidRDefault="006F40BE" w:rsidP="006F40BE">
      <w:pPr>
        <w:rPr>
          <w:lang w:val="de-DE"/>
        </w:rPr>
      </w:pPr>
    </w:p>
    <w:p w:rsidR="00F11BFD" w:rsidRPr="001E3AC7" w:rsidRDefault="003D27DD" w:rsidP="00F11BFD">
      <w:pPr>
        <w:keepNext/>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D76C56" w:rsidRPr="00D76C56">
        <w:rPr>
          <w:lang w:val="de-DE"/>
        </w:rPr>
        <w:t xml:space="preserve">Der Aufbau </w:t>
      </w:r>
      <w:r w:rsidR="001E73EE">
        <w:rPr>
          <w:lang w:val="de-DE"/>
        </w:rPr>
        <w:t xml:space="preserve">des Dokuments </w:t>
      </w:r>
      <w:r w:rsidR="00D76C56" w:rsidRPr="00D76C56">
        <w:rPr>
          <w:lang w:val="de-DE"/>
        </w:rPr>
        <w:t xml:space="preserve">ist nachstehend </w:t>
      </w:r>
      <w:proofErr w:type="spellStart"/>
      <w:r w:rsidR="00D76C56" w:rsidRPr="00D76C56">
        <w:rPr>
          <w:lang w:val="de-DE"/>
        </w:rPr>
        <w:t>zusammengefaßt</w:t>
      </w:r>
      <w:proofErr w:type="spellEnd"/>
      <w:r w:rsidRPr="001E3AC7">
        <w:rPr>
          <w:lang w:val="de-DE"/>
        </w:rPr>
        <w:t>:</w:t>
      </w:r>
    </w:p>
    <w:sdt>
      <w:sdtPr>
        <w:rPr>
          <w:lang w:val="de-DE"/>
        </w:rPr>
        <w:id w:val="-1800911247"/>
        <w:docPartObj>
          <w:docPartGallery w:val="Table of Contents"/>
          <w:docPartUnique/>
        </w:docPartObj>
      </w:sdtPr>
      <w:sdtEndPr>
        <w:rPr>
          <w:b/>
          <w:bCs/>
        </w:rPr>
      </w:sdtEndPr>
      <w:sdtContent>
        <w:p w:rsidR="00DC6260" w:rsidRPr="001E3AC7" w:rsidRDefault="00DC6260" w:rsidP="00F11BFD">
          <w:pPr>
            <w:keepNext/>
            <w:rPr>
              <w:rFonts w:cs="Arial"/>
              <w:b/>
              <w:lang w:val="de-DE"/>
            </w:rPr>
          </w:pPr>
        </w:p>
        <w:p w:rsidR="0062433B" w:rsidRDefault="00DC6260">
          <w:pPr>
            <w:pStyle w:val="TOC1"/>
            <w:rPr>
              <w:rFonts w:asciiTheme="minorHAnsi" w:hAnsiTheme="minorHAnsi" w:cstheme="minorBidi"/>
              <w:caps w:val="0"/>
              <w:sz w:val="22"/>
              <w:szCs w:val="22"/>
              <w:lang w:val="de-DE" w:eastAsia="de-DE"/>
            </w:rPr>
          </w:pPr>
          <w:r w:rsidRPr="001E3AC7">
            <w:rPr>
              <w:noProof w:val="0"/>
              <w:lang w:val="de-DE"/>
            </w:rPr>
            <w:fldChar w:fldCharType="begin"/>
          </w:r>
          <w:r w:rsidRPr="001E3AC7">
            <w:rPr>
              <w:noProof w:val="0"/>
              <w:lang w:val="de-DE"/>
            </w:rPr>
            <w:instrText xml:space="preserve"> TOC \o "1-3" \h \z \u </w:instrText>
          </w:r>
          <w:r w:rsidRPr="001E3AC7">
            <w:rPr>
              <w:noProof w:val="0"/>
              <w:lang w:val="de-DE"/>
            </w:rPr>
            <w:fldChar w:fldCharType="separate"/>
          </w:r>
          <w:hyperlink w:anchor="_Toc444612389" w:history="1">
            <w:r w:rsidR="0062433B" w:rsidRPr="00C170FA">
              <w:rPr>
                <w:rStyle w:val="Hyperlink"/>
                <w:lang w:val="de-DE" w:eastAsia="ja-JP"/>
              </w:rPr>
              <w:t>ZUSAMMENFASSUNG</w:t>
            </w:r>
            <w:r w:rsidR="0062433B">
              <w:rPr>
                <w:webHidden/>
              </w:rPr>
              <w:tab/>
            </w:r>
            <w:r w:rsidR="0062433B">
              <w:rPr>
                <w:webHidden/>
              </w:rPr>
              <w:fldChar w:fldCharType="begin"/>
            </w:r>
            <w:r w:rsidR="0062433B">
              <w:rPr>
                <w:webHidden/>
              </w:rPr>
              <w:instrText xml:space="preserve"> PAGEREF _Toc444612389 \h </w:instrText>
            </w:r>
            <w:r w:rsidR="0062433B">
              <w:rPr>
                <w:webHidden/>
              </w:rPr>
            </w:r>
            <w:r w:rsidR="0062433B">
              <w:rPr>
                <w:webHidden/>
              </w:rPr>
              <w:fldChar w:fldCharType="separate"/>
            </w:r>
            <w:r w:rsidR="00A07868">
              <w:rPr>
                <w:webHidden/>
              </w:rPr>
              <w:t>1</w:t>
            </w:r>
            <w:r w:rsidR="0062433B">
              <w:rPr>
                <w:webHidden/>
              </w:rPr>
              <w:fldChar w:fldCharType="end"/>
            </w:r>
          </w:hyperlink>
        </w:p>
        <w:p w:rsidR="0062433B" w:rsidRDefault="00A07868">
          <w:pPr>
            <w:pStyle w:val="TOC1"/>
            <w:rPr>
              <w:rFonts w:asciiTheme="minorHAnsi" w:hAnsiTheme="minorHAnsi" w:cstheme="minorBidi"/>
              <w:caps w:val="0"/>
              <w:sz w:val="22"/>
              <w:szCs w:val="22"/>
              <w:lang w:val="de-DE" w:eastAsia="de-DE"/>
            </w:rPr>
          </w:pPr>
          <w:hyperlink w:anchor="_Toc444612390" w:history="1">
            <w:r w:rsidR="0062433B" w:rsidRPr="00C170FA">
              <w:rPr>
                <w:rStyle w:val="Hyperlink"/>
                <w:snapToGrid w:val="0"/>
                <w:lang w:val="de-DE" w:eastAsia="ja-JP"/>
              </w:rPr>
              <w:t xml:space="preserve">entwicklungen in den </w:t>
            </w:r>
            <w:r w:rsidR="0062433B" w:rsidRPr="00C170FA">
              <w:rPr>
                <w:rStyle w:val="Hyperlink"/>
                <w:snapToGrid w:val="0"/>
                <w:lang w:val="de-DE"/>
              </w:rPr>
              <w:t>TechnischeN Arbeitsgruppen</w:t>
            </w:r>
            <w:r w:rsidR="0062433B">
              <w:rPr>
                <w:webHidden/>
              </w:rPr>
              <w:tab/>
            </w:r>
            <w:r w:rsidR="0062433B">
              <w:rPr>
                <w:webHidden/>
              </w:rPr>
              <w:fldChar w:fldCharType="begin"/>
            </w:r>
            <w:r w:rsidR="0062433B">
              <w:rPr>
                <w:webHidden/>
              </w:rPr>
              <w:instrText xml:space="preserve"> PAGEREF _Toc444612390 \h </w:instrText>
            </w:r>
            <w:r w:rsidR="0062433B">
              <w:rPr>
                <w:webHidden/>
              </w:rPr>
            </w:r>
            <w:r w:rsidR="0062433B">
              <w:rPr>
                <w:webHidden/>
              </w:rPr>
              <w:fldChar w:fldCharType="separate"/>
            </w:r>
            <w:r>
              <w:rPr>
                <w:webHidden/>
              </w:rPr>
              <w:t>2</w:t>
            </w:r>
            <w:r w:rsidR="0062433B">
              <w:rPr>
                <w:webHidden/>
              </w:rPr>
              <w:fldChar w:fldCharType="end"/>
            </w:r>
          </w:hyperlink>
        </w:p>
        <w:p w:rsidR="0062433B" w:rsidRDefault="00A07868">
          <w:pPr>
            <w:pStyle w:val="TOC1"/>
            <w:rPr>
              <w:rFonts w:asciiTheme="minorHAnsi" w:hAnsiTheme="minorHAnsi" w:cstheme="minorBidi"/>
              <w:caps w:val="0"/>
              <w:sz w:val="22"/>
              <w:szCs w:val="22"/>
              <w:lang w:val="de-DE" w:eastAsia="de-DE"/>
            </w:rPr>
          </w:pPr>
          <w:hyperlink w:anchor="_Toc444612391" w:history="1">
            <w:r w:rsidR="0062433B" w:rsidRPr="00C170FA">
              <w:rPr>
                <w:rStyle w:val="Hyperlink"/>
                <w:lang w:val="de-DE"/>
              </w:rPr>
              <w:t>Arbeitsgruppe für biochemische und molekulare Verfahren und insbesondere für DNS-Profilierungsverfahren</w:t>
            </w:r>
            <w:r w:rsidR="0062433B">
              <w:rPr>
                <w:webHidden/>
              </w:rPr>
              <w:tab/>
            </w:r>
            <w:r w:rsidR="0062433B">
              <w:rPr>
                <w:webHidden/>
              </w:rPr>
              <w:fldChar w:fldCharType="begin"/>
            </w:r>
            <w:r w:rsidR="0062433B">
              <w:rPr>
                <w:webHidden/>
              </w:rPr>
              <w:instrText xml:space="preserve"> PAGEREF _Toc444612391 \h </w:instrText>
            </w:r>
            <w:r w:rsidR="0062433B">
              <w:rPr>
                <w:webHidden/>
              </w:rPr>
            </w:r>
            <w:r w:rsidR="0062433B">
              <w:rPr>
                <w:webHidden/>
              </w:rPr>
              <w:fldChar w:fldCharType="separate"/>
            </w:r>
            <w:r>
              <w:rPr>
                <w:webHidden/>
              </w:rPr>
              <w:t>3</w:t>
            </w:r>
            <w:r w:rsidR="0062433B">
              <w:rPr>
                <w:webHidden/>
              </w:rPr>
              <w:fldChar w:fldCharType="end"/>
            </w:r>
          </w:hyperlink>
        </w:p>
        <w:p w:rsidR="0062433B" w:rsidRDefault="00A07868">
          <w:pPr>
            <w:pStyle w:val="TOC1"/>
            <w:rPr>
              <w:rFonts w:asciiTheme="minorHAnsi" w:hAnsiTheme="minorHAnsi" w:cstheme="minorBidi"/>
              <w:caps w:val="0"/>
              <w:sz w:val="22"/>
              <w:szCs w:val="22"/>
              <w:lang w:val="de-DE" w:eastAsia="de-DE"/>
            </w:rPr>
          </w:pPr>
          <w:hyperlink w:anchor="_Toc444612392" w:history="1">
            <w:r w:rsidR="0062433B" w:rsidRPr="00C170FA">
              <w:rPr>
                <w:rStyle w:val="Hyperlink"/>
                <w:rFonts w:cs="Arial"/>
                <w:lang w:val="de-DE"/>
              </w:rPr>
              <w:t>Gemeinsame Arbeitstagung von OECD, UPOV und ISTA über molekulare Verfahren</w:t>
            </w:r>
            <w:r w:rsidR="0062433B">
              <w:rPr>
                <w:webHidden/>
              </w:rPr>
              <w:tab/>
            </w:r>
            <w:r w:rsidR="0062433B">
              <w:rPr>
                <w:webHidden/>
              </w:rPr>
              <w:fldChar w:fldCharType="begin"/>
            </w:r>
            <w:r w:rsidR="0062433B">
              <w:rPr>
                <w:webHidden/>
              </w:rPr>
              <w:instrText xml:space="preserve"> PAGEREF _Toc444612392 \h </w:instrText>
            </w:r>
            <w:r w:rsidR="0062433B">
              <w:rPr>
                <w:webHidden/>
              </w:rPr>
            </w:r>
            <w:r w:rsidR="0062433B">
              <w:rPr>
                <w:webHidden/>
              </w:rPr>
              <w:fldChar w:fldCharType="separate"/>
            </w:r>
            <w:r>
              <w:rPr>
                <w:webHidden/>
              </w:rPr>
              <w:t>4</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393" w:history="1">
            <w:r w:rsidR="0062433B" w:rsidRPr="00C170FA">
              <w:rPr>
                <w:rStyle w:val="Hyperlink"/>
                <w:lang w:val="de-DE" w:eastAsia="ja-JP"/>
              </w:rPr>
              <w:t>Hintergrund</w:t>
            </w:r>
            <w:r w:rsidR="0062433B">
              <w:rPr>
                <w:webHidden/>
              </w:rPr>
              <w:tab/>
            </w:r>
            <w:r w:rsidR="0062433B">
              <w:rPr>
                <w:webHidden/>
              </w:rPr>
              <w:fldChar w:fldCharType="begin"/>
            </w:r>
            <w:r w:rsidR="0062433B">
              <w:rPr>
                <w:webHidden/>
              </w:rPr>
              <w:instrText xml:space="preserve"> PAGEREF _Toc444612393 \h </w:instrText>
            </w:r>
            <w:r w:rsidR="0062433B">
              <w:rPr>
                <w:webHidden/>
              </w:rPr>
            </w:r>
            <w:r w:rsidR="0062433B">
              <w:rPr>
                <w:webHidden/>
              </w:rPr>
              <w:fldChar w:fldCharType="separate"/>
            </w:r>
            <w:r>
              <w:rPr>
                <w:webHidden/>
              </w:rPr>
              <w:t>4</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394" w:history="1">
            <w:r w:rsidR="0062433B" w:rsidRPr="00C170FA">
              <w:rPr>
                <w:rStyle w:val="Hyperlink"/>
                <w:lang w:val="de-DE" w:eastAsia="ja-JP"/>
              </w:rPr>
              <w:t>Gemeinsame Arbeitstagung von OECD, UPOV und ISTA über molekulare Verfahren auf den einschlägigen Tagungen von OECD und ISTA</w:t>
            </w:r>
            <w:r w:rsidR="0062433B">
              <w:rPr>
                <w:webHidden/>
              </w:rPr>
              <w:tab/>
            </w:r>
            <w:r w:rsidR="0062433B">
              <w:rPr>
                <w:webHidden/>
              </w:rPr>
              <w:fldChar w:fldCharType="begin"/>
            </w:r>
            <w:r w:rsidR="0062433B">
              <w:rPr>
                <w:webHidden/>
              </w:rPr>
              <w:instrText xml:space="preserve"> PAGEREF _Toc444612394 \h </w:instrText>
            </w:r>
            <w:r w:rsidR="0062433B">
              <w:rPr>
                <w:webHidden/>
              </w:rPr>
            </w:r>
            <w:r w:rsidR="0062433B">
              <w:rPr>
                <w:webHidden/>
              </w:rPr>
              <w:fldChar w:fldCharType="separate"/>
            </w:r>
            <w:r>
              <w:rPr>
                <w:webHidden/>
              </w:rPr>
              <w:t>5</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395" w:history="1">
            <w:r w:rsidR="0062433B" w:rsidRPr="00C170FA">
              <w:rPr>
                <w:rStyle w:val="Hyperlink"/>
                <w:lang w:val="de-DE" w:eastAsia="ja-JP"/>
              </w:rPr>
              <w:t>Wesentliche Besonderheiten der Systeme von OECD, UPOV und ISTA</w:t>
            </w:r>
            <w:r w:rsidR="0062433B">
              <w:rPr>
                <w:webHidden/>
              </w:rPr>
              <w:tab/>
            </w:r>
            <w:r w:rsidR="0062433B">
              <w:rPr>
                <w:webHidden/>
              </w:rPr>
              <w:fldChar w:fldCharType="begin"/>
            </w:r>
            <w:r w:rsidR="0062433B">
              <w:rPr>
                <w:webHidden/>
              </w:rPr>
              <w:instrText xml:space="preserve"> PAGEREF _Toc444612395 \h </w:instrText>
            </w:r>
            <w:r w:rsidR="0062433B">
              <w:rPr>
                <w:webHidden/>
              </w:rPr>
            </w:r>
            <w:r w:rsidR="0062433B">
              <w:rPr>
                <w:webHidden/>
              </w:rPr>
              <w:fldChar w:fldCharType="separate"/>
            </w:r>
            <w:r>
              <w:rPr>
                <w:webHidden/>
              </w:rPr>
              <w:t>5</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396" w:history="1">
            <w:r w:rsidR="0062433B" w:rsidRPr="00C170FA">
              <w:rPr>
                <w:rStyle w:val="Hyperlink"/>
                <w:lang w:val="de-DE" w:eastAsia="ja-JP"/>
              </w:rPr>
              <w:t>Bestandsaufnahme zur Verwendung molekularer Markerverfahren</w:t>
            </w:r>
            <w:r w:rsidR="0062433B">
              <w:rPr>
                <w:webHidden/>
              </w:rPr>
              <w:tab/>
            </w:r>
            <w:r w:rsidR="0062433B">
              <w:rPr>
                <w:webHidden/>
              </w:rPr>
              <w:fldChar w:fldCharType="begin"/>
            </w:r>
            <w:r w:rsidR="0062433B">
              <w:rPr>
                <w:webHidden/>
              </w:rPr>
              <w:instrText xml:space="preserve"> PAGEREF _Toc444612396 \h </w:instrText>
            </w:r>
            <w:r w:rsidR="0062433B">
              <w:rPr>
                <w:webHidden/>
              </w:rPr>
            </w:r>
            <w:r w:rsidR="0062433B">
              <w:rPr>
                <w:webHidden/>
              </w:rPr>
              <w:fldChar w:fldCharType="separate"/>
            </w:r>
            <w:r>
              <w:rPr>
                <w:webHidden/>
              </w:rPr>
              <w:t>5</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397" w:history="1">
            <w:r w:rsidR="0062433B" w:rsidRPr="00C170FA">
              <w:rPr>
                <w:rStyle w:val="Hyperlink"/>
                <w:lang w:val="de-DE" w:eastAsia="ja-JP"/>
              </w:rPr>
              <w:t>Listen möglicher gemeinsamer Initiativen mit OECD und ISTA</w:t>
            </w:r>
            <w:r w:rsidR="0062433B">
              <w:rPr>
                <w:webHidden/>
              </w:rPr>
              <w:tab/>
            </w:r>
            <w:r w:rsidR="0062433B">
              <w:rPr>
                <w:webHidden/>
              </w:rPr>
              <w:fldChar w:fldCharType="begin"/>
            </w:r>
            <w:r w:rsidR="0062433B">
              <w:rPr>
                <w:webHidden/>
              </w:rPr>
              <w:instrText xml:space="preserve"> PAGEREF _Toc444612397 \h </w:instrText>
            </w:r>
            <w:r w:rsidR="0062433B">
              <w:rPr>
                <w:webHidden/>
              </w:rPr>
            </w:r>
            <w:r w:rsidR="0062433B">
              <w:rPr>
                <w:webHidden/>
              </w:rPr>
              <w:fldChar w:fldCharType="separate"/>
            </w:r>
            <w:r>
              <w:rPr>
                <w:webHidden/>
              </w:rPr>
              <w:t>6</w:t>
            </w:r>
            <w:r w:rsidR="0062433B">
              <w:rPr>
                <w:webHidden/>
              </w:rPr>
              <w:fldChar w:fldCharType="end"/>
            </w:r>
          </w:hyperlink>
        </w:p>
        <w:p w:rsidR="0062433B" w:rsidRDefault="00A07868">
          <w:pPr>
            <w:pStyle w:val="TOC1"/>
            <w:rPr>
              <w:rFonts w:asciiTheme="minorHAnsi" w:hAnsiTheme="minorHAnsi" w:cstheme="minorBidi"/>
              <w:caps w:val="0"/>
              <w:sz w:val="22"/>
              <w:szCs w:val="22"/>
              <w:lang w:val="de-DE" w:eastAsia="de-DE"/>
            </w:rPr>
          </w:pPr>
          <w:hyperlink w:anchor="_Toc444612398" w:history="1">
            <w:r w:rsidR="0062433B" w:rsidRPr="00C170FA">
              <w:rPr>
                <w:rStyle w:val="Hyperlink"/>
                <w:lang w:val="de-DE"/>
              </w:rPr>
              <w:t>Erteilung von Informationen über die Lage in der UPOV bezüglich der Verwendung molekularer Verfahren</w:t>
            </w:r>
            <w:r w:rsidR="0062433B">
              <w:rPr>
                <w:webHidden/>
              </w:rPr>
              <w:tab/>
            </w:r>
            <w:r w:rsidR="0062433B">
              <w:rPr>
                <w:webHidden/>
              </w:rPr>
              <w:fldChar w:fldCharType="begin"/>
            </w:r>
            <w:r w:rsidR="0062433B">
              <w:rPr>
                <w:webHidden/>
              </w:rPr>
              <w:instrText xml:space="preserve"> PAGEREF _Toc444612398 \h </w:instrText>
            </w:r>
            <w:r w:rsidR="0062433B">
              <w:rPr>
                <w:webHidden/>
              </w:rPr>
            </w:r>
            <w:r w:rsidR="0062433B">
              <w:rPr>
                <w:webHidden/>
              </w:rPr>
              <w:fldChar w:fldCharType="separate"/>
            </w:r>
            <w:r>
              <w:rPr>
                <w:webHidden/>
              </w:rPr>
              <w:t>6</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399" w:history="1">
            <w:r w:rsidR="0062433B" w:rsidRPr="00C170FA">
              <w:rPr>
                <w:rStyle w:val="Hyperlink"/>
                <w:lang w:val="de-DE" w:eastAsia="ja-JP"/>
              </w:rPr>
              <w:t>Hintergrund</w:t>
            </w:r>
            <w:r w:rsidR="0062433B">
              <w:rPr>
                <w:webHidden/>
              </w:rPr>
              <w:tab/>
            </w:r>
            <w:r w:rsidR="0062433B">
              <w:rPr>
                <w:webHidden/>
              </w:rPr>
              <w:fldChar w:fldCharType="begin"/>
            </w:r>
            <w:r w:rsidR="0062433B">
              <w:rPr>
                <w:webHidden/>
              </w:rPr>
              <w:instrText xml:space="preserve"> PAGEREF _Toc444612399 \h </w:instrText>
            </w:r>
            <w:r w:rsidR="0062433B">
              <w:rPr>
                <w:webHidden/>
              </w:rPr>
            </w:r>
            <w:r w:rsidR="0062433B">
              <w:rPr>
                <w:webHidden/>
              </w:rPr>
              <w:fldChar w:fldCharType="separate"/>
            </w:r>
            <w:r>
              <w:rPr>
                <w:webHidden/>
              </w:rPr>
              <w:t>6</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400" w:history="1">
            <w:r w:rsidR="0062433B" w:rsidRPr="00C170FA">
              <w:rPr>
                <w:rStyle w:val="Hyperlink"/>
                <w:snapToGrid w:val="0"/>
                <w:lang w:val="de-DE" w:eastAsia="ja-JP"/>
              </w:rPr>
              <w:t>Bemerkungen der technischen Arbeitsgruppen im Jahr 2015</w:t>
            </w:r>
            <w:r w:rsidR="0062433B">
              <w:rPr>
                <w:webHidden/>
              </w:rPr>
              <w:tab/>
            </w:r>
            <w:r w:rsidR="0062433B">
              <w:rPr>
                <w:webHidden/>
              </w:rPr>
              <w:fldChar w:fldCharType="begin"/>
            </w:r>
            <w:r w:rsidR="0062433B">
              <w:rPr>
                <w:webHidden/>
              </w:rPr>
              <w:instrText xml:space="preserve"> PAGEREF _Toc444612400 \h </w:instrText>
            </w:r>
            <w:r w:rsidR="0062433B">
              <w:rPr>
                <w:webHidden/>
              </w:rPr>
            </w:r>
            <w:r w:rsidR="0062433B">
              <w:rPr>
                <w:webHidden/>
              </w:rPr>
              <w:fldChar w:fldCharType="separate"/>
            </w:r>
            <w:r>
              <w:rPr>
                <w:webHidden/>
              </w:rPr>
              <w:t>7</w:t>
            </w:r>
            <w:r w:rsidR="0062433B">
              <w:rPr>
                <w:webHidden/>
              </w:rPr>
              <w:fldChar w:fldCharType="end"/>
            </w:r>
          </w:hyperlink>
        </w:p>
        <w:p w:rsidR="0062433B" w:rsidRDefault="00A07868">
          <w:pPr>
            <w:pStyle w:val="TOC2"/>
            <w:rPr>
              <w:rFonts w:asciiTheme="minorHAnsi" w:hAnsiTheme="minorHAnsi" w:cstheme="minorBidi"/>
              <w:sz w:val="22"/>
              <w:szCs w:val="22"/>
              <w:lang w:val="de-DE" w:eastAsia="de-DE"/>
            </w:rPr>
          </w:pPr>
          <w:hyperlink w:anchor="_Toc444612401" w:history="1">
            <w:r w:rsidR="0062433B" w:rsidRPr="00C170FA">
              <w:rPr>
                <w:rStyle w:val="Hyperlink"/>
                <w:lang w:val="de-DE" w:eastAsia="ja-JP"/>
              </w:rPr>
              <w:t>Bemerkungen des TC-EDC</w:t>
            </w:r>
            <w:r w:rsidR="0062433B">
              <w:rPr>
                <w:webHidden/>
              </w:rPr>
              <w:tab/>
            </w:r>
            <w:r w:rsidR="0062433B">
              <w:rPr>
                <w:webHidden/>
              </w:rPr>
              <w:fldChar w:fldCharType="begin"/>
            </w:r>
            <w:r w:rsidR="0062433B">
              <w:rPr>
                <w:webHidden/>
              </w:rPr>
              <w:instrText xml:space="preserve"> PAGEREF _Toc444612401 \h </w:instrText>
            </w:r>
            <w:r w:rsidR="0062433B">
              <w:rPr>
                <w:webHidden/>
              </w:rPr>
            </w:r>
            <w:r w:rsidR="0062433B">
              <w:rPr>
                <w:webHidden/>
              </w:rPr>
              <w:fldChar w:fldCharType="separate"/>
            </w:r>
            <w:r>
              <w:rPr>
                <w:webHidden/>
              </w:rPr>
              <w:t>7</w:t>
            </w:r>
            <w:r w:rsidR="0062433B">
              <w:rPr>
                <w:webHidden/>
              </w:rPr>
              <w:fldChar w:fldCharType="end"/>
            </w:r>
          </w:hyperlink>
        </w:p>
        <w:p w:rsidR="00DC6260" w:rsidRPr="001E3AC7" w:rsidRDefault="00DC6260" w:rsidP="00F11BFD">
          <w:pPr>
            <w:keepNext/>
            <w:rPr>
              <w:lang w:val="de-DE"/>
            </w:rPr>
          </w:pPr>
          <w:r w:rsidRPr="001E3AC7">
            <w:rPr>
              <w:b/>
              <w:bCs/>
              <w:lang w:val="de-DE"/>
            </w:rPr>
            <w:fldChar w:fldCharType="end"/>
          </w:r>
        </w:p>
      </w:sdtContent>
    </w:sdt>
    <w:p w:rsidR="00F52BB5" w:rsidRPr="001E3AC7" w:rsidRDefault="00F52BB5" w:rsidP="009D4F14">
      <w:pPr>
        <w:rPr>
          <w:rFonts w:eastAsia="MS Mincho"/>
          <w:snapToGrid w:val="0"/>
          <w:lang w:val="de-DE" w:eastAsia="ja-JP"/>
        </w:rPr>
      </w:pPr>
    </w:p>
    <w:p w:rsidR="00554D3E" w:rsidRPr="001E3AC7" w:rsidRDefault="001E73EE" w:rsidP="00A20CD7">
      <w:pPr>
        <w:pStyle w:val="Heading1"/>
        <w:rPr>
          <w:snapToGrid w:val="0"/>
          <w:lang w:val="de-DE"/>
        </w:rPr>
      </w:pPr>
      <w:bookmarkStart w:id="7" w:name="_Toc410822402"/>
      <w:bookmarkStart w:id="8" w:name="_Toc410822806"/>
      <w:bookmarkStart w:id="9" w:name="_Toc410823313"/>
      <w:bookmarkStart w:id="10" w:name="_Toc410899581"/>
      <w:bookmarkStart w:id="11" w:name="_Toc444612390"/>
      <w:r>
        <w:rPr>
          <w:snapToGrid w:val="0"/>
          <w:lang w:val="de-DE" w:eastAsia="ja-JP"/>
        </w:rPr>
        <w:t>entwicklungen in den</w:t>
      </w:r>
      <w:r w:rsidR="000F5EFF" w:rsidRPr="001E3AC7">
        <w:rPr>
          <w:snapToGrid w:val="0"/>
          <w:lang w:val="de-DE" w:eastAsia="ja-JP"/>
        </w:rPr>
        <w:t xml:space="preserve"> </w:t>
      </w:r>
      <w:r w:rsidR="004A4B1C" w:rsidRPr="001E3AC7">
        <w:rPr>
          <w:snapToGrid w:val="0"/>
          <w:lang w:val="de-DE"/>
        </w:rPr>
        <w:t>Technische</w:t>
      </w:r>
      <w:r w:rsidR="008570F2">
        <w:rPr>
          <w:snapToGrid w:val="0"/>
          <w:lang w:val="de-DE"/>
        </w:rPr>
        <w:t>N</w:t>
      </w:r>
      <w:r w:rsidR="004A4B1C" w:rsidRPr="001E3AC7">
        <w:rPr>
          <w:snapToGrid w:val="0"/>
          <w:lang w:val="de-DE"/>
        </w:rPr>
        <w:t xml:space="preserve"> Arbeitsgruppen</w:t>
      </w:r>
      <w:bookmarkEnd w:id="7"/>
      <w:bookmarkEnd w:id="8"/>
      <w:bookmarkEnd w:id="9"/>
      <w:bookmarkEnd w:id="10"/>
      <w:bookmarkEnd w:id="11"/>
    </w:p>
    <w:p w:rsidR="00554D3E" w:rsidRPr="001E3AC7" w:rsidRDefault="00554D3E" w:rsidP="009D4F14">
      <w:pPr>
        <w:rPr>
          <w:rFonts w:eastAsia="MS Mincho"/>
          <w:snapToGrid w:val="0"/>
          <w:lang w:val="de-DE" w:eastAsia="ja-JP"/>
        </w:rPr>
      </w:pPr>
    </w:p>
    <w:p w:rsidR="009A5CC2" w:rsidRPr="001E3AC7" w:rsidRDefault="009A5CC2" w:rsidP="009A5CC2">
      <w:pPr>
        <w:rPr>
          <w:snapToGrid w:val="0"/>
          <w:color w:val="000000"/>
          <w:lang w:val="de-DE" w:eastAsia="ja-JP"/>
        </w:rPr>
      </w:pPr>
      <w:r w:rsidRPr="001E3AC7">
        <w:rPr>
          <w:rFonts w:cs="Arial"/>
          <w:lang w:val="de-DE"/>
        </w:rPr>
        <w:fldChar w:fldCharType="begin"/>
      </w:r>
      <w:r w:rsidRPr="001E3AC7">
        <w:rPr>
          <w:rFonts w:cs="Arial"/>
          <w:lang w:val="de-DE"/>
        </w:rPr>
        <w:instrText xml:space="preserve"> AUTONUM  </w:instrText>
      </w:r>
      <w:r w:rsidRPr="001E3AC7">
        <w:rPr>
          <w:rFonts w:cs="Arial"/>
          <w:lang w:val="de-DE"/>
        </w:rPr>
        <w:fldChar w:fldCharType="end"/>
      </w:r>
      <w:r w:rsidRPr="001E3AC7">
        <w:rPr>
          <w:rFonts w:cs="Arial"/>
          <w:lang w:val="de-DE"/>
        </w:rPr>
        <w:tab/>
      </w:r>
      <w:r w:rsidR="001E73EE">
        <w:rPr>
          <w:color w:val="000000"/>
          <w:lang w:val="de-DE" w:eastAsia="ja-JP"/>
        </w:rPr>
        <w:t>Auf ihren Tagungen im Jahr</w:t>
      </w:r>
      <w:r w:rsidR="008570F2">
        <w:rPr>
          <w:color w:val="000000"/>
          <w:lang w:val="de-DE" w:eastAsia="ja-JP"/>
        </w:rPr>
        <w:t xml:space="preserve"> 2015</w:t>
      </w:r>
      <w:r w:rsidR="001E73EE">
        <w:rPr>
          <w:color w:val="000000"/>
          <w:lang w:val="de-DE" w:eastAsia="ja-JP"/>
        </w:rPr>
        <w:t xml:space="preserve"> prüften die</w:t>
      </w:r>
      <w:r w:rsidRPr="001E3AC7">
        <w:rPr>
          <w:color w:val="000000"/>
          <w:lang w:val="de-DE" w:eastAsia="ja-JP"/>
        </w:rPr>
        <w:t xml:space="preserve"> TW</w:t>
      </w:r>
      <w:r w:rsidR="00A64B75" w:rsidRPr="001E3AC7">
        <w:rPr>
          <w:color w:val="000000"/>
          <w:lang w:val="de-DE" w:eastAsia="ja-JP"/>
        </w:rPr>
        <w:t>V</w:t>
      </w:r>
      <w:r w:rsidRPr="001E3AC7">
        <w:rPr>
          <w:color w:val="000000"/>
          <w:lang w:val="de-DE" w:eastAsia="ja-JP"/>
        </w:rPr>
        <w:t>, TW</w:t>
      </w:r>
      <w:r w:rsidR="00A64B75" w:rsidRPr="001E3AC7">
        <w:rPr>
          <w:color w:val="000000"/>
          <w:lang w:val="de-DE" w:eastAsia="ja-JP"/>
        </w:rPr>
        <w:t>C</w:t>
      </w:r>
      <w:r w:rsidRPr="001E3AC7">
        <w:rPr>
          <w:color w:val="000000"/>
          <w:lang w:val="de-DE" w:eastAsia="ja-JP"/>
        </w:rPr>
        <w:t>, TW</w:t>
      </w:r>
      <w:r w:rsidR="00A64B75" w:rsidRPr="001E3AC7">
        <w:rPr>
          <w:color w:val="000000"/>
          <w:lang w:val="de-DE" w:eastAsia="ja-JP"/>
        </w:rPr>
        <w:t>A</w:t>
      </w:r>
      <w:r w:rsidRPr="001E3AC7">
        <w:rPr>
          <w:color w:val="000000"/>
          <w:lang w:val="de-DE" w:eastAsia="ja-JP"/>
        </w:rPr>
        <w:t>, TW</w:t>
      </w:r>
      <w:r w:rsidR="00A64B75" w:rsidRPr="001E3AC7">
        <w:rPr>
          <w:color w:val="000000"/>
          <w:lang w:val="de-DE" w:eastAsia="ja-JP"/>
        </w:rPr>
        <w:t>F</w:t>
      </w:r>
      <w:r w:rsidR="004D1C2F">
        <w:rPr>
          <w:color w:val="000000"/>
          <w:lang w:val="de-DE" w:eastAsia="ja-JP"/>
        </w:rPr>
        <w:t xml:space="preserve"> und </w:t>
      </w:r>
      <w:r w:rsidRPr="001E3AC7">
        <w:rPr>
          <w:color w:val="000000"/>
          <w:lang w:val="de-DE" w:eastAsia="ja-JP"/>
        </w:rPr>
        <w:t>TW</w:t>
      </w:r>
      <w:r w:rsidR="00A64B75" w:rsidRPr="001E3AC7">
        <w:rPr>
          <w:color w:val="000000"/>
          <w:lang w:val="de-DE" w:eastAsia="ja-JP"/>
        </w:rPr>
        <w:t>O</w:t>
      </w:r>
      <w:r w:rsidR="008570F2">
        <w:rPr>
          <w:color w:val="000000"/>
          <w:lang w:val="de-DE" w:eastAsia="ja-JP"/>
        </w:rPr>
        <w:t xml:space="preserve"> entsprechend</w:t>
      </w:r>
      <w:r w:rsidRPr="001E3AC7">
        <w:rPr>
          <w:color w:val="000000"/>
          <w:lang w:val="de-DE" w:eastAsia="ja-JP"/>
        </w:rPr>
        <w:t xml:space="preserve"> </w:t>
      </w:r>
      <w:r w:rsidR="001E73EE">
        <w:rPr>
          <w:snapToGrid w:val="0"/>
          <w:color w:val="000000"/>
          <w:lang w:val="de-DE"/>
        </w:rPr>
        <w:t>Dokumente</w:t>
      </w:r>
      <w:r w:rsidRPr="001E3AC7">
        <w:rPr>
          <w:snapToGrid w:val="0"/>
          <w:color w:val="000000"/>
          <w:lang w:val="de-DE"/>
        </w:rPr>
        <w:t xml:space="preserve"> </w:t>
      </w:r>
      <w:r w:rsidR="00A64B75" w:rsidRPr="001E3AC7">
        <w:rPr>
          <w:snapToGrid w:val="0"/>
          <w:color w:val="000000"/>
          <w:lang w:val="de-DE"/>
        </w:rPr>
        <w:t>TWV</w:t>
      </w:r>
      <w:r w:rsidRPr="001E3AC7">
        <w:rPr>
          <w:snapToGrid w:val="0"/>
          <w:color w:val="000000"/>
          <w:lang w:val="de-DE"/>
        </w:rPr>
        <w:t>/4</w:t>
      </w:r>
      <w:r w:rsidR="00A64B75" w:rsidRPr="001E3AC7">
        <w:rPr>
          <w:snapToGrid w:val="0"/>
          <w:color w:val="000000"/>
          <w:lang w:val="de-DE" w:eastAsia="ja-JP"/>
        </w:rPr>
        <w:t>9</w:t>
      </w:r>
      <w:r w:rsidRPr="001E3AC7">
        <w:rPr>
          <w:snapToGrid w:val="0"/>
          <w:color w:val="000000"/>
          <w:lang w:val="de-DE"/>
        </w:rPr>
        <w:t>/</w:t>
      </w:r>
      <w:r w:rsidRPr="001E3AC7">
        <w:rPr>
          <w:snapToGrid w:val="0"/>
          <w:color w:val="000000"/>
          <w:lang w:val="de-DE" w:eastAsia="ja-JP"/>
        </w:rPr>
        <w:t>2</w:t>
      </w:r>
      <w:r w:rsidR="00A64B75" w:rsidRPr="001E3AC7">
        <w:rPr>
          <w:snapToGrid w:val="0"/>
          <w:color w:val="000000"/>
          <w:lang w:val="de-DE"/>
        </w:rPr>
        <w:t>, TWC</w:t>
      </w:r>
      <w:r w:rsidRPr="001E3AC7">
        <w:rPr>
          <w:snapToGrid w:val="0"/>
          <w:color w:val="000000"/>
          <w:lang w:val="de-DE"/>
        </w:rPr>
        <w:t>/</w:t>
      </w:r>
      <w:r w:rsidR="00A64B75" w:rsidRPr="001E3AC7">
        <w:rPr>
          <w:snapToGrid w:val="0"/>
          <w:color w:val="000000"/>
          <w:lang w:val="de-DE"/>
        </w:rPr>
        <w:t>33</w:t>
      </w:r>
      <w:r w:rsidRPr="001E3AC7">
        <w:rPr>
          <w:snapToGrid w:val="0"/>
          <w:color w:val="000000"/>
          <w:lang w:val="de-DE"/>
        </w:rPr>
        <w:t>/</w:t>
      </w:r>
      <w:r w:rsidRPr="001E3AC7">
        <w:rPr>
          <w:snapToGrid w:val="0"/>
          <w:color w:val="000000"/>
          <w:lang w:val="de-DE" w:eastAsia="ja-JP"/>
        </w:rPr>
        <w:t>2</w:t>
      </w:r>
      <w:r w:rsidRPr="001E3AC7">
        <w:rPr>
          <w:snapToGrid w:val="0"/>
          <w:color w:val="000000"/>
          <w:lang w:val="de-DE"/>
        </w:rPr>
        <w:t xml:space="preserve">, </w:t>
      </w:r>
      <w:r w:rsidR="00A64B75" w:rsidRPr="001E3AC7">
        <w:rPr>
          <w:snapToGrid w:val="0"/>
          <w:color w:val="000000"/>
          <w:lang w:val="de-DE"/>
        </w:rPr>
        <w:t>TWA/44</w:t>
      </w:r>
      <w:r w:rsidRPr="001E3AC7">
        <w:rPr>
          <w:snapToGrid w:val="0"/>
          <w:color w:val="000000"/>
          <w:lang w:val="de-DE"/>
        </w:rPr>
        <w:t>/</w:t>
      </w:r>
      <w:r w:rsidRPr="001E3AC7">
        <w:rPr>
          <w:snapToGrid w:val="0"/>
          <w:color w:val="000000"/>
          <w:lang w:val="de-DE" w:eastAsia="ja-JP"/>
        </w:rPr>
        <w:t xml:space="preserve">2, </w:t>
      </w:r>
      <w:r w:rsidRPr="001E3AC7">
        <w:rPr>
          <w:snapToGrid w:val="0"/>
          <w:color w:val="000000"/>
          <w:lang w:val="de-DE"/>
        </w:rPr>
        <w:t>TW</w:t>
      </w:r>
      <w:r w:rsidR="00A64B75" w:rsidRPr="001E3AC7">
        <w:rPr>
          <w:snapToGrid w:val="0"/>
          <w:color w:val="000000"/>
          <w:lang w:val="de-DE"/>
        </w:rPr>
        <w:t>F</w:t>
      </w:r>
      <w:r w:rsidRPr="001E3AC7">
        <w:rPr>
          <w:snapToGrid w:val="0"/>
          <w:color w:val="000000"/>
          <w:lang w:val="de-DE"/>
        </w:rPr>
        <w:t>/4</w:t>
      </w:r>
      <w:r w:rsidR="00A64B75" w:rsidRPr="001E3AC7">
        <w:rPr>
          <w:snapToGrid w:val="0"/>
          <w:color w:val="000000"/>
          <w:lang w:val="de-DE"/>
        </w:rPr>
        <w:t>6</w:t>
      </w:r>
      <w:r w:rsidRPr="001E3AC7">
        <w:rPr>
          <w:snapToGrid w:val="0"/>
          <w:color w:val="000000"/>
          <w:lang w:val="de-DE"/>
        </w:rPr>
        <w:t>/</w:t>
      </w:r>
      <w:r w:rsidRPr="001E3AC7">
        <w:rPr>
          <w:snapToGrid w:val="0"/>
          <w:color w:val="000000"/>
          <w:lang w:val="de-DE" w:eastAsia="ja-JP"/>
        </w:rPr>
        <w:t>2</w:t>
      </w:r>
      <w:r w:rsidR="004D1C2F">
        <w:rPr>
          <w:snapToGrid w:val="0"/>
          <w:color w:val="000000"/>
          <w:lang w:val="de-DE"/>
        </w:rPr>
        <w:t xml:space="preserve"> und </w:t>
      </w:r>
      <w:r w:rsidRPr="001E3AC7">
        <w:rPr>
          <w:snapToGrid w:val="0"/>
          <w:color w:val="000000"/>
          <w:lang w:val="de-DE"/>
        </w:rPr>
        <w:t>TW</w:t>
      </w:r>
      <w:r w:rsidR="00A64B75" w:rsidRPr="001E3AC7">
        <w:rPr>
          <w:snapToGrid w:val="0"/>
          <w:color w:val="000000"/>
          <w:lang w:val="de-DE"/>
        </w:rPr>
        <w:t>O</w:t>
      </w:r>
      <w:r w:rsidRPr="001E3AC7">
        <w:rPr>
          <w:snapToGrid w:val="0"/>
          <w:color w:val="000000"/>
          <w:lang w:val="de-DE"/>
        </w:rPr>
        <w:t>/4</w:t>
      </w:r>
      <w:r w:rsidR="00A64B75" w:rsidRPr="001E3AC7">
        <w:rPr>
          <w:snapToGrid w:val="0"/>
          <w:color w:val="000000"/>
          <w:lang w:val="de-DE"/>
        </w:rPr>
        <w:t>8</w:t>
      </w:r>
      <w:r w:rsidRPr="001E3AC7">
        <w:rPr>
          <w:snapToGrid w:val="0"/>
          <w:color w:val="000000"/>
          <w:lang w:val="de-DE"/>
        </w:rPr>
        <w:t>/</w:t>
      </w:r>
      <w:r w:rsidRPr="001E3AC7">
        <w:rPr>
          <w:snapToGrid w:val="0"/>
          <w:color w:val="000000"/>
          <w:lang w:val="de-DE" w:eastAsia="ja-JP"/>
        </w:rPr>
        <w:t>2</w:t>
      </w:r>
      <w:r w:rsidR="000E5EE5" w:rsidRPr="001E3AC7">
        <w:rPr>
          <w:snapToGrid w:val="0"/>
          <w:color w:val="000000"/>
          <w:lang w:val="de-DE" w:eastAsia="ja-JP"/>
        </w:rPr>
        <w:t xml:space="preserve"> </w:t>
      </w:r>
      <w:r w:rsidR="000D3F83" w:rsidRPr="001E3AC7">
        <w:rPr>
          <w:snapToGrid w:val="0"/>
          <w:color w:val="000000"/>
          <w:lang w:val="de-DE" w:eastAsia="ja-JP"/>
        </w:rPr>
        <w:t>„</w:t>
      </w:r>
      <w:r w:rsidR="007412D9" w:rsidRPr="007412D9">
        <w:rPr>
          <w:rFonts w:hint="eastAsia"/>
          <w:i/>
          <w:snapToGrid w:val="0"/>
          <w:color w:val="000000"/>
          <w:lang w:eastAsia="ja-JP"/>
        </w:rPr>
        <w:t>Molecular Techniques</w:t>
      </w:r>
      <w:r w:rsidR="000D3F83" w:rsidRPr="001E3AC7">
        <w:rPr>
          <w:snapToGrid w:val="0"/>
          <w:color w:val="000000"/>
          <w:lang w:val="de-DE" w:eastAsia="ja-JP"/>
        </w:rPr>
        <w:t>“</w:t>
      </w:r>
      <w:r w:rsidRPr="001E3AC7">
        <w:rPr>
          <w:snapToGrid w:val="0"/>
          <w:color w:val="000000"/>
          <w:lang w:val="de-DE"/>
        </w:rPr>
        <w:t>.</w:t>
      </w:r>
    </w:p>
    <w:p w:rsidR="00DD6FBE" w:rsidRPr="001E3AC7" w:rsidRDefault="00DD6FBE" w:rsidP="009A5CC2">
      <w:pPr>
        <w:keepNext/>
        <w:keepLines/>
        <w:rPr>
          <w:color w:val="000000"/>
          <w:lang w:val="de-DE" w:eastAsia="ja-JP"/>
        </w:rPr>
      </w:pPr>
    </w:p>
    <w:p w:rsidR="009A5CC2" w:rsidRPr="001E3AC7" w:rsidRDefault="009A5CC2" w:rsidP="009A5CC2">
      <w:pPr>
        <w:rPr>
          <w:lang w:val="de-DE" w:eastAsia="ja-JP"/>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00DD6FBE" w:rsidRPr="001E3AC7">
        <w:rPr>
          <w:snapToGrid w:val="0"/>
          <w:lang w:val="de-DE"/>
        </w:rPr>
        <w:tab/>
      </w:r>
      <w:r w:rsidR="001E73EE">
        <w:rPr>
          <w:snapToGrid w:val="0"/>
          <w:lang w:val="de-DE"/>
        </w:rPr>
        <w:t>Die TWV</w:t>
      </w:r>
      <w:r w:rsidR="00DD6FBE" w:rsidRPr="001E3AC7">
        <w:rPr>
          <w:snapToGrid w:val="0"/>
          <w:lang w:val="de-DE" w:eastAsia="ja-JP"/>
        </w:rPr>
        <w:t>, TWC, TWA, TWF</w:t>
      </w:r>
      <w:r w:rsidR="004D1C2F">
        <w:rPr>
          <w:snapToGrid w:val="0"/>
          <w:lang w:val="de-DE" w:eastAsia="ja-JP"/>
        </w:rPr>
        <w:t xml:space="preserve"> und </w:t>
      </w:r>
      <w:r w:rsidR="00DD6FBE" w:rsidRPr="001E3AC7">
        <w:rPr>
          <w:snapToGrid w:val="0"/>
          <w:lang w:val="de-DE" w:eastAsia="ja-JP"/>
        </w:rPr>
        <w:t>TWO</w:t>
      </w:r>
      <w:r w:rsidRPr="001E3AC7">
        <w:rPr>
          <w:snapToGrid w:val="0"/>
          <w:lang w:val="de-DE"/>
        </w:rPr>
        <w:t xml:space="preserve"> </w:t>
      </w:r>
      <w:r w:rsidR="001E73EE">
        <w:rPr>
          <w:snapToGrid w:val="0"/>
          <w:lang w:val="de-DE"/>
        </w:rPr>
        <w:t>nahmen zur Kenntnis</w:t>
      </w:r>
      <w:r w:rsidRPr="001E3AC7">
        <w:rPr>
          <w:lang w:val="de-DE" w:eastAsia="ja-JP"/>
        </w:rPr>
        <w:t>:</w:t>
      </w:r>
    </w:p>
    <w:p w:rsidR="007B7770" w:rsidRPr="001E3AC7" w:rsidRDefault="007B7770" w:rsidP="009A5CC2">
      <w:pPr>
        <w:rPr>
          <w:lang w:val="de-DE" w:eastAsia="ja-JP"/>
        </w:rPr>
      </w:pPr>
    </w:p>
    <w:p w:rsidR="007B7770" w:rsidRPr="001E3AC7" w:rsidRDefault="007B7770" w:rsidP="007B7770">
      <w:pPr>
        <w:rPr>
          <w:lang w:val="de-DE" w:eastAsia="ja-JP"/>
        </w:rPr>
      </w:pPr>
      <w:r w:rsidRPr="001E3AC7">
        <w:rPr>
          <w:lang w:val="de-DE" w:eastAsia="ja-JP"/>
        </w:rPr>
        <w:tab/>
        <w:t>a)</w:t>
      </w:r>
      <w:r w:rsidRPr="001E3AC7">
        <w:rPr>
          <w:lang w:val="de-DE" w:eastAsia="ja-JP"/>
        </w:rPr>
        <w:tab/>
      </w:r>
      <w:r w:rsidR="001E73EE">
        <w:rPr>
          <w:lang w:val="de-DE" w:eastAsia="ja-JP"/>
        </w:rPr>
        <w:t>die Entwicklungen betreffend</w:t>
      </w:r>
      <w:r w:rsidR="008570F2">
        <w:rPr>
          <w:lang w:val="de-DE" w:eastAsia="ja-JP"/>
        </w:rPr>
        <w:t xml:space="preserve"> die</w:t>
      </w:r>
      <w:r w:rsidRPr="001E3AC7">
        <w:rPr>
          <w:lang w:val="de-DE" w:eastAsia="ja-JP"/>
        </w:rPr>
        <w:t xml:space="preserve"> </w:t>
      </w:r>
      <w:r w:rsidR="001E73EE">
        <w:rPr>
          <w:lang w:val="de-DE" w:eastAsia="ja-JP"/>
        </w:rPr>
        <w:t>Arbeitsgruppe für biochemische und molekulare Verfahren und insbesondere für DNS-Profilierungsverfahren</w:t>
      </w:r>
      <w:r w:rsidRPr="001E3AC7">
        <w:rPr>
          <w:lang w:val="de-DE" w:eastAsia="ja-JP"/>
        </w:rPr>
        <w:t xml:space="preserve"> (BMT);</w:t>
      </w:r>
    </w:p>
    <w:p w:rsidR="007B7770" w:rsidRPr="001E3AC7" w:rsidRDefault="007B7770" w:rsidP="007B7770">
      <w:pPr>
        <w:rPr>
          <w:lang w:val="de-DE" w:eastAsia="ja-JP"/>
        </w:rPr>
      </w:pPr>
    </w:p>
    <w:p w:rsidR="007B7770" w:rsidRPr="001E3AC7" w:rsidRDefault="007B7770" w:rsidP="001E73EE">
      <w:pPr>
        <w:rPr>
          <w:lang w:val="de-DE" w:eastAsia="ja-JP"/>
        </w:rPr>
      </w:pPr>
      <w:r w:rsidRPr="001E3AC7">
        <w:rPr>
          <w:lang w:val="de-DE" w:eastAsia="ja-JP"/>
        </w:rPr>
        <w:tab/>
        <w:t>b)</w:t>
      </w:r>
      <w:r w:rsidRPr="001E3AC7">
        <w:rPr>
          <w:lang w:val="de-DE" w:eastAsia="ja-JP"/>
        </w:rPr>
        <w:tab/>
      </w:r>
      <w:r w:rsidR="001E73EE">
        <w:rPr>
          <w:lang w:val="de-DE" w:eastAsia="ja-JP"/>
        </w:rPr>
        <w:t>daß der TC auf seiner einundfünfzigsten Tagung</w:t>
      </w:r>
      <w:r w:rsidR="00F222DB">
        <w:rPr>
          <w:lang w:val="de-DE" w:eastAsia="ja-JP"/>
        </w:rPr>
        <w:t xml:space="preserve"> </w:t>
      </w:r>
      <w:r w:rsidR="001E73EE">
        <w:rPr>
          <w:lang w:val="de-DE" w:eastAsia="ja-JP"/>
        </w:rPr>
        <w:t>vom 23. bis 25. März 2015 in Genf</w:t>
      </w:r>
      <w:r w:rsidR="0097762D" w:rsidRPr="001E3AC7">
        <w:rPr>
          <w:lang w:val="de-DE" w:eastAsia="ja-JP"/>
        </w:rPr>
        <w:t xml:space="preserve"> </w:t>
      </w:r>
      <w:r w:rsidR="001E73EE">
        <w:rPr>
          <w:lang w:val="de-DE" w:eastAsia="ja-JP"/>
        </w:rPr>
        <w:t>vereinbart hatte,</w:t>
      </w:r>
      <w:r w:rsidRPr="001E3AC7">
        <w:rPr>
          <w:lang w:val="de-DE" w:eastAsia="ja-JP"/>
        </w:rPr>
        <w:t xml:space="preserve"> </w:t>
      </w:r>
      <w:r w:rsidR="001E73EE">
        <w:rPr>
          <w:lang w:val="de-DE" w:eastAsia="ja-JP"/>
        </w:rPr>
        <w:t>e</w:t>
      </w:r>
      <w:r w:rsidR="001E73EE" w:rsidRPr="001E73EE">
        <w:rPr>
          <w:lang w:val="de-DE" w:eastAsia="ja-JP"/>
        </w:rPr>
        <w:t>in</w:t>
      </w:r>
      <w:r w:rsidR="00DE64AE">
        <w:rPr>
          <w:lang w:val="de-DE" w:eastAsia="ja-JP"/>
        </w:rPr>
        <w:t xml:space="preserve"> gemeinsam</w:t>
      </w:r>
      <w:r w:rsidR="001E73EE" w:rsidRPr="001E73EE">
        <w:rPr>
          <w:lang w:val="de-DE" w:eastAsia="ja-JP"/>
        </w:rPr>
        <w:t xml:space="preserve">es Dokument zur Erläuterung der wesentlichen Besonderheiten der Systeme von OECD, UPOV und ISTA </w:t>
      </w:r>
      <w:r w:rsidR="00DE64AE">
        <w:rPr>
          <w:lang w:val="de-DE" w:eastAsia="ja-JP"/>
        </w:rPr>
        <w:t>zu erarbeiten</w:t>
      </w:r>
      <w:r w:rsidRPr="001E3AC7">
        <w:rPr>
          <w:lang w:val="de-DE" w:eastAsia="ja-JP"/>
        </w:rPr>
        <w:t>;</w:t>
      </w:r>
    </w:p>
    <w:p w:rsidR="007B7770" w:rsidRPr="001E3AC7" w:rsidRDefault="007B7770" w:rsidP="007B7770">
      <w:pPr>
        <w:rPr>
          <w:lang w:val="de-DE" w:eastAsia="ja-JP"/>
        </w:rPr>
      </w:pPr>
    </w:p>
    <w:p w:rsidR="007B7770" w:rsidRPr="001E3AC7" w:rsidRDefault="007B7770" w:rsidP="007B7770">
      <w:pPr>
        <w:rPr>
          <w:lang w:val="de-DE" w:eastAsia="ja-JP"/>
        </w:rPr>
      </w:pPr>
      <w:r w:rsidRPr="001E3AC7">
        <w:rPr>
          <w:lang w:val="de-DE" w:eastAsia="ja-JP"/>
        </w:rPr>
        <w:tab/>
        <w:t>c)</w:t>
      </w:r>
      <w:r w:rsidRPr="001E3AC7">
        <w:rPr>
          <w:lang w:val="de-DE" w:eastAsia="ja-JP"/>
        </w:rPr>
        <w:tab/>
      </w:r>
      <w:r w:rsidR="001E73EE" w:rsidRPr="001E73EE">
        <w:rPr>
          <w:lang w:val="de-DE" w:eastAsia="ja-JP"/>
        </w:rPr>
        <w:t xml:space="preserve">daß der TC </w:t>
      </w:r>
      <w:r w:rsidR="001B6893">
        <w:rPr>
          <w:lang w:val="de-DE" w:eastAsia="ja-JP"/>
        </w:rPr>
        <w:t xml:space="preserve">auf seiner einundfünfzigsten Tagung </w:t>
      </w:r>
      <w:r w:rsidR="001E73EE" w:rsidRPr="001E73EE">
        <w:rPr>
          <w:lang w:val="de-DE" w:eastAsia="ja-JP"/>
        </w:rPr>
        <w:t>vereinbart hatte, vorbehaltlich der Billigung durch den Rat und in Koordination mit OECD und ISTA, eine Bestandsaufnahme zur Verwendung molekularer Markerverfahren nach Pflanze im Hinblick auf die Ausarbeitung eines</w:t>
      </w:r>
      <w:r w:rsidR="00DE64AE">
        <w:rPr>
          <w:lang w:val="de-DE" w:eastAsia="ja-JP"/>
        </w:rPr>
        <w:t xml:space="preserve"> gemeinsam</w:t>
      </w:r>
      <w:r w:rsidR="001E73EE" w:rsidRPr="001E73EE">
        <w:rPr>
          <w:lang w:val="de-DE" w:eastAsia="ja-JP"/>
        </w:rPr>
        <w:t>en Dokuments von OECD, UPOV und ISTA mit diesen Informationen in einem ähnlichen Format wie das UPOV-Dokument UPOV/INF/16 „Austauschbare Software“ zu erarbeiten</w:t>
      </w:r>
      <w:r w:rsidRPr="001E3AC7">
        <w:rPr>
          <w:lang w:val="de-DE" w:eastAsia="ja-JP"/>
        </w:rPr>
        <w:t>;</w:t>
      </w:r>
    </w:p>
    <w:p w:rsidR="007B7770" w:rsidRPr="001E3AC7" w:rsidRDefault="007B7770" w:rsidP="007B7770">
      <w:pPr>
        <w:rPr>
          <w:lang w:val="de-DE" w:eastAsia="ja-JP"/>
        </w:rPr>
      </w:pPr>
    </w:p>
    <w:p w:rsidR="007B7770" w:rsidRDefault="007B7770" w:rsidP="007B7770">
      <w:pPr>
        <w:rPr>
          <w:lang w:val="de-DE" w:eastAsia="ja-JP"/>
        </w:rPr>
      </w:pPr>
      <w:r w:rsidRPr="001E3AC7">
        <w:rPr>
          <w:lang w:val="de-DE" w:eastAsia="ja-JP"/>
        </w:rPr>
        <w:lastRenderedPageBreak/>
        <w:tab/>
        <w:t>d)</w:t>
      </w:r>
      <w:r w:rsidRPr="001E3AC7">
        <w:rPr>
          <w:lang w:val="de-DE" w:eastAsia="ja-JP"/>
        </w:rPr>
        <w:tab/>
      </w:r>
      <w:r w:rsidR="001E73EE">
        <w:rPr>
          <w:lang w:val="de-DE" w:eastAsia="ja-JP"/>
        </w:rPr>
        <w:t>daß der TC auf seiner einundfünfzigsten Tagung</w:t>
      </w:r>
      <w:r w:rsidR="001B6893">
        <w:rPr>
          <w:lang w:val="de-DE" w:eastAsia="ja-JP"/>
        </w:rPr>
        <w:t xml:space="preserve"> dem</w:t>
      </w:r>
      <w:r w:rsidR="00F4365F">
        <w:rPr>
          <w:lang w:val="de-DE" w:eastAsia="ja-JP"/>
        </w:rPr>
        <w:t xml:space="preserve"> Vorschlag</w:t>
      </w:r>
      <w:r w:rsidR="001B6893">
        <w:rPr>
          <w:lang w:val="de-DE" w:eastAsia="ja-JP"/>
        </w:rPr>
        <w:t xml:space="preserve"> zugestimmt hatte</w:t>
      </w:r>
      <w:r w:rsidR="00F4365F">
        <w:rPr>
          <w:lang w:val="de-DE" w:eastAsia="ja-JP"/>
        </w:rPr>
        <w:t>, daß die BMT auf ihrer fünfz</w:t>
      </w:r>
      <w:r w:rsidR="001B6893">
        <w:rPr>
          <w:lang w:val="de-DE" w:eastAsia="ja-JP"/>
        </w:rPr>
        <w:t>ehnten</w:t>
      </w:r>
      <w:r w:rsidR="00F4365F">
        <w:rPr>
          <w:lang w:val="de-DE" w:eastAsia="ja-JP"/>
        </w:rPr>
        <w:t xml:space="preserve"> Tagung </w:t>
      </w:r>
      <w:r w:rsidR="001E73EE">
        <w:rPr>
          <w:lang w:val="de-DE" w:eastAsia="ja-JP"/>
        </w:rPr>
        <w:t>Listen möglicher</w:t>
      </w:r>
      <w:r w:rsidR="00DE64AE">
        <w:rPr>
          <w:lang w:val="de-DE" w:eastAsia="ja-JP"/>
        </w:rPr>
        <w:t xml:space="preserve"> gemeinsam</w:t>
      </w:r>
      <w:r w:rsidR="001E73EE">
        <w:rPr>
          <w:lang w:val="de-DE" w:eastAsia="ja-JP"/>
        </w:rPr>
        <w:t>er Initiativen mit OECD und ISTA hinsichtlich molekularer Verfahren</w:t>
      </w:r>
      <w:r w:rsidRPr="001E3AC7">
        <w:rPr>
          <w:lang w:val="de-DE" w:eastAsia="ja-JP"/>
        </w:rPr>
        <w:t xml:space="preserve"> </w:t>
      </w:r>
      <w:r w:rsidR="00F4365F">
        <w:rPr>
          <w:lang w:val="de-DE" w:eastAsia="ja-JP"/>
        </w:rPr>
        <w:t>zur Prüfung durch den</w:t>
      </w:r>
      <w:r w:rsidRPr="001E3AC7">
        <w:rPr>
          <w:lang w:val="de-DE" w:eastAsia="ja-JP"/>
        </w:rPr>
        <w:t xml:space="preserve"> TC</w:t>
      </w:r>
      <w:r w:rsidR="001B6893" w:rsidRPr="001B6893">
        <w:rPr>
          <w:lang w:val="de-DE" w:eastAsia="ja-JP"/>
        </w:rPr>
        <w:t xml:space="preserve"> </w:t>
      </w:r>
      <w:r w:rsidR="001B6893">
        <w:rPr>
          <w:lang w:val="de-DE" w:eastAsia="ja-JP"/>
        </w:rPr>
        <w:t>aufstellt</w:t>
      </w:r>
      <w:r w:rsidR="004D1C2F">
        <w:rPr>
          <w:lang w:val="de-DE" w:eastAsia="ja-JP"/>
        </w:rPr>
        <w:t>; und</w:t>
      </w:r>
    </w:p>
    <w:p w:rsidR="001E73EE" w:rsidRPr="001E3AC7" w:rsidRDefault="001E73EE" w:rsidP="007B7770">
      <w:pPr>
        <w:rPr>
          <w:lang w:val="de-DE" w:eastAsia="ja-JP"/>
        </w:rPr>
      </w:pPr>
    </w:p>
    <w:p w:rsidR="007B7770" w:rsidRPr="001E3AC7" w:rsidRDefault="007B7770" w:rsidP="007B7770">
      <w:pPr>
        <w:rPr>
          <w:lang w:val="de-DE" w:eastAsia="ja-JP"/>
        </w:rPr>
      </w:pPr>
      <w:r w:rsidRPr="001E3AC7">
        <w:rPr>
          <w:lang w:val="de-DE" w:eastAsia="ja-JP"/>
        </w:rPr>
        <w:tab/>
        <w:t>e)</w:t>
      </w:r>
      <w:r w:rsidRPr="001E3AC7">
        <w:rPr>
          <w:lang w:val="de-DE" w:eastAsia="ja-JP"/>
        </w:rPr>
        <w:tab/>
      </w:r>
      <w:r w:rsidR="00F4365F" w:rsidRPr="00F4365F">
        <w:rPr>
          <w:lang w:val="de-DE" w:eastAsia="ja-JP"/>
        </w:rPr>
        <w:t>daß die</w:t>
      </w:r>
      <w:r w:rsidR="00DE64AE">
        <w:rPr>
          <w:lang w:val="de-DE" w:eastAsia="ja-JP"/>
        </w:rPr>
        <w:t xml:space="preserve"> gemeinsam</w:t>
      </w:r>
      <w:r w:rsidR="001B6893">
        <w:rPr>
          <w:lang w:val="de-DE" w:eastAsia="ja-JP"/>
        </w:rPr>
        <w:t>e Arbeitstagung von OECD, UPOV und</w:t>
      </w:r>
      <w:r w:rsidR="00F4365F" w:rsidRPr="00F4365F">
        <w:rPr>
          <w:lang w:val="de-DE" w:eastAsia="ja-JP"/>
        </w:rPr>
        <w:t xml:space="preserve"> ISTA über molekulare Verfahren vereinbart hatte, daß es zweckmäßig wäre, die</w:t>
      </w:r>
      <w:r w:rsidR="00DE64AE">
        <w:rPr>
          <w:lang w:val="de-DE" w:eastAsia="ja-JP"/>
        </w:rPr>
        <w:t xml:space="preserve"> gemeinsam</w:t>
      </w:r>
      <w:r w:rsidR="00F4365F" w:rsidRPr="00F4365F">
        <w:rPr>
          <w:lang w:val="de-DE" w:eastAsia="ja-JP"/>
        </w:rPr>
        <w:t xml:space="preserve">e Arbeitstagung auf einschlägigen Tagungen </w:t>
      </w:r>
      <w:r w:rsidR="001B6893">
        <w:rPr>
          <w:lang w:val="de-DE" w:eastAsia="ja-JP"/>
        </w:rPr>
        <w:t>von</w:t>
      </w:r>
      <w:r w:rsidR="00F4365F" w:rsidRPr="00F4365F">
        <w:rPr>
          <w:lang w:val="de-DE" w:eastAsia="ja-JP"/>
        </w:rPr>
        <w:t xml:space="preserve"> OECD und ISTA zu wiederholen</w:t>
      </w:r>
      <w:r w:rsidR="001B6893">
        <w:rPr>
          <w:lang w:val="de-DE" w:eastAsia="ja-JP"/>
        </w:rPr>
        <w:t>,</w:t>
      </w:r>
      <w:r w:rsidR="00F4365F" w:rsidRPr="00F4365F">
        <w:rPr>
          <w:lang w:val="de-DE" w:eastAsia="ja-JP"/>
        </w:rPr>
        <w:t xml:space="preserve"> und in dieser Hinsicht, daß die Tagung der </w:t>
      </w:r>
      <w:r w:rsidR="001B6893">
        <w:rPr>
          <w:lang w:val="de-DE" w:eastAsia="ja-JP"/>
        </w:rPr>
        <w:t xml:space="preserve">technischen </w:t>
      </w:r>
      <w:r w:rsidR="00F4365F" w:rsidRPr="00F4365F">
        <w:rPr>
          <w:lang w:val="de-DE" w:eastAsia="ja-JP"/>
        </w:rPr>
        <w:t>Arbeitsgruppe der OECD-Saatgutsysteme vereinbart hatte, daß eine weitere</w:t>
      </w:r>
      <w:r w:rsidR="00DE64AE">
        <w:rPr>
          <w:lang w:val="de-DE" w:eastAsia="ja-JP"/>
        </w:rPr>
        <w:t xml:space="preserve"> gemeinsam</w:t>
      </w:r>
      <w:r w:rsidR="00F4365F" w:rsidRPr="00F4365F">
        <w:rPr>
          <w:lang w:val="de-DE" w:eastAsia="ja-JP"/>
        </w:rPr>
        <w:t xml:space="preserve">e Arbeitstagung von OECD, UPOV </w:t>
      </w:r>
      <w:r w:rsidR="001B6893">
        <w:rPr>
          <w:lang w:val="de-DE" w:eastAsia="ja-JP"/>
        </w:rPr>
        <w:t xml:space="preserve">und </w:t>
      </w:r>
      <w:r w:rsidR="00F4365F" w:rsidRPr="00F4365F">
        <w:rPr>
          <w:lang w:val="de-DE" w:eastAsia="ja-JP"/>
        </w:rPr>
        <w:t xml:space="preserve">ISTA über molekulare Verfahren entweder in Verbindung mit der Jahrestagung der OECD-Saatgutsysteme oder in Verbindung mit der Tagung der Technischen Arbeitsgruppe </w:t>
      </w:r>
      <w:r w:rsidR="00DE64AE">
        <w:rPr>
          <w:lang w:val="de-DE" w:eastAsia="ja-JP"/>
        </w:rPr>
        <w:t>der</w:t>
      </w:r>
      <w:r w:rsidR="001B6893">
        <w:rPr>
          <w:lang w:val="de-DE" w:eastAsia="ja-JP"/>
        </w:rPr>
        <w:t xml:space="preserve"> OECD </w:t>
      </w:r>
      <w:r w:rsidR="00F4365F" w:rsidRPr="00F4365F">
        <w:rPr>
          <w:lang w:val="de-DE" w:eastAsia="ja-JP"/>
        </w:rPr>
        <w:t>organisiert werden soll</w:t>
      </w:r>
      <w:r w:rsidR="00151794">
        <w:rPr>
          <w:lang w:val="de-DE" w:eastAsia="ja-JP"/>
        </w:rPr>
        <w:t>e</w:t>
      </w:r>
      <w:r w:rsidR="00E36299" w:rsidRPr="001E3AC7">
        <w:rPr>
          <w:lang w:val="de-DE" w:eastAsia="ja-JP"/>
        </w:rPr>
        <w:t>.</w:t>
      </w:r>
    </w:p>
    <w:p w:rsidR="00E36299" w:rsidRPr="001E3AC7" w:rsidRDefault="00E36299" w:rsidP="007B7770">
      <w:pPr>
        <w:rPr>
          <w:snapToGrid w:val="0"/>
          <w:lang w:val="de-DE" w:eastAsia="ja-JP"/>
        </w:rPr>
      </w:pPr>
    </w:p>
    <w:p w:rsidR="006F40BE" w:rsidRPr="001E3AC7" w:rsidRDefault="006F40BE" w:rsidP="006F40BE">
      <w:pPr>
        <w:rPr>
          <w:snapToGrid w:val="0"/>
          <w:lang w:val="de-DE"/>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Pr="001E3AC7">
        <w:rPr>
          <w:snapToGrid w:val="0"/>
          <w:lang w:val="de-DE"/>
        </w:rPr>
        <w:tab/>
      </w:r>
      <w:r w:rsidR="00F4365F">
        <w:rPr>
          <w:snapToGrid w:val="0"/>
          <w:lang w:val="de-DE"/>
        </w:rPr>
        <w:t>Die TWC</w:t>
      </w:r>
      <w:r w:rsidR="00F4365F">
        <w:rPr>
          <w:snapToGrid w:val="0"/>
          <w:lang w:val="de-DE" w:eastAsia="ja-JP"/>
        </w:rPr>
        <w:t xml:space="preserve"> nahm auf ihrer dreiunddreißigsten Tagung vom 30.</w:t>
      </w:r>
      <w:r w:rsidR="00F4365F" w:rsidRPr="008570F2">
        <w:rPr>
          <w:lang w:val="de-DE"/>
        </w:rPr>
        <w:t xml:space="preserve"> </w:t>
      </w:r>
      <w:r w:rsidR="001B6893">
        <w:rPr>
          <w:snapToGrid w:val="0"/>
          <w:lang w:val="de-DE" w:eastAsia="ja-JP"/>
        </w:rPr>
        <w:t>Juni bis 2</w:t>
      </w:r>
      <w:r w:rsidR="00F4365F" w:rsidRPr="00F4365F">
        <w:rPr>
          <w:snapToGrid w:val="0"/>
          <w:lang w:val="de-DE" w:eastAsia="ja-JP"/>
        </w:rPr>
        <w:t>.</w:t>
      </w:r>
      <w:r w:rsidR="00F4365F">
        <w:rPr>
          <w:snapToGrid w:val="0"/>
          <w:lang w:val="de-DE" w:eastAsia="ja-JP"/>
        </w:rPr>
        <w:t xml:space="preserve"> </w:t>
      </w:r>
      <w:r w:rsidR="00F4365F" w:rsidRPr="00F4365F">
        <w:rPr>
          <w:snapToGrid w:val="0"/>
          <w:lang w:val="de-DE" w:eastAsia="ja-JP"/>
        </w:rPr>
        <w:t>Juli 2015</w:t>
      </w:r>
      <w:r w:rsidR="001E73EE">
        <w:rPr>
          <w:snapToGrid w:val="0"/>
          <w:lang w:val="de-DE"/>
        </w:rPr>
        <w:t xml:space="preserve"> </w:t>
      </w:r>
      <w:r w:rsidR="00DE64AE">
        <w:rPr>
          <w:snapToGrid w:val="0"/>
          <w:lang w:val="de-DE" w:eastAsia="ja-JP"/>
        </w:rPr>
        <w:t xml:space="preserve">in Natal, Brasilien, </w:t>
      </w:r>
      <w:r w:rsidR="00F4365F">
        <w:rPr>
          <w:snapToGrid w:val="0"/>
          <w:lang w:val="de-DE"/>
        </w:rPr>
        <w:t xml:space="preserve">einen mündlichen Bericht von Herrn Kees van </w:t>
      </w:r>
      <w:proofErr w:type="spellStart"/>
      <w:r w:rsidR="00F4365F">
        <w:rPr>
          <w:snapToGrid w:val="0"/>
          <w:lang w:val="de-DE"/>
        </w:rPr>
        <w:t>Ettekoven</w:t>
      </w:r>
      <w:proofErr w:type="spellEnd"/>
      <w:r w:rsidRPr="001E3AC7">
        <w:rPr>
          <w:snapToGrid w:val="0"/>
          <w:lang w:val="de-DE"/>
        </w:rPr>
        <w:t xml:space="preserve">, </w:t>
      </w:r>
      <w:r w:rsidR="00DE64AE">
        <w:rPr>
          <w:snapToGrid w:val="0"/>
          <w:lang w:val="de-DE"/>
        </w:rPr>
        <w:t xml:space="preserve">dem </w:t>
      </w:r>
      <w:r w:rsidR="00F4365F" w:rsidRPr="00F4365F">
        <w:rPr>
          <w:snapToGrid w:val="0"/>
          <w:lang w:val="de-DE"/>
        </w:rPr>
        <w:t>Vorsitzende</w:t>
      </w:r>
      <w:r w:rsidR="00DE64AE">
        <w:rPr>
          <w:snapToGrid w:val="0"/>
          <w:lang w:val="de-DE"/>
        </w:rPr>
        <w:t>n</w:t>
      </w:r>
      <w:r w:rsidR="00F4365F" w:rsidRPr="00F4365F">
        <w:rPr>
          <w:snapToGrid w:val="0"/>
          <w:lang w:val="de-DE"/>
        </w:rPr>
        <w:t xml:space="preserve"> der BMT</w:t>
      </w:r>
      <w:r w:rsidR="001B6893" w:rsidRPr="001B6893">
        <w:rPr>
          <w:snapToGrid w:val="0"/>
          <w:lang w:val="de-DE"/>
        </w:rPr>
        <w:t xml:space="preserve"> </w:t>
      </w:r>
      <w:r w:rsidR="001B6893">
        <w:rPr>
          <w:snapToGrid w:val="0"/>
          <w:lang w:val="de-DE"/>
        </w:rPr>
        <w:t>zur Kenntnis</w:t>
      </w:r>
      <w:r w:rsidRPr="001E3AC7">
        <w:rPr>
          <w:snapToGrid w:val="0"/>
          <w:lang w:val="de-DE"/>
        </w:rPr>
        <w:t xml:space="preserve">, </w:t>
      </w:r>
      <w:r w:rsidR="00DD6B0C">
        <w:rPr>
          <w:snapToGrid w:val="0"/>
          <w:lang w:val="de-DE"/>
        </w:rPr>
        <w:t>in der er die Entwicklungen betreffend</w:t>
      </w:r>
      <w:r w:rsidRPr="001E3AC7">
        <w:rPr>
          <w:snapToGrid w:val="0"/>
          <w:lang w:val="de-DE"/>
        </w:rPr>
        <w:t xml:space="preserve"> </w:t>
      </w:r>
      <w:r w:rsidR="001E3AC7">
        <w:rPr>
          <w:snapToGrid w:val="0"/>
          <w:lang w:val="de-DE"/>
        </w:rPr>
        <w:t>molekulare Verfahren</w:t>
      </w:r>
      <w:r w:rsidRPr="001E3AC7">
        <w:rPr>
          <w:snapToGrid w:val="0"/>
          <w:spacing w:val="-2"/>
          <w:lang w:val="de-DE"/>
        </w:rPr>
        <w:t xml:space="preserve"> </w:t>
      </w:r>
      <w:r w:rsidR="001B6893">
        <w:rPr>
          <w:snapToGrid w:val="0"/>
          <w:lang w:val="de-DE"/>
        </w:rPr>
        <w:t>hervorhob</w:t>
      </w:r>
      <w:r w:rsidR="00DD6B0C">
        <w:rPr>
          <w:snapToGrid w:val="0"/>
          <w:spacing w:val="-2"/>
          <w:lang w:val="de-DE"/>
        </w:rPr>
        <w:t xml:space="preserve">, die auf der vierzehnten Tagung </w:t>
      </w:r>
      <w:r w:rsidR="00F4365F">
        <w:rPr>
          <w:snapToGrid w:val="0"/>
          <w:spacing w:val="-2"/>
          <w:lang w:val="de-DE"/>
        </w:rPr>
        <w:t>der BMT vom 10. bis 13. November 2014 in Seoul, Republik Korea</w:t>
      </w:r>
      <w:r w:rsidR="007512C7" w:rsidRPr="001E3AC7">
        <w:rPr>
          <w:spacing w:val="-2"/>
          <w:lang w:val="de-DE" w:eastAsia="ja-JP"/>
        </w:rPr>
        <w:t>,</w:t>
      </w:r>
      <w:r w:rsidR="007512C7" w:rsidRPr="001E3AC7">
        <w:rPr>
          <w:spacing w:val="-2"/>
          <w:lang w:val="de-DE"/>
        </w:rPr>
        <w:t xml:space="preserve"> </w:t>
      </w:r>
      <w:r w:rsidR="001B6893">
        <w:rPr>
          <w:snapToGrid w:val="0"/>
          <w:spacing w:val="-2"/>
          <w:lang w:val="de-DE"/>
        </w:rPr>
        <w:t>dargelegt wurden</w:t>
      </w:r>
      <w:r w:rsidR="00151794">
        <w:rPr>
          <w:snapToGrid w:val="0"/>
          <w:spacing w:val="-2"/>
          <w:lang w:val="de-DE"/>
        </w:rPr>
        <w:t>, i</w:t>
      </w:r>
      <w:r w:rsidR="00DD6B0C">
        <w:rPr>
          <w:snapToGrid w:val="0"/>
          <w:spacing w:val="-2"/>
          <w:lang w:val="de-DE"/>
        </w:rPr>
        <w:t>nsbesondere</w:t>
      </w:r>
      <w:r w:rsidRPr="001E3AC7">
        <w:rPr>
          <w:snapToGrid w:val="0"/>
          <w:spacing w:val="-2"/>
          <w:lang w:val="de-DE"/>
        </w:rPr>
        <w:t xml:space="preserve">: </w:t>
      </w:r>
      <w:r w:rsidR="00DD6B0C">
        <w:rPr>
          <w:snapToGrid w:val="0"/>
          <w:spacing w:val="-2"/>
          <w:lang w:val="de-DE"/>
        </w:rPr>
        <w:t>einen Vortrag von</w:t>
      </w:r>
      <w:r w:rsidRPr="001E3AC7">
        <w:rPr>
          <w:snapToGrid w:val="0"/>
          <w:spacing w:val="-2"/>
          <w:lang w:val="de-DE"/>
        </w:rPr>
        <w:t xml:space="preserve"> </w:t>
      </w:r>
      <w:r w:rsidR="00DD6B0C">
        <w:rPr>
          <w:snapToGrid w:val="0"/>
          <w:spacing w:val="-2"/>
          <w:lang w:val="de-DE"/>
        </w:rPr>
        <w:t xml:space="preserve">der </w:t>
      </w:r>
      <w:r w:rsidRPr="001E3AC7">
        <w:rPr>
          <w:snapToGrid w:val="0"/>
          <w:spacing w:val="-2"/>
          <w:lang w:val="de-DE"/>
        </w:rPr>
        <w:t>Republi</w:t>
      </w:r>
      <w:r w:rsidR="00DD6B0C">
        <w:rPr>
          <w:snapToGrid w:val="0"/>
          <w:spacing w:val="-2"/>
          <w:lang w:val="de-DE"/>
        </w:rPr>
        <w:t>k</w:t>
      </w:r>
      <w:r w:rsidRPr="001E3AC7">
        <w:rPr>
          <w:snapToGrid w:val="0"/>
          <w:spacing w:val="-2"/>
          <w:lang w:val="de-DE"/>
        </w:rPr>
        <w:t xml:space="preserve"> Korea </w:t>
      </w:r>
      <w:r w:rsidR="000D3F83" w:rsidRPr="001E3AC7">
        <w:rPr>
          <w:snapToGrid w:val="0"/>
          <w:spacing w:val="-2"/>
          <w:lang w:val="de-DE"/>
        </w:rPr>
        <w:t>(vergleiche</w:t>
      </w:r>
      <w:r w:rsidRPr="001E3AC7">
        <w:rPr>
          <w:snapToGrid w:val="0"/>
          <w:spacing w:val="-2"/>
          <w:lang w:val="de-DE"/>
        </w:rPr>
        <w:t xml:space="preserve"> </w:t>
      </w:r>
      <w:r w:rsidR="000D3F83" w:rsidRPr="001E3AC7">
        <w:rPr>
          <w:snapToGrid w:val="0"/>
          <w:spacing w:val="-2"/>
          <w:lang w:val="de-DE"/>
        </w:rPr>
        <w:t>Dokument</w:t>
      </w:r>
      <w:r w:rsidRPr="001E3AC7">
        <w:rPr>
          <w:snapToGrid w:val="0"/>
          <w:spacing w:val="-2"/>
          <w:lang w:val="de-DE"/>
        </w:rPr>
        <w:t xml:space="preserve"> BMT/14/16</w:t>
      </w:r>
      <w:r w:rsidR="00967457" w:rsidRPr="001E3AC7">
        <w:rPr>
          <w:snapToGrid w:val="0"/>
          <w:spacing w:val="-2"/>
          <w:lang w:val="de-DE"/>
        </w:rPr>
        <w:t> Rev.</w:t>
      </w:r>
      <w:r w:rsidRPr="001E3AC7">
        <w:rPr>
          <w:snapToGrid w:val="0"/>
          <w:spacing w:val="-2"/>
          <w:lang w:val="de-DE"/>
        </w:rPr>
        <w:t xml:space="preserve">2 </w:t>
      </w:r>
      <w:r w:rsidR="00DE64AE">
        <w:rPr>
          <w:snapToGrid w:val="0"/>
          <w:spacing w:val="-2"/>
          <w:lang w:val="de-DE"/>
        </w:rPr>
        <w:t>„</w:t>
      </w:r>
      <w:r w:rsidR="00DE64AE" w:rsidRPr="00E36299">
        <w:rPr>
          <w:snapToGrid w:val="0"/>
        </w:rPr>
        <w:t>Use of Molecular Marker Techniques for Selection of ‘Similar Variety’ about ‘Candidate Variety”</w:t>
      </w:r>
      <w:r w:rsidR="00DE64AE">
        <w:rPr>
          <w:snapToGrid w:val="0"/>
        </w:rPr>
        <w:t xml:space="preserve"> - </w:t>
      </w:r>
      <w:r w:rsidR="00F222DB">
        <w:rPr>
          <w:snapToGrid w:val="0"/>
          <w:lang w:val="de-DE"/>
        </w:rPr>
        <w:t>Verwendung molekularer Markerverfahren für die Selektion von ‘ähnliche Sorte’ für ‘Kandidatensorte’</w:t>
      </w:r>
      <w:r w:rsidRPr="001E3AC7">
        <w:rPr>
          <w:snapToGrid w:val="0"/>
          <w:lang w:val="de-DE"/>
        </w:rPr>
        <w:t xml:space="preserve">); </w:t>
      </w:r>
      <w:r w:rsidR="00DD6B0C">
        <w:rPr>
          <w:snapToGrid w:val="0"/>
          <w:lang w:val="de-DE"/>
        </w:rPr>
        <w:t>den</w:t>
      </w:r>
      <w:r w:rsidRPr="001E3AC7">
        <w:rPr>
          <w:snapToGrid w:val="0"/>
          <w:lang w:val="de-DE"/>
        </w:rPr>
        <w:t xml:space="preserve"> </w:t>
      </w:r>
      <w:r w:rsidR="00DD6B0C">
        <w:rPr>
          <w:snapToGrid w:val="0"/>
          <w:lang w:val="de-DE"/>
        </w:rPr>
        <w:t>Vereinigten Staaten von Amerika</w:t>
      </w:r>
      <w:r w:rsidRPr="001E3AC7">
        <w:rPr>
          <w:snapToGrid w:val="0"/>
          <w:lang w:val="de-DE"/>
        </w:rPr>
        <w:t xml:space="preserve"> </w:t>
      </w:r>
      <w:r w:rsidR="000D3F83" w:rsidRPr="001E3AC7">
        <w:rPr>
          <w:snapToGrid w:val="0"/>
          <w:lang w:val="de-DE"/>
        </w:rPr>
        <w:t>(vergleiche</w:t>
      </w:r>
      <w:r w:rsidRPr="001E3AC7">
        <w:rPr>
          <w:snapToGrid w:val="0"/>
          <w:lang w:val="de-DE"/>
        </w:rPr>
        <w:t> </w:t>
      </w:r>
      <w:r w:rsidR="001E73EE">
        <w:rPr>
          <w:snapToGrid w:val="0"/>
          <w:lang w:val="de-DE"/>
        </w:rPr>
        <w:t>Dokumente</w:t>
      </w:r>
      <w:r w:rsidRPr="001E3AC7">
        <w:rPr>
          <w:snapToGrid w:val="0"/>
          <w:lang w:val="de-DE"/>
        </w:rPr>
        <w:t xml:space="preserve"> BMT/14/5</w:t>
      </w:r>
      <w:r w:rsidR="004D1C2F">
        <w:rPr>
          <w:snapToGrid w:val="0"/>
          <w:lang w:val="de-DE"/>
        </w:rPr>
        <w:t xml:space="preserve"> und </w:t>
      </w:r>
      <w:r w:rsidRPr="001E3AC7">
        <w:rPr>
          <w:snapToGrid w:val="0"/>
          <w:lang w:val="de-DE"/>
        </w:rPr>
        <w:t xml:space="preserve">BMT/14/5 Add. </w:t>
      </w:r>
      <w:r w:rsidR="000D3F83" w:rsidRPr="001E3AC7">
        <w:rPr>
          <w:snapToGrid w:val="0"/>
          <w:lang w:val="de-DE"/>
        </w:rPr>
        <w:t>„</w:t>
      </w:r>
      <w:r w:rsidR="00DE64AE" w:rsidRPr="00E36299">
        <w:rPr>
          <w:snapToGrid w:val="0"/>
        </w:rPr>
        <w:t>The Use of Reference Varieties in Varietal Distinctness: An Approach under Investigation in the United States of America for Potential Application in Plant Variety Protection</w:t>
      </w:r>
      <w:r w:rsidR="00DE64AE">
        <w:rPr>
          <w:snapToGrid w:val="0"/>
        </w:rPr>
        <w:t xml:space="preserve">” – </w:t>
      </w:r>
      <w:r w:rsidR="00E16847">
        <w:rPr>
          <w:snapToGrid w:val="0"/>
          <w:lang w:val="de-DE"/>
        </w:rPr>
        <w:t>Verwendung von Vergleichssorten bei der Unterscheidbarkeit von Sorten: Ein derzeit in den Vereinigten Staaten geprüfter Ansatz zur potentiellen Anwendung beim Sortenschutz</w:t>
      </w:r>
      <w:r w:rsidRPr="001E3AC7">
        <w:rPr>
          <w:snapToGrid w:val="0"/>
          <w:lang w:val="de-DE"/>
        </w:rPr>
        <w:t xml:space="preserve">); </w:t>
      </w:r>
      <w:r w:rsidR="00E16847">
        <w:rPr>
          <w:snapToGrid w:val="0"/>
          <w:lang w:val="de-DE"/>
        </w:rPr>
        <w:t>den Niederlanden</w:t>
      </w:r>
      <w:r w:rsidRPr="001E3AC7">
        <w:rPr>
          <w:snapToGrid w:val="0"/>
          <w:lang w:val="de-DE"/>
        </w:rPr>
        <w:t xml:space="preserve"> </w:t>
      </w:r>
      <w:r w:rsidR="000D3F83" w:rsidRPr="001E3AC7">
        <w:rPr>
          <w:snapToGrid w:val="0"/>
          <w:lang w:val="de-DE"/>
        </w:rPr>
        <w:t>(vergleiche</w:t>
      </w:r>
      <w:r w:rsidRPr="001E3AC7">
        <w:rPr>
          <w:snapToGrid w:val="0"/>
          <w:lang w:val="de-DE"/>
        </w:rPr>
        <w:t xml:space="preserve"> </w:t>
      </w:r>
      <w:r w:rsidR="000D3F83" w:rsidRPr="001E3AC7">
        <w:rPr>
          <w:snapToGrid w:val="0"/>
          <w:lang w:val="de-DE"/>
        </w:rPr>
        <w:t>Dokument</w:t>
      </w:r>
      <w:r w:rsidRPr="001E3AC7">
        <w:rPr>
          <w:snapToGrid w:val="0"/>
          <w:lang w:val="de-DE"/>
        </w:rPr>
        <w:t xml:space="preserve"> BMT/14/11 </w:t>
      </w:r>
      <w:r w:rsidR="000D3F83" w:rsidRPr="001E3AC7">
        <w:rPr>
          <w:snapToGrid w:val="0"/>
          <w:lang w:val="de-DE"/>
        </w:rPr>
        <w:t>„</w:t>
      </w:r>
      <w:r w:rsidR="00DE64AE" w:rsidRPr="00E36299">
        <w:rPr>
          <w:snapToGrid w:val="0"/>
        </w:rPr>
        <w:t>Ownership and Use of DUS Samples and of DNA and DNA Data During and After the DUS Tests</w:t>
      </w:r>
      <w:r w:rsidR="00151794">
        <w:rPr>
          <w:snapToGrid w:val="0"/>
        </w:rPr>
        <w:t>”</w:t>
      </w:r>
      <w:r w:rsidR="00DE64AE">
        <w:rPr>
          <w:snapToGrid w:val="0"/>
          <w:lang w:val="de-DE"/>
        </w:rPr>
        <w:t xml:space="preserve"> - </w:t>
      </w:r>
      <w:r w:rsidR="00E16847">
        <w:rPr>
          <w:snapToGrid w:val="0"/>
          <w:lang w:val="de-DE"/>
        </w:rPr>
        <w:t>Inhaberschaft und Verwendung von DUS-Proben und DNS und DNS-Daten während und nach den DUS-Prüfungen</w:t>
      </w:r>
      <w:r w:rsidRPr="001E3AC7">
        <w:rPr>
          <w:snapToGrid w:val="0"/>
          <w:lang w:val="de-DE"/>
        </w:rPr>
        <w:t>)</w:t>
      </w:r>
      <w:r w:rsidR="004D1C2F">
        <w:rPr>
          <w:snapToGrid w:val="0"/>
          <w:lang w:val="de-DE"/>
        </w:rPr>
        <w:t xml:space="preserve"> und </w:t>
      </w:r>
      <w:r w:rsidR="00E16847">
        <w:rPr>
          <w:snapToGrid w:val="0"/>
          <w:lang w:val="de-DE"/>
        </w:rPr>
        <w:t>über die</w:t>
      </w:r>
      <w:r w:rsidRPr="001E3AC7">
        <w:rPr>
          <w:snapToGrid w:val="0"/>
          <w:lang w:val="de-DE"/>
        </w:rPr>
        <w:t xml:space="preserve"> </w:t>
      </w:r>
      <w:r w:rsidR="00E16847" w:rsidRPr="00E16847">
        <w:rPr>
          <w:snapToGrid w:val="0"/>
          <w:lang w:val="de-DE"/>
        </w:rPr>
        <w:t>Zusammenarbeit zwischen UPOV</w:t>
      </w:r>
      <w:r w:rsidR="00E16847">
        <w:rPr>
          <w:snapToGrid w:val="0"/>
          <w:lang w:val="de-DE"/>
        </w:rPr>
        <w:t xml:space="preserve">, </w:t>
      </w:r>
      <w:r w:rsidR="00E16847" w:rsidRPr="00E16847">
        <w:rPr>
          <w:snapToGrid w:val="0"/>
          <w:lang w:val="de-DE"/>
        </w:rPr>
        <w:t xml:space="preserve">OECD </w:t>
      </w:r>
      <w:r w:rsidR="004D1C2F">
        <w:rPr>
          <w:snapToGrid w:val="0"/>
          <w:lang w:val="de-DE"/>
        </w:rPr>
        <w:t xml:space="preserve">und </w:t>
      </w:r>
      <w:r w:rsidRPr="001E3AC7">
        <w:rPr>
          <w:snapToGrid w:val="0"/>
          <w:lang w:val="de-DE"/>
        </w:rPr>
        <w:t xml:space="preserve">ISTA </w:t>
      </w:r>
      <w:r w:rsidR="001B6893">
        <w:rPr>
          <w:snapToGrid w:val="0"/>
          <w:lang w:val="de-DE"/>
        </w:rPr>
        <w:t>für</w:t>
      </w:r>
      <w:r w:rsidRPr="001E3AC7">
        <w:rPr>
          <w:snapToGrid w:val="0"/>
          <w:lang w:val="de-DE"/>
        </w:rPr>
        <w:t xml:space="preserve"> </w:t>
      </w:r>
      <w:r w:rsidR="001E3AC7">
        <w:rPr>
          <w:snapToGrid w:val="0"/>
          <w:lang w:val="de-DE"/>
        </w:rPr>
        <w:t>molekulare Verfahren</w:t>
      </w:r>
      <w:r w:rsidRPr="001E3AC7">
        <w:rPr>
          <w:snapToGrid w:val="0"/>
          <w:lang w:val="de-DE"/>
        </w:rPr>
        <w:t xml:space="preserve"> </w:t>
      </w:r>
      <w:r w:rsidR="000D3F83" w:rsidRPr="001E3AC7">
        <w:rPr>
          <w:snapToGrid w:val="0"/>
          <w:lang w:val="de-DE"/>
        </w:rPr>
        <w:t>(vergleiche</w:t>
      </w:r>
      <w:r w:rsidRPr="001E3AC7">
        <w:rPr>
          <w:snapToGrid w:val="0"/>
          <w:lang w:val="de-DE"/>
        </w:rPr>
        <w:t xml:space="preserve"> </w:t>
      </w:r>
      <w:r w:rsidR="000D3F83" w:rsidRPr="001E3AC7">
        <w:rPr>
          <w:snapToGrid w:val="0"/>
          <w:lang w:val="de-DE"/>
        </w:rPr>
        <w:t>Dokument</w:t>
      </w:r>
      <w:r w:rsidRPr="001E3AC7">
        <w:rPr>
          <w:rFonts w:cs="Arial"/>
          <w:shd w:val="clear" w:color="auto" w:fill="FFFFFF"/>
          <w:lang w:val="de-DE" w:eastAsia="ja-JP"/>
        </w:rPr>
        <w:t xml:space="preserve"> TWC/33/30</w:t>
      </w:r>
      <w:r w:rsidR="00161F46" w:rsidRPr="001E3AC7">
        <w:rPr>
          <w:rFonts w:cs="Arial"/>
          <w:shd w:val="clear" w:color="auto" w:fill="FFFFFF"/>
          <w:lang w:val="de-DE" w:eastAsia="ja-JP"/>
        </w:rPr>
        <w:t xml:space="preserve"> </w:t>
      </w:r>
      <w:r w:rsidR="005508EE">
        <w:rPr>
          <w:rFonts w:cs="Arial"/>
          <w:shd w:val="clear" w:color="auto" w:fill="FFFFFF"/>
          <w:lang w:val="de-DE" w:eastAsia="ja-JP"/>
        </w:rPr>
        <w:t>„</w:t>
      </w:r>
      <w:r w:rsidR="007412D9" w:rsidRPr="007412D9">
        <w:rPr>
          <w:rFonts w:cs="Arial"/>
          <w:i/>
          <w:shd w:val="clear" w:color="auto" w:fill="FFFFFF"/>
          <w:lang w:val="de-DE" w:eastAsia="ja-JP"/>
        </w:rPr>
        <w:t>Report</w:t>
      </w:r>
      <w:r w:rsidR="005508EE">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Absatz</w:t>
      </w:r>
      <w:r w:rsidRPr="001E3AC7">
        <w:rPr>
          <w:rFonts w:cs="Arial"/>
          <w:shd w:val="clear" w:color="auto" w:fill="FFFFFF"/>
          <w:lang w:val="de-DE" w:eastAsia="ja-JP"/>
        </w:rPr>
        <w:t xml:space="preserve"> 110)</w:t>
      </w:r>
      <w:r w:rsidR="00E84836" w:rsidRPr="001E3AC7">
        <w:rPr>
          <w:rFonts w:cs="Arial"/>
          <w:shd w:val="clear" w:color="auto" w:fill="FFFFFF"/>
          <w:lang w:val="de-DE" w:eastAsia="ja-JP"/>
        </w:rPr>
        <w:t>.</w:t>
      </w:r>
    </w:p>
    <w:p w:rsidR="006F40BE" w:rsidRPr="001E3AC7" w:rsidRDefault="006F40BE" w:rsidP="009A5CC2">
      <w:pPr>
        <w:rPr>
          <w:lang w:val="de-DE" w:eastAsia="ja-JP"/>
        </w:rPr>
      </w:pPr>
    </w:p>
    <w:p w:rsidR="00E36299" w:rsidRPr="001E3AC7" w:rsidRDefault="00E36299" w:rsidP="00E16847">
      <w:pPr>
        <w:rPr>
          <w:lang w:val="de-DE" w:eastAsia="ja-JP"/>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Pr="001E3AC7">
        <w:rPr>
          <w:snapToGrid w:val="0"/>
          <w:lang w:val="de-DE"/>
        </w:rPr>
        <w:tab/>
      </w:r>
      <w:r w:rsidR="00E16847">
        <w:rPr>
          <w:lang w:val="de-DE" w:eastAsia="ja-JP"/>
        </w:rPr>
        <w:t>Die TWF</w:t>
      </w:r>
      <w:r w:rsidR="00E16847" w:rsidRPr="00E16847">
        <w:rPr>
          <w:lang w:val="de-DE" w:eastAsia="ja-JP"/>
        </w:rPr>
        <w:t xml:space="preserve"> </w:t>
      </w:r>
      <w:r w:rsidR="000844F9">
        <w:rPr>
          <w:lang w:val="de-DE" w:eastAsia="ja-JP"/>
        </w:rPr>
        <w:t>nahm</w:t>
      </w:r>
      <w:r w:rsidR="00E16847" w:rsidRPr="00E16847">
        <w:rPr>
          <w:lang w:val="de-DE" w:eastAsia="ja-JP"/>
        </w:rPr>
        <w:t xml:space="preserve"> auf ihrer sechsundvierzigsten Tagung vom 24. bis 28.</w:t>
      </w:r>
      <w:r w:rsidR="00E16847">
        <w:rPr>
          <w:lang w:val="de-DE" w:eastAsia="ja-JP"/>
        </w:rPr>
        <w:t xml:space="preserve"> </w:t>
      </w:r>
      <w:r w:rsidR="00E16847" w:rsidRPr="00E16847">
        <w:rPr>
          <w:lang w:val="de-DE" w:eastAsia="ja-JP"/>
        </w:rPr>
        <w:t xml:space="preserve">August 2015 in </w:t>
      </w:r>
      <w:proofErr w:type="spellStart"/>
      <w:r w:rsidR="00E16847" w:rsidRPr="00E16847">
        <w:rPr>
          <w:lang w:val="de-DE" w:eastAsia="ja-JP"/>
        </w:rPr>
        <w:t>Mpumalanga</w:t>
      </w:r>
      <w:proofErr w:type="spellEnd"/>
      <w:r w:rsidR="00E16847" w:rsidRPr="00E16847">
        <w:rPr>
          <w:lang w:val="de-DE" w:eastAsia="ja-JP"/>
        </w:rPr>
        <w:t>, Südafrika</w:t>
      </w:r>
      <w:r w:rsidR="007512C7" w:rsidRPr="001E3AC7">
        <w:rPr>
          <w:lang w:val="de-DE" w:eastAsia="ja-JP"/>
        </w:rPr>
        <w:t xml:space="preserve">, </w:t>
      </w:r>
      <w:r w:rsidR="00E16847">
        <w:rPr>
          <w:lang w:val="de-DE" w:eastAsia="ja-JP"/>
        </w:rPr>
        <w:t>zur Kenntnis, daß molekulare Markerverfahren</w:t>
      </w:r>
      <w:r w:rsidRPr="001E3AC7">
        <w:rPr>
          <w:lang w:val="de-DE" w:eastAsia="ja-JP"/>
        </w:rPr>
        <w:t xml:space="preserve"> </w:t>
      </w:r>
      <w:r w:rsidR="00E16847">
        <w:rPr>
          <w:lang w:val="de-DE" w:eastAsia="ja-JP"/>
        </w:rPr>
        <w:t>von vielen</w:t>
      </w:r>
      <w:r w:rsidRPr="001E3AC7">
        <w:rPr>
          <w:lang w:val="de-DE" w:eastAsia="ja-JP"/>
        </w:rPr>
        <w:t xml:space="preserve"> </w:t>
      </w:r>
      <w:r w:rsidR="00E16847">
        <w:rPr>
          <w:lang w:val="de-DE" w:eastAsia="ja-JP"/>
        </w:rPr>
        <w:t>UPOV-Mitglieder</w:t>
      </w:r>
      <w:r w:rsidR="001B6893">
        <w:rPr>
          <w:lang w:val="de-DE" w:eastAsia="ja-JP"/>
        </w:rPr>
        <w:t>n zur</w:t>
      </w:r>
      <w:r w:rsidRPr="001E3AC7">
        <w:rPr>
          <w:lang w:val="de-DE" w:eastAsia="ja-JP"/>
        </w:rPr>
        <w:t xml:space="preserve"> </w:t>
      </w:r>
      <w:r w:rsidR="000844F9" w:rsidRPr="000844F9">
        <w:rPr>
          <w:lang w:val="de-DE" w:eastAsia="ja-JP"/>
        </w:rPr>
        <w:t xml:space="preserve">Sortenidentifikation </w:t>
      </w:r>
      <w:r w:rsidR="009C76D2">
        <w:rPr>
          <w:lang w:val="de-DE" w:eastAsia="ja-JP"/>
        </w:rPr>
        <w:t>verwendet und</w:t>
      </w:r>
      <w:r w:rsidR="000844F9" w:rsidRPr="000844F9">
        <w:rPr>
          <w:lang w:val="de-DE" w:eastAsia="ja-JP"/>
        </w:rPr>
        <w:t xml:space="preserve"> ein wichtige</w:t>
      </w:r>
      <w:r w:rsidR="009C76D2">
        <w:rPr>
          <w:lang w:val="de-DE" w:eastAsia="ja-JP"/>
        </w:rPr>
        <w:t>s</w:t>
      </w:r>
      <w:r w:rsidRPr="001E3AC7">
        <w:rPr>
          <w:lang w:val="de-DE" w:eastAsia="ja-JP"/>
        </w:rPr>
        <w:t xml:space="preserve"> </w:t>
      </w:r>
      <w:r w:rsidR="000844F9">
        <w:rPr>
          <w:lang w:val="de-DE" w:eastAsia="ja-JP"/>
        </w:rPr>
        <w:t xml:space="preserve">Instrument bei </w:t>
      </w:r>
      <w:r w:rsidR="009C76D2">
        <w:rPr>
          <w:lang w:val="de-DE" w:eastAsia="ja-JP"/>
        </w:rPr>
        <w:t xml:space="preserve">der </w:t>
      </w:r>
      <w:r w:rsidR="000844F9">
        <w:rPr>
          <w:lang w:val="de-DE" w:eastAsia="ja-JP"/>
        </w:rPr>
        <w:t>Wahrung der Züchterrechte</w:t>
      </w:r>
      <w:r w:rsidRPr="001E3AC7">
        <w:rPr>
          <w:lang w:val="de-DE" w:eastAsia="ja-JP"/>
        </w:rPr>
        <w:t xml:space="preserve"> (PBR)</w:t>
      </w:r>
      <w:r w:rsidR="009C76D2">
        <w:rPr>
          <w:lang w:val="de-DE" w:eastAsia="ja-JP"/>
        </w:rPr>
        <w:t xml:space="preserve"> darstelle</w:t>
      </w:r>
      <w:r w:rsidR="00DE64AE">
        <w:rPr>
          <w:lang w:val="de-DE" w:eastAsia="ja-JP"/>
        </w:rPr>
        <w:t>n würden</w:t>
      </w:r>
      <w:r w:rsidRPr="001E3AC7">
        <w:rPr>
          <w:lang w:val="de-DE" w:eastAsia="ja-JP"/>
        </w:rPr>
        <w:t xml:space="preserve">. </w:t>
      </w:r>
      <w:r w:rsidR="00E16847">
        <w:rPr>
          <w:lang w:val="de-DE" w:eastAsia="ja-JP"/>
        </w:rPr>
        <w:t>Die TWF</w:t>
      </w:r>
      <w:r w:rsidRPr="001E3AC7">
        <w:rPr>
          <w:lang w:val="de-DE" w:eastAsia="ja-JP"/>
        </w:rPr>
        <w:t xml:space="preserve"> </w:t>
      </w:r>
      <w:r w:rsidR="000844F9">
        <w:rPr>
          <w:lang w:val="de-DE" w:eastAsia="ja-JP"/>
        </w:rPr>
        <w:t>vereinbarte,</w:t>
      </w:r>
      <w:r w:rsidRPr="001E3AC7">
        <w:rPr>
          <w:lang w:val="de-DE" w:eastAsia="ja-JP"/>
        </w:rPr>
        <w:t xml:space="preserve"> </w:t>
      </w:r>
      <w:r w:rsidR="000844F9" w:rsidRPr="000844F9">
        <w:rPr>
          <w:lang w:val="de-DE" w:eastAsia="ja-JP"/>
        </w:rPr>
        <w:t xml:space="preserve">daß es zweckdienlich wäre, Informationen </w:t>
      </w:r>
      <w:r w:rsidR="000844F9">
        <w:rPr>
          <w:lang w:val="de-DE" w:eastAsia="ja-JP"/>
        </w:rPr>
        <w:t>für ein breiteres Publikum</w:t>
      </w:r>
      <w:r w:rsidR="009C76D2">
        <w:rPr>
          <w:lang w:val="de-DE" w:eastAsia="ja-JP"/>
        </w:rPr>
        <w:t xml:space="preserve"> </w:t>
      </w:r>
      <w:r w:rsidR="00151794">
        <w:rPr>
          <w:lang w:val="de-DE" w:eastAsia="ja-JP"/>
        </w:rPr>
        <w:t xml:space="preserve">darüber </w:t>
      </w:r>
      <w:r w:rsidR="009C76D2">
        <w:rPr>
          <w:lang w:val="de-DE" w:eastAsia="ja-JP"/>
        </w:rPr>
        <w:t>zu erteilen</w:t>
      </w:r>
      <w:r w:rsidR="000844F9">
        <w:rPr>
          <w:lang w:val="de-DE" w:eastAsia="ja-JP"/>
        </w:rPr>
        <w:t xml:space="preserve">, daß </w:t>
      </w:r>
      <w:r w:rsidR="00E16847">
        <w:rPr>
          <w:lang w:val="de-DE" w:eastAsia="ja-JP"/>
        </w:rPr>
        <w:t>molekulare Markerverfahren</w:t>
      </w:r>
      <w:r w:rsidRPr="001E3AC7">
        <w:rPr>
          <w:lang w:val="de-DE" w:eastAsia="ja-JP"/>
        </w:rPr>
        <w:t xml:space="preserve"> </w:t>
      </w:r>
      <w:r w:rsidR="000844F9">
        <w:rPr>
          <w:lang w:val="de-DE" w:eastAsia="ja-JP"/>
        </w:rPr>
        <w:t>weitreichend im Zusammenhang mit</w:t>
      </w:r>
      <w:r w:rsidRPr="001E3AC7">
        <w:rPr>
          <w:lang w:val="de-DE" w:eastAsia="ja-JP"/>
        </w:rPr>
        <w:t xml:space="preserve"> PBR </w:t>
      </w:r>
      <w:r w:rsidR="000844F9">
        <w:rPr>
          <w:lang w:val="de-DE" w:eastAsia="ja-JP"/>
        </w:rPr>
        <w:t>zur Sortenidentifikation und Wahrung der Züchterrechte</w:t>
      </w:r>
      <w:r w:rsidR="00E84836" w:rsidRPr="001E3AC7">
        <w:rPr>
          <w:lang w:val="de-DE" w:eastAsia="ja-JP"/>
        </w:rPr>
        <w:t xml:space="preserve"> </w:t>
      </w:r>
      <w:r w:rsidR="009C76D2">
        <w:rPr>
          <w:lang w:val="de-DE" w:eastAsia="ja-JP"/>
        </w:rPr>
        <w:t>genutzt würden</w:t>
      </w:r>
      <w:r w:rsidR="009C76D2" w:rsidRPr="001E3AC7">
        <w:rPr>
          <w:lang w:val="de-DE" w:eastAsia="ja-JP"/>
        </w:rPr>
        <w:t xml:space="preserve"> </w:t>
      </w:r>
      <w:r w:rsidR="000D3F83" w:rsidRPr="001E3AC7">
        <w:rPr>
          <w:snapToGrid w:val="0"/>
          <w:lang w:val="de-DE"/>
        </w:rPr>
        <w:t>(vergleiche</w:t>
      </w:r>
      <w:r w:rsidR="00E84836" w:rsidRPr="001E3AC7">
        <w:rPr>
          <w:snapToGrid w:val="0"/>
          <w:lang w:val="de-DE"/>
        </w:rPr>
        <w:t xml:space="preserve"> </w:t>
      </w:r>
      <w:r w:rsidR="000D3F83" w:rsidRPr="001E3AC7">
        <w:rPr>
          <w:snapToGrid w:val="0"/>
          <w:lang w:val="de-DE"/>
        </w:rPr>
        <w:t>Dokument</w:t>
      </w:r>
      <w:r w:rsidR="00E84836" w:rsidRPr="001E3AC7">
        <w:rPr>
          <w:rFonts w:cs="Arial"/>
          <w:shd w:val="clear" w:color="auto" w:fill="FFFFFF"/>
          <w:lang w:val="de-DE" w:eastAsia="ja-JP"/>
        </w:rPr>
        <w:t xml:space="preserve"> </w:t>
      </w:r>
      <w:r w:rsidR="000F5EFF" w:rsidRPr="001E3AC7">
        <w:rPr>
          <w:rFonts w:cs="Arial"/>
          <w:shd w:val="clear" w:color="auto" w:fill="FFFFFF"/>
          <w:lang w:val="de-DE" w:eastAsia="ja-JP"/>
        </w:rPr>
        <w:t>T</w:t>
      </w:r>
      <w:r w:rsidR="00E84836" w:rsidRPr="001E3AC7">
        <w:rPr>
          <w:rFonts w:cs="Arial"/>
          <w:shd w:val="clear" w:color="auto" w:fill="FFFFFF"/>
          <w:lang w:val="de-DE" w:eastAsia="ja-JP"/>
        </w:rPr>
        <w:t>WF/46/29</w:t>
      </w:r>
      <w:r w:rsidR="00560113" w:rsidRPr="001E3AC7">
        <w:rPr>
          <w:rFonts w:cs="Arial"/>
          <w:shd w:val="clear" w:color="auto" w:fill="FFFFFF"/>
          <w:lang w:val="de-DE" w:eastAsia="ja-JP"/>
        </w:rPr>
        <w:t xml:space="preserve"> </w:t>
      </w:r>
      <w:proofErr w:type="spellStart"/>
      <w:r w:rsidR="00560113" w:rsidRPr="001E3AC7">
        <w:rPr>
          <w:rFonts w:cs="Arial"/>
          <w:shd w:val="clear" w:color="auto" w:fill="FFFFFF"/>
          <w:lang w:val="de-DE" w:eastAsia="ja-JP"/>
        </w:rPr>
        <w:t>Rev</w:t>
      </w:r>
      <w:proofErr w:type="spellEnd"/>
      <w:r w:rsidR="00560113" w:rsidRPr="001E3AC7">
        <w:rPr>
          <w:rFonts w:cs="Arial"/>
          <w:shd w:val="clear" w:color="auto" w:fill="FFFFFF"/>
          <w:lang w:val="de-DE" w:eastAsia="ja-JP"/>
        </w:rPr>
        <w:t>.</w:t>
      </w:r>
      <w:r w:rsidR="00161F46" w:rsidRPr="001E3AC7">
        <w:rPr>
          <w:rFonts w:cs="Arial"/>
          <w:shd w:val="clear" w:color="auto" w:fill="FFFFFF"/>
          <w:lang w:val="de-DE" w:eastAsia="ja-JP"/>
        </w:rPr>
        <w:t xml:space="preserve"> </w:t>
      </w:r>
      <w:r w:rsidR="000D3F83" w:rsidRPr="001E3AC7">
        <w:rPr>
          <w:rFonts w:cs="Arial"/>
          <w:shd w:val="clear" w:color="auto" w:fill="FFFFFF"/>
          <w:lang w:val="de-DE" w:eastAsia="ja-JP"/>
        </w:rPr>
        <w:t>„</w:t>
      </w:r>
      <w:proofErr w:type="spellStart"/>
      <w:r w:rsidR="007412D9" w:rsidRPr="007412D9">
        <w:rPr>
          <w:rFonts w:cs="Arial"/>
          <w:i/>
          <w:shd w:val="clear" w:color="auto" w:fill="FFFFFF"/>
          <w:lang w:val="de-DE" w:eastAsia="ja-JP"/>
        </w:rPr>
        <w:t>Revised</w:t>
      </w:r>
      <w:proofErr w:type="spellEnd"/>
      <w:r w:rsidR="007412D9" w:rsidRPr="007412D9">
        <w:rPr>
          <w:rFonts w:cs="Arial"/>
          <w:i/>
          <w:shd w:val="clear" w:color="auto" w:fill="FFFFFF"/>
          <w:lang w:val="de-DE" w:eastAsia="ja-JP"/>
        </w:rPr>
        <w:t xml:space="preserve"> Report</w:t>
      </w:r>
      <w:r w:rsidR="000D3F83" w:rsidRPr="001E3AC7">
        <w:rPr>
          <w:rFonts w:cs="Arial"/>
          <w:shd w:val="clear" w:color="auto" w:fill="FFFFFF"/>
          <w:lang w:val="de-DE" w:eastAsia="ja-JP"/>
        </w:rPr>
        <w:t>“</w:t>
      </w:r>
      <w:r w:rsidR="00E84836" w:rsidRPr="001E3AC7">
        <w:rPr>
          <w:rFonts w:cs="Arial"/>
          <w:shd w:val="clear" w:color="auto" w:fill="FFFFFF"/>
          <w:lang w:val="de-DE" w:eastAsia="ja-JP"/>
        </w:rPr>
        <w:t xml:space="preserve">, </w:t>
      </w:r>
      <w:r w:rsidR="001E3AC7">
        <w:rPr>
          <w:rFonts w:cs="Arial"/>
          <w:shd w:val="clear" w:color="auto" w:fill="FFFFFF"/>
          <w:lang w:val="de-DE" w:eastAsia="ja-JP"/>
        </w:rPr>
        <w:t>Absätze</w:t>
      </w:r>
      <w:r w:rsidR="00E84836" w:rsidRPr="001E3AC7">
        <w:rPr>
          <w:rFonts w:cs="Arial"/>
          <w:shd w:val="clear" w:color="auto" w:fill="FFFFFF"/>
          <w:lang w:val="de-DE" w:eastAsia="ja-JP"/>
        </w:rPr>
        <w:t xml:space="preserve"> 73</w:t>
      </w:r>
      <w:r w:rsidR="00560113" w:rsidRPr="001E3AC7">
        <w:rPr>
          <w:rFonts w:cs="Arial"/>
          <w:shd w:val="clear" w:color="auto" w:fill="FFFFFF"/>
          <w:lang w:val="de-DE" w:eastAsia="ja-JP"/>
        </w:rPr>
        <w:t xml:space="preserve"> </w:t>
      </w:r>
      <w:r w:rsidR="00C77A66">
        <w:rPr>
          <w:rFonts w:cs="Arial"/>
          <w:shd w:val="clear" w:color="auto" w:fill="FFFFFF"/>
          <w:lang w:val="de-DE" w:eastAsia="ja-JP"/>
        </w:rPr>
        <w:t>bis</w:t>
      </w:r>
      <w:r w:rsidR="00560113" w:rsidRPr="001E3AC7">
        <w:rPr>
          <w:rFonts w:cs="Arial"/>
          <w:shd w:val="clear" w:color="auto" w:fill="FFFFFF"/>
          <w:lang w:val="de-DE" w:eastAsia="ja-JP"/>
        </w:rPr>
        <w:t xml:space="preserve"> 75</w:t>
      </w:r>
      <w:r w:rsidR="00E84836" w:rsidRPr="001E3AC7">
        <w:rPr>
          <w:rFonts w:cs="Arial"/>
          <w:shd w:val="clear" w:color="auto" w:fill="FFFFFF"/>
          <w:lang w:val="de-DE" w:eastAsia="ja-JP"/>
        </w:rPr>
        <w:t>)</w:t>
      </w:r>
      <w:r w:rsidRPr="001E3AC7">
        <w:rPr>
          <w:lang w:val="de-DE" w:eastAsia="ja-JP"/>
        </w:rPr>
        <w:t xml:space="preserve">. </w:t>
      </w:r>
    </w:p>
    <w:p w:rsidR="00E36299" w:rsidRPr="001E3AC7" w:rsidRDefault="00E36299" w:rsidP="00E36299">
      <w:pPr>
        <w:rPr>
          <w:lang w:val="de-DE" w:eastAsia="ja-JP"/>
        </w:rPr>
      </w:pPr>
    </w:p>
    <w:p w:rsidR="00E36299" w:rsidRPr="001E3AC7" w:rsidRDefault="00E36299" w:rsidP="00E36299">
      <w:pPr>
        <w:rPr>
          <w:lang w:val="de-DE" w:eastAsia="ja-JP"/>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Pr="001E3AC7">
        <w:rPr>
          <w:snapToGrid w:val="0"/>
          <w:lang w:val="de-DE"/>
        </w:rPr>
        <w:tab/>
      </w:r>
      <w:r w:rsidR="00E16847">
        <w:rPr>
          <w:lang w:val="de-DE" w:eastAsia="ja-JP"/>
        </w:rPr>
        <w:t>Die TWF</w:t>
      </w:r>
      <w:r w:rsidRPr="001E3AC7">
        <w:rPr>
          <w:lang w:val="de-DE" w:eastAsia="ja-JP"/>
        </w:rPr>
        <w:t xml:space="preserve"> </w:t>
      </w:r>
      <w:r w:rsidR="001E73EE">
        <w:rPr>
          <w:lang w:val="de-DE" w:eastAsia="ja-JP"/>
        </w:rPr>
        <w:t xml:space="preserve">nahm </w:t>
      </w:r>
      <w:r w:rsidR="00E16847">
        <w:rPr>
          <w:lang w:val="de-DE" w:eastAsia="ja-JP"/>
        </w:rPr>
        <w:t xml:space="preserve">zur Kenntnis, daß </w:t>
      </w:r>
      <w:r w:rsidR="00C77A66">
        <w:rPr>
          <w:lang w:val="de-DE" w:eastAsia="ja-JP"/>
        </w:rPr>
        <w:t>Frankreich</w:t>
      </w:r>
      <w:r w:rsidRPr="001E3AC7">
        <w:rPr>
          <w:lang w:val="de-DE" w:eastAsia="ja-JP"/>
        </w:rPr>
        <w:t xml:space="preserve"> </w:t>
      </w:r>
      <w:r w:rsidR="009C76D2">
        <w:rPr>
          <w:lang w:val="de-DE" w:eastAsia="ja-JP"/>
        </w:rPr>
        <w:t>seit dem Jahr</w:t>
      </w:r>
      <w:r w:rsidR="009C76D2" w:rsidRPr="001E3AC7">
        <w:rPr>
          <w:lang w:val="de-DE" w:eastAsia="ja-JP"/>
        </w:rPr>
        <w:t xml:space="preserve"> 2000</w:t>
      </w:r>
      <w:r w:rsidR="00C77A66">
        <w:rPr>
          <w:lang w:val="de-DE" w:eastAsia="ja-JP"/>
        </w:rPr>
        <w:t xml:space="preserve"> molekulare Abstände in Kombination mit</w:t>
      </w:r>
      <w:r w:rsidRPr="001E3AC7">
        <w:rPr>
          <w:lang w:val="de-DE" w:eastAsia="ja-JP"/>
        </w:rPr>
        <w:t xml:space="preserve"> </w:t>
      </w:r>
      <w:r w:rsidR="009C76D2">
        <w:rPr>
          <w:lang w:val="de-DE" w:eastAsia="ja-JP"/>
        </w:rPr>
        <w:t>phänotypischem</w:t>
      </w:r>
      <w:r w:rsidR="00C77A66">
        <w:rPr>
          <w:lang w:val="de-DE" w:eastAsia="ja-JP"/>
        </w:rPr>
        <w:t xml:space="preserve"> Abstand zur Optimierung der</w:t>
      </w:r>
      <w:r w:rsidRPr="001E3AC7">
        <w:rPr>
          <w:lang w:val="de-DE" w:eastAsia="ja-JP"/>
        </w:rPr>
        <w:t xml:space="preserve"> </w:t>
      </w:r>
      <w:r w:rsidR="00C77A66">
        <w:rPr>
          <w:lang w:val="de-DE" w:eastAsia="ja-JP"/>
        </w:rPr>
        <w:t>Größe von P</w:t>
      </w:r>
      <w:r w:rsidR="00C77A66" w:rsidRPr="00C77A66">
        <w:rPr>
          <w:lang w:val="de-DE" w:eastAsia="ja-JP"/>
        </w:rPr>
        <w:t>rüfungen für Obstarten</w:t>
      </w:r>
      <w:r w:rsidR="009C76D2" w:rsidRPr="009C76D2">
        <w:rPr>
          <w:lang w:val="de-DE" w:eastAsia="ja-JP"/>
        </w:rPr>
        <w:t xml:space="preserve"> </w:t>
      </w:r>
      <w:r w:rsidR="009C76D2">
        <w:rPr>
          <w:lang w:val="de-DE" w:eastAsia="ja-JP"/>
        </w:rPr>
        <w:t>verwendet hatte</w:t>
      </w:r>
      <w:r w:rsidR="00C77A66">
        <w:rPr>
          <w:lang w:val="de-DE" w:eastAsia="ja-JP"/>
        </w:rPr>
        <w:t xml:space="preserve">. </w:t>
      </w:r>
      <w:r w:rsidR="00E16847">
        <w:rPr>
          <w:lang w:val="de-DE" w:eastAsia="ja-JP"/>
        </w:rPr>
        <w:t>Die TWF</w:t>
      </w:r>
      <w:r w:rsidRPr="001E3AC7">
        <w:rPr>
          <w:lang w:val="de-DE" w:eastAsia="ja-JP"/>
        </w:rPr>
        <w:t xml:space="preserve"> </w:t>
      </w:r>
      <w:r w:rsidR="00C77A66">
        <w:rPr>
          <w:lang w:val="de-DE" w:eastAsia="ja-JP"/>
        </w:rPr>
        <w:t>vereinbarte, daß</w:t>
      </w:r>
      <w:r w:rsidRPr="001E3AC7">
        <w:rPr>
          <w:lang w:val="de-DE" w:eastAsia="ja-JP"/>
        </w:rPr>
        <w:t xml:space="preserve"> </w:t>
      </w:r>
      <w:r w:rsidR="00C77A66" w:rsidRPr="00C77A66">
        <w:rPr>
          <w:lang w:val="de-DE" w:eastAsia="ja-JP"/>
        </w:rPr>
        <w:t xml:space="preserve">molekulare Marker </w:t>
      </w:r>
      <w:r w:rsidR="00C77A66">
        <w:rPr>
          <w:lang w:val="de-DE" w:eastAsia="ja-JP"/>
        </w:rPr>
        <w:t>auch</w:t>
      </w:r>
      <w:r w:rsidRPr="001E3AC7">
        <w:rPr>
          <w:lang w:val="de-DE" w:eastAsia="ja-JP"/>
        </w:rPr>
        <w:t xml:space="preserve"> </w:t>
      </w:r>
      <w:r w:rsidR="00C77A66" w:rsidRPr="00C77A66">
        <w:rPr>
          <w:lang w:val="de-DE" w:eastAsia="ja-JP"/>
        </w:rPr>
        <w:t xml:space="preserve">nützliche Informationen über </w:t>
      </w:r>
      <w:r w:rsidR="00C77A66">
        <w:rPr>
          <w:lang w:val="de-DE" w:eastAsia="ja-JP"/>
        </w:rPr>
        <w:t>Arten</w:t>
      </w:r>
      <w:r w:rsidR="009C76D2">
        <w:rPr>
          <w:lang w:val="de-DE" w:eastAsia="ja-JP"/>
        </w:rPr>
        <w:t xml:space="preserve"> bieten</w:t>
      </w:r>
      <w:r w:rsidR="00C77A66">
        <w:rPr>
          <w:lang w:val="de-DE" w:eastAsia="ja-JP"/>
        </w:rPr>
        <w:t xml:space="preserve">, </w:t>
      </w:r>
      <w:r w:rsidR="00151794">
        <w:rPr>
          <w:lang w:val="de-DE" w:eastAsia="ja-JP"/>
        </w:rPr>
        <w:t>für die</w:t>
      </w:r>
      <w:r w:rsidR="00C77A66">
        <w:rPr>
          <w:lang w:val="de-DE" w:eastAsia="ja-JP"/>
        </w:rPr>
        <w:t xml:space="preserve"> die Behörden</w:t>
      </w:r>
      <w:r w:rsidRPr="001E3AC7">
        <w:rPr>
          <w:lang w:val="de-DE" w:eastAsia="ja-JP"/>
        </w:rPr>
        <w:t xml:space="preserve"> </w:t>
      </w:r>
      <w:r w:rsidR="00DE64AE">
        <w:rPr>
          <w:lang w:val="de-DE" w:eastAsia="ja-JP"/>
        </w:rPr>
        <w:t>nicht über</w:t>
      </w:r>
      <w:r w:rsidR="00C77A66">
        <w:rPr>
          <w:lang w:val="de-DE" w:eastAsia="ja-JP"/>
        </w:rPr>
        <w:t xml:space="preserve"> S</w:t>
      </w:r>
      <w:r w:rsidRPr="001E3AC7">
        <w:rPr>
          <w:lang w:val="de-DE" w:eastAsia="ja-JP"/>
        </w:rPr>
        <w:t>tandard</w:t>
      </w:r>
      <w:r w:rsidR="00C77A66">
        <w:rPr>
          <w:lang w:val="de-DE" w:eastAsia="ja-JP"/>
        </w:rPr>
        <w:t>proben von</w:t>
      </w:r>
      <w:r w:rsidRPr="001E3AC7">
        <w:rPr>
          <w:lang w:val="de-DE" w:eastAsia="ja-JP"/>
        </w:rPr>
        <w:t xml:space="preserve"> </w:t>
      </w:r>
      <w:r w:rsidR="00C77A66">
        <w:rPr>
          <w:lang w:val="de-DE" w:eastAsia="ja-JP"/>
        </w:rPr>
        <w:t xml:space="preserve">Lebendmaterial </w:t>
      </w:r>
      <w:r w:rsidR="00DE64AE">
        <w:rPr>
          <w:lang w:val="de-DE" w:eastAsia="ja-JP"/>
        </w:rPr>
        <w:t>verfügen</w:t>
      </w:r>
      <w:r w:rsidRPr="001E3AC7">
        <w:rPr>
          <w:lang w:val="de-DE" w:eastAsia="ja-JP"/>
        </w:rPr>
        <w:t>.</w:t>
      </w:r>
    </w:p>
    <w:p w:rsidR="00E36299" w:rsidRPr="001E3AC7" w:rsidRDefault="00E36299" w:rsidP="00E36299">
      <w:pPr>
        <w:rPr>
          <w:lang w:val="de-DE" w:eastAsia="ja-JP"/>
        </w:rPr>
      </w:pPr>
    </w:p>
    <w:p w:rsidR="00E36299" w:rsidRPr="001E3AC7" w:rsidRDefault="00E36299" w:rsidP="00E36299">
      <w:pPr>
        <w:rPr>
          <w:lang w:val="de-DE" w:eastAsia="ja-JP"/>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Pr="001E3AC7">
        <w:rPr>
          <w:snapToGrid w:val="0"/>
          <w:lang w:val="de-DE"/>
        </w:rPr>
        <w:tab/>
      </w:r>
      <w:r w:rsidR="00E16847">
        <w:rPr>
          <w:lang w:val="de-DE" w:eastAsia="ja-JP"/>
        </w:rPr>
        <w:t>Die TWF</w:t>
      </w:r>
      <w:r w:rsidRPr="001E3AC7">
        <w:rPr>
          <w:lang w:val="de-DE" w:eastAsia="ja-JP"/>
        </w:rPr>
        <w:t xml:space="preserve"> </w:t>
      </w:r>
      <w:r w:rsidR="001E73EE">
        <w:rPr>
          <w:lang w:val="de-DE" w:eastAsia="ja-JP"/>
        </w:rPr>
        <w:t xml:space="preserve">nahm </w:t>
      </w:r>
      <w:r w:rsidR="00E16847">
        <w:rPr>
          <w:lang w:val="de-DE" w:eastAsia="ja-JP"/>
        </w:rPr>
        <w:t xml:space="preserve">zur Kenntnis, daß </w:t>
      </w:r>
      <w:r w:rsidRPr="001E3AC7">
        <w:rPr>
          <w:lang w:val="de-DE" w:eastAsia="ja-JP"/>
        </w:rPr>
        <w:t xml:space="preserve">in </w:t>
      </w:r>
      <w:r w:rsidR="00E16847">
        <w:rPr>
          <w:lang w:val="de-DE" w:eastAsia="ja-JP"/>
        </w:rPr>
        <w:t>vielen</w:t>
      </w:r>
      <w:r w:rsidR="00560113" w:rsidRPr="001E3AC7">
        <w:rPr>
          <w:lang w:val="de-DE" w:eastAsia="ja-JP"/>
        </w:rPr>
        <w:t xml:space="preserve"> </w:t>
      </w:r>
      <w:r w:rsidR="00E16847">
        <w:rPr>
          <w:lang w:val="de-DE" w:eastAsia="ja-JP"/>
        </w:rPr>
        <w:t>UPOV-Mitglieder</w:t>
      </w:r>
      <w:r w:rsidR="00C77A66">
        <w:rPr>
          <w:lang w:val="de-DE" w:eastAsia="ja-JP"/>
        </w:rPr>
        <w:t>n</w:t>
      </w:r>
      <w:r w:rsidRPr="001E3AC7">
        <w:rPr>
          <w:lang w:val="de-DE" w:eastAsia="ja-JP"/>
        </w:rPr>
        <w:t xml:space="preserve"> </w:t>
      </w:r>
      <w:r w:rsidR="00C77A66">
        <w:rPr>
          <w:lang w:val="de-DE" w:eastAsia="ja-JP"/>
        </w:rPr>
        <w:t>Züchter</w:t>
      </w:r>
      <w:r w:rsidRPr="001E3AC7">
        <w:rPr>
          <w:lang w:val="de-DE" w:eastAsia="ja-JP"/>
        </w:rPr>
        <w:t xml:space="preserve"> </w:t>
      </w:r>
      <w:r w:rsidR="00C77A66">
        <w:rPr>
          <w:lang w:val="de-DE" w:eastAsia="ja-JP"/>
        </w:rPr>
        <w:t>Behörden ersuchen würden,</w:t>
      </w:r>
      <w:r w:rsidR="00E20A84">
        <w:rPr>
          <w:lang w:val="de-DE" w:eastAsia="ja-JP"/>
        </w:rPr>
        <w:t xml:space="preserve"> </w:t>
      </w:r>
      <w:r w:rsidR="00151794">
        <w:rPr>
          <w:lang w:val="de-DE" w:eastAsia="ja-JP"/>
        </w:rPr>
        <w:t xml:space="preserve">molekulare Markerinformationen </w:t>
      </w:r>
      <w:r w:rsidR="00C77A66">
        <w:rPr>
          <w:lang w:val="de-DE" w:eastAsia="ja-JP"/>
        </w:rPr>
        <w:t>mit Anträge</w:t>
      </w:r>
      <w:r w:rsidR="009C76D2">
        <w:rPr>
          <w:lang w:val="de-DE" w:eastAsia="ja-JP"/>
        </w:rPr>
        <w:t>n</w:t>
      </w:r>
      <w:r w:rsidR="00C77A66">
        <w:rPr>
          <w:lang w:val="de-DE" w:eastAsia="ja-JP"/>
        </w:rPr>
        <w:t xml:space="preserve"> auf Erteilung von Züchterrechten</w:t>
      </w:r>
      <w:r w:rsidR="009C76D2" w:rsidRPr="009C76D2">
        <w:rPr>
          <w:lang w:val="de-DE" w:eastAsia="ja-JP"/>
        </w:rPr>
        <w:t xml:space="preserve"> </w:t>
      </w:r>
      <w:r w:rsidR="009C76D2">
        <w:rPr>
          <w:lang w:val="de-DE" w:eastAsia="ja-JP"/>
        </w:rPr>
        <w:t>zu akzeptieren</w:t>
      </w:r>
      <w:r w:rsidRPr="001E3AC7">
        <w:rPr>
          <w:lang w:val="de-DE" w:eastAsia="ja-JP"/>
        </w:rPr>
        <w:t xml:space="preserve">. </w:t>
      </w:r>
      <w:r w:rsidR="00E16847">
        <w:rPr>
          <w:lang w:val="de-DE" w:eastAsia="ja-JP"/>
        </w:rPr>
        <w:t>Die TWF</w:t>
      </w:r>
      <w:r w:rsidRPr="001E3AC7">
        <w:rPr>
          <w:lang w:val="de-DE" w:eastAsia="ja-JP"/>
        </w:rPr>
        <w:t xml:space="preserve"> </w:t>
      </w:r>
      <w:r w:rsidR="001E73EE">
        <w:rPr>
          <w:lang w:val="de-DE" w:eastAsia="ja-JP"/>
        </w:rPr>
        <w:t xml:space="preserve">nahm </w:t>
      </w:r>
      <w:r w:rsidR="00E16847">
        <w:rPr>
          <w:lang w:val="de-DE" w:eastAsia="ja-JP"/>
        </w:rPr>
        <w:t xml:space="preserve">zur Kenntnis, daß </w:t>
      </w:r>
      <w:r w:rsidR="00C77A66">
        <w:rPr>
          <w:lang w:val="de-DE" w:eastAsia="ja-JP"/>
        </w:rPr>
        <w:t>Behörden</w:t>
      </w:r>
      <w:r w:rsidRPr="001E3AC7">
        <w:rPr>
          <w:lang w:val="de-DE" w:eastAsia="ja-JP"/>
        </w:rPr>
        <w:t xml:space="preserve"> </w:t>
      </w:r>
      <w:r w:rsidR="00C77A66">
        <w:rPr>
          <w:lang w:val="de-DE" w:eastAsia="ja-JP"/>
        </w:rPr>
        <w:t>mit dem Antrag auf Ertei</w:t>
      </w:r>
      <w:r w:rsidR="009C76D2">
        <w:rPr>
          <w:lang w:val="de-DE" w:eastAsia="ja-JP"/>
        </w:rPr>
        <w:t xml:space="preserve">lung von Züchterrechten </w:t>
      </w:r>
      <w:r w:rsidR="00E20A84">
        <w:rPr>
          <w:lang w:val="de-DE" w:eastAsia="ja-JP"/>
        </w:rPr>
        <w:t xml:space="preserve">keine </w:t>
      </w:r>
      <w:r w:rsidR="00151794">
        <w:rPr>
          <w:lang w:val="de-DE" w:eastAsia="ja-JP"/>
        </w:rPr>
        <w:t xml:space="preserve">molekulare Markerinformationen </w:t>
      </w:r>
      <w:r w:rsidR="009C76D2">
        <w:rPr>
          <w:lang w:val="de-DE" w:eastAsia="ja-JP"/>
        </w:rPr>
        <w:t>verlang</w:t>
      </w:r>
      <w:r w:rsidR="00C77A66">
        <w:rPr>
          <w:lang w:val="de-DE" w:eastAsia="ja-JP"/>
        </w:rPr>
        <w:t xml:space="preserve">en, </w:t>
      </w:r>
      <w:r w:rsidR="009C76D2">
        <w:rPr>
          <w:lang w:val="de-DE" w:eastAsia="ja-JP"/>
        </w:rPr>
        <w:t>wobei</w:t>
      </w:r>
      <w:r w:rsidR="00C77A66">
        <w:rPr>
          <w:lang w:val="de-DE" w:eastAsia="ja-JP"/>
        </w:rPr>
        <w:t xml:space="preserve"> einige Behörden</w:t>
      </w:r>
      <w:r w:rsidRPr="001E3AC7">
        <w:rPr>
          <w:lang w:val="de-DE" w:eastAsia="ja-JP"/>
        </w:rPr>
        <w:t xml:space="preserve"> </w:t>
      </w:r>
      <w:r w:rsidR="00C77A66">
        <w:rPr>
          <w:lang w:val="de-DE" w:eastAsia="ja-JP"/>
        </w:rPr>
        <w:t>diese</w:t>
      </w:r>
      <w:r w:rsidR="009C76D2">
        <w:rPr>
          <w:lang w:val="de-DE" w:eastAsia="ja-JP"/>
        </w:rPr>
        <w:t xml:space="preserve"> jedoch</w:t>
      </w:r>
      <w:r w:rsidR="00C77A66">
        <w:rPr>
          <w:lang w:val="de-DE" w:eastAsia="ja-JP"/>
        </w:rPr>
        <w:t xml:space="preserve"> als zusätzliche Informationen akzeptieren</w:t>
      </w:r>
      <w:r w:rsidRPr="001E3AC7">
        <w:rPr>
          <w:lang w:val="de-DE" w:eastAsia="ja-JP"/>
        </w:rPr>
        <w:t xml:space="preserve">. </w:t>
      </w:r>
      <w:r w:rsidR="00E16847">
        <w:rPr>
          <w:lang w:val="de-DE" w:eastAsia="ja-JP"/>
        </w:rPr>
        <w:t>Die TWF</w:t>
      </w:r>
      <w:r w:rsidR="009C76D2">
        <w:rPr>
          <w:lang w:val="de-DE" w:eastAsia="ja-JP"/>
        </w:rPr>
        <w:t xml:space="preserve"> nahm </w:t>
      </w:r>
      <w:r w:rsidR="00E277E0">
        <w:rPr>
          <w:lang w:val="de-DE" w:eastAsia="ja-JP"/>
        </w:rPr>
        <w:t>die von einigen Mitgliedern</w:t>
      </w:r>
      <w:r w:rsidRPr="001E3AC7">
        <w:rPr>
          <w:lang w:val="de-DE" w:eastAsia="ja-JP"/>
        </w:rPr>
        <w:t xml:space="preserve"> </w:t>
      </w:r>
      <w:r w:rsidR="00E277E0">
        <w:rPr>
          <w:lang w:val="de-DE" w:eastAsia="ja-JP"/>
        </w:rPr>
        <w:t xml:space="preserve">ausgedrückten Bedenken hinsichtlich </w:t>
      </w:r>
      <w:r w:rsidR="00E20A84">
        <w:rPr>
          <w:lang w:val="de-DE" w:eastAsia="ja-JP"/>
        </w:rPr>
        <w:t>Aspekten</w:t>
      </w:r>
      <w:r w:rsidRPr="001E3AC7">
        <w:rPr>
          <w:lang w:val="de-DE" w:eastAsia="ja-JP"/>
        </w:rPr>
        <w:t xml:space="preserve"> </w:t>
      </w:r>
      <w:r w:rsidR="00E277E0">
        <w:rPr>
          <w:lang w:val="de-DE" w:eastAsia="ja-JP"/>
        </w:rPr>
        <w:t xml:space="preserve">der </w:t>
      </w:r>
      <w:r w:rsidR="00E277E0" w:rsidRPr="00E277E0">
        <w:rPr>
          <w:lang w:val="de-DE" w:eastAsia="ja-JP"/>
        </w:rPr>
        <w:t>Vertraulichkeit der</w:t>
      </w:r>
      <w:r w:rsidR="00E20A84">
        <w:rPr>
          <w:lang w:val="de-DE" w:eastAsia="ja-JP"/>
        </w:rPr>
        <w:t xml:space="preserve"> </w:t>
      </w:r>
      <w:r w:rsidR="00151794">
        <w:rPr>
          <w:lang w:val="de-DE" w:eastAsia="ja-JP"/>
        </w:rPr>
        <w:t>molekularen Markerinformationen sowie</w:t>
      </w:r>
      <w:r w:rsidR="00E277E0">
        <w:rPr>
          <w:lang w:val="de-DE" w:eastAsia="ja-JP"/>
        </w:rPr>
        <w:t xml:space="preserve"> </w:t>
      </w:r>
      <w:r w:rsidR="00E20A84">
        <w:rPr>
          <w:lang w:val="de-DE" w:eastAsia="ja-JP"/>
        </w:rPr>
        <w:t xml:space="preserve">der Frage, </w:t>
      </w:r>
      <w:r w:rsidR="00E277E0">
        <w:rPr>
          <w:lang w:val="de-DE" w:eastAsia="ja-JP"/>
        </w:rPr>
        <w:t>ob diese I</w:t>
      </w:r>
      <w:r w:rsidRPr="001E3AC7">
        <w:rPr>
          <w:lang w:val="de-DE" w:eastAsia="ja-JP"/>
        </w:rPr>
        <w:t>nformation</w:t>
      </w:r>
      <w:r w:rsidR="00E277E0">
        <w:rPr>
          <w:lang w:val="de-DE" w:eastAsia="ja-JP"/>
        </w:rPr>
        <w:t>en</w:t>
      </w:r>
      <w:r w:rsidRPr="001E3AC7">
        <w:rPr>
          <w:lang w:val="de-DE" w:eastAsia="ja-JP"/>
        </w:rPr>
        <w:t xml:space="preserve"> </w:t>
      </w:r>
      <w:r w:rsidR="00E277E0" w:rsidRPr="00E277E0">
        <w:rPr>
          <w:lang w:val="de-DE" w:eastAsia="ja-JP"/>
        </w:rPr>
        <w:t xml:space="preserve">der Öffentlichkeit </w:t>
      </w:r>
      <w:r w:rsidR="009C76D2">
        <w:rPr>
          <w:lang w:val="de-DE" w:eastAsia="ja-JP"/>
        </w:rPr>
        <w:t>zugänglich</w:t>
      </w:r>
      <w:r w:rsidR="00E277E0" w:rsidRPr="00E277E0">
        <w:rPr>
          <w:lang w:val="de-DE" w:eastAsia="ja-JP"/>
        </w:rPr>
        <w:t xml:space="preserve"> gemacht werden sollten</w:t>
      </w:r>
      <w:r w:rsidR="009C76D2">
        <w:rPr>
          <w:lang w:val="de-DE" w:eastAsia="ja-JP"/>
        </w:rPr>
        <w:t>, zur Kenntnis.</w:t>
      </w:r>
    </w:p>
    <w:p w:rsidR="00560113" w:rsidRPr="001E3AC7" w:rsidRDefault="00560113" w:rsidP="00E36299">
      <w:pPr>
        <w:rPr>
          <w:lang w:val="de-DE" w:eastAsia="ja-JP"/>
        </w:rPr>
      </w:pPr>
    </w:p>
    <w:p w:rsidR="00E36299" w:rsidRPr="001E3AC7" w:rsidRDefault="00E36299" w:rsidP="009A5CC2">
      <w:pPr>
        <w:rPr>
          <w:lang w:val="de-DE" w:eastAsia="ja-JP"/>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Pr="001E3AC7">
        <w:rPr>
          <w:snapToGrid w:val="0"/>
          <w:lang w:val="de-DE"/>
        </w:rPr>
        <w:tab/>
      </w:r>
      <w:r w:rsidR="005508EE">
        <w:rPr>
          <w:snapToGrid w:val="0"/>
          <w:lang w:val="de-DE"/>
        </w:rPr>
        <w:t xml:space="preserve">Die </w:t>
      </w:r>
      <w:r w:rsidRPr="001E3AC7">
        <w:rPr>
          <w:lang w:val="de-DE" w:eastAsia="ja-JP"/>
        </w:rPr>
        <w:t>TWO</w:t>
      </w:r>
      <w:r w:rsidR="005508EE">
        <w:rPr>
          <w:lang w:val="de-DE" w:eastAsia="ja-JP"/>
        </w:rPr>
        <w:t xml:space="preserve"> </w:t>
      </w:r>
      <w:r w:rsidR="009C76D2">
        <w:rPr>
          <w:lang w:val="de-DE" w:eastAsia="ja-JP"/>
        </w:rPr>
        <w:t xml:space="preserve">nahm </w:t>
      </w:r>
      <w:r w:rsidR="005508EE">
        <w:rPr>
          <w:lang w:val="de-DE" w:eastAsia="ja-JP"/>
        </w:rPr>
        <w:t>auf ihrer achtundvierzigsten Tagung vom 14. bis 18. September 2015 in Cambridge, Vereinigtes Königreich</w:t>
      </w:r>
      <w:r w:rsidR="00967457" w:rsidRPr="001E3AC7">
        <w:rPr>
          <w:lang w:val="de-DE" w:eastAsia="ja-JP"/>
        </w:rPr>
        <w:t>,</w:t>
      </w:r>
      <w:r w:rsidR="005508EE">
        <w:rPr>
          <w:lang w:val="de-DE" w:eastAsia="ja-JP"/>
        </w:rPr>
        <w:t xml:space="preserve"> </w:t>
      </w:r>
      <w:r w:rsidR="00E16847">
        <w:rPr>
          <w:lang w:val="de-DE" w:eastAsia="ja-JP"/>
        </w:rPr>
        <w:t xml:space="preserve">zur Kenntnis, daß </w:t>
      </w:r>
      <w:r w:rsidR="005508EE">
        <w:rPr>
          <w:lang w:val="de-DE" w:eastAsia="ja-JP"/>
        </w:rPr>
        <w:t>einige</w:t>
      </w:r>
      <w:r w:rsidRPr="001E3AC7">
        <w:rPr>
          <w:lang w:val="de-DE" w:eastAsia="ja-JP"/>
        </w:rPr>
        <w:t xml:space="preserve"> </w:t>
      </w:r>
      <w:r w:rsidR="00C77A66">
        <w:rPr>
          <w:lang w:val="de-DE" w:eastAsia="ja-JP"/>
        </w:rPr>
        <w:t>Züchter</w:t>
      </w:r>
      <w:r w:rsidRPr="001E3AC7">
        <w:rPr>
          <w:lang w:val="de-DE" w:eastAsia="ja-JP"/>
        </w:rPr>
        <w:t xml:space="preserve"> </w:t>
      </w:r>
      <w:r w:rsidR="00151794">
        <w:rPr>
          <w:lang w:val="de-DE" w:eastAsia="ja-JP"/>
        </w:rPr>
        <w:t>m</w:t>
      </w:r>
      <w:r w:rsidR="00E20A84">
        <w:rPr>
          <w:lang w:val="de-DE" w:eastAsia="ja-JP"/>
        </w:rPr>
        <w:t xml:space="preserve">it ihren Anträgen auf Erteilung von Züchterrechten </w:t>
      </w:r>
      <w:r w:rsidR="00151794">
        <w:rPr>
          <w:lang w:val="de-DE" w:eastAsia="ja-JP"/>
        </w:rPr>
        <w:t xml:space="preserve">molekulare Markerinformationen </w:t>
      </w:r>
      <w:r w:rsidR="005508EE">
        <w:rPr>
          <w:lang w:val="de-DE" w:eastAsia="ja-JP"/>
        </w:rPr>
        <w:t>erteilen würden,</w:t>
      </w:r>
      <w:r w:rsidR="004D1C2F">
        <w:rPr>
          <w:lang w:val="de-DE" w:eastAsia="ja-JP"/>
        </w:rPr>
        <w:t xml:space="preserve"> und </w:t>
      </w:r>
      <w:r w:rsidR="00C77A66">
        <w:rPr>
          <w:lang w:val="de-DE" w:eastAsia="ja-JP"/>
        </w:rPr>
        <w:t>vereinbarte, daß</w:t>
      </w:r>
      <w:r w:rsidR="00E20A84">
        <w:rPr>
          <w:lang w:val="de-DE" w:eastAsia="ja-JP"/>
        </w:rPr>
        <w:t xml:space="preserve"> diese</w:t>
      </w:r>
      <w:r w:rsidR="005508EE">
        <w:rPr>
          <w:lang w:val="de-DE" w:eastAsia="ja-JP"/>
        </w:rPr>
        <w:t xml:space="preserve">, </w:t>
      </w:r>
      <w:r w:rsidR="00BE0142">
        <w:rPr>
          <w:lang w:val="de-DE" w:eastAsia="ja-JP"/>
        </w:rPr>
        <w:t>außer, wenn</w:t>
      </w:r>
      <w:r w:rsidR="005508EE">
        <w:rPr>
          <w:lang w:val="de-DE" w:eastAsia="ja-JP"/>
        </w:rPr>
        <w:t xml:space="preserve"> die I</w:t>
      </w:r>
      <w:r w:rsidRPr="001E3AC7">
        <w:rPr>
          <w:lang w:val="de-DE" w:eastAsia="ja-JP"/>
        </w:rPr>
        <w:t>nformation</w:t>
      </w:r>
      <w:r w:rsidR="00BE0142">
        <w:rPr>
          <w:lang w:val="de-DE" w:eastAsia="ja-JP"/>
        </w:rPr>
        <w:t>en</w:t>
      </w:r>
      <w:r w:rsidRPr="001E3AC7">
        <w:rPr>
          <w:lang w:val="de-DE" w:eastAsia="ja-JP"/>
        </w:rPr>
        <w:t xml:space="preserve"> </w:t>
      </w:r>
      <w:r w:rsidR="005508EE">
        <w:rPr>
          <w:lang w:val="de-DE" w:eastAsia="ja-JP"/>
        </w:rPr>
        <w:t xml:space="preserve">von den </w:t>
      </w:r>
      <w:r w:rsidR="00C77A66">
        <w:rPr>
          <w:lang w:val="de-DE" w:eastAsia="ja-JP"/>
        </w:rPr>
        <w:t>Behörden</w:t>
      </w:r>
      <w:r w:rsidR="00BE0142" w:rsidRPr="00BE0142">
        <w:rPr>
          <w:lang w:val="de-DE" w:eastAsia="ja-JP"/>
        </w:rPr>
        <w:t xml:space="preserve"> </w:t>
      </w:r>
      <w:r w:rsidR="00BE0142">
        <w:rPr>
          <w:lang w:val="de-DE" w:eastAsia="ja-JP"/>
        </w:rPr>
        <w:t>überprüft</w:t>
      </w:r>
      <w:r w:rsidR="00E20A84">
        <w:rPr>
          <w:lang w:val="de-DE" w:eastAsia="ja-JP"/>
        </w:rPr>
        <w:t xml:space="preserve"> </w:t>
      </w:r>
      <w:r w:rsidR="00BE0142">
        <w:rPr>
          <w:lang w:val="de-DE" w:eastAsia="ja-JP"/>
        </w:rPr>
        <w:t>würden</w:t>
      </w:r>
      <w:r w:rsidR="005508EE">
        <w:rPr>
          <w:lang w:val="de-DE" w:eastAsia="ja-JP"/>
        </w:rPr>
        <w:t>, keine nachgewiesene Verbindung zu dem</w:t>
      </w:r>
      <w:r w:rsidRPr="001E3AC7">
        <w:rPr>
          <w:lang w:val="de-DE" w:eastAsia="ja-JP"/>
        </w:rPr>
        <w:t xml:space="preserve"> </w:t>
      </w:r>
      <w:r w:rsidR="005508EE">
        <w:rPr>
          <w:lang w:val="de-DE" w:eastAsia="ja-JP"/>
        </w:rPr>
        <w:t xml:space="preserve">bei der </w:t>
      </w:r>
      <w:r w:rsidRPr="001E3AC7">
        <w:rPr>
          <w:lang w:val="de-DE" w:eastAsia="ja-JP"/>
        </w:rPr>
        <w:t>DUS</w:t>
      </w:r>
      <w:r w:rsidR="005508EE">
        <w:rPr>
          <w:lang w:val="de-DE" w:eastAsia="ja-JP"/>
        </w:rPr>
        <w:t>-Prüfung verwendete</w:t>
      </w:r>
      <w:r w:rsidR="00BE0142">
        <w:rPr>
          <w:lang w:val="de-DE" w:eastAsia="ja-JP"/>
        </w:rPr>
        <w:t>n</w:t>
      </w:r>
      <w:r w:rsidR="00E84836" w:rsidRPr="001E3AC7">
        <w:rPr>
          <w:lang w:val="de-DE" w:eastAsia="ja-JP"/>
        </w:rPr>
        <w:t xml:space="preserve"> </w:t>
      </w:r>
      <w:r w:rsidR="00BE0142">
        <w:rPr>
          <w:lang w:val="de-DE" w:eastAsia="ja-JP"/>
        </w:rPr>
        <w:t>M</w:t>
      </w:r>
      <w:r w:rsidR="00BE0142" w:rsidRPr="001E3AC7">
        <w:rPr>
          <w:lang w:val="de-DE" w:eastAsia="ja-JP"/>
        </w:rPr>
        <w:t xml:space="preserve">aterial </w:t>
      </w:r>
      <w:r w:rsidR="00BE0142">
        <w:rPr>
          <w:lang w:val="de-DE" w:eastAsia="ja-JP"/>
        </w:rPr>
        <w:t xml:space="preserve">hätten </w:t>
      </w:r>
      <w:r w:rsidR="000D3F83" w:rsidRPr="001E3AC7">
        <w:rPr>
          <w:snapToGrid w:val="0"/>
          <w:lang w:val="de-DE"/>
        </w:rPr>
        <w:t>(vergleiche</w:t>
      </w:r>
      <w:r w:rsidR="00E84836" w:rsidRPr="001E3AC7">
        <w:rPr>
          <w:snapToGrid w:val="0"/>
          <w:lang w:val="de-DE"/>
        </w:rPr>
        <w:t xml:space="preserve"> </w:t>
      </w:r>
      <w:r w:rsidR="000D3F83" w:rsidRPr="001E3AC7">
        <w:rPr>
          <w:snapToGrid w:val="0"/>
          <w:lang w:val="de-DE"/>
        </w:rPr>
        <w:t>Dokument</w:t>
      </w:r>
      <w:r w:rsidR="00E84836" w:rsidRPr="001E3AC7">
        <w:rPr>
          <w:rFonts w:cs="Arial"/>
          <w:shd w:val="clear" w:color="auto" w:fill="FFFFFF"/>
          <w:lang w:val="de-DE" w:eastAsia="ja-JP"/>
        </w:rPr>
        <w:t xml:space="preserve"> TWO/48/26</w:t>
      </w:r>
      <w:r w:rsidR="00161F46" w:rsidRPr="001E3AC7">
        <w:rPr>
          <w:rFonts w:cs="Arial"/>
          <w:shd w:val="clear" w:color="auto" w:fill="FFFFFF"/>
          <w:lang w:val="de-DE" w:eastAsia="ja-JP"/>
        </w:rPr>
        <w:t xml:space="preserve"> </w:t>
      </w:r>
      <w:r w:rsidR="005508EE">
        <w:rPr>
          <w:rFonts w:cs="Arial"/>
          <w:shd w:val="clear" w:color="auto" w:fill="FFFFFF"/>
          <w:lang w:val="de-DE" w:eastAsia="ja-JP"/>
        </w:rPr>
        <w:t>„</w:t>
      </w:r>
      <w:r w:rsidR="007412D9" w:rsidRPr="007412D9">
        <w:rPr>
          <w:rFonts w:cs="Arial"/>
          <w:i/>
          <w:shd w:val="clear" w:color="auto" w:fill="FFFFFF"/>
          <w:lang w:val="de-DE" w:eastAsia="ja-JP"/>
        </w:rPr>
        <w:t>Report</w:t>
      </w:r>
      <w:r w:rsidR="005508EE">
        <w:rPr>
          <w:rFonts w:cs="Arial"/>
          <w:shd w:val="clear" w:color="auto" w:fill="FFFFFF"/>
          <w:lang w:val="de-DE" w:eastAsia="ja-JP"/>
        </w:rPr>
        <w:t>“</w:t>
      </w:r>
      <w:r w:rsidR="00E84836" w:rsidRPr="001E3AC7">
        <w:rPr>
          <w:rFonts w:cs="Arial"/>
          <w:shd w:val="clear" w:color="auto" w:fill="FFFFFF"/>
          <w:lang w:val="de-DE" w:eastAsia="ja-JP"/>
        </w:rPr>
        <w:t xml:space="preserve">, </w:t>
      </w:r>
      <w:r w:rsidR="000D3F83" w:rsidRPr="001E3AC7">
        <w:rPr>
          <w:rFonts w:cs="Arial"/>
          <w:shd w:val="clear" w:color="auto" w:fill="FFFFFF"/>
          <w:lang w:val="de-DE" w:eastAsia="ja-JP"/>
        </w:rPr>
        <w:t>Absatz</w:t>
      </w:r>
      <w:r w:rsidR="00560113" w:rsidRPr="001E3AC7">
        <w:rPr>
          <w:rFonts w:cs="Arial"/>
          <w:shd w:val="clear" w:color="auto" w:fill="FFFFFF"/>
          <w:lang w:val="de-DE" w:eastAsia="ja-JP"/>
        </w:rPr>
        <w:t> </w:t>
      </w:r>
      <w:r w:rsidR="00E84836" w:rsidRPr="001E3AC7">
        <w:rPr>
          <w:rFonts w:cs="Arial"/>
          <w:shd w:val="clear" w:color="auto" w:fill="FFFFFF"/>
          <w:lang w:val="de-DE" w:eastAsia="ja-JP"/>
        </w:rPr>
        <w:t>81)</w:t>
      </w:r>
      <w:r w:rsidRPr="001E3AC7">
        <w:rPr>
          <w:lang w:val="de-DE" w:eastAsia="ja-JP"/>
        </w:rPr>
        <w:t xml:space="preserve">.  </w:t>
      </w:r>
    </w:p>
    <w:p w:rsidR="00E36299" w:rsidRPr="001E3AC7" w:rsidRDefault="00E36299" w:rsidP="009A5CC2">
      <w:pPr>
        <w:rPr>
          <w:lang w:val="de-DE" w:eastAsia="ja-JP"/>
        </w:rPr>
      </w:pPr>
    </w:p>
    <w:p w:rsidR="00D02762" w:rsidRPr="001E3AC7" w:rsidRDefault="00D02762" w:rsidP="009A5CC2">
      <w:pPr>
        <w:rPr>
          <w:lang w:val="de-DE" w:eastAsia="ja-JP"/>
        </w:rPr>
      </w:pPr>
    </w:p>
    <w:p w:rsidR="009D4F14" w:rsidRPr="001E3AC7" w:rsidRDefault="00A67AC6" w:rsidP="008D6750">
      <w:pPr>
        <w:pStyle w:val="Heading1"/>
        <w:rPr>
          <w:lang w:val="de-DE"/>
        </w:rPr>
      </w:pPr>
      <w:bookmarkStart w:id="12" w:name="_Toc444612391"/>
      <w:r>
        <w:rPr>
          <w:lang w:val="de-DE"/>
        </w:rPr>
        <w:t>Arbeitsgruppe für biochemische und molekulare Verfahren und insbesondere für DNS-Profilierungsverfahren</w:t>
      </w:r>
      <w:bookmarkEnd w:id="12"/>
    </w:p>
    <w:p w:rsidR="00041D2D" w:rsidRPr="001E3AC7" w:rsidRDefault="00041D2D" w:rsidP="00233C64">
      <w:pPr>
        <w:rPr>
          <w:lang w:val="de-DE" w:eastAsia="ja-JP"/>
        </w:rPr>
      </w:pPr>
    </w:p>
    <w:p w:rsidR="008D6750" w:rsidRPr="001E3AC7" w:rsidRDefault="008D6750" w:rsidP="008D6750">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E0142">
        <w:rPr>
          <w:lang w:val="de-DE"/>
        </w:rPr>
        <w:t xml:space="preserve">Die Funktion </w:t>
      </w:r>
      <w:r w:rsidR="00A67AC6" w:rsidRPr="00A67AC6">
        <w:rPr>
          <w:lang w:val="de-DE"/>
        </w:rPr>
        <w:t>der BMT ist in</w:t>
      </w:r>
      <w:r w:rsidR="00BE0142">
        <w:rPr>
          <w:lang w:val="de-DE"/>
        </w:rPr>
        <w:t xml:space="preserve"> der </w:t>
      </w:r>
      <w:r w:rsidR="00A67AC6" w:rsidRPr="00A67AC6">
        <w:rPr>
          <w:lang w:val="de-DE"/>
        </w:rPr>
        <w:t>Anlage dieses Dokuments wiedergegeben</w:t>
      </w:r>
      <w:r w:rsidRPr="001E3AC7">
        <w:rPr>
          <w:lang w:val="de-DE"/>
        </w:rPr>
        <w:t>.</w:t>
      </w:r>
    </w:p>
    <w:p w:rsidR="00DD6FBE" w:rsidRPr="001E3AC7" w:rsidRDefault="00DD6FBE" w:rsidP="00233C64">
      <w:pPr>
        <w:rPr>
          <w:lang w:val="de-DE" w:eastAsia="ja-JP"/>
        </w:rPr>
      </w:pPr>
    </w:p>
    <w:p w:rsidR="002D64DE" w:rsidRPr="001E3AC7" w:rsidRDefault="002D64DE" w:rsidP="002D64DE">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0D3F83" w:rsidRPr="001E3AC7">
        <w:rPr>
          <w:rFonts w:cs="Arial"/>
          <w:lang w:val="de-DE"/>
        </w:rPr>
        <w:t xml:space="preserve">Die BMT nahm </w:t>
      </w:r>
      <w:r w:rsidR="00BE0142">
        <w:rPr>
          <w:lang w:val="de-DE" w:eastAsia="ja-JP"/>
        </w:rPr>
        <w:t>auf ihrer vierzehnten Tagung vom 10. bis 13. November 2014 in Seoul, Republik Korea</w:t>
      </w:r>
      <w:r w:rsidR="00151794">
        <w:rPr>
          <w:lang w:val="de-DE" w:eastAsia="ja-JP"/>
        </w:rPr>
        <w:t>,</w:t>
      </w:r>
      <w:r w:rsidR="00BE0142" w:rsidRPr="001E3AC7">
        <w:rPr>
          <w:rFonts w:cs="Arial"/>
          <w:lang w:val="de-DE"/>
        </w:rPr>
        <w:t xml:space="preserve"> </w:t>
      </w:r>
      <w:r w:rsidR="000D3F83" w:rsidRPr="001E3AC7">
        <w:rPr>
          <w:rFonts w:cs="Arial"/>
          <w:lang w:val="de-DE"/>
        </w:rPr>
        <w:t xml:space="preserve">eine Einladung der Russischen Föderation zur Abhaltung ihrer fünfzehnten Tagung im Mai 2016 in Moskau mit </w:t>
      </w:r>
      <w:r w:rsidR="00E20A84">
        <w:rPr>
          <w:lang w:val="de-DE" w:eastAsia="ja-JP"/>
        </w:rPr>
        <w:t xml:space="preserve">einer vorbereitenden Arbeitstagung </w:t>
      </w:r>
      <w:r w:rsidR="000D3F83" w:rsidRPr="001E3AC7">
        <w:rPr>
          <w:rFonts w:cs="Arial"/>
          <w:lang w:val="de-DE"/>
        </w:rPr>
        <w:t>im Mai 2016 an</w:t>
      </w:r>
      <w:r w:rsidRPr="001E3AC7">
        <w:rPr>
          <w:lang w:val="de-DE" w:eastAsia="ja-JP"/>
        </w:rPr>
        <w:t xml:space="preserve">. </w:t>
      </w:r>
      <w:r w:rsidR="000D3F83" w:rsidRPr="001E3AC7">
        <w:rPr>
          <w:rFonts w:cs="Arial"/>
          <w:lang w:val="de-DE"/>
        </w:rPr>
        <w:t>Die BMT sah vor, folgende Punkte zu behandeln</w:t>
      </w:r>
      <w:r w:rsidRPr="001E3AC7">
        <w:rPr>
          <w:lang w:val="de-DE" w:eastAsia="ja-JP"/>
        </w:rPr>
        <w:t>:</w:t>
      </w:r>
    </w:p>
    <w:p w:rsidR="002D64DE" w:rsidRPr="001E3AC7" w:rsidRDefault="002D64DE" w:rsidP="002D64DE">
      <w:pPr>
        <w:ind w:left="540" w:right="369"/>
        <w:rPr>
          <w:lang w:val="de-DE" w:eastAsia="ja-JP"/>
        </w:rPr>
      </w:pPr>
    </w:p>
    <w:p w:rsidR="000D3F83" w:rsidRPr="001E3AC7" w:rsidRDefault="002D64DE" w:rsidP="000D3F83">
      <w:pPr>
        <w:pStyle w:val="BodyTextIndent"/>
        <w:spacing w:after="0"/>
        <w:ind w:left="567"/>
        <w:contextualSpacing/>
        <w:jc w:val="left"/>
        <w:rPr>
          <w:rFonts w:cs="Arial"/>
          <w:lang w:val="de-DE"/>
        </w:rPr>
      </w:pPr>
      <w:r w:rsidRPr="001E3AC7">
        <w:rPr>
          <w:lang w:val="de-DE" w:eastAsia="ja-JP"/>
        </w:rPr>
        <w:t>1.</w:t>
      </w:r>
      <w:r w:rsidRPr="001E3AC7">
        <w:rPr>
          <w:lang w:val="de-DE" w:eastAsia="ja-JP"/>
        </w:rPr>
        <w:tab/>
      </w:r>
      <w:r w:rsidR="000D3F83" w:rsidRPr="001E3AC7">
        <w:rPr>
          <w:rFonts w:cs="Arial"/>
          <w:lang w:val="de-DE"/>
        </w:rPr>
        <w:t>Eröffnung der Tagung</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 xml:space="preserve">2. </w:t>
      </w:r>
      <w:r w:rsidRPr="001E3AC7">
        <w:rPr>
          <w:rFonts w:cs="Arial"/>
          <w:lang w:val="de-DE"/>
        </w:rPr>
        <w:tab/>
        <w:t>Annahme der Tagesordnung</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 xml:space="preserve">3. </w:t>
      </w:r>
      <w:r w:rsidRPr="001E3AC7">
        <w:rPr>
          <w:rFonts w:cs="Arial"/>
          <w:lang w:val="de-DE"/>
        </w:rPr>
        <w:tab/>
        <w:t>Berichte über Entwicklungen in der UPOV betreffend biochemische und molekulare Verfahren</w:t>
      </w:r>
    </w:p>
    <w:p w:rsidR="000D3F83" w:rsidRPr="001E3AC7" w:rsidRDefault="000D3F83" w:rsidP="000D3F83">
      <w:pPr>
        <w:pStyle w:val="BodyTextIndent"/>
        <w:spacing w:after="0"/>
        <w:ind w:left="1134" w:hanging="567"/>
        <w:contextualSpacing/>
        <w:jc w:val="left"/>
        <w:rPr>
          <w:rFonts w:cs="Arial"/>
          <w:lang w:val="de-DE"/>
        </w:rPr>
      </w:pPr>
      <w:r w:rsidRPr="001E3AC7">
        <w:rPr>
          <w:rFonts w:cs="Arial"/>
          <w:lang w:val="de-DE"/>
        </w:rPr>
        <w:t>4.</w:t>
      </w:r>
      <w:r w:rsidRPr="001E3AC7">
        <w:rPr>
          <w:rFonts w:cs="Arial"/>
          <w:lang w:val="de-DE"/>
        </w:rPr>
        <w:tab/>
        <w:t>Kurzreferate von DUS-Sachverständigen, biochemischen und molekularen Fachleuten, Pflanzenzüchtern und einschlägigen internationalen Organisationen über neue Entwicklungen bei biochemischen und molekularen Verfahren</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5.</w:t>
      </w:r>
      <w:r w:rsidRPr="001E3AC7">
        <w:rPr>
          <w:rFonts w:cs="Arial"/>
          <w:lang w:val="de-DE"/>
        </w:rPr>
        <w:tab/>
        <w:t>Bericht über die Arbeit an molekularen Verfahren bezüglich der DUS-Prüfung</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6.</w:t>
      </w:r>
      <w:r w:rsidRPr="001E3AC7">
        <w:rPr>
          <w:rFonts w:cs="Arial"/>
          <w:lang w:val="de-DE"/>
        </w:rPr>
        <w:tab/>
        <w:t xml:space="preserve">Internationale Richtlinien für molekulare </w:t>
      </w:r>
      <w:proofErr w:type="spellStart"/>
      <w:r w:rsidRPr="001E3AC7">
        <w:rPr>
          <w:rFonts w:cs="Arial"/>
          <w:lang w:val="de-DE"/>
        </w:rPr>
        <w:t>Methodiken</w:t>
      </w:r>
      <w:proofErr w:type="spellEnd"/>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 xml:space="preserve">7. </w:t>
      </w:r>
      <w:r w:rsidRPr="001E3AC7">
        <w:rPr>
          <w:rFonts w:cs="Arial"/>
          <w:lang w:val="de-DE"/>
        </w:rPr>
        <w:tab/>
        <w:t>Datenbanken für Sortenbeschreibungen</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8.</w:t>
      </w:r>
      <w:r w:rsidRPr="001E3AC7">
        <w:rPr>
          <w:rFonts w:cs="Arial"/>
          <w:lang w:val="de-DE"/>
        </w:rPr>
        <w:tab/>
        <w:t>Methoden zur Analyse molekularer Daten</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9.</w:t>
      </w:r>
      <w:r w:rsidRPr="001E3AC7">
        <w:rPr>
          <w:rFonts w:cs="Arial"/>
          <w:lang w:val="de-DE"/>
        </w:rPr>
        <w:tab/>
        <w:t>Verwendung molekularer Verfahren bei der Prüfung der wesentlichen Ableitung</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10.</w:t>
      </w:r>
      <w:r w:rsidRPr="001E3AC7">
        <w:rPr>
          <w:rFonts w:cs="Arial"/>
          <w:lang w:val="de-DE"/>
        </w:rPr>
        <w:tab/>
        <w:t>Verwendung molekularer Verfahr</w:t>
      </w:r>
      <w:r w:rsidR="00BE0142">
        <w:rPr>
          <w:rFonts w:cs="Arial"/>
          <w:lang w:val="de-DE"/>
        </w:rPr>
        <w:t>en bei der Sortenidentifikation1</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11.</w:t>
      </w:r>
      <w:r w:rsidRPr="001E3AC7">
        <w:rPr>
          <w:rFonts w:cs="Arial"/>
          <w:lang w:val="de-DE"/>
        </w:rPr>
        <w:tab/>
        <w:t>Zusammenarbeit zwischen OECD, UPOV, ISTA und ISO</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12.</w:t>
      </w:r>
      <w:r w:rsidRPr="001E3AC7">
        <w:rPr>
          <w:rFonts w:cs="Arial"/>
          <w:lang w:val="de-DE"/>
        </w:rPr>
        <w:tab/>
        <w:t>Ort und Datum der nächsten Tagung</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13.</w:t>
      </w:r>
      <w:r w:rsidRPr="001E3AC7">
        <w:rPr>
          <w:rFonts w:cs="Arial"/>
          <w:lang w:val="de-DE"/>
        </w:rPr>
        <w:tab/>
        <w:t>Künftiges Programm</w:t>
      </w:r>
    </w:p>
    <w:p w:rsidR="000D3F83" w:rsidRPr="001E3AC7" w:rsidRDefault="000D3F83" w:rsidP="000D3F83">
      <w:pPr>
        <w:pStyle w:val="BodyTextIndent"/>
        <w:spacing w:after="0"/>
        <w:ind w:left="567"/>
        <w:contextualSpacing/>
        <w:jc w:val="left"/>
        <w:rPr>
          <w:rFonts w:cs="Arial"/>
          <w:lang w:val="de-DE"/>
        </w:rPr>
      </w:pPr>
      <w:r w:rsidRPr="001E3AC7">
        <w:rPr>
          <w:rFonts w:cs="Arial"/>
          <w:lang w:val="de-DE"/>
        </w:rPr>
        <w:t>14.</w:t>
      </w:r>
      <w:r w:rsidRPr="001E3AC7">
        <w:rPr>
          <w:rFonts w:cs="Arial"/>
          <w:lang w:val="de-DE"/>
        </w:rPr>
        <w:tab/>
        <w:t>Bericht über die Tagung (falls die Zeit es erlaubt)</w:t>
      </w:r>
    </w:p>
    <w:p w:rsidR="002D64DE" w:rsidRPr="001E3AC7" w:rsidRDefault="000D3F83" w:rsidP="000D3F83">
      <w:pPr>
        <w:pStyle w:val="BodyTextIndent"/>
        <w:spacing w:after="0"/>
        <w:ind w:left="567"/>
        <w:contextualSpacing/>
        <w:jc w:val="left"/>
        <w:rPr>
          <w:lang w:val="de-DE" w:eastAsia="ja-JP"/>
        </w:rPr>
      </w:pPr>
      <w:r w:rsidRPr="001E3AC7">
        <w:rPr>
          <w:rFonts w:cs="Arial"/>
          <w:lang w:val="de-DE"/>
        </w:rPr>
        <w:t xml:space="preserve">15. </w:t>
      </w:r>
      <w:r w:rsidRPr="001E3AC7">
        <w:rPr>
          <w:rFonts w:cs="Arial"/>
          <w:lang w:val="de-DE"/>
        </w:rPr>
        <w:tab/>
        <w:t>Schließung der Tagung</w:t>
      </w:r>
    </w:p>
    <w:p w:rsidR="002D64DE" w:rsidRPr="001E3AC7" w:rsidRDefault="002D64DE" w:rsidP="00233C64">
      <w:pPr>
        <w:rPr>
          <w:lang w:val="de-DE" w:eastAsia="ja-JP"/>
        </w:rPr>
      </w:pPr>
    </w:p>
    <w:p w:rsidR="005A5314" w:rsidRPr="001E3AC7" w:rsidRDefault="00B13BEB" w:rsidP="00233C64">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C3AB0">
        <w:rPr>
          <w:lang w:val="de-DE" w:eastAsia="ja-JP"/>
        </w:rPr>
        <w:t xml:space="preserve">Der TC </w:t>
      </w:r>
      <w:r w:rsidR="00BC3AB0" w:rsidRPr="00BC3AB0">
        <w:rPr>
          <w:lang w:val="de-DE" w:eastAsia="ja-JP"/>
        </w:rPr>
        <w:t xml:space="preserve">billigte </w:t>
      </w:r>
      <w:r w:rsidR="00BC3AB0">
        <w:rPr>
          <w:lang w:val="de-DE" w:eastAsia="ja-JP"/>
        </w:rPr>
        <w:t xml:space="preserve">auf seiner einundfünfzigsten Tagung </w:t>
      </w:r>
      <w:r w:rsidR="001E73EE">
        <w:rPr>
          <w:lang w:val="de-DE" w:eastAsia="ja-JP"/>
        </w:rPr>
        <w:t>vom 23. bis 25. März 2015 in Genf</w:t>
      </w:r>
      <w:r w:rsidR="002E6D56" w:rsidRPr="001E3AC7">
        <w:rPr>
          <w:lang w:val="de-DE" w:eastAsia="ja-JP"/>
        </w:rPr>
        <w:t xml:space="preserve"> </w:t>
      </w:r>
      <w:r w:rsidR="00BC3AB0" w:rsidRPr="00BC3AB0">
        <w:rPr>
          <w:lang w:val="de-DE" w:eastAsia="ja-JP"/>
        </w:rPr>
        <w:t>das Programm für die fünfzehnte Tagung der BMT im Jahr 2016, einschließlich der Einplanung eines besonderen Datums („Tag der Züchter“) für die Punkte zur Verwendung molekularer Verfahren bei der Prüfung der wesentlichen Ableitung und bei der Sortenidentifikation, wie</w:t>
      </w:r>
      <w:r w:rsidR="001E3AC7">
        <w:rPr>
          <w:lang w:val="de-DE" w:eastAsia="ja-JP"/>
        </w:rPr>
        <w:t xml:space="preserve"> </w:t>
      </w:r>
      <w:r w:rsidR="00CF392A" w:rsidRPr="001E3AC7">
        <w:rPr>
          <w:lang w:val="de-DE" w:eastAsia="ja-JP"/>
        </w:rPr>
        <w:t xml:space="preserve">in </w:t>
      </w:r>
      <w:r w:rsidR="000D3F83" w:rsidRPr="001E3AC7">
        <w:rPr>
          <w:lang w:val="de-DE" w:eastAsia="ja-JP"/>
        </w:rPr>
        <w:t>Absatz</w:t>
      </w:r>
      <w:r w:rsidR="002D64DE" w:rsidRPr="001E3AC7">
        <w:rPr>
          <w:lang w:val="de-DE" w:eastAsia="ja-JP"/>
        </w:rPr>
        <w:t xml:space="preserve"> 13 </w:t>
      </w:r>
      <w:r w:rsidR="00BC3AB0">
        <w:rPr>
          <w:lang w:val="de-DE" w:eastAsia="ja-JP"/>
        </w:rPr>
        <w:t>oben</w:t>
      </w:r>
      <w:r w:rsidR="000F5EFF" w:rsidRPr="001E3AC7">
        <w:rPr>
          <w:lang w:val="de-DE" w:eastAsia="ja-JP"/>
        </w:rPr>
        <w:t xml:space="preserve"> </w:t>
      </w:r>
      <w:r w:rsidR="00BE0142">
        <w:rPr>
          <w:lang w:val="de-DE" w:eastAsia="ja-JP"/>
        </w:rPr>
        <w:t>dargelegt</w:t>
      </w:r>
      <w:r w:rsidR="00BE0142" w:rsidRPr="001E3AC7">
        <w:rPr>
          <w:lang w:val="de-DE" w:eastAsia="ja-JP"/>
        </w:rPr>
        <w:t xml:space="preserve"> </w:t>
      </w:r>
      <w:r w:rsidR="000D3F83" w:rsidRPr="001E3AC7">
        <w:rPr>
          <w:lang w:val="de-DE" w:eastAsia="ja-JP"/>
        </w:rPr>
        <w:t>(vergleiche</w:t>
      </w:r>
      <w:r w:rsidR="00CF392A" w:rsidRPr="001E3AC7">
        <w:rPr>
          <w:lang w:val="de-DE" w:eastAsia="ja-JP"/>
        </w:rPr>
        <w:t xml:space="preserve"> </w:t>
      </w:r>
      <w:r w:rsidR="000D3F83" w:rsidRPr="001E3AC7">
        <w:rPr>
          <w:lang w:val="de-DE" w:eastAsia="ja-JP"/>
        </w:rPr>
        <w:t>Dokument</w:t>
      </w:r>
      <w:r w:rsidR="00CF392A" w:rsidRPr="001E3AC7">
        <w:rPr>
          <w:lang w:val="de-DE" w:eastAsia="ja-JP"/>
        </w:rPr>
        <w:t xml:space="preserve"> </w:t>
      </w:r>
      <w:r w:rsidR="00CA3219">
        <w:rPr>
          <w:lang w:val="de-DE" w:eastAsia="ja-JP"/>
        </w:rPr>
        <w:t>TC/51/39 „Bericht</w:t>
      </w:r>
      <w:r w:rsidR="005508EE">
        <w:rPr>
          <w:lang w:val="de-DE" w:eastAsia="ja-JP"/>
        </w:rPr>
        <w:t>“</w:t>
      </w:r>
      <w:r w:rsidR="00CF392A" w:rsidRPr="001E3AC7">
        <w:rPr>
          <w:lang w:val="de-DE" w:eastAsia="ja-JP"/>
        </w:rPr>
        <w:t xml:space="preserve">, </w:t>
      </w:r>
      <w:r w:rsidR="000D3F83" w:rsidRPr="001E3AC7">
        <w:rPr>
          <w:lang w:val="de-DE" w:eastAsia="ja-JP"/>
        </w:rPr>
        <w:t>Absatz</w:t>
      </w:r>
      <w:r w:rsidR="00CF392A" w:rsidRPr="001E3AC7">
        <w:rPr>
          <w:lang w:val="de-DE" w:eastAsia="ja-JP"/>
        </w:rPr>
        <w:t xml:space="preserve"> 176)</w:t>
      </w:r>
      <w:r w:rsidR="005A5314" w:rsidRPr="001E3AC7">
        <w:rPr>
          <w:lang w:val="de-DE" w:eastAsia="ja-JP"/>
        </w:rPr>
        <w:t>.</w:t>
      </w:r>
    </w:p>
    <w:p w:rsidR="005A5314" w:rsidRPr="001E3AC7" w:rsidRDefault="005A5314" w:rsidP="00233C64">
      <w:pPr>
        <w:rPr>
          <w:lang w:val="de-DE" w:eastAsia="ja-JP"/>
        </w:rPr>
      </w:pPr>
    </w:p>
    <w:p w:rsidR="00B87AF3" w:rsidRPr="001E3AC7" w:rsidRDefault="00B87AF3" w:rsidP="00B87AF3">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C3AB0">
        <w:rPr>
          <w:lang w:val="de-DE" w:eastAsia="ja-JP"/>
        </w:rPr>
        <w:t>Die fünfzehnte Tagung der</w:t>
      </w:r>
      <w:r w:rsidRPr="001E3AC7">
        <w:rPr>
          <w:lang w:val="de-DE" w:eastAsia="ja-JP"/>
        </w:rPr>
        <w:t xml:space="preserve"> BMT </w:t>
      </w:r>
      <w:r w:rsidR="00BC3AB0">
        <w:rPr>
          <w:lang w:val="de-DE" w:eastAsia="ja-JP"/>
        </w:rPr>
        <w:t xml:space="preserve">wird vom </w:t>
      </w:r>
      <w:r w:rsidRPr="001E3AC7">
        <w:rPr>
          <w:lang w:val="de-DE" w:eastAsia="ja-JP"/>
        </w:rPr>
        <w:t>24</w:t>
      </w:r>
      <w:r w:rsidR="00BC3AB0">
        <w:rPr>
          <w:lang w:val="de-DE" w:eastAsia="ja-JP"/>
        </w:rPr>
        <w:t xml:space="preserve">. </w:t>
      </w:r>
      <w:r w:rsidR="00256CE5">
        <w:rPr>
          <w:lang w:val="de-DE" w:eastAsia="ja-JP"/>
        </w:rPr>
        <w:t>bis</w:t>
      </w:r>
      <w:r w:rsidRPr="001E3AC7">
        <w:rPr>
          <w:lang w:val="de-DE" w:eastAsia="ja-JP"/>
        </w:rPr>
        <w:t xml:space="preserve"> 27</w:t>
      </w:r>
      <w:r w:rsidR="00BC3AB0">
        <w:rPr>
          <w:lang w:val="de-DE" w:eastAsia="ja-JP"/>
        </w:rPr>
        <w:t>. Mai</w:t>
      </w:r>
      <w:r w:rsidRPr="001E3AC7">
        <w:rPr>
          <w:lang w:val="de-DE" w:eastAsia="ja-JP"/>
        </w:rPr>
        <w:t xml:space="preserve"> 2016 in </w:t>
      </w:r>
      <w:r w:rsidR="00BC3AB0">
        <w:rPr>
          <w:lang w:val="de-DE" w:eastAsia="ja-JP"/>
        </w:rPr>
        <w:t>Moskau</w:t>
      </w:r>
      <w:r w:rsidR="002D64DE" w:rsidRPr="001E3AC7">
        <w:rPr>
          <w:lang w:val="de-DE" w:eastAsia="ja-JP"/>
        </w:rPr>
        <w:t xml:space="preserve">, </w:t>
      </w:r>
      <w:r w:rsidR="00BC3AB0" w:rsidRPr="00BC3AB0">
        <w:rPr>
          <w:lang w:val="de-DE" w:eastAsia="ja-JP"/>
        </w:rPr>
        <w:t>Russische Föderation</w:t>
      </w:r>
      <w:r w:rsidR="00BE0142">
        <w:rPr>
          <w:lang w:val="de-DE" w:eastAsia="ja-JP"/>
        </w:rPr>
        <w:t>,</w:t>
      </w:r>
      <w:r w:rsidR="00BC3AB0">
        <w:rPr>
          <w:lang w:val="de-DE" w:eastAsia="ja-JP"/>
        </w:rPr>
        <w:t xml:space="preserve"> mit einer vorbereitenden Arbeitstagung am 23. Mai</w:t>
      </w:r>
      <w:r w:rsidRPr="001E3AC7">
        <w:rPr>
          <w:lang w:val="de-DE" w:eastAsia="ja-JP"/>
        </w:rPr>
        <w:t xml:space="preserve"> 2016</w:t>
      </w:r>
      <w:r w:rsidR="00BC3AB0">
        <w:rPr>
          <w:lang w:val="de-DE" w:eastAsia="ja-JP"/>
        </w:rPr>
        <w:t xml:space="preserve"> abgehalten werden</w:t>
      </w:r>
      <w:r w:rsidRPr="001E3AC7">
        <w:rPr>
          <w:lang w:val="de-DE" w:eastAsia="ja-JP"/>
        </w:rPr>
        <w:t xml:space="preserve">. </w:t>
      </w:r>
    </w:p>
    <w:p w:rsidR="00A20C90" w:rsidRPr="001E3AC7" w:rsidRDefault="00A20C90" w:rsidP="00967457">
      <w:pPr>
        <w:pStyle w:val="Heading1"/>
        <w:keepNext w:val="0"/>
        <w:rPr>
          <w:rFonts w:cs="Arial"/>
          <w:lang w:val="de-DE"/>
        </w:rPr>
      </w:pPr>
    </w:p>
    <w:p w:rsidR="00A20C90" w:rsidRPr="001E3AC7" w:rsidRDefault="00A20C90" w:rsidP="00967457">
      <w:pPr>
        <w:pStyle w:val="Heading1"/>
        <w:keepNext w:val="0"/>
        <w:rPr>
          <w:rFonts w:cs="Arial"/>
          <w:lang w:val="de-DE"/>
        </w:rPr>
      </w:pPr>
    </w:p>
    <w:p w:rsidR="00033064" w:rsidRPr="001E3AC7" w:rsidRDefault="004A4B1C" w:rsidP="008D6750">
      <w:pPr>
        <w:pStyle w:val="Heading1"/>
        <w:rPr>
          <w:lang w:val="de-DE"/>
        </w:rPr>
      </w:pPr>
      <w:bookmarkStart w:id="13" w:name="_Toc444612392"/>
      <w:r w:rsidRPr="001E3AC7">
        <w:rPr>
          <w:rFonts w:cs="Arial"/>
          <w:lang w:val="de-DE"/>
        </w:rPr>
        <w:t>Gemeinsa</w:t>
      </w:r>
      <w:r w:rsidR="00BE0142">
        <w:rPr>
          <w:rFonts w:cs="Arial"/>
          <w:lang w:val="de-DE"/>
        </w:rPr>
        <w:t>me Arbeitstagung von OECD, UPOV und</w:t>
      </w:r>
      <w:r w:rsidRPr="001E3AC7">
        <w:rPr>
          <w:rFonts w:cs="Arial"/>
          <w:lang w:val="de-DE"/>
        </w:rPr>
        <w:t xml:space="preserve"> ISTA über molekulare Verfahren</w:t>
      </w:r>
      <w:bookmarkEnd w:id="13"/>
    </w:p>
    <w:p w:rsidR="00A20C90" w:rsidRPr="001E3AC7" w:rsidRDefault="00A20C90" w:rsidP="00D37975">
      <w:pPr>
        <w:autoSpaceDE w:val="0"/>
        <w:autoSpaceDN w:val="0"/>
        <w:adjustRightInd w:val="0"/>
        <w:rPr>
          <w:rFonts w:cs="Arial"/>
          <w:lang w:val="de-DE" w:eastAsia="ja-JP"/>
        </w:rPr>
      </w:pPr>
    </w:p>
    <w:p w:rsidR="00B87AF3" w:rsidRPr="001E3AC7" w:rsidRDefault="000D3F83" w:rsidP="00B87AF3">
      <w:pPr>
        <w:pStyle w:val="Heading2"/>
        <w:rPr>
          <w:lang w:val="de-DE" w:eastAsia="ja-JP"/>
        </w:rPr>
      </w:pPr>
      <w:bookmarkStart w:id="14" w:name="_Toc444612393"/>
      <w:r w:rsidRPr="001E3AC7">
        <w:rPr>
          <w:lang w:val="de-DE" w:eastAsia="ja-JP"/>
        </w:rPr>
        <w:t>Hintergrund</w:t>
      </w:r>
      <w:bookmarkEnd w:id="14"/>
    </w:p>
    <w:p w:rsidR="00B87AF3" w:rsidRPr="001E3AC7" w:rsidRDefault="00B87AF3" w:rsidP="00D37975">
      <w:pPr>
        <w:autoSpaceDE w:val="0"/>
        <w:autoSpaceDN w:val="0"/>
        <w:adjustRightInd w:val="0"/>
        <w:rPr>
          <w:rFonts w:cs="Arial"/>
          <w:lang w:val="de-DE" w:eastAsia="ja-JP"/>
        </w:rPr>
      </w:pPr>
    </w:p>
    <w:p w:rsidR="005A5314" w:rsidRPr="001E3AC7" w:rsidRDefault="005A5314" w:rsidP="007412D9">
      <w:pPr>
        <w:autoSpaceDE w:val="0"/>
        <w:autoSpaceDN w:val="0"/>
        <w:adjustRightInd w:val="0"/>
        <w:spacing w:after="240"/>
        <w:rPr>
          <w:rFonts w:cs="Arial"/>
          <w:lang w:val="de-DE" w:eastAsia="ja-JP"/>
        </w:rPr>
      </w:pPr>
      <w:r w:rsidRPr="001E3AC7">
        <w:rPr>
          <w:rFonts w:cs="Arial"/>
          <w:lang w:val="de-DE" w:eastAsia="ja-JP"/>
        </w:rPr>
        <w:fldChar w:fldCharType="begin"/>
      </w:r>
      <w:r w:rsidRPr="001E3AC7">
        <w:rPr>
          <w:rFonts w:cs="Arial"/>
          <w:lang w:val="de-DE" w:eastAsia="ja-JP"/>
        </w:rPr>
        <w:instrText xml:space="preserve"> AUTONUM  </w:instrText>
      </w:r>
      <w:r w:rsidRPr="001E3AC7">
        <w:rPr>
          <w:rFonts w:cs="Arial"/>
          <w:lang w:val="de-DE" w:eastAsia="ja-JP"/>
        </w:rPr>
        <w:fldChar w:fldCharType="end"/>
      </w:r>
      <w:r w:rsidRPr="001E3AC7">
        <w:rPr>
          <w:rFonts w:cs="Arial"/>
          <w:lang w:val="de-DE" w:eastAsia="ja-JP"/>
        </w:rPr>
        <w:tab/>
      </w:r>
      <w:r w:rsidR="000D3F83" w:rsidRPr="001E3AC7">
        <w:rPr>
          <w:rFonts w:cs="Arial"/>
          <w:lang w:val="de-DE"/>
        </w:rPr>
        <w:t>Die</w:t>
      </w:r>
      <w:r w:rsidR="00DE64AE">
        <w:rPr>
          <w:rFonts w:cs="Arial"/>
          <w:lang w:val="de-DE"/>
        </w:rPr>
        <w:t xml:space="preserve"> gemeinsam</w:t>
      </w:r>
      <w:r w:rsidR="00BE0142">
        <w:rPr>
          <w:rFonts w:cs="Arial"/>
          <w:lang w:val="de-DE"/>
        </w:rPr>
        <w:t xml:space="preserve">e Arbeitstagung von OECD, UPOV und </w:t>
      </w:r>
      <w:r w:rsidR="000D3F83" w:rsidRPr="001E3AC7">
        <w:rPr>
          <w:rFonts w:cs="Arial"/>
          <w:lang w:val="de-DE"/>
        </w:rPr>
        <w:t>ISTA über mo</w:t>
      </w:r>
      <w:r w:rsidR="007412D9">
        <w:rPr>
          <w:rFonts w:cs="Arial"/>
          <w:lang w:val="de-DE"/>
        </w:rPr>
        <w:t>lekulare Verfahren wurde am 12. </w:t>
      </w:r>
      <w:r w:rsidR="000D3F83" w:rsidRPr="001E3AC7">
        <w:rPr>
          <w:rFonts w:cs="Arial"/>
          <w:lang w:val="de-DE"/>
        </w:rPr>
        <w:t>November 2014 in Seoul, Republik Korea, in Verbindung mit der vierzehnten Tagung der BMT vom 10. bis 13. November in Seoul, Republik Korea, abgehalten</w:t>
      </w:r>
      <w:r w:rsidR="000D3F83" w:rsidRPr="001E3AC7">
        <w:rPr>
          <w:lang w:val="de-DE" w:eastAsia="ja-JP"/>
        </w:rPr>
        <w:t xml:space="preserve"> (vergleiche</w:t>
      </w:r>
      <w:r w:rsidRPr="001E3AC7">
        <w:rPr>
          <w:lang w:val="de-DE" w:eastAsia="ja-JP"/>
        </w:rPr>
        <w:t xml:space="preserve"> </w:t>
      </w:r>
      <w:r w:rsidR="000D3F83" w:rsidRPr="001E3AC7">
        <w:rPr>
          <w:lang w:val="de-DE" w:eastAsia="ja-JP"/>
        </w:rPr>
        <w:t>Dokument</w:t>
      </w:r>
      <w:r w:rsidR="00967457" w:rsidRPr="001E3AC7">
        <w:rPr>
          <w:lang w:val="de-DE" w:eastAsia="ja-JP"/>
        </w:rPr>
        <w:t xml:space="preserve"> TC/51/11 </w:t>
      </w:r>
      <w:proofErr w:type="spellStart"/>
      <w:r w:rsidRPr="001E3AC7">
        <w:rPr>
          <w:lang w:val="de-DE" w:eastAsia="ja-JP"/>
        </w:rPr>
        <w:t>Rev</w:t>
      </w:r>
      <w:proofErr w:type="spellEnd"/>
      <w:r w:rsidRPr="001E3AC7">
        <w:rPr>
          <w:lang w:val="de-DE" w:eastAsia="ja-JP"/>
        </w:rPr>
        <w:t xml:space="preserve">. </w:t>
      </w:r>
      <w:r w:rsidR="000D3F83" w:rsidRPr="001E3AC7">
        <w:rPr>
          <w:lang w:val="de-DE" w:eastAsia="ja-JP"/>
        </w:rPr>
        <w:t>„</w:t>
      </w:r>
      <w:r w:rsidR="001E3AC7">
        <w:rPr>
          <w:lang w:val="de-DE" w:eastAsia="ja-JP"/>
        </w:rPr>
        <w:t>Molekulare Verfahren</w:t>
      </w:r>
      <w:r w:rsidR="000D3F83" w:rsidRPr="001E3AC7">
        <w:rPr>
          <w:lang w:val="de-DE" w:eastAsia="ja-JP"/>
        </w:rPr>
        <w:t>“</w:t>
      </w:r>
      <w:r w:rsidR="00DE040B" w:rsidRPr="001E3AC7">
        <w:rPr>
          <w:lang w:val="de-DE" w:eastAsia="ja-JP"/>
        </w:rPr>
        <w:t xml:space="preserve">, </w:t>
      </w:r>
      <w:r w:rsidR="000D3F83" w:rsidRPr="001E3AC7">
        <w:rPr>
          <w:lang w:val="de-DE" w:eastAsia="ja-JP"/>
        </w:rPr>
        <w:t>Absatz</w:t>
      </w:r>
      <w:r w:rsidRPr="001E3AC7">
        <w:rPr>
          <w:lang w:val="de-DE" w:eastAsia="ja-JP"/>
        </w:rPr>
        <w:t xml:space="preserve"> 23).</w:t>
      </w:r>
    </w:p>
    <w:p w:rsidR="005A5314" w:rsidRPr="001E3AC7" w:rsidRDefault="005A5314" w:rsidP="005A5314">
      <w:pPr>
        <w:autoSpaceDE w:val="0"/>
        <w:autoSpaceDN w:val="0"/>
        <w:adjustRightInd w:val="0"/>
        <w:rPr>
          <w:rFonts w:cs="Arial"/>
          <w:lang w:val="de-DE" w:eastAsia="ja-JP"/>
        </w:rPr>
      </w:pPr>
    </w:p>
    <w:p w:rsidR="00DE040B" w:rsidRPr="001E3AC7" w:rsidRDefault="005A5314" w:rsidP="00DE040B">
      <w:pPr>
        <w:autoSpaceDE w:val="0"/>
        <w:autoSpaceDN w:val="0"/>
        <w:adjustRightInd w:val="0"/>
        <w:rPr>
          <w:rFonts w:cs="Arial"/>
          <w:lang w:val="de-DE" w:eastAsia="ja-JP"/>
        </w:rPr>
      </w:pPr>
      <w:r w:rsidRPr="001E3AC7">
        <w:rPr>
          <w:rFonts w:cs="Arial"/>
          <w:lang w:val="de-DE" w:eastAsia="ja-JP"/>
        </w:rPr>
        <w:fldChar w:fldCharType="begin"/>
      </w:r>
      <w:r w:rsidRPr="001E3AC7">
        <w:rPr>
          <w:rFonts w:cs="Arial"/>
          <w:lang w:val="de-DE" w:eastAsia="ja-JP"/>
        </w:rPr>
        <w:instrText xml:space="preserve"> AUTONUM  </w:instrText>
      </w:r>
      <w:r w:rsidRPr="001E3AC7">
        <w:rPr>
          <w:rFonts w:cs="Arial"/>
          <w:lang w:val="de-DE" w:eastAsia="ja-JP"/>
        </w:rPr>
        <w:fldChar w:fldCharType="end"/>
      </w:r>
      <w:r w:rsidRPr="001E3AC7">
        <w:rPr>
          <w:rFonts w:cs="Arial"/>
          <w:lang w:val="de-DE" w:eastAsia="ja-JP"/>
        </w:rPr>
        <w:tab/>
      </w:r>
      <w:r w:rsidR="000D3F83" w:rsidRPr="001E3AC7">
        <w:rPr>
          <w:rFonts w:cs="Arial"/>
          <w:lang w:val="de-DE"/>
        </w:rPr>
        <w:t>Die unter jedem Tagesordnungspunkt der</w:t>
      </w:r>
      <w:r w:rsidR="00DE64AE">
        <w:rPr>
          <w:rFonts w:cs="Arial"/>
          <w:lang w:val="de-DE"/>
        </w:rPr>
        <w:t xml:space="preserve"> gemeinsam</w:t>
      </w:r>
      <w:r w:rsidR="000D3F83" w:rsidRPr="001E3AC7">
        <w:rPr>
          <w:rFonts w:cs="Arial"/>
          <w:lang w:val="de-DE"/>
        </w:rPr>
        <w:t>e</w:t>
      </w:r>
      <w:r w:rsidR="00BE0142">
        <w:rPr>
          <w:rFonts w:cs="Arial"/>
          <w:lang w:val="de-DE"/>
        </w:rPr>
        <w:t xml:space="preserve">n Arbeitstagung von OECD, UPOV und </w:t>
      </w:r>
      <w:r w:rsidR="000D3F83" w:rsidRPr="001E3AC7">
        <w:rPr>
          <w:rFonts w:cs="Arial"/>
          <w:lang w:val="de-DE"/>
        </w:rPr>
        <w:t>ISTA präsentierten Papiere waren folgende</w:t>
      </w:r>
      <w:r w:rsidR="000D3F83" w:rsidRPr="001E3AC7">
        <w:rPr>
          <w:lang w:val="de-DE" w:eastAsia="ja-JP"/>
        </w:rPr>
        <w:t xml:space="preserve"> (vergleiche</w:t>
      </w:r>
      <w:r w:rsidR="00DE040B" w:rsidRPr="001E3AC7">
        <w:rPr>
          <w:lang w:val="de-DE" w:eastAsia="ja-JP"/>
        </w:rPr>
        <w:t xml:space="preserve"> </w:t>
      </w:r>
      <w:r w:rsidR="000D3F83" w:rsidRPr="001E3AC7">
        <w:rPr>
          <w:lang w:val="de-DE" w:eastAsia="ja-JP"/>
        </w:rPr>
        <w:t>Dokument</w:t>
      </w:r>
      <w:r w:rsidR="00DE040B" w:rsidRPr="001E3AC7">
        <w:rPr>
          <w:lang w:val="de-DE" w:eastAsia="ja-JP"/>
        </w:rPr>
        <w:t xml:space="preserve"> TC/51/11 </w:t>
      </w:r>
      <w:proofErr w:type="spellStart"/>
      <w:r w:rsidR="00DE040B" w:rsidRPr="001E3AC7">
        <w:rPr>
          <w:lang w:val="de-DE" w:eastAsia="ja-JP"/>
        </w:rPr>
        <w:t>Rev</w:t>
      </w:r>
      <w:proofErr w:type="spellEnd"/>
      <w:r w:rsidR="00DE040B" w:rsidRPr="001E3AC7">
        <w:rPr>
          <w:lang w:val="de-DE" w:eastAsia="ja-JP"/>
        </w:rPr>
        <w:t xml:space="preserve">. </w:t>
      </w:r>
      <w:r w:rsidR="000D3F83" w:rsidRPr="001E3AC7">
        <w:rPr>
          <w:lang w:val="de-DE" w:eastAsia="ja-JP"/>
        </w:rPr>
        <w:t>„</w:t>
      </w:r>
      <w:r w:rsidR="001E3AC7">
        <w:rPr>
          <w:lang w:val="de-DE" w:eastAsia="ja-JP"/>
        </w:rPr>
        <w:t>Molekulare Verfahren</w:t>
      </w:r>
      <w:r w:rsidR="000D3F83" w:rsidRPr="001E3AC7">
        <w:rPr>
          <w:lang w:val="de-DE" w:eastAsia="ja-JP"/>
        </w:rPr>
        <w:t>“</w:t>
      </w:r>
      <w:r w:rsidR="00DE040B" w:rsidRPr="001E3AC7">
        <w:rPr>
          <w:lang w:val="de-DE" w:eastAsia="ja-JP"/>
        </w:rPr>
        <w:t xml:space="preserve">, </w:t>
      </w:r>
      <w:r w:rsidR="000D3F83" w:rsidRPr="001E3AC7">
        <w:rPr>
          <w:lang w:val="de-DE" w:eastAsia="ja-JP"/>
        </w:rPr>
        <w:t>Absatz</w:t>
      </w:r>
      <w:r w:rsidR="00DE040B" w:rsidRPr="001E3AC7">
        <w:rPr>
          <w:lang w:val="de-DE" w:eastAsia="ja-JP"/>
        </w:rPr>
        <w:t xml:space="preserve"> 24).</w:t>
      </w:r>
    </w:p>
    <w:p w:rsidR="005A5314" w:rsidRPr="001E3AC7" w:rsidRDefault="005A5314" w:rsidP="005A5314">
      <w:pPr>
        <w:rPr>
          <w:lang w:val="de-DE" w:eastAsia="ja-JP"/>
        </w:rPr>
      </w:pPr>
    </w:p>
    <w:p w:rsidR="00E20A84" w:rsidRPr="00E20A84" w:rsidRDefault="00E20A84" w:rsidP="00151794">
      <w:pPr>
        <w:ind w:left="567"/>
        <w:contextualSpacing/>
        <w:rPr>
          <w:i/>
        </w:rPr>
      </w:pPr>
      <w:bookmarkStart w:id="15" w:name="_Toc410822413"/>
      <w:bookmarkStart w:id="16" w:name="_Toc410822809"/>
      <w:bookmarkStart w:id="17" w:name="_Toc410823316"/>
      <w:r w:rsidRPr="00E20A84">
        <w:rPr>
          <w:i/>
        </w:rPr>
        <w:t>Introduction to the OECD Seed Schemes and the Situation with Regard to Molecular Techniques</w:t>
      </w:r>
      <w:r w:rsidRPr="00E20A84">
        <w:rPr>
          <w:rFonts w:hint="eastAsia"/>
          <w:i/>
        </w:rPr>
        <w:t xml:space="preserve"> </w:t>
      </w:r>
    </w:p>
    <w:p w:rsidR="000D3F83" w:rsidRPr="00E20A84" w:rsidRDefault="000D3F83" w:rsidP="00151794">
      <w:pPr>
        <w:ind w:left="567"/>
        <w:contextualSpacing/>
        <w:jc w:val="left"/>
        <w:rPr>
          <w:rFonts w:cs="Arial"/>
          <w:i/>
          <w:lang w:val="de-DE"/>
        </w:rPr>
      </w:pPr>
      <w:r w:rsidRPr="00E20A84">
        <w:rPr>
          <w:rFonts w:cs="Arial"/>
          <w:i/>
          <w:lang w:val="de-DE"/>
        </w:rPr>
        <w:t>(Einführung in die Saatgutzertifizierungssysteme der OECD und die Lage bezüglich der molekularen Verfahren)</w:t>
      </w:r>
      <w:bookmarkEnd w:id="15"/>
      <w:bookmarkEnd w:id="16"/>
      <w:bookmarkEnd w:id="17"/>
    </w:p>
    <w:p w:rsidR="000D3F83" w:rsidRDefault="000D3F83" w:rsidP="00151794">
      <w:pPr>
        <w:ind w:left="567"/>
        <w:contextualSpacing/>
        <w:jc w:val="left"/>
        <w:rPr>
          <w:rFonts w:cs="Arial"/>
          <w:i/>
          <w:lang w:val="de-DE"/>
        </w:rPr>
      </w:pPr>
      <w:bookmarkStart w:id="18" w:name="_Toc410822414"/>
      <w:bookmarkStart w:id="19" w:name="_Toc410822810"/>
      <w:bookmarkStart w:id="20" w:name="_Toc410823317"/>
      <w:r w:rsidRPr="00E20A84">
        <w:rPr>
          <w:rFonts w:cs="Arial"/>
          <w:i/>
          <w:lang w:val="de-DE"/>
        </w:rPr>
        <w:t>(Dokument BMT/14/Joint/6)</w:t>
      </w:r>
      <w:bookmarkEnd w:id="18"/>
      <w:bookmarkEnd w:id="19"/>
      <w:bookmarkEnd w:id="20"/>
    </w:p>
    <w:p w:rsidR="00151794" w:rsidRPr="00E20A84" w:rsidRDefault="00151794" w:rsidP="00151794">
      <w:pPr>
        <w:ind w:left="567"/>
        <w:contextualSpacing/>
        <w:jc w:val="left"/>
        <w:rPr>
          <w:rFonts w:cs="Arial"/>
          <w:i/>
          <w:lang w:val="de-DE"/>
        </w:rPr>
      </w:pPr>
    </w:p>
    <w:p w:rsidR="00E20A84" w:rsidRPr="00E20A84" w:rsidRDefault="00E20A84" w:rsidP="00151794">
      <w:pPr>
        <w:ind w:left="567"/>
        <w:contextualSpacing/>
        <w:rPr>
          <w:i/>
        </w:rPr>
      </w:pPr>
      <w:bookmarkStart w:id="21" w:name="_Toc410822415"/>
      <w:bookmarkStart w:id="22" w:name="_Toc410822811"/>
      <w:bookmarkStart w:id="23" w:name="_Toc410823318"/>
      <w:r w:rsidRPr="00E20A84">
        <w:rPr>
          <w:i/>
        </w:rPr>
        <w:t>Introduction to UPOV and the Situation with Regard to Molecular Techniques</w:t>
      </w:r>
      <w:r w:rsidRPr="00E20A84">
        <w:rPr>
          <w:rFonts w:hint="eastAsia"/>
          <w:i/>
        </w:rPr>
        <w:t xml:space="preserve"> </w:t>
      </w:r>
    </w:p>
    <w:p w:rsidR="00151794" w:rsidRDefault="000D3F83" w:rsidP="00151794">
      <w:pPr>
        <w:ind w:left="567"/>
        <w:contextualSpacing/>
        <w:jc w:val="left"/>
        <w:rPr>
          <w:rFonts w:cs="Arial"/>
          <w:i/>
          <w:lang w:val="de-DE"/>
        </w:rPr>
      </w:pPr>
      <w:r w:rsidRPr="00E20A84">
        <w:rPr>
          <w:rFonts w:cs="Arial"/>
          <w:i/>
          <w:lang w:val="de-DE"/>
        </w:rPr>
        <w:t>(Einführung in die UPOV und die Lage bezüglich der molekularen Verfahren)</w:t>
      </w:r>
      <w:bookmarkStart w:id="24" w:name="_Toc410822416"/>
      <w:bookmarkStart w:id="25" w:name="_Toc410822812"/>
      <w:bookmarkStart w:id="26" w:name="_Toc410823319"/>
      <w:bookmarkEnd w:id="21"/>
      <w:bookmarkEnd w:id="22"/>
      <w:bookmarkEnd w:id="23"/>
    </w:p>
    <w:p w:rsidR="000D3F83" w:rsidRDefault="000D3F83" w:rsidP="00151794">
      <w:pPr>
        <w:ind w:left="567"/>
        <w:contextualSpacing/>
        <w:jc w:val="left"/>
        <w:rPr>
          <w:rFonts w:cs="Arial"/>
          <w:i/>
          <w:lang w:val="de-DE"/>
        </w:rPr>
      </w:pPr>
      <w:r w:rsidRPr="00E20A84">
        <w:rPr>
          <w:rFonts w:cs="Arial"/>
          <w:i/>
          <w:lang w:val="de-DE"/>
        </w:rPr>
        <w:t xml:space="preserve">(Dokument BMT/14/Joint/4 </w:t>
      </w:r>
      <w:proofErr w:type="spellStart"/>
      <w:r w:rsidRPr="00E20A84">
        <w:rPr>
          <w:rFonts w:cs="Arial"/>
          <w:i/>
          <w:lang w:val="de-DE"/>
        </w:rPr>
        <w:t>Rev</w:t>
      </w:r>
      <w:proofErr w:type="spellEnd"/>
      <w:r w:rsidRPr="00E20A84">
        <w:rPr>
          <w:rFonts w:cs="Arial"/>
          <w:i/>
          <w:lang w:val="de-DE"/>
        </w:rPr>
        <w:t>.)</w:t>
      </w:r>
      <w:bookmarkEnd w:id="24"/>
      <w:bookmarkEnd w:id="25"/>
      <w:bookmarkEnd w:id="26"/>
    </w:p>
    <w:p w:rsidR="00151794" w:rsidRPr="00E20A84" w:rsidRDefault="00151794" w:rsidP="00151794">
      <w:pPr>
        <w:ind w:left="567"/>
        <w:contextualSpacing/>
        <w:jc w:val="left"/>
        <w:rPr>
          <w:rFonts w:cs="Arial"/>
          <w:i/>
          <w:lang w:val="de-DE"/>
        </w:rPr>
      </w:pPr>
    </w:p>
    <w:p w:rsidR="00E20A84" w:rsidRPr="00E20A84" w:rsidRDefault="00E20A84" w:rsidP="00151794">
      <w:pPr>
        <w:ind w:left="567"/>
        <w:contextualSpacing/>
        <w:jc w:val="left"/>
        <w:rPr>
          <w:i/>
        </w:rPr>
      </w:pPr>
      <w:bookmarkStart w:id="27" w:name="_Toc410822417"/>
      <w:bookmarkStart w:id="28" w:name="_Toc410822813"/>
      <w:bookmarkStart w:id="29" w:name="_Toc410823320"/>
      <w:r w:rsidRPr="00E20A84">
        <w:rPr>
          <w:i/>
        </w:rPr>
        <w:t xml:space="preserve">Introduction to ISTA and the Situation with Regard to Molecular Techniques </w:t>
      </w:r>
    </w:p>
    <w:p w:rsidR="000D3F83" w:rsidRPr="00E20A84" w:rsidRDefault="000D3F83" w:rsidP="00151794">
      <w:pPr>
        <w:ind w:left="567"/>
        <w:contextualSpacing/>
        <w:jc w:val="left"/>
        <w:rPr>
          <w:rFonts w:cs="Arial"/>
          <w:i/>
          <w:lang w:val="de-DE"/>
        </w:rPr>
      </w:pPr>
      <w:r w:rsidRPr="00E20A84">
        <w:rPr>
          <w:rFonts w:cs="Arial"/>
          <w:i/>
          <w:lang w:val="de-DE"/>
        </w:rPr>
        <w:t>(Einführung in die ISTA und die Lage bezüglich der molekularen Verfahren)</w:t>
      </w:r>
    </w:p>
    <w:p w:rsidR="000D3F83" w:rsidRDefault="000D3F83" w:rsidP="00151794">
      <w:pPr>
        <w:ind w:left="567"/>
        <w:contextualSpacing/>
        <w:jc w:val="left"/>
        <w:rPr>
          <w:rFonts w:cs="Arial"/>
          <w:i/>
          <w:lang w:val="de-DE"/>
        </w:rPr>
      </w:pPr>
      <w:r w:rsidRPr="00E20A84">
        <w:rPr>
          <w:rFonts w:cs="Arial"/>
          <w:i/>
          <w:lang w:val="de-DE"/>
        </w:rPr>
        <w:t xml:space="preserve">(Dokument BMT/14/Joint/3 </w:t>
      </w:r>
      <w:proofErr w:type="spellStart"/>
      <w:r w:rsidRPr="00E20A84">
        <w:rPr>
          <w:rFonts w:cs="Arial"/>
          <w:i/>
          <w:lang w:val="de-DE"/>
        </w:rPr>
        <w:t>Rev</w:t>
      </w:r>
      <w:proofErr w:type="spellEnd"/>
      <w:r w:rsidRPr="00E20A84">
        <w:rPr>
          <w:rFonts w:cs="Arial"/>
          <w:i/>
          <w:lang w:val="de-DE"/>
        </w:rPr>
        <w:t>.)</w:t>
      </w:r>
      <w:bookmarkEnd w:id="27"/>
      <w:bookmarkEnd w:id="28"/>
      <w:bookmarkEnd w:id="29"/>
    </w:p>
    <w:p w:rsidR="00151794" w:rsidRPr="00E20A84" w:rsidRDefault="00151794" w:rsidP="00151794">
      <w:pPr>
        <w:ind w:left="567"/>
        <w:contextualSpacing/>
        <w:jc w:val="left"/>
        <w:rPr>
          <w:rFonts w:cs="Arial"/>
          <w:i/>
          <w:lang w:val="de-DE"/>
        </w:rPr>
      </w:pPr>
    </w:p>
    <w:p w:rsidR="00E20A84" w:rsidRPr="00E20A84" w:rsidRDefault="00E20A84" w:rsidP="00151794">
      <w:pPr>
        <w:ind w:left="567"/>
        <w:contextualSpacing/>
        <w:jc w:val="left"/>
        <w:rPr>
          <w:i/>
        </w:rPr>
      </w:pPr>
      <w:bookmarkStart w:id="30" w:name="_Toc410822418"/>
      <w:bookmarkStart w:id="31" w:name="_Toc410822814"/>
      <w:bookmarkStart w:id="32" w:name="_Toc410823321"/>
      <w:r w:rsidRPr="00E20A84">
        <w:rPr>
          <w:i/>
        </w:rPr>
        <w:t>Introduction to ISO and the Situation with Regard to Molecular Techniques</w:t>
      </w:r>
      <w:r w:rsidRPr="00E20A84">
        <w:rPr>
          <w:rFonts w:hint="eastAsia"/>
          <w:i/>
        </w:rPr>
        <w:t xml:space="preserve"> </w:t>
      </w:r>
    </w:p>
    <w:p w:rsidR="00151794" w:rsidRDefault="000D3F83" w:rsidP="00151794">
      <w:pPr>
        <w:ind w:left="567"/>
        <w:contextualSpacing/>
        <w:jc w:val="left"/>
        <w:rPr>
          <w:rFonts w:cs="Arial"/>
          <w:i/>
          <w:lang w:val="de-DE"/>
        </w:rPr>
      </w:pPr>
      <w:r w:rsidRPr="00E20A84">
        <w:rPr>
          <w:rFonts w:cs="Arial"/>
          <w:i/>
          <w:lang w:val="de-DE"/>
        </w:rPr>
        <w:t xml:space="preserve">(Einführung in die ISO und die Lage bezüglich der molekularen Verfahren) </w:t>
      </w:r>
    </w:p>
    <w:p w:rsidR="000D3F83" w:rsidRDefault="000D3F83" w:rsidP="00151794">
      <w:pPr>
        <w:ind w:left="567"/>
        <w:contextualSpacing/>
        <w:jc w:val="left"/>
        <w:rPr>
          <w:rFonts w:cs="Arial"/>
          <w:i/>
          <w:lang w:val="de-DE"/>
        </w:rPr>
      </w:pPr>
      <w:r w:rsidRPr="00E20A84">
        <w:rPr>
          <w:rFonts w:cs="Arial"/>
          <w:i/>
          <w:lang w:val="de-DE"/>
        </w:rPr>
        <w:t>(Dokument BMT/14/Joint/2)</w:t>
      </w:r>
      <w:bookmarkEnd w:id="30"/>
      <w:bookmarkEnd w:id="31"/>
      <w:bookmarkEnd w:id="32"/>
    </w:p>
    <w:p w:rsidR="00151794" w:rsidRPr="00E20A84" w:rsidRDefault="00151794" w:rsidP="00151794">
      <w:pPr>
        <w:ind w:left="567"/>
        <w:contextualSpacing/>
        <w:jc w:val="left"/>
        <w:rPr>
          <w:rFonts w:cs="Arial"/>
          <w:i/>
          <w:lang w:val="de-DE"/>
        </w:rPr>
      </w:pPr>
    </w:p>
    <w:p w:rsidR="00E20A84" w:rsidRPr="00E20A84" w:rsidRDefault="00E20A84" w:rsidP="007412D9">
      <w:pPr>
        <w:keepNext/>
        <w:ind w:left="567"/>
        <w:contextualSpacing/>
        <w:jc w:val="left"/>
        <w:rPr>
          <w:i/>
        </w:rPr>
      </w:pPr>
      <w:bookmarkStart w:id="33" w:name="_Toc410822419"/>
      <w:bookmarkStart w:id="34" w:name="_Toc410822815"/>
      <w:bookmarkStart w:id="35" w:name="_Toc410823322"/>
      <w:r w:rsidRPr="00E20A84">
        <w:rPr>
          <w:i/>
        </w:rPr>
        <w:t xml:space="preserve">Existing Areas of Cooperation between OECD, UPOV and ISTA </w:t>
      </w:r>
    </w:p>
    <w:p w:rsidR="00E20A84" w:rsidRPr="00E20A84" w:rsidRDefault="000D3F83" w:rsidP="007412D9">
      <w:pPr>
        <w:keepNext/>
        <w:ind w:left="567"/>
        <w:contextualSpacing/>
        <w:jc w:val="left"/>
        <w:rPr>
          <w:rFonts w:cs="Arial"/>
          <w:i/>
          <w:lang w:val="de-DE"/>
        </w:rPr>
      </w:pPr>
      <w:r w:rsidRPr="00E20A84">
        <w:rPr>
          <w:rFonts w:cs="Arial"/>
          <w:i/>
          <w:lang w:val="de-DE"/>
        </w:rPr>
        <w:t>(Bestehende Kooperationsbereiche zwischen OECD, UPOV und ISTA)</w:t>
      </w:r>
    </w:p>
    <w:p w:rsidR="000D3F83" w:rsidRPr="00E20A84" w:rsidRDefault="000D3F83" w:rsidP="00151794">
      <w:pPr>
        <w:ind w:left="567"/>
        <w:contextualSpacing/>
        <w:jc w:val="left"/>
        <w:rPr>
          <w:rFonts w:cs="Arial"/>
          <w:i/>
          <w:lang w:val="de-DE"/>
        </w:rPr>
      </w:pPr>
      <w:r w:rsidRPr="00E20A84">
        <w:rPr>
          <w:rFonts w:cs="Arial"/>
          <w:i/>
          <w:lang w:val="de-DE"/>
        </w:rPr>
        <w:t>(Dokument/BMT/14/Joint/5)</w:t>
      </w:r>
      <w:bookmarkEnd w:id="33"/>
      <w:bookmarkEnd w:id="34"/>
      <w:bookmarkEnd w:id="35"/>
    </w:p>
    <w:p w:rsidR="005A5314" w:rsidRPr="00E20A84" w:rsidRDefault="005A5314" w:rsidP="00151794">
      <w:pPr>
        <w:contextualSpacing/>
        <w:rPr>
          <w:lang w:val="de-DE" w:eastAsia="ja-JP"/>
        </w:rPr>
      </w:pPr>
    </w:p>
    <w:p w:rsidR="005A5314" w:rsidRPr="001E3AC7" w:rsidRDefault="005A5314" w:rsidP="005A5314">
      <w:pPr>
        <w:rPr>
          <w:rFonts w:cs="Arial"/>
          <w:lang w:val="de-DE" w:eastAsia="ja-JP"/>
        </w:rPr>
      </w:pPr>
      <w:r w:rsidRPr="001E3AC7">
        <w:rPr>
          <w:rFonts w:cs="Arial"/>
          <w:lang w:val="de-DE"/>
        </w:rPr>
        <w:fldChar w:fldCharType="begin"/>
      </w:r>
      <w:r w:rsidRPr="001E3AC7">
        <w:rPr>
          <w:rFonts w:cs="Arial"/>
          <w:lang w:val="de-DE"/>
        </w:rPr>
        <w:instrText xml:space="preserve"> AUTONUM  </w:instrText>
      </w:r>
      <w:r w:rsidRPr="001E3AC7">
        <w:rPr>
          <w:rFonts w:cs="Arial"/>
          <w:lang w:val="de-DE"/>
        </w:rPr>
        <w:fldChar w:fldCharType="end"/>
      </w:r>
      <w:r w:rsidRPr="001E3AC7">
        <w:rPr>
          <w:rFonts w:cs="Arial"/>
          <w:lang w:val="de-DE"/>
        </w:rPr>
        <w:tab/>
      </w:r>
      <w:r w:rsidR="000D3F83" w:rsidRPr="001E3AC7">
        <w:rPr>
          <w:rFonts w:cs="Arial"/>
          <w:lang w:val="de-DE"/>
        </w:rPr>
        <w:t>Die Arbeitstagung vereinbarte, daß es zweckmäßig wäre, ein</w:t>
      </w:r>
      <w:r w:rsidR="00DE64AE">
        <w:rPr>
          <w:rFonts w:cs="Arial"/>
          <w:lang w:val="de-DE"/>
        </w:rPr>
        <w:t xml:space="preserve"> gemeinsam</w:t>
      </w:r>
      <w:r w:rsidR="000D3F83" w:rsidRPr="001E3AC7">
        <w:rPr>
          <w:rFonts w:cs="Arial"/>
          <w:lang w:val="de-DE"/>
        </w:rPr>
        <w:t>es Dokument zur Erklärung der grundlegenden Besonderheiten (z. B. DUS, Sortenidentifizierung, Sortenreinheit usw.) der Systeme von OECD, UPOV und ISTA zu erstellen. Ferner wurde vereinbart, daß es für das gegenseitige Verständnis zweckmäßig wäre, die</w:t>
      </w:r>
      <w:r w:rsidR="00DE64AE">
        <w:rPr>
          <w:rFonts w:cs="Arial"/>
          <w:lang w:val="de-DE"/>
        </w:rPr>
        <w:t xml:space="preserve"> gemeinsam</w:t>
      </w:r>
      <w:r w:rsidR="000D3F83" w:rsidRPr="001E3AC7">
        <w:rPr>
          <w:rFonts w:cs="Arial"/>
          <w:lang w:val="de-DE"/>
        </w:rPr>
        <w:t xml:space="preserve">e Arbeitstagung auf einschlägigen Tagungen </w:t>
      </w:r>
      <w:r w:rsidR="00BE0142">
        <w:rPr>
          <w:rFonts w:cs="Arial"/>
          <w:lang w:val="de-DE"/>
        </w:rPr>
        <w:t>von</w:t>
      </w:r>
      <w:r w:rsidR="000D3F83" w:rsidRPr="001E3AC7">
        <w:rPr>
          <w:rFonts w:cs="Arial"/>
          <w:lang w:val="de-DE"/>
        </w:rPr>
        <w:t xml:space="preserve"> OECD und ISTA zu wiederholen </w:t>
      </w:r>
      <w:r w:rsidR="000D3F83" w:rsidRPr="001E3AC7">
        <w:rPr>
          <w:lang w:val="de-DE" w:eastAsia="ja-JP"/>
        </w:rPr>
        <w:t>(vergleiche</w:t>
      </w:r>
      <w:r w:rsidR="00DE040B" w:rsidRPr="001E3AC7">
        <w:rPr>
          <w:lang w:val="de-DE" w:eastAsia="ja-JP"/>
        </w:rPr>
        <w:t xml:space="preserve"> </w:t>
      </w:r>
      <w:r w:rsidR="000D3F83" w:rsidRPr="001E3AC7">
        <w:rPr>
          <w:lang w:val="de-DE" w:eastAsia="ja-JP"/>
        </w:rPr>
        <w:t>Dokument</w:t>
      </w:r>
      <w:r w:rsidR="00DE040B" w:rsidRPr="001E3AC7">
        <w:rPr>
          <w:lang w:val="de-DE" w:eastAsia="ja-JP"/>
        </w:rPr>
        <w:t xml:space="preserve"> TC/51/11 </w:t>
      </w:r>
      <w:proofErr w:type="spellStart"/>
      <w:r w:rsidR="00DE040B" w:rsidRPr="001E3AC7">
        <w:rPr>
          <w:lang w:val="de-DE" w:eastAsia="ja-JP"/>
        </w:rPr>
        <w:t>Rev</w:t>
      </w:r>
      <w:proofErr w:type="spellEnd"/>
      <w:r w:rsidR="00DE040B" w:rsidRPr="001E3AC7">
        <w:rPr>
          <w:lang w:val="de-DE" w:eastAsia="ja-JP"/>
        </w:rPr>
        <w:t xml:space="preserve">. </w:t>
      </w:r>
      <w:r w:rsidR="000D3F83" w:rsidRPr="001E3AC7">
        <w:rPr>
          <w:lang w:val="de-DE" w:eastAsia="ja-JP"/>
        </w:rPr>
        <w:t>„</w:t>
      </w:r>
      <w:r w:rsidR="001E3AC7">
        <w:rPr>
          <w:lang w:val="de-DE" w:eastAsia="ja-JP"/>
        </w:rPr>
        <w:t>Molekulare Verfahren</w:t>
      </w:r>
      <w:r w:rsidR="000D3F83" w:rsidRPr="001E3AC7">
        <w:rPr>
          <w:lang w:val="de-DE" w:eastAsia="ja-JP"/>
        </w:rPr>
        <w:t>“</w:t>
      </w:r>
      <w:r w:rsidR="00DE040B" w:rsidRPr="001E3AC7">
        <w:rPr>
          <w:lang w:val="de-DE" w:eastAsia="ja-JP"/>
        </w:rPr>
        <w:t xml:space="preserve">, </w:t>
      </w:r>
      <w:r w:rsidR="000D3F83" w:rsidRPr="001E3AC7">
        <w:rPr>
          <w:lang w:val="de-DE" w:eastAsia="ja-JP"/>
        </w:rPr>
        <w:t>Absatz</w:t>
      </w:r>
      <w:r w:rsidR="00DE040B" w:rsidRPr="001E3AC7">
        <w:rPr>
          <w:lang w:val="de-DE" w:eastAsia="ja-JP"/>
        </w:rPr>
        <w:t xml:space="preserve"> 25).</w:t>
      </w:r>
    </w:p>
    <w:p w:rsidR="005A5314" w:rsidRPr="001E3AC7" w:rsidRDefault="005A5314" w:rsidP="005A5314">
      <w:pPr>
        <w:rPr>
          <w:rFonts w:cs="Arial"/>
          <w:lang w:val="de-DE" w:eastAsia="ja-JP"/>
        </w:rPr>
      </w:pPr>
    </w:p>
    <w:p w:rsidR="005A5314" w:rsidRPr="001E3AC7" w:rsidRDefault="005A5314" w:rsidP="007412D9">
      <w:pPr>
        <w:spacing w:after="240"/>
        <w:rPr>
          <w:rFonts w:cs="Arial"/>
          <w:lang w:val="de-DE" w:eastAsia="ja-JP"/>
        </w:rPr>
      </w:pPr>
      <w:r w:rsidRPr="001E3AC7">
        <w:rPr>
          <w:rFonts w:cs="Arial"/>
          <w:lang w:val="de-DE"/>
        </w:rPr>
        <w:fldChar w:fldCharType="begin"/>
      </w:r>
      <w:r w:rsidRPr="001E3AC7">
        <w:rPr>
          <w:rFonts w:cs="Arial"/>
          <w:lang w:val="de-DE"/>
        </w:rPr>
        <w:instrText xml:space="preserve"> AUTONUM  </w:instrText>
      </w:r>
      <w:r w:rsidRPr="001E3AC7">
        <w:rPr>
          <w:rFonts w:cs="Arial"/>
          <w:lang w:val="de-DE"/>
        </w:rPr>
        <w:fldChar w:fldCharType="end"/>
      </w:r>
      <w:r w:rsidRPr="001E3AC7">
        <w:rPr>
          <w:rFonts w:cs="Arial"/>
          <w:lang w:val="de-DE"/>
        </w:rPr>
        <w:tab/>
      </w:r>
      <w:r w:rsidR="00B76130" w:rsidRPr="001E3AC7">
        <w:rPr>
          <w:rFonts w:cs="Arial"/>
          <w:lang w:val="de-DE"/>
        </w:rPr>
        <w:t xml:space="preserve">Die Arbeitstagung vereinbarte, eine Bestandsaufnahme durch UPOV, OECD und ISTA der Verwendung molekularer Markerverfahren nach Pflanze im Hinblick auf die Ausarbeitung eines </w:t>
      </w:r>
      <w:r w:rsidR="001E5D7A">
        <w:rPr>
          <w:rFonts w:cs="Arial"/>
          <w:lang w:val="de-DE"/>
        </w:rPr>
        <w:t>Dokuments</w:t>
      </w:r>
      <w:r w:rsidR="00B76130" w:rsidRPr="001E3AC7">
        <w:rPr>
          <w:rFonts w:cs="Arial"/>
          <w:lang w:val="de-DE"/>
        </w:rPr>
        <w:t xml:space="preserve"> mit diesen Informationen in ähnlichem Format wie das UPOV-Dokument UPOV/INF/16 „Austauschbare Software“ vorzuschlagen. Es wurde </w:t>
      </w:r>
      <w:r w:rsidR="001E3AC7">
        <w:rPr>
          <w:rFonts w:cs="Arial"/>
          <w:lang w:val="de-DE"/>
        </w:rPr>
        <w:t xml:space="preserve">zur </w:t>
      </w:r>
      <w:r w:rsidR="00BC3AB0">
        <w:rPr>
          <w:rFonts w:cs="Arial"/>
          <w:lang w:val="de-DE"/>
        </w:rPr>
        <w:t>Kenntnis</w:t>
      </w:r>
      <w:r w:rsidR="00B76130" w:rsidRPr="001E3AC7">
        <w:rPr>
          <w:rFonts w:cs="Arial"/>
          <w:lang w:val="de-DE"/>
        </w:rPr>
        <w:t xml:space="preserve"> genommen, daß die OECD bereits einige Informationen betreffend die Verwendung molekularer Verfahren durch ihre benannten Behörden gesammelt hat</w:t>
      </w:r>
      <w:r w:rsidRPr="001E3AC7">
        <w:rPr>
          <w:rFonts w:cs="Arial"/>
          <w:lang w:val="de-DE" w:eastAsia="ja-JP"/>
        </w:rPr>
        <w:t xml:space="preserve"> </w:t>
      </w:r>
      <w:r w:rsidR="000D3F83" w:rsidRPr="001E3AC7">
        <w:rPr>
          <w:lang w:val="de-DE" w:eastAsia="ja-JP"/>
        </w:rPr>
        <w:t>(vergleiche</w:t>
      </w:r>
      <w:r w:rsidR="00DE040B" w:rsidRPr="001E3AC7">
        <w:rPr>
          <w:lang w:val="de-DE" w:eastAsia="ja-JP"/>
        </w:rPr>
        <w:t xml:space="preserve"> </w:t>
      </w:r>
      <w:r w:rsidR="000D3F83" w:rsidRPr="001E3AC7">
        <w:rPr>
          <w:lang w:val="de-DE" w:eastAsia="ja-JP"/>
        </w:rPr>
        <w:t>Dokument</w:t>
      </w:r>
      <w:r w:rsidR="00DE040B" w:rsidRPr="001E3AC7">
        <w:rPr>
          <w:lang w:val="de-DE" w:eastAsia="ja-JP"/>
        </w:rPr>
        <w:t xml:space="preserve"> TC/51/11 </w:t>
      </w:r>
      <w:proofErr w:type="spellStart"/>
      <w:r w:rsidR="00DE040B" w:rsidRPr="001E3AC7">
        <w:rPr>
          <w:lang w:val="de-DE" w:eastAsia="ja-JP"/>
        </w:rPr>
        <w:t>Rev</w:t>
      </w:r>
      <w:proofErr w:type="spellEnd"/>
      <w:r w:rsidR="00DE040B" w:rsidRPr="001E3AC7">
        <w:rPr>
          <w:lang w:val="de-DE" w:eastAsia="ja-JP"/>
        </w:rPr>
        <w:t xml:space="preserve">. </w:t>
      </w:r>
      <w:r w:rsidR="000D3F83" w:rsidRPr="001E3AC7">
        <w:rPr>
          <w:lang w:val="de-DE" w:eastAsia="ja-JP"/>
        </w:rPr>
        <w:t>„</w:t>
      </w:r>
      <w:r w:rsidR="001E3AC7">
        <w:rPr>
          <w:lang w:val="de-DE" w:eastAsia="ja-JP"/>
        </w:rPr>
        <w:t>Molekulare Verfahren</w:t>
      </w:r>
      <w:r w:rsidR="000D3F83" w:rsidRPr="001E3AC7">
        <w:rPr>
          <w:lang w:val="de-DE" w:eastAsia="ja-JP"/>
        </w:rPr>
        <w:t>“</w:t>
      </w:r>
      <w:r w:rsidR="00DE040B" w:rsidRPr="001E3AC7">
        <w:rPr>
          <w:lang w:val="de-DE" w:eastAsia="ja-JP"/>
        </w:rPr>
        <w:t xml:space="preserve">, </w:t>
      </w:r>
      <w:r w:rsidR="000D3F83" w:rsidRPr="001E3AC7">
        <w:rPr>
          <w:lang w:val="de-DE" w:eastAsia="ja-JP"/>
        </w:rPr>
        <w:t>Absatz</w:t>
      </w:r>
      <w:r w:rsidR="00DE040B" w:rsidRPr="001E3AC7">
        <w:rPr>
          <w:lang w:val="de-DE" w:eastAsia="ja-JP"/>
        </w:rPr>
        <w:t xml:space="preserve"> 26).</w:t>
      </w:r>
    </w:p>
    <w:p w:rsidR="005A5314" w:rsidRPr="001E3AC7" w:rsidRDefault="005A5314" w:rsidP="007412D9">
      <w:pPr>
        <w:spacing w:after="240"/>
        <w:rPr>
          <w:rFonts w:cs="Arial"/>
          <w:lang w:val="de-DE" w:eastAsia="ja-JP"/>
        </w:rPr>
      </w:pPr>
      <w:r w:rsidRPr="001E3AC7">
        <w:rPr>
          <w:rFonts w:cs="Arial"/>
          <w:lang w:val="de-DE"/>
        </w:rPr>
        <w:fldChar w:fldCharType="begin"/>
      </w:r>
      <w:r w:rsidRPr="001E3AC7">
        <w:rPr>
          <w:rFonts w:cs="Arial"/>
          <w:lang w:val="de-DE"/>
        </w:rPr>
        <w:instrText xml:space="preserve"> AUTONUM  </w:instrText>
      </w:r>
      <w:r w:rsidRPr="001E3AC7">
        <w:rPr>
          <w:rFonts w:cs="Arial"/>
          <w:lang w:val="de-DE"/>
        </w:rPr>
        <w:fldChar w:fldCharType="end"/>
      </w:r>
      <w:r w:rsidRPr="001E3AC7">
        <w:rPr>
          <w:rFonts w:cs="Arial"/>
          <w:lang w:val="de-DE"/>
        </w:rPr>
        <w:tab/>
      </w:r>
      <w:r w:rsidR="00B76130" w:rsidRPr="001E3AC7">
        <w:rPr>
          <w:rFonts w:cs="Arial"/>
          <w:lang w:val="de-DE"/>
        </w:rPr>
        <w:t>Ferner vereinbarte die Arbeitstagung</w:t>
      </w:r>
      <w:r w:rsidR="001E5D7A">
        <w:rPr>
          <w:rFonts w:cs="Arial"/>
          <w:lang w:val="de-DE"/>
        </w:rPr>
        <w:t>,</w:t>
      </w:r>
      <w:r w:rsidR="00B76130" w:rsidRPr="001E3AC7">
        <w:rPr>
          <w:rFonts w:cs="Arial"/>
          <w:lang w:val="de-DE"/>
        </w:rPr>
        <w:t xml:space="preserve"> vorzuschlagen, UPOV, OECD und ISTA zu ersuchen, Listen möglicher</w:t>
      </w:r>
      <w:r w:rsidR="00DE64AE">
        <w:rPr>
          <w:rFonts w:cs="Arial"/>
          <w:lang w:val="de-DE"/>
        </w:rPr>
        <w:t xml:space="preserve"> gemeinsam</w:t>
      </w:r>
      <w:r w:rsidR="00B76130" w:rsidRPr="001E3AC7">
        <w:rPr>
          <w:rFonts w:cs="Arial"/>
          <w:lang w:val="de-DE"/>
        </w:rPr>
        <w:t>er Initiativen im Hinblick auf molekulare Verfahren zu erstellen. Es wurde angemerkt, daß die Liste im Falle der UPOV</w:t>
      </w:r>
      <w:r w:rsidR="00E20A84">
        <w:rPr>
          <w:rFonts w:cs="Arial"/>
          <w:lang w:val="de-DE"/>
        </w:rPr>
        <w:t>,</w:t>
      </w:r>
      <w:r w:rsidR="00B76130" w:rsidRPr="001E3AC7">
        <w:rPr>
          <w:rFonts w:cs="Arial"/>
          <w:lang w:val="de-DE"/>
        </w:rPr>
        <w:t xml:space="preserve"> vorbehaltlich der Zustimmung durch den Technischen Ausschuß</w:t>
      </w:r>
      <w:r w:rsidR="00E20A84">
        <w:rPr>
          <w:rFonts w:cs="Arial"/>
          <w:lang w:val="de-DE"/>
        </w:rPr>
        <w:t>,</w:t>
      </w:r>
      <w:r w:rsidR="00B76130" w:rsidRPr="001E3AC7">
        <w:rPr>
          <w:rFonts w:cs="Arial"/>
          <w:lang w:val="de-DE"/>
        </w:rPr>
        <w:t xml:space="preserve"> von der BMT auf ihrer fünfzehnten Tagung aufgesetzt werden könnte </w:t>
      </w:r>
      <w:r w:rsidR="000D3F83" w:rsidRPr="001E3AC7">
        <w:rPr>
          <w:lang w:val="de-DE" w:eastAsia="ja-JP"/>
        </w:rPr>
        <w:t>(vergleiche</w:t>
      </w:r>
      <w:r w:rsidR="00DE040B" w:rsidRPr="001E3AC7">
        <w:rPr>
          <w:lang w:val="de-DE" w:eastAsia="ja-JP"/>
        </w:rPr>
        <w:t xml:space="preserve"> </w:t>
      </w:r>
      <w:r w:rsidR="000D3F83" w:rsidRPr="001E3AC7">
        <w:rPr>
          <w:lang w:val="de-DE" w:eastAsia="ja-JP"/>
        </w:rPr>
        <w:t>Dokument</w:t>
      </w:r>
      <w:r w:rsidR="00DE040B" w:rsidRPr="001E3AC7">
        <w:rPr>
          <w:lang w:val="de-DE" w:eastAsia="ja-JP"/>
        </w:rPr>
        <w:t xml:space="preserve"> TC/51/11 </w:t>
      </w:r>
      <w:proofErr w:type="spellStart"/>
      <w:r w:rsidR="00DE040B" w:rsidRPr="001E3AC7">
        <w:rPr>
          <w:lang w:val="de-DE" w:eastAsia="ja-JP"/>
        </w:rPr>
        <w:t>Rev</w:t>
      </w:r>
      <w:proofErr w:type="spellEnd"/>
      <w:r w:rsidR="00DE040B" w:rsidRPr="001E3AC7">
        <w:rPr>
          <w:lang w:val="de-DE" w:eastAsia="ja-JP"/>
        </w:rPr>
        <w:t xml:space="preserve">. </w:t>
      </w:r>
      <w:r w:rsidR="000D3F83" w:rsidRPr="001E3AC7">
        <w:rPr>
          <w:lang w:val="de-DE" w:eastAsia="ja-JP"/>
        </w:rPr>
        <w:t>„</w:t>
      </w:r>
      <w:r w:rsidR="001E3AC7">
        <w:rPr>
          <w:lang w:val="de-DE" w:eastAsia="ja-JP"/>
        </w:rPr>
        <w:t>Molekulare Verfahren</w:t>
      </w:r>
      <w:r w:rsidR="000D3F83" w:rsidRPr="001E3AC7">
        <w:rPr>
          <w:lang w:val="de-DE" w:eastAsia="ja-JP"/>
        </w:rPr>
        <w:t>“</w:t>
      </w:r>
      <w:r w:rsidR="00DE040B" w:rsidRPr="001E3AC7">
        <w:rPr>
          <w:lang w:val="de-DE" w:eastAsia="ja-JP"/>
        </w:rPr>
        <w:t xml:space="preserve">, </w:t>
      </w:r>
      <w:r w:rsidR="000D3F83" w:rsidRPr="001E3AC7">
        <w:rPr>
          <w:lang w:val="de-DE" w:eastAsia="ja-JP"/>
        </w:rPr>
        <w:t>Absatz</w:t>
      </w:r>
      <w:r w:rsidR="00DE040B" w:rsidRPr="001E3AC7">
        <w:rPr>
          <w:lang w:val="de-DE" w:eastAsia="ja-JP"/>
        </w:rPr>
        <w:t xml:space="preserve"> 27).</w:t>
      </w:r>
    </w:p>
    <w:p w:rsidR="00B87AF3" w:rsidRPr="001E3AC7" w:rsidRDefault="004A4B1C" w:rsidP="004620C3">
      <w:pPr>
        <w:pStyle w:val="Heading2"/>
        <w:rPr>
          <w:lang w:val="de-DE"/>
        </w:rPr>
      </w:pPr>
      <w:bookmarkStart w:id="36" w:name="_Toc444612394"/>
      <w:r w:rsidRPr="001E3AC7">
        <w:rPr>
          <w:lang w:val="de-DE" w:eastAsia="ja-JP"/>
        </w:rPr>
        <w:t>Gemeinsa</w:t>
      </w:r>
      <w:r w:rsidR="001E5D7A">
        <w:rPr>
          <w:lang w:val="de-DE" w:eastAsia="ja-JP"/>
        </w:rPr>
        <w:t>me Arbeitstagung von OECD, UPOV und</w:t>
      </w:r>
      <w:r w:rsidRPr="001E3AC7">
        <w:rPr>
          <w:lang w:val="de-DE" w:eastAsia="ja-JP"/>
        </w:rPr>
        <w:t xml:space="preserve"> ISTA über molekulare Verfahren</w:t>
      </w:r>
      <w:r w:rsidR="00F558D3" w:rsidRPr="001E3AC7">
        <w:rPr>
          <w:lang w:val="de-DE" w:eastAsia="ja-JP"/>
        </w:rPr>
        <w:t xml:space="preserve"> </w:t>
      </w:r>
      <w:r w:rsidR="00BC3AB0">
        <w:rPr>
          <w:lang w:val="de-DE" w:eastAsia="ja-JP"/>
        </w:rPr>
        <w:t xml:space="preserve">auf den einschlägigen </w:t>
      </w:r>
      <w:r w:rsidR="00E20A84">
        <w:rPr>
          <w:lang w:val="de-DE" w:eastAsia="ja-JP"/>
        </w:rPr>
        <w:t>Tagungen</w:t>
      </w:r>
      <w:r w:rsidR="00BC3AB0">
        <w:rPr>
          <w:lang w:val="de-DE" w:eastAsia="ja-JP"/>
        </w:rPr>
        <w:t xml:space="preserve"> von</w:t>
      </w:r>
      <w:r w:rsidR="00967457" w:rsidRPr="001E3AC7">
        <w:rPr>
          <w:lang w:val="de-DE" w:eastAsia="ja-JP"/>
        </w:rPr>
        <w:t xml:space="preserve"> OECD</w:t>
      </w:r>
      <w:r w:rsidR="004D1C2F">
        <w:rPr>
          <w:lang w:val="de-DE" w:eastAsia="ja-JP"/>
        </w:rPr>
        <w:t xml:space="preserve"> und </w:t>
      </w:r>
      <w:r w:rsidR="00F558D3" w:rsidRPr="001E3AC7">
        <w:rPr>
          <w:lang w:val="de-DE" w:eastAsia="ja-JP"/>
        </w:rPr>
        <w:t>ISTA</w:t>
      </w:r>
      <w:bookmarkEnd w:id="36"/>
    </w:p>
    <w:p w:rsidR="00472D5B" w:rsidRPr="001E3AC7" w:rsidRDefault="00472D5B" w:rsidP="00472D5B">
      <w:pPr>
        <w:rPr>
          <w:lang w:val="de-DE" w:eastAsia="ja-JP"/>
        </w:rPr>
      </w:pPr>
    </w:p>
    <w:p w:rsidR="00472D5B" w:rsidRPr="001E3AC7" w:rsidRDefault="00472D5B" w:rsidP="00472D5B">
      <w:pPr>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C3AB0">
        <w:rPr>
          <w:rFonts w:eastAsia="MS Mincho"/>
          <w:snapToGrid w:val="0"/>
          <w:lang w:val="de-DE" w:eastAsia="ja-JP"/>
        </w:rPr>
        <w:t>Der TC</w:t>
      </w:r>
      <w:r w:rsidRPr="001E3AC7">
        <w:rPr>
          <w:rFonts w:eastAsia="MS Mincho"/>
          <w:snapToGrid w:val="0"/>
          <w:lang w:val="de-DE" w:eastAsia="ja-JP"/>
        </w:rPr>
        <w:t xml:space="preserve"> </w:t>
      </w:r>
      <w:r w:rsidR="001E5D7A">
        <w:rPr>
          <w:lang w:val="de-DE"/>
        </w:rPr>
        <w:t xml:space="preserve">nahm </w:t>
      </w:r>
      <w:r w:rsidR="00BC3AB0">
        <w:rPr>
          <w:rFonts w:eastAsia="MS Mincho"/>
          <w:snapToGrid w:val="0"/>
          <w:lang w:val="de-DE" w:eastAsia="ja-JP"/>
        </w:rPr>
        <w:t>auf seiner einundfünfzigsten Tagung</w:t>
      </w:r>
      <w:r w:rsidR="00CA3219">
        <w:rPr>
          <w:rFonts w:eastAsia="MS Mincho"/>
          <w:snapToGrid w:val="0"/>
          <w:lang w:val="de-DE" w:eastAsia="ja-JP"/>
        </w:rPr>
        <w:t xml:space="preserve"> </w:t>
      </w:r>
      <w:r w:rsidR="00E16847">
        <w:rPr>
          <w:lang w:val="de-DE"/>
        </w:rPr>
        <w:t xml:space="preserve">zur Kenntnis, daß </w:t>
      </w:r>
      <w:r w:rsidR="00CA3219">
        <w:rPr>
          <w:lang w:val="de-DE"/>
        </w:rPr>
        <w:t>die</w:t>
      </w:r>
      <w:r w:rsidR="00DE64AE">
        <w:rPr>
          <w:lang w:val="de-DE"/>
        </w:rPr>
        <w:t xml:space="preserve"> gemeinsam</w:t>
      </w:r>
      <w:r w:rsidR="004A4B1C" w:rsidRPr="001E3AC7">
        <w:rPr>
          <w:rFonts w:cs="Arial"/>
          <w:lang w:val="de-DE" w:eastAsia="ja-JP"/>
        </w:rPr>
        <w:t>e Arbeitstagung von OECD, UPOV</w:t>
      </w:r>
      <w:r w:rsidR="001E5D7A">
        <w:rPr>
          <w:rFonts w:cs="Arial"/>
          <w:lang w:val="de-DE" w:eastAsia="ja-JP"/>
        </w:rPr>
        <w:t xml:space="preserve"> und</w:t>
      </w:r>
      <w:r w:rsidR="004A4B1C" w:rsidRPr="001E3AC7">
        <w:rPr>
          <w:rFonts w:cs="Arial"/>
          <w:lang w:val="de-DE" w:eastAsia="ja-JP"/>
        </w:rPr>
        <w:t xml:space="preserve"> ISTA über molekulare Verfahren</w:t>
      </w:r>
      <w:r w:rsidR="002E6D56" w:rsidRPr="001E3AC7">
        <w:rPr>
          <w:lang w:val="de-DE" w:eastAsia="ja-JP"/>
        </w:rPr>
        <w:t xml:space="preserve"> </w:t>
      </w:r>
      <w:r w:rsidR="001E73EE">
        <w:rPr>
          <w:lang w:val="de-DE"/>
        </w:rPr>
        <w:t>vereinbart hatte</w:t>
      </w:r>
      <w:r w:rsidR="00CA3219">
        <w:rPr>
          <w:lang w:val="de-DE"/>
        </w:rPr>
        <w:t>,</w:t>
      </w:r>
      <w:r w:rsidR="002E6D56" w:rsidRPr="001E3AC7">
        <w:rPr>
          <w:lang w:val="de-DE"/>
        </w:rPr>
        <w:t xml:space="preserve"> </w:t>
      </w:r>
      <w:r w:rsidR="00CA3219" w:rsidRPr="00CA3219">
        <w:rPr>
          <w:lang w:val="de-DE"/>
        </w:rPr>
        <w:t>daß es zweckmäßig wäre, die</w:t>
      </w:r>
      <w:r w:rsidR="00DE64AE">
        <w:rPr>
          <w:lang w:val="de-DE"/>
        </w:rPr>
        <w:t xml:space="preserve"> gemeinsam</w:t>
      </w:r>
      <w:r w:rsidR="00CA3219" w:rsidRPr="00CA3219">
        <w:rPr>
          <w:lang w:val="de-DE"/>
        </w:rPr>
        <w:t>e Arbeitstagung auf einschlägigen Tagungen der OECD und der ISTA zu wiederholen, und in dieser Hinsicht, daß die Tagung der Technischen Arbeitsgruppe der OECD-Saatgutsysteme vereinbart hatte, daß eine weitere</w:t>
      </w:r>
      <w:r w:rsidR="00DE64AE">
        <w:rPr>
          <w:lang w:val="de-DE"/>
        </w:rPr>
        <w:t xml:space="preserve"> gemeinsam</w:t>
      </w:r>
      <w:r w:rsidR="00CA3219" w:rsidRPr="00CA3219">
        <w:rPr>
          <w:lang w:val="de-DE"/>
        </w:rPr>
        <w:t>e Arbeitstagung von OECD, UPOV</w:t>
      </w:r>
      <w:r w:rsidR="001E5D7A">
        <w:rPr>
          <w:lang w:val="de-DE"/>
        </w:rPr>
        <w:t xml:space="preserve"> und</w:t>
      </w:r>
      <w:r w:rsidR="00CA3219" w:rsidRPr="00CA3219">
        <w:rPr>
          <w:lang w:val="de-DE"/>
        </w:rPr>
        <w:t xml:space="preserve"> ISTA über molekulare Verfahren entweder in Verbindung mit der Jahrestagung der OECD-Saatgutsysteme im Juni 2015 in Paris oder in Verbindung mit der Tagung der Technischen Arbeitsgruppe im Januar 2016 organisiert werden soll</w:t>
      </w:r>
      <w:r w:rsidR="00E20A84">
        <w:rPr>
          <w:lang w:val="de-DE"/>
        </w:rPr>
        <w:t>e</w:t>
      </w:r>
      <w:r w:rsidR="00CA3219" w:rsidRPr="00CA3219">
        <w:rPr>
          <w:lang w:val="de-DE"/>
        </w:rPr>
        <w:t xml:space="preserve"> </w:t>
      </w:r>
      <w:r w:rsidR="000D3F83" w:rsidRPr="001E3AC7">
        <w:rPr>
          <w:lang w:val="de-DE" w:eastAsia="ja-JP"/>
        </w:rPr>
        <w:t>(vergleiche</w:t>
      </w:r>
      <w:r w:rsidRPr="001E3AC7">
        <w:rPr>
          <w:lang w:val="de-DE" w:eastAsia="ja-JP"/>
        </w:rPr>
        <w:t> </w:t>
      </w:r>
      <w:r w:rsidR="000D3F83" w:rsidRPr="001E3AC7">
        <w:rPr>
          <w:lang w:val="de-DE" w:eastAsia="ja-JP"/>
        </w:rPr>
        <w:t>Dokument</w:t>
      </w:r>
      <w:r w:rsidRPr="001E3AC7">
        <w:rPr>
          <w:lang w:val="de-DE" w:eastAsia="ja-JP"/>
        </w:rPr>
        <w:t> </w:t>
      </w:r>
      <w:r w:rsidR="00CA3219">
        <w:rPr>
          <w:lang w:val="de-DE" w:eastAsia="ja-JP"/>
        </w:rPr>
        <w:t>TC/51/39 „Bericht</w:t>
      </w:r>
      <w:r w:rsidR="005508EE">
        <w:rPr>
          <w:lang w:val="de-DE" w:eastAsia="ja-JP"/>
        </w:rPr>
        <w:t>“</w:t>
      </w:r>
      <w:r w:rsidRPr="001E3AC7">
        <w:rPr>
          <w:lang w:val="de-DE" w:eastAsia="ja-JP"/>
        </w:rPr>
        <w:t xml:space="preserve">, </w:t>
      </w:r>
      <w:r w:rsidR="000D3F83" w:rsidRPr="001E3AC7">
        <w:rPr>
          <w:lang w:val="de-DE" w:eastAsia="ja-JP"/>
        </w:rPr>
        <w:t>Absatz</w:t>
      </w:r>
      <w:r w:rsidRPr="001E3AC7">
        <w:rPr>
          <w:lang w:val="de-DE" w:eastAsia="ja-JP"/>
        </w:rPr>
        <w:t xml:space="preserve"> 178)</w:t>
      </w:r>
      <w:r w:rsidRPr="001E3AC7">
        <w:rPr>
          <w:lang w:val="de-DE"/>
        </w:rPr>
        <w:t>.</w:t>
      </w:r>
    </w:p>
    <w:p w:rsidR="00472D5B" w:rsidRPr="001E3AC7" w:rsidRDefault="00472D5B" w:rsidP="00472D5B">
      <w:pPr>
        <w:rPr>
          <w:lang w:val="de-DE" w:eastAsia="ja-JP"/>
        </w:rPr>
      </w:pPr>
    </w:p>
    <w:p w:rsidR="00D615FC" w:rsidRPr="001E3AC7" w:rsidRDefault="002C2E0E" w:rsidP="00D615FC">
      <w:pPr>
        <w:pStyle w:val="Default"/>
        <w:jc w:val="both"/>
        <w:rPr>
          <w:sz w:val="20"/>
          <w:szCs w:val="20"/>
          <w:lang w:val="de-DE" w:eastAsia="ja-JP"/>
        </w:rPr>
      </w:pPr>
      <w:r w:rsidRPr="001E3AC7">
        <w:rPr>
          <w:sz w:val="20"/>
          <w:lang w:val="de-DE"/>
        </w:rPr>
        <w:fldChar w:fldCharType="begin"/>
      </w:r>
      <w:r w:rsidRPr="001E3AC7">
        <w:rPr>
          <w:sz w:val="20"/>
          <w:lang w:val="de-DE"/>
        </w:rPr>
        <w:instrText xml:space="preserve"> AUTONUM  </w:instrText>
      </w:r>
      <w:r w:rsidRPr="001E3AC7">
        <w:rPr>
          <w:sz w:val="20"/>
          <w:lang w:val="de-DE"/>
        </w:rPr>
        <w:fldChar w:fldCharType="end"/>
      </w:r>
      <w:r w:rsidRPr="001E3AC7">
        <w:rPr>
          <w:sz w:val="20"/>
          <w:lang w:val="de-DE"/>
        </w:rPr>
        <w:tab/>
      </w:r>
      <w:r w:rsidR="00CA3219">
        <w:rPr>
          <w:sz w:val="20"/>
          <w:lang w:val="de-DE"/>
        </w:rPr>
        <w:t xml:space="preserve">Am 4. </w:t>
      </w:r>
      <w:r w:rsidRPr="001E3AC7">
        <w:rPr>
          <w:sz w:val="20"/>
          <w:szCs w:val="20"/>
          <w:lang w:val="de-DE" w:eastAsia="ja-JP"/>
        </w:rPr>
        <w:t>Januar</w:t>
      </w:r>
      <w:r w:rsidR="00CA3219">
        <w:rPr>
          <w:sz w:val="20"/>
          <w:szCs w:val="20"/>
          <w:lang w:val="de-DE" w:eastAsia="ja-JP"/>
        </w:rPr>
        <w:t xml:space="preserve"> </w:t>
      </w:r>
      <w:r w:rsidRPr="001E3AC7">
        <w:rPr>
          <w:sz w:val="20"/>
          <w:szCs w:val="20"/>
          <w:lang w:val="de-DE" w:eastAsia="ja-JP"/>
        </w:rPr>
        <w:t>2016</w:t>
      </w:r>
      <w:r w:rsidR="00CA3219">
        <w:rPr>
          <w:sz w:val="20"/>
          <w:szCs w:val="20"/>
          <w:lang w:val="de-DE" w:eastAsia="ja-JP"/>
        </w:rPr>
        <w:t xml:space="preserve"> erstellte </w:t>
      </w:r>
      <w:r w:rsidR="001E5D7A">
        <w:rPr>
          <w:sz w:val="20"/>
          <w:szCs w:val="20"/>
          <w:lang w:val="de-DE" w:eastAsia="ja-JP"/>
        </w:rPr>
        <w:t xml:space="preserve">die </w:t>
      </w:r>
      <w:r w:rsidRPr="001E3AC7">
        <w:rPr>
          <w:sz w:val="20"/>
          <w:szCs w:val="20"/>
          <w:lang w:val="de-DE" w:eastAsia="ja-JP"/>
        </w:rPr>
        <w:t xml:space="preserve">OECD </w:t>
      </w:r>
      <w:r w:rsidR="000D3F83" w:rsidRPr="001E3AC7">
        <w:rPr>
          <w:sz w:val="20"/>
          <w:szCs w:val="20"/>
          <w:lang w:val="de-DE" w:eastAsia="ja-JP"/>
        </w:rPr>
        <w:t>Dokument</w:t>
      </w:r>
      <w:r w:rsidR="00C57B08" w:rsidRPr="001E3AC7">
        <w:rPr>
          <w:sz w:val="20"/>
          <w:szCs w:val="20"/>
          <w:lang w:val="de-DE" w:eastAsia="ja-JP"/>
        </w:rPr>
        <w:t xml:space="preserve"> TAD/CA/S/RD(2016)7 </w:t>
      </w:r>
      <w:r w:rsidR="000D3F83" w:rsidRPr="001E3AC7">
        <w:rPr>
          <w:sz w:val="20"/>
          <w:szCs w:val="20"/>
          <w:lang w:val="de-DE" w:eastAsia="ja-JP"/>
        </w:rPr>
        <w:t>„</w:t>
      </w:r>
      <w:proofErr w:type="spellStart"/>
      <w:r w:rsidR="009227E6" w:rsidRPr="007412D9">
        <w:rPr>
          <w:i/>
          <w:sz w:val="20"/>
          <w:szCs w:val="20"/>
          <w:lang w:val="de-DE" w:eastAsia="ja-JP"/>
        </w:rPr>
        <w:t>Preliminary</w:t>
      </w:r>
      <w:proofErr w:type="spellEnd"/>
      <w:r w:rsidR="009227E6" w:rsidRPr="007412D9">
        <w:rPr>
          <w:i/>
          <w:sz w:val="20"/>
          <w:szCs w:val="20"/>
          <w:lang w:val="de-DE" w:eastAsia="ja-JP"/>
        </w:rPr>
        <w:t xml:space="preserve"> </w:t>
      </w:r>
      <w:proofErr w:type="spellStart"/>
      <w:r w:rsidR="009227E6" w:rsidRPr="007412D9">
        <w:rPr>
          <w:i/>
          <w:sz w:val="20"/>
          <w:szCs w:val="20"/>
          <w:lang w:val="de-DE" w:eastAsia="ja-JP"/>
        </w:rPr>
        <w:t>Draft</w:t>
      </w:r>
      <w:proofErr w:type="spellEnd"/>
      <w:r w:rsidR="009227E6" w:rsidRPr="007412D9">
        <w:rPr>
          <w:rFonts w:hint="eastAsia"/>
          <w:i/>
          <w:sz w:val="20"/>
          <w:szCs w:val="20"/>
          <w:lang w:val="de-DE" w:eastAsia="ja-JP"/>
        </w:rPr>
        <w:t xml:space="preserve"> </w:t>
      </w:r>
      <w:r w:rsidR="009227E6" w:rsidRPr="007412D9">
        <w:rPr>
          <w:i/>
          <w:sz w:val="20"/>
          <w:szCs w:val="20"/>
          <w:lang w:val="de-DE" w:eastAsia="ja-JP"/>
        </w:rPr>
        <w:t xml:space="preserve">Programme </w:t>
      </w:r>
      <w:proofErr w:type="spellStart"/>
      <w:r w:rsidR="009227E6" w:rsidRPr="007412D9">
        <w:rPr>
          <w:rFonts w:hint="eastAsia"/>
          <w:i/>
          <w:sz w:val="20"/>
          <w:szCs w:val="20"/>
          <w:lang w:val="de-DE" w:eastAsia="ja-JP"/>
        </w:rPr>
        <w:t>o</w:t>
      </w:r>
      <w:r w:rsidR="009227E6" w:rsidRPr="007412D9">
        <w:rPr>
          <w:i/>
          <w:sz w:val="20"/>
          <w:szCs w:val="20"/>
          <w:lang w:val="de-DE" w:eastAsia="ja-JP"/>
        </w:rPr>
        <w:t>f</w:t>
      </w:r>
      <w:proofErr w:type="spellEnd"/>
      <w:r w:rsidR="009227E6" w:rsidRPr="007412D9">
        <w:rPr>
          <w:i/>
          <w:sz w:val="20"/>
          <w:szCs w:val="20"/>
          <w:lang w:val="de-DE" w:eastAsia="ja-JP"/>
        </w:rPr>
        <w:t xml:space="preserve"> </w:t>
      </w:r>
      <w:proofErr w:type="spellStart"/>
      <w:r w:rsidR="009227E6" w:rsidRPr="007412D9">
        <w:rPr>
          <w:rFonts w:hint="eastAsia"/>
          <w:i/>
          <w:sz w:val="20"/>
          <w:szCs w:val="20"/>
          <w:lang w:val="de-DE" w:eastAsia="ja-JP"/>
        </w:rPr>
        <w:t>t</w:t>
      </w:r>
      <w:r w:rsidR="009227E6" w:rsidRPr="007412D9">
        <w:rPr>
          <w:i/>
          <w:sz w:val="20"/>
          <w:szCs w:val="20"/>
          <w:lang w:val="de-DE" w:eastAsia="ja-JP"/>
        </w:rPr>
        <w:t>he</w:t>
      </w:r>
      <w:proofErr w:type="spellEnd"/>
      <w:r w:rsidR="009227E6" w:rsidRPr="007412D9">
        <w:rPr>
          <w:i/>
          <w:sz w:val="20"/>
          <w:szCs w:val="20"/>
          <w:lang w:val="de-DE" w:eastAsia="ja-JP"/>
        </w:rPr>
        <w:t xml:space="preserve"> Joint</w:t>
      </w:r>
      <w:r w:rsidR="009227E6" w:rsidRPr="007412D9">
        <w:rPr>
          <w:rFonts w:hint="eastAsia"/>
          <w:i/>
          <w:sz w:val="20"/>
          <w:szCs w:val="20"/>
          <w:lang w:val="de-DE" w:eastAsia="ja-JP"/>
        </w:rPr>
        <w:t xml:space="preserve"> </w:t>
      </w:r>
      <w:r w:rsidR="009227E6" w:rsidRPr="007412D9">
        <w:rPr>
          <w:i/>
          <w:sz w:val="20"/>
          <w:szCs w:val="20"/>
          <w:lang w:val="de-DE" w:eastAsia="ja-JP"/>
        </w:rPr>
        <w:t>O</w:t>
      </w:r>
      <w:r w:rsidR="009227E6" w:rsidRPr="007412D9">
        <w:rPr>
          <w:rFonts w:hint="eastAsia"/>
          <w:i/>
          <w:sz w:val="20"/>
          <w:szCs w:val="20"/>
          <w:lang w:val="de-DE" w:eastAsia="ja-JP"/>
        </w:rPr>
        <w:t>ECD</w:t>
      </w:r>
      <w:r w:rsidR="009227E6" w:rsidRPr="007412D9">
        <w:rPr>
          <w:i/>
          <w:sz w:val="20"/>
          <w:szCs w:val="20"/>
          <w:lang w:val="de-DE" w:eastAsia="ja-JP"/>
        </w:rPr>
        <w:t>/U</w:t>
      </w:r>
      <w:r w:rsidR="009227E6" w:rsidRPr="007412D9">
        <w:rPr>
          <w:rFonts w:hint="eastAsia"/>
          <w:i/>
          <w:sz w:val="20"/>
          <w:szCs w:val="20"/>
          <w:lang w:val="de-DE" w:eastAsia="ja-JP"/>
        </w:rPr>
        <w:t>POV/ISTA</w:t>
      </w:r>
      <w:r w:rsidR="009227E6" w:rsidRPr="007412D9">
        <w:rPr>
          <w:i/>
          <w:sz w:val="20"/>
          <w:szCs w:val="20"/>
          <w:lang w:val="de-DE" w:eastAsia="ja-JP"/>
        </w:rPr>
        <w:t>/A</w:t>
      </w:r>
      <w:r w:rsidR="009227E6" w:rsidRPr="007412D9">
        <w:rPr>
          <w:rFonts w:hint="eastAsia"/>
          <w:i/>
          <w:sz w:val="20"/>
          <w:szCs w:val="20"/>
          <w:lang w:val="de-DE" w:eastAsia="ja-JP"/>
        </w:rPr>
        <w:t>OSA</w:t>
      </w:r>
      <w:r w:rsidR="009227E6" w:rsidRPr="007412D9">
        <w:rPr>
          <w:i/>
          <w:sz w:val="20"/>
          <w:szCs w:val="20"/>
          <w:lang w:val="de-DE" w:eastAsia="ja-JP"/>
        </w:rPr>
        <w:t xml:space="preserve"> Workshop </w:t>
      </w:r>
      <w:r w:rsidR="009227E6" w:rsidRPr="007412D9">
        <w:rPr>
          <w:rFonts w:hint="eastAsia"/>
          <w:i/>
          <w:sz w:val="20"/>
          <w:szCs w:val="20"/>
          <w:lang w:val="de-DE" w:eastAsia="ja-JP"/>
        </w:rPr>
        <w:t>o</w:t>
      </w:r>
      <w:r w:rsidR="009227E6" w:rsidRPr="007412D9">
        <w:rPr>
          <w:i/>
          <w:sz w:val="20"/>
          <w:szCs w:val="20"/>
          <w:lang w:val="de-DE" w:eastAsia="ja-JP"/>
        </w:rPr>
        <w:t>n</w:t>
      </w:r>
      <w:r w:rsidR="009227E6" w:rsidRPr="007412D9">
        <w:rPr>
          <w:rFonts w:hint="eastAsia"/>
          <w:i/>
          <w:sz w:val="20"/>
          <w:szCs w:val="20"/>
          <w:lang w:val="de-DE" w:eastAsia="ja-JP"/>
        </w:rPr>
        <w:t xml:space="preserve"> </w:t>
      </w:r>
      <w:proofErr w:type="spellStart"/>
      <w:r w:rsidR="009227E6" w:rsidRPr="007412D9">
        <w:rPr>
          <w:i/>
          <w:sz w:val="20"/>
          <w:szCs w:val="20"/>
          <w:lang w:val="de-DE" w:eastAsia="ja-JP"/>
        </w:rPr>
        <w:t>Biochemical</w:t>
      </w:r>
      <w:proofErr w:type="spellEnd"/>
      <w:r w:rsidR="009227E6" w:rsidRPr="007412D9">
        <w:rPr>
          <w:i/>
          <w:sz w:val="20"/>
          <w:szCs w:val="20"/>
          <w:lang w:val="de-DE" w:eastAsia="ja-JP"/>
        </w:rPr>
        <w:t xml:space="preserve"> </w:t>
      </w:r>
      <w:proofErr w:type="spellStart"/>
      <w:r w:rsidR="009227E6" w:rsidRPr="007412D9">
        <w:rPr>
          <w:rFonts w:hint="eastAsia"/>
          <w:i/>
          <w:sz w:val="20"/>
          <w:szCs w:val="20"/>
          <w:lang w:val="de-DE" w:eastAsia="ja-JP"/>
        </w:rPr>
        <w:t>a</w:t>
      </w:r>
      <w:r w:rsidR="009227E6" w:rsidRPr="007412D9">
        <w:rPr>
          <w:i/>
          <w:sz w:val="20"/>
          <w:szCs w:val="20"/>
          <w:lang w:val="de-DE" w:eastAsia="ja-JP"/>
        </w:rPr>
        <w:t>nd</w:t>
      </w:r>
      <w:proofErr w:type="spellEnd"/>
      <w:r w:rsidR="009227E6" w:rsidRPr="007412D9">
        <w:rPr>
          <w:i/>
          <w:sz w:val="20"/>
          <w:szCs w:val="20"/>
          <w:lang w:val="de-DE" w:eastAsia="ja-JP"/>
        </w:rPr>
        <w:t xml:space="preserve"> </w:t>
      </w:r>
      <w:proofErr w:type="spellStart"/>
      <w:r w:rsidR="009227E6" w:rsidRPr="007412D9">
        <w:rPr>
          <w:i/>
          <w:sz w:val="20"/>
          <w:szCs w:val="20"/>
          <w:lang w:val="de-DE" w:eastAsia="ja-JP"/>
        </w:rPr>
        <w:t>Molecular</w:t>
      </w:r>
      <w:proofErr w:type="spellEnd"/>
      <w:r w:rsidR="009227E6" w:rsidRPr="007412D9">
        <w:rPr>
          <w:i/>
          <w:sz w:val="20"/>
          <w:szCs w:val="20"/>
          <w:lang w:val="de-DE" w:eastAsia="ja-JP"/>
        </w:rPr>
        <w:t xml:space="preserve"> </w:t>
      </w:r>
      <w:proofErr w:type="spellStart"/>
      <w:r w:rsidR="009227E6" w:rsidRPr="007412D9">
        <w:rPr>
          <w:i/>
          <w:sz w:val="20"/>
          <w:szCs w:val="20"/>
          <w:lang w:val="de-DE" w:eastAsia="ja-JP"/>
        </w:rPr>
        <w:t>Techniques</w:t>
      </w:r>
      <w:proofErr w:type="spellEnd"/>
      <w:r w:rsidR="0062433B">
        <w:rPr>
          <w:sz w:val="20"/>
          <w:szCs w:val="20"/>
          <w:lang w:val="de-DE" w:eastAsia="ja-JP"/>
        </w:rPr>
        <w:t>“</w:t>
      </w:r>
      <w:r w:rsidR="00E20A84">
        <w:rPr>
          <w:sz w:val="20"/>
          <w:szCs w:val="20"/>
          <w:lang w:val="de-DE" w:eastAsia="ja-JP"/>
        </w:rPr>
        <w:t xml:space="preserve"> (Vorläufiger Entwurf für ein </w:t>
      </w:r>
      <w:r w:rsidR="00E20A84" w:rsidRPr="00E20A84">
        <w:rPr>
          <w:sz w:val="20"/>
          <w:szCs w:val="20"/>
          <w:lang w:val="de-DE" w:eastAsia="ja-JP"/>
        </w:rPr>
        <w:t xml:space="preserve">Programm der </w:t>
      </w:r>
      <w:r w:rsidR="00E20A84" w:rsidRPr="00E20A84">
        <w:rPr>
          <w:sz w:val="20"/>
          <w:szCs w:val="20"/>
          <w:lang w:val="de-DE"/>
        </w:rPr>
        <w:t>gemeinsam</w:t>
      </w:r>
      <w:r w:rsidR="00E20A84" w:rsidRPr="00E20A84">
        <w:rPr>
          <w:sz w:val="20"/>
          <w:szCs w:val="20"/>
          <w:lang w:val="de-DE" w:eastAsia="ja-JP"/>
        </w:rPr>
        <w:t>en Arbeitstagung von OECD, UPOV</w:t>
      </w:r>
      <w:r w:rsidR="00151794">
        <w:rPr>
          <w:sz w:val="20"/>
          <w:szCs w:val="20"/>
          <w:lang w:val="de-DE" w:eastAsia="ja-JP"/>
        </w:rPr>
        <w:t>,</w:t>
      </w:r>
      <w:r w:rsidR="00E20A84" w:rsidRPr="00E20A84">
        <w:rPr>
          <w:sz w:val="20"/>
          <w:szCs w:val="20"/>
          <w:lang w:val="de-DE" w:eastAsia="ja-JP"/>
        </w:rPr>
        <w:t xml:space="preserve"> ISTA</w:t>
      </w:r>
      <w:r w:rsidR="00151794">
        <w:rPr>
          <w:sz w:val="20"/>
          <w:szCs w:val="20"/>
          <w:lang w:val="de-DE" w:eastAsia="ja-JP"/>
        </w:rPr>
        <w:t xml:space="preserve"> und AOSA</w:t>
      </w:r>
      <w:r w:rsidR="00E20A84" w:rsidRPr="00E20A84">
        <w:rPr>
          <w:sz w:val="20"/>
          <w:szCs w:val="20"/>
          <w:lang w:val="de-DE" w:eastAsia="ja-JP"/>
        </w:rPr>
        <w:t xml:space="preserve"> über biochemische molekulare Verfahren</w:t>
      </w:r>
      <w:r w:rsidR="00E20A84">
        <w:rPr>
          <w:sz w:val="20"/>
          <w:szCs w:val="20"/>
          <w:lang w:val="de-DE" w:eastAsia="ja-JP"/>
        </w:rPr>
        <w:t>)</w:t>
      </w:r>
      <w:r w:rsidRPr="001E3AC7">
        <w:rPr>
          <w:sz w:val="20"/>
          <w:szCs w:val="20"/>
          <w:lang w:val="de-DE" w:eastAsia="ja-JP"/>
        </w:rPr>
        <w:t xml:space="preserve"> </w:t>
      </w:r>
      <w:r w:rsidR="00F4365F">
        <w:rPr>
          <w:sz w:val="20"/>
          <w:szCs w:val="20"/>
          <w:lang w:val="de-DE" w:eastAsia="ja-JP"/>
        </w:rPr>
        <w:t xml:space="preserve">zur Prüfung durch </w:t>
      </w:r>
      <w:r w:rsidR="009227E6">
        <w:rPr>
          <w:sz w:val="20"/>
          <w:szCs w:val="20"/>
          <w:lang w:val="de-DE" w:eastAsia="ja-JP"/>
        </w:rPr>
        <w:t xml:space="preserve">die in </w:t>
      </w:r>
      <w:r w:rsidR="009227E6" w:rsidRPr="001E3AC7">
        <w:rPr>
          <w:sz w:val="20"/>
          <w:szCs w:val="20"/>
          <w:lang w:val="de-DE" w:eastAsia="ja-JP"/>
        </w:rPr>
        <w:t xml:space="preserve">Cape Town, </w:t>
      </w:r>
      <w:r w:rsidR="009227E6">
        <w:rPr>
          <w:sz w:val="20"/>
          <w:szCs w:val="20"/>
          <w:lang w:val="de-DE" w:eastAsia="ja-JP"/>
        </w:rPr>
        <w:t>Südafrika</w:t>
      </w:r>
      <w:r w:rsidR="001E5D7A">
        <w:rPr>
          <w:sz w:val="20"/>
          <w:szCs w:val="20"/>
          <w:lang w:val="de-DE" w:eastAsia="ja-JP"/>
        </w:rPr>
        <w:t>,</w:t>
      </w:r>
      <w:r w:rsidR="009227E6" w:rsidRPr="009227E6">
        <w:rPr>
          <w:sz w:val="20"/>
          <w:szCs w:val="20"/>
          <w:lang w:val="de-DE" w:eastAsia="ja-JP"/>
        </w:rPr>
        <w:t xml:space="preserve"> </w:t>
      </w:r>
      <w:r w:rsidR="009227E6">
        <w:rPr>
          <w:sz w:val="20"/>
          <w:szCs w:val="20"/>
          <w:lang w:val="de-DE" w:eastAsia="ja-JP"/>
        </w:rPr>
        <w:t xml:space="preserve">abgehaltene </w:t>
      </w:r>
      <w:r w:rsidR="009227E6" w:rsidRPr="009227E6">
        <w:rPr>
          <w:sz w:val="20"/>
          <w:szCs w:val="20"/>
          <w:lang w:val="de-DE" w:eastAsia="ja-JP"/>
        </w:rPr>
        <w:t>Tagung der Technischen Arbeitsgruppe der OECD-Saatgutsysteme</w:t>
      </w:r>
      <w:r w:rsidR="009227E6">
        <w:rPr>
          <w:sz w:val="20"/>
          <w:szCs w:val="20"/>
          <w:lang w:val="de-DE" w:eastAsia="ja-JP"/>
        </w:rPr>
        <w:t xml:space="preserve"> vom </w:t>
      </w:r>
      <w:r w:rsidR="0022755F" w:rsidRPr="001E3AC7">
        <w:rPr>
          <w:sz w:val="20"/>
          <w:szCs w:val="20"/>
          <w:lang w:val="de-DE" w:eastAsia="ja-JP"/>
        </w:rPr>
        <w:t>26</w:t>
      </w:r>
      <w:r w:rsidR="009227E6">
        <w:rPr>
          <w:sz w:val="20"/>
          <w:szCs w:val="20"/>
          <w:lang w:val="de-DE" w:eastAsia="ja-JP"/>
        </w:rPr>
        <w:t xml:space="preserve">. </w:t>
      </w:r>
      <w:r w:rsidR="00256CE5">
        <w:rPr>
          <w:sz w:val="20"/>
          <w:szCs w:val="20"/>
          <w:lang w:val="de-DE" w:eastAsia="ja-JP"/>
        </w:rPr>
        <w:t>bis</w:t>
      </w:r>
      <w:r w:rsidR="0022755F" w:rsidRPr="001E3AC7">
        <w:rPr>
          <w:sz w:val="20"/>
          <w:szCs w:val="20"/>
          <w:lang w:val="de-DE" w:eastAsia="ja-JP"/>
        </w:rPr>
        <w:t xml:space="preserve"> 29</w:t>
      </w:r>
      <w:r w:rsidR="009227E6">
        <w:rPr>
          <w:sz w:val="20"/>
          <w:szCs w:val="20"/>
          <w:lang w:val="de-DE" w:eastAsia="ja-JP"/>
        </w:rPr>
        <w:t xml:space="preserve"> Januar</w:t>
      </w:r>
      <w:r w:rsidRPr="001E3AC7">
        <w:rPr>
          <w:sz w:val="20"/>
          <w:szCs w:val="20"/>
          <w:lang w:val="de-DE" w:eastAsia="ja-JP"/>
        </w:rPr>
        <w:t xml:space="preserve"> 2016</w:t>
      </w:r>
      <w:r w:rsidR="00670024" w:rsidRPr="001E3AC7">
        <w:rPr>
          <w:sz w:val="20"/>
          <w:szCs w:val="20"/>
          <w:lang w:val="de-DE" w:eastAsia="ja-JP"/>
        </w:rPr>
        <w:t xml:space="preserve">, </w:t>
      </w:r>
      <w:r w:rsidR="009227E6">
        <w:rPr>
          <w:sz w:val="20"/>
          <w:szCs w:val="20"/>
          <w:lang w:val="de-DE" w:eastAsia="ja-JP"/>
        </w:rPr>
        <w:t>in dem darauf hingewiesen wird, daß eine</w:t>
      </w:r>
      <w:r w:rsidR="00DE64AE">
        <w:rPr>
          <w:sz w:val="20"/>
          <w:szCs w:val="20"/>
          <w:lang w:val="de-DE" w:eastAsia="ja-JP"/>
        </w:rPr>
        <w:t xml:space="preserve"> gemeinsam</w:t>
      </w:r>
      <w:r w:rsidR="004D1C2F">
        <w:rPr>
          <w:sz w:val="20"/>
          <w:szCs w:val="20"/>
          <w:lang w:val="de-DE" w:eastAsia="ja-JP"/>
        </w:rPr>
        <w:t>e</w:t>
      </w:r>
      <w:r w:rsidR="001E5D7A">
        <w:rPr>
          <w:sz w:val="20"/>
          <w:szCs w:val="20"/>
          <w:lang w:val="de-DE" w:eastAsia="ja-JP"/>
        </w:rPr>
        <w:t>/ Arbeitstagung von OECD, UPOV und</w:t>
      </w:r>
      <w:r w:rsidR="004D1C2F">
        <w:rPr>
          <w:sz w:val="20"/>
          <w:szCs w:val="20"/>
          <w:lang w:val="de-DE" w:eastAsia="ja-JP"/>
        </w:rPr>
        <w:t xml:space="preserve"> ISTA über biochemische und molekulare Verfahren</w:t>
      </w:r>
      <w:r w:rsidR="00D615FC" w:rsidRPr="001E3AC7">
        <w:rPr>
          <w:sz w:val="20"/>
          <w:szCs w:val="20"/>
          <w:lang w:val="de-DE" w:eastAsia="ja-JP"/>
        </w:rPr>
        <w:t xml:space="preserve"> </w:t>
      </w:r>
      <w:r w:rsidR="001E5D7A">
        <w:rPr>
          <w:sz w:val="20"/>
          <w:szCs w:val="20"/>
          <w:lang w:val="de-DE" w:eastAsia="ja-JP"/>
        </w:rPr>
        <w:t xml:space="preserve">am </w:t>
      </w:r>
      <w:r w:rsidR="001E5D7A" w:rsidRPr="001E3AC7">
        <w:rPr>
          <w:sz w:val="20"/>
          <w:szCs w:val="20"/>
          <w:lang w:val="de-DE" w:eastAsia="ja-JP"/>
        </w:rPr>
        <w:t>7</w:t>
      </w:r>
      <w:r w:rsidR="001E5D7A">
        <w:rPr>
          <w:sz w:val="20"/>
          <w:szCs w:val="20"/>
          <w:lang w:val="de-DE" w:eastAsia="ja-JP"/>
        </w:rPr>
        <w:t>.</w:t>
      </w:r>
      <w:r w:rsidR="001E5D7A" w:rsidRPr="001E3AC7">
        <w:rPr>
          <w:sz w:val="20"/>
          <w:szCs w:val="20"/>
          <w:lang w:val="de-DE" w:eastAsia="ja-JP"/>
        </w:rPr>
        <w:t xml:space="preserve"> o</w:t>
      </w:r>
      <w:r w:rsidR="001E5D7A">
        <w:rPr>
          <w:sz w:val="20"/>
          <w:szCs w:val="20"/>
          <w:lang w:val="de-DE" w:eastAsia="ja-JP"/>
        </w:rPr>
        <w:t>de</w:t>
      </w:r>
      <w:r w:rsidR="001E5D7A" w:rsidRPr="001E3AC7">
        <w:rPr>
          <w:sz w:val="20"/>
          <w:szCs w:val="20"/>
          <w:lang w:val="de-DE" w:eastAsia="ja-JP"/>
        </w:rPr>
        <w:t>r 8</w:t>
      </w:r>
      <w:r w:rsidR="001E5D7A">
        <w:rPr>
          <w:sz w:val="20"/>
          <w:szCs w:val="20"/>
          <w:lang w:val="de-DE" w:eastAsia="ja-JP"/>
        </w:rPr>
        <w:t>. Juni</w:t>
      </w:r>
      <w:r w:rsidR="001E5D7A" w:rsidRPr="001E3AC7">
        <w:rPr>
          <w:sz w:val="20"/>
          <w:szCs w:val="20"/>
          <w:lang w:val="de-DE" w:eastAsia="ja-JP"/>
        </w:rPr>
        <w:t xml:space="preserve"> 2016</w:t>
      </w:r>
      <w:r w:rsidR="001E5D7A">
        <w:rPr>
          <w:sz w:val="20"/>
          <w:szCs w:val="20"/>
          <w:lang w:val="de-DE" w:eastAsia="ja-JP"/>
        </w:rPr>
        <w:t xml:space="preserve"> </w:t>
      </w:r>
      <w:r w:rsidR="00D615FC" w:rsidRPr="001E3AC7">
        <w:rPr>
          <w:sz w:val="20"/>
          <w:szCs w:val="20"/>
          <w:lang w:val="de-DE" w:eastAsia="ja-JP"/>
        </w:rPr>
        <w:t xml:space="preserve">in Paris, </w:t>
      </w:r>
      <w:r w:rsidR="00C77A66">
        <w:rPr>
          <w:sz w:val="20"/>
          <w:szCs w:val="20"/>
          <w:lang w:val="de-DE" w:eastAsia="ja-JP"/>
        </w:rPr>
        <w:t>Frankreich</w:t>
      </w:r>
      <w:r w:rsidR="00D615FC" w:rsidRPr="001E3AC7">
        <w:rPr>
          <w:sz w:val="20"/>
          <w:szCs w:val="20"/>
          <w:lang w:val="de-DE" w:eastAsia="ja-JP"/>
        </w:rPr>
        <w:t xml:space="preserve">, </w:t>
      </w:r>
      <w:r w:rsidR="009227E6">
        <w:rPr>
          <w:sz w:val="20"/>
          <w:szCs w:val="20"/>
          <w:lang w:val="de-DE" w:eastAsia="ja-JP"/>
        </w:rPr>
        <w:t>abgehalten wird</w:t>
      </w:r>
      <w:r w:rsidR="00D615FC" w:rsidRPr="001E3AC7">
        <w:rPr>
          <w:sz w:val="20"/>
          <w:szCs w:val="20"/>
          <w:lang w:val="de-DE" w:eastAsia="ja-JP"/>
        </w:rPr>
        <w:t>.</w:t>
      </w:r>
    </w:p>
    <w:p w:rsidR="00DC685E" w:rsidRPr="001E3AC7" w:rsidRDefault="00DC685E" w:rsidP="00D615FC">
      <w:pPr>
        <w:pStyle w:val="Default"/>
        <w:jc w:val="both"/>
        <w:rPr>
          <w:sz w:val="20"/>
          <w:szCs w:val="20"/>
          <w:lang w:val="de-DE" w:eastAsia="ja-JP"/>
        </w:rPr>
      </w:pPr>
    </w:p>
    <w:p w:rsidR="00D615FC" w:rsidRPr="001E3AC7" w:rsidRDefault="009227E6" w:rsidP="00D615FC">
      <w:pPr>
        <w:pStyle w:val="Heading2"/>
        <w:rPr>
          <w:lang w:val="de-DE" w:eastAsia="ja-JP"/>
        </w:rPr>
      </w:pPr>
      <w:bookmarkStart w:id="37" w:name="_Toc444612395"/>
      <w:r>
        <w:rPr>
          <w:lang w:val="de-DE" w:eastAsia="ja-JP"/>
        </w:rPr>
        <w:t>Wesentliche Besonderheiten der Systeme von OECD, UPOV und ISTA</w:t>
      </w:r>
      <w:bookmarkEnd w:id="37"/>
    </w:p>
    <w:p w:rsidR="00D615FC" w:rsidRPr="001E3AC7" w:rsidRDefault="00D615FC" w:rsidP="00D615FC">
      <w:pPr>
        <w:autoSpaceDE w:val="0"/>
        <w:autoSpaceDN w:val="0"/>
        <w:adjustRightInd w:val="0"/>
        <w:rPr>
          <w:rFonts w:cs="Arial"/>
          <w:lang w:val="de-DE" w:eastAsia="ja-JP"/>
        </w:rPr>
      </w:pPr>
    </w:p>
    <w:p w:rsidR="00D615FC" w:rsidRPr="001E3AC7" w:rsidRDefault="00D615FC" w:rsidP="009227E6">
      <w:pPr>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C3AB0">
        <w:rPr>
          <w:rFonts w:eastAsia="MS Mincho"/>
          <w:snapToGrid w:val="0"/>
          <w:lang w:val="de-DE" w:eastAsia="ja-JP"/>
        </w:rPr>
        <w:t>Der TC</w:t>
      </w:r>
      <w:r w:rsidR="009227E6">
        <w:rPr>
          <w:rFonts w:eastAsia="MS Mincho"/>
          <w:snapToGrid w:val="0"/>
          <w:lang w:val="de-DE" w:eastAsia="ja-JP"/>
        </w:rPr>
        <w:t xml:space="preserve"> </w:t>
      </w:r>
      <w:r w:rsidR="001E5D7A">
        <w:rPr>
          <w:lang w:val="de-DE"/>
        </w:rPr>
        <w:t>vereinbarte</w:t>
      </w:r>
      <w:r w:rsidR="001E5D7A">
        <w:rPr>
          <w:rFonts w:eastAsia="MS Mincho"/>
          <w:snapToGrid w:val="0"/>
          <w:lang w:val="de-DE" w:eastAsia="ja-JP"/>
        </w:rPr>
        <w:t xml:space="preserve"> </w:t>
      </w:r>
      <w:r w:rsidR="00BC3AB0">
        <w:rPr>
          <w:rFonts w:eastAsia="MS Mincho"/>
          <w:snapToGrid w:val="0"/>
          <w:lang w:val="de-DE" w:eastAsia="ja-JP"/>
        </w:rPr>
        <w:t>auf seiner einundfünfzigsten Tagung</w:t>
      </w:r>
      <w:r w:rsidR="009227E6" w:rsidRPr="009227E6">
        <w:rPr>
          <w:lang w:val="de-DE"/>
        </w:rPr>
        <w:t>, vorbehaltlich der Zustimmung durch den Rat und in Koordination mit OECD und ISTA, ein</w:t>
      </w:r>
      <w:r w:rsidR="00DE64AE">
        <w:rPr>
          <w:lang w:val="de-DE"/>
        </w:rPr>
        <w:t xml:space="preserve"> gemeinsam</w:t>
      </w:r>
      <w:r w:rsidR="009227E6" w:rsidRPr="009227E6">
        <w:rPr>
          <w:lang w:val="de-DE"/>
        </w:rPr>
        <w:t>es Dokument zur Erläuterung der wesentlichen Besonderheiten der Systeme von OECD, UPOV und ISTA (z.</w:t>
      </w:r>
      <w:r w:rsidR="009227E6">
        <w:rPr>
          <w:lang w:val="de-DE"/>
        </w:rPr>
        <w:t xml:space="preserve"> </w:t>
      </w:r>
      <w:r w:rsidR="009227E6" w:rsidRPr="009227E6">
        <w:rPr>
          <w:lang w:val="de-DE"/>
        </w:rPr>
        <w:t xml:space="preserve">B. DUS, Sortenidentifizierung, Sortenreinheit usw.) </w:t>
      </w:r>
      <w:r w:rsidR="00DE64AE">
        <w:rPr>
          <w:lang w:val="de-DE"/>
        </w:rPr>
        <w:t>zu erarbeiten</w:t>
      </w:r>
      <w:r w:rsidR="009227E6" w:rsidRPr="009227E6">
        <w:rPr>
          <w:lang w:val="de-DE" w:eastAsia="ja-JP"/>
        </w:rPr>
        <w:t xml:space="preserve"> </w:t>
      </w:r>
      <w:r w:rsidR="000D3F83" w:rsidRPr="001E3AC7">
        <w:rPr>
          <w:lang w:val="de-DE" w:eastAsia="ja-JP"/>
        </w:rPr>
        <w:t>(vergleiche</w:t>
      </w:r>
      <w:r w:rsidRPr="001E3AC7">
        <w:rPr>
          <w:lang w:val="de-DE" w:eastAsia="ja-JP"/>
        </w:rPr>
        <w:t> </w:t>
      </w:r>
      <w:r w:rsidR="000D3F83" w:rsidRPr="001E3AC7">
        <w:rPr>
          <w:lang w:val="de-DE" w:eastAsia="ja-JP"/>
        </w:rPr>
        <w:t>Dokument</w:t>
      </w:r>
      <w:r w:rsidRPr="001E3AC7">
        <w:rPr>
          <w:lang w:val="de-DE" w:eastAsia="ja-JP"/>
        </w:rPr>
        <w:t> </w:t>
      </w:r>
      <w:r w:rsidR="00CA3219">
        <w:rPr>
          <w:lang w:val="de-DE" w:eastAsia="ja-JP"/>
        </w:rPr>
        <w:t>TC/51/39 „Bericht</w:t>
      </w:r>
      <w:r w:rsidR="005508EE">
        <w:rPr>
          <w:lang w:val="de-DE" w:eastAsia="ja-JP"/>
        </w:rPr>
        <w:t>“</w:t>
      </w:r>
      <w:r w:rsidRPr="001E3AC7">
        <w:rPr>
          <w:lang w:val="de-DE" w:eastAsia="ja-JP"/>
        </w:rPr>
        <w:t xml:space="preserve">, </w:t>
      </w:r>
      <w:r w:rsidR="000D3F83" w:rsidRPr="001E3AC7">
        <w:rPr>
          <w:lang w:val="de-DE" w:eastAsia="ja-JP"/>
        </w:rPr>
        <w:t>Absatz</w:t>
      </w:r>
      <w:r w:rsidRPr="001E3AC7">
        <w:rPr>
          <w:lang w:val="de-DE" w:eastAsia="ja-JP"/>
        </w:rPr>
        <w:t xml:space="preserve"> 177)</w:t>
      </w:r>
      <w:r w:rsidRPr="001E3AC7">
        <w:rPr>
          <w:lang w:val="de-DE"/>
        </w:rPr>
        <w:t>.</w:t>
      </w:r>
    </w:p>
    <w:p w:rsidR="00D615FC" w:rsidRPr="001E3AC7" w:rsidRDefault="00D615FC" w:rsidP="00D615FC">
      <w:pPr>
        <w:rPr>
          <w:lang w:val="de-DE"/>
        </w:rPr>
      </w:pPr>
    </w:p>
    <w:p w:rsidR="00D615FC" w:rsidRPr="001E3AC7" w:rsidRDefault="00D615FC" w:rsidP="00D615FC">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9227E6">
        <w:rPr>
          <w:lang w:val="de-DE" w:eastAsia="ja-JP"/>
        </w:rPr>
        <w:t>Die Bemerkungen von</w:t>
      </w:r>
      <w:r w:rsidR="00670024" w:rsidRPr="001E3AC7">
        <w:rPr>
          <w:lang w:val="de-DE" w:eastAsia="ja-JP"/>
        </w:rPr>
        <w:t xml:space="preserve"> OECD</w:t>
      </w:r>
      <w:r w:rsidR="004D1C2F">
        <w:rPr>
          <w:lang w:val="de-DE" w:eastAsia="ja-JP"/>
        </w:rPr>
        <w:t xml:space="preserve"> und </w:t>
      </w:r>
      <w:r w:rsidR="00670024" w:rsidRPr="001E3AC7">
        <w:rPr>
          <w:lang w:val="de-DE" w:eastAsia="ja-JP"/>
        </w:rPr>
        <w:t xml:space="preserve">ISTA </w:t>
      </w:r>
      <w:r w:rsidR="009227E6">
        <w:rPr>
          <w:lang w:val="de-DE" w:eastAsia="ja-JP"/>
        </w:rPr>
        <w:t>über die</w:t>
      </w:r>
      <w:r w:rsidRPr="001E3AC7">
        <w:rPr>
          <w:lang w:val="de-DE" w:eastAsia="ja-JP"/>
        </w:rPr>
        <w:t xml:space="preserve"> </w:t>
      </w:r>
      <w:r w:rsidR="001E5D7A">
        <w:rPr>
          <w:lang w:val="de-DE" w:eastAsia="ja-JP"/>
        </w:rPr>
        <w:t>mögliche</w:t>
      </w:r>
      <w:r w:rsidR="009227E6">
        <w:rPr>
          <w:lang w:val="de-DE" w:eastAsia="ja-JP"/>
        </w:rPr>
        <w:t xml:space="preserve"> Ausarbeitung</w:t>
      </w:r>
      <w:r w:rsidR="001E5D7A">
        <w:rPr>
          <w:lang w:val="de-DE" w:eastAsia="ja-JP"/>
        </w:rPr>
        <w:t>/</w:t>
      </w:r>
      <w:r w:rsidR="009227E6">
        <w:rPr>
          <w:lang w:val="de-DE" w:eastAsia="ja-JP"/>
        </w:rPr>
        <w:t xml:space="preserve"> </w:t>
      </w:r>
      <w:r w:rsidR="009227E6" w:rsidRPr="009227E6">
        <w:rPr>
          <w:lang w:val="de-DE" w:eastAsia="ja-JP"/>
        </w:rPr>
        <w:t>ein</w:t>
      </w:r>
      <w:r w:rsidR="009227E6">
        <w:rPr>
          <w:lang w:val="de-DE" w:eastAsia="ja-JP"/>
        </w:rPr>
        <w:t>es</w:t>
      </w:r>
      <w:r w:rsidR="00DE64AE">
        <w:rPr>
          <w:lang w:val="de-DE" w:eastAsia="ja-JP"/>
        </w:rPr>
        <w:t xml:space="preserve"> gemeinsam</w:t>
      </w:r>
      <w:r w:rsidR="009227E6">
        <w:rPr>
          <w:lang w:val="de-DE" w:eastAsia="ja-JP"/>
        </w:rPr>
        <w:t>en</w:t>
      </w:r>
      <w:r w:rsidR="009227E6" w:rsidRPr="009227E6">
        <w:rPr>
          <w:lang w:val="de-DE" w:eastAsia="ja-JP"/>
        </w:rPr>
        <w:t xml:space="preserve"> Dokument</w:t>
      </w:r>
      <w:r w:rsidR="009227E6">
        <w:rPr>
          <w:lang w:val="de-DE" w:eastAsia="ja-JP"/>
        </w:rPr>
        <w:t>s</w:t>
      </w:r>
      <w:r w:rsidR="009227E6" w:rsidRPr="009227E6">
        <w:rPr>
          <w:lang w:val="de-DE" w:eastAsia="ja-JP"/>
        </w:rPr>
        <w:t xml:space="preserve"> zur Erläuterung der wesentlichen Besonderheiten der Systeme von OECD, UPOV und ISTA </w:t>
      </w:r>
      <w:r w:rsidR="001E5D7A">
        <w:rPr>
          <w:lang w:val="de-DE" w:eastAsia="ja-JP"/>
        </w:rPr>
        <w:t xml:space="preserve">werden dem TC </w:t>
      </w:r>
      <w:r w:rsidR="004D1C2F">
        <w:rPr>
          <w:lang w:val="de-DE" w:eastAsia="ja-JP"/>
        </w:rPr>
        <w:t xml:space="preserve">auf seiner dreiundfünfzigsten Tagung </w:t>
      </w:r>
      <w:r w:rsidR="009227E6">
        <w:rPr>
          <w:lang w:val="de-DE" w:eastAsia="ja-JP"/>
        </w:rPr>
        <w:t>in Genf</w:t>
      </w:r>
      <w:r w:rsidRPr="001E3AC7">
        <w:rPr>
          <w:lang w:val="de-DE" w:eastAsia="ja-JP"/>
        </w:rPr>
        <w:t xml:space="preserve"> </w:t>
      </w:r>
      <w:r w:rsidR="009227E6">
        <w:rPr>
          <w:lang w:val="de-DE" w:eastAsia="ja-JP"/>
        </w:rPr>
        <w:t>im Jahr 2017</w:t>
      </w:r>
      <w:r w:rsidR="001E5D7A" w:rsidRPr="001E5D7A">
        <w:rPr>
          <w:lang w:val="de-DE" w:eastAsia="ja-JP"/>
        </w:rPr>
        <w:t xml:space="preserve"> </w:t>
      </w:r>
      <w:r w:rsidR="001E5D7A">
        <w:rPr>
          <w:lang w:val="de-DE" w:eastAsia="ja-JP"/>
        </w:rPr>
        <w:t>berichtet</w:t>
      </w:r>
      <w:r w:rsidRPr="001E3AC7">
        <w:rPr>
          <w:lang w:val="de-DE" w:eastAsia="ja-JP"/>
        </w:rPr>
        <w:t>.</w:t>
      </w:r>
    </w:p>
    <w:p w:rsidR="00D615FC" w:rsidRPr="001E3AC7" w:rsidRDefault="00D615FC" w:rsidP="00472D5B">
      <w:pPr>
        <w:rPr>
          <w:lang w:val="de-DE" w:eastAsia="ja-JP"/>
        </w:rPr>
      </w:pPr>
    </w:p>
    <w:p w:rsidR="002C2E0E" w:rsidRPr="001E3AC7" w:rsidRDefault="009227E6" w:rsidP="004620C3">
      <w:pPr>
        <w:pStyle w:val="Heading2"/>
        <w:rPr>
          <w:lang w:val="de-DE" w:eastAsia="ja-JP"/>
        </w:rPr>
      </w:pPr>
      <w:bookmarkStart w:id="38" w:name="_Toc444612396"/>
      <w:r>
        <w:rPr>
          <w:lang w:val="de-DE" w:eastAsia="ja-JP"/>
        </w:rPr>
        <w:t>Bestandsaufnahme zur Verwendung molekularer Markerverfahren</w:t>
      </w:r>
      <w:bookmarkEnd w:id="38"/>
    </w:p>
    <w:p w:rsidR="002C2E0E" w:rsidRPr="001E3AC7" w:rsidRDefault="002C2E0E" w:rsidP="00472D5B">
      <w:pPr>
        <w:rPr>
          <w:lang w:val="de-DE" w:eastAsia="ja-JP"/>
        </w:rPr>
      </w:pPr>
    </w:p>
    <w:p w:rsidR="00472D5B" w:rsidRPr="001E3AC7" w:rsidRDefault="00472D5B" w:rsidP="009227E6">
      <w:pPr>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C3AB0">
        <w:rPr>
          <w:rFonts w:eastAsia="MS Mincho"/>
          <w:snapToGrid w:val="0"/>
          <w:lang w:val="de-DE" w:eastAsia="ja-JP"/>
        </w:rPr>
        <w:t>Der TC</w:t>
      </w:r>
      <w:r w:rsidRPr="001E3AC7">
        <w:rPr>
          <w:rFonts w:eastAsia="MS Mincho"/>
          <w:snapToGrid w:val="0"/>
          <w:lang w:val="de-DE" w:eastAsia="ja-JP"/>
        </w:rPr>
        <w:t xml:space="preserve"> </w:t>
      </w:r>
      <w:r w:rsidR="001E5D7A" w:rsidRPr="009227E6">
        <w:rPr>
          <w:rFonts w:eastAsia="MS Mincho"/>
          <w:snapToGrid w:val="0"/>
          <w:lang w:val="de-DE" w:eastAsia="ja-JP"/>
        </w:rPr>
        <w:t>vereinbarte</w:t>
      </w:r>
      <w:r w:rsidR="001E5D7A">
        <w:rPr>
          <w:rFonts w:eastAsia="MS Mincho"/>
          <w:snapToGrid w:val="0"/>
          <w:lang w:val="de-DE" w:eastAsia="ja-JP"/>
        </w:rPr>
        <w:t xml:space="preserve"> </w:t>
      </w:r>
      <w:r w:rsidR="00BC3AB0">
        <w:rPr>
          <w:rFonts w:eastAsia="MS Mincho"/>
          <w:snapToGrid w:val="0"/>
          <w:lang w:val="de-DE" w:eastAsia="ja-JP"/>
        </w:rPr>
        <w:t>auf seiner einundfünfzigsten Tagung</w:t>
      </w:r>
      <w:r w:rsidR="009227E6" w:rsidRPr="009227E6">
        <w:rPr>
          <w:rFonts w:eastAsia="MS Mincho"/>
          <w:snapToGrid w:val="0"/>
          <w:lang w:val="de-DE" w:eastAsia="ja-JP"/>
        </w:rPr>
        <w:t>, daß eine Bestandsaufnahme zur Verwendung molekularer Markerverfahren nach Pflanze im Hinblick auf die Ausarbeitung eines</w:t>
      </w:r>
      <w:r w:rsidR="00DE64AE">
        <w:rPr>
          <w:rFonts w:eastAsia="MS Mincho"/>
          <w:snapToGrid w:val="0"/>
          <w:lang w:val="de-DE" w:eastAsia="ja-JP"/>
        </w:rPr>
        <w:t xml:space="preserve"> gemeinsam</w:t>
      </w:r>
      <w:r w:rsidR="009227E6" w:rsidRPr="009227E6">
        <w:rPr>
          <w:rFonts w:eastAsia="MS Mincho"/>
          <w:snapToGrid w:val="0"/>
          <w:lang w:val="de-DE" w:eastAsia="ja-JP"/>
        </w:rPr>
        <w:t>en Dokuments von OECD, UPOV und ISTA mit diesen Informationen in einem ähnlichen Format wie das UPOV-Dokument UPOV/INF/16 „Austauschbare Software“, wie in Absatz 26 von Dokument TC/51/11 dargelegt, erstellt werden soll.</w:t>
      </w:r>
      <w:r w:rsidR="009227E6">
        <w:rPr>
          <w:rFonts w:eastAsia="MS Mincho"/>
          <w:snapToGrid w:val="0"/>
          <w:lang w:val="de-DE" w:eastAsia="ja-JP"/>
        </w:rPr>
        <w:t xml:space="preserve"> </w:t>
      </w:r>
      <w:r w:rsidR="009227E6" w:rsidRPr="009227E6">
        <w:rPr>
          <w:rFonts w:eastAsia="MS Mincho"/>
          <w:snapToGrid w:val="0"/>
          <w:lang w:val="de-DE" w:eastAsia="ja-JP"/>
        </w:rPr>
        <w:t>Er vereinbarte, daß es notwendig wäre, für die Information</w:t>
      </w:r>
      <w:r w:rsidR="001E5D7A">
        <w:rPr>
          <w:rFonts w:eastAsia="MS Mincho"/>
          <w:snapToGrid w:val="0"/>
          <w:lang w:val="de-DE" w:eastAsia="ja-JP"/>
        </w:rPr>
        <w:t>en</w:t>
      </w:r>
      <w:r w:rsidR="009227E6" w:rsidRPr="009227E6">
        <w:rPr>
          <w:rFonts w:eastAsia="MS Mincho"/>
          <w:snapToGrid w:val="0"/>
          <w:lang w:val="de-DE" w:eastAsia="ja-JP"/>
        </w:rPr>
        <w:t xml:space="preserve"> Kriterien </w:t>
      </w:r>
      <w:r w:rsidR="00E20A84">
        <w:rPr>
          <w:rFonts w:eastAsia="MS Mincho"/>
          <w:snapToGrid w:val="0"/>
          <w:lang w:val="de-DE" w:eastAsia="ja-JP"/>
        </w:rPr>
        <w:t>zu erstellen</w:t>
      </w:r>
      <w:r w:rsidR="009227E6" w:rsidRPr="009227E6">
        <w:rPr>
          <w:rFonts w:eastAsia="MS Mincho"/>
          <w:snapToGrid w:val="0"/>
          <w:lang w:val="de-DE" w:eastAsia="ja-JP"/>
        </w:rPr>
        <w:t xml:space="preserve"> und ein Verfahren zu entwickeln, die dem Dokument hinzuzufügen sind</w:t>
      </w:r>
      <w:r w:rsidR="000A7A15" w:rsidRPr="001E3AC7">
        <w:rPr>
          <w:lang w:val="de-DE" w:eastAsia="ja-JP"/>
        </w:rPr>
        <w:t xml:space="preserve"> </w:t>
      </w:r>
      <w:r w:rsidR="000D3F83" w:rsidRPr="001E3AC7">
        <w:rPr>
          <w:lang w:val="de-DE" w:eastAsia="ja-JP"/>
        </w:rPr>
        <w:t>(vergleiche</w:t>
      </w:r>
      <w:r w:rsidRPr="001E3AC7">
        <w:rPr>
          <w:lang w:val="de-DE" w:eastAsia="ja-JP"/>
        </w:rPr>
        <w:t> </w:t>
      </w:r>
      <w:r w:rsidR="000D3F83" w:rsidRPr="001E3AC7">
        <w:rPr>
          <w:lang w:val="de-DE" w:eastAsia="ja-JP"/>
        </w:rPr>
        <w:t>Dokument</w:t>
      </w:r>
      <w:r w:rsidRPr="001E3AC7">
        <w:rPr>
          <w:lang w:val="de-DE" w:eastAsia="ja-JP"/>
        </w:rPr>
        <w:t> </w:t>
      </w:r>
      <w:r w:rsidR="00CA3219">
        <w:rPr>
          <w:lang w:val="de-DE" w:eastAsia="ja-JP"/>
        </w:rPr>
        <w:t>TC/51/39 „Bericht</w:t>
      </w:r>
      <w:r w:rsidR="005508EE">
        <w:rPr>
          <w:lang w:val="de-DE" w:eastAsia="ja-JP"/>
        </w:rPr>
        <w:t>“</w:t>
      </w:r>
      <w:r w:rsidRPr="001E3AC7">
        <w:rPr>
          <w:lang w:val="de-DE" w:eastAsia="ja-JP"/>
        </w:rPr>
        <w:t xml:space="preserve">, </w:t>
      </w:r>
      <w:r w:rsidR="000D3F83" w:rsidRPr="001E3AC7">
        <w:rPr>
          <w:lang w:val="de-DE" w:eastAsia="ja-JP"/>
        </w:rPr>
        <w:t>Absatz</w:t>
      </w:r>
      <w:r w:rsidRPr="001E3AC7">
        <w:rPr>
          <w:lang w:val="de-DE" w:eastAsia="ja-JP"/>
        </w:rPr>
        <w:t xml:space="preserve"> 179)</w:t>
      </w:r>
      <w:r w:rsidRPr="001E3AC7">
        <w:rPr>
          <w:lang w:val="de-DE"/>
        </w:rPr>
        <w:t>.</w:t>
      </w:r>
    </w:p>
    <w:p w:rsidR="00472D5B" w:rsidRPr="001E3AC7" w:rsidRDefault="00472D5B" w:rsidP="00472D5B">
      <w:pPr>
        <w:rPr>
          <w:lang w:val="de-DE" w:eastAsia="ja-JP"/>
        </w:rPr>
      </w:pPr>
    </w:p>
    <w:p w:rsidR="009A196E" w:rsidRPr="001E3AC7" w:rsidRDefault="00070463" w:rsidP="00472D5B">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9227E6">
        <w:rPr>
          <w:lang w:val="de-DE" w:eastAsia="ja-JP"/>
        </w:rPr>
        <w:t>Die Bemerkungen von</w:t>
      </w:r>
      <w:r w:rsidR="00670024" w:rsidRPr="001E3AC7">
        <w:rPr>
          <w:lang w:val="de-DE" w:eastAsia="ja-JP"/>
        </w:rPr>
        <w:t xml:space="preserve"> OECD</w:t>
      </w:r>
      <w:r w:rsidR="004D1C2F">
        <w:rPr>
          <w:lang w:val="de-DE" w:eastAsia="ja-JP"/>
        </w:rPr>
        <w:t xml:space="preserve"> und </w:t>
      </w:r>
      <w:r w:rsidR="00670024" w:rsidRPr="001E3AC7">
        <w:rPr>
          <w:lang w:val="de-DE" w:eastAsia="ja-JP"/>
        </w:rPr>
        <w:t xml:space="preserve">ISTA </w:t>
      </w:r>
      <w:r w:rsidR="009227E6">
        <w:rPr>
          <w:lang w:val="de-DE" w:eastAsia="ja-JP"/>
        </w:rPr>
        <w:t xml:space="preserve">über die </w:t>
      </w:r>
      <w:r w:rsidR="001E5D7A">
        <w:rPr>
          <w:lang w:val="de-DE" w:eastAsia="ja-JP"/>
        </w:rPr>
        <w:t>mögliche</w:t>
      </w:r>
      <w:r w:rsidR="009227E6">
        <w:rPr>
          <w:lang w:val="de-DE" w:eastAsia="ja-JP"/>
        </w:rPr>
        <w:t xml:space="preserve"> </w:t>
      </w:r>
      <w:r w:rsidR="001E5D7A">
        <w:rPr>
          <w:lang w:val="de-DE" w:eastAsia="ja-JP"/>
        </w:rPr>
        <w:t>Erstellung</w:t>
      </w:r>
      <w:r w:rsidR="009227E6">
        <w:rPr>
          <w:lang w:val="de-DE" w:eastAsia="ja-JP"/>
        </w:rPr>
        <w:t xml:space="preserve"> einer Bestandsaufnahme</w:t>
      </w:r>
      <w:r w:rsidR="00670024" w:rsidRPr="001E3AC7">
        <w:rPr>
          <w:lang w:val="de-DE" w:eastAsia="ja-JP"/>
        </w:rPr>
        <w:t xml:space="preserve"> </w:t>
      </w:r>
      <w:r w:rsidR="009227E6">
        <w:rPr>
          <w:lang w:val="de-DE" w:eastAsia="ja-JP"/>
        </w:rPr>
        <w:t>zur</w:t>
      </w:r>
      <w:r w:rsidR="004D1C2F">
        <w:rPr>
          <w:lang w:val="de-DE" w:eastAsia="ja-JP"/>
        </w:rPr>
        <w:t xml:space="preserve"> Verwendung molekularer Markerverfahren nach Pflanze</w:t>
      </w:r>
      <w:r w:rsidR="009227E6">
        <w:rPr>
          <w:lang w:val="de-DE" w:eastAsia="ja-JP"/>
        </w:rPr>
        <w:t xml:space="preserve"> </w:t>
      </w:r>
      <w:r w:rsidR="001E5D7A">
        <w:rPr>
          <w:lang w:val="de-DE" w:eastAsia="ja-JP"/>
        </w:rPr>
        <w:t>werden</w:t>
      </w:r>
      <w:r w:rsidR="00670024" w:rsidRPr="001E3AC7">
        <w:rPr>
          <w:lang w:val="de-DE" w:eastAsia="ja-JP"/>
        </w:rPr>
        <w:t xml:space="preserve"> </w:t>
      </w:r>
      <w:r w:rsidR="004D1C2F">
        <w:rPr>
          <w:lang w:val="de-DE" w:eastAsia="ja-JP"/>
        </w:rPr>
        <w:t xml:space="preserve">dem TC auf seiner dreiundfünfzigsten Tagung </w:t>
      </w:r>
      <w:r w:rsidR="009227E6">
        <w:rPr>
          <w:lang w:val="de-DE" w:eastAsia="ja-JP"/>
        </w:rPr>
        <w:t>in Genf</w:t>
      </w:r>
      <w:r w:rsidR="00670024" w:rsidRPr="001E3AC7">
        <w:rPr>
          <w:lang w:val="de-DE" w:eastAsia="ja-JP"/>
        </w:rPr>
        <w:t xml:space="preserve"> </w:t>
      </w:r>
      <w:r w:rsidR="009227E6">
        <w:rPr>
          <w:lang w:val="de-DE" w:eastAsia="ja-JP"/>
        </w:rPr>
        <w:t>im Jahr 2017</w:t>
      </w:r>
      <w:r w:rsidR="001E5D7A" w:rsidRPr="001E5D7A">
        <w:rPr>
          <w:lang w:val="de-DE" w:eastAsia="ja-JP"/>
        </w:rPr>
        <w:t xml:space="preserve"> </w:t>
      </w:r>
      <w:r w:rsidR="001E5D7A">
        <w:rPr>
          <w:lang w:val="de-DE" w:eastAsia="ja-JP"/>
        </w:rPr>
        <w:t>berichtet</w:t>
      </w:r>
      <w:r w:rsidR="00670024" w:rsidRPr="001E3AC7">
        <w:rPr>
          <w:lang w:val="de-DE" w:eastAsia="ja-JP"/>
        </w:rPr>
        <w:t>.</w:t>
      </w:r>
    </w:p>
    <w:p w:rsidR="009E1E09" w:rsidRPr="001E3AC7" w:rsidRDefault="009E1E09" w:rsidP="00472D5B">
      <w:pPr>
        <w:rPr>
          <w:lang w:val="de-DE" w:eastAsia="ja-JP"/>
        </w:rPr>
      </w:pPr>
    </w:p>
    <w:p w:rsidR="004620C3" w:rsidRPr="001E3AC7" w:rsidRDefault="009227E6" w:rsidP="004620C3">
      <w:pPr>
        <w:pStyle w:val="Heading2"/>
        <w:rPr>
          <w:lang w:val="de-DE" w:eastAsia="ja-JP"/>
        </w:rPr>
      </w:pPr>
      <w:bookmarkStart w:id="39" w:name="_Toc444612397"/>
      <w:r>
        <w:rPr>
          <w:lang w:val="de-DE" w:eastAsia="ja-JP"/>
        </w:rPr>
        <w:t>Listen möglicher</w:t>
      </w:r>
      <w:r w:rsidR="00DE64AE">
        <w:rPr>
          <w:lang w:val="de-DE" w:eastAsia="ja-JP"/>
        </w:rPr>
        <w:t xml:space="preserve"> gemeinsam</w:t>
      </w:r>
      <w:r>
        <w:rPr>
          <w:lang w:val="de-DE" w:eastAsia="ja-JP"/>
        </w:rPr>
        <w:t>er Initiativen mit OECD und ISTA</w:t>
      </w:r>
      <w:bookmarkEnd w:id="39"/>
      <w:r>
        <w:rPr>
          <w:lang w:val="de-DE" w:eastAsia="ja-JP"/>
        </w:rPr>
        <w:t xml:space="preserve"> </w:t>
      </w:r>
    </w:p>
    <w:p w:rsidR="004620C3" w:rsidRPr="001E3AC7" w:rsidRDefault="004620C3" w:rsidP="00472D5B">
      <w:pPr>
        <w:rPr>
          <w:lang w:val="de-DE" w:eastAsia="ja-JP"/>
        </w:rPr>
      </w:pPr>
    </w:p>
    <w:p w:rsidR="00107F48" w:rsidRPr="001E3AC7" w:rsidRDefault="00107F48" w:rsidP="006B4BC7">
      <w:pPr>
        <w:rPr>
          <w:rFonts w:cs="Arial"/>
          <w:lang w:val="de-DE" w:eastAsia="ja-JP"/>
        </w:rPr>
      </w:pPr>
      <w:r w:rsidRPr="001E3AC7">
        <w:rPr>
          <w:rFonts w:cs="Arial"/>
          <w:lang w:val="de-DE"/>
        </w:rPr>
        <w:fldChar w:fldCharType="begin"/>
      </w:r>
      <w:r w:rsidRPr="001E3AC7">
        <w:rPr>
          <w:rFonts w:cs="Arial"/>
          <w:lang w:val="de-DE"/>
        </w:rPr>
        <w:instrText xml:space="preserve"> AUTONUM  </w:instrText>
      </w:r>
      <w:r w:rsidRPr="001E3AC7">
        <w:rPr>
          <w:rFonts w:cs="Arial"/>
          <w:lang w:val="de-DE"/>
        </w:rPr>
        <w:fldChar w:fldCharType="end"/>
      </w:r>
      <w:r w:rsidRPr="001E3AC7">
        <w:rPr>
          <w:rFonts w:cs="Arial"/>
          <w:lang w:val="de-DE"/>
        </w:rPr>
        <w:tab/>
      </w:r>
      <w:r w:rsidR="00E20A84">
        <w:rPr>
          <w:rFonts w:cs="Arial"/>
          <w:lang w:val="de-DE"/>
        </w:rPr>
        <w:t>D</w:t>
      </w:r>
      <w:r w:rsidR="00E20A84">
        <w:rPr>
          <w:rFonts w:cs="Arial"/>
          <w:lang w:val="de-DE" w:eastAsia="ja-JP"/>
        </w:rPr>
        <w:t>ie</w:t>
      </w:r>
      <w:r w:rsidR="00DE64AE">
        <w:rPr>
          <w:rFonts w:cs="Arial"/>
          <w:lang w:val="de-DE" w:eastAsia="ja-JP"/>
        </w:rPr>
        <w:t xml:space="preserve"> gemeinsam</w:t>
      </w:r>
      <w:r w:rsidR="001E5D7A">
        <w:rPr>
          <w:rFonts w:cs="Arial"/>
          <w:lang w:val="de-DE" w:eastAsia="ja-JP"/>
        </w:rPr>
        <w:t>e Arbeitstagung von OECD, UPOV und</w:t>
      </w:r>
      <w:r w:rsidR="004A4B1C" w:rsidRPr="001E3AC7">
        <w:rPr>
          <w:rFonts w:cs="Arial"/>
          <w:lang w:val="de-DE" w:eastAsia="ja-JP"/>
        </w:rPr>
        <w:t xml:space="preserve"> ISTA über molekulare Verfahren</w:t>
      </w:r>
      <w:r w:rsidRPr="001E3AC7">
        <w:rPr>
          <w:lang w:val="de-DE"/>
        </w:rPr>
        <w:t xml:space="preserve"> </w:t>
      </w:r>
      <w:r w:rsidR="006B4BC7" w:rsidRPr="006B4BC7">
        <w:rPr>
          <w:rFonts w:cs="Arial"/>
          <w:lang w:val="de-DE" w:eastAsia="ja-JP"/>
        </w:rPr>
        <w:t>vereinbarte</w:t>
      </w:r>
      <w:r w:rsidR="00967669">
        <w:rPr>
          <w:rFonts w:cs="Arial"/>
          <w:lang w:val="de-DE" w:eastAsia="ja-JP"/>
        </w:rPr>
        <w:t>,</w:t>
      </w:r>
      <w:r w:rsidR="006B4BC7" w:rsidRPr="006B4BC7">
        <w:rPr>
          <w:rFonts w:cs="Arial"/>
          <w:lang w:val="de-DE" w:eastAsia="ja-JP"/>
        </w:rPr>
        <w:t xml:space="preserve"> vorzuschlagen, UPOV, OECD und ISTA zu ersuchen, Listen möglicher</w:t>
      </w:r>
      <w:r w:rsidR="00DE64AE">
        <w:rPr>
          <w:rFonts w:cs="Arial"/>
          <w:lang w:val="de-DE" w:eastAsia="ja-JP"/>
        </w:rPr>
        <w:t xml:space="preserve"> gemeinsam</w:t>
      </w:r>
      <w:r w:rsidR="006B4BC7" w:rsidRPr="006B4BC7">
        <w:rPr>
          <w:rFonts w:cs="Arial"/>
          <w:lang w:val="de-DE" w:eastAsia="ja-JP"/>
        </w:rPr>
        <w:t>er Initiativen im Hinblick auf molekulare Verfahren zu erstellen.</w:t>
      </w:r>
      <w:r w:rsidR="006B4BC7">
        <w:rPr>
          <w:rFonts w:cs="Arial"/>
          <w:lang w:val="de-DE" w:eastAsia="ja-JP"/>
        </w:rPr>
        <w:t xml:space="preserve"> </w:t>
      </w:r>
      <w:r w:rsidR="006B4BC7" w:rsidRPr="006B4BC7">
        <w:rPr>
          <w:rFonts w:cs="Arial"/>
          <w:lang w:val="de-DE" w:eastAsia="ja-JP"/>
        </w:rPr>
        <w:t>Es wurde angemerkt, daß die Liste im Falle der UPOV</w:t>
      </w:r>
      <w:r w:rsidR="00967669">
        <w:rPr>
          <w:rFonts w:cs="Arial"/>
          <w:lang w:val="de-DE" w:eastAsia="ja-JP"/>
        </w:rPr>
        <w:t>,</w:t>
      </w:r>
      <w:r w:rsidR="006B4BC7" w:rsidRPr="006B4BC7">
        <w:rPr>
          <w:rFonts w:cs="Arial"/>
          <w:lang w:val="de-DE" w:eastAsia="ja-JP"/>
        </w:rPr>
        <w:t xml:space="preserve"> vorbehaltlich der Zustimmung durch den Technischen Ausschuß</w:t>
      </w:r>
      <w:r w:rsidR="00967669">
        <w:rPr>
          <w:rFonts w:cs="Arial"/>
          <w:lang w:val="de-DE" w:eastAsia="ja-JP"/>
        </w:rPr>
        <w:t>,</w:t>
      </w:r>
      <w:r w:rsidR="006B4BC7" w:rsidRPr="006B4BC7">
        <w:rPr>
          <w:rFonts w:cs="Arial"/>
          <w:lang w:val="de-DE" w:eastAsia="ja-JP"/>
        </w:rPr>
        <w:t xml:space="preserve"> von der BMT auf ihrer fünfzehnten Tagung aufgesetzt werden könnte</w:t>
      </w:r>
      <w:r w:rsidRPr="001E3AC7">
        <w:rPr>
          <w:rFonts w:cs="Arial"/>
          <w:lang w:val="de-DE" w:eastAsia="ja-JP"/>
        </w:rPr>
        <w:t xml:space="preserve"> </w:t>
      </w:r>
      <w:r w:rsidR="000D3F83" w:rsidRPr="001E3AC7">
        <w:rPr>
          <w:rFonts w:cs="Arial"/>
          <w:lang w:val="de-DE" w:eastAsia="ja-JP"/>
        </w:rPr>
        <w:t>(vergleiche</w:t>
      </w:r>
      <w:r w:rsidR="00C67A88" w:rsidRPr="001E3AC7">
        <w:rPr>
          <w:rFonts w:cs="Arial"/>
          <w:lang w:val="de-DE" w:eastAsia="ja-JP"/>
        </w:rPr>
        <w:t xml:space="preserve"> </w:t>
      </w:r>
      <w:r w:rsidR="000D3F83" w:rsidRPr="001E3AC7">
        <w:rPr>
          <w:rFonts w:cs="Arial"/>
          <w:lang w:val="de-DE" w:eastAsia="ja-JP"/>
        </w:rPr>
        <w:t>Dokument</w:t>
      </w:r>
      <w:r w:rsidR="00796021" w:rsidRPr="001E3AC7">
        <w:rPr>
          <w:rFonts w:cs="Arial"/>
          <w:lang w:val="de-DE" w:eastAsia="ja-JP"/>
        </w:rPr>
        <w:t> </w:t>
      </w:r>
      <w:r w:rsidR="00C67A88" w:rsidRPr="001E3AC7">
        <w:rPr>
          <w:rFonts w:cs="Arial"/>
          <w:lang w:val="de-DE" w:eastAsia="ja-JP"/>
        </w:rPr>
        <w:t xml:space="preserve">TC/51/11 </w:t>
      </w:r>
      <w:proofErr w:type="spellStart"/>
      <w:r w:rsidR="00C67A88" w:rsidRPr="001E3AC7">
        <w:rPr>
          <w:rFonts w:cs="Arial"/>
          <w:lang w:val="de-DE" w:eastAsia="ja-JP"/>
        </w:rPr>
        <w:t>Rev</w:t>
      </w:r>
      <w:proofErr w:type="spellEnd"/>
      <w:r w:rsidR="00C67A88" w:rsidRPr="001E3AC7">
        <w:rPr>
          <w:rFonts w:cs="Arial"/>
          <w:lang w:val="de-DE" w:eastAsia="ja-JP"/>
        </w:rPr>
        <w:t xml:space="preserve">. </w:t>
      </w:r>
      <w:r w:rsidR="000D3F83" w:rsidRPr="001E3AC7">
        <w:rPr>
          <w:rFonts w:cs="Arial"/>
          <w:lang w:val="de-DE" w:eastAsia="ja-JP"/>
        </w:rPr>
        <w:t>„</w:t>
      </w:r>
      <w:r w:rsidR="001E3AC7">
        <w:rPr>
          <w:rFonts w:cs="Arial"/>
          <w:lang w:val="de-DE" w:eastAsia="ja-JP"/>
        </w:rPr>
        <w:t>Molekulare Verfahren</w:t>
      </w:r>
      <w:r w:rsidR="000D3F83" w:rsidRPr="001E3AC7">
        <w:rPr>
          <w:rFonts w:cs="Arial"/>
          <w:lang w:val="de-DE" w:eastAsia="ja-JP"/>
        </w:rPr>
        <w:t>“</w:t>
      </w:r>
      <w:r w:rsidR="00C67A88" w:rsidRPr="001E3AC7">
        <w:rPr>
          <w:rFonts w:cs="Arial"/>
          <w:lang w:val="de-DE" w:eastAsia="ja-JP"/>
        </w:rPr>
        <w:t xml:space="preserve">, </w:t>
      </w:r>
      <w:r w:rsidR="000D3F83" w:rsidRPr="001E3AC7">
        <w:rPr>
          <w:rFonts w:cs="Arial"/>
          <w:lang w:val="de-DE" w:eastAsia="ja-JP"/>
        </w:rPr>
        <w:t>Absatz</w:t>
      </w:r>
      <w:r w:rsidR="00C67A88" w:rsidRPr="001E3AC7">
        <w:rPr>
          <w:rFonts w:cs="Arial"/>
          <w:lang w:val="de-DE" w:eastAsia="ja-JP"/>
        </w:rPr>
        <w:t xml:space="preserve"> 27).</w:t>
      </w:r>
    </w:p>
    <w:p w:rsidR="00C67A88" w:rsidRPr="001E3AC7" w:rsidRDefault="00C67A88" w:rsidP="00472D5B">
      <w:pPr>
        <w:rPr>
          <w:lang w:val="de-DE" w:eastAsia="ja-JP"/>
        </w:rPr>
      </w:pPr>
    </w:p>
    <w:p w:rsidR="00BC6EBC" w:rsidRPr="001E3AC7" w:rsidRDefault="00472D5B" w:rsidP="00472D5B">
      <w:pPr>
        <w:autoSpaceDE w:val="0"/>
        <w:autoSpaceDN w:val="0"/>
        <w:adjustRightInd w:val="0"/>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C3AB0">
        <w:rPr>
          <w:rFonts w:eastAsia="MS Mincho"/>
          <w:snapToGrid w:val="0"/>
          <w:lang w:val="de-DE" w:eastAsia="ja-JP"/>
        </w:rPr>
        <w:t>Der TC</w:t>
      </w:r>
      <w:r w:rsidRPr="001E3AC7">
        <w:rPr>
          <w:rFonts w:eastAsia="MS Mincho"/>
          <w:snapToGrid w:val="0"/>
          <w:lang w:val="de-DE" w:eastAsia="ja-JP"/>
        </w:rPr>
        <w:t xml:space="preserve"> </w:t>
      </w:r>
      <w:r w:rsidR="00E20A84">
        <w:rPr>
          <w:lang w:val="de-DE" w:eastAsia="ja-JP"/>
        </w:rPr>
        <w:t>vereinbarte</w:t>
      </w:r>
      <w:r w:rsidR="00E20A84">
        <w:rPr>
          <w:rFonts w:eastAsia="MS Mincho"/>
          <w:snapToGrid w:val="0"/>
          <w:lang w:val="de-DE" w:eastAsia="ja-JP"/>
        </w:rPr>
        <w:t xml:space="preserve"> </w:t>
      </w:r>
      <w:r w:rsidR="00BC3AB0">
        <w:rPr>
          <w:rFonts w:eastAsia="MS Mincho"/>
          <w:snapToGrid w:val="0"/>
          <w:lang w:val="de-DE" w:eastAsia="ja-JP"/>
        </w:rPr>
        <w:t xml:space="preserve">auf seiner einundfünfzigsten Tagung </w:t>
      </w:r>
      <w:r w:rsidR="00F4365F">
        <w:rPr>
          <w:lang w:val="de-DE" w:eastAsia="ja-JP"/>
        </w:rPr>
        <w:t xml:space="preserve">den Vorschlag, daß die BMT auf ihrer </w:t>
      </w:r>
      <w:r w:rsidR="00967669">
        <w:rPr>
          <w:lang w:val="de-DE" w:eastAsia="ja-JP"/>
        </w:rPr>
        <w:t>fünfzehnten</w:t>
      </w:r>
      <w:r w:rsidR="00F4365F">
        <w:rPr>
          <w:lang w:val="de-DE" w:eastAsia="ja-JP"/>
        </w:rPr>
        <w:t xml:space="preserve"> Tagung </w:t>
      </w:r>
      <w:r w:rsidR="001E73EE">
        <w:rPr>
          <w:lang w:val="de-DE" w:eastAsia="ja-JP"/>
        </w:rPr>
        <w:t>Listen möglicher</w:t>
      </w:r>
      <w:r w:rsidR="00DE64AE">
        <w:rPr>
          <w:lang w:val="de-DE" w:eastAsia="ja-JP"/>
        </w:rPr>
        <w:t xml:space="preserve"> gemeinsam</w:t>
      </w:r>
      <w:r w:rsidR="001E73EE">
        <w:rPr>
          <w:lang w:val="de-DE" w:eastAsia="ja-JP"/>
        </w:rPr>
        <w:t>er Initiativen mit OECD und ISTA hinsichtlich molekularer Verfahren</w:t>
      </w:r>
      <w:r w:rsidRPr="001E3AC7">
        <w:rPr>
          <w:lang w:val="de-DE" w:eastAsia="ja-JP"/>
        </w:rPr>
        <w:t xml:space="preserve"> </w:t>
      </w:r>
      <w:r w:rsidR="00F4365F">
        <w:rPr>
          <w:lang w:val="de-DE" w:eastAsia="ja-JP"/>
        </w:rPr>
        <w:t>zur Prüfung durch den</w:t>
      </w:r>
      <w:r w:rsidRPr="001E3AC7">
        <w:rPr>
          <w:lang w:val="de-DE" w:eastAsia="ja-JP"/>
        </w:rPr>
        <w:t xml:space="preserve"> TC </w:t>
      </w:r>
      <w:r w:rsidR="00E20A84">
        <w:rPr>
          <w:lang w:val="de-DE" w:eastAsia="ja-JP"/>
        </w:rPr>
        <w:t>er</w:t>
      </w:r>
      <w:r w:rsidR="00967669">
        <w:rPr>
          <w:lang w:val="de-DE" w:eastAsia="ja-JP"/>
        </w:rPr>
        <w:t>stellt</w:t>
      </w:r>
      <w:r w:rsidR="00967669" w:rsidRPr="001E3AC7">
        <w:rPr>
          <w:lang w:val="de-DE" w:eastAsia="ja-JP"/>
        </w:rPr>
        <w:t xml:space="preserve"> </w:t>
      </w:r>
      <w:r w:rsidR="000D3F83" w:rsidRPr="001E3AC7">
        <w:rPr>
          <w:lang w:val="de-DE" w:eastAsia="ja-JP"/>
        </w:rPr>
        <w:t>(vergleiche</w:t>
      </w:r>
      <w:r w:rsidRPr="001E3AC7">
        <w:rPr>
          <w:lang w:val="de-DE" w:eastAsia="ja-JP"/>
        </w:rPr>
        <w:t> </w:t>
      </w:r>
      <w:r w:rsidR="000D3F83" w:rsidRPr="001E3AC7">
        <w:rPr>
          <w:lang w:val="de-DE" w:eastAsia="ja-JP"/>
        </w:rPr>
        <w:t>Dokument</w:t>
      </w:r>
      <w:r w:rsidRPr="001E3AC7">
        <w:rPr>
          <w:lang w:val="de-DE" w:eastAsia="ja-JP"/>
        </w:rPr>
        <w:t> </w:t>
      </w:r>
      <w:r w:rsidR="00CA3219">
        <w:rPr>
          <w:lang w:val="de-DE" w:eastAsia="ja-JP"/>
        </w:rPr>
        <w:t>TC/51/39 „Bericht</w:t>
      </w:r>
      <w:r w:rsidR="005508EE">
        <w:rPr>
          <w:lang w:val="de-DE" w:eastAsia="ja-JP"/>
        </w:rPr>
        <w:t>“</w:t>
      </w:r>
      <w:r w:rsidRPr="001E3AC7">
        <w:rPr>
          <w:lang w:val="de-DE" w:eastAsia="ja-JP"/>
        </w:rPr>
        <w:t xml:space="preserve">, </w:t>
      </w:r>
      <w:r w:rsidR="000D3F83" w:rsidRPr="001E3AC7">
        <w:rPr>
          <w:lang w:val="de-DE" w:eastAsia="ja-JP"/>
        </w:rPr>
        <w:t>Absatz</w:t>
      </w:r>
      <w:r w:rsidRPr="001E3AC7">
        <w:rPr>
          <w:lang w:val="de-DE" w:eastAsia="ja-JP"/>
        </w:rPr>
        <w:t xml:space="preserve"> 180)</w:t>
      </w:r>
      <w:r w:rsidRPr="001E3AC7">
        <w:rPr>
          <w:lang w:val="de-DE"/>
        </w:rPr>
        <w:t>.</w:t>
      </w:r>
    </w:p>
    <w:p w:rsidR="00DE040B" w:rsidRPr="001E3AC7" w:rsidRDefault="00DE040B" w:rsidP="00472D5B">
      <w:pPr>
        <w:autoSpaceDE w:val="0"/>
        <w:autoSpaceDN w:val="0"/>
        <w:adjustRightInd w:val="0"/>
        <w:rPr>
          <w:lang w:val="de-DE" w:eastAsia="ja-JP"/>
        </w:rPr>
      </w:pPr>
    </w:p>
    <w:p w:rsidR="00087A62" w:rsidRPr="001E3AC7" w:rsidRDefault="00DE040B" w:rsidP="00472D5B">
      <w:pPr>
        <w:autoSpaceDE w:val="0"/>
        <w:autoSpaceDN w:val="0"/>
        <w:adjustRightInd w:val="0"/>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4D1C2F">
        <w:rPr>
          <w:lang w:val="de-DE" w:eastAsia="ja-JP"/>
        </w:rPr>
        <w:t xml:space="preserve">Die BMT </w:t>
      </w:r>
      <w:r w:rsidR="00967669">
        <w:rPr>
          <w:lang w:val="de-DE" w:eastAsia="ja-JP"/>
        </w:rPr>
        <w:t>wird</w:t>
      </w:r>
      <w:r w:rsidR="00967669" w:rsidRPr="001E3AC7">
        <w:rPr>
          <w:lang w:val="de-DE" w:eastAsia="ja-JP"/>
        </w:rPr>
        <w:t xml:space="preserve"> </w:t>
      </w:r>
      <w:r w:rsidR="004D1C2F">
        <w:rPr>
          <w:lang w:val="de-DE" w:eastAsia="ja-JP"/>
        </w:rPr>
        <w:t xml:space="preserve">auf ihrer </w:t>
      </w:r>
      <w:r w:rsidR="00967669">
        <w:rPr>
          <w:lang w:val="de-DE" w:eastAsia="ja-JP"/>
        </w:rPr>
        <w:t>fünfzehnten</w:t>
      </w:r>
      <w:r w:rsidR="004D1C2F">
        <w:rPr>
          <w:lang w:val="de-DE" w:eastAsia="ja-JP"/>
        </w:rPr>
        <w:t xml:space="preserve"> Tagung</w:t>
      </w:r>
      <w:r w:rsidR="006B4BC7">
        <w:rPr>
          <w:lang w:val="de-DE" w:eastAsia="ja-JP"/>
        </w:rPr>
        <w:t xml:space="preserve"> </w:t>
      </w:r>
      <w:r w:rsidR="004D1C2F">
        <w:rPr>
          <w:lang w:val="de-DE" w:eastAsia="ja-JP"/>
        </w:rPr>
        <w:t xml:space="preserve">ersucht </w:t>
      </w:r>
      <w:r w:rsidR="006B4BC7">
        <w:rPr>
          <w:lang w:val="de-DE" w:eastAsia="ja-JP"/>
        </w:rPr>
        <w:t>werden</w:t>
      </w:r>
      <w:r w:rsidR="004D1C2F">
        <w:rPr>
          <w:lang w:val="de-DE" w:eastAsia="ja-JP"/>
        </w:rPr>
        <w:t>,</w:t>
      </w:r>
      <w:r w:rsidRPr="001E3AC7">
        <w:rPr>
          <w:lang w:val="de-DE" w:eastAsia="ja-JP"/>
        </w:rPr>
        <w:t xml:space="preserve"> </w:t>
      </w:r>
      <w:r w:rsidR="004D1C2F">
        <w:rPr>
          <w:lang w:val="de-DE" w:eastAsia="ja-JP"/>
        </w:rPr>
        <w:t>eine Liste möglicher</w:t>
      </w:r>
      <w:r w:rsidR="00DE64AE">
        <w:rPr>
          <w:lang w:val="de-DE" w:eastAsia="ja-JP"/>
        </w:rPr>
        <w:t xml:space="preserve"> gemeinsam</w:t>
      </w:r>
      <w:r w:rsidR="004D1C2F">
        <w:rPr>
          <w:lang w:val="de-DE" w:eastAsia="ja-JP"/>
        </w:rPr>
        <w:t xml:space="preserve">er Initiativen mit OECD und ISTA </w:t>
      </w:r>
      <w:r w:rsidR="00E20A84">
        <w:rPr>
          <w:lang w:val="de-DE" w:eastAsia="ja-JP"/>
        </w:rPr>
        <w:t>zu erstellen</w:t>
      </w:r>
      <w:r w:rsidRPr="001E3AC7">
        <w:rPr>
          <w:lang w:val="de-DE" w:eastAsia="ja-JP"/>
        </w:rPr>
        <w:t xml:space="preserve">. </w:t>
      </w:r>
      <w:r w:rsidR="006B4BC7">
        <w:rPr>
          <w:lang w:val="de-DE" w:eastAsia="ja-JP"/>
        </w:rPr>
        <w:t>Die Liste möglicher</w:t>
      </w:r>
      <w:r w:rsidR="00DE64AE">
        <w:rPr>
          <w:lang w:val="de-DE" w:eastAsia="ja-JP"/>
        </w:rPr>
        <w:t xml:space="preserve"> gemeinsam</w:t>
      </w:r>
      <w:r w:rsidR="006B4BC7">
        <w:rPr>
          <w:lang w:val="de-DE" w:eastAsia="ja-JP"/>
        </w:rPr>
        <w:t xml:space="preserve">er Initiativen </w:t>
      </w:r>
      <w:r w:rsidR="00967669">
        <w:rPr>
          <w:lang w:val="de-DE" w:eastAsia="ja-JP"/>
        </w:rPr>
        <w:t xml:space="preserve">wird </w:t>
      </w:r>
      <w:r w:rsidR="006B4BC7">
        <w:rPr>
          <w:lang w:val="de-DE" w:eastAsia="ja-JP"/>
        </w:rPr>
        <w:t xml:space="preserve">dem </w:t>
      </w:r>
      <w:r w:rsidR="00BC3AB0">
        <w:rPr>
          <w:lang w:val="de-DE" w:eastAsia="ja-JP"/>
        </w:rPr>
        <w:t>TC</w:t>
      </w:r>
      <w:r w:rsidR="00087A62" w:rsidRPr="001E3AC7">
        <w:rPr>
          <w:lang w:val="de-DE" w:eastAsia="ja-JP"/>
        </w:rPr>
        <w:t xml:space="preserve"> </w:t>
      </w:r>
      <w:r w:rsidR="004D1C2F">
        <w:rPr>
          <w:lang w:val="de-DE" w:eastAsia="ja-JP"/>
        </w:rPr>
        <w:t>auf seiner dreiundfünfzigsten Tagung</w:t>
      </w:r>
      <w:r w:rsidR="00087A62" w:rsidRPr="001E3AC7">
        <w:rPr>
          <w:lang w:val="de-DE" w:eastAsia="ja-JP"/>
        </w:rPr>
        <w:t xml:space="preserve"> </w:t>
      </w:r>
      <w:r w:rsidR="009227E6">
        <w:rPr>
          <w:lang w:val="de-DE" w:eastAsia="ja-JP"/>
        </w:rPr>
        <w:t>in Genf</w:t>
      </w:r>
      <w:r w:rsidR="00087A62" w:rsidRPr="001E3AC7">
        <w:rPr>
          <w:lang w:val="de-DE" w:eastAsia="ja-JP"/>
        </w:rPr>
        <w:t xml:space="preserve"> </w:t>
      </w:r>
      <w:r w:rsidR="009227E6">
        <w:rPr>
          <w:lang w:val="de-DE" w:eastAsia="ja-JP"/>
        </w:rPr>
        <w:t>im Jahr 2017</w:t>
      </w:r>
      <w:r w:rsidR="00967669" w:rsidRPr="00967669">
        <w:rPr>
          <w:lang w:val="de-DE" w:eastAsia="ja-JP"/>
        </w:rPr>
        <w:t xml:space="preserve"> </w:t>
      </w:r>
      <w:r w:rsidR="00E20A84">
        <w:rPr>
          <w:lang w:val="de-DE" w:eastAsia="ja-JP"/>
        </w:rPr>
        <w:t>vor</w:t>
      </w:r>
      <w:r w:rsidR="00967669">
        <w:rPr>
          <w:lang w:val="de-DE" w:eastAsia="ja-JP"/>
        </w:rPr>
        <w:t>gelegt werden</w:t>
      </w:r>
      <w:r w:rsidR="00087A62" w:rsidRPr="001E3AC7">
        <w:rPr>
          <w:lang w:val="de-DE" w:eastAsia="ja-JP"/>
        </w:rPr>
        <w:t>.</w:t>
      </w:r>
    </w:p>
    <w:p w:rsidR="00BC6EBC" w:rsidRPr="001E3AC7" w:rsidRDefault="00BC6EBC" w:rsidP="00D37975">
      <w:pPr>
        <w:autoSpaceDE w:val="0"/>
        <w:autoSpaceDN w:val="0"/>
        <w:adjustRightInd w:val="0"/>
        <w:rPr>
          <w:rFonts w:cs="Arial"/>
          <w:lang w:val="de-DE" w:eastAsia="ja-JP"/>
        </w:rPr>
      </w:pPr>
    </w:p>
    <w:p w:rsidR="00E86614" w:rsidRPr="001E3AC7" w:rsidRDefault="00E86614" w:rsidP="00570039">
      <w:pPr>
        <w:pStyle w:val="Default"/>
        <w:rPr>
          <w:sz w:val="20"/>
          <w:szCs w:val="20"/>
          <w:lang w:val="de-DE"/>
        </w:rPr>
      </w:pPr>
    </w:p>
    <w:p w:rsidR="001D5E40" w:rsidRPr="001E3AC7" w:rsidRDefault="00B76130" w:rsidP="00291817">
      <w:pPr>
        <w:pStyle w:val="Heading1"/>
        <w:rPr>
          <w:lang w:val="de-DE"/>
        </w:rPr>
      </w:pPr>
      <w:bookmarkStart w:id="40" w:name="_Toc444612398"/>
      <w:r w:rsidRPr="001E3AC7">
        <w:rPr>
          <w:lang w:val="de-DE"/>
        </w:rPr>
        <w:t>Erteilung von Informationen über die Lage in der UPOV bezüglich der Verwendung molekularer Verfahren</w:t>
      </w:r>
      <w:bookmarkEnd w:id="40"/>
    </w:p>
    <w:p w:rsidR="001D5E40" w:rsidRPr="001E3AC7" w:rsidRDefault="001D5E40" w:rsidP="00291817">
      <w:pPr>
        <w:keepNext/>
        <w:rPr>
          <w:lang w:val="de-DE" w:eastAsia="ja-JP"/>
        </w:rPr>
      </w:pPr>
    </w:p>
    <w:p w:rsidR="005F5745" w:rsidRPr="001E3AC7" w:rsidRDefault="000D3F83" w:rsidP="00291817">
      <w:pPr>
        <w:pStyle w:val="Heading2"/>
        <w:rPr>
          <w:lang w:val="de-DE" w:eastAsia="ja-JP"/>
        </w:rPr>
      </w:pPr>
      <w:bookmarkStart w:id="41" w:name="_Toc444612399"/>
      <w:r w:rsidRPr="001E3AC7">
        <w:rPr>
          <w:lang w:val="de-DE" w:eastAsia="ja-JP"/>
        </w:rPr>
        <w:t>Hintergrund</w:t>
      </w:r>
      <w:bookmarkEnd w:id="41"/>
    </w:p>
    <w:p w:rsidR="003423DF" w:rsidRPr="001E3AC7" w:rsidRDefault="003423DF" w:rsidP="00291817">
      <w:pPr>
        <w:keepNext/>
        <w:rPr>
          <w:lang w:val="de-DE"/>
        </w:rPr>
      </w:pPr>
    </w:p>
    <w:p w:rsidR="0036170D" w:rsidRPr="001E3AC7" w:rsidRDefault="00291817" w:rsidP="0036170D">
      <w:pPr>
        <w:autoSpaceDE w:val="0"/>
        <w:autoSpaceDN w:val="0"/>
        <w:adjustRightInd w:val="0"/>
        <w:rPr>
          <w:rFonts w:cs="Arial"/>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76130" w:rsidRPr="001E3AC7">
        <w:rPr>
          <w:rFonts w:cs="Arial"/>
          <w:lang w:val="de-DE"/>
        </w:rPr>
        <w:t xml:space="preserve">Der TC </w:t>
      </w:r>
      <w:r w:rsidR="00967669">
        <w:rPr>
          <w:rFonts w:cs="Arial"/>
          <w:lang w:val="de-DE"/>
        </w:rPr>
        <w:t>vereinbarte</w:t>
      </w:r>
      <w:r w:rsidR="00B76130" w:rsidRPr="001E3AC7">
        <w:rPr>
          <w:rFonts w:cs="Arial"/>
          <w:lang w:val="de-DE"/>
        </w:rPr>
        <w:t xml:space="preserve"> auf seiner neunundvierzigsten Tagung vom 18. bis 20. März 2013 in Genf, daß es notwendig sei, einem breiteren Publikum, einschließlich Züchtern und der Öffentlichkeit im allgemeinen, geeignete Informationen über die Lage in der UPOV im Hinblick auf die Verwendung molekularer Verfahren zur Verfügung zu stellen. Diese Informationen sollten die potentiellen Vorteile und Nachteile der Verfahren und die der Lage in der UPOV zugrundeliegende Beziehung zwischen Genotyp und Phänotyp erklären (vergleiche Dokument TC/49/41, „Bericht über die Entschließungen“, Absatz 136</w:t>
      </w:r>
      <w:r w:rsidR="0036170D" w:rsidRPr="001E3AC7">
        <w:rPr>
          <w:rFonts w:cs="Arial"/>
          <w:lang w:val="de-DE"/>
        </w:rPr>
        <w:t>).</w:t>
      </w:r>
    </w:p>
    <w:p w:rsidR="0036170D" w:rsidRPr="001E3AC7" w:rsidRDefault="0036170D" w:rsidP="0036170D">
      <w:pPr>
        <w:autoSpaceDE w:val="0"/>
        <w:autoSpaceDN w:val="0"/>
        <w:adjustRightInd w:val="0"/>
        <w:jc w:val="left"/>
        <w:rPr>
          <w:rFonts w:cs="Arial"/>
          <w:lang w:val="de-DE"/>
        </w:rPr>
      </w:pPr>
    </w:p>
    <w:p w:rsidR="0036170D" w:rsidRPr="001E3AC7" w:rsidRDefault="0036170D" w:rsidP="007520E2">
      <w:pPr>
        <w:autoSpaceDE w:val="0"/>
        <w:autoSpaceDN w:val="0"/>
        <w:adjustRightInd w:val="0"/>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76130" w:rsidRPr="001E3AC7">
        <w:rPr>
          <w:rFonts w:cs="Arial"/>
          <w:lang w:val="de-DE"/>
        </w:rPr>
        <w:t>Der Beratende Ausschuß prüfte auf seiner sechsundachtzigsten Tagung vom 23. und 24. Oktober 2013 in Genf eine Reihe von Antworten auf häufig gestellte Fragen. Eine der Fragen lautete: „Erlaubt die UPOV molekulare Verfahren (DNS-Profile) bei der DUS-Prüfung?“ Diesbezüglich vereinbarte der Beratende Ausschuß, daß die Antwort über den Technischen Ausschuß ausgearbeitet werden sollte</w:t>
      </w:r>
      <w:r w:rsidRPr="001E3AC7">
        <w:rPr>
          <w:rFonts w:cs="Arial"/>
          <w:lang w:val="de-DE"/>
        </w:rPr>
        <w:t xml:space="preserve">. </w:t>
      </w:r>
      <w:r w:rsidR="00B76130" w:rsidRPr="001E3AC7">
        <w:rPr>
          <w:rFonts w:cs="Arial"/>
          <w:lang w:val="de-DE"/>
        </w:rPr>
        <w:t>Der Beratende Ausschuß vereinbarte, die Entwürfe der Antworten auf diese Frage sowie auf andere häufig gestellte Fragen auf seiner siebenundachtzigsten Tagung vom 11. April 2014 in Genf zu prüfen</w:t>
      </w:r>
      <w:r w:rsidRPr="001E3AC7">
        <w:rPr>
          <w:rFonts w:cs="Arial"/>
          <w:lang w:val="de-DE"/>
        </w:rPr>
        <w:t>.</w:t>
      </w:r>
    </w:p>
    <w:p w:rsidR="0036170D" w:rsidRPr="001E3AC7" w:rsidRDefault="0036170D" w:rsidP="003423DF">
      <w:pPr>
        <w:rPr>
          <w:lang w:val="de-DE"/>
        </w:rPr>
      </w:pPr>
    </w:p>
    <w:p w:rsidR="00161F46" w:rsidRPr="001E3AC7" w:rsidRDefault="003423DF" w:rsidP="003423DF">
      <w:pPr>
        <w:rPr>
          <w:rFonts w:cs="Arial"/>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76130" w:rsidRPr="001E3AC7">
        <w:rPr>
          <w:rFonts w:cs="Arial"/>
          <w:lang w:val="de-DE"/>
        </w:rPr>
        <w:t>Der TC auf seiner fünfzigsten Tagung vom 7. bis 9. April 2014 in Genf und der CAJ auf seiner neunundsechzigsten Tagung am 10. April 2014 in Genf vereinbarten die vorgeschlagene Erklärung der Lage in der UPOV bezüglich der Verwendung molekularer Verfahren</w:t>
      </w:r>
      <w:r w:rsidR="00161F46" w:rsidRPr="001E3AC7">
        <w:rPr>
          <w:rFonts w:cs="Arial"/>
          <w:lang w:val="de-DE"/>
        </w:rPr>
        <w:t>.</w:t>
      </w:r>
    </w:p>
    <w:p w:rsidR="003423DF" w:rsidRPr="001E3AC7" w:rsidRDefault="003423DF" w:rsidP="003423DF">
      <w:pPr>
        <w:rPr>
          <w:sz w:val="18"/>
          <w:szCs w:val="18"/>
          <w:lang w:val="de-DE"/>
        </w:rPr>
      </w:pPr>
    </w:p>
    <w:p w:rsidR="003423DF" w:rsidRPr="001E3AC7" w:rsidRDefault="003423DF" w:rsidP="003423DF">
      <w:pPr>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1E3AC7" w:rsidRPr="001E3AC7">
        <w:rPr>
          <w:rFonts w:cs="Arial"/>
          <w:lang w:val="de-DE"/>
        </w:rPr>
        <w:t xml:space="preserve">Hinsichtlich eines breiteren Publikums </w:t>
      </w:r>
      <w:r w:rsidR="004029B3" w:rsidRPr="001E3AC7">
        <w:rPr>
          <w:rFonts w:cs="Arial"/>
          <w:lang w:val="de-DE"/>
        </w:rPr>
        <w:t>vereinbart</w:t>
      </w:r>
      <w:r w:rsidR="004029B3">
        <w:rPr>
          <w:rFonts w:cs="Arial"/>
          <w:lang w:val="de-DE"/>
        </w:rPr>
        <w:t>e</w:t>
      </w:r>
      <w:r w:rsidR="004029B3" w:rsidRPr="001E3AC7">
        <w:rPr>
          <w:rFonts w:cs="Arial"/>
          <w:lang w:val="de-DE"/>
        </w:rPr>
        <w:t xml:space="preserve"> </w:t>
      </w:r>
      <w:r w:rsidR="001E3AC7" w:rsidRPr="001E3AC7">
        <w:rPr>
          <w:rFonts w:cs="Arial"/>
          <w:lang w:val="de-DE"/>
        </w:rPr>
        <w:t xml:space="preserve">der TC, daß die Frage nicht angemessen formuliert sei und es deshalb nicht angebracht wäre, eine Antwort auf diese Frage </w:t>
      </w:r>
      <w:r w:rsidR="00DE64AE">
        <w:rPr>
          <w:rFonts w:cs="Arial"/>
          <w:lang w:val="de-DE"/>
        </w:rPr>
        <w:t>zu erarbeiten</w:t>
      </w:r>
      <w:r w:rsidR="001E3AC7" w:rsidRPr="001E3AC7">
        <w:rPr>
          <w:rFonts w:cs="Arial"/>
          <w:lang w:val="de-DE"/>
        </w:rPr>
        <w:t>. Der TC vereinbart</w:t>
      </w:r>
      <w:r w:rsidR="004029B3">
        <w:rPr>
          <w:rFonts w:cs="Arial"/>
          <w:lang w:val="de-DE"/>
        </w:rPr>
        <w:t>e</w:t>
      </w:r>
      <w:r w:rsidR="001E3AC7" w:rsidRPr="001E3AC7">
        <w:rPr>
          <w:rFonts w:cs="Arial"/>
          <w:lang w:val="de-DE"/>
        </w:rPr>
        <w:t xml:space="preserve">, daß die Frage nach der Klärung der Aspekte von Interesse für ein breiteres Publikum neu formuliert werden sollte (vergleiche Dokument TC/50/36 „Bericht über die Entschließungen“, </w:t>
      </w:r>
      <w:r w:rsidR="004029B3">
        <w:rPr>
          <w:rFonts w:cs="Arial"/>
          <w:lang w:val="de-DE"/>
        </w:rPr>
        <w:t>Absätze</w:t>
      </w:r>
      <w:r w:rsidR="001E3AC7" w:rsidRPr="001E3AC7">
        <w:rPr>
          <w:rFonts w:cs="Arial"/>
          <w:lang w:val="de-DE"/>
        </w:rPr>
        <w:t xml:space="preserve"> 83 bis 85</w:t>
      </w:r>
      <w:r w:rsidR="008B026A" w:rsidRPr="001E3AC7">
        <w:rPr>
          <w:lang w:val="de-DE" w:eastAsia="ja-JP"/>
        </w:rPr>
        <w:t>)</w:t>
      </w:r>
      <w:r w:rsidRPr="001E3AC7">
        <w:rPr>
          <w:lang w:val="de-DE"/>
        </w:rPr>
        <w:t>.</w:t>
      </w:r>
    </w:p>
    <w:p w:rsidR="003423DF" w:rsidRPr="001E3AC7" w:rsidRDefault="003423DF" w:rsidP="001D5E40">
      <w:pPr>
        <w:rPr>
          <w:lang w:val="de-DE" w:eastAsia="ja-JP"/>
        </w:rPr>
      </w:pPr>
    </w:p>
    <w:p w:rsidR="002D3575" w:rsidRPr="001E3AC7" w:rsidRDefault="002D3575" w:rsidP="002D3575">
      <w:pPr>
        <w:rPr>
          <w:snapToGrid w:val="0"/>
          <w:color w:val="000000" w:themeColor="text1"/>
          <w:lang w:val="de-DE"/>
        </w:rPr>
      </w:pPr>
      <w:r w:rsidRPr="001E3AC7">
        <w:rPr>
          <w:snapToGrid w:val="0"/>
          <w:color w:val="000000" w:themeColor="text1"/>
          <w:lang w:val="de-DE"/>
        </w:rPr>
        <w:fldChar w:fldCharType="begin"/>
      </w:r>
      <w:r w:rsidRPr="001E3AC7">
        <w:rPr>
          <w:snapToGrid w:val="0"/>
          <w:color w:val="000000" w:themeColor="text1"/>
          <w:lang w:val="de-DE"/>
        </w:rPr>
        <w:instrText xml:space="preserve"> AUTONUM  </w:instrText>
      </w:r>
      <w:r w:rsidRPr="001E3AC7">
        <w:rPr>
          <w:snapToGrid w:val="0"/>
          <w:color w:val="000000" w:themeColor="text1"/>
          <w:lang w:val="de-DE"/>
        </w:rPr>
        <w:fldChar w:fldCharType="end"/>
      </w:r>
      <w:r w:rsidRPr="001E3AC7">
        <w:rPr>
          <w:snapToGrid w:val="0"/>
          <w:color w:val="000000" w:themeColor="text1"/>
          <w:lang w:val="de-DE"/>
        </w:rPr>
        <w:tab/>
      </w:r>
      <w:r w:rsidR="001E3AC7" w:rsidRPr="001E3AC7">
        <w:rPr>
          <w:rFonts w:cs="Arial"/>
          <w:snapToGrid w:val="0"/>
          <w:lang w:val="de-DE"/>
        </w:rPr>
        <w:t>Der Beratende Ausschuß vereinbarte auf seiner achtundachtzigsten Tagung am 15. Oktober 2014 in Genf, daß der Entwurf für Frage und Antwort bezüglich der Informationen über die Lage in der UPOV hinsichtlich der Verwendung molekularer Verfahren für ein breiteres Publikum, einschließlich der Öffentlichkeit im allgemeinen, dem TC zur Prüfung vorgelegt werden solle (vergleiche Dokument C/48/19 „Bericht de</w:t>
      </w:r>
      <w:r w:rsidR="00E20A84">
        <w:rPr>
          <w:rFonts w:cs="Arial"/>
          <w:snapToGrid w:val="0"/>
          <w:lang w:val="de-DE"/>
        </w:rPr>
        <w:t>r</w:t>
      </w:r>
      <w:r w:rsidR="001E3AC7" w:rsidRPr="001E3AC7">
        <w:rPr>
          <w:rFonts w:cs="Arial"/>
          <w:snapToGrid w:val="0"/>
          <w:lang w:val="de-DE"/>
        </w:rPr>
        <w:t xml:space="preserve"> Präsident</w:t>
      </w:r>
      <w:r w:rsidR="00E20A84">
        <w:rPr>
          <w:rFonts w:cs="Arial"/>
          <w:snapToGrid w:val="0"/>
          <w:lang w:val="de-DE"/>
        </w:rPr>
        <w:t>i</w:t>
      </w:r>
      <w:r w:rsidR="001E3AC7" w:rsidRPr="001E3AC7">
        <w:rPr>
          <w:rFonts w:cs="Arial"/>
          <w:snapToGrid w:val="0"/>
          <w:lang w:val="de-DE"/>
        </w:rPr>
        <w:t>n über die Arbeiten der sechsundachtzigsten Tagung des Beratenden Ausschusses; gegebenenfalls Annahme von Empfehlungen, die dieser Ausschuss ausgearbeitet hat”, Absatz 48</w:t>
      </w:r>
      <w:r w:rsidRPr="001E3AC7">
        <w:rPr>
          <w:snapToGrid w:val="0"/>
          <w:color w:val="000000" w:themeColor="text1"/>
          <w:lang w:val="de-DE"/>
        </w:rPr>
        <w:t>).</w:t>
      </w:r>
    </w:p>
    <w:p w:rsidR="00DD6FBE" w:rsidRPr="001E3AC7" w:rsidRDefault="00DD6FBE" w:rsidP="002D3575">
      <w:pPr>
        <w:rPr>
          <w:snapToGrid w:val="0"/>
          <w:color w:val="000000" w:themeColor="text1"/>
          <w:lang w:val="de-DE"/>
        </w:rPr>
      </w:pPr>
    </w:p>
    <w:p w:rsidR="00FE343F" w:rsidRPr="001E3AC7" w:rsidRDefault="00161F46" w:rsidP="006C66F3">
      <w:pPr>
        <w:rPr>
          <w:snapToGrid w:val="0"/>
          <w:color w:val="000000" w:themeColor="text1"/>
          <w:lang w:val="de-DE" w:eastAsia="ja-JP"/>
        </w:rPr>
      </w:pPr>
      <w:r w:rsidRPr="001E3AC7">
        <w:rPr>
          <w:snapToGrid w:val="0"/>
          <w:color w:val="000000" w:themeColor="text1"/>
          <w:lang w:val="de-DE"/>
        </w:rPr>
        <w:fldChar w:fldCharType="begin"/>
      </w:r>
      <w:r w:rsidRPr="001E3AC7">
        <w:rPr>
          <w:snapToGrid w:val="0"/>
          <w:color w:val="000000" w:themeColor="text1"/>
          <w:lang w:val="de-DE"/>
        </w:rPr>
        <w:instrText xml:space="preserve"> AUTONUM  </w:instrText>
      </w:r>
      <w:r w:rsidRPr="001E3AC7">
        <w:rPr>
          <w:snapToGrid w:val="0"/>
          <w:color w:val="000000" w:themeColor="text1"/>
          <w:lang w:val="de-DE"/>
        </w:rPr>
        <w:fldChar w:fldCharType="end"/>
      </w:r>
      <w:r w:rsidRPr="001E3AC7">
        <w:rPr>
          <w:snapToGrid w:val="0"/>
          <w:color w:val="000000" w:themeColor="text1"/>
          <w:lang w:val="de-DE"/>
        </w:rPr>
        <w:tab/>
      </w:r>
      <w:r w:rsidR="00BC3AB0">
        <w:rPr>
          <w:snapToGrid w:val="0"/>
          <w:color w:val="000000" w:themeColor="text1"/>
          <w:lang w:val="de-DE"/>
        </w:rPr>
        <w:t>Der TC</w:t>
      </w:r>
      <w:r w:rsidRPr="001E3AC7">
        <w:rPr>
          <w:snapToGrid w:val="0"/>
          <w:color w:val="000000" w:themeColor="text1"/>
          <w:lang w:val="de-DE"/>
        </w:rPr>
        <w:t xml:space="preserve"> </w:t>
      </w:r>
      <w:r w:rsidR="004029B3">
        <w:rPr>
          <w:snapToGrid w:val="0"/>
          <w:color w:val="000000" w:themeColor="text1"/>
          <w:lang w:val="de-DE" w:eastAsia="ja-JP"/>
        </w:rPr>
        <w:t>prüfte</w:t>
      </w:r>
      <w:r w:rsidR="004029B3" w:rsidRPr="001E3AC7">
        <w:rPr>
          <w:snapToGrid w:val="0"/>
          <w:color w:val="000000" w:themeColor="text1"/>
          <w:lang w:val="de-DE"/>
        </w:rPr>
        <w:t xml:space="preserve"> </w:t>
      </w:r>
      <w:r w:rsidR="00BC3AB0">
        <w:rPr>
          <w:snapToGrid w:val="0"/>
          <w:color w:val="000000" w:themeColor="text1"/>
          <w:lang w:val="de-DE"/>
        </w:rPr>
        <w:t xml:space="preserve">auf seiner einundfünfzigsten Tagung </w:t>
      </w:r>
      <w:r w:rsidR="006C66F3">
        <w:rPr>
          <w:snapToGrid w:val="0"/>
          <w:color w:val="000000" w:themeColor="text1"/>
          <w:lang w:val="de-DE" w:eastAsia="ja-JP"/>
        </w:rPr>
        <w:t>in Genf</w:t>
      </w:r>
      <w:r w:rsidR="00AB6A51" w:rsidRPr="001E3AC7">
        <w:rPr>
          <w:snapToGrid w:val="0"/>
          <w:color w:val="000000" w:themeColor="text1"/>
          <w:lang w:val="de-DE" w:eastAsia="ja-JP"/>
        </w:rPr>
        <w:t xml:space="preserve"> </w:t>
      </w:r>
      <w:r w:rsidR="006C66F3">
        <w:rPr>
          <w:snapToGrid w:val="0"/>
          <w:color w:val="000000" w:themeColor="text1"/>
          <w:lang w:val="de-DE" w:eastAsia="ja-JP"/>
        </w:rPr>
        <w:t xml:space="preserve">vom 23. </w:t>
      </w:r>
      <w:r w:rsidR="00256CE5">
        <w:rPr>
          <w:snapToGrid w:val="0"/>
          <w:color w:val="000000" w:themeColor="text1"/>
          <w:lang w:val="de-DE" w:eastAsia="ja-JP"/>
        </w:rPr>
        <w:t>bis</w:t>
      </w:r>
      <w:r w:rsidR="006C66F3">
        <w:rPr>
          <w:snapToGrid w:val="0"/>
          <w:color w:val="000000" w:themeColor="text1"/>
          <w:lang w:val="de-DE" w:eastAsia="ja-JP"/>
        </w:rPr>
        <w:t xml:space="preserve"> 25. März </w:t>
      </w:r>
      <w:r w:rsidR="00AB6A51" w:rsidRPr="001E3AC7">
        <w:rPr>
          <w:snapToGrid w:val="0"/>
          <w:color w:val="000000" w:themeColor="text1"/>
          <w:lang w:val="de-DE" w:eastAsia="ja-JP"/>
        </w:rPr>
        <w:t>2015</w:t>
      </w:r>
      <w:r w:rsidR="006C66F3">
        <w:rPr>
          <w:snapToGrid w:val="0"/>
          <w:color w:val="000000" w:themeColor="text1"/>
          <w:lang w:val="de-DE" w:eastAsia="ja-JP"/>
        </w:rPr>
        <w:t xml:space="preserve"> </w:t>
      </w:r>
      <w:r w:rsidR="006C66F3" w:rsidRPr="006C66F3">
        <w:rPr>
          <w:snapToGrid w:val="0"/>
          <w:color w:val="000000" w:themeColor="text1"/>
          <w:lang w:val="de-DE"/>
        </w:rPr>
        <w:t>die Ausarbeitung eines Entwurfs für Frage und Antwort bezüglich der Informationen über die Lage in der UPOV hinsichtlich der Verwendung molekularer Verfahren für ein breiteres Publikum, einschließlich der Öffentlichkeit im allgemeinen.</w:t>
      </w:r>
      <w:r w:rsidR="006C66F3">
        <w:rPr>
          <w:snapToGrid w:val="0"/>
          <w:color w:val="000000" w:themeColor="text1"/>
          <w:lang w:val="de-DE"/>
        </w:rPr>
        <w:t xml:space="preserve"> </w:t>
      </w:r>
      <w:r w:rsidR="006C66F3" w:rsidRPr="006C66F3">
        <w:rPr>
          <w:snapToGrid w:val="0"/>
          <w:color w:val="000000" w:themeColor="text1"/>
          <w:lang w:val="de-DE"/>
        </w:rPr>
        <w:t>Der TC vereinbart</w:t>
      </w:r>
      <w:r w:rsidR="004029B3">
        <w:rPr>
          <w:snapToGrid w:val="0"/>
          <w:color w:val="000000" w:themeColor="text1"/>
          <w:lang w:val="de-DE"/>
        </w:rPr>
        <w:t>e</w:t>
      </w:r>
      <w:r w:rsidR="006C66F3" w:rsidRPr="006C66F3">
        <w:rPr>
          <w:snapToGrid w:val="0"/>
          <w:color w:val="000000" w:themeColor="text1"/>
          <w:lang w:val="de-DE"/>
        </w:rPr>
        <w:t>, die TWP zu ersuchen, auf ihren Tagungen im Jahr 2015 den folgenden ersten Entwurf zu prüfen, der während der Tagung des TC erörtert wurde</w:t>
      </w:r>
      <w:r w:rsidR="004620C3" w:rsidRPr="001E3AC7">
        <w:rPr>
          <w:snapToGrid w:val="0"/>
          <w:color w:val="000000" w:themeColor="text1"/>
          <w:lang w:val="de-DE"/>
        </w:rPr>
        <w:t xml:space="preserve"> </w:t>
      </w:r>
      <w:r w:rsidR="000D3F83" w:rsidRPr="001E3AC7">
        <w:rPr>
          <w:snapToGrid w:val="0"/>
          <w:color w:val="000000" w:themeColor="text1"/>
          <w:lang w:val="de-DE"/>
        </w:rPr>
        <w:t>(vergleiche</w:t>
      </w:r>
      <w:r w:rsidRPr="001E3AC7">
        <w:rPr>
          <w:snapToGrid w:val="0"/>
          <w:color w:val="000000" w:themeColor="text1"/>
          <w:lang w:val="de-DE"/>
        </w:rPr>
        <w:t xml:space="preserve"> </w:t>
      </w:r>
      <w:r w:rsidR="000D3F83" w:rsidRPr="001E3AC7">
        <w:rPr>
          <w:snapToGrid w:val="0"/>
          <w:color w:val="000000" w:themeColor="text1"/>
          <w:lang w:val="de-DE"/>
        </w:rPr>
        <w:t>Dokument</w:t>
      </w:r>
      <w:r w:rsidRPr="001E3AC7">
        <w:rPr>
          <w:snapToGrid w:val="0"/>
          <w:color w:val="000000" w:themeColor="text1"/>
          <w:lang w:val="de-DE"/>
        </w:rPr>
        <w:t xml:space="preserve"> </w:t>
      </w:r>
      <w:r w:rsidR="00CA3219">
        <w:rPr>
          <w:snapToGrid w:val="0"/>
          <w:color w:val="000000" w:themeColor="text1"/>
          <w:lang w:val="de-DE"/>
        </w:rPr>
        <w:t>TC/51/39 „Bericht</w:t>
      </w:r>
      <w:r w:rsidR="005508EE">
        <w:rPr>
          <w:snapToGrid w:val="0"/>
          <w:color w:val="000000" w:themeColor="text1"/>
          <w:lang w:val="de-DE"/>
        </w:rPr>
        <w:t>“</w:t>
      </w:r>
      <w:r w:rsidRPr="001E3AC7">
        <w:rPr>
          <w:snapToGrid w:val="0"/>
          <w:color w:val="000000" w:themeColor="text1"/>
          <w:lang w:val="de-DE"/>
        </w:rPr>
        <w:t xml:space="preserve">, </w:t>
      </w:r>
      <w:r w:rsidR="000D3F83" w:rsidRPr="001E3AC7">
        <w:rPr>
          <w:snapToGrid w:val="0"/>
          <w:color w:val="000000" w:themeColor="text1"/>
          <w:lang w:val="de-DE"/>
        </w:rPr>
        <w:t>Absatz</w:t>
      </w:r>
      <w:r w:rsidRPr="001E3AC7">
        <w:rPr>
          <w:snapToGrid w:val="0"/>
          <w:color w:val="000000" w:themeColor="text1"/>
          <w:lang w:val="de-DE"/>
        </w:rPr>
        <w:t xml:space="preserve"> 181)</w:t>
      </w:r>
      <w:r w:rsidR="004620C3" w:rsidRPr="001E3AC7">
        <w:rPr>
          <w:snapToGrid w:val="0"/>
          <w:color w:val="000000" w:themeColor="text1"/>
          <w:lang w:val="de-DE"/>
        </w:rPr>
        <w:t>;</w:t>
      </w:r>
    </w:p>
    <w:p w:rsidR="002A3009" w:rsidRPr="001E3AC7" w:rsidRDefault="002A3009" w:rsidP="002A3009">
      <w:pPr>
        <w:rPr>
          <w:snapToGrid w:val="0"/>
          <w:color w:val="000000" w:themeColor="text1"/>
          <w:lang w:val="de-DE" w:eastAsia="ja-JP"/>
        </w:rPr>
      </w:pPr>
    </w:p>
    <w:p w:rsidR="003425B4" w:rsidRPr="003425B4" w:rsidRDefault="003425B4" w:rsidP="003425B4">
      <w:pPr>
        <w:pStyle w:val="Default"/>
        <w:ind w:left="540" w:right="549"/>
        <w:rPr>
          <w:sz w:val="18"/>
          <w:szCs w:val="18"/>
          <w:lang w:val="de-DE"/>
        </w:rPr>
      </w:pPr>
      <w:r w:rsidRPr="003425B4">
        <w:rPr>
          <w:sz w:val="18"/>
          <w:szCs w:val="18"/>
          <w:lang w:val="de-DE"/>
        </w:rPr>
        <w:t>„Ist es möglich, Sortensc</w:t>
      </w:r>
      <w:r w:rsidR="004029B3">
        <w:rPr>
          <w:sz w:val="18"/>
          <w:szCs w:val="18"/>
          <w:lang w:val="de-DE"/>
        </w:rPr>
        <w:t>hutz auf der Grundlage eines DNS</w:t>
      </w:r>
      <w:r w:rsidRPr="003425B4">
        <w:rPr>
          <w:sz w:val="18"/>
          <w:szCs w:val="18"/>
          <w:lang w:val="de-DE"/>
        </w:rPr>
        <w:t>-Profils zu erteilen?</w:t>
      </w:r>
    </w:p>
    <w:p w:rsidR="003425B4" w:rsidRPr="003425B4" w:rsidRDefault="003425B4" w:rsidP="003425B4">
      <w:pPr>
        <w:pStyle w:val="Default"/>
        <w:ind w:left="540" w:right="549"/>
        <w:rPr>
          <w:sz w:val="18"/>
          <w:szCs w:val="18"/>
          <w:lang w:val="de-DE"/>
        </w:rPr>
      </w:pPr>
    </w:p>
    <w:p w:rsidR="003425B4" w:rsidRPr="003425B4" w:rsidRDefault="003425B4" w:rsidP="003425B4">
      <w:pPr>
        <w:pStyle w:val="Default"/>
        <w:ind w:left="540" w:right="549"/>
        <w:rPr>
          <w:sz w:val="18"/>
          <w:szCs w:val="18"/>
          <w:lang w:val="de-DE"/>
        </w:rPr>
      </w:pPr>
      <w:r w:rsidRPr="003425B4">
        <w:rPr>
          <w:sz w:val="18"/>
          <w:szCs w:val="18"/>
          <w:lang w:val="de-DE"/>
        </w:rPr>
        <w:t>„Um eine Sorte zu schützen, muß sie deutlich unterscheidbar von sämtlichen bestehenden Sorten sein auf der Grundlage von Merkmalen, die physikalisch ausgeprägt sind, z.</w:t>
      </w:r>
      <w:r>
        <w:rPr>
          <w:sz w:val="18"/>
          <w:szCs w:val="18"/>
          <w:lang w:val="de-DE"/>
        </w:rPr>
        <w:t xml:space="preserve"> </w:t>
      </w:r>
      <w:r w:rsidRPr="003425B4">
        <w:rPr>
          <w:sz w:val="18"/>
          <w:szCs w:val="18"/>
          <w:lang w:val="de-DE"/>
        </w:rPr>
        <w:t>B.  Pflanzenhöhe, Blühzeitpunkt, Fruchtfarbe, Krankheitsresistenz usw.</w:t>
      </w:r>
      <w:r>
        <w:rPr>
          <w:sz w:val="18"/>
          <w:szCs w:val="18"/>
          <w:lang w:val="de-DE"/>
        </w:rPr>
        <w:t xml:space="preserve"> </w:t>
      </w:r>
      <w:r w:rsidRPr="003425B4">
        <w:rPr>
          <w:sz w:val="18"/>
          <w:szCs w:val="18"/>
          <w:lang w:val="de-DE"/>
        </w:rPr>
        <w:t>[Moleku</w:t>
      </w:r>
      <w:r w:rsidR="004029B3">
        <w:rPr>
          <w:sz w:val="18"/>
          <w:szCs w:val="18"/>
          <w:lang w:val="de-DE"/>
        </w:rPr>
        <w:t>lare Verfahren (DNS</w:t>
      </w:r>
      <w:r w:rsidRPr="003425B4">
        <w:rPr>
          <w:sz w:val="18"/>
          <w:szCs w:val="18"/>
          <w:lang w:val="de-DE"/>
        </w:rPr>
        <w:t>-Profile) können als unterstützende Information verwendet werden].</w:t>
      </w:r>
    </w:p>
    <w:p w:rsidR="003425B4" w:rsidRPr="003425B4" w:rsidRDefault="003425B4" w:rsidP="003425B4">
      <w:pPr>
        <w:pStyle w:val="Default"/>
        <w:ind w:left="540" w:right="549"/>
        <w:rPr>
          <w:sz w:val="18"/>
          <w:szCs w:val="18"/>
          <w:lang w:val="de-DE"/>
        </w:rPr>
      </w:pPr>
    </w:p>
    <w:p w:rsidR="003425B4" w:rsidRPr="003425B4" w:rsidRDefault="003425B4" w:rsidP="003425B4">
      <w:pPr>
        <w:pStyle w:val="Default"/>
        <w:ind w:left="540" w:right="549"/>
        <w:rPr>
          <w:sz w:val="18"/>
          <w:szCs w:val="18"/>
          <w:lang w:val="de-DE"/>
        </w:rPr>
      </w:pPr>
      <w:r w:rsidRPr="003425B4">
        <w:rPr>
          <w:sz w:val="18"/>
          <w:szCs w:val="18"/>
          <w:lang w:val="de-DE"/>
        </w:rPr>
        <w:t>„Eine ausführlichere Erläuterung findet sich in der häufig gestellten Frage ‘Erlaubt die UPOV die Verwendung molekularer Verfahren (DNS-Profile) bei der Prüfung der Unterscheidbarkeit, der Homogenität und der Beständigkeit („DUS“)?'</w:t>
      </w:r>
    </w:p>
    <w:p w:rsidR="003425B4" w:rsidRPr="003425B4" w:rsidRDefault="003425B4" w:rsidP="003425B4">
      <w:pPr>
        <w:pStyle w:val="Default"/>
        <w:ind w:left="540" w:right="549"/>
        <w:rPr>
          <w:sz w:val="18"/>
          <w:szCs w:val="18"/>
          <w:lang w:val="de-DE"/>
        </w:rPr>
      </w:pPr>
    </w:p>
    <w:p w:rsidR="003425B4" w:rsidRPr="003425B4" w:rsidRDefault="003425B4" w:rsidP="003425B4">
      <w:pPr>
        <w:pStyle w:val="Default"/>
        <w:ind w:left="540" w:right="549"/>
        <w:rPr>
          <w:sz w:val="18"/>
          <w:szCs w:val="18"/>
          <w:lang w:val="de-DE"/>
        </w:rPr>
      </w:pPr>
      <w:r w:rsidRPr="003425B4">
        <w:rPr>
          <w:sz w:val="18"/>
          <w:szCs w:val="18"/>
          <w:lang w:val="de-DE"/>
        </w:rPr>
        <w:t>„Vergleiche auch:</w:t>
      </w:r>
    </w:p>
    <w:p w:rsidR="006D5C91" w:rsidRPr="001E3AC7" w:rsidRDefault="003425B4" w:rsidP="003425B4">
      <w:pPr>
        <w:pStyle w:val="Default"/>
        <w:ind w:left="540" w:right="549"/>
        <w:jc w:val="both"/>
        <w:rPr>
          <w:snapToGrid w:val="0"/>
          <w:u w:val="single"/>
          <w:lang w:val="de-DE" w:eastAsia="ja-JP"/>
        </w:rPr>
      </w:pPr>
      <w:r w:rsidRPr="003425B4">
        <w:rPr>
          <w:sz w:val="18"/>
          <w:szCs w:val="18"/>
          <w:lang w:val="de-DE"/>
        </w:rPr>
        <w:t>„Was sind die Voraussetzungen für den Sc</w:t>
      </w:r>
      <w:r>
        <w:rPr>
          <w:sz w:val="18"/>
          <w:szCs w:val="18"/>
          <w:lang w:val="de-DE"/>
        </w:rPr>
        <w:t>hutz einer neuen Pflanzensorte?“</w:t>
      </w:r>
    </w:p>
    <w:p w:rsidR="009E1E09" w:rsidRPr="001E3AC7" w:rsidRDefault="009E1E09">
      <w:pPr>
        <w:jc w:val="left"/>
        <w:rPr>
          <w:rFonts w:cs="Arial"/>
          <w:snapToGrid w:val="0"/>
          <w:u w:val="single"/>
          <w:lang w:val="de-DE" w:eastAsia="ja-JP"/>
        </w:rPr>
      </w:pPr>
    </w:p>
    <w:p w:rsidR="002A3009" w:rsidRPr="001E3AC7" w:rsidRDefault="000913F8" w:rsidP="002A3009">
      <w:pPr>
        <w:pStyle w:val="Heading2"/>
        <w:rPr>
          <w:snapToGrid w:val="0"/>
          <w:lang w:val="de-DE" w:eastAsia="ja-JP"/>
        </w:rPr>
      </w:pPr>
      <w:bookmarkStart w:id="42" w:name="_Toc444612400"/>
      <w:r>
        <w:rPr>
          <w:snapToGrid w:val="0"/>
          <w:lang w:val="de-DE" w:eastAsia="ja-JP"/>
        </w:rPr>
        <w:t>Bemerkungen der technischen Arbeitsgruppen im Jahr 2015</w:t>
      </w:r>
      <w:bookmarkEnd w:id="42"/>
    </w:p>
    <w:p w:rsidR="00CC7D88" w:rsidRPr="001E3AC7" w:rsidRDefault="00CC7D88" w:rsidP="002D3575">
      <w:pPr>
        <w:rPr>
          <w:snapToGrid w:val="0"/>
          <w:color w:val="000000" w:themeColor="text1"/>
          <w:lang w:val="de-DE"/>
        </w:rPr>
      </w:pPr>
    </w:p>
    <w:p w:rsidR="0083351C" w:rsidRPr="001E3AC7" w:rsidRDefault="0083351C" w:rsidP="0083351C">
      <w:pPr>
        <w:rPr>
          <w:lang w:val="de-DE" w:eastAsia="ja-JP"/>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Pr="001E3AC7">
        <w:rPr>
          <w:snapToGrid w:val="0"/>
          <w:lang w:val="de-DE"/>
        </w:rPr>
        <w:tab/>
      </w:r>
      <w:r w:rsidR="001E73EE">
        <w:rPr>
          <w:snapToGrid w:val="0"/>
          <w:lang w:val="de-DE"/>
        </w:rPr>
        <w:t>Die TWV</w:t>
      </w:r>
      <w:r w:rsidRPr="001E3AC7">
        <w:rPr>
          <w:snapToGrid w:val="0"/>
          <w:lang w:val="de-DE"/>
        </w:rPr>
        <w:t xml:space="preserve"> </w:t>
      </w:r>
      <w:r w:rsidR="000913F8">
        <w:rPr>
          <w:snapToGrid w:val="0"/>
          <w:lang w:val="de-DE"/>
        </w:rPr>
        <w:t>auf ihrer neunundvierzigsten</w:t>
      </w:r>
      <w:r w:rsidRPr="001E3AC7">
        <w:rPr>
          <w:snapToGrid w:val="0"/>
          <w:lang w:val="de-DE"/>
        </w:rPr>
        <w:t xml:space="preserve"> </w:t>
      </w:r>
      <w:r w:rsidR="001E73EE">
        <w:rPr>
          <w:snapToGrid w:val="0"/>
          <w:lang w:val="de-DE"/>
        </w:rPr>
        <w:t>Tagung</w:t>
      </w:r>
      <w:r w:rsidR="000913F8">
        <w:rPr>
          <w:snapToGrid w:val="0"/>
          <w:lang w:val="de-DE"/>
        </w:rPr>
        <w:t xml:space="preserve"> </w:t>
      </w:r>
      <w:r w:rsidR="004029B3">
        <w:rPr>
          <w:snapToGrid w:val="0"/>
          <w:lang w:val="de-DE" w:eastAsia="ja-JP"/>
        </w:rPr>
        <w:t>vom 15. bis 19. Juni</w:t>
      </w:r>
      <w:r w:rsidR="004029B3" w:rsidRPr="001E3AC7">
        <w:rPr>
          <w:snapToGrid w:val="0"/>
          <w:lang w:val="de-DE" w:eastAsia="ja-JP"/>
        </w:rPr>
        <w:t xml:space="preserve"> 2015</w:t>
      </w:r>
      <w:r w:rsidR="004029B3">
        <w:rPr>
          <w:snapToGrid w:val="0"/>
          <w:lang w:val="de-DE" w:eastAsia="ja-JP"/>
        </w:rPr>
        <w:t xml:space="preserve"> </w:t>
      </w:r>
      <w:r w:rsidR="000913F8">
        <w:rPr>
          <w:snapToGrid w:val="0"/>
          <w:lang w:val="de-DE"/>
        </w:rPr>
        <w:t>in</w:t>
      </w:r>
      <w:r w:rsidRPr="001E3AC7">
        <w:rPr>
          <w:lang w:val="de-DE"/>
        </w:rPr>
        <w:t xml:space="preserve"> </w:t>
      </w:r>
      <w:r w:rsidRPr="001E3AC7">
        <w:rPr>
          <w:snapToGrid w:val="0"/>
          <w:lang w:val="de-DE" w:eastAsia="ja-JP"/>
        </w:rPr>
        <w:t xml:space="preserve">Angers, </w:t>
      </w:r>
      <w:r w:rsidR="00C77A66">
        <w:rPr>
          <w:snapToGrid w:val="0"/>
          <w:lang w:val="de-DE" w:eastAsia="ja-JP"/>
        </w:rPr>
        <w:t>Frankreich</w:t>
      </w:r>
      <w:r w:rsidRPr="001E3AC7">
        <w:rPr>
          <w:snapToGrid w:val="0"/>
          <w:lang w:val="de-DE" w:eastAsia="ja-JP"/>
        </w:rPr>
        <w:t>,</w:t>
      </w:r>
      <w:r w:rsidR="004D1C2F">
        <w:rPr>
          <w:snapToGrid w:val="0"/>
          <w:lang w:val="de-DE" w:eastAsia="ja-JP"/>
        </w:rPr>
        <w:t xml:space="preserve"> und </w:t>
      </w:r>
      <w:r w:rsidR="00F4365F">
        <w:rPr>
          <w:snapToGrid w:val="0"/>
          <w:lang w:val="de-DE"/>
        </w:rPr>
        <w:t>die TWC</w:t>
      </w:r>
      <w:r w:rsidRPr="001E3AC7">
        <w:rPr>
          <w:snapToGrid w:val="0"/>
          <w:lang w:val="de-DE"/>
        </w:rPr>
        <w:t xml:space="preserve"> </w:t>
      </w:r>
      <w:r w:rsidR="00F4365F">
        <w:rPr>
          <w:snapToGrid w:val="0"/>
          <w:lang w:val="de-DE"/>
        </w:rPr>
        <w:t>auf ihrer dreiunddreißigsten Tagung vom 30</w:t>
      </w:r>
      <w:r w:rsidR="000913F8">
        <w:rPr>
          <w:snapToGrid w:val="0"/>
          <w:lang w:val="de-DE"/>
        </w:rPr>
        <w:t xml:space="preserve">. Juni </w:t>
      </w:r>
      <w:r w:rsidR="00256CE5">
        <w:rPr>
          <w:snapToGrid w:val="0"/>
          <w:lang w:val="de-DE"/>
        </w:rPr>
        <w:t>bis</w:t>
      </w:r>
      <w:r w:rsidR="000913F8">
        <w:rPr>
          <w:snapToGrid w:val="0"/>
          <w:lang w:val="de-DE"/>
        </w:rPr>
        <w:t xml:space="preserve"> 2. Juli 2015</w:t>
      </w:r>
      <w:r w:rsidRPr="001E3AC7">
        <w:rPr>
          <w:snapToGrid w:val="0"/>
          <w:lang w:val="de-DE" w:eastAsia="ja-JP"/>
        </w:rPr>
        <w:t xml:space="preserve"> </w:t>
      </w:r>
      <w:r w:rsidR="004029B3">
        <w:rPr>
          <w:snapToGrid w:val="0"/>
          <w:lang w:val="de-DE"/>
        </w:rPr>
        <w:t>in Natal, Brasilien</w:t>
      </w:r>
      <w:r w:rsidR="00151794">
        <w:rPr>
          <w:snapToGrid w:val="0"/>
          <w:lang w:val="de-DE"/>
        </w:rPr>
        <w:t>,</w:t>
      </w:r>
      <w:r w:rsidR="004029B3">
        <w:rPr>
          <w:snapToGrid w:val="0"/>
          <w:lang w:val="de-DE"/>
        </w:rPr>
        <w:t xml:space="preserve"> </w:t>
      </w:r>
      <w:r w:rsidR="000913F8">
        <w:rPr>
          <w:snapToGrid w:val="0"/>
          <w:lang w:val="de-DE" w:eastAsia="ja-JP"/>
        </w:rPr>
        <w:t>stimmte</w:t>
      </w:r>
      <w:r w:rsidR="00151794">
        <w:rPr>
          <w:snapToGrid w:val="0"/>
          <w:lang w:val="de-DE" w:eastAsia="ja-JP"/>
        </w:rPr>
        <w:t>n</w:t>
      </w:r>
      <w:r w:rsidR="000913F8">
        <w:rPr>
          <w:snapToGrid w:val="0"/>
          <w:lang w:val="de-DE" w:eastAsia="ja-JP"/>
        </w:rPr>
        <w:t xml:space="preserve"> </w:t>
      </w:r>
      <w:r w:rsidR="004029B3">
        <w:rPr>
          <w:snapToGrid w:val="0"/>
          <w:lang w:val="de-DE" w:eastAsia="ja-JP"/>
        </w:rPr>
        <w:t>dem</w:t>
      </w:r>
      <w:r w:rsidR="000913F8">
        <w:rPr>
          <w:snapToGrid w:val="0"/>
          <w:lang w:val="de-DE" w:eastAsia="ja-JP"/>
        </w:rPr>
        <w:t xml:space="preserve"> ersten </w:t>
      </w:r>
      <w:r w:rsidR="000913F8" w:rsidRPr="000913F8">
        <w:rPr>
          <w:snapToGrid w:val="0"/>
          <w:lang w:val="de-DE"/>
        </w:rPr>
        <w:t>Entwurf für Frage und Antwort bezüglich der Informationen über die Lage in der UPOV hinsichtlich der Verwendung molekularer Verfahren für ein breiteres Publikum, einschließlich der Öffentlichkeit im allgemeinen</w:t>
      </w:r>
      <w:r w:rsidR="00E20A84">
        <w:rPr>
          <w:snapToGrid w:val="0"/>
          <w:lang w:val="de-DE"/>
        </w:rPr>
        <w:t>,</w:t>
      </w:r>
      <w:r w:rsidR="000913F8" w:rsidRPr="000913F8">
        <w:rPr>
          <w:snapToGrid w:val="0"/>
          <w:lang w:val="de-DE"/>
        </w:rPr>
        <w:t xml:space="preserve"> </w:t>
      </w:r>
      <w:r w:rsidR="004029B3">
        <w:rPr>
          <w:snapToGrid w:val="0"/>
          <w:lang w:val="de-DE"/>
        </w:rPr>
        <w:t>zu</w:t>
      </w:r>
      <w:r w:rsidRPr="001E3AC7">
        <w:rPr>
          <w:snapToGrid w:val="0"/>
          <w:lang w:val="de-DE"/>
        </w:rPr>
        <w:t xml:space="preserve">, </w:t>
      </w:r>
      <w:r w:rsidR="000913F8">
        <w:rPr>
          <w:snapToGrid w:val="0"/>
          <w:lang w:val="de-DE"/>
        </w:rPr>
        <w:t xml:space="preserve">der während der </w:t>
      </w:r>
      <w:r w:rsidR="00BC3AB0">
        <w:rPr>
          <w:snapToGrid w:val="0"/>
          <w:lang w:val="de-DE"/>
        </w:rPr>
        <w:t>einundfünfzigsten Tagung</w:t>
      </w:r>
      <w:r w:rsidR="000913F8">
        <w:rPr>
          <w:snapToGrid w:val="0"/>
          <w:lang w:val="de-DE"/>
        </w:rPr>
        <w:t xml:space="preserve"> des TC erörtert wurde</w:t>
      </w:r>
      <w:r w:rsidRPr="001E3AC7">
        <w:rPr>
          <w:snapToGrid w:val="0"/>
          <w:lang w:val="de-DE"/>
        </w:rPr>
        <w:t xml:space="preserve"> </w:t>
      </w:r>
      <w:r w:rsidR="000D3F83" w:rsidRPr="001E3AC7">
        <w:rPr>
          <w:snapToGrid w:val="0"/>
          <w:lang w:val="de-DE"/>
        </w:rPr>
        <w:t>(vergleiche</w:t>
      </w:r>
      <w:r w:rsidRPr="001E3AC7">
        <w:rPr>
          <w:snapToGrid w:val="0"/>
          <w:lang w:val="de-DE"/>
        </w:rPr>
        <w:t xml:space="preserve"> </w:t>
      </w:r>
      <w:r w:rsidR="001E73EE">
        <w:rPr>
          <w:snapToGrid w:val="0"/>
          <w:lang w:val="de-DE"/>
        </w:rPr>
        <w:t>Dokumente</w:t>
      </w:r>
      <w:r w:rsidRPr="001E3AC7">
        <w:rPr>
          <w:rFonts w:cs="Arial"/>
          <w:shd w:val="clear" w:color="auto" w:fill="FFFFFF"/>
          <w:lang w:val="de-DE" w:eastAsia="ja-JP"/>
        </w:rPr>
        <w:t xml:space="preserve"> TWV/49/32</w:t>
      </w:r>
      <w:r w:rsidR="00291817" w:rsidRPr="001E3AC7">
        <w:rPr>
          <w:rFonts w:cs="Arial"/>
          <w:shd w:val="clear" w:color="auto" w:fill="FFFFFF"/>
          <w:lang w:val="de-DE" w:eastAsia="ja-JP"/>
        </w:rPr>
        <w:t> </w:t>
      </w:r>
      <w:proofErr w:type="spellStart"/>
      <w:r w:rsidR="00291817" w:rsidRPr="001E3AC7">
        <w:rPr>
          <w:rFonts w:cs="Arial"/>
          <w:shd w:val="clear" w:color="auto" w:fill="FFFFFF"/>
          <w:lang w:val="de-DE" w:eastAsia="ja-JP"/>
        </w:rPr>
        <w:t>Rev</w:t>
      </w:r>
      <w:proofErr w:type="spellEnd"/>
      <w:r w:rsidR="00291817" w:rsidRPr="001E3AC7">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w:t>
      </w:r>
      <w:proofErr w:type="spellStart"/>
      <w:r w:rsidR="007412D9" w:rsidRPr="007412D9">
        <w:rPr>
          <w:rFonts w:cs="Arial"/>
          <w:i/>
          <w:shd w:val="clear" w:color="auto" w:fill="FFFFFF"/>
          <w:lang w:val="de-DE" w:eastAsia="ja-JP"/>
        </w:rPr>
        <w:t>Revised</w:t>
      </w:r>
      <w:proofErr w:type="spellEnd"/>
      <w:r w:rsidR="007412D9" w:rsidRPr="007412D9">
        <w:rPr>
          <w:rFonts w:cs="Arial"/>
          <w:i/>
          <w:shd w:val="clear" w:color="auto" w:fill="FFFFFF"/>
          <w:lang w:val="de-DE" w:eastAsia="ja-JP"/>
        </w:rPr>
        <w:t xml:space="preserve"> Report</w:t>
      </w:r>
      <w:r w:rsidR="000D3F83" w:rsidRPr="001E3AC7">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Absatz</w:t>
      </w:r>
      <w:r w:rsidRPr="001E3AC7">
        <w:rPr>
          <w:rFonts w:cs="Arial"/>
          <w:shd w:val="clear" w:color="auto" w:fill="FFFFFF"/>
          <w:lang w:val="de-DE" w:eastAsia="ja-JP"/>
        </w:rPr>
        <w:t xml:space="preserve"> 15</w:t>
      </w:r>
      <w:r w:rsidR="004029B3">
        <w:rPr>
          <w:rFonts w:cs="Arial"/>
          <w:shd w:val="clear" w:color="auto" w:fill="FFFFFF"/>
          <w:lang w:val="de-DE" w:eastAsia="ja-JP"/>
        </w:rPr>
        <w:t>,</w:t>
      </w:r>
      <w:r w:rsidR="004D1C2F">
        <w:rPr>
          <w:rFonts w:cs="Arial"/>
          <w:shd w:val="clear" w:color="auto" w:fill="FFFFFF"/>
          <w:lang w:val="de-DE" w:eastAsia="ja-JP"/>
        </w:rPr>
        <w:t xml:space="preserve"> und </w:t>
      </w:r>
      <w:r w:rsidRPr="001E3AC7">
        <w:rPr>
          <w:rFonts w:cs="Arial"/>
          <w:shd w:val="clear" w:color="auto" w:fill="FFFFFF"/>
          <w:lang w:val="de-DE" w:eastAsia="ja-JP"/>
        </w:rPr>
        <w:t xml:space="preserve">TWC/33/30 </w:t>
      </w:r>
      <w:r w:rsidR="005508EE">
        <w:rPr>
          <w:rFonts w:cs="Arial"/>
          <w:shd w:val="clear" w:color="auto" w:fill="FFFFFF"/>
          <w:lang w:val="de-DE" w:eastAsia="ja-JP"/>
        </w:rPr>
        <w:t>„</w:t>
      </w:r>
      <w:r w:rsidR="007412D9" w:rsidRPr="007412D9">
        <w:rPr>
          <w:rFonts w:cs="Arial"/>
          <w:i/>
          <w:shd w:val="clear" w:color="auto" w:fill="FFFFFF"/>
          <w:lang w:val="de-DE" w:eastAsia="ja-JP"/>
        </w:rPr>
        <w:t>Report</w:t>
      </w:r>
      <w:r w:rsidR="005508EE">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Absatz</w:t>
      </w:r>
      <w:r w:rsidRPr="001E3AC7">
        <w:rPr>
          <w:rFonts w:cs="Arial"/>
          <w:shd w:val="clear" w:color="auto" w:fill="FFFFFF"/>
          <w:lang w:val="de-DE" w:eastAsia="ja-JP"/>
        </w:rPr>
        <w:t xml:space="preserve"> 110)</w:t>
      </w:r>
      <w:r w:rsidRPr="001E3AC7">
        <w:rPr>
          <w:snapToGrid w:val="0"/>
          <w:lang w:val="de-DE"/>
        </w:rPr>
        <w:t>.</w:t>
      </w:r>
    </w:p>
    <w:p w:rsidR="0097762D" w:rsidRPr="001E3AC7" w:rsidRDefault="0097762D" w:rsidP="0083351C">
      <w:pPr>
        <w:rPr>
          <w:lang w:val="de-DE" w:eastAsia="ja-JP"/>
        </w:rPr>
      </w:pPr>
    </w:p>
    <w:p w:rsidR="0083351C" w:rsidRPr="001E3AC7" w:rsidRDefault="0083351C" w:rsidP="0083351C">
      <w:pPr>
        <w:rPr>
          <w:lang w:val="de-DE" w:eastAsia="ja-JP"/>
        </w:rPr>
      </w:pPr>
      <w:r w:rsidRPr="001E3AC7">
        <w:rPr>
          <w:snapToGrid w:val="0"/>
          <w:lang w:val="de-DE"/>
        </w:rPr>
        <w:fldChar w:fldCharType="begin"/>
      </w:r>
      <w:r w:rsidRPr="001E3AC7">
        <w:rPr>
          <w:snapToGrid w:val="0"/>
          <w:lang w:val="de-DE"/>
        </w:rPr>
        <w:instrText xml:space="preserve"> AUTONUM  </w:instrText>
      </w:r>
      <w:r w:rsidRPr="001E3AC7">
        <w:rPr>
          <w:snapToGrid w:val="0"/>
          <w:lang w:val="de-DE"/>
        </w:rPr>
        <w:fldChar w:fldCharType="end"/>
      </w:r>
      <w:r w:rsidRPr="001E3AC7">
        <w:rPr>
          <w:snapToGrid w:val="0"/>
          <w:lang w:val="de-DE"/>
        </w:rPr>
        <w:tab/>
      </w:r>
      <w:r w:rsidR="00256CE5">
        <w:rPr>
          <w:lang w:val="de-DE" w:eastAsia="ja-JP"/>
        </w:rPr>
        <w:t>Die TWA</w:t>
      </w:r>
      <w:r w:rsidR="006C4E03">
        <w:rPr>
          <w:lang w:val="de-DE" w:eastAsia="ja-JP"/>
        </w:rPr>
        <w:t xml:space="preserve"> </w:t>
      </w:r>
      <w:r w:rsidR="00256CE5">
        <w:rPr>
          <w:lang w:val="de-DE" w:eastAsia="ja-JP"/>
        </w:rPr>
        <w:t>auf ihrer vierundvierzigsten</w:t>
      </w:r>
      <w:r w:rsidRPr="001E3AC7">
        <w:rPr>
          <w:lang w:val="de-DE" w:eastAsia="ja-JP"/>
        </w:rPr>
        <w:t xml:space="preserve"> </w:t>
      </w:r>
      <w:r w:rsidR="001E73EE">
        <w:rPr>
          <w:lang w:val="de-DE" w:eastAsia="ja-JP"/>
        </w:rPr>
        <w:t>Tagung</w:t>
      </w:r>
      <w:r w:rsidR="000913F8">
        <w:rPr>
          <w:lang w:val="de-DE" w:eastAsia="ja-JP"/>
        </w:rPr>
        <w:t xml:space="preserve"> in</w:t>
      </w:r>
      <w:r w:rsidRPr="001E3AC7">
        <w:rPr>
          <w:lang w:val="de-DE" w:eastAsia="ja-JP"/>
        </w:rPr>
        <w:t xml:space="preserve"> Obihiro, Japan</w:t>
      </w:r>
      <w:r w:rsidR="00256CE5">
        <w:rPr>
          <w:lang w:val="de-DE" w:eastAsia="ja-JP"/>
        </w:rPr>
        <w:t>,</w:t>
      </w:r>
      <w:r w:rsidRPr="001E3AC7">
        <w:rPr>
          <w:lang w:val="de-DE" w:eastAsia="ja-JP"/>
        </w:rPr>
        <w:t xml:space="preserve"> </w:t>
      </w:r>
      <w:r w:rsidR="00256CE5">
        <w:rPr>
          <w:lang w:val="de-DE" w:eastAsia="ja-JP"/>
        </w:rPr>
        <w:t xml:space="preserve">vom </w:t>
      </w:r>
      <w:r w:rsidRPr="001E3AC7">
        <w:rPr>
          <w:lang w:val="de-DE" w:eastAsia="ja-JP"/>
        </w:rPr>
        <w:t>6</w:t>
      </w:r>
      <w:r w:rsidR="00256CE5">
        <w:rPr>
          <w:lang w:val="de-DE" w:eastAsia="ja-JP"/>
        </w:rPr>
        <w:t xml:space="preserve">. bis </w:t>
      </w:r>
      <w:r w:rsidRPr="001E3AC7">
        <w:rPr>
          <w:lang w:val="de-DE" w:eastAsia="ja-JP"/>
        </w:rPr>
        <w:t>10</w:t>
      </w:r>
      <w:r w:rsidR="00256CE5">
        <w:rPr>
          <w:lang w:val="de-DE" w:eastAsia="ja-JP"/>
        </w:rPr>
        <w:t>.</w:t>
      </w:r>
      <w:r w:rsidR="00151794" w:rsidRPr="00151794">
        <w:rPr>
          <w:lang w:val="de-DE" w:eastAsia="ja-JP"/>
        </w:rPr>
        <w:t xml:space="preserve"> </w:t>
      </w:r>
      <w:r w:rsidR="00151794">
        <w:rPr>
          <w:lang w:val="de-DE" w:eastAsia="ja-JP"/>
        </w:rPr>
        <w:t>Juli</w:t>
      </w:r>
      <w:r w:rsidRPr="001E3AC7">
        <w:rPr>
          <w:lang w:val="de-DE" w:eastAsia="ja-JP"/>
        </w:rPr>
        <w:t xml:space="preserve"> 2015, </w:t>
      </w:r>
      <w:r w:rsidR="00E16847">
        <w:rPr>
          <w:lang w:val="de-DE" w:eastAsia="ja-JP"/>
        </w:rPr>
        <w:t>die TWF</w:t>
      </w:r>
      <w:r w:rsidRPr="001E3AC7">
        <w:rPr>
          <w:lang w:val="de-DE" w:eastAsia="ja-JP"/>
        </w:rPr>
        <w:t xml:space="preserve"> </w:t>
      </w:r>
      <w:r w:rsidR="00256CE5">
        <w:rPr>
          <w:lang w:val="de-DE" w:eastAsia="ja-JP"/>
        </w:rPr>
        <w:t>auf ihrer sechsundvierzigsten</w:t>
      </w:r>
      <w:r w:rsidRPr="001E3AC7">
        <w:rPr>
          <w:lang w:val="de-DE" w:eastAsia="ja-JP"/>
        </w:rPr>
        <w:t xml:space="preserve"> </w:t>
      </w:r>
      <w:r w:rsidR="001E73EE">
        <w:rPr>
          <w:lang w:val="de-DE" w:eastAsia="ja-JP"/>
        </w:rPr>
        <w:t>Tagung</w:t>
      </w:r>
      <w:r w:rsidR="000913F8">
        <w:rPr>
          <w:lang w:val="de-DE" w:eastAsia="ja-JP"/>
        </w:rPr>
        <w:t xml:space="preserve"> in</w:t>
      </w:r>
      <w:r w:rsidRPr="001E3AC7">
        <w:rPr>
          <w:lang w:val="de-DE" w:eastAsia="ja-JP"/>
        </w:rPr>
        <w:t xml:space="preserve"> </w:t>
      </w:r>
      <w:proofErr w:type="spellStart"/>
      <w:r w:rsidRPr="001E3AC7">
        <w:rPr>
          <w:lang w:val="de-DE" w:eastAsia="ja-JP"/>
        </w:rPr>
        <w:t>Mpumalanga</w:t>
      </w:r>
      <w:proofErr w:type="spellEnd"/>
      <w:r w:rsidRPr="001E3AC7">
        <w:rPr>
          <w:lang w:val="de-DE" w:eastAsia="ja-JP"/>
        </w:rPr>
        <w:t>,</w:t>
      </w:r>
      <w:r w:rsidR="00256CE5">
        <w:rPr>
          <w:lang w:val="de-DE" w:eastAsia="ja-JP"/>
        </w:rPr>
        <w:t xml:space="preserve"> </w:t>
      </w:r>
      <w:r w:rsidR="009227E6">
        <w:rPr>
          <w:lang w:val="de-DE" w:eastAsia="ja-JP"/>
        </w:rPr>
        <w:t>Südafrika</w:t>
      </w:r>
      <w:r w:rsidR="00256CE5">
        <w:rPr>
          <w:lang w:val="de-DE" w:eastAsia="ja-JP"/>
        </w:rPr>
        <w:t xml:space="preserve">, vom </w:t>
      </w:r>
      <w:r w:rsidRPr="001E3AC7">
        <w:rPr>
          <w:lang w:val="de-DE" w:eastAsia="ja-JP"/>
        </w:rPr>
        <w:t>24</w:t>
      </w:r>
      <w:r w:rsidR="00256CE5">
        <w:rPr>
          <w:lang w:val="de-DE" w:eastAsia="ja-JP"/>
        </w:rPr>
        <w:t>. bis</w:t>
      </w:r>
      <w:r w:rsidRPr="001E3AC7">
        <w:rPr>
          <w:lang w:val="de-DE" w:eastAsia="ja-JP"/>
        </w:rPr>
        <w:t xml:space="preserve"> 28</w:t>
      </w:r>
      <w:r w:rsidR="00256CE5">
        <w:rPr>
          <w:lang w:val="de-DE" w:eastAsia="ja-JP"/>
        </w:rPr>
        <w:t xml:space="preserve">. </w:t>
      </w:r>
      <w:r w:rsidR="00256CE5" w:rsidRPr="001E3AC7">
        <w:rPr>
          <w:lang w:val="de-DE" w:eastAsia="ja-JP"/>
        </w:rPr>
        <w:t>August</w:t>
      </w:r>
      <w:r w:rsidRPr="001E3AC7">
        <w:rPr>
          <w:lang w:val="de-DE" w:eastAsia="ja-JP"/>
        </w:rPr>
        <w:t xml:space="preserve"> 2015</w:t>
      </w:r>
      <w:r w:rsidR="004D1C2F">
        <w:rPr>
          <w:lang w:val="de-DE" w:eastAsia="ja-JP"/>
        </w:rPr>
        <w:t xml:space="preserve"> und </w:t>
      </w:r>
      <w:r w:rsidR="00256CE5">
        <w:rPr>
          <w:lang w:val="de-DE" w:eastAsia="ja-JP"/>
        </w:rPr>
        <w:t>die</w:t>
      </w:r>
      <w:r w:rsidR="00291817" w:rsidRPr="001E3AC7">
        <w:rPr>
          <w:lang w:val="de-DE" w:eastAsia="ja-JP"/>
        </w:rPr>
        <w:t xml:space="preserve"> TWO</w:t>
      </w:r>
      <w:r w:rsidR="00256CE5">
        <w:rPr>
          <w:lang w:val="de-DE" w:eastAsia="ja-JP"/>
        </w:rPr>
        <w:t xml:space="preserve"> </w:t>
      </w:r>
      <w:r w:rsidR="005508EE">
        <w:rPr>
          <w:lang w:val="de-DE" w:eastAsia="ja-JP"/>
        </w:rPr>
        <w:t xml:space="preserve">auf ihrer achtundvierzigsten Tagung vom 14. </w:t>
      </w:r>
      <w:r w:rsidR="0044377C">
        <w:rPr>
          <w:lang w:val="de-DE" w:eastAsia="ja-JP"/>
        </w:rPr>
        <w:t>b</w:t>
      </w:r>
      <w:r w:rsidR="00256CE5">
        <w:rPr>
          <w:lang w:val="de-DE" w:eastAsia="ja-JP"/>
        </w:rPr>
        <w:t>is</w:t>
      </w:r>
      <w:r w:rsidR="005508EE">
        <w:rPr>
          <w:lang w:val="de-DE" w:eastAsia="ja-JP"/>
        </w:rPr>
        <w:t xml:space="preserve"> 18. September 2015 in Cambridge, Vereinigtes Königreich</w:t>
      </w:r>
      <w:r w:rsidRPr="001E3AC7">
        <w:rPr>
          <w:lang w:val="de-DE" w:eastAsia="ja-JP"/>
        </w:rPr>
        <w:t xml:space="preserve">, </w:t>
      </w:r>
      <w:r w:rsidR="000844F9">
        <w:rPr>
          <w:lang w:val="de-DE" w:eastAsia="ja-JP"/>
        </w:rPr>
        <w:t>vereinbarte</w:t>
      </w:r>
      <w:r w:rsidR="0044377C">
        <w:rPr>
          <w:lang w:val="de-DE" w:eastAsia="ja-JP"/>
        </w:rPr>
        <w:t>n</w:t>
      </w:r>
      <w:r w:rsidR="000844F9">
        <w:rPr>
          <w:lang w:val="de-DE" w:eastAsia="ja-JP"/>
        </w:rPr>
        <w:t>,</w:t>
      </w:r>
      <w:r w:rsidRPr="001E3AC7">
        <w:rPr>
          <w:lang w:val="de-DE" w:eastAsia="ja-JP"/>
        </w:rPr>
        <w:t xml:space="preserve"> </w:t>
      </w:r>
      <w:r w:rsidR="006C4E03">
        <w:rPr>
          <w:lang w:val="de-DE" w:eastAsia="ja-JP"/>
        </w:rPr>
        <w:t>vorzuschlagen, daß der Wortlaut des ersten</w:t>
      </w:r>
      <w:r w:rsidRPr="001E3AC7">
        <w:rPr>
          <w:snapToGrid w:val="0"/>
          <w:lang w:val="de-DE"/>
        </w:rPr>
        <w:t xml:space="preserve"> </w:t>
      </w:r>
      <w:r w:rsidR="006C4E03">
        <w:rPr>
          <w:snapToGrid w:val="0"/>
          <w:lang w:val="de-DE"/>
        </w:rPr>
        <w:t>Entwurfs für Frage und Antwort bezüglich der Informationen über die Lage in der UPOV hinsichtlich der Verwendung molekularer Verfahren für ein breiteres Publikum, einschließlich der Öffentlichkeit im allgemeinen</w:t>
      </w:r>
      <w:r w:rsidRPr="001E3AC7">
        <w:rPr>
          <w:snapToGrid w:val="0"/>
          <w:lang w:val="de-DE"/>
        </w:rPr>
        <w:t xml:space="preserve">, </w:t>
      </w:r>
      <w:r w:rsidR="006C4E03">
        <w:rPr>
          <w:snapToGrid w:val="0"/>
          <w:lang w:val="de-DE"/>
        </w:rPr>
        <w:t>der währen</w:t>
      </w:r>
      <w:r w:rsidR="0044377C">
        <w:rPr>
          <w:snapToGrid w:val="0"/>
          <w:lang w:val="de-DE"/>
        </w:rPr>
        <w:t xml:space="preserve">d der einundfünfzigsten Tagung </w:t>
      </w:r>
      <w:r w:rsidR="006C4E03">
        <w:rPr>
          <w:snapToGrid w:val="0"/>
          <w:lang w:val="de-DE"/>
        </w:rPr>
        <w:t>des TC erörtert wurde</w:t>
      </w:r>
      <w:r w:rsidR="0044377C">
        <w:rPr>
          <w:snapToGrid w:val="0"/>
          <w:lang w:val="de-DE"/>
        </w:rPr>
        <w:t>,</w:t>
      </w:r>
      <w:r w:rsidRPr="001E3AC7">
        <w:rPr>
          <w:lang w:val="de-DE" w:eastAsia="ja-JP"/>
        </w:rPr>
        <w:t xml:space="preserve"> </w:t>
      </w:r>
      <w:r w:rsidR="006C4E03">
        <w:rPr>
          <w:lang w:val="de-DE" w:eastAsia="ja-JP"/>
        </w:rPr>
        <w:t>folgendermaßen lauten sollte</w:t>
      </w:r>
      <w:r w:rsidRPr="001E3AC7">
        <w:rPr>
          <w:lang w:val="de-DE" w:eastAsia="ja-JP"/>
        </w:rPr>
        <w:t xml:space="preserve"> </w:t>
      </w:r>
      <w:r w:rsidR="000D3F83" w:rsidRPr="001E3AC7">
        <w:rPr>
          <w:lang w:val="de-DE" w:eastAsia="ja-JP"/>
        </w:rPr>
        <w:t>(vergleiche</w:t>
      </w:r>
      <w:r w:rsidRPr="001E3AC7">
        <w:rPr>
          <w:lang w:val="de-DE" w:eastAsia="ja-JP"/>
        </w:rPr>
        <w:t xml:space="preserve"> </w:t>
      </w:r>
      <w:r w:rsidR="001E73EE">
        <w:rPr>
          <w:lang w:val="de-DE" w:eastAsia="ja-JP"/>
        </w:rPr>
        <w:t>Dokumente</w:t>
      </w:r>
      <w:r w:rsidRPr="001E3AC7">
        <w:rPr>
          <w:lang w:val="de-DE" w:eastAsia="ja-JP"/>
        </w:rPr>
        <w:t xml:space="preserve"> </w:t>
      </w:r>
      <w:r w:rsidRPr="001E3AC7">
        <w:rPr>
          <w:rFonts w:cs="Arial"/>
          <w:shd w:val="clear" w:color="auto" w:fill="FFFFFF"/>
          <w:lang w:val="de-DE" w:eastAsia="ja-JP"/>
        </w:rPr>
        <w:t xml:space="preserve">TWA/44/23 </w:t>
      </w:r>
      <w:r w:rsidR="005508EE">
        <w:rPr>
          <w:rFonts w:cs="Arial"/>
          <w:shd w:val="clear" w:color="auto" w:fill="FFFFFF"/>
          <w:lang w:val="de-DE" w:eastAsia="ja-JP"/>
        </w:rPr>
        <w:t>„</w:t>
      </w:r>
      <w:r w:rsidR="007412D9" w:rsidRPr="007412D9">
        <w:rPr>
          <w:rFonts w:cs="Arial"/>
          <w:i/>
          <w:shd w:val="clear" w:color="auto" w:fill="FFFFFF"/>
          <w:lang w:val="de-DE" w:eastAsia="ja-JP"/>
        </w:rPr>
        <w:t>Report</w:t>
      </w:r>
      <w:r w:rsidR="005508EE">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Absatz</w:t>
      </w:r>
      <w:r w:rsidRPr="001E3AC7">
        <w:rPr>
          <w:rFonts w:cs="Arial"/>
          <w:shd w:val="clear" w:color="auto" w:fill="FFFFFF"/>
          <w:lang w:val="de-DE" w:eastAsia="ja-JP"/>
        </w:rPr>
        <w:t xml:space="preserve"> 70, TWF/46/29</w:t>
      </w:r>
      <w:r w:rsidR="00291817" w:rsidRPr="001E3AC7">
        <w:rPr>
          <w:rFonts w:cs="Arial"/>
          <w:shd w:val="clear" w:color="auto" w:fill="FFFFFF"/>
          <w:lang w:val="de-DE" w:eastAsia="ja-JP"/>
        </w:rPr>
        <w:t xml:space="preserve"> </w:t>
      </w:r>
      <w:proofErr w:type="spellStart"/>
      <w:r w:rsidR="00291817" w:rsidRPr="001E3AC7">
        <w:rPr>
          <w:rFonts w:cs="Arial"/>
          <w:shd w:val="clear" w:color="auto" w:fill="FFFFFF"/>
          <w:lang w:val="de-DE" w:eastAsia="ja-JP"/>
        </w:rPr>
        <w:t>Rev</w:t>
      </w:r>
      <w:proofErr w:type="spellEnd"/>
      <w:r w:rsidR="00291817" w:rsidRPr="001E3AC7">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w:t>
      </w:r>
      <w:proofErr w:type="spellStart"/>
      <w:r w:rsidR="007412D9" w:rsidRPr="007412D9">
        <w:rPr>
          <w:rFonts w:cs="Arial"/>
          <w:i/>
          <w:shd w:val="clear" w:color="auto" w:fill="FFFFFF"/>
          <w:lang w:val="de-DE" w:eastAsia="ja-JP"/>
        </w:rPr>
        <w:t>Revised</w:t>
      </w:r>
      <w:proofErr w:type="spellEnd"/>
      <w:r w:rsidR="007412D9" w:rsidRPr="007412D9">
        <w:rPr>
          <w:rFonts w:cs="Arial"/>
          <w:i/>
          <w:shd w:val="clear" w:color="auto" w:fill="FFFFFF"/>
          <w:lang w:val="de-DE" w:eastAsia="ja-JP"/>
        </w:rPr>
        <w:t xml:space="preserve"> Report</w:t>
      </w:r>
      <w:r w:rsidR="000D3F83" w:rsidRPr="001E3AC7">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Absatz</w:t>
      </w:r>
      <w:r w:rsidRPr="001E3AC7">
        <w:rPr>
          <w:rFonts w:cs="Arial"/>
          <w:shd w:val="clear" w:color="auto" w:fill="FFFFFF"/>
          <w:lang w:val="de-DE" w:eastAsia="ja-JP"/>
        </w:rPr>
        <w:t xml:space="preserve"> 72</w:t>
      </w:r>
      <w:r w:rsidR="0044377C">
        <w:rPr>
          <w:rFonts w:cs="Arial"/>
          <w:shd w:val="clear" w:color="auto" w:fill="FFFFFF"/>
          <w:lang w:val="de-DE" w:eastAsia="ja-JP"/>
        </w:rPr>
        <w:t>,</w:t>
      </w:r>
      <w:r w:rsidR="004D1C2F">
        <w:rPr>
          <w:rFonts w:cs="Arial"/>
          <w:shd w:val="clear" w:color="auto" w:fill="FFFFFF"/>
          <w:lang w:val="de-DE" w:eastAsia="ja-JP"/>
        </w:rPr>
        <w:t xml:space="preserve"> und </w:t>
      </w:r>
      <w:r w:rsidRPr="001E3AC7">
        <w:rPr>
          <w:rFonts w:cs="Arial"/>
          <w:shd w:val="clear" w:color="auto" w:fill="FFFFFF"/>
          <w:lang w:val="de-DE" w:eastAsia="ja-JP"/>
        </w:rPr>
        <w:t xml:space="preserve">TWO/48/26 </w:t>
      </w:r>
      <w:r w:rsidR="005508EE">
        <w:rPr>
          <w:rFonts w:cs="Arial"/>
          <w:shd w:val="clear" w:color="auto" w:fill="FFFFFF"/>
          <w:lang w:val="de-DE" w:eastAsia="ja-JP"/>
        </w:rPr>
        <w:t>„</w:t>
      </w:r>
      <w:r w:rsidR="007412D9" w:rsidRPr="007412D9">
        <w:rPr>
          <w:rFonts w:cs="Arial"/>
          <w:i/>
          <w:shd w:val="clear" w:color="auto" w:fill="FFFFFF"/>
          <w:lang w:val="de-DE" w:eastAsia="ja-JP"/>
        </w:rPr>
        <w:t>Report</w:t>
      </w:r>
      <w:r w:rsidR="005508EE">
        <w:rPr>
          <w:rFonts w:cs="Arial"/>
          <w:shd w:val="clear" w:color="auto" w:fill="FFFFFF"/>
          <w:lang w:val="de-DE" w:eastAsia="ja-JP"/>
        </w:rPr>
        <w:t>“</w:t>
      </w:r>
      <w:r w:rsidRPr="001E3AC7">
        <w:rPr>
          <w:rFonts w:cs="Arial"/>
          <w:shd w:val="clear" w:color="auto" w:fill="FFFFFF"/>
          <w:lang w:val="de-DE" w:eastAsia="ja-JP"/>
        </w:rPr>
        <w:t xml:space="preserve">, </w:t>
      </w:r>
      <w:r w:rsidR="000D3F83" w:rsidRPr="001E3AC7">
        <w:rPr>
          <w:rFonts w:cs="Arial"/>
          <w:shd w:val="clear" w:color="auto" w:fill="FFFFFF"/>
          <w:lang w:val="de-DE" w:eastAsia="ja-JP"/>
        </w:rPr>
        <w:t>Absatz</w:t>
      </w:r>
      <w:r w:rsidRPr="001E3AC7">
        <w:rPr>
          <w:rFonts w:cs="Arial"/>
          <w:shd w:val="clear" w:color="auto" w:fill="FFFFFF"/>
          <w:lang w:val="de-DE" w:eastAsia="ja-JP"/>
        </w:rPr>
        <w:t xml:space="preserve"> 80)</w:t>
      </w:r>
      <w:r w:rsidRPr="001E3AC7">
        <w:rPr>
          <w:lang w:val="de-DE" w:eastAsia="ja-JP"/>
        </w:rPr>
        <w:t>:</w:t>
      </w:r>
    </w:p>
    <w:p w:rsidR="00CC7D88" w:rsidRPr="001E3AC7" w:rsidRDefault="00CC7D88" w:rsidP="00CC7D88">
      <w:pPr>
        <w:rPr>
          <w:lang w:val="de-DE" w:eastAsia="ja-JP"/>
        </w:rPr>
      </w:pPr>
    </w:p>
    <w:p w:rsidR="00627AF7" w:rsidRPr="003425B4" w:rsidRDefault="00627AF7" w:rsidP="00627AF7">
      <w:pPr>
        <w:pStyle w:val="Default"/>
        <w:ind w:left="540" w:right="549"/>
        <w:rPr>
          <w:sz w:val="18"/>
          <w:szCs w:val="18"/>
          <w:lang w:val="de-DE"/>
        </w:rPr>
      </w:pPr>
      <w:r w:rsidRPr="003425B4">
        <w:rPr>
          <w:sz w:val="18"/>
          <w:szCs w:val="18"/>
          <w:lang w:val="de-DE"/>
        </w:rPr>
        <w:t>„Ist es möglich, Sortenschutz auf der Grundlage eines DN</w:t>
      </w:r>
      <w:r w:rsidR="0044377C">
        <w:rPr>
          <w:sz w:val="18"/>
          <w:szCs w:val="18"/>
          <w:lang w:val="de-DE"/>
        </w:rPr>
        <w:t>S</w:t>
      </w:r>
      <w:r w:rsidRPr="003425B4">
        <w:rPr>
          <w:sz w:val="18"/>
          <w:szCs w:val="18"/>
          <w:lang w:val="de-DE"/>
        </w:rPr>
        <w:t>-Profils zu erteilen?</w:t>
      </w:r>
    </w:p>
    <w:p w:rsidR="00627AF7" w:rsidRPr="003425B4" w:rsidRDefault="00627AF7" w:rsidP="00627AF7">
      <w:pPr>
        <w:pStyle w:val="Default"/>
        <w:ind w:left="540" w:right="549"/>
        <w:rPr>
          <w:sz w:val="18"/>
          <w:szCs w:val="18"/>
          <w:lang w:val="de-DE"/>
        </w:rPr>
      </w:pPr>
    </w:p>
    <w:p w:rsidR="00627AF7" w:rsidRPr="003425B4" w:rsidRDefault="00627AF7" w:rsidP="00627AF7">
      <w:pPr>
        <w:pStyle w:val="Default"/>
        <w:ind w:left="540" w:right="549"/>
        <w:rPr>
          <w:sz w:val="18"/>
          <w:szCs w:val="18"/>
          <w:lang w:val="de-DE"/>
        </w:rPr>
      </w:pPr>
      <w:r w:rsidRPr="003425B4">
        <w:rPr>
          <w:sz w:val="18"/>
          <w:szCs w:val="18"/>
          <w:lang w:val="de-DE"/>
        </w:rPr>
        <w:t>„</w:t>
      </w:r>
      <w:r w:rsidRPr="00627AF7">
        <w:rPr>
          <w:sz w:val="18"/>
          <w:szCs w:val="18"/>
          <w:highlight w:val="lightGray"/>
          <w:u w:val="single"/>
          <w:lang w:val="de-DE"/>
        </w:rPr>
        <w:t>Eine S</w:t>
      </w:r>
      <w:r w:rsidR="0044377C">
        <w:rPr>
          <w:sz w:val="18"/>
          <w:szCs w:val="18"/>
          <w:highlight w:val="lightGray"/>
          <w:u w:val="single"/>
          <w:lang w:val="de-DE"/>
        </w:rPr>
        <w:t>orte kann nicht auf</w:t>
      </w:r>
      <w:r w:rsidR="00E20A84">
        <w:rPr>
          <w:sz w:val="18"/>
          <w:szCs w:val="18"/>
          <w:highlight w:val="lightGray"/>
          <w:u w:val="single"/>
          <w:lang w:val="de-DE"/>
        </w:rPr>
        <w:t xml:space="preserve"> der G</w:t>
      </w:r>
      <w:r w:rsidR="0044377C">
        <w:rPr>
          <w:sz w:val="18"/>
          <w:szCs w:val="18"/>
          <w:highlight w:val="lightGray"/>
          <w:u w:val="single"/>
          <w:lang w:val="de-DE"/>
        </w:rPr>
        <w:t>rund</w:t>
      </w:r>
      <w:r w:rsidR="00E20A84">
        <w:rPr>
          <w:sz w:val="18"/>
          <w:szCs w:val="18"/>
          <w:highlight w:val="lightGray"/>
          <w:u w:val="single"/>
          <w:lang w:val="de-DE"/>
        </w:rPr>
        <w:t>lage</w:t>
      </w:r>
      <w:r w:rsidR="0044377C">
        <w:rPr>
          <w:sz w:val="18"/>
          <w:szCs w:val="18"/>
          <w:highlight w:val="lightGray"/>
          <w:u w:val="single"/>
          <w:lang w:val="de-DE"/>
        </w:rPr>
        <w:t xml:space="preserve"> von DNS</w:t>
      </w:r>
      <w:r w:rsidRPr="00627AF7">
        <w:rPr>
          <w:sz w:val="18"/>
          <w:szCs w:val="18"/>
          <w:highlight w:val="lightGray"/>
          <w:u w:val="single"/>
          <w:lang w:val="de-DE"/>
        </w:rPr>
        <w:t>-Profilen geschützt werden</w:t>
      </w:r>
      <w:r>
        <w:rPr>
          <w:sz w:val="18"/>
          <w:szCs w:val="18"/>
          <w:lang w:val="de-DE"/>
        </w:rPr>
        <w:t xml:space="preserve">. </w:t>
      </w:r>
      <w:r w:rsidRPr="003425B4">
        <w:rPr>
          <w:sz w:val="18"/>
          <w:szCs w:val="18"/>
          <w:lang w:val="de-DE"/>
        </w:rPr>
        <w:t>Um eine Sorte zu schützen, muß sie deutlich unterscheidbar von sämtlichen bestehenden Sorten sein auf der Grundlage von Merkmalen, die physikalisch ausgeprägt sind, z.</w:t>
      </w:r>
      <w:r>
        <w:rPr>
          <w:sz w:val="18"/>
          <w:szCs w:val="18"/>
          <w:lang w:val="de-DE"/>
        </w:rPr>
        <w:t xml:space="preserve"> </w:t>
      </w:r>
      <w:r w:rsidRPr="003425B4">
        <w:rPr>
          <w:sz w:val="18"/>
          <w:szCs w:val="18"/>
          <w:lang w:val="de-DE"/>
        </w:rPr>
        <w:t>B. Pflanzenhöhe, Blühzeitpunkt, Fruchtfarbe, Krankheitsresistenz usw.</w:t>
      </w:r>
      <w:r>
        <w:rPr>
          <w:sz w:val="18"/>
          <w:szCs w:val="18"/>
          <w:lang w:val="de-DE"/>
        </w:rPr>
        <w:t xml:space="preserve"> </w:t>
      </w:r>
      <w:r w:rsidRPr="003425B4">
        <w:rPr>
          <w:sz w:val="18"/>
          <w:szCs w:val="18"/>
          <w:lang w:val="de-DE"/>
        </w:rPr>
        <w:t>[</w:t>
      </w:r>
      <w:r w:rsidR="0044377C">
        <w:rPr>
          <w:strike/>
          <w:sz w:val="18"/>
          <w:szCs w:val="18"/>
          <w:highlight w:val="lightGray"/>
          <w:lang w:val="de-DE"/>
        </w:rPr>
        <w:t>Molekulare Verfahren (DNS</w:t>
      </w:r>
      <w:r w:rsidRPr="00627AF7">
        <w:rPr>
          <w:strike/>
          <w:sz w:val="18"/>
          <w:szCs w:val="18"/>
          <w:highlight w:val="lightGray"/>
          <w:lang w:val="de-DE"/>
        </w:rPr>
        <w:t xml:space="preserve">-Profile) können als unterstützende Information verwendet </w:t>
      </w:r>
      <w:r w:rsidRPr="00C100A0">
        <w:rPr>
          <w:strike/>
          <w:sz w:val="18"/>
          <w:szCs w:val="18"/>
          <w:highlight w:val="lightGray"/>
          <w:lang w:val="de-DE"/>
        </w:rPr>
        <w:t>werden].</w:t>
      </w:r>
    </w:p>
    <w:p w:rsidR="00627AF7" w:rsidRPr="003425B4" w:rsidRDefault="00627AF7" w:rsidP="00627AF7">
      <w:pPr>
        <w:pStyle w:val="Default"/>
        <w:ind w:left="540" w:right="549"/>
        <w:rPr>
          <w:sz w:val="18"/>
          <w:szCs w:val="18"/>
          <w:lang w:val="de-DE"/>
        </w:rPr>
      </w:pPr>
    </w:p>
    <w:p w:rsidR="00627AF7" w:rsidRPr="003425B4" w:rsidRDefault="00627AF7" w:rsidP="00627AF7">
      <w:pPr>
        <w:pStyle w:val="Default"/>
        <w:ind w:left="540" w:right="549"/>
        <w:rPr>
          <w:sz w:val="18"/>
          <w:szCs w:val="18"/>
          <w:lang w:val="de-DE"/>
        </w:rPr>
      </w:pPr>
      <w:r w:rsidRPr="003425B4">
        <w:rPr>
          <w:sz w:val="18"/>
          <w:szCs w:val="18"/>
          <w:lang w:val="de-DE"/>
        </w:rPr>
        <w:t>„Eine ausführlichere Erläuterung findet sich in der häufig gestellten Frage ‘Erlaubt die UPOV die Verwendung molekularer Verfahren (DNS-Profile) bei der Prüfung der Unterscheidbarkeit, der Homogenität und der Beständigkeit („DUS“)?'</w:t>
      </w:r>
    </w:p>
    <w:p w:rsidR="00627AF7" w:rsidRPr="003425B4" w:rsidRDefault="00627AF7" w:rsidP="00627AF7">
      <w:pPr>
        <w:pStyle w:val="Default"/>
        <w:ind w:left="540" w:right="549"/>
        <w:rPr>
          <w:sz w:val="18"/>
          <w:szCs w:val="18"/>
          <w:lang w:val="de-DE"/>
        </w:rPr>
      </w:pPr>
    </w:p>
    <w:p w:rsidR="00627AF7" w:rsidRPr="003425B4" w:rsidRDefault="00627AF7" w:rsidP="00627AF7">
      <w:pPr>
        <w:pStyle w:val="Default"/>
        <w:ind w:left="540" w:right="549"/>
        <w:rPr>
          <w:sz w:val="18"/>
          <w:szCs w:val="18"/>
          <w:lang w:val="de-DE"/>
        </w:rPr>
      </w:pPr>
      <w:r w:rsidRPr="003425B4">
        <w:rPr>
          <w:sz w:val="18"/>
          <w:szCs w:val="18"/>
          <w:lang w:val="de-DE"/>
        </w:rPr>
        <w:t>„Vergleiche auch:</w:t>
      </w:r>
    </w:p>
    <w:p w:rsidR="00627AF7" w:rsidRPr="001E3AC7" w:rsidRDefault="00627AF7" w:rsidP="00627AF7">
      <w:pPr>
        <w:pStyle w:val="Default"/>
        <w:ind w:left="540" w:right="549"/>
        <w:jc w:val="both"/>
        <w:rPr>
          <w:snapToGrid w:val="0"/>
          <w:u w:val="single"/>
          <w:lang w:val="de-DE" w:eastAsia="ja-JP"/>
        </w:rPr>
      </w:pPr>
      <w:r w:rsidRPr="003425B4">
        <w:rPr>
          <w:sz w:val="18"/>
          <w:szCs w:val="18"/>
          <w:lang w:val="de-DE"/>
        </w:rPr>
        <w:t>„Was sind die Voraussetzungen für den Sc</w:t>
      </w:r>
      <w:r>
        <w:rPr>
          <w:sz w:val="18"/>
          <w:szCs w:val="18"/>
          <w:lang w:val="de-DE"/>
        </w:rPr>
        <w:t>hutz einer neuen Pflanzensorte?“</w:t>
      </w:r>
    </w:p>
    <w:p w:rsidR="00D02762" w:rsidRPr="001E3AC7" w:rsidRDefault="00D02762" w:rsidP="002D3575">
      <w:pPr>
        <w:rPr>
          <w:snapToGrid w:val="0"/>
          <w:color w:val="000000" w:themeColor="text1"/>
          <w:lang w:val="de-DE" w:eastAsia="ja-JP"/>
        </w:rPr>
      </w:pPr>
    </w:p>
    <w:p w:rsidR="00CE38A5" w:rsidRPr="001E3AC7" w:rsidRDefault="00627AF7" w:rsidP="00CE38A5">
      <w:pPr>
        <w:pStyle w:val="Heading2"/>
        <w:rPr>
          <w:lang w:val="de-DE" w:eastAsia="ja-JP"/>
        </w:rPr>
      </w:pPr>
      <w:bookmarkStart w:id="43" w:name="_Toc444612401"/>
      <w:r>
        <w:rPr>
          <w:lang w:val="de-DE" w:eastAsia="ja-JP"/>
        </w:rPr>
        <w:t>Bemerkungen</w:t>
      </w:r>
      <w:r w:rsidR="00BC3AB0">
        <w:rPr>
          <w:lang w:val="de-DE" w:eastAsia="ja-JP"/>
        </w:rPr>
        <w:t xml:space="preserve"> </w:t>
      </w:r>
      <w:r>
        <w:rPr>
          <w:lang w:val="de-DE" w:eastAsia="ja-JP"/>
        </w:rPr>
        <w:t xml:space="preserve">des </w:t>
      </w:r>
      <w:r w:rsidR="00BC3AB0">
        <w:rPr>
          <w:lang w:val="de-DE" w:eastAsia="ja-JP"/>
        </w:rPr>
        <w:t>TC</w:t>
      </w:r>
      <w:r w:rsidR="00CE38A5" w:rsidRPr="001E3AC7">
        <w:rPr>
          <w:lang w:val="de-DE" w:eastAsia="ja-JP"/>
        </w:rPr>
        <w:t>-EDC</w:t>
      </w:r>
      <w:bookmarkEnd w:id="43"/>
    </w:p>
    <w:p w:rsidR="00CE38A5" w:rsidRPr="001E3AC7" w:rsidRDefault="00CE38A5" w:rsidP="00CE38A5">
      <w:pPr>
        <w:rPr>
          <w:lang w:val="de-DE" w:eastAsia="ja-JP"/>
        </w:rPr>
      </w:pPr>
    </w:p>
    <w:p w:rsidR="00CE38A5" w:rsidRPr="001E3AC7" w:rsidRDefault="00CE38A5" w:rsidP="00CE38A5">
      <w:pPr>
        <w:rPr>
          <w:lang w:val="de-DE" w:eastAsia="ja-JP"/>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BC3AB0">
        <w:rPr>
          <w:lang w:val="de-DE" w:eastAsia="ja-JP"/>
        </w:rPr>
        <w:t>Der TC</w:t>
      </w:r>
      <w:r w:rsidRPr="001E3AC7">
        <w:rPr>
          <w:lang w:val="de-DE" w:eastAsia="ja-JP"/>
        </w:rPr>
        <w:t>-EDC</w:t>
      </w:r>
      <w:r w:rsidR="00627AF7">
        <w:rPr>
          <w:lang w:val="de-DE" w:eastAsia="ja-JP"/>
        </w:rPr>
        <w:t xml:space="preserve"> prüfte auf seiner Tagung am</w:t>
      </w:r>
      <w:r w:rsidRPr="001E3AC7">
        <w:rPr>
          <w:lang w:val="de-DE" w:eastAsia="ja-JP"/>
        </w:rPr>
        <w:t xml:space="preserve"> 6</w:t>
      </w:r>
      <w:r w:rsidR="00627AF7">
        <w:rPr>
          <w:lang w:val="de-DE" w:eastAsia="ja-JP"/>
        </w:rPr>
        <w:t>.</w:t>
      </w:r>
      <w:r w:rsidR="004D1C2F">
        <w:rPr>
          <w:lang w:val="de-DE" w:eastAsia="ja-JP"/>
        </w:rPr>
        <w:t xml:space="preserve"> und </w:t>
      </w:r>
      <w:r w:rsidRPr="001E3AC7">
        <w:rPr>
          <w:lang w:val="de-DE" w:eastAsia="ja-JP"/>
        </w:rPr>
        <w:t>7</w:t>
      </w:r>
      <w:r w:rsidR="00627AF7">
        <w:rPr>
          <w:lang w:val="de-DE" w:eastAsia="ja-JP"/>
        </w:rPr>
        <w:t>. Januar</w:t>
      </w:r>
      <w:r w:rsidRPr="001E3AC7">
        <w:rPr>
          <w:lang w:val="de-DE" w:eastAsia="ja-JP"/>
        </w:rPr>
        <w:t xml:space="preserve"> 2016</w:t>
      </w:r>
      <w:r w:rsidR="00627AF7">
        <w:rPr>
          <w:lang w:val="de-DE" w:eastAsia="ja-JP"/>
        </w:rPr>
        <w:t xml:space="preserve"> </w:t>
      </w:r>
      <w:r w:rsidR="0044377C">
        <w:rPr>
          <w:lang w:val="de-DE" w:eastAsia="ja-JP"/>
        </w:rPr>
        <w:t xml:space="preserve">in Genf </w:t>
      </w:r>
      <w:r w:rsidR="00627AF7">
        <w:rPr>
          <w:lang w:val="de-DE" w:eastAsia="ja-JP"/>
        </w:rPr>
        <w:t xml:space="preserve">den vom </w:t>
      </w:r>
      <w:r w:rsidR="00BC3AB0">
        <w:rPr>
          <w:lang w:val="de-DE" w:eastAsia="ja-JP"/>
        </w:rPr>
        <w:t>TC</w:t>
      </w:r>
      <w:r w:rsidRPr="001E3AC7">
        <w:rPr>
          <w:lang w:val="de-DE" w:eastAsia="ja-JP"/>
        </w:rPr>
        <w:t xml:space="preserve"> </w:t>
      </w:r>
      <w:r w:rsidR="00BC3AB0">
        <w:rPr>
          <w:lang w:val="de-DE" w:eastAsia="ja-JP"/>
        </w:rPr>
        <w:t xml:space="preserve">auf seiner einundfünfzigsten Tagung </w:t>
      </w:r>
      <w:r w:rsidR="00627AF7">
        <w:rPr>
          <w:lang w:val="de-DE" w:eastAsia="ja-JP"/>
        </w:rPr>
        <w:t>erörterten</w:t>
      </w:r>
      <w:r w:rsidRPr="001E3AC7">
        <w:rPr>
          <w:lang w:val="de-DE" w:eastAsia="ja-JP"/>
        </w:rPr>
        <w:t xml:space="preserve"> </w:t>
      </w:r>
      <w:r w:rsidR="0044377C">
        <w:rPr>
          <w:lang w:val="de-DE" w:eastAsia="ja-JP"/>
        </w:rPr>
        <w:t xml:space="preserve">ersten Entwurf </w:t>
      </w:r>
      <w:r w:rsidR="00627AF7">
        <w:rPr>
          <w:lang w:val="de-DE" w:eastAsia="ja-JP"/>
        </w:rPr>
        <w:t>in Verbindung mit</w:t>
      </w:r>
      <w:r w:rsidR="004009A9" w:rsidRPr="001E3AC7">
        <w:rPr>
          <w:lang w:val="de-DE" w:eastAsia="ja-JP"/>
        </w:rPr>
        <w:t xml:space="preserve"> </w:t>
      </w:r>
      <w:r w:rsidR="00627AF7">
        <w:rPr>
          <w:lang w:val="de-DE" w:eastAsia="ja-JP"/>
        </w:rPr>
        <w:t>den</w:t>
      </w:r>
      <w:r w:rsidR="004D1C2F">
        <w:rPr>
          <w:lang w:val="de-DE" w:eastAsia="ja-JP"/>
        </w:rPr>
        <w:t xml:space="preserve"> Bemerkungen </w:t>
      </w:r>
      <w:r w:rsidR="00627AF7">
        <w:rPr>
          <w:lang w:val="de-DE" w:eastAsia="ja-JP"/>
        </w:rPr>
        <w:t>der</w:t>
      </w:r>
      <w:r w:rsidR="004009A9" w:rsidRPr="001E3AC7">
        <w:rPr>
          <w:lang w:val="de-DE" w:eastAsia="ja-JP"/>
        </w:rPr>
        <w:t xml:space="preserve"> TWP</w:t>
      </w:r>
      <w:r w:rsidR="004D1C2F">
        <w:rPr>
          <w:lang w:val="de-DE" w:eastAsia="ja-JP"/>
        </w:rPr>
        <w:t xml:space="preserve"> und </w:t>
      </w:r>
      <w:r w:rsidR="00627AF7">
        <w:rPr>
          <w:lang w:val="de-DE" w:eastAsia="ja-JP"/>
        </w:rPr>
        <w:t>schlug vor, den ersten Entwurf</w:t>
      </w:r>
      <w:r w:rsidR="004009A9" w:rsidRPr="001E3AC7">
        <w:rPr>
          <w:lang w:val="de-DE" w:eastAsia="ja-JP"/>
        </w:rPr>
        <w:t xml:space="preserve"> </w:t>
      </w:r>
      <w:r w:rsidR="00627AF7">
        <w:rPr>
          <w:lang w:val="de-DE" w:eastAsia="ja-JP"/>
        </w:rPr>
        <w:t>folgendermaßen zu überarbeiten</w:t>
      </w:r>
      <w:r w:rsidRPr="001E3AC7">
        <w:rPr>
          <w:lang w:val="de-DE" w:eastAsia="ja-JP"/>
        </w:rPr>
        <w:t xml:space="preserve">: </w:t>
      </w:r>
    </w:p>
    <w:p w:rsidR="00CE38A5" w:rsidRPr="001E3AC7" w:rsidRDefault="00CE38A5" w:rsidP="00CE38A5">
      <w:pPr>
        <w:rPr>
          <w:lang w:val="de-DE" w:eastAsia="ja-JP"/>
        </w:rPr>
      </w:pPr>
    </w:p>
    <w:p w:rsidR="00627AF7" w:rsidRPr="003425B4" w:rsidRDefault="00627AF7" w:rsidP="00627AF7">
      <w:pPr>
        <w:pStyle w:val="Default"/>
        <w:ind w:left="540" w:right="549"/>
        <w:rPr>
          <w:sz w:val="18"/>
          <w:szCs w:val="18"/>
          <w:lang w:val="de-DE"/>
        </w:rPr>
      </w:pPr>
      <w:r w:rsidRPr="003425B4">
        <w:rPr>
          <w:sz w:val="18"/>
          <w:szCs w:val="18"/>
          <w:lang w:val="de-DE"/>
        </w:rPr>
        <w:t>„Ist es möglich, Sortenschutz auf der Grundlage eines DNA-Profils zu erteilen?</w:t>
      </w:r>
    </w:p>
    <w:p w:rsidR="00627AF7" w:rsidRPr="003425B4" w:rsidRDefault="00627AF7" w:rsidP="00627AF7">
      <w:pPr>
        <w:pStyle w:val="Default"/>
        <w:ind w:left="540" w:right="549"/>
        <w:rPr>
          <w:sz w:val="18"/>
          <w:szCs w:val="18"/>
          <w:lang w:val="de-DE"/>
        </w:rPr>
      </w:pPr>
    </w:p>
    <w:p w:rsidR="00627AF7" w:rsidRPr="003425B4" w:rsidRDefault="00627AF7" w:rsidP="00627AF7">
      <w:pPr>
        <w:pStyle w:val="Default"/>
        <w:ind w:left="540" w:right="549"/>
        <w:rPr>
          <w:sz w:val="18"/>
          <w:szCs w:val="18"/>
          <w:lang w:val="de-DE"/>
        </w:rPr>
      </w:pPr>
      <w:r w:rsidRPr="003425B4">
        <w:rPr>
          <w:sz w:val="18"/>
          <w:szCs w:val="18"/>
          <w:lang w:val="de-DE"/>
        </w:rPr>
        <w:t>„Um eine Sorte zu schützen, muß sie deutlich unterscheidbar von sämtlichen bestehenden Sorten sein auf der Grundlage von Merkmalen, die physikalisch ausgeprägt sind, z.</w:t>
      </w:r>
      <w:r>
        <w:rPr>
          <w:sz w:val="18"/>
          <w:szCs w:val="18"/>
          <w:lang w:val="de-DE"/>
        </w:rPr>
        <w:t xml:space="preserve"> B. </w:t>
      </w:r>
      <w:r w:rsidR="00E20A84" w:rsidRPr="003425B4">
        <w:rPr>
          <w:sz w:val="18"/>
          <w:szCs w:val="18"/>
          <w:lang w:val="de-DE"/>
        </w:rPr>
        <w:t>Pflanzenhöhe, Blühzeitpunkt, Fruchtfarbe, Krankheitsresistenz usw</w:t>
      </w:r>
      <w:r w:rsidR="00E20A84">
        <w:rPr>
          <w:sz w:val="18"/>
          <w:szCs w:val="18"/>
          <w:lang w:val="de-DE"/>
        </w:rPr>
        <w:t xml:space="preserve">. </w:t>
      </w:r>
      <w:r w:rsidR="00E20A84" w:rsidRPr="00E20A84">
        <w:rPr>
          <w:sz w:val="18"/>
          <w:szCs w:val="18"/>
          <w:highlight w:val="lightGray"/>
          <w:u w:val="single"/>
          <w:lang w:val="de-DE"/>
        </w:rPr>
        <w:t xml:space="preserve"> Eine Sorte kann nicht auf der Grundlage </w:t>
      </w:r>
      <w:r w:rsidR="0044377C" w:rsidRPr="00E20A84">
        <w:rPr>
          <w:sz w:val="18"/>
          <w:szCs w:val="18"/>
          <w:highlight w:val="lightGray"/>
          <w:u w:val="single"/>
          <w:lang w:val="de-DE"/>
        </w:rPr>
        <w:t xml:space="preserve">ihres </w:t>
      </w:r>
      <w:r w:rsidRPr="00E20A84">
        <w:rPr>
          <w:sz w:val="18"/>
          <w:szCs w:val="18"/>
          <w:highlight w:val="lightGray"/>
          <w:u w:val="single"/>
          <w:lang w:val="de-DE"/>
        </w:rPr>
        <w:t>DN</w:t>
      </w:r>
      <w:r w:rsidR="0044377C" w:rsidRPr="00E20A84">
        <w:rPr>
          <w:sz w:val="18"/>
          <w:szCs w:val="18"/>
          <w:highlight w:val="lightGray"/>
          <w:u w:val="single"/>
          <w:lang w:val="de-DE"/>
        </w:rPr>
        <w:t>S</w:t>
      </w:r>
      <w:r w:rsidRPr="00E20A84">
        <w:rPr>
          <w:sz w:val="18"/>
          <w:szCs w:val="18"/>
          <w:highlight w:val="lightGray"/>
          <w:u w:val="single"/>
          <w:lang w:val="de-DE"/>
        </w:rPr>
        <w:t>-</w:t>
      </w:r>
      <w:r w:rsidR="0044377C" w:rsidRPr="00E20A84">
        <w:rPr>
          <w:sz w:val="18"/>
          <w:szCs w:val="18"/>
          <w:highlight w:val="lightGray"/>
          <w:u w:val="single"/>
          <w:lang w:val="de-DE"/>
        </w:rPr>
        <w:t xml:space="preserve">Profils </w:t>
      </w:r>
      <w:r w:rsidRPr="00E20A84">
        <w:rPr>
          <w:sz w:val="18"/>
          <w:szCs w:val="18"/>
          <w:highlight w:val="lightGray"/>
          <w:u w:val="single"/>
          <w:lang w:val="de-DE"/>
        </w:rPr>
        <w:t xml:space="preserve">geschützt werden, </w:t>
      </w:r>
      <w:r w:rsidR="0044377C" w:rsidRPr="00E20A84">
        <w:rPr>
          <w:sz w:val="18"/>
          <w:szCs w:val="18"/>
          <w:highlight w:val="lightGray"/>
          <w:u w:val="single"/>
          <w:lang w:val="de-DE"/>
        </w:rPr>
        <w:t>auch wenn</w:t>
      </w:r>
      <w:r w:rsidRPr="00E20A84">
        <w:rPr>
          <w:sz w:val="18"/>
          <w:szCs w:val="18"/>
          <w:highlight w:val="lightGray"/>
          <w:u w:val="single"/>
          <w:lang w:val="de-DE"/>
        </w:rPr>
        <w:t xml:space="preserve"> diese Information bei der Prüfung der Unterscheidbarkeit, Homogenität und Beständigkeit </w:t>
      </w:r>
      <w:r w:rsidR="0044377C" w:rsidRPr="00E20A84">
        <w:rPr>
          <w:sz w:val="18"/>
          <w:szCs w:val="18"/>
          <w:highlight w:val="lightGray"/>
          <w:u w:val="single"/>
          <w:lang w:val="de-DE"/>
        </w:rPr>
        <w:t xml:space="preserve">(„DUS“) </w:t>
      </w:r>
      <w:r w:rsidRPr="00E20A84">
        <w:rPr>
          <w:sz w:val="18"/>
          <w:szCs w:val="18"/>
          <w:highlight w:val="lightGray"/>
          <w:u w:val="single"/>
          <w:lang w:val="de-DE"/>
        </w:rPr>
        <w:t>verwendet werden kann</w:t>
      </w:r>
      <w:r w:rsidRPr="00E20A84">
        <w:rPr>
          <w:sz w:val="18"/>
          <w:szCs w:val="18"/>
          <w:highlight w:val="lightGray"/>
          <w:lang w:val="de-DE"/>
        </w:rPr>
        <w:t xml:space="preserve"> [</w:t>
      </w:r>
      <w:r w:rsidRPr="00E20A84">
        <w:rPr>
          <w:strike/>
          <w:sz w:val="18"/>
          <w:szCs w:val="18"/>
          <w:highlight w:val="lightGray"/>
          <w:lang w:val="de-DE"/>
        </w:rPr>
        <w:t>Molekulare Verfahren (DNA-Profile) können als unterstützende Information verwendet werden</w:t>
      </w:r>
      <w:r w:rsidRPr="00E20A84">
        <w:rPr>
          <w:sz w:val="18"/>
          <w:szCs w:val="18"/>
          <w:highlight w:val="lightGray"/>
          <w:lang w:val="de-DE"/>
        </w:rPr>
        <w:t>].</w:t>
      </w:r>
    </w:p>
    <w:p w:rsidR="00627AF7" w:rsidRPr="003425B4" w:rsidRDefault="00627AF7" w:rsidP="00627AF7">
      <w:pPr>
        <w:pStyle w:val="Default"/>
        <w:ind w:left="540" w:right="549"/>
        <w:rPr>
          <w:sz w:val="18"/>
          <w:szCs w:val="18"/>
          <w:lang w:val="de-DE"/>
        </w:rPr>
      </w:pPr>
    </w:p>
    <w:p w:rsidR="00627AF7" w:rsidRPr="003425B4" w:rsidRDefault="00627AF7" w:rsidP="00627AF7">
      <w:pPr>
        <w:pStyle w:val="Default"/>
        <w:ind w:left="540" w:right="549"/>
        <w:rPr>
          <w:sz w:val="18"/>
          <w:szCs w:val="18"/>
          <w:lang w:val="de-DE"/>
        </w:rPr>
      </w:pPr>
      <w:r w:rsidRPr="003425B4">
        <w:rPr>
          <w:sz w:val="18"/>
          <w:szCs w:val="18"/>
          <w:lang w:val="de-DE"/>
        </w:rPr>
        <w:t>„Eine ausführlichere Erläuterung findet sich in der häufig gestellten Frage ‘Erlaubt die UPOV die Verwendung molekularer Verfahren (DNS-Profile) bei der Prüfung der Unterscheidbarkeit, der Homogenität und der Beständigkeit („DUS“)?'</w:t>
      </w:r>
    </w:p>
    <w:p w:rsidR="00627AF7" w:rsidRPr="003425B4" w:rsidRDefault="00627AF7" w:rsidP="00627AF7">
      <w:pPr>
        <w:pStyle w:val="Default"/>
        <w:ind w:left="540" w:right="549"/>
        <w:rPr>
          <w:sz w:val="18"/>
          <w:szCs w:val="18"/>
          <w:lang w:val="de-DE"/>
        </w:rPr>
      </w:pPr>
    </w:p>
    <w:p w:rsidR="00627AF7" w:rsidRPr="003425B4" w:rsidRDefault="00627AF7" w:rsidP="00627AF7">
      <w:pPr>
        <w:pStyle w:val="Default"/>
        <w:ind w:left="540" w:right="549"/>
        <w:rPr>
          <w:sz w:val="18"/>
          <w:szCs w:val="18"/>
          <w:lang w:val="de-DE"/>
        </w:rPr>
      </w:pPr>
      <w:r w:rsidRPr="003425B4">
        <w:rPr>
          <w:sz w:val="18"/>
          <w:szCs w:val="18"/>
          <w:lang w:val="de-DE"/>
        </w:rPr>
        <w:t>„Vergleiche auch:</w:t>
      </w:r>
    </w:p>
    <w:p w:rsidR="00627AF7" w:rsidRPr="001E3AC7" w:rsidRDefault="00627AF7" w:rsidP="00627AF7">
      <w:pPr>
        <w:pStyle w:val="Default"/>
        <w:ind w:left="540" w:right="549"/>
        <w:jc w:val="both"/>
        <w:rPr>
          <w:snapToGrid w:val="0"/>
          <w:u w:val="single"/>
          <w:lang w:val="de-DE" w:eastAsia="ja-JP"/>
        </w:rPr>
      </w:pPr>
      <w:r w:rsidRPr="003425B4">
        <w:rPr>
          <w:sz w:val="18"/>
          <w:szCs w:val="18"/>
          <w:lang w:val="de-DE"/>
        </w:rPr>
        <w:t>„Was sind die Voraussetzungen für den Sc</w:t>
      </w:r>
      <w:r>
        <w:rPr>
          <w:sz w:val="18"/>
          <w:szCs w:val="18"/>
          <w:lang w:val="de-DE"/>
        </w:rPr>
        <w:t>hutz einer neuen Pflanzensorte?“</w:t>
      </w:r>
    </w:p>
    <w:p w:rsidR="00D02762" w:rsidRPr="001E3AC7" w:rsidRDefault="00D02762" w:rsidP="00CF392A">
      <w:pPr>
        <w:rPr>
          <w:snapToGrid w:val="0"/>
          <w:color w:val="000000" w:themeColor="text1"/>
          <w:lang w:val="de-DE" w:eastAsia="ja-JP"/>
        </w:rPr>
      </w:pPr>
    </w:p>
    <w:p w:rsidR="006C418D" w:rsidRPr="001E3AC7" w:rsidRDefault="006C418D" w:rsidP="006C418D">
      <w:pPr>
        <w:pStyle w:val="DecisionParagraphs"/>
        <w:tabs>
          <w:tab w:val="clear" w:pos="5387"/>
          <w:tab w:val="left" w:pos="5103"/>
        </w:tabs>
        <w:ind w:left="4536"/>
        <w:rPr>
          <w:lang w:val="de-DE"/>
        </w:rPr>
      </w:pPr>
      <w:r w:rsidRPr="001E3AC7">
        <w:rPr>
          <w:lang w:val="de-DE"/>
        </w:rPr>
        <w:fldChar w:fldCharType="begin"/>
      </w:r>
      <w:r w:rsidRPr="001E3AC7">
        <w:rPr>
          <w:lang w:val="de-DE"/>
        </w:rPr>
        <w:instrText xml:space="preserve"> AUTONUM  </w:instrText>
      </w:r>
      <w:r w:rsidRPr="001E3AC7">
        <w:rPr>
          <w:lang w:val="de-DE"/>
        </w:rPr>
        <w:fldChar w:fldCharType="end"/>
      </w:r>
      <w:r w:rsidRPr="001E3AC7">
        <w:rPr>
          <w:lang w:val="de-DE"/>
        </w:rPr>
        <w:tab/>
      </w:r>
      <w:r w:rsidR="004D1C2F">
        <w:rPr>
          <w:lang w:val="de-DE"/>
        </w:rPr>
        <w:t>Der TC wird ersucht</w:t>
      </w:r>
      <w:r w:rsidRPr="001E3AC7">
        <w:rPr>
          <w:lang w:val="de-DE"/>
        </w:rPr>
        <w:t>:</w:t>
      </w:r>
    </w:p>
    <w:p w:rsidR="006C418D" w:rsidRPr="00311EBE" w:rsidRDefault="006C418D" w:rsidP="006C418D">
      <w:pPr>
        <w:pStyle w:val="DecisionParagraphs"/>
        <w:ind w:left="4536"/>
        <w:rPr>
          <w:lang w:val="de-DE"/>
        </w:rPr>
      </w:pPr>
    </w:p>
    <w:p w:rsidR="00627AF7" w:rsidRPr="00311EBE" w:rsidRDefault="00627AF7" w:rsidP="00627AF7">
      <w:pPr>
        <w:tabs>
          <w:tab w:val="left" w:pos="4253"/>
        </w:tabs>
        <w:ind w:left="4536" w:firstLine="567"/>
        <w:rPr>
          <w:i/>
          <w:lang w:val="de-DE"/>
        </w:rPr>
      </w:pPr>
      <w:r w:rsidRPr="00311EBE">
        <w:rPr>
          <w:i/>
          <w:lang w:val="de-DE"/>
        </w:rPr>
        <w:t>a)</w:t>
      </w:r>
      <w:r w:rsidRPr="00311EBE">
        <w:rPr>
          <w:i/>
          <w:lang w:val="de-DE"/>
        </w:rPr>
        <w:tab/>
        <w:t xml:space="preserve">den Bericht über die Entwicklungen in den TWP und </w:t>
      </w:r>
      <w:r w:rsidR="0044377C">
        <w:rPr>
          <w:i/>
          <w:lang w:val="de-DE"/>
        </w:rPr>
        <w:t xml:space="preserve">der </w:t>
      </w:r>
      <w:r w:rsidRPr="00311EBE">
        <w:rPr>
          <w:i/>
          <w:lang w:val="de-DE"/>
        </w:rPr>
        <w:t>BMT, wie in Ab</w:t>
      </w:r>
      <w:r w:rsidR="0044377C">
        <w:rPr>
          <w:i/>
          <w:lang w:val="de-DE"/>
        </w:rPr>
        <w:t>sätzen 5 bis 15 dieses Dokuments</w:t>
      </w:r>
      <w:r w:rsidRPr="00311EBE">
        <w:rPr>
          <w:i/>
          <w:lang w:val="de-DE"/>
        </w:rPr>
        <w:t xml:space="preserve"> dargelegt</w:t>
      </w:r>
      <w:r w:rsidR="0044377C">
        <w:rPr>
          <w:i/>
          <w:lang w:val="de-DE"/>
        </w:rPr>
        <w:t xml:space="preserve">, </w:t>
      </w:r>
      <w:r w:rsidR="0044377C" w:rsidRPr="00311EBE">
        <w:rPr>
          <w:i/>
          <w:lang w:val="de-DE"/>
        </w:rPr>
        <w:t>zur Kenntnis zu nehmen</w:t>
      </w:r>
      <w:r w:rsidRPr="00311EBE">
        <w:rPr>
          <w:i/>
          <w:lang w:val="de-DE"/>
        </w:rPr>
        <w:t>;</w:t>
      </w:r>
    </w:p>
    <w:p w:rsidR="00627AF7" w:rsidRPr="00311EBE" w:rsidRDefault="00627AF7" w:rsidP="00627AF7">
      <w:pPr>
        <w:tabs>
          <w:tab w:val="left" w:pos="4253"/>
        </w:tabs>
        <w:ind w:left="4536" w:firstLine="567"/>
        <w:rPr>
          <w:i/>
          <w:lang w:val="de-DE"/>
        </w:rPr>
      </w:pPr>
    </w:p>
    <w:p w:rsidR="00627AF7" w:rsidRPr="00311EBE" w:rsidRDefault="00627AF7" w:rsidP="00627AF7">
      <w:pPr>
        <w:tabs>
          <w:tab w:val="left" w:pos="4253"/>
        </w:tabs>
        <w:ind w:left="4536" w:firstLine="567"/>
        <w:rPr>
          <w:i/>
          <w:lang w:val="de-DE"/>
        </w:rPr>
      </w:pPr>
      <w:r w:rsidRPr="00311EBE">
        <w:rPr>
          <w:i/>
          <w:lang w:val="de-DE"/>
        </w:rPr>
        <w:tab/>
        <w:t>b)</w:t>
      </w:r>
      <w:r w:rsidRPr="00311EBE">
        <w:rPr>
          <w:i/>
          <w:lang w:val="de-DE"/>
        </w:rPr>
        <w:tab/>
        <w:t>die Vorhaben für die OECD-Saatgutsysteme</w:t>
      </w:r>
      <w:r w:rsidR="00C100A0">
        <w:rPr>
          <w:i/>
          <w:lang w:val="de-DE"/>
        </w:rPr>
        <w:t xml:space="preserve"> </w:t>
      </w:r>
      <w:r w:rsidR="00C100A0" w:rsidRPr="00311EBE">
        <w:rPr>
          <w:i/>
          <w:lang w:val="de-DE"/>
        </w:rPr>
        <w:t>zur Kenntnis zu nehmen</w:t>
      </w:r>
      <w:r w:rsidR="0044377C">
        <w:rPr>
          <w:i/>
          <w:lang w:val="de-DE"/>
        </w:rPr>
        <w:t>,</w:t>
      </w:r>
      <w:r w:rsidRPr="00311EBE">
        <w:rPr>
          <w:i/>
          <w:lang w:val="de-DE"/>
        </w:rPr>
        <w:t xml:space="preserve"> eine</w:t>
      </w:r>
      <w:r w:rsidR="00DE64AE">
        <w:rPr>
          <w:i/>
          <w:lang w:val="de-DE"/>
        </w:rPr>
        <w:t xml:space="preserve"> gemeinsam</w:t>
      </w:r>
      <w:r w:rsidRPr="00311EBE">
        <w:rPr>
          <w:i/>
          <w:lang w:val="de-DE"/>
        </w:rPr>
        <w:t>e Arbeitstagung von OECD, UPOV, ISTA</w:t>
      </w:r>
      <w:r w:rsidR="0044377C">
        <w:rPr>
          <w:i/>
          <w:lang w:val="de-DE"/>
        </w:rPr>
        <w:t xml:space="preserve"> und AOSA</w:t>
      </w:r>
      <w:r w:rsidRPr="00311EBE">
        <w:rPr>
          <w:i/>
          <w:lang w:val="de-DE"/>
        </w:rPr>
        <w:t xml:space="preserve"> über biochemische und molekulare Verfahren </w:t>
      </w:r>
      <w:r w:rsidR="0044377C" w:rsidRPr="00311EBE">
        <w:rPr>
          <w:i/>
          <w:lang w:val="de-DE"/>
        </w:rPr>
        <w:t>am 7. und 8. Juni 2016</w:t>
      </w:r>
      <w:r w:rsidR="00591D3F">
        <w:rPr>
          <w:i/>
          <w:lang w:val="de-DE"/>
        </w:rPr>
        <w:t xml:space="preserve"> </w:t>
      </w:r>
      <w:r w:rsidRPr="00311EBE">
        <w:rPr>
          <w:i/>
          <w:lang w:val="de-DE"/>
        </w:rPr>
        <w:t>in Paris, Frankreich, zu organisieren;</w:t>
      </w:r>
    </w:p>
    <w:p w:rsidR="00627AF7" w:rsidRPr="00311EBE" w:rsidRDefault="00627AF7" w:rsidP="00627AF7">
      <w:pPr>
        <w:tabs>
          <w:tab w:val="left" w:pos="4253"/>
        </w:tabs>
        <w:ind w:left="4536" w:firstLine="567"/>
        <w:rPr>
          <w:i/>
          <w:lang w:val="de-DE"/>
        </w:rPr>
      </w:pPr>
    </w:p>
    <w:p w:rsidR="00627AF7" w:rsidRPr="00311EBE" w:rsidRDefault="00627AF7" w:rsidP="00627AF7">
      <w:pPr>
        <w:tabs>
          <w:tab w:val="left" w:pos="4253"/>
        </w:tabs>
        <w:ind w:left="4536" w:firstLine="567"/>
        <w:rPr>
          <w:i/>
          <w:lang w:val="de-DE"/>
        </w:rPr>
      </w:pPr>
      <w:r w:rsidRPr="00311EBE">
        <w:rPr>
          <w:i/>
          <w:lang w:val="de-DE"/>
        </w:rPr>
        <w:tab/>
        <w:t>c)</w:t>
      </w:r>
      <w:r w:rsidRPr="00311EBE">
        <w:rPr>
          <w:i/>
          <w:lang w:val="de-DE"/>
        </w:rPr>
        <w:tab/>
        <w:t>zur Kenntnis zu nehmen, daß die Bemerkungen von OECD und ISTA zu den wesentlichen Besonderheiten</w:t>
      </w:r>
      <w:r w:rsidR="00591D3F">
        <w:rPr>
          <w:i/>
          <w:lang w:val="de-DE"/>
        </w:rPr>
        <w:t>/</w:t>
      </w:r>
      <w:r w:rsidRPr="00311EBE">
        <w:rPr>
          <w:i/>
          <w:lang w:val="de-DE"/>
        </w:rPr>
        <w:t xml:space="preserve"> der Systeme von OECD, UPOV und I</w:t>
      </w:r>
      <w:r w:rsidR="00591D3F">
        <w:rPr>
          <w:i/>
          <w:lang w:val="de-DE"/>
        </w:rPr>
        <w:t>STA dem TC</w:t>
      </w:r>
      <w:r w:rsidRPr="00311EBE">
        <w:rPr>
          <w:i/>
          <w:lang w:val="de-DE"/>
        </w:rPr>
        <w:t xml:space="preserve"> auf seiner dreiundfünfzigsten Tagung berichtet würden;</w:t>
      </w:r>
    </w:p>
    <w:p w:rsidR="00627AF7" w:rsidRPr="00311EBE" w:rsidRDefault="00627AF7" w:rsidP="00627AF7">
      <w:pPr>
        <w:tabs>
          <w:tab w:val="left" w:pos="4253"/>
        </w:tabs>
        <w:ind w:left="4536" w:firstLine="567"/>
        <w:rPr>
          <w:i/>
          <w:lang w:val="de-DE"/>
        </w:rPr>
      </w:pPr>
    </w:p>
    <w:p w:rsidR="00627AF7" w:rsidRPr="00311EBE" w:rsidRDefault="00627AF7" w:rsidP="00627AF7">
      <w:pPr>
        <w:tabs>
          <w:tab w:val="left" w:pos="4253"/>
        </w:tabs>
        <w:ind w:left="4536" w:firstLine="567"/>
        <w:rPr>
          <w:i/>
          <w:lang w:val="de-DE"/>
        </w:rPr>
      </w:pPr>
      <w:r w:rsidRPr="00311EBE">
        <w:rPr>
          <w:i/>
          <w:lang w:val="de-DE"/>
        </w:rPr>
        <w:tab/>
        <w:t>d)</w:t>
      </w:r>
      <w:r w:rsidRPr="00311EBE">
        <w:rPr>
          <w:i/>
          <w:lang w:val="de-DE"/>
        </w:rPr>
        <w:tab/>
        <w:t>zur Kenntnis zu nehmen, daß die Bemerkungen von OECD und ISTA über die Verwendung molekularer Markerverfahren nach Pflanze dem TC auf seiner dreiundfünfzigsten Tagung berichtet würden;</w:t>
      </w:r>
    </w:p>
    <w:p w:rsidR="00627AF7" w:rsidRPr="00311EBE" w:rsidRDefault="00627AF7" w:rsidP="00627AF7">
      <w:pPr>
        <w:tabs>
          <w:tab w:val="left" w:pos="4253"/>
        </w:tabs>
        <w:ind w:left="4536" w:firstLine="567"/>
        <w:rPr>
          <w:i/>
          <w:lang w:val="de-DE"/>
        </w:rPr>
      </w:pPr>
    </w:p>
    <w:p w:rsidR="00627AF7" w:rsidRPr="00311EBE" w:rsidRDefault="00627AF7" w:rsidP="00627AF7">
      <w:pPr>
        <w:tabs>
          <w:tab w:val="left" w:pos="4253"/>
        </w:tabs>
        <w:ind w:left="4536" w:firstLine="567"/>
        <w:rPr>
          <w:i/>
          <w:lang w:val="de-DE"/>
        </w:rPr>
      </w:pPr>
      <w:r w:rsidRPr="00311EBE">
        <w:rPr>
          <w:i/>
          <w:lang w:val="de-DE"/>
        </w:rPr>
        <w:tab/>
        <w:t>e)</w:t>
      </w:r>
      <w:r w:rsidRPr="00311EBE">
        <w:rPr>
          <w:i/>
          <w:lang w:val="de-DE"/>
        </w:rPr>
        <w:tab/>
        <w:t>zur Kenntnis zu nehmen, daß die BMT auf ihrer fünfzigsten Tagung ersucht würde, eine Liste möglicher</w:t>
      </w:r>
      <w:r w:rsidR="00DE64AE">
        <w:rPr>
          <w:i/>
          <w:lang w:val="de-DE"/>
        </w:rPr>
        <w:t xml:space="preserve"> gemeinsam</w:t>
      </w:r>
      <w:r w:rsidRPr="00311EBE">
        <w:rPr>
          <w:i/>
          <w:lang w:val="de-DE"/>
        </w:rPr>
        <w:t xml:space="preserve">er Initiativen mit OECD und ISTA </w:t>
      </w:r>
      <w:r w:rsidR="00E20A84">
        <w:rPr>
          <w:i/>
          <w:lang w:val="de-DE"/>
        </w:rPr>
        <w:t>zu erstellen</w:t>
      </w:r>
      <w:r w:rsidRPr="00311EBE">
        <w:rPr>
          <w:i/>
          <w:lang w:val="de-DE"/>
        </w:rPr>
        <w:t>, die dem TC auf seiner dreiundfünfzigsten Tagung vorgelegt würde; und</w:t>
      </w:r>
    </w:p>
    <w:p w:rsidR="00627AF7" w:rsidRPr="00311EBE" w:rsidRDefault="00627AF7" w:rsidP="00627AF7">
      <w:pPr>
        <w:rPr>
          <w:i/>
          <w:lang w:val="de-DE"/>
        </w:rPr>
      </w:pPr>
    </w:p>
    <w:p w:rsidR="0006377D" w:rsidRPr="00311EBE" w:rsidRDefault="00627AF7" w:rsidP="00627AF7">
      <w:pPr>
        <w:pStyle w:val="DecisionParagraphs"/>
        <w:keepLines/>
        <w:tabs>
          <w:tab w:val="clear" w:pos="5387"/>
          <w:tab w:val="left" w:pos="5670"/>
        </w:tabs>
        <w:ind w:left="4536" w:firstLine="567"/>
        <w:rPr>
          <w:rFonts w:cs="Arial"/>
          <w:lang w:val="de-DE" w:eastAsia="ja-JP"/>
        </w:rPr>
      </w:pPr>
      <w:r w:rsidRPr="00311EBE">
        <w:rPr>
          <w:lang w:val="de-DE"/>
        </w:rPr>
        <w:t>f)</w:t>
      </w:r>
      <w:r w:rsidRPr="00311EBE">
        <w:rPr>
          <w:lang w:val="de-DE"/>
        </w:rPr>
        <w:tab/>
        <w:t>einen Entwurf für Frage und Antwort bezüglich der Informationen über die Lage in der UPOV hinsichtlich der Verwendung molekularer Verfahren für ein breiteres Publikum, einschließlich der Öffentlichkeit im allgemeinen</w:t>
      </w:r>
      <w:r w:rsidR="00591D3F">
        <w:rPr>
          <w:lang w:val="de-DE"/>
        </w:rPr>
        <w:t>,</w:t>
      </w:r>
      <w:r w:rsidR="009E2EB8">
        <w:rPr>
          <w:lang w:val="de-DE"/>
        </w:rPr>
        <w:t xml:space="preserve"> </w:t>
      </w:r>
      <w:r w:rsidRPr="00311EBE">
        <w:rPr>
          <w:lang w:val="de-DE"/>
        </w:rPr>
        <w:t xml:space="preserve">wie </w:t>
      </w:r>
      <w:r w:rsidR="00591D3F">
        <w:rPr>
          <w:lang w:val="de-DE"/>
        </w:rPr>
        <w:t>in Absatz 38 dieses Dokuments</w:t>
      </w:r>
      <w:r w:rsidR="00591D3F" w:rsidRPr="00591D3F">
        <w:rPr>
          <w:lang w:val="de-DE"/>
        </w:rPr>
        <w:t xml:space="preserve"> </w:t>
      </w:r>
      <w:r w:rsidR="00C100A0">
        <w:rPr>
          <w:lang w:val="de-DE"/>
        </w:rPr>
        <w:t>dargelegt, zu prüfen</w:t>
      </w:r>
      <w:r w:rsidR="00B354CB" w:rsidRPr="00311EBE">
        <w:rPr>
          <w:rFonts w:cs="Arial"/>
          <w:lang w:val="de-DE" w:eastAsia="ja-JP"/>
        </w:rPr>
        <w:t>.</w:t>
      </w:r>
    </w:p>
    <w:p w:rsidR="0006377D" w:rsidRPr="001E3AC7" w:rsidRDefault="0006377D" w:rsidP="0006377D">
      <w:pPr>
        <w:pStyle w:val="DecisionParagraphs"/>
        <w:tabs>
          <w:tab w:val="clear" w:pos="5387"/>
          <w:tab w:val="left" w:pos="5670"/>
        </w:tabs>
        <w:ind w:left="4536" w:firstLine="567"/>
        <w:rPr>
          <w:rFonts w:cs="Arial"/>
          <w:i w:val="0"/>
          <w:lang w:val="de-DE" w:eastAsia="ja-JP"/>
        </w:rPr>
      </w:pPr>
    </w:p>
    <w:p w:rsidR="00291817" w:rsidRPr="001E3AC7" w:rsidRDefault="00291817" w:rsidP="0006377D">
      <w:pPr>
        <w:pStyle w:val="DecisionParagraphs"/>
        <w:tabs>
          <w:tab w:val="clear" w:pos="5387"/>
          <w:tab w:val="left" w:pos="5670"/>
        </w:tabs>
        <w:ind w:left="4536" w:firstLine="567"/>
        <w:rPr>
          <w:rFonts w:cs="Arial"/>
          <w:i w:val="0"/>
          <w:lang w:val="de-DE" w:eastAsia="ja-JP"/>
        </w:rPr>
      </w:pPr>
    </w:p>
    <w:p w:rsidR="0006377D" w:rsidRPr="001E3AC7" w:rsidRDefault="0006377D" w:rsidP="0006377D">
      <w:pPr>
        <w:pStyle w:val="DecisionParagraphs"/>
        <w:tabs>
          <w:tab w:val="clear" w:pos="5387"/>
          <w:tab w:val="left" w:pos="5670"/>
        </w:tabs>
        <w:ind w:left="4536" w:firstLine="567"/>
        <w:rPr>
          <w:rFonts w:cs="Arial"/>
          <w:i w:val="0"/>
          <w:lang w:val="de-DE" w:eastAsia="ja-JP"/>
        </w:rPr>
      </w:pPr>
    </w:p>
    <w:p w:rsidR="00050E16" w:rsidRPr="001E3AC7" w:rsidRDefault="00EA14BC" w:rsidP="0006377D">
      <w:pPr>
        <w:pStyle w:val="DecisionParagraphs"/>
        <w:tabs>
          <w:tab w:val="clear" w:pos="5387"/>
          <w:tab w:val="left" w:pos="5670"/>
        </w:tabs>
        <w:ind w:left="4536" w:firstLine="567"/>
        <w:jc w:val="right"/>
        <w:rPr>
          <w:rFonts w:cs="Arial"/>
          <w:i w:val="0"/>
          <w:lang w:val="de-DE"/>
        </w:rPr>
      </w:pPr>
      <w:r w:rsidRPr="001E3AC7">
        <w:rPr>
          <w:rFonts w:cs="Arial"/>
          <w:i w:val="0"/>
          <w:lang w:val="de-DE" w:eastAsia="ja-JP"/>
        </w:rPr>
        <w:t>[</w:t>
      </w:r>
      <w:r w:rsidR="001D5E40" w:rsidRPr="001E3AC7">
        <w:rPr>
          <w:rFonts w:cs="Arial"/>
          <w:i w:val="0"/>
          <w:lang w:val="de-DE"/>
        </w:rPr>
        <w:t>An</w:t>
      </w:r>
      <w:r w:rsidR="001E3AC7" w:rsidRPr="001E3AC7">
        <w:rPr>
          <w:rFonts w:cs="Arial"/>
          <w:i w:val="0"/>
          <w:lang w:val="de-DE"/>
        </w:rPr>
        <w:t xml:space="preserve">lage </w:t>
      </w:r>
      <w:r w:rsidR="00F00F8C" w:rsidRPr="001E3AC7">
        <w:rPr>
          <w:rFonts w:cs="Arial"/>
          <w:i w:val="0"/>
          <w:lang w:val="de-DE"/>
        </w:rPr>
        <w:t>fol</w:t>
      </w:r>
      <w:r w:rsidR="001E3AC7" w:rsidRPr="001E3AC7">
        <w:rPr>
          <w:rFonts w:cs="Arial"/>
          <w:i w:val="0"/>
          <w:lang w:val="de-DE"/>
        </w:rPr>
        <w:t>gt</w:t>
      </w:r>
      <w:r w:rsidR="00477345" w:rsidRPr="001E3AC7">
        <w:rPr>
          <w:rFonts w:cs="Arial"/>
          <w:i w:val="0"/>
          <w:lang w:val="de-DE"/>
        </w:rPr>
        <w:t>]</w:t>
      </w:r>
    </w:p>
    <w:p w:rsidR="00F00F8C" w:rsidRPr="001E3AC7" w:rsidRDefault="00F00F8C" w:rsidP="007872EB">
      <w:pPr>
        <w:pStyle w:val="Header"/>
        <w:jc w:val="right"/>
        <w:rPr>
          <w:lang w:val="de-DE"/>
        </w:rPr>
      </w:pPr>
    </w:p>
    <w:p w:rsidR="00182CF6" w:rsidRPr="001E3AC7" w:rsidRDefault="00182CF6" w:rsidP="00F00F8C">
      <w:pPr>
        <w:pStyle w:val="Header"/>
        <w:jc w:val="left"/>
        <w:rPr>
          <w:lang w:val="de-DE"/>
        </w:rPr>
        <w:sectPr w:rsidR="00182CF6" w:rsidRPr="001E3AC7" w:rsidSect="00E71894">
          <w:headerReference w:type="default" r:id="rId10"/>
          <w:pgSz w:w="11907" w:h="16840" w:code="9"/>
          <w:pgMar w:top="510" w:right="1134" w:bottom="1134" w:left="1134" w:header="510" w:footer="680" w:gutter="0"/>
          <w:cols w:space="720"/>
          <w:titlePg/>
        </w:sectPr>
      </w:pPr>
    </w:p>
    <w:p w:rsidR="00954973" w:rsidRPr="001E3AC7" w:rsidRDefault="00954973" w:rsidP="00954973">
      <w:pPr>
        <w:pStyle w:val="Header"/>
        <w:jc w:val="left"/>
        <w:rPr>
          <w:lang w:val="de-DE"/>
        </w:rPr>
      </w:pPr>
    </w:p>
    <w:p w:rsidR="001E3AC7" w:rsidRPr="001E3AC7" w:rsidRDefault="001E3AC7" w:rsidP="001E3AC7">
      <w:pPr>
        <w:spacing w:after="240"/>
        <w:jc w:val="center"/>
        <w:rPr>
          <w:rFonts w:cs="Arial"/>
          <w:lang w:val="de-DE"/>
        </w:rPr>
      </w:pPr>
      <w:r w:rsidRPr="001E3AC7">
        <w:rPr>
          <w:rFonts w:cs="Arial"/>
          <w:lang w:val="de-DE"/>
        </w:rPr>
        <w:t>FUNKTION DER ARBEITSGRUPPE FÜR BIOCHEMISCHE UND MOLEKULARE VERFAHREN UND INSBESONDERE FÜR DNS-PROFILIERUNGSVERFAHREN (BMT)</w:t>
      </w:r>
    </w:p>
    <w:p w:rsidR="001E3AC7" w:rsidRPr="001E3AC7" w:rsidRDefault="001E3AC7" w:rsidP="001E3AC7">
      <w:pPr>
        <w:spacing w:after="240"/>
        <w:jc w:val="center"/>
        <w:rPr>
          <w:rFonts w:cs="Arial"/>
          <w:i/>
          <w:lang w:val="de-DE"/>
        </w:rPr>
      </w:pPr>
      <w:r w:rsidRPr="001E3AC7">
        <w:rPr>
          <w:rFonts w:cs="Arial"/>
          <w:i/>
          <w:lang w:val="de-DE"/>
        </w:rPr>
        <w:t>(wie vom Technischen Ausschuß auf seiner achtunddreißigsten Tagung vom 15. bis 17. April 2002 in Genf vereinbart (vergleiche Dokument TC/38/16, Absatz 204))</w:t>
      </w:r>
    </w:p>
    <w:p w:rsidR="001E3AC7" w:rsidRPr="001E3AC7" w:rsidRDefault="001E3AC7" w:rsidP="007412D9">
      <w:pPr>
        <w:spacing w:after="240"/>
        <w:rPr>
          <w:rFonts w:cs="Arial"/>
          <w:lang w:val="de-DE"/>
        </w:rPr>
      </w:pPr>
      <w:r w:rsidRPr="001E3AC7">
        <w:rPr>
          <w:rFonts w:cs="Arial"/>
          <w:lang w:val="de-DE"/>
        </w:rPr>
        <w:t>Die BMT ist eine den DUS-Sachverständigen, biochemischen und molekularen Fachleuten und Pflanzenzüchtern offenstehende Gruppe. Sie betrachtet es als ihre Funktion,</w:t>
      </w:r>
    </w:p>
    <w:p w:rsidR="001E3AC7" w:rsidRPr="001E3AC7" w:rsidRDefault="001E3AC7" w:rsidP="007412D9">
      <w:pPr>
        <w:pStyle w:val="ListParagraph"/>
        <w:numPr>
          <w:ilvl w:val="0"/>
          <w:numId w:val="17"/>
        </w:numPr>
        <w:spacing w:after="240"/>
        <w:rPr>
          <w:rFonts w:cs="Arial"/>
          <w:lang w:val="de-DE"/>
        </w:rPr>
      </w:pPr>
      <w:r w:rsidRPr="001E3AC7">
        <w:rPr>
          <w:rFonts w:cs="Arial"/>
          <w:lang w:val="de-DE"/>
        </w:rPr>
        <w:t>die allgemeinen Entwicklungen auf dem Gebiet der biochemischen und molekularen Verfahren zu überprüfen;</w:t>
      </w:r>
    </w:p>
    <w:p w:rsidR="001E3AC7" w:rsidRPr="001E3AC7" w:rsidRDefault="001E3AC7" w:rsidP="007412D9">
      <w:pPr>
        <w:pStyle w:val="ListParagraph"/>
        <w:spacing w:after="240"/>
        <w:rPr>
          <w:rFonts w:cs="Arial"/>
          <w:lang w:val="de-DE"/>
        </w:rPr>
      </w:pPr>
    </w:p>
    <w:p w:rsidR="001E3AC7" w:rsidRPr="001E3AC7" w:rsidRDefault="001E3AC7" w:rsidP="007412D9">
      <w:pPr>
        <w:pStyle w:val="ListParagraph"/>
        <w:numPr>
          <w:ilvl w:val="0"/>
          <w:numId w:val="17"/>
        </w:numPr>
        <w:spacing w:after="240"/>
        <w:rPr>
          <w:rFonts w:cs="Arial"/>
          <w:lang w:val="de-DE"/>
        </w:rPr>
      </w:pPr>
      <w:r w:rsidRPr="001E3AC7">
        <w:rPr>
          <w:rFonts w:cs="Arial"/>
          <w:lang w:val="de-DE"/>
        </w:rPr>
        <w:t>die Kenntnis einschlägiger Anwendungen biochemischer und molekularer Verfahren in der Pflanzenzüchtung aufrechtzuerhalten;</w:t>
      </w:r>
    </w:p>
    <w:p w:rsidR="001E3AC7" w:rsidRPr="001E3AC7" w:rsidRDefault="001E3AC7" w:rsidP="007412D9">
      <w:pPr>
        <w:pStyle w:val="ListParagraph"/>
        <w:spacing w:after="240"/>
        <w:rPr>
          <w:rFonts w:cs="Arial"/>
          <w:lang w:val="de-DE"/>
        </w:rPr>
      </w:pPr>
    </w:p>
    <w:p w:rsidR="001E3AC7" w:rsidRPr="001E3AC7" w:rsidRDefault="001E3AC7" w:rsidP="007412D9">
      <w:pPr>
        <w:pStyle w:val="ListParagraph"/>
        <w:numPr>
          <w:ilvl w:val="0"/>
          <w:numId w:val="17"/>
        </w:numPr>
        <w:spacing w:after="240"/>
        <w:rPr>
          <w:rFonts w:cs="Arial"/>
          <w:lang w:val="de-DE"/>
        </w:rPr>
      </w:pPr>
      <w:r w:rsidRPr="001E3AC7">
        <w:rPr>
          <w:rFonts w:cs="Arial"/>
          <w:lang w:val="de-DE"/>
        </w:rPr>
        <w:t>die mögliche Anwendung biochemischer und molekularer Verfahren bei der DUS Prüfung zu untersuchen und ihre Überlegungen dem Technischen Ausschuß darzulegen;</w:t>
      </w:r>
    </w:p>
    <w:p w:rsidR="001E3AC7" w:rsidRPr="001E3AC7" w:rsidRDefault="001E3AC7" w:rsidP="007412D9">
      <w:pPr>
        <w:pStyle w:val="ListParagraph"/>
        <w:spacing w:after="240"/>
        <w:rPr>
          <w:rFonts w:cs="Arial"/>
          <w:lang w:val="de-DE"/>
        </w:rPr>
      </w:pPr>
    </w:p>
    <w:p w:rsidR="001E3AC7" w:rsidRPr="0044377C" w:rsidRDefault="001E3AC7" w:rsidP="007412D9">
      <w:pPr>
        <w:pStyle w:val="ListParagraph"/>
        <w:numPr>
          <w:ilvl w:val="0"/>
          <w:numId w:val="17"/>
        </w:numPr>
        <w:spacing w:after="240"/>
        <w:rPr>
          <w:rFonts w:cs="Arial"/>
          <w:lang w:val="de-DE"/>
        </w:rPr>
      </w:pPr>
      <w:r w:rsidRPr="0044377C">
        <w:rPr>
          <w:rFonts w:cs="Arial"/>
          <w:lang w:val="de-DE"/>
        </w:rPr>
        <w:t xml:space="preserve">gegebenenfalls Richtlinien für biochemische und molekulare Verfahren und deren Harmonisierung </w:t>
      </w:r>
      <w:r w:rsidR="00E20A84">
        <w:rPr>
          <w:rFonts w:cs="Arial"/>
          <w:lang w:val="de-DE"/>
        </w:rPr>
        <w:t>zu erstellen</w:t>
      </w:r>
      <w:r w:rsidRPr="0044377C">
        <w:rPr>
          <w:rFonts w:cs="Arial"/>
          <w:lang w:val="de-DE"/>
        </w:rPr>
        <w:t xml:space="preserve"> und insbesondere Beiträge zur Erstellung </w:t>
      </w:r>
      <w:r w:rsidR="001E73EE" w:rsidRPr="0044377C">
        <w:rPr>
          <w:rFonts w:cs="Arial"/>
          <w:lang w:val="de-DE"/>
        </w:rPr>
        <w:t xml:space="preserve">des Dokuments </w:t>
      </w:r>
      <w:r w:rsidRPr="0044377C">
        <w:rPr>
          <w:rFonts w:cs="Arial"/>
          <w:lang w:val="de-DE"/>
        </w:rPr>
        <w:t>TGP/15, ‚Neue Merkmalstypen“, zu leisten;</w:t>
      </w:r>
      <w:r w:rsidR="0044377C" w:rsidRPr="0044377C">
        <w:rPr>
          <w:rFonts w:cs="Arial"/>
          <w:lang w:val="de-DE"/>
        </w:rPr>
        <w:t xml:space="preserve"> </w:t>
      </w:r>
      <w:r w:rsidRPr="0044377C">
        <w:rPr>
          <w:rFonts w:cs="Arial"/>
          <w:lang w:val="de-DE"/>
        </w:rPr>
        <w:t>Diese Richtlinien sollen in Verbindung mit den Technischen Arbeitsgruppen entwickelt werden;</w:t>
      </w:r>
    </w:p>
    <w:p w:rsidR="001E3AC7" w:rsidRPr="001E3AC7" w:rsidRDefault="001E3AC7" w:rsidP="007412D9">
      <w:pPr>
        <w:pStyle w:val="ListParagraph"/>
        <w:spacing w:after="240"/>
        <w:rPr>
          <w:rFonts w:cs="Arial"/>
          <w:lang w:val="de-DE"/>
        </w:rPr>
      </w:pPr>
    </w:p>
    <w:p w:rsidR="001E3AC7" w:rsidRPr="001E3AC7" w:rsidRDefault="001E3AC7" w:rsidP="007412D9">
      <w:pPr>
        <w:pStyle w:val="ListParagraph"/>
        <w:numPr>
          <w:ilvl w:val="0"/>
          <w:numId w:val="17"/>
        </w:numPr>
        <w:spacing w:after="240"/>
        <w:rPr>
          <w:rFonts w:cs="Arial"/>
          <w:lang w:val="de-DE"/>
        </w:rPr>
      </w:pPr>
      <w:r w:rsidRPr="001E3AC7">
        <w:rPr>
          <w:rFonts w:cs="Arial"/>
          <w:lang w:val="de-DE"/>
        </w:rPr>
        <w:t>Initiativen der TWP zur Einsetzung artenspezifischer Untergruppen zu prüfen, indem den verfügbaren Informationen und der Notwendigkeit biochemischer und molekularer Verfahren Rechnung getragen wird;</w:t>
      </w:r>
    </w:p>
    <w:p w:rsidR="001E3AC7" w:rsidRPr="001E3AC7" w:rsidRDefault="001E3AC7" w:rsidP="007412D9">
      <w:pPr>
        <w:pStyle w:val="ListParagraph"/>
        <w:spacing w:after="240"/>
        <w:rPr>
          <w:rFonts w:cs="Arial"/>
          <w:lang w:val="de-DE"/>
        </w:rPr>
      </w:pPr>
    </w:p>
    <w:p w:rsidR="001E3AC7" w:rsidRPr="001E3AC7" w:rsidRDefault="001E3AC7" w:rsidP="007412D9">
      <w:pPr>
        <w:pStyle w:val="ListParagraph"/>
        <w:numPr>
          <w:ilvl w:val="0"/>
          <w:numId w:val="17"/>
        </w:numPr>
        <w:spacing w:after="240"/>
        <w:rPr>
          <w:rFonts w:cs="Arial"/>
          <w:lang w:val="de-DE"/>
        </w:rPr>
      </w:pPr>
      <w:r w:rsidRPr="001E3AC7">
        <w:rPr>
          <w:rFonts w:cs="Arial"/>
          <w:lang w:val="de-DE"/>
        </w:rPr>
        <w:t xml:space="preserve">Richtlinien für die Verwaltung und Harmonisierung von Datenbanken mit biochemischen und molekularen Informationen in Verbindung mit der TWC </w:t>
      </w:r>
      <w:r w:rsidR="00E20A84">
        <w:rPr>
          <w:rFonts w:cs="Arial"/>
          <w:lang w:val="de-DE"/>
        </w:rPr>
        <w:t>zu erstellen</w:t>
      </w:r>
      <w:r w:rsidRPr="001E3AC7">
        <w:rPr>
          <w:rFonts w:cs="Arial"/>
          <w:lang w:val="de-DE"/>
        </w:rPr>
        <w:t>;</w:t>
      </w:r>
    </w:p>
    <w:p w:rsidR="001E3AC7" w:rsidRPr="001E3AC7" w:rsidRDefault="001E3AC7" w:rsidP="007412D9">
      <w:pPr>
        <w:pStyle w:val="ListParagraph"/>
        <w:spacing w:after="240"/>
        <w:rPr>
          <w:rFonts w:cs="Arial"/>
          <w:lang w:val="de-DE"/>
        </w:rPr>
      </w:pPr>
    </w:p>
    <w:p w:rsidR="001E3AC7" w:rsidRPr="001E3AC7" w:rsidRDefault="001E3AC7" w:rsidP="007412D9">
      <w:pPr>
        <w:pStyle w:val="ListParagraph"/>
        <w:numPr>
          <w:ilvl w:val="0"/>
          <w:numId w:val="17"/>
        </w:numPr>
        <w:spacing w:after="240"/>
        <w:rPr>
          <w:rFonts w:cs="Arial"/>
          <w:lang w:val="de-DE"/>
        </w:rPr>
      </w:pPr>
      <w:r w:rsidRPr="001E3AC7">
        <w:rPr>
          <w:rFonts w:cs="Arial"/>
          <w:lang w:val="de-DE"/>
        </w:rPr>
        <w:t>die Berichte der artenspezifischen Untergruppen und der BMT Überprüfungsgruppe entgegenzunehmen;</w:t>
      </w:r>
    </w:p>
    <w:p w:rsidR="001E3AC7" w:rsidRPr="001E3AC7" w:rsidRDefault="001E3AC7" w:rsidP="007412D9">
      <w:pPr>
        <w:pStyle w:val="ListParagraph"/>
        <w:spacing w:after="240"/>
        <w:rPr>
          <w:rFonts w:cs="Arial"/>
          <w:lang w:val="de-DE"/>
        </w:rPr>
      </w:pPr>
    </w:p>
    <w:p w:rsidR="00954973" w:rsidRPr="001E3AC7" w:rsidRDefault="001E3AC7" w:rsidP="007412D9">
      <w:pPr>
        <w:pStyle w:val="ListParagraph"/>
        <w:numPr>
          <w:ilvl w:val="0"/>
          <w:numId w:val="17"/>
        </w:numPr>
        <w:tabs>
          <w:tab w:val="left" w:pos="1134"/>
        </w:tabs>
        <w:spacing w:before="60" w:after="60"/>
        <w:rPr>
          <w:lang w:val="de-DE"/>
        </w:rPr>
      </w:pPr>
      <w:r w:rsidRPr="001E3AC7">
        <w:rPr>
          <w:rFonts w:cs="Arial"/>
          <w:lang w:val="de-DE"/>
        </w:rPr>
        <w:t>ein Diskussionsforum über die Anwendung biochemischer und molekularer Verfahren bei der Prüfung der wesentlichen Ableitung und bei der Sortenidentifikation bereitzustellen</w:t>
      </w:r>
      <w:r w:rsidR="00954973" w:rsidRPr="001E3AC7">
        <w:rPr>
          <w:lang w:val="de-DE"/>
        </w:rPr>
        <w:t>.</w:t>
      </w:r>
    </w:p>
    <w:p w:rsidR="00954973" w:rsidRPr="001E3AC7" w:rsidRDefault="00954973" w:rsidP="001E3AC7">
      <w:pPr>
        <w:rPr>
          <w:lang w:val="de-DE"/>
        </w:rPr>
      </w:pPr>
    </w:p>
    <w:p w:rsidR="00954973" w:rsidRPr="001E3AC7" w:rsidRDefault="00954973" w:rsidP="00954973">
      <w:pPr>
        <w:ind w:right="-1"/>
        <w:rPr>
          <w:lang w:val="de-DE"/>
        </w:rPr>
      </w:pPr>
    </w:p>
    <w:p w:rsidR="0088336D" w:rsidRPr="001E3AC7" w:rsidRDefault="0088336D" w:rsidP="0088336D">
      <w:pPr>
        <w:ind w:right="369"/>
        <w:jc w:val="left"/>
        <w:rPr>
          <w:lang w:val="de-DE"/>
        </w:rPr>
      </w:pPr>
    </w:p>
    <w:p w:rsidR="00093F0C" w:rsidRPr="001E3AC7" w:rsidRDefault="003423DF" w:rsidP="00C63817">
      <w:pPr>
        <w:jc w:val="right"/>
        <w:rPr>
          <w:bCs/>
          <w:snapToGrid w:val="0"/>
          <w:lang w:val="de-DE"/>
        </w:rPr>
      </w:pPr>
      <w:r w:rsidRPr="001E3AC7">
        <w:rPr>
          <w:snapToGrid w:val="0"/>
          <w:lang w:val="de-DE"/>
        </w:rPr>
        <w:t>[End</w:t>
      </w:r>
      <w:r w:rsidR="001E3AC7" w:rsidRPr="001E3AC7">
        <w:rPr>
          <w:snapToGrid w:val="0"/>
          <w:lang w:val="de-DE"/>
        </w:rPr>
        <w:t>e</w:t>
      </w:r>
      <w:r w:rsidRPr="001E3AC7">
        <w:rPr>
          <w:snapToGrid w:val="0"/>
          <w:lang w:val="de-DE"/>
        </w:rPr>
        <w:t xml:space="preserve"> </w:t>
      </w:r>
      <w:r w:rsidR="001E3AC7" w:rsidRPr="001E3AC7">
        <w:rPr>
          <w:snapToGrid w:val="0"/>
          <w:lang w:val="de-DE"/>
        </w:rPr>
        <w:t>der</w:t>
      </w:r>
      <w:r w:rsidRPr="001E3AC7">
        <w:rPr>
          <w:snapToGrid w:val="0"/>
          <w:lang w:val="de-DE"/>
        </w:rPr>
        <w:t xml:space="preserve"> </w:t>
      </w:r>
      <w:r w:rsidR="00121AA6" w:rsidRPr="001E3AC7">
        <w:rPr>
          <w:snapToGrid w:val="0"/>
          <w:lang w:val="de-DE"/>
        </w:rPr>
        <w:t>An</w:t>
      </w:r>
      <w:r w:rsidR="001E3AC7" w:rsidRPr="001E3AC7">
        <w:rPr>
          <w:snapToGrid w:val="0"/>
          <w:lang w:val="de-DE"/>
        </w:rPr>
        <w:t>lage und des</w:t>
      </w:r>
      <w:r w:rsidR="00121AA6" w:rsidRPr="001E3AC7">
        <w:rPr>
          <w:snapToGrid w:val="0"/>
          <w:lang w:val="de-DE"/>
        </w:rPr>
        <w:t xml:space="preserve"> </w:t>
      </w:r>
      <w:r w:rsidR="001E73EE">
        <w:rPr>
          <w:snapToGrid w:val="0"/>
          <w:lang w:val="de-DE"/>
        </w:rPr>
        <w:t>Dokument</w:t>
      </w:r>
      <w:r w:rsidR="0044377C">
        <w:rPr>
          <w:snapToGrid w:val="0"/>
          <w:lang w:val="de-DE"/>
        </w:rPr>
        <w:t>s</w:t>
      </w:r>
      <w:r w:rsidRPr="001E3AC7">
        <w:rPr>
          <w:snapToGrid w:val="0"/>
          <w:lang w:val="de-DE"/>
        </w:rPr>
        <w:t>]</w:t>
      </w:r>
    </w:p>
    <w:p w:rsidR="00954973" w:rsidRPr="001E3AC7" w:rsidRDefault="00954973" w:rsidP="00E71894">
      <w:pPr>
        <w:jc w:val="right"/>
        <w:rPr>
          <w:lang w:val="de-DE"/>
        </w:rPr>
      </w:pPr>
    </w:p>
    <w:sectPr w:rsidR="00954973" w:rsidRPr="001E3AC7" w:rsidSect="003423DF">
      <w:headerReference w:type="firs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5F" w:rsidRDefault="00251B5F" w:rsidP="006655D3">
      <w:r>
        <w:separator/>
      </w:r>
    </w:p>
    <w:p w:rsidR="00251B5F" w:rsidRDefault="00251B5F" w:rsidP="006655D3"/>
    <w:p w:rsidR="00251B5F" w:rsidRDefault="00251B5F" w:rsidP="006655D3"/>
  </w:endnote>
  <w:endnote w:type="continuationSeparator" w:id="0">
    <w:p w:rsidR="00251B5F" w:rsidRDefault="00251B5F" w:rsidP="006655D3">
      <w:r>
        <w:separator/>
      </w:r>
    </w:p>
    <w:p w:rsidR="00251B5F" w:rsidRPr="00477345" w:rsidRDefault="00251B5F">
      <w:pPr>
        <w:pStyle w:val="Footer"/>
        <w:spacing w:after="60"/>
        <w:rPr>
          <w:sz w:val="18"/>
          <w:lang w:val="fr-FR"/>
        </w:rPr>
      </w:pPr>
      <w:r w:rsidRPr="00477345">
        <w:rPr>
          <w:sz w:val="18"/>
          <w:lang w:val="fr-FR"/>
        </w:rPr>
        <w:t>[Suite de la note de la page précédente]</w:t>
      </w:r>
    </w:p>
    <w:p w:rsidR="00251B5F" w:rsidRPr="00477345" w:rsidRDefault="00251B5F" w:rsidP="006655D3">
      <w:pPr>
        <w:rPr>
          <w:lang w:val="fr-FR"/>
        </w:rPr>
      </w:pPr>
    </w:p>
    <w:p w:rsidR="00251B5F" w:rsidRPr="00477345" w:rsidRDefault="00251B5F" w:rsidP="006655D3">
      <w:pPr>
        <w:rPr>
          <w:lang w:val="fr-FR"/>
        </w:rPr>
      </w:pPr>
    </w:p>
  </w:endnote>
  <w:endnote w:type="continuationNotice" w:id="1">
    <w:p w:rsidR="00251B5F" w:rsidRPr="00477345" w:rsidRDefault="00251B5F" w:rsidP="006655D3">
      <w:pPr>
        <w:rPr>
          <w:lang w:val="fr-FR"/>
        </w:rPr>
      </w:pPr>
      <w:r w:rsidRPr="00477345">
        <w:rPr>
          <w:lang w:val="fr-FR"/>
        </w:rPr>
        <w:t>[Suite de la note page suivante]</w:t>
      </w:r>
    </w:p>
    <w:p w:rsidR="00251B5F" w:rsidRPr="00477345" w:rsidRDefault="00251B5F" w:rsidP="006655D3">
      <w:pPr>
        <w:rPr>
          <w:lang w:val="fr-FR"/>
        </w:rPr>
      </w:pPr>
    </w:p>
    <w:p w:rsidR="00251B5F" w:rsidRPr="00477345" w:rsidRDefault="00251B5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5F" w:rsidRDefault="00251B5F" w:rsidP="006655D3">
      <w:r>
        <w:separator/>
      </w:r>
    </w:p>
  </w:footnote>
  <w:footnote w:type="continuationSeparator" w:id="0">
    <w:p w:rsidR="00251B5F" w:rsidRDefault="00251B5F" w:rsidP="006655D3">
      <w:r>
        <w:separator/>
      </w:r>
    </w:p>
  </w:footnote>
  <w:footnote w:type="continuationNotice" w:id="1">
    <w:p w:rsidR="00251B5F" w:rsidRPr="00AB530F" w:rsidRDefault="00251B5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84" w:rsidRPr="00C5280D" w:rsidRDefault="00E20A84" w:rsidP="00EB048E">
    <w:pPr>
      <w:pStyle w:val="Header"/>
      <w:rPr>
        <w:rStyle w:val="PageNumber"/>
        <w:lang w:val="en-US" w:eastAsia="ja-JP"/>
      </w:rPr>
    </w:pPr>
    <w:r>
      <w:rPr>
        <w:rStyle w:val="PageNumber"/>
        <w:lang w:val="en-US"/>
      </w:rPr>
      <w:t>TC/5</w:t>
    </w:r>
    <w:r>
      <w:rPr>
        <w:rStyle w:val="PageNumber"/>
        <w:lang w:val="en-US" w:eastAsia="ja-JP"/>
      </w:rPr>
      <w:t>2</w:t>
    </w:r>
    <w:r>
      <w:rPr>
        <w:rStyle w:val="PageNumber"/>
        <w:lang w:val="en-US"/>
      </w:rPr>
      <w:t>/</w:t>
    </w:r>
    <w:r>
      <w:rPr>
        <w:rStyle w:val="PageNumber"/>
        <w:rFonts w:hint="eastAsia"/>
        <w:lang w:val="en-US" w:eastAsia="ja-JP"/>
      </w:rPr>
      <w:t>11</w:t>
    </w:r>
  </w:p>
  <w:p w:rsidR="00E20A84" w:rsidRPr="00C5280D" w:rsidRDefault="00E20A84"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7868">
      <w:rPr>
        <w:rStyle w:val="PageNumber"/>
        <w:noProof/>
        <w:lang w:val="en-US"/>
      </w:rPr>
      <w:t>9</w:t>
    </w:r>
    <w:r w:rsidRPr="00C5280D">
      <w:rPr>
        <w:rStyle w:val="PageNumber"/>
        <w:lang w:val="en-US"/>
      </w:rPr>
      <w:fldChar w:fldCharType="end"/>
    </w:r>
    <w:bookmarkStart w:id="44" w:name="_Toc410822398"/>
    <w:bookmarkStart w:id="45" w:name="_Toc410822802"/>
  </w:p>
  <w:p w:rsidR="00E20A84" w:rsidRPr="00C5280D" w:rsidRDefault="00E20A84" w:rsidP="006655D3">
    <w:bookmarkStart w:id="46" w:name="_Toc441145847"/>
    <w:bookmarkStart w:id="47" w:name="_Toc374716168"/>
    <w:bookmarkEnd w:id="44"/>
    <w:bookmarkEnd w:id="45"/>
    <w:bookmarkEnd w:id="46"/>
    <w:bookmarkEnd w:id="4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84" w:rsidRDefault="00E20A84">
    <w:pPr>
      <w:pStyle w:val="Header"/>
      <w:rPr>
        <w:lang w:val="en-US" w:eastAsia="ja-JP"/>
      </w:rPr>
    </w:pPr>
    <w:r>
      <w:rPr>
        <w:lang w:val="en-US"/>
      </w:rPr>
      <w:t>TC/5</w:t>
    </w:r>
    <w:r>
      <w:rPr>
        <w:rFonts w:hint="eastAsia"/>
        <w:lang w:val="en-US" w:eastAsia="ja-JP"/>
      </w:rPr>
      <w:t>2</w:t>
    </w:r>
    <w:r>
      <w:rPr>
        <w:lang w:val="en-US"/>
      </w:rPr>
      <w:t>/1</w:t>
    </w:r>
    <w:r>
      <w:rPr>
        <w:rFonts w:hint="eastAsia"/>
        <w:lang w:val="en-US" w:eastAsia="ja-JP"/>
      </w:rPr>
      <w:t>1</w:t>
    </w:r>
  </w:p>
  <w:p w:rsidR="00E20A84" w:rsidRDefault="00E20A84">
    <w:pPr>
      <w:pStyle w:val="Header"/>
      <w:rPr>
        <w:lang w:val="en-US"/>
      </w:rPr>
    </w:pPr>
  </w:p>
  <w:p w:rsidR="00E20A84" w:rsidRPr="00954973" w:rsidRDefault="00E20A84">
    <w:pPr>
      <w:pStyle w:val="Header"/>
      <w:rPr>
        <w:lang w:val="en-US" w:eastAsia="ja-JP"/>
      </w:rPr>
    </w:pPr>
    <w:r>
      <w:rPr>
        <w:lang w:val="en-US"/>
      </w:rPr>
      <w:t>ANLAGE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AAC381E"/>
    <w:multiLevelType w:val="hybridMultilevel"/>
    <w:tmpl w:val="0D06F5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E0DDC"/>
    <w:multiLevelType w:val="hybridMultilevel"/>
    <w:tmpl w:val="AA6A271A"/>
    <w:lvl w:ilvl="0" w:tplc="B8E6DD9E">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64AC5F85"/>
    <w:multiLevelType w:val="hybridMultilevel"/>
    <w:tmpl w:val="9C329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4">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8"/>
  </w:num>
  <w:num w:numId="2">
    <w:abstractNumId w:val="3"/>
  </w:num>
  <w:num w:numId="3">
    <w:abstractNumId w:val="16"/>
  </w:num>
  <w:num w:numId="4">
    <w:abstractNumId w:val="11"/>
  </w:num>
  <w:num w:numId="5">
    <w:abstractNumId w:val="5"/>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4"/>
  </w:num>
  <w:num w:numId="11">
    <w:abstractNumId w:val="2"/>
  </w:num>
  <w:num w:numId="12">
    <w:abstractNumId w:val="0"/>
  </w:num>
  <w:num w:numId="13">
    <w:abstractNumId w:val="15"/>
  </w:num>
  <w:num w:numId="14">
    <w:abstractNumId w:val="13"/>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6028"/>
    <w:rsid w:val="00041D2D"/>
    <w:rsid w:val="00044642"/>
    <w:rsid w:val="000446B9"/>
    <w:rsid w:val="00047E21"/>
    <w:rsid w:val="00050E16"/>
    <w:rsid w:val="00055042"/>
    <w:rsid w:val="000552A7"/>
    <w:rsid w:val="0006377D"/>
    <w:rsid w:val="0006681E"/>
    <w:rsid w:val="00070463"/>
    <w:rsid w:val="00073A23"/>
    <w:rsid w:val="000816AB"/>
    <w:rsid w:val="000825CD"/>
    <w:rsid w:val="000844F9"/>
    <w:rsid w:val="00085505"/>
    <w:rsid w:val="00087A62"/>
    <w:rsid w:val="0009135B"/>
    <w:rsid w:val="000913F8"/>
    <w:rsid w:val="00093F0C"/>
    <w:rsid w:val="000A4E4F"/>
    <w:rsid w:val="000A7A15"/>
    <w:rsid w:val="000B7B9A"/>
    <w:rsid w:val="000C3340"/>
    <w:rsid w:val="000C7021"/>
    <w:rsid w:val="000D123A"/>
    <w:rsid w:val="000D3F83"/>
    <w:rsid w:val="000D6BBC"/>
    <w:rsid w:val="000D7780"/>
    <w:rsid w:val="000E2E2A"/>
    <w:rsid w:val="000E5EE5"/>
    <w:rsid w:val="000E6025"/>
    <w:rsid w:val="000F1D05"/>
    <w:rsid w:val="000F2F11"/>
    <w:rsid w:val="000F5EFF"/>
    <w:rsid w:val="000F7E6A"/>
    <w:rsid w:val="00105929"/>
    <w:rsid w:val="00107F48"/>
    <w:rsid w:val="001131D5"/>
    <w:rsid w:val="001175FD"/>
    <w:rsid w:val="00120E97"/>
    <w:rsid w:val="00121AA6"/>
    <w:rsid w:val="00137D62"/>
    <w:rsid w:val="00141DB8"/>
    <w:rsid w:val="0014592D"/>
    <w:rsid w:val="00151794"/>
    <w:rsid w:val="00152D79"/>
    <w:rsid w:val="001532E8"/>
    <w:rsid w:val="00153421"/>
    <w:rsid w:val="00157DF4"/>
    <w:rsid w:val="00161F46"/>
    <w:rsid w:val="001624EB"/>
    <w:rsid w:val="00164A92"/>
    <w:rsid w:val="0017474A"/>
    <w:rsid w:val="001758C6"/>
    <w:rsid w:val="00176692"/>
    <w:rsid w:val="0018053D"/>
    <w:rsid w:val="00182701"/>
    <w:rsid w:val="00182B99"/>
    <w:rsid w:val="00182CF6"/>
    <w:rsid w:val="00186929"/>
    <w:rsid w:val="001873AF"/>
    <w:rsid w:val="00195A44"/>
    <w:rsid w:val="001B036B"/>
    <w:rsid w:val="001B0FF3"/>
    <w:rsid w:val="001B6893"/>
    <w:rsid w:val="001D3B2E"/>
    <w:rsid w:val="001D5E40"/>
    <w:rsid w:val="001D783C"/>
    <w:rsid w:val="001E32F0"/>
    <w:rsid w:val="001E349E"/>
    <w:rsid w:val="001E3AC7"/>
    <w:rsid w:val="001E5D7A"/>
    <w:rsid w:val="001E6801"/>
    <w:rsid w:val="001E73EE"/>
    <w:rsid w:val="001F1E4C"/>
    <w:rsid w:val="0021332C"/>
    <w:rsid w:val="00213982"/>
    <w:rsid w:val="00213DB3"/>
    <w:rsid w:val="002170F6"/>
    <w:rsid w:val="00220FEE"/>
    <w:rsid w:val="00226590"/>
    <w:rsid w:val="0022755F"/>
    <w:rsid w:val="002275B8"/>
    <w:rsid w:val="002308E3"/>
    <w:rsid w:val="00233C64"/>
    <w:rsid w:val="002359DB"/>
    <w:rsid w:val="00237F9B"/>
    <w:rsid w:val="00244049"/>
    <w:rsid w:val="0024416D"/>
    <w:rsid w:val="00251B5F"/>
    <w:rsid w:val="00256CE5"/>
    <w:rsid w:val="00261E7E"/>
    <w:rsid w:val="00271911"/>
    <w:rsid w:val="0027510D"/>
    <w:rsid w:val="00275B4D"/>
    <w:rsid w:val="002800A0"/>
    <w:rsid w:val="002801B3"/>
    <w:rsid w:val="00281060"/>
    <w:rsid w:val="00290DCA"/>
    <w:rsid w:val="00291817"/>
    <w:rsid w:val="0029409E"/>
    <w:rsid w:val="002940E8"/>
    <w:rsid w:val="002966CC"/>
    <w:rsid w:val="002A3009"/>
    <w:rsid w:val="002A38BA"/>
    <w:rsid w:val="002A6534"/>
    <w:rsid w:val="002A6E50"/>
    <w:rsid w:val="002C256A"/>
    <w:rsid w:val="002C2E0E"/>
    <w:rsid w:val="002C3CBE"/>
    <w:rsid w:val="002D3575"/>
    <w:rsid w:val="002D59C1"/>
    <w:rsid w:val="002D64DE"/>
    <w:rsid w:val="002D74E7"/>
    <w:rsid w:val="002D7F83"/>
    <w:rsid w:val="002E6D56"/>
    <w:rsid w:val="002F16B4"/>
    <w:rsid w:val="002F1823"/>
    <w:rsid w:val="002F5563"/>
    <w:rsid w:val="002F749F"/>
    <w:rsid w:val="003022E7"/>
    <w:rsid w:val="00305A7F"/>
    <w:rsid w:val="00306FDE"/>
    <w:rsid w:val="00310440"/>
    <w:rsid w:val="00311EBE"/>
    <w:rsid w:val="0031501C"/>
    <w:rsid w:val="003152FE"/>
    <w:rsid w:val="00327436"/>
    <w:rsid w:val="00336CA4"/>
    <w:rsid w:val="00337523"/>
    <w:rsid w:val="00341943"/>
    <w:rsid w:val="003423DF"/>
    <w:rsid w:val="003425B4"/>
    <w:rsid w:val="00344BD6"/>
    <w:rsid w:val="0035528D"/>
    <w:rsid w:val="0036170D"/>
    <w:rsid w:val="00361821"/>
    <w:rsid w:val="00362207"/>
    <w:rsid w:val="00362C4E"/>
    <w:rsid w:val="0036369B"/>
    <w:rsid w:val="00380CD4"/>
    <w:rsid w:val="003B3347"/>
    <w:rsid w:val="003B6462"/>
    <w:rsid w:val="003B778C"/>
    <w:rsid w:val="003C1427"/>
    <w:rsid w:val="003C7749"/>
    <w:rsid w:val="003D227C"/>
    <w:rsid w:val="003D27DD"/>
    <w:rsid w:val="003D2B4D"/>
    <w:rsid w:val="003D3BC8"/>
    <w:rsid w:val="003D6C70"/>
    <w:rsid w:val="003F4BEF"/>
    <w:rsid w:val="004009A9"/>
    <w:rsid w:val="004029B3"/>
    <w:rsid w:val="004033F9"/>
    <w:rsid w:val="0040431D"/>
    <w:rsid w:val="0041245D"/>
    <w:rsid w:val="00416A53"/>
    <w:rsid w:val="00417C69"/>
    <w:rsid w:val="00422088"/>
    <w:rsid w:val="00432BA6"/>
    <w:rsid w:val="0044377C"/>
    <w:rsid w:val="00444A88"/>
    <w:rsid w:val="004476C5"/>
    <w:rsid w:val="004512FF"/>
    <w:rsid w:val="0045470D"/>
    <w:rsid w:val="004620C3"/>
    <w:rsid w:val="00470244"/>
    <w:rsid w:val="004723C0"/>
    <w:rsid w:val="00472D5B"/>
    <w:rsid w:val="00474386"/>
    <w:rsid w:val="00474DA4"/>
    <w:rsid w:val="00476B4D"/>
    <w:rsid w:val="00477345"/>
    <w:rsid w:val="004805FA"/>
    <w:rsid w:val="00487215"/>
    <w:rsid w:val="004977E9"/>
    <w:rsid w:val="004A2095"/>
    <w:rsid w:val="004A4763"/>
    <w:rsid w:val="004A4B1C"/>
    <w:rsid w:val="004B5F8E"/>
    <w:rsid w:val="004C7C85"/>
    <w:rsid w:val="004D047D"/>
    <w:rsid w:val="004D1C2F"/>
    <w:rsid w:val="004D4C77"/>
    <w:rsid w:val="004F305A"/>
    <w:rsid w:val="00502EAC"/>
    <w:rsid w:val="00505459"/>
    <w:rsid w:val="00512164"/>
    <w:rsid w:val="0051572D"/>
    <w:rsid w:val="00520297"/>
    <w:rsid w:val="0052394A"/>
    <w:rsid w:val="005245AD"/>
    <w:rsid w:val="005264DF"/>
    <w:rsid w:val="005338F9"/>
    <w:rsid w:val="00535B50"/>
    <w:rsid w:val="00535D58"/>
    <w:rsid w:val="00542291"/>
    <w:rsid w:val="0054281C"/>
    <w:rsid w:val="0054520C"/>
    <w:rsid w:val="005508EE"/>
    <w:rsid w:val="0055268D"/>
    <w:rsid w:val="00552A23"/>
    <w:rsid w:val="00554D3E"/>
    <w:rsid w:val="00557BDD"/>
    <w:rsid w:val="00560113"/>
    <w:rsid w:val="00563661"/>
    <w:rsid w:val="00570039"/>
    <w:rsid w:val="00576BE4"/>
    <w:rsid w:val="00582380"/>
    <w:rsid w:val="00582B2D"/>
    <w:rsid w:val="00591D3F"/>
    <w:rsid w:val="00596251"/>
    <w:rsid w:val="00597583"/>
    <w:rsid w:val="005A400A"/>
    <w:rsid w:val="005A5314"/>
    <w:rsid w:val="005C50EC"/>
    <w:rsid w:val="005C5272"/>
    <w:rsid w:val="005C5B75"/>
    <w:rsid w:val="005D260A"/>
    <w:rsid w:val="005D5881"/>
    <w:rsid w:val="005E590E"/>
    <w:rsid w:val="005F30A7"/>
    <w:rsid w:val="005F39AC"/>
    <w:rsid w:val="005F45B0"/>
    <w:rsid w:val="005F5745"/>
    <w:rsid w:val="00604DCD"/>
    <w:rsid w:val="00611565"/>
    <w:rsid w:val="00612379"/>
    <w:rsid w:val="006124B5"/>
    <w:rsid w:val="00612C69"/>
    <w:rsid w:val="0061555F"/>
    <w:rsid w:val="006205BE"/>
    <w:rsid w:val="00621527"/>
    <w:rsid w:val="0062433B"/>
    <w:rsid w:val="00627AF7"/>
    <w:rsid w:val="0063139E"/>
    <w:rsid w:val="0063243A"/>
    <w:rsid w:val="00633EA9"/>
    <w:rsid w:val="0063559D"/>
    <w:rsid w:val="00635C1A"/>
    <w:rsid w:val="00641200"/>
    <w:rsid w:val="00642A4B"/>
    <w:rsid w:val="006445EE"/>
    <w:rsid w:val="00645B1F"/>
    <w:rsid w:val="00656B24"/>
    <w:rsid w:val="006635A8"/>
    <w:rsid w:val="006655D3"/>
    <w:rsid w:val="00667404"/>
    <w:rsid w:val="00670024"/>
    <w:rsid w:val="00676DFD"/>
    <w:rsid w:val="00681967"/>
    <w:rsid w:val="00684ACE"/>
    <w:rsid w:val="006852BC"/>
    <w:rsid w:val="006866C4"/>
    <w:rsid w:val="00687EB4"/>
    <w:rsid w:val="006914F1"/>
    <w:rsid w:val="006918C6"/>
    <w:rsid w:val="00695458"/>
    <w:rsid w:val="006A561F"/>
    <w:rsid w:val="006B0161"/>
    <w:rsid w:val="006B17D2"/>
    <w:rsid w:val="006B3AEF"/>
    <w:rsid w:val="006B4BC7"/>
    <w:rsid w:val="006C19F9"/>
    <w:rsid w:val="006C224E"/>
    <w:rsid w:val="006C418D"/>
    <w:rsid w:val="006C4E03"/>
    <w:rsid w:val="006C66F3"/>
    <w:rsid w:val="006D0234"/>
    <w:rsid w:val="006D5C91"/>
    <w:rsid w:val="006D780A"/>
    <w:rsid w:val="006E0B74"/>
    <w:rsid w:val="006E737F"/>
    <w:rsid w:val="006F22E1"/>
    <w:rsid w:val="006F40BE"/>
    <w:rsid w:val="006F459F"/>
    <w:rsid w:val="006F551D"/>
    <w:rsid w:val="007078DB"/>
    <w:rsid w:val="0071595A"/>
    <w:rsid w:val="007250E4"/>
    <w:rsid w:val="00732DEC"/>
    <w:rsid w:val="007330DD"/>
    <w:rsid w:val="00735BD5"/>
    <w:rsid w:val="007412D9"/>
    <w:rsid w:val="007473D2"/>
    <w:rsid w:val="007512C7"/>
    <w:rsid w:val="007520E2"/>
    <w:rsid w:val="007556F6"/>
    <w:rsid w:val="00760EEF"/>
    <w:rsid w:val="00764CBE"/>
    <w:rsid w:val="00776750"/>
    <w:rsid w:val="00777EE5"/>
    <w:rsid w:val="00784836"/>
    <w:rsid w:val="007872EB"/>
    <w:rsid w:val="00787DEF"/>
    <w:rsid w:val="0079023E"/>
    <w:rsid w:val="0079128B"/>
    <w:rsid w:val="00796021"/>
    <w:rsid w:val="007A17F9"/>
    <w:rsid w:val="007A2854"/>
    <w:rsid w:val="007A6AA3"/>
    <w:rsid w:val="007B7770"/>
    <w:rsid w:val="007C25BD"/>
    <w:rsid w:val="007D0B9D"/>
    <w:rsid w:val="007D19B0"/>
    <w:rsid w:val="007D3B0D"/>
    <w:rsid w:val="007D70EE"/>
    <w:rsid w:val="007F498F"/>
    <w:rsid w:val="007F7C2E"/>
    <w:rsid w:val="008045BA"/>
    <w:rsid w:val="0080482B"/>
    <w:rsid w:val="0080679D"/>
    <w:rsid w:val="008108B0"/>
    <w:rsid w:val="00810AA9"/>
    <w:rsid w:val="0081106E"/>
    <w:rsid w:val="00811440"/>
    <w:rsid w:val="00811B20"/>
    <w:rsid w:val="00813850"/>
    <w:rsid w:val="008161A5"/>
    <w:rsid w:val="00816776"/>
    <w:rsid w:val="00817E85"/>
    <w:rsid w:val="00821124"/>
    <w:rsid w:val="0082296E"/>
    <w:rsid w:val="00824099"/>
    <w:rsid w:val="0083351C"/>
    <w:rsid w:val="00834411"/>
    <w:rsid w:val="00834BD1"/>
    <w:rsid w:val="00837FBC"/>
    <w:rsid w:val="00854C32"/>
    <w:rsid w:val="008570F2"/>
    <w:rsid w:val="00862910"/>
    <w:rsid w:val="00863113"/>
    <w:rsid w:val="00864FB2"/>
    <w:rsid w:val="00867AC1"/>
    <w:rsid w:val="008705F4"/>
    <w:rsid w:val="00873A30"/>
    <w:rsid w:val="00876B8F"/>
    <w:rsid w:val="00881D81"/>
    <w:rsid w:val="0088336D"/>
    <w:rsid w:val="008841D9"/>
    <w:rsid w:val="00891326"/>
    <w:rsid w:val="008929D6"/>
    <w:rsid w:val="008931AE"/>
    <w:rsid w:val="00895F99"/>
    <w:rsid w:val="00896336"/>
    <w:rsid w:val="00897616"/>
    <w:rsid w:val="008A241A"/>
    <w:rsid w:val="008A40CF"/>
    <w:rsid w:val="008A743F"/>
    <w:rsid w:val="008B026A"/>
    <w:rsid w:val="008C0970"/>
    <w:rsid w:val="008D2CF7"/>
    <w:rsid w:val="008D48CE"/>
    <w:rsid w:val="008D554C"/>
    <w:rsid w:val="008D6750"/>
    <w:rsid w:val="008E5807"/>
    <w:rsid w:val="00900C26"/>
    <w:rsid w:val="0090197F"/>
    <w:rsid w:val="00903FAE"/>
    <w:rsid w:val="00906DDC"/>
    <w:rsid w:val="00911B95"/>
    <w:rsid w:val="009227E6"/>
    <w:rsid w:val="00934E09"/>
    <w:rsid w:val="00936253"/>
    <w:rsid w:val="00944D1B"/>
    <w:rsid w:val="00952DD4"/>
    <w:rsid w:val="00953897"/>
    <w:rsid w:val="00954973"/>
    <w:rsid w:val="00967457"/>
    <w:rsid w:val="00967669"/>
    <w:rsid w:val="009676F5"/>
    <w:rsid w:val="00970FED"/>
    <w:rsid w:val="0097762D"/>
    <w:rsid w:val="00984A08"/>
    <w:rsid w:val="00992D82"/>
    <w:rsid w:val="00995397"/>
    <w:rsid w:val="009962CE"/>
    <w:rsid w:val="00997029"/>
    <w:rsid w:val="009A1799"/>
    <w:rsid w:val="009A196E"/>
    <w:rsid w:val="009A4635"/>
    <w:rsid w:val="009A4AC6"/>
    <w:rsid w:val="009A5CC2"/>
    <w:rsid w:val="009A6513"/>
    <w:rsid w:val="009B3C3A"/>
    <w:rsid w:val="009B7288"/>
    <w:rsid w:val="009C1286"/>
    <w:rsid w:val="009C4274"/>
    <w:rsid w:val="009C51B2"/>
    <w:rsid w:val="009C76D2"/>
    <w:rsid w:val="009D08D3"/>
    <w:rsid w:val="009D4F14"/>
    <w:rsid w:val="009D690D"/>
    <w:rsid w:val="009D6B7C"/>
    <w:rsid w:val="009E1BD6"/>
    <w:rsid w:val="009E1E09"/>
    <w:rsid w:val="009E2EB8"/>
    <w:rsid w:val="009E65B6"/>
    <w:rsid w:val="009F60CA"/>
    <w:rsid w:val="00A03296"/>
    <w:rsid w:val="00A03648"/>
    <w:rsid w:val="00A05351"/>
    <w:rsid w:val="00A05D8B"/>
    <w:rsid w:val="00A067FE"/>
    <w:rsid w:val="00A07868"/>
    <w:rsid w:val="00A113C5"/>
    <w:rsid w:val="00A12B36"/>
    <w:rsid w:val="00A20C90"/>
    <w:rsid w:val="00A20CD7"/>
    <w:rsid w:val="00A229FD"/>
    <w:rsid w:val="00A24C10"/>
    <w:rsid w:val="00A42AC3"/>
    <w:rsid w:val="00A430CF"/>
    <w:rsid w:val="00A45FFC"/>
    <w:rsid w:val="00A50E13"/>
    <w:rsid w:val="00A511AC"/>
    <w:rsid w:val="00A53CDD"/>
    <w:rsid w:val="00A54309"/>
    <w:rsid w:val="00A6084F"/>
    <w:rsid w:val="00A61DC3"/>
    <w:rsid w:val="00A61F47"/>
    <w:rsid w:val="00A63453"/>
    <w:rsid w:val="00A637AE"/>
    <w:rsid w:val="00A64B75"/>
    <w:rsid w:val="00A67AC6"/>
    <w:rsid w:val="00A72BBD"/>
    <w:rsid w:val="00A8342C"/>
    <w:rsid w:val="00A920F6"/>
    <w:rsid w:val="00AB2812"/>
    <w:rsid w:val="00AB2B93"/>
    <w:rsid w:val="00AB530F"/>
    <w:rsid w:val="00AB6523"/>
    <w:rsid w:val="00AB6A51"/>
    <w:rsid w:val="00AB7E5B"/>
    <w:rsid w:val="00AC57B9"/>
    <w:rsid w:val="00AD2E9F"/>
    <w:rsid w:val="00AD54CD"/>
    <w:rsid w:val="00AD7537"/>
    <w:rsid w:val="00AE0EF1"/>
    <w:rsid w:val="00AE1CAA"/>
    <w:rsid w:val="00AE2937"/>
    <w:rsid w:val="00AE2EA2"/>
    <w:rsid w:val="00AE48EB"/>
    <w:rsid w:val="00AF2367"/>
    <w:rsid w:val="00B07301"/>
    <w:rsid w:val="00B13BEB"/>
    <w:rsid w:val="00B16A87"/>
    <w:rsid w:val="00B20E48"/>
    <w:rsid w:val="00B21DDB"/>
    <w:rsid w:val="00B224DE"/>
    <w:rsid w:val="00B23FB1"/>
    <w:rsid w:val="00B266AC"/>
    <w:rsid w:val="00B271EC"/>
    <w:rsid w:val="00B27435"/>
    <w:rsid w:val="00B354CB"/>
    <w:rsid w:val="00B46575"/>
    <w:rsid w:val="00B526C4"/>
    <w:rsid w:val="00B567D2"/>
    <w:rsid w:val="00B62A42"/>
    <w:rsid w:val="00B76130"/>
    <w:rsid w:val="00B84BBD"/>
    <w:rsid w:val="00B87AF3"/>
    <w:rsid w:val="00BA07CF"/>
    <w:rsid w:val="00BA1695"/>
    <w:rsid w:val="00BA19D5"/>
    <w:rsid w:val="00BA43FB"/>
    <w:rsid w:val="00BB63EA"/>
    <w:rsid w:val="00BC127D"/>
    <w:rsid w:val="00BC1FE6"/>
    <w:rsid w:val="00BC3AB0"/>
    <w:rsid w:val="00BC6EBC"/>
    <w:rsid w:val="00BD6F18"/>
    <w:rsid w:val="00BD728F"/>
    <w:rsid w:val="00BE0142"/>
    <w:rsid w:val="00C061B6"/>
    <w:rsid w:val="00C100A0"/>
    <w:rsid w:val="00C22F5D"/>
    <w:rsid w:val="00C2332F"/>
    <w:rsid w:val="00C2446C"/>
    <w:rsid w:val="00C33153"/>
    <w:rsid w:val="00C34068"/>
    <w:rsid w:val="00C36AE5"/>
    <w:rsid w:val="00C41F17"/>
    <w:rsid w:val="00C45724"/>
    <w:rsid w:val="00C46C3A"/>
    <w:rsid w:val="00C503D6"/>
    <w:rsid w:val="00C5280D"/>
    <w:rsid w:val="00C5791C"/>
    <w:rsid w:val="00C57B08"/>
    <w:rsid w:val="00C63817"/>
    <w:rsid w:val="00C65728"/>
    <w:rsid w:val="00C65937"/>
    <w:rsid w:val="00C66290"/>
    <w:rsid w:val="00C67A88"/>
    <w:rsid w:val="00C7044B"/>
    <w:rsid w:val="00C72B7A"/>
    <w:rsid w:val="00C75835"/>
    <w:rsid w:val="00C77A66"/>
    <w:rsid w:val="00C903FB"/>
    <w:rsid w:val="00C973F2"/>
    <w:rsid w:val="00CA304C"/>
    <w:rsid w:val="00CA3219"/>
    <w:rsid w:val="00CA70A3"/>
    <w:rsid w:val="00CA774A"/>
    <w:rsid w:val="00CB7125"/>
    <w:rsid w:val="00CC11B0"/>
    <w:rsid w:val="00CC5C93"/>
    <w:rsid w:val="00CC75D8"/>
    <w:rsid w:val="00CC7D88"/>
    <w:rsid w:val="00CD720B"/>
    <w:rsid w:val="00CE38A5"/>
    <w:rsid w:val="00CF392A"/>
    <w:rsid w:val="00CF7E36"/>
    <w:rsid w:val="00D023D4"/>
    <w:rsid w:val="00D02762"/>
    <w:rsid w:val="00D10599"/>
    <w:rsid w:val="00D12B9E"/>
    <w:rsid w:val="00D13B74"/>
    <w:rsid w:val="00D13F23"/>
    <w:rsid w:val="00D1712A"/>
    <w:rsid w:val="00D2579C"/>
    <w:rsid w:val="00D3708D"/>
    <w:rsid w:val="00D37975"/>
    <w:rsid w:val="00D40426"/>
    <w:rsid w:val="00D41FEC"/>
    <w:rsid w:val="00D54D60"/>
    <w:rsid w:val="00D57C96"/>
    <w:rsid w:val="00D615FC"/>
    <w:rsid w:val="00D6340A"/>
    <w:rsid w:val="00D67249"/>
    <w:rsid w:val="00D731EA"/>
    <w:rsid w:val="00D76C56"/>
    <w:rsid w:val="00D87251"/>
    <w:rsid w:val="00D91203"/>
    <w:rsid w:val="00D940D7"/>
    <w:rsid w:val="00D94D3A"/>
    <w:rsid w:val="00D95174"/>
    <w:rsid w:val="00DA05B2"/>
    <w:rsid w:val="00DA6F36"/>
    <w:rsid w:val="00DB49FA"/>
    <w:rsid w:val="00DB596E"/>
    <w:rsid w:val="00DB71F7"/>
    <w:rsid w:val="00DB7773"/>
    <w:rsid w:val="00DC00EA"/>
    <w:rsid w:val="00DC04F7"/>
    <w:rsid w:val="00DC2279"/>
    <w:rsid w:val="00DC38A1"/>
    <w:rsid w:val="00DC6260"/>
    <w:rsid w:val="00DC685E"/>
    <w:rsid w:val="00DD6B0C"/>
    <w:rsid w:val="00DD6FBE"/>
    <w:rsid w:val="00DE040B"/>
    <w:rsid w:val="00DE0B36"/>
    <w:rsid w:val="00DE20AA"/>
    <w:rsid w:val="00DE64AE"/>
    <w:rsid w:val="00DF0D29"/>
    <w:rsid w:val="00E0335A"/>
    <w:rsid w:val="00E07EB9"/>
    <w:rsid w:val="00E16847"/>
    <w:rsid w:val="00E20A84"/>
    <w:rsid w:val="00E277E0"/>
    <w:rsid w:val="00E32F7E"/>
    <w:rsid w:val="00E339A6"/>
    <w:rsid w:val="00E34B8A"/>
    <w:rsid w:val="00E36299"/>
    <w:rsid w:val="00E52AE6"/>
    <w:rsid w:val="00E53CD3"/>
    <w:rsid w:val="00E5782A"/>
    <w:rsid w:val="00E71894"/>
    <w:rsid w:val="00E72D49"/>
    <w:rsid w:val="00E7593C"/>
    <w:rsid w:val="00E7678A"/>
    <w:rsid w:val="00E82F50"/>
    <w:rsid w:val="00E84836"/>
    <w:rsid w:val="00E86614"/>
    <w:rsid w:val="00E86B4F"/>
    <w:rsid w:val="00E86EE4"/>
    <w:rsid w:val="00E935F1"/>
    <w:rsid w:val="00E94A81"/>
    <w:rsid w:val="00EA14BC"/>
    <w:rsid w:val="00EA1FFB"/>
    <w:rsid w:val="00EA694E"/>
    <w:rsid w:val="00EB048E"/>
    <w:rsid w:val="00EB2A97"/>
    <w:rsid w:val="00EB34D9"/>
    <w:rsid w:val="00EB7BF9"/>
    <w:rsid w:val="00EC1DA3"/>
    <w:rsid w:val="00ED37DA"/>
    <w:rsid w:val="00EE2724"/>
    <w:rsid w:val="00EE3495"/>
    <w:rsid w:val="00EE34DF"/>
    <w:rsid w:val="00EE52E2"/>
    <w:rsid w:val="00EF2F89"/>
    <w:rsid w:val="00F00F8C"/>
    <w:rsid w:val="00F02EE2"/>
    <w:rsid w:val="00F030AD"/>
    <w:rsid w:val="00F04044"/>
    <w:rsid w:val="00F042A5"/>
    <w:rsid w:val="00F11BFD"/>
    <w:rsid w:val="00F1237A"/>
    <w:rsid w:val="00F17C2F"/>
    <w:rsid w:val="00F20CB2"/>
    <w:rsid w:val="00F220CA"/>
    <w:rsid w:val="00F221FB"/>
    <w:rsid w:val="00F222DB"/>
    <w:rsid w:val="00F22CBD"/>
    <w:rsid w:val="00F25CDB"/>
    <w:rsid w:val="00F40673"/>
    <w:rsid w:val="00F41313"/>
    <w:rsid w:val="00F4365F"/>
    <w:rsid w:val="00F449CD"/>
    <w:rsid w:val="00F45372"/>
    <w:rsid w:val="00F52BB5"/>
    <w:rsid w:val="00F5330E"/>
    <w:rsid w:val="00F551DC"/>
    <w:rsid w:val="00F558D3"/>
    <w:rsid w:val="00F560F7"/>
    <w:rsid w:val="00F60336"/>
    <w:rsid w:val="00F617CC"/>
    <w:rsid w:val="00F6334D"/>
    <w:rsid w:val="00F700B6"/>
    <w:rsid w:val="00F74FB8"/>
    <w:rsid w:val="00F74FDE"/>
    <w:rsid w:val="00F9175E"/>
    <w:rsid w:val="00F9538D"/>
    <w:rsid w:val="00FA49AB"/>
    <w:rsid w:val="00FB1CBA"/>
    <w:rsid w:val="00FC0DD4"/>
    <w:rsid w:val="00FC12D3"/>
    <w:rsid w:val="00FD3B89"/>
    <w:rsid w:val="00FD7B1A"/>
    <w:rsid w:val="00FE15B9"/>
    <w:rsid w:val="00FE1DDE"/>
    <w:rsid w:val="00FE343F"/>
    <w:rsid w:val="00FE39C7"/>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7"/>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F7"/>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91">
      <w:bodyDiv w:val="1"/>
      <w:marLeft w:val="0"/>
      <w:marRight w:val="0"/>
      <w:marTop w:val="0"/>
      <w:marBottom w:val="0"/>
      <w:divBdr>
        <w:top w:val="none" w:sz="0" w:space="0" w:color="auto"/>
        <w:left w:val="none" w:sz="0" w:space="0" w:color="auto"/>
        <w:bottom w:val="none" w:sz="0" w:space="0" w:color="auto"/>
        <w:right w:val="none" w:sz="0" w:space="0" w:color="auto"/>
      </w:divBdr>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004426682">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D2E46-CBF4-4686-A229-A5907B63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4</TotalTime>
  <Pages>9</Pages>
  <Words>4510</Words>
  <Characters>25708</Characters>
  <Application>Microsoft Office Word</Application>
  <DocSecurity>0</DocSecurity>
  <Lines>214</Lines>
  <Paragraphs>60</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15</vt:i4>
      </vt:variant>
    </vt:vector>
  </HeadingPairs>
  <TitlesOfParts>
    <vt:vector size="17" baseType="lpstr">
      <vt:lpstr>tc_5_xx_xxx</vt:lpstr>
      <vt:lpstr>tc_5_xx_xxx</vt:lpstr>
      <vt:lpstr>ZUSAMMENFASSUNG</vt:lpstr>
      <vt:lpstr>entwicklungen in den TechnischeN Arbeitsgruppen</vt:lpstr>
      <vt:lpstr>Arbeitsgruppe für biochemische und molekulare Verfahren und insbesondere für DNS</vt:lpstr>
      <vt:lpstr/>
      <vt:lpstr/>
      <vt:lpstr>Gemeinsame Arbeitstagung von OECD, UPOV und ISTA über molekulare Verfahren</vt:lpstr>
      <vt:lpstr>    Hintergrund</vt:lpstr>
      <vt:lpstr>    Gemeinsame Arbeitstagung von OECD, UPOV und ISTA über molekulare Verfahren auf d</vt:lpstr>
      <vt:lpstr>    Wesentliche Besonderheiten der Systeme von OECD, UPOV und ISTA</vt:lpstr>
      <vt:lpstr>    Bestandsaufnahme zur Verwendung molekularer Markerverfahren</vt:lpstr>
      <vt:lpstr>    Listen möglicher gemeinsamer Initiativen mit OECD und ISTA </vt:lpstr>
      <vt:lpstr>Erteilung von Informationen über die Lage in der UPOV bezüglich der Verwendung m</vt:lpstr>
      <vt:lpstr>    Hintergrund</vt:lpstr>
      <vt:lpstr>    Bemerkungen der technischen Arbeitsgruppen im Jahr 2015</vt:lpstr>
      <vt:lpstr>    Bemerkungen des TC-EDC</vt:lpstr>
    </vt:vector>
  </TitlesOfParts>
  <Company>UPOV</Company>
  <LinksUpToDate>false</LinksUpToDate>
  <CharactersWithSpaces>30158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5</cp:revision>
  <cp:lastPrinted>2016-03-03T09:36:00Z</cp:lastPrinted>
  <dcterms:created xsi:type="dcterms:W3CDTF">2016-03-01T15:19:00Z</dcterms:created>
  <dcterms:modified xsi:type="dcterms:W3CDTF">2016-03-03T09:36:00Z</dcterms:modified>
</cp:coreProperties>
</file>