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C59AF" w:rsidRPr="00CB171C" w:rsidTr="009B40EE">
        <w:trPr>
          <w:trHeight w:val="1760"/>
        </w:trPr>
        <w:tc>
          <w:tcPr>
            <w:tcW w:w="4243" w:type="dxa"/>
          </w:tcPr>
          <w:p w:rsidR="009B40EE" w:rsidRPr="00CB171C" w:rsidRDefault="009B40EE" w:rsidP="00D821B9">
            <w:pPr>
              <w:rPr>
                <w:lang w:val="de-DE"/>
              </w:rPr>
            </w:pPr>
          </w:p>
        </w:tc>
        <w:tc>
          <w:tcPr>
            <w:tcW w:w="1646" w:type="dxa"/>
            <w:vAlign w:val="center"/>
          </w:tcPr>
          <w:p w:rsidR="009B40EE" w:rsidRPr="002D2008" w:rsidRDefault="009B40EE" w:rsidP="00D821B9">
            <w:pPr>
              <w:pStyle w:val="LogoUPOV"/>
              <w:rPr>
                <w:lang w:val="de-DE"/>
              </w:rPr>
            </w:pPr>
            <w:r w:rsidRPr="002D2008">
              <w:rPr>
                <w:noProof/>
              </w:rPr>
              <w:drawing>
                <wp:inline distT="0" distB="0" distL="0" distR="0" wp14:anchorId="7E0DC49E" wp14:editId="713CD29D">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B40EE" w:rsidRPr="002D2008" w:rsidRDefault="00EB55E5" w:rsidP="00D821B9">
            <w:pPr>
              <w:pStyle w:val="Lettrine"/>
              <w:rPr>
                <w:lang w:val="de-DE"/>
              </w:rPr>
            </w:pPr>
            <w:r w:rsidRPr="002D2008">
              <w:rPr>
                <w:lang w:val="de-DE"/>
              </w:rPr>
              <w:t>G</w:t>
            </w:r>
          </w:p>
          <w:p w:rsidR="009B40EE" w:rsidRPr="002D2008" w:rsidRDefault="009B40EE" w:rsidP="00D821B9">
            <w:pPr>
              <w:pStyle w:val="Docoriginal"/>
              <w:rPr>
                <w:lang w:val="de-DE"/>
              </w:rPr>
            </w:pPr>
            <w:r w:rsidRPr="002D2008">
              <w:rPr>
                <w:lang w:val="de-DE"/>
              </w:rPr>
              <w:t>TC/52/</w:t>
            </w:r>
            <w:bookmarkStart w:id="0" w:name="Code"/>
            <w:bookmarkEnd w:id="0"/>
            <w:r w:rsidRPr="002D2008">
              <w:rPr>
                <w:lang w:val="de-DE"/>
              </w:rPr>
              <w:t>10</w:t>
            </w:r>
          </w:p>
          <w:p w:rsidR="009B40EE" w:rsidRPr="002D2008" w:rsidRDefault="009B40EE" w:rsidP="00D821B9">
            <w:pPr>
              <w:pStyle w:val="Docoriginal"/>
              <w:rPr>
                <w:b w:val="0"/>
                <w:spacing w:val="0"/>
                <w:lang w:val="de-DE"/>
              </w:rPr>
            </w:pPr>
            <w:r w:rsidRPr="002D2008">
              <w:rPr>
                <w:rStyle w:val="StyleDoclangBold"/>
                <w:b/>
                <w:bCs/>
                <w:spacing w:val="0"/>
                <w:lang w:val="de-DE"/>
              </w:rPr>
              <w:t>ORIGINAL:</w:t>
            </w:r>
            <w:r w:rsidRPr="002D2008">
              <w:rPr>
                <w:rStyle w:val="StyleDocoriginalNotBold1"/>
                <w:spacing w:val="0"/>
                <w:lang w:val="de-DE"/>
              </w:rPr>
              <w:t xml:space="preserve"> </w:t>
            </w:r>
            <w:r w:rsidR="00EB55E5" w:rsidRPr="002D2008">
              <w:rPr>
                <w:rStyle w:val="StyleDocoriginalNotBold1"/>
                <w:spacing w:val="0"/>
                <w:lang w:val="de-DE"/>
              </w:rPr>
              <w:t>e</w:t>
            </w:r>
            <w:r w:rsidRPr="002D2008">
              <w:rPr>
                <w:b w:val="0"/>
                <w:spacing w:val="0"/>
                <w:lang w:val="de-DE"/>
              </w:rPr>
              <w:t>nglis</w:t>
            </w:r>
            <w:r w:rsidR="00EB55E5" w:rsidRPr="002D2008">
              <w:rPr>
                <w:b w:val="0"/>
                <w:spacing w:val="0"/>
                <w:lang w:val="de-DE"/>
              </w:rPr>
              <w:t>c</w:t>
            </w:r>
            <w:r w:rsidRPr="002D2008">
              <w:rPr>
                <w:b w:val="0"/>
                <w:spacing w:val="0"/>
                <w:lang w:val="de-DE"/>
              </w:rPr>
              <w:t>h</w:t>
            </w:r>
          </w:p>
          <w:p w:rsidR="009B40EE" w:rsidRPr="00CB171C" w:rsidRDefault="009B40EE" w:rsidP="00EB55E5">
            <w:pPr>
              <w:pStyle w:val="Docoriginal"/>
              <w:rPr>
                <w:lang w:val="de-DE"/>
              </w:rPr>
            </w:pPr>
            <w:r w:rsidRPr="002D2008">
              <w:rPr>
                <w:spacing w:val="0"/>
                <w:lang w:val="de-DE"/>
              </w:rPr>
              <w:t>DAT</w:t>
            </w:r>
            <w:r w:rsidR="00EB55E5" w:rsidRPr="002D2008">
              <w:rPr>
                <w:spacing w:val="0"/>
                <w:lang w:val="de-DE"/>
              </w:rPr>
              <w:t>UM</w:t>
            </w:r>
            <w:r w:rsidRPr="002D2008">
              <w:rPr>
                <w:spacing w:val="0"/>
                <w:lang w:val="de-DE"/>
              </w:rPr>
              <w:t xml:space="preserve">: </w:t>
            </w:r>
            <w:r w:rsidR="00EB55E5" w:rsidRPr="002D2008">
              <w:rPr>
                <w:b w:val="0"/>
                <w:spacing w:val="0"/>
                <w:lang w:val="de-DE"/>
              </w:rPr>
              <w:t>23. F</w:t>
            </w:r>
            <w:r w:rsidRPr="002D2008">
              <w:rPr>
                <w:b w:val="0"/>
                <w:spacing w:val="0"/>
                <w:lang w:val="de-DE"/>
              </w:rPr>
              <w:t>ebruar 2016</w:t>
            </w:r>
          </w:p>
        </w:tc>
      </w:tr>
      <w:tr w:rsidR="005C59AF" w:rsidRPr="00CB171C" w:rsidTr="009B40EE">
        <w:tc>
          <w:tcPr>
            <w:tcW w:w="10131" w:type="dxa"/>
            <w:gridSpan w:val="3"/>
          </w:tcPr>
          <w:p w:rsidR="009B40EE" w:rsidRPr="00CB171C" w:rsidRDefault="00EB55E5" w:rsidP="00D821B9">
            <w:pPr>
              <w:pStyle w:val="upove"/>
              <w:rPr>
                <w:sz w:val="28"/>
                <w:lang w:val="de-DE"/>
              </w:rPr>
            </w:pPr>
            <w:r w:rsidRPr="00CB171C">
              <w:rPr>
                <w:snapToGrid w:val="0"/>
                <w:lang w:val="de-DE"/>
              </w:rPr>
              <w:t>INTERNATIONALER VERBAND ZUM SCHUTZ VON PFLANZENZÜCHTUNGEN</w:t>
            </w:r>
          </w:p>
        </w:tc>
      </w:tr>
      <w:tr w:rsidR="005C59AF" w:rsidRPr="00CB171C" w:rsidTr="009B40EE">
        <w:tc>
          <w:tcPr>
            <w:tcW w:w="10131" w:type="dxa"/>
            <w:gridSpan w:val="3"/>
          </w:tcPr>
          <w:p w:rsidR="009B40EE" w:rsidRPr="00CB171C" w:rsidRDefault="009B40EE" w:rsidP="00EB55E5">
            <w:pPr>
              <w:pStyle w:val="Country"/>
              <w:rPr>
                <w:lang w:val="de-DE"/>
              </w:rPr>
            </w:pPr>
            <w:r w:rsidRPr="00CB171C">
              <w:rPr>
                <w:lang w:val="de-DE"/>
              </w:rPr>
              <w:t>Gen</w:t>
            </w:r>
            <w:r w:rsidR="00EB55E5" w:rsidRPr="00CB171C">
              <w:rPr>
                <w:lang w:val="de-DE"/>
              </w:rPr>
              <w:t>f</w:t>
            </w:r>
          </w:p>
        </w:tc>
      </w:tr>
    </w:tbl>
    <w:p w:rsidR="00EB55E5" w:rsidRPr="00CB171C" w:rsidRDefault="00EB55E5" w:rsidP="00EB55E5">
      <w:pPr>
        <w:pStyle w:val="Sessiontc"/>
        <w:rPr>
          <w:lang w:val="de-DE"/>
        </w:rPr>
      </w:pPr>
      <w:r w:rsidRPr="00CB171C">
        <w:rPr>
          <w:lang w:val="de-DE"/>
        </w:rPr>
        <w:t>TechniSCHER AUSSCHUSS</w:t>
      </w:r>
    </w:p>
    <w:p w:rsidR="00EB55E5" w:rsidRPr="00CB171C" w:rsidRDefault="00EB55E5" w:rsidP="00EB55E5">
      <w:pPr>
        <w:pStyle w:val="Sessiontcplacedate"/>
        <w:rPr>
          <w:lang w:val="de-DE"/>
        </w:rPr>
      </w:pPr>
      <w:r w:rsidRPr="00CB171C">
        <w:rPr>
          <w:lang w:val="de-DE"/>
        </w:rPr>
        <w:t>Zweiundfünfzigste Tagung</w:t>
      </w:r>
      <w:r w:rsidRPr="00CB171C">
        <w:rPr>
          <w:lang w:val="de-DE"/>
        </w:rPr>
        <w:br/>
        <w:t>Genf, 14. bis 16. März 2016</w:t>
      </w:r>
    </w:p>
    <w:p w:rsidR="00EB55E5" w:rsidRPr="00CB171C" w:rsidRDefault="00EB55E5" w:rsidP="00EB55E5">
      <w:pPr>
        <w:pStyle w:val="Titleofdoc0"/>
        <w:rPr>
          <w:lang w:val="de-DE"/>
        </w:rPr>
      </w:pPr>
      <w:r w:rsidRPr="00CB171C">
        <w:rPr>
          <w:lang w:val="de-DE"/>
        </w:rPr>
        <w:t>Bericht über die Entwicklungen in der UPOV, u. a. die auf den letzten Tagungen des Verwaltungs- und Rechtsausschusses, des Beratenden Ausschusses und des Rates erörterten wichtigen Angelegenheiten</w:t>
      </w:r>
    </w:p>
    <w:p w:rsidR="00EB55E5" w:rsidRPr="00CB171C" w:rsidRDefault="00EB55E5" w:rsidP="00EB55E5">
      <w:pPr>
        <w:pStyle w:val="preparedby1"/>
        <w:rPr>
          <w:lang w:val="de-DE"/>
        </w:rPr>
      </w:pPr>
      <w:r w:rsidRPr="00CB171C">
        <w:rPr>
          <w:lang w:val="de-DE"/>
        </w:rPr>
        <w:t>vom Verbandsbüro erstellt</w:t>
      </w:r>
      <w:r w:rsidRPr="00CB171C">
        <w:rPr>
          <w:lang w:val="de-DE"/>
        </w:rPr>
        <w:br/>
      </w:r>
      <w:r w:rsidRPr="00CB171C">
        <w:rPr>
          <w:lang w:val="de-DE"/>
        </w:rPr>
        <w:br/>
      </w:r>
      <w:r w:rsidRPr="00CB171C">
        <w:rPr>
          <w:color w:val="999999"/>
          <w:lang w:val="de-DE"/>
        </w:rPr>
        <w:t>Haftungsausschluß: Dieses Dokument gibt nicht die Grundsätze oder eine Anleitung der UPOV wieder</w:t>
      </w:r>
    </w:p>
    <w:p w:rsidR="00EB55E5" w:rsidRPr="00CB171C" w:rsidRDefault="005411D3" w:rsidP="00EB55E5">
      <w:pPr>
        <w:rPr>
          <w:snapToGrid w:val="0"/>
          <w:color w:val="000000" w:themeColor="text1"/>
          <w:lang w:val="de-DE"/>
        </w:rPr>
      </w:pPr>
      <w:r w:rsidRPr="00CB171C">
        <w:rPr>
          <w:rFonts w:cs="Arial"/>
          <w:snapToGrid w:val="0"/>
          <w:lang w:val="de-DE"/>
        </w:rPr>
        <w:fldChar w:fldCharType="begin"/>
      </w:r>
      <w:r w:rsidRPr="00CB171C">
        <w:rPr>
          <w:rFonts w:cs="Arial"/>
          <w:snapToGrid w:val="0"/>
          <w:lang w:val="de-DE"/>
        </w:rPr>
        <w:instrText xml:space="preserve"> AUTONUM  </w:instrText>
      </w:r>
      <w:r w:rsidRPr="00CB171C">
        <w:rPr>
          <w:rFonts w:cs="Arial"/>
          <w:snapToGrid w:val="0"/>
          <w:lang w:val="de-DE"/>
        </w:rPr>
        <w:fldChar w:fldCharType="end"/>
      </w:r>
      <w:r w:rsidRPr="00CB171C">
        <w:rPr>
          <w:rFonts w:cs="Arial"/>
          <w:snapToGrid w:val="0"/>
          <w:lang w:val="de-DE"/>
        </w:rPr>
        <w:tab/>
      </w:r>
      <w:r w:rsidR="00EB55E5" w:rsidRPr="00CB171C">
        <w:rPr>
          <w:snapToGrid w:val="0"/>
          <w:lang w:val="de-DE"/>
        </w:rPr>
        <w:t>Zweck dieses Dokuments ist es, über die Entwicklungen bei der UPOV seit der einundfünfzigsten Tagung des Technischen Ausschusses (TC) zu berichten, die nicht unter spezifischen Tagesordnungspunkten der zweiundfünfzigsten Tagung des Technischen Ausschusses aufgeführt sind. Hierzu gehören wichtige Angelegenheiten, die auf den letzten Tagungen des Verwaltungs- und Rechtsausschusses (CAJ), des Beratenden Ausschusses und des Rates erörtert wurden.</w:t>
      </w:r>
    </w:p>
    <w:p w:rsidR="005411D3" w:rsidRPr="00CB171C" w:rsidRDefault="005411D3" w:rsidP="005411D3">
      <w:pPr>
        <w:rPr>
          <w:rFonts w:cs="Arial"/>
          <w:snapToGrid w:val="0"/>
          <w:lang w:val="de-DE"/>
        </w:rPr>
      </w:pPr>
    </w:p>
    <w:p w:rsidR="00EB55E5" w:rsidRPr="00CB171C" w:rsidRDefault="005411D3" w:rsidP="00EB55E5">
      <w:pPr>
        <w:rPr>
          <w:snapToGrid w:val="0"/>
          <w:lang w:val="de-DE"/>
        </w:rPr>
      </w:pPr>
      <w:r w:rsidRPr="00CB171C">
        <w:rPr>
          <w:rFonts w:cs="Arial"/>
          <w:snapToGrid w:val="0"/>
          <w:lang w:val="de-DE"/>
        </w:rPr>
        <w:fldChar w:fldCharType="begin"/>
      </w:r>
      <w:r w:rsidRPr="00CB171C">
        <w:rPr>
          <w:rFonts w:cs="Arial"/>
          <w:snapToGrid w:val="0"/>
          <w:lang w:val="de-DE"/>
        </w:rPr>
        <w:instrText xml:space="preserve"> AUTONUM  </w:instrText>
      </w:r>
      <w:r w:rsidRPr="00CB171C">
        <w:rPr>
          <w:rFonts w:cs="Arial"/>
          <w:snapToGrid w:val="0"/>
          <w:lang w:val="de-DE"/>
        </w:rPr>
        <w:fldChar w:fldCharType="end"/>
      </w:r>
      <w:r w:rsidRPr="00CB171C">
        <w:rPr>
          <w:rFonts w:cs="Arial"/>
          <w:snapToGrid w:val="0"/>
          <w:lang w:val="de-DE"/>
        </w:rPr>
        <w:tab/>
      </w:r>
      <w:r w:rsidR="00EB55E5" w:rsidRPr="00CB171C">
        <w:rPr>
          <w:snapToGrid w:val="0"/>
          <w:lang w:val="de-DE"/>
        </w:rPr>
        <w:t>Auf der zweiundfünfzigsten Tagung des TC wird ein Referat gehalten werden, das die Punkte in diesem Dokument zusammenfaßt. Ein Exemplar (nur in Englisch) wird als Ergänzung zu diesem Dokument vorgelegt werden.</w:t>
      </w:r>
    </w:p>
    <w:p w:rsidR="00050E16" w:rsidRPr="00CB171C" w:rsidRDefault="00050E16" w:rsidP="004B1215">
      <w:pPr>
        <w:rPr>
          <w:rFonts w:cs="Arial"/>
          <w:lang w:val="de-DE"/>
        </w:rPr>
      </w:pPr>
    </w:p>
    <w:p w:rsidR="005C59AF" w:rsidRPr="00CB171C" w:rsidRDefault="005C59AF">
      <w:pPr>
        <w:jc w:val="left"/>
        <w:rPr>
          <w:rFonts w:cs="Arial"/>
          <w:u w:val="single"/>
          <w:lang w:val="de-DE"/>
        </w:rPr>
      </w:pPr>
    </w:p>
    <w:p w:rsidR="001F1F47" w:rsidRPr="00CB171C" w:rsidRDefault="001F1F47">
      <w:pPr>
        <w:jc w:val="left"/>
        <w:rPr>
          <w:rFonts w:cs="Arial"/>
          <w:u w:val="single"/>
          <w:lang w:val="de-DE"/>
        </w:rPr>
      </w:pPr>
      <w:r w:rsidRPr="00CB171C">
        <w:rPr>
          <w:rFonts w:cs="Arial"/>
          <w:u w:val="single"/>
          <w:lang w:val="de-DE"/>
        </w:rPr>
        <w:br w:type="page"/>
      </w:r>
    </w:p>
    <w:p w:rsidR="00050E16" w:rsidRPr="00CB171C" w:rsidRDefault="00EB55E5" w:rsidP="00050E16">
      <w:pPr>
        <w:rPr>
          <w:rFonts w:cs="Arial"/>
          <w:u w:val="single"/>
          <w:lang w:val="de-DE"/>
        </w:rPr>
      </w:pPr>
      <w:r w:rsidRPr="00CB171C">
        <w:rPr>
          <w:rFonts w:cs="Arial"/>
          <w:u w:val="single"/>
          <w:lang w:val="de-DE"/>
        </w:rPr>
        <w:lastRenderedPageBreak/>
        <w:t>Inhaltsverzeichnis</w:t>
      </w:r>
    </w:p>
    <w:p w:rsidR="00B02D38" w:rsidRPr="00CB171C" w:rsidRDefault="00B02D38" w:rsidP="00B02D38">
      <w:pPr>
        <w:jc w:val="left"/>
        <w:rPr>
          <w:rFonts w:cs="Arial"/>
          <w:lang w:val="de-DE"/>
        </w:rPr>
      </w:pPr>
    </w:p>
    <w:p w:rsidR="001A5AA6" w:rsidRDefault="00CF0215">
      <w:pPr>
        <w:pStyle w:val="TOC1"/>
        <w:rPr>
          <w:rFonts w:asciiTheme="minorHAnsi" w:eastAsiaTheme="minorEastAsia" w:hAnsiTheme="minorHAnsi" w:cstheme="minorBidi"/>
          <w:caps w:val="0"/>
          <w:noProof/>
          <w:sz w:val="22"/>
          <w:szCs w:val="22"/>
        </w:rPr>
      </w:pPr>
      <w:r>
        <w:rPr>
          <w:rFonts w:cs="Arial"/>
          <w:lang w:val="de-DE"/>
        </w:rPr>
        <w:fldChar w:fldCharType="begin"/>
      </w:r>
      <w:r>
        <w:rPr>
          <w:rFonts w:cs="Arial"/>
          <w:lang w:val="de-DE"/>
        </w:rPr>
        <w:instrText xml:space="preserve"> TOC \o "1-2" \h \z \u </w:instrText>
      </w:r>
      <w:r>
        <w:rPr>
          <w:rFonts w:cs="Arial"/>
          <w:lang w:val="de-DE"/>
        </w:rPr>
        <w:fldChar w:fldCharType="separate"/>
      </w:r>
      <w:hyperlink w:anchor="_Toc444761610" w:history="1">
        <w:r w:rsidR="001A5AA6" w:rsidRPr="00F102BD">
          <w:rPr>
            <w:rStyle w:val="Hyperlink"/>
            <w:noProof/>
            <w:lang w:val="de-DE"/>
          </w:rPr>
          <w:t>MITGLIEDERZAHL</w:t>
        </w:r>
        <w:r w:rsidR="001A5AA6">
          <w:rPr>
            <w:noProof/>
            <w:webHidden/>
          </w:rPr>
          <w:tab/>
        </w:r>
        <w:r w:rsidR="001A5AA6">
          <w:rPr>
            <w:noProof/>
            <w:webHidden/>
          </w:rPr>
          <w:fldChar w:fldCharType="begin"/>
        </w:r>
        <w:r w:rsidR="001A5AA6">
          <w:rPr>
            <w:noProof/>
            <w:webHidden/>
          </w:rPr>
          <w:instrText xml:space="preserve"> PAGEREF _Toc444761610 \h </w:instrText>
        </w:r>
        <w:r w:rsidR="001A5AA6">
          <w:rPr>
            <w:noProof/>
            <w:webHidden/>
          </w:rPr>
        </w:r>
        <w:r w:rsidR="001A5AA6">
          <w:rPr>
            <w:noProof/>
            <w:webHidden/>
          </w:rPr>
          <w:fldChar w:fldCharType="separate"/>
        </w:r>
        <w:r w:rsidR="00AB6606">
          <w:rPr>
            <w:noProof/>
            <w:webHidden/>
          </w:rPr>
          <w:t>3</w:t>
        </w:r>
        <w:r w:rsidR="001A5AA6">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1" w:history="1">
        <w:r w:rsidRPr="00F102BD">
          <w:rPr>
            <w:rStyle w:val="Hyperlink"/>
            <w:noProof/>
            <w:lang w:val="de-DE"/>
          </w:rPr>
          <w:t>Verbandsmitglieder</w:t>
        </w:r>
        <w:r>
          <w:rPr>
            <w:noProof/>
            <w:webHidden/>
          </w:rPr>
          <w:tab/>
        </w:r>
        <w:r>
          <w:rPr>
            <w:noProof/>
            <w:webHidden/>
          </w:rPr>
          <w:fldChar w:fldCharType="begin"/>
        </w:r>
        <w:r>
          <w:rPr>
            <w:noProof/>
            <w:webHidden/>
          </w:rPr>
          <w:instrText xml:space="preserve"> PAGEREF _Toc444761611 \h </w:instrText>
        </w:r>
        <w:r>
          <w:rPr>
            <w:noProof/>
            <w:webHidden/>
          </w:rPr>
        </w:r>
        <w:r>
          <w:rPr>
            <w:noProof/>
            <w:webHidden/>
          </w:rPr>
          <w:fldChar w:fldCharType="separate"/>
        </w:r>
        <w:r w:rsidR="00AB6606">
          <w:rPr>
            <w:noProof/>
            <w:webHidden/>
          </w:rPr>
          <w:t>3</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2" w:history="1">
        <w:r w:rsidRPr="00F102BD">
          <w:rPr>
            <w:rStyle w:val="Hyperlink"/>
            <w:noProof/>
            <w:lang w:val="de-DE"/>
          </w:rPr>
          <w:t>Lage bezüglich der verschiedenen Akten des Übereinkommens</w:t>
        </w:r>
        <w:r>
          <w:rPr>
            <w:noProof/>
            <w:webHidden/>
          </w:rPr>
          <w:tab/>
        </w:r>
        <w:r>
          <w:rPr>
            <w:noProof/>
            <w:webHidden/>
          </w:rPr>
          <w:fldChar w:fldCharType="begin"/>
        </w:r>
        <w:r>
          <w:rPr>
            <w:noProof/>
            <w:webHidden/>
          </w:rPr>
          <w:instrText xml:space="preserve"> PAGEREF _Toc444761612 \h </w:instrText>
        </w:r>
        <w:r>
          <w:rPr>
            <w:noProof/>
            <w:webHidden/>
          </w:rPr>
        </w:r>
        <w:r>
          <w:rPr>
            <w:noProof/>
            <w:webHidden/>
          </w:rPr>
          <w:fldChar w:fldCharType="separate"/>
        </w:r>
        <w:r w:rsidR="00AB6606">
          <w:rPr>
            <w:noProof/>
            <w:webHidden/>
          </w:rPr>
          <w:t>3</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3" w:history="1">
        <w:r w:rsidRPr="00F102BD">
          <w:rPr>
            <w:rStyle w:val="Hyperlink"/>
            <w:rFonts w:cs="Arial"/>
            <w:noProof/>
            <w:lang w:val="de-DE"/>
          </w:rPr>
          <w:t>Prüfung von Rechtsvorschriften</w:t>
        </w:r>
        <w:r>
          <w:rPr>
            <w:noProof/>
            <w:webHidden/>
          </w:rPr>
          <w:tab/>
        </w:r>
        <w:r>
          <w:rPr>
            <w:noProof/>
            <w:webHidden/>
          </w:rPr>
          <w:fldChar w:fldCharType="begin"/>
        </w:r>
        <w:r>
          <w:rPr>
            <w:noProof/>
            <w:webHidden/>
          </w:rPr>
          <w:instrText xml:space="preserve"> PAGEREF _Toc444761613 \h </w:instrText>
        </w:r>
        <w:r>
          <w:rPr>
            <w:noProof/>
            <w:webHidden/>
          </w:rPr>
        </w:r>
        <w:r>
          <w:rPr>
            <w:noProof/>
            <w:webHidden/>
          </w:rPr>
          <w:fldChar w:fldCharType="separate"/>
        </w:r>
        <w:r w:rsidR="00AB6606">
          <w:rPr>
            <w:noProof/>
            <w:webHidden/>
          </w:rPr>
          <w:t>3</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14" w:history="1">
        <w:r w:rsidRPr="00F102BD">
          <w:rPr>
            <w:rStyle w:val="Hyperlink"/>
            <w:noProof/>
            <w:lang w:val="de-DE"/>
          </w:rPr>
          <w:t>SORTENSCHUTZStatistiK</w:t>
        </w:r>
        <w:r>
          <w:rPr>
            <w:noProof/>
            <w:webHidden/>
          </w:rPr>
          <w:tab/>
        </w:r>
        <w:r>
          <w:rPr>
            <w:noProof/>
            <w:webHidden/>
          </w:rPr>
          <w:fldChar w:fldCharType="begin"/>
        </w:r>
        <w:r>
          <w:rPr>
            <w:noProof/>
            <w:webHidden/>
          </w:rPr>
          <w:instrText xml:space="preserve"> PAGEREF _Toc444761614 \h </w:instrText>
        </w:r>
        <w:r>
          <w:rPr>
            <w:noProof/>
            <w:webHidden/>
          </w:rPr>
        </w:r>
        <w:r>
          <w:rPr>
            <w:noProof/>
            <w:webHidden/>
          </w:rPr>
          <w:fldChar w:fldCharType="separate"/>
        </w:r>
        <w:r w:rsidR="00AB6606">
          <w:rPr>
            <w:noProof/>
            <w:webHidden/>
          </w:rPr>
          <w:t>3</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5" w:history="1">
        <w:r w:rsidRPr="00F102BD">
          <w:rPr>
            <w:rStyle w:val="Hyperlink"/>
            <w:noProof/>
            <w:lang w:val="de-DE"/>
          </w:rPr>
          <w:t>Liste der in den Verbandsmitgliedern schutzfähigen Taxa</w:t>
        </w:r>
        <w:r>
          <w:rPr>
            <w:noProof/>
            <w:webHidden/>
          </w:rPr>
          <w:tab/>
        </w:r>
        <w:r>
          <w:rPr>
            <w:noProof/>
            <w:webHidden/>
          </w:rPr>
          <w:fldChar w:fldCharType="begin"/>
        </w:r>
        <w:r>
          <w:rPr>
            <w:noProof/>
            <w:webHidden/>
          </w:rPr>
          <w:instrText xml:space="preserve"> PAGEREF _Toc444761615 \h </w:instrText>
        </w:r>
        <w:r>
          <w:rPr>
            <w:noProof/>
            <w:webHidden/>
          </w:rPr>
        </w:r>
        <w:r>
          <w:rPr>
            <w:noProof/>
            <w:webHidden/>
          </w:rPr>
          <w:fldChar w:fldCharType="separate"/>
        </w:r>
        <w:r w:rsidR="00AB6606">
          <w:rPr>
            <w:noProof/>
            <w:webHidden/>
          </w:rPr>
          <w:t>3</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6" w:history="1">
        <w:r w:rsidRPr="00F102BD">
          <w:rPr>
            <w:rStyle w:val="Hyperlink"/>
            <w:noProof/>
            <w:lang w:val="de-DE"/>
          </w:rPr>
          <w:t>Sortenschutzstatistik</w:t>
        </w:r>
        <w:r>
          <w:rPr>
            <w:noProof/>
            <w:webHidden/>
          </w:rPr>
          <w:tab/>
        </w:r>
        <w:r>
          <w:rPr>
            <w:noProof/>
            <w:webHidden/>
          </w:rPr>
          <w:fldChar w:fldCharType="begin"/>
        </w:r>
        <w:r>
          <w:rPr>
            <w:noProof/>
            <w:webHidden/>
          </w:rPr>
          <w:instrText xml:space="preserve"> PAGEREF _Toc444761616 \h </w:instrText>
        </w:r>
        <w:r>
          <w:rPr>
            <w:noProof/>
            <w:webHidden/>
          </w:rPr>
        </w:r>
        <w:r>
          <w:rPr>
            <w:noProof/>
            <w:webHidden/>
          </w:rPr>
          <w:fldChar w:fldCharType="separate"/>
        </w:r>
        <w:r w:rsidR="00AB6606">
          <w:rPr>
            <w:noProof/>
            <w:webHidden/>
          </w:rPr>
          <w:t>4</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17" w:history="1">
        <w:r w:rsidRPr="00F102BD">
          <w:rPr>
            <w:rStyle w:val="Hyperlink"/>
            <w:noProof/>
            <w:lang w:val="de-DE"/>
          </w:rPr>
          <w:t>Zusammenarbeit bei der Prüfung neuer Pflanzensorten</w:t>
        </w:r>
        <w:r>
          <w:rPr>
            <w:noProof/>
            <w:webHidden/>
          </w:rPr>
          <w:tab/>
        </w:r>
        <w:r>
          <w:rPr>
            <w:noProof/>
            <w:webHidden/>
          </w:rPr>
          <w:fldChar w:fldCharType="begin"/>
        </w:r>
        <w:r>
          <w:rPr>
            <w:noProof/>
            <w:webHidden/>
          </w:rPr>
          <w:instrText xml:space="preserve"> PAGEREF _Toc444761617 \h </w:instrText>
        </w:r>
        <w:r>
          <w:rPr>
            <w:noProof/>
            <w:webHidden/>
          </w:rPr>
        </w:r>
        <w:r>
          <w:rPr>
            <w:noProof/>
            <w:webHidden/>
          </w:rPr>
          <w:fldChar w:fldCharType="separate"/>
        </w:r>
        <w:r w:rsidR="00AB6606">
          <w:rPr>
            <w:noProof/>
            <w:webHidden/>
          </w:rPr>
          <w:t>4</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18" w:history="1">
        <w:r w:rsidRPr="00F102BD">
          <w:rPr>
            <w:rStyle w:val="Hyperlink"/>
            <w:noProof/>
            <w:lang w:val="de-DE"/>
          </w:rPr>
          <w:t>Programm und Haushaltsplan für die Rechnungsperiode 2016-2017</w:t>
        </w:r>
        <w:r>
          <w:rPr>
            <w:noProof/>
            <w:webHidden/>
          </w:rPr>
          <w:tab/>
        </w:r>
        <w:r>
          <w:rPr>
            <w:noProof/>
            <w:webHidden/>
          </w:rPr>
          <w:fldChar w:fldCharType="begin"/>
        </w:r>
        <w:r>
          <w:rPr>
            <w:noProof/>
            <w:webHidden/>
          </w:rPr>
          <w:instrText xml:space="preserve"> PAGEREF _Toc444761618 \h </w:instrText>
        </w:r>
        <w:r>
          <w:rPr>
            <w:noProof/>
            <w:webHidden/>
          </w:rPr>
        </w:r>
        <w:r>
          <w:rPr>
            <w:noProof/>
            <w:webHidden/>
          </w:rPr>
          <w:fldChar w:fldCharType="separate"/>
        </w:r>
        <w:r w:rsidR="00AB6606">
          <w:rPr>
            <w:noProof/>
            <w:webHidden/>
          </w:rPr>
          <w:t>4</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19" w:history="1">
        <w:r w:rsidRPr="00F102BD">
          <w:rPr>
            <w:rStyle w:val="Hyperlink"/>
            <w:noProof/>
            <w:lang w:val="de-DE"/>
          </w:rPr>
          <w:t>FONDS FÜR SONDERPROJEKTE (SPF)</w:t>
        </w:r>
        <w:r>
          <w:rPr>
            <w:noProof/>
            <w:webHidden/>
          </w:rPr>
          <w:tab/>
        </w:r>
        <w:r>
          <w:rPr>
            <w:noProof/>
            <w:webHidden/>
          </w:rPr>
          <w:fldChar w:fldCharType="begin"/>
        </w:r>
        <w:r>
          <w:rPr>
            <w:noProof/>
            <w:webHidden/>
          </w:rPr>
          <w:instrText xml:space="preserve"> PAGEREF _Toc444761619 \h </w:instrText>
        </w:r>
        <w:r>
          <w:rPr>
            <w:noProof/>
            <w:webHidden/>
          </w:rPr>
        </w:r>
        <w:r>
          <w:rPr>
            <w:noProof/>
            <w:webHidden/>
          </w:rPr>
          <w:fldChar w:fldCharType="separate"/>
        </w:r>
        <w:r w:rsidR="00AB6606">
          <w:rPr>
            <w:noProof/>
            <w:webHidden/>
          </w:rPr>
          <w:t>4</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20" w:history="1">
        <w:r w:rsidRPr="00F102BD">
          <w:rPr>
            <w:rStyle w:val="Hyperlink"/>
            <w:noProof/>
            <w:lang w:val="de-DE"/>
          </w:rPr>
          <w:t>BEURTEILUNG DER UPOV DURCH DIE Abteilung für interne Revision und Aufsicht DER WIPO (IOD)</w:t>
        </w:r>
        <w:r>
          <w:rPr>
            <w:noProof/>
            <w:webHidden/>
          </w:rPr>
          <w:tab/>
        </w:r>
        <w:r>
          <w:rPr>
            <w:noProof/>
            <w:webHidden/>
          </w:rPr>
          <w:fldChar w:fldCharType="begin"/>
        </w:r>
        <w:r>
          <w:rPr>
            <w:noProof/>
            <w:webHidden/>
          </w:rPr>
          <w:instrText xml:space="preserve"> PAGEREF _Toc444761620 \h </w:instrText>
        </w:r>
        <w:r>
          <w:rPr>
            <w:noProof/>
            <w:webHidden/>
          </w:rPr>
        </w:r>
        <w:r>
          <w:rPr>
            <w:noProof/>
            <w:webHidden/>
          </w:rPr>
          <w:fldChar w:fldCharType="separate"/>
        </w:r>
        <w:r w:rsidR="00AB6606">
          <w:rPr>
            <w:noProof/>
            <w:webHidden/>
          </w:rPr>
          <w:t>4</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21" w:history="1">
        <w:r w:rsidRPr="00F102BD">
          <w:rPr>
            <w:rStyle w:val="Hyperlink"/>
            <w:noProof/>
            <w:lang w:val="de-DE"/>
          </w:rPr>
          <w:t>organe und tagungen der upov</w:t>
        </w:r>
        <w:r>
          <w:rPr>
            <w:noProof/>
            <w:webHidden/>
          </w:rPr>
          <w:tab/>
        </w:r>
        <w:r>
          <w:rPr>
            <w:noProof/>
            <w:webHidden/>
          </w:rPr>
          <w:fldChar w:fldCharType="begin"/>
        </w:r>
        <w:r>
          <w:rPr>
            <w:noProof/>
            <w:webHidden/>
          </w:rPr>
          <w:instrText xml:space="preserve"> PAGEREF _Toc444761621 \h </w:instrText>
        </w:r>
        <w:r>
          <w:rPr>
            <w:noProof/>
            <w:webHidden/>
          </w:rPr>
        </w:r>
        <w:r>
          <w:rPr>
            <w:noProof/>
            <w:webHidden/>
          </w:rPr>
          <w:fldChar w:fldCharType="separate"/>
        </w:r>
        <w:r w:rsidR="00AB6606">
          <w:rPr>
            <w:noProof/>
            <w:webHidden/>
          </w:rPr>
          <w:t>5</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2" w:history="1">
        <w:r w:rsidRPr="00F102BD">
          <w:rPr>
            <w:rStyle w:val="Hyperlink"/>
            <w:noProof/>
            <w:lang w:val="de-DE"/>
          </w:rPr>
          <w:t>Präsident und Vizepräsident des Rates der UPOV</w:t>
        </w:r>
        <w:r>
          <w:rPr>
            <w:noProof/>
            <w:webHidden/>
          </w:rPr>
          <w:tab/>
        </w:r>
        <w:r>
          <w:rPr>
            <w:noProof/>
            <w:webHidden/>
          </w:rPr>
          <w:fldChar w:fldCharType="begin"/>
        </w:r>
        <w:r>
          <w:rPr>
            <w:noProof/>
            <w:webHidden/>
          </w:rPr>
          <w:instrText xml:space="preserve"> PAGEREF _Toc444761622 \h </w:instrText>
        </w:r>
        <w:r>
          <w:rPr>
            <w:noProof/>
            <w:webHidden/>
          </w:rPr>
        </w:r>
        <w:r>
          <w:rPr>
            <w:noProof/>
            <w:webHidden/>
          </w:rPr>
          <w:fldChar w:fldCharType="separate"/>
        </w:r>
        <w:r w:rsidR="00AB6606">
          <w:rPr>
            <w:noProof/>
            <w:webHidden/>
          </w:rPr>
          <w:t>5</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3" w:history="1">
        <w:r w:rsidRPr="00F102BD">
          <w:rPr>
            <w:rStyle w:val="Hyperlink"/>
            <w:noProof/>
            <w:lang w:val="de-DE"/>
          </w:rPr>
          <w:t>Tagungskalender</w:t>
        </w:r>
        <w:r>
          <w:rPr>
            <w:noProof/>
            <w:webHidden/>
          </w:rPr>
          <w:tab/>
        </w:r>
        <w:r>
          <w:rPr>
            <w:noProof/>
            <w:webHidden/>
          </w:rPr>
          <w:fldChar w:fldCharType="begin"/>
        </w:r>
        <w:r>
          <w:rPr>
            <w:noProof/>
            <w:webHidden/>
          </w:rPr>
          <w:instrText xml:space="preserve"> PAGEREF _Toc444761623 \h </w:instrText>
        </w:r>
        <w:r>
          <w:rPr>
            <w:noProof/>
            <w:webHidden/>
          </w:rPr>
        </w:r>
        <w:r>
          <w:rPr>
            <w:noProof/>
            <w:webHidden/>
          </w:rPr>
          <w:fldChar w:fldCharType="separate"/>
        </w:r>
        <w:r w:rsidR="00AB6606">
          <w:rPr>
            <w:noProof/>
            <w:webHidden/>
          </w:rPr>
          <w:t>5</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4" w:history="1">
        <w:r w:rsidRPr="00F102BD">
          <w:rPr>
            <w:rStyle w:val="Hyperlink"/>
            <w:noProof/>
            <w:lang w:val="de-DE"/>
          </w:rPr>
          <w:t>UPOV-Dokumente und Veröffentlichung von Informationen</w:t>
        </w:r>
        <w:r>
          <w:rPr>
            <w:noProof/>
            <w:webHidden/>
          </w:rPr>
          <w:tab/>
        </w:r>
        <w:r>
          <w:rPr>
            <w:noProof/>
            <w:webHidden/>
          </w:rPr>
          <w:fldChar w:fldCharType="begin"/>
        </w:r>
        <w:r>
          <w:rPr>
            <w:noProof/>
            <w:webHidden/>
          </w:rPr>
          <w:instrText xml:space="preserve"> PAGEREF _Toc444761624 \h </w:instrText>
        </w:r>
        <w:r>
          <w:rPr>
            <w:noProof/>
            <w:webHidden/>
          </w:rPr>
        </w:r>
        <w:r>
          <w:rPr>
            <w:noProof/>
            <w:webHidden/>
          </w:rPr>
          <w:fldChar w:fldCharType="separate"/>
        </w:r>
        <w:r w:rsidR="00AB6606">
          <w:rPr>
            <w:noProof/>
            <w:webHidden/>
          </w:rPr>
          <w:t>5</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25" w:history="1">
        <w:r w:rsidRPr="00F102BD">
          <w:rPr>
            <w:rStyle w:val="Hyperlink"/>
            <w:rFonts w:cs="Arial"/>
            <w:noProof/>
            <w:lang w:val="de-DE"/>
          </w:rPr>
          <w:t>UPOV-sammlung</w:t>
        </w:r>
        <w:r>
          <w:rPr>
            <w:noProof/>
            <w:webHidden/>
          </w:rPr>
          <w:tab/>
        </w:r>
        <w:r>
          <w:rPr>
            <w:noProof/>
            <w:webHidden/>
          </w:rPr>
          <w:fldChar w:fldCharType="begin"/>
        </w:r>
        <w:r>
          <w:rPr>
            <w:noProof/>
            <w:webHidden/>
          </w:rPr>
          <w:instrText xml:space="preserve"> PAGEREF _Toc444761625 \h </w:instrText>
        </w:r>
        <w:r>
          <w:rPr>
            <w:noProof/>
            <w:webHidden/>
          </w:rPr>
        </w:r>
        <w:r>
          <w:rPr>
            <w:noProof/>
            <w:webHidden/>
          </w:rPr>
          <w:fldChar w:fldCharType="separate"/>
        </w:r>
        <w:r w:rsidR="00AB6606">
          <w:rPr>
            <w:noProof/>
            <w:webHidden/>
          </w:rPr>
          <w:t>6</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6" w:history="1">
        <w:r w:rsidRPr="00F102BD">
          <w:rPr>
            <w:rStyle w:val="Hyperlink"/>
            <w:noProof/>
            <w:lang w:val="de-DE"/>
          </w:rPr>
          <w:t>Annahme von Dokumenten</w:t>
        </w:r>
        <w:r>
          <w:rPr>
            <w:noProof/>
            <w:webHidden/>
          </w:rPr>
          <w:tab/>
        </w:r>
        <w:r>
          <w:rPr>
            <w:noProof/>
            <w:webHidden/>
          </w:rPr>
          <w:fldChar w:fldCharType="begin"/>
        </w:r>
        <w:r>
          <w:rPr>
            <w:noProof/>
            <w:webHidden/>
          </w:rPr>
          <w:instrText xml:space="preserve"> PAGEREF _Toc444761626 \h </w:instrText>
        </w:r>
        <w:r>
          <w:rPr>
            <w:noProof/>
            <w:webHidden/>
          </w:rPr>
        </w:r>
        <w:r>
          <w:rPr>
            <w:noProof/>
            <w:webHidden/>
          </w:rPr>
          <w:fldChar w:fldCharType="separate"/>
        </w:r>
        <w:r w:rsidR="00AB6606">
          <w:rPr>
            <w:noProof/>
            <w:webHidden/>
          </w:rPr>
          <w:t>6</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7" w:history="1">
        <w:r w:rsidRPr="00F102BD">
          <w:rPr>
            <w:rStyle w:val="Hyperlink"/>
            <w:noProof/>
            <w:lang w:val="de-DE"/>
          </w:rPr>
          <w:t>Programm für die Ausarbeitung von Erläuterungen zum UPOV-Übereinkommen</w:t>
        </w:r>
        <w:r>
          <w:rPr>
            <w:noProof/>
            <w:webHidden/>
          </w:rPr>
          <w:tab/>
        </w:r>
        <w:r>
          <w:rPr>
            <w:noProof/>
            <w:webHidden/>
          </w:rPr>
          <w:fldChar w:fldCharType="begin"/>
        </w:r>
        <w:r>
          <w:rPr>
            <w:noProof/>
            <w:webHidden/>
          </w:rPr>
          <w:instrText xml:space="preserve"> PAGEREF _Toc444761627 \h </w:instrText>
        </w:r>
        <w:r>
          <w:rPr>
            <w:noProof/>
            <w:webHidden/>
          </w:rPr>
        </w:r>
        <w:r>
          <w:rPr>
            <w:noProof/>
            <w:webHidden/>
          </w:rPr>
          <w:fldChar w:fldCharType="separate"/>
        </w:r>
        <w:r w:rsidR="00AB6606">
          <w:rPr>
            <w:noProof/>
            <w:webHidden/>
          </w:rPr>
          <w:t>7</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28" w:history="1">
        <w:r w:rsidRPr="00F102BD">
          <w:rPr>
            <w:rStyle w:val="Hyperlink"/>
            <w:noProof/>
            <w:lang w:val="de-DE"/>
          </w:rPr>
          <w:t>veröffentlichungen, aktivitäten und schulung</w:t>
        </w:r>
        <w:r>
          <w:rPr>
            <w:noProof/>
            <w:webHidden/>
          </w:rPr>
          <w:tab/>
        </w:r>
        <w:r>
          <w:rPr>
            <w:noProof/>
            <w:webHidden/>
          </w:rPr>
          <w:fldChar w:fldCharType="begin"/>
        </w:r>
        <w:r>
          <w:rPr>
            <w:noProof/>
            <w:webHidden/>
          </w:rPr>
          <w:instrText xml:space="preserve"> PAGEREF _Toc444761628 \h </w:instrText>
        </w:r>
        <w:r>
          <w:rPr>
            <w:noProof/>
            <w:webHidden/>
          </w:rPr>
        </w:r>
        <w:r>
          <w:rPr>
            <w:noProof/>
            <w:webHidden/>
          </w:rPr>
          <w:fldChar w:fldCharType="separate"/>
        </w:r>
        <w:r w:rsidR="00AB6606">
          <w:rPr>
            <w:noProof/>
            <w:webHidden/>
          </w:rPr>
          <w:t>7</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29" w:history="1">
        <w:r w:rsidRPr="00F102BD">
          <w:rPr>
            <w:rStyle w:val="Hyperlink"/>
            <w:noProof/>
            <w:lang w:val="de-DE"/>
          </w:rPr>
          <w:t>Kommunikationsstrategie</w:t>
        </w:r>
        <w:r>
          <w:rPr>
            <w:noProof/>
            <w:webHidden/>
          </w:rPr>
          <w:tab/>
        </w:r>
        <w:r>
          <w:rPr>
            <w:noProof/>
            <w:webHidden/>
          </w:rPr>
          <w:fldChar w:fldCharType="begin"/>
        </w:r>
        <w:r>
          <w:rPr>
            <w:noProof/>
            <w:webHidden/>
          </w:rPr>
          <w:instrText xml:space="preserve"> PAGEREF _Toc444761629 \h </w:instrText>
        </w:r>
        <w:r>
          <w:rPr>
            <w:noProof/>
            <w:webHidden/>
          </w:rPr>
        </w:r>
        <w:r>
          <w:rPr>
            <w:noProof/>
            <w:webHidden/>
          </w:rPr>
          <w:fldChar w:fldCharType="separate"/>
        </w:r>
        <w:r w:rsidR="00AB6606">
          <w:rPr>
            <w:noProof/>
            <w:webHidden/>
          </w:rPr>
          <w:t>7</w:t>
        </w:r>
        <w:r>
          <w:rPr>
            <w:noProof/>
            <w:webHidden/>
          </w:rPr>
          <w:fldChar w:fldCharType="end"/>
        </w:r>
      </w:hyperlink>
    </w:p>
    <w:p w:rsidR="001A5AA6" w:rsidRDefault="001A5AA6">
      <w:pPr>
        <w:pStyle w:val="TOC2"/>
        <w:rPr>
          <w:rFonts w:asciiTheme="minorHAnsi" w:eastAsiaTheme="minorEastAsia" w:hAnsiTheme="minorHAnsi" w:cstheme="minorBidi"/>
          <w:noProof/>
          <w:sz w:val="22"/>
          <w:szCs w:val="22"/>
        </w:rPr>
      </w:pPr>
      <w:hyperlink w:anchor="_Toc444761630" w:history="1">
        <w:r w:rsidRPr="00F102BD">
          <w:rPr>
            <w:rStyle w:val="Hyperlink"/>
            <w:rFonts w:cs="Arial"/>
            <w:noProof/>
            <w:lang w:val="de-DE"/>
          </w:rPr>
          <w:t>Fernlehrgänge</w:t>
        </w:r>
        <w:r>
          <w:rPr>
            <w:noProof/>
            <w:webHidden/>
          </w:rPr>
          <w:tab/>
        </w:r>
        <w:r>
          <w:rPr>
            <w:noProof/>
            <w:webHidden/>
          </w:rPr>
          <w:fldChar w:fldCharType="begin"/>
        </w:r>
        <w:r>
          <w:rPr>
            <w:noProof/>
            <w:webHidden/>
          </w:rPr>
          <w:instrText xml:space="preserve"> PAGEREF _Toc444761630 \h </w:instrText>
        </w:r>
        <w:r>
          <w:rPr>
            <w:noProof/>
            <w:webHidden/>
          </w:rPr>
        </w:r>
        <w:r>
          <w:rPr>
            <w:noProof/>
            <w:webHidden/>
          </w:rPr>
          <w:fldChar w:fldCharType="separate"/>
        </w:r>
        <w:r w:rsidR="00AB6606">
          <w:rPr>
            <w:noProof/>
            <w:webHidden/>
          </w:rPr>
          <w:t>8</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31" w:history="1">
        <w:r w:rsidRPr="00F102BD">
          <w:rPr>
            <w:rStyle w:val="Hyperlink"/>
            <w:rFonts w:cs="Arial"/>
            <w:noProof/>
            <w:lang w:val="de-DE"/>
          </w:rPr>
          <w:t>InternationalES KOOPERATIONSSystem (isc)</w:t>
        </w:r>
        <w:r>
          <w:rPr>
            <w:noProof/>
            <w:webHidden/>
          </w:rPr>
          <w:tab/>
        </w:r>
        <w:r>
          <w:rPr>
            <w:noProof/>
            <w:webHidden/>
          </w:rPr>
          <w:fldChar w:fldCharType="begin"/>
        </w:r>
        <w:r>
          <w:rPr>
            <w:noProof/>
            <w:webHidden/>
          </w:rPr>
          <w:instrText xml:space="preserve"> PAGEREF _Toc444761631 \h </w:instrText>
        </w:r>
        <w:r>
          <w:rPr>
            <w:noProof/>
            <w:webHidden/>
          </w:rPr>
        </w:r>
        <w:r>
          <w:rPr>
            <w:noProof/>
            <w:webHidden/>
          </w:rPr>
          <w:fldChar w:fldCharType="separate"/>
        </w:r>
        <w:r w:rsidR="00AB6606">
          <w:rPr>
            <w:noProof/>
            <w:webHidden/>
          </w:rPr>
          <w:t>8</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32" w:history="1">
        <w:r w:rsidRPr="00F102BD">
          <w:rPr>
            <w:rStyle w:val="Hyperlink"/>
            <w:noProof/>
            <w:lang w:val="de-DE"/>
          </w:rPr>
          <w:t>Wechselseitige Beziehung mit dem Internationalen Vertrag über pflanzengenetische Ressourcen für Ernährung und Landwirtschaft (ITPGRFA)</w:t>
        </w:r>
        <w:r>
          <w:rPr>
            <w:noProof/>
            <w:webHidden/>
          </w:rPr>
          <w:tab/>
        </w:r>
        <w:r>
          <w:rPr>
            <w:noProof/>
            <w:webHidden/>
          </w:rPr>
          <w:fldChar w:fldCharType="begin"/>
        </w:r>
        <w:r>
          <w:rPr>
            <w:noProof/>
            <w:webHidden/>
          </w:rPr>
          <w:instrText xml:space="preserve"> PAGEREF _Toc444761632 \h </w:instrText>
        </w:r>
        <w:r>
          <w:rPr>
            <w:noProof/>
            <w:webHidden/>
          </w:rPr>
        </w:r>
        <w:r>
          <w:rPr>
            <w:noProof/>
            <w:webHidden/>
          </w:rPr>
          <w:fldChar w:fldCharType="separate"/>
        </w:r>
        <w:r w:rsidR="00AB6606">
          <w:rPr>
            <w:noProof/>
            <w:webHidden/>
          </w:rPr>
          <w:t>9</w:t>
        </w:r>
        <w:r>
          <w:rPr>
            <w:noProof/>
            <w:webHidden/>
          </w:rPr>
          <w:fldChar w:fldCharType="end"/>
        </w:r>
      </w:hyperlink>
    </w:p>
    <w:p w:rsidR="001A5AA6" w:rsidRDefault="001A5AA6">
      <w:pPr>
        <w:pStyle w:val="TOC1"/>
        <w:rPr>
          <w:rFonts w:asciiTheme="minorHAnsi" w:eastAsiaTheme="minorEastAsia" w:hAnsiTheme="minorHAnsi" w:cstheme="minorBidi"/>
          <w:caps w:val="0"/>
          <w:noProof/>
          <w:sz w:val="22"/>
          <w:szCs w:val="22"/>
        </w:rPr>
      </w:pPr>
      <w:hyperlink w:anchor="_Toc444761633" w:history="1">
        <w:r w:rsidRPr="00F102BD">
          <w:rPr>
            <w:rStyle w:val="Hyperlink"/>
            <w:noProof/>
            <w:snapToGrid w:val="0"/>
            <w:lang w:val="de-DE"/>
          </w:rPr>
          <w:t>Weltsaatgutprojekt</w:t>
        </w:r>
        <w:r>
          <w:rPr>
            <w:noProof/>
            <w:webHidden/>
          </w:rPr>
          <w:tab/>
        </w:r>
        <w:r>
          <w:rPr>
            <w:noProof/>
            <w:webHidden/>
          </w:rPr>
          <w:fldChar w:fldCharType="begin"/>
        </w:r>
        <w:r>
          <w:rPr>
            <w:noProof/>
            <w:webHidden/>
          </w:rPr>
          <w:instrText xml:space="preserve"> PAGEREF _Toc444761633 \h </w:instrText>
        </w:r>
        <w:r>
          <w:rPr>
            <w:noProof/>
            <w:webHidden/>
          </w:rPr>
        </w:r>
        <w:r>
          <w:rPr>
            <w:noProof/>
            <w:webHidden/>
          </w:rPr>
          <w:fldChar w:fldCharType="separate"/>
        </w:r>
        <w:r w:rsidR="00AB6606">
          <w:rPr>
            <w:noProof/>
            <w:webHidden/>
          </w:rPr>
          <w:t>9</w:t>
        </w:r>
        <w:r>
          <w:rPr>
            <w:noProof/>
            <w:webHidden/>
          </w:rPr>
          <w:fldChar w:fldCharType="end"/>
        </w:r>
      </w:hyperlink>
    </w:p>
    <w:p w:rsidR="00B02D38" w:rsidRPr="00CB171C" w:rsidRDefault="00CF0215" w:rsidP="00B02D38">
      <w:pPr>
        <w:rPr>
          <w:rFonts w:cs="Arial"/>
          <w:lang w:val="de-DE"/>
        </w:rPr>
      </w:pPr>
      <w:r>
        <w:rPr>
          <w:rFonts w:cs="Arial"/>
          <w:lang w:val="de-DE"/>
        </w:rPr>
        <w:fldChar w:fldCharType="end"/>
      </w:r>
    </w:p>
    <w:p w:rsidR="00B02D38" w:rsidRPr="00CB171C" w:rsidRDefault="00B02D38" w:rsidP="00B02D38">
      <w:pPr>
        <w:jc w:val="left"/>
        <w:rPr>
          <w:rFonts w:cs="Arial"/>
          <w:caps/>
          <w:lang w:val="de-DE"/>
        </w:rPr>
      </w:pPr>
      <w:r w:rsidRPr="00CB171C">
        <w:rPr>
          <w:rFonts w:cs="Arial"/>
          <w:lang w:val="de-DE"/>
        </w:rPr>
        <w:br w:type="page"/>
      </w:r>
    </w:p>
    <w:p w:rsidR="0077406A" w:rsidRPr="00CB171C" w:rsidRDefault="0077406A" w:rsidP="0077406A">
      <w:pPr>
        <w:pStyle w:val="Heading1"/>
        <w:rPr>
          <w:lang w:val="de-DE"/>
        </w:rPr>
      </w:pPr>
      <w:bookmarkStart w:id="1" w:name="_Toc379530064"/>
      <w:bookmarkStart w:id="2" w:name="_Toc380391611"/>
      <w:bookmarkStart w:id="3" w:name="_Toc380419851"/>
      <w:bookmarkStart w:id="4" w:name="_Toc380483651"/>
      <w:bookmarkStart w:id="5" w:name="_Toc413311287"/>
      <w:bookmarkStart w:id="6" w:name="_Toc413311660"/>
      <w:bookmarkStart w:id="7" w:name="_Toc413335699"/>
      <w:bookmarkStart w:id="8" w:name="_Toc444242861"/>
      <w:bookmarkStart w:id="9" w:name="_Toc443988403"/>
      <w:bookmarkStart w:id="10" w:name="_Toc444761610"/>
      <w:r w:rsidRPr="00CB171C">
        <w:rPr>
          <w:lang w:val="de-DE"/>
        </w:rPr>
        <w:lastRenderedPageBreak/>
        <w:t>MITGLIEDERZAHL</w:t>
      </w:r>
      <w:bookmarkEnd w:id="1"/>
      <w:bookmarkEnd w:id="2"/>
      <w:bookmarkEnd w:id="3"/>
      <w:bookmarkEnd w:id="4"/>
      <w:bookmarkEnd w:id="5"/>
      <w:bookmarkEnd w:id="6"/>
      <w:bookmarkEnd w:id="7"/>
      <w:bookmarkEnd w:id="8"/>
      <w:bookmarkEnd w:id="10"/>
    </w:p>
    <w:p w:rsidR="0077406A" w:rsidRPr="00CB171C" w:rsidRDefault="0077406A" w:rsidP="0077406A">
      <w:pPr>
        <w:rPr>
          <w:lang w:val="de-DE"/>
        </w:rPr>
      </w:pPr>
    </w:p>
    <w:p w:rsidR="0077406A" w:rsidRPr="00CB171C" w:rsidRDefault="0077406A" w:rsidP="0077406A">
      <w:pPr>
        <w:pStyle w:val="Heading2"/>
        <w:rPr>
          <w:lang w:val="de-DE"/>
        </w:rPr>
      </w:pPr>
      <w:bookmarkStart w:id="11" w:name="_Toc379530065"/>
      <w:bookmarkStart w:id="12" w:name="_Toc380391612"/>
      <w:bookmarkStart w:id="13" w:name="_Toc380419852"/>
      <w:bookmarkStart w:id="14" w:name="_Toc380483652"/>
      <w:bookmarkStart w:id="15" w:name="_Toc413311288"/>
      <w:bookmarkStart w:id="16" w:name="_Toc413311661"/>
      <w:bookmarkStart w:id="17" w:name="_Toc413335700"/>
      <w:bookmarkStart w:id="18" w:name="_Toc444242862"/>
      <w:bookmarkStart w:id="19" w:name="_Toc444761611"/>
      <w:r w:rsidRPr="00CB171C">
        <w:rPr>
          <w:lang w:val="de-DE"/>
        </w:rPr>
        <w:t>Verbandsmitglieder</w:t>
      </w:r>
      <w:bookmarkEnd w:id="11"/>
      <w:bookmarkEnd w:id="12"/>
      <w:bookmarkEnd w:id="13"/>
      <w:bookmarkEnd w:id="14"/>
      <w:bookmarkEnd w:id="15"/>
      <w:bookmarkEnd w:id="16"/>
      <w:bookmarkEnd w:id="17"/>
      <w:bookmarkEnd w:id="18"/>
      <w:bookmarkEnd w:id="19"/>
    </w:p>
    <w:p w:rsidR="0077406A" w:rsidRPr="00CB171C" w:rsidRDefault="0077406A" w:rsidP="0077406A">
      <w:pPr>
        <w:rPr>
          <w:lang w:val="de-DE"/>
        </w:rPr>
      </w:pPr>
    </w:p>
    <w:bookmarkEnd w:id="9"/>
    <w:p w:rsidR="0077406A" w:rsidRPr="00CB171C" w:rsidRDefault="00E42331" w:rsidP="0077406A">
      <w:pPr>
        <w:pStyle w:val="BodyText2"/>
        <w:spacing w:line="240" w:lineRule="auto"/>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7406A" w:rsidRPr="00CB171C">
        <w:rPr>
          <w:rFonts w:cs="Arial"/>
          <w:lang w:val="de-DE"/>
        </w:rPr>
        <w:t xml:space="preserve">Montenegro hinterlegte am 24. August 2015 seine </w:t>
      </w:r>
      <w:r w:rsidR="003246FD" w:rsidRPr="00CB171C">
        <w:rPr>
          <w:rFonts w:cs="Arial"/>
          <w:lang w:val="de-DE"/>
        </w:rPr>
        <w:t xml:space="preserve">Urkunde </w:t>
      </w:r>
      <w:r w:rsidR="00592F19" w:rsidRPr="00CB171C">
        <w:rPr>
          <w:rFonts w:cs="Arial"/>
          <w:lang w:val="de-DE"/>
        </w:rPr>
        <w:t>über den Beitritt zum</w:t>
      </w:r>
      <w:r w:rsidR="0077406A" w:rsidRPr="00CB171C">
        <w:rPr>
          <w:rFonts w:cs="Arial"/>
          <w:lang w:val="de-DE"/>
        </w:rPr>
        <w:t xml:space="preserve"> UPOV</w:t>
      </w:r>
      <w:r w:rsidR="003246FD" w:rsidRPr="00CB171C">
        <w:rPr>
          <w:rFonts w:cs="Arial"/>
          <w:lang w:val="de-DE"/>
        </w:rPr>
        <w:noBreakHyphen/>
      </w:r>
      <w:r w:rsidR="0077406A" w:rsidRPr="00CB171C">
        <w:rPr>
          <w:rFonts w:cs="Arial"/>
          <w:lang w:val="de-DE"/>
        </w:rPr>
        <w:t>Übereinkommen</w:t>
      </w:r>
      <w:r w:rsidR="003246FD" w:rsidRPr="00CB171C">
        <w:rPr>
          <w:rFonts w:cs="Arial"/>
          <w:lang w:val="de-DE"/>
        </w:rPr>
        <w:t xml:space="preserve"> und</w:t>
      </w:r>
      <w:r w:rsidR="0077406A" w:rsidRPr="00CB171C">
        <w:rPr>
          <w:rFonts w:cs="Arial"/>
          <w:lang w:val="de-DE"/>
        </w:rPr>
        <w:t xml:space="preserve"> </w:t>
      </w:r>
      <w:r w:rsidR="000C47B1" w:rsidRPr="00CB171C">
        <w:rPr>
          <w:rFonts w:cs="Arial"/>
          <w:lang w:val="de-DE"/>
        </w:rPr>
        <w:t>wurde</w:t>
      </w:r>
      <w:r w:rsidR="0077406A" w:rsidRPr="00CB171C">
        <w:rPr>
          <w:rFonts w:cs="Arial"/>
          <w:lang w:val="de-DE"/>
        </w:rPr>
        <w:t xml:space="preserve"> am 24. September 2015 dreiundsiebzigste</w:t>
      </w:r>
      <w:r w:rsidR="00592F19" w:rsidRPr="00CB171C">
        <w:rPr>
          <w:rFonts w:cs="Arial"/>
          <w:lang w:val="de-DE"/>
        </w:rPr>
        <w:t>s</w:t>
      </w:r>
      <w:r w:rsidR="0077406A" w:rsidRPr="00CB171C">
        <w:rPr>
          <w:rFonts w:cs="Arial"/>
          <w:lang w:val="de-DE"/>
        </w:rPr>
        <w:t xml:space="preserve"> Mitglied de</w:t>
      </w:r>
      <w:r w:rsidR="00592F19" w:rsidRPr="00CB171C">
        <w:rPr>
          <w:rFonts w:cs="Arial"/>
          <w:lang w:val="de-DE"/>
        </w:rPr>
        <w:t>r</w:t>
      </w:r>
      <w:r w:rsidR="0077406A" w:rsidRPr="00CB171C">
        <w:rPr>
          <w:rFonts w:cs="Arial"/>
          <w:lang w:val="de-DE"/>
        </w:rPr>
        <w:t xml:space="preserve"> UPOV.</w:t>
      </w:r>
    </w:p>
    <w:p w:rsidR="00E42331" w:rsidRPr="00CB171C" w:rsidRDefault="00E42331" w:rsidP="00E42331">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592F19" w:rsidRPr="00CB171C">
        <w:rPr>
          <w:rFonts w:cs="Arial"/>
          <w:lang w:val="de-DE"/>
        </w:rPr>
        <w:t xml:space="preserve">Die Vereinigte Republik Tansania hinterlegte am 22. Oktober </w:t>
      </w:r>
      <w:r w:rsidR="003246FD" w:rsidRPr="00CB171C">
        <w:rPr>
          <w:rFonts w:cs="Arial"/>
          <w:lang w:val="de-DE"/>
        </w:rPr>
        <w:t xml:space="preserve">2015 </w:t>
      </w:r>
      <w:r w:rsidR="00592F19" w:rsidRPr="00CB171C">
        <w:rPr>
          <w:rFonts w:cs="Arial"/>
          <w:lang w:val="de-DE"/>
        </w:rPr>
        <w:t>ihre Urkunde über den Beitritt zum UPOV</w:t>
      </w:r>
      <w:r w:rsidR="00592F19" w:rsidRPr="00CB171C">
        <w:rPr>
          <w:rFonts w:cs="Arial"/>
          <w:lang w:val="de-DE"/>
        </w:rPr>
        <w:noBreakHyphen/>
        <w:t>Übereinkommen und wurde am 22. November 2015 vierundsiebzigstes Mitglied der UPOV.</w:t>
      </w:r>
    </w:p>
    <w:p w:rsidR="00E42331" w:rsidRPr="00CB171C" w:rsidRDefault="00E42331" w:rsidP="00E42331">
      <w:pPr>
        <w:rPr>
          <w:rFonts w:cs="Arial"/>
          <w:lang w:val="de-DE"/>
        </w:rPr>
      </w:pPr>
    </w:p>
    <w:p w:rsidR="00592F19" w:rsidRPr="00CB171C" w:rsidRDefault="00E42331" w:rsidP="00592F19">
      <w:pPr>
        <w:rPr>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592F19" w:rsidRPr="00CB171C">
        <w:rPr>
          <w:lang w:val="de-DE"/>
        </w:rPr>
        <w:t>Zum 1. März 201</w:t>
      </w:r>
      <w:r w:rsidR="003246FD" w:rsidRPr="00CB171C">
        <w:rPr>
          <w:lang w:val="de-DE"/>
        </w:rPr>
        <w:t>6</w:t>
      </w:r>
      <w:r w:rsidR="00592F19" w:rsidRPr="00CB171C">
        <w:rPr>
          <w:lang w:val="de-DE"/>
        </w:rPr>
        <w:t xml:space="preserve"> zählte der Verband </w:t>
      </w:r>
      <w:r w:rsidR="003246FD" w:rsidRPr="00CB171C">
        <w:rPr>
          <w:lang w:val="de-DE"/>
        </w:rPr>
        <w:t>folgende</w:t>
      </w:r>
      <w:r w:rsidR="00592F19" w:rsidRPr="00CB171C">
        <w:rPr>
          <w:lang w:val="de-DE"/>
        </w:rPr>
        <w:t xml:space="preserve"> Mitglieder:</w:t>
      </w:r>
    </w:p>
    <w:p w:rsidR="00592F19" w:rsidRPr="00CB171C" w:rsidRDefault="00592F19" w:rsidP="00592F19">
      <w:pPr>
        <w:rPr>
          <w:lang w:val="de-DE"/>
        </w:rPr>
      </w:pPr>
    </w:p>
    <w:p w:rsidR="00592F19" w:rsidRPr="00CB171C" w:rsidRDefault="00592F19" w:rsidP="00592F19">
      <w:pPr>
        <w:ind w:left="567"/>
        <w:rPr>
          <w:lang w:val="de-DE"/>
        </w:rPr>
      </w:pPr>
      <w:r w:rsidRPr="00CB171C">
        <w:rPr>
          <w:lang w:val="de-DE"/>
        </w:rPr>
        <w:t xml:space="preserve">Afrikanische Organisation für geistiges Eigentum, Albanien, Argentinien, Aserbaidschan, Australien, Belarus, Belgien, Bolivien (Plurinationaler Staat), Brasilien, Bulgarien, Chile, China, Costa Rica, Dänemark, Deutschland, Dominikanische Republik, Ecuador, Ehemalige Republik Mazedonien, Estland, Europäische Union, Finnland, Frankreich, Georgien, Irland, Island, Israel, Italien, Japan, Jordanien, Kanada, Kenia, Kirgisische Republik, Kolumbien, Kroatien, Lettland, Litauen, Marokko, Mexiko, </w:t>
      </w:r>
      <w:r w:rsidR="003A17CB" w:rsidRPr="00CB171C">
        <w:rPr>
          <w:lang w:val="de-DE"/>
        </w:rPr>
        <w:t xml:space="preserve">Montenegro, </w:t>
      </w:r>
      <w:r w:rsidRPr="00CB171C">
        <w:rPr>
          <w:lang w:val="de-DE"/>
        </w:rPr>
        <w:t>Neuseeland, Nicaragua, Niederlande, Norwegen, Oman, Österreich, Panama, Paraguay, Peru, Polen, Portugal, Republik Korea, Republik Moldau, Rumänien, Russische Föderation, Schweden, Schweiz, Serbien, Singapur, Slowakei, Slowenien, Spanien, Südafrika, Trinidad</w:t>
      </w:r>
      <w:r w:rsidR="003246FD" w:rsidRPr="00CB171C">
        <w:rPr>
          <w:lang w:val="de-DE"/>
        </w:rPr>
        <w:t> </w:t>
      </w:r>
      <w:r w:rsidRPr="00CB171C">
        <w:rPr>
          <w:lang w:val="de-DE"/>
        </w:rPr>
        <w:t>und</w:t>
      </w:r>
      <w:r w:rsidR="003246FD" w:rsidRPr="00CB171C">
        <w:rPr>
          <w:lang w:val="de-DE"/>
        </w:rPr>
        <w:t> </w:t>
      </w:r>
      <w:r w:rsidRPr="00CB171C">
        <w:rPr>
          <w:lang w:val="de-DE"/>
        </w:rPr>
        <w:t xml:space="preserve">Tobago, Tschechische Republik, Tunesien, Türkei, Ukraine, Ungarn, Uruguay, Usbekistan, </w:t>
      </w:r>
      <w:r w:rsidR="003A17CB" w:rsidRPr="00CB171C">
        <w:rPr>
          <w:lang w:val="de-DE"/>
        </w:rPr>
        <w:t>Vereinigte</w:t>
      </w:r>
      <w:r w:rsidR="003246FD" w:rsidRPr="00CB171C">
        <w:rPr>
          <w:lang w:val="de-DE"/>
        </w:rPr>
        <w:t xml:space="preserve"> </w:t>
      </w:r>
      <w:r w:rsidR="003A17CB" w:rsidRPr="00CB171C">
        <w:rPr>
          <w:lang w:val="de-DE"/>
        </w:rPr>
        <w:t xml:space="preserve">Republik Tansania, </w:t>
      </w:r>
      <w:r w:rsidRPr="00CB171C">
        <w:rPr>
          <w:lang w:val="de-DE"/>
        </w:rPr>
        <w:t>Vereinigtes Königreich, Vereinigte Staaten von Amerika und Vietnam.</w:t>
      </w:r>
    </w:p>
    <w:p w:rsidR="00B02D38" w:rsidRPr="00CB171C" w:rsidRDefault="00B02D38" w:rsidP="00B02D38">
      <w:pPr>
        <w:rPr>
          <w:rFonts w:cs="Arial"/>
          <w:lang w:val="de-DE"/>
        </w:rPr>
      </w:pPr>
    </w:p>
    <w:p w:rsidR="003A17CB" w:rsidRPr="00CB171C" w:rsidRDefault="003A17CB" w:rsidP="003A17CB">
      <w:pPr>
        <w:pStyle w:val="Heading2"/>
        <w:rPr>
          <w:lang w:val="de-DE"/>
        </w:rPr>
      </w:pPr>
      <w:bookmarkStart w:id="20" w:name="_Toc413311289"/>
      <w:bookmarkStart w:id="21" w:name="_Toc413311662"/>
      <w:bookmarkStart w:id="22" w:name="_Toc413335701"/>
      <w:bookmarkStart w:id="23" w:name="_Toc413078836"/>
      <w:bookmarkStart w:id="24" w:name="_Toc444242863"/>
      <w:bookmarkStart w:id="25" w:name="_Toc399960529"/>
      <w:bookmarkStart w:id="26" w:name="_Toc443988405"/>
      <w:bookmarkStart w:id="27" w:name="_Toc444761612"/>
      <w:r w:rsidRPr="00CB171C">
        <w:rPr>
          <w:lang w:val="de-DE"/>
        </w:rPr>
        <w:t>Lage bezüglich der verschiedenen Akten des Übereinkommens</w:t>
      </w:r>
      <w:bookmarkEnd w:id="20"/>
      <w:bookmarkEnd w:id="21"/>
      <w:bookmarkEnd w:id="22"/>
      <w:bookmarkEnd w:id="23"/>
      <w:bookmarkEnd w:id="24"/>
      <w:bookmarkEnd w:id="27"/>
    </w:p>
    <w:bookmarkEnd w:id="25"/>
    <w:bookmarkEnd w:id="26"/>
    <w:p w:rsidR="00B02D38" w:rsidRPr="00CB171C" w:rsidRDefault="00B02D38" w:rsidP="00B02D38">
      <w:pPr>
        <w:keepNext/>
        <w:rPr>
          <w:rFonts w:cs="Arial"/>
          <w:lang w:val="de-DE"/>
        </w:rPr>
      </w:pPr>
    </w:p>
    <w:p w:rsidR="00B35469" w:rsidRPr="00CB171C" w:rsidRDefault="00B35469" w:rsidP="00B35469">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3A17CB" w:rsidRPr="00CB171C">
        <w:rPr>
          <w:rFonts w:cs="Arial"/>
          <w:lang w:val="de-DE"/>
        </w:rPr>
        <w:t>K</w:t>
      </w:r>
      <w:r w:rsidRPr="00CB171C">
        <w:rPr>
          <w:rFonts w:cs="Arial"/>
          <w:lang w:val="de-DE"/>
        </w:rPr>
        <w:t>anada</w:t>
      </w:r>
      <w:r w:rsidR="00BB2A71" w:rsidRPr="00CB171C">
        <w:rPr>
          <w:rFonts w:cs="Arial"/>
          <w:lang w:val="de-DE"/>
        </w:rPr>
        <w:t xml:space="preserve"> war bereits Mitglied der UPOV </w:t>
      </w:r>
      <w:r w:rsidR="000C47B1" w:rsidRPr="00CB171C">
        <w:rPr>
          <w:rFonts w:cs="Arial"/>
          <w:lang w:val="de-DE"/>
        </w:rPr>
        <w:t>und</w:t>
      </w:r>
      <w:r w:rsidR="00BB2A71" w:rsidRPr="00CB171C">
        <w:rPr>
          <w:rFonts w:cs="Arial"/>
          <w:lang w:val="de-DE"/>
        </w:rPr>
        <w:t xml:space="preserve"> hi</w:t>
      </w:r>
      <w:r w:rsidR="000C47B1" w:rsidRPr="00CB171C">
        <w:rPr>
          <w:rFonts w:cs="Arial"/>
          <w:lang w:val="de-DE"/>
        </w:rPr>
        <w:t>n</w:t>
      </w:r>
      <w:r w:rsidR="00BB2A71" w:rsidRPr="00CB171C">
        <w:rPr>
          <w:rFonts w:cs="Arial"/>
          <w:lang w:val="de-DE"/>
        </w:rPr>
        <w:t>terlegte am 19. Juni 2015 seine Urkunde über die Ratifizierung der Akte von 1991 des Internationalen Übereinkommens zum Schutz von Pflanzenzüchtungen</w:t>
      </w:r>
      <w:r w:rsidRPr="00CB171C">
        <w:rPr>
          <w:rFonts w:cs="Arial"/>
          <w:lang w:val="de-DE"/>
        </w:rPr>
        <w:t>.</w:t>
      </w:r>
    </w:p>
    <w:p w:rsidR="00B35469" w:rsidRPr="00CB171C" w:rsidRDefault="00B35469" w:rsidP="00B35469">
      <w:pPr>
        <w:rPr>
          <w:rFonts w:cs="Arial"/>
          <w:lang w:val="de-DE"/>
        </w:rPr>
      </w:pPr>
    </w:p>
    <w:p w:rsidR="00E42331" w:rsidRPr="00CB171C" w:rsidRDefault="00E42331" w:rsidP="00B02D38">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C2D17" w:rsidRPr="00CB171C">
        <w:rPr>
          <w:rFonts w:cs="Arial"/>
          <w:lang w:val="de-DE"/>
        </w:rPr>
        <w:t>Zum 1. Mai 2016</w:t>
      </w:r>
      <w:r w:rsidRPr="00CB171C">
        <w:rPr>
          <w:rFonts w:cs="Arial"/>
          <w:lang w:val="de-DE"/>
        </w:rPr>
        <w:t>:</w:t>
      </w:r>
    </w:p>
    <w:p w:rsidR="00E42331" w:rsidRPr="00CB171C" w:rsidRDefault="00E42331" w:rsidP="00B02D38">
      <w:pPr>
        <w:rPr>
          <w:rFonts w:cs="Arial"/>
          <w:lang w:val="de-DE"/>
        </w:rPr>
      </w:pPr>
    </w:p>
    <w:p w:rsidR="00E42331" w:rsidRPr="00CB171C" w:rsidRDefault="007C2D17" w:rsidP="00E42331">
      <w:pPr>
        <w:pStyle w:val="ListParagraph"/>
        <w:numPr>
          <w:ilvl w:val="0"/>
          <w:numId w:val="13"/>
        </w:numPr>
        <w:rPr>
          <w:rFonts w:cs="Arial"/>
          <w:lang w:val="de-DE"/>
        </w:rPr>
      </w:pPr>
      <w:r w:rsidRPr="00CB171C">
        <w:rPr>
          <w:rFonts w:cs="Arial"/>
          <w:lang w:val="de-DE"/>
        </w:rPr>
        <w:t xml:space="preserve">waren </w:t>
      </w:r>
      <w:r w:rsidR="00E42331" w:rsidRPr="00CB171C">
        <w:rPr>
          <w:rFonts w:cs="Arial"/>
          <w:lang w:val="de-DE"/>
        </w:rPr>
        <w:t xml:space="preserve">55 </w:t>
      </w:r>
      <w:r w:rsidRPr="00CB171C">
        <w:rPr>
          <w:rFonts w:cs="Arial"/>
          <w:lang w:val="de-DE"/>
        </w:rPr>
        <w:t>Mitglieder durch die Akte von 1991 gebunden</w:t>
      </w:r>
    </w:p>
    <w:p w:rsidR="00E42331" w:rsidRPr="00CB171C" w:rsidRDefault="007C2D17" w:rsidP="00E42331">
      <w:pPr>
        <w:pStyle w:val="ListParagraph"/>
        <w:numPr>
          <w:ilvl w:val="0"/>
          <w:numId w:val="13"/>
        </w:numPr>
        <w:rPr>
          <w:rFonts w:cs="Arial"/>
          <w:lang w:val="de-DE"/>
        </w:rPr>
      </w:pPr>
      <w:r w:rsidRPr="00CB171C">
        <w:rPr>
          <w:rFonts w:cs="Arial"/>
          <w:lang w:val="de-DE"/>
        </w:rPr>
        <w:t xml:space="preserve">waren </w:t>
      </w:r>
      <w:r w:rsidR="00E42331" w:rsidRPr="00CB171C">
        <w:rPr>
          <w:rFonts w:cs="Arial"/>
          <w:lang w:val="de-DE"/>
        </w:rPr>
        <w:t xml:space="preserve">18 </w:t>
      </w:r>
      <w:r w:rsidRPr="00CB171C">
        <w:rPr>
          <w:rFonts w:cs="Arial"/>
          <w:lang w:val="de-DE"/>
        </w:rPr>
        <w:t>Mitglieder durch die Akte von</w:t>
      </w:r>
      <w:r w:rsidR="00E42331" w:rsidRPr="00CB171C">
        <w:rPr>
          <w:rFonts w:cs="Arial"/>
          <w:lang w:val="de-DE"/>
        </w:rPr>
        <w:t xml:space="preserve"> 1978 </w:t>
      </w:r>
      <w:r w:rsidRPr="00CB171C">
        <w:rPr>
          <w:rFonts w:cs="Arial"/>
          <w:lang w:val="de-DE"/>
        </w:rPr>
        <w:t>gebunden</w:t>
      </w:r>
    </w:p>
    <w:p w:rsidR="00E42331" w:rsidRPr="00CB171C" w:rsidRDefault="007C2D17" w:rsidP="00E42331">
      <w:pPr>
        <w:pStyle w:val="ListParagraph"/>
        <w:numPr>
          <w:ilvl w:val="0"/>
          <w:numId w:val="13"/>
        </w:numPr>
        <w:rPr>
          <w:rFonts w:cs="Arial"/>
          <w:lang w:val="de-DE"/>
        </w:rPr>
      </w:pPr>
      <w:r w:rsidRPr="00CB171C">
        <w:rPr>
          <w:rFonts w:cs="Arial"/>
          <w:lang w:val="de-DE"/>
        </w:rPr>
        <w:t>war ein Mitglied durch das Übereinkommen von 1961, geändert durch die Akte von 1972, gebunden</w:t>
      </w:r>
    </w:p>
    <w:p w:rsidR="003A17CB" w:rsidRPr="00CB171C" w:rsidRDefault="003A17CB" w:rsidP="003A17CB">
      <w:pPr>
        <w:keepNext/>
        <w:rPr>
          <w:color w:val="000000" w:themeColor="text1"/>
          <w:lang w:val="de-DE"/>
        </w:rPr>
      </w:pPr>
    </w:p>
    <w:p w:rsidR="00B02D38" w:rsidRPr="00CB171C" w:rsidRDefault="007C2D17" w:rsidP="00B02D38">
      <w:pPr>
        <w:pStyle w:val="Heading2"/>
        <w:rPr>
          <w:rFonts w:cs="Arial"/>
          <w:lang w:val="de-DE"/>
        </w:rPr>
      </w:pPr>
      <w:bookmarkStart w:id="28" w:name="_Toc443988406"/>
      <w:bookmarkStart w:id="29" w:name="_Toc444242864"/>
      <w:bookmarkStart w:id="30" w:name="_Toc444761613"/>
      <w:r w:rsidRPr="00CB171C">
        <w:rPr>
          <w:rFonts w:cs="Arial"/>
          <w:lang w:val="de-DE"/>
        </w:rPr>
        <w:t>Prüfung von Rechtsvorschriften</w:t>
      </w:r>
      <w:bookmarkEnd w:id="28"/>
      <w:bookmarkEnd w:id="29"/>
      <w:bookmarkEnd w:id="30"/>
    </w:p>
    <w:p w:rsidR="00B02D38" w:rsidRPr="00CB171C" w:rsidRDefault="00B02D38" w:rsidP="00B02D38">
      <w:pPr>
        <w:keepNext/>
        <w:rPr>
          <w:rFonts w:cs="Arial"/>
          <w:lang w:val="de-DE"/>
        </w:rPr>
      </w:pPr>
    </w:p>
    <w:p w:rsidR="00B02D38" w:rsidRPr="00CB171C" w:rsidRDefault="00B35469" w:rsidP="00B35469">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070E2" w:rsidRPr="00CB171C">
        <w:rPr>
          <w:rFonts w:cs="Arial"/>
          <w:lang w:val="de-DE"/>
        </w:rPr>
        <w:t xml:space="preserve">Der Rat traf auf seiner </w:t>
      </w:r>
      <w:r w:rsidR="000C47B1" w:rsidRPr="00CB171C">
        <w:rPr>
          <w:rFonts w:cs="Arial"/>
          <w:lang w:val="de-DE"/>
        </w:rPr>
        <w:t>zweiunddreißigsten</w:t>
      </w:r>
      <w:r w:rsidR="007070E2" w:rsidRPr="00CB171C">
        <w:rPr>
          <w:rFonts w:cs="Arial"/>
          <w:lang w:val="de-DE"/>
        </w:rPr>
        <w:t xml:space="preserve"> </w:t>
      </w:r>
      <w:r w:rsidR="000C47B1" w:rsidRPr="00CB171C">
        <w:rPr>
          <w:rFonts w:cs="Arial"/>
          <w:lang w:val="de-DE"/>
        </w:rPr>
        <w:t>außerordentlichen</w:t>
      </w:r>
      <w:r w:rsidR="007070E2" w:rsidRPr="00CB171C">
        <w:rPr>
          <w:rFonts w:cs="Arial"/>
          <w:lang w:val="de-DE"/>
        </w:rPr>
        <w:t xml:space="preserve"> Tagung vom 27. März 2015 in Genf </w:t>
      </w:r>
      <w:r w:rsidR="00516D06" w:rsidRPr="00CB171C">
        <w:rPr>
          <w:lang w:val="de-DE"/>
        </w:rPr>
        <w:t xml:space="preserve">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w:t>
      </w:r>
      <w:r w:rsidR="007070E2" w:rsidRPr="00CB171C">
        <w:rPr>
          <w:lang w:val="de-DE"/>
        </w:rPr>
        <w:t>(UPOV-Übereinkommen)</w:t>
      </w:r>
      <w:r w:rsidR="00516D06" w:rsidRPr="00CB171C">
        <w:rPr>
          <w:lang w:val="de-DE"/>
        </w:rPr>
        <w:t>; nach der Annahme des Gesetzentwurfs ohne Änderungen und dem Inkrafttreten des Gesetzes kann Ägypten seine Urkunde über den Beitritt zur Akte von 1991 hinterlegen</w:t>
      </w:r>
      <w:r w:rsidR="007070E2" w:rsidRPr="00CB171C">
        <w:rPr>
          <w:lang w:val="de-DE"/>
        </w:rPr>
        <w:t>.</w:t>
      </w:r>
    </w:p>
    <w:p w:rsidR="00EA4629" w:rsidRPr="00CB171C" w:rsidRDefault="00EA4629" w:rsidP="00B35469">
      <w:pPr>
        <w:rPr>
          <w:rFonts w:cs="Arial"/>
          <w:lang w:val="de-DE"/>
        </w:rPr>
      </w:pPr>
    </w:p>
    <w:p w:rsidR="00EA4629" w:rsidRPr="00CB171C" w:rsidRDefault="00EA4629" w:rsidP="00EA4629">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070E2" w:rsidRPr="00CB171C">
        <w:rPr>
          <w:rFonts w:cs="Arial"/>
          <w:lang w:val="de-DE"/>
        </w:rPr>
        <w:t xml:space="preserve">Der Rat prüfte auf seiner </w:t>
      </w:r>
      <w:r w:rsidR="000C47B1" w:rsidRPr="00CB171C">
        <w:rPr>
          <w:rFonts w:cs="Arial"/>
          <w:lang w:val="de-DE"/>
        </w:rPr>
        <w:t>neunundvierzigsten</w:t>
      </w:r>
      <w:r w:rsidR="007070E2" w:rsidRPr="00CB171C">
        <w:rPr>
          <w:rFonts w:cs="Arial"/>
          <w:lang w:val="de-DE"/>
        </w:rPr>
        <w:t xml:space="preserve"> ordentlichen Tagung vom 29. Oktober 2015 in Genf die </w:t>
      </w:r>
      <w:r w:rsidR="00516D06" w:rsidRPr="00CB171C">
        <w:rPr>
          <w:lang w:val="de-DE"/>
        </w:rPr>
        <w:t xml:space="preserve">Vereinbarkeit des „Gesetzes über Sorteneintragung, Saat- und Pflanzgutkontrolle und </w:t>
      </w:r>
      <w:r w:rsidR="00516D06" w:rsidRPr="00CB171C">
        <w:rPr>
          <w:lang w:val="de-DE"/>
        </w:rPr>
        <w:noBreakHyphen/>
        <w:t>zertifizierung von 2003“ der Islamischen Republik Iran mit der Akte von 1991 des UPOV</w:t>
      </w:r>
      <w:r w:rsidR="00516D06" w:rsidRPr="00CB171C">
        <w:rPr>
          <w:lang w:val="de-DE"/>
        </w:rPr>
        <w:noBreakHyphen/>
        <w:t>Übereinkommens</w:t>
      </w:r>
      <w:r w:rsidR="007070E2" w:rsidRPr="00CB171C">
        <w:rPr>
          <w:lang w:val="de-DE"/>
        </w:rPr>
        <w:t xml:space="preserve">. Der Rat </w:t>
      </w:r>
      <w:r w:rsidR="007070E2" w:rsidRPr="00CB171C">
        <w:rPr>
          <w:rFonts w:cs="Arial"/>
          <w:lang w:val="de-DE"/>
        </w:rPr>
        <w:t xml:space="preserve">empfahl, daß die Islamische Republik Iran bestimmte zusätzliche Bestimmungen und Änderungen in das „Gesetz über Sorteneintragung, Saat- und Pflanzgutkontrolle und </w:t>
      </w:r>
      <w:r w:rsidR="007070E2" w:rsidRPr="00CB171C">
        <w:rPr>
          <w:rFonts w:cs="Arial"/>
          <w:lang w:val="de-DE"/>
        </w:rPr>
        <w:noBreakHyphen/>
        <w:t>zertifizierung von 2003“ aufnehme, und empfahl, daß nach Aufnahme der zusätzlichen Bestimmungen und Änderungen in das Gesetz das geänderte Gesetz dem Rat zur Prüfung auf Vereinbarkeit mit Artikel 34 Absatz 3 der Akte von 1991 vorgelegt werden solle.</w:t>
      </w:r>
    </w:p>
    <w:p w:rsidR="00EA4629" w:rsidRPr="00CB171C" w:rsidRDefault="00EA4629" w:rsidP="00EA4629">
      <w:pPr>
        <w:rPr>
          <w:rFonts w:cs="Arial"/>
          <w:lang w:val="de-DE"/>
        </w:rPr>
      </w:pPr>
    </w:p>
    <w:p w:rsidR="00B02D38" w:rsidRPr="00CB171C" w:rsidRDefault="00B02D38" w:rsidP="00B02D38">
      <w:pPr>
        <w:rPr>
          <w:rFonts w:cs="Arial"/>
          <w:lang w:val="de-DE"/>
        </w:rPr>
      </w:pPr>
    </w:p>
    <w:p w:rsidR="007070E2" w:rsidRPr="00CB171C" w:rsidRDefault="007070E2" w:rsidP="007070E2">
      <w:pPr>
        <w:pStyle w:val="Heading1"/>
        <w:rPr>
          <w:lang w:val="de-DE"/>
        </w:rPr>
      </w:pPr>
      <w:bookmarkStart w:id="31" w:name="_Toc413078843"/>
      <w:bookmarkStart w:id="32" w:name="_Toc413311295"/>
      <w:bookmarkStart w:id="33" w:name="_Toc413311669"/>
      <w:bookmarkStart w:id="34" w:name="_Toc413335708"/>
      <w:bookmarkStart w:id="35" w:name="_Toc444242865"/>
      <w:bookmarkStart w:id="36" w:name="_Toc381174857"/>
      <w:bookmarkStart w:id="37" w:name="_Toc443988407"/>
      <w:bookmarkStart w:id="38" w:name="_Toc444761614"/>
      <w:r w:rsidRPr="00CB171C">
        <w:rPr>
          <w:lang w:val="de-DE"/>
        </w:rPr>
        <w:t>SORTENSCHUTZStatistiK</w:t>
      </w:r>
      <w:bookmarkEnd w:id="31"/>
      <w:bookmarkEnd w:id="32"/>
      <w:bookmarkEnd w:id="33"/>
      <w:bookmarkEnd w:id="34"/>
      <w:bookmarkEnd w:id="35"/>
      <w:bookmarkEnd w:id="38"/>
    </w:p>
    <w:p w:rsidR="007070E2" w:rsidRPr="00CB171C" w:rsidRDefault="007070E2" w:rsidP="007070E2">
      <w:pPr>
        <w:keepNext/>
        <w:rPr>
          <w:lang w:val="de-DE"/>
        </w:rPr>
      </w:pPr>
    </w:p>
    <w:p w:rsidR="007070E2" w:rsidRPr="00CB171C" w:rsidRDefault="007070E2" w:rsidP="007070E2">
      <w:pPr>
        <w:pStyle w:val="Heading2"/>
        <w:rPr>
          <w:rFonts w:eastAsia="MS Mincho"/>
          <w:lang w:val="de-DE" w:eastAsia="ja-JP"/>
        </w:rPr>
      </w:pPr>
      <w:bookmarkStart w:id="39" w:name="_Toc413078844"/>
      <w:bookmarkStart w:id="40" w:name="_Toc413311296"/>
      <w:bookmarkStart w:id="41" w:name="_Toc413311670"/>
      <w:bookmarkStart w:id="42" w:name="_Toc413335709"/>
      <w:bookmarkStart w:id="43" w:name="_Toc444242866"/>
      <w:bookmarkStart w:id="44" w:name="_Toc444761615"/>
      <w:r w:rsidRPr="00CB171C">
        <w:rPr>
          <w:lang w:val="de-DE"/>
        </w:rPr>
        <w:t>Liste der in den Verbandsmitgliedern schutzfähigen</w:t>
      </w:r>
      <w:bookmarkEnd w:id="39"/>
      <w:r w:rsidRPr="00CB171C">
        <w:rPr>
          <w:lang w:val="de-DE"/>
        </w:rPr>
        <w:t xml:space="preserve"> Taxa</w:t>
      </w:r>
      <w:bookmarkEnd w:id="40"/>
      <w:bookmarkEnd w:id="41"/>
      <w:bookmarkEnd w:id="42"/>
      <w:bookmarkEnd w:id="43"/>
      <w:bookmarkEnd w:id="44"/>
    </w:p>
    <w:p w:rsidR="007070E2" w:rsidRPr="00CB171C" w:rsidRDefault="007070E2" w:rsidP="007070E2">
      <w:pPr>
        <w:keepNext/>
        <w:autoSpaceDE w:val="0"/>
        <w:autoSpaceDN w:val="0"/>
        <w:adjustRightInd w:val="0"/>
        <w:rPr>
          <w:rFonts w:eastAsia="MS Mincho" w:cs="Arial"/>
          <w:lang w:val="de-DE" w:eastAsia="ja-JP"/>
        </w:rPr>
      </w:pPr>
      <w:r w:rsidRPr="00CB171C">
        <w:rPr>
          <w:rFonts w:eastAsia="MS Mincho" w:cs="Arial"/>
          <w:lang w:val="de-DE" w:eastAsia="ja-JP"/>
        </w:rPr>
        <w:t>(vergleiche Dokument C/49/6</w:t>
      </w:r>
      <w:r w:rsidR="002D2008">
        <w:rPr>
          <w:rFonts w:eastAsia="MS Mincho" w:cs="Arial"/>
          <w:lang w:val="de-DE" w:eastAsia="ja-JP"/>
        </w:rPr>
        <w:t xml:space="preserve"> „</w:t>
      </w:r>
      <w:r w:rsidRPr="00CB171C">
        <w:rPr>
          <w:lang w:val="de-DE"/>
        </w:rPr>
        <w:t>Liste der in den Verbandsmitgliedern schutzfähigen Taxa“</w:t>
      </w:r>
      <w:r w:rsidRPr="00CB171C">
        <w:rPr>
          <w:rFonts w:eastAsia="MS Mincho" w:cs="Arial"/>
          <w:lang w:val="de-DE" w:eastAsia="ja-JP"/>
        </w:rPr>
        <w:t>)</w:t>
      </w:r>
    </w:p>
    <w:p w:rsidR="007070E2" w:rsidRPr="00CB171C" w:rsidRDefault="007070E2" w:rsidP="007070E2">
      <w:pPr>
        <w:keepNext/>
        <w:autoSpaceDE w:val="0"/>
        <w:autoSpaceDN w:val="0"/>
        <w:adjustRightInd w:val="0"/>
        <w:rPr>
          <w:rFonts w:eastAsia="MS Mincho" w:cs="Arial"/>
          <w:lang w:val="de-DE" w:eastAsia="ja-JP"/>
        </w:rPr>
      </w:pPr>
    </w:p>
    <w:p w:rsidR="007070E2" w:rsidRPr="00CB171C" w:rsidRDefault="007070E2" w:rsidP="007070E2">
      <w:pPr>
        <w:autoSpaceDE w:val="0"/>
        <w:autoSpaceDN w:val="0"/>
        <w:adjustRightInd w:val="0"/>
        <w:rPr>
          <w:rFonts w:eastAsia="MS Mincho" w:cs="Arial"/>
          <w:lang w:val="de-DE" w:eastAsia="ja-JP"/>
        </w:rPr>
      </w:pPr>
      <w:r w:rsidRPr="00CB171C">
        <w:rPr>
          <w:rFonts w:eastAsia="MS Mincho" w:cs="Arial"/>
          <w:lang w:val="de-DE" w:eastAsia="ja-JP"/>
        </w:rPr>
        <w:fldChar w:fldCharType="begin"/>
      </w:r>
      <w:r w:rsidRPr="00CB171C">
        <w:rPr>
          <w:rFonts w:eastAsia="MS Mincho" w:cs="Arial"/>
          <w:lang w:val="de-DE" w:eastAsia="ja-JP"/>
        </w:rPr>
        <w:instrText xml:space="preserve"> AUTONUM  </w:instrText>
      </w:r>
      <w:r w:rsidRPr="00CB171C">
        <w:rPr>
          <w:rFonts w:eastAsia="MS Mincho" w:cs="Arial"/>
          <w:lang w:val="de-DE" w:eastAsia="ja-JP"/>
        </w:rPr>
        <w:fldChar w:fldCharType="end"/>
      </w:r>
      <w:r w:rsidRPr="00CB171C">
        <w:rPr>
          <w:rFonts w:eastAsia="MS Mincho" w:cs="Arial"/>
          <w:lang w:val="de-DE" w:eastAsia="ja-JP"/>
        </w:rPr>
        <w:tab/>
        <w:t xml:space="preserve">Insgesamt 59 Verbandsmitglieder gewähren nun den Sortenschutz allen Pflanzengattungen und </w:t>
      </w:r>
      <w:r w:rsidRPr="00CB171C">
        <w:rPr>
          <w:rFonts w:eastAsia="MS Mincho" w:cs="Arial"/>
          <w:lang w:val="de-DE" w:eastAsia="ja-JP"/>
        </w:rPr>
        <w:noBreakHyphen/>
        <w:t xml:space="preserve">arten (58 im Jahre 2014). Vierzehn Verbandsmitglieder gewähren den Schutz einer begrenzen Anzahl Pflanzengattungen und </w:t>
      </w:r>
      <w:r w:rsidRPr="00CB171C">
        <w:rPr>
          <w:rFonts w:eastAsia="MS Mincho" w:cs="Arial"/>
          <w:lang w:val="de-DE" w:eastAsia="ja-JP"/>
        </w:rPr>
        <w:noBreakHyphen/>
        <w:t xml:space="preserve">arten. Von diesen 14 dehnten zwei </w:t>
      </w:r>
      <w:r w:rsidR="00EB3108" w:rsidRPr="00CB171C">
        <w:rPr>
          <w:rFonts w:eastAsia="MS Mincho" w:cs="Arial"/>
          <w:lang w:val="de-DE" w:eastAsia="ja-JP"/>
        </w:rPr>
        <w:t>Mitglied</w:t>
      </w:r>
      <w:r w:rsidRPr="00CB171C">
        <w:rPr>
          <w:rFonts w:eastAsia="MS Mincho" w:cs="Arial"/>
          <w:lang w:val="de-DE" w:eastAsia="ja-JP"/>
        </w:rPr>
        <w:t xml:space="preserve">er (Brasilien und Marokko) den Schutz im Jahre 2015 auf weitere Pflanzengattungen und </w:t>
      </w:r>
      <w:r w:rsidRPr="00CB171C">
        <w:rPr>
          <w:rFonts w:eastAsia="MS Mincho" w:cs="Arial"/>
          <w:lang w:val="de-DE" w:eastAsia="ja-JP"/>
        </w:rPr>
        <w:noBreakHyphen/>
        <w:t>arten aus.</w:t>
      </w:r>
    </w:p>
    <w:p w:rsidR="007070E2" w:rsidRPr="00CB171C" w:rsidRDefault="007070E2" w:rsidP="007070E2">
      <w:pPr>
        <w:pStyle w:val="Heading2"/>
        <w:rPr>
          <w:lang w:val="de-DE"/>
        </w:rPr>
      </w:pPr>
      <w:bookmarkStart w:id="45" w:name="_Toc413078845"/>
      <w:bookmarkStart w:id="46" w:name="_Toc413311297"/>
      <w:bookmarkStart w:id="47" w:name="_Toc413311671"/>
      <w:bookmarkStart w:id="48" w:name="_Toc413335710"/>
      <w:bookmarkStart w:id="49" w:name="_Toc444242867"/>
      <w:bookmarkStart w:id="50" w:name="_Toc444761616"/>
      <w:r w:rsidRPr="00CB171C">
        <w:rPr>
          <w:lang w:val="de-DE"/>
        </w:rPr>
        <w:t>Sortenschutzstatistik</w:t>
      </w:r>
      <w:bookmarkEnd w:id="45"/>
      <w:bookmarkEnd w:id="46"/>
      <w:bookmarkEnd w:id="47"/>
      <w:bookmarkEnd w:id="48"/>
      <w:bookmarkEnd w:id="49"/>
      <w:bookmarkEnd w:id="50"/>
    </w:p>
    <w:p w:rsidR="007070E2" w:rsidRPr="00CB171C" w:rsidRDefault="007070E2" w:rsidP="007070E2">
      <w:pPr>
        <w:keepNext/>
        <w:autoSpaceDE w:val="0"/>
        <w:autoSpaceDN w:val="0"/>
        <w:adjustRightInd w:val="0"/>
        <w:rPr>
          <w:rFonts w:eastAsia="MS Mincho" w:cs="Arial"/>
          <w:color w:val="000000" w:themeColor="text1"/>
          <w:lang w:val="de-DE" w:eastAsia="ja-JP"/>
        </w:rPr>
      </w:pPr>
      <w:r w:rsidRPr="00CB171C">
        <w:rPr>
          <w:rFonts w:eastAsia="MS Mincho" w:cs="Arial"/>
          <w:color w:val="000000" w:themeColor="text1"/>
          <w:lang w:val="de-DE" w:eastAsia="ja-JP"/>
        </w:rPr>
        <w:t>(vergleiche Dokument C/49/7</w:t>
      </w:r>
      <w:r w:rsidR="002D2008">
        <w:rPr>
          <w:rFonts w:eastAsia="MS Mincho" w:cs="Arial"/>
          <w:color w:val="000000" w:themeColor="text1"/>
          <w:lang w:val="de-DE" w:eastAsia="ja-JP"/>
        </w:rPr>
        <w:t xml:space="preserve"> „</w:t>
      </w:r>
      <w:r w:rsidRPr="00CB171C">
        <w:rPr>
          <w:lang w:val="de-DE"/>
        </w:rPr>
        <w:t>Sortenschutzstatistik für den Zeitabschnitt 2010-2014“</w:t>
      </w:r>
      <w:r w:rsidRPr="00CB171C">
        <w:rPr>
          <w:color w:val="000000" w:themeColor="text1"/>
          <w:lang w:val="de-DE"/>
        </w:rPr>
        <w:t>)</w:t>
      </w:r>
    </w:p>
    <w:p w:rsidR="007070E2" w:rsidRPr="00CB171C" w:rsidRDefault="007070E2" w:rsidP="007070E2">
      <w:pPr>
        <w:rPr>
          <w:rFonts w:cs="Arial"/>
          <w:lang w:val="de-DE"/>
        </w:rPr>
      </w:pPr>
    </w:p>
    <w:p w:rsidR="007070E2" w:rsidRPr="00CB171C" w:rsidRDefault="007070E2" w:rsidP="007070E2">
      <w:pPr>
        <w:autoSpaceDE w:val="0"/>
        <w:autoSpaceDN w:val="0"/>
        <w:adjustRightInd w:val="0"/>
        <w:rPr>
          <w:rFonts w:eastAsia="MS Mincho" w:cs="Arial"/>
          <w:lang w:val="de-DE" w:eastAsia="ja-JP"/>
        </w:rPr>
      </w:pPr>
      <w:r w:rsidRPr="00CB171C">
        <w:rPr>
          <w:rFonts w:eastAsia="MS Mincho" w:cs="Arial"/>
          <w:lang w:val="de-DE" w:eastAsia="ja-JP"/>
        </w:rPr>
        <w:fldChar w:fldCharType="begin"/>
      </w:r>
      <w:r w:rsidRPr="00CB171C">
        <w:rPr>
          <w:rFonts w:eastAsia="MS Mincho" w:cs="Arial"/>
          <w:lang w:val="de-DE" w:eastAsia="ja-JP"/>
        </w:rPr>
        <w:instrText xml:space="preserve"> AUTONUM  </w:instrText>
      </w:r>
      <w:r w:rsidRPr="00CB171C">
        <w:rPr>
          <w:rFonts w:eastAsia="MS Mincho" w:cs="Arial"/>
          <w:lang w:val="de-DE" w:eastAsia="ja-JP"/>
        </w:rPr>
        <w:fldChar w:fldCharType="end"/>
      </w:r>
      <w:r w:rsidRPr="00CB171C">
        <w:rPr>
          <w:rFonts w:eastAsia="MS Mincho" w:cs="Arial"/>
          <w:lang w:val="de-DE" w:eastAsia="ja-JP"/>
        </w:rPr>
        <w:tab/>
        <w:t>Im Jahre 2014 überstieg die Zahl der Anträge in den UPOV</w:t>
      </w:r>
      <w:r w:rsidRPr="00CB171C">
        <w:rPr>
          <w:rFonts w:eastAsia="MS Mincho" w:cs="Arial"/>
          <w:lang w:val="de-DE" w:eastAsia="ja-JP"/>
        </w:rPr>
        <w:noBreakHyphen/>
        <w:t xml:space="preserve">Mitgliedern erstmals 15 000. </w:t>
      </w:r>
      <w:r w:rsidR="00BB2A71" w:rsidRPr="00CB171C">
        <w:rPr>
          <w:rFonts w:eastAsia="MS Mincho" w:cs="Arial"/>
          <w:lang w:val="de-DE" w:eastAsia="ja-JP"/>
        </w:rPr>
        <w:t>Die Anzahl der Anträge auf Erteilung des Sortenschutzes stieg um 4,8 % an (15 499 im Jahre 201</w:t>
      </w:r>
      <w:r w:rsidR="00EB3108" w:rsidRPr="00CB171C">
        <w:rPr>
          <w:rFonts w:eastAsia="MS Mincho" w:cs="Arial"/>
          <w:lang w:val="de-DE" w:eastAsia="ja-JP"/>
        </w:rPr>
        <w:t>4</w:t>
      </w:r>
      <w:r w:rsidR="00BB2A71" w:rsidRPr="00CB171C">
        <w:rPr>
          <w:rFonts w:eastAsia="MS Mincho" w:cs="Arial"/>
          <w:lang w:val="de-DE" w:eastAsia="ja-JP"/>
        </w:rPr>
        <w:t>; 14 788 im Jahre</w:t>
      </w:r>
      <w:r w:rsidR="00EB3108" w:rsidRPr="00CB171C">
        <w:rPr>
          <w:rFonts w:eastAsia="MS Mincho" w:cs="Arial"/>
          <w:lang w:val="de-DE" w:eastAsia="ja-JP"/>
        </w:rPr>
        <w:t> </w:t>
      </w:r>
      <w:r w:rsidR="00BB2A71" w:rsidRPr="00CB171C">
        <w:rPr>
          <w:rFonts w:eastAsia="MS Mincho" w:cs="Arial"/>
          <w:lang w:val="de-DE" w:eastAsia="ja-JP"/>
        </w:rPr>
        <w:t>2013), wobei die Anzahl der Anträge von Inländern um 2,8 % zunahm (9 770 im Jahre 2014; 9 502 im Jahre 2013) und die Anzahl der Anträge von Ausländern um 8,4 % anstieg (5 729 im Jahre 2014; 5 286 im Jahre 2013). Die Anzahl der erteilten Schutztitel nahm von 10 052 im Jahre 2013 auf 11 569 im Jahre 2014 zu (ein Anstieg von 15,1 %).</w:t>
      </w:r>
    </w:p>
    <w:p w:rsidR="007070E2" w:rsidRPr="00CB171C" w:rsidRDefault="007070E2" w:rsidP="007070E2">
      <w:pPr>
        <w:autoSpaceDE w:val="0"/>
        <w:autoSpaceDN w:val="0"/>
        <w:adjustRightInd w:val="0"/>
        <w:rPr>
          <w:rFonts w:eastAsia="MS Mincho" w:cs="Arial"/>
          <w:lang w:val="de-DE" w:eastAsia="ja-JP"/>
        </w:rPr>
      </w:pPr>
    </w:p>
    <w:bookmarkStart w:id="51" w:name="OLE_LINK2"/>
    <w:p w:rsidR="007070E2" w:rsidRPr="00CB171C" w:rsidRDefault="00BB2A71" w:rsidP="007070E2">
      <w:pPr>
        <w:autoSpaceDE w:val="0"/>
        <w:autoSpaceDN w:val="0"/>
        <w:adjustRightInd w:val="0"/>
        <w:rPr>
          <w:rStyle w:val="f21"/>
          <w:rFonts w:ascii="Arial" w:hAnsi="Arial" w:cs="Arial"/>
          <w:sz w:val="20"/>
          <w:szCs w:val="20"/>
          <w:lang w:val="de-DE"/>
        </w:rPr>
      </w:pPr>
      <w:r w:rsidRPr="00CB171C">
        <w:rPr>
          <w:rFonts w:eastAsia="MS Mincho" w:cs="Arial"/>
          <w:lang w:val="de-DE" w:eastAsia="ja-JP"/>
        </w:rPr>
        <w:fldChar w:fldCharType="begin"/>
      </w:r>
      <w:r w:rsidRPr="00CB171C">
        <w:rPr>
          <w:rFonts w:eastAsia="MS Mincho" w:cs="Arial"/>
          <w:lang w:val="de-DE" w:eastAsia="ja-JP"/>
        </w:rPr>
        <w:instrText xml:space="preserve"> AUTONUM  </w:instrText>
      </w:r>
      <w:r w:rsidRPr="00CB171C">
        <w:rPr>
          <w:rFonts w:eastAsia="MS Mincho" w:cs="Arial"/>
          <w:lang w:val="de-DE" w:eastAsia="ja-JP"/>
        </w:rPr>
        <w:fldChar w:fldCharType="end"/>
      </w:r>
      <w:r w:rsidRPr="00CB171C">
        <w:rPr>
          <w:rFonts w:eastAsia="MS Mincho" w:cs="Arial"/>
          <w:lang w:val="de-DE" w:eastAsia="ja-JP"/>
        </w:rPr>
        <w:tab/>
      </w:r>
      <w:r w:rsidR="007070E2" w:rsidRPr="00CB171C">
        <w:rPr>
          <w:rStyle w:val="f21"/>
          <w:rFonts w:ascii="Arial" w:hAnsi="Arial" w:cs="Arial"/>
          <w:sz w:val="20"/>
          <w:szCs w:val="20"/>
          <w:lang w:val="de-DE"/>
        </w:rPr>
        <w:t>Die Gesamtheit der 10</w:t>
      </w:r>
      <w:r w:rsidRPr="00CB171C">
        <w:rPr>
          <w:rStyle w:val="f21"/>
          <w:rFonts w:ascii="Arial" w:hAnsi="Arial" w:cs="Arial"/>
          <w:sz w:val="20"/>
          <w:szCs w:val="20"/>
          <w:lang w:val="de-DE"/>
        </w:rPr>
        <w:t>6</w:t>
      </w:r>
      <w:r w:rsidR="007070E2" w:rsidRPr="00CB171C">
        <w:rPr>
          <w:rStyle w:val="f21"/>
          <w:rFonts w:ascii="Arial" w:hAnsi="Arial" w:cs="Arial"/>
          <w:sz w:val="20"/>
          <w:szCs w:val="20"/>
          <w:lang w:val="de-DE"/>
        </w:rPr>
        <w:t> </w:t>
      </w:r>
      <w:r w:rsidRPr="00CB171C">
        <w:rPr>
          <w:rStyle w:val="f21"/>
          <w:rFonts w:ascii="Arial" w:hAnsi="Arial" w:cs="Arial"/>
          <w:sz w:val="20"/>
          <w:szCs w:val="20"/>
          <w:lang w:val="de-DE"/>
        </w:rPr>
        <w:t>08</w:t>
      </w:r>
      <w:r w:rsidR="007070E2" w:rsidRPr="00CB171C">
        <w:rPr>
          <w:rStyle w:val="f21"/>
          <w:rFonts w:ascii="Arial" w:hAnsi="Arial" w:cs="Arial"/>
          <w:sz w:val="20"/>
          <w:szCs w:val="20"/>
          <w:lang w:val="de-DE"/>
        </w:rPr>
        <w:t>1 gültigen Schutztitel entsprach im Jahre 201</w:t>
      </w:r>
      <w:r w:rsidRPr="00CB171C">
        <w:rPr>
          <w:rStyle w:val="f21"/>
          <w:rFonts w:ascii="Arial" w:hAnsi="Arial" w:cs="Arial"/>
          <w:sz w:val="20"/>
          <w:szCs w:val="20"/>
          <w:lang w:val="de-DE"/>
        </w:rPr>
        <w:t>4</w:t>
      </w:r>
      <w:r w:rsidR="007070E2" w:rsidRPr="00CB171C">
        <w:rPr>
          <w:rStyle w:val="f21"/>
          <w:rFonts w:ascii="Arial" w:hAnsi="Arial" w:cs="Arial"/>
          <w:sz w:val="20"/>
          <w:szCs w:val="20"/>
          <w:lang w:val="de-DE"/>
        </w:rPr>
        <w:t xml:space="preserve"> einem Anstieg von </w:t>
      </w:r>
      <w:r w:rsidRPr="00CB171C">
        <w:rPr>
          <w:rStyle w:val="f21"/>
          <w:rFonts w:ascii="Arial" w:hAnsi="Arial" w:cs="Arial"/>
          <w:sz w:val="20"/>
          <w:szCs w:val="20"/>
          <w:lang w:val="de-DE"/>
        </w:rPr>
        <w:t>2</w:t>
      </w:r>
      <w:r w:rsidR="007070E2" w:rsidRPr="00CB171C">
        <w:rPr>
          <w:rStyle w:val="f21"/>
          <w:rFonts w:ascii="Arial" w:hAnsi="Arial" w:cs="Arial"/>
          <w:sz w:val="20"/>
          <w:szCs w:val="20"/>
          <w:lang w:val="de-DE"/>
        </w:rPr>
        <w:t>,</w:t>
      </w:r>
      <w:r w:rsidRPr="00CB171C">
        <w:rPr>
          <w:rStyle w:val="f21"/>
          <w:rFonts w:ascii="Arial" w:hAnsi="Arial" w:cs="Arial"/>
          <w:sz w:val="20"/>
          <w:szCs w:val="20"/>
          <w:lang w:val="de-DE"/>
        </w:rPr>
        <w:t>7</w:t>
      </w:r>
      <w:r w:rsidR="007070E2" w:rsidRPr="00CB171C">
        <w:rPr>
          <w:rStyle w:val="f21"/>
          <w:rFonts w:ascii="Arial" w:hAnsi="Arial" w:cs="Arial"/>
          <w:sz w:val="20"/>
          <w:szCs w:val="20"/>
          <w:lang w:val="de-DE"/>
        </w:rPr>
        <w:t> % gegenüber den Zahlen für das Jahr 201</w:t>
      </w:r>
      <w:r w:rsidRPr="00CB171C">
        <w:rPr>
          <w:rStyle w:val="f21"/>
          <w:rFonts w:ascii="Arial" w:hAnsi="Arial" w:cs="Arial"/>
          <w:sz w:val="20"/>
          <w:szCs w:val="20"/>
          <w:lang w:val="de-DE"/>
        </w:rPr>
        <w:t>3</w:t>
      </w:r>
      <w:r w:rsidR="007070E2" w:rsidRPr="00CB171C">
        <w:rPr>
          <w:rStyle w:val="f21"/>
          <w:rFonts w:ascii="Arial" w:hAnsi="Arial" w:cs="Arial"/>
          <w:sz w:val="20"/>
          <w:szCs w:val="20"/>
          <w:lang w:val="de-DE"/>
        </w:rPr>
        <w:t xml:space="preserve"> (</w:t>
      </w:r>
      <w:r w:rsidRPr="00CB171C">
        <w:rPr>
          <w:rStyle w:val="f21"/>
          <w:rFonts w:ascii="Arial" w:hAnsi="Arial" w:cs="Arial"/>
          <w:sz w:val="20"/>
          <w:szCs w:val="20"/>
          <w:lang w:val="de-DE"/>
        </w:rPr>
        <w:t>103</w:t>
      </w:r>
      <w:r w:rsidR="007070E2" w:rsidRPr="00CB171C">
        <w:rPr>
          <w:rStyle w:val="f21"/>
          <w:rFonts w:ascii="Arial" w:hAnsi="Arial" w:cs="Arial"/>
          <w:sz w:val="20"/>
          <w:szCs w:val="20"/>
          <w:lang w:val="de-DE"/>
        </w:rPr>
        <w:t> </w:t>
      </w:r>
      <w:r w:rsidRPr="00CB171C">
        <w:rPr>
          <w:rStyle w:val="f21"/>
          <w:rFonts w:ascii="Arial" w:hAnsi="Arial" w:cs="Arial"/>
          <w:sz w:val="20"/>
          <w:szCs w:val="20"/>
          <w:lang w:val="de-DE"/>
        </w:rPr>
        <w:t>261</w:t>
      </w:r>
      <w:r w:rsidR="007070E2" w:rsidRPr="00CB171C">
        <w:rPr>
          <w:rStyle w:val="f21"/>
          <w:rFonts w:ascii="Arial" w:hAnsi="Arial" w:cs="Arial"/>
          <w:sz w:val="20"/>
          <w:szCs w:val="20"/>
          <w:lang w:val="de-DE"/>
        </w:rPr>
        <w:t>).</w:t>
      </w:r>
      <w:bookmarkEnd w:id="51"/>
    </w:p>
    <w:p w:rsidR="00BB2A71" w:rsidRPr="00CB171C" w:rsidRDefault="00BB2A71" w:rsidP="007070E2">
      <w:pPr>
        <w:autoSpaceDE w:val="0"/>
        <w:autoSpaceDN w:val="0"/>
        <w:adjustRightInd w:val="0"/>
        <w:rPr>
          <w:rFonts w:eastAsia="MS Mincho" w:cs="Arial"/>
          <w:lang w:val="de-DE" w:eastAsia="ja-JP"/>
        </w:rPr>
      </w:pPr>
    </w:p>
    <w:p w:rsidR="007070E2" w:rsidRPr="00CB171C" w:rsidRDefault="007070E2" w:rsidP="007070E2">
      <w:pPr>
        <w:pStyle w:val="Heading2"/>
        <w:rPr>
          <w:lang w:val="de-DE"/>
        </w:rPr>
      </w:pPr>
      <w:bookmarkStart w:id="52" w:name="_Toc413311672"/>
      <w:bookmarkStart w:id="53" w:name="_Toc413335711"/>
      <w:bookmarkStart w:id="54" w:name="_Toc444242868"/>
      <w:bookmarkStart w:id="55" w:name="_Toc381174860"/>
      <w:bookmarkStart w:id="56" w:name="_Toc413078846"/>
      <w:bookmarkStart w:id="57" w:name="_Toc444761617"/>
      <w:r w:rsidRPr="00CB171C">
        <w:rPr>
          <w:lang w:val="de-DE"/>
        </w:rPr>
        <w:t>Zusammenarbeit bei der Prüfung neuer Pflanzensorten</w:t>
      </w:r>
      <w:bookmarkEnd w:id="52"/>
      <w:bookmarkEnd w:id="53"/>
      <w:bookmarkEnd w:id="54"/>
      <w:bookmarkEnd w:id="57"/>
    </w:p>
    <w:p w:rsidR="007070E2" w:rsidRPr="00CB171C" w:rsidRDefault="007070E2" w:rsidP="007070E2">
      <w:pPr>
        <w:keepNext/>
        <w:tabs>
          <w:tab w:val="num" w:pos="1440"/>
        </w:tabs>
        <w:autoSpaceDE w:val="0"/>
        <w:autoSpaceDN w:val="0"/>
        <w:adjustRightInd w:val="0"/>
        <w:rPr>
          <w:rFonts w:cs="Arial"/>
          <w:lang w:val="de-DE"/>
        </w:rPr>
      </w:pPr>
    </w:p>
    <w:p w:rsidR="007070E2" w:rsidRPr="00CB171C" w:rsidRDefault="007070E2" w:rsidP="007070E2">
      <w:pPr>
        <w:tabs>
          <w:tab w:val="num" w:pos="567"/>
        </w:tabs>
        <w:autoSpaceDE w:val="0"/>
        <w:autoSpaceDN w:val="0"/>
        <w:adjustRightInd w:val="0"/>
        <w:rPr>
          <w:rFonts w:cs="Arial"/>
          <w:lang w:val="de-DE"/>
        </w:rPr>
      </w:pPr>
      <w:r w:rsidRPr="00CB171C">
        <w:rPr>
          <w:rFonts w:eastAsia="MS Mincho" w:cs="Arial"/>
          <w:lang w:val="de-DE" w:eastAsia="ja-JP"/>
        </w:rPr>
        <w:fldChar w:fldCharType="begin"/>
      </w:r>
      <w:r w:rsidRPr="00CB171C">
        <w:rPr>
          <w:rFonts w:eastAsia="MS Mincho" w:cs="Arial"/>
          <w:lang w:val="de-DE" w:eastAsia="ja-JP"/>
        </w:rPr>
        <w:instrText xml:space="preserve"> AUTONUM  </w:instrText>
      </w:r>
      <w:r w:rsidRPr="00CB171C">
        <w:rPr>
          <w:rFonts w:eastAsia="MS Mincho" w:cs="Arial"/>
          <w:lang w:val="de-DE" w:eastAsia="ja-JP"/>
        </w:rPr>
        <w:fldChar w:fldCharType="end"/>
      </w:r>
      <w:r w:rsidRPr="00CB171C">
        <w:rPr>
          <w:rFonts w:eastAsia="MS Mincho" w:cs="Arial"/>
          <w:lang w:val="de-DE" w:eastAsia="ja-JP"/>
        </w:rPr>
        <w:tab/>
        <w:t>Im Jahre 201</w:t>
      </w:r>
      <w:r w:rsidR="00BB2A71" w:rsidRPr="00CB171C">
        <w:rPr>
          <w:rFonts w:eastAsia="MS Mincho" w:cs="Arial"/>
          <w:lang w:val="de-DE" w:eastAsia="ja-JP"/>
        </w:rPr>
        <w:t>5</w:t>
      </w:r>
      <w:r w:rsidRPr="00CB171C">
        <w:rPr>
          <w:rFonts w:eastAsia="MS Mincho" w:cs="Arial"/>
          <w:lang w:val="de-DE" w:eastAsia="ja-JP"/>
        </w:rPr>
        <w:t xml:space="preserve"> belief sich die Zahl der Pflanzengattungen und </w:t>
      </w:r>
      <w:r w:rsidRPr="00CB171C">
        <w:rPr>
          <w:rFonts w:eastAsia="MS Mincho" w:cs="Arial"/>
          <w:lang w:val="de-DE" w:eastAsia="ja-JP"/>
        </w:rPr>
        <w:noBreakHyphen/>
        <w:t>arten, für die Abkommen zwischen Verbandsmitgliedern zur Zusammenarbeit bei der Prüfung auf Unterscheidbarkeit, Homogenität und Beständigkeit bestehen, auf insgesamt 2 00</w:t>
      </w:r>
      <w:r w:rsidR="00BB2A71" w:rsidRPr="00CB171C">
        <w:rPr>
          <w:rFonts w:eastAsia="MS Mincho" w:cs="Arial"/>
          <w:lang w:val="de-DE" w:eastAsia="ja-JP"/>
        </w:rPr>
        <w:t>2</w:t>
      </w:r>
      <w:r w:rsidRPr="00CB171C">
        <w:rPr>
          <w:rFonts w:eastAsia="MS Mincho" w:cs="Arial"/>
          <w:lang w:val="de-DE" w:eastAsia="ja-JP"/>
        </w:rPr>
        <w:t xml:space="preserve">, gegenüber </w:t>
      </w:r>
      <w:r w:rsidR="00BB2A71" w:rsidRPr="00CB171C">
        <w:rPr>
          <w:rFonts w:eastAsia="MS Mincho" w:cs="Arial"/>
          <w:lang w:val="de-DE" w:eastAsia="ja-JP"/>
        </w:rPr>
        <w:t>2</w:t>
      </w:r>
      <w:r w:rsidRPr="00CB171C">
        <w:rPr>
          <w:rFonts w:eastAsia="MS Mincho" w:cs="Arial"/>
          <w:lang w:val="de-DE" w:eastAsia="ja-JP"/>
        </w:rPr>
        <w:t> </w:t>
      </w:r>
      <w:r w:rsidR="00BB2A71" w:rsidRPr="00CB171C">
        <w:rPr>
          <w:rFonts w:eastAsia="MS Mincho" w:cs="Arial"/>
          <w:lang w:val="de-DE" w:eastAsia="ja-JP"/>
        </w:rPr>
        <w:t>005</w:t>
      </w:r>
      <w:r w:rsidRPr="00CB171C">
        <w:rPr>
          <w:rFonts w:eastAsia="MS Mincho" w:cs="Arial"/>
          <w:lang w:val="de-DE" w:eastAsia="ja-JP"/>
        </w:rPr>
        <w:t xml:space="preserve"> im Jahre 201</w:t>
      </w:r>
      <w:r w:rsidR="00BB2A71" w:rsidRPr="00CB171C">
        <w:rPr>
          <w:rFonts w:eastAsia="MS Mincho" w:cs="Arial"/>
          <w:lang w:val="de-DE" w:eastAsia="ja-JP"/>
        </w:rPr>
        <w:t>4</w:t>
      </w:r>
      <w:r w:rsidRPr="00CB171C">
        <w:rPr>
          <w:rFonts w:eastAsia="MS Mincho" w:cs="Arial"/>
          <w:lang w:val="de-DE" w:eastAsia="ja-JP"/>
        </w:rPr>
        <w:t>.</w:t>
      </w:r>
    </w:p>
    <w:p w:rsidR="00EA4629" w:rsidRPr="00CB171C" w:rsidRDefault="00EA4629" w:rsidP="00EA4629">
      <w:pPr>
        <w:pStyle w:val="Heading2"/>
        <w:rPr>
          <w:rFonts w:eastAsia="MS Mincho" w:cs="Arial"/>
          <w:highlight w:val="cyan"/>
          <w:lang w:val="de-DE" w:eastAsia="ja-JP"/>
        </w:rPr>
      </w:pPr>
      <w:bookmarkStart w:id="58" w:name="_Toc381174858"/>
      <w:bookmarkEnd w:id="36"/>
      <w:bookmarkEnd w:id="37"/>
      <w:bookmarkEnd w:id="55"/>
      <w:bookmarkEnd w:id="56"/>
    </w:p>
    <w:bookmarkEnd w:id="58"/>
    <w:p w:rsidR="00B02D38" w:rsidRPr="00CB171C" w:rsidRDefault="00B02D38" w:rsidP="00B02D38">
      <w:pPr>
        <w:rPr>
          <w:rFonts w:cs="Arial"/>
          <w:lang w:val="de-DE"/>
        </w:rPr>
      </w:pPr>
    </w:p>
    <w:p w:rsidR="00C3013D" w:rsidRPr="00CB171C" w:rsidRDefault="009B6C32" w:rsidP="00164441">
      <w:pPr>
        <w:pStyle w:val="Heading1"/>
        <w:rPr>
          <w:lang w:val="de-DE"/>
        </w:rPr>
      </w:pPr>
      <w:bookmarkStart w:id="59" w:name="_Toc379530074"/>
      <w:bookmarkStart w:id="60" w:name="_Toc380391621"/>
      <w:bookmarkStart w:id="61" w:name="_Toc380419861"/>
      <w:bookmarkStart w:id="62" w:name="_Toc380483661"/>
      <w:bookmarkStart w:id="63" w:name="_Toc443988411"/>
      <w:bookmarkStart w:id="64" w:name="_Toc444242869"/>
      <w:bookmarkStart w:id="65" w:name="_Toc444761618"/>
      <w:r w:rsidRPr="00CB171C">
        <w:rPr>
          <w:lang w:val="de-DE"/>
        </w:rPr>
        <w:t>Programm und Haushaltsplan für die Rechnungsperiode 2016-201</w:t>
      </w:r>
      <w:bookmarkEnd w:id="59"/>
      <w:bookmarkEnd w:id="60"/>
      <w:bookmarkEnd w:id="61"/>
      <w:bookmarkEnd w:id="62"/>
      <w:r w:rsidRPr="00CB171C">
        <w:rPr>
          <w:lang w:val="de-DE"/>
        </w:rPr>
        <w:t>7</w:t>
      </w:r>
      <w:bookmarkEnd w:id="63"/>
      <w:bookmarkEnd w:id="64"/>
      <w:bookmarkEnd w:id="65"/>
    </w:p>
    <w:p w:rsidR="00C3013D" w:rsidRPr="00CB171C" w:rsidRDefault="00C3013D" w:rsidP="00EA4629">
      <w:pPr>
        <w:rPr>
          <w:rFonts w:cs="Arial"/>
          <w:lang w:val="de-DE"/>
        </w:rPr>
      </w:pPr>
    </w:p>
    <w:p w:rsidR="00B02D38" w:rsidRPr="00CB171C" w:rsidRDefault="00EA4629" w:rsidP="00EA4629">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DF2367" w:rsidRPr="00CB171C">
        <w:rPr>
          <w:lang w:val="de-DE"/>
        </w:rPr>
        <w:t>Der Rat billigte auf seiner neunundvierzigsten ordentlichen Tagung vom 29. Oktober 2015 in Genf das Programm und den Haushaltsplan für die Rechnungsperiode 2016-201</w:t>
      </w:r>
      <w:r w:rsidR="00EB3108" w:rsidRPr="00CB171C">
        <w:rPr>
          <w:lang w:val="de-DE"/>
        </w:rPr>
        <w:t>7</w:t>
      </w:r>
      <w:r w:rsidR="00DF2367" w:rsidRPr="00CB171C">
        <w:rPr>
          <w:lang w:val="de-DE"/>
        </w:rPr>
        <w:t xml:space="preserve"> in Höhe von </w:t>
      </w:r>
      <w:r w:rsidR="00DF2367" w:rsidRPr="00CB171C">
        <w:rPr>
          <w:rFonts w:cs="Arial"/>
          <w:lang w:val="de-DE"/>
        </w:rPr>
        <w:t xml:space="preserve">6 823 000 Schweizer </w:t>
      </w:r>
      <w:r w:rsidR="00EB3108" w:rsidRPr="00CB171C">
        <w:rPr>
          <w:rFonts w:cs="Arial"/>
          <w:lang w:val="de-DE"/>
        </w:rPr>
        <w:t>F</w:t>
      </w:r>
      <w:r w:rsidR="00DF2367" w:rsidRPr="00CB171C">
        <w:rPr>
          <w:rFonts w:cs="Arial"/>
          <w:lang w:val="de-DE"/>
        </w:rPr>
        <w:t xml:space="preserve">ranken, was einer Zunahme gegenüber der Rechnungsperiode 2014-2015 (6 794 000 Schweizer Franken) von 0,4 % entspricht. </w:t>
      </w:r>
      <w:r w:rsidR="003660DC" w:rsidRPr="00CB171C">
        <w:rPr>
          <w:rFonts w:cs="Arial"/>
          <w:lang w:val="de-DE"/>
        </w:rPr>
        <w:t xml:space="preserve">Dieser Haushaltsplan </w:t>
      </w:r>
      <w:r w:rsidR="00DF2367" w:rsidRPr="00CB171C">
        <w:rPr>
          <w:rFonts w:cs="Arial"/>
          <w:lang w:val="de-DE"/>
        </w:rPr>
        <w:t>enthält</w:t>
      </w:r>
      <w:r w:rsidR="003660DC" w:rsidRPr="00CB171C">
        <w:rPr>
          <w:rFonts w:cs="Arial"/>
          <w:lang w:val="de-DE"/>
        </w:rPr>
        <w:t xml:space="preserve"> keine Änderung der </w:t>
      </w:r>
      <w:r w:rsidR="00DF2367" w:rsidRPr="00CB171C">
        <w:rPr>
          <w:rFonts w:cs="Arial"/>
          <w:lang w:val="de-DE"/>
        </w:rPr>
        <w:t>Höhe</w:t>
      </w:r>
      <w:r w:rsidR="003660DC" w:rsidRPr="00CB171C">
        <w:rPr>
          <w:rFonts w:cs="Arial"/>
          <w:lang w:val="de-DE"/>
        </w:rPr>
        <w:t xml:space="preserve"> der Beitragseinheit </w:t>
      </w:r>
      <w:r w:rsidR="00EB3108" w:rsidRPr="00CB171C">
        <w:rPr>
          <w:rFonts w:cs="Arial"/>
          <w:lang w:val="de-DE"/>
        </w:rPr>
        <w:t>der</w:t>
      </w:r>
      <w:r w:rsidR="003660DC" w:rsidRPr="00CB171C">
        <w:rPr>
          <w:rFonts w:cs="Arial"/>
          <w:lang w:val="de-DE"/>
        </w:rPr>
        <w:t xml:space="preserve"> </w:t>
      </w:r>
      <w:r w:rsidR="00EB3108" w:rsidRPr="00CB171C">
        <w:rPr>
          <w:rFonts w:cs="Arial"/>
          <w:lang w:val="de-DE"/>
        </w:rPr>
        <w:t>Verbandsmitglieder</w:t>
      </w:r>
      <w:r w:rsidR="003660DC" w:rsidRPr="00CB171C">
        <w:rPr>
          <w:rFonts w:cs="Arial"/>
          <w:lang w:val="de-DE"/>
        </w:rPr>
        <w:t xml:space="preserve"> und keine </w:t>
      </w:r>
      <w:r w:rsidR="00DF2367" w:rsidRPr="00CB171C">
        <w:rPr>
          <w:rFonts w:cs="Arial"/>
          <w:lang w:val="de-DE"/>
        </w:rPr>
        <w:t>Änderung</w:t>
      </w:r>
      <w:r w:rsidR="003660DC" w:rsidRPr="00CB171C">
        <w:rPr>
          <w:rFonts w:cs="Arial"/>
          <w:lang w:val="de-DE"/>
        </w:rPr>
        <w:t xml:space="preserve"> der </w:t>
      </w:r>
      <w:r w:rsidR="00DF2367" w:rsidRPr="00CB171C">
        <w:rPr>
          <w:rFonts w:cs="Arial"/>
          <w:lang w:val="de-DE"/>
        </w:rPr>
        <w:t>Gesamtzahl</w:t>
      </w:r>
      <w:r w:rsidR="003660DC" w:rsidRPr="00CB171C">
        <w:rPr>
          <w:rFonts w:cs="Arial"/>
          <w:lang w:val="de-DE"/>
        </w:rPr>
        <w:t xml:space="preserve"> der Posten für das </w:t>
      </w:r>
      <w:r w:rsidR="00DF2367" w:rsidRPr="00CB171C">
        <w:rPr>
          <w:rFonts w:cs="Arial"/>
          <w:lang w:val="de-DE"/>
        </w:rPr>
        <w:t>Verbandsbüro</w:t>
      </w:r>
      <w:r w:rsidR="003660DC" w:rsidRPr="00CB171C">
        <w:rPr>
          <w:rFonts w:cs="Arial"/>
          <w:lang w:val="de-DE"/>
        </w:rPr>
        <w:t xml:space="preserve"> (vergleiche Dokument </w:t>
      </w:r>
      <w:r w:rsidR="00464127" w:rsidRPr="00CB171C">
        <w:rPr>
          <w:rFonts w:cs="Arial"/>
          <w:lang w:val="de-DE"/>
        </w:rPr>
        <w:t>C/49/4 Rev.)</w:t>
      </w:r>
      <w:r w:rsidRPr="00CB171C">
        <w:rPr>
          <w:rFonts w:cs="Arial"/>
          <w:lang w:val="de-DE"/>
        </w:rPr>
        <w:t>.</w:t>
      </w:r>
    </w:p>
    <w:p w:rsidR="00164441" w:rsidRPr="00CB171C" w:rsidRDefault="00164441" w:rsidP="00EA4629">
      <w:pPr>
        <w:rPr>
          <w:rFonts w:cs="Arial"/>
          <w:lang w:val="de-DE"/>
        </w:rPr>
      </w:pPr>
    </w:p>
    <w:p w:rsidR="00164441" w:rsidRPr="00CB171C" w:rsidRDefault="00164441" w:rsidP="00EA4629">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3660DC" w:rsidRPr="00CB171C">
        <w:rPr>
          <w:rFonts w:cs="Arial"/>
          <w:lang w:val="de-DE"/>
        </w:rPr>
        <w:t xml:space="preserve">Das vom Verbandsbüro auf der zweiundfünfzigsten Tagung des TC zu haltende </w:t>
      </w:r>
      <w:r w:rsidR="00DF2367" w:rsidRPr="00CB171C">
        <w:rPr>
          <w:rFonts w:cs="Arial"/>
          <w:lang w:val="de-DE"/>
        </w:rPr>
        <w:t>Referat</w:t>
      </w:r>
      <w:r w:rsidR="003660DC" w:rsidRPr="00CB171C">
        <w:rPr>
          <w:rFonts w:cs="Arial"/>
          <w:lang w:val="de-DE"/>
        </w:rPr>
        <w:t xml:space="preserve">, das die </w:t>
      </w:r>
      <w:r w:rsidR="00DF2367" w:rsidRPr="00CB171C">
        <w:rPr>
          <w:rFonts w:cs="Arial"/>
          <w:lang w:val="de-DE"/>
        </w:rPr>
        <w:t>Posten</w:t>
      </w:r>
      <w:r w:rsidR="003660DC" w:rsidRPr="00CB171C">
        <w:rPr>
          <w:rFonts w:cs="Arial"/>
          <w:lang w:val="de-DE"/>
        </w:rPr>
        <w:t xml:space="preserve"> in diesem Dokument </w:t>
      </w:r>
      <w:r w:rsidR="00DF2367" w:rsidRPr="00CB171C">
        <w:rPr>
          <w:rFonts w:cs="Arial"/>
          <w:lang w:val="de-DE"/>
        </w:rPr>
        <w:t>zusammenfaßt</w:t>
      </w:r>
      <w:r w:rsidR="003660DC" w:rsidRPr="00CB171C">
        <w:rPr>
          <w:rFonts w:cs="Arial"/>
          <w:lang w:val="de-DE"/>
        </w:rPr>
        <w:t>, wir</w:t>
      </w:r>
      <w:r w:rsidR="00EB3108" w:rsidRPr="00CB171C">
        <w:rPr>
          <w:rFonts w:cs="Arial"/>
          <w:lang w:val="de-DE"/>
        </w:rPr>
        <w:t>d</w:t>
      </w:r>
      <w:r w:rsidR="003660DC" w:rsidRPr="00CB171C">
        <w:rPr>
          <w:rFonts w:cs="Arial"/>
          <w:lang w:val="de-DE"/>
        </w:rPr>
        <w:t xml:space="preserve"> eine </w:t>
      </w:r>
      <w:r w:rsidR="00DF2367" w:rsidRPr="00CB171C">
        <w:rPr>
          <w:rFonts w:cs="Arial"/>
          <w:lang w:val="de-DE"/>
        </w:rPr>
        <w:t>Zusammenfassung</w:t>
      </w:r>
      <w:r w:rsidR="003660DC" w:rsidRPr="00CB171C">
        <w:rPr>
          <w:rFonts w:cs="Arial"/>
          <w:lang w:val="de-DE"/>
        </w:rPr>
        <w:t xml:space="preserve"> der Schlüsselelemente des Programms </w:t>
      </w:r>
      <w:r w:rsidR="00DF2367" w:rsidRPr="00CB171C">
        <w:rPr>
          <w:rFonts w:cs="Arial"/>
          <w:lang w:val="de-DE"/>
        </w:rPr>
        <w:t>und</w:t>
      </w:r>
      <w:r w:rsidR="003660DC" w:rsidRPr="00CB171C">
        <w:rPr>
          <w:rFonts w:cs="Arial"/>
          <w:lang w:val="de-DE"/>
        </w:rPr>
        <w:t xml:space="preserve"> Haushaltsplans für die Rechnungsperiode 2016-2017 </w:t>
      </w:r>
      <w:r w:rsidR="00EB3108" w:rsidRPr="00CB171C">
        <w:rPr>
          <w:rFonts w:cs="Arial"/>
          <w:lang w:val="de-DE"/>
        </w:rPr>
        <w:t>einschließen</w:t>
      </w:r>
      <w:r w:rsidRPr="00CB171C">
        <w:rPr>
          <w:rFonts w:cs="Arial"/>
          <w:lang w:val="de-DE"/>
        </w:rPr>
        <w:t>.</w:t>
      </w:r>
    </w:p>
    <w:p w:rsidR="00164441" w:rsidRPr="00CB171C" w:rsidRDefault="00164441" w:rsidP="00EA4629">
      <w:pPr>
        <w:rPr>
          <w:rFonts w:cs="Arial"/>
          <w:lang w:val="de-DE"/>
        </w:rPr>
      </w:pPr>
    </w:p>
    <w:p w:rsidR="00B02D38" w:rsidRPr="00CB171C" w:rsidRDefault="00B02D38" w:rsidP="00B02D38">
      <w:pPr>
        <w:rPr>
          <w:rFonts w:cs="Arial"/>
          <w:lang w:val="de-DE"/>
        </w:rPr>
      </w:pPr>
    </w:p>
    <w:p w:rsidR="00C3013D" w:rsidRPr="00CB171C" w:rsidRDefault="00C713F4" w:rsidP="00164441">
      <w:pPr>
        <w:pStyle w:val="Heading1"/>
        <w:rPr>
          <w:lang w:val="de-DE"/>
        </w:rPr>
      </w:pPr>
      <w:bookmarkStart w:id="66" w:name="_Toc443988412"/>
      <w:bookmarkStart w:id="67" w:name="_Toc444242870"/>
      <w:bookmarkStart w:id="68" w:name="_Toc444761619"/>
      <w:r w:rsidRPr="00CB171C">
        <w:rPr>
          <w:lang w:val="de-DE"/>
        </w:rPr>
        <w:t>FONDS</w:t>
      </w:r>
      <w:r w:rsidR="00C3013D" w:rsidRPr="00CB171C">
        <w:rPr>
          <w:lang w:val="de-DE"/>
        </w:rPr>
        <w:t xml:space="preserve"> </w:t>
      </w:r>
      <w:r w:rsidR="002C7219" w:rsidRPr="00CB171C">
        <w:rPr>
          <w:lang w:val="de-DE"/>
        </w:rPr>
        <w:t xml:space="preserve">FÜR SONDERPROJEKTE </w:t>
      </w:r>
      <w:r w:rsidR="00C3013D" w:rsidRPr="00CB171C">
        <w:rPr>
          <w:lang w:val="de-DE"/>
        </w:rPr>
        <w:t>(SPF)</w:t>
      </w:r>
      <w:bookmarkEnd w:id="66"/>
      <w:bookmarkEnd w:id="67"/>
      <w:bookmarkEnd w:id="68"/>
    </w:p>
    <w:p w:rsidR="00C3013D" w:rsidRPr="00CB171C" w:rsidRDefault="00C3013D" w:rsidP="00B02D38">
      <w:pPr>
        <w:rPr>
          <w:rFonts w:cs="Arial"/>
          <w:lang w:val="de-DE"/>
        </w:rPr>
      </w:pPr>
    </w:p>
    <w:p w:rsidR="00C3013D" w:rsidRPr="00CB171C" w:rsidRDefault="00C3013D" w:rsidP="00C3013D">
      <w:pPr>
        <w:rPr>
          <w:snapToGrid w:val="0"/>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C713F4" w:rsidRPr="00CB171C">
        <w:rPr>
          <w:lang w:val="de-DE"/>
        </w:rPr>
        <w:t>D</w:t>
      </w:r>
      <w:r w:rsidR="00C713F4" w:rsidRPr="00CB171C">
        <w:rPr>
          <w:snapToGrid w:val="0"/>
          <w:lang w:val="de-DE"/>
        </w:rPr>
        <w:t xml:space="preserve">as Guthaben im Fonds für Sonderprojekte zum Jahresende 2015 </w:t>
      </w:r>
      <w:r w:rsidR="00DF2367" w:rsidRPr="00CB171C">
        <w:rPr>
          <w:snapToGrid w:val="0"/>
          <w:lang w:val="de-DE"/>
        </w:rPr>
        <w:t>wird</w:t>
      </w:r>
      <w:r w:rsidR="00C713F4" w:rsidRPr="00CB171C">
        <w:rPr>
          <w:snapToGrid w:val="0"/>
          <w:lang w:val="de-DE"/>
        </w:rPr>
        <w:t xml:space="preserve"> im Jahre 2016 für Tätigkeiten im Zusammenhang mit der UPOV-Schulungs- und Unterstützungsstrategie gemäß folgenden Zwecken und in der in bezug auf die Verfügbarkeit von Finanzierung aus anderen Quellen als angebracht erachteten Prioritätenrangfolge verwendet werden</w:t>
      </w:r>
      <w:r w:rsidRPr="00CB171C">
        <w:rPr>
          <w:snapToGrid w:val="0"/>
          <w:lang w:val="de-DE"/>
        </w:rPr>
        <w:t>:</w:t>
      </w:r>
    </w:p>
    <w:p w:rsidR="00C3013D" w:rsidRPr="00CB171C" w:rsidRDefault="00C3013D" w:rsidP="00C3013D">
      <w:pPr>
        <w:rPr>
          <w:snapToGrid w:val="0"/>
          <w:lang w:val="de-DE"/>
        </w:rPr>
      </w:pPr>
    </w:p>
    <w:p w:rsidR="00C713F4" w:rsidRPr="00CB171C" w:rsidRDefault="00C713F4" w:rsidP="00C713F4">
      <w:pPr>
        <w:pStyle w:val="ListParagraph"/>
        <w:numPr>
          <w:ilvl w:val="0"/>
          <w:numId w:val="17"/>
        </w:numPr>
        <w:rPr>
          <w:snapToGrid w:val="0"/>
          <w:lang w:val="de-DE"/>
        </w:rPr>
      </w:pPr>
      <w:r w:rsidRPr="00CB171C">
        <w:rPr>
          <w:lang w:val="de-DE"/>
        </w:rPr>
        <w:t>Von der UPOV oder von der UPOV mitorganisierte Standardausbildungstätigkeiten</w:t>
      </w:r>
    </w:p>
    <w:p w:rsidR="00C713F4" w:rsidRPr="00CB171C" w:rsidRDefault="00C713F4" w:rsidP="00C713F4">
      <w:pPr>
        <w:pStyle w:val="ListParagraph"/>
        <w:numPr>
          <w:ilvl w:val="1"/>
          <w:numId w:val="17"/>
        </w:numPr>
        <w:rPr>
          <w:snapToGrid w:val="0"/>
          <w:lang w:val="de-DE"/>
        </w:rPr>
      </w:pPr>
      <w:r w:rsidRPr="00CB171C">
        <w:rPr>
          <w:lang w:val="de-DE"/>
        </w:rPr>
        <w:t>Einreichung von Daten</w:t>
      </w:r>
      <w:r w:rsidR="006A75AF" w:rsidRPr="00CB171C">
        <w:rPr>
          <w:lang w:val="de-DE"/>
        </w:rPr>
        <w:t xml:space="preserve"> für die PLUTO-Datenbank</w:t>
      </w:r>
    </w:p>
    <w:p w:rsidR="00C713F4" w:rsidRPr="00CB171C" w:rsidRDefault="00C713F4" w:rsidP="00C713F4">
      <w:pPr>
        <w:pStyle w:val="ListParagraph"/>
        <w:numPr>
          <w:ilvl w:val="1"/>
          <w:numId w:val="17"/>
        </w:numPr>
        <w:rPr>
          <w:snapToGrid w:val="0"/>
          <w:lang w:val="de-DE"/>
        </w:rPr>
      </w:pPr>
      <w:r w:rsidRPr="00CB171C">
        <w:rPr>
          <w:lang w:val="de-DE"/>
        </w:rPr>
        <w:t>Lehrgäng</w:t>
      </w:r>
      <w:r w:rsidR="006A75AF" w:rsidRPr="00CB171C">
        <w:rPr>
          <w:lang w:val="de-DE"/>
        </w:rPr>
        <w:t>e zur Ausbildung von Ausbildern</w:t>
      </w:r>
    </w:p>
    <w:p w:rsidR="00C713F4" w:rsidRPr="00CB171C" w:rsidRDefault="00C713F4" w:rsidP="00C713F4">
      <w:pPr>
        <w:pStyle w:val="ListParagraph"/>
        <w:numPr>
          <w:ilvl w:val="1"/>
          <w:numId w:val="17"/>
        </w:numPr>
        <w:rPr>
          <w:snapToGrid w:val="0"/>
          <w:lang w:val="de-DE"/>
        </w:rPr>
      </w:pPr>
      <w:r w:rsidRPr="00CB171C">
        <w:rPr>
          <w:lang w:val="de-DE"/>
        </w:rPr>
        <w:t>Schulung für Tutoren der UPOV-Fernlehrgangsprogramme</w:t>
      </w:r>
      <w:r w:rsidRPr="00CB171C">
        <w:rPr>
          <w:snapToGrid w:val="0"/>
          <w:lang w:val="de-DE"/>
        </w:rPr>
        <w:t>;</w:t>
      </w:r>
    </w:p>
    <w:p w:rsidR="00C713F4" w:rsidRPr="00CB171C" w:rsidRDefault="00C713F4" w:rsidP="00C713F4">
      <w:pPr>
        <w:rPr>
          <w:snapToGrid w:val="0"/>
          <w:lang w:val="de-DE"/>
        </w:rPr>
      </w:pPr>
    </w:p>
    <w:p w:rsidR="00C713F4" w:rsidRPr="00CB171C" w:rsidRDefault="00C713F4" w:rsidP="00C713F4">
      <w:pPr>
        <w:pStyle w:val="ListParagraph"/>
        <w:numPr>
          <w:ilvl w:val="0"/>
          <w:numId w:val="17"/>
        </w:numPr>
        <w:rPr>
          <w:snapToGrid w:val="0"/>
          <w:lang w:val="de-DE"/>
        </w:rPr>
      </w:pPr>
      <w:r w:rsidRPr="00CB171C">
        <w:rPr>
          <w:lang w:val="de-DE"/>
        </w:rPr>
        <w:t>Mittel für Ausbildung und Unterstützung</w:t>
      </w:r>
      <w:r w:rsidRPr="00CB171C">
        <w:rPr>
          <w:snapToGrid w:val="0"/>
          <w:lang w:val="de-DE"/>
        </w:rPr>
        <w:t>;</w:t>
      </w:r>
    </w:p>
    <w:p w:rsidR="00C713F4" w:rsidRPr="00CB171C" w:rsidRDefault="00C713F4" w:rsidP="00C713F4">
      <w:pPr>
        <w:rPr>
          <w:snapToGrid w:val="0"/>
          <w:lang w:val="de-DE"/>
        </w:rPr>
      </w:pPr>
    </w:p>
    <w:p w:rsidR="00C713F4" w:rsidRPr="00CB171C" w:rsidRDefault="00C713F4" w:rsidP="00C713F4">
      <w:pPr>
        <w:pStyle w:val="ListParagraph"/>
        <w:numPr>
          <w:ilvl w:val="0"/>
          <w:numId w:val="17"/>
        </w:numPr>
        <w:rPr>
          <w:snapToGrid w:val="0"/>
          <w:lang w:val="de-DE"/>
        </w:rPr>
      </w:pPr>
      <w:r w:rsidRPr="00CB171C">
        <w:rPr>
          <w:lang w:val="de-DE"/>
        </w:rPr>
        <w:t>Ausbildungstätigkeiten, zu denen die UPOV beiträgt</w:t>
      </w:r>
      <w:r w:rsidRPr="00CB171C">
        <w:rPr>
          <w:snapToGrid w:val="0"/>
          <w:lang w:val="de-DE"/>
        </w:rPr>
        <w:t>;</w:t>
      </w:r>
    </w:p>
    <w:p w:rsidR="00C713F4" w:rsidRPr="00CB171C" w:rsidRDefault="00C713F4" w:rsidP="00C713F4">
      <w:pPr>
        <w:rPr>
          <w:snapToGrid w:val="0"/>
          <w:lang w:val="de-DE"/>
        </w:rPr>
      </w:pPr>
    </w:p>
    <w:p w:rsidR="00C713F4" w:rsidRPr="00CB171C" w:rsidRDefault="00C713F4" w:rsidP="00C713F4">
      <w:pPr>
        <w:pStyle w:val="ListParagraph"/>
        <w:numPr>
          <w:ilvl w:val="0"/>
          <w:numId w:val="17"/>
        </w:numPr>
        <w:rPr>
          <w:snapToGrid w:val="0"/>
          <w:lang w:val="de-DE"/>
        </w:rPr>
      </w:pPr>
      <w:r w:rsidRPr="00CB171C">
        <w:rPr>
          <w:lang w:val="de-DE"/>
        </w:rPr>
        <w:t>Von der UPOV organisierte Tätigkeiten vor Ort</w:t>
      </w:r>
      <w:r w:rsidRPr="00CB171C">
        <w:rPr>
          <w:snapToGrid w:val="0"/>
          <w:lang w:val="de-DE"/>
        </w:rPr>
        <w:t>.</w:t>
      </w:r>
    </w:p>
    <w:p w:rsidR="00C3013D" w:rsidRPr="00CB171C" w:rsidRDefault="00C3013D" w:rsidP="00B02D38">
      <w:pPr>
        <w:rPr>
          <w:rFonts w:cs="Arial"/>
          <w:lang w:val="de-DE"/>
        </w:rPr>
      </w:pPr>
    </w:p>
    <w:p w:rsidR="00C3013D" w:rsidRPr="00CB171C" w:rsidRDefault="00C3013D" w:rsidP="00B02D38">
      <w:pPr>
        <w:rPr>
          <w:rFonts w:cs="Arial"/>
          <w:lang w:val="de-DE"/>
        </w:rPr>
      </w:pPr>
    </w:p>
    <w:p w:rsidR="00C3013D" w:rsidRPr="00CB171C" w:rsidRDefault="00C713F4" w:rsidP="00C3013D">
      <w:pPr>
        <w:pStyle w:val="Heading1"/>
        <w:rPr>
          <w:lang w:val="de-DE"/>
        </w:rPr>
      </w:pPr>
      <w:bookmarkStart w:id="69" w:name="_Toc443988413"/>
      <w:bookmarkStart w:id="70" w:name="_Toc444242871"/>
      <w:bookmarkStart w:id="71" w:name="_Toc444761620"/>
      <w:r w:rsidRPr="00CB171C">
        <w:rPr>
          <w:lang w:val="de-DE"/>
        </w:rPr>
        <w:t xml:space="preserve">BEURTEILUNG DER UPOV DURCH DIE Abteilung für interne Revision und Aufsicht </w:t>
      </w:r>
      <w:r w:rsidR="006A75AF" w:rsidRPr="00CB171C">
        <w:rPr>
          <w:lang w:val="de-DE"/>
        </w:rPr>
        <w:t xml:space="preserve">DER WIPO </w:t>
      </w:r>
      <w:r w:rsidRPr="00CB171C">
        <w:rPr>
          <w:lang w:val="de-DE"/>
        </w:rPr>
        <w:t>(IOD)</w:t>
      </w:r>
      <w:bookmarkEnd w:id="69"/>
      <w:bookmarkEnd w:id="70"/>
      <w:bookmarkEnd w:id="71"/>
    </w:p>
    <w:p w:rsidR="00C3013D" w:rsidRPr="00CB171C" w:rsidRDefault="00C3013D" w:rsidP="00C3013D">
      <w:pPr>
        <w:rPr>
          <w:lang w:val="de-DE"/>
        </w:rPr>
      </w:pPr>
    </w:p>
    <w:p w:rsidR="00C3013D" w:rsidRPr="00CB171C" w:rsidRDefault="00C3013D" w:rsidP="00C3013D">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C713F4" w:rsidRPr="00CB171C">
        <w:rPr>
          <w:lang w:val="de-DE"/>
        </w:rPr>
        <w:t xml:space="preserve">Der Beratende </w:t>
      </w:r>
      <w:r w:rsidR="00DF2367" w:rsidRPr="00CB171C">
        <w:rPr>
          <w:lang w:val="de-DE"/>
        </w:rPr>
        <w:t>Ausschuß</w:t>
      </w:r>
      <w:r w:rsidR="00C713F4" w:rsidRPr="00CB171C">
        <w:rPr>
          <w:lang w:val="de-DE"/>
        </w:rPr>
        <w:t xml:space="preserve"> vereinbarte, die Abteilung für interne Revision und Aufsicht der WIPO (IOD) zu ersuchen, im Zeitraum 2016-2017 eine Beurteilung des </w:t>
      </w:r>
      <w:r w:rsidR="00DF2367" w:rsidRPr="00CB171C">
        <w:rPr>
          <w:lang w:val="de-DE"/>
        </w:rPr>
        <w:t>Tätigkeitsprogramm</w:t>
      </w:r>
      <w:r w:rsidR="002C7219" w:rsidRPr="00CB171C">
        <w:rPr>
          <w:lang w:val="de-DE"/>
        </w:rPr>
        <w:t>s</w:t>
      </w:r>
      <w:r w:rsidR="00C713F4" w:rsidRPr="00CB171C">
        <w:rPr>
          <w:lang w:val="de-DE"/>
        </w:rPr>
        <w:t xml:space="preserve"> der UPOV vorzunehmen.</w:t>
      </w:r>
    </w:p>
    <w:p w:rsidR="00C3013D" w:rsidRPr="00CB171C" w:rsidRDefault="00C3013D" w:rsidP="00B02D38">
      <w:pPr>
        <w:rPr>
          <w:rFonts w:cs="Arial"/>
          <w:lang w:val="de-DE"/>
        </w:rPr>
      </w:pPr>
    </w:p>
    <w:p w:rsidR="00B02D38" w:rsidRPr="00CB171C" w:rsidRDefault="00B02D38" w:rsidP="00B02D38">
      <w:pPr>
        <w:rPr>
          <w:rFonts w:cs="Arial"/>
          <w:spacing w:val="-2"/>
          <w:lang w:val="de-DE"/>
        </w:rPr>
      </w:pPr>
    </w:p>
    <w:p w:rsidR="00014AE7" w:rsidRPr="00CB171C" w:rsidRDefault="00C713F4" w:rsidP="00C3013D">
      <w:pPr>
        <w:pStyle w:val="Heading1"/>
        <w:rPr>
          <w:lang w:val="de-DE"/>
        </w:rPr>
      </w:pPr>
      <w:bookmarkStart w:id="72" w:name="_Toc443988414"/>
      <w:bookmarkStart w:id="73" w:name="_Toc444242872"/>
      <w:bookmarkStart w:id="74" w:name="_Toc444761621"/>
      <w:r w:rsidRPr="00CB171C">
        <w:rPr>
          <w:lang w:val="de-DE"/>
        </w:rPr>
        <w:t>organe und tagungen der upov</w:t>
      </w:r>
      <w:bookmarkEnd w:id="72"/>
      <w:bookmarkEnd w:id="73"/>
      <w:bookmarkEnd w:id="74"/>
    </w:p>
    <w:p w:rsidR="00014AE7" w:rsidRPr="00CB171C" w:rsidRDefault="00014AE7" w:rsidP="00C3013D">
      <w:pPr>
        <w:pStyle w:val="Heading1"/>
        <w:rPr>
          <w:lang w:val="de-DE"/>
        </w:rPr>
      </w:pPr>
    </w:p>
    <w:p w:rsidR="00857963" w:rsidRPr="00CB171C" w:rsidRDefault="00014AE7" w:rsidP="00014AE7">
      <w:pPr>
        <w:pStyle w:val="Heading2"/>
        <w:rPr>
          <w:lang w:val="de-DE"/>
        </w:rPr>
      </w:pPr>
      <w:bookmarkStart w:id="75" w:name="_Toc443988415"/>
      <w:bookmarkStart w:id="76" w:name="_Toc444242873"/>
      <w:bookmarkStart w:id="77" w:name="_Toc444761622"/>
      <w:r w:rsidRPr="00CB171C">
        <w:rPr>
          <w:lang w:val="de-DE"/>
        </w:rPr>
        <w:t>Pr</w:t>
      </w:r>
      <w:r w:rsidR="00497FC6" w:rsidRPr="00CB171C">
        <w:rPr>
          <w:lang w:val="de-DE"/>
        </w:rPr>
        <w:t>ä</w:t>
      </w:r>
      <w:r w:rsidRPr="00CB171C">
        <w:rPr>
          <w:lang w:val="de-DE"/>
        </w:rPr>
        <w:t xml:space="preserve">sident </w:t>
      </w:r>
      <w:r w:rsidR="00497FC6" w:rsidRPr="00CB171C">
        <w:rPr>
          <w:lang w:val="de-DE"/>
        </w:rPr>
        <w:t>u</w:t>
      </w:r>
      <w:r w:rsidRPr="00CB171C">
        <w:rPr>
          <w:lang w:val="de-DE"/>
        </w:rPr>
        <w:t>nd Vi</w:t>
      </w:r>
      <w:r w:rsidR="00497FC6" w:rsidRPr="00CB171C">
        <w:rPr>
          <w:lang w:val="de-DE"/>
        </w:rPr>
        <w:t>z</w:t>
      </w:r>
      <w:r w:rsidRPr="00CB171C">
        <w:rPr>
          <w:lang w:val="de-DE"/>
        </w:rPr>
        <w:t>e</w:t>
      </w:r>
      <w:r w:rsidR="00497FC6" w:rsidRPr="00CB171C">
        <w:rPr>
          <w:lang w:val="de-DE"/>
        </w:rPr>
        <w:t>p</w:t>
      </w:r>
      <w:r w:rsidRPr="00CB171C">
        <w:rPr>
          <w:lang w:val="de-DE"/>
        </w:rPr>
        <w:t>r</w:t>
      </w:r>
      <w:r w:rsidR="00497FC6" w:rsidRPr="00CB171C">
        <w:rPr>
          <w:lang w:val="de-DE"/>
        </w:rPr>
        <w:t>ä</w:t>
      </w:r>
      <w:r w:rsidRPr="00CB171C">
        <w:rPr>
          <w:lang w:val="de-DE"/>
        </w:rPr>
        <w:t xml:space="preserve">sident </w:t>
      </w:r>
      <w:r w:rsidR="00497FC6" w:rsidRPr="00CB171C">
        <w:rPr>
          <w:lang w:val="de-DE"/>
        </w:rPr>
        <w:t xml:space="preserve">des Rates der </w:t>
      </w:r>
      <w:r w:rsidR="00857963" w:rsidRPr="00CB171C">
        <w:rPr>
          <w:lang w:val="de-DE"/>
        </w:rPr>
        <w:t>UPOV</w:t>
      </w:r>
      <w:bookmarkEnd w:id="75"/>
      <w:bookmarkEnd w:id="76"/>
      <w:bookmarkEnd w:id="77"/>
    </w:p>
    <w:p w:rsidR="00857963" w:rsidRPr="00CB171C" w:rsidRDefault="00857963" w:rsidP="00D821B9">
      <w:pPr>
        <w:keepNext/>
        <w:autoSpaceDE w:val="0"/>
        <w:autoSpaceDN w:val="0"/>
        <w:adjustRightInd w:val="0"/>
        <w:jc w:val="left"/>
        <w:rPr>
          <w:rFonts w:cs="Arial"/>
          <w:lang w:val="de-DE"/>
        </w:rPr>
      </w:pPr>
    </w:p>
    <w:p w:rsidR="00497FC6" w:rsidRPr="00CB171C" w:rsidRDefault="00497FC6" w:rsidP="00497FC6">
      <w:pPr>
        <w:rPr>
          <w:rFonts w:cs="Arial"/>
          <w:lang w:val="de-DE" w:eastAsia="fr-CH"/>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Pr="00CB171C">
        <w:rPr>
          <w:rFonts w:cs="Arial"/>
          <w:color w:val="000000"/>
          <w:lang w:val="de-DE" w:eastAsia="fr-CH"/>
        </w:rPr>
        <w:t xml:space="preserve">Der Rat wählte auf seiner </w:t>
      </w:r>
      <w:r w:rsidR="00DF2367" w:rsidRPr="00CB171C">
        <w:rPr>
          <w:rFonts w:cs="Arial"/>
          <w:color w:val="000000"/>
          <w:lang w:val="de-DE" w:eastAsia="fr-CH"/>
        </w:rPr>
        <w:t>neunundvierzigsten</w:t>
      </w:r>
      <w:r w:rsidRPr="00CB171C">
        <w:rPr>
          <w:rFonts w:cs="Arial"/>
          <w:color w:val="000000"/>
          <w:lang w:val="de-DE" w:eastAsia="fr-CH"/>
        </w:rPr>
        <w:t xml:space="preserve"> </w:t>
      </w:r>
      <w:r w:rsidR="00DF2367" w:rsidRPr="00CB171C">
        <w:rPr>
          <w:rFonts w:cs="Arial"/>
          <w:color w:val="000000"/>
          <w:lang w:val="de-DE" w:eastAsia="fr-CH"/>
        </w:rPr>
        <w:t>ordentlichen</w:t>
      </w:r>
      <w:r w:rsidRPr="00CB171C">
        <w:rPr>
          <w:rFonts w:cs="Arial"/>
          <w:color w:val="000000"/>
          <w:lang w:val="de-DE" w:eastAsia="fr-CH"/>
        </w:rPr>
        <w:t xml:space="preserve"> Tagung, jeweils für eine Amtszeit von drei Jahren, die mit der zweiundfünfzigsten ordentlichen Tagung des Rates im Jahre 2018 enden wird:</w:t>
      </w:r>
    </w:p>
    <w:p w:rsidR="00497FC6" w:rsidRPr="00CB171C" w:rsidRDefault="00497FC6" w:rsidP="00497FC6">
      <w:pPr>
        <w:jc w:val="left"/>
        <w:rPr>
          <w:rFonts w:cs="Arial"/>
          <w:lang w:val="de-DE" w:eastAsia="fr-CH"/>
        </w:rPr>
      </w:pPr>
    </w:p>
    <w:p w:rsidR="00497FC6" w:rsidRPr="00CB171C" w:rsidRDefault="00497FC6" w:rsidP="00497FC6">
      <w:pPr>
        <w:pStyle w:val="ListParagraph"/>
        <w:numPr>
          <w:ilvl w:val="0"/>
          <w:numId w:val="18"/>
        </w:numPr>
        <w:ind w:left="1134" w:hanging="567"/>
        <w:rPr>
          <w:rFonts w:cs="Arial"/>
          <w:lang w:val="de-DE" w:eastAsia="fr-CH"/>
        </w:rPr>
      </w:pPr>
      <w:r w:rsidRPr="00CB171C">
        <w:rPr>
          <w:rFonts w:cs="Arial"/>
          <w:color w:val="000000"/>
          <w:lang w:val="de-DE" w:eastAsia="fr-CH"/>
        </w:rPr>
        <w:t xml:space="preserve">Herrn </w:t>
      </w:r>
      <w:r w:rsidRPr="00CB171C">
        <w:rPr>
          <w:lang w:val="de-DE"/>
        </w:rPr>
        <w:t xml:space="preserve">Luis Salaices Sánchez (Spanien) </w:t>
      </w:r>
      <w:r w:rsidRPr="00CB171C">
        <w:rPr>
          <w:rFonts w:cs="Arial"/>
          <w:color w:val="000000"/>
          <w:lang w:val="de-DE" w:eastAsia="fr-CH"/>
        </w:rPr>
        <w:t>zum Präsidenten des Rates;</w:t>
      </w:r>
    </w:p>
    <w:p w:rsidR="00497FC6" w:rsidRPr="00CB171C" w:rsidRDefault="00497FC6" w:rsidP="00497FC6">
      <w:pPr>
        <w:pStyle w:val="ListParagraph"/>
        <w:numPr>
          <w:ilvl w:val="0"/>
          <w:numId w:val="18"/>
        </w:numPr>
        <w:ind w:left="1134" w:hanging="567"/>
        <w:rPr>
          <w:rFonts w:cs="Arial"/>
          <w:lang w:val="de-DE" w:eastAsia="fr-CH"/>
        </w:rPr>
      </w:pPr>
      <w:r w:rsidRPr="00CB171C">
        <w:rPr>
          <w:rFonts w:cs="Arial"/>
          <w:color w:val="000000"/>
          <w:lang w:val="de-DE" w:eastAsia="fr-CH"/>
        </w:rPr>
        <w:t xml:space="preserve">Herrn </w:t>
      </w:r>
      <w:r w:rsidRPr="00CB171C">
        <w:rPr>
          <w:lang w:val="de-DE"/>
        </w:rPr>
        <w:t xml:space="preserve">Raimundo Lavignolle (Argentinien) </w:t>
      </w:r>
      <w:r w:rsidRPr="00CB171C">
        <w:rPr>
          <w:rFonts w:cs="Arial"/>
          <w:color w:val="000000"/>
          <w:lang w:val="de-DE" w:eastAsia="fr-CH"/>
        </w:rPr>
        <w:t>zum Vizepräsidenten des Rates.</w:t>
      </w:r>
    </w:p>
    <w:p w:rsidR="00497FC6" w:rsidRPr="00CB171C" w:rsidRDefault="00497FC6" w:rsidP="00497FC6">
      <w:pPr>
        <w:jc w:val="left"/>
        <w:rPr>
          <w:rFonts w:cs="Arial"/>
          <w:lang w:val="de-DE" w:eastAsia="fr-CH"/>
        </w:rPr>
      </w:pPr>
    </w:p>
    <w:p w:rsidR="00497FC6" w:rsidRPr="00CB171C" w:rsidRDefault="00497FC6" w:rsidP="00497FC6">
      <w:pPr>
        <w:rPr>
          <w:rFonts w:cs="Arial"/>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DF2367" w:rsidRPr="00CB171C">
        <w:rPr>
          <w:lang w:val="de-DE"/>
        </w:rPr>
        <w:t>Der Generalsekretär der UPOV, Herr Francis Gurry, überreichte Frau Kitisri Sukhapinda (</w:t>
      </w:r>
      <w:r w:rsidR="00DF2367" w:rsidRPr="00CB171C">
        <w:rPr>
          <w:rFonts w:cs="Arial"/>
          <w:color w:val="000000"/>
          <w:lang w:val="de-DE" w:eastAsia="fr-CH"/>
        </w:rPr>
        <w:t>Vereinigte</w:t>
      </w:r>
      <w:r w:rsidR="006A75AF" w:rsidRPr="00CB171C">
        <w:rPr>
          <w:rFonts w:cs="Arial"/>
          <w:color w:val="000000"/>
          <w:lang w:val="de-DE" w:eastAsia="fr-CH"/>
        </w:rPr>
        <w:t> </w:t>
      </w:r>
      <w:r w:rsidR="00DF2367" w:rsidRPr="00CB171C">
        <w:rPr>
          <w:rFonts w:cs="Arial"/>
          <w:color w:val="000000"/>
          <w:lang w:val="de-DE" w:eastAsia="fr-CH"/>
        </w:rPr>
        <w:t>Staaten von Amerika) eine UPOV-Goldmedaille in Anerkennung des Beitrags, den sie während ihrer Amtszeit als Präsidentin des Rates der UPOV vom 2. November 2012 bis 29. Oktober 2015 leistete.</w:t>
      </w:r>
    </w:p>
    <w:p w:rsidR="00B02D38" w:rsidRPr="00CB171C" w:rsidRDefault="00B02D38" w:rsidP="00B02D38">
      <w:pPr>
        <w:rPr>
          <w:rFonts w:cs="Arial"/>
          <w:lang w:val="de-DE"/>
        </w:rPr>
      </w:pPr>
    </w:p>
    <w:p w:rsidR="00014AE7" w:rsidRPr="00CB171C" w:rsidRDefault="00DF2367" w:rsidP="00014AE7">
      <w:pPr>
        <w:pStyle w:val="Heading2"/>
        <w:rPr>
          <w:lang w:val="de-DE"/>
        </w:rPr>
      </w:pPr>
      <w:bookmarkStart w:id="78" w:name="_Toc443988416"/>
      <w:bookmarkStart w:id="79" w:name="_Toc444242874"/>
      <w:bookmarkStart w:id="80" w:name="_Toc444761623"/>
      <w:r w:rsidRPr="00CB171C">
        <w:rPr>
          <w:lang w:val="de-DE"/>
        </w:rPr>
        <w:t>Tagungskalender</w:t>
      </w:r>
      <w:bookmarkEnd w:id="78"/>
      <w:bookmarkEnd w:id="79"/>
      <w:bookmarkEnd w:id="80"/>
    </w:p>
    <w:p w:rsidR="00014AE7" w:rsidRPr="00CB171C" w:rsidRDefault="00014AE7" w:rsidP="00B02D38">
      <w:pPr>
        <w:rPr>
          <w:rFonts w:cs="Arial"/>
          <w:lang w:val="de-DE"/>
        </w:rPr>
      </w:pPr>
    </w:p>
    <w:p w:rsidR="00014AE7" w:rsidRPr="00CB171C" w:rsidRDefault="00014AE7" w:rsidP="00014AE7">
      <w:pPr>
        <w:rPr>
          <w:snapToGrid w:val="0"/>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497FC6" w:rsidRPr="00CB171C">
        <w:rPr>
          <w:lang w:val="de-DE"/>
        </w:rPr>
        <w:t xml:space="preserve">Der </w:t>
      </w:r>
      <w:r w:rsidR="00DF2367" w:rsidRPr="00CB171C">
        <w:rPr>
          <w:lang w:val="de-DE"/>
        </w:rPr>
        <w:t>Verwaltungs</w:t>
      </w:r>
      <w:r w:rsidR="00497FC6" w:rsidRPr="00CB171C">
        <w:rPr>
          <w:lang w:val="de-DE"/>
        </w:rPr>
        <w:t xml:space="preserve">- </w:t>
      </w:r>
      <w:r w:rsidR="00DF2367" w:rsidRPr="00CB171C">
        <w:rPr>
          <w:lang w:val="de-DE"/>
        </w:rPr>
        <w:t>und</w:t>
      </w:r>
      <w:r w:rsidR="00497FC6" w:rsidRPr="00CB171C">
        <w:rPr>
          <w:lang w:val="de-DE"/>
        </w:rPr>
        <w:t xml:space="preserve"> </w:t>
      </w:r>
      <w:r w:rsidR="00DF2367" w:rsidRPr="00CB171C">
        <w:rPr>
          <w:lang w:val="de-DE"/>
        </w:rPr>
        <w:t>Rechtsausschuß</w:t>
      </w:r>
      <w:r w:rsidRPr="00CB171C">
        <w:rPr>
          <w:snapToGrid w:val="0"/>
          <w:lang w:val="de-DE"/>
        </w:rPr>
        <w:t xml:space="preserve"> (CAJ)</w:t>
      </w:r>
      <w:r w:rsidR="00497FC6" w:rsidRPr="00CB171C">
        <w:rPr>
          <w:snapToGrid w:val="0"/>
          <w:lang w:val="de-DE"/>
        </w:rPr>
        <w:t xml:space="preserve"> </w:t>
      </w:r>
      <w:r w:rsidR="006A75AF" w:rsidRPr="00CB171C">
        <w:rPr>
          <w:snapToGrid w:val="0"/>
          <w:lang w:val="de-DE"/>
        </w:rPr>
        <w:t xml:space="preserve">entschied </w:t>
      </w:r>
      <w:r w:rsidR="00497FC6" w:rsidRPr="00CB171C">
        <w:rPr>
          <w:snapToGrid w:val="0"/>
          <w:lang w:val="de-DE"/>
        </w:rPr>
        <w:t xml:space="preserve">auf seiner zweiundsiebzigsten Tagung vom 26. </w:t>
      </w:r>
      <w:r w:rsidR="006A75AF" w:rsidRPr="00CB171C">
        <w:rPr>
          <w:snapToGrid w:val="0"/>
          <w:lang w:val="de-DE"/>
        </w:rPr>
        <w:t>u</w:t>
      </w:r>
      <w:r w:rsidR="00497FC6" w:rsidRPr="00CB171C">
        <w:rPr>
          <w:snapToGrid w:val="0"/>
          <w:lang w:val="de-DE"/>
        </w:rPr>
        <w:t>nd 27. Oktober 2015 in Genf</w:t>
      </w:r>
      <w:r w:rsidR="006A75AF" w:rsidRPr="00CB171C">
        <w:rPr>
          <w:snapToGrid w:val="0"/>
          <w:lang w:val="de-DE"/>
        </w:rPr>
        <w:t xml:space="preserve"> folgendes</w:t>
      </w:r>
      <w:r w:rsidR="00497FC6" w:rsidRPr="00CB171C">
        <w:rPr>
          <w:snapToGrid w:val="0"/>
          <w:lang w:val="de-DE"/>
        </w:rPr>
        <w:t>:</w:t>
      </w:r>
    </w:p>
    <w:p w:rsidR="00014AE7" w:rsidRPr="00CB171C" w:rsidRDefault="00014AE7" w:rsidP="00014AE7">
      <w:pPr>
        <w:rPr>
          <w:snapToGrid w:val="0"/>
          <w:lang w:val="de-DE"/>
        </w:rPr>
      </w:pPr>
    </w:p>
    <w:p w:rsidR="00014AE7" w:rsidRPr="00CB171C" w:rsidRDefault="00497FC6" w:rsidP="00807573">
      <w:pPr>
        <w:ind w:firstLine="567"/>
        <w:rPr>
          <w:snapToGrid w:val="0"/>
          <w:lang w:val="de-DE"/>
        </w:rPr>
      </w:pPr>
      <w:r w:rsidRPr="00CB171C">
        <w:rPr>
          <w:snapToGrid w:val="0"/>
          <w:lang w:val="de-DE"/>
        </w:rPr>
        <w:t>a)</w:t>
      </w:r>
      <w:r w:rsidR="00014AE7" w:rsidRPr="00CB171C">
        <w:rPr>
          <w:snapToGrid w:val="0"/>
          <w:lang w:val="de-DE"/>
        </w:rPr>
        <w:tab/>
      </w:r>
      <w:r w:rsidR="006A75AF" w:rsidRPr="00CB171C">
        <w:rPr>
          <w:snapToGrid w:val="0"/>
          <w:lang w:val="de-DE"/>
        </w:rPr>
        <w:t xml:space="preserve">er </w:t>
      </w:r>
      <w:r w:rsidRPr="00CB171C">
        <w:rPr>
          <w:lang w:val="de-DE"/>
        </w:rPr>
        <w:t xml:space="preserve">schlug vor, im März 2016 keine Tagung </w:t>
      </w:r>
      <w:r w:rsidR="006A75AF" w:rsidRPr="00CB171C">
        <w:rPr>
          <w:lang w:val="de-DE"/>
        </w:rPr>
        <w:t xml:space="preserve">des CAJ </w:t>
      </w:r>
      <w:r w:rsidRPr="00CB171C">
        <w:rPr>
          <w:lang w:val="de-DE"/>
        </w:rPr>
        <w:t xml:space="preserve">abzuhalten und im Oktober </w:t>
      </w:r>
      <w:r w:rsidR="00070F01" w:rsidRPr="00CB171C">
        <w:rPr>
          <w:lang w:val="de-DE"/>
        </w:rPr>
        <w:t xml:space="preserve">2016 </w:t>
      </w:r>
      <w:r w:rsidRPr="00CB171C">
        <w:rPr>
          <w:lang w:val="de-DE"/>
        </w:rPr>
        <w:t>eine zweitägige CAJ</w:t>
      </w:r>
      <w:r w:rsidR="00070F01" w:rsidRPr="00CB171C">
        <w:rPr>
          <w:lang w:val="de-DE"/>
        </w:rPr>
        <w:noBreakHyphen/>
      </w:r>
      <w:r w:rsidRPr="00CB171C">
        <w:rPr>
          <w:lang w:val="de-DE"/>
        </w:rPr>
        <w:t xml:space="preserve">Tagung </w:t>
      </w:r>
      <w:r w:rsidR="002C7219" w:rsidRPr="00CB171C">
        <w:rPr>
          <w:lang w:val="de-DE"/>
        </w:rPr>
        <w:t>durchzuführ</w:t>
      </w:r>
      <w:r w:rsidRPr="00CB171C">
        <w:rPr>
          <w:lang w:val="de-DE"/>
        </w:rPr>
        <w:t>en</w:t>
      </w:r>
      <w:r w:rsidR="00014AE7" w:rsidRPr="00CB171C">
        <w:rPr>
          <w:snapToGrid w:val="0"/>
          <w:lang w:val="de-DE"/>
        </w:rPr>
        <w:t>;</w:t>
      </w:r>
    </w:p>
    <w:p w:rsidR="00014AE7" w:rsidRPr="00CB171C" w:rsidRDefault="00014AE7" w:rsidP="00807573">
      <w:pPr>
        <w:ind w:firstLine="567"/>
        <w:rPr>
          <w:snapToGrid w:val="0"/>
          <w:lang w:val="de-DE"/>
        </w:rPr>
      </w:pPr>
    </w:p>
    <w:p w:rsidR="00014AE7" w:rsidRPr="00CB171C" w:rsidRDefault="00014AE7" w:rsidP="00807573">
      <w:pPr>
        <w:ind w:firstLine="567"/>
        <w:rPr>
          <w:rFonts w:cs="Arial"/>
          <w:snapToGrid w:val="0"/>
          <w:lang w:val="de-DE" w:eastAsia="ja-JP"/>
        </w:rPr>
      </w:pPr>
      <w:r w:rsidRPr="00CB171C">
        <w:rPr>
          <w:snapToGrid w:val="0"/>
          <w:lang w:val="de-DE"/>
        </w:rPr>
        <w:t>b)</w:t>
      </w:r>
      <w:r w:rsidRPr="00CB171C">
        <w:rPr>
          <w:snapToGrid w:val="0"/>
          <w:lang w:val="de-DE"/>
        </w:rPr>
        <w:tab/>
      </w:r>
      <w:r w:rsidR="006A75AF" w:rsidRPr="00CB171C">
        <w:rPr>
          <w:snapToGrid w:val="0"/>
          <w:lang w:val="de-DE"/>
        </w:rPr>
        <w:t xml:space="preserve">er </w:t>
      </w:r>
      <w:r w:rsidR="00070F01" w:rsidRPr="00CB171C">
        <w:rPr>
          <w:snapToGrid w:val="0"/>
          <w:lang w:val="de-DE"/>
        </w:rPr>
        <w:t xml:space="preserve">vereinbarte, </w:t>
      </w:r>
      <w:r w:rsidR="00070F01" w:rsidRPr="00CB171C">
        <w:rPr>
          <w:lang w:val="de-DE"/>
        </w:rPr>
        <w:t>das Mandat und die Zusammensetzung der Arbeitsgruppe für die Entwicklung eines UPOV-Suchinstruments für Ähnlichkeiten zum Zweck der Sortenbezeichnung (WG-DST) zu erweitern, um Empfehlungen für den CAJ betreffend die Überarbeitung von Dokument UPOV/INF/12</w:t>
      </w:r>
      <w:r w:rsidR="002D2008">
        <w:rPr>
          <w:lang w:val="de-DE"/>
        </w:rPr>
        <w:t xml:space="preserve"> „</w:t>
      </w:r>
      <w:r w:rsidR="00070F01" w:rsidRPr="00CB171C">
        <w:rPr>
          <w:lang w:val="de-DE"/>
        </w:rPr>
        <w:t xml:space="preserve">Erläuterungen zu Sortenbezeichnungen nach dem UPOV-Übereinkommen“, auszuarbeiten (soll zur Arbeitsgruppe für Sortenbezeichnungen (WG-DEN) werden), und </w:t>
      </w:r>
      <w:r w:rsidR="00DF2367" w:rsidRPr="00CB171C">
        <w:rPr>
          <w:lang w:val="de-DE"/>
        </w:rPr>
        <w:t>schlug</w:t>
      </w:r>
      <w:r w:rsidR="00070F01" w:rsidRPr="00CB171C">
        <w:rPr>
          <w:lang w:val="de-DE"/>
        </w:rPr>
        <w:t xml:space="preserve"> vor, </w:t>
      </w:r>
      <w:r w:rsidR="00DF2367" w:rsidRPr="00CB171C">
        <w:rPr>
          <w:lang w:val="de-DE"/>
        </w:rPr>
        <w:t>daß</w:t>
      </w:r>
      <w:r w:rsidR="00070F01" w:rsidRPr="00CB171C">
        <w:rPr>
          <w:lang w:val="de-DE"/>
        </w:rPr>
        <w:t xml:space="preserve"> die WG-DEN in der Woche der UPOV</w:t>
      </w:r>
      <w:r w:rsidR="006A75AF" w:rsidRPr="00CB171C">
        <w:rPr>
          <w:lang w:val="de-DE"/>
        </w:rPr>
        <w:noBreakHyphen/>
      </w:r>
      <w:r w:rsidR="00070F01" w:rsidRPr="00CB171C">
        <w:rPr>
          <w:lang w:val="de-DE"/>
        </w:rPr>
        <w:t xml:space="preserve">Tagungen im März 2016 </w:t>
      </w:r>
      <w:r w:rsidR="00DF2367" w:rsidRPr="00CB171C">
        <w:rPr>
          <w:lang w:val="de-DE"/>
        </w:rPr>
        <w:t>zusammentreten</w:t>
      </w:r>
      <w:r w:rsidR="00070F01" w:rsidRPr="00CB171C">
        <w:rPr>
          <w:lang w:val="de-DE"/>
        </w:rPr>
        <w:t xml:space="preserve"> solle;</w:t>
      </w:r>
    </w:p>
    <w:p w:rsidR="00014AE7" w:rsidRPr="00CB171C" w:rsidRDefault="00014AE7" w:rsidP="00807573">
      <w:pPr>
        <w:ind w:firstLine="567"/>
        <w:rPr>
          <w:rFonts w:cs="Arial"/>
          <w:snapToGrid w:val="0"/>
          <w:lang w:val="de-DE" w:eastAsia="ja-JP"/>
        </w:rPr>
      </w:pPr>
    </w:p>
    <w:p w:rsidR="00070F01" w:rsidRPr="00CB171C" w:rsidRDefault="00014AE7" w:rsidP="00807573">
      <w:pPr>
        <w:ind w:firstLine="567"/>
        <w:rPr>
          <w:lang w:val="de-DE"/>
        </w:rPr>
      </w:pPr>
      <w:r w:rsidRPr="00CB171C">
        <w:rPr>
          <w:rFonts w:cs="Arial"/>
          <w:snapToGrid w:val="0"/>
          <w:lang w:val="de-DE" w:eastAsia="ja-JP"/>
        </w:rPr>
        <w:t>c)</w:t>
      </w:r>
      <w:r w:rsidRPr="00CB171C">
        <w:rPr>
          <w:rFonts w:cs="Arial"/>
          <w:snapToGrid w:val="0"/>
          <w:lang w:val="de-DE" w:eastAsia="ja-JP"/>
        </w:rPr>
        <w:tab/>
      </w:r>
      <w:r w:rsidR="006A75AF" w:rsidRPr="00CB171C">
        <w:rPr>
          <w:rFonts w:cs="Arial"/>
          <w:snapToGrid w:val="0"/>
          <w:lang w:val="de-DE" w:eastAsia="ja-JP"/>
        </w:rPr>
        <w:t xml:space="preserve">er </w:t>
      </w:r>
      <w:r w:rsidR="00070F01" w:rsidRPr="00CB171C">
        <w:rPr>
          <w:lang w:val="de-DE"/>
        </w:rPr>
        <w:t>vereinbarte, dem Rat vorzuschlagen, ein eintägiges Seminar über Vermehrung</w:t>
      </w:r>
      <w:r w:rsidR="006A75AF" w:rsidRPr="00CB171C">
        <w:rPr>
          <w:lang w:val="de-DE"/>
        </w:rPr>
        <w:t>smaterial</w:t>
      </w:r>
      <w:r w:rsidR="00070F01" w:rsidRPr="00CB171C">
        <w:rPr>
          <w:lang w:val="de-DE"/>
        </w:rPr>
        <w:t xml:space="preserve"> und Erntegut zu organisieren, das in Verbindung mit den UPOV-Tagungen im Oktober 2016 abgehalten werden soll. An dem Seminar sollen Referenten teilnehmen, die über Fälle berichten, in denen die Begriffe Erntegut und/oder Vermehrungsmaterial geprüft wurden, sowie Referenten von einschlägigen akademischen Einrichtungen und Justizbehörden, um verschiedene Perspektiven zu diesem Thema zu liefern. Mitglieder und Beobachter </w:t>
      </w:r>
      <w:r w:rsidR="006A75AF" w:rsidRPr="00CB171C">
        <w:rPr>
          <w:lang w:val="de-DE"/>
        </w:rPr>
        <w:t>des CAJ soll</w:t>
      </w:r>
      <w:r w:rsidR="00070F01" w:rsidRPr="00CB171C">
        <w:rPr>
          <w:lang w:val="de-DE"/>
        </w:rPr>
        <w:t xml:space="preserve">en </w:t>
      </w:r>
      <w:r w:rsidR="006A75AF" w:rsidRPr="00CB171C">
        <w:rPr>
          <w:lang w:val="de-DE"/>
        </w:rPr>
        <w:t>ersucht</w:t>
      </w:r>
      <w:r w:rsidR="00070F01" w:rsidRPr="00CB171C">
        <w:rPr>
          <w:lang w:val="de-DE"/>
        </w:rPr>
        <w:t xml:space="preserve"> werden, Referenten vorzuschlagen. Das Verbandsbüro, der Vorsitzende des CAJ und der Präsident des Rates </w:t>
      </w:r>
      <w:r w:rsidR="006A75AF" w:rsidRPr="00CB171C">
        <w:rPr>
          <w:lang w:val="de-DE"/>
        </w:rPr>
        <w:t>soll</w:t>
      </w:r>
      <w:r w:rsidR="00070F01" w:rsidRPr="00CB171C">
        <w:rPr>
          <w:lang w:val="de-DE"/>
        </w:rPr>
        <w:t>en einen Programmentwurf zur Prüfung durch den Beratenden Ausschuß und zur Annahme durch den Rat im März 2016 ausarbeiten</w:t>
      </w:r>
    </w:p>
    <w:p w:rsidR="00014AE7" w:rsidRPr="00CB171C" w:rsidRDefault="00014AE7" w:rsidP="00014AE7">
      <w:pPr>
        <w:ind w:firstLine="567"/>
        <w:rPr>
          <w:rFonts w:cs="Arial"/>
          <w:snapToGrid w:val="0"/>
          <w:lang w:val="de-DE" w:eastAsia="ja-JP"/>
        </w:rPr>
      </w:pPr>
    </w:p>
    <w:p w:rsidR="00014AE7" w:rsidRPr="00CB171C" w:rsidRDefault="00014AE7" w:rsidP="00014AE7">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070F01" w:rsidRPr="00CB171C">
        <w:rPr>
          <w:lang w:val="de-DE"/>
        </w:rPr>
        <w:t xml:space="preserve">Der Rat stimmte der Durchführung eines </w:t>
      </w:r>
      <w:r w:rsidR="00DF2367" w:rsidRPr="00CB171C">
        <w:rPr>
          <w:lang w:val="de-DE"/>
        </w:rPr>
        <w:t>Seminars</w:t>
      </w:r>
      <w:r w:rsidR="00070F01" w:rsidRPr="00CB171C">
        <w:rPr>
          <w:lang w:val="de-DE"/>
        </w:rPr>
        <w:t xml:space="preserve"> über Vermehrungsmaterial </w:t>
      </w:r>
      <w:r w:rsidR="00DF2367" w:rsidRPr="00CB171C">
        <w:rPr>
          <w:lang w:val="de-DE"/>
        </w:rPr>
        <w:t>und</w:t>
      </w:r>
      <w:r w:rsidR="00070F01" w:rsidRPr="00CB171C">
        <w:rPr>
          <w:lang w:val="de-DE"/>
        </w:rPr>
        <w:t xml:space="preserve"> </w:t>
      </w:r>
      <w:r w:rsidR="00DF2367" w:rsidRPr="00CB171C">
        <w:rPr>
          <w:lang w:val="de-DE"/>
        </w:rPr>
        <w:t>Erntegut</w:t>
      </w:r>
      <w:r w:rsidR="00070F01" w:rsidRPr="00CB171C">
        <w:rPr>
          <w:lang w:val="de-DE"/>
        </w:rPr>
        <w:t xml:space="preserve"> im Zusammenhang </w:t>
      </w:r>
      <w:r w:rsidR="00DF2367" w:rsidRPr="00CB171C">
        <w:rPr>
          <w:lang w:val="de-DE"/>
        </w:rPr>
        <w:t>mit</w:t>
      </w:r>
      <w:r w:rsidR="00070F01" w:rsidRPr="00CB171C">
        <w:rPr>
          <w:lang w:val="de-DE"/>
        </w:rPr>
        <w:t xml:space="preserve"> </w:t>
      </w:r>
      <w:r w:rsidR="00DF2367" w:rsidRPr="00CB171C">
        <w:rPr>
          <w:lang w:val="de-DE"/>
        </w:rPr>
        <w:t>dem</w:t>
      </w:r>
      <w:r w:rsidR="00070F01" w:rsidRPr="00CB171C">
        <w:rPr>
          <w:lang w:val="de-DE"/>
        </w:rPr>
        <w:t xml:space="preserve"> UPOV-Übereinkommen zu. Dieses wird am 24. Oktober 2016 stattfinden.</w:t>
      </w:r>
    </w:p>
    <w:p w:rsidR="00014AE7" w:rsidRPr="00CB171C" w:rsidRDefault="00014AE7" w:rsidP="00014AE7">
      <w:pPr>
        <w:rPr>
          <w:lang w:val="de-DE"/>
        </w:rPr>
      </w:pPr>
    </w:p>
    <w:p w:rsidR="00D35138" w:rsidRPr="00CB171C" w:rsidRDefault="00014AE7" w:rsidP="00014AE7">
      <w:pPr>
        <w:rPr>
          <w:rFonts w:cs="Arial"/>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070F01" w:rsidRPr="00CB171C">
        <w:rPr>
          <w:lang w:val="de-DE"/>
        </w:rPr>
        <w:t>Der Beratende Ausschuß ersuchte auf seiner neunzigsten Tagung vom 28. und 29. Oktober 2015 in Genf das Verbandsbüro, ein Dokument zu erstellen, das die Optionen und etwaigen Auswirkungen darlegt, wenn die Tagungen der Organe, die nacheinander in Genf zusammentreten, nur einmal jährlich durchgeführt würden</w:t>
      </w:r>
      <w:r w:rsidRPr="00CB171C">
        <w:rPr>
          <w:lang w:val="de-DE"/>
        </w:rPr>
        <w:t>.</w:t>
      </w:r>
    </w:p>
    <w:p w:rsidR="00014AE7" w:rsidRPr="00CB171C" w:rsidRDefault="00014AE7" w:rsidP="00B02D38">
      <w:pPr>
        <w:rPr>
          <w:rFonts w:cs="Arial"/>
          <w:lang w:val="de-DE"/>
        </w:rPr>
      </w:pPr>
    </w:p>
    <w:p w:rsidR="007F6BFC" w:rsidRPr="00CB171C" w:rsidRDefault="007F6BFC" w:rsidP="007F6BFC">
      <w:pPr>
        <w:pStyle w:val="Heading2"/>
        <w:rPr>
          <w:lang w:val="de-DE"/>
        </w:rPr>
      </w:pPr>
      <w:bookmarkStart w:id="81" w:name="_Toc443988417"/>
      <w:bookmarkStart w:id="82" w:name="_Toc444242875"/>
      <w:bookmarkStart w:id="83" w:name="_Toc444761624"/>
      <w:r w:rsidRPr="00CB171C">
        <w:rPr>
          <w:lang w:val="de-DE"/>
        </w:rPr>
        <w:t>UPOV</w:t>
      </w:r>
      <w:r w:rsidR="0076764D" w:rsidRPr="00CB171C">
        <w:rPr>
          <w:lang w:val="de-DE"/>
        </w:rPr>
        <w:t>-D</w:t>
      </w:r>
      <w:r w:rsidRPr="00CB171C">
        <w:rPr>
          <w:lang w:val="de-DE"/>
        </w:rPr>
        <w:t>o</w:t>
      </w:r>
      <w:r w:rsidR="0076764D" w:rsidRPr="00CB171C">
        <w:rPr>
          <w:lang w:val="de-DE"/>
        </w:rPr>
        <w:t>k</w:t>
      </w:r>
      <w:r w:rsidRPr="00CB171C">
        <w:rPr>
          <w:lang w:val="de-DE"/>
        </w:rPr>
        <w:t>ument</w:t>
      </w:r>
      <w:r w:rsidR="0076764D" w:rsidRPr="00CB171C">
        <w:rPr>
          <w:lang w:val="de-DE"/>
        </w:rPr>
        <w:t>e</w:t>
      </w:r>
      <w:r w:rsidRPr="00CB171C">
        <w:rPr>
          <w:lang w:val="de-DE"/>
        </w:rPr>
        <w:t xml:space="preserve"> </w:t>
      </w:r>
      <w:r w:rsidR="0076764D" w:rsidRPr="00CB171C">
        <w:rPr>
          <w:lang w:val="de-DE"/>
        </w:rPr>
        <w:t>u</w:t>
      </w:r>
      <w:r w:rsidRPr="00CB171C">
        <w:rPr>
          <w:lang w:val="de-DE"/>
        </w:rPr>
        <w:t xml:space="preserve">nd </w:t>
      </w:r>
      <w:r w:rsidR="0076764D" w:rsidRPr="00CB171C">
        <w:rPr>
          <w:lang w:val="de-DE"/>
        </w:rPr>
        <w:t>Veröffentlichung von Informationen</w:t>
      </w:r>
      <w:bookmarkEnd w:id="81"/>
      <w:bookmarkEnd w:id="82"/>
      <w:bookmarkEnd w:id="83"/>
    </w:p>
    <w:p w:rsidR="007F6BFC" w:rsidRPr="00CB171C" w:rsidRDefault="007F6BFC" w:rsidP="007F6BFC">
      <w:pPr>
        <w:keepNext/>
        <w:rPr>
          <w:lang w:val="de-DE"/>
        </w:rPr>
      </w:pPr>
    </w:p>
    <w:p w:rsidR="0076764D" w:rsidRPr="00CB171C" w:rsidRDefault="007F6BFC" w:rsidP="0076764D">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76764D" w:rsidRPr="00CB171C">
        <w:rPr>
          <w:lang w:val="de-DE"/>
        </w:rPr>
        <w:t xml:space="preserve">Der Beratende Ausschuß vereinbarte auf seiner neunzigsten Tagung vom 28. </w:t>
      </w:r>
      <w:r w:rsidR="00FF3D63" w:rsidRPr="00CB171C">
        <w:rPr>
          <w:lang w:val="de-DE"/>
        </w:rPr>
        <w:t>u</w:t>
      </w:r>
      <w:r w:rsidR="0076764D" w:rsidRPr="00CB171C">
        <w:rPr>
          <w:lang w:val="de-DE"/>
        </w:rPr>
        <w:t>nd 29. Oktober 2015 in Genf, daß es für folgende Kategorien von Dokumenten keine Änderungen bezüglich der Übersetzungen geben sollte:</w:t>
      </w:r>
    </w:p>
    <w:p w:rsidR="0076764D" w:rsidRPr="00CB171C" w:rsidRDefault="0076764D" w:rsidP="0076764D">
      <w:pPr>
        <w:rPr>
          <w:lang w:val="de-DE"/>
        </w:rPr>
      </w:pPr>
    </w:p>
    <w:p w:rsidR="0076764D" w:rsidRPr="00CB171C" w:rsidRDefault="0076764D" w:rsidP="0076764D">
      <w:pPr>
        <w:spacing w:after="120"/>
        <w:ind w:left="1168" w:hanging="601"/>
        <w:rPr>
          <w:lang w:val="de-DE"/>
        </w:rPr>
      </w:pPr>
      <w:r w:rsidRPr="00CB171C">
        <w:rPr>
          <w:lang w:val="de-DE"/>
        </w:rPr>
        <w:t>a)</w:t>
      </w:r>
      <w:r w:rsidRPr="00CB171C">
        <w:rPr>
          <w:lang w:val="de-DE"/>
        </w:rPr>
        <w:tab/>
        <w:t>angenommene Dokumente;</w:t>
      </w:r>
    </w:p>
    <w:p w:rsidR="0076764D" w:rsidRPr="00CB171C" w:rsidRDefault="0076764D" w:rsidP="0076764D">
      <w:pPr>
        <w:spacing w:after="120"/>
        <w:ind w:left="1168" w:hanging="601"/>
        <w:rPr>
          <w:lang w:val="de-DE"/>
        </w:rPr>
      </w:pPr>
      <w:r w:rsidRPr="00CB171C">
        <w:rPr>
          <w:lang w:val="de-DE"/>
        </w:rPr>
        <w:t>b)</w:t>
      </w:r>
      <w:r w:rsidRPr="00CB171C">
        <w:rPr>
          <w:lang w:val="de-DE"/>
        </w:rPr>
        <w:tab/>
        <w:t>Dokumente, die Entwürfe von Erläuterungen enthalten, Informationsdokumente und TGP</w:t>
      </w:r>
      <w:r w:rsidRPr="00CB171C">
        <w:rPr>
          <w:lang w:val="de-DE"/>
        </w:rPr>
        <w:noBreakHyphen/>
        <w:t>Dokumente sowie alle anderen Entwürfe von Dokumenten zur Prüfung durch den Rat, den Beratenden Ausschuß, den Verwaltungs- und Rechtsausschuß oder den Technischen Ausschuß;</w:t>
      </w:r>
    </w:p>
    <w:p w:rsidR="0076764D" w:rsidRPr="00CB171C" w:rsidRDefault="0076764D" w:rsidP="0076764D">
      <w:pPr>
        <w:spacing w:after="120"/>
        <w:ind w:left="1170" w:hanging="603"/>
        <w:rPr>
          <w:lang w:val="de-DE"/>
        </w:rPr>
      </w:pPr>
      <w:r w:rsidRPr="00CB171C">
        <w:rPr>
          <w:lang w:val="de-DE"/>
        </w:rPr>
        <w:t>c)</w:t>
      </w:r>
      <w:r w:rsidRPr="00CB171C">
        <w:rPr>
          <w:lang w:val="de-DE"/>
        </w:rPr>
        <w:tab/>
        <w:t>Berichte, darunter Berichte über die Entscheidungen oder Entschließungen des Rates, des Beratenden Ausschusses, des Verwaltungs- und Rechtsausschusses oder des Technischen Ausschusses;</w:t>
      </w:r>
    </w:p>
    <w:p w:rsidR="0076764D" w:rsidRPr="00CB171C" w:rsidRDefault="0076764D" w:rsidP="0076764D">
      <w:pPr>
        <w:spacing w:after="120"/>
        <w:ind w:left="1170" w:hanging="603"/>
        <w:rPr>
          <w:lang w:val="de-DE"/>
        </w:rPr>
      </w:pPr>
      <w:r w:rsidRPr="00CB171C">
        <w:rPr>
          <w:lang w:val="de-DE"/>
        </w:rPr>
        <w:t>d)</w:t>
      </w:r>
      <w:r w:rsidRPr="00CB171C">
        <w:rPr>
          <w:lang w:val="de-DE"/>
        </w:rPr>
        <w:tab/>
        <w:t>Berichte über die UPOV zur Prüfung durch den Rat;</w:t>
      </w:r>
    </w:p>
    <w:p w:rsidR="0076764D" w:rsidRPr="00CB171C" w:rsidRDefault="0076764D" w:rsidP="0076764D">
      <w:pPr>
        <w:spacing w:after="120"/>
        <w:ind w:left="1168" w:hanging="601"/>
        <w:rPr>
          <w:lang w:val="de-DE"/>
        </w:rPr>
      </w:pPr>
      <w:r w:rsidRPr="00CB171C">
        <w:rPr>
          <w:lang w:val="de-DE"/>
        </w:rPr>
        <w:t>e)</w:t>
      </w:r>
      <w:r w:rsidRPr="00CB171C">
        <w:rPr>
          <w:lang w:val="de-DE"/>
        </w:rPr>
        <w:tab/>
      </w:r>
      <w:r w:rsidRPr="00CB171C">
        <w:rPr>
          <w:color w:val="000000"/>
          <w:lang w:val="de-DE"/>
        </w:rPr>
        <w:t>Berichte der Vertreter von Verbandsmitgliedern und Beobachter</w:t>
      </w:r>
      <w:r w:rsidR="002C7219" w:rsidRPr="00CB171C">
        <w:rPr>
          <w:color w:val="000000"/>
          <w:lang w:val="de-DE"/>
        </w:rPr>
        <w:t>n</w:t>
      </w:r>
      <w:r w:rsidRPr="00CB171C">
        <w:rPr>
          <w:color w:val="000000"/>
          <w:lang w:val="de-DE"/>
        </w:rPr>
        <w:t xml:space="preserve"> über die Gebiete der Gesetzgebung, der Verwaltung und der Technik</w:t>
      </w:r>
      <w:r w:rsidRPr="00CB171C">
        <w:rPr>
          <w:lang w:val="de-DE"/>
        </w:rPr>
        <w:t>;</w:t>
      </w:r>
    </w:p>
    <w:p w:rsidR="0076764D" w:rsidRPr="00CB171C" w:rsidRDefault="0076764D" w:rsidP="0076764D">
      <w:pPr>
        <w:spacing w:after="120"/>
        <w:ind w:left="1168" w:hanging="601"/>
        <w:rPr>
          <w:lang w:val="de-DE"/>
        </w:rPr>
      </w:pPr>
      <w:r w:rsidRPr="00CB171C">
        <w:rPr>
          <w:lang w:val="de-DE"/>
        </w:rPr>
        <w:t>f)</w:t>
      </w:r>
      <w:r w:rsidRPr="00CB171C">
        <w:rPr>
          <w:lang w:val="de-DE"/>
        </w:rPr>
        <w:tab/>
      </w:r>
      <w:r w:rsidRPr="00CB171C">
        <w:rPr>
          <w:color w:val="000000"/>
          <w:lang w:val="de-DE"/>
        </w:rPr>
        <w:t>Kommunikationsstrategie, und</w:t>
      </w:r>
    </w:p>
    <w:p w:rsidR="0076764D" w:rsidRPr="00CB171C" w:rsidRDefault="0076764D" w:rsidP="0076764D">
      <w:pPr>
        <w:ind w:left="1168" w:hanging="601"/>
        <w:rPr>
          <w:lang w:val="de-DE"/>
        </w:rPr>
      </w:pPr>
      <w:r w:rsidRPr="00CB171C">
        <w:rPr>
          <w:lang w:val="de-DE"/>
        </w:rPr>
        <w:t>g)</w:t>
      </w:r>
      <w:r w:rsidRPr="00CB171C">
        <w:rPr>
          <w:lang w:val="de-DE"/>
        </w:rPr>
        <w:tab/>
        <w:t>internationales Kooperationssystem.</w:t>
      </w:r>
    </w:p>
    <w:p w:rsidR="0076764D" w:rsidRPr="00CB171C" w:rsidRDefault="0076764D" w:rsidP="0076764D">
      <w:pPr>
        <w:rPr>
          <w:rFonts w:cs="Arial"/>
          <w:lang w:val="de-DE"/>
        </w:rPr>
      </w:pPr>
    </w:p>
    <w:p w:rsidR="0076764D" w:rsidRPr="00CB171C" w:rsidRDefault="007F6BFC" w:rsidP="0076764D">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6764D" w:rsidRPr="00CB171C">
        <w:rPr>
          <w:lang w:val="de-DE"/>
        </w:rPr>
        <w:t xml:space="preserve">Im Falle anderer Dokumente vereinbarte der Beratende Ausschuß </w:t>
      </w:r>
      <w:r w:rsidR="00FF3D63" w:rsidRPr="00CB171C">
        <w:rPr>
          <w:lang w:val="de-DE"/>
        </w:rPr>
        <w:t xml:space="preserve">vorzuschlagen, </w:t>
      </w:r>
      <w:r w:rsidR="0076764D" w:rsidRPr="00CB171C">
        <w:rPr>
          <w:lang w:val="de-DE"/>
        </w:rPr>
        <w:t xml:space="preserve">daß der jeweilige Ausschuß </w:t>
      </w:r>
      <w:r w:rsidR="00FF3D63" w:rsidRPr="00CB171C">
        <w:rPr>
          <w:lang w:val="de-DE"/>
        </w:rPr>
        <w:t>ersucht werden soll</w:t>
      </w:r>
      <w:r w:rsidR="0076764D" w:rsidRPr="00CB171C">
        <w:rPr>
          <w:lang w:val="de-DE"/>
        </w:rPr>
        <w:t xml:space="preserve"> zu prüfen, ob die Übersetzung aller Teile eines solchen Dokuments wesentlich ist.</w:t>
      </w:r>
    </w:p>
    <w:p w:rsidR="0076764D" w:rsidRPr="00CB171C" w:rsidRDefault="0076764D" w:rsidP="0076764D">
      <w:pPr>
        <w:rPr>
          <w:snapToGrid w:val="0"/>
          <w:lang w:val="de-DE"/>
        </w:rPr>
      </w:pPr>
    </w:p>
    <w:p w:rsidR="0076764D" w:rsidRPr="00CB171C" w:rsidRDefault="0076764D" w:rsidP="0076764D">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t>Der Beratende Ausschuß stimmte dem Vorschlag zu, eine Zusammenfassung der Jahresberichte und der Berichte über die ersten neun Monate zu erstellen und einen Querverweis zum Bericht über die ersten neun Monate in den Jahresbericht aufzunehmen, um die Länge der Dokumente zu reduzieren.</w:t>
      </w:r>
    </w:p>
    <w:p w:rsidR="0076764D" w:rsidRPr="00CB171C" w:rsidRDefault="0076764D" w:rsidP="0076764D">
      <w:pPr>
        <w:keepNext/>
        <w:rPr>
          <w:lang w:val="de-DE"/>
        </w:rPr>
      </w:pPr>
    </w:p>
    <w:p w:rsidR="0076764D" w:rsidRPr="00CB171C" w:rsidRDefault="0076764D" w:rsidP="0076764D">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t xml:space="preserve">Der Beratende Ausschuß billigte die derzeitige Praxis, daß von Mitgliedern oder Beobachtern auf den Tagungen der UPOV-Organe abgegebene Erklärungen in den Berichten über die Entscheidungen, den Berichten über die Entschließungen oder den Berichten über die UPOV-Organe </w:t>
      </w:r>
      <w:r w:rsidR="00FF3D63" w:rsidRPr="00CB171C">
        <w:rPr>
          <w:lang w:val="de-DE"/>
        </w:rPr>
        <w:t xml:space="preserve">nicht </w:t>
      </w:r>
      <w:r w:rsidRPr="00CB171C">
        <w:rPr>
          <w:lang w:val="de-DE"/>
        </w:rPr>
        <w:t>wiedergegeben werden sollen, sofern das betreffende UPOV-Organ dies nicht anderweitig vereinbart, außer wenn ein Verbandsmitglied darum ersucht, daß seine Erklärung in den Bericht aufgenommen wird, sowie Erklärungen von Staaten und Organisationen, die in bezug auf die Prüfung von Gesetzen und den Beitritt zur UPOV abgegeben werden.</w:t>
      </w:r>
    </w:p>
    <w:p w:rsidR="0076764D" w:rsidRPr="00CB171C" w:rsidRDefault="0076764D" w:rsidP="0076764D">
      <w:pPr>
        <w:rPr>
          <w:lang w:val="de-DE"/>
        </w:rPr>
      </w:pPr>
    </w:p>
    <w:p w:rsidR="0076764D" w:rsidRPr="00CB171C" w:rsidRDefault="0076764D" w:rsidP="0076764D">
      <w:pPr>
        <w:pStyle w:val="decpara"/>
        <w:tabs>
          <w:tab w:val="clear" w:pos="5387"/>
        </w:tabs>
        <w:ind w:left="0"/>
        <w:rPr>
          <w:i w:val="0"/>
          <w:lang w:val="de-DE"/>
        </w:rPr>
      </w:pPr>
      <w:r w:rsidRPr="00CB171C">
        <w:rPr>
          <w:i w:val="0"/>
          <w:lang w:val="de-DE"/>
        </w:rPr>
        <w:fldChar w:fldCharType="begin"/>
      </w:r>
      <w:r w:rsidRPr="00CB171C">
        <w:rPr>
          <w:i w:val="0"/>
          <w:lang w:val="de-DE"/>
        </w:rPr>
        <w:instrText xml:space="preserve"> AUTONUM  </w:instrText>
      </w:r>
      <w:r w:rsidRPr="00CB171C">
        <w:rPr>
          <w:i w:val="0"/>
          <w:lang w:val="de-DE"/>
        </w:rPr>
        <w:fldChar w:fldCharType="end"/>
      </w:r>
      <w:r w:rsidRPr="00CB171C">
        <w:rPr>
          <w:i w:val="0"/>
          <w:lang w:val="de-DE"/>
        </w:rPr>
        <w:tab/>
        <w:t xml:space="preserve">Der Beratende Ausschuß vereinbarte, daß in Fällen, in denen das Verbandsbüro schriftliche Bemerkungen in bezug auf eine von einem UPOV-Organ zu prüfende Angelegenheit erhält, diese Bemerkungen, sofern gewünscht, </w:t>
      </w:r>
      <w:r w:rsidR="00FF3D63" w:rsidRPr="00CB171C">
        <w:rPr>
          <w:i w:val="0"/>
          <w:lang w:val="de-DE"/>
        </w:rPr>
        <w:t xml:space="preserve">im allgemeinen </w:t>
      </w:r>
      <w:r w:rsidRPr="00CB171C">
        <w:rPr>
          <w:i w:val="0"/>
          <w:lang w:val="de-DE"/>
        </w:rPr>
        <w:t>an das betreffende UPOV-Organ verbreitet würden, daß jedoch beispielsweise im Falle von Dokumenten, die auf dem Schriftweg zu prüfen sind, das betreffende UPOV</w:t>
      </w:r>
      <w:r w:rsidRPr="00CB171C">
        <w:rPr>
          <w:i w:val="0"/>
          <w:lang w:val="de-DE"/>
        </w:rPr>
        <w:noBreakHyphen/>
        <w:t xml:space="preserve">Organ auf </w:t>
      </w:r>
      <w:r w:rsidRPr="00CB171C">
        <w:rPr>
          <w:lang w:val="de-DE"/>
        </w:rPr>
        <w:t>Ad-hoc</w:t>
      </w:r>
      <w:r w:rsidRPr="00CB171C">
        <w:rPr>
          <w:i w:val="0"/>
          <w:lang w:val="de-DE"/>
        </w:rPr>
        <w:t>-Basis vereinbaren kann, schriftliche Bemerkungen auf der Website des betreffenden UPOV-Organs zu veröffentlichen.</w:t>
      </w:r>
    </w:p>
    <w:p w:rsidR="007F6BFC" w:rsidRPr="00CB171C" w:rsidRDefault="007F6BFC" w:rsidP="00B02D38">
      <w:pPr>
        <w:rPr>
          <w:rFonts w:cs="Arial"/>
          <w:lang w:val="de-DE"/>
        </w:rPr>
      </w:pPr>
    </w:p>
    <w:p w:rsidR="00857963" w:rsidRPr="00CB171C" w:rsidRDefault="00857963" w:rsidP="00B02D38">
      <w:pPr>
        <w:rPr>
          <w:rFonts w:cs="Arial"/>
          <w:lang w:val="de-DE"/>
        </w:rPr>
      </w:pPr>
    </w:p>
    <w:p w:rsidR="00B02D38" w:rsidRPr="00CB171C" w:rsidRDefault="00B02D38" w:rsidP="00B02D38">
      <w:pPr>
        <w:pStyle w:val="Heading1"/>
        <w:rPr>
          <w:rFonts w:cs="Arial"/>
          <w:lang w:val="de-DE"/>
        </w:rPr>
      </w:pPr>
      <w:bookmarkStart w:id="84" w:name="_Toc381174865"/>
      <w:bookmarkStart w:id="85" w:name="_Toc443988418"/>
      <w:bookmarkStart w:id="86" w:name="_Toc444242876"/>
      <w:bookmarkStart w:id="87" w:name="_Toc444761625"/>
      <w:r w:rsidRPr="00CB171C">
        <w:rPr>
          <w:rFonts w:cs="Arial"/>
          <w:lang w:val="de-DE"/>
        </w:rPr>
        <w:t>UPOV</w:t>
      </w:r>
      <w:r w:rsidR="00DF2367" w:rsidRPr="00CB171C">
        <w:rPr>
          <w:rFonts w:cs="Arial"/>
          <w:lang w:val="de-DE"/>
        </w:rPr>
        <w:t>-</w:t>
      </w:r>
      <w:r w:rsidR="0076764D" w:rsidRPr="00CB171C">
        <w:rPr>
          <w:rFonts w:cs="Arial"/>
          <w:lang w:val="de-DE"/>
        </w:rPr>
        <w:t>sammlung</w:t>
      </w:r>
      <w:bookmarkEnd w:id="84"/>
      <w:bookmarkEnd w:id="85"/>
      <w:bookmarkEnd w:id="86"/>
      <w:bookmarkEnd w:id="87"/>
    </w:p>
    <w:p w:rsidR="00B02D38" w:rsidRPr="00CB171C" w:rsidRDefault="00B02D38" w:rsidP="00B02D38">
      <w:pPr>
        <w:rPr>
          <w:rFonts w:cs="Arial"/>
          <w:lang w:val="de-DE"/>
        </w:rPr>
      </w:pPr>
      <w:r w:rsidRPr="00CB171C">
        <w:rPr>
          <w:rFonts w:cs="Arial"/>
          <w:lang w:val="de-DE"/>
        </w:rPr>
        <w:t>(</w:t>
      </w:r>
      <w:r w:rsidR="0076764D" w:rsidRPr="00CB171C">
        <w:rPr>
          <w:rFonts w:cs="Arial"/>
          <w:lang w:val="de-DE"/>
        </w:rPr>
        <w:t>siehe</w:t>
      </w:r>
      <w:r w:rsidRPr="00CB171C">
        <w:rPr>
          <w:rFonts w:cs="Arial"/>
          <w:lang w:val="de-DE"/>
        </w:rPr>
        <w:t xml:space="preserve"> </w:t>
      </w:r>
      <w:hyperlink r:id="rId10" w:history="1">
        <w:r w:rsidR="00B06D6F" w:rsidRPr="00CB171C">
          <w:rPr>
            <w:rStyle w:val="Hyperlink"/>
            <w:lang w:val="de-DE"/>
          </w:rPr>
          <w:t>http://www.upov.int/upov_collection/de/</w:t>
        </w:r>
      </w:hyperlink>
      <w:r w:rsidRPr="00CB171C">
        <w:rPr>
          <w:rFonts w:cs="Arial"/>
          <w:lang w:val="de-DE"/>
        </w:rPr>
        <w:t>)</w:t>
      </w:r>
    </w:p>
    <w:p w:rsidR="00B02D38" w:rsidRPr="00CB171C" w:rsidRDefault="00B02D38" w:rsidP="00B02D38">
      <w:pPr>
        <w:rPr>
          <w:rFonts w:cs="Arial"/>
          <w:lang w:val="de-DE"/>
        </w:rPr>
      </w:pPr>
    </w:p>
    <w:p w:rsidR="00C3013D" w:rsidRPr="00CB171C" w:rsidRDefault="00C3013D" w:rsidP="00C3013D">
      <w:pPr>
        <w:pStyle w:val="Heading2"/>
        <w:rPr>
          <w:lang w:val="de-DE"/>
        </w:rPr>
      </w:pPr>
      <w:bookmarkStart w:id="88" w:name="_Toc443988419"/>
      <w:bookmarkStart w:id="89" w:name="_Toc444242877"/>
      <w:bookmarkStart w:id="90" w:name="_Toc444761626"/>
      <w:r w:rsidRPr="00CB171C">
        <w:rPr>
          <w:lang w:val="de-DE"/>
        </w:rPr>
        <w:t>A</w:t>
      </w:r>
      <w:r w:rsidR="0076764D" w:rsidRPr="00CB171C">
        <w:rPr>
          <w:lang w:val="de-DE"/>
        </w:rPr>
        <w:t>nnahm</w:t>
      </w:r>
      <w:r w:rsidR="00DF2367" w:rsidRPr="00CB171C">
        <w:rPr>
          <w:lang w:val="de-DE"/>
        </w:rPr>
        <w:t>e</w:t>
      </w:r>
      <w:r w:rsidR="0076764D" w:rsidRPr="00CB171C">
        <w:rPr>
          <w:lang w:val="de-DE"/>
        </w:rPr>
        <w:t xml:space="preserve"> von Dokumenten</w:t>
      </w:r>
      <w:bookmarkEnd w:id="88"/>
      <w:bookmarkEnd w:id="89"/>
      <w:bookmarkEnd w:id="90"/>
    </w:p>
    <w:p w:rsidR="00C3013D" w:rsidRPr="00CB171C" w:rsidRDefault="00C3013D" w:rsidP="00B02D38">
      <w:pPr>
        <w:rPr>
          <w:rFonts w:cs="Arial"/>
          <w:lang w:val="de-DE"/>
        </w:rPr>
      </w:pPr>
    </w:p>
    <w:p w:rsidR="0076764D" w:rsidRPr="00CB171C" w:rsidRDefault="00B02D38" w:rsidP="007E411C">
      <w:pPr>
        <w:rPr>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6764D" w:rsidRPr="00CB171C">
        <w:rPr>
          <w:lang w:val="de-DE"/>
        </w:rPr>
        <w:t xml:space="preserve">Der Rat nahm auf seiner </w:t>
      </w:r>
      <w:r w:rsidR="00DF2367" w:rsidRPr="00CB171C">
        <w:rPr>
          <w:lang w:val="de-DE"/>
        </w:rPr>
        <w:t>zweiunddreißigsten</w:t>
      </w:r>
      <w:r w:rsidR="0076764D" w:rsidRPr="00CB171C">
        <w:rPr>
          <w:lang w:val="de-DE"/>
        </w:rPr>
        <w:t xml:space="preserve"> </w:t>
      </w:r>
      <w:r w:rsidR="00DF2367" w:rsidRPr="00CB171C">
        <w:rPr>
          <w:lang w:val="de-DE"/>
        </w:rPr>
        <w:t>außerordentlichen</w:t>
      </w:r>
      <w:r w:rsidR="0076764D" w:rsidRPr="00CB171C">
        <w:rPr>
          <w:lang w:val="de-DE"/>
        </w:rPr>
        <w:t xml:space="preserve"> Tagung folgende Überarbeitungen von Informationsdokumenten an:</w:t>
      </w:r>
    </w:p>
    <w:p w:rsidR="0076764D" w:rsidRPr="00CB171C" w:rsidRDefault="0076764D" w:rsidP="007E411C">
      <w:pPr>
        <w:rPr>
          <w:lang w:val="de-DE"/>
        </w:rPr>
      </w:pPr>
    </w:p>
    <w:p w:rsidR="0076764D" w:rsidRPr="001A5AA6" w:rsidRDefault="0076764D" w:rsidP="001A5AA6">
      <w:pPr>
        <w:pStyle w:val="ListParagraph"/>
        <w:numPr>
          <w:ilvl w:val="0"/>
          <w:numId w:val="19"/>
        </w:numPr>
        <w:tabs>
          <w:tab w:val="left" w:pos="709"/>
        </w:tabs>
        <w:ind w:left="2268" w:hanging="1843"/>
        <w:contextualSpacing w:val="0"/>
        <w:rPr>
          <w:lang w:val="de-DE"/>
        </w:rPr>
      </w:pPr>
      <w:r w:rsidRPr="001A5AA6">
        <w:rPr>
          <w:lang w:val="de-DE"/>
        </w:rPr>
        <w:t>UPOV/INF/4/4</w:t>
      </w:r>
      <w:r w:rsidRPr="001A5AA6">
        <w:rPr>
          <w:lang w:val="de-DE"/>
        </w:rPr>
        <w:tab/>
      </w:r>
      <w:r w:rsidRPr="001A5AA6">
        <w:rPr>
          <w:lang w:val="de-DE"/>
        </w:rPr>
        <w:tab/>
        <w:t>Finanzordnung und ihre Durchführungsbestimmungen der UPOV</w:t>
      </w:r>
      <w:r w:rsidR="001A5AA6" w:rsidRPr="001A5AA6">
        <w:rPr>
          <w:lang w:val="de-DE"/>
        </w:rPr>
        <w:t xml:space="preserve"> </w:t>
      </w:r>
      <w:r w:rsidRPr="001A5AA6">
        <w:rPr>
          <w:lang w:val="de-DE"/>
        </w:rPr>
        <w:t>(Überarbeitung)</w:t>
      </w:r>
    </w:p>
    <w:p w:rsidR="0076764D" w:rsidRPr="00CB171C" w:rsidRDefault="0076764D" w:rsidP="001A5AA6">
      <w:pPr>
        <w:pStyle w:val="ListParagraph"/>
        <w:numPr>
          <w:ilvl w:val="0"/>
          <w:numId w:val="19"/>
        </w:numPr>
        <w:tabs>
          <w:tab w:val="left" w:pos="709"/>
          <w:tab w:val="left" w:pos="2835"/>
        </w:tabs>
        <w:ind w:left="2268" w:hanging="1843"/>
        <w:contextualSpacing w:val="0"/>
        <w:rPr>
          <w:lang w:val="de-DE"/>
        </w:rPr>
      </w:pPr>
      <w:r w:rsidRPr="00CB171C">
        <w:rPr>
          <w:lang w:val="de-DE"/>
        </w:rPr>
        <w:t>UPOV/INF/15/3</w:t>
      </w:r>
      <w:r w:rsidRPr="00CB171C">
        <w:rPr>
          <w:lang w:val="de-DE"/>
        </w:rPr>
        <w:tab/>
        <w:t>Anleitung für Verbandsmitglieder (Überarbeitung)</w:t>
      </w:r>
    </w:p>
    <w:p w:rsidR="0076764D" w:rsidRPr="00CB171C" w:rsidRDefault="0076764D" w:rsidP="007E411C">
      <w:pPr>
        <w:rPr>
          <w:rFonts w:cs="Arial"/>
          <w:lang w:val="de-DE"/>
        </w:rPr>
      </w:pPr>
    </w:p>
    <w:p w:rsidR="00950B80" w:rsidRPr="00CB171C" w:rsidRDefault="00EA4629" w:rsidP="007E411C">
      <w:pPr>
        <w:autoSpaceDE w:val="0"/>
        <w:autoSpaceDN w:val="0"/>
        <w:adjustRightInd w:val="0"/>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4574BE" w:rsidRPr="00CB171C">
        <w:rPr>
          <w:lang w:val="de-DE"/>
        </w:rPr>
        <w:t>Der Rat nahm auf seiner neunundvierzigsten ordentlichen Tagung folgende Überarbeitungen von Dokumenten an:</w:t>
      </w:r>
    </w:p>
    <w:p w:rsidR="00950B80" w:rsidRPr="00CB171C" w:rsidRDefault="00950B80" w:rsidP="007E411C">
      <w:pPr>
        <w:autoSpaceDE w:val="0"/>
        <w:autoSpaceDN w:val="0"/>
        <w:adjustRightInd w:val="0"/>
        <w:rPr>
          <w:rFonts w:cs="Arial"/>
          <w:lang w:val="de-DE"/>
        </w:rPr>
      </w:pP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TGP/5 </w:t>
      </w:r>
      <w:r w:rsidR="004574BE" w:rsidRPr="00CB171C">
        <w:rPr>
          <w:lang w:val="de-DE"/>
        </w:rPr>
        <w:t>Erfahrung und Zusammenarbeit bei der DUS-Prüfung</w:t>
      </w:r>
      <w:r w:rsidRPr="00CB171C">
        <w:rPr>
          <w:rFonts w:cs="Arial"/>
          <w:lang w:val="de-DE"/>
        </w:rPr>
        <w:t>:</w:t>
      </w:r>
    </w:p>
    <w:p w:rsidR="00950B80" w:rsidRPr="00CB171C" w:rsidRDefault="004574BE" w:rsidP="007E411C">
      <w:pPr>
        <w:pStyle w:val="ListParagraph"/>
        <w:numPr>
          <w:ilvl w:val="1"/>
          <w:numId w:val="15"/>
        </w:numPr>
        <w:autoSpaceDE w:val="0"/>
        <w:autoSpaceDN w:val="0"/>
        <w:adjustRightInd w:val="0"/>
        <w:rPr>
          <w:rFonts w:cs="Arial"/>
          <w:lang w:val="de-DE"/>
        </w:rPr>
      </w:pPr>
      <w:r w:rsidRPr="00CB171C">
        <w:rPr>
          <w:rFonts w:cs="Arial"/>
          <w:lang w:val="de-DE"/>
        </w:rPr>
        <w:t>Abschnitt</w:t>
      </w:r>
      <w:r w:rsidR="00950B80" w:rsidRPr="00CB171C">
        <w:rPr>
          <w:rFonts w:cs="Arial"/>
          <w:lang w:val="de-DE"/>
        </w:rPr>
        <w:t xml:space="preserve"> 3/2: </w:t>
      </w:r>
      <w:r w:rsidRPr="00CB171C">
        <w:rPr>
          <w:lang w:val="de-DE"/>
        </w:rPr>
        <w:t>Technischer Fragebogen</w:t>
      </w:r>
      <w:r w:rsidR="00FF3D63" w:rsidRPr="00CB171C">
        <w:rPr>
          <w:lang w:val="de-DE"/>
        </w:rPr>
        <w:t>,</w:t>
      </w:r>
      <w:r w:rsidRPr="00CB171C">
        <w:rPr>
          <w:lang w:val="de-DE"/>
        </w:rPr>
        <w:t xml:space="preserve"> in Verbindung mit der Anmeldung zum Sortenschutz auszufüllen</w:t>
      </w:r>
    </w:p>
    <w:p w:rsidR="00950B80" w:rsidRPr="00CB171C" w:rsidRDefault="004574BE" w:rsidP="007E411C">
      <w:pPr>
        <w:pStyle w:val="ListParagraph"/>
        <w:numPr>
          <w:ilvl w:val="1"/>
          <w:numId w:val="15"/>
        </w:numPr>
        <w:autoSpaceDE w:val="0"/>
        <w:autoSpaceDN w:val="0"/>
        <w:adjustRightInd w:val="0"/>
        <w:rPr>
          <w:rFonts w:cs="Arial"/>
          <w:lang w:val="de-DE"/>
        </w:rPr>
      </w:pPr>
      <w:r w:rsidRPr="00CB171C">
        <w:rPr>
          <w:rFonts w:cs="Arial"/>
          <w:lang w:val="de-DE"/>
        </w:rPr>
        <w:t>Abschnitt</w:t>
      </w:r>
      <w:r w:rsidR="00950B80" w:rsidRPr="00CB171C">
        <w:rPr>
          <w:rFonts w:cs="Arial"/>
          <w:lang w:val="de-DE"/>
        </w:rPr>
        <w:t xml:space="preserve"> 8/2: </w:t>
      </w:r>
      <w:r w:rsidRPr="00CB171C">
        <w:rPr>
          <w:lang w:val="de-DE"/>
        </w:rPr>
        <w:t>Zusammenarbeit bei der Prüfung</w:t>
      </w:r>
    </w:p>
    <w:p w:rsidR="00950B80" w:rsidRPr="00CB171C" w:rsidRDefault="004574BE" w:rsidP="007E411C">
      <w:pPr>
        <w:pStyle w:val="ListParagraph"/>
        <w:numPr>
          <w:ilvl w:val="1"/>
          <w:numId w:val="15"/>
        </w:numPr>
        <w:autoSpaceDE w:val="0"/>
        <w:autoSpaceDN w:val="0"/>
        <w:adjustRightInd w:val="0"/>
        <w:spacing w:after="60"/>
        <w:ind w:left="1434" w:hanging="357"/>
        <w:contextualSpacing w:val="0"/>
        <w:rPr>
          <w:rFonts w:cs="Arial"/>
          <w:lang w:val="de-DE"/>
        </w:rPr>
      </w:pPr>
      <w:r w:rsidRPr="00CB171C">
        <w:rPr>
          <w:rFonts w:cs="Arial"/>
          <w:lang w:val="de-DE"/>
        </w:rPr>
        <w:t>Abschnitt</w:t>
      </w:r>
      <w:r w:rsidR="00950B80" w:rsidRPr="00CB171C">
        <w:rPr>
          <w:rFonts w:cs="Arial"/>
          <w:lang w:val="de-DE"/>
        </w:rPr>
        <w:t xml:space="preserve"> 9/2: </w:t>
      </w:r>
      <w:r w:rsidRPr="00CB171C">
        <w:rPr>
          <w:lang w:val="de-DE"/>
        </w:rPr>
        <w:t>Liste der Arten, an denen praktische technische Kenntnisse erworben oder für die nationale Richtlinien aufgestellt wurden</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TGP/9/2 </w:t>
      </w:r>
      <w:r w:rsidR="004574BE" w:rsidRPr="00CB171C">
        <w:rPr>
          <w:rFonts w:cs="Arial"/>
          <w:lang w:val="de-DE"/>
        </w:rPr>
        <w:t>Prüfung der Unterscheidbarkeit</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TGP/14/3 </w:t>
      </w:r>
      <w:r w:rsidR="004574BE" w:rsidRPr="00CB171C">
        <w:rPr>
          <w:snapToGrid w:val="0"/>
          <w:lang w:val="de-DE"/>
        </w:rPr>
        <w:t>Glossar der in den UPOV-Dokumenten verwendeten Begriffe</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UPOV/EXN/CAN/2 </w:t>
      </w:r>
      <w:r w:rsidR="004574BE" w:rsidRPr="00CB171C">
        <w:rPr>
          <w:lang w:val="de-DE"/>
        </w:rPr>
        <w:t>Erläuterungen zur Aufhebung des Züchterrechts nach dem UPOV</w:t>
      </w:r>
      <w:r w:rsidR="00CE2130" w:rsidRPr="00CB171C">
        <w:rPr>
          <w:lang w:val="de-DE"/>
        </w:rPr>
        <w:noBreakHyphen/>
      </w:r>
      <w:r w:rsidR="004574BE" w:rsidRPr="00CB171C">
        <w:rPr>
          <w:lang w:val="de-DE"/>
        </w:rPr>
        <w:t>Übereinkommen</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UPOV/EXN/NUL/2 </w:t>
      </w:r>
      <w:r w:rsidR="004574BE" w:rsidRPr="00CB171C">
        <w:rPr>
          <w:lang w:val="de-DE"/>
        </w:rPr>
        <w:t>Erläuterungen zur Nichtigkeit des Züchterrechts nach dem UPOV</w:t>
      </w:r>
      <w:r w:rsidR="00CE2130" w:rsidRPr="00CB171C">
        <w:rPr>
          <w:lang w:val="de-DE"/>
        </w:rPr>
        <w:noBreakHyphen/>
      </w:r>
      <w:r w:rsidR="004574BE" w:rsidRPr="00CB171C">
        <w:rPr>
          <w:lang w:val="de-DE"/>
        </w:rPr>
        <w:t>Übereinkommen</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UPOV/EXN/PRP/2 </w:t>
      </w:r>
      <w:r w:rsidR="004574BE" w:rsidRPr="00CB171C">
        <w:rPr>
          <w:lang w:val="de-DE"/>
        </w:rPr>
        <w:t>Erläuterungen zum vorläufigen Schutz nach dem UPOV-Übereinkommen</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UPOV/INF/6/4 </w:t>
      </w:r>
      <w:r w:rsidR="004574BE" w:rsidRPr="00CB171C">
        <w:rPr>
          <w:lang w:val="de-DE"/>
        </w:rPr>
        <w:t>Anleitung zur Ausarbeitung von Rechtsvorschriften aufgrund der Akte von 1991 des UPOV</w:t>
      </w:r>
      <w:r w:rsidR="004574BE" w:rsidRPr="00CB171C">
        <w:rPr>
          <w:lang w:val="de-DE"/>
        </w:rPr>
        <w:noBreakHyphen/>
        <w:t>Übereinkommens</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UPOV/INF/12/5 E</w:t>
      </w:r>
      <w:r w:rsidR="004411AD" w:rsidRPr="00CB171C">
        <w:rPr>
          <w:rFonts w:cs="Arial"/>
          <w:lang w:val="de-DE"/>
        </w:rPr>
        <w:t xml:space="preserve">rläuterungen zu Sortenbezeichnungen </w:t>
      </w:r>
      <w:r w:rsidR="00CE2130" w:rsidRPr="00CB171C">
        <w:rPr>
          <w:rFonts w:cs="Arial"/>
          <w:lang w:val="de-DE"/>
        </w:rPr>
        <w:t>nach dem UPOV-Übereinkommen</w:t>
      </w:r>
    </w:p>
    <w:p w:rsidR="00950B80" w:rsidRPr="00CB171C" w:rsidRDefault="00950B80" w:rsidP="007E411C">
      <w:pPr>
        <w:pStyle w:val="ListParagraph"/>
        <w:numPr>
          <w:ilvl w:val="0"/>
          <w:numId w:val="15"/>
        </w:numPr>
        <w:autoSpaceDE w:val="0"/>
        <w:autoSpaceDN w:val="0"/>
        <w:adjustRightInd w:val="0"/>
        <w:spacing w:after="60"/>
        <w:ind w:left="714" w:hanging="357"/>
        <w:contextualSpacing w:val="0"/>
        <w:rPr>
          <w:rFonts w:cs="Arial"/>
          <w:lang w:val="de-DE"/>
        </w:rPr>
      </w:pPr>
      <w:r w:rsidRPr="00CB171C">
        <w:rPr>
          <w:rFonts w:cs="Arial"/>
          <w:lang w:val="de-DE"/>
        </w:rPr>
        <w:t xml:space="preserve">UPOV/INF/16/5 </w:t>
      </w:r>
      <w:r w:rsidR="004574BE" w:rsidRPr="00CB171C">
        <w:rPr>
          <w:rFonts w:cs="Arial"/>
          <w:lang w:val="de-DE"/>
        </w:rPr>
        <w:t>Austauschbare</w:t>
      </w:r>
      <w:r w:rsidRPr="00CB171C">
        <w:rPr>
          <w:rFonts w:cs="Arial"/>
          <w:lang w:val="de-DE"/>
        </w:rPr>
        <w:t xml:space="preserve"> Software</w:t>
      </w:r>
    </w:p>
    <w:p w:rsidR="00950B80" w:rsidRPr="00CB171C" w:rsidRDefault="00950B80" w:rsidP="007E411C">
      <w:pPr>
        <w:pStyle w:val="ListParagraph"/>
        <w:numPr>
          <w:ilvl w:val="0"/>
          <w:numId w:val="15"/>
        </w:numPr>
        <w:autoSpaceDE w:val="0"/>
        <w:autoSpaceDN w:val="0"/>
        <w:adjustRightInd w:val="0"/>
        <w:rPr>
          <w:rFonts w:cs="Arial"/>
          <w:lang w:val="de-DE"/>
        </w:rPr>
      </w:pPr>
      <w:r w:rsidRPr="00CB171C">
        <w:rPr>
          <w:rFonts w:cs="Arial"/>
          <w:lang w:val="de-DE"/>
        </w:rPr>
        <w:t xml:space="preserve">UPOV/INF/22/2 </w:t>
      </w:r>
      <w:r w:rsidR="004574BE" w:rsidRPr="00CB171C">
        <w:rPr>
          <w:snapToGrid w:val="0"/>
          <w:spacing w:val="-4"/>
          <w:lang w:val="de-DE"/>
        </w:rPr>
        <w:t>Von Verbandsmitgliedern verwendete Software und Ausrüstung</w:t>
      </w:r>
    </w:p>
    <w:p w:rsidR="00EA4629" w:rsidRPr="00CB171C" w:rsidRDefault="00EA4629" w:rsidP="00B35469">
      <w:pPr>
        <w:pStyle w:val="Default"/>
        <w:rPr>
          <w:color w:val="auto"/>
          <w:sz w:val="20"/>
          <w:szCs w:val="20"/>
          <w:lang w:val="de-DE"/>
        </w:rPr>
      </w:pPr>
    </w:p>
    <w:p w:rsidR="00B02D38" w:rsidRPr="00CB171C" w:rsidRDefault="00B02D38" w:rsidP="00B02D38">
      <w:pPr>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t>All</w:t>
      </w:r>
      <w:r w:rsidR="004574BE" w:rsidRPr="00CB171C">
        <w:rPr>
          <w:rFonts w:cs="Arial"/>
          <w:lang w:val="de-DE"/>
        </w:rPr>
        <w:t xml:space="preserve">e angenommenen </w:t>
      </w:r>
      <w:r w:rsidR="00D56B2B" w:rsidRPr="00CB171C">
        <w:rPr>
          <w:rFonts w:cs="Arial"/>
          <w:lang w:val="de-DE"/>
        </w:rPr>
        <w:t>Dokumente</w:t>
      </w:r>
      <w:r w:rsidR="004574BE" w:rsidRPr="00CB171C">
        <w:rPr>
          <w:rFonts w:cs="Arial"/>
          <w:lang w:val="de-DE"/>
        </w:rPr>
        <w:t xml:space="preserve"> </w:t>
      </w:r>
      <w:r w:rsidR="00D56B2B" w:rsidRPr="00CB171C">
        <w:rPr>
          <w:rFonts w:cs="Arial"/>
          <w:lang w:val="de-DE"/>
        </w:rPr>
        <w:t>wurden</w:t>
      </w:r>
      <w:r w:rsidR="004574BE" w:rsidRPr="00CB171C">
        <w:rPr>
          <w:rFonts w:cs="Arial"/>
          <w:lang w:val="de-DE"/>
        </w:rPr>
        <w:t xml:space="preserve"> in die</w:t>
      </w:r>
      <w:r w:rsidRPr="00CB171C">
        <w:rPr>
          <w:rFonts w:cs="Arial"/>
          <w:lang w:val="de-DE"/>
        </w:rPr>
        <w:t xml:space="preserve"> UPOV</w:t>
      </w:r>
      <w:r w:rsidR="004574BE" w:rsidRPr="00CB171C">
        <w:rPr>
          <w:rFonts w:cs="Arial"/>
          <w:lang w:val="de-DE"/>
        </w:rPr>
        <w:t>-</w:t>
      </w:r>
      <w:r w:rsidR="00D56B2B" w:rsidRPr="00CB171C">
        <w:rPr>
          <w:rFonts w:cs="Arial"/>
          <w:lang w:val="de-DE"/>
        </w:rPr>
        <w:t>Sammlung</w:t>
      </w:r>
      <w:r w:rsidR="004574BE" w:rsidRPr="00CB171C">
        <w:rPr>
          <w:rFonts w:cs="Arial"/>
          <w:lang w:val="de-DE"/>
        </w:rPr>
        <w:t xml:space="preserve"> aufgenommen.</w:t>
      </w:r>
    </w:p>
    <w:p w:rsidR="00B02D38" w:rsidRPr="00CB171C" w:rsidRDefault="00B02D38" w:rsidP="00B02D38">
      <w:pPr>
        <w:rPr>
          <w:rFonts w:cs="Arial"/>
          <w:lang w:val="de-DE"/>
        </w:rPr>
      </w:pPr>
    </w:p>
    <w:p w:rsidR="004574BE" w:rsidRPr="00CB171C" w:rsidRDefault="004574BE" w:rsidP="004574BE">
      <w:pPr>
        <w:pStyle w:val="Heading2"/>
        <w:rPr>
          <w:lang w:val="de-DE"/>
        </w:rPr>
      </w:pPr>
      <w:bookmarkStart w:id="91" w:name="_Toc413078851"/>
      <w:bookmarkStart w:id="92" w:name="_Toc413311301"/>
      <w:bookmarkStart w:id="93" w:name="_Toc413311677"/>
      <w:bookmarkStart w:id="94" w:name="_Toc413335716"/>
      <w:bookmarkStart w:id="95" w:name="_Toc444242878"/>
      <w:bookmarkStart w:id="96" w:name="_Toc381174870"/>
      <w:bookmarkStart w:id="97" w:name="_Toc443988420"/>
      <w:bookmarkStart w:id="98" w:name="_Toc444761627"/>
      <w:r w:rsidRPr="00CB171C">
        <w:rPr>
          <w:lang w:val="de-DE"/>
        </w:rPr>
        <w:t>Programm für die Ausarbeitung von Erläuterungen zum UPOV-Übereinkommen</w:t>
      </w:r>
      <w:bookmarkEnd w:id="91"/>
      <w:bookmarkEnd w:id="92"/>
      <w:bookmarkEnd w:id="93"/>
      <w:bookmarkEnd w:id="94"/>
      <w:bookmarkEnd w:id="95"/>
      <w:bookmarkEnd w:id="98"/>
    </w:p>
    <w:bookmarkEnd w:id="96"/>
    <w:bookmarkEnd w:id="97"/>
    <w:p w:rsidR="00B02D38" w:rsidRPr="00CB171C" w:rsidRDefault="00B02D38" w:rsidP="00B02D38">
      <w:pPr>
        <w:pStyle w:val="Heading2"/>
        <w:rPr>
          <w:rFonts w:cs="Arial"/>
          <w:lang w:val="de-DE"/>
        </w:rPr>
      </w:pPr>
    </w:p>
    <w:p w:rsidR="00B02D38" w:rsidRPr="00CB171C" w:rsidRDefault="00B02D38" w:rsidP="009D37E6">
      <w:pPr>
        <w:keepNext/>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130A8E" w:rsidRPr="00CB171C">
        <w:rPr>
          <w:rFonts w:cs="Arial"/>
          <w:lang w:val="de-DE"/>
        </w:rPr>
        <w:t xml:space="preserve">Das Programm für die Ausarbeitung von Informationen ist nachstehend </w:t>
      </w:r>
      <w:r w:rsidR="00D56B2B" w:rsidRPr="00CB171C">
        <w:rPr>
          <w:rFonts w:cs="Arial"/>
          <w:lang w:val="de-DE"/>
        </w:rPr>
        <w:t>zusammengefaßt</w:t>
      </w:r>
      <w:r w:rsidRPr="00CB171C">
        <w:rPr>
          <w:rFonts w:cs="Arial"/>
          <w:lang w:val="de-DE"/>
        </w:rPr>
        <w:t>:</w:t>
      </w:r>
    </w:p>
    <w:p w:rsidR="00B02D38" w:rsidRPr="00CB171C" w:rsidRDefault="00B02D38" w:rsidP="00D821B9">
      <w:pPr>
        <w:keepNext/>
        <w:rPr>
          <w:rFonts w:cs="Arial"/>
          <w:lang w:val="de-DE"/>
        </w:rPr>
      </w:pPr>
    </w:p>
    <w:p w:rsidR="00B02D38" w:rsidRPr="00CB171C" w:rsidRDefault="00B02D38" w:rsidP="00D821B9">
      <w:pPr>
        <w:keepNext/>
        <w:jc w:val="left"/>
        <w:rPr>
          <w:rFonts w:cs="Arial"/>
          <w:i/>
          <w:lang w:val="de-DE"/>
        </w:rPr>
      </w:pPr>
      <w:r w:rsidRPr="00CB171C">
        <w:rPr>
          <w:rFonts w:cs="Arial"/>
          <w:i/>
          <w:lang w:val="de-DE"/>
        </w:rPr>
        <w:t>E</w:t>
      </w:r>
      <w:r w:rsidR="00130A8E" w:rsidRPr="00CB171C">
        <w:rPr>
          <w:rFonts w:cs="Arial"/>
          <w:i/>
          <w:lang w:val="de-DE"/>
        </w:rPr>
        <w:t>rläuterungen</w:t>
      </w:r>
    </w:p>
    <w:p w:rsidR="00B02D38" w:rsidRPr="00CB171C" w:rsidRDefault="00B02D38" w:rsidP="00D821B9">
      <w:pPr>
        <w:keepNext/>
        <w:jc w:val="left"/>
        <w:rPr>
          <w:rFonts w:cs="Arial"/>
          <w:lang w:val="de-DE"/>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8"/>
        <w:gridCol w:w="3911"/>
      </w:tblGrid>
      <w:tr w:rsidR="00952708" w:rsidRPr="00CB171C" w:rsidTr="00952708">
        <w:trPr>
          <w:cantSplit/>
          <w:jc w:val="center"/>
        </w:trPr>
        <w:tc>
          <w:tcPr>
            <w:tcW w:w="1741" w:type="dxa"/>
            <w:shd w:val="clear" w:color="auto" w:fill="D9D9D9"/>
          </w:tcPr>
          <w:p w:rsidR="00952708" w:rsidRPr="00CB171C" w:rsidRDefault="00952708" w:rsidP="00707F65">
            <w:pPr>
              <w:jc w:val="left"/>
              <w:rPr>
                <w:rFonts w:cs="Arial"/>
                <w:lang w:val="de-DE"/>
              </w:rPr>
            </w:pPr>
            <w:r w:rsidRPr="00CB171C">
              <w:rPr>
                <w:rFonts w:cs="Arial"/>
                <w:lang w:val="de-DE"/>
              </w:rPr>
              <w:t>Dokument-verweis</w:t>
            </w:r>
          </w:p>
        </w:tc>
        <w:tc>
          <w:tcPr>
            <w:tcW w:w="4718" w:type="dxa"/>
            <w:shd w:val="clear" w:color="auto" w:fill="D9D9D9"/>
          </w:tcPr>
          <w:p w:rsidR="00952708" w:rsidRPr="00CB171C" w:rsidRDefault="00952708" w:rsidP="007E1925">
            <w:pPr>
              <w:jc w:val="left"/>
              <w:rPr>
                <w:rFonts w:cs="Arial"/>
                <w:lang w:val="de-DE"/>
              </w:rPr>
            </w:pPr>
            <w:r w:rsidRPr="00CB171C">
              <w:rPr>
                <w:rFonts w:cs="Arial"/>
                <w:lang w:val="de-DE"/>
              </w:rPr>
              <w:t>Erläuterungen</w:t>
            </w:r>
          </w:p>
        </w:tc>
        <w:tc>
          <w:tcPr>
            <w:tcW w:w="3911" w:type="dxa"/>
            <w:shd w:val="clear" w:color="auto" w:fill="D9D9D9"/>
          </w:tcPr>
          <w:p w:rsidR="00952708" w:rsidRPr="00CB171C" w:rsidRDefault="00952708" w:rsidP="00707F65">
            <w:pPr>
              <w:jc w:val="left"/>
              <w:rPr>
                <w:rFonts w:cs="Arial"/>
                <w:lang w:val="de-DE"/>
              </w:rPr>
            </w:pPr>
            <w:r w:rsidRPr="00CB171C">
              <w:rPr>
                <w:rFonts w:cs="Arial"/>
                <w:lang w:val="de-DE"/>
              </w:rPr>
              <w:t>Stand</w:t>
            </w:r>
          </w:p>
        </w:tc>
      </w:tr>
      <w:tr w:rsidR="00130A8E" w:rsidRPr="00CB171C" w:rsidTr="00952708">
        <w:trPr>
          <w:cantSplit/>
          <w:jc w:val="center"/>
        </w:trPr>
        <w:tc>
          <w:tcPr>
            <w:tcW w:w="1741" w:type="dxa"/>
          </w:tcPr>
          <w:p w:rsidR="00130A8E" w:rsidRPr="00CB171C" w:rsidRDefault="00130A8E" w:rsidP="00707F65">
            <w:pPr>
              <w:jc w:val="left"/>
              <w:rPr>
                <w:rFonts w:cs="Arial"/>
                <w:lang w:val="de-DE"/>
              </w:rPr>
            </w:pPr>
            <w:r w:rsidRPr="00CB171C">
              <w:rPr>
                <w:rFonts w:cs="Arial"/>
                <w:color w:val="000000"/>
                <w:lang w:val="de-DE"/>
              </w:rPr>
              <w:t>UPOV/EXN/EDV</w:t>
            </w:r>
          </w:p>
        </w:tc>
        <w:tc>
          <w:tcPr>
            <w:tcW w:w="4718" w:type="dxa"/>
          </w:tcPr>
          <w:p w:rsidR="00130A8E" w:rsidRPr="00CB171C" w:rsidRDefault="00952708" w:rsidP="00952708">
            <w:pPr>
              <w:jc w:val="left"/>
              <w:rPr>
                <w:rFonts w:cs="Arial"/>
                <w:color w:val="000000"/>
                <w:lang w:val="de-DE"/>
              </w:rPr>
            </w:pPr>
            <w:r w:rsidRPr="00CB171C">
              <w:rPr>
                <w:lang w:val="de-DE"/>
              </w:rPr>
              <w:t xml:space="preserve">Erläuterungen zu </w:t>
            </w:r>
            <w:r w:rsidR="00D56B2B" w:rsidRPr="00CB171C">
              <w:rPr>
                <w:lang w:val="de-DE"/>
              </w:rPr>
              <w:t>den</w:t>
            </w:r>
            <w:r w:rsidRPr="00CB171C">
              <w:rPr>
                <w:lang w:val="de-DE"/>
              </w:rPr>
              <w:t xml:space="preserve"> i</w:t>
            </w:r>
            <w:r w:rsidR="00130A8E" w:rsidRPr="00CB171C">
              <w:rPr>
                <w:lang w:val="de-DE"/>
              </w:rPr>
              <w:t>m wesentlichen abgeleiteten Sorten nach der Akte von 1991 des UPOV</w:t>
            </w:r>
            <w:r w:rsidR="00130A8E" w:rsidRPr="00CB171C">
              <w:rPr>
                <w:lang w:val="de-DE"/>
              </w:rPr>
              <w:noBreakHyphen/>
              <w:t>Übereinkommens</w:t>
            </w:r>
          </w:p>
        </w:tc>
        <w:tc>
          <w:tcPr>
            <w:tcW w:w="3911" w:type="dxa"/>
          </w:tcPr>
          <w:p w:rsidR="00130A8E" w:rsidRPr="00CB171C" w:rsidRDefault="00130A8E" w:rsidP="00130A8E">
            <w:pPr>
              <w:jc w:val="left"/>
              <w:rPr>
                <w:rFonts w:cs="Arial"/>
                <w:lang w:val="de-DE"/>
              </w:rPr>
            </w:pPr>
            <w:r w:rsidRPr="00CB171C">
              <w:rPr>
                <w:rFonts w:cs="Arial"/>
                <w:color w:val="000000"/>
                <w:lang w:val="de-DE"/>
              </w:rPr>
              <w:t>UPOV/EXN/EDV/2 Draft 7,</w:t>
            </w:r>
            <w:r w:rsidRPr="00CB171C">
              <w:rPr>
                <w:rFonts w:cs="Arial"/>
                <w:iCs/>
                <w:lang w:val="de-DE"/>
              </w:rPr>
              <w:t xml:space="preserve"> </w:t>
            </w:r>
            <w:r w:rsidRPr="00CB171C">
              <w:rPr>
                <w:rFonts w:cs="Arial"/>
                <w:spacing w:val="-2"/>
                <w:lang w:val="de-DE"/>
              </w:rPr>
              <w:t>vom CAJ im Oktober 2016 zu prüfen</w:t>
            </w:r>
          </w:p>
        </w:tc>
      </w:tr>
      <w:tr w:rsidR="00B02D38" w:rsidRPr="00CB171C" w:rsidTr="00952708">
        <w:trPr>
          <w:cantSplit/>
          <w:jc w:val="center"/>
        </w:trPr>
        <w:tc>
          <w:tcPr>
            <w:tcW w:w="1741" w:type="dxa"/>
            <w:tcBorders>
              <w:bottom w:val="single" w:sz="2" w:space="0" w:color="auto"/>
            </w:tcBorders>
          </w:tcPr>
          <w:p w:rsidR="00B02D38" w:rsidRPr="00CB171C" w:rsidRDefault="007F6BFC" w:rsidP="00EA4629">
            <w:pPr>
              <w:jc w:val="left"/>
              <w:rPr>
                <w:rFonts w:cs="Arial"/>
                <w:lang w:val="de-DE"/>
              </w:rPr>
            </w:pPr>
            <w:r w:rsidRPr="00CB171C">
              <w:rPr>
                <w:rFonts w:cs="Arial"/>
                <w:lang w:val="de-DE"/>
              </w:rPr>
              <w:t>UPOV/EXN/CAL</w:t>
            </w:r>
          </w:p>
        </w:tc>
        <w:tc>
          <w:tcPr>
            <w:tcW w:w="4718" w:type="dxa"/>
            <w:tcBorders>
              <w:bottom w:val="single" w:sz="2" w:space="0" w:color="auto"/>
            </w:tcBorders>
          </w:tcPr>
          <w:p w:rsidR="00B02D38" w:rsidRPr="00CB171C" w:rsidRDefault="00952708" w:rsidP="00952708">
            <w:pPr>
              <w:jc w:val="left"/>
              <w:rPr>
                <w:rFonts w:cs="Arial"/>
                <w:lang w:val="de-DE"/>
              </w:rPr>
            </w:pPr>
            <w:r w:rsidRPr="00CB171C">
              <w:rPr>
                <w:rFonts w:cs="Arial"/>
                <w:lang w:val="de-DE" w:eastAsia="fr-CH"/>
              </w:rPr>
              <w:t xml:space="preserve">Erläuterungen zu den Bedingungen und Einschränkungen im Zusammenhang mit der Zustimmung des Züchters in bezug auf Vermehrungsmaterial nach </w:t>
            </w:r>
            <w:r w:rsidR="00D56B2B" w:rsidRPr="00CB171C">
              <w:rPr>
                <w:rFonts w:cs="Arial"/>
                <w:lang w:val="de-DE" w:eastAsia="fr-CH"/>
              </w:rPr>
              <w:t>dem</w:t>
            </w:r>
            <w:r w:rsidRPr="00CB171C">
              <w:rPr>
                <w:rFonts w:cs="Arial"/>
                <w:lang w:val="de-DE" w:eastAsia="fr-CH"/>
              </w:rPr>
              <w:t xml:space="preserve"> UPOV</w:t>
            </w:r>
            <w:r w:rsidRPr="00CB171C">
              <w:rPr>
                <w:rFonts w:cs="Arial"/>
                <w:lang w:val="de-DE" w:eastAsia="fr-CH"/>
              </w:rPr>
              <w:noBreakHyphen/>
              <w:t>Übereinkommen</w:t>
            </w:r>
          </w:p>
        </w:tc>
        <w:tc>
          <w:tcPr>
            <w:tcW w:w="3911" w:type="dxa"/>
            <w:tcBorders>
              <w:bottom w:val="single" w:sz="2" w:space="0" w:color="auto"/>
            </w:tcBorders>
          </w:tcPr>
          <w:p w:rsidR="00B02D38" w:rsidRPr="00CB171C" w:rsidRDefault="00952708" w:rsidP="00952708">
            <w:pPr>
              <w:jc w:val="left"/>
              <w:rPr>
                <w:rFonts w:cs="Arial"/>
                <w:spacing w:val="-2"/>
                <w:lang w:val="de-DE"/>
              </w:rPr>
            </w:pPr>
            <w:r w:rsidRPr="00CB171C">
              <w:rPr>
                <w:rFonts w:cs="Arial"/>
                <w:lang w:val="de-DE"/>
              </w:rPr>
              <w:t>Etwaige Überprüfung vom CAJ im Oktober 2016 zu erwägen</w:t>
            </w:r>
          </w:p>
        </w:tc>
      </w:tr>
    </w:tbl>
    <w:p w:rsidR="00B02D38" w:rsidRPr="00CB171C" w:rsidRDefault="00B02D38" w:rsidP="00B02D38">
      <w:pPr>
        <w:rPr>
          <w:rFonts w:cs="Arial"/>
          <w:lang w:val="de-DE"/>
        </w:rPr>
      </w:pPr>
    </w:p>
    <w:p w:rsidR="00130A8E" w:rsidRPr="00CB171C" w:rsidRDefault="00130A8E" w:rsidP="00130A8E">
      <w:pPr>
        <w:rPr>
          <w:i/>
          <w:lang w:val="de-DE"/>
        </w:rPr>
      </w:pPr>
      <w:r w:rsidRPr="00CB171C">
        <w:rPr>
          <w:i/>
          <w:lang w:val="de-DE"/>
        </w:rPr>
        <w:t>Informationsdokumente</w:t>
      </w:r>
    </w:p>
    <w:p w:rsidR="00130A8E" w:rsidRPr="00CB171C" w:rsidRDefault="00130A8E" w:rsidP="00130A8E">
      <w:pPr>
        <w:rPr>
          <w:lang w:val="de-DE"/>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130A8E" w:rsidRPr="00CB171C" w:rsidTr="00707F65">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130A8E" w:rsidRPr="00CB171C" w:rsidRDefault="00130A8E" w:rsidP="00707F65">
            <w:pPr>
              <w:jc w:val="left"/>
              <w:rPr>
                <w:rFonts w:cs="Arial"/>
                <w:lang w:val="de-DE"/>
              </w:rPr>
            </w:pPr>
            <w:r w:rsidRPr="00CB171C">
              <w:rPr>
                <w:rFonts w:cs="Arial"/>
                <w:lang w:val="de-DE"/>
              </w:rPr>
              <w:t>Jüngster Dokument</w:t>
            </w:r>
            <w:r w:rsidR="00952708" w:rsidRPr="00CB171C">
              <w:rPr>
                <w:rFonts w:cs="Arial"/>
                <w:lang w:val="de-DE"/>
              </w:rPr>
              <w:t>-</w:t>
            </w:r>
            <w:r w:rsidRPr="00CB171C">
              <w:rPr>
                <w:rFonts w:cs="Arial"/>
                <w:lang w:val="de-DE"/>
              </w:rPr>
              <w:t>verweis</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130A8E" w:rsidRPr="00CB171C" w:rsidRDefault="00130A8E" w:rsidP="00707F65">
            <w:pPr>
              <w:jc w:val="center"/>
              <w:rPr>
                <w:rFonts w:cs="Arial"/>
                <w:lang w:val="de-DE"/>
              </w:rPr>
            </w:pPr>
            <w:r w:rsidRPr="00CB171C">
              <w:rPr>
                <w:rFonts w:cs="Arial"/>
                <w:lang w:val="de-DE"/>
              </w:rPr>
              <w:t>INF-Dokumente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130A8E" w:rsidRPr="00CB171C" w:rsidRDefault="00130A8E" w:rsidP="00707F65">
            <w:pPr>
              <w:jc w:val="left"/>
              <w:rPr>
                <w:rFonts w:cs="Arial"/>
                <w:lang w:val="de-DE"/>
              </w:rPr>
            </w:pPr>
            <w:r w:rsidRPr="00CB171C">
              <w:rPr>
                <w:rFonts w:cs="Arial"/>
                <w:lang w:val="de-DE"/>
              </w:rPr>
              <w:t>Stand</w:t>
            </w:r>
          </w:p>
        </w:tc>
      </w:tr>
      <w:tr w:rsidR="00130A8E" w:rsidRPr="00CB171C" w:rsidTr="00707F65">
        <w:trPr>
          <w:cantSplit/>
          <w:jc w:val="center"/>
        </w:trPr>
        <w:tc>
          <w:tcPr>
            <w:tcW w:w="1758" w:type="dxa"/>
          </w:tcPr>
          <w:p w:rsidR="00130A8E" w:rsidRPr="00CB171C" w:rsidRDefault="00130A8E" w:rsidP="00130A8E">
            <w:pPr>
              <w:jc w:val="left"/>
              <w:rPr>
                <w:rFonts w:cs="Arial"/>
                <w:lang w:val="de-DE"/>
              </w:rPr>
            </w:pPr>
            <w:r w:rsidRPr="00CB171C">
              <w:rPr>
                <w:rFonts w:cs="Arial"/>
                <w:lang w:val="de-DE"/>
              </w:rPr>
              <w:t>UPOV/INF/12</w:t>
            </w:r>
          </w:p>
        </w:tc>
        <w:tc>
          <w:tcPr>
            <w:tcW w:w="4807" w:type="dxa"/>
          </w:tcPr>
          <w:p w:rsidR="00130A8E" w:rsidRPr="00CB171C" w:rsidRDefault="00130A8E" w:rsidP="00130A8E">
            <w:pPr>
              <w:jc w:val="left"/>
              <w:rPr>
                <w:rFonts w:cs="Arial"/>
                <w:lang w:val="de-DE"/>
              </w:rPr>
            </w:pPr>
            <w:r w:rsidRPr="00CB171C">
              <w:rPr>
                <w:lang w:val="de-DE"/>
              </w:rPr>
              <w:t>Erläuterungen zu Sortenbezeichn</w:t>
            </w:r>
            <w:r w:rsidR="00952708" w:rsidRPr="00CB171C">
              <w:rPr>
                <w:lang w:val="de-DE"/>
              </w:rPr>
              <w:t>u</w:t>
            </w:r>
            <w:r w:rsidRPr="00CB171C">
              <w:rPr>
                <w:lang w:val="de-DE"/>
              </w:rPr>
              <w:t>ngen nach dem UPOV-Übereinkommen</w:t>
            </w:r>
          </w:p>
        </w:tc>
        <w:tc>
          <w:tcPr>
            <w:tcW w:w="3920" w:type="dxa"/>
          </w:tcPr>
          <w:p w:rsidR="00130A8E" w:rsidRPr="00CB171C" w:rsidRDefault="00952708" w:rsidP="00952708">
            <w:pPr>
              <w:jc w:val="left"/>
              <w:rPr>
                <w:rFonts w:cs="Arial"/>
                <w:lang w:val="de-DE"/>
              </w:rPr>
            </w:pPr>
            <w:r w:rsidRPr="00CB171C">
              <w:rPr>
                <w:rFonts w:cs="Arial"/>
                <w:lang w:val="de-DE"/>
              </w:rPr>
              <w:t>Etwaige Überprüfung von der WG-DEN im März 2016 zu erwägen</w:t>
            </w:r>
          </w:p>
        </w:tc>
      </w:tr>
      <w:tr w:rsidR="00130A8E" w:rsidRPr="00CB171C" w:rsidTr="00707F65">
        <w:trPr>
          <w:cantSplit/>
          <w:jc w:val="center"/>
        </w:trPr>
        <w:tc>
          <w:tcPr>
            <w:tcW w:w="1758" w:type="dxa"/>
          </w:tcPr>
          <w:p w:rsidR="00130A8E" w:rsidRPr="00CB171C" w:rsidRDefault="00130A8E" w:rsidP="00707F65">
            <w:pPr>
              <w:jc w:val="left"/>
              <w:rPr>
                <w:rFonts w:cs="Arial"/>
                <w:lang w:val="de-DE"/>
              </w:rPr>
            </w:pPr>
            <w:r w:rsidRPr="00CB171C">
              <w:rPr>
                <w:rFonts w:cs="Arial"/>
                <w:lang w:val="de-DE"/>
              </w:rPr>
              <w:t>UPOV/INF/16</w:t>
            </w:r>
          </w:p>
        </w:tc>
        <w:tc>
          <w:tcPr>
            <w:tcW w:w="4807" w:type="dxa"/>
          </w:tcPr>
          <w:p w:rsidR="00130A8E" w:rsidRPr="00CB171C" w:rsidRDefault="00130A8E" w:rsidP="00707F65">
            <w:pPr>
              <w:jc w:val="left"/>
              <w:rPr>
                <w:rFonts w:cs="Arial"/>
                <w:lang w:val="de-DE"/>
              </w:rPr>
            </w:pPr>
            <w:r w:rsidRPr="00CB171C">
              <w:rPr>
                <w:rFonts w:cs="Arial"/>
                <w:lang w:val="de-DE"/>
              </w:rPr>
              <w:t>Austauschbare Software</w:t>
            </w:r>
          </w:p>
        </w:tc>
        <w:tc>
          <w:tcPr>
            <w:tcW w:w="3920" w:type="dxa"/>
          </w:tcPr>
          <w:p w:rsidR="00130A8E" w:rsidRPr="00CB171C" w:rsidRDefault="00130A8E" w:rsidP="00952708">
            <w:pPr>
              <w:jc w:val="left"/>
              <w:rPr>
                <w:rFonts w:cs="Arial"/>
                <w:strike/>
                <w:lang w:val="de-DE"/>
              </w:rPr>
            </w:pPr>
            <w:r w:rsidRPr="00CB171C">
              <w:rPr>
                <w:rFonts w:cs="Arial"/>
                <w:lang w:val="de-DE"/>
              </w:rPr>
              <w:t>UPOV/INF/16/</w:t>
            </w:r>
            <w:r w:rsidR="00952708" w:rsidRPr="00CB171C">
              <w:rPr>
                <w:rFonts w:cs="Arial"/>
                <w:lang w:val="de-DE"/>
              </w:rPr>
              <w:t>6</w:t>
            </w:r>
            <w:r w:rsidRPr="00CB171C">
              <w:rPr>
                <w:rFonts w:cs="Arial"/>
                <w:lang w:val="de-DE"/>
              </w:rPr>
              <w:t>, vom Rat im Oktober 201</w:t>
            </w:r>
            <w:r w:rsidR="00952708" w:rsidRPr="00CB171C">
              <w:rPr>
                <w:rFonts w:cs="Arial"/>
                <w:lang w:val="de-DE"/>
              </w:rPr>
              <w:t>6</w:t>
            </w:r>
            <w:r w:rsidRPr="00CB171C">
              <w:rPr>
                <w:rFonts w:cs="Arial"/>
                <w:lang w:val="de-DE"/>
              </w:rPr>
              <w:t xml:space="preserve"> zu prüfen</w:t>
            </w:r>
          </w:p>
        </w:tc>
      </w:tr>
      <w:tr w:rsidR="00130A8E" w:rsidRPr="00CB171C" w:rsidTr="00707F65">
        <w:trPr>
          <w:cantSplit/>
          <w:jc w:val="center"/>
        </w:trPr>
        <w:tc>
          <w:tcPr>
            <w:tcW w:w="1758" w:type="dxa"/>
          </w:tcPr>
          <w:p w:rsidR="00130A8E" w:rsidRPr="00CB171C" w:rsidRDefault="00130A8E" w:rsidP="00707F65">
            <w:pPr>
              <w:rPr>
                <w:lang w:val="de-DE"/>
              </w:rPr>
            </w:pPr>
            <w:r w:rsidRPr="00CB171C">
              <w:rPr>
                <w:lang w:val="de-DE"/>
              </w:rPr>
              <w:t>UPOV/INF/22</w:t>
            </w:r>
          </w:p>
        </w:tc>
        <w:tc>
          <w:tcPr>
            <w:tcW w:w="4807" w:type="dxa"/>
          </w:tcPr>
          <w:p w:rsidR="00130A8E" w:rsidRPr="00CB171C" w:rsidRDefault="00130A8E" w:rsidP="00707F65">
            <w:pPr>
              <w:rPr>
                <w:lang w:val="de-DE"/>
              </w:rPr>
            </w:pPr>
            <w:r w:rsidRPr="00CB171C">
              <w:rPr>
                <w:lang w:val="de-DE"/>
              </w:rPr>
              <w:t>Von Verbandsmitgliedern verwendete Software und Ausrüstung</w:t>
            </w:r>
          </w:p>
        </w:tc>
        <w:tc>
          <w:tcPr>
            <w:tcW w:w="3920" w:type="dxa"/>
          </w:tcPr>
          <w:p w:rsidR="00130A8E" w:rsidRPr="00CB171C" w:rsidRDefault="00130A8E" w:rsidP="00952708">
            <w:pPr>
              <w:jc w:val="left"/>
              <w:rPr>
                <w:lang w:val="de-DE"/>
              </w:rPr>
            </w:pPr>
            <w:r w:rsidRPr="00CB171C">
              <w:rPr>
                <w:lang w:val="de-DE"/>
              </w:rPr>
              <w:t>UPOV/INF/22/</w:t>
            </w:r>
            <w:r w:rsidR="00952708" w:rsidRPr="00CB171C">
              <w:rPr>
                <w:lang w:val="de-DE"/>
              </w:rPr>
              <w:t>3</w:t>
            </w:r>
            <w:r w:rsidRPr="00CB171C">
              <w:rPr>
                <w:lang w:val="de-DE"/>
              </w:rPr>
              <w:t xml:space="preserve">, </w:t>
            </w:r>
            <w:r w:rsidRPr="00CB171C">
              <w:rPr>
                <w:rFonts w:cs="Arial"/>
                <w:lang w:val="de-DE"/>
              </w:rPr>
              <w:t>vom Rat im Oktober 201</w:t>
            </w:r>
            <w:r w:rsidR="00952708" w:rsidRPr="00CB171C">
              <w:rPr>
                <w:rFonts w:cs="Arial"/>
                <w:lang w:val="de-DE"/>
              </w:rPr>
              <w:t>6</w:t>
            </w:r>
            <w:r w:rsidRPr="00CB171C">
              <w:rPr>
                <w:rFonts w:cs="Arial"/>
                <w:lang w:val="de-DE"/>
              </w:rPr>
              <w:t xml:space="preserve"> zu prüfen</w:t>
            </w:r>
          </w:p>
        </w:tc>
      </w:tr>
    </w:tbl>
    <w:p w:rsidR="00130A8E" w:rsidRPr="00CB171C" w:rsidRDefault="00130A8E" w:rsidP="00130A8E">
      <w:pPr>
        <w:rPr>
          <w:lang w:val="de-DE"/>
        </w:rPr>
      </w:pPr>
    </w:p>
    <w:p w:rsidR="00B02D38" w:rsidRPr="00CB171C" w:rsidRDefault="00B02D38" w:rsidP="00B02D38">
      <w:pPr>
        <w:rPr>
          <w:rFonts w:cs="Arial"/>
          <w:lang w:val="de-DE"/>
        </w:rPr>
      </w:pPr>
    </w:p>
    <w:p w:rsidR="00952708" w:rsidRPr="00CB171C" w:rsidRDefault="00952708" w:rsidP="00952708">
      <w:pPr>
        <w:pStyle w:val="Heading1"/>
        <w:rPr>
          <w:lang w:val="de-DE"/>
        </w:rPr>
      </w:pPr>
      <w:bookmarkStart w:id="99" w:name="_Toc380483671"/>
      <w:bookmarkStart w:id="100" w:name="_Toc380419871"/>
      <w:bookmarkStart w:id="101" w:name="_Toc380391631"/>
      <w:bookmarkStart w:id="102" w:name="_Toc379530084"/>
      <w:bookmarkStart w:id="103" w:name="_Toc444242879"/>
      <w:bookmarkStart w:id="104" w:name="_Toc381174872"/>
      <w:bookmarkStart w:id="105" w:name="_Toc443988421"/>
      <w:bookmarkStart w:id="106" w:name="_Toc444761628"/>
      <w:r w:rsidRPr="00CB171C">
        <w:rPr>
          <w:lang w:val="de-DE"/>
        </w:rPr>
        <w:t>veröffentlichungen, aktivitäten und schulung</w:t>
      </w:r>
      <w:bookmarkEnd w:id="99"/>
      <w:bookmarkEnd w:id="100"/>
      <w:bookmarkEnd w:id="101"/>
      <w:bookmarkEnd w:id="102"/>
      <w:bookmarkEnd w:id="103"/>
      <w:bookmarkEnd w:id="106"/>
    </w:p>
    <w:p w:rsidR="00952708" w:rsidRPr="00CB171C" w:rsidRDefault="00952708" w:rsidP="00952708">
      <w:pPr>
        <w:rPr>
          <w:lang w:val="de-DE"/>
        </w:rPr>
      </w:pPr>
    </w:p>
    <w:p w:rsidR="00952708" w:rsidRPr="00CB171C" w:rsidRDefault="00952708" w:rsidP="00952708">
      <w:pPr>
        <w:pStyle w:val="Heading2"/>
        <w:rPr>
          <w:lang w:val="de-DE"/>
        </w:rPr>
      </w:pPr>
      <w:bookmarkStart w:id="107" w:name="_Toc379530085"/>
      <w:bookmarkStart w:id="108" w:name="_Toc380483672"/>
      <w:bookmarkStart w:id="109" w:name="_Toc380419872"/>
      <w:bookmarkStart w:id="110" w:name="_Toc380391632"/>
      <w:bookmarkStart w:id="111" w:name="_Toc444242880"/>
      <w:bookmarkStart w:id="112" w:name="_Toc444761629"/>
      <w:r w:rsidRPr="00CB171C">
        <w:rPr>
          <w:lang w:val="de-DE"/>
        </w:rPr>
        <w:t>Kommunikationsstrateg</w:t>
      </w:r>
      <w:bookmarkEnd w:id="107"/>
      <w:r w:rsidRPr="00CB171C">
        <w:rPr>
          <w:lang w:val="de-DE"/>
        </w:rPr>
        <w:t>ie</w:t>
      </w:r>
      <w:bookmarkEnd w:id="108"/>
      <w:bookmarkEnd w:id="109"/>
      <w:bookmarkEnd w:id="110"/>
      <w:bookmarkEnd w:id="111"/>
      <w:bookmarkEnd w:id="112"/>
    </w:p>
    <w:bookmarkEnd w:id="104"/>
    <w:bookmarkEnd w:id="105"/>
    <w:p w:rsidR="00B02D38" w:rsidRPr="00CB171C" w:rsidRDefault="00B02D38" w:rsidP="00B02D38">
      <w:pPr>
        <w:rPr>
          <w:rFonts w:cs="Arial"/>
          <w:lang w:val="de-DE"/>
        </w:rPr>
      </w:pPr>
    </w:p>
    <w:p w:rsidR="00857963" w:rsidRPr="00CB171C" w:rsidRDefault="00CA7C5C" w:rsidP="00857963">
      <w:pPr>
        <w:keepNext/>
        <w:rPr>
          <w:snapToGrid w:val="0"/>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707F65" w:rsidRPr="00CB171C">
        <w:rPr>
          <w:lang w:val="de-DE"/>
        </w:rPr>
        <w:t>Folgende Angelegenheiten wurden im Hinblick auf deren Behandlung als Teil der Kommunikationsstrategie geplant</w:t>
      </w:r>
      <w:r w:rsidR="00857963" w:rsidRPr="00CB171C">
        <w:rPr>
          <w:snapToGrid w:val="0"/>
          <w:lang w:val="de-DE"/>
        </w:rPr>
        <w:t>:</w:t>
      </w:r>
    </w:p>
    <w:p w:rsidR="00857963" w:rsidRPr="00CB171C" w:rsidRDefault="00857963" w:rsidP="00857963">
      <w:pPr>
        <w:keepNext/>
        <w:rPr>
          <w:snapToGrid w:val="0"/>
          <w:lang w:val="de-DE"/>
        </w:rPr>
      </w:pPr>
    </w:p>
    <w:p w:rsidR="00707F65" w:rsidRPr="00CB171C" w:rsidRDefault="00707F65" w:rsidP="00707F65">
      <w:pPr>
        <w:pStyle w:val="decpara"/>
        <w:tabs>
          <w:tab w:val="clear" w:pos="5387"/>
        </w:tabs>
        <w:ind w:left="0" w:firstLine="567"/>
        <w:rPr>
          <w:i w:val="0"/>
          <w:lang w:val="de-DE"/>
        </w:rPr>
      </w:pPr>
      <w:r w:rsidRPr="00CB171C">
        <w:rPr>
          <w:i w:val="0"/>
          <w:lang w:val="de-DE"/>
        </w:rPr>
        <w:t>i)</w:t>
      </w:r>
      <w:r w:rsidRPr="00CB171C">
        <w:rPr>
          <w:i w:val="0"/>
          <w:lang w:val="de-DE"/>
        </w:rPr>
        <w:tab/>
        <w:t>interessengruppenbezogene Funktionen sollen in Verbindung mit der fünfzigsten ordentlichen Tagung des Rates auf der UPOV</w:t>
      </w:r>
      <w:r w:rsidRPr="00CB171C">
        <w:rPr>
          <w:i w:val="0"/>
          <w:lang w:val="de-DE"/>
        </w:rPr>
        <w:noBreakHyphen/>
        <w:t>Website eingeführt w</w:t>
      </w:r>
      <w:r w:rsidR="007E1925" w:rsidRPr="00CB171C">
        <w:rPr>
          <w:i w:val="0"/>
          <w:lang w:val="de-DE"/>
        </w:rPr>
        <w:t>e</w:t>
      </w:r>
      <w:r w:rsidRPr="00CB171C">
        <w:rPr>
          <w:i w:val="0"/>
          <w:lang w:val="de-DE"/>
        </w:rPr>
        <w:t>rden;</w:t>
      </w:r>
    </w:p>
    <w:p w:rsidR="00707F65" w:rsidRPr="00CB171C" w:rsidRDefault="00707F65" w:rsidP="00707F65">
      <w:pPr>
        <w:pStyle w:val="decpara"/>
        <w:tabs>
          <w:tab w:val="clear" w:pos="5387"/>
        </w:tabs>
        <w:ind w:left="0" w:firstLine="567"/>
        <w:rPr>
          <w:i w:val="0"/>
          <w:lang w:val="de-DE"/>
        </w:rPr>
      </w:pPr>
    </w:p>
    <w:p w:rsidR="00707F65" w:rsidRPr="00CB171C" w:rsidRDefault="00707F65" w:rsidP="00707F65">
      <w:pPr>
        <w:pStyle w:val="decpara"/>
        <w:tabs>
          <w:tab w:val="clear" w:pos="5387"/>
        </w:tabs>
        <w:ind w:left="0" w:firstLine="567"/>
        <w:rPr>
          <w:i w:val="0"/>
          <w:lang w:val="de-DE"/>
        </w:rPr>
      </w:pPr>
      <w:r w:rsidRPr="00CB171C">
        <w:rPr>
          <w:i w:val="0"/>
          <w:lang w:val="de-DE"/>
        </w:rPr>
        <w:t>ii)</w:t>
      </w:r>
      <w:r w:rsidRPr="00CB171C">
        <w:rPr>
          <w:i w:val="0"/>
          <w:lang w:val="de-DE"/>
        </w:rPr>
        <w:tab/>
        <w:t xml:space="preserve">die Entschließungen des Technischen Ausschusses </w:t>
      </w:r>
      <w:r w:rsidRPr="00CB171C">
        <w:rPr>
          <w:i w:val="0"/>
          <w:color w:val="000000" w:themeColor="text1"/>
          <w:lang w:val="de-DE"/>
        </w:rPr>
        <w:t xml:space="preserve">zum Entwurf für </w:t>
      </w:r>
      <w:r w:rsidR="007E1925" w:rsidRPr="00CB171C">
        <w:rPr>
          <w:i w:val="0"/>
          <w:color w:val="000000" w:themeColor="text1"/>
          <w:lang w:val="de-DE"/>
        </w:rPr>
        <w:t xml:space="preserve">häufig gestellte Fragen </w:t>
      </w:r>
      <w:r w:rsidRPr="00CB171C">
        <w:rPr>
          <w:i w:val="0"/>
          <w:color w:val="000000" w:themeColor="text1"/>
          <w:lang w:val="de-DE"/>
        </w:rPr>
        <w:t>bezüglich der Informationen über die Lage in der UPOV hinsichtlich der Verwendung molekularer Verfahren für ein breiteres Publikum, einschließlich der Öffentlichkeit im allgemeinen, werden dem Beratenden Ausschuß auf seiner einundneunzigsten Tagung im März 2016 zur Prüfung vorgelegt</w:t>
      </w:r>
      <w:r w:rsidR="00B06D6F" w:rsidRPr="00CB171C">
        <w:rPr>
          <w:i w:val="0"/>
          <w:color w:val="000000" w:themeColor="text1"/>
          <w:lang w:val="de-DE"/>
        </w:rPr>
        <w:t xml:space="preserve"> werden</w:t>
      </w:r>
      <w:r w:rsidRPr="00CB171C">
        <w:rPr>
          <w:i w:val="0"/>
          <w:color w:val="000000" w:themeColor="text1"/>
          <w:lang w:val="de-DE"/>
        </w:rPr>
        <w:t>;</w:t>
      </w:r>
    </w:p>
    <w:p w:rsidR="00707F65" w:rsidRPr="00CB171C" w:rsidRDefault="00707F65" w:rsidP="00707F65">
      <w:pPr>
        <w:pStyle w:val="decpara"/>
        <w:tabs>
          <w:tab w:val="clear" w:pos="5387"/>
        </w:tabs>
        <w:ind w:left="0" w:firstLine="567"/>
        <w:rPr>
          <w:i w:val="0"/>
          <w:lang w:val="de-DE"/>
        </w:rPr>
      </w:pPr>
    </w:p>
    <w:p w:rsidR="00707F65" w:rsidRPr="00CB171C" w:rsidRDefault="00707F65" w:rsidP="00707F65">
      <w:pPr>
        <w:pStyle w:val="decpara"/>
        <w:tabs>
          <w:tab w:val="clear" w:pos="5387"/>
        </w:tabs>
        <w:ind w:left="0" w:firstLine="567"/>
        <w:rPr>
          <w:i w:val="0"/>
          <w:lang w:val="de-DE"/>
        </w:rPr>
      </w:pPr>
      <w:r w:rsidRPr="00CB171C">
        <w:rPr>
          <w:i w:val="0"/>
          <w:lang w:val="de-DE"/>
        </w:rPr>
        <w:t>iii)</w:t>
      </w:r>
      <w:r w:rsidRPr="00CB171C">
        <w:rPr>
          <w:i w:val="0"/>
          <w:lang w:val="de-DE"/>
        </w:rPr>
        <w:tab/>
        <w:t>das Verbandsbüro wird sich darum bemühen, im Jahre 2016 ein kurzes erläuterndes Beispiel für die Vorteile des UPOV</w:t>
      </w:r>
      <w:r w:rsidRPr="00CB171C">
        <w:rPr>
          <w:i w:val="0"/>
          <w:lang w:val="de-DE"/>
        </w:rPr>
        <w:noBreakHyphen/>
        <w:t>Systems, das auf ein Zielpublikum ohne vorherige Kenntnisse über Pflanzenzüchtung oder Sortenschutz abzielt, und/oder erläuternde Beispiele für die Vorteile des Sortenschutzes zu entwickeln;</w:t>
      </w:r>
    </w:p>
    <w:p w:rsidR="00707F65" w:rsidRPr="00CB171C" w:rsidRDefault="00707F65" w:rsidP="00707F65">
      <w:pPr>
        <w:pStyle w:val="decpara"/>
        <w:tabs>
          <w:tab w:val="clear" w:pos="5387"/>
        </w:tabs>
        <w:ind w:left="0" w:firstLine="567"/>
        <w:rPr>
          <w:i w:val="0"/>
          <w:lang w:val="de-DE"/>
        </w:rPr>
      </w:pPr>
    </w:p>
    <w:p w:rsidR="00707F65" w:rsidRPr="00CB171C" w:rsidRDefault="00707F65" w:rsidP="00707F65">
      <w:pPr>
        <w:pStyle w:val="decpara"/>
        <w:tabs>
          <w:tab w:val="clear" w:pos="5387"/>
        </w:tabs>
        <w:ind w:left="0" w:firstLine="567"/>
        <w:rPr>
          <w:i w:val="0"/>
          <w:lang w:val="de-DE"/>
        </w:rPr>
      </w:pPr>
      <w:r w:rsidRPr="00CB171C">
        <w:rPr>
          <w:i w:val="0"/>
          <w:lang w:val="de-DE"/>
        </w:rPr>
        <w:t>iv)</w:t>
      </w:r>
      <w:r w:rsidRPr="00CB171C">
        <w:rPr>
          <w:i w:val="0"/>
          <w:lang w:val="de-DE"/>
        </w:rPr>
        <w:tab/>
        <w:t xml:space="preserve">ein Bericht über </w:t>
      </w:r>
      <w:r w:rsidR="00E06750" w:rsidRPr="00CB171C">
        <w:rPr>
          <w:i w:val="0"/>
          <w:lang w:val="de-DE"/>
        </w:rPr>
        <w:t>die</w:t>
      </w:r>
      <w:r w:rsidR="00B06D6F" w:rsidRPr="00CB171C">
        <w:rPr>
          <w:i w:val="0"/>
          <w:lang w:val="de-DE"/>
        </w:rPr>
        <w:t xml:space="preserve"> Durchführung von</w:t>
      </w:r>
      <w:r w:rsidRPr="00CB171C">
        <w:rPr>
          <w:i w:val="0"/>
          <w:lang w:val="de-DE"/>
        </w:rPr>
        <w:t xml:space="preserve"> E-Arbeitstagungen wurde dem Beratenden </w:t>
      </w:r>
      <w:r w:rsidR="00D56B2B" w:rsidRPr="00CB171C">
        <w:rPr>
          <w:i w:val="0"/>
          <w:lang w:val="de-DE"/>
        </w:rPr>
        <w:t>Ausschuß</w:t>
      </w:r>
      <w:r w:rsidRPr="00CB171C">
        <w:rPr>
          <w:i w:val="0"/>
          <w:lang w:val="de-DE"/>
        </w:rPr>
        <w:t xml:space="preserve"> auf seiner neunzigsten Tagung und dem Rat auf seiner neunundvierzigsten ordentlichen Tagung vorgelegt;</w:t>
      </w:r>
    </w:p>
    <w:p w:rsidR="00707F65" w:rsidRPr="00CB171C" w:rsidRDefault="00707F65" w:rsidP="00707F65">
      <w:pPr>
        <w:pStyle w:val="decpara"/>
        <w:tabs>
          <w:tab w:val="clear" w:pos="5387"/>
        </w:tabs>
        <w:ind w:left="0" w:firstLine="567"/>
        <w:rPr>
          <w:i w:val="0"/>
          <w:lang w:val="de-DE"/>
        </w:rPr>
      </w:pPr>
    </w:p>
    <w:p w:rsidR="00707F65" w:rsidRPr="00CB171C" w:rsidRDefault="00707F65" w:rsidP="00707F65">
      <w:pPr>
        <w:pStyle w:val="decpara"/>
        <w:tabs>
          <w:tab w:val="clear" w:pos="5387"/>
        </w:tabs>
        <w:ind w:left="0" w:firstLine="567"/>
        <w:rPr>
          <w:i w:val="0"/>
          <w:lang w:val="de-DE"/>
        </w:rPr>
      </w:pPr>
      <w:r w:rsidRPr="00CB171C">
        <w:rPr>
          <w:i w:val="0"/>
          <w:lang w:val="de-DE"/>
        </w:rPr>
        <w:t>v)</w:t>
      </w:r>
      <w:r w:rsidRPr="00CB171C">
        <w:rPr>
          <w:i w:val="0"/>
          <w:lang w:val="de-DE"/>
        </w:rPr>
        <w:tab/>
        <w:t>die Einführung eines UPOV</w:t>
      </w:r>
      <w:r w:rsidRPr="00CB171C">
        <w:rPr>
          <w:i w:val="0"/>
          <w:lang w:val="de-DE"/>
        </w:rPr>
        <w:noBreakHyphen/>
        <w:t>Kanals auf YouTube wird nach der Einführung eines neuen UPOV</w:t>
      </w:r>
      <w:r w:rsidRPr="00CB171C">
        <w:rPr>
          <w:i w:val="0"/>
          <w:lang w:val="de-DE"/>
        </w:rPr>
        <w:noBreakHyphen/>
        <w:t>Logos veranlaßt werden, und</w:t>
      </w:r>
    </w:p>
    <w:p w:rsidR="00707F65" w:rsidRPr="00CB171C" w:rsidRDefault="00707F65" w:rsidP="00707F65">
      <w:pPr>
        <w:pStyle w:val="decpara"/>
        <w:tabs>
          <w:tab w:val="clear" w:pos="5387"/>
        </w:tabs>
        <w:ind w:left="0"/>
        <w:rPr>
          <w:i w:val="0"/>
          <w:lang w:val="de-DE"/>
        </w:rPr>
      </w:pPr>
    </w:p>
    <w:p w:rsidR="00707F65" w:rsidRPr="00CB171C" w:rsidRDefault="00707F65" w:rsidP="00707F65">
      <w:pPr>
        <w:ind w:firstLine="567"/>
        <w:rPr>
          <w:lang w:val="de-DE"/>
        </w:rPr>
      </w:pPr>
      <w:r w:rsidRPr="00CB171C">
        <w:rPr>
          <w:lang w:val="de-DE"/>
        </w:rPr>
        <w:t>vi)</w:t>
      </w:r>
      <w:r w:rsidRPr="00CB171C">
        <w:rPr>
          <w:lang w:val="de-DE"/>
        </w:rPr>
        <w:tab/>
        <w:t>die Ergebnisse der Kommunikationsstrategie werden als Teil des Jahresberichts des Generalsekretärs und des Ergebnisbewertungsberichts für die Rechnungsperiode mitgeteilt werden.</w:t>
      </w:r>
    </w:p>
    <w:p w:rsidR="00707F65" w:rsidRPr="00CB171C" w:rsidRDefault="00707F65" w:rsidP="00707F65">
      <w:pPr>
        <w:rPr>
          <w:lang w:val="de-DE"/>
        </w:rPr>
      </w:pPr>
    </w:p>
    <w:p w:rsidR="00707F65" w:rsidRPr="00CB171C" w:rsidRDefault="00707F65" w:rsidP="00707F65">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t>Der Beratende Ausschuß vereinbarte</w:t>
      </w:r>
      <w:r w:rsidR="00B06D6F" w:rsidRPr="00CB171C">
        <w:rPr>
          <w:lang w:val="de-DE"/>
        </w:rPr>
        <w:t>,</w:t>
      </w:r>
      <w:r w:rsidRPr="00CB171C">
        <w:rPr>
          <w:lang w:val="de-DE"/>
        </w:rPr>
        <w:t xml:space="preserve"> daß das neue UPOV-Logo dem Rat der UPOV auf dessen fünfzigster ordentlicher Tagung vorgestellt werden sollte. Der Beratende Ausschuß vereinbarte, </w:t>
      </w:r>
      <w:r w:rsidRPr="00CB171C">
        <w:rPr>
          <w:color w:val="000000" w:themeColor="text1"/>
          <w:lang w:val="de-DE"/>
        </w:rPr>
        <w:t>daß das neue UPOV-Logo in Verbindung mit der fünfzigsten ordentlichen Tagung des Rates und mit der Einführung der interessengruppenbezogenen Funktionen auf der UPOV-Website in die UPOV-Website eingeführt und gleichzeitig eine Pressemitteilung zur Ankündigung dieser Lancierung heraus</w:t>
      </w:r>
      <w:r w:rsidR="00B06D6F" w:rsidRPr="00CB171C">
        <w:rPr>
          <w:color w:val="000000" w:themeColor="text1"/>
          <w:lang w:val="de-DE"/>
        </w:rPr>
        <w:t>ge</w:t>
      </w:r>
      <w:r w:rsidRPr="00CB171C">
        <w:rPr>
          <w:color w:val="000000" w:themeColor="text1"/>
          <w:lang w:val="de-DE"/>
        </w:rPr>
        <w:t>geben werden sollte</w:t>
      </w:r>
      <w:r w:rsidRPr="00CB171C">
        <w:rPr>
          <w:lang w:val="de-DE"/>
        </w:rPr>
        <w:t>.</w:t>
      </w:r>
    </w:p>
    <w:p w:rsidR="00707F65" w:rsidRPr="00CB171C" w:rsidRDefault="00707F65" w:rsidP="00707F65">
      <w:pPr>
        <w:rPr>
          <w:lang w:val="de-DE"/>
        </w:rPr>
      </w:pPr>
    </w:p>
    <w:p w:rsidR="00707F65" w:rsidRPr="00CB171C" w:rsidRDefault="00707F65" w:rsidP="00707F65">
      <w:pPr>
        <w:pStyle w:val="decpara"/>
        <w:tabs>
          <w:tab w:val="clear" w:pos="5387"/>
        </w:tabs>
        <w:ind w:left="0"/>
        <w:rPr>
          <w:i w:val="0"/>
          <w:lang w:val="de-DE"/>
        </w:rPr>
      </w:pPr>
      <w:r w:rsidRPr="00CB171C">
        <w:rPr>
          <w:i w:val="0"/>
          <w:lang w:val="de-DE"/>
        </w:rPr>
        <w:fldChar w:fldCharType="begin"/>
      </w:r>
      <w:r w:rsidRPr="00CB171C">
        <w:rPr>
          <w:i w:val="0"/>
          <w:lang w:val="de-DE"/>
        </w:rPr>
        <w:instrText xml:space="preserve"> AUTONUM  </w:instrText>
      </w:r>
      <w:r w:rsidRPr="00CB171C">
        <w:rPr>
          <w:i w:val="0"/>
          <w:lang w:val="de-DE"/>
        </w:rPr>
        <w:fldChar w:fldCharType="end"/>
      </w:r>
      <w:r w:rsidRPr="00CB171C">
        <w:rPr>
          <w:i w:val="0"/>
          <w:lang w:val="de-DE"/>
        </w:rPr>
        <w:tab/>
        <w:t>Der Beratende Ausschuß ersuchte das Verbandsbüro, einen Vorschlag für die Ausarbeitung einer aktualisierten Fassung des Berichts über die Auswirkungen des Sortenschutzes vorzulegen</w:t>
      </w:r>
      <w:r w:rsidR="00B06D6F" w:rsidRPr="00CB171C">
        <w:rPr>
          <w:i w:val="0"/>
          <w:lang w:val="de-DE"/>
        </w:rPr>
        <w:t>, der auf seiner zweiundneunzigsten Tagung geprüft werden soll</w:t>
      </w:r>
      <w:r w:rsidR="007C1582" w:rsidRPr="00CB171C">
        <w:rPr>
          <w:i w:val="0"/>
          <w:lang w:val="de-DE"/>
        </w:rPr>
        <w:t>.</w:t>
      </w:r>
    </w:p>
    <w:p w:rsidR="007C1582" w:rsidRPr="00CB171C" w:rsidRDefault="007C1582" w:rsidP="00911D0B">
      <w:pPr>
        <w:rPr>
          <w:snapToGrid w:val="0"/>
          <w:lang w:val="de-DE"/>
        </w:rPr>
      </w:pPr>
    </w:p>
    <w:p w:rsidR="007C1582" w:rsidRPr="00CB171C" w:rsidRDefault="00911D0B" w:rsidP="007C1582">
      <w:pPr>
        <w:rPr>
          <w:snapToGrid w:val="0"/>
          <w:color w:val="000000" w:themeColor="text1"/>
          <w:lang w:val="de-DE"/>
        </w:rPr>
      </w:pPr>
      <w:r w:rsidRPr="00CB171C">
        <w:rPr>
          <w:snapToGrid w:val="0"/>
          <w:lang w:val="de-DE"/>
        </w:rPr>
        <w:fldChar w:fldCharType="begin"/>
      </w:r>
      <w:r w:rsidRPr="00CB171C">
        <w:rPr>
          <w:snapToGrid w:val="0"/>
          <w:lang w:val="de-DE"/>
        </w:rPr>
        <w:instrText xml:space="preserve"> AUTONUM  </w:instrText>
      </w:r>
      <w:r w:rsidRPr="00CB171C">
        <w:rPr>
          <w:snapToGrid w:val="0"/>
          <w:lang w:val="de-DE"/>
        </w:rPr>
        <w:fldChar w:fldCharType="end"/>
      </w:r>
      <w:r w:rsidRPr="00CB171C">
        <w:rPr>
          <w:snapToGrid w:val="0"/>
          <w:lang w:val="de-DE"/>
        </w:rPr>
        <w:tab/>
      </w:r>
      <w:r w:rsidR="007C1582" w:rsidRPr="00CB171C">
        <w:rPr>
          <w:snapToGrid w:val="0"/>
          <w:color w:val="000000" w:themeColor="text1"/>
          <w:lang w:val="de-DE"/>
        </w:rPr>
        <w:t xml:space="preserve">Der </w:t>
      </w:r>
      <w:r w:rsidR="007C1582" w:rsidRPr="00CB171C">
        <w:rPr>
          <w:lang w:val="de-DE"/>
        </w:rPr>
        <w:t>Rat, überarbeitete die Antwort auf die häufig gestellte Frage „</w:t>
      </w:r>
      <w:r w:rsidR="007C1582" w:rsidRPr="00CB171C">
        <w:rPr>
          <w:szCs w:val="24"/>
          <w:lang w:val="de-DE"/>
        </w:rPr>
        <w:t>Kann man mit einem einzigen Antrag Schutz für mehr als ein Land erhalten?“</w:t>
      </w:r>
      <w:r w:rsidR="007C1582" w:rsidRPr="00CB171C">
        <w:rPr>
          <w:snapToGrid w:val="0"/>
          <w:color w:val="000000" w:themeColor="text1"/>
          <w:lang w:val="de-DE"/>
        </w:rPr>
        <w:t xml:space="preserve"> wie folgt:</w:t>
      </w:r>
    </w:p>
    <w:p w:rsidR="007C1582" w:rsidRPr="00CB171C" w:rsidRDefault="007C1582" w:rsidP="007C1582">
      <w:pPr>
        <w:rPr>
          <w:rFonts w:cs="Arial"/>
          <w:lang w:val="de-DE"/>
        </w:rPr>
      </w:pPr>
    </w:p>
    <w:p w:rsidR="007C1582" w:rsidRPr="00CB171C" w:rsidRDefault="007C1582" w:rsidP="007C1582">
      <w:pPr>
        <w:ind w:left="567" w:right="567"/>
        <w:rPr>
          <w:rFonts w:cs="Arial"/>
          <w:sz w:val="18"/>
          <w:szCs w:val="18"/>
          <w:lang w:val="de-DE"/>
        </w:rPr>
      </w:pPr>
      <w:r w:rsidRPr="00CB171C">
        <w:rPr>
          <w:rFonts w:cs="Arial"/>
          <w:sz w:val="18"/>
          <w:szCs w:val="18"/>
          <w:lang w:val="de-DE"/>
        </w:rPr>
        <w:t>„</w:t>
      </w:r>
      <w:r w:rsidRPr="00CB171C">
        <w:rPr>
          <w:sz w:val="18"/>
          <w:szCs w:val="18"/>
          <w:lang w:val="de-DE"/>
        </w:rPr>
        <w:t xml:space="preserve">Zur Erlangung des Schutzes muß der Züchter bei den Behörden jedes UPOV-Mitglieds, in dem der Schutz beantragt wird, einen Antrag stellen. Die Europäische Union betreibt ein </w:t>
      </w:r>
      <w:r w:rsidRPr="00CB171C">
        <w:rPr>
          <w:strike/>
          <w:sz w:val="18"/>
          <w:szCs w:val="18"/>
          <w:lang w:val="de-DE"/>
        </w:rPr>
        <w:t>(supranationales) gemeinschaftliches</w:t>
      </w:r>
      <w:r w:rsidRPr="00CB171C">
        <w:rPr>
          <w:sz w:val="18"/>
          <w:szCs w:val="18"/>
          <w:lang w:val="de-DE"/>
        </w:rPr>
        <w:t xml:space="preserve"> </w:t>
      </w:r>
      <w:r w:rsidRPr="00CB171C">
        <w:rPr>
          <w:strike/>
          <w:sz w:val="18"/>
          <w:szCs w:val="18"/>
          <w:lang w:val="de-DE"/>
        </w:rPr>
        <w:t>Sortenschutz</w:t>
      </w:r>
      <w:r w:rsidRPr="00CB171C">
        <w:rPr>
          <w:sz w:val="18"/>
          <w:szCs w:val="18"/>
          <w:lang w:val="de-DE"/>
        </w:rPr>
        <w:t xml:space="preserve">- </w:t>
      </w:r>
      <w:r w:rsidRPr="00CB171C">
        <w:rPr>
          <w:sz w:val="18"/>
          <w:szCs w:val="18"/>
          <w:u w:val="single"/>
          <w:lang w:val="de-DE"/>
        </w:rPr>
        <w:t>Züchter</w:t>
      </w:r>
      <w:r w:rsidRPr="00CB171C">
        <w:rPr>
          <w:sz w:val="18"/>
          <w:szCs w:val="18"/>
          <w:lang w:val="de-DE"/>
        </w:rPr>
        <w:t xml:space="preserve">rechtssystem, das das Hoheitsgebiet ihrer 28 Mitgliedstaaten erfaßt. </w:t>
      </w:r>
      <w:r w:rsidRPr="00CB171C">
        <w:rPr>
          <w:sz w:val="18"/>
          <w:szCs w:val="18"/>
          <w:u w:val="single"/>
          <w:lang w:val="de-DE"/>
        </w:rPr>
        <w:t>Die Afrikanische Organisation für geistiges Eigentum betreibt ein Züchterrechtssystem, das das Hoheitsgebiet ihrer 17 Mitgliedstaaten erfaßt</w:t>
      </w:r>
      <w:r w:rsidRPr="00CB171C">
        <w:rPr>
          <w:sz w:val="18"/>
          <w:szCs w:val="18"/>
          <w:lang w:val="de-DE"/>
        </w:rPr>
        <w:t xml:space="preserve">. Kontaktdetails der für die Erteilung der Züchterrechte zuständigen Behörden sind zu finden unter: </w:t>
      </w:r>
      <w:hyperlink r:id="rId11" w:history="1">
        <w:r w:rsidRPr="00CB171C">
          <w:rPr>
            <w:rStyle w:val="Hyperlink"/>
            <w:sz w:val="18"/>
            <w:szCs w:val="18"/>
            <w:lang w:val="de-DE"/>
          </w:rPr>
          <w:t>http://www.upov.int/members/de/pvp_offices.html</w:t>
        </w:r>
      </w:hyperlink>
      <w:r w:rsidRPr="00CB171C">
        <w:rPr>
          <w:rFonts w:cs="Arial"/>
          <w:sz w:val="18"/>
          <w:szCs w:val="18"/>
          <w:lang w:val="de-DE"/>
        </w:rPr>
        <w:t>.“</w:t>
      </w:r>
    </w:p>
    <w:p w:rsidR="00911D0B" w:rsidRPr="00CB171C" w:rsidRDefault="00911D0B" w:rsidP="00B02D38">
      <w:pPr>
        <w:rPr>
          <w:rFonts w:cs="Arial"/>
          <w:lang w:val="de-DE"/>
        </w:rPr>
      </w:pPr>
    </w:p>
    <w:p w:rsidR="00B02D38" w:rsidRPr="00CB171C" w:rsidRDefault="007C1582" w:rsidP="00B02D38">
      <w:pPr>
        <w:pStyle w:val="Heading2"/>
        <w:rPr>
          <w:rFonts w:cs="Arial"/>
          <w:lang w:val="de-DE"/>
        </w:rPr>
      </w:pPr>
      <w:bookmarkStart w:id="113" w:name="_Toc444242881"/>
      <w:bookmarkStart w:id="114" w:name="_Toc444761630"/>
      <w:r w:rsidRPr="00CB171C">
        <w:rPr>
          <w:rFonts w:cs="Arial"/>
          <w:lang w:val="de-DE"/>
        </w:rPr>
        <w:t>Fernlehrgänge</w:t>
      </w:r>
      <w:bookmarkEnd w:id="113"/>
      <w:bookmarkEnd w:id="114"/>
    </w:p>
    <w:p w:rsidR="00B02D38" w:rsidRPr="00CB171C" w:rsidRDefault="00B02D38" w:rsidP="00B02D38">
      <w:pPr>
        <w:keepNext/>
        <w:rPr>
          <w:rFonts w:cs="Arial"/>
          <w:lang w:val="de-DE"/>
        </w:rPr>
      </w:pPr>
    </w:p>
    <w:p w:rsidR="00857963" w:rsidRPr="00CB171C" w:rsidRDefault="00857963" w:rsidP="007C1582">
      <w:pPr>
        <w:autoSpaceDE w:val="0"/>
        <w:autoSpaceDN w:val="0"/>
        <w:adjustRightInd w:val="0"/>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7C1582" w:rsidRPr="00CB171C">
        <w:rPr>
          <w:rFonts w:cs="Arial"/>
          <w:lang w:val="de-DE"/>
        </w:rPr>
        <w:t>Zwei Sessionen je</w:t>
      </w:r>
      <w:r w:rsidR="00F93DF8" w:rsidRPr="00CB171C">
        <w:rPr>
          <w:rFonts w:cs="Arial"/>
          <w:lang w:val="de-DE"/>
        </w:rPr>
        <w:t>d</w:t>
      </w:r>
      <w:r w:rsidR="007C1582" w:rsidRPr="00CB171C">
        <w:rPr>
          <w:rFonts w:cs="Arial"/>
          <w:lang w:val="de-DE"/>
        </w:rPr>
        <w:t>es der nachstehenden UPO</w:t>
      </w:r>
      <w:r w:rsidR="00F93DF8" w:rsidRPr="00CB171C">
        <w:rPr>
          <w:rFonts w:cs="Arial"/>
          <w:lang w:val="de-DE"/>
        </w:rPr>
        <w:t>V</w:t>
      </w:r>
      <w:r w:rsidR="007C1582" w:rsidRPr="00CB171C">
        <w:rPr>
          <w:rFonts w:cs="Arial"/>
          <w:lang w:val="de-DE"/>
        </w:rPr>
        <w:t>-Fernlehrgänge werden im Jahre 2016 in Deutsc</w:t>
      </w:r>
      <w:r w:rsidR="00F93DF8" w:rsidRPr="00CB171C">
        <w:rPr>
          <w:rFonts w:cs="Arial"/>
          <w:lang w:val="de-DE"/>
        </w:rPr>
        <w:t>h</w:t>
      </w:r>
      <w:r w:rsidR="007C1582" w:rsidRPr="00CB171C">
        <w:rPr>
          <w:rFonts w:cs="Arial"/>
          <w:lang w:val="de-DE"/>
        </w:rPr>
        <w:t>, En</w:t>
      </w:r>
      <w:r w:rsidR="00F93DF8" w:rsidRPr="00CB171C">
        <w:rPr>
          <w:rFonts w:cs="Arial"/>
          <w:lang w:val="de-DE"/>
        </w:rPr>
        <w:t>g</w:t>
      </w:r>
      <w:r w:rsidR="007C1582" w:rsidRPr="00CB171C">
        <w:rPr>
          <w:rFonts w:cs="Arial"/>
          <w:lang w:val="de-DE"/>
        </w:rPr>
        <w:t>li</w:t>
      </w:r>
      <w:r w:rsidR="00F93DF8" w:rsidRPr="00CB171C">
        <w:rPr>
          <w:rFonts w:cs="Arial"/>
          <w:lang w:val="de-DE"/>
        </w:rPr>
        <w:t>sc</w:t>
      </w:r>
      <w:r w:rsidR="007C1582" w:rsidRPr="00CB171C">
        <w:rPr>
          <w:rFonts w:cs="Arial"/>
          <w:lang w:val="de-DE"/>
        </w:rPr>
        <w:t xml:space="preserve">h, Französisch und </w:t>
      </w:r>
      <w:r w:rsidR="00F93DF8" w:rsidRPr="00CB171C">
        <w:rPr>
          <w:rFonts w:cs="Arial"/>
          <w:lang w:val="de-DE"/>
        </w:rPr>
        <w:t>S</w:t>
      </w:r>
      <w:r w:rsidR="007C1582" w:rsidRPr="00CB171C">
        <w:rPr>
          <w:rFonts w:cs="Arial"/>
          <w:lang w:val="de-DE"/>
        </w:rPr>
        <w:t>panisch durchgeführt werden.</w:t>
      </w:r>
    </w:p>
    <w:p w:rsidR="00857963" w:rsidRPr="00CB171C" w:rsidRDefault="00857963" w:rsidP="00857963">
      <w:pPr>
        <w:autoSpaceDE w:val="0"/>
        <w:autoSpaceDN w:val="0"/>
        <w:adjustRightInd w:val="0"/>
        <w:jc w:val="left"/>
        <w:rPr>
          <w:rFonts w:cs="Arial"/>
          <w:lang w:val="de-DE"/>
        </w:rPr>
      </w:pPr>
    </w:p>
    <w:p w:rsidR="00857963" w:rsidRPr="00CB171C" w:rsidRDefault="00857963" w:rsidP="00857963">
      <w:pPr>
        <w:pStyle w:val="ListParagraph"/>
        <w:numPr>
          <w:ilvl w:val="0"/>
          <w:numId w:val="16"/>
        </w:numPr>
        <w:autoSpaceDE w:val="0"/>
        <w:autoSpaceDN w:val="0"/>
        <w:adjustRightInd w:val="0"/>
        <w:jc w:val="left"/>
        <w:rPr>
          <w:rFonts w:cs="Arial"/>
          <w:lang w:val="de-DE"/>
        </w:rPr>
      </w:pPr>
      <w:r w:rsidRPr="00CB171C">
        <w:rPr>
          <w:rFonts w:cs="Arial"/>
          <w:lang w:val="de-DE"/>
        </w:rPr>
        <w:t xml:space="preserve">DL-205 </w:t>
      </w:r>
      <w:r w:rsidR="00B06D6F" w:rsidRPr="00CB171C">
        <w:rPr>
          <w:rFonts w:cs="Arial"/>
          <w:lang w:val="de-DE"/>
        </w:rPr>
        <w:t>„</w:t>
      </w:r>
      <w:r w:rsidR="00F93DF8" w:rsidRPr="00CB171C">
        <w:rPr>
          <w:rFonts w:cs="Arial"/>
          <w:lang w:val="de-DE"/>
        </w:rPr>
        <w:t>Einführung in das UPOV</w:t>
      </w:r>
      <w:r w:rsidR="00F93DF8" w:rsidRPr="00CB171C">
        <w:rPr>
          <w:rFonts w:cs="Arial"/>
          <w:lang w:val="de-DE"/>
        </w:rPr>
        <w:noBreakHyphen/>
        <w:t>Sortenschutzsystem nach dem UPOV-Übereinkommen</w:t>
      </w:r>
      <w:r w:rsidR="00B06D6F" w:rsidRPr="00CB171C">
        <w:rPr>
          <w:rFonts w:cs="Arial"/>
          <w:lang w:val="de-DE"/>
        </w:rPr>
        <w:t>“</w:t>
      </w:r>
    </w:p>
    <w:p w:rsidR="00857963" w:rsidRPr="00CB171C" w:rsidRDefault="00857963" w:rsidP="00857963">
      <w:pPr>
        <w:pStyle w:val="ListParagraph"/>
        <w:numPr>
          <w:ilvl w:val="0"/>
          <w:numId w:val="16"/>
        </w:numPr>
        <w:autoSpaceDE w:val="0"/>
        <w:autoSpaceDN w:val="0"/>
        <w:adjustRightInd w:val="0"/>
        <w:jc w:val="left"/>
        <w:rPr>
          <w:rFonts w:cs="Arial"/>
          <w:lang w:val="de-DE"/>
        </w:rPr>
      </w:pPr>
      <w:r w:rsidRPr="00CB171C">
        <w:rPr>
          <w:rFonts w:cs="Arial"/>
          <w:lang w:val="de-DE"/>
        </w:rPr>
        <w:t xml:space="preserve">DL-305 </w:t>
      </w:r>
      <w:r w:rsidR="00B06D6F" w:rsidRPr="00CB171C">
        <w:rPr>
          <w:rFonts w:cs="Arial"/>
          <w:lang w:val="de-DE"/>
        </w:rPr>
        <w:t>„</w:t>
      </w:r>
      <w:r w:rsidR="00F93DF8" w:rsidRPr="00CB171C">
        <w:rPr>
          <w:rFonts w:cs="Arial"/>
          <w:lang w:val="de-DE"/>
        </w:rPr>
        <w:t xml:space="preserve">Prüfung von Anträgen auf Erteilung </w:t>
      </w:r>
      <w:r w:rsidR="00B06D6F" w:rsidRPr="00CB171C">
        <w:rPr>
          <w:rFonts w:cs="Arial"/>
          <w:lang w:val="de-DE"/>
        </w:rPr>
        <w:t>von</w:t>
      </w:r>
      <w:r w:rsidR="00F93DF8" w:rsidRPr="00CB171C">
        <w:rPr>
          <w:rFonts w:cs="Arial"/>
          <w:lang w:val="de-DE"/>
        </w:rPr>
        <w:t xml:space="preserve"> Züchterrechte</w:t>
      </w:r>
      <w:r w:rsidR="00B06D6F" w:rsidRPr="00CB171C">
        <w:rPr>
          <w:rFonts w:cs="Arial"/>
          <w:lang w:val="de-DE"/>
        </w:rPr>
        <w:t>n“</w:t>
      </w:r>
    </w:p>
    <w:p w:rsidR="00857963" w:rsidRPr="00CB171C" w:rsidRDefault="00857963" w:rsidP="00857963">
      <w:pPr>
        <w:pStyle w:val="ListParagraph"/>
        <w:numPr>
          <w:ilvl w:val="0"/>
          <w:numId w:val="16"/>
        </w:numPr>
        <w:autoSpaceDE w:val="0"/>
        <w:autoSpaceDN w:val="0"/>
        <w:adjustRightInd w:val="0"/>
        <w:jc w:val="left"/>
        <w:rPr>
          <w:rFonts w:cs="Arial"/>
          <w:lang w:val="de-DE"/>
        </w:rPr>
      </w:pPr>
      <w:r w:rsidRPr="00CB171C">
        <w:rPr>
          <w:rFonts w:cs="Arial"/>
          <w:lang w:val="de-DE"/>
        </w:rPr>
        <w:t xml:space="preserve">DL-305A </w:t>
      </w:r>
      <w:r w:rsidR="00B06D6F" w:rsidRPr="00CB171C">
        <w:rPr>
          <w:rFonts w:cs="Arial"/>
          <w:lang w:val="de-DE"/>
        </w:rPr>
        <w:t>„</w:t>
      </w:r>
      <w:r w:rsidR="00F93DF8" w:rsidRPr="00CB171C">
        <w:rPr>
          <w:rFonts w:cs="Arial"/>
          <w:lang w:val="de-DE"/>
        </w:rPr>
        <w:t>Verwaltung von Züchterrechten</w:t>
      </w:r>
      <w:r w:rsidR="00B06D6F" w:rsidRPr="00CB171C">
        <w:rPr>
          <w:rFonts w:cs="Arial"/>
          <w:lang w:val="de-DE"/>
        </w:rPr>
        <w:t>“</w:t>
      </w:r>
      <w:r w:rsidR="00F93DF8" w:rsidRPr="00CB171C">
        <w:rPr>
          <w:rFonts w:cs="Arial"/>
          <w:lang w:val="de-DE"/>
        </w:rPr>
        <w:t xml:space="preserve"> (Teil A des Lehrgangs DL-305)</w:t>
      </w:r>
    </w:p>
    <w:p w:rsidR="00857963" w:rsidRPr="00CB171C" w:rsidRDefault="00857963" w:rsidP="00857963">
      <w:pPr>
        <w:pStyle w:val="ListParagraph"/>
        <w:numPr>
          <w:ilvl w:val="0"/>
          <w:numId w:val="16"/>
        </w:numPr>
        <w:autoSpaceDE w:val="0"/>
        <w:autoSpaceDN w:val="0"/>
        <w:adjustRightInd w:val="0"/>
        <w:jc w:val="left"/>
        <w:rPr>
          <w:rFonts w:cs="Arial"/>
          <w:lang w:val="de-DE"/>
        </w:rPr>
      </w:pPr>
      <w:r w:rsidRPr="00CB171C">
        <w:rPr>
          <w:rFonts w:cs="Arial"/>
          <w:lang w:val="de-DE"/>
        </w:rPr>
        <w:t xml:space="preserve">DL-305B </w:t>
      </w:r>
      <w:r w:rsidR="00B06D6F" w:rsidRPr="00CB171C">
        <w:rPr>
          <w:rFonts w:cs="Arial"/>
          <w:lang w:val="de-DE"/>
        </w:rPr>
        <w:t>„</w:t>
      </w:r>
      <w:r w:rsidR="00F93DF8" w:rsidRPr="00CB171C">
        <w:rPr>
          <w:rFonts w:cs="Arial"/>
          <w:lang w:val="de-DE"/>
        </w:rPr>
        <w:t>DUS-Prüfung</w:t>
      </w:r>
      <w:r w:rsidR="00B06D6F" w:rsidRPr="00CB171C">
        <w:rPr>
          <w:rFonts w:cs="Arial"/>
          <w:lang w:val="de-DE"/>
        </w:rPr>
        <w:t>“</w:t>
      </w:r>
      <w:r w:rsidR="00F93DF8" w:rsidRPr="00CB171C">
        <w:rPr>
          <w:rFonts w:cs="Arial"/>
          <w:lang w:val="de-DE"/>
        </w:rPr>
        <w:t xml:space="preserve"> (Teil B des Lehrgangs DL-305)</w:t>
      </w:r>
    </w:p>
    <w:p w:rsidR="00857963" w:rsidRPr="00CB171C" w:rsidRDefault="00857963" w:rsidP="00857963">
      <w:pPr>
        <w:autoSpaceDE w:val="0"/>
        <w:autoSpaceDN w:val="0"/>
        <w:adjustRightInd w:val="0"/>
        <w:jc w:val="left"/>
        <w:rPr>
          <w:rFonts w:cs="Arial"/>
          <w:lang w:val="de-DE"/>
        </w:rPr>
      </w:pPr>
    </w:p>
    <w:p w:rsidR="00857963" w:rsidRPr="00CB171C" w:rsidRDefault="00857963" w:rsidP="00857963">
      <w:pPr>
        <w:autoSpaceDE w:val="0"/>
        <w:autoSpaceDN w:val="0"/>
        <w:adjustRightInd w:val="0"/>
        <w:jc w:val="left"/>
        <w:rPr>
          <w:rFonts w:cs="Arial"/>
          <w:lang w:val="de-DE"/>
        </w:rPr>
      </w:pPr>
      <w:r w:rsidRPr="00CB171C">
        <w:rPr>
          <w:rFonts w:cs="Arial"/>
          <w:lang w:val="de-DE"/>
        </w:rPr>
        <w:fldChar w:fldCharType="begin"/>
      </w:r>
      <w:r w:rsidRPr="00CB171C">
        <w:rPr>
          <w:rFonts w:cs="Arial"/>
          <w:lang w:val="de-DE"/>
        </w:rPr>
        <w:instrText xml:space="preserve"> AUTONUM  </w:instrText>
      </w:r>
      <w:r w:rsidRPr="00CB171C">
        <w:rPr>
          <w:rFonts w:cs="Arial"/>
          <w:lang w:val="de-DE"/>
        </w:rPr>
        <w:fldChar w:fldCharType="end"/>
      </w:r>
      <w:r w:rsidRPr="00CB171C">
        <w:rPr>
          <w:rFonts w:cs="Arial"/>
          <w:lang w:val="de-DE"/>
        </w:rPr>
        <w:tab/>
      </w:r>
      <w:r w:rsidR="00F93DF8" w:rsidRPr="00CB171C">
        <w:rPr>
          <w:rFonts w:cs="Arial"/>
          <w:lang w:val="de-DE"/>
        </w:rPr>
        <w:t>Der Zeitplan für alle Lehrgänge wird sein</w:t>
      </w:r>
      <w:r w:rsidRPr="00CB171C">
        <w:rPr>
          <w:rFonts w:cs="Arial"/>
          <w:lang w:val="de-DE"/>
        </w:rPr>
        <w:t>:</w:t>
      </w:r>
    </w:p>
    <w:p w:rsidR="00857963" w:rsidRPr="00CB171C" w:rsidRDefault="00857963" w:rsidP="00857963">
      <w:pPr>
        <w:autoSpaceDE w:val="0"/>
        <w:autoSpaceDN w:val="0"/>
        <w:adjustRightInd w:val="0"/>
        <w:jc w:val="left"/>
        <w:rPr>
          <w:rFonts w:cs="Arial"/>
          <w:lang w:val="de-DE"/>
        </w:rPr>
      </w:pPr>
    </w:p>
    <w:p w:rsidR="00857963" w:rsidRPr="00CB171C" w:rsidRDefault="00857963" w:rsidP="00857963">
      <w:pPr>
        <w:autoSpaceDE w:val="0"/>
        <w:autoSpaceDN w:val="0"/>
        <w:adjustRightInd w:val="0"/>
        <w:ind w:left="567"/>
        <w:jc w:val="left"/>
        <w:rPr>
          <w:rFonts w:cs="Arial"/>
          <w:i/>
          <w:lang w:val="de-DE"/>
        </w:rPr>
      </w:pPr>
      <w:r w:rsidRPr="00CB171C">
        <w:rPr>
          <w:rFonts w:cs="Arial"/>
          <w:i/>
          <w:lang w:val="de-DE"/>
        </w:rPr>
        <w:t xml:space="preserve">Session I </w:t>
      </w:r>
      <w:r w:rsidR="00F93DF8" w:rsidRPr="00CB171C">
        <w:rPr>
          <w:rFonts w:cs="Arial"/>
          <w:i/>
          <w:lang w:val="de-DE"/>
        </w:rPr>
        <w:t>–</w:t>
      </w:r>
      <w:r w:rsidRPr="00CB171C">
        <w:rPr>
          <w:rFonts w:cs="Arial"/>
          <w:i/>
          <w:lang w:val="de-DE"/>
        </w:rPr>
        <w:t xml:space="preserve"> 2016</w:t>
      </w:r>
    </w:p>
    <w:p w:rsidR="00857963" w:rsidRPr="00CB171C" w:rsidRDefault="00857963" w:rsidP="00857963">
      <w:pPr>
        <w:autoSpaceDE w:val="0"/>
        <w:autoSpaceDN w:val="0"/>
        <w:adjustRightInd w:val="0"/>
        <w:ind w:left="567"/>
        <w:jc w:val="left"/>
        <w:rPr>
          <w:rFonts w:cs="Arial"/>
          <w:lang w:val="de-DE"/>
        </w:rPr>
      </w:pPr>
    </w:p>
    <w:p w:rsidR="00857963" w:rsidRPr="00CB171C" w:rsidRDefault="00F93DF8" w:rsidP="00857963">
      <w:pPr>
        <w:autoSpaceDE w:val="0"/>
        <w:autoSpaceDN w:val="0"/>
        <w:adjustRightInd w:val="0"/>
        <w:ind w:left="567"/>
        <w:jc w:val="left"/>
        <w:rPr>
          <w:rFonts w:cs="Arial"/>
          <w:lang w:val="de-DE"/>
        </w:rPr>
      </w:pPr>
      <w:r w:rsidRPr="00CB171C">
        <w:rPr>
          <w:rFonts w:cs="Arial"/>
          <w:lang w:val="de-DE"/>
        </w:rPr>
        <w:t>Anmeldung</w:t>
      </w:r>
      <w:r w:rsidR="00857963" w:rsidRPr="00CB171C">
        <w:rPr>
          <w:rFonts w:cs="Arial"/>
          <w:lang w:val="de-DE"/>
        </w:rPr>
        <w:t xml:space="preserve">: </w:t>
      </w:r>
      <w:r w:rsidRPr="00CB171C">
        <w:rPr>
          <w:rFonts w:cs="Arial"/>
          <w:lang w:val="de-DE"/>
        </w:rPr>
        <w:t xml:space="preserve">1. </w:t>
      </w:r>
      <w:r w:rsidR="00857963" w:rsidRPr="00CB171C">
        <w:rPr>
          <w:rFonts w:cs="Arial"/>
          <w:lang w:val="de-DE"/>
        </w:rPr>
        <w:t>Januar</w:t>
      </w:r>
      <w:r w:rsidRPr="00CB171C">
        <w:rPr>
          <w:rFonts w:cs="Arial"/>
          <w:lang w:val="de-DE"/>
        </w:rPr>
        <w:t xml:space="preserve"> bis 7. </w:t>
      </w:r>
      <w:r w:rsidR="00857963" w:rsidRPr="00CB171C">
        <w:rPr>
          <w:rFonts w:cs="Arial"/>
          <w:lang w:val="de-DE"/>
        </w:rPr>
        <w:t>Februar</w:t>
      </w:r>
    </w:p>
    <w:p w:rsidR="00857963" w:rsidRPr="00CB171C" w:rsidRDefault="00857963" w:rsidP="00857963">
      <w:pPr>
        <w:autoSpaceDE w:val="0"/>
        <w:autoSpaceDN w:val="0"/>
        <w:adjustRightInd w:val="0"/>
        <w:ind w:left="567"/>
        <w:jc w:val="left"/>
        <w:rPr>
          <w:rFonts w:cs="Arial"/>
          <w:lang w:val="de-DE"/>
        </w:rPr>
      </w:pPr>
      <w:r w:rsidRPr="00CB171C">
        <w:rPr>
          <w:rFonts w:cs="Arial"/>
          <w:lang w:val="de-DE"/>
        </w:rPr>
        <w:t>Stud</w:t>
      </w:r>
      <w:r w:rsidR="00F93DF8" w:rsidRPr="00CB171C">
        <w:rPr>
          <w:rFonts w:cs="Arial"/>
          <w:lang w:val="de-DE"/>
        </w:rPr>
        <w:t>ienperiode</w:t>
      </w:r>
      <w:r w:rsidRPr="00CB171C">
        <w:rPr>
          <w:rFonts w:cs="Arial"/>
          <w:lang w:val="de-DE"/>
        </w:rPr>
        <w:t xml:space="preserve">: </w:t>
      </w:r>
      <w:r w:rsidR="00F93DF8" w:rsidRPr="00CB171C">
        <w:rPr>
          <w:rFonts w:cs="Arial"/>
          <w:lang w:val="de-DE"/>
        </w:rPr>
        <w:t xml:space="preserve">15. </w:t>
      </w:r>
      <w:r w:rsidRPr="00CB171C">
        <w:rPr>
          <w:rFonts w:cs="Arial"/>
          <w:lang w:val="de-DE"/>
        </w:rPr>
        <w:t>Februar</w:t>
      </w:r>
      <w:r w:rsidR="00F93DF8" w:rsidRPr="00CB171C">
        <w:rPr>
          <w:rFonts w:cs="Arial"/>
          <w:lang w:val="de-DE"/>
        </w:rPr>
        <w:t xml:space="preserve"> bis</w:t>
      </w:r>
      <w:r w:rsidRPr="00CB171C">
        <w:rPr>
          <w:rFonts w:cs="Arial"/>
          <w:lang w:val="de-DE"/>
        </w:rPr>
        <w:t xml:space="preserve"> </w:t>
      </w:r>
      <w:r w:rsidR="00F93DF8" w:rsidRPr="00CB171C">
        <w:rPr>
          <w:rFonts w:cs="Arial"/>
          <w:lang w:val="de-DE"/>
        </w:rPr>
        <w:t>20.</w:t>
      </w:r>
      <w:r w:rsidRPr="00CB171C">
        <w:rPr>
          <w:rFonts w:cs="Arial"/>
          <w:lang w:val="de-DE"/>
        </w:rPr>
        <w:t xml:space="preserve"> </w:t>
      </w:r>
      <w:r w:rsidR="00F93DF8" w:rsidRPr="00CB171C">
        <w:rPr>
          <w:rFonts w:cs="Arial"/>
          <w:lang w:val="de-DE"/>
        </w:rPr>
        <w:t>März</w:t>
      </w:r>
    </w:p>
    <w:p w:rsidR="00857963" w:rsidRPr="00CB171C" w:rsidRDefault="00D56B2B" w:rsidP="00857963">
      <w:pPr>
        <w:autoSpaceDE w:val="0"/>
        <w:autoSpaceDN w:val="0"/>
        <w:adjustRightInd w:val="0"/>
        <w:ind w:left="567"/>
        <w:jc w:val="left"/>
        <w:rPr>
          <w:rFonts w:cs="Arial"/>
          <w:lang w:val="de-DE"/>
        </w:rPr>
      </w:pPr>
      <w:r w:rsidRPr="00CB171C">
        <w:rPr>
          <w:rFonts w:cs="Arial"/>
          <w:lang w:val="de-DE"/>
        </w:rPr>
        <w:t>Schlußprüfung</w:t>
      </w:r>
      <w:r w:rsidR="00857963" w:rsidRPr="00CB171C">
        <w:rPr>
          <w:rFonts w:cs="Arial"/>
          <w:lang w:val="de-DE"/>
        </w:rPr>
        <w:t xml:space="preserve">: </w:t>
      </w:r>
      <w:r w:rsidR="00F93DF8" w:rsidRPr="00CB171C">
        <w:rPr>
          <w:rFonts w:cs="Arial"/>
          <w:lang w:val="de-DE"/>
        </w:rPr>
        <w:t xml:space="preserve">14. bis 20. </w:t>
      </w:r>
      <w:r w:rsidR="00857963" w:rsidRPr="00CB171C">
        <w:rPr>
          <w:rFonts w:cs="Arial"/>
          <w:lang w:val="de-DE"/>
        </w:rPr>
        <w:t>M</w:t>
      </w:r>
      <w:r w:rsidR="00F93DF8" w:rsidRPr="00CB171C">
        <w:rPr>
          <w:rFonts w:cs="Arial"/>
          <w:lang w:val="de-DE"/>
        </w:rPr>
        <w:t>ärz</w:t>
      </w:r>
    </w:p>
    <w:p w:rsidR="00857963" w:rsidRPr="00CB171C" w:rsidRDefault="00857963" w:rsidP="00857963">
      <w:pPr>
        <w:autoSpaceDE w:val="0"/>
        <w:autoSpaceDN w:val="0"/>
        <w:adjustRightInd w:val="0"/>
        <w:ind w:left="567"/>
        <w:jc w:val="left"/>
        <w:rPr>
          <w:rFonts w:cs="Arial"/>
          <w:lang w:val="de-DE"/>
        </w:rPr>
      </w:pPr>
    </w:p>
    <w:p w:rsidR="00857963" w:rsidRPr="00CB171C" w:rsidRDefault="00857963" w:rsidP="00857963">
      <w:pPr>
        <w:autoSpaceDE w:val="0"/>
        <w:autoSpaceDN w:val="0"/>
        <w:adjustRightInd w:val="0"/>
        <w:ind w:left="567"/>
        <w:jc w:val="left"/>
        <w:rPr>
          <w:rFonts w:cs="Arial"/>
          <w:i/>
          <w:lang w:val="de-DE"/>
        </w:rPr>
      </w:pPr>
      <w:r w:rsidRPr="00CB171C">
        <w:rPr>
          <w:rFonts w:cs="Arial"/>
          <w:i/>
          <w:lang w:val="de-DE"/>
        </w:rPr>
        <w:t>Session II – 2016</w:t>
      </w:r>
    </w:p>
    <w:p w:rsidR="00857963" w:rsidRPr="00CB171C" w:rsidRDefault="00857963" w:rsidP="00857963">
      <w:pPr>
        <w:autoSpaceDE w:val="0"/>
        <w:autoSpaceDN w:val="0"/>
        <w:adjustRightInd w:val="0"/>
        <w:ind w:left="567"/>
        <w:jc w:val="left"/>
        <w:rPr>
          <w:rFonts w:cs="Arial"/>
          <w:lang w:val="de-DE"/>
        </w:rPr>
      </w:pPr>
    </w:p>
    <w:p w:rsidR="00857963" w:rsidRPr="00CB171C" w:rsidRDefault="00F93DF8" w:rsidP="00857963">
      <w:pPr>
        <w:autoSpaceDE w:val="0"/>
        <w:autoSpaceDN w:val="0"/>
        <w:adjustRightInd w:val="0"/>
        <w:ind w:left="567"/>
        <w:jc w:val="left"/>
        <w:rPr>
          <w:rFonts w:cs="Arial"/>
          <w:lang w:val="de-DE"/>
        </w:rPr>
      </w:pPr>
      <w:r w:rsidRPr="00CB171C">
        <w:rPr>
          <w:rFonts w:cs="Arial"/>
          <w:lang w:val="de-DE"/>
        </w:rPr>
        <w:t>Anmeldung</w:t>
      </w:r>
      <w:r w:rsidR="00857963" w:rsidRPr="00CB171C">
        <w:rPr>
          <w:rFonts w:cs="Arial"/>
          <w:lang w:val="de-DE"/>
        </w:rPr>
        <w:t xml:space="preserve">: </w:t>
      </w:r>
      <w:r w:rsidRPr="00CB171C">
        <w:rPr>
          <w:rFonts w:cs="Arial"/>
          <w:lang w:val="de-DE"/>
        </w:rPr>
        <w:t xml:space="preserve">15. </w:t>
      </w:r>
      <w:r w:rsidR="00857963" w:rsidRPr="00CB171C">
        <w:rPr>
          <w:rFonts w:cs="Arial"/>
          <w:lang w:val="de-DE"/>
        </w:rPr>
        <w:t xml:space="preserve">August </w:t>
      </w:r>
      <w:r w:rsidRPr="00CB171C">
        <w:rPr>
          <w:rFonts w:cs="Arial"/>
          <w:lang w:val="de-DE"/>
        </w:rPr>
        <w:t>bis</w:t>
      </w:r>
      <w:r w:rsidR="00857963" w:rsidRPr="00CB171C">
        <w:rPr>
          <w:rFonts w:cs="Arial"/>
          <w:lang w:val="de-DE"/>
        </w:rPr>
        <w:t xml:space="preserve"> </w:t>
      </w:r>
      <w:r w:rsidRPr="00CB171C">
        <w:rPr>
          <w:rFonts w:cs="Arial"/>
          <w:lang w:val="de-DE"/>
        </w:rPr>
        <w:t>18. September</w:t>
      </w:r>
    </w:p>
    <w:p w:rsidR="00857963" w:rsidRPr="00CB171C" w:rsidRDefault="00D56B2B" w:rsidP="00857963">
      <w:pPr>
        <w:autoSpaceDE w:val="0"/>
        <w:autoSpaceDN w:val="0"/>
        <w:adjustRightInd w:val="0"/>
        <w:ind w:left="567"/>
        <w:jc w:val="left"/>
        <w:rPr>
          <w:rFonts w:cs="Arial"/>
          <w:lang w:val="de-DE"/>
        </w:rPr>
      </w:pPr>
      <w:r w:rsidRPr="00CB171C">
        <w:rPr>
          <w:rFonts w:cs="Arial"/>
          <w:lang w:val="de-DE"/>
        </w:rPr>
        <w:t>Studienperiode: 25. September bis 30. Oktober</w:t>
      </w:r>
    </w:p>
    <w:p w:rsidR="00857963" w:rsidRPr="00CB171C" w:rsidRDefault="00D56B2B" w:rsidP="00857963">
      <w:pPr>
        <w:ind w:left="567"/>
        <w:rPr>
          <w:rFonts w:cs="Arial"/>
          <w:highlight w:val="cyan"/>
          <w:lang w:val="de-DE"/>
        </w:rPr>
      </w:pPr>
      <w:r w:rsidRPr="00CB171C">
        <w:rPr>
          <w:rFonts w:cs="Arial"/>
          <w:lang w:val="de-DE"/>
        </w:rPr>
        <w:t>Schlußprüfung</w:t>
      </w:r>
      <w:r w:rsidR="00857963" w:rsidRPr="00CB171C">
        <w:rPr>
          <w:rFonts w:cs="Arial"/>
          <w:lang w:val="de-DE"/>
        </w:rPr>
        <w:t xml:space="preserve">: </w:t>
      </w:r>
      <w:r w:rsidR="00F93DF8" w:rsidRPr="00CB171C">
        <w:rPr>
          <w:rFonts w:cs="Arial"/>
          <w:lang w:val="de-DE"/>
        </w:rPr>
        <w:t>24. bis 30. Oktober</w:t>
      </w:r>
    </w:p>
    <w:p w:rsidR="00857963" w:rsidRPr="00CB171C" w:rsidRDefault="00857963" w:rsidP="00B02D38">
      <w:pPr>
        <w:rPr>
          <w:rFonts w:cs="Arial"/>
          <w:highlight w:val="cyan"/>
          <w:lang w:val="de-DE"/>
        </w:rPr>
      </w:pPr>
    </w:p>
    <w:p w:rsidR="00B02D38" w:rsidRPr="00CB171C" w:rsidRDefault="00B02D38" w:rsidP="00B02D38">
      <w:pPr>
        <w:rPr>
          <w:rFonts w:cs="Arial"/>
          <w:lang w:val="de-DE"/>
        </w:rPr>
      </w:pPr>
      <w:r w:rsidRPr="00CB171C">
        <w:rPr>
          <w:rFonts w:cs="Arial"/>
          <w:lang w:val="de-DE"/>
        </w:rPr>
        <w:t>(s</w:t>
      </w:r>
      <w:r w:rsidR="00F93DF8" w:rsidRPr="00CB171C">
        <w:rPr>
          <w:rFonts w:cs="Arial"/>
          <w:lang w:val="de-DE"/>
        </w:rPr>
        <w:t>i</w:t>
      </w:r>
      <w:r w:rsidRPr="00CB171C">
        <w:rPr>
          <w:rFonts w:cs="Arial"/>
          <w:lang w:val="de-DE"/>
        </w:rPr>
        <w:t>e</w:t>
      </w:r>
      <w:r w:rsidR="00F93DF8" w:rsidRPr="00CB171C">
        <w:rPr>
          <w:rFonts w:cs="Arial"/>
          <w:lang w:val="de-DE"/>
        </w:rPr>
        <w:t>h</w:t>
      </w:r>
      <w:r w:rsidRPr="00CB171C">
        <w:rPr>
          <w:rFonts w:cs="Arial"/>
          <w:lang w:val="de-DE"/>
        </w:rPr>
        <w:t xml:space="preserve">e </w:t>
      </w:r>
      <w:hyperlink r:id="rId12" w:history="1">
        <w:r w:rsidR="00B06D6F" w:rsidRPr="00CB171C">
          <w:rPr>
            <w:rStyle w:val="Hyperlink"/>
            <w:lang w:val="de-DE"/>
          </w:rPr>
          <w:t>http://www.upov.int/resource/de/training.html</w:t>
        </w:r>
      </w:hyperlink>
      <w:r w:rsidRPr="00CB171C">
        <w:rPr>
          <w:rFonts w:cs="Arial"/>
          <w:lang w:val="de-DE"/>
        </w:rPr>
        <w:t>)</w:t>
      </w:r>
    </w:p>
    <w:p w:rsidR="00B02D38" w:rsidRPr="00CB171C" w:rsidRDefault="00B02D38" w:rsidP="00B02D38">
      <w:pPr>
        <w:keepNext/>
        <w:rPr>
          <w:rFonts w:cs="Arial"/>
          <w:lang w:val="de-DE"/>
        </w:rPr>
      </w:pPr>
    </w:p>
    <w:p w:rsidR="00B02D38" w:rsidRPr="00CB171C" w:rsidRDefault="00B02D38" w:rsidP="00B02D38">
      <w:pPr>
        <w:rPr>
          <w:rFonts w:cs="Arial"/>
          <w:snapToGrid w:val="0"/>
          <w:lang w:val="de-DE"/>
        </w:rPr>
      </w:pPr>
    </w:p>
    <w:p w:rsidR="00B02D38" w:rsidRPr="00CB171C" w:rsidRDefault="00164441" w:rsidP="00B02D38">
      <w:pPr>
        <w:pStyle w:val="Heading1"/>
        <w:rPr>
          <w:rFonts w:cs="Arial"/>
          <w:lang w:val="de-DE"/>
        </w:rPr>
      </w:pPr>
      <w:bookmarkStart w:id="115" w:name="_Toc443988424"/>
      <w:bookmarkStart w:id="116" w:name="_Toc444242882"/>
      <w:bookmarkStart w:id="117" w:name="_Toc381174877"/>
      <w:bookmarkStart w:id="118" w:name="_Toc444761631"/>
      <w:r w:rsidRPr="00CB171C">
        <w:rPr>
          <w:rFonts w:cs="Arial"/>
          <w:lang w:val="de-DE"/>
        </w:rPr>
        <w:t>International</w:t>
      </w:r>
      <w:r w:rsidR="009F2133" w:rsidRPr="00CB171C">
        <w:rPr>
          <w:rFonts w:cs="Arial"/>
          <w:lang w:val="de-DE"/>
        </w:rPr>
        <w:t>ES KOOPERATIONS</w:t>
      </w:r>
      <w:r w:rsidRPr="00CB171C">
        <w:rPr>
          <w:rFonts w:cs="Arial"/>
          <w:lang w:val="de-DE"/>
        </w:rPr>
        <w:t>System</w:t>
      </w:r>
      <w:bookmarkEnd w:id="115"/>
      <w:bookmarkEnd w:id="116"/>
      <w:r w:rsidR="001A5AA6">
        <w:rPr>
          <w:rFonts w:cs="Arial"/>
          <w:lang w:val="de-DE"/>
        </w:rPr>
        <w:t xml:space="preserve"> (isc)</w:t>
      </w:r>
      <w:bookmarkEnd w:id="118"/>
    </w:p>
    <w:p w:rsidR="00B02D38" w:rsidRPr="00CB171C" w:rsidRDefault="00B02D38" w:rsidP="00B02D38">
      <w:pPr>
        <w:rPr>
          <w:rFonts w:cs="Arial"/>
          <w:lang w:val="de-DE"/>
        </w:rPr>
      </w:pPr>
    </w:p>
    <w:p w:rsidR="00164441" w:rsidRPr="00CB171C" w:rsidRDefault="00164441" w:rsidP="00164441">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9F2133" w:rsidRPr="00CB171C">
        <w:rPr>
          <w:lang w:val="de-DE"/>
        </w:rPr>
        <w:t>Der Beratende Ausschuß vereinbarte auf seiner neunzigsten Tagung, daß weitere Informationen, einschließlich statistischer Informationen, sowie eine juristische Analyse in bezug auf ein etwaiges internationales Kooperationssystem (ISC) erforderlich seien, und vereinbarte, das Verbandsbüro zu ersuchen, ein Dokument auszuarbeiten, das einen Entwurf eines Mandats sowie eine Aufgabendefinition für eine etwaige Arbeitsgruppe (ISC</w:t>
      </w:r>
      <w:r w:rsidR="009F2133" w:rsidRPr="00CB171C">
        <w:rPr>
          <w:lang w:val="de-DE"/>
        </w:rPr>
        <w:noBreakHyphen/>
        <w:t xml:space="preserve">WG) enthält, um die Fragen bezüglich eines etwaigen internationalen Kooperationssystems, wie in dem Dokument der </w:t>
      </w:r>
      <w:r w:rsidR="00D56B2B" w:rsidRPr="00CB171C">
        <w:rPr>
          <w:lang w:val="de-DE"/>
        </w:rPr>
        <w:t>neunundachtzigsten</w:t>
      </w:r>
      <w:r w:rsidR="009F2133" w:rsidRPr="00CB171C">
        <w:rPr>
          <w:lang w:val="de-DE"/>
        </w:rPr>
        <w:t xml:space="preserve"> Tagung des </w:t>
      </w:r>
      <w:r w:rsidR="00D56B2B" w:rsidRPr="00CB171C">
        <w:rPr>
          <w:lang w:val="de-DE"/>
        </w:rPr>
        <w:t>Beratenden</w:t>
      </w:r>
      <w:r w:rsidR="009F2133" w:rsidRPr="00CB171C">
        <w:rPr>
          <w:lang w:val="de-DE"/>
        </w:rPr>
        <w:t xml:space="preserve"> Ausschusses dargelegt, und von den Verbandsmitgliedern aufgeworfene zusätzliche Fragen zu untersuchen. Dieses Dokument soll vom Beratenden Ausschuß auf seiner einundneunzigsten Tagung im März 2016 in Genf geprüft werden und würde zudem die von den Verbandsmitgliedern schriftlich eingereichten zusätzlichen Fragen enthalten.</w:t>
      </w:r>
    </w:p>
    <w:p w:rsidR="00B02D38" w:rsidRPr="00CB171C" w:rsidRDefault="00B02D38" w:rsidP="00B02D38">
      <w:pPr>
        <w:pStyle w:val="Heading1"/>
        <w:rPr>
          <w:rFonts w:cs="Arial"/>
          <w:snapToGrid w:val="0"/>
          <w:lang w:val="de-DE"/>
        </w:rPr>
      </w:pPr>
    </w:p>
    <w:p w:rsidR="00164441" w:rsidRPr="00CB171C" w:rsidRDefault="00164441" w:rsidP="00164441">
      <w:pPr>
        <w:rPr>
          <w:lang w:val="de-DE"/>
        </w:rPr>
      </w:pPr>
    </w:p>
    <w:p w:rsidR="009F2133" w:rsidRPr="00CB171C" w:rsidRDefault="009F2133" w:rsidP="009F2133">
      <w:pPr>
        <w:pStyle w:val="Heading1"/>
        <w:rPr>
          <w:lang w:val="de-DE"/>
        </w:rPr>
      </w:pPr>
      <w:bookmarkStart w:id="119" w:name="_Toc444242883"/>
      <w:bookmarkStart w:id="120" w:name="_Toc443988425"/>
      <w:bookmarkStart w:id="121" w:name="_Toc444761632"/>
      <w:bookmarkEnd w:id="117"/>
      <w:r w:rsidRPr="00CB171C">
        <w:rPr>
          <w:lang w:val="de-DE"/>
        </w:rPr>
        <w:t>Wechselseitige Beziehung mit dem Internationalen Vertrag über pflanzengenetische Ressourcen für Ernährung und Landwirtschaft (ITPGRFA)</w:t>
      </w:r>
      <w:bookmarkEnd w:id="119"/>
      <w:bookmarkEnd w:id="121"/>
    </w:p>
    <w:p w:rsidR="009F2133" w:rsidRPr="00CB171C" w:rsidRDefault="009F2133" w:rsidP="009F2133">
      <w:pPr>
        <w:rPr>
          <w:u w:val="single"/>
          <w:lang w:val="de-DE"/>
        </w:rPr>
      </w:pPr>
    </w:p>
    <w:p w:rsidR="009F2133" w:rsidRPr="00CB171C" w:rsidRDefault="009F2133" w:rsidP="009F2133">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t xml:space="preserve">Der Beratende Ausschuß nahm auf seiner neunzigsten Tagung die </w:t>
      </w:r>
      <w:r w:rsidRPr="00CB171C">
        <w:rPr>
          <w:rFonts w:cs="Arial"/>
          <w:bCs/>
          <w:snapToGrid w:val="0"/>
          <w:szCs w:val="24"/>
          <w:lang w:val="de-DE"/>
        </w:rPr>
        <w:t>Entwicklungen betreffend Bereiche in den internationalen Vertragswerken des Internationalen Vertrags über pflanzengenetische Ressourcen für Ernährung und Landwirtschaft (ITPGRFA), der Weltorganisation für geistiges Eigentum (WIPO) und der UPOV, in denen möglicherweise Zusammenhänge bestehen, zur Kenntnis.</w:t>
      </w:r>
    </w:p>
    <w:p w:rsidR="009F2133" w:rsidRPr="00CB171C" w:rsidRDefault="009F2133" w:rsidP="009F2133">
      <w:pPr>
        <w:rPr>
          <w:lang w:val="de-DE"/>
        </w:rPr>
      </w:pPr>
    </w:p>
    <w:p w:rsidR="009F2133" w:rsidRPr="00CB171C" w:rsidRDefault="009F2133" w:rsidP="009F2133">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t xml:space="preserve">Der Beratende Ausschuß vereinbarte, in einem ersten Schritt den Sekretär des ITPGRFA einzuladen, auf seiner einundneunzigsten Tagung ein Referat über </w:t>
      </w:r>
      <w:r w:rsidRPr="00CB171C">
        <w:rPr>
          <w:rFonts w:cs="Arial"/>
          <w:bCs/>
          <w:snapToGrid w:val="0"/>
          <w:szCs w:val="24"/>
          <w:lang w:val="de-DE"/>
        </w:rPr>
        <w:t>Bereiche mit wechselseitigen Beziehungen zwischen dem ITPGRFA und dem UPOV-Übereinkommen zu halte</w:t>
      </w:r>
      <w:r w:rsidRPr="00CB171C">
        <w:rPr>
          <w:lang w:val="de-DE"/>
        </w:rPr>
        <w:t>n. Der Beratende Ausschuß vereinbarte zudem, daß die Verbandsmitglieder ersucht werden sollten, sich zu den vom ITPGRFA ausgewiesenen Bereichen mit wechselseitigen Beziehungen zu äußern und etwaige andere Bereiche mit wechselseitigen Beziehungen vorzuschlagen. Der Beratende Ausschuß vereinbarte, daß die Informationen vom Verbandsbüro im Hinblick auf eine Erörterung auf der einundneunzigsten Tagung in Verbindung mit dem Referat des Sekretärs des ITPGRFA zusammengestellt werden sollten. Der Beratende Ausschuß erörterte ferner den Gedanken eines Symposiums, auf dem die Vertragsparteien Informationen über ihre Erfahrungen bei der Umsetzung des UPOV-Übereinkommens und des ITPGRFA darlegen sollen.</w:t>
      </w:r>
    </w:p>
    <w:bookmarkEnd w:id="120"/>
    <w:p w:rsidR="00164441" w:rsidRPr="00CB171C" w:rsidRDefault="00164441" w:rsidP="00164441">
      <w:pPr>
        <w:rPr>
          <w:lang w:val="de-DE"/>
        </w:rPr>
      </w:pPr>
    </w:p>
    <w:p w:rsidR="00D821B9" w:rsidRPr="00CB171C" w:rsidRDefault="00D821B9" w:rsidP="00D821B9">
      <w:pPr>
        <w:rPr>
          <w:rFonts w:cs="Arial"/>
          <w:snapToGrid w:val="0"/>
          <w:lang w:val="de-DE"/>
        </w:rPr>
      </w:pPr>
    </w:p>
    <w:p w:rsidR="00B02D38" w:rsidRPr="00CB171C" w:rsidRDefault="00481F95" w:rsidP="00481F95">
      <w:pPr>
        <w:pStyle w:val="Heading1"/>
        <w:rPr>
          <w:snapToGrid w:val="0"/>
          <w:lang w:val="de-DE"/>
        </w:rPr>
      </w:pPr>
      <w:bookmarkStart w:id="122" w:name="_Toc443988426"/>
      <w:bookmarkStart w:id="123" w:name="_Toc444242884"/>
      <w:bookmarkStart w:id="124" w:name="_Toc444761633"/>
      <w:r w:rsidRPr="00CB171C">
        <w:rPr>
          <w:snapToGrid w:val="0"/>
          <w:lang w:val="de-DE"/>
        </w:rPr>
        <w:t>W</w:t>
      </w:r>
      <w:r w:rsidR="009F2133" w:rsidRPr="00CB171C">
        <w:rPr>
          <w:snapToGrid w:val="0"/>
          <w:lang w:val="de-DE"/>
        </w:rPr>
        <w:t>eltsaatgutprojekt</w:t>
      </w:r>
      <w:bookmarkEnd w:id="122"/>
      <w:bookmarkEnd w:id="123"/>
      <w:bookmarkEnd w:id="124"/>
    </w:p>
    <w:p w:rsidR="00B02D38" w:rsidRPr="00CB171C" w:rsidRDefault="00B02D38" w:rsidP="00B02D38">
      <w:pPr>
        <w:rPr>
          <w:rFonts w:cs="Arial"/>
          <w:lang w:val="de-DE"/>
        </w:rPr>
      </w:pPr>
    </w:p>
    <w:p w:rsidR="009F2133" w:rsidRPr="00CB171C" w:rsidRDefault="00481F95" w:rsidP="009F2133">
      <w:pPr>
        <w:rPr>
          <w:lang w:val="de-DE"/>
        </w:rPr>
      </w:pPr>
      <w:r w:rsidRPr="00CB171C">
        <w:rPr>
          <w:lang w:val="de-DE"/>
        </w:rPr>
        <w:fldChar w:fldCharType="begin"/>
      </w:r>
      <w:r w:rsidRPr="00CB171C">
        <w:rPr>
          <w:lang w:val="de-DE"/>
        </w:rPr>
        <w:instrText xml:space="preserve"> AUTONUM  </w:instrText>
      </w:r>
      <w:r w:rsidRPr="00CB171C">
        <w:rPr>
          <w:lang w:val="de-DE"/>
        </w:rPr>
        <w:fldChar w:fldCharType="end"/>
      </w:r>
      <w:r w:rsidRPr="00CB171C">
        <w:rPr>
          <w:lang w:val="de-DE"/>
        </w:rPr>
        <w:tab/>
      </w:r>
      <w:r w:rsidR="009F2133" w:rsidRPr="00CB171C">
        <w:rPr>
          <w:lang w:val="de-DE"/>
        </w:rPr>
        <w:t>Der Beratende Ausschuß stimmte auf seiner neunzigsten Tagung de</w:t>
      </w:r>
      <w:r w:rsidR="001B6EF6" w:rsidRPr="00CB171C">
        <w:rPr>
          <w:lang w:val="de-DE"/>
        </w:rPr>
        <w:t>m</w:t>
      </w:r>
      <w:r w:rsidR="009F2133" w:rsidRPr="00CB171C">
        <w:rPr>
          <w:lang w:val="de-DE"/>
        </w:rPr>
        <w:t xml:space="preserve"> vorgeschlagenen neuen Schwerpunkt des </w:t>
      </w:r>
      <w:r w:rsidR="001A5AA6" w:rsidRPr="001A5AA6">
        <w:rPr>
          <w:lang w:val="de-DE"/>
        </w:rPr>
        <w:t>Weltsaatgutprojekt</w:t>
      </w:r>
      <w:r w:rsidR="001A5AA6">
        <w:rPr>
          <w:lang w:val="de-DE"/>
        </w:rPr>
        <w:t>s (</w:t>
      </w:r>
      <w:r w:rsidR="009F2133" w:rsidRPr="00CB171C">
        <w:rPr>
          <w:lang w:val="de-DE"/>
        </w:rPr>
        <w:t>WSP</w:t>
      </w:r>
      <w:r w:rsidR="001A5AA6">
        <w:rPr>
          <w:lang w:val="de-DE"/>
        </w:rPr>
        <w:t>)</w:t>
      </w:r>
      <w:r w:rsidR="009F2133" w:rsidRPr="00CB171C">
        <w:rPr>
          <w:lang w:val="de-DE"/>
        </w:rPr>
        <w:t xml:space="preserve"> </w:t>
      </w:r>
      <w:r w:rsidR="001B6EF6" w:rsidRPr="00CB171C">
        <w:rPr>
          <w:lang w:val="de-DE"/>
        </w:rPr>
        <w:t>zu, der darin besteht</w:t>
      </w:r>
      <w:r w:rsidR="00776AB1" w:rsidRPr="00CB171C">
        <w:rPr>
          <w:lang w:val="de-DE"/>
        </w:rPr>
        <w:t>,</w:t>
      </w:r>
    </w:p>
    <w:p w:rsidR="009F2133" w:rsidRPr="00CB171C" w:rsidRDefault="009F2133" w:rsidP="009F2133">
      <w:pPr>
        <w:rPr>
          <w:lang w:val="de-DE"/>
        </w:rPr>
      </w:pPr>
    </w:p>
    <w:p w:rsidR="009F2133" w:rsidRPr="00CB171C" w:rsidRDefault="009F2133" w:rsidP="009F2133">
      <w:pPr>
        <w:ind w:firstLine="567"/>
        <w:rPr>
          <w:lang w:val="de-DE"/>
        </w:rPr>
      </w:pPr>
      <w:r w:rsidRPr="00CB171C">
        <w:rPr>
          <w:lang w:val="de-DE"/>
        </w:rPr>
        <w:t>a)</w:t>
      </w:r>
      <w:r w:rsidRPr="00CB171C">
        <w:rPr>
          <w:lang w:val="de-DE"/>
        </w:rPr>
        <w:tab/>
        <w:t>festzulegen, daß die einzige Funktion des WSP darin besteh</w:t>
      </w:r>
      <w:r w:rsidR="00776AB1" w:rsidRPr="00CB171C">
        <w:rPr>
          <w:lang w:val="de-DE"/>
        </w:rPr>
        <w:t>t,</w:t>
      </w:r>
      <w:r w:rsidRPr="00CB171C">
        <w:rPr>
          <w:lang w:val="de-DE"/>
        </w:rPr>
        <w:t xml:space="preserve"> sich auf die Entwicklung eines effizienten Regulierungsrahmens für den Saatgutbereich zu konzentrieren;</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b)</w:t>
      </w:r>
      <w:r w:rsidRPr="00CB171C">
        <w:rPr>
          <w:lang w:val="de-DE"/>
        </w:rPr>
        <w:tab/>
        <w:t>eine einzige Anlaufstelle („</w:t>
      </w:r>
      <w:r w:rsidR="00D56B2B" w:rsidRPr="00CB171C">
        <w:rPr>
          <w:lang w:val="de-DE"/>
        </w:rPr>
        <w:t>Ohne</w:t>
      </w:r>
      <w:r w:rsidRPr="00CB171C">
        <w:rPr>
          <w:lang w:val="de-DE"/>
        </w:rPr>
        <w:t>-Stop-Shop“) für kohärente Informationen zu den verschiedenen Systemen und Programmen anzugeben, die als Ressource für Organisationen, die an der Entwicklung des Saatgutsektors mitwirken, dienen soll;</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c)</w:t>
      </w:r>
      <w:r w:rsidRPr="00CB171C">
        <w:rPr>
          <w:lang w:val="de-DE"/>
        </w:rPr>
        <w:tab/>
        <w:t>eine Webplattform zu schaffen, die Schlüsselinformationen zu jeder Organisation sowie zu einzeln oder gemeinsam durchgeführten Tätigkeiten (z. B. Schulung</w:t>
      </w:r>
      <w:r w:rsidR="001B6EF6" w:rsidRPr="00CB171C">
        <w:rPr>
          <w:lang w:val="de-DE"/>
        </w:rPr>
        <w:t>slehrgänge</w:t>
      </w:r>
      <w:r w:rsidRPr="00CB171C">
        <w:rPr>
          <w:lang w:val="de-DE"/>
        </w:rPr>
        <w:t>, Seminare, Arbeitstagungen usw.) bereitstell</w:t>
      </w:r>
      <w:r w:rsidR="00776AB1" w:rsidRPr="00CB171C">
        <w:rPr>
          <w:lang w:val="de-DE"/>
        </w:rPr>
        <w:t>en soll</w:t>
      </w:r>
      <w:r w:rsidRPr="00CB171C">
        <w:rPr>
          <w:lang w:val="de-DE"/>
        </w:rPr>
        <w:t>;</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d)</w:t>
      </w:r>
      <w:r w:rsidRPr="00CB171C">
        <w:rPr>
          <w:lang w:val="de-DE"/>
        </w:rPr>
        <w:tab/>
        <w:t>einen Leitsatz zu entwickeln;</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e)</w:t>
      </w:r>
      <w:r w:rsidRPr="00CB171C">
        <w:rPr>
          <w:lang w:val="de-DE"/>
        </w:rPr>
        <w:tab/>
        <w:t>eine Reihe Arbeitstagungen für die Vorstellung der verschiedenen Systeme und Programme zu entwickeln;</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f)</w:t>
      </w:r>
      <w:r w:rsidRPr="00CB171C">
        <w:rPr>
          <w:lang w:val="de-DE"/>
        </w:rPr>
        <w:tab/>
      </w:r>
      <w:r w:rsidR="00776AB1" w:rsidRPr="00CB171C">
        <w:rPr>
          <w:lang w:val="de-DE"/>
        </w:rPr>
        <w:t xml:space="preserve">die </w:t>
      </w:r>
      <w:r w:rsidRPr="00CB171C">
        <w:rPr>
          <w:lang w:val="de-DE"/>
        </w:rPr>
        <w:t xml:space="preserve">WSP-Mitgliedsorganisationen dazu aufzurufen, ihre jeweiligen Organisationen für die Bedeutung der Rolle anderer Organisationen </w:t>
      </w:r>
      <w:r w:rsidR="001B6EF6" w:rsidRPr="00CB171C">
        <w:rPr>
          <w:lang w:val="de-DE"/>
        </w:rPr>
        <w:t xml:space="preserve">zu sensibilisieren, um </w:t>
      </w:r>
      <w:r w:rsidRPr="00CB171C">
        <w:rPr>
          <w:lang w:val="de-DE"/>
        </w:rPr>
        <w:t>eine</w:t>
      </w:r>
      <w:r w:rsidR="001B6EF6" w:rsidRPr="00CB171C">
        <w:rPr>
          <w:lang w:val="de-DE"/>
        </w:rPr>
        <w:t>n</w:t>
      </w:r>
      <w:r w:rsidRPr="00CB171C">
        <w:rPr>
          <w:lang w:val="de-DE"/>
        </w:rPr>
        <w:t xml:space="preserve"> effizienten Regulierungsrahmen für den </w:t>
      </w:r>
      <w:r w:rsidR="00D56B2B" w:rsidRPr="00CB171C">
        <w:rPr>
          <w:lang w:val="de-DE"/>
        </w:rPr>
        <w:t>Saatgutbereich</w:t>
      </w:r>
      <w:r w:rsidR="001B6EF6" w:rsidRPr="00CB171C">
        <w:rPr>
          <w:lang w:val="de-DE"/>
        </w:rPr>
        <w:t xml:space="preserve"> aufzubauen</w:t>
      </w:r>
      <w:r w:rsidR="00776AB1" w:rsidRPr="00CB171C">
        <w:rPr>
          <w:lang w:val="de-DE"/>
        </w:rPr>
        <w:t>, und</w:t>
      </w:r>
    </w:p>
    <w:p w:rsidR="009F2133" w:rsidRPr="00CB171C" w:rsidRDefault="009F2133" w:rsidP="009F2133">
      <w:pPr>
        <w:ind w:firstLine="567"/>
        <w:rPr>
          <w:lang w:val="de-DE"/>
        </w:rPr>
      </w:pPr>
    </w:p>
    <w:p w:rsidR="009F2133" w:rsidRPr="00CB171C" w:rsidRDefault="009F2133" w:rsidP="009F2133">
      <w:pPr>
        <w:ind w:firstLine="567"/>
        <w:rPr>
          <w:lang w:val="de-DE"/>
        </w:rPr>
      </w:pPr>
      <w:r w:rsidRPr="00CB171C">
        <w:rPr>
          <w:lang w:val="de-DE"/>
        </w:rPr>
        <w:t>g)</w:t>
      </w:r>
      <w:r w:rsidRPr="00CB171C">
        <w:rPr>
          <w:lang w:val="de-DE"/>
        </w:rPr>
        <w:tab/>
        <w:t>eine Änderung des Namens „WSP“ zu prüfen, um den Verweis auf „Projekt“ zu entfernen.</w:t>
      </w:r>
    </w:p>
    <w:p w:rsidR="00B02D38" w:rsidRPr="00CB171C" w:rsidRDefault="00B02D38" w:rsidP="00B02D38">
      <w:pPr>
        <w:rPr>
          <w:rFonts w:cs="Arial"/>
          <w:lang w:val="de-DE"/>
        </w:rPr>
      </w:pPr>
    </w:p>
    <w:p w:rsidR="00B02D38" w:rsidRPr="00CB171C" w:rsidRDefault="00B02D38" w:rsidP="00B02D38">
      <w:pPr>
        <w:pStyle w:val="DecisionParagraphs"/>
        <w:rPr>
          <w:rFonts w:cs="Arial"/>
          <w:snapToGrid w:val="0"/>
          <w:lang w:val="de-DE"/>
        </w:rPr>
      </w:pPr>
      <w:r w:rsidRPr="00CB171C">
        <w:rPr>
          <w:rFonts w:cs="Arial"/>
          <w:snapToGrid w:val="0"/>
          <w:lang w:val="de-DE"/>
        </w:rPr>
        <w:fldChar w:fldCharType="begin"/>
      </w:r>
      <w:r w:rsidRPr="00CB171C">
        <w:rPr>
          <w:rFonts w:cs="Arial"/>
          <w:snapToGrid w:val="0"/>
          <w:lang w:val="de-DE"/>
        </w:rPr>
        <w:instrText xml:space="preserve"> AUTONUM  </w:instrText>
      </w:r>
      <w:r w:rsidRPr="00CB171C">
        <w:rPr>
          <w:rFonts w:cs="Arial"/>
          <w:snapToGrid w:val="0"/>
          <w:lang w:val="de-DE"/>
        </w:rPr>
        <w:fldChar w:fldCharType="end"/>
      </w:r>
      <w:r w:rsidRPr="00CB171C">
        <w:rPr>
          <w:rFonts w:cs="Arial"/>
          <w:snapToGrid w:val="0"/>
          <w:lang w:val="de-DE"/>
        </w:rPr>
        <w:tab/>
      </w:r>
      <w:r w:rsidR="001B6EF6" w:rsidRPr="00CB171C">
        <w:rPr>
          <w:rFonts w:cs="Arial"/>
          <w:snapToGrid w:val="0"/>
          <w:lang w:val="de-DE"/>
        </w:rPr>
        <w:t xml:space="preserve">Der TC wird ersucht, </w:t>
      </w:r>
      <w:r w:rsidR="001B6EF6" w:rsidRPr="00CB171C">
        <w:rPr>
          <w:lang w:val="de-DE"/>
        </w:rPr>
        <w:t xml:space="preserve">die Entwicklungen in der </w:t>
      </w:r>
      <w:bookmarkStart w:id="125" w:name="_GoBack"/>
      <w:bookmarkEnd w:id="125"/>
      <w:r w:rsidR="001B6EF6" w:rsidRPr="00CB171C">
        <w:rPr>
          <w:lang w:val="de-DE"/>
        </w:rPr>
        <w:t xml:space="preserve">UPOV, u. a. die auf den letzten Tagungen des Verwaltungs- und Rechtsausschusses, des Beratenden Ausschusses und des Rates erörterten wichtigen Angelegenheiten, wie in </w:t>
      </w:r>
      <w:r w:rsidR="00D56B2B" w:rsidRPr="00CB171C">
        <w:rPr>
          <w:lang w:val="de-DE"/>
        </w:rPr>
        <w:t>den</w:t>
      </w:r>
      <w:r w:rsidR="001B6EF6" w:rsidRPr="00CB171C">
        <w:rPr>
          <w:lang w:val="de-DE"/>
        </w:rPr>
        <w:t xml:space="preserve"> Absätzen 3 bis 41 dieses Dokuments dargelegt, zur Kenntnis zu nehmen.</w:t>
      </w:r>
    </w:p>
    <w:p w:rsidR="00B02D38" w:rsidRPr="00CB171C" w:rsidRDefault="00B02D38" w:rsidP="00B02D38">
      <w:pPr>
        <w:rPr>
          <w:rFonts w:cs="Arial"/>
          <w:lang w:val="de-DE"/>
        </w:rPr>
      </w:pPr>
    </w:p>
    <w:p w:rsidR="00B02D38" w:rsidRPr="00CB171C" w:rsidRDefault="00B02D38" w:rsidP="00B02D38">
      <w:pPr>
        <w:rPr>
          <w:rFonts w:cs="Arial"/>
          <w:lang w:val="de-DE"/>
        </w:rPr>
      </w:pPr>
    </w:p>
    <w:p w:rsidR="00B02D38" w:rsidRPr="00CB171C" w:rsidRDefault="00B02D38" w:rsidP="00B02D38">
      <w:pPr>
        <w:rPr>
          <w:rFonts w:cs="Arial"/>
          <w:lang w:val="de-DE"/>
        </w:rPr>
      </w:pPr>
    </w:p>
    <w:p w:rsidR="00050E16" w:rsidRPr="00CB171C" w:rsidRDefault="00050E16" w:rsidP="00CF0215">
      <w:pPr>
        <w:jc w:val="right"/>
        <w:rPr>
          <w:rFonts w:cs="Arial"/>
          <w:lang w:val="de-DE"/>
        </w:rPr>
      </w:pPr>
      <w:r w:rsidRPr="00CB171C">
        <w:rPr>
          <w:rFonts w:cs="Arial"/>
          <w:lang w:val="de-DE"/>
        </w:rPr>
        <w:t>[End</w:t>
      </w:r>
      <w:r w:rsidR="00EB55E5" w:rsidRPr="00CB171C">
        <w:rPr>
          <w:rFonts w:cs="Arial"/>
          <w:lang w:val="de-DE"/>
        </w:rPr>
        <w:t>e</w:t>
      </w:r>
      <w:r w:rsidRPr="00CB171C">
        <w:rPr>
          <w:rFonts w:cs="Arial"/>
          <w:lang w:val="de-DE"/>
        </w:rPr>
        <w:t xml:space="preserve"> </w:t>
      </w:r>
      <w:r w:rsidR="00EB55E5" w:rsidRPr="00CB171C">
        <w:rPr>
          <w:rFonts w:cs="Arial"/>
          <w:lang w:val="de-DE"/>
        </w:rPr>
        <w:t>des</w:t>
      </w:r>
      <w:r w:rsidRPr="00CB171C">
        <w:rPr>
          <w:rFonts w:cs="Arial"/>
          <w:lang w:val="de-DE"/>
        </w:rPr>
        <w:t xml:space="preserve"> </w:t>
      </w:r>
      <w:r w:rsidR="00EB55E5" w:rsidRPr="00CB171C">
        <w:rPr>
          <w:rFonts w:cs="Arial"/>
          <w:lang w:val="de-DE"/>
        </w:rPr>
        <w:t>D</w:t>
      </w:r>
      <w:r w:rsidRPr="00CB171C">
        <w:rPr>
          <w:rFonts w:cs="Arial"/>
          <w:lang w:val="de-DE"/>
        </w:rPr>
        <w:t>o</w:t>
      </w:r>
      <w:r w:rsidR="00EB55E5" w:rsidRPr="00CB171C">
        <w:rPr>
          <w:rFonts w:cs="Arial"/>
          <w:lang w:val="de-DE"/>
        </w:rPr>
        <w:t>k</w:t>
      </w:r>
      <w:r w:rsidRPr="00CB171C">
        <w:rPr>
          <w:rFonts w:cs="Arial"/>
          <w:lang w:val="de-DE"/>
        </w:rPr>
        <w:t>ument</w:t>
      </w:r>
      <w:r w:rsidR="00EB55E5" w:rsidRPr="00CB171C">
        <w:rPr>
          <w:rFonts w:cs="Arial"/>
          <w:lang w:val="de-DE"/>
        </w:rPr>
        <w:t>s</w:t>
      </w:r>
      <w:r w:rsidRPr="00CB171C">
        <w:rPr>
          <w:rFonts w:cs="Arial"/>
          <w:lang w:val="de-DE"/>
        </w:rPr>
        <w:t>]</w:t>
      </w:r>
    </w:p>
    <w:sectPr w:rsidR="00050E16" w:rsidRPr="00CB171C"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2A" w:rsidRDefault="00EF6C2A" w:rsidP="006655D3">
      <w:r>
        <w:separator/>
      </w:r>
    </w:p>
    <w:p w:rsidR="00EF6C2A" w:rsidRDefault="00EF6C2A" w:rsidP="006655D3"/>
    <w:p w:rsidR="00EF6C2A" w:rsidRDefault="00EF6C2A" w:rsidP="006655D3"/>
  </w:endnote>
  <w:endnote w:type="continuationSeparator" w:id="0">
    <w:p w:rsidR="00EF6C2A" w:rsidRDefault="00EF6C2A" w:rsidP="006655D3">
      <w:r>
        <w:separator/>
      </w:r>
    </w:p>
    <w:p w:rsidR="00EF6C2A" w:rsidRPr="005411D3" w:rsidRDefault="00EF6C2A">
      <w:pPr>
        <w:pStyle w:val="Footer"/>
        <w:spacing w:after="60"/>
        <w:rPr>
          <w:sz w:val="18"/>
          <w:lang w:val="fr-FR"/>
        </w:rPr>
      </w:pPr>
      <w:r w:rsidRPr="005411D3">
        <w:rPr>
          <w:sz w:val="18"/>
          <w:lang w:val="fr-FR"/>
        </w:rPr>
        <w:t>[Suite de la note de la page précédente]</w:t>
      </w:r>
    </w:p>
    <w:p w:rsidR="00EF6C2A" w:rsidRPr="005411D3" w:rsidRDefault="00EF6C2A" w:rsidP="006655D3">
      <w:pPr>
        <w:rPr>
          <w:lang w:val="fr-FR"/>
        </w:rPr>
      </w:pPr>
    </w:p>
    <w:p w:rsidR="00EF6C2A" w:rsidRPr="005411D3" w:rsidRDefault="00EF6C2A" w:rsidP="006655D3">
      <w:pPr>
        <w:rPr>
          <w:lang w:val="fr-FR"/>
        </w:rPr>
      </w:pPr>
    </w:p>
  </w:endnote>
  <w:endnote w:type="continuationNotice" w:id="1">
    <w:p w:rsidR="00EF6C2A" w:rsidRPr="005411D3" w:rsidRDefault="00EF6C2A" w:rsidP="006655D3">
      <w:pPr>
        <w:rPr>
          <w:lang w:val="fr-FR"/>
        </w:rPr>
      </w:pPr>
      <w:r w:rsidRPr="005411D3">
        <w:rPr>
          <w:lang w:val="fr-FR"/>
        </w:rPr>
        <w:t>[Suite de la note page suivante]</w:t>
      </w:r>
    </w:p>
    <w:p w:rsidR="00EF6C2A" w:rsidRPr="005411D3" w:rsidRDefault="00EF6C2A" w:rsidP="006655D3">
      <w:pPr>
        <w:rPr>
          <w:lang w:val="fr-FR"/>
        </w:rPr>
      </w:pPr>
    </w:p>
    <w:p w:rsidR="00EF6C2A" w:rsidRPr="005411D3" w:rsidRDefault="00EF6C2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2A" w:rsidRDefault="00EF6C2A" w:rsidP="006655D3">
      <w:r>
        <w:separator/>
      </w:r>
    </w:p>
  </w:footnote>
  <w:footnote w:type="continuationSeparator" w:id="0">
    <w:p w:rsidR="00EF6C2A" w:rsidRDefault="00EF6C2A" w:rsidP="006655D3">
      <w:r>
        <w:separator/>
      </w:r>
    </w:p>
  </w:footnote>
  <w:footnote w:type="continuationNotice" w:id="1">
    <w:p w:rsidR="00EF6C2A" w:rsidRPr="00AB530F" w:rsidRDefault="00EF6C2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FD" w:rsidRPr="00C5280D" w:rsidRDefault="003246FD" w:rsidP="00EB048E">
    <w:pPr>
      <w:pStyle w:val="Header"/>
      <w:rPr>
        <w:rStyle w:val="PageNumber"/>
        <w:lang w:val="en-US"/>
      </w:rPr>
    </w:pPr>
    <w:r>
      <w:rPr>
        <w:rStyle w:val="PageNumber"/>
        <w:lang w:val="en-US"/>
      </w:rPr>
      <w:t>TC/52/10</w:t>
    </w:r>
  </w:p>
  <w:p w:rsidR="003246FD" w:rsidRPr="00C5280D" w:rsidRDefault="003246FD"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6606">
      <w:rPr>
        <w:rStyle w:val="PageNumber"/>
        <w:noProof/>
        <w:lang w:val="en-US"/>
      </w:rPr>
      <w:t>9</w:t>
    </w:r>
    <w:r w:rsidRPr="00C5280D">
      <w:rPr>
        <w:rStyle w:val="PageNumber"/>
        <w:lang w:val="en-US"/>
      </w:rPr>
      <w:fldChar w:fldCharType="end"/>
    </w:r>
  </w:p>
  <w:p w:rsidR="003246FD" w:rsidRPr="00C5280D" w:rsidRDefault="003246F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45EB9"/>
    <w:multiLevelType w:val="hybridMultilevel"/>
    <w:tmpl w:val="56F0B7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84FCF"/>
    <w:multiLevelType w:val="hybridMultilevel"/>
    <w:tmpl w:val="868E9C2C"/>
    <w:lvl w:ilvl="0" w:tplc="39D86DC4">
      <w:start w:val="1"/>
      <w:numFmt w:val="lowerLetter"/>
      <w:lvlText w:val="%1)"/>
      <w:lvlJc w:val="left"/>
      <w:pPr>
        <w:ind w:left="927" w:hanging="360"/>
      </w:pPr>
      <w:rPr>
        <w:color w:val="000000"/>
      </w:rPr>
    </w:lvl>
    <w:lvl w:ilvl="1" w:tplc="100C0019">
      <w:start w:val="1"/>
      <w:numFmt w:val="lowerLetter"/>
      <w:lvlText w:val="%2."/>
      <w:lvlJc w:val="left"/>
      <w:pPr>
        <w:ind w:left="1647" w:hanging="360"/>
      </w:pPr>
    </w:lvl>
    <w:lvl w:ilvl="2" w:tplc="100C001B">
      <w:start w:val="1"/>
      <w:numFmt w:val="lowerRoman"/>
      <w:lvlText w:val="%3."/>
      <w:lvlJc w:val="right"/>
      <w:pPr>
        <w:ind w:left="2367" w:hanging="180"/>
      </w:pPr>
    </w:lvl>
    <w:lvl w:ilvl="3" w:tplc="100C000F">
      <w:start w:val="1"/>
      <w:numFmt w:val="decimal"/>
      <w:lvlText w:val="%4."/>
      <w:lvlJc w:val="left"/>
      <w:pPr>
        <w:ind w:left="3087" w:hanging="360"/>
      </w:pPr>
    </w:lvl>
    <w:lvl w:ilvl="4" w:tplc="100C0019">
      <w:start w:val="1"/>
      <w:numFmt w:val="lowerLetter"/>
      <w:lvlText w:val="%5."/>
      <w:lvlJc w:val="left"/>
      <w:pPr>
        <w:ind w:left="3807" w:hanging="360"/>
      </w:pPr>
    </w:lvl>
    <w:lvl w:ilvl="5" w:tplc="100C001B">
      <w:start w:val="1"/>
      <w:numFmt w:val="lowerRoman"/>
      <w:lvlText w:val="%6."/>
      <w:lvlJc w:val="right"/>
      <w:pPr>
        <w:ind w:left="4527" w:hanging="180"/>
      </w:pPr>
    </w:lvl>
    <w:lvl w:ilvl="6" w:tplc="100C000F">
      <w:start w:val="1"/>
      <w:numFmt w:val="decimal"/>
      <w:lvlText w:val="%7."/>
      <w:lvlJc w:val="left"/>
      <w:pPr>
        <w:ind w:left="5247" w:hanging="360"/>
      </w:pPr>
    </w:lvl>
    <w:lvl w:ilvl="7" w:tplc="100C0019">
      <w:start w:val="1"/>
      <w:numFmt w:val="lowerLetter"/>
      <w:lvlText w:val="%8."/>
      <w:lvlJc w:val="left"/>
      <w:pPr>
        <w:ind w:left="5967" w:hanging="360"/>
      </w:pPr>
    </w:lvl>
    <w:lvl w:ilvl="8" w:tplc="100C001B">
      <w:start w:val="1"/>
      <w:numFmt w:val="lowerRoman"/>
      <w:lvlText w:val="%9."/>
      <w:lvlJc w:val="right"/>
      <w:pPr>
        <w:ind w:left="6687" w:hanging="180"/>
      </w:pPr>
    </w:lvl>
  </w:abstractNum>
  <w:abstractNum w:abstractNumId="13">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15"/>
  </w:num>
  <w:num w:numId="3">
    <w:abstractNumId w:val="13"/>
  </w:num>
  <w:num w:numId="4">
    <w:abstractNumId w:val="3"/>
  </w:num>
  <w:num w:numId="5">
    <w:abstractNumId w:val="14"/>
  </w:num>
  <w:num w:numId="6">
    <w:abstractNumId w:val="0"/>
  </w:num>
  <w:num w:numId="7">
    <w:abstractNumId w:val="6"/>
  </w:num>
  <w:num w:numId="8">
    <w:abstractNumId w:val="18"/>
  </w:num>
  <w:num w:numId="9">
    <w:abstractNumId w:val="1"/>
  </w:num>
  <w:num w:numId="10">
    <w:abstractNumId w:val="11"/>
  </w:num>
  <w:num w:numId="11">
    <w:abstractNumId w:val="16"/>
  </w:num>
  <w:num w:numId="12">
    <w:abstractNumId w:val="10"/>
  </w:num>
  <w:num w:numId="13">
    <w:abstractNumId w:val="7"/>
  </w:num>
  <w:num w:numId="14">
    <w:abstractNumId w:val="5"/>
  </w:num>
  <w:num w:numId="15">
    <w:abstractNumId w:val="4"/>
  </w:num>
  <w:num w:numId="16">
    <w:abstractNumId w:val="17"/>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10CF3"/>
    <w:rsid w:val="00011E27"/>
    <w:rsid w:val="000148BC"/>
    <w:rsid w:val="00014AE7"/>
    <w:rsid w:val="00024AB8"/>
    <w:rsid w:val="00030854"/>
    <w:rsid w:val="00036028"/>
    <w:rsid w:val="00044642"/>
    <w:rsid w:val="000446B9"/>
    <w:rsid w:val="00047E21"/>
    <w:rsid w:val="00050E16"/>
    <w:rsid w:val="00057214"/>
    <w:rsid w:val="00070F01"/>
    <w:rsid w:val="00085505"/>
    <w:rsid w:val="000C2FE5"/>
    <w:rsid w:val="000C47B1"/>
    <w:rsid w:val="000C7021"/>
    <w:rsid w:val="000D6BBC"/>
    <w:rsid w:val="000D7780"/>
    <w:rsid w:val="000E49BA"/>
    <w:rsid w:val="000F2F11"/>
    <w:rsid w:val="00105929"/>
    <w:rsid w:val="0010682C"/>
    <w:rsid w:val="00110C36"/>
    <w:rsid w:val="001131D5"/>
    <w:rsid w:val="00130A8E"/>
    <w:rsid w:val="00141DB8"/>
    <w:rsid w:val="00150145"/>
    <w:rsid w:val="00164441"/>
    <w:rsid w:val="0017474A"/>
    <w:rsid w:val="001758C6"/>
    <w:rsid w:val="00182B99"/>
    <w:rsid w:val="001A5AA6"/>
    <w:rsid w:val="001B6EF6"/>
    <w:rsid w:val="001F1F47"/>
    <w:rsid w:val="0021332C"/>
    <w:rsid w:val="00213982"/>
    <w:rsid w:val="00217F19"/>
    <w:rsid w:val="0024416D"/>
    <w:rsid w:val="00271911"/>
    <w:rsid w:val="002800A0"/>
    <w:rsid w:val="002801B3"/>
    <w:rsid w:val="00281060"/>
    <w:rsid w:val="002940E8"/>
    <w:rsid w:val="002A6E50"/>
    <w:rsid w:val="002C256A"/>
    <w:rsid w:val="002C7219"/>
    <w:rsid w:val="002D2008"/>
    <w:rsid w:val="002F4DBD"/>
    <w:rsid w:val="00305A7F"/>
    <w:rsid w:val="003127F1"/>
    <w:rsid w:val="003152FE"/>
    <w:rsid w:val="003246FD"/>
    <w:rsid w:val="00327436"/>
    <w:rsid w:val="00344BD6"/>
    <w:rsid w:val="0035528D"/>
    <w:rsid w:val="00361821"/>
    <w:rsid w:val="003660DC"/>
    <w:rsid w:val="003A17CB"/>
    <w:rsid w:val="003D0676"/>
    <w:rsid w:val="003D227C"/>
    <w:rsid w:val="003D2B4D"/>
    <w:rsid w:val="004411AD"/>
    <w:rsid w:val="00444A88"/>
    <w:rsid w:val="004574BE"/>
    <w:rsid w:val="00464127"/>
    <w:rsid w:val="00474DA4"/>
    <w:rsid w:val="00476B4D"/>
    <w:rsid w:val="004805FA"/>
    <w:rsid w:val="00481F95"/>
    <w:rsid w:val="004935D2"/>
    <w:rsid w:val="00497FC6"/>
    <w:rsid w:val="004A0210"/>
    <w:rsid w:val="004B1215"/>
    <w:rsid w:val="004D047D"/>
    <w:rsid w:val="004F305A"/>
    <w:rsid w:val="00510FD3"/>
    <w:rsid w:val="00512164"/>
    <w:rsid w:val="00516D06"/>
    <w:rsid w:val="00520297"/>
    <w:rsid w:val="005338F9"/>
    <w:rsid w:val="0054054C"/>
    <w:rsid w:val="005411D3"/>
    <w:rsid w:val="0054281C"/>
    <w:rsid w:val="00544581"/>
    <w:rsid w:val="0055268D"/>
    <w:rsid w:val="00575EB2"/>
    <w:rsid w:val="00576BE4"/>
    <w:rsid w:val="00592F19"/>
    <w:rsid w:val="005A400A"/>
    <w:rsid w:val="005C59AF"/>
    <w:rsid w:val="005F76DA"/>
    <w:rsid w:val="00612379"/>
    <w:rsid w:val="0061555F"/>
    <w:rsid w:val="0063052B"/>
    <w:rsid w:val="00641200"/>
    <w:rsid w:val="00647E69"/>
    <w:rsid w:val="006655D3"/>
    <w:rsid w:val="00667404"/>
    <w:rsid w:val="00687EB4"/>
    <w:rsid w:val="006A75AF"/>
    <w:rsid w:val="006B17D2"/>
    <w:rsid w:val="006C224E"/>
    <w:rsid w:val="006D780A"/>
    <w:rsid w:val="006E18BE"/>
    <w:rsid w:val="007070E2"/>
    <w:rsid w:val="00707F65"/>
    <w:rsid w:val="00717B4C"/>
    <w:rsid w:val="00732DEC"/>
    <w:rsid w:val="00735BD5"/>
    <w:rsid w:val="007556F6"/>
    <w:rsid w:val="00760EEF"/>
    <w:rsid w:val="0076764D"/>
    <w:rsid w:val="0077406A"/>
    <w:rsid w:val="00776AB1"/>
    <w:rsid w:val="00777EE5"/>
    <w:rsid w:val="00784836"/>
    <w:rsid w:val="0079023E"/>
    <w:rsid w:val="007A2854"/>
    <w:rsid w:val="007C1582"/>
    <w:rsid w:val="007C2D17"/>
    <w:rsid w:val="007D0B9D"/>
    <w:rsid w:val="007D19B0"/>
    <w:rsid w:val="007D6DD1"/>
    <w:rsid w:val="007E1925"/>
    <w:rsid w:val="007E411C"/>
    <w:rsid w:val="007F498F"/>
    <w:rsid w:val="007F6BFC"/>
    <w:rsid w:val="0080679D"/>
    <w:rsid w:val="00807573"/>
    <w:rsid w:val="008108B0"/>
    <w:rsid w:val="00811B20"/>
    <w:rsid w:val="0082296E"/>
    <w:rsid w:val="00824099"/>
    <w:rsid w:val="00846D7C"/>
    <w:rsid w:val="00857963"/>
    <w:rsid w:val="00867AC1"/>
    <w:rsid w:val="008A743F"/>
    <w:rsid w:val="008C0970"/>
    <w:rsid w:val="008D0BC5"/>
    <w:rsid w:val="008D2CF7"/>
    <w:rsid w:val="00900C26"/>
    <w:rsid w:val="0090197F"/>
    <w:rsid w:val="00906DDC"/>
    <w:rsid w:val="00911D0B"/>
    <w:rsid w:val="00934E09"/>
    <w:rsid w:val="00936253"/>
    <w:rsid w:val="00950B80"/>
    <w:rsid w:val="00952708"/>
    <w:rsid w:val="009529B3"/>
    <w:rsid w:val="00952DD4"/>
    <w:rsid w:val="00970FED"/>
    <w:rsid w:val="00992D82"/>
    <w:rsid w:val="00997029"/>
    <w:rsid w:val="009B40EE"/>
    <w:rsid w:val="009B440E"/>
    <w:rsid w:val="009B6C32"/>
    <w:rsid w:val="009D37E6"/>
    <w:rsid w:val="009D690D"/>
    <w:rsid w:val="009E65B6"/>
    <w:rsid w:val="009F2133"/>
    <w:rsid w:val="00A24C10"/>
    <w:rsid w:val="00A35EC0"/>
    <w:rsid w:val="00A42AC3"/>
    <w:rsid w:val="00A430CF"/>
    <w:rsid w:val="00A54309"/>
    <w:rsid w:val="00A71F9D"/>
    <w:rsid w:val="00AB2B93"/>
    <w:rsid w:val="00AB530F"/>
    <w:rsid w:val="00AB6606"/>
    <w:rsid w:val="00AB69DD"/>
    <w:rsid w:val="00AB7E5B"/>
    <w:rsid w:val="00AE0EF1"/>
    <w:rsid w:val="00AE2937"/>
    <w:rsid w:val="00B02D38"/>
    <w:rsid w:val="00B06D6F"/>
    <w:rsid w:val="00B07301"/>
    <w:rsid w:val="00B224DE"/>
    <w:rsid w:val="00B324D4"/>
    <w:rsid w:val="00B35469"/>
    <w:rsid w:val="00B46575"/>
    <w:rsid w:val="00B51FE6"/>
    <w:rsid w:val="00B84BBD"/>
    <w:rsid w:val="00BA43FB"/>
    <w:rsid w:val="00BB2A71"/>
    <w:rsid w:val="00BC127D"/>
    <w:rsid w:val="00BC1FE6"/>
    <w:rsid w:val="00C061B6"/>
    <w:rsid w:val="00C223E2"/>
    <w:rsid w:val="00C2446C"/>
    <w:rsid w:val="00C3013D"/>
    <w:rsid w:val="00C36AE5"/>
    <w:rsid w:val="00C41F17"/>
    <w:rsid w:val="00C5280D"/>
    <w:rsid w:val="00C5791C"/>
    <w:rsid w:val="00C66290"/>
    <w:rsid w:val="00C713F4"/>
    <w:rsid w:val="00C72B7A"/>
    <w:rsid w:val="00C973F2"/>
    <w:rsid w:val="00CA304C"/>
    <w:rsid w:val="00CA774A"/>
    <w:rsid w:val="00CA7C5C"/>
    <w:rsid w:val="00CB171C"/>
    <w:rsid w:val="00CC11B0"/>
    <w:rsid w:val="00CE2130"/>
    <w:rsid w:val="00CF0215"/>
    <w:rsid w:val="00CF7BFD"/>
    <w:rsid w:val="00CF7E36"/>
    <w:rsid w:val="00D338BD"/>
    <w:rsid w:val="00D35138"/>
    <w:rsid w:val="00D3708D"/>
    <w:rsid w:val="00D40426"/>
    <w:rsid w:val="00D56B2B"/>
    <w:rsid w:val="00D57C96"/>
    <w:rsid w:val="00D6019C"/>
    <w:rsid w:val="00D821B9"/>
    <w:rsid w:val="00D91203"/>
    <w:rsid w:val="00D95174"/>
    <w:rsid w:val="00DA6F36"/>
    <w:rsid w:val="00DB596E"/>
    <w:rsid w:val="00DB7773"/>
    <w:rsid w:val="00DC00EA"/>
    <w:rsid w:val="00DF2367"/>
    <w:rsid w:val="00E06750"/>
    <w:rsid w:val="00E32F7E"/>
    <w:rsid w:val="00E354D9"/>
    <w:rsid w:val="00E42331"/>
    <w:rsid w:val="00E72D49"/>
    <w:rsid w:val="00E7593C"/>
    <w:rsid w:val="00E7678A"/>
    <w:rsid w:val="00E935F1"/>
    <w:rsid w:val="00E94A81"/>
    <w:rsid w:val="00E95EBA"/>
    <w:rsid w:val="00EA1FFB"/>
    <w:rsid w:val="00EA4629"/>
    <w:rsid w:val="00EB048E"/>
    <w:rsid w:val="00EB3108"/>
    <w:rsid w:val="00EB55E5"/>
    <w:rsid w:val="00EE34DF"/>
    <w:rsid w:val="00EF2F89"/>
    <w:rsid w:val="00EF6C2A"/>
    <w:rsid w:val="00F1237A"/>
    <w:rsid w:val="00F16523"/>
    <w:rsid w:val="00F22CBD"/>
    <w:rsid w:val="00F45372"/>
    <w:rsid w:val="00F560F7"/>
    <w:rsid w:val="00F6334D"/>
    <w:rsid w:val="00F907D4"/>
    <w:rsid w:val="00F93DF8"/>
    <w:rsid w:val="00FA49AB"/>
    <w:rsid w:val="00FE39C7"/>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02D38"/>
    <w:rPr>
      <w:rFonts w:ascii="Arial" w:hAnsi="Arial"/>
      <w:u w:val="single"/>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77406A"/>
    <w:pPr>
      <w:spacing w:after="120" w:line="480" w:lineRule="auto"/>
    </w:pPr>
  </w:style>
  <w:style w:type="character" w:customStyle="1" w:styleId="BodyText2Char">
    <w:name w:val="Body Text 2 Char"/>
    <w:basedOn w:val="DefaultParagraphFont"/>
    <w:link w:val="BodyText2"/>
    <w:rsid w:val="0077406A"/>
    <w:rPr>
      <w:rFonts w:ascii="Arial" w:hAnsi="Arial"/>
    </w:rPr>
  </w:style>
  <w:style w:type="character" w:customStyle="1" w:styleId="f21">
    <w:name w:val="f21"/>
    <w:basedOn w:val="DefaultParagraphFont"/>
    <w:rsid w:val="00592F19"/>
    <w:rPr>
      <w:rFonts w:ascii="Times New Roman" w:hAnsi="Times New Roman" w:cs="Times New Roman" w:hint="default"/>
      <w:color w:val="000000"/>
      <w:sz w:val="24"/>
      <w:szCs w:val="24"/>
    </w:rPr>
  </w:style>
  <w:style w:type="paragraph" w:customStyle="1" w:styleId="decpara">
    <w:name w:val="dec_para"/>
    <w:basedOn w:val="DecisionParagraphs"/>
    <w:link w:val="decparaChar"/>
    <w:qFormat/>
    <w:rsid w:val="0076764D"/>
    <w:rPr>
      <w:snapToGrid w:val="0"/>
    </w:rPr>
  </w:style>
  <w:style w:type="character" w:customStyle="1" w:styleId="decparaChar">
    <w:name w:val="dec_para Char"/>
    <w:basedOn w:val="DecisionParagraphsChar"/>
    <w:link w:val="decpara"/>
    <w:rsid w:val="0076764D"/>
    <w:rPr>
      <w:rFonts w:ascii="Arial" w:hAnsi="Arial"/>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02D38"/>
    <w:rPr>
      <w:rFonts w:ascii="Arial" w:hAnsi="Arial"/>
      <w:u w:val="single"/>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77406A"/>
    <w:pPr>
      <w:spacing w:after="120" w:line="480" w:lineRule="auto"/>
    </w:pPr>
  </w:style>
  <w:style w:type="character" w:customStyle="1" w:styleId="BodyText2Char">
    <w:name w:val="Body Text 2 Char"/>
    <w:basedOn w:val="DefaultParagraphFont"/>
    <w:link w:val="BodyText2"/>
    <w:rsid w:val="0077406A"/>
    <w:rPr>
      <w:rFonts w:ascii="Arial" w:hAnsi="Arial"/>
    </w:rPr>
  </w:style>
  <w:style w:type="character" w:customStyle="1" w:styleId="f21">
    <w:name w:val="f21"/>
    <w:basedOn w:val="DefaultParagraphFont"/>
    <w:rsid w:val="00592F19"/>
    <w:rPr>
      <w:rFonts w:ascii="Times New Roman" w:hAnsi="Times New Roman" w:cs="Times New Roman" w:hint="default"/>
      <w:color w:val="000000"/>
      <w:sz w:val="24"/>
      <w:szCs w:val="24"/>
    </w:rPr>
  </w:style>
  <w:style w:type="paragraph" w:customStyle="1" w:styleId="decpara">
    <w:name w:val="dec_para"/>
    <w:basedOn w:val="DecisionParagraphs"/>
    <w:link w:val="decparaChar"/>
    <w:qFormat/>
    <w:rsid w:val="0076764D"/>
    <w:rPr>
      <w:snapToGrid w:val="0"/>
    </w:rPr>
  </w:style>
  <w:style w:type="character" w:customStyle="1" w:styleId="decparaChar">
    <w:name w:val="dec_para Char"/>
    <w:basedOn w:val="DecisionParagraphsChar"/>
    <w:link w:val="decpara"/>
    <w:rsid w:val="0076764D"/>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6943">
      <w:bodyDiv w:val="1"/>
      <w:marLeft w:val="0"/>
      <w:marRight w:val="0"/>
      <w:marTop w:val="0"/>
      <w:marBottom w:val="0"/>
      <w:divBdr>
        <w:top w:val="none" w:sz="0" w:space="0" w:color="auto"/>
        <w:left w:val="none" w:sz="0" w:space="0" w:color="auto"/>
        <w:bottom w:val="none" w:sz="0" w:space="0" w:color="auto"/>
        <w:right w:val="none" w:sz="0" w:space="0" w:color="auto"/>
      </w:divBdr>
      <w:divsChild>
        <w:div w:id="359090547">
          <w:marLeft w:val="0"/>
          <w:marRight w:val="0"/>
          <w:marTop w:val="0"/>
          <w:marBottom w:val="0"/>
          <w:divBdr>
            <w:top w:val="none" w:sz="0" w:space="0" w:color="auto"/>
            <w:left w:val="none" w:sz="0" w:space="0" w:color="auto"/>
            <w:bottom w:val="none" w:sz="0" w:space="0" w:color="auto"/>
            <w:right w:val="none" w:sz="0" w:space="0" w:color="auto"/>
          </w:divBdr>
        </w:div>
        <w:div w:id="1860394266">
          <w:marLeft w:val="0"/>
          <w:marRight w:val="0"/>
          <w:marTop w:val="0"/>
          <w:marBottom w:val="0"/>
          <w:divBdr>
            <w:top w:val="none" w:sz="0" w:space="0" w:color="auto"/>
            <w:left w:val="none" w:sz="0" w:space="0" w:color="auto"/>
            <w:bottom w:val="none" w:sz="0" w:space="0" w:color="auto"/>
            <w:right w:val="none" w:sz="0" w:space="0" w:color="auto"/>
          </w:divBdr>
        </w:div>
        <w:div w:id="1561863102">
          <w:marLeft w:val="0"/>
          <w:marRight w:val="0"/>
          <w:marTop w:val="0"/>
          <w:marBottom w:val="0"/>
          <w:divBdr>
            <w:top w:val="none" w:sz="0" w:space="0" w:color="auto"/>
            <w:left w:val="none" w:sz="0" w:space="0" w:color="auto"/>
            <w:bottom w:val="none" w:sz="0" w:space="0" w:color="auto"/>
            <w:right w:val="none" w:sz="0" w:space="0" w:color="auto"/>
          </w:divBdr>
        </w:div>
        <w:div w:id="964117249">
          <w:marLeft w:val="0"/>
          <w:marRight w:val="0"/>
          <w:marTop w:val="0"/>
          <w:marBottom w:val="0"/>
          <w:divBdr>
            <w:top w:val="none" w:sz="0" w:space="0" w:color="auto"/>
            <w:left w:val="none" w:sz="0" w:space="0" w:color="auto"/>
            <w:bottom w:val="none" w:sz="0" w:space="0" w:color="auto"/>
            <w:right w:val="none" w:sz="0" w:space="0" w:color="auto"/>
          </w:divBdr>
        </w:div>
        <w:div w:id="288971502">
          <w:marLeft w:val="0"/>
          <w:marRight w:val="0"/>
          <w:marTop w:val="0"/>
          <w:marBottom w:val="0"/>
          <w:divBdr>
            <w:top w:val="none" w:sz="0" w:space="0" w:color="auto"/>
            <w:left w:val="none" w:sz="0" w:space="0" w:color="auto"/>
            <w:bottom w:val="none" w:sz="0" w:space="0" w:color="auto"/>
            <w:right w:val="none" w:sz="0" w:space="0" w:color="auto"/>
          </w:divBdr>
        </w:div>
        <w:div w:id="52314516">
          <w:marLeft w:val="0"/>
          <w:marRight w:val="0"/>
          <w:marTop w:val="0"/>
          <w:marBottom w:val="0"/>
          <w:divBdr>
            <w:top w:val="none" w:sz="0" w:space="0" w:color="auto"/>
            <w:left w:val="none" w:sz="0" w:space="0" w:color="auto"/>
            <w:bottom w:val="none" w:sz="0" w:space="0" w:color="auto"/>
            <w:right w:val="none" w:sz="0" w:space="0" w:color="auto"/>
          </w:divBdr>
        </w:div>
        <w:div w:id="1825662660">
          <w:marLeft w:val="0"/>
          <w:marRight w:val="0"/>
          <w:marTop w:val="0"/>
          <w:marBottom w:val="0"/>
          <w:divBdr>
            <w:top w:val="none" w:sz="0" w:space="0" w:color="auto"/>
            <w:left w:val="none" w:sz="0" w:space="0" w:color="auto"/>
            <w:bottom w:val="none" w:sz="0" w:space="0" w:color="auto"/>
            <w:right w:val="none" w:sz="0" w:space="0" w:color="auto"/>
          </w:divBdr>
        </w:div>
        <w:div w:id="99373175">
          <w:marLeft w:val="0"/>
          <w:marRight w:val="0"/>
          <w:marTop w:val="0"/>
          <w:marBottom w:val="0"/>
          <w:divBdr>
            <w:top w:val="none" w:sz="0" w:space="0" w:color="auto"/>
            <w:left w:val="none" w:sz="0" w:space="0" w:color="auto"/>
            <w:bottom w:val="none" w:sz="0" w:space="0" w:color="auto"/>
            <w:right w:val="none" w:sz="0" w:space="0" w:color="auto"/>
          </w:divBdr>
        </w:div>
        <w:div w:id="314574296">
          <w:marLeft w:val="0"/>
          <w:marRight w:val="0"/>
          <w:marTop w:val="0"/>
          <w:marBottom w:val="0"/>
          <w:divBdr>
            <w:top w:val="none" w:sz="0" w:space="0" w:color="auto"/>
            <w:left w:val="none" w:sz="0" w:space="0" w:color="auto"/>
            <w:bottom w:val="none" w:sz="0" w:space="0" w:color="auto"/>
            <w:right w:val="none" w:sz="0" w:space="0" w:color="auto"/>
          </w:divBdr>
        </w:div>
        <w:div w:id="857888305">
          <w:marLeft w:val="0"/>
          <w:marRight w:val="0"/>
          <w:marTop w:val="0"/>
          <w:marBottom w:val="0"/>
          <w:divBdr>
            <w:top w:val="none" w:sz="0" w:space="0" w:color="auto"/>
            <w:left w:val="none" w:sz="0" w:space="0" w:color="auto"/>
            <w:bottom w:val="none" w:sz="0" w:space="0" w:color="auto"/>
            <w:right w:val="none" w:sz="0" w:space="0" w:color="auto"/>
          </w:divBdr>
        </w:div>
        <w:div w:id="913927770">
          <w:marLeft w:val="0"/>
          <w:marRight w:val="0"/>
          <w:marTop w:val="0"/>
          <w:marBottom w:val="0"/>
          <w:divBdr>
            <w:top w:val="none" w:sz="0" w:space="0" w:color="auto"/>
            <w:left w:val="none" w:sz="0" w:space="0" w:color="auto"/>
            <w:bottom w:val="none" w:sz="0" w:space="0" w:color="auto"/>
            <w:right w:val="none" w:sz="0" w:space="0" w:color="auto"/>
          </w:divBdr>
        </w:div>
        <w:div w:id="253326679">
          <w:marLeft w:val="0"/>
          <w:marRight w:val="0"/>
          <w:marTop w:val="0"/>
          <w:marBottom w:val="0"/>
          <w:divBdr>
            <w:top w:val="none" w:sz="0" w:space="0" w:color="auto"/>
            <w:left w:val="none" w:sz="0" w:space="0" w:color="auto"/>
            <w:bottom w:val="none" w:sz="0" w:space="0" w:color="auto"/>
            <w:right w:val="none" w:sz="0" w:space="0" w:color="auto"/>
          </w:divBdr>
        </w:div>
        <w:div w:id="863322241">
          <w:marLeft w:val="0"/>
          <w:marRight w:val="0"/>
          <w:marTop w:val="0"/>
          <w:marBottom w:val="0"/>
          <w:divBdr>
            <w:top w:val="none" w:sz="0" w:space="0" w:color="auto"/>
            <w:left w:val="none" w:sz="0" w:space="0" w:color="auto"/>
            <w:bottom w:val="none" w:sz="0" w:space="0" w:color="auto"/>
            <w:right w:val="none" w:sz="0" w:space="0" w:color="auto"/>
          </w:divBdr>
        </w:div>
      </w:divsChild>
    </w:div>
    <w:div w:id="751850102">
      <w:bodyDiv w:val="1"/>
      <w:marLeft w:val="0"/>
      <w:marRight w:val="0"/>
      <w:marTop w:val="0"/>
      <w:marBottom w:val="0"/>
      <w:divBdr>
        <w:top w:val="none" w:sz="0" w:space="0" w:color="auto"/>
        <w:left w:val="none" w:sz="0" w:space="0" w:color="auto"/>
        <w:bottom w:val="none" w:sz="0" w:space="0" w:color="auto"/>
        <w:right w:val="none" w:sz="0" w:space="0" w:color="auto"/>
      </w:divBdr>
    </w:div>
    <w:div w:id="950893683">
      <w:bodyDiv w:val="1"/>
      <w:marLeft w:val="0"/>
      <w:marRight w:val="0"/>
      <w:marTop w:val="0"/>
      <w:marBottom w:val="0"/>
      <w:divBdr>
        <w:top w:val="none" w:sz="0" w:space="0" w:color="auto"/>
        <w:left w:val="none" w:sz="0" w:space="0" w:color="auto"/>
        <w:bottom w:val="none" w:sz="0" w:space="0" w:color="auto"/>
        <w:right w:val="none" w:sz="0" w:space="0" w:color="auto"/>
      </w:divBdr>
    </w:div>
    <w:div w:id="1358313474">
      <w:bodyDiv w:val="1"/>
      <w:marLeft w:val="0"/>
      <w:marRight w:val="0"/>
      <w:marTop w:val="0"/>
      <w:marBottom w:val="0"/>
      <w:divBdr>
        <w:top w:val="none" w:sz="0" w:space="0" w:color="auto"/>
        <w:left w:val="none" w:sz="0" w:space="0" w:color="auto"/>
        <w:bottom w:val="none" w:sz="0" w:space="0" w:color="auto"/>
        <w:right w:val="none" w:sz="0" w:space="0" w:color="auto"/>
      </w:divBdr>
    </w:div>
    <w:div w:id="203430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resource/de/traini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mbers/de/pvp_offic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upov_collectio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7D97-9762-4A3B-BD92-54C8A39D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252</TotalTime>
  <Pages>9</Pages>
  <Words>4028</Words>
  <Characters>22964</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28</cp:revision>
  <cp:lastPrinted>2016-03-03T08:48:00Z</cp:lastPrinted>
  <dcterms:created xsi:type="dcterms:W3CDTF">2016-02-23T17:18:00Z</dcterms:created>
  <dcterms:modified xsi:type="dcterms:W3CDTF">2016-03-03T08:48:00Z</dcterms:modified>
</cp:coreProperties>
</file>