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1036A0" w:rsidTr="00C27491">
        <w:trPr>
          <w:trHeight w:val="1760"/>
        </w:trPr>
        <w:tc>
          <w:tcPr>
            <w:tcW w:w="4243" w:type="dxa"/>
          </w:tcPr>
          <w:p w:rsidR="000D7780" w:rsidRPr="00C27491" w:rsidRDefault="000D7780" w:rsidP="00F45372">
            <w:pPr>
              <w:rPr>
                <w:lang w:val="de-DE"/>
              </w:rPr>
            </w:pPr>
          </w:p>
        </w:tc>
        <w:tc>
          <w:tcPr>
            <w:tcW w:w="1646" w:type="dxa"/>
            <w:vAlign w:val="center"/>
          </w:tcPr>
          <w:p w:rsidR="000D7780" w:rsidRPr="00C27491" w:rsidRDefault="00811713" w:rsidP="00F45372">
            <w:pPr>
              <w:pStyle w:val="LogoUPOV"/>
              <w:rPr>
                <w:lang w:val="de-DE"/>
              </w:rPr>
            </w:pPr>
            <w:r>
              <w:rPr>
                <w:noProof/>
              </w:rPr>
              <w:drawing>
                <wp:inline distT="0" distB="0" distL="0" distR="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27491" w:rsidRDefault="00C27491" w:rsidP="00F45372">
            <w:pPr>
              <w:pStyle w:val="Lettrine"/>
              <w:rPr>
                <w:lang w:val="de-DE"/>
              </w:rPr>
            </w:pPr>
            <w:r w:rsidRPr="00C27491">
              <w:rPr>
                <w:lang w:val="de-DE"/>
              </w:rPr>
              <w:t>G</w:t>
            </w:r>
          </w:p>
          <w:p w:rsidR="000D7780" w:rsidRPr="00C27491" w:rsidRDefault="00A34364" w:rsidP="00F45372">
            <w:pPr>
              <w:pStyle w:val="Docoriginal"/>
              <w:rPr>
                <w:lang w:val="de-DE"/>
              </w:rPr>
            </w:pPr>
            <w:r>
              <w:rPr>
                <w:lang w:val="de-DE"/>
              </w:rPr>
              <w:t>TC/</w:t>
            </w:r>
            <w:r w:rsidR="00400114">
              <w:rPr>
                <w:lang w:val="de-DE"/>
              </w:rPr>
              <w:t>5</w:t>
            </w:r>
            <w:r w:rsidR="00683710">
              <w:rPr>
                <w:lang w:val="de-DE"/>
              </w:rPr>
              <w:t>1</w:t>
            </w:r>
            <w:r>
              <w:rPr>
                <w:lang w:val="de-DE"/>
              </w:rPr>
              <w:t>/</w:t>
            </w:r>
            <w:bookmarkStart w:id="0" w:name="Code"/>
            <w:bookmarkEnd w:id="0"/>
            <w:r w:rsidR="001036A0">
              <w:rPr>
                <w:lang w:val="de-DE"/>
              </w:rPr>
              <w:t>9</w:t>
            </w:r>
          </w:p>
          <w:p w:rsidR="000D7780" w:rsidRPr="00C27491" w:rsidRDefault="0061555F" w:rsidP="00F45372">
            <w:pPr>
              <w:pStyle w:val="Docoriginal"/>
              <w:rPr>
                <w:b w:val="0"/>
                <w:spacing w:val="0"/>
                <w:lang w:val="de-DE"/>
              </w:rPr>
            </w:pPr>
            <w:r w:rsidRPr="00C27491">
              <w:rPr>
                <w:rStyle w:val="StyleDoclangBold"/>
                <w:b/>
                <w:bCs/>
                <w:spacing w:val="0"/>
                <w:lang w:val="de-DE"/>
              </w:rPr>
              <w:t>ORIGINAL</w:t>
            </w:r>
            <w:r w:rsidR="000D7780" w:rsidRPr="00C27491">
              <w:rPr>
                <w:rStyle w:val="StyleDoclangBold"/>
                <w:b/>
                <w:bCs/>
                <w:spacing w:val="0"/>
                <w:lang w:val="de-DE"/>
              </w:rPr>
              <w:t>:</w:t>
            </w:r>
            <w:r w:rsidRPr="00C27491">
              <w:rPr>
                <w:rStyle w:val="StyleDocoriginalNotBold1"/>
                <w:spacing w:val="0"/>
                <w:lang w:val="de-DE"/>
              </w:rPr>
              <w:t xml:space="preserve"> </w:t>
            </w:r>
            <w:bookmarkStart w:id="1" w:name="Original"/>
            <w:bookmarkEnd w:id="1"/>
            <w:r w:rsidR="00C27491" w:rsidRPr="00C27491">
              <w:rPr>
                <w:b w:val="0"/>
                <w:spacing w:val="0"/>
                <w:lang w:val="de-DE"/>
              </w:rPr>
              <w:t>e</w:t>
            </w:r>
            <w:r w:rsidR="0024416D" w:rsidRPr="00C27491">
              <w:rPr>
                <w:b w:val="0"/>
                <w:spacing w:val="0"/>
                <w:lang w:val="de-DE"/>
              </w:rPr>
              <w:t>nglis</w:t>
            </w:r>
            <w:r w:rsidR="00C27491" w:rsidRPr="00C27491">
              <w:rPr>
                <w:b w:val="0"/>
                <w:spacing w:val="0"/>
                <w:lang w:val="de-DE"/>
              </w:rPr>
              <w:t>c</w:t>
            </w:r>
            <w:r w:rsidR="0024416D" w:rsidRPr="00C27491">
              <w:rPr>
                <w:b w:val="0"/>
                <w:spacing w:val="0"/>
                <w:lang w:val="de-DE"/>
              </w:rPr>
              <w:t>h</w:t>
            </w:r>
          </w:p>
          <w:p w:rsidR="000D7780" w:rsidRPr="00C27491" w:rsidRDefault="00A34364" w:rsidP="001036A0">
            <w:pPr>
              <w:pStyle w:val="Docoriginal"/>
              <w:rPr>
                <w:lang w:val="de-DE"/>
              </w:rPr>
            </w:pPr>
            <w:r>
              <w:rPr>
                <w:spacing w:val="0"/>
                <w:lang w:val="de-DE"/>
              </w:rPr>
              <w:t>DATUM</w:t>
            </w:r>
            <w:r w:rsidR="000D7780" w:rsidRPr="00C27491">
              <w:rPr>
                <w:spacing w:val="0"/>
                <w:lang w:val="de-DE"/>
              </w:rPr>
              <w:t>:</w:t>
            </w:r>
            <w:r w:rsidR="0061555F" w:rsidRPr="00C27491">
              <w:rPr>
                <w:b w:val="0"/>
                <w:spacing w:val="0"/>
                <w:lang w:val="de-DE"/>
              </w:rPr>
              <w:t xml:space="preserve"> </w:t>
            </w:r>
            <w:bookmarkStart w:id="2" w:name="Date"/>
            <w:bookmarkEnd w:id="2"/>
            <w:r w:rsidR="001036A0">
              <w:rPr>
                <w:b w:val="0"/>
                <w:spacing w:val="0"/>
                <w:lang w:val="de-DE"/>
              </w:rPr>
              <w:t>24. Februar 2015</w:t>
            </w:r>
          </w:p>
        </w:tc>
      </w:tr>
      <w:tr w:rsidR="000D7780" w:rsidRPr="002C34C9" w:rsidTr="00C27491">
        <w:tc>
          <w:tcPr>
            <w:tcW w:w="10131" w:type="dxa"/>
            <w:gridSpan w:val="3"/>
          </w:tcPr>
          <w:p w:rsidR="000D7780" w:rsidRPr="00C27491" w:rsidRDefault="00C27491" w:rsidP="00F45372">
            <w:pPr>
              <w:pStyle w:val="upove"/>
              <w:rPr>
                <w:sz w:val="28"/>
                <w:lang w:val="de-DE"/>
              </w:rPr>
            </w:pPr>
            <w:r w:rsidRPr="00C27491">
              <w:rPr>
                <w:snapToGrid w:val="0"/>
                <w:spacing w:val="10"/>
                <w:lang w:val="de-DE"/>
              </w:rPr>
              <w:t>INTERNATIONALER VERBAND ZUM SCHUTZ VON PFLANZENZÜCHTUNGEN</w:t>
            </w:r>
            <w:r w:rsidR="0024416D" w:rsidRPr="00C27491">
              <w:rPr>
                <w:snapToGrid w:val="0"/>
                <w:lang w:val="de-DE"/>
              </w:rPr>
              <w:t xml:space="preserve"> </w:t>
            </w:r>
          </w:p>
        </w:tc>
      </w:tr>
      <w:tr w:rsidR="000D7780" w:rsidRPr="001036A0" w:rsidTr="00C27491">
        <w:tc>
          <w:tcPr>
            <w:tcW w:w="10131" w:type="dxa"/>
            <w:gridSpan w:val="3"/>
          </w:tcPr>
          <w:p w:rsidR="000D7780" w:rsidRPr="00C27491" w:rsidRDefault="00867AC1" w:rsidP="00F45372">
            <w:pPr>
              <w:pStyle w:val="Country"/>
              <w:rPr>
                <w:lang w:val="de-DE"/>
              </w:rPr>
            </w:pPr>
            <w:r w:rsidRPr="00C27491">
              <w:rPr>
                <w:lang w:val="de-DE"/>
              </w:rPr>
              <w:t>Gen</w:t>
            </w:r>
            <w:r w:rsidR="00C27491" w:rsidRPr="00C27491">
              <w:rPr>
                <w:lang w:val="de-DE"/>
              </w:rPr>
              <w:t>f</w:t>
            </w:r>
          </w:p>
        </w:tc>
      </w:tr>
    </w:tbl>
    <w:p w:rsidR="000D7780" w:rsidRPr="00C27491" w:rsidRDefault="00C27491" w:rsidP="00F45372">
      <w:pPr>
        <w:pStyle w:val="Sessiontc"/>
        <w:rPr>
          <w:lang w:val="de-DE"/>
        </w:rPr>
      </w:pPr>
      <w:r w:rsidRPr="00C27491">
        <w:rPr>
          <w:lang w:val="de-DE"/>
        </w:rPr>
        <w:t>TECHNISCHER AUSSCHUSS</w:t>
      </w:r>
    </w:p>
    <w:p w:rsidR="00361821" w:rsidRPr="00C27491" w:rsidRDefault="00683710" w:rsidP="00F45372">
      <w:pPr>
        <w:pStyle w:val="Sessiontcplacedate"/>
        <w:rPr>
          <w:lang w:val="de-DE"/>
        </w:rPr>
      </w:pPr>
      <w:r>
        <w:rPr>
          <w:lang w:val="de-DE"/>
        </w:rPr>
        <w:t>Einundf</w:t>
      </w:r>
      <w:r w:rsidR="00054790" w:rsidRPr="00054790">
        <w:rPr>
          <w:lang w:val="de-DE"/>
        </w:rPr>
        <w:t>ünfzigste</w:t>
      </w:r>
      <w:r w:rsidR="00C27491" w:rsidRPr="00C27491">
        <w:rPr>
          <w:lang w:val="de-DE"/>
        </w:rPr>
        <w:t xml:space="preserve"> Tagung</w:t>
      </w:r>
      <w:r w:rsidR="00C27491" w:rsidRPr="00C27491">
        <w:rPr>
          <w:lang w:val="de-DE"/>
        </w:rPr>
        <w:br/>
        <w:t xml:space="preserve">Genf, </w:t>
      </w:r>
      <w:r>
        <w:rPr>
          <w:lang w:val="de-DE"/>
        </w:rPr>
        <w:t>23</w:t>
      </w:r>
      <w:r w:rsidR="00C27491" w:rsidRPr="00C27491">
        <w:rPr>
          <w:lang w:val="de-DE"/>
        </w:rPr>
        <w:t xml:space="preserve">. bis </w:t>
      </w:r>
      <w:r>
        <w:rPr>
          <w:lang w:val="de-DE"/>
        </w:rPr>
        <w:t>25</w:t>
      </w:r>
      <w:r w:rsidR="00C27491" w:rsidRPr="00C27491">
        <w:rPr>
          <w:lang w:val="de-DE"/>
        </w:rPr>
        <w:t xml:space="preserve">. </w:t>
      </w:r>
      <w:r>
        <w:rPr>
          <w:lang w:val="de-DE"/>
        </w:rPr>
        <w:t xml:space="preserve">März </w:t>
      </w:r>
      <w:r w:rsidR="00C27491" w:rsidRPr="00C27491">
        <w:rPr>
          <w:lang w:val="de-DE"/>
        </w:rPr>
        <w:t>201</w:t>
      </w:r>
      <w:r>
        <w:rPr>
          <w:lang w:val="de-DE"/>
        </w:rPr>
        <w:t>5</w:t>
      </w:r>
    </w:p>
    <w:p w:rsidR="001036A0" w:rsidRPr="00756093" w:rsidRDefault="001036A0" w:rsidP="001036A0">
      <w:pPr>
        <w:spacing w:before="600"/>
        <w:jc w:val="center"/>
        <w:rPr>
          <w:caps/>
          <w:lang w:val="de-DE" w:eastAsia="de-DE" w:bidi="de-DE"/>
        </w:rPr>
      </w:pPr>
      <w:bookmarkStart w:id="3" w:name="TitleOfDoc"/>
      <w:bookmarkStart w:id="4" w:name="Prepared"/>
      <w:bookmarkEnd w:id="3"/>
      <w:bookmarkEnd w:id="4"/>
      <w:r w:rsidRPr="00756093">
        <w:rPr>
          <w:caps/>
          <w:lang w:val="de-DE" w:eastAsia="de-DE" w:bidi="de-DE"/>
        </w:rPr>
        <w:t xml:space="preserve">Datenbanken für Sortenbeschreibungen </w:t>
      </w:r>
    </w:p>
    <w:p w:rsidR="00054790" w:rsidRPr="00C27491" w:rsidRDefault="00054790" w:rsidP="00054790">
      <w:pPr>
        <w:pStyle w:val="preparedby1"/>
        <w:rPr>
          <w:lang w:val="de-DE"/>
        </w:rPr>
      </w:pPr>
      <w:r w:rsidRPr="0062454D">
        <w:rPr>
          <w:lang w:val="de-DE"/>
        </w:rPr>
        <w:t>v</w:t>
      </w:r>
      <w:r w:rsidRPr="00C27491">
        <w:rPr>
          <w:lang w:val="de-DE"/>
        </w:rPr>
        <w:t xml:space="preserve">om </w:t>
      </w:r>
      <w:r w:rsidRPr="001036A0">
        <w:rPr>
          <w:lang w:val="de-DE"/>
        </w:rPr>
        <w:t>Verbandsbüro erstelltes Dokument</w:t>
      </w:r>
      <w:r>
        <w:rPr>
          <w:lang w:val="de-DE"/>
        </w:rPr>
        <w:br/>
      </w:r>
      <w:r>
        <w:rPr>
          <w:lang w:val="de-DE"/>
        </w:rPr>
        <w:br/>
      </w:r>
      <w:r w:rsidRPr="000D007F">
        <w:rPr>
          <w:color w:val="A6A6A6" w:themeColor="background1" w:themeShade="A6"/>
          <w:lang w:val="de-DE"/>
        </w:rPr>
        <w:t>Haftungsausschluß: dieses Dokument gibt nicht die Grundsätze oder eine Anleitung der UPOV wieder</w:t>
      </w:r>
    </w:p>
    <w:p w:rsidR="001036A0" w:rsidRPr="00756093" w:rsidRDefault="001036A0" w:rsidP="001036A0">
      <w:pPr>
        <w:rPr>
          <w:rFonts w:cs="Arial"/>
          <w:lang w:val="de-DE" w:eastAsia="de-DE" w:bidi="de-DE"/>
        </w:rPr>
      </w:pPr>
      <w:r w:rsidRPr="00756093">
        <w:rPr>
          <w:rFonts w:cs="Arial"/>
          <w:lang w:val="de-DE" w:eastAsia="de-DE" w:bidi="de-DE"/>
        </w:rPr>
        <w:fldChar w:fldCharType="begin"/>
      </w:r>
      <w:r w:rsidRPr="00756093">
        <w:rPr>
          <w:rFonts w:cs="Arial"/>
          <w:lang w:val="de-DE" w:eastAsia="de-DE" w:bidi="de-DE"/>
        </w:rPr>
        <w:instrText xml:space="preserve"> AUTONUM  </w:instrText>
      </w:r>
      <w:r w:rsidRPr="00756093">
        <w:rPr>
          <w:rFonts w:cs="Arial"/>
          <w:lang w:val="de-DE" w:eastAsia="de-DE" w:bidi="de-DE"/>
        </w:rPr>
        <w:fldChar w:fldCharType="end"/>
      </w:r>
      <w:r w:rsidRPr="00756093">
        <w:rPr>
          <w:lang w:val="de-DE" w:eastAsia="de-DE" w:bidi="de-DE"/>
        </w:rPr>
        <w:tab/>
      </w:r>
      <w:r w:rsidR="00CB1BE0">
        <w:rPr>
          <w:lang w:val="de-DE" w:eastAsia="de-DE" w:bidi="de-DE"/>
        </w:rPr>
        <w:t xml:space="preserve">Zweck des </w:t>
      </w:r>
      <w:r w:rsidRPr="00756093">
        <w:rPr>
          <w:lang w:val="de-DE" w:eastAsia="de-DE" w:bidi="de-DE"/>
        </w:rPr>
        <w:t>vorliegende</w:t>
      </w:r>
      <w:r w:rsidR="00CB1BE0">
        <w:rPr>
          <w:lang w:val="de-DE" w:eastAsia="de-DE" w:bidi="de-DE"/>
        </w:rPr>
        <w:t>n</w:t>
      </w:r>
      <w:r w:rsidRPr="00756093">
        <w:rPr>
          <w:lang w:val="de-DE" w:eastAsia="de-DE" w:bidi="de-DE"/>
        </w:rPr>
        <w:t xml:space="preserve"> Dokument</w:t>
      </w:r>
      <w:r w:rsidR="00CB1BE0">
        <w:rPr>
          <w:lang w:val="de-DE" w:eastAsia="de-DE" w:bidi="de-DE"/>
        </w:rPr>
        <w:t xml:space="preserve">s ist es, </w:t>
      </w:r>
      <w:r w:rsidRPr="00756093">
        <w:rPr>
          <w:lang w:val="de-DE" w:eastAsia="de-DE" w:bidi="de-DE"/>
        </w:rPr>
        <w:t xml:space="preserve">über die Entwicklungen </w:t>
      </w:r>
      <w:r w:rsidR="00815939">
        <w:rPr>
          <w:lang w:val="de-DE" w:eastAsia="de-DE" w:bidi="de-DE"/>
        </w:rPr>
        <w:t>betreffend</w:t>
      </w:r>
      <w:r w:rsidRPr="00756093">
        <w:rPr>
          <w:lang w:val="de-DE" w:eastAsia="de-DE" w:bidi="de-DE"/>
        </w:rPr>
        <w:t xml:space="preserve"> </w:t>
      </w:r>
      <w:r w:rsidRPr="00756093">
        <w:rPr>
          <w:snapToGrid w:val="0"/>
          <w:szCs w:val="24"/>
          <w:lang w:val="de-DE" w:eastAsia="de-DE" w:bidi="de-DE"/>
        </w:rPr>
        <w:t>Datenbanken für Sortenbeschreibungen</w:t>
      </w:r>
      <w:r w:rsidR="00CB1BE0">
        <w:rPr>
          <w:snapToGrid w:val="0"/>
          <w:szCs w:val="24"/>
          <w:lang w:val="de-DE" w:eastAsia="de-DE" w:bidi="de-DE"/>
        </w:rPr>
        <w:t xml:space="preserve"> seit der fünfzigsten Tagung des Technischen Ausschusses (TC) zu berichten</w:t>
      </w:r>
      <w:r w:rsidRPr="00756093">
        <w:rPr>
          <w:lang w:val="de-DE" w:eastAsia="de-DE" w:bidi="de-DE"/>
        </w:rPr>
        <w:t>.</w:t>
      </w:r>
    </w:p>
    <w:p w:rsidR="001036A0" w:rsidRPr="00756093" w:rsidRDefault="001036A0" w:rsidP="001036A0">
      <w:pPr>
        <w:rPr>
          <w:rFonts w:cs="Arial"/>
          <w:lang w:val="de-DE" w:eastAsia="de-DE" w:bidi="de-DE"/>
        </w:rPr>
      </w:pPr>
    </w:p>
    <w:p w:rsidR="001036A0" w:rsidRPr="00756093" w:rsidRDefault="001036A0" w:rsidP="001036A0">
      <w:pPr>
        <w:rPr>
          <w:rFonts w:cs="Arial"/>
          <w:color w:val="000000"/>
          <w:lang w:val="de-DE" w:eastAsia="de-DE" w:bidi="de-DE"/>
        </w:rPr>
      </w:pPr>
      <w:r w:rsidRPr="00756093">
        <w:rPr>
          <w:rFonts w:cs="Arial"/>
          <w:color w:val="000000"/>
          <w:lang w:val="de-DE" w:eastAsia="de-DE" w:bidi="de-DE"/>
        </w:rPr>
        <w:fldChar w:fldCharType="begin"/>
      </w:r>
      <w:r w:rsidRPr="00756093">
        <w:rPr>
          <w:rFonts w:cs="Arial"/>
          <w:color w:val="000000"/>
          <w:lang w:val="de-DE" w:eastAsia="de-DE" w:bidi="de-DE"/>
        </w:rPr>
        <w:instrText xml:space="preserve"> AUTONUM  </w:instrText>
      </w:r>
      <w:r w:rsidRPr="00756093">
        <w:rPr>
          <w:rFonts w:cs="Arial"/>
          <w:color w:val="000000"/>
          <w:lang w:val="de-DE" w:eastAsia="de-DE" w:bidi="de-DE"/>
        </w:rPr>
        <w:fldChar w:fldCharType="end"/>
      </w:r>
      <w:r w:rsidRPr="00756093">
        <w:rPr>
          <w:lang w:val="de-DE" w:eastAsia="de-DE" w:bidi="de-DE"/>
        </w:rPr>
        <w:tab/>
      </w:r>
      <w:r w:rsidRPr="00756093">
        <w:rPr>
          <w:color w:val="000000"/>
          <w:lang w:val="de-DE" w:eastAsia="de-DE" w:bidi="de-DE"/>
        </w:rPr>
        <w:t>In diesem Dokument werden folgende Abkürzungen verwendet:</w:t>
      </w:r>
    </w:p>
    <w:p w:rsidR="001036A0" w:rsidRPr="00756093" w:rsidRDefault="001036A0" w:rsidP="001036A0">
      <w:pPr>
        <w:rPr>
          <w:rFonts w:cs="Arial"/>
          <w:color w:val="000000"/>
          <w:lang w:val="de-DE" w:eastAsia="de-DE" w:bidi="de-DE"/>
        </w:rPr>
      </w:pPr>
    </w:p>
    <w:p w:rsidR="001036A0" w:rsidRPr="00756093" w:rsidRDefault="001036A0" w:rsidP="001036A0">
      <w:pPr>
        <w:rPr>
          <w:rFonts w:cs="Arial"/>
          <w:lang w:val="de-DE" w:eastAsia="de-DE" w:bidi="de-DE"/>
        </w:rPr>
      </w:pPr>
      <w:r w:rsidRPr="00756093">
        <w:rPr>
          <w:lang w:val="de-DE" w:eastAsia="de-DE" w:bidi="de-DE"/>
        </w:rPr>
        <w:tab/>
        <w:t>TC:</w:t>
      </w:r>
      <w:r w:rsidRPr="00756093">
        <w:rPr>
          <w:lang w:val="de-DE" w:eastAsia="de-DE" w:bidi="de-DE"/>
        </w:rPr>
        <w:tab/>
      </w:r>
      <w:r w:rsidRPr="00756093">
        <w:rPr>
          <w:lang w:val="de-DE" w:eastAsia="de-DE" w:bidi="de-DE"/>
        </w:rPr>
        <w:tab/>
        <w:t>Technischer Ausschuß</w:t>
      </w:r>
    </w:p>
    <w:p w:rsidR="001036A0" w:rsidRPr="00756093" w:rsidRDefault="001036A0" w:rsidP="001036A0">
      <w:pPr>
        <w:rPr>
          <w:rFonts w:eastAsia="PMingLiU" w:cs="Arial"/>
          <w:lang w:val="de-DE" w:eastAsia="de-DE" w:bidi="de-DE"/>
        </w:rPr>
      </w:pPr>
      <w:r w:rsidRPr="00756093">
        <w:rPr>
          <w:lang w:val="de-DE" w:eastAsia="de-DE" w:bidi="de-DE"/>
        </w:rPr>
        <w:tab/>
        <w:t>TC-EDC:</w:t>
      </w:r>
      <w:r w:rsidRPr="00756093">
        <w:rPr>
          <w:lang w:val="de-DE" w:eastAsia="de-DE" w:bidi="de-DE"/>
        </w:rPr>
        <w:tab/>
        <w:t>Erweiterter Redaktionsausschuß</w:t>
      </w:r>
    </w:p>
    <w:p w:rsidR="001036A0" w:rsidRPr="00756093" w:rsidRDefault="001036A0" w:rsidP="001036A0">
      <w:pPr>
        <w:rPr>
          <w:rFonts w:eastAsia="PMingLiU" w:cs="Arial"/>
          <w:lang w:val="de-DE" w:eastAsia="de-DE" w:bidi="de-DE"/>
        </w:rPr>
      </w:pPr>
      <w:r w:rsidRPr="00756093">
        <w:rPr>
          <w:lang w:val="de-DE" w:eastAsia="de-DE" w:bidi="de-DE"/>
        </w:rPr>
        <w:tab/>
        <w:t>TWA:</w:t>
      </w:r>
      <w:r w:rsidRPr="00756093">
        <w:rPr>
          <w:lang w:val="de-DE" w:eastAsia="de-DE" w:bidi="de-DE"/>
        </w:rPr>
        <w:tab/>
      </w:r>
      <w:r w:rsidRPr="00756093">
        <w:rPr>
          <w:lang w:val="de-DE" w:eastAsia="de-DE" w:bidi="de-DE"/>
        </w:rPr>
        <w:tab/>
        <w:t>Technische Arbeitsgruppe für landwirtschaftliche Arten</w:t>
      </w:r>
    </w:p>
    <w:p w:rsidR="001036A0" w:rsidRPr="00756093" w:rsidRDefault="001036A0" w:rsidP="001036A0">
      <w:pPr>
        <w:rPr>
          <w:rFonts w:eastAsia="PMingLiU" w:cs="Arial"/>
          <w:lang w:val="de-DE" w:eastAsia="de-DE" w:bidi="de-DE"/>
        </w:rPr>
      </w:pPr>
      <w:r w:rsidRPr="00756093">
        <w:rPr>
          <w:lang w:val="de-DE" w:eastAsia="de-DE" w:bidi="de-DE"/>
        </w:rPr>
        <w:tab/>
        <w:t>TWC:</w:t>
      </w:r>
      <w:r w:rsidRPr="00756093">
        <w:rPr>
          <w:lang w:val="de-DE" w:eastAsia="de-DE" w:bidi="de-DE"/>
        </w:rPr>
        <w:tab/>
      </w:r>
      <w:r w:rsidRPr="00756093">
        <w:rPr>
          <w:lang w:val="de-DE" w:eastAsia="de-DE" w:bidi="de-DE"/>
        </w:rPr>
        <w:tab/>
        <w:t>Technische Arbeitsgruppe für Automatisierung und Computerprogramme</w:t>
      </w:r>
    </w:p>
    <w:p w:rsidR="001036A0" w:rsidRPr="00756093" w:rsidRDefault="001036A0" w:rsidP="001036A0">
      <w:pPr>
        <w:tabs>
          <w:tab w:val="left" w:pos="567"/>
          <w:tab w:val="left" w:pos="1134"/>
          <w:tab w:val="left" w:pos="1701"/>
          <w:tab w:val="left" w:pos="2268"/>
          <w:tab w:val="left" w:pos="2835"/>
          <w:tab w:val="left" w:pos="3402"/>
          <w:tab w:val="left" w:pos="3969"/>
          <w:tab w:val="left" w:pos="4536"/>
          <w:tab w:val="left" w:pos="5103"/>
          <w:tab w:val="left" w:pos="5973"/>
        </w:tabs>
        <w:rPr>
          <w:rFonts w:eastAsia="PMingLiU" w:cs="Arial"/>
          <w:lang w:val="de-DE" w:eastAsia="de-DE" w:bidi="de-DE"/>
        </w:rPr>
      </w:pPr>
      <w:r w:rsidRPr="00756093">
        <w:rPr>
          <w:lang w:val="de-DE" w:eastAsia="de-DE" w:bidi="de-DE"/>
        </w:rPr>
        <w:tab/>
        <w:t xml:space="preserve">TWF: </w:t>
      </w:r>
      <w:r w:rsidRPr="00756093">
        <w:rPr>
          <w:lang w:val="de-DE" w:eastAsia="de-DE" w:bidi="de-DE"/>
        </w:rPr>
        <w:tab/>
      </w:r>
      <w:r w:rsidRPr="00756093">
        <w:rPr>
          <w:lang w:val="de-DE" w:eastAsia="de-DE" w:bidi="de-DE"/>
        </w:rPr>
        <w:tab/>
        <w:t>Technische Arbeitsgruppe für Obstarten</w:t>
      </w:r>
      <w:r w:rsidRPr="00756093">
        <w:rPr>
          <w:lang w:val="de-DE" w:eastAsia="de-DE" w:bidi="de-DE"/>
        </w:rPr>
        <w:tab/>
      </w:r>
    </w:p>
    <w:p w:rsidR="001036A0" w:rsidRPr="00756093" w:rsidRDefault="001036A0" w:rsidP="001036A0">
      <w:pPr>
        <w:rPr>
          <w:rFonts w:eastAsia="PMingLiU" w:cs="Arial"/>
          <w:lang w:val="de-DE" w:eastAsia="de-DE" w:bidi="de-DE"/>
        </w:rPr>
      </w:pPr>
      <w:r w:rsidRPr="00756093">
        <w:rPr>
          <w:lang w:val="de-DE" w:eastAsia="de-DE" w:bidi="de-DE"/>
        </w:rPr>
        <w:tab/>
        <w:t>TWO:</w:t>
      </w:r>
      <w:r w:rsidRPr="00756093">
        <w:rPr>
          <w:lang w:val="de-DE" w:eastAsia="de-DE" w:bidi="de-DE"/>
        </w:rPr>
        <w:tab/>
      </w:r>
      <w:r w:rsidRPr="00756093">
        <w:rPr>
          <w:lang w:val="de-DE" w:eastAsia="de-DE" w:bidi="de-DE"/>
        </w:rPr>
        <w:tab/>
        <w:t>Technische Arbeitsgruppe für Zierpflanzen und forstliche Baumarten</w:t>
      </w:r>
    </w:p>
    <w:p w:rsidR="001036A0" w:rsidRPr="00756093" w:rsidRDefault="001036A0" w:rsidP="001036A0">
      <w:pPr>
        <w:rPr>
          <w:rFonts w:eastAsia="PMingLiU" w:cs="Arial"/>
          <w:lang w:val="de-DE" w:eastAsia="de-DE" w:bidi="de-DE"/>
        </w:rPr>
      </w:pPr>
      <w:r w:rsidRPr="00756093">
        <w:rPr>
          <w:lang w:val="de-DE" w:eastAsia="de-DE" w:bidi="de-DE"/>
        </w:rPr>
        <w:tab/>
        <w:t>TWP:</w:t>
      </w:r>
      <w:r w:rsidRPr="00756093">
        <w:rPr>
          <w:lang w:val="de-DE" w:eastAsia="de-DE" w:bidi="de-DE"/>
        </w:rPr>
        <w:tab/>
      </w:r>
      <w:r w:rsidRPr="00756093">
        <w:rPr>
          <w:lang w:val="de-DE" w:eastAsia="de-DE" w:bidi="de-DE"/>
        </w:rPr>
        <w:tab/>
        <w:t>Technische Arbeitsgruppen</w:t>
      </w:r>
    </w:p>
    <w:p w:rsidR="001036A0" w:rsidRPr="00756093" w:rsidRDefault="001036A0" w:rsidP="001036A0">
      <w:pPr>
        <w:rPr>
          <w:rFonts w:eastAsia="PMingLiU" w:cs="Arial"/>
          <w:lang w:val="de-DE" w:eastAsia="de-DE" w:bidi="de-DE"/>
        </w:rPr>
      </w:pPr>
      <w:r w:rsidRPr="00756093">
        <w:rPr>
          <w:lang w:val="de-DE" w:eastAsia="de-DE" w:bidi="de-DE"/>
        </w:rPr>
        <w:tab/>
        <w:t>TWV:</w:t>
      </w:r>
      <w:r w:rsidRPr="00756093">
        <w:rPr>
          <w:lang w:val="de-DE" w:eastAsia="de-DE" w:bidi="de-DE"/>
        </w:rPr>
        <w:tab/>
      </w:r>
      <w:r w:rsidRPr="00756093">
        <w:rPr>
          <w:lang w:val="de-DE" w:eastAsia="de-DE" w:bidi="de-DE"/>
        </w:rPr>
        <w:tab/>
        <w:t>Technische Arbeitsgruppe für Gemüsearten</w:t>
      </w:r>
    </w:p>
    <w:p w:rsidR="001036A0" w:rsidRPr="00756093" w:rsidRDefault="001036A0" w:rsidP="001036A0">
      <w:pPr>
        <w:rPr>
          <w:snapToGrid w:val="0"/>
          <w:lang w:val="de-DE" w:eastAsia="de-DE" w:bidi="de-DE"/>
        </w:rPr>
      </w:pPr>
    </w:p>
    <w:p w:rsidR="001036A0" w:rsidRPr="00756093" w:rsidRDefault="001036A0" w:rsidP="001036A0">
      <w:pPr>
        <w:rPr>
          <w:lang w:val="de-DE" w:eastAsia="de-DE" w:bidi="de-DE"/>
        </w:rPr>
      </w:pPr>
      <w:r w:rsidRPr="00756093">
        <w:rPr>
          <w:lang w:val="de-DE" w:eastAsia="de-DE" w:bidi="de-DE"/>
        </w:rPr>
        <w:fldChar w:fldCharType="begin"/>
      </w:r>
      <w:r w:rsidRPr="00756093">
        <w:rPr>
          <w:lang w:val="de-DE" w:eastAsia="de-DE" w:bidi="de-DE"/>
        </w:rPr>
        <w:instrText xml:space="preserve"> AUTONUM  </w:instrText>
      </w:r>
      <w:r w:rsidRPr="00756093">
        <w:rPr>
          <w:lang w:val="de-DE" w:eastAsia="de-DE" w:bidi="de-DE"/>
        </w:rPr>
        <w:fldChar w:fldCharType="end"/>
      </w:r>
      <w:r w:rsidRPr="00756093">
        <w:rPr>
          <w:lang w:val="de-DE" w:eastAsia="de-DE" w:bidi="de-DE"/>
        </w:rPr>
        <w:tab/>
        <w:t>Der Aufbau dieses Dokuments ist wie folgt:</w:t>
      </w:r>
    </w:p>
    <w:p w:rsidR="001036A0" w:rsidRPr="004959A0" w:rsidRDefault="001036A0" w:rsidP="001036A0">
      <w:pPr>
        <w:rPr>
          <w:rFonts w:cs="Arial"/>
          <w:lang w:val="de-DE"/>
        </w:rPr>
      </w:pPr>
    </w:p>
    <w:p w:rsidR="00CB1BE0" w:rsidRDefault="001036A0" w:rsidP="00F33B37">
      <w:pPr>
        <w:pStyle w:val="TOC1"/>
        <w:rPr>
          <w:rFonts w:asciiTheme="minorHAnsi" w:eastAsiaTheme="minorEastAsia" w:hAnsiTheme="minorHAnsi" w:cstheme="minorBidi"/>
          <w:noProof/>
          <w:sz w:val="22"/>
          <w:szCs w:val="22"/>
          <w:lang w:val="de-DE" w:eastAsia="de-DE"/>
        </w:rPr>
      </w:pPr>
      <w:r w:rsidRPr="000D5A9E">
        <w:rPr>
          <w:rFonts w:ascii="Calibri" w:hAnsi="Calibri"/>
          <w:b/>
          <w:bCs/>
        </w:rPr>
        <w:fldChar w:fldCharType="begin"/>
      </w:r>
      <w:r w:rsidRPr="000D5A9E">
        <w:instrText xml:space="preserve"> TOC \o "1-3" \h \z \u </w:instrText>
      </w:r>
      <w:r w:rsidRPr="000D5A9E">
        <w:rPr>
          <w:rFonts w:ascii="Calibri" w:hAnsi="Calibri"/>
          <w:b/>
          <w:bCs/>
        </w:rPr>
        <w:fldChar w:fldCharType="separate"/>
      </w:r>
      <w:hyperlink w:anchor="_Toc413415502" w:history="1">
        <w:r w:rsidR="00CB1BE0" w:rsidRPr="00026A46">
          <w:rPr>
            <w:rStyle w:val="Hyperlink"/>
            <w:noProof/>
            <w:lang w:val="de-DE"/>
          </w:rPr>
          <w:t>Hintergrund</w:t>
        </w:r>
        <w:r w:rsidR="00CB1BE0">
          <w:rPr>
            <w:noProof/>
            <w:webHidden/>
          </w:rPr>
          <w:tab/>
        </w:r>
        <w:r w:rsidR="00CB1BE0">
          <w:rPr>
            <w:noProof/>
            <w:webHidden/>
          </w:rPr>
          <w:fldChar w:fldCharType="begin"/>
        </w:r>
        <w:r w:rsidR="00CB1BE0">
          <w:rPr>
            <w:noProof/>
            <w:webHidden/>
          </w:rPr>
          <w:instrText xml:space="preserve"> PAGEREF _Toc413415502 \h </w:instrText>
        </w:r>
        <w:r w:rsidR="00CB1BE0">
          <w:rPr>
            <w:noProof/>
            <w:webHidden/>
          </w:rPr>
        </w:r>
        <w:r w:rsidR="00CB1BE0">
          <w:rPr>
            <w:noProof/>
            <w:webHidden/>
          </w:rPr>
          <w:fldChar w:fldCharType="separate"/>
        </w:r>
        <w:r w:rsidR="00B40A6D">
          <w:rPr>
            <w:noProof/>
            <w:webHidden/>
          </w:rPr>
          <w:t>1</w:t>
        </w:r>
        <w:r w:rsidR="00CB1BE0">
          <w:rPr>
            <w:noProof/>
            <w:webHidden/>
          </w:rPr>
          <w:fldChar w:fldCharType="end"/>
        </w:r>
      </w:hyperlink>
    </w:p>
    <w:p w:rsidR="00CB1BE0" w:rsidRDefault="00B40A6D" w:rsidP="00F33B37">
      <w:pPr>
        <w:pStyle w:val="TOC1"/>
        <w:rPr>
          <w:rFonts w:asciiTheme="minorHAnsi" w:eastAsiaTheme="minorEastAsia" w:hAnsiTheme="minorHAnsi" w:cstheme="minorBidi"/>
          <w:noProof/>
          <w:sz w:val="22"/>
          <w:szCs w:val="22"/>
          <w:lang w:val="de-DE" w:eastAsia="de-DE"/>
        </w:rPr>
      </w:pPr>
      <w:hyperlink w:anchor="_Toc413415503" w:history="1">
        <w:r w:rsidR="00CB1BE0" w:rsidRPr="00026A46">
          <w:rPr>
            <w:rStyle w:val="Hyperlink"/>
            <w:noProof/>
            <w:snapToGrid w:val="0"/>
            <w:lang w:val="de-DE"/>
          </w:rPr>
          <w:t>Entwicklungen im Jahr 2014</w:t>
        </w:r>
        <w:r w:rsidR="00CB1BE0">
          <w:rPr>
            <w:noProof/>
            <w:webHidden/>
          </w:rPr>
          <w:tab/>
        </w:r>
        <w:r w:rsidR="00CB1BE0">
          <w:rPr>
            <w:noProof/>
            <w:webHidden/>
          </w:rPr>
          <w:fldChar w:fldCharType="begin"/>
        </w:r>
        <w:r w:rsidR="00CB1BE0">
          <w:rPr>
            <w:noProof/>
            <w:webHidden/>
          </w:rPr>
          <w:instrText xml:space="preserve"> PAGEREF _Toc413415503 \h </w:instrText>
        </w:r>
        <w:r w:rsidR="00CB1BE0">
          <w:rPr>
            <w:noProof/>
            <w:webHidden/>
          </w:rPr>
        </w:r>
        <w:r w:rsidR="00CB1BE0">
          <w:rPr>
            <w:noProof/>
            <w:webHidden/>
          </w:rPr>
          <w:fldChar w:fldCharType="separate"/>
        </w:r>
        <w:r>
          <w:rPr>
            <w:noProof/>
            <w:webHidden/>
          </w:rPr>
          <w:t>2</w:t>
        </w:r>
        <w:r w:rsidR="00CB1BE0">
          <w:rPr>
            <w:noProof/>
            <w:webHidden/>
          </w:rPr>
          <w:fldChar w:fldCharType="end"/>
        </w:r>
      </w:hyperlink>
    </w:p>
    <w:p w:rsidR="00CB1BE0" w:rsidRPr="00815939" w:rsidRDefault="00B40A6D" w:rsidP="00032ED6">
      <w:pPr>
        <w:pStyle w:val="TOC3"/>
        <w:rPr>
          <w:rFonts w:asciiTheme="minorHAnsi" w:eastAsiaTheme="minorEastAsia" w:hAnsiTheme="minorHAnsi" w:cstheme="minorBidi"/>
          <w:noProof/>
          <w:sz w:val="22"/>
          <w:szCs w:val="22"/>
          <w:lang w:val="de-DE" w:eastAsia="de-DE"/>
        </w:rPr>
      </w:pPr>
      <w:hyperlink w:anchor="_Toc413415504" w:history="1">
        <w:r w:rsidR="00CB1BE0" w:rsidRPr="00815939">
          <w:rPr>
            <w:rStyle w:val="Hyperlink"/>
            <w:i/>
            <w:noProof/>
            <w:lang w:val="de-DE"/>
          </w:rPr>
          <w:t>Technischer Ausschuß</w:t>
        </w:r>
        <w:r w:rsidR="00CB1BE0" w:rsidRPr="00815939">
          <w:rPr>
            <w:noProof/>
            <w:webHidden/>
          </w:rPr>
          <w:tab/>
        </w:r>
        <w:r w:rsidR="00CB1BE0" w:rsidRPr="00815939">
          <w:rPr>
            <w:noProof/>
            <w:webHidden/>
          </w:rPr>
          <w:fldChar w:fldCharType="begin"/>
        </w:r>
        <w:r w:rsidR="00CB1BE0" w:rsidRPr="00815939">
          <w:rPr>
            <w:noProof/>
            <w:webHidden/>
          </w:rPr>
          <w:instrText xml:space="preserve"> PAGEREF _Toc413415504 \h </w:instrText>
        </w:r>
        <w:r w:rsidR="00CB1BE0" w:rsidRPr="00815939">
          <w:rPr>
            <w:noProof/>
            <w:webHidden/>
          </w:rPr>
        </w:r>
        <w:r w:rsidR="00CB1BE0" w:rsidRPr="00815939">
          <w:rPr>
            <w:noProof/>
            <w:webHidden/>
          </w:rPr>
          <w:fldChar w:fldCharType="separate"/>
        </w:r>
        <w:r>
          <w:rPr>
            <w:noProof/>
            <w:webHidden/>
          </w:rPr>
          <w:t>2</w:t>
        </w:r>
        <w:r w:rsidR="00CB1BE0" w:rsidRPr="00815939">
          <w:rPr>
            <w:noProof/>
            <w:webHidden/>
          </w:rPr>
          <w:fldChar w:fldCharType="end"/>
        </w:r>
      </w:hyperlink>
    </w:p>
    <w:p w:rsidR="00CB1BE0" w:rsidRPr="00815939" w:rsidRDefault="00B40A6D" w:rsidP="00032ED6">
      <w:pPr>
        <w:pStyle w:val="TOC3"/>
        <w:rPr>
          <w:rFonts w:asciiTheme="minorHAnsi" w:eastAsiaTheme="minorEastAsia" w:hAnsiTheme="minorHAnsi" w:cstheme="minorBidi"/>
          <w:noProof/>
          <w:sz w:val="22"/>
          <w:szCs w:val="22"/>
          <w:lang w:eastAsia="de-DE"/>
        </w:rPr>
      </w:pPr>
      <w:hyperlink w:anchor="_Toc413415505" w:history="1">
        <w:r w:rsidR="00CB1BE0" w:rsidRPr="00815939">
          <w:rPr>
            <w:rStyle w:val="Hyperlink"/>
            <w:i/>
            <w:noProof/>
            <w:lang w:val="de-DE"/>
          </w:rPr>
          <w:t>Angelegenheiten, die vom International Seed Federation (ISF) aufgeworfen wurden</w:t>
        </w:r>
        <w:r w:rsidR="00CB1BE0" w:rsidRPr="00815939">
          <w:rPr>
            <w:noProof/>
            <w:webHidden/>
          </w:rPr>
          <w:tab/>
        </w:r>
        <w:r w:rsidR="00CB1BE0" w:rsidRPr="00815939">
          <w:rPr>
            <w:noProof/>
            <w:webHidden/>
          </w:rPr>
          <w:fldChar w:fldCharType="begin"/>
        </w:r>
        <w:r w:rsidR="00CB1BE0" w:rsidRPr="00815939">
          <w:rPr>
            <w:noProof/>
            <w:webHidden/>
          </w:rPr>
          <w:instrText xml:space="preserve"> PAGEREF _Toc413415505 \h </w:instrText>
        </w:r>
        <w:r w:rsidR="00CB1BE0" w:rsidRPr="00815939">
          <w:rPr>
            <w:noProof/>
            <w:webHidden/>
          </w:rPr>
        </w:r>
        <w:r w:rsidR="00CB1BE0" w:rsidRPr="00815939">
          <w:rPr>
            <w:noProof/>
            <w:webHidden/>
          </w:rPr>
          <w:fldChar w:fldCharType="separate"/>
        </w:r>
        <w:r>
          <w:rPr>
            <w:noProof/>
            <w:webHidden/>
          </w:rPr>
          <w:t>2</w:t>
        </w:r>
        <w:r w:rsidR="00CB1BE0" w:rsidRPr="00815939">
          <w:rPr>
            <w:noProof/>
            <w:webHidden/>
          </w:rPr>
          <w:fldChar w:fldCharType="end"/>
        </w:r>
      </w:hyperlink>
    </w:p>
    <w:p w:rsidR="00CB1BE0" w:rsidRPr="00815939" w:rsidRDefault="00B40A6D" w:rsidP="00032ED6">
      <w:pPr>
        <w:pStyle w:val="TOC3"/>
        <w:rPr>
          <w:rFonts w:asciiTheme="minorHAnsi" w:eastAsiaTheme="minorEastAsia" w:hAnsiTheme="minorHAnsi" w:cstheme="minorBidi"/>
          <w:noProof/>
          <w:sz w:val="22"/>
          <w:szCs w:val="22"/>
          <w:lang w:val="de-DE" w:eastAsia="de-DE"/>
        </w:rPr>
      </w:pPr>
      <w:hyperlink w:anchor="_Toc413415506" w:history="1">
        <w:r w:rsidR="00CB1BE0" w:rsidRPr="00815939">
          <w:rPr>
            <w:rStyle w:val="Hyperlink"/>
            <w:i/>
            <w:noProof/>
            <w:lang w:val="de-DE"/>
          </w:rPr>
          <w:t>Verwaltungs- und Rechtsausschuß</w:t>
        </w:r>
        <w:r w:rsidR="00CB1BE0" w:rsidRPr="00815939">
          <w:rPr>
            <w:noProof/>
            <w:webHidden/>
          </w:rPr>
          <w:tab/>
        </w:r>
        <w:r w:rsidR="00CB1BE0" w:rsidRPr="00815939">
          <w:rPr>
            <w:noProof/>
            <w:webHidden/>
          </w:rPr>
          <w:fldChar w:fldCharType="begin"/>
        </w:r>
        <w:r w:rsidR="00CB1BE0" w:rsidRPr="00815939">
          <w:rPr>
            <w:noProof/>
            <w:webHidden/>
          </w:rPr>
          <w:instrText xml:space="preserve"> PAGEREF _Toc413415506 \h </w:instrText>
        </w:r>
        <w:r w:rsidR="00CB1BE0" w:rsidRPr="00815939">
          <w:rPr>
            <w:noProof/>
            <w:webHidden/>
          </w:rPr>
        </w:r>
        <w:r w:rsidR="00CB1BE0" w:rsidRPr="00815939">
          <w:rPr>
            <w:noProof/>
            <w:webHidden/>
          </w:rPr>
          <w:fldChar w:fldCharType="separate"/>
        </w:r>
        <w:r>
          <w:rPr>
            <w:noProof/>
            <w:webHidden/>
          </w:rPr>
          <w:t>4</w:t>
        </w:r>
        <w:r w:rsidR="00CB1BE0" w:rsidRPr="00815939">
          <w:rPr>
            <w:noProof/>
            <w:webHidden/>
          </w:rPr>
          <w:fldChar w:fldCharType="end"/>
        </w:r>
      </w:hyperlink>
    </w:p>
    <w:p w:rsidR="00CB1BE0" w:rsidRPr="00815939" w:rsidRDefault="00B40A6D" w:rsidP="00032ED6">
      <w:pPr>
        <w:pStyle w:val="TOC3"/>
        <w:rPr>
          <w:rFonts w:asciiTheme="minorHAnsi" w:eastAsiaTheme="minorEastAsia" w:hAnsiTheme="minorHAnsi" w:cstheme="minorBidi"/>
          <w:noProof/>
          <w:sz w:val="22"/>
          <w:szCs w:val="22"/>
          <w:lang w:val="de-DE" w:eastAsia="de-DE"/>
        </w:rPr>
      </w:pPr>
      <w:hyperlink w:anchor="_Toc413415507" w:history="1">
        <w:r w:rsidR="00CB1BE0" w:rsidRPr="00815939">
          <w:rPr>
            <w:rStyle w:val="Hyperlink"/>
            <w:i/>
            <w:noProof/>
            <w:lang w:val="de-DE"/>
          </w:rPr>
          <w:t>Technische Arbeitsgruppen</w:t>
        </w:r>
        <w:r w:rsidR="00CB1BE0" w:rsidRPr="00815939">
          <w:rPr>
            <w:noProof/>
            <w:webHidden/>
          </w:rPr>
          <w:tab/>
        </w:r>
        <w:r w:rsidR="00CB1BE0" w:rsidRPr="00815939">
          <w:rPr>
            <w:noProof/>
            <w:webHidden/>
          </w:rPr>
          <w:fldChar w:fldCharType="begin"/>
        </w:r>
        <w:r w:rsidR="00CB1BE0" w:rsidRPr="00815939">
          <w:rPr>
            <w:noProof/>
            <w:webHidden/>
          </w:rPr>
          <w:instrText xml:space="preserve"> PAGEREF _Toc413415507 \h </w:instrText>
        </w:r>
        <w:r w:rsidR="00CB1BE0" w:rsidRPr="00815939">
          <w:rPr>
            <w:noProof/>
            <w:webHidden/>
          </w:rPr>
        </w:r>
        <w:r w:rsidR="00CB1BE0" w:rsidRPr="00815939">
          <w:rPr>
            <w:noProof/>
            <w:webHidden/>
          </w:rPr>
          <w:fldChar w:fldCharType="separate"/>
        </w:r>
        <w:r>
          <w:rPr>
            <w:noProof/>
            <w:webHidden/>
          </w:rPr>
          <w:t>4</w:t>
        </w:r>
        <w:r w:rsidR="00CB1BE0" w:rsidRPr="00815939">
          <w:rPr>
            <w:noProof/>
            <w:webHidden/>
          </w:rPr>
          <w:fldChar w:fldCharType="end"/>
        </w:r>
      </w:hyperlink>
    </w:p>
    <w:p w:rsidR="001036A0" w:rsidRPr="00A13473" w:rsidRDefault="001036A0" w:rsidP="001036A0">
      <w:pPr>
        <w:spacing w:before="120" w:after="120" w:line="276" w:lineRule="auto"/>
        <w:ind w:left="1418" w:hanging="851"/>
      </w:pPr>
      <w:r w:rsidRPr="000D5A9E">
        <w:rPr>
          <w:rFonts w:cs="Arial"/>
        </w:rPr>
        <w:fldChar w:fldCharType="end"/>
      </w:r>
    </w:p>
    <w:p w:rsidR="001036A0" w:rsidRPr="00E30CFA" w:rsidRDefault="00F31835" w:rsidP="001036A0">
      <w:pPr>
        <w:pStyle w:val="Heading1"/>
        <w:rPr>
          <w:lang w:val="de-DE"/>
        </w:rPr>
      </w:pPr>
      <w:bookmarkStart w:id="5" w:name="_Toc413415502"/>
      <w:r w:rsidRPr="00E30CFA">
        <w:rPr>
          <w:lang w:val="de-DE"/>
        </w:rPr>
        <w:t>Hintergrund</w:t>
      </w:r>
      <w:bookmarkEnd w:id="5"/>
    </w:p>
    <w:p w:rsidR="001036A0" w:rsidRPr="00E30CFA" w:rsidRDefault="001036A0" w:rsidP="001036A0">
      <w:pPr>
        <w:rPr>
          <w:rFonts w:cs="Arial"/>
          <w:lang w:val="de-DE"/>
        </w:rPr>
      </w:pPr>
    </w:p>
    <w:p w:rsidR="001036A0" w:rsidRPr="00F31835" w:rsidRDefault="001036A0" w:rsidP="00F31835">
      <w:pPr>
        <w:rPr>
          <w:rFonts w:cs="Arial"/>
          <w:lang w:val="de-DE"/>
        </w:rPr>
      </w:pPr>
      <w:r w:rsidRPr="006D54BA">
        <w:rPr>
          <w:rFonts w:cs="Arial"/>
        </w:rPr>
        <w:fldChar w:fldCharType="begin"/>
      </w:r>
      <w:r w:rsidRPr="00F31835">
        <w:rPr>
          <w:rFonts w:cs="Arial"/>
          <w:lang w:val="de-DE"/>
        </w:rPr>
        <w:instrText xml:space="preserve"> AUTONUM  </w:instrText>
      </w:r>
      <w:r w:rsidRPr="006D54BA">
        <w:rPr>
          <w:rFonts w:cs="Arial"/>
        </w:rPr>
        <w:fldChar w:fldCharType="end"/>
      </w:r>
      <w:r w:rsidRPr="00F31835">
        <w:rPr>
          <w:rFonts w:cs="Arial"/>
          <w:lang w:val="de-DE"/>
        </w:rPr>
        <w:tab/>
      </w:r>
      <w:r w:rsidR="00F31835">
        <w:rPr>
          <w:rFonts w:cs="Arial"/>
          <w:lang w:val="de-DE"/>
        </w:rPr>
        <w:t>A</w:t>
      </w:r>
      <w:r w:rsidR="00F31835" w:rsidRPr="00F31835">
        <w:rPr>
          <w:rFonts w:cs="Arial"/>
          <w:lang w:val="de-DE"/>
        </w:rPr>
        <w:t>uf seiner fünfundvierzigsten Tagung vom 30.</w:t>
      </w:r>
      <w:r w:rsidR="00F31835">
        <w:rPr>
          <w:rFonts w:cs="Arial"/>
          <w:lang w:val="de-DE"/>
        </w:rPr>
        <w:t xml:space="preserve"> </w:t>
      </w:r>
      <w:r w:rsidR="00F31835" w:rsidRPr="00F31835">
        <w:rPr>
          <w:rFonts w:cs="Arial"/>
          <w:lang w:val="de-DE"/>
        </w:rPr>
        <w:t xml:space="preserve">März bis 1. April 2009 in Genf nahm der Technische Ausschuß (TC) ausgehend von </w:t>
      </w:r>
      <w:r w:rsidR="00CB1BE0">
        <w:rPr>
          <w:rFonts w:cs="Arial"/>
          <w:lang w:val="de-DE"/>
        </w:rPr>
        <w:t xml:space="preserve">den in </w:t>
      </w:r>
      <w:r w:rsidR="00F31835" w:rsidRPr="00F31835">
        <w:rPr>
          <w:rFonts w:cs="Arial"/>
          <w:lang w:val="de-DE"/>
        </w:rPr>
        <w:t>Dokument TC/45/9 „Veröffentlichung von Sortenbeschreibungen“</w:t>
      </w:r>
      <w:r w:rsidR="00CB1BE0">
        <w:rPr>
          <w:rFonts w:cs="Arial"/>
          <w:lang w:val="de-DE"/>
        </w:rPr>
        <w:t xml:space="preserve"> berichteten Entwicklungen</w:t>
      </w:r>
      <w:r w:rsidR="00F31835" w:rsidRPr="00F31835">
        <w:rPr>
          <w:rFonts w:cs="Arial"/>
          <w:lang w:val="de-DE"/>
        </w:rPr>
        <w:t xml:space="preserve"> zur Kenntnis, daß Verbandsmitglieder Datenbanken entwickeln, die morphologische und/oder molekulare Daten enthalten, und gegebenenfalls bei der Einrichtung von Datenbanken für die Verwaltung von Sortensammlungen, insbesondere auf regionaler Ebene, zusammenarbeiten.</w:t>
      </w:r>
      <w:r w:rsidR="00F31835">
        <w:rPr>
          <w:rFonts w:cs="Arial"/>
          <w:lang w:val="de-DE"/>
        </w:rPr>
        <w:t xml:space="preserve"> </w:t>
      </w:r>
      <w:r w:rsidR="00F31835" w:rsidRPr="00F31835">
        <w:rPr>
          <w:rFonts w:cs="Arial"/>
          <w:lang w:val="de-DE"/>
        </w:rPr>
        <w:t xml:space="preserve">Der TC vereinbarte, daß es von Nutzen sein könnte, den Verbandsmitgliedern die Möglichkeit zu bieten, dem TC, den Technischen Arbeitsgruppen (TWP) und </w:t>
      </w:r>
      <w:r w:rsidR="00CB1BE0">
        <w:rPr>
          <w:rFonts w:cs="Arial"/>
          <w:lang w:val="de-DE"/>
        </w:rPr>
        <w:t>d</w:t>
      </w:r>
      <w:r w:rsidR="00F31835" w:rsidRPr="00F31835">
        <w:rPr>
          <w:rFonts w:cs="Arial"/>
          <w:lang w:val="de-DE"/>
        </w:rPr>
        <w:t xml:space="preserve">er </w:t>
      </w:r>
      <w:r w:rsidR="00CB1BE0" w:rsidRPr="00CB1BE0">
        <w:rPr>
          <w:rFonts w:cs="Arial"/>
          <w:lang w:val="de-DE"/>
        </w:rPr>
        <w:t xml:space="preserve">Arbeitsgruppe für </w:t>
      </w:r>
      <w:r w:rsidR="00CB1BE0" w:rsidRPr="00CB1BE0">
        <w:rPr>
          <w:rFonts w:cs="Arial"/>
          <w:lang w:val="de-DE"/>
        </w:rPr>
        <w:lastRenderedPageBreak/>
        <w:t>biochemische und molekulare Verfahren und insbesondere für DNS</w:t>
      </w:r>
      <w:r w:rsidR="00CB1BE0" w:rsidRPr="00CB1BE0">
        <w:rPr>
          <w:rFonts w:ascii="Cambria Math" w:hAnsi="Cambria Math" w:cs="Cambria Math"/>
          <w:lang w:val="de-DE"/>
        </w:rPr>
        <w:t>‑</w:t>
      </w:r>
      <w:r w:rsidR="00CB1BE0" w:rsidRPr="00CB1BE0">
        <w:rPr>
          <w:rFonts w:cs="Arial"/>
          <w:lang w:val="de-DE"/>
        </w:rPr>
        <w:t>Profilierungsverfahren</w:t>
      </w:r>
      <w:r w:rsidR="00F31835" w:rsidRPr="00F31835">
        <w:rPr>
          <w:rFonts w:cs="Arial"/>
          <w:lang w:val="de-DE"/>
        </w:rPr>
        <w:t xml:space="preserve"> (BMT) in übereinstimmender Weise über diese Arbeit zu berichten.</w:t>
      </w:r>
      <w:r w:rsidR="00F31835">
        <w:rPr>
          <w:rFonts w:cs="Arial"/>
          <w:lang w:val="de-DE"/>
        </w:rPr>
        <w:t xml:space="preserve"> </w:t>
      </w:r>
      <w:r w:rsidR="00F31835" w:rsidRPr="00F31835">
        <w:rPr>
          <w:rFonts w:cs="Arial"/>
          <w:lang w:val="de-DE"/>
        </w:rPr>
        <w:t>Auf dieser Grundlage vereinbarte der TC, den Tagesordnungspunkt „Veröffentlichung von Sortenbeschreibungen“ auf den Tagesordnungen der bevorstehenden Tagungen des TC, d</w:t>
      </w:r>
      <w:r w:rsidR="00CB1BE0">
        <w:rPr>
          <w:rFonts w:cs="Arial"/>
          <w:lang w:val="de-DE"/>
        </w:rPr>
        <w:t>er TWP und der BMT durch einen Tagesordnungsp</w:t>
      </w:r>
      <w:r w:rsidR="00F31835" w:rsidRPr="00F31835">
        <w:rPr>
          <w:rFonts w:cs="Arial"/>
          <w:lang w:val="de-DE"/>
        </w:rPr>
        <w:t>unkt „Datenbank</w:t>
      </w:r>
      <w:r w:rsidR="00815939">
        <w:rPr>
          <w:rFonts w:cs="Arial"/>
          <w:lang w:val="de-DE"/>
        </w:rPr>
        <w:t>en</w:t>
      </w:r>
      <w:r w:rsidR="00F31835" w:rsidRPr="00F31835">
        <w:rPr>
          <w:rFonts w:cs="Arial"/>
          <w:lang w:val="de-DE"/>
        </w:rPr>
        <w:t xml:space="preserve"> für Sortenbeschreibungen“ zu ersetzen.</w:t>
      </w:r>
      <w:r w:rsidR="00F31835">
        <w:rPr>
          <w:rFonts w:cs="Arial"/>
          <w:lang w:val="de-DE"/>
        </w:rPr>
        <w:t xml:space="preserve"> </w:t>
      </w:r>
      <w:r w:rsidR="00F31835" w:rsidRPr="00F31835">
        <w:rPr>
          <w:rFonts w:cs="Arial"/>
          <w:lang w:val="de-DE"/>
        </w:rPr>
        <w:t xml:space="preserve">Diesbezüglich erinnerte er an die Bedeutung der Liste der Kriterien für die </w:t>
      </w:r>
      <w:r w:rsidR="00D70C6C">
        <w:rPr>
          <w:rFonts w:cs="Arial"/>
          <w:lang w:val="de-DE"/>
        </w:rPr>
        <w:t xml:space="preserve">Prüfung der </w:t>
      </w:r>
      <w:r w:rsidR="00F31835" w:rsidRPr="00F31835">
        <w:rPr>
          <w:rFonts w:cs="Arial"/>
          <w:lang w:val="de-DE"/>
        </w:rPr>
        <w:t>Verwendung der aus verschiedenen Prüfungsorten und Quellen beschafften Beschreibungen, wie in Dokument TC/45/9, Absatz 3 dargelegt.</w:t>
      </w:r>
      <w:r w:rsidR="00F31835">
        <w:rPr>
          <w:rFonts w:cs="Arial"/>
          <w:lang w:val="de-DE"/>
        </w:rPr>
        <w:t xml:space="preserve"> </w:t>
      </w:r>
      <w:r w:rsidR="00F31835" w:rsidRPr="00F31835">
        <w:rPr>
          <w:rFonts w:cs="Arial"/>
          <w:lang w:val="de-DE"/>
        </w:rPr>
        <w:t>Der TC vereinbarte ferner, daß sich die vorgelegten Informationen nicht auf die Veröffentlichung von Beschreibungen beziehen müßten (vergleiche Dokument TC/45/16 „Bericht“, Absatz 173)</w:t>
      </w:r>
      <w:r w:rsidRPr="00F31835">
        <w:rPr>
          <w:rFonts w:cs="Arial"/>
          <w:lang w:val="de-DE"/>
        </w:rPr>
        <w:t>.</w:t>
      </w:r>
    </w:p>
    <w:p w:rsidR="001036A0" w:rsidRPr="00F31835" w:rsidRDefault="001036A0" w:rsidP="001036A0">
      <w:pPr>
        <w:rPr>
          <w:rFonts w:cs="Arial"/>
          <w:lang w:val="de-DE"/>
        </w:rPr>
      </w:pPr>
    </w:p>
    <w:p w:rsidR="001036A0" w:rsidRPr="00884C9E" w:rsidRDefault="001036A0" w:rsidP="001036A0">
      <w:pPr>
        <w:rPr>
          <w:rFonts w:cs="Arial"/>
          <w:color w:val="000000"/>
          <w:lang w:val="de-DE"/>
        </w:rPr>
      </w:pPr>
      <w:r>
        <w:rPr>
          <w:rFonts w:cs="Arial"/>
          <w:color w:val="000000"/>
        </w:rPr>
        <w:fldChar w:fldCharType="begin"/>
      </w:r>
      <w:r w:rsidRPr="00884C9E">
        <w:rPr>
          <w:rFonts w:cs="Arial"/>
          <w:color w:val="000000"/>
          <w:lang w:val="de-DE"/>
        </w:rPr>
        <w:instrText xml:space="preserve"> AUTONUM  </w:instrText>
      </w:r>
      <w:r>
        <w:rPr>
          <w:rFonts w:cs="Arial"/>
          <w:color w:val="000000"/>
        </w:rPr>
        <w:fldChar w:fldCharType="end"/>
      </w:r>
      <w:r w:rsidRPr="00884C9E">
        <w:rPr>
          <w:rFonts w:cs="Arial"/>
          <w:color w:val="000000"/>
          <w:lang w:val="de-DE"/>
        </w:rPr>
        <w:tab/>
      </w:r>
      <w:r w:rsidR="00884C9E" w:rsidRPr="00884C9E">
        <w:rPr>
          <w:rFonts w:cs="Arial"/>
          <w:color w:val="000000"/>
          <w:lang w:val="de-DE"/>
        </w:rPr>
        <w:t xml:space="preserve">Entwicklungen vor dem Jahr 2014 sind in Dokument </w:t>
      </w:r>
      <w:r w:rsidRPr="00884C9E">
        <w:rPr>
          <w:lang w:val="de-DE"/>
        </w:rPr>
        <w:t xml:space="preserve">TC/50/7 </w:t>
      </w:r>
      <w:r w:rsidR="00884C9E">
        <w:rPr>
          <w:lang w:val="de-DE"/>
        </w:rPr>
        <w:t>„</w:t>
      </w:r>
      <w:r w:rsidR="00884C9E" w:rsidRPr="00884C9E">
        <w:rPr>
          <w:lang w:val="de-DE"/>
        </w:rPr>
        <w:t>Datenbanken für Sortenbeschreibungen</w:t>
      </w:r>
      <w:r w:rsidR="00884C9E">
        <w:rPr>
          <w:lang w:val="de-DE"/>
        </w:rPr>
        <w:t>“ dargelegt</w:t>
      </w:r>
      <w:r w:rsidRPr="00884C9E">
        <w:rPr>
          <w:rFonts w:cs="Arial"/>
          <w:lang w:val="de-DE"/>
        </w:rPr>
        <w:t>.</w:t>
      </w:r>
      <w:r w:rsidRPr="00884C9E">
        <w:rPr>
          <w:rFonts w:cs="Arial"/>
          <w:color w:val="000000"/>
          <w:lang w:val="de-DE"/>
        </w:rPr>
        <w:t xml:space="preserve">   </w:t>
      </w:r>
    </w:p>
    <w:p w:rsidR="001036A0" w:rsidRPr="00884C9E" w:rsidRDefault="001036A0" w:rsidP="001036A0">
      <w:pPr>
        <w:rPr>
          <w:lang w:val="de-DE"/>
        </w:rPr>
      </w:pPr>
    </w:p>
    <w:p w:rsidR="001036A0" w:rsidRPr="00884C9E" w:rsidRDefault="00F31835" w:rsidP="00F31835">
      <w:pPr>
        <w:pStyle w:val="Heading1"/>
        <w:rPr>
          <w:snapToGrid w:val="0"/>
          <w:lang w:val="de-DE"/>
        </w:rPr>
      </w:pPr>
      <w:bookmarkStart w:id="6" w:name="_Toc413415503"/>
      <w:r w:rsidRPr="00884C9E">
        <w:rPr>
          <w:snapToGrid w:val="0"/>
          <w:lang w:val="de-DE"/>
        </w:rPr>
        <w:t>Entwicklungen im Jahr 2014</w:t>
      </w:r>
      <w:bookmarkEnd w:id="6"/>
    </w:p>
    <w:p w:rsidR="00F31835" w:rsidRPr="00884C9E" w:rsidRDefault="00F31835" w:rsidP="00F31835">
      <w:pPr>
        <w:rPr>
          <w:lang w:val="de-DE"/>
        </w:rPr>
      </w:pPr>
    </w:p>
    <w:p w:rsidR="001036A0" w:rsidRPr="00884C9E" w:rsidRDefault="00F31835" w:rsidP="001036A0">
      <w:pPr>
        <w:pStyle w:val="Heading3"/>
        <w:rPr>
          <w:lang w:val="de-DE"/>
        </w:rPr>
      </w:pPr>
      <w:bookmarkStart w:id="7" w:name="_Toc413415504"/>
      <w:r w:rsidRPr="00884C9E">
        <w:rPr>
          <w:lang w:val="de-DE"/>
        </w:rPr>
        <w:t>Technischer Ausschuß</w:t>
      </w:r>
      <w:bookmarkEnd w:id="7"/>
    </w:p>
    <w:p w:rsidR="001036A0" w:rsidRPr="00884C9E" w:rsidRDefault="001036A0" w:rsidP="001036A0">
      <w:pPr>
        <w:rPr>
          <w:lang w:val="de-DE"/>
        </w:rPr>
      </w:pPr>
    </w:p>
    <w:p w:rsidR="001036A0" w:rsidRPr="00884C9E" w:rsidRDefault="001036A0" w:rsidP="00884C9E">
      <w:pPr>
        <w:rPr>
          <w:snapToGrid w:val="0"/>
          <w:lang w:val="de-DE"/>
        </w:rPr>
      </w:pPr>
      <w:r>
        <w:fldChar w:fldCharType="begin"/>
      </w:r>
      <w:r w:rsidRPr="00884C9E">
        <w:rPr>
          <w:lang w:val="de-DE"/>
        </w:rPr>
        <w:instrText xml:space="preserve"> AUTONUM  </w:instrText>
      </w:r>
      <w:r>
        <w:fldChar w:fldCharType="end"/>
      </w:r>
      <w:r w:rsidRPr="00884C9E">
        <w:rPr>
          <w:lang w:val="de-DE"/>
        </w:rPr>
        <w:tab/>
      </w:r>
      <w:r w:rsidR="00884C9E" w:rsidRPr="00884C9E">
        <w:rPr>
          <w:lang w:val="de-DE"/>
        </w:rPr>
        <w:t>Der TC prüfte auf seiner fünfzigsten Tagung vom 7. bis 9.</w:t>
      </w:r>
      <w:r w:rsidR="00884C9E">
        <w:rPr>
          <w:lang w:val="de-DE"/>
        </w:rPr>
        <w:t xml:space="preserve"> </w:t>
      </w:r>
      <w:r w:rsidR="00884C9E" w:rsidRPr="00884C9E">
        <w:rPr>
          <w:lang w:val="de-DE"/>
        </w:rPr>
        <w:t xml:space="preserve">April 2014 in Genf Dokument </w:t>
      </w:r>
      <w:r w:rsidRPr="00884C9E">
        <w:rPr>
          <w:lang w:val="de-DE"/>
        </w:rPr>
        <w:t xml:space="preserve">TC/50/7 </w:t>
      </w:r>
      <w:r w:rsidR="00884C9E">
        <w:rPr>
          <w:lang w:val="de-DE"/>
        </w:rPr>
        <w:t>„Datenbanken für Sortenbeschreibungen“ und nahm die Entwicklungen</w:t>
      </w:r>
      <w:r w:rsidRPr="00884C9E">
        <w:rPr>
          <w:lang w:val="de-DE"/>
        </w:rPr>
        <w:t xml:space="preserve"> </w:t>
      </w:r>
      <w:r w:rsidR="00D70C6C">
        <w:rPr>
          <w:lang w:val="de-DE"/>
        </w:rPr>
        <w:t>im Hinblick auf</w:t>
      </w:r>
      <w:r w:rsidRPr="00884C9E">
        <w:rPr>
          <w:lang w:val="de-DE"/>
        </w:rPr>
        <w:t xml:space="preserve"> </w:t>
      </w:r>
      <w:r w:rsidR="00884C9E" w:rsidRPr="00884C9E">
        <w:rPr>
          <w:snapToGrid w:val="0"/>
          <w:lang w:val="de-DE"/>
        </w:rPr>
        <w:t xml:space="preserve">Datenbanken für Sortenbezeichnungen </w:t>
      </w:r>
      <w:r w:rsidR="00D70C6C">
        <w:rPr>
          <w:snapToGrid w:val="0"/>
          <w:lang w:val="de-DE"/>
        </w:rPr>
        <w:t xml:space="preserve">zur Kenntnis </w:t>
      </w:r>
      <w:r w:rsidR="00884C9E" w:rsidRPr="00884C9E">
        <w:rPr>
          <w:snapToGrid w:val="0"/>
          <w:lang w:val="de-DE"/>
        </w:rPr>
        <w:t>(vergleiche Dokument TC/50/36 „Bericht über die Entschließungen</w:t>
      </w:r>
      <w:r w:rsidR="00EA0FC6">
        <w:rPr>
          <w:snapToGrid w:val="0"/>
          <w:lang w:val="de-DE"/>
        </w:rPr>
        <w:t>“</w:t>
      </w:r>
      <w:r w:rsidR="00884C9E" w:rsidRPr="00884C9E">
        <w:rPr>
          <w:snapToGrid w:val="0"/>
          <w:lang w:val="de-DE"/>
        </w:rPr>
        <w:t>, Absätze 102</w:t>
      </w:r>
      <w:r w:rsidR="00884C9E">
        <w:rPr>
          <w:snapToGrid w:val="0"/>
          <w:lang w:val="de-DE"/>
        </w:rPr>
        <w:t xml:space="preserve"> und </w:t>
      </w:r>
      <w:r w:rsidRPr="00884C9E">
        <w:rPr>
          <w:snapToGrid w:val="0"/>
          <w:lang w:val="de-DE"/>
        </w:rPr>
        <w:t>103).</w:t>
      </w:r>
    </w:p>
    <w:p w:rsidR="001036A0" w:rsidRPr="00884C9E" w:rsidRDefault="001036A0" w:rsidP="001036A0">
      <w:pPr>
        <w:rPr>
          <w:snapToGrid w:val="0"/>
          <w:lang w:val="de-DE"/>
        </w:rPr>
      </w:pPr>
    </w:p>
    <w:p w:rsidR="001036A0" w:rsidRDefault="001036A0" w:rsidP="001036A0">
      <w:pPr>
        <w:rPr>
          <w:snapToGrid w:val="0"/>
          <w:lang w:val="de-DE"/>
        </w:rPr>
      </w:pPr>
      <w:r>
        <w:rPr>
          <w:snapToGrid w:val="0"/>
        </w:rPr>
        <w:fldChar w:fldCharType="begin"/>
      </w:r>
      <w:r w:rsidRPr="00884C9E">
        <w:rPr>
          <w:snapToGrid w:val="0"/>
          <w:lang w:val="de-DE"/>
        </w:rPr>
        <w:instrText xml:space="preserve"> AUTONUM  </w:instrText>
      </w:r>
      <w:r>
        <w:rPr>
          <w:snapToGrid w:val="0"/>
        </w:rPr>
        <w:fldChar w:fldCharType="end"/>
      </w:r>
      <w:r w:rsidRPr="00884C9E">
        <w:rPr>
          <w:snapToGrid w:val="0"/>
          <w:lang w:val="de-DE"/>
        </w:rPr>
        <w:tab/>
      </w:r>
      <w:r w:rsidR="00884C9E" w:rsidRPr="00884C9E">
        <w:rPr>
          <w:snapToGrid w:val="0"/>
          <w:lang w:val="de-DE"/>
        </w:rPr>
        <w:t>Der TC nahm zur Kenntnis, daß</w:t>
      </w:r>
      <w:r w:rsidRPr="00884C9E">
        <w:rPr>
          <w:snapToGrid w:val="0"/>
          <w:lang w:val="de-DE"/>
        </w:rPr>
        <w:t>:</w:t>
      </w:r>
    </w:p>
    <w:p w:rsidR="009E13D0" w:rsidRPr="00884C9E" w:rsidRDefault="009E13D0" w:rsidP="001036A0">
      <w:pPr>
        <w:rPr>
          <w:snapToGrid w:val="0"/>
          <w:lang w:val="de-DE"/>
        </w:rPr>
      </w:pPr>
    </w:p>
    <w:p w:rsidR="001036A0" w:rsidRPr="009E13D0" w:rsidRDefault="009E13D0" w:rsidP="009C4642">
      <w:pPr>
        <w:pStyle w:val="ListParagraph"/>
        <w:numPr>
          <w:ilvl w:val="0"/>
          <w:numId w:val="4"/>
        </w:numPr>
        <w:spacing w:before="0" w:beforeAutospacing="0" w:after="120" w:afterAutospacing="0"/>
        <w:rPr>
          <w:rFonts w:ascii="Arial" w:hAnsi="Arial"/>
          <w:snapToGrid w:val="0"/>
          <w:sz w:val="20"/>
          <w:szCs w:val="20"/>
          <w:lang w:val="de-DE" w:eastAsia="en-US"/>
        </w:rPr>
      </w:pPr>
      <w:r w:rsidRPr="009E13D0">
        <w:rPr>
          <w:rFonts w:ascii="Arial" w:hAnsi="Arial"/>
          <w:snapToGrid w:val="0"/>
          <w:sz w:val="20"/>
          <w:szCs w:val="20"/>
          <w:lang w:val="de-DE" w:eastAsia="en-US"/>
        </w:rPr>
        <w:t xml:space="preserve">die TWV </w:t>
      </w:r>
      <w:r w:rsidR="00D70C6C">
        <w:rPr>
          <w:rFonts w:ascii="Arial" w:hAnsi="Arial"/>
          <w:snapToGrid w:val="0"/>
          <w:sz w:val="20"/>
          <w:szCs w:val="20"/>
          <w:lang w:val="de-DE" w:eastAsia="en-US"/>
        </w:rPr>
        <w:t>einen</w:t>
      </w:r>
      <w:r w:rsidRPr="009E13D0">
        <w:rPr>
          <w:rFonts w:ascii="Arial" w:hAnsi="Arial"/>
          <w:snapToGrid w:val="0"/>
          <w:sz w:val="20"/>
          <w:szCs w:val="20"/>
          <w:lang w:val="de-DE" w:eastAsia="en-US"/>
        </w:rPr>
        <w:t xml:space="preserve"> Sachverständigen aus Frankreich ersucht hatte, auf ihrer achtundvierzigsten Tagung ein Referat über die GEMMA-Software zu halten, die von der Groupe d'Étude et de contrôle des Variétés et des Semences (GEVES) in einem Forschungs- und Entwicklungsprojekt des Gemeinschaftlichen Sortenamtes der Europäischen Union (CPVO) verwendet wird. Diesbezüglich nahm er den Bericht von Frankreich zur Kenntnis, daß das Referat im Jahr 2014 nicht möglich sein werde</w:t>
      </w:r>
      <w:r w:rsidR="001036A0" w:rsidRPr="009E13D0">
        <w:rPr>
          <w:rFonts w:ascii="Arial" w:hAnsi="Arial"/>
          <w:snapToGrid w:val="0"/>
          <w:sz w:val="20"/>
          <w:szCs w:val="20"/>
          <w:lang w:val="de-DE" w:eastAsia="en-US"/>
        </w:rPr>
        <w:t xml:space="preserve"> (</w:t>
      </w:r>
      <w:r>
        <w:rPr>
          <w:rFonts w:ascii="Arial" w:hAnsi="Arial"/>
          <w:snapToGrid w:val="0"/>
          <w:sz w:val="20"/>
          <w:szCs w:val="20"/>
          <w:lang w:val="de-DE" w:eastAsia="en-US"/>
        </w:rPr>
        <w:t>vergleiche Dokument</w:t>
      </w:r>
      <w:r w:rsidR="001036A0" w:rsidRPr="009E13D0">
        <w:rPr>
          <w:rFonts w:ascii="Arial" w:hAnsi="Arial"/>
          <w:snapToGrid w:val="0"/>
          <w:sz w:val="20"/>
          <w:szCs w:val="20"/>
          <w:lang w:val="de-DE" w:eastAsia="en-US"/>
        </w:rPr>
        <w:t xml:space="preserve"> TC/50/36 </w:t>
      </w:r>
      <w:r>
        <w:rPr>
          <w:rFonts w:ascii="Arial" w:hAnsi="Arial"/>
          <w:snapToGrid w:val="0"/>
          <w:sz w:val="20"/>
          <w:szCs w:val="20"/>
          <w:lang w:val="de-DE" w:eastAsia="en-US"/>
        </w:rPr>
        <w:t>„Bericht über die Entschließungen“</w:t>
      </w:r>
      <w:r w:rsidR="001036A0" w:rsidRPr="009E13D0">
        <w:rPr>
          <w:rFonts w:ascii="Arial" w:hAnsi="Arial"/>
          <w:snapToGrid w:val="0"/>
          <w:sz w:val="20"/>
          <w:szCs w:val="20"/>
          <w:lang w:val="de-DE" w:eastAsia="en-US"/>
        </w:rPr>
        <w:t xml:space="preserve">, </w:t>
      </w:r>
      <w:r w:rsidR="00D70C6C">
        <w:rPr>
          <w:rFonts w:ascii="Arial" w:hAnsi="Arial"/>
          <w:snapToGrid w:val="0"/>
          <w:sz w:val="20"/>
          <w:szCs w:val="20"/>
          <w:lang w:val="de-DE" w:eastAsia="en-US"/>
        </w:rPr>
        <w:t>Absatz</w:t>
      </w:r>
      <w:r w:rsidR="001036A0" w:rsidRPr="009E13D0">
        <w:rPr>
          <w:rFonts w:ascii="Arial" w:hAnsi="Arial"/>
          <w:snapToGrid w:val="0"/>
          <w:sz w:val="20"/>
          <w:szCs w:val="20"/>
          <w:lang w:val="de-DE" w:eastAsia="en-US"/>
        </w:rPr>
        <w:t xml:space="preserve"> 104).</w:t>
      </w:r>
    </w:p>
    <w:p w:rsidR="001036A0" w:rsidRPr="00884C9E" w:rsidRDefault="00884C9E" w:rsidP="009C4642">
      <w:pPr>
        <w:pStyle w:val="ListParagraph"/>
        <w:numPr>
          <w:ilvl w:val="0"/>
          <w:numId w:val="4"/>
        </w:numPr>
        <w:spacing w:before="0" w:beforeAutospacing="0" w:after="120" w:afterAutospacing="0"/>
        <w:rPr>
          <w:rFonts w:ascii="Arial" w:hAnsi="Arial"/>
          <w:snapToGrid w:val="0"/>
          <w:sz w:val="20"/>
          <w:szCs w:val="20"/>
          <w:lang w:val="de-DE" w:eastAsia="en-US"/>
        </w:rPr>
      </w:pPr>
      <w:r w:rsidRPr="00884C9E">
        <w:rPr>
          <w:rFonts w:ascii="Arial" w:hAnsi="Arial"/>
          <w:snapToGrid w:val="0"/>
          <w:sz w:val="20"/>
          <w:szCs w:val="20"/>
          <w:lang w:val="de-DE" w:eastAsia="en-US"/>
        </w:rPr>
        <w:t>die TWC einen Sachverständigen aus China ersucht hat</w:t>
      </w:r>
      <w:r w:rsidR="00D70C6C">
        <w:rPr>
          <w:rFonts w:ascii="Arial" w:hAnsi="Arial"/>
          <w:snapToGrid w:val="0"/>
          <w:sz w:val="20"/>
          <w:szCs w:val="20"/>
          <w:lang w:val="de-DE" w:eastAsia="en-US"/>
        </w:rPr>
        <w:t>te</w:t>
      </w:r>
      <w:r w:rsidRPr="00884C9E">
        <w:rPr>
          <w:rFonts w:ascii="Arial" w:hAnsi="Arial"/>
          <w:snapToGrid w:val="0"/>
          <w:sz w:val="20"/>
          <w:szCs w:val="20"/>
          <w:lang w:val="de-DE" w:eastAsia="en-US"/>
        </w:rPr>
        <w:t>, auf ihrer zweiunddreißigsten Tagung ein Referat über die Variation bei Sortenbezeichnungen über die Jahre an verschiedenen Orten zu halten.</w:t>
      </w:r>
      <w:r>
        <w:rPr>
          <w:rFonts w:ascii="Arial" w:hAnsi="Arial"/>
          <w:snapToGrid w:val="0"/>
          <w:sz w:val="20"/>
          <w:szCs w:val="20"/>
          <w:lang w:val="de-DE" w:eastAsia="en-US"/>
        </w:rPr>
        <w:t xml:space="preserve"> </w:t>
      </w:r>
      <w:r w:rsidRPr="00884C9E">
        <w:rPr>
          <w:rFonts w:ascii="Arial" w:hAnsi="Arial"/>
          <w:snapToGrid w:val="0"/>
          <w:sz w:val="20"/>
          <w:szCs w:val="20"/>
          <w:lang w:val="de-DE" w:eastAsia="en-US"/>
        </w:rPr>
        <w:t xml:space="preserve">Der TC vereinbarte, daß es vorteilhaft wäre, einen Vortrag vor der TWA zu halten </w:t>
      </w:r>
      <w:r w:rsidR="001036A0" w:rsidRPr="00884C9E">
        <w:rPr>
          <w:rFonts w:ascii="Arial" w:hAnsi="Arial"/>
          <w:snapToGrid w:val="0"/>
          <w:sz w:val="20"/>
          <w:szCs w:val="20"/>
          <w:lang w:val="de-DE" w:eastAsia="en-US"/>
        </w:rPr>
        <w:t>(</w:t>
      </w:r>
      <w:r w:rsidR="009E13D0">
        <w:rPr>
          <w:rFonts w:ascii="Arial" w:hAnsi="Arial"/>
          <w:snapToGrid w:val="0"/>
          <w:sz w:val="20"/>
          <w:szCs w:val="20"/>
          <w:lang w:val="de-DE" w:eastAsia="en-US"/>
        </w:rPr>
        <w:t>vergleiche Dokument</w:t>
      </w:r>
      <w:r w:rsidR="001036A0" w:rsidRPr="00884C9E">
        <w:rPr>
          <w:rFonts w:ascii="Arial" w:hAnsi="Arial"/>
          <w:snapToGrid w:val="0"/>
          <w:sz w:val="20"/>
          <w:szCs w:val="20"/>
          <w:lang w:val="de-DE" w:eastAsia="en-US"/>
        </w:rPr>
        <w:t xml:space="preserve"> TC/50/36 </w:t>
      </w:r>
      <w:r w:rsidR="009E13D0">
        <w:rPr>
          <w:rFonts w:ascii="Arial" w:hAnsi="Arial"/>
          <w:snapToGrid w:val="0"/>
          <w:sz w:val="20"/>
          <w:szCs w:val="20"/>
          <w:lang w:val="de-DE" w:eastAsia="en-US"/>
        </w:rPr>
        <w:t>„Bericht über die Entschließungen“</w:t>
      </w:r>
      <w:r w:rsidR="001036A0" w:rsidRPr="00884C9E">
        <w:rPr>
          <w:rFonts w:ascii="Arial" w:hAnsi="Arial"/>
          <w:snapToGrid w:val="0"/>
          <w:sz w:val="20"/>
          <w:szCs w:val="20"/>
          <w:lang w:val="de-DE" w:eastAsia="en-US"/>
        </w:rPr>
        <w:t xml:space="preserve">, </w:t>
      </w:r>
      <w:r w:rsidR="00D70C6C">
        <w:rPr>
          <w:rFonts w:ascii="Arial" w:hAnsi="Arial"/>
          <w:snapToGrid w:val="0"/>
          <w:sz w:val="20"/>
          <w:szCs w:val="20"/>
          <w:lang w:val="de-DE" w:eastAsia="en-US"/>
        </w:rPr>
        <w:t>Absatz</w:t>
      </w:r>
      <w:r w:rsidR="001036A0" w:rsidRPr="00884C9E">
        <w:rPr>
          <w:rFonts w:ascii="Arial" w:hAnsi="Arial"/>
          <w:snapToGrid w:val="0"/>
          <w:sz w:val="20"/>
          <w:szCs w:val="20"/>
          <w:lang w:val="de-DE" w:eastAsia="en-US"/>
        </w:rPr>
        <w:t xml:space="preserve"> 105).</w:t>
      </w:r>
    </w:p>
    <w:p w:rsidR="001036A0" w:rsidRPr="009E13D0" w:rsidRDefault="009E13D0" w:rsidP="009E13D0">
      <w:pPr>
        <w:pStyle w:val="ListParagraph"/>
        <w:numPr>
          <w:ilvl w:val="0"/>
          <w:numId w:val="4"/>
        </w:numPr>
        <w:spacing w:before="0" w:beforeAutospacing="0" w:after="120" w:afterAutospacing="0"/>
        <w:rPr>
          <w:rFonts w:ascii="Arial" w:hAnsi="Arial"/>
          <w:snapToGrid w:val="0"/>
          <w:sz w:val="20"/>
          <w:szCs w:val="20"/>
          <w:lang w:val="de-DE" w:eastAsia="en-US"/>
        </w:rPr>
      </w:pPr>
      <w:r w:rsidRPr="009E13D0">
        <w:rPr>
          <w:rFonts w:ascii="Arial" w:hAnsi="Arial"/>
          <w:snapToGrid w:val="0"/>
          <w:sz w:val="20"/>
          <w:szCs w:val="20"/>
          <w:lang w:val="de-DE" w:eastAsia="en-US"/>
        </w:rPr>
        <w:t xml:space="preserve">die TWC vorgeschlagen hatte, der BMT die auf ihrer einunddreißigsten Tagung von Sachverständigen aus China dargelegten Informationen über die Studie über die Erstellung einer DNS-Fingerabdruckdatenbank für Mais zur Verfügung zu stellen </w:t>
      </w:r>
      <w:r w:rsidR="001036A0" w:rsidRPr="009E13D0">
        <w:rPr>
          <w:rFonts w:ascii="Arial" w:hAnsi="Arial"/>
          <w:snapToGrid w:val="0"/>
          <w:sz w:val="20"/>
          <w:szCs w:val="20"/>
          <w:lang w:val="de-DE" w:eastAsia="en-US"/>
        </w:rPr>
        <w:t>(</w:t>
      </w:r>
      <w:r>
        <w:rPr>
          <w:rFonts w:ascii="Arial" w:hAnsi="Arial"/>
          <w:snapToGrid w:val="0"/>
          <w:sz w:val="20"/>
          <w:szCs w:val="20"/>
          <w:lang w:val="de-DE" w:eastAsia="en-US"/>
        </w:rPr>
        <w:t>vergleiche Dokument</w:t>
      </w:r>
      <w:r w:rsidR="001036A0" w:rsidRPr="009E13D0">
        <w:rPr>
          <w:rFonts w:ascii="Arial" w:hAnsi="Arial"/>
          <w:snapToGrid w:val="0"/>
          <w:sz w:val="20"/>
          <w:szCs w:val="20"/>
          <w:lang w:val="de-DE" w:eastAsia="en-US"/>
        </w:rPr>
        <w:t xml:space="preserve"> TC/50/36 </w:t>
      </w:r>
      <w:r>
        <w:rPr>
          <w:rFonts w:ascii="Arial" w:hAnsi="Arial"/>
          <w:snapToGrid w:val="0"/>
          <w:sz w:val="20"/>
          <w:szCs w:val="20"/>
          <w:lang w:val="de-DE" w:eastAsia="en-US"/>
        </w:rPr>
        <w:t>„Bericht über die Entschließungen“</w:t>
      </w:r>
      <w:r w:rsidR="001036A0" w:rsidRPr="009E13D0">
        <w:rPr>
          <w:rFonts w:ascii="Arial" w:hAnsi="Arial"/>
          <w:snapToGrid w:val="0"/>
          <w:sz w:val="20"/>
          <w:szCs w:val="20"/>
          <w:lang w:val="de-DE" w:eastAsia="en-US"/>
        </w:rPr>
        <w:t xml:space="preserve">, </w:t>
      </w:r>
      <w:r w:rsidR="00D70C6C">
        <w:rPr>
          <w:rFonts w:ascii="Arial" w:hAnsi="Arial"/>
          <w:snapToGrid w:val="0"/>
          <w:sz w:val="20"/>
          <w:szCs w:val="20"/>
          <w:lang w:val="de-DE" w:eastAsia="en-US"/>
        </w:rPr>
        <w:t>Absatz</w:t>
      </w:r>
      <w:r w:rsidR="001036A0" w:rsidRPr="009E13D0">
        <w:rPr>
          <w:rFonts w:ascii="Arial" w:hAnsi="Arial"/>
          <w:snapToGrid w:val="0"/>
          <w:sz w:val="20"/>
          <w:szCs w:val="20"/>
          <w:lang w:val="de-DE" w:eastAsia="en-US"/>
        </w:rPr>
        <w:t xml:space="preserve"> 106).</w:t>
      </w:r>
    </w:p>
    <w:p w:rsidR="001036A0" w:rsidRPr="009E13D0" w:rsidRDefault="009E13D0" w:rsidP="009E13D0">
      <w:pPr>
        <w:pStyle w:val="ListParagraph"/>
        <w:numPr>
          <w:ilvl w:val="0"/>
          <w:numId w:val="4"/>
        </w:numPr>
        <w:spacing w:before="0" w:beforeAutospacing="0" w:after="120" w:afterAutospacing="0"/>
        <w:rPr>
          <w:rFonts w:ascii="Arial" w:hAnsi="Arial"/>
          <w:snapToGrid w:val="0"/>
          <w:sz w:val="20"/>
          <w:szCs w:val="20"/>
          <w:lang w:val="de-DE" w:eastAsia="en-US"/>
        </w:rPr>
      </w:pPr>
      <w:r w:rsidRPr="009E13D0">
        <w:rPr>
          <w:rFonts w:ascii="Arial" w:hAnsi="Arial"/>
          <w:snapToGrid w:val="0"/>
          <w:sz w:val="20"/>
          <w:szCs w:val="20"/>
          <w:lang w:val="de-DE" w:eastAsia="en-US"/>
        </w:rPr>
        <w:t xml:space="preserve">die TWF einen Sachverständigen aus der Europäischen Union ersucht hatte, die Entwicklung einer Datenbank für Pfirsich vorzustellen, und nahm den Bericht zur Kenntnis, daß dieses Referat nun im Jahr 2015 gehalten werde </w:t>
      </w:r>
      <w:r w:rsidR="001036A0" w:rsidRPr="009E13D0">
        <w:rPr>
          <w:rFonts w:ascii="Arial" w:hAnsi="Arial"/>
          <w:snapToGrid w:val="0"/>
          <w:sz w:val="20"/>
          <w:szCs w:val="20"/>
          <w:lang w:val="de-DE" w:eastAsia="en-US"/>
        </w:rPr>
        <w:t>(</w:t>
      </w:r>
      <w:r>
        <w:rPr>
          <w:rFonts w:ascii="Arial" w:hAnsi="Arial"/>
          <w:snapToGrid w:val="0"/>
          <w:sz w:val="20"/>
          <w:szCs w:val="20"/>
          <w:lang w:val="de-DE" w:eastAsia="en-US"/>
        </w:rPr>
        <w:t>vergleiche Dokument</w:t>
      </w:r>
      <w:r w:rsidR="001036A0" w:rsidRPr="009E13D0">
        <w:rPr>
          <w:rFonts w:ascii="Arial" w:hAnsi="Arial"/>
          <w:snapToGrid w:val="0"/>
          <w:sz w:val="20"/>
          <w:szCs w:val="20"/>
          <w:lang w:val="de-DE" w:eastAsia="en-US"/>
        </w:rPr>
        <w:t xml:space="preserve"> TC/50/36 </w:t>
      </w:r>
      <w:r>
        <w:rPr>
          <w:rFonts w:ascii="Arial" w:hAnsi="Arial"/>
          <w:snapToGrid w:val="0"/>
          <w:sz w:val="20"/>
          <w:szCs w:val="20"/>
          <w:lang w:val="de-DE" w:eastAsia="en-US"/>
        </w:rPr>
        <w:t>„Bericht über die Entschließungen“</w:t>
      </w:r>
      <w:r w:rsidR="001036A0" w:rsidRPr="009E13D0">
        <w:rPr>
          <w:rFonts w:ascii="Arial" w:hAnsi="Arial"/>
          <w:snapToGrid w:val="0"/>
          <w:sz w:val="20"/>
          <w:szCs w:val="20"/>
          <w:lang w:val="de-DE" w:eastAsia="en-US"/>
        </w:rPr>
        <w:t xml:space="preserve">, </w:t>
      </w:r>
      <w:r w:rsidR="00D70C6C">
        <w:rPr>
          <w:rFonts w:ascii="Arial" w:hAnsi="Arial"/>
          <w:snapToGrid w:val="0"/>
          <w:sz w:val="20"/>
          <w:szCs w:val="20"/>
          <w:lang w:val="de-DE" w:eastAsia="en-US"/>
        </w:rPr>
        <w:t>Absatz</w:t>
      </w:r>
      <w:r w:rsidR="001036A0" w:rsidRPr="009E13D0">
        <w:rPr>
          <w:rFonts w:ascii="Arial" w:hAnsi="Arial"/>
          <w:snapToGrid w:val="0"/>
          <w:sz w:val="20"/>
          <w:szCs w:val="20"/>
          <w:lang w:val="de-DE" w:eastAsia="en-US"/>
        </w:rPr>
        <w:t xml:space="preserve"> 107).</w:t>
      </w:r>
    </w:p>
    <w:p w:rsidR="001036A0" w:rsidRPr="009E13D0" w:rsidRDefault="009E13D0" w:rsidP="009E13D0">
      <w:pPr>
        <w:pStyle w:val="ListParagraph"/>
        <w:numPr>
          <w:ilvl w:val="0"/>
          <w:numId w:val="4"/>
        </w:numPr>
        <w:spacing w:before="0" w:beforeAutospacing="0" w:after="120" w:afterAutospacing="0"/>
        <w:rPr>
          <w:rFonts w:ascii="Arial" w:hAnsi="Arial"/>
          <w:snapToGrid w:val="0"/>
          <w:sz w:val="20"/>
          <w:szCs w:val="20"/>
          <w:lang w:val="de-DE" w:eastAsia="en-US"/>
        </w:rPr>
      </w:pPr>
      <w:r w:rsidRPr="009E13D0">
        <w:rPr>
          <w:rFonts w:ascii="Arial" w:hAnsi="Arial"/>
          <w:snapToGrid w:val="0"/>
          <w:sz w:val="20"/>
          <w:szCs w:val="20"/>
          <w:lang w:val="de-DE" w:eastAsia="en-US"/>
        </w:rPr>
        <w:t>die TWO einen Sachverständigen aus Australien ersucht hatte, auf ihrer siebenundvierzigsten Tagung auf ähnliche Weise wie die Datenbank, die derzeit für Erbse entwickelt wird, eine erste Studie über die Durchführbarkeit der Entwicklung einer Datenbank zu leiten</w:t>
      </w:r>
      <w:r w:rsidR="001036A0" w:rsidRPr="009E13D0">
        <w:rPr>
          <w:rFonts w:ascii="Arial" w:hAnsi="Arial"/>
          <w:snapToGrid w:val="0"/>
          <w:sz w:val="20"/>
          <w:szCs w:val="20"/>
          <w:lang w:val="de-DE" w:eastAsia="en-US"/>
        </w:rPr>
        <w:t xml:space="preserve"> (</w:t>
      </w:r>
      <w:r>
        <w:rPr>
          <w:rFonts w:ascii="Arial" w:hAnsi="Arial"/>
          <w:snapToGrid w:val="0"/>
          <w:sz w:val="20"/>
          <w:szCs w:val="20"/>
          <w:lang w:val="de-DE" w:eastAsia="en-US"/>
        </w:rPr>
        <w:t>vergleiche Dokument</w:t>
      </w:r>
      <w:r w:rsidR="001036A0" w:rsidRPr="009E13D0">
        <w:rPr>
          <w:rFonts w:ascii="Arial" w:hAnsi="Arial"/>
          <w:snapToGrid w:val="0"/>
          <w:sz w:val="20"/>
          <w:szCs w:val="20"/>
          <w:lang w:val="de-DE" w:eastAsia="en-US"/>
        </w:rPr>
        <w:t xml:space="preserve"> TC/50/36 </w:t>
      </w:r>
      <w:r>
        <w:rPr>
          <w:rFonts w:ascii="Arial" w:hAnsi="Arial"/>
          <w:snapToGrid w:val="0"/>
          <w:sz w:val="20"/>
          <w:szCs w:val="20"/>
          <w:lang w:val="de-DE" w:eastAsia="en-US"/>
        </w:rPr>
        <w:t>„Bericht über die Entschließungen“</w:t>
      </w:r>
      <w:r w:rsidR="001036A0" w:rsidRPr="009E13D0">
        <w:rPr>
          <w:rFonts w:ascii="Arial" w:hAnsi="Arial"/>
          <w:snapToGrid w:val="0"/>
          <w:sz w:val="20"/>
          <w:szCs w:val="20"/>
          <w:lang w:val="de-DE" w:eastAsia="en-US"/>
        </w:rPr>
        <w:t xml:space="preserve">, </w:t>
      </w:r>
      <w:r w:rsidR="00D70C6C">
        <w:rPr>
          <w:rFonts w:ascii="Arial" w:hAnsi="Arial"/>
          <w:snapToGrid w:val="0"/>
          <w:sz w:val="20"/>
          <w:szCs w:val="20"/>
          <w:lang w:val="de-DE" w:eastAsia="en-US"/>
        </w:rPr>
        <w:t>Absatz</w:t>
      </w:r>
      <w:r w:rsidR="001036A0" w:rsidRPr="009E13D0">
        <w:rPr>
          <w:rFonts w:ascii="Arial" w:hAnsi="Arial"/>
          <w:snapToGrid w:val="0"/>
          <w:sz w:val="20"/>
          <w:szCs w:val="20"/>
          <w:lang w:val="de-DE" w:eastAsia="en-US"/>
        </w:rPr>
        <w:t xml:space="preserve"> 108).</w:t>
      </w:r>
    </w:p>
    <w:p w:rsidR="001036A0" w:rsidRPr="009E13D0" w:rsidRDefault="001036A0" w:rsidP="001036A0">
      <w:pPr>
        <w:rPr>
          <w:lang w:val="de-DE"/>
        </w:rPr>
      </w:pPr>
    </w:p>
    <w:p w:rsidR="001036A0" w:rsidRPr="00D70C6C" w:rsidRDefault="001036A0" w:rsidP="001036A0">
      <w:pPr>
        <w:rPr>
          <w:lang w:val="de-DE"/>
        </w:rPr>
      </w:pPr>
      <w:r w:rsidRPr="002070BE">
        <w:rPr>
          <w:snapToGrid w:val="0"/>
        </w:rPr>
        <w:fldChar w:fldCharType="begin"/>
      </w:r>
      <w:r w:rsidRPr="00D70C6C">
        <w:rPr>
          <w:snapToGrid w:val="0"/>
          <w:lang w:val="de-DE"/>
        </w:rPr>
        <w:instrText xml:space="preserve"> AUTONUM  </w:instrText>
      </w:r>
      <w:r w:rsidRPr="002070BE">
        <w:rPr>
          <w:snapToGrid w:val="0"/>
        </w:rPr>
        <w:fldChar w:fldCharType="end"/>
      </w:r>
      <w:r w:rsidRPr="00D70C6C">
        <w:rPr>
          <w:snapToGrid w:val="0"/>
          <w:lang w:val="de-DE"/>
        </w:rPr>
        <w:tab/>
      </w:r>
      <w:r w:rsidR="009E13D0" w:rsidRPr="00D70C6C">
        <w:rPr>
          <w:lang w:val="de-DE"/>
        </w:rPr>
        <w:t>Hinsichtlich</w:t>
      </w:r>
      <w:r w:rsidRPr="00D70C6C">
        <w:rPr>
          <w:lang w:val="de-DE"/>
        </w:rPr>
        <w:t xml:space="preserve"> </w:t>
      </w:r>
      <w:r w:rsidR="009E13D0" w:rsidRPr="00D70C6C">
        <w:rPr>
          <w:lang w:val="de-DE"/>
        </w:rPr>
        <w:t>Absatz</w:t>
      </w:r>
      <w:r w:rsidRPr="00D70C6C">
        <w:rPr>
          <w:lang w:val="de-DE"/>
        </w:rPr>
        <w:t xml:space="preserve"> 7 </w:t>
      </w:r>
      <w:r w:rsidR="0069064F">
        <w:rPr>
          <w:lang w:val="de-DE"/>
        </w:rPr>
        <w:t>(</w:t>
      </w:r>
      <w:r w:rsidRPr="00D70C6C">
        <w:rPr>
          <w:lang w:val="de-DE"/>
        </w:rPr>
        <w:t xml:space="preserve">e) </w:t>
      </w:r>
      <w:r w:rsidR="00D70C6C" w:rsidRPr="00D70C6C">
        <w:rPr>
          <w:lang w:val="de-DE"/>
        </w:rPr>
        <w:t>dieses</w:t>
      </w:r>
      <w:r w:rsidRPr="00D70C6C">
        <w:rPr>
          <w:lang w:val="de-DE"/>
        </w:rPr>
        <w:t xml:space="preserve"> </w:t>
      </w:r>
      <w:r w:rsidR="00D167F7" w:rsidRPr="00D70C6C">
        <w:rPr>
          <w:lang w:val="de-DE"/>
        </w:rPr>
        <w:t>Dokument</w:t>
      </w:r>
      <w:r w:rsidR="00D70C6C" w:rsidRPr="00D70C6C">
        <w:rPr>
          <w:lang w:val="de-DE"/>
        </w:rPr>
        <w:t xml:space="preserve">s teilte der </w:t>
      </w:r>
      <w:r w:rsidR="00F413C7" w:rsidRPr="00D70C6C">
        <w:rPr>
          <w:lang w:val="de-DE"/>
        </w:rPr>
        <w:t>Sachverständige</w:t>
      </w:r>
      <w:r w:rsidR="00D70C6C" w:rsidRPr="00D70C6C">
        <w:rPr>
          <w:lang w:val="de-DE"/>
        </w:rPr>
        <w:t xml:space="preserve"> aus Australien dem Verbandsbüro mit, daß die Entwicklung einer</w:t>
      </w:r>
      <w:r w:rsidRPr="00D70C6C">
        <w:rPr>
          <w:lang w:val="de-DE"/>
        </w:rPr>
        <w:t xml:space="preserve"> </w:t>
      </w:r>
      <w:r w:rsidR="00F5541E" w:rsidRPr="00D70C6C">
        <w:rPr>
          <w:lang w:val="de-DE"/>
        </w:rPr>
        <w:t>Datenbank</w:t>
      </w:r>
      <w:r w:rsidRPr="00D70C6C">
        <w:rPr>
          <w:lang w:val="de-DE"/>
        </w:rPr>
        <w:t xml:space="preserve"> </w:t>
      </w:r>
      <w:r w:rsidR="00D70C6C">
        <w:rPr>
          <w:lang w:val="de-DE"/>
        </w:rPr>
        <w:t>für die</w:t>
      </w:r>
      <w:r w:rsidRPr="00D70C6C">
        <w:rPr>
          <w:lang w:val="de-DE"/>
        </w:rPr>
        <w:t xml:space="preserve"> TWO</w:t>
      </w:r>
      <w:r w:rsidR="00D70C6C">
        <w:rPr>
          <w:lang w:val="de-DE"/>
        </w:rPr>
        <w:t xml:space="preserve"> </w:t>
      </w:r>
      <w:r w:rsidR="00EA0FC6">
        <w:rPr>
          <w:lang w:val="de-DE"/>
        </w:rPr>
        <w:t>nicht relevant scheine</w:t>
      </w:r>
      <w:r w:rsidRPr="00D70C6C">
        <w:rPr>
          <w:lang w:val="de-DE"/>
        </w:rPr>
        <w:t>.</w:t>
      </w:r>
    </w:p>
    <w:p w:rsidR="001036A0" w:rsidRPr="00D70C6C" w:rsidRDefault="001036A0" w:rsidP="001036A0">
      <w:pPr>
        <w:rPr>
          <w:lang w:val="de-DE"/>
        </w:rPr>
      </w:pPr>
    </w:p>
    <w:p w:rsidR="001036A0" w:rsidRPr="009E13D0" w:rsidRDefault="009E13D0" w:rsidP="001036A0">
      <w:pPr>
        <w:pStyle w:val="Heading3"/>
        <w:rPr>
          <w:lang w:val="de-DE"/>
        </w:rPr>
      </w:pPr>
      <w:bookmarkStart w:id="8" w:name="_Toc387851758"/>
      <w:bookmarkStart w:id="9" w:name="_Toc413415505"/>
      <w:r w:rsidRPr="009E13D0">
        <w:rPr>
          <w:lang w:val="de-DE"/>
        </w:rPr>
        <w:t>Angelegenheiten, die vom International Seed Federation (ISF) aufgeworfen wurden</w:t>
      </w:r>
      <w:bookmarkEnd w:id="8"/>
      <w:bookmarkEnd w:id="9"/>
    </w:p>
    <w:p w:rsidR="001036A0" w:rsidRPr="009E13D0" w:rsidRDefault="001036A0" w:rsidP="001036A0">
      <w:pPr>
        <w:rPr>
          <w:lang w:val="de-DE"/>
        </w:rPr>
      </w:pPr>
    </w:p>
    <w:p w:rsidR="001036A0" w:rsidRPr="009E13D0" w:rsidRDefault="001036A0" w:rsidP="009E13D0">
      <w:pPr>
        <w:rPr>
          <w:snapToGrid w:val="0"/>
          <w:lang w:val="de-DE"/>
        </w:rPr>
      </w:pPr>
      <w:r>
        <w:fldChar w:fldCharType="begin"/>
      </w:r>
      <w:r w:rsidRPr="009E13D0">
        <w:rPr>
          <w:lang w:val="de-DE"/>
        </w:rPr>
        <w:instrText xml:space="preserve"> AUTONUM  </w:instrText>
      </w:r>
      <w:r>
        <w:fldChar w:fldCharType="end"/>
      </w:r>
      <w:r w:rsidRPr="009E13D0">
        <w:rPr>
          <w:lang w:val="de-DE"/>
        </w:rPr>
        <w:tab/>
      </w:r>
      <w:r w:rsidR="009E13D0" w:rsidRPr="009E13D0">
        <w:rPr>
          <w:lang w:val="de-DE"/>
        </w:rPr>
        <w:t>Der Beratende Ausschuß erörterte auf seiner sechsundachtzigsten Tagung vom 23. und 24. Oktober 2013 in Genf das Schreiben de</w:t>
      </w:r>
      <w:r w:rsidR="009E13D0">
        <w:rPr>
          <w:lang w:val="de-DE"/>
        </w:rPr>
        <w:t>s</w:t>
      </w:r>
      <w:r w:rsidR="009E13D0" w:rsidRPr="009E13D0">
        <w:rPr>
          <w:lang w:val="de-DE"/>
        </w:rPr>
        <w:t xml:space="preserve"> </w:t>
      </w:r>
      <w:r w:rsidR="009E13D0" w:rsidRPr="009E13D0">
        <w:rPr>
          <w:i/>
          <w:lang w:val="de-DE"/>
        </w:rPr>
        <w:t>International Seed Federation</w:t>
      </w:r>
      <w:r w:rsidR="009E13D0" w:rsidRPr="009E13D0">
        <w:rPr>
          <w:lang w:val="de-DE"/>
        </w:rPr>
        <w:t xml:space="preserve"> (ISF) vom 21.</w:t>
      </w:r>
      <w:r w:rsidR="009E13D0">
        <w:rPr>
          <w:lang w:val="de-DE"/>
        </w:rPr>
        <w:t xml:space="preserve"> </w:t>
      </w:r>
      <w:r w:rsidR="009E13D0" w:rsidRPr="009E13D0">
        <w:rPr>
          <w:lang w:val="de-DE"/>
        </w:rPr>
        <w:t xml:space="preserve">Januar 2013 zum Thema „Anträge, Prüfung und Erteilungsaspekte von Anträgen auf Erteilung von Züchterrechten“ und ersuchte </w:t>
      </w:r>
      <w:r w:rsidR="00D70C6C">
        <w:rPr>
          <w:lang w:val="de-DE"/>
        </w:rPr>
        <w:t>den</w:t>
      </w:r>
      <w:r w:rsidR="009E13D0" w:rsidRPr="009E13D0">
        <w:rPr>
          <w:lang w:val="de-DE"/>
        </w:rPr>
        <w:t xml:space="preserve"> ISF, </w:t>
      </w:r>
      <w:r w:rsidR="00D70C6C">
        <w:rPr>
          <w:lang w:val="de-DE"/>
        </w:rPr>
        <w:t>seine</w:t>
      </w:r>
      <w:r w:rsidR="009E13D0" w:rsidRPr="009E13D0">
        <w:rPr>
          <w:lang w:val="de-DE"/>
        </w:rPr>
        <w:t xml:space="preserve"> Ansichten über den einschlägigen Teil dieses Punktes zu äußern</w:t>
      </w:r>
      <w:r w:rsidRPr="009E13D0">
        <w:rPr>
          <w:lang w:val="de-DE"/>
        </w:rPr>
        <w:t xml:space="preserve"> </w:t>
      </w:r>
      <w:r w:rsidRPr="009E13D0">
        <w:rPr>
          <w:snapToGrid w:val="0"/>
          <w:lang w:val="de-DE"/>
        </w:rPr>
        <w:t>(</w:t>
      </w:r>
      <w:r w:rsidR="009E13D0">
        <w:rPr>
          <w:lang w:val="de-DE"/>
        </w:rPr>
        <w:t>vergleiche Dokument</w:t>
      </w:r>
      <w:r w:rsidRPr="009E13D0">
        <w:rPr>
          <w:lang w:val="de-DE"/>
        </w:rPr>
        <w:t xml:space="preserve"> C/47/15 Rev. </w:t>
      </w:r>
      <w:r w:rsidR="009E13D0" w:rsidRPr="009E13D0">
        <w:rPr>
          <w:lang w:val="de-DE"/>
        </w:rPr>
        <w:t>„Bericht des Präsidenten über die Arbeiten der sechsundachtzigsten Tagung des Beratenden Ausschusses; gegebenenfalls Annahme von Empfehlungen, die dieser Aussc</w:t>
      </w:r>
      <w:r w:rsidR="0069064F">
        <w:rPr>
          <w:lang w:val="de-DE"/>
        </w:rPr>
        <w:t>huss ausgearbeitet hat“</w:t>
      </w:r>
      <w:r w:rsidRPr="009E13D0">
        <w:rPr>
          <w:lang w:val="de-DE"/>
        </w:rPr>
        <w:t xml:space="preserve">, </w:t>
      </w:r>
      <w:r w:rsidR="009E13D0" w:rsidRPr="009E13D0">
        <w:rPr>
          <w:snapToGrid w:val="0"/>
          <w:lang w:val="de-DE"/>
        </w:rPr>
        <w:t>Absätze</w:t>
      </w:r>
      <w:r w:rsidRPr="009E13D0">
        <w:rPr>
          <w:snapToGrid w:val="0"/>
          <w:lang w:val="de-DE"/>
        </w:rPr>
        <w:t xml:space="preserve"> 62</w:t>
      </w:r>
      <w:r w:rsidR="009E13D0" w:rsidRPr="009E13D0">
        <w:rPr>
          <w:snapToGrid w:val="0"/>
          <w:lang w:val="de-DE"/>
        </w:rPr>
        <w:t xml:space="preserve"> bis </w:t>
      </w:r>
      <w:r w:rsidRPr="009E13D0">
        <w:rPr>
          <w:snapToGrid w:val="0"/>
          <w:lang w:val="de-DE"/>
        </w:rPr>
        <w:t>66).</w:t>
      </w:r>
    </w:p>
    <w:p w:rsidR="001036A0" w:rsidRPr="009E13D0" w:rsidRDefault="001036A0" w:rsidP="001036A0">
      <w:pPr>
        <w:rPr>
          <w:i/>
          <w:snapToGrid w:val="0"/>
          <w:lang w:val="de-DE"/>
        </w:rPr>
      </w:pPr>
    </w:p>
    <w:p w:rsidR="001036A0" w:rsidRPr="009E13D0" w:rsidRDefault="001036A0" w:rsidP="001036A0">
      <w:pPr>
        <w:tabs>
          <w:tab w:val="left" w:pos="567"/>
        </w:tabs>
        <w:rPr>
          <w:lang w:val="de-DE"/>
        </w:rPr>
      </w:pPr>
      <w:r>
        <w:lastRenderedPageBreak/>
        <w:fldChar w:fldCharType="begin"/>
      </w:r>
      <w:r w:rsidRPr="009E13D0">
        <w:rPr>
          <w:lang w:val="de-DE"/>
        </w:rPr>
        <w:instrText xml:space="preserve"> AUTONUM  </w:instrText>
      </w:r>
      <w:r>
        <w:fldChar w:fldCharType="end"/>
      </w:r>
      <w:r w:rsidRPr="009E13D0">
        <w:rPr>
          <w:lang w:val="de-DE"/>
        </w:rPr>
        <w:tab/>
      </w:r>
      <w:r w:rsidR="009E13D0" w:rsidRPr="009E13D0">
        <w:rPr>
          <w:lang w:val="de-DE"/>
        </w:rPr>
        <w:t xml:space="preserve">Der TC ersuchte den ISF, die maßgeblichen UPOV-Materialien zu prüfen und zu erläutern, wo nach seiner Auffassung weitere Anleitung in bezug auf die folgenden Angelegenheiten erarbeitet werden könnte, wie in Dokument TC/50/10, Absatz 46, dargelegt </w:t>
      </w:r>
      <w:r w:rsidRPr="009E13D0">
        <w:rPr>
          <w:lang w:val="de-DE"/>
        </w:rPr>
        <w:t>(</w:t>
      </w:r>
      <w:r w:rsidR="009E13D0">
        <w:rPr>
          <w:lang w:val="de-DE"/>
        </w:rPr>
        <w:t>vergleiche Dokument</w:t>
      </w:r>
      <w:r w:rsidRPr="009E13D0">
        <w:rPr>
          <w:lang w:val="de-DE"/>
        </w:rPr>
        <w:t xml:space="preserve"> TC/50/36 </w:t>
      </w:r>
      <w:r w:rsidR="009E13D0">
        <w:rPr>
          <w:lang w:val="de-DE"/>
        </w:rPr>
        <w:t>„Bericht über die Entschließungen“</w:t>
      </w:r>
      <w:r w:rsidRPr="009E13D0">
        <w:rPr>
          <w:lang w:val="de-DE"/>
        </w:rPr>
        <w:t xml:space="preserve">, </w:t>
      </w:r>
      <w:r w:rsidR="009E13D0" w:rsidRPr="009E13D0">
        <w:rPr>
          <w:lang w:val="de-DE"/>
        </w:rPr>
        <w:t>Absatz</w:t>
      </w:r>
      <w:r w:rsidRPr="009E13D0">
        <w:rPr>
          <w:lang w:val="de-DE"/>
        </w:rPr>
        <w:t xml:space="preserve"> 12):</w:t>
      </w:r>
    </w:p>
    <w:p w:rsidR="001036A0" w:rsidRPr="009E13D0" w:rsidRDefault="001036A0" w:rsidP="001036A0">
      <w:pPr>
        <w:tabs>
          <w:tab w:val="left" w:pos="567"/>
        </w:tabs>
        <w:rPr>
          <w:lang w:val="de-DE"/>
        </w:rPr>
      </w:pPr>
    </w:p>
    <w:p w:rsidR="009E13D0" w:rsidRPr="009E13D0" w:rsidRDefault="009E13D0" w:rsidP="009E13D0">
      <w:pPr>
        <w:ind w:left="567"/>
        <w:rPr>
          <w:lang w:val="de-DE"/>
        </w:rPr>
      </w:pPr>
      <w:r w:rsidRPr="009E13D0">
        <w:rPr>
          <w:lang w:val="de-DE"/>
        </w:rPr>
        <w:t>a) Fotoaufnahmen</w:t>
      </w:r>
    </w:p>
    <w:p w:rsidR="009E13D0" w:rsidRPr="009E13D0" w:rsidRDefault="009E13D0" w:rsidP="009E13D0">
      <w:pPr>
        <w:ind w:left="567"/>
        <w:rPr>
          <w:lang w:val="de-DE"/>
        </w:rPr>
      </w:pPr>
      <w:r w:rsidRPr="009E13D0">
        <w:rPr>
          <w:lang w:val="de-DE"/>
        </w:rPr>
        <w:t>b) Mindestprobengröße</w:t>
      </w:r>
    </w:p>
    <w:p w:rsidR="009E13D0" w:rsidRPr="009E13D0" w:rsidRDefault="009E13D0" w:rsidP="009E13D0">
      <w:pPr>
        <w:ind w:left="567"/>
        <w:rPr>
          <w:lang w:val="de-DE"/>
        </w:rPr>
      </w:pPr>
      <w:r w:rsidRPr="009E13D0">
        <w:rPr>
          <w:lang w:val="de-DE"/>
        </w:rPr>
        <w:t>c) Vergleichssammlungen</w:t>
      </w:r>
    </w:p>
    <w:p w:rsidR="009E13D0" w:rsidRPr="009E13D0" w:rsidRDefault="009E13D0" w:rsidP="009E13D0">
      <w:pPr>
        <w:ind w:left="567"/>
        <w:rPr>
          <w:lang w:val="de-DE"/>
        </w:rPr>
      </w:pPr>
      <w:r w:rsidRPr="009E13D0">
        <w:rPr>
          <w:lang w:val="de-DE"/>
        </w:rPr>
        <w:t>d) Dauer der Prüfung</w:t>
      </w:r>
    </w:p>
    <w:p w:rsidR="001036A0" w:rsidRPr="009E13D0" w:rsidRDefault="009E13D0" w:rsidP="009E13D0">
      <w:pPr>
        <w:ind w:left="567"/>
        <w:rPr>
          <w:lang w:val="de-DE"/>
        </w:rPr>
      </w:pPr>
      <w:r w:rsidRPr="009E13D0">
        <w:rPr>
          <w:lang w:val="de-DE"/>
        </w:rPr>
        <w:t>e) Sortenbezeichnung der ähnlichsten Sorte</w:t>
      </w:r>
    </w:p>
    <w:p w:rsidR="001036A0" w:rsidRPr="009E13D0" w:rsidRDefault="001036A0" w:rsidP="001036A0">
      <w:pPr>
        <w:rPr>
          <w:lang w:val="de-DE"/>
        </w:rPr>
      </w:pPr>
    </w:p>
    <w:tbl>
      <w:tblPr>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1036A0" w:rsidRPr="002C34C9" w:rsidTr="009C4642">
        <w:tc>
          <w:tcPr>
            <w:tcW w:w="8646" w:type="dxa"/>
            <w:shd w:val="clear" w:color="auto" w:fill="auto"/>
          </w:tcPr>
          <w:p w:rsidR="001036A0" w:rsidRPr="009E13D0" w:rsidRDefault="009E13D0" w:rsidP="009C4642">
            <w:pPr>
              <w:rPr>
                <w:rFonts w:eastAsia="MS Mincho"/>
                <w:sz w:val="18"/>
                <w:szCs w:val="18"/>
                <w:lang w:val="de-DE"/>
              </w:rPr>
            </w:pPr>
            <w:r w:rsidRPr="009E13D0">
              <w:rPr>
                <w:rFonts w:eastAsia="MS Mincho"/>
                <w:sz w:val="18"/>
                <w:szCs w:val="18"/>
                <w:lang w:val="de-DE"/>
              </w:rPr>
              <w:t>[Auszug aus dem Schreiben de</w:t>
            </w:r>
            <w:r>
              <w:rPr>
                <w:rFonts w:eastAsia="MS Mincho"/>
                <w:sz w:val="18"/>
                <w:szCs w:val="18"/>
                <w:lang w:val="de-DE"/>
              </w:rPr>
              <w:t>s</w:t>
            </w:r>
            <w:r w:rsidRPr="009E13D0">
              <w:rPr>
                <w:rFonts w:eastAsia="MS Mincho"/>
                <w:sz w:val="18"/>
                <w:szCs w:val="18"/>
                <w:lang w:val="de-DE"/>
              </w:rPr>
              <w:t xml:space="preserve"> ISF]</w:t>
            </w:r>
          </w:p>
          <w:p w:rsidR="00F67D5E" w:rsidRDefault="00F67D5E" w:rsidP="00F67D5E">
            <w:pPr>
              <w:rPr>
                <w:rFonts w:eastAsia="MS Mincho"/>
                <w:sz w:val="18"/>
                <w:szCs w:val="18"/>
                <w:lang w:val="de-DE"/>
              </w:rPr>
            </w:pPr>
            <w:r w:rsidRPr="00F67D5E">
              <w:rPr>
                <w:rFonts w:eastAsia="MS Mincho"/>
                <w:sz w:val="18"/>
                <w:szCs w:val="18"/>
                <w:lang w:val="de-DE"/>
              </w:rPr>
              <w:t>„</w:t>
            </w:r>
            <w:r w:rsidRPr="00D70C6C">
              <w:rPr>
                <w:rFonts w:eastAsia="MS Mincho"/>
                <w:sz w:val="18"/>
                <w:szCs w:val="18"/>
                <w:u w:val="single"/>
                <w:lang w:val="de-DE"/>
              </w:rPr>
              <w:t>Sortenbeschreibung der ähnlichsten Sorte</w:t>
            </w:r>
            <w:r w:rsidRPr="00F67D5E">
              <w:rPr>
                <w:rFonts w:eastAsia="MS Mincho"/>
                <w:sz w:val="18"/>
                <w:szCs w:val="18"/>
                <w:lang w:val="de-DE"/>
              </w:rPr>
              <w:t>: In einzelnen Ländern wird vom Antragsteller verlangt, die vollständige Sortenbeschreibung der ähnlichsten Sorte(n) einzureichen, während im Sinne der UPOV lediglich die Unterschiede zwischen der Kandidatensorte und der ähnlichsten Sorte angegeben werden müssen.</w:t>
            </w:r>
            <w:r>
              <w:rPr>
                <w:rFonts w:eastAsia="MS Mincho"/>
                <w:sz w:val="18"/>
                <w:szCs w:val="18"/>
                <w:lang w:val="de-DE"/>
              </w:rPr>
              <w:t xml:space="preserve"> </w:t>
            </w:r>
            <w:r w:rsidRPr="00F67D5E">
              <w:rPr>
                <w:rFonts w:eastAsia="MS Mincho"/>
                <w:sz w:val="18"/>
                <w:szCs w:val="18"/>
                <w:lang w:val="de-DE"/>
              </w:rPr>
              <w:t>Die ISF-Mitglieder haben allgemein den Eindruck, daß die Einreichung einer vollständigen Sortenbeschreibung der Kandidatensorten und der Vergleichssorten für den Antragsteller zu beschwerlich ist.</w:t>
            </w:r>
            <w:r>
              <w:rPr>
                <w:rFonts w:eastAsia="MS Mincho"/>
                <w:sz w:val="18"/>
                <w:szCs w:val="18"/>
                <w:lang w:val="de-DE"/>
              </w:rPr>
              <w:t xml:space="preserve"> </w:t>
            </w:r>
            <w:r w:rsidRPr="00F67D5E">
              <w:rPr>
                <w:rFonts w:eastAsia="MS Mincho"/>
                <w:sz w:val="18"/>
                <w:szCs w:val="18"/>
                <w:lang w:val="de-DE"/>
              </w:rPr>
              <w:t>Dies ist zeitraubend und verursacht Verzögerungen des Antragsverfahrens.</w:t>
            </w:r>
            <w:r>
              <w:rPr>
                <w:rFonts w:eastAsia="MS Mincho"/>
                <w:sz w:val="18"/>
                <w:szCs w:val="18"/>
                <w:lang w:val="de-DE"/>
              </w:rPr>
              <w:t xml:space="preserve"> </w:t>
            </w:r>
            <w:r w:rsidRPr="00F67D5E">
              <w:rPr>
                <w:rFonts w:eastAsia="MS Mincho"/>
                <w:sz w:val="18"/>
                <w:szCs w:val="18"/>
                <w:lang w:val="de-DE"/>
              </w:rPr>
              <w:t>In den meisten Fällen muß für derartige Sortenbeschreibungen ein besonderer Beobachtungsversuch angelegt werden.</w:t>
            </w:r>
            <w:r>
              <w:rPr>
                <w:rFonts w:eastAsia="MS Mincho"/>
                <w:sz w:val="18"/>
                <w:szCs w:val="18"/>
                <w:lang w:val="de-DE"/>
              </w:rPr>
              <w:t xml:space="preserve"> </w:t>
            </w:r>
            <w:r w:rsidRPr="00F67D5E">
              <w:rPr>
                <w:rFonts w:eastAsia="MS Mincho"/>
                <w:sz w:val="18"/>
                <w:szCs w:val="18"/>
                <w:lang w:val="de-DE"/>
              </w:rPr>
              <w:t>Bei einem Prioritätsanspruch kann dies für den Antragsteller ein großer Nachteil sein.</w:t>
            </w:r>
            <w:r>
              <w:rPr>
                <w:rFonts w:eastAsia="MS Mincho"/>
                <w:sz w:val="18"/>
                <w:szCs w:val="18"/>
                <w:lang w:val="de-DE"/>
              </w:rPr>
              <w:t xml:space="preserve"> </w:t>
            </w:r>
            <w:r w:rsidRPr="00F67D5E">
              <w:rPr>
                <w:rFonts w:eastAsia="MS Mincho"/>
                <w:sz w:val="18"/>
                <w:szCs w:val="18"/>
                <w:lang w:val="de-DE"/>
              </w:rPr>
              <w:t>Die Einreichung einer vollständigen Sortenbeschreibung der ähnlichsten Sorten ist ein noch größeres Problem, wenn es sich um Sorten von Konkurrenten handelt.</w:t>
            </w:r>
            <w:r>
              <w:rPr>
                <w:rFonts w:eastAsia="MS Mincho"/>
                <w:sz w:val="18"/>
                <w:szCs w:val="18"/>
                <w:lang w:val="de-DE"/>
              </w:rPr>
              <w:t xml:space="preserve"> </w:t>
            </w:r>
          </w:p>
          <w:p w:rsidR="00F67D5E" w:rsidRDefault="00F67D5E" w:rsidP="00F67D5E">
            <w:pPr>
              <w:rPr>
                <w:rFonts w:eastAsia="MS Mincho"/>
                <w:sz w:val="18"/>
                <w:szCs w:val="18"/>
                <w:lang w:val="de-DE"/>
              </w:rPr>
            </w:pPr>
          </w:p>
          <w:p w:rsidR="00F67D5E" w:rsidRPr="00F67D5E" w:rsidRDefault="00F67D5E" w:rsidP="00F67D5E">
            <w:pPr>
              <w:rPr>
                <w:rFonts w:eastAsia="MS Mincho"/>
                <w:sz w:val="18"/>
                <w:szCs w:val="18"/>
                <w:lang w:val="de-DE"/>
              </w:rPr>
            </w:pPr>
            <w:r>
              <w:rPr>
                <w:rFonts w:eastAsia="MS Mincho"/>
                <w:sz w:val="18"/>
                <w:szCs w:val="18"/>
                <w:lang w:val="de-DE"/>
              </w:rPr>
              <w:t>„</w:t>
            </w:r>
            <w:r w:rsidRPr="00F67D5E">
              <w:rPr>
                <w:rFonts w:eastAsia="MS Mincho"/>
                <w:sz w:val="18"/>
                <w:szCs w:val="18"/>
                <w:lang w:val="de-DE"/>
              </w:rPr>
              <w:t>Der Antragsteller sollte lediglich die Unterschiede zwischen der Kandidatensorte und den ähnlichsten Sorten angeben müssen.</w:t>
            </w:r>
            <w:r>
              <w:rPr>
                <w:rFonts w:eastAsia="MS Mincho"/>
                <w:sz w:val="18"/>
                <w:szCs w:val="18"/>
                <w:lang w:val="de-DE"/>
              </w:rPr>
              <w:t xml:space="preserve"> </w:t>
            </w:r>
            <w:r w:rsidRPr="00F67D5E">
              <w:rPr>
                <w:rFonts w:eastAsia="MS Mincho"/>
                <w:sz w:val="18"/>
                <w:szCs w:val="18"/>
                <w:lang w:val="de-DE"/>
              </w:rPr>
              <w:t>Mit anderen Worten sollte nur der von der UPOV erstellte Technische Fragebogen ausgefüllt werden.</w:t>
            </w:r>
          </w:p>
          <w:p w:rsidR="00F67D5E" w:rsidRPr="00F67D5E" w:rsidRDefault="00F67D5E" w:rsidP="00F67D5E">
            <w:pPr>
              <w:rPr>
                <w:rFonts w:eastAsia="MS Mincho"/>
                <w:sz w:val="18"/>
                <w:szCs w:val="18"/>
                <w:lang w:val="de-DE"/>
              </w:rPr>
            </w:pPr>
          </w:p>
          <w:p w:rsidR="00F67D5E" w:rsidRDefault="00F67D5E" w:rsidP="00F67D5E">
            <w:pPr>
              <w:rPr>
                <w:rFonts w:eastAsia="MS Mincho"/>
                <w:sz w:val="18"/>
                <w:szCs w:val="18"/>
                <w:lang w:val="de-DE"/>
              </w:rPr>
            </w:pPr>
            <w:r>
              <w:rPr>
                <w:rFonts w:eastAsia="MS Mincho"/>
                <w:sz w:val="18"/>
                <w:szCs w:val="18"/>
                <w:lang w:val="de-DE"/>
              </w:rPr>
              <w:t>„</w:t>
            </w:r>
            <w:r w:rsidRPr="00F67D5E">
              <w:rPr>
                <w:rFonts w:eastAsia="MS Mincho"/>
                <w:sz w:val="18"/>
                <w:szCs w:val="18"/>
                <w:lang w:val="de-DE"/>
              </w:rPr>
              <w:t>Die Züchtungsverfahren ändern sich schnell, ebenso die Sorten.</w:t>
            </w:r>
            <w:r>
              <w:rPr>
                <w:rFonts w:eastAsia="MS Mincho"/>
                <w:sz w:val="18"/>
                <w:szCs w:val="18"/>
                <w:lang w:val="de-DE"/>
              </w:rPr>
              <w:t xml:space="preserve"> </w:t>
            </w:r>
            <w:r w:rsidRPr="00F67D5E">
              <w:rPr>
                <w:rFonts w:eastAsia="MS Mincho"/>
                <w:sz w:val="18"/>
                <w:szCs w:val="18"/>
                <w:lang w:val="de-DE"/>
              </w:rPr>
              <w:t>Neue Merkmale werden ständig zur derzeitigen Liste hinzugefügt.</w:t>
            </w:r>
            <w:r>
              <w:rPr>
                <w:rFonts w:eastAsia="MS Mincho"/>
                <w:sz w:val="18"/>
                <w:szCs w:val="18"/>
                <w:lang w:val="de-DE"/>
              </w:rPr>
              <w:t xml:space="preserve"> </w:t>
            </w:r>
            <w:r w:rsidRPr="00F67D5E">
              <w:rPr>
                <w:rFonts w:eastAsia="MS Mincho"/>
                <w:sz w:val="18"/>
                <w:szCs w:val="18"/>
                <w:lang w:val="de-DE"/>
              </w:rPr>
              <w:t>Somit ist eine fristgerechte Einführung neuer Merkmale in die Technischen Fragebogen und die Sortenbeschreibungen notwendig, um ausreichende Unterscheidungskraft zwischen den Sorten sicherzustellen</w:t>
            </w:r>
            <w:r>
              <w:rPr>
                <w:rFonts w:eastAsia="MS Mincho"/>
                <w:sz w:val="18"/>
                <w:szCs w:val="18"/>
                <w:lang w:val="de-DE"/>
              </w:rPr>
              <w:t>.“</w:t>
            </w:r>
          </w:p>
          <w:p w:rsidR="001036A0" w:rsidRPr="00F67D5E" w:rsidRDefault="00F67D5E" w:rsidP="00F67D5E">
            <w:pPr>
              <w:rPr>
                <w:rFonts w:eastAsia="MS Mincho"/>
                <w:sz w:val="18"/>
                <w:szCs w:val="18"/>
                <w:lang w:val="de-DE"/>
              </w:rPr>
            </w:pPr>
            <w:r w:rsidRPr="00F67D5E">
              <w:rPr>
                <w:rFonts w:eastAsia="MS Mincho"/>
                <w:sz w:val="18"/>
                <w:szCs w:val="18"/>
                <w:u w:val="single"/>
                <w:lang w:val="de-DE"/>
              </w:rPr>
              <w:t xml:space="preserve"> </w:t>
            </w:r>
          </w:p>
        </w:tc>
      </w:tr>
      <w:tr w:rsidR="001036A0" w:rsidRPr="002C34C9" w:rsidTr="009C4642">
        <w:tc>
          <w:tcPr>
            <w:tcW w:w="8646" w:type="dxa"/>
            <w:shd w:val="clear" w:color="auto" w:fill="auto"/>
          </w:tcPr>
          <w:p w:rsidR="001036A0" w:rsidRPr="008546E4" w:rsidRDefault="00F67D5E" w:rsidP="009C4642">
            <w:pPr>
              <w:rPr>
                <w:rFonts w:eastAsia="MS Mincho" w:cs="Arial"/>
                <w:i/>
                <w:sz w:val="18"/>
                <w:szCs w:val="18"/>
              </w:rPr>
            </w:pPr>
            <w:proofErr w:type="spellStart"/>
            <w:r w:rsidRPr="00F67D5E">
              <w:rPr>
                <w:rFonts w:eastAsia="MS Mincho" w:cs="Arial"/>
                <w:i/>
                <w:sz w:val="18"/>
                <w:szCs w:val="18"/>
              </w:rPr>
              <w:t>Einschlägiges</w:t>
            </w:r>
            <w:proofErr w:type="spellEnd"/>
            <w:r w:rsidRPr="00F67D5E">
              <w:rPr>
                <w:rFonts w:eastAsia="MS Mincho" w:cs="Arial"/>
                <w:i/>
                <w:sz w:val="18"/>
                <w:szCs w:val="18"/>
              </w:rPr>
              <w:t xml:space="preserve"> UPOV-Material</w:t>
            </w:r>
            <w:r w:rsidR="001036A0" w:rsidRPr="008546E4">
              <w:rPr>
                <w:rFonts w:eastAsia="MS Mincho" w:cs="Arial"/>
                <w:i/>
                <w:sz w:val="18"/>
                <w:szCs w:val="18"/>
              </w:rPr>
              <w:t>:</w:t>
            </w:r>
          </w:p>
          <w:p w:rsidR="001036A0" w:rsidRPr="008546E4" w:rsidRDefault="001036A0" w:rsidP="009C4642">
            <w:pPr>
              <w:rPr>
                <w:rFonts w:eastAsia="MS Mincho" w:cs="Arial"/>
                <w:i/>
                <w:sz w:val="18"/>
                <w:szCs w:val="18"/>
              </w:rPr>
            </w:pPr>
          </w:p>
          <w:p w:rsidR="001036A0" w:rsidRPr="00F67D5E" w:rsidRDefault="00F67D5E" w:rsidP="00F67D5E">
            <w:pPr>
              <w:pStyle w:val="ListParagraph"/>
              <w:numPr>
                <w:ilvl w:val="0"/>
                <w:numId w:val="5"/>
              </w:numPr>
              <w:tabs>
                <w:tab w:val="left" w:pos="290"/>
                <w:tab w:val="left" w:pos="574"/>
              </w:tabs>
              <w:spacing w:before="0" w:beforeAutospacing="0" w:after="0" w:afterAutospacing="0"/>
              <w:contextualSpacing/>
              <w:jc w:val="both"/>
              <w:rPr>
                <w:rFonts w:ascii="Arial" w:eastAsia="MS Mincho" w:hAnsi="Arial" w:cs="Arial"/>
                <w:i/>
                <w:snapToGrid w:val="0"/>
                <w:sz w:val="18"/>
                <w:szCs w:val="18"/>
                <w:lang w:val="de-DE"/>
              </w:rPr>
            </w:pPr>
            <w:r w:rsidRPr="00F67D5E">
              <w:rPr>
                <w:rFonts w:ascii="Arial" w:eastAsia="MS Mincho" w:hAnsi="Arial" w:cs="Arial"/>
                <w:i/>
                <w:snapToGrid w:val="0"/>
                <w:sz w:val="18"/>
                <w:szCs w:val="18"/>
                <w:lang w:val="de-DE"/>
              </w:rPr>
              <w:t>TGP/7 Abschnitt 4, „Erstellung von Prüfungsrichtlinien einzelner Behörden</w:t>
            </w:r>
            <w:r>
              <w:rPr>
                <w:rFonts w:ascii="Arial" w:eastAsia="MS Mincho" w:hAnsi="Arial" w:cs="Arial"/>
                <w:i/>
                <w:snapToGrid w:val="0"/>
                <w:sz w:val="18"/>
                <w:szCs w:val="18"/>
                <w:lang w:val="de-DE"/>
              </w:rPr>
              <w:t>“</w:t>
            </w:r>
          </w:p>
          <w:p w:rsidR="001036A0" w:rsidRPr="00F67D5E" w:rsidRDefault="00F67D5E" w:rsidP="00F67D5E">
            <w:pPr>
              <w:pStyle w:val="ListParagraph"/>
              <w:numPr>
                <w:ilvl w:val="0"/>
                <w:numId w:val="5"/>
              </w:numPr>
              <w:tabs>
                <w:tab w:val="left" w:pos="290"/>
                <w:tab w:val="left" w:pos="574"/>
              </w:tabs>
              <w:spacing w:before="0" w:beforeAutospacing="0" w:after="0" w:afterAutospacing="0"/>
              <w:contextualSpacing/>
              <w:jc w:val="both"/>
              <w:rPr>
                <w:rFonts w:ascii="Arial" w:eastAsia="MS Mincho" w:hAnsi="Arial" w:cs="Arial"/>
                <w:i/>
                <w:sz w:val="18"/>
                <w:szCs w:val="18"/>
                <w:lang w:val="de-DE"/>
              </w:rPr>
            </w:pPr>
            <w:r w:rsidRPr="00F67D5E">
              <w:rPr>
                <w:rFonts w:ascii="Arial" w:eastAsia="MS Mincho" w:hAnsi="Arial" w:cs="Arial"/>
                <w:i/>
                <w:snapToGrid w:val="0"/>
                <w:sz w:val="18"/>
                <w:szCs w:val="18"/>
                <w:lang w:val="de-DE"/>
              </w:rPr>
              <w:t>TGP/7 „Erstellung von Prüfungsrichtlinien“, Abschnitt 2, „Verfahren zur Einführung und Überarbeitung von UPOV-Prüfungsrichtlinien“</w:t>
            </w:r>
          </w:p>
        </w:tc>
      </w:tr>
    </w:tbl>
    <w:p w:rsidR="001036A0" w:rsidRPr="00F67D5E" w:rsidRDefault="001036A0" w:rsidP="001036A0">
      <w:pPr>
        <w:tabs>
          <w:tab w:val="left" w:pos="993"/>
        </w:tabs>
        <w:spacing w:line="360" w:lineRule="auto"/>
        <w:rPr>
          <w:lang w:val="de-DE"/>
        </w:rPr>
      </w:pPr>
    </w:p>
    <w:p w:rsidR="001036A0" w:rsidRPr="0069064F" w:rsidRDefault="001036A0" w:rsidP="001036A0">
      <w:pPr>
        <w:tabs>
          <w:tab w:val="left" w:pos="993"/>
        </w:tabs>
        <w:ind w:left="709" w:hanging="142"/>
        <w:rPr>
          <w:lang w:val="de-DE"/>
        </w:rPr>
      </w:pPr>
      <w:bookmarkStart w:id="10" w:name="_Toc381174891"/>
      <w:r w:rsidRPr="0069064F">
        <w:rPr>
          <w:lang w:val="de-DE"/>
        </w:rPr>
        <w:t>f)</w:t>
      </w:r>
      <w:r w:rsidRPr="0069064F">
        <w:rPr>
          <w:lang w:val="de-DE"/>
        </w:rPr>
        <w:tab/>
      </w:r>
      <w:bookmarkEnd w:id="10"/>
      <w:r w:rsidR="005C2CC2">
        <w:rPr>
          <w:lang w:val="de-DE"/>
        </w:rPr>
        <w:tab/>
      </w:r>
      <w:r w:rsidR="00F67D5E" w:rsidRPr="0069064F">
        <w:rPr>
          <w:lang w:val="de-DE"/>
        </w:rPr>
        <w:t>Sortenbeschreibung durch den Antragsteller</w:t>
      </w:r>
    </w:p>
    <w:p w:rsidR="001036A0" w:rsidRPr="0069064F" w:rsidRDefault="001036A0" w:rsidP="001036A0">
      <w:pPr>
        <w:keepNext/>
        <w:rPr>
          <w:lang w:val="de-DE"/>
        </w:rPr>
      </w:pPr>
    </w:p>
    <w:tbl>
      <w:tblPr>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1036A0" w:rsidRPr="002C34C9" w:rsidTr="009C4642">
        <w:trPr>
          <w:cantSplit/>
        </w:trPr>
        <w:tc>
          <w:tcPr>
            <w:tcW w:w="8646" w:type="dxa"/>
            <w:shd w:val="clear" w:color="auto" w:fill="auto"/>
          </w:tcPr>
          <w:p w:rsidR="00F67D5E" w:rsidRPr="00F67D5E" w:rsidRDefault="00F67D5E" w:rsidP="009C4642">
            <w:pPr>
              <w:rPr>
                <w:rFonts w:eastAsia="MS Mincho"/>
                <w:sz w:val="18"/>
                <w:szCs w:val="18"/>
                <w:lang w:val="de-DE"/>
              </w:rPr>
            </w:pPr>
            <w:r>
              <w:rPr>
                <w:rFonts w:eastAsia="MS Mincho"/>
                <w:sz w:val="18"/>
                <w:szCs w:val="18"/>
                <w:lang w:val="de-DE"/>
              </w:rPr>
              <w:t>[Auszug aus dem Schreiben des</w:t>
            </w:r>
            <w:r w:rsidRPr="00F67D5E">
              <w:rPr>
                <w:rFonts w:eastAsia="MS Mincho"/>
                <w:sz w:val="18"/>
                <w:szCs w:val="18"/>
                <w:lang w:val="de-DE"/>
              </w:rPr>
              <w:t xml:space="preserve"> ISF] </w:t>
            </w:r>
          </w:p>
          <w:p w:rsidR="00F67D5E" w:rsidRPr="00F67D5E" w:rsidRDefault="00F67D5E" w:rsidP="00F67D5E">
            <w:pPr>
              <w:rPr>
                <w:rFonts w:eastAsia="MS Mincho"/>
                <w:sz w:val="18"/>
                <w:szCs w:val="18"/>
                <w:lang w:val="de-DE"/>
              </w:rPr>
            </w:pPr>
            <w:r w:rsidRPr="00F67D5E">
              <w:rPr>
                <w:rFonts w:eastAsia="MS Mincho"/>
                <w:sz w:val="18"/>
                <w:szCs w:val="18"/>
                <w:lang w:val="de-DE"/>
              </w:rPr>
              <w:t>„</w:t>
            </w:r>
            <w:r w:rsidRPr="00C944CA">
              <w:rPr>
                <w:rFonts w:eastAsia="MS Mincho"/>
                <w:sz w:val="18"/>
                <w:szCs w:val="18"/>
                <w:u w:val="single"/>
                <w:lang w:val="de-DE"/>
              </w:rPr>
              <w:t>Sortenbeschreibung durch den Antragsteller</w:t>
            </w:r>
            <w:r w:rsidRPr="00F67D5E">
              <w:rPr>
                <w:rFonts w:eastAsia="MS Mincho"/>
                <w:sz w:val="18"/>
                <w:szCs w:val="18"/>
                <w:lang w:val="de-DE"/>
              </w:rPr>
              <w:t>: In bestimmten Ländern werden Sorten in vollem Umfang vom Antragsteller beschrieben.</w:t>
            </w:r>
            <w:r w:rsidR="00C944CA">
              <w:rPr>
                <w:rFonts w:eastAsia="MS Mincho"/>
                <w:sz w:val="18"/>
                <w:szCs w:val="18"/>
                <w:lang w:val="de-DE"/>
              </w:rPr>
              <w:t xml:space="preserve"> </w:t>
            </w:r>
            <w:r w:rsidRPr="00F67D5E">
              <w:rPr>
                <w:rFonts w:eastAsia="MS Mincho"/>
                <w:sz w:val="18"/>
                <w:szCs w:val="18"/>
                <w:lang w:val="de-DE"/>
              </w:rPr>
              <w:t>Das bedeutet, daß dieselbe Sorte infolge verschiedener Einflußfaktoren (Anbauperiode, Wachstumsumgebung und Antragsteller-Prüfer) völlig unterschiedlich beschrieben werden kann.</w:t>
            </w:r>
            <w:r w:rsidR="00C944CA">
              <w:rPr>
                <w:rFonts w:eastAsia="MS Mincho"/>
                <w:sz w:val="18"/>
                <w:szCs w:val="18"/>
                <w:lang w:val="de-DE"/>
              </w:rPr>
              <w:t xml:space="preserve"> </w:t>
            </w:r>
            <w:r w:rsidRPr="00F67D5E">
              <w:rPr>
                <w:rFonts w:eastAsia="MS Mincho"/>
                <w:sz w:val="18"/>
                <w:szCs w:val="18"/>
                <w:lang w:val="de-DE"/>
              </w:rPr>
              <w:t>Erstellt der Antragsteller die Sortenbeschreibung, muß es harmonisiertere Regeln und eine Aufsicht durch die Züchterrechtsbehörden geben.</w:t>
            </w:r>
            <w:r w:rsidR="00C944CA">
              <w:rPr>
                <w:rFonts w:eastAsia="MS Mincho"/>
                <w:sz w:val="18"/>
                <w:szCs w:val="18"/>
                <w:lang w:val="de-DE"/>
              </w:rPr>
              <w:t xml:space="preserve"> </w:t>
            </w:r>
            <w:r w:rsidRPr="00F67D5E">
              <w:rPr>
                <w:rFonts w:eastAsia="MS Mincho"/>
                <w:sz w:val="18"/>
                <w:szCs w:val="18"/>
                <w:lang w:val="de-DE"/>
              </w:rPr>
              <w:t>Eine angemessene Kalibrierung gemäß UPOV Normen ist ein Weg zur Lösung der Probleme.</w:t>
            </w:r>
            <w:r w:rsidR="00C944CA">
              <w:rPr>
                <w:rFonts w:eastAsia="MS Mincho"/>
                <w:sz w:val="18"/>
                <w:szCs w:val="18"/>
                <w:lang w:val="de-DE"/>
              </w:rPr>
              <w:t xml:space="preserve"> </w:t>
            </w:r>
            <w:r w:rsidRPr="00F67D5E">
              <w:rPr>
                <w:rFonts w:eastAsia="MS Mincho"/>
                <w:sz w:val="18"/>
                <w:szCs w:val="18"/>
                <w:lang w:val="de-DE"/>
              </w:rPr>
              <w:t>In der Regel läßt sich sagen, daß das Vorhandensein eines zentralen Prüfungsamtes eine bessere und vollständigere Vergleichssammlung ermöglicht und eine bessere Prüfung der Kandidatensorten gewährleistet.</w:t>
            </w:r>
          </w:p>
          <w:p w:rsidR="00F67D5E" w:rsidRPr="00F67D5E" w:rsidRDefault="00F67D5E" w:rsidP="00F67D5E">
            <w:pPr>
              <w:rPr>
                <w:rFonts w:eastAsia="MS Mincho"/>
                <w:sz w:val="18"/>
                <w:szCs w:val="18"/>
                <w:lang w:val="de-DE"/>
              </w:rPr>
            </w:pPr>
          </w:p>
          <w:p w:rsidR="001036A0" w:rsidRDefault="00C944CA" w:rsidP="00C944CA">
            <w:pPr>
              <w:rPr>
                <w:rFonts w:eastAsia="MS Mincho"/>
                <w:sz w:val="18"/>
                <w:szCs w:val="18"/>
                <w:lang w:val="de-DE"/>
              </w:rPr>
            </w:pPr>
            <w:r>
              <w:rPr>
                <w:rFonts w:eastAsia="MS Mincho"/>
                <w:sz w:val="18"/>
                <w:szCs w:val="18"/>
                <w:lang w:val="de-DE"/>
              </w:rPr>
              <w:t>„</w:t>
            </w:r>
            <w:r w:rsidR="00F67D5E" w:rsidRPr="00F67D5E">
              <w:rPr>
                <w:rFonts w:eastAsia="MS Mincho"/>
                <w:sz w:val="18"/>
                <w:szCs w:val="18"/>
                <w:lang w:val="de-DE"/>
              </w:rPr>
              <w:t>Die Erstellung einer Sortenbeschreibung, einschließlich statistischer Daten, ist eine schwere Belastung für den Antragsteller, was ein Grund dafür ist, daß Saatgutunternehmen in diesem Land keine Anträge auf Erteilung von Züchterrechten stellen.</w:t>
            </w:r>
            <w:r>
              <w:rPr>
                <w:rFonts w:eastAsia="MS Mincho"/>
                <w:sz w:val="18"/>
                <w:szCs w:val="18"/>
                <w:lang w:val="de-DE"/>
              </w:rPr>
              <w:t xml:space="preserve"> </w:t>
            </w:r>
            <w:r w:rsidR="00F67D5E" w:rsidRPr="00F67D5E">
              <w:rPr>
                <w:rFonts w:eastAsia="MS Mincho"/>
                <w:sz w:val="18"/>
                <w:szCs w:val="18"/>
                <w:lang w:val="de-DE"/>
              </w:rPr>
              <w:t xml:space="preserve">Beispiel: Dieselben Sorten von Mais wurden auf derart unterschiedliche Weise beschreiben, daß verschiedene Merkmale nicht mehr verwendet werden können, um die Sorten zu unterscheiden.“ </w:t>
            </w:r>
          </w:p>
          <w:p w:rsidR="0069064F" w:rsidRPr="00F67D5E" w:rsidRDefault="0069064F" w:rsidP="00C944CA">
            <w:pPr>
              <w:rPr>
                <w:rFonts w:eastAsia="MS Mincho"/>
                <w:sz w:val="18"/>
                <w:szCs w:val="18"/>
                <w:lang w:val="de-DE"/>
              </w:rPr>
            </w:pPr>
          </w:p>
        </w:tc>
      </w:tr>
      <w:tr w:rsidR="001036A0" w:rsidRPr="002C34C9" w:rsidTr="009C4642">
        <w:tc>
          <w:tcPr>
            <w:tcW w:w="8646" w:type="dxa"/>
            <w:shd w:val="clear" w:color="auto" w:fill="auto"/>
          </w:tcPr>
          <w:p w:rsidR="001036A0" w:rsidRPr="008546E4" w:rsidRDefault="00C944CA" w:rsidP="00C944CA">
            <w:pPr>
              <w:rPr>
                <w:rFonts w:eastAsia="MS Mincho" w:cs="Arial"/>
                <w:i/>
                <w:sz w:val="18"/>
              </w:rPr>
            </w:pPr>
            <w:proofErr w:type="spellStart"/>
            <w:r w:rsidRPr="00C944CA">
              <w:rPr>
                <w:rFonts w:eastAsia="MS Mincho" w:cs="Arial"/>
                <w:i/>
                <w:sz w:val="18"/>
              </w:rPr>
              <w:t>Einschlägiges</w:t>
            </w:r>
            <w:proofErr w:type="spellEnd"/>
            <w:r w:rsidRPr="00C944CA">
              <w:rPr>
                <w:rFonts w:eastAsia="MS Mincho" w:cs="Arial"/>
                <w:i/>
                <w:sz w:val="18"/>
              </w:rPr>
              <w:t xml:space="preserve"> UPOV-Material</w:t>
            </w:r>
            <w:r w:rsidR="001036A0" w:rsidRPr="008546E4">
              <w:rPr>
                <w:rFonts w:eastAsia="MS Mincho" w:cs="Arial"/>
                <w:i/>
                <w:sz w:val="18"/>
              </w:rPr>
              <w:t>:</w:t>
            </w:r>
          </w:p>
          <w:p w:rsidR="001036A0" w:rsidRPr="008546E4" w:rsidRDefault="001036A0" w:rsidP="009C4642">
            <w:pPr>
              <w:rPr>
                <w:rFonts w:eastAsia="MS Mincho" w:cs="Arial"/>
                <w:i/>
                <w:sz w:val="18"/>
              </w:rPr>
            </w:pPr>
          </w:p>
          <w:p w:rsidR="001036A0" w:rsidRPr="00C944CA" w:rsidRDefault="00C944CA" w:rsidP="00C944CA">
            <w:pPr>
              <w:pStyle w:val="ListParagraph"/>
              <w:numPr>
                <w:ilvl w:val="0"/>
                <w:numId w:val="5"/>
              </w:numPr>
              <w:tabs>
                <w:tab w:val="left" w:pos="290"/>
                <w:tab w:val="left" w:pos="574"/>
              </w:tabs>
              <w:spacing w:before="0" w:beforeAutospacing="0" w:after="0" w:afterAutospacing="0"/>
              <w:contextualSpacing/>
              <w:jc w:val="both"/>
              <w:rPr>
                <w:rFonts w:ascii="Arial" w:eastAsia="MS Mincho" w:hAnsi="Arial" w:cs="Arial"/>
                <w:i/>
                <w:sz w:val="18"/>
                <w:szCs w:val="20"/>
                <w:lang w:val="de-DE"/>
              </w:rPr>
            </w:pPr>
            <w:r>
              <w:rPr>
                <w:rFonts w:ascii="Arial" w:eastAsia="MS Mincho" w:hAnsi="Arial" w:cs="Arial"/>
                <w:i/>
                <w:snapToGrid w:val="0"/>
                <w:color w:val="000000"/>
                <w:sz w:val="18"/>
                <w:szCs w:val="20"/>
                <w:lang w:val="de-DE"/>
              </w:rPr>
              <w:t xml:space="preserve">   </w:t>
            </w:r>
            <w:r w:rsidRPr="00C944CA">
              <w:rPr>
                <w:rFonts w:ascii="Arial" w:eastAsia="MS Mincho" w:hAnsi="Arial" w:cs="Arial"/>
                <w:i/>
                <w:snapToGrid w:val="0"/>
                <w:color w:val="000000"/>
                <w:sz w:val="18"/>
                <w:szCs w:val="20"/>
                <w:lang w:val="de-DE"/>
              </w:rPr>
              <w:t>TGP/6 „Organisation der DUS-Prüfung“, Abschnitt 3, „Erklärung zu den Bedingungen für die Prüfung einer Sorte aufgrund der durch oder für den Züchter durchgeführten Anbauprüfungen und sonstigen Untersuchungen“</w:t>
            </w:r>
          </w:p>
        </w:tc>
      </w:tr>
    </w:tbl>
    <w:p w:rsidR="001036A0" w:rsidRPr="00C944CA" w:rsidRDefault="001036A0" w:rsidP="001036A0">
      <w:pPr>
        <w:spacing w:line="360" w:lineRule="auto"/>
        <w:rPr>
          <w:lang w:val="de-DE"/>
        </w:rPr>
      </w:pPr>
    </w:p>
    <w:p w:rsidR="001036A0" w:rsidRDefault="001036A0" w:rsidP="001036A0">
      <w:pPr>
        <w:tabs>
          <w:tab w:val="left" w:pos="993"/>
        </w:tabs>
        <w:ind w:left="709" w:hanging="142"/>
      </w:pPr>
      <w:bookmarkStart w:id="11" w:name="_Toc381174892"/>
      <w:r w:rsidRPr="00E33A48">
        <w:t>g)</w:t>
      </w:r>
      <w:r>
        <w:tab/>
      </w:r>
      <w:proofErr w:type="spellStart"/>
      <w:r w:rsidR="00884C9E">
        <w:t>Datenbanken</w:t>
      </w:r>
      <w:proofErr w:type="spellEnd"/>
      <w:r w:rsidR="00884C9E">
        <w:t xml:space="preserve"> </w:t>
      </w:r>
      <w:proofErr w:type="spellStart"/>
      <w:r w:rsidR="00884C9E">
        <w:t>für</w:t>
      </w:r>
      <w:proofErr w:type="spellEnd"/>
      <w:r w:rsidR="00884C9E">
        <w:t xml:space="preserve"> </w:t>
      </w:r>
      <w:proofErr w:type="spellStart"/>
      <w:r w:rsidR="00884C9E">
        <w:t>Sortenbeschreibungen</w:t>
      </w:r>
      <w:bookmarkEnd w:id="11"/>
      <w:proofErr w:type="spellEnd"/>
    </w:p>
    <w:p w:rsidR="001036A0" w:rsidRDefault="001036A0" w:rsidP="001036A0"/>
    <w:tbl>
      <w:tblPr>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1036A0" w:rsidRPr="002C34C9" w:rsidTr="009C4642">
        <w:tc>
          <w:tcPr>
            <w:tcW w:w="8646" w:type="dxa"/>
            <w:shd w:val="clear" w:color="auto" w:fill="auto"/>
          </w:tcPr>
          <w:p w:rsidR="00C944CA" w:rsidRPr="00C944CA" w:rsidRDefault="00C944CA" w:rsidP="009C4642">
            <w:pPr>
              <w:rPr>
                <w:rFonts w:eastAsia="MS Mincho"/>
                <w:sz w:val="18"/>
                <w:szCs w:val="18"/>
                <w:lang w:val="de-DE"/>
              </w:rPr>
            </w:pPr>
            <w:r w:rsidRPr="00C944CA">
              <w:rPr>
                <w:rFonts w:eastAsia="MS Mincho"/>
                <w:sz w:val="18"/>
                <w:szCs w:val="18"/>
                <w:lang w:val="de-DE"/>
              </w:rPr>
              <w:t xml:space="preserve">[Auszug aus dem Schreiben des ISF] </w:t>
            </w:r>
          </w:p>
          <w:p w:rsidR="001036A0" w:rsidRPr="00C944CA" w:rsidRDefault="00C944CA" w:rsidP="00B40A6D">
            <w:pPr>
              <w:rPr>
                <w:rFonts w:eastAsia="MS Mincho"/>
                <w:sz w:val="18"/>
                <w:szCs w:val="18"/>
                <w:lang w:val="de-DE"/>
              </w:rPr>
            </w:pPr>
            <w:r>
              <w:rPr>
                <w:rFonts w:eastAsia="MS Mincho"/>
                <w:sz w:val="18"/>
                <w:szCs w:val="18"/>
                <w:lang w:val="de-DE"/>
              </w:rPr>
              <w:t>„</w:t>
            </w:r>
            <w:r w:rsidRPr="00C944CA">
              <w:rPr>
                <w:rFonts w:eastAsia="MS Mincho"/>
                <w:sz w:val="18"/>
                <w:szCs w:val="18"/>
                <w:u w:val="single"/>
                <w:lang w:val="de-DE"/>
              </w:rPr>
              <w:t>Datenbank für Sortenbeschreibungen</w:t>
            </w:r>
            <w:r w:rsidRPr="00C944CA">
              <w:rPr>
                <w:rFonts w:eastAsia="MS Mincho"/>
                <w:sz w:val="18"/>
                <w:szCs w:val="18"/>
                <w:lang w:val="de-DE"/>
              </w:rPr>
              <w:t xml:space="preserve">: Für alle Beteiligten sollte eine Datenbank für </w:t>
            </w:r>
            <w:r w:rsidRPr="00C944CA">
              <w:rPr>
                <w:rFonts w:eastAsia="MS Mincho"/>
                <w:sz w:val="18"/>
                <w:szCs w:val="18"/>
                <w:lang w:val="de-DE"/>
              </w:rPr>
              <w:lastRenderedPageBreak/>
              <w:t>Sortenbeschreibungen, einschließlich der Informationen im Technischen Fragebogen, verfügbar sein.</w:t>
            </w:r>
            <w:r>
              <w:rPr>
                <w:rFonts w:eastAsia="MS Mincho"/>
                <w:sz w:val="18"/>
                <w:szCs w:val="18"/>
                <w:lang w:val="de-DE"/>
              </w:rPr>
              <w:t xml:space="preserve"> </w:t>
            </w:r>
            <w:r w:rsidRPr="00C944CA">
              <w:rPr>
                <w:rFonts w:eastAsia="MS Mincho"/>
                <w:sz w:val="18"/>
                <w:szCs w:val="18"/>
                <w:lang w:val="de-DE"/>
              </w:rPr>
              <w:t>Dies würde die Verwaltung von Vergleichssammlungen verbessern und eine b</w:t>
            </w:r>
            <w:bookmarkStart w:id="12" w:name="_GoBack"/>
            <w:bookmarkEnd w:id="12"/>
            <w:r w:rsidRPr="00C944CA">
              <w:rPr>
                <w:rFonts w:eastAsia="MS Mincho"/>
                <w:sz w:val="18"/>
                <w:szCs w:val="18"/>
                <w:lang w:val="de-DE"/>
              </w:rPr>
              <w:t>essere Grundlage für die Auswahl der Vergleichssorten bieten</w:t>
            </w:r>
            <w:r>
              <w:rPr>
                <w:rFonts w:eastAsia="MS Mincho"/>
                <w:sz w:val="18"/>
                <w:szCs w:val="18"/>
                <w:lang w:val="de-DE"/>
              </w:rPr>
              <w:t>.“</w:t>
            </w:r>
          </w:p>
        </w:tc>
      </w:tr>
    </w:tbl>
    <w:p w:rsidR="001036A0" w:rsidRPr="00C944CA" w:rsidRDefault="001036A0" w:rsidP="001036A0">
      <w:pPr>
        <w:rPr>
          <w:lang w:val="de-DE"/>
        </w:rPr>
      </w:pPr>
    </w:p>
    <w:p w:rsidR="001036A0" w:rsidRPr="00C944CA" w:rsidRDefault="001036A0" w:rsidP="001036A0">
      <w:pPr>
        <w:tabs>
          <w:tab w:val="left" w:pos="567"/>
        </w:tabs>
        <w:rPr>
          <w:lang w:val="de-DE"/>
        </w:rPr>
      </w:pPr>
      <w:r>
        <w:fldChar w:fldCharType="begin"/>
      </w:r>
      <w:r w:rsidRPr="00C944CA">
        <w:rPr>
          <w:lang w:val="de-DE"/>
        </w:rPr>
        <w:instrText xml:space="preserve"> AUTONUM  </w:instrText>
      </w:r>
      <w:r>
        <w:fldChar w:fldCharType="end"/>
      </w:r>
      <w:r w:rsidRPr="00C944CA">
        <w:rPr>
          <w:lang w:val="de-DE"/>
        </w:rPr>
        <w:tab/>
      </w:r>
      <w:r w:rsidR="00E30CFA">
        <w:rPr>
          <w:lang w:val="de-DE"/>
        </w:rPr>
        <w:t xml:space="preserve">Der </w:t>
      </w:r>
      <w:r w:rsidR="00C944CA" w:rsidRPr="00C944CA">
        <w:rPr>
          <w:lang w:val="de-DE"/>
        </w:rPr>
        <w:t xml:space="preserve">TC nahm zur Kenntnis, daß der ISF ersucht worden war, dem TC gegenüber seine Ansichten bezüglich Datenbanken von Sortenbezeichnungen und den Kriterien, die vom TC für die Veröffentlichung von Sortenbezeichnungen ausgewiesen worden waren, darzulegen, wie in Dokument TC/45/9 „Veröffentlichung von Sortenbezeichnungen“ dargelegt </w:t>
      </w:r>
      <w:r w:rsidRPr="00C944CA">
        <w:rPr>
          <w:lang w:val="de-DE"/>
        </w:rPr>
        <w:t>(</w:t>
      </w:r>
      <w:r w:rsidR="009E13D0" w:rsidRPr="00C944CA">
        <w:rPr>
          <w:lang w:val="de-DE"/>
        </w:rPr>
        <w:t>vergleiche Dokument</w:t>
      </w:r>
      <w:r w:rsidRPr="00C944CA">
        <w:rPr>
          <w:lang w:val="de-DE"/>
        </w:rPr>
        <w:t xml:space="preserve"> TC/50/36 </w:t>
      </w:r>
      <w:r w:rsidR="009E13D0" w:rsidRPr="00C944CA">
        <w:rPr>
          <w:lang w:val="de-DE"/>
        </w:rPr>
        <w:t>„Bericht über die Entschließungen“</w:t>
      </w:r>
      <w:r w:rsidRPr="00C944CA">
        <w:rPr>
          <w:lang w:val="de-DE"/>
        </w:rPr>
        <w:t xml:space="preserve">, </w:t>
      </w:r>
      <w:r w:rsidR="009E13D0" w:rsidRPr="00C944CA">
        <w:rPr>
          <w:lang w:val="de-DE"/>
        </w:rPr>
        <w:t>Absatz</w:t>
      </w:r>
      <w:r w:rsidRPr="00C944CA">
        <w:rPr>
          <w:lang w:val="de-DE"/>
        </w:rPr>
        <w:t xml:space="preserve"> 13).</w:t>
      </w:r>
    </w:p>
    <w:p w:rsidR="001036A0" w:rsidRPr="00C944CA" w:rsidRDefault="001036A0" w:rsidP="001036A0">
      <w:pPr>
        <w:rPr>
          <w:lang w:val="de-DE"/>
        </w:rPr>
      </w:pPr>
    </w:p>
    <w:p w:rsidR="001036A0" w:rsidRPr="00C944CA" w:rsidRDefault="00C944CA" w:rsidP="001036A0">
      <w:pPr>
        <w:pStyle w:val="Heading3"/>
        <w:rPr>
          <w:lang w:val="de-DE"/>
        </w:rPr>
      </w:pPr>
      <w:bookmarkStart w:id="13" w:name="_Toc413415506"/>
      <w:r w:rsidRPr="00C944CA">
        <w:rPr>
          <w:lang w:val="de-DE"/>
        </w:rPr>
        <w:t>Verwaltungs- und Rechtsausschuß</w:t>
      </w:r>
      <w:bookmarkEnd w:id="13"/>
    </w:p>
    <w:p w:rsidR="001036A0" w:rsidRPr="00C944CA" w:rsidRDefault="001036A0" w:rsidP="001036A0">
      <w:pPr>
        <w:rPr>
          <w:lang w:val="de-DE"/>
        </w:rPr>
      </w:pPr>
    </w:p>
    <w:p w:rsidR="001036A0" w:rsidRPr="00C944CA" w:rsidRDefault="001036A0" w:rsidP="00C944CA">
      <w:pPr>
        <w:rPr>
          <w:lang w:val="de-DE"/>
        </w:rPr>
      </w:pPr>
      <w:r>
        <w:fldChar w:fldCharType="begin"/>
      </w:r>
      <w:r w:rsidRPr="00C944CA">
        <w:rPr>
          <w:lang w:val="de-DE"/>
        </w:rPr>
        <w:instrText xml:space="preserve"> AUTONUM  </w:instrText>
      </w:r>
      <w:r>
        <w:fldChar w:fldCharType="end"/>
      </w:r>
      <w:r w:rsidRPr="00C944CA">
        <w:rPr>
          <w:lang w:val="de-DE"/>
        </w:rPr>
        <w:t xml:space="preserve"> </w:t>
      </w:r>
      <w:r w:rsidRPr="00C944CA">
        <w:rPr>
          <w:lang w:val="de-DE"/>
        </w:rPr>
        <w:tab/>
      </w:r>
      <w:r w:rsidR="00EA0FC6">
        <w:rPr>
          <w:lang w:val="de-DE"/>
        </w:rPr>
        <w:t>Der</w:t>
      </w:r>
      <w:r w:rsidRPr="00C944CA">
        <w:rPr>
          <w:lang w:val="de-DE"/>
        </w:rPr>
        <w:t xml:space="preserve"> </w:t>
      </w:r>
      <w:r w:rsidR="00C944CA" w:rsidRPr="00C944CA">
        <w:rPr>
          <w:lang w:val="de-DE"/>
        </w:rPr>
        <w:t>Verwaltungs- und Rechtsausschuß</w:t>
      </w:r>
      <w:r w:rsidRPr="00C944CA">
        <w:rPr>
          <w:lang w:val="de-DE"/>
        </w:rPr>
        <w:t xml:space="preserve"> (CAJ) </w:t>
      </w:r>
      <w:r w:rsidR="00D70C6C">
        <w:rPr>
          <w:lang w:val="de-DE"/>
        </w:rPr>
        <w:t xml:space="preserve">vereinbarte </w:t>
      </w:r>
      <w:r w:rsidR="00C944CA" w:rsidRPr="00C944CA">
        <w:rPr>
          <w:lang w:val="de-DE"/>
        </w:rPr>
        <w:t>auf seiner neunundsechzigsten Tagung vom 10.</w:t>
      </w:r>
      <w:r w:rsidR="00C944CA">
        <w:rPr>
          <w:lang w:val="de-DE"/>
        </w:rPr>
        <w:t xml:space="preserve"> </w:t>
      </w:r>
      <w:r w:rsidR="00C944CA" w:rsidRPr="00C944CA">
        <w:rPr>
          <w:lang w:val="de-DE"/>
        </w:rPr>
        <w:t>April 2014 in Genf</w:t>
      </w:r>
      <w:r w:rsidRPr="00C944CA">
        <w:rPr>
          <w:lang w:val="de-DE"/>
        </w:rPr>
        <w:t xml:space="preserve">, </w:t>
      </w:r>
      <w:r w:rsidR="00D70C6C">
        <w:rPr>
          <w:lang w:val="de-DE"/>
        </w:rPr>
        <w:t>i</w:t>
      </w:r>
      <w:r w:rsidR="008D30A7" w:rsidRPr="008D30A7">
        <w:rPr>
          <w:lang w:val="de-DE"/>
        </w:rPr>
        <w:t xml:space="preserve">m Einklang mit dem Vorschlag der CAJ-AG, den TC zu ersuchen </w:t>
      </w:r>
      <w:r w:rsidRPr="00C944CA">
        <w:rPr>
          <w:lang w:val="de-DE"/>
        </w:rPr>
        <w:t>(</w:t>
      </w:r>
      <w:r w:rsidR="009E13D0" w:rsidRPr="00C944CA">
        <w:rPr>
          <w:lang w:val="de-DE"/>
        </w:rPr>
        <w:t>vergleiche Dokument</w:t>
      </w:r>
      <w:r w:rsidRPr="00C944CA">
        <w:rPr>
          <w:lang w:val="de-DE"/>
        </w:rPr>
        <w:t xml:space="preserve"> CAJ/69/12 </w:t>
      </w:r>
      <w:r w:rsidR="009E13D0" w:rsidRPr="00C944CA">
        <w:rPr>
          <w:lang w:val="de-DE"/>
        </w:rPr>
        <w:t>„Bericht über die Entschließungen“</w:t>
      </w:r>
      <w:r w:rsidRPr="00C944CA">
        <w:rPr>
          <w:lang w:val="de-DE"/>
        </w:rPr>
        <w:t xml:space="preserve"> </w:t>
      </w:r>
      <w:r w:rsidR="009E13D0" w:rsidRPr="00C944CA">
        <w:rPr>
          <w:lang w:val="de-DE"/>
        </w:rPr>
        <w:t>Abs</w:t>
      </w:r>
      <w:r w:rsidR="00D70C6C">
        <w:rPr>
          <w:lang w:val="de-DE"/>
        </w:rPr>
        <w:t>atz</w:t>
      </w:r>
      <w:r w:rsidRPr="00C944CA">
        <w:rPr>
          <w:lang w:val="de-DE"/>
        </w:rPr>
        <w:t xml:space="preserve"> 17):</w:t>
      </w:r>
    </w:p>
    <w:p w:rsidR="001036A0" w:rsidRPr="00C944CA" w:rsidRDefault="001036A0" w:rsidP="001036A0">
      <w:pPr>
        <w:rPr>
          <w:lang w:val="de-DE"/>
        </w:rPr>
      </w:pPr>
    </w:p>
    <w:p w:rsidR="001036A0" w:rsidRPr="008D30A7" w:rsidRDefault="008D30A7" w:rsidP="008D30A7">
      <w:pPr>
        <w:numPr>
          <w:ilvl w:val="0"/>
          <w:numId w:val="2"/>
        </w:numPr>
        <w:rPr>
          <w:lang w:val="de-DE"/>
        </w:rPr>
      </w:pPr>
      <w:r w:rsidRPr="008D30A7">
        <w:rPr>
          <w:lang w:val="de-DE"/>
        </w:rPr>
        <w:t>die Entwicklung einer Anleitung zu bestimmten Angelegenheiten betreffend Sortenbeschreibungen zu prüfen</w:t>
      </w:r>
      <w:r w:rsidR="001036A0" w:rsidRPr="008D30A7">
        <w:rPr>
          <w:lang w:val="de-DE"/>
        </w:rPr>
        <w:t xml:space="preserve">, </w:t>
      </w:r>
      <w:r w:rsidR="00F655B6">
        <w:rPr>
          <w:lang w:val="de-DE"/>
        </w:rPr>
        <w:t>wie nachstehend wiedergegeben</w:t>
      </w:r>
      <w:r w:rsidR="001036A0" w:rsidRPr="008D30A7">
        <w:rPr>
          <w:lang w:val="de-DE"/>
        </w:rPr>
        <w:t>:</w:t>
      </w:r>
    </w:p>
    <w:p w:rsidR="001036A0" w:rsidRPr="008D30A7" w:rsidRDefault="001036A0" w:rsidP="001036A0">
      <w:pPr>
        <w:rPr>
          <w:rFonts w:cs="Arial"/>
          <w:lang w:val="de-DE"/>
        </w:rPr>
      </w:pPr>
      <w:r w:rsidRPr="008D30A7">
        <w:rPr>
          <w:rFonts w:cs="Arial"/>
          <w:lang w:val="de-DE"/>
        </w:rPr>
        <w:tab/>
      </w:r>
    </w:p>
    <w:p w:rsidR="001036A0" w:rsidRPr="008D30A7" w:rsidRDefault="008D30A7" w:rsidP="00F655B6">
      <w:pPr>
        <w:numPr>
          <w:ilvl w:val="0"/>
          <w:numId w:val="3"/>
        </w:numPr>
        <w:rPr>
          <w:rFonts w:cs="Arial"/>
          <w:lang w:val="de-DE"/>
        </w:rPr>
      </w:pPr>
      <w:r w:rsidRPr="008D30A7">
        <w:rPr>
          <w:rFonts w:cs="Arial"/>
          <w:lang w:val="de-DE"/>
        </w:rPr>
        <w:t>die Verwendung von Informationen, Dokumenten oder Material, die vom Züchter für die Überwachung der Erhaltung der Sorte, wie in Absatz 15 des Dokuments CAJ-AG/13/8/4, „</w:t>
      </w:r>
      <w:r w:rsidR="00F655B6" w:rsidRPr="00F655B6">
        <w:rPr>
          <w:rFonts w:cs="Arial"/>
          <w:lang w:val="de-DE"/>
        </w:rPr>
        <w:t>Angelegenheiten betreffend die Aufhebung des Züchterrechts</w:t>
      </w:r>
      <w:r w:rsidRPr="008D30A7">
        <w:rPr>
          <w:rFonts w:cs="Arial"/>
          <w:lang w:val="de-DE"/>
        </w:rPr>
        <w:t>“, dargelegt, bereitgestellt werden, mit einer Erläuterung, daß die Informationen, Dokumente oder das Material in einem anderen Land aufbewahrt werden könnten, und</w:t>
      </w:r>
      <w:r w:rsidR="001036A0" w:rsidRPr="008D30A7">
        <w:rPr>
          <w:rFonts w:cs="Arial"/>
          <w:lang w:val="de-DE"/>
        </w:rPr>
        <w:t xml:space="preserve">; </w:t>
      </w:r>
    </w:p>
    <w:p w:rsidR="001036A0" w:rsidRPr="008D30A7" w:rsidRDefault="001036A0" w:rsidP="001036A0">
      <w:pPr>
        <w:tabs>
          <w:tab w:val="left" w:pos="7500"/>
        </w:tabs>
        <w:ind w:left="1418" w:hanging="709"/>
        <w:rPr>
          <w:rFonts w:cs="Arial"/>
          <w:lang w:val="de-DE"/>
        </w:rPr>
      </w:pPr>
    </w:p>
    <w:p w:rsidR="001036A0" w:rsidRPr="00937572" w:rsidRDefault="00937572" w:rsidP="00937572">
      <w:pPr>
        <w:numPr>
          <w:ilvl w:val="0"/>
          <w:numId w:val="3"/>
        </w:numPr>
        <w:rPr>
          <w:rFonts w:cs="Arial"/>
          <w:lang w:val="de-DE"/>
        </w:rPr>
      </w:pPr>
      <w:r w:rsidRPr="00937572">
        <w:rPr>
          <w:rFonts w:cs="Arial"/>
          <w:lang w:val="de-DE"/>
        </w:rPr>
        <w:t>die Verwendung von Prüfungsrichtlinien für die Überwachung der Erhaltung der Sorte, die sich von den Prüfungsrichtlinien unterscheiden, die für die Prüfung der Unterscheidbarkeit, der Homogenität und der Beständigkeit („DUS“) verwendet wurden</w:t>
      </w:r>
      <w:r w:rsidR="001036A0" w:rsidRPr="00937572">
        <w:rPr>
          <w:rFonts w:cs="Arial"/>
          <w:lang w:val="de-DE"/>
        </w:rPr>
        <w:t>.</w:t>
      </w:r>
    </w:p>
    <w:p w:rsidR="001036A0" w:rsidRPr="00937572" w:rsidRDefault="001036A0" w:rsidP="001036A0">
      <w:pPr>
        <w:rPr>
          <w:lang w:val="de-DE"/>
        </w:rPr>
      </w:pPr>
    </w:p>
    <w:p w:rsidR="001036A0" w:rsidRPr="00937572" w:rsidRDefault="00937572" w:rsidP="00937572">
      <w:pPr>
        <w:numPr>
          <w:ilvl w:val="0"/>
          <w:numId w:val="2"/>
        </w:numPr>
        <w:rPr>
          <w:lang w:val="de-DE"/>
        </w:rPr>
      </w:pPr>
      <w:r w:rsidRPr="00937572">
        <w:rPr>
          <w:rFonts w:cs="Arial"/>
          <w:lang w:val="de-DE"/>
        </w:rPr>
        <w:t>folgende Angelegenheiten in Dokument CAJ</w:t>
      </w:r>
      <w:r w:rsidR="00F655B6">
        <w:rPr>
          <w:rFonts w:cs="Arial"/>
          <w:lang w:val="de-DE"/>
        </w:rPr>
        <w:t>-</w:t>
      </w:r>
      <w:r w:rsidRPr="00937572">
        <w:rPr>
          <w:rFonts w:cs="Arial"/>
          <w:lang w:val="de-DE"/>
        </w:rPr>
        <w:t>AG/13/8/7</w:t>
      </w:r>
      <w:r w:rsidR="00F655B6">
        <w:rPr>
          <w:rFonts w:cs="Arial"/>
          <w:lang w:val="de-DE"/>
        </w:rPr>
        <w:t>,</w:t>
      </w:r>
      <w:r w:rsidRPr="00937572">
        <w:rPr>
          <w:rFonts w:cs="Arial"/>
          <w:lang w:val="de-DE"/>
        </w:rPr>
        <w:t xml:space="preserve"> Absatz 4, </w:t>
      </w:r>
      <w:r w:rsidR="00B5027B">
        <w:rPr>
          <w:rFonts w:cs="Arial"/>
          <w:lang w:val="de-DE"/>
        </w:rPr>
        <w:t>zu prüfen</w:t>
      </w:r>
      <w:r w:rsidR="00B5027B" w:rsidRPr="008D30A7">
        <w:rPr>
          <w:lang w:val="de-DE"/>
        </w:rPr>
        <w:t xml:space="preserve">, </w:t>
      </w:r>
      <w:r w:rsidR="00B5027B">
        <w:rPr>
          <w:lang w:val="de-DE"/>
        </w:rPr>
        <w:t>wie nachstehend wiedergegeben</w:t>
      </w:r>
      <w:r w:rsidR="001036A0" w:rsidRPr="00937572">
        <w:rPr>
          <w:rFonts w:cs="Arial"/>
          <w:lang w:val="de-DE"/>
        </w:rPr>
        <w:t>:</w:t>
      </w:r>
    </w:p>
    <w:p w:rsidR="001036A0" w:rsidRPr="00937572" w:rsidRDefault="001036A0" w:rsidP="001036A0">
      <w:pPr>
        <w:rPr>
          <w:lang w:val="de-DE"/>
        </w:rPr>
      </w:pPr>
    </w:p>
    <w:p w:rsidR="001036A0" w:rsidRPr="00937572" w:rsidRDefault="00937572" w:rsidP="001036A0">
      <w:pPr>
        <w:ind w:left="1134" w:hanging="567"/>
        <w:rPr>
          <w:lang w:val="de-DE"/>
        </w:rPr>
      </w:pPr>
      <w:r w:rsidRPr="00C944CA">
        <w:rPr>
          <w:lang w:val="de-DE"/>
        </w:rPr>
        <w:t>„</w:t>
      </w:r>
      <w:r w:rsidR="001036A0" w:rsidRPr="00937572">
        <w:rPr>
          <w:lang w:val="de-DE"/>
        </w:rPr>
        <w:t>[…]</w:t>
      </w:r>
    </w:p>
    <w:p w:rsidR="001036A0" w:rsidRPr="00937572" w:rsidRDefault="001036A0" w:rsidP="001036A0">
      <w:pPr>
        <w:ind w:left="1134" w:hanging="567"/>
        <w:rPr>
          <w:lang w:val="de-DE"/>
        </w:rPr>
      </w:pPr>
    </w:p>
    <w:p w:rsidR="001036A0" w:rsidRPr="00937572" w:rsidRDefault="00937572" w:rsidP="001036A0">
      <w:pPr>
        <w:ind w:left="1134" w:hanging="567"/>
        <w:rPr>
          <w:lang w:val="de-DE"/>
        </w:rPr>
      </w:pPr>
      <w:r w:rsidRPr="00C944CA">
        <w:rPr>
          <w:lang w:val="de-DE"/>
        </w:rPr>
        <w:t>„</w:t>
      </w:r>
      <w:r w:rsidR="001036A0" w:rsidRPr="00937572">
        <w:rPr>
          <w:lang w:val="de-DE"/>
        </w:rPr>
        <w:t>b)</w:t>
      </w:r>
      <w:r w:rsidR="001036A0" w:rsidRPr="00937572">
        <w:rPr>
          <w:lang w:val="de-DE"/>
        </w:rPr>
        <w:tab/>
      </w:r>
      <w:r w:rsidR="00B5027B">
        <w:rPr>
          <w:lang w:val="de-DE"/>
        </w:rPr>
        <w:t>den</w:t>
      </w:r>
      <w:r w:rsidRPr="00937572">
        <w:rPr>
          <w:lang w:val="de-DE"/>
        </w:rPr>
        <w:t xml:space="preserve"> Status der ursprünglichen Sortenbeschreibung in bezug auf die Überprüfung der Vereinbarkeit des Pflanzenmaterials mit einer geschützten Sorte zum Zwecke</w:t>
      </w:r>
      <w:r w:rsidR="001036A0" w:rsidRPr="00937572">
        <w:rPr>
          <w:lang w:val="de-DE"/>
        </w:rPr>
        <w:t>:</w:t>
      </w:r>
    </w:p>
    <w:p w:rsidR="001036A0" w:rsidRPr="00937572" w:rsidRDefault="001036A0" w:rsidP="001036A0">
      <w:pPr>
        <w:ind w:left="1134" w:hanging="567"/>
        <w:rPr>
          <w:lang w:val="de-DE"/>
        </w:rPr>
      </w:pPr>
    </w:p>
    <w:p w:rsidR="001036A0" w:rsidRPr="00937572" w:rsidRDefault="001036A0" w:rsidP="001036A0">
      <w:pPr>
        <w:ind w:left="1134"/>
        <w:rPr>
          <w:lang w:val="de-DE"/>
        </w:rPr>
      </w:pPr>
      <w:r w:rsidRPr="00937572">
        <w:rPr>
          <w:lang w:val="de-DE"/>
        </w:rPr>
        <w:t>“(i)</w:t>
      </w:r>
      <w:r w:rsidRPr="00937572">
        <w:rPr>
          <w:lang w:val="de-DE"/>
        </w:rPr>
        <w:tab/>
      </w:r>
      <w:r w:rsidR="00937572" w:rsidRPr="00937572">
        <w:rPr>
          <w:lang w:val="de-DE"/>
        </w:rPr>
        <w:t>der Überwachung der Erhaltung der Sorte (Artikel 22 der Akte von 1991, Artikel 10 der Akte von 1978</w:t>
      </w:r>
      <w:r w:rsidRPr="00937572">
        <w:rPr>
          <w:lang w:val="de-DE"/>
        </w:rPr>
        <w:t>);</w:t>
      </w:r>
    </w:p>
    <w:p w:rsidR="001036A0" w:rsidRPr="00937572" w:rsidRDefault="001036A0" w:rsidP="001036A0">
      <w:pPr>
        <w:ind w:left="1134"/>
        <w:rPr>
          <w:lang w:val="de-DE"/>
        </w:rPr>
      </w:pPr>
      <w:r w:rsidRPr="00937572">
        <w:rPr>
          <w:lang w:val="de-DE"/>
        </w:rPr>
        <w:t>“(ii)</w:t>
      </w:r>
      <w:r w:rsidRPr="00937572">
        <w:rPr>
          <w:lang w:val="de-DE"/>
        </w:rPr>
        <w:tab/>
      </w:r>
      <w:r w:rsidR="00937572" w:rsidRPr="00937572">
        <w:rPr>
          <w:lang w:val="de-DE"/>
        </w:rPr>
        <w:t xml:space="preserve">der Prüfung der Unterscheidbarkeit, Homogenität und Beständigkeit („DUS“) der Kandidatensorten, </w:t>
      </w:r>
      <w:r w:rsidR="00937572">
        <w:rPr>
          <w:lang w:val="de-DE"/>
        </w:rPr>
        <w:t>u</w:t>
      </w:r>
      <w:r w:rsidRPr="00937572">
        <w:rPr>
          <w:lang w:val="de-DE"/>
        </w:rPr>
        <w:t>nd</w:t>
      </w:r>
    </w:p>
    <w:p w:rsidR="001036A0" w:rsidRPr="00937572" w:rsidRDefault="001036A0" w:rsidP="001036A0">
      <w:pPr>
        <w:ind w:left="1134" w:hanging="567"/>
        <w:rPr>
          <w:lang w:val="de-DE"/>
        </w:rPr>
      </w:pPr>
    </w:p>
    <w:p w:rsidR="001036A0" w:rsidRPr="00937572" w:rsidRDefault="00937572" w:rsidP="001036A0">
      <w:pPr>
        <w:ind w:left="1134" w:hanging="567"/>
        <w:rPr>
          <w:lang w:val="de-DE"/>
        </w:rPr>
      </w:pPr>
      <w:r w:rsidRPr="00C944CA">
        <w:rPr>
          <w:lang w:val="de-DE"/>
        </w:rPr>
        <w:t>„</w:t>
      </w:r>
      <w:r w:rsidR="001036A0" w:rsidRPr="00937572">
        <w:rPr>
          <w:lang w:val="de-DE"/>
        </w:rPr>
        <w:t>[…]</w:t>
      </w:r>
    </w:p>
    <w:p w:rsidR="001036A0" w:rsidRPr="00937572" w:rsidRDefault="00937572" w:rsidP="001036A0">
      <w:pPr>
        <w:ind w:left="1134" w:hanging="567"/>
        <w:rPr>
          <w:lang w:val="de-DE"/>
        </w:rPr>
      </w:pPr>
      <w:r w:rsidRPr="00C944CA">
        <w:rPr>
          <w:lang w:val="de-DE"/>
        </w:rPr>
        <w:t>„</w:t>
      </w:r>
      <w:r w:rsidR="001036A0" w:rsidRPr="00937572">
        <w:rPr>
          <w:lang w:val="de-DE"/>
        </w:rPr>
        <w:t>c)</w:t>
      </w:r>
      <w:r w:rsidR="001036A0" w:rsidRPr="00937572">
        <w:rPr>
          <w:lang w:val="de-DE"/>
        </w:rPr>
        <w:tab/>
      </w:r>
      <w:r w:rsidRPr="00937572">
        <w:rPr>
          <w:lang w:val="de-DE"/>
        </w:rPr>
        <w:t>de</w:t>
      </w:r>
      <w:r w:rsidR="00B5027B">
        <w:rPr>
          <w:lang w:val="de-DE"/>
        </w:rPr>
        <w:t>n</w:t>
      </w:r>
      <w:r w:rsidRPr="00937572">
        <w:rPr>
          <w:lang w:val="de-DE"/>
        </w:rPr>
        <w:t xml:space="preserve"> Status einer geänderten Sortenbeschreibung in bezug auf a) und b) oben, die beispielsweise erstellt wurde als Ergebnis</w:t>
      </w:r>
      <w:r w:rsidR="001036A0" w:rsidRPr="00937572">
        <w:rPr>
          <w:lang w:val="de-DE"/>
        </w:rPr>
        <w:t>:</w:t>
      </w:r>
    </w:p>
    <w:p w:rsidR="001036A0" w:rsidRPr="00937572" w:rsidRDefault="001036A0" w:rsidP="001036A0">
      <w:pPr>
        <w:ind w:left="1134" w:hanging="567"/>
        <w:rPr>
          <w:lang w:val="de-DE"/>
        </w:rPr>
      </w:pPr>
    </w:p>
    <w:p w:rsidR="00937572" w:rsidRPr="00937572" w:rsidRDefault="00937572" w:rsidP="00937572">
      <w:pPr>
        <w:ind w:left="1134"/>
        <w:rPr>
          <w:lang w:val="de-DE"/>
        </w:rPr>
      </w:pPr>
      <w:r>
        <w:rPr>
          <w:lang w:val="de-DE"/>
        </w:rPr>
        <w:t>„</w:t>
      </w:r>
      <w:r w:rsidR="005C2CC2">
        <w:rPr>
          <w:lang w:val="de-DE"/>
        </w:rPr>
        <w:t>i)</w:t>
      </w:r>
      <w:r w:rsidR="005C2CC2">
        <w:rPr>
          <w:lang w:val="de-DE"/>
        </w:rPr>
        <w:tab/>
      </w:r>
      <w:r w:rsidRPr="00937572">
        <w:rPr>
          <w:lang w:val="de-DE"/>
        </w:rPr>
        <w:t>einer Neukalibrierung der Skala in den Prüfungsrichtlinien (insbesondere für Merkmale ohne Sternchen);</w:t>
      </w:r>
      <w:r>
        <w:rPr>
          <w:lang w:val="de-DE"/>
        </w:rPr>
        <w:t xml:space="preserve"> </w:t>
      </w:r>
    </w:p>
    <w:p w:rsidR="00937572" w:rsidRPr="00937572" w:rsidRDefault="00937572" w:rsidP="00937572">
      <w:pPr>
        <w:ind w:left="1134"/>
        <w:rPr>
          <w:lang w:val="de-DE"/>
        </w:rPr>
      </w:pPr>
      <w:r>
        <w:rPr>
          <w:lang w:val="de-DE"/>
        </w:rPr>
        <w:t>„</w:t>
      </w:r>
      <w:r w:rsidR="005C2CC2">
        <w:rPr>
          <w:lang w:val="de-DE"/>
        </w:rPr>
        <w:t>ii)</w:t>
      </w:r>
      <w:r w:rsidR="005C2CC2">
        <w:rPr>
          <w:lang w:val="de-DE"/>
        </w:rPr>
        <w:tab/>
      </w:r>
      <w:r w:rsidRPr="00937572">
        <w:rPr>
          <w:lang w:val="de-DE"/>
        </w:rPr>
        <w:t>der Variation infolge von Umweltbedingungen der Prüfungsjahre für Merkmale, die von der Umwelt beeinflußt werden;</w:t>
      </w:r>
    </w:p>
    <w:p w:rsidR="00937572" w:rsidRPr="00937572" w:rsidRDefault="00937572" w:rsidP="00937572">
      <w:pPr>
        <w:ind w:left="1134"/>
        <w:rPr>
          <w:lang w:val="de-DE"/>
        </w:rPr>
      </w:pPr>
      <w:r>
        <w:rPr>
          <w:lang w:val="de-DE"/>
        </w:rPr>
        <w:t>„</w:t>
      </w:r>
      <w:r w:rsidRPr="00937572">
        <w:rPr>
          <w:lang w:val="de-DE"/>
        </w:rPr>
        <w:t>iii)</w:t>
      </w:r>
      <w:r w:rsidR="005C2CC2">
        <w:rPr>
          <w:lang w:val="de-DE"/>
        </w:rPr>
        <w:tab/>
      </w:r>
      <w:r w:rsidRPr="00937572">
        <w:rPr>
          <w:lang w:val="de-DE"/>
        </w:rPr>
        <w:t>der Variation infolge der Erfassung durch verschiedene Sachverständige, oder</w:t>
      </w:r>
    </w:p>
    <w:p w:rsidR="001036A0" w:rsidRPr="00937572" w:rsidRDefault="00937572" w:rsidP="00937572">
      <w:pPr>
        <w:ind w:left="1134"/>
        <w:rPr>
          <w:lang w:val="de-DE"/>
        </w:rPr>
      </w:pPr>
      <w:r>
        <w:rPr>
          <w:lang w:val="de-DE"/>
        </w:rPr>
        <w:t>„</w:t>
      </w:r>
      <w:r w:rsidR="005C2CC2">
        <w:rPr>
          <w:lang w:val="de-DE"/>
        </w:rPr>
        <w:t>iv)</w:t>
      </w:r>
      <w:r w:rsidR="005C2CC2">
        <w:rPr>
          <w:lang w:val="de-DE"/>
        </w:rPr>
        <w:tab/>
      </w:r>
      <w:r w:rsidRPr="00937572">
        <w:rPr>
          <w:lang w:val="de-DE"/>
        </w:rPr>
        <w:t>der Verwendung verschiedener Versionen von Skalen (z. B. unterschiedliche Versionen der RHS-Farbkarte).</w:t>
      </w:r>
    </w:p>
    <w:p w:rsidR="001036A0" w:rsidRPr="00937572" w:rsidRDefault="001036A0" w:rsidP="001036A0">
      <w:pPr>
        <w:ind w:left="1134" w:hanging="567"/>
        <w:rPr>
          <w:lang w:val="de-DE"/>
        </w:rPr>
      </w:pPr>
    </w:p>
    <w:p w:rsidR="001036A0" w:rsidRPr="00937572" w:rsidRDefault="00937572" w:rsidP="001036A0">
      <w:pPr>
        <w:ind w:left="1134" w:hanging="567"/>
        <w:rPr>
          <w:lang w:val="de-DE"/>
        </w:rPr>
      </w:pPr>
      <w:r w:rsidRPr="00C944CA">
        <w:rPr>
          <w:lang w:val="de-DE"/>
        </w:rPr>
        <w:t>„</w:t>
      </w:r>
      <w:r w:rsidR="001036A0" w:rsidRPr="00937572">
        <w:rPr>
          <w:lang w:val="de-DE"/>
        </w:rPr>
        <w:t>d)</w:t>
      </w:r>
      <w:r w:rsidR="001036A0" w:rsidRPr="00937572">
        <w:rPr>
          <w:lang w:val="de-DE"/>
        </w:rPr>
        <w:tab/>
      </w:r>
      <w:r w:rsidRPr="00937572">
        <w:rPr>
          <w:lang w:val="de-DE"/>
        </w:rPr>
        <w:t>die Situationen</w:t>
      </w:r>
      <w:r w:rsidR="00B5027B">
        <w:rPr>
          <w:lang w:val="de-DE"/>
        </w:rPr>
        <w:t>,</w:t>
      </w:r>
      <w:r w:rsidRPr="00937572">
        <w:rPr>
          <w:lang w:val="de-DE"/>
        </w:rPr>
        <w:t xml:space="preserve"> in denen ein Fehler in der ersten Sortenbeschreibung </w:t>
      </w:r>
      <w:r>
        <w:rPr>
          <w:lang w:val="de-DE"/>
        </w:rPr>
        <w:t>nachträglich festgestellt wird.“</w:t>
      </w:r>
    </w:p>
    <w:p w:rsidR="001036A0" w:rsidRPr="00937572" w:rsidRDefault="001036A0" w:rsidP="001036A0">
      <w:pPr>
        <w:rPr>
          <w:lang w:val="de-DE"/>
        </w:rPr>
      </w:pPr>
    </w:p>
    <w:p w:rsidR="001036A0" w:rsidRPr="00D167F7" w:rsidRDefault="001036A0" w:rsidP="001036A0">
      <w:pPr>
        <w:rPr>
          <w:lang w:val="de-DE"/>
        </w:rPr>
      </w:pPr>
      <w:r w:rsidRPr="002070BE">
        <w:rPr>
          <w:snapToGrid w:val="0"/>
        </w:rPr>
        <w:fldChar w:fldCharType="begin"/>
      </w:r>
      <w:r w:rsidRPr="00D167F7">
        <w:rPr>
          <w:snapToGrid w:val="0"/>
          <w:lang w:val="de-DE"/>
        </w:rPr>
        <w:instrText xml:space="preserve"> AUTONUM  </w:instrText>
      </w:r>
      <w:r w:rsidRPr="002070BE">
        <w:rPr>
          <w:snapToGrid w:val="0"/>
        </w:rPr>
        <w:fldChar w:fldCharType="end"/>
      </w:r>
      <w:r w:rsidRPr="00D167F7">
        <w:rPr>
          <w:snapToGrid w:val="0"/>
          <w:lang w:val="de-DE"/>
        </w:rPr>
        <w:tab/>
      </w:r>
      <w:r w:rsidR="00D167F7" w:rsidRPr="00D167F7">
        <w:rPr>
          <w:snapToGrid w:val="0"/>
          <w:lang w:val="de-DE"/>
        </w:rPr>
        <w:t>Der</w:t>
      </w:r>
      <w:r w:rsidRPr="00D167F7">
        <w:rPr>
          <w:snapToGrid w:val="0"/>
          <w:lang w:val="de-DE"/>
        </w:rPr>
        <w:t xml:space="preserve"> TC </w:t>
      </w:r>
      <w:r w:rsidR="00D167F7" w:rsidRPr="00D167F7">
        <w:rPr>
          <w:snapToGrid w:val="0"/>
          <w:lang w:val="de-DE"/>
        </w:rPr>
        <w:t xml:space="preserve">wird die Angelegenheit auf seiner </w:t>
      </w:r>
      <w:r w:rsidR="00D167F7">
        <w:rPr>
          <w:snapToGrid w:val="0"/>
          <w:lang w:val="de-DE"/>
        </w:rPr>
        <w:t xml:space="preserve">einundfünfzigsten Tagung unter Tagungsordnungspunkt </w:t>
      </w:r>
      <w:r w:rsidRPr="00D167F7">
        <w:rPr>
          <w:snapToGrid w:val="0"/>
          <w:lang w:val="de-DE"/>
        </w:rPr>
        <w:t xml:space="preserve">12 </w:t>
      </w:r>
      <w:r w:rsidR="00D167F7">
        <w:rPr>
          <w:snapToGrid w:val="0"/>
          <w:lang w:val="de-DE"/>
        </w:rPr>
        <w:t>„</w:t>
      </w:r>
      <w:r w:rsidR="00D167F7" w:rsidRPr="00D167F7">
        <w:rPr>
          <w:snapToGrid w:val="0"/>
          <w:lang w:val="de-DE"/>
        </w:rPr>
        <w:t xml:space="preserve">Angelegenheiten betreffend Sortenbezeichnungen </w:t>
      </w:r>
      <w:r w:rsidRPr="00D167F7">
        <w:rPr>
          <w:lang w:val="de-DE"/>
        </w:rPr>
        <w:t>(</w:t>
      </w:r>
      <w:r w:rsidR="00D167F7">
        <w:rPr>
          <w:lang w:val="de-DE"/>
        </w:rPr>
        <w:t>Dokument</w:t>
      </w:r>
      <w:r w:rsidR="0069064F">
        <w:rPr>
          <w:lang w:val="de-DE"/>
        </w:rPr>
        <w:t xml:space="preserve"> TC/51/38)“</w:t>
      </w:r>
      <w:r w:rsidR="005B627E">
        <w:rPr>
          <w:lang w:val="de-DE"/>
        </w:rPr>
        <w:t xml:space="preserve"> </w:t>
      </w:r>
      <w:r w:rsidR="005B627E" w:rsidRPr="00D167F7">
        <w:rPr>
          <w:snapToGrid w:val="0"/>
          <w:lang w:val="de-DE"/>
        </w:rPr>
        <w:t>behandeln</w:t>
      </w:r>
      <w:r w:rsidRPr="00D167F7">
        <w:rPr>
          <w:lang w:val="de-DE"/>
        </w:rPr>
        <w:t>.</w:t>
      </w:r>
    </w:p>
    <w:p w:rsidR="001036A0" w:rsidRPr="00D167F7" w:rsidRDefault="001036A0" w:rsidP="005C2CC2">
      <w:pPr>
        <w:keepNext/>
        <w:rPr>
          <w:lang w:val="de-DE"/>
        </w:rPr>
      </w:pPr>
    </w:p>
    <w:p w:rsidR="001036A0" w:rsidRPr="00A02E1F" w:rsidRDefault="00D167F7" w:rsidP="001036A0">
      <w:pPr>
        <w:pStyle w:val="Heading3"/>
        <w:rPr>
          <w:lang w:val="de-DE"/>
        </w:rPr>
      </w:pPr>
      <w:bookmarkStart w:id="14" w:name="_Toc413415507"/>
      <w:r w:rsidRPr="00A02E1F">
        <w:rPr>
          <w:lang w:val="de-DE"/>
        </w:rPr>
        <w:t>Technische Arbeitsgruppen</w:t>
      </w:r>
      <w:bookmarkEnd w:id="14"/>
    </w:p>
    <w:p w:rsidR="001036A0" w:rsidRPr="00A02E1F" w:rsidRDefault="001036A0" w:rsidP="005C2CC2">
      <w:pPr>
        <w:keepNext/>
        <w:rPr>
          <w:rFonts w:eastAsia="MS Mincho"/>
          <w:i/>
          <w:color w:val="000000"/>
          <w:lang w:val="de-DE" w:eastAsia="ja-JP"/>
        </w:rPr>
      </w:pPr>
    </w:p>
    <w:p w:rsidR="001036A0" w:rsidRPr="009E13D0" w:rsidRDefault="001036A0" w:rsidP="00A02E1F">
      <w:pPr>
        <w:rPr>
          <w:snapToGrid w:val="0"/>
          <w:lang w:val="de-DE"/>
        </w:rPr>
      </w:pPr>
      <w:r w:rsidRPr="002070BE">
        <w:rPr>
          <w:snapToGrid w:val="0"/>
        </w:rPr>
        <w:lastRenderedPageBreak/>
        <w:fldChar w:fldCharType="begin"/>
      </w:r>
      <w:r w:rsidRPr="009E13D0">
        <w:rPr>
          <w:snapToGrid w:val="0"/>
          <w:lang w:val="de-DE"/>
        </w:rPr>
        <w:instrText xml:space="preserve"> AUTONUM  </w:instrText>
      </w:r>
      <w:r w:rsidRPr="002070BE">
        <w:rPr>
          <w:snapToGrid w:val="0"/>
        </w:rPr>
        <w:fldChar w:fldCharType="end"/>
      </w:r>
      <w:r w:rsidRPr="009E13D0">
        <w:rPr>
          <w:snapToGrid w:val="0"/>
          <w:lang w:val="de-DE"/>
        </w:rPr>
        <w:tab/>
      </w:r>
      <w:r w:rsidR="00666E66">
        <w:rPr>
          <w:snapToGrid w:val="0"/>
          <w:lang w:val="de-DE"/>
        </w:rPr>
        <w:t>D</w:t>
      </w:r>
      <w:r w:rsidR="00A02E1F" w:rsidRPr="00A02E1F">
        <w:rPr>
          <w:lang w:val="de-DE"/>
        </w:rPr>
        <w:t>ie TWO, TWF, TWC, TWV und TWA prüften die Dokumente TWO/47/</w:t>
      </w:r>
      <w:r w:rsidR="005B627E">
        <w:rPr>
          <w:lang w:val="de-DE"/>
        </w:rPr>
        <w:t>6</w:t>
      </w:r>
      <w:r w:rsidR="00A02E1F" w:rsidRPr="00A02E1F">
        <w:rPr>
          <w:lang w:val="de-DE"/>
        </w:rPr>
        <w:t>, TWF/45/</w:t>
      </w:r>
      <w:r w:rsidR="005B627E">
        <w:rPr>
          <w:lang w:val="de-DE"/>
        </w:rPr>
        <w:t>6</w:t>
      </w:r>
      <w:r w:rsidR="00A02E1F" w:rsidRPr="00A02E1F">
        <w:rPr>
          <w:lang w:val="de-DE"/>
        </w:rPr>
        <w:t xml:space="preserve">, </w:t>
      </w:r>
      <w:r w:rsidR="005B627E" w:rsidRPr="00A02E1F">
        <w:rPr>
          <w:lang w:val="de-DE"/>
        </w:rPr>
        <w:t>TWC/32/</w:t>
      </w:r>
      <w:r w:rsidR="005B627E">
        <w:rPr>
          <w:lang w:val="de-DE"/>
        </w:rPr>
        <w:t>6,</w:t>
      </w:r>
      <w:r w:rsidR="005B627E" w:rsidRPr="00A02E1F">
        <w:rPr>
          <w:lang w:val="de-DE"/>
        </w:rPr>
        <w:t xml:space="preserve"> </w:t>
      </w:r>
      <w:r w:rsidR="00A02E1F" w:rsidRPr="00A02E1F">
        <w:rPr>
          <w:lang w:val="de-DE"/>
        </w:rPr>
        <w:t>TWV/48/</w:t>
      </w:r>
      <w:r w:rsidR="005B627E">
        <w:rPr>
          <w:lang w:val="de-DE"/>
        </w:rPr>
        <w:t>6</w:t>
      </w:r>
      <w:r w:rsidR="00A02E1F" w:rsidRPr="00A02E1F">
        <w:rPr>
          <w:lang w:val="de-DE"/>
        </w:rPr>
        <w:t xml:space="preserve">, </w:t>
      </w:r>
      <w:r w:rsidR="00A02E1F">
        <w:rPr>
          <w:lang w:val="de-DE"/>
        </w:rPr>
        <w:t xml:space="preserve">bzw. </w:t>
      </w:r>
      <w:r w:rsidR="00A02E1F" w:rsidRPr="00A02E1F">
        <w:rPr>
          <w:lang w:val="de-DE"/>
        </w:rPr>
        <w:t>TWA/43/</w:t>
      </w:r>
      <w:r w:rsidR="005B627E">
        <w:rPr>
          <w:lang w:val="de-DE"/>
        </w:rPr>
        <w:t>6</w:t>
      </w:r>
      <w:r w:rsidR="00A02E1F">
        <w:rPr>
          <w:lang w:val="de-DE"/>
        </w:rPr>
        <w:t xml:space="preserve"> „</w:t>
      </w:r>
      <w:r w:rsidR="00884C9E" w:rsidRPr="009E13D0">
        <w:rPr>
          <w:rFonts w:cs="Arial"/>
          <w:iCs/>
          <w:lang w:val="de-DE"/>
        </w:rPr>
        <w:t>Datenbanken für Sortenbeschreibungen</w:t>
      </w:r>
      <w:r w:rsidR="00A02E1F">
        <w:rPr>
          <w:rFonts w:cs="Arial"/>
          <w:iCs/>
          <w:lang w:val="de-DE"/>
        </w:rPr>
        <w:t xml:space="preserve">“ und nahmen die </w:t>
      </w:r>
      <w:r w:rsidR="00884C9E" w:rsidRPr="009E13D0">
        <w:rPr>
          <w:rFonts w:cs="Arial"/>
          <w:lang w:val="de-DE"/>
        </w:rPr>
        <w:t>Entwicklungen</w:t>
      </w:r>
      <w:r w:rsidRPr="009E13D0">
        <w:rPr>
          <w:rFonts w:cs="Arial"/>
          <w:lang w:val="de-DE"/>
        </w:rPr>
        <w:t xml:space="preserve"> </w:t>
      </w:r>
      <w:r w:rsidR="00A02E1F">
        <w:rPr>
          <w:rFonts w:cs="Arial"/>
          <w:lang w:val="de-DE"/>
        </w:rPr>
        <w:t xml:space="preserve">betreffend die </w:t>
      </w:r>
      <w:r w:rsidR="00884C9E" w:rsidRPr="009E13D0">
        <w:rPr>
          <w:rFonts w:cs="Arial"/>
          <w:lang w:val="de-DE"/>
        </w:rPr>
        <w:t>Datenbanken für Sortenbeschreibungen</w:t>
      </w:r>
      <w:r w:rsidRPr="009E13D0">
        <w:rPr>
          <w:lang w:val="de-DE"/>
        </w:rPr>
        <w:t xml:space="preserve"> </w:t>
      </w:r>
      <w:r w:rsidR="005B627E">
        <w:rPr>
          <w:lang w:val="de-DE"/>
        </w:rPr>
        <w:t xml:space="preserve">zur Kenntnis </w:t>
      </w:r>
      <w:r w:rsidRPr="009E13D0">
        <w:rPr>
          <w:lang w:val="de-DE"/>
        </w:rPr>
        <w:t>(</w:t>
      </w:r>
      <w:r w:rsidR="009E13D0">
        <w:rPr>
          <w:lang w:val="de-DE"/>
        </w:rPr>
        <w:t>vergleiche Dokument</w:t>
      </w:r>
      <w:r w:rsidRPr="009E13D0">
        <w:rPr>
          <w:lang w:val="de-DE"/>
        </w:rPr>
        <w:t xml:space="preserve"> TWO/47/28 </w:t>
      </w:r>
      <w:r w:rsidR="00A02E1F">
        <w:rPr>
          <w:lang w:val="de-DE"/>
        </w:rPr>
        <w:t>„</w:t>
      </w:r>
      <w:r w:rsidR="005C2CC2">
        <w:rPr>
          <w:lang w:val="de-DE"/>
        </w:rPr>
        <w:t>Report</w:t>
      </w:r>
      <w:r w:rsidR="00A02E1F">
        <w:rPr>
          <w:lang w:val="de-DE"/>
        </w:rPr>
        <w:t>“</w:t>
      </w:r>
      <w:r w:rsidRPr="009E13D0">
        <w:rPr>
          <w:lang w:val="de-DE"/>
        </w:rPr>
        <w:t xml:space="preserve">, </w:t>
      </w:r>
      <w:r w:rsidR="009E13D0" w:rsidRPr="009E13D0">
        <w:rPr>
          <w:lang w:val="de-DE"/>
        </w:rPr>
        <w:t>Absätze</w:t>
      </w:r>
      <w:r w:rsidRPr="009E13D0">
        <w:rPr>
          <w:lang w:val="de-DE"/>
        </w:rPr>
        <w:t xml:space="preserve"> 96</w:t>
      </w:r>
      <w:r w:rsidR="00884C9E" w:rsidRPr="009E13D0">
        <w:rPr>
          <w:lang w:val="de-DE"/>
        </w:rPr>
        <w:t xml:space="preserve"> und </w:t>
      </w:r>
      <w:r w:rsidRPr="009E13D0">
        <w:rPr>
          <w:lang w:val="de-DE"/>
        </w:rPr>
        <w:t xml:space="preserve">97, </w:t>
      </w:r>
      <w:r w:rsidR="00D167F7">
        <w:rPr>
          <w:lang w:val="de-DE"/>
        </w:rPr>
        <w:t>Dokument</w:t>
      </w:r>
      <w:r w:rsidRPr="009E13D0">
        <w:rPr>
          <w:lang w:val="de-DE"/>
        </w:rPr>
        <w:t xml:space="preserve"> TWF/45/32 </w:t>
      </w:r>
      <w:r w:rsidR="00A02E1F">
        <w:rPr>
          <w:lang w:val="de-DE"/>
        </w:rPr>
        <w:t>„</w:t>
      </w:r>
      <w:r w:rsidR="005C2CC2">
        <w:rPr>
          <w:lang w:val="de-DE"/>
        </w:rPr>
        <w:t>Report</w:t>
      </w:r>
      <w:r w:rsidR="00A02E1F">
        <w:rPr>
          <w:lang w:val="de-DE"/>
        </w:rPr>
        <w:t>“</w:t>
      </w:r>
      <w:r w:rsidRPr="009E13D0">
        <w:rPr>
          <w:lang w:val="de-DE"/>
        </w:rPr>
        <w:t xml:space="preserve">, </w:t>
      </w:r>
      <w:r w:rsidR="009E13D0" w:rsidRPr="009E13D0">
        <w:rPr>
          <w:lang w:val="de-DE"/>
        </w:rPr>
        <w:t>Absätze</w:t>
      </w:r>
      <w:r w:rsidRPr="009E13D0">
        <w:rPr>
          <w:lang w:val="de-DE"/>
        </w:rPr>
        <w:t> 109</w:t>
      </w:r>
      <w:r w:rsidR="009E13D0" w:rsidRPr="009E13D0">
        <w:rPr>
          <w:lang w:val="de-DE"/>
        </w:rPr>
        <w:t xml:space="preserve"> bis </w:t>
      </w:r>
      <w:r w:rsidRPr="009E13D0">
        <w:rPr>
          <w:lang w:val="de-DE"/>
        </w:rPr>
        <w:t xml:space="preserve">113, </w:t>
      </w:r>
      <w:r w:rsidR="00D167F7">
        <w:rPr>
          <w:lang w:val="de-DE"/>
        </w:rPr>
        <w:t>Dokument</w:t>
      </w:r>
      <w:r w:rsidRPr="009E13D0">
        <w:rPr>
          <w:lang w:val="de-DE"/>
        </w:rPr>
        <w:t xml:space="preserve"> TWC/32/28 </w:t>
      </w:r>
      <w:r w:rsidR="00A02E1F">
        <w:rPr>
          <w:lang w:val="de-DE"/>
        </w:rPr>
        <w:t>„</w:t>
      </w:r>
      <w:r w:rsidR="005C2CC2">
        <w:rPr>
          <w:lang w:val="de-DE"/>
        </w:rPr>
        <w:t>Report</w:t>
      </w:r>
      <w:r w:rsidR="00A02E1F">
        <w:rPr>
          <w:lang w:val="de-DE"/>
        </w:rPr>
        <w:t>“</w:t>
      </w:r>
      <w:r w:rsidRPr="009E13D0">
        <w:rPr>
          <w:lang w:val="de-DE"/>
        </w:rPr>
        <w:t xml:space="preserve">, </w:t>
      </w:r>
      <w:r w:rsidR="009E13D0" w:rsidRPr="009E13D0">
        <w:rPr>
          <w:lang w:val="de-DE"/>
        </w:rPr>
        <w:t>Absätze</w:t>
      </w:r>
      <w:r w:rsidRPr="009E13D0">
        <w:rPr>
          <w:lang w:val="de-DE"/>
        </w:rPr>
        <w:t xml:space="preserve"> 75</w:t>
      </w:r>
      <w:r w:rsidR="009E13D0" w:rsidRPr="009E13D0">
        <w:rPr>
          <w:lang w:val="de-DE"/>
        </w:rPr>
        <w:t xml:space="preserve"> bis </w:t>
      </w:r>
      <w:r w:rsidRPr="009E13D0">
        <w:rPr>
          <w:lang w:val="de-DE"/>
        </w:rPr>
        <w:t xml:space="preserve">82, </w:t>
      </w:r>
      <w:r w:rsidR="00D167F7">
        <w:rPr>
          <w:lang w:val="de-DE"/>
        </w:rPr>
        <w:t>Dokument</w:t>
      </w:r>
      <w:r w:rsidRPr="009E13D0">
        <w:rPr>
          <w:lang w:val="de-DE"/>
        </w:rPr>
        <w:t xml:space="preserve"> TWV/48/43 </w:t>
      </w:r>
      <w:r w:rsidR="00A02E1F">
        <w:rPr>
          <w:lang w:val="de-DE"/>
        </w:rPr>
        <w:t>„</w:t>
      </w:r>
      <w:r w:rsidR="005C2CC2">
        <w:rPr>
          <w:lang w:val="de-DE"/>
        </w:rPr>
        <w:t>Report</w:t>
      </w:r>
      <w:r w:rsidR="00A02E1F">
        <w:rPr>
          <w:lang w:val="de-DE"/>
        </w:rPr>
        <w:t>“</w:t>
      </w:r>
      <w:r w:rsidRPr="009E13D0">
        <w:rPr>
          <w:lang w:val="de-DE"/>
        </w:rPr>
        <w:t xml:space="preserve">, </w:t>
      </w:r>
      <w:r w:rsidR="009E13D0" w:rsidRPr="009E13D0">
        <w:rPr>
          <w:lang w:val="de-DE"/>
        </w:rPr>
        <w:t>Absätze</w:t>
      </w:r>
      <w:r w:rsidRPr="009E13D0">
        <w:rPr>
          <w:lang w:val="de-DE"/>
        </w:rPr>
        <w:t xml:space="preserve"> 121</w:t>
      </w:r>
      <w:r w:rsidR="009E13D0" w:rsidRPr="009E13D0">
        <w:rPr>
          <w:lang w:val="de-DE"/>
        </w:rPr>
        <w:t xml:space="preserve"> bis </w:t>
      </w:r>
      <w:r w:rsidRPr="009E13D0">
        <w:rPr>
          <w:lang w:val="de-DE"/>
        </w:rPr>
        <w:t>126</w:t>
      </w:r>
      <w:r w:rsidR="00EA0FC6">
        <w:rPr>
          <w:lang w:val="de-DE"/>
        </w:rPr>
        <w:t>,</w:t>
      </w:r>
      <w:r w:rsidR="00884C9E" w:rsidRPr="009E13D0">
        <w:rPr>
          <w:lang w:val="de-DE"/>
        </w:rPr>
        <w:t xml:space="preserve"> und </w:t>
      </w:r>
      <w:r w:rsidR="00D167F7">
        <w:rPr>
          <w:lang w:val="de-DE"/>
        </w:rPr>
        <w:t>Dokument</w:t>
      </w:r>
      <w:r w:rsidRPr="009E13D0">
        <w:rPr>
          <w:lang w:val="de-DE"/>
        </w:rPr>
        <w:t xml:space="preserve"> TWA/43/27 </w:t>
      </w:r>
      <w:r w:rsidR="00A02E1F">
        <w:rPr>
          <w:lang w:val="de-DE"/>
        </w:rPr>
        <w:t>„</w:t>
      </w:r>
      <w:r w:rsidR="005C2CC2">
        <w:rPr>
          <w:lang w:val="de-DE"/>
        </w:rPr>
        <w:t>Repor</w:t>
      </w:r>
      <w:r w:rsidR="00A02E1F">
        <w:rPr>
          <w:lang w:val="de-DE"/>
        </w:rPr>
        <w:t>t“</w:t>
      </w:r>
      <w:r w:rsidRPr="009E13D0">
        <w:rPr>
          <w:lang w:val="de-DE"/>
        </w:rPr>
        <w:t xml:space="preserve">, </w:t>
      </w:r>
      <w:r w:rsidR="009E13D0" w:rsidRPr="009E13D0">
        <w:rPr>
          <w:lang w:val="de-DE"/>
        </w:rPr>
        <w:t>Absätze</w:t>
      </w:r>
      <w:r w:rsidRPr="009E13D0">
        <w:rPr>
          <w:lang w:val="de-DE"/>
        </w:rPr>
        <w:t xml:space="preserve"> 94</w:t>
      </w:r>
      <w:r w:rsidR="009E13D0" w:rsidRPr="009E13D0">
        <w:rPr>
          <w:lang w:val="de-DE"/>
        </w:rPr>
        <w:t xml:space="preserve"> bis </w:t>
      </w:r>
      <w:r w:rsidRPr="009E13D0">
        <w:rPr>
          <w:lang w:val="de-DE"/>
        </w:rPr>
        <w:t>97)</w:t>
      </w:r>
      <w:r w:rsidRPr="009E13D0">
        <w:rPr>
          <w:snapToGrid w:val="0"/>
          <w:lang w:val="de-DE"/>
        </w:rPr>
        <w:t>.</w:t>
      </w:r>
    </w:p>
    <w:p w:rsidR="001036A0" w:rsidRPr="009E13D0" w:rsidRDefault="001036A0" w:rsidP="001036A0">
      <w:pPr>
        <w:rPr>
          <w:i/>
          <w:lang w:val="de-DE"/>
        </w:rPr>
      </w:pPr>
    </w:p>
    <w:p w:rsidR="001036A0" w:rsidRPr="00F5541E" w:rsidRDefault="001036A0" w:rsidP="001036A0">
      <w:pPr>
        <w:autoSpaceDE w:val="0"/>
        <w:autoSpaceDN w:val="0"/>
        <w:adjustRightInd w:val="0"/>
        <w:rPr>
          <w:rFonts w:cs="Arial"/>
          <w:lang w:val="de-DE"/>
        </w:rPr>
      </w:pPr>
      <w:r w:rsidRPr="002070BE">
        <w:rPr>
          <w:snapToGrid w:val="0"/>
        </w:rPr>
        <w:fldChar w:fldCharType="begin"/>
      </w:r>
      <w:r w:rsidRPr="00F5541E">
        <w:rPr>
          <w:snapToGrid w:val="0"/>
          <w:lang w:val="de-DE"/>
        </w:rPr>
        <w:instrText xml:space="preserve"> AUTONUM  </w:instrText>
      </w:r>
      <w:r w:rsidRPr="002070BE">
        <w:rPr>
          <w:snapToGrid w:val="0"/>
        </w:rPr>
        <w:fldChar w:fldCharType="end"/>
      </w:r>
      <w:r w:rsidRPr="00F5541E">
        <w:rPr>
          <w:snapToGrid w:val="0"/>
          <w:lang w:val="de-DE"/>
        </w:rPr>
        <w:tab/>
      </w:r>
      <w:r w:rsidR="00666E66" w:rsidRPr="00F5541E">
        <w:rPr>
          <w:snapToGrid w:val="0"/>
          <w:lang w:val="de-DE"/>
        </w:rPr>
        <w:t>Die</w:t>
      </w:r>
      <w:r w:rsidRPr="00F5541E">
        <w:rPr>
          <w:rFonts w:cs="Arial"/>
          <w:lang w:val="de-DE"/>
        </w:rPr>
        <w:t xml:space="preserve"> TWO </w:t>
      </w:r>
      <w:r w:rsidR="00666E66" w:rsidRPr="00F5541E">
        <w:rPr>
          <w:rFonts w:cs="Arial"/>
          <w:lang w:val="de-DE"/>
        </w:rPr>
        <w:t>vereinbarte</w:t>
      </w:r>
      <w:r w:rsidRPr="00F5541E">
        <w:rPr>
          <w:rFonts w:cs="Arial"/>
          <w:lang w:val="de-DE"/>
        </w:rPr>
        <w:t xml:space="preserve"> </w:t>
      </w:r>
      <w:r w:rsidR="00666E66" w:rsidRPr="00F5541E">
        <w:rPr>
          <w:rFonts w:cs="Arial"/>
          <w:lang w:val="de-DE"/>
        </w:rPr>
        <w:t xml:space="preserve">die </w:t>
      </w:r>
      <w:r w:rsidR="00F5541E" w:rsidRPr="00F5541E">
        <w:rPr>
          <w:rFonts w:cs="Arial"/>
          <w:lang w:val="de-DE"/>
        </w:rPr>
        <w:t xml:space="preserve">Relevanz der </w:t>
      </w:r>
      <w:r w:rsidR="00F5541E">
        <w:rPr>
          <w:rFonts w:cs="Arial"/>
          <w:lang w:val="de-DE"/>
        </w:rPr>
        <w:t>Datenbank</w:t>
      </w:r>
      <w:r w:rsidRPr="00F5541E">
        <w:rPr>
          <w:rFonts w:cs="Arial"/>
          <w:lang w:val="de-DE"/>
        </w:rPr>
        <w:t xml:space="preserve"> </w:t>
      </w:r>
      <w:r w:rsidR="00F5541E">
        <w:rPr>
          <w:rFonts w:cs="Arial"/>
          <w:lang w:val="de-DE"/>
        </w:rPr>
        <w:t xml:space="preserve">für </w:t>
      </w:r>
      <w:r w:rsidR="00F5541E" w:rsidRPr="00F5541E">
        <w:rPr>
          <w:rFonts w:cs="Arial"/>
          <w:lang w:val="de-DE"/>
        </w:rPr>
        <w:t>Erbsensorten</w:t>
      </w:r>
      <w:r w:rsidR="00884C9E" w:rsidRPr="00F5541E">
        <w:rPr>
          <w:rFonts w:cs="Arial"/>
          <w:lang w:val="de-DE"/>
        </w:rPr>
        <w:t xml:space="preserve"> und </w:t>
      </w:r>
      <w:r w:rsidR="00666E66" w:rsidRPr="00F5541E">
        <w:rPr>
          <w:rFonts w:cs="Arial"/>
          <w:lang w:val="de-DE"/>
        </w:rPr>
        <w:t>vereinbarte, daß</w:t>
      </w:r>
      <w:r w:rsidR="00F5541E">
        <w:rPr>
          <w:rFonts w:cs="Arial"/>
          <w:lang w:val="de-DE"/>
        </w:rPr>
        <w:t xml:space="preserve"> es nicht </w:t>
      </w:r>
      <w:r w:rsidR="005B627E">
        <w:rPr>
          <w:rFonts w:cs="Arial"/>
          <w:lang w:val="de-DE"/>
        </w:rPr>
        <w:t>zweckmäßig</w:t>
      </w:r>
      <w:r w:rsidR="00F5541E">
        <w:rPr>
          <w:rFonts w:cs="Arial"/>
          <w:lang w:val="de-DE"/>
        </w:rPr>
        <w:t xml:space="preserve"> sei, </w:t>
      </w:r>
      <w:r w:rsidR="00F413C7">
        <w:rPr>
          <w:rFonts w:cs="Arial"/>
          <w:lang w:val="de-DE"/>
        </w:rPr>
        <w:t>zu diesem Zeitpunkt</w:t>
      </w:r>
      <w:r w:rsidR="005B627E">
        <w:rPr>
          <w:rFonts w:cs="Arial"/>
          <w:lang w:val="de-DE"/>
        </w:rPr>
        <w:t xml:space="preserve"> eine</w:t>
      </w:r>
      <w:r w:rsidR="005B627E" w:rsidRPr="00F5541E">
        <w:rPr>
          <w:rFonts w:cs="Arial"/>
          <w:lang w:val="de-DE"/>
        </w:rPr>
        <w:t xml:space="preserve"> </w:t>
      </w:r>
      <w:r w:rsidR="005B627E">
        <w:rPr>
          <w:rFonts w:cs="Arial"/>
          <w:lang w:val="de-DE"/>
        </w:rPr>
        <w:t xml:space="preserve">Datenbank für eine </w:t>
      </w:r>
      <w:r w:rsidR="005B627E" w:rsidRPr="00F413C7">
        <w:rPr>
          <w:rFonts w:cs="Arial"/>
          <w:lang w:val="de-DE"/>
        </w:rPr>
        <w:t>Zierart</w:t>
      </w:r>
      <w:r w:rsidR="005B627E">
        <w:rPr>
          <w:rFonts w:cs="Arial"/>
          <w:lang w:val="de-DE"/>
        </w:rPr>
        <w:t xml:space="preserve"> zu erstellen</w:t>
      </w:r>
      <w:r w:rsidRPr="00F5541E">
        <w:rPr>
          <w:rFonts w:cs="Arial"/>
          <w:lang w:val="de-DE"/>
        </w:rPr>
        <w:t xml:space="preserve"> (</w:t>
      </w:r>
      <w:r w:rsidR="009E13D0" w:rsidRPr="00F5541E">
        <w:rPr>
          <w:lang w:val="de-DE"/>
        </w:rPr>
        <w:t>vergleiche Dokument</w:t>
      </w:r>
      <w:r w:rsidRPr="00F5541E">
        <w:rPr>
          <w:lang w:val="de-DE"/>
        </w:rPr>
        <w:t xml:space="preserve"> TWO/47/28 </w:t>
      </w:r>
      <w:r w:rsidR="00A02E1F" w:rsidRPr="00F5541E">
        <w:rPr>
          <w:lang w:val="de-DE"/>
        </w:rPr>
        <w:t>„</w:t>
      </w:r>
      <w:r w:rsidR="005C2CC2">
        <w:rPr>
          <w:lang w:val="de-DE"/>
        </w:rPr>
        <w:t>Repor</w:t>
      </w:r>
      <w:r w:rsidR="00A02E1F" w:rsidRPr="00F5541E">
        <w:rPr>
          <w:lang w:val="de-DE"/>
        </w:rPr>
        <w:t>t“</w:t>
      </w:r>
      <w:r w:rsidRPr="00F5541E">
        <w:rPr>
          <w:lang w:val="de-DE"/>
        </w:rPr>
        <w:t xml:space="preserve">, </w:t>
      </w:r>
      <w:r w:rsidR="009E13D0" w:rsidRPr="00F5541E">
        <w:rPr>
          <w:lang w:val="de-DE"/>
        </w:rPr>
        <w:t>Absatz</w:t>
      </w:r>
      <w:r w:rsidRPr="00F5541E">
        <w:rPr>
          <w:lang w:val="de-DE"/>
        </w:rPr>
        <w:t xml:space="preserve"> 97)</w:t>
      </w:r>
      <w:r w:rsidRPr="00F5541E">
        <w:rPr>
          <w:rFonts w:cs="Arial"/>
          <w:lang w:val="de-DE"/>
        </w:rPr>
        <w:t>.</w:t>
      </w:r>
    </w:p>
    <w:p w:rsidR="001036A0" w:rsidRPr="00F5541E" w:rsidRDefault="001036A0" w:rsidP="001036A0">
      <w:pPr>
        <w:rPr>
          <w:rFonts w:cs="Arial"/>
          <w:lang w:val="de-DE"/>
        </w:rPr>
      </w:pPr>
    </w:p>
    <w:p w:rsidR="001036A0" w:rsidRPr="00F413C7" w:rsidRDefault="001036A0" w:rsidP="001036A0">
      <w:pPr>
        <w:autoSpaceDE w:val="0"/>
        <w:autoSpaceDN w:val="0"/>
        <w:adjustRightInd w:val="0"/>
        <w:rPr>
          <w:rFonts w:cs="Arial"/>
          <w:lang w:val="de-DE"/>
        </w:rPr>
      </w:pPr>
      <w:r w:rsidRPr="002070BE">
        <w:rPr>
          <w:snapToGrid w:val="0"/>
        </w:rPr>
        <w:fldChar w:fldCharType="begin"/>
      </w:r>
      <w:r w:rsidRPr="00F413C7">
        <w:rPr>
          <w:snapToGrid w:val="0"/>
          <w:lang w:val="de-DE"/>
        </w:rPr>
        <w:instrText xml:space="preserve"> AUTONUM  </w:instrText>
      </w:r>
      <w:r w:rsidRPr="002070BE">
        <w:rPr>
          <w:snapToGrid w:val="0"/>
        </w:rPr>
        <w:fldChar w:fldCharType="end"/>
      </w:r>
      <w:r w:rsidRPr="00F413C7">
        <w:rPr>
          <w:snapToGrid w:val="0"/>
          <w:lang w:val="de-DE"/>
        </w:rPr>
        <w:tab/>
      </w:r>
      <w:r w:rsidR="00F413C7" w:rsidRPr="00F413C7">
        <w:rPr>
          <w:snapToGrid w:val="0"/>
          <w:lang w:val="de-DE"/>
        </w:rPr>
        <w:t>Die TWF</w:t>
      </w:r>
      <w:r w:rsidR="00884C9E" w:rsidRPr="00F413C7">
        <w:rPr>
          <w:rFonts w:cs="Arial"/>
          <w:lang w:val="de-DE"/>
        </w:rPr>
        <w:t xml:space="preserve"> und </w:t>
      </w:r>
      <w:r w:rsidR="00F413C7">
        <w:rPr>
          <w:rFonts w:cs="Arial"/>
          <w:lang w:val="de-DE"/>
        </w:rPr>
        <w:t>die TWA</w:t>
      </w:r>
      <w:r w:rsidRPr="00F413C7">
        <w:rPr>
          <w:rFonts w:cs="Arial"/>
          <w:lang w:val="de-DE"/>
        </w:rPr>
        <w:t xml:space="preserve"> </w:t>
      </w:r>
      <w:r w:rsidR="00F413C7">
        <w:rPr>
          <w:rFonts w:cs="Arial"/>
          <w:lang w:val="de-DE"/>
        </w:rPr>
        <w:t>prüfte</w:t>
      </w:r>
      <w:r w:rsidR="00EA0FC6">
        <w:rPr>
          <w:rFonts w:cs="Arial"/>
          <w:lang w:val="de-DE"/>
        </w:rPr>
        <w:t>n</w:t>
      </w:r>
      <w:r w:rsidRPr="00F413C7">
        <w:rPr>
          <w:rFonts w:cs="Arial"/>
          <w:lang w:val="de-DE"/>
        </w:rPr>
        <w:t xml:space="preserve"> </w:t>
      </w:r>
      <w:r w:rsidR="00F413C7">
        <w:rPr>
          <w:rFonts w:cs="Arial"/>
          <w:lang w:val="de-DE"/>
        </w:rPr>
        <w:t>den Vorschlag</w:t>
      </w:r>
      <w:r w:rsidRPr="00F413C7">
        <w:rPr>
          <w:rFonts w:cs="Arial"/>
          <w:lang w:val="de-DE"/>
        </w:rPr>
        <w:t xml:space="preserve"> </w:t>
      </w:r>
      <w:r w:rsidR="00F413C7">
        <w:rPr>
          <w:rFonts w:cs="Arial"/>
          <w:lang w:val="de-DE"/>
        </w:rPr>
        <w:t>des Sachverständigen</w:t>
      </w:r>
      <w:r w:rsidRPr="00F413C7">
        <w:rPr>
          <w:rFonts w:cs="Arial"/>
          <w:lang w:val="de-DE"/>
        </w:rPr>
        <w:t xml:space="preserve"> </w:t>
      </w:r>
      <w:r w:rsidR="00F413C7">
        <w:rPr>
          <w:rFonts w:cs="Arial"/>
          <w:lang w:val="de-DE"/>
        </w:rPr>
        <w:t>aus Australien</w:t>
      </w:r>
      <w:r w:rsidRPr="00F413C7">
        <w:rPr>
          <w:rFonts w:cs="Arial"/>
          <w:lang w:val="de-DE"/>
        </w:rPr>
        <w:t xml:space="preserve">, </w:t>
      </w:r>
      <w:r w:rsidR="00F413C7">
        <w:rPr>
          <w:rFonts w:cs="Arial"/>
          <w:lang w:val="de-DE"/>
        </w:rPr>
        <w:t xml:space="preserve">zu diesem Zeitpunkt keine </w:t>
      </w:r>
      <w:r w:rsidR="00F5541E" w:rsidRPr="00F413C7">
        <w:rPr>
          <w:rFonts w:cs="Arial"/>
          <w:lang w:val="de-DE"/>
        </w:rPr>
        <w:t>Datenbank</w:t>
      </w:r>
      <w:r w:rsidR="00F413C7">
        <w:rPr>
          <w:rFonts w:cs="Arial"/>
          <w:lang w:val="de-DE"/>
        </w:rPr>
        <w:t xml:space="preserve"> zu erstellen</w:t>
      </w:r>
      <w:r w:rsidRPr="00F413C7">
        <w:rPr>
          <w:rFonts w:cs="Arial"/>
          <w:lang w:val="de-DE"/>
        </w:rPr>
        <w:t xml:space="preserve"> (</w:t>
      </w:r>
      <w:r w:rsidR="009E13D0" w:rsidRPr="00F413C7">
        <w:rPr>
          <w:rFonts w:cs="Arial"/>
          <w:lang w:val="de-DE"/>
        </w:rPr>
        <w:t>vergleiche Dokument</w:t>
      </w:r>
      <w:r w:rsidR="005B627E">
        <w:rPr>
          <w:rFonts w:cs="Arial"/>
          <w:lang w:val="de-DE"/>
        </w:rPr>
        <w:t>e</w:t>
      </w:r>
      <w:r w:rsidRPr="00F413C7">
        <w:rPr>
          <w:lang w:val="de-DE"/>
        </w:rPr>
        <w:t xml:space="preserve"> TWF/45/32 </w:t>
      </w:r>
      <w:r w:rsidR="00A02E1F" w:rsidRPr="00F413C7">
        <w:rPr>
          <w:lang w:val="de-DE"/>
        </w:rPr>
        <w:t>„</w:t>
      </w:r>
      <w:r w:rsidR="005C2CC2">
        <w:rPr>
          <w:lang w:val="de-DE"/>
        </w:rPr>
        <w:t>Repor</w:t>
      </w:r>
      <w:r w:rsidR="005C2CC2" w:rsidRPr="00F5541E">
        <w:rPr>
          <w:lang w:val="de-DE"/>
        </w:rPr>
        <w:t>t</w:t>
      </w:r>
      <w:r w:rsidR="00A02E1F" w:rsidRPr="00F413C7">
        <w:rPr>
          <w:lang w:val="de-DE"/>
        </w:rPr>
        <w:t>“</w:t>
      </w:r>
      <w:r w:rsidRPr="00F413C7">
        <w:rPr>
          <w:lang w:val="de-DE"/>
        </w:rPr>
        <w:t xml:space="preserve">, </w:t>
      </w:r>
      <w:r w:rsidR="009E13D0" w:rsidRPr="00F413C7">
        <w:rPr>
          <w:lang w:val="de-DE"/>
        </w:rPr>
        <w:t>Absatz</w:t>
      </w:r>
      <w:r w:rsidRPr="00F413C7">
        <w:rPr>
          <w:lang w:val="de-DE"/>
        </w:rPr>
        <w:t> 111</w:t>
      </w:r>
      <w:r w:rsidR="00EA0FC6">
        <w:rPr>
          <w:lang w:val="de-DE"/>
        </w:rPr>
        <w:t>,</w:t>
      </w:r>
      <w:r w:rsidR="00884C9E" w:rsidRPr="00F413C7">
        <w:rPr>
          <w:lang w:val="de-DE"/>
        </w:rPr>
        <w:t xml:space="preserve"> und </w:t>
      </w:r>
      <w:r w:rsidRPr="00F413C7">
        <w:rPr>
          <w:lang w:val="de-DE"/>
        </w:rPr>
        <w:t xml:space="preserve">TWA/43/27 </w:t>
      </w:r>
      <w:r w:rsidR="00A02E1F" w:rsidRPr="00F413C7">
        <w:rPr>
          <w:lang w:val="de-DE"/>
        </w:rPr>
        <w:t>„</w:t>
      </w:r>
      <w:r w:rsidR="005C2CC2">
        <w:rPr>
          <w:lang w:val="de-DE"/>
        </w:rPr>
        <w:t>Repor</w:t>
      </w:r>
      <w:r w:rsidR="005C2CC2" w:rsidRPr="00F5541E">
        <w:rPr>
          <w:lang w:val="de-DE"/>
        </w:rPr>
        <w:t>t</w:t>
      </w:r>
      <w:r w:rsidR="00A02E1F" w:rsidRPr="00F413C7">
        <w:rPr>
          <w:lang w:val="de-DE"/>
        </w:rPr>
        <w:t>“</w:t>
      </w:r>
      <w:r w:rsidRPr="00F413C7">
        <w:rPr>
          <w:lang w:val="de-DE"/>
        </w:rPr>
        <w:t xml:space="preserve">, </w:t>
      </w:r>
      <w:r w:rsidR="009E13D0" w:rsidRPr="00F413C7">
        <w:rPr>
          <w:lang w:val="de-DE"/>
        </w:rPr>
        <w:t>Absatz</w:t>
      </w:r>
      <w:r w:rsidRPr="00F413C7">
        <w:rPr>
          <w:lang w:val="de-DE"/>
        </w:rPr>
        <w:t xml:space="preserve"> 95)</w:t>
      </w:r>
      <w:r w:rsidRPr="00F413C7">
        <w:rPr>
          <w:rFonts w:cs="Arial"/>
          <w:lang w:val="de-DE"/>
        </w:rPr>
        <w:t>.</w:t>
      </w:r>
    </w:p>
    <w:p w:rsidR="001036A0" w:rsidRPr="00F413C7" w:rsidRDefault="001036A0" w:rsidP="001036A0">
      <w:pPr>
        <w:autoSpaceDE w:val="0"/>
        <w:autoSpaceDN w:val="0"/>
        <w:adjustRightInd w:val="0"/>
        <w:rPr>
          <w:rFonts w:cs="Arial"/>
          <w:lang w:val="de-DE"/>
        </w:rPr>
      </w:pPr>
    </w:p>
    <w:p w:rsidR="001036A0" w:rsidRPr="00F413C7" w:rsidRDefault="001036A0" w:rsidP="001036A0">
      <w:pPr>
        <w:autoSpaceDE w:val="0"/>
        <w:autoSpaceDN w:val="0"/>
        <w:adjustRightInd w:val="0"/>
        <w:rPr>
          <w:rFonts w:cs="Arial"/>
          <w:lang w:val="de-DE"/>
        </w:rPr>
      </w:pPr>
      <w:r w:rsidRPr="002070BE">
        <w:rPr>
          <w:snapToGrid w:val="0"/>
        </w:rPr>
        <w:fldChar w:fldCharType="begin"/>
      </w:r>
      <w:r w:rsidRPr="00F413C7">
        <w:rPr>
          <w:snapToGrid w:val="0"/>
          <w:lang w:val="de-DE"/>
        </w:rPr>
        <w:instrText xml:space="preserve"> AUTONUM  </w:instrText>
      </w:r>
      <w:r w:rsidRPr="002070BE">
        <w:rPr>
          <w:snapToGrid w:val="0"/>
        </w:rPr>
        <w:fldChar w:fldCharType="end"/>
      </w:r>
      <w:r w:rsidRPr="00F413C7">
        <w:rPr>
          <w:snapToGrid w:val="0"/>
          <w:lang w:val="de-DE"/>
        </w:rPr>
        <w:tab/>
      </w:r>
      <w:r w:rsidR="00F413C7" w:rsidRPr="00F413C7">
        <w:rPr>
          <w:rFonts w:cs="Arial"/>
          <w:lang w:val="de-DE"/>
        </w:rPr>
        <w:t>Die TWF</w:t>
      </w:r>
      <w:r w:rsidRPr="00F413C7">
        <w:rPr>
          <w:rFonts w:cs="Arial"/>
          <w:lang w:val="de-DE"/>
        </w:rPr>
        <w:t>, TWC, TWV</w:t>
      </w:r>
      <w:r w:rsidR="00884C9E" w:rsidRPr="00F413C7">
        <w:rPr>
          <w:rFonts w:cs="Arial"/>
          <w:lang w:val="de-DE"/>
        </w:rPr>
        <w:t xml:space="preserve"> und </w:t>
      </w:r>
      <w:r w:rsidR="00F413C7">
        <w:rPr>
          <w:rFonts w:cs="Arial"/>
          <w:lang w:val="de-DE"/>
        </w:rPr>
        <w:t>TWA</w:t>
      </w:r>
      <w:r w:rsidRPr="00F413C7">
        <w:rPr>
          <w:rFonts w:cs="Arial"/>
          <w:lang w:val="de-DE"/>
        </w:rPr>
        <w:t xml:space="preserve"> </w:t>
      </w:r>
      <w:r w:rsidR="00F413C7">
        <w:rPr>
          <w:rFonts w:cs="Arial"/>
          <w:lang w:val="de-DE"/>
        </w:rPr>
        <w:t>nahmen die von dem</w:t>
      </w:r>
      <w:r w:rsidRPr="00F413C7">
        <w:rPr>
          <w:rFonts w:cs="Arial"/>
          <w:lang w:val="de-DE"/>
        </w:rPr>
        <w:t xml:space="preserve"> ISF </w:t>
      </w:r>
      <w:r w:rsidR="00F413C7">
        <w:rPr>
          <w:rFonts w:cs="Arial"/>
          <w:lang w:val="de-DE"/>
        </w:rPr>
        <w:t xml:space="preserve">aufgeworfenen </w:t>
      </w:r>
      <w:r w:rsidR="005B627E">
        <w:rPr>
          <w:rFonts w:cs="Arial"/>
          <w:lang w:val="de-DE"/>
        </w:rPr>
        <w:t xml:space="preserve">Angelegenheiten </w:t>
      </w:r>
      <w:r w:rsidR="00EA0FC6">
        <w:rPr>
          <w:rFonts w:cs="Arial"/>
          <w:lang w:val="de-DE"/>
        </w:rPr>
        <w:t>betreffend</w:t>
      </w:r>
      <w:r w:rsidR="00F413C7">
        <w:rPr>
          <w:rFonts w:cs="Arial"/>
          <w:lang w:val="de-DE"/>
        </w:rPr>
        <w:t xml:space="preserve"> Sortenbeschreibungen</w:t>
      </w:r>
      <w:r w:rsidRPr="00F413C7">
        <w:rPr>
          <w:rFonts w:cs="Arial"/>
          <w:lang w:val="de-DE"/>
        </w:rPr>
        <w:t xml:space="preserve"> </w:t>
      </w:r>
      <w:r w:rsidR="005B627E">
        <w:rPr>
          <w:rFonts w:cs="Arial"/>
          <w:lang w:val="de-DE"/>
        </w:rPr>
        <w:t xml:space="preserve">zur Kenntnis </w:t>
      </w:r>
      <w:r w:rsidRPr="00F413C7">
        <w:rPr>
          <w:rFonts w:cs="Arial"/>
          <w:lang w:val="de-DE"/>
        </w:rPr>
        <w:t>(</w:t>
      </w:r>
      <w:r w:rsidR="009E13D0" w:rsidRPr="00F413C7">
        <w:rPr>
          <w:rFonts w:cs="Arial"/>
          <w:lang w:val="de-DE"/>
        </w:rPr>
        <w:t>vergleiche Dokument</w:t>
      </w:r>
      <w:r w:rsidR="00F413C7">
        <w:rPr>
          <w:lang w:val="de-DE"/>
        </w:rPr>
        <w:t>e</w:t>
      </w:r>
      <w:r w:rsidRPr="00F413C7">
        <w:rPr>
          <w:lang w:val="de-DE"/>
        </w:rPr>
        <w:t xml:space="preserve"> TWF/45/32 </w:t>
      </w:r>
      <w:r w:rsidR="00A02E1F" w:rsidRPr="00F413C7">
        <w:rPr>
          <w:lang w:val="de-DE"/>
        </w:rPr>
        <w:t>„</w:t>
      </w:r>
      <w:r w:rsidR="005C2CC2">
        <w:rPr>
          <w:lang w:val="de-DE"/>
        </w:rPr>
        <w:t>Repor</w:t>
      </w:r>
      <w:r w:rsidR="005C2CC2" w:rsidRPr="00F5541E">
        <w:rPr>
          <w:lang w:val="de-DE"/>
        </w:rPr>
        <w:t>t</w:t>
      </w:r>
      <w:r w:rsidR="00A02E1F" w:rsidRPr="00F413C7">
        <w:rPr>
          <w:lang w:val="de-DE"/>
        </w:rPr>
        <w:t>“</w:t>
      </w:r>
      <w:r w:rsidRPr="00F413C7">
        <w:rPr>
          <w:lang w:val="de-DE"/>
        </w:rPr>
        <w:t xml:space="preserve">, </w:t>
      </w:r>
      <w:r w:rsidR="009E13D0" w:rsidRPr="00F413C7">
        <w:rPr>
          <w:lang w:val="de-DE"/>
        </w:rPr>
        <w:t>Absatz</w:t>
      </w:r>
      <w:r w:rsidRPr="00F413C7">
        <w:rPr>
          <w:lang w:val="de-DE"/>
        </w:rPr>
        <w:t xml:space="preserve"> 112, TWC/32/28 </w:t>
      </w:r>
      <w:r w:rsidR="00A02E1F" w:rsidRPr="00F413C7">
        <w:rPr>
          <w:lang w:val="de-DE"/>
        </w:rPr>
        <w:t>„</w:t>
      </w:r>
      <w:r w:rsidR="005C2CC2">
        <w:rPr>
          <w:lang w:val="de-DE"/>
        </w:rPr>
        <w:t>Repor</w:t>
      </w:r>
      <w:r w:rsidR="005C2CC2" w:rsidRPr="00F5541E">
        <w:rPr>
          <w:lang w:val="de-DE"/>
        </w:rPr>
        <w:t>t</w:t>
      </w:r>
      <w:r w:rsidR="00A02E1F" w:rsidRPr="00F413C7">
        <w:rPr>
          <w:lang w:val="de-DE"/>
        </w:rPr>
        <w:t>“</w:t>
      </w:r>
      <w:r w:rsidRPr="00F413C7">
        <w:rPr>
          <w:lang w:val="de-DE"/>
        </w:rPr>
        <w:t xml:space="preserve">, </w:t>
      </w:r>
      <w:r w:rsidR="009E13D0" w:rsidRPr="00F413C7">
        <w:rPr>
          <w:lang w:val="de-DE"/>
        </w:rPr>
        <w:t>Absatz</w:t>
      </w:r>
      <w:r w:rsidRPr="00F413C7">
        <w:rPr>
          <w:lang w:val="de-DE"/>
        </w:rPr>
        <w:t xml:space="preserve"> 77, TWV/48/43 </w:t>
      </w:r>
      <w:r w:rsidR="00A02E1F" w:rsidRPr="00F413C7">
        <w:rPr>
          <w:lang w:val="de-DE"/>
        </w:rPr>
        <w:t>„</w:t>
      </w:r>
      <w:r w:rsidR="005C2CC2">
        <w:rPr>
          <w:lang w:val="de-DE"/>
        </w:rPr>
        <w:t>Repor</w:t>
      </w:r>
      <w:r w:rsidR="005C2CC2" w:rsidRPr="00F5541E">
        <w:rPr>
          <w:lang w:val="de-DE"/>
        </w:rPr>
        <w:t>t</w:t>
      </w:r>
      <w:r w:rsidR="00A02E1F" w:rsidRPr="00F413C7">
        <w:rPr>
          <w:lang w:val="de-DE"/>
        </w:rPr>
        <w:t>“</w:t>
      </w:r>
      <w:r w:rsidRPr="00F413C7">
        <w:rPr>
          <w:lang w:val="de-DE"/>
        </w:rPr>
        <w:t xml:space="preserve">, </w:t>
      </w:r>
      <w:r w:rsidR="009E13D0" w:rsidRPr="00F413C7">
        <w:rPr>
          <w:lang w:val="de-DE"/>
        </w:rPr>
        <w:t>Absatz</w:t>
      </w:r>
      <w:r w:rsidRPr="00F413C7">
        <w:rPr>
          <w:lang w:val="de-DE"/>
        </w:rPr>
        <w:t xml:space="preserve"> 124</w:t>
      </w:r>
      <w:r w:rsidR="005B627E">
        <w:rPr>
          <w:lang w:val="de-DE"/>
        </w:rPr>
        <w:t>,</w:t>
      </w:r>
      <w:r w:rsidR="00884C9E" w:rsidRPr="00F413C7">
        <w:rPr>
          <w:lang w:val="de-DE"/>
        </w:rPr>
        <w:t xml:space="preserve"> und </w:t>
      </w:r>
      <w:r w:rsidRPr="00F413C7">
        <w:rPr>
          <w:lang w:val="de-DE"/>
        </w:rPr>
        <w:t xml:space="preserve">TWA/43/27 </w:t>
      </w:r>
      <w:r w:rsidR="00A02E1F" w:rsidRPr="00F413C7">
        <w:rPr>
          <w:lang w:val="de-DE"/>
        </w:rPr>
        <w:t>„</w:t>
      </w:r>
      <w:r w:rsidR="005C2CC2">
        <w:rPr>
          <w:lang w:val="de-DE"/>
        </w:rPr>
        <w:t>Repor</w:t>
      </w:r>
      <w:r w:rsidR="005C2CC2" w:rsidRPr="00F5541E">
        <w:rPr>
          <w:lang w:val="de-DE"/>
        </w:rPr>
        <w:t>t</w:t>
      </w:r>
      <w:r w:rsidR="00A02E1F" w:rsidRPr="00F413C7">
        <w:rPr>
          <w:lang w:val="de-DE"/>
        </w:rPr>
        <w:t>“</w:t>
      </w:r>
      <w:r w:rsidRPr="00F413C7">
        <w:rPr>
          <w:lang w:val="de-DE"/>
        </w:rPr>
        <w:t xml:space="preserve">, </w:t>
      </w:r>
      <w:r w:rsidR="009E13D0" w:rsidRPr="00F413C7">
        <w:rPr>
          <w:lang w:val="de-DE"/>
        </w:rPr>
        <w:t>Absatz</w:t>
      </w:r>
      <w:r w:rsidRPr="00F413C7">
        <w:rPr>
          <w:lang w:val="de-DE"/>
        </w:rPr>
        <w:t xml:space="preserve"> 96)</w:t>
      </w:r>
      <w:r w:rsidRPr="00F413C7">
        <w:rPr>
          <w:rFonts w:cs="Arial"/>
          <w:lang w:val="de-DE"/>
        </w:rPr>
        <w:t>.</w:t>
      </w:r>
    </w:p>
    <w:p w:rsidR="001036A0" w:rsidRPr="00F413C7" w:rsidRDefault="001036A0" w:rsidP="001036A0">
      <w:pPr>
        <w:autoSpaceDE w:val="0"/>
        <w:autoSpaceDN w:val="0"/>
        <w:adjustRightInd w:val="0"/>
        <w:rPr>
          <w:rFonts w:cs="Arial"/>
          <w:lang w:val="de-DE"/>
        </w:rPr>
      </w:pPr>
    </w:p>
    <w:p w:rsidR="001036A0" w:rsidRPr="00F413C7" w:rsidRDefault="001036A0" w:rsidP="001036A0">
      <w:pPr>
        <w:autoSpaceDE w:val="0"/>
        <w:autoSpaceDN w:val="0"/>
        <w:adjustRightInd w:val="0"/>
        <w:rPr>
          <w:lang w:val="de-DE"/>
        </w:rPr>
      </w:pPr>
      <w:r w:rsidRPr="002070BE">
        <w:rPr>
          <w:snapToGrid w:val="0"/>
        </w:rPr>
        <w:fldChar w:fldCharType="begin"/>
      </w:r>
      <w:r w:rsidRPr="00F413C7">
        <w:rPr>
          <w:snapToGrid w:val="0"/>
          <w:lang w:val="de-DE"/>
        </w:rPr>
        <w:instrText xml:space="preserve"> AUTONUM  </w:instrText>
      </w:r>
      <w:r w:rsidRPr="002070BE">
        <w:rPr>
          <w:snapToGrid w:val="0"/>
        </w:rPr>
        <w:fldChar w:fldCharType="end"/>
      </w:r>
      <w:r w:rsidRPr="00F413C7">
        <w:rPr>
          <w:snapToGrid w:val="0"/>
          <w:lang w:val="de-DE"/>
        </w:rPr>
        <w:tab/>
      </w:r>
      <w:r w:rsidR="00F413C7" w:rsidRPr="00F413C7">
        <w:rPr>
          <w:rFonts w:cs="Arial"/>
          <w:lang w:val="de-DE"/>
        </w:rPr>
        <w:t>Die TWF</w:t>
      </w:r>
      <w:r w:rsidRPr="00F413C7">
        <w:rPr>
          <w:rFonts w:cs="Arial"/>
          <w:lang w:val="de-DE"/>
        </w:rPr>
        <w:t>, TWC, TWV</w:t>
      </w:r>
      <w:r w:rsidR="00884C9E" w:rsidRPr="00F413C7">
        <w:rPr>
          <w:rFonts w:cs="Arial"/>
          <w:lang w:val="de-DE"/>
        </w:rPr>
        <w:t xml:space="preserve"> und </w:t>
      </w:r>
      <w:r w:rsidR="00F413C7">
        <w:rPr>
          <w:rFonts w:cs="Arial"/>
          <w:lang w:val="de-DE"/>
        </w:rPr>
        <w:t>TWA</w:t>
      </w:r>
      <w:r w:rsidRPr="00F413C7">
        <w:rPr>
          <w:rFonts w:cs="Arial"/>
          <w:lang w:val="de-DE"/>
        </w:rPr>
        <w:t xml:space="preserve"> </w:t>
      </w:r>
      <w:r w:rsidR="00F413C7">
        <w:rPr>
          <w:rFonts w:cs="Arial"/>
          <w:lang w:val="de-DE"/>
        </w:rPr>
        <w:t>nahmen die Bemerkungen</w:t>
      </w:r>
      <w:r w:rsidRPr="00F413C7">
        <w:rPr>
          <w:rFonts w:cs="Arial"/>
          <w:lang w:val="de-DE"/>
        </w:rPr>
        <w:t xml:space="preserve"> </w:t>
      </w:r>
      <w:r w:rsidR="00F413C7">
        <w:rPr>
          <w:rFonts w:cs="Arial"/>
          <w:lang w:val="de-DE"/>
        </w:rPr>
        <w:t xml:space="preserve">des </w:t>
      </w:r>
      <w:r w:rsidRPr="00F413C7">
        <w:rPr>
          <w:rFonts w:cs="Arial"/>
          <w:lang w:val="de-DE"/>
        </w:rPr>
        <w:t xml:space="preserve">CAJ </w:t>
      </w:r>
      <w:r w:rsidR="00F413C7">
        <w:rPr>
          <w:rFonts w:cs="Arial"/>
          <w:lang w:val="de-DE"/>
        </w:rPr>
        <w:t>zu den Angelegenheiten betreffend</w:t>
      </w:r>
      <w:r w:rsidRPr="00F413C7">
        <w:rPr>
          <w:rFonts w:cs="Arial"/>
          <w:lang w:val="de-DE"/>
        </w:rPr>
        <w:t xml:space="preserve"> </w:t>
      </w:r>
      <w:r w:rsidR="00F413C7">
        <w:rPr>
          <w:rFonts w:cs="Arial"/>
          <w:lang w:val="de-DE"/>
        </w:rPr>
        <w:t>Sortenbeschreibungen</w:t>
      </w:r>
      <w:r w:rsidRPr="00F413C7">
        <w:rPr>
          <w:rFonts w:cs="Arial"/>
          <w:lang w:val="de-DE"/>
        </w:rPr>
        <w:t>,</w:t>
      </w:r>
      <w:r w:rsidR="00F413C7">
        <w:rPr>
          <w:rFonts w:cs="Arial"/>
          <w:lang w:val="de-DE"/>
        </w:rPr>
        <w:t xml:space="preserve"> wie </w:t>
      </w:r>
      <w:r w:rsidRPr="00F413C7">
        <w:rPr>
          <w:rFonts w:cs="Arial"/>
          <w:lang w:val="de-DE"/>
        </w:rPr>
        <w:t xml:space="preserve">in </w:t>
      </w:r>
      <w:r w:rsidR="009E13D0" w:rsidRPr="00F413C7">
        <w:rPr>
          <w:rFonts w:cs="Arial"/>
          <w:lang w:val="de-DE"/>
        </w:rPr>
        <w:t>Absatz</w:t>
      </w:r>
      <w:r w:rsidRPr="00F413C7">
        <w:rPr>
          <w:rFonts w:cs="Arial"/>
          <w:lang w:val="de-DE"/>
        </w:rPr>
        <w:t xml:space="preserve"> 12 </w:t>
      </w:r>
      <w:r w:rsidR="00F413C7">
        <w:rPr>
          <w:rFonts w:cs="Arial"/>
          <w:lang w:val="de-DE"/>
        </w:rPr>
        <w:t>dieses</w:t>
      </w:r>
      <w:r w:rsidRPr="00F413C7">
        <w:rPr>
          <w:rFonts w:cs="Arial"/>
          <w:lang w:val="de-DE"/>
        </w:rPr>
        <w:t xml:space="preserve"> </w:t>
      </w:r>
      <w:r w:rsidR="00D167F7" w:rsidRPr="00F413C7">
        <w:rPr>
          <w:rFonts w:cs="Arial"/>
          <w:lang w:val="de-DE"/>
        </w:rPr>
        <w:t>Dokument</w:t>
      </w:r>
      <w:r w:rsidR="00F413C7">
        <w:rPr>
          <w:rFonts w:cs="Arial"/>
          <w:lang w:val="de-DE"/>
        </w:rPr>
        <w:t>s dargelegt</w:t>
      </w:r>
      <w:r w:rsidR="00EA0FC6">
        <w:rPr>
          <w:rFonts w:cs="Arial"/>
          <w:lang w:val="de-DE"/>
        </w:rPr>
        <w:t>,</w:t>
      </w:r>
      <w:r w:rsidRPr="00F413C7">
        <w:rPr>
          <w:rFonts w:cs="Arial"/>
          <w:lang w:val="de-DE"/>
        </w:rPr>
        <w:t xml:space="preserve"> </w:t>
      </w:r>
      <w:r w:rsidR="005B627E">
        <w:rPr>
          <w:rFonts w:cs="Arial"/>
          <w:lang w:val="de-DE"/>
        </w:rPr>
        <w:t xml:space="preserve">zur Kenntnis </w:t>
      </w:r>
      <w:r w:rsidRPr="00F413C7">
        <w:rPr>
          <w:rFonts w:cs="Arial"/>
          <w:lang w:val="de-DE"/>
        </w:rPr>
        <w:t>(</w:t>
      </w:r>
      <w:r w:rsidR="009E13D0" w:rsidRPr="00F413C7">
        <w:rPr>
          <w:rFonts w:cs="Arial"/>
          <w:lang w:val="de-DE"/>
        </w:rPr>
        <w:t>vergleiche Dokument</w:t>
      </w:r>
      <w:r w:rsidR="00F413C7">
        <w:rPr>
          <w:rFonts w:cs="Arial"/>
          <w:lang w:val="de-DE"/>
        </w:rPr>
        <w:t>e</w:t>
      </w:r>
      <w:r w:rsidRPr="00F413C7">
        <w:rPr>
          <w:lang w:val="de-DE"/>
        </w:rPr>
        <w:t xml:space="preserve"> TWF/45/32 </w:t>
      </w:r>
      <w:r w:rsidR="00A02E1F" w:rsidRPr="00F413C7">
        <w:rPr>
          <w:lang w:val="de-DE"/>
        </w:rPr>
        <w:t>„</w:t>
      </w:r>
      <w:r w:rsidR="005C2CC2">
        <w:rPr>
          <w:lang w:val="de-DE"/>
        </w:rPr>
        <w:t>Repor</w:t>
      </w:r>
      <w:r w:rsidR="005C2CC2" w:rsidRPr="00F5541E">
        <w:rPr>
          <w:lang w:val="de-DE"/>
        </w:rPr>
        <w:t>t</w:t>
      </w:r>
      <w:r w:rsidR="00A02E1F" w:rsidRPr="00F413C7">
        <w:rPr>
          <w:lang w:val="de-DE"/>
        </w:rPr>
        <w:t>“</w:t>
      </w:r>
      <w:r w:rsidRPr="00F413C7">
        <w:rPr>
          <w:lang w:val="de-DE"/>
        </w:rPr>
        <w:t xml:space="preserve">, </w:t>
      </w:r>
      <w:r w:rsidR="009E13D0" w:rsidRPr="00F413C7">
        <w:rPr>
          <w:lang w:val="de-DE"/>
        </w:rPr>
        <w:t>Ab</w:t>
      </w:r>
      <w:r w:rsidR="00F413C7">
        <w:rPr>
          <w:lang w:val="de-DE"/>
        </w:rPr>
        <w:t>satz</w:t>
      </w:r>
      <w:r w:rsidRPr="00F413C7">
        <w:rPr>
          <w:lang w:val="de-DE"/>
        </w:rPr>
        <w:t xml:space="preserve"> 110, TWC/32/28 </w:t>
      </w:r>
      <w:r w:rsidR="00A02E1F" w:rsidRPr="00F413C7">
        <w:rPr>
          <w:lang w:val="de-DE"/>
        </w:rPr>
        <w:t>„</w:t>
      </w:r>
      <w:r w:rsidR="005C2CC2">
        <w:rPr>
          <w:lang w:val="de-DE"/>
        </w:rPr>
        <w:t>Repor</w:t>
      </w:r>
      <w:r w:rsidR="005C2CC2" w:rsidRPr="00F5541E">
        <w:rPr>
          <w:lang w:val="de-DE"/>
        </w:rPr>
        <w:t>t</w:t>
      </w:r>
      <w:r w:rsidR="00A02E1F" w:rsidRPr="00F413C7">
        <w:rPr>
          <w:lang w:val="de-DE"/>
        </w:rPr>
        <w:t>“</w:t>
      </w:r>
      <w:r w:rsidRPr="00F413C7">
        <w:rPr>
          <w:lang w:val="de-DE"/>
        </w:rPr>
        <w:t xml:space="preserve">, </w:t>
      </w:r>
      <w:r w:rsidR="009E13D0" w:rsidRPr="00F413C7">
        <w:rPr>
          <w:lang w:val="de-DE"/>
        </w:rPr>
        <w:t>Absatz</w:t>
      </w:r>
      <w:r w:rsidRPr="00F413C7">
        <w:rPr>
          <w:lang w:val="de-DE"/>
        </w:rPr>
        <w:t xml:space="preserve"> 78, TWV/48/43 </w:t>
      </w:r>
      <w:r w:rsidR="00A02E1F" w:rsidRPr="00F413C7">
        <w:rPr>
          <w:lang w:val="de-DE"/>
        </w:rPr>
        <w:t>„</w:t>
      </w:r>
      <w:r w:rsidR="005C2CC2">
        <w:rPr>
          <w:lang w:val="de-DE"/>
        </w:rPr>
        <w:t>Repor</w:t>
      </w:r>
      <w:r w:rsidR="005C2CC2" w:rsidRPr="00F5541E">
        <w:rPr>
          <w:lang w:val="de-DE"/>
        </w:rPr>
        <w:t>t</w:t>
      </w:r>
      <w:r w:rsidR="00A02E1F" w:rsidRPr="00F413C7">
        <w:rPr>
          <w:lang w:val="de-DE"/>
        </w:rPr>
        <w:t>“</w:t>
      </w:r>
      <w:r w:rsidRPr="00F413C7">
        <w:rPr>
          <w:lang w:val="de-DE"/>
        </w:rPr>
        <w:t xml:space="preserve">, </w:t>
      </w:r>
      <w:r w:rsidR="009E13D0" w:rsidRPr="00F413C7">
        <w:rPr>
          <w:lang w:val="de-DE"/>
        </w:rPr>
        <w:t>Absatz</w:t>
      </w:r>
      <w:r w:rsidR="005C2CC2">
        <w:rPr>
          <w:lang w:val="de-DE"/>
        </w:rPr>
        <w:t> </w:t>
      </w:r>
      <w:r w:rsidRPr="00F413C7">
        <w:rPr>
          <w:lang w:val="de-DE"/>
        </w:rPr>
        <w:t>125</w:t>
      </w:r>
      <w:r w:rsidR="005B627E">
        <w:rPr>
          <w:lang w:val="de-DE"/>
        </w:rPr>
        <w:t>,</w:t>
      </w:r>
      <w:r w:rsidR="00884C9E" w:rsidRPr="00F413C7">
        <w:rPr>
          <w:lang w:val="de-DE"/>
        </w:rPr>
        <w:t xml:space="preserve"> und </w:t>
      </w:r>
      <w:r w:rsidRPr="00F413C7">
        <w:rPr>
          <w:lang w:val="de-DE"/>
        </w:rPr>
        <w:t xml:space="preserve">TWA/43/27 </w:t>
      </w:r>
      <w:r w:rsidR="00A02E1F" w:rsidRPr="00F413C7">
        <w:rPr>
          <w:lang w:val="de-DE"/>
        </w:rPr>
        <w:t>„</w:t>
      </w:r>
      <w:r w:rsidR="005C2CC2">
        <w:rPr>
          <w:lang w:val="de-DE"/>
        </w:rPr>
        <w:t>Repor</w:t>
      </w:r>
      <w:r w:rsidR="005C2CC2" w:rsidRPr="00F5541E">
        <w:rPr>
          <w:lang w:val="de-DE"/>
        </w:rPr>
        <w:t>t</w:t>
      </w:r>
      <w:r w:rsidR="00A02E1F" w:rsidRPr="00F413C7">
        <w:rPr>
          <w:lang w:val="de-DE"/>
        </w:rPr>
        <w:t>“</w:t>
      </w:r>
      <w:r w:rsidRPr="00F413C7">
        <w:rPr>
          <w:lang w:val="de-DE"/>
        </w:rPr>
        <w:t xml:space="preserve">, </w:t>
      </w:r>
      <w:r w:rsidR="009E13D0" w:rsidRPr="00F413C7">
        <w:rPr>
          <w:lang w:val="de-DE"/>
        </w:rPr>
        <w:t>Absatz</w:t>
      </w:r>
      <w:r w:rsidRPr="00F413C7">
        <w:rPr>
          <w:lang w:val="de-DE"/>
        </w:rPr>
        <w:t xml:space="preserve"> 97).</w:t>
      </w:r>
    </w:p>
    <w:p w:rsidR="001036A0" w:rsidRPr="00F413C7" w:rsidRDefault="001036A0" w:rsidP="001036A0">
      <w:pPr>
        <w:pStyle w:val="Default"/>
        <w:jc w:val="both"/>
        <w:rPr>
          <w:sz w:val="20"/>
          <w:szCs w:val="20"/>
          <w:lang w:val="de-DE"/>
        </w:rPr>
      </w:pPr>
    </w:p>
    <w:p w:rsidR="001036A0" w:rsidRPr="00F413C7" w:rsidRDefault="001036A0" w:rsidP="001036A0">
      <w:pPr>
        <w:pStyle w:val="Default"/>
        <w:jc w:val="both"/>
        <w:rPr>
          <w:sz w:val="20"/>
          <w:szCs w:val="20"/>
          <w:lang w:val="de-DE"/>
        </w:rPr>
      </w:pPr>
      <w:r w:rsidRPr="002070BE">
        <w:rPr>
          <w:snapToGrid w:val="0"/>
          <w:sz w:val="20"/>
          <w:szCs w:val="20"/>
        </w:rPr>
        <w:fldChar w:fldCharType="begin"/>
      </w:r>
      <w:r w:rsidRPr="00F413C7">
        <w:rPr>
          <w:snapToGrid w:val="0"/>
          <w:sz w:val="20"/>
          <w:szCs w:val="20"/>
          <w:lang w:val="de-DE"/>
        </w:rPr>
        <w:instrText xml:space="preserve"> AUTONUM  </w:instrText>
      </w:r>
      <w:r w:rsidRPr="002070BE">
        <w:rPr>
          <w:snapToGrid w:val="0"/>
          <w:sz w:val="20"/>
          <w:szCs w:val="20"/>
        </w:rPr>
        <w:fldChar w:fldCharType="end"/>
      </w:r>
      <w:r w:rsidRPr="00F413C7">
        <w:rPr>
          <w:snapToGrid w:val="0"/>
          <w:sz w:val="20"/>
          <w:szCs w:val="20"/>
          <w:lang w:val="de-DE"/>
        </w:rPr>
        <w:tab/>
      </w:r>
      <w:r w:rsidR="00F5541E" w:rsidRPr="00F413C7">
        <w:rPr>
          <w:sz w:val="20"/>
          <w:szCs w:val="20"/>
          <w:lang w:val="de-DE"/>
        </w:rPr>
        <w:t>Die TWC</w:t>
      </w:r>
      <w:r w:rsidR="00884C9E" w:rsidRPr="00F413C7">
        <w:rPr>
          <w:sz w:val="20"/>
          <w:szCs w:val="20"/>
          <w:lang w:val="de-DE"/>
        </w:rPr>
        <w:t xml:space="preserve"> und </w:t>
      </w:r>
      <w:r w:rsidR="009C4642">
        <w:rPr>
          <w:sz w:val="20"/>
          <w:szCs w:val="20"/>
          <w:lang w:val="de-DE"/>
        </w:rPr>
        <w:t xml:space="preserve">die </w:t>
      </w:r>
      <w:r w:rsidRPr="00F413C7">
        <w:rPr>
          <w:sz w:val="20"/>
          <w:szCs w:val="20"/>
          <w:lang w:val="de-DE"/>
        </w:rPr>
        <w:t xml:space="preserve">TWV </w:t>
      </w:r>
      <w:r w:rsidR="009C4642">
        <w:rPr>
          <w:sz w:val="20"/>
          <w:szCs w:val="20"/>
          <w:lang w:val="de-DE"/>
        </w:rPr>
        <w:t xml:space="preserve">nahmen </w:t>
      </w:r>
      <w:r w:rsidR="00F413C7" w:rsidRPr="00F413C7">
        <w:rPr>
          <w:sz w:val="20"/>
          <w:szCs w:val="20"/>
          <w:lang w:val="de-DE"/>
        </w:rPr>
        <w:t>den Vorschlag</w:t>
      </w:r>
      <w:r w:rsidRPr="00F413C7">
        <w:rPr>
          <w:sz w:val="20"/>
          <w:szCs w:val="20"/>
          <w:lang w:val="de-DE"/>
        </w:rPr>
        <w:t xml:space="preserve"> </w:t>
      </w:r>
      <w:r w:rsidR="009C4642">
        <w:rPr>
          <w:sz w:val="20"/>
          <w:szCs w:val="20"/>
          <w:lang w:val="de-DE"/>
        </w:rPr>
        <w:t xml:space="preserve">des </w:t>
      </w:r>
      <w:r w:rsidR="00F413C7">
        <w:rPr>
          <w:sz w:val="20"/>
          <w:szCs w:val="20"/>
          <w:lang w:val="de-DE"/>
        </w:rPr>
        <w:t>Sachverständigen</w:t>
      </w:r>
      <w:r w:rsidRPr="00F413C7">
        <w:rPr>
          <w:sz w:val="20"/>
          <w:szCs w:val="20"/>
          <w:lang w:val="de-DE"/>
        </w:rPr>
        <w:t xml:space="preserve"> </w:t>
      </w:r>
      <w:r w:rsidR="009C4642">
        <w:rPr>
          <w:sz w:val="20"/>
          <w:szCs w:val="20"/>
          <w:lang w:val="de-DE"/>
        </w:rPr>
        <w:t>aus Australien zur Kenntnis</w:t>
      </w:r>
      <w:r w:rsidRPr="00F413C7">
        <w:rPr>
          <w:sz w:val="20"/>
          <w:szCs w:val="20"/>
          <w:lang w:val="de-DE"/>
        </w:rPr>
        <w:t xml:space="preserve">, </w:t>
      </w:r>
      <w:r w:rsidR="009C4642">
        <w:rPr>
          <w:sz w:val="20"/>
          <w:szCs w:val="20"/>
          <w:lang w:val="de-DE"/>
        </w:rPr>
        <w:t xml:space="preserve">keine </w:t>
      </w:r>
      <w:r w:rsidR="00F5541E" w:rsidRPr="00F413C7">
        <w:rPr>
          <w:sz w:val="20"/>
          <w:szCs w:val="20"/>
          <w:lang w:val="de-DE"/>
        </w:rPr>
        <w:t>Datenbank</w:t>
      </w:r>
      <w:r w:rsidRPr="00F413C7">
        <w:rPr>
          <w:sz w:val="20"/>
          <w:szCs w:val="20"/>
          <w:lang w:val="de-DE"/>
        </w:rPr>
        <w:t xml:space="preserve"> </w:t>
      </w:r>
      <w:r w:rsidR="009C4642">
        <w:rPr>
          <w:sz w:val="20"/>
          <w:szCs w:val="20"/>
          <w:lang w:val="de-DE"/>
        </w:rPr>
        <w:t xml:space="preserve">für die </w:t>
      </w:r>
      <w:r w:rsidRPr="00F413C7">
        <w:rPr>
          <w:sz w:val="20"/>
          <w:szCs w:val="20"/>
          <w:lang w:val="de-DE"/>
        </w:rPr>
        <w:t>TWO</w:t>
      </w:r>
      <w:r w:rsidR="009C4642">
        <w:rPr>
          <w:sz w:val="20"/>
          <w:szCs w:val="20"/>
          <w:lang w:val="de-DE"/>
        </w:rPr>
        <w:t xml:space="preserve"> zu erstellen</w:t>
      </w:r>
      <w:r w:rsidRPr="00F413C7">
        <w:rPr>
          <w:sz w:val="20"/>
          <w:szCs w:val="20"/>
          <w:lang w:val="de-DE"/>
        </w:rPr>
        <w:t xml:space="preserve"> (</w:t>
      </w:r>
      <w:r w:rsidR="009C4642">
        <w:rPr>
          <w:sz w:val="20"/>
          <w:szCs w:val="20"/>
          <w:lang w:val="de-DE"/>
        </w:rPr>
        <w:t xml:space="preserve">vergleiche </w:t>
      </w:r>
      <w:r w:rsidR="00D167F7" w:rsidRPr="00F413C7">
        <w:rPr>
          <w:sz w:val="20"/>
          <w:szCs w:val="20"/>
          <w:lang w:val="de-DE"/>
        </w:rPr>
        <w:t>Dokument</w:t>
      </w:r>
      <w:r w:rsidR="009C4642">
        <w:rPr>
          <w:sz w:val="20"/>
          <w:szCs w:val="20"/>
          <w:lang w:val="de-DE"/>
        </w:rPr>
        <w:t>e</w:t>
      </w:r>
      <w:r w:rsidRPr="00F413C7">
        <w:rPr>
          <w:sz w:val="20"/>
          <w:szCs w:val="20"/>
          <w:lang w:val="de-DE"/>
        </w:rPr>
        <w:t xml:space="preserve"> TWC/32/28 </w:t>
      </w:r>
      <w:r w:rsidR="00A02E1F" w:rsidRPr="00F413C7">
        <w:rPr>
          <w:sz w:val="20"/>
          <w:szCs w:val="20"/>
          <w:lang w:val="de-DE"/>
        </w:rPr>
        <w:t>„</w:t>
      </w:r>
      <w:r w:rsidR="005C2CC2">
        <w:rPr>
          <w:sz w:val="20"/>
          <w:szCs w:val="20"/>
          <w:lang w:val="de-DE"/>
        </w:rPr>
        <w:t>Report</w:t>
      </w:r>
      <w:r w:rsidR="00A02E1F" w:rsidRPr="00F413C7">
        <w:rPr>
          <w:sz w:val="20"/>
          <w:szCs w:val="20"/>
          <w:lang w:val="de-DE"/>
        </w:rPr>
        <w:t>“</w:t>
      </w:r>
      <w:r w:rsidRPr="00F413C7">
        <w:rPr>
          <w:sz w:val="20"/>
          <w:szCs w:val="20"/>
          <w:lang w:val="de-DE"/>
        </w:rPr>
        <w:t xml:space="preserve">, </w:t>
      </w:r>
      <w:r w:rsidR="009E13D0" w:rsidRPr="00F413C7">
        <w:rPr>
          <w:sz w:val="20"/>
          <w:szCs w:val="20"/>
          <w:lang w:val="de-DE"/>
        </w:rPr>
        <w:t>Absatz</w:t>
      </w:r>
      <w:r w:rsidRPr="00F413C7">
        <w:rPr>
          <w:sz w:val="20"/>
          <w:szCs w:val="20"/>
          <w:lang w:val="de-DE"/>
        </w:rPr>
        <w:t xml:space="preserve"> 79</w:t>
      </w:r>
      <w:r w:rsidR="005B627E">
        <w:rPr>
          <w:sz w:val="20"/>
          <w:szCs w:val="20"/>
          <w:lang w:val="de-DE"/>
        </w:rPr>
        <w:t>,</w:t>
      </w:r>
      <w:r w:rsidR="00884C9E" w:rsidRPr="00F413C7">
        <w:rPr>
          <w:sz w:val="20"/>
          <w:szCs w:val="20"/>
          <w:lang w:val="de-DE"/>
        </w:rPr>
        <w:t xml:space="preserve"> und </w:t>
      </w:r>
      <w:r w:rsidRPr="00F413C7">
        <w:rPr>
          <w:sz w:val="20"/>
          <w:szCs w:val="20"/>
          <w:lang w:val="de-DE"/>
        </w:rPr>
        <w:t xml:space="preserve">TWV/48/43 </w:t>
      </w:r>
      <w:r w:rsidR="00A02E1F" w:rsidRPr="00F413C7">
        <w:rPr>
          <w:sz w:val="20"/>
          <w:szCs w:val="20"/>
          <w:lang w:val="de-DE"/>
        </w:rPr>
        <w:t>„</w:t>
      </w:r>
      <w:r w:rsidR="005C2CC2">
        <w:rPr>
          <w:sz w:val="20"/>
          <w:szCs w:val="20"/>
          <w:lang w:val="de-DE"/>
        </w:rPr>
        <w:t>Repor</w:t>
      </w:r>
      <w:r w:rsidR="00A02E1F" w:rsidRPr="00F413C7">
        <w:rPr>
          <w:sz w:val="20"/>
          <w:szCs w:val="20"/>
          <w:lang w:val="de-DE"/>
        </w:rPr>
        <w:t>t“</w:t>
      </w:r>
      <w:r w:rsidRPr="00F413C7">
        <w:rPr>
          <w:sz w:val="20"/>
          <w:szCs w:val="20"/>
          <w:lang w:val="de-DE"/>
        </w:rPr>
        <w:t xml:space="preserve">, </w:t>
      </w:r>
      <w:r w:rsidR="009E13D0" w:rsidRPr="00F413C7">
        <w:rPr>
          <w:sz w:val="20"/>
          <w:szCs w:val="20"/>
          <w:lang w:val="de-DE"/>
        </w:rPr>
        <w:t>Absatz</w:t>
      </w:r>
      <w:r w:rsidRPr="00F413C7">
        <w:rPr>
          <w:sz w:val="20"/>
          <w:szCs w:val="20"/>
          <w:lang w:val="de-DE"/>
        </w:rPr>
        <w:t xml:space="preserve"> 123). </w:t>
      </w:r>
    </w:p>
    <w:p w:rsidR="001036A0" w:rsidRPr="00F413C7" w:rsidRDefault="001036A0" w:rsidP="001036A0">
      <w:pPr>
        <w:pStyle w:val="Default"/>
        <w:jc w:val="both"/>
        <w:rPr>
          <w:sz w:val="20"/>
          <w:szCs w:val="20"/>
          <w:lang w:val="de-DE"/>
        </w:rPr>
      </w:pPr>
    </w:p>
    <w:p w:rsidR="001036A0" w:rsidRPr="00F413C7" w:rsidRDefault="001036A0" w:rsidP="001036A0">
      <w:pPr>
        <w:pStyle w:val="Default"/>
        <w:jc w:val="both"/>
        <w:rPr>
          <w:sz w:val="20"/>
          <w:szCs w:val="20"/>
          <w:lang w:val="de-DE"/>
        </w:rPr>
      </w:pPr>
      <w:r w:rsidRPr="002070BE">
        <w:rPr>
          <w:snapToGrid w:val="0"/>
          <w:sz w:val="20"/>
          <w:szCs w:val="20"/>
        </w:rPr>
        <w:fldChar w:fldCharType="begin"/>
      </w:r>
      <w:r w:rsidRPr="00666E66">
        <w:rPr>
          <w:snapToGrid w:val="0"/>
          <w:sz w:val="20"/>
          <w:szCs w:val="20"/>
          <w:lang w:val="de-DE"/>
        </w:rPr>
        <w:instrText xml:space="preserve"> AUTONUM  </w:instrText>
      </w:r>
      <w:r w:rsidRPr="002070BE">
        <w:rPr>
          <w:snapToGrid w:val="0"/>
          <w:sz w:val="20"/>
          <w:szCs w:val="20"/>
        </w:rPr>
        <w:fldChar w:fldCharType="end"/>
      </w:r>
      <w:r w:rsidRPr="00666E66">
        <w:rPr>
          <w:snapToGrid w:val="0"/>
          <w:sz w:val="20"/>
          <w:szCs w:val="20"/>
          <w:lang w:val="de-DE"/>
        </w:rPr>
        <w:tab/>
      </w:r>
      <w:r w:rsidR="00F5541E">
        <w:rPr>
          <w:sz w:val="20"/>
          <w:szCs w:val="20"/>
          <w:lang w:val="de-DE"/>
        </w:rPr>
        <w:t>Die TWC</w:t>
      </w:r>
      <w:r w:rsidRPr="00666E66">
        <w:rPr>
          <w:sz w:val="20"/>
          <w:szCs w:val="20"/>
          <w:lang w:val="de-DE"/>
        </w:rPr>
        <w:t xml:space="preserve"> </w:t>
      </w:r>
      <w:r w:rsidR="009C4642">
        <w:rPr>
          <w:sz w:val="20"/>
          <w:szCs w:val="20"/>
          <w:lang w:val="de-DE"/>
        </w:rPr>
        <w:t>hörte ein Referat</w:t>
      </w:r>
      <w:r w:rsidRPr="00666E66">
        <w:rPr>
          <w:sz w:val="20"/>
          <w:szCs w:val="20"/>
          <w:lang w:val="de-DE"/>
        </w:rPr>
        <w:t xml:space="preserve"> </w:t>
      </w:r>
      <w:r w:rsidR="009C4642">
        <w:rPr>
          <w:sz w:val="20"/>
          <w:szCs w:val="20"/>
          <w:lang w:val="de-DE"/>
        </w:rPr>
        <w:t xml:space="preserve">eines </w:t>
      </w:r>
      <w:r w:rsidR="00F413C7">
        <w:rPr>
          <w:sz w:val="20"/>
          <w:szCs w:val="20"/>
          <w:lang w:val="de-DE"/>
        </w:rPr>
        <w:t>Sachverständigen</w:t>
      </w:r>
      <w:r w:rsidRPr="00666E66">
        <w:rPr>
          <w:sz w:val="20"/>
          <w:szCs w:val="20"/>
          <w:lang w:val="de-DE"/>
        </w:rPr>
        <w:t xml:space="preserve"> </w:t>
      </w:r>
      <w:r w:rsidR="009C4642">
        <w:rPr>
          <w:sz w:val="20"/>
          <w:szCs w:val="20"/>
          <w:lang w:val="de-DE"/>
        </w:rPr>
        <w:t xml:space="preserve">aus </w:t>
      </w:r>
      <w:r w:rsidRPr="00666E66">
        <w:rPr>
          <w:sz w:val="20"/>
          <w:szCs w:val="20"/>
          <w:lang w:val="de-DE"/>
        </w:rPr>
        <w:t xml:space="preserve">China </w:t>
      </w:r>
      <w:r w:rsidR="009C4642">
        <w:rPr>
          <w:sz w:val="20"/>
          <w:szCs w:val="20"/>
          <w:lang w:val="de-DE"/>
        </w:rPr>
        <w:t>über</w:t>
      </w:r>
      <w:r w:rsidR="00666E66" w:rsidRPr="00666E66">
        <w:rPr>
          <w:sz w:val="20"/>
          <w:szCs w:val="20"/>
          <w:lang w:val="de-DE"/>
        </w:rPr>
        <w:t xml:space="preserve"> </w:t>
      </w:r>
      <w:r w:rsidR="00666E66">
        <w:rPr>
          <w:lang w:val="de-DE"/>
        </w:rPr>
        <w:t>„</w:t>
      </w:r>
      <w:r w:rsidR="00666E66" w:rsidRPr="00666E66">
        <w:rPr>
          <w:sz w:val="20"/>
          <w:szCs w:val="20"/>
          <w:lang w:val="de-DE"/>
        </w:rPr>
        <w:t>Variationen von Sortenbeschreibungen über die Jahre an verschiedenen Orten</w:t>
      </w:r>
      <w:r w:rsidR="00666E66">
        <w:rPr>
          <w:sz w:val="20"/>
          <w:szCs w:val="20"/>
          <w:lang w:val="de-DE"/>
        </w:rPr>
        <w:t>“</w:t>
      </w:r>
      <w:r w:rsidRPr="00666E66">
        <w:rPr>
          <w:sz w:val="20"/>
          <w:szCs w:val="20"/>
          <w:lang w:val="de-DE"/>
        </w:rPr>
        <w:t xml:space="preserve">, </w:t>
      </w:r>
      <w:r w:rsidR="00666E66">
        <w:rPr>
          <w:sz w:val="20"/>
          <w:szCs w:val="20"/>
          <w:lang w:val="de-DE"/>
        </w:rPr>
        <w:t xml:space="preserve">wie </w:t>
      </w:r>
      <w:r w:rsidRPr="00666E66">
        <w:rPr>
          <w:sz w:val="20"/>
          <w:szCs w:val="20"/>
          <w:lang w:val="de-DE"/>
        </w:rPr>
        <w:t xml:space="preserve">in </w:t>
      </w:r>
      <w:r w:rsidR="00666E66">
        <w:rPr>
          <w:sz w:val="20"/>
          <w:szCs w:val="20"/>
          <w:lang w:val="de-DE"/>
        </w:rPr>
        <w:t>Anlage</w:t>
      </w:r>
      <w:r w:rsidRPr="00666E66">
        <w:rPr>
          <w:sz w:val="20"/>
          <w:szCs w:val="20"/>
          <w:lang w:val="de-DE"/>
        </w:rPr>
        <w:t xml:space="preserve"> I</w:t>
      </w:r>
      <w:r w:rsidR="009E13D0" w:rsidRPr="00666E66">
        <w:rPr>
          <w:sz w:val="20"/>
          <w:szCs w:val="20"/>
          <w:lang w:val="de-DE"/>
        </w:rPr>
        <w:t xml:space="preserve"> </w:t>
      </w:r>
      <w:r w:rsidR="00666E66">
        <w:rPr>
          <w:sz w:val="20"/>
          <w:szCs w:val="20"/>
          <w:lang w:val="de-DE"/>
        </w:rPr>
        <w:t>des</w:t>
      </w:r>
      <w:r w:rsidR="009E13D0" w:rsidRPr="00666E66">
        <w:rPr>
          <w:sz w:val="20"/>
          <w:szCs w:val="20"/>
          <w:lang w:val="de-DE"/>
        </w:rPr>
        <w:t xml:space="preserve"> </w:t>
      </w:r>
      <w:r w:rsidR="00D167F7" w:rsidRPr="00666E66">
        <w:rPr>
          <w:sz w:val="20"/>
          <w:szCs w:val="20"/>
          <w:lang w:val="de-DE"/>
        </w:rPr>
        <w:t>Dokument</w:t>
      </w:r>
      <w:r w:rsidR="00666E66">
        <w:rPr>
          <w:sz w:val="20"/>
          <w:szCs w:val="20"/>
          <w:lang w:val="de-DE"/>
        </w:rPr>
        <w:t>s</w:t>
      </w:r>
      <w:r w:rsidRPr="00666E66">
        <w:rPr>
          <w:sz w:val="20"/>
          <w:szCs w:val="20"/>
          <w:lang w:val="de-DE"/>
        </w:rPr>
        <w:t xml:space="preserve"> TWC/32/6</w:t>
      </w:r>
      <w:r w:rsidR="000D4E2A">
        <w:rPr>
          <w:sz w:val="20"/>
          <w:szCs w:val="20"/>
          <w:lang w:val="de-DE"/>
        </w:rPr>
        <w:t xml:space="preserve"> dargelegt</w:t>
      </w:r>
      <w:r w:rsidRPr="00666E66">
        <w:rPr>
          <w:sz w:val="20"/>
          <w:szCs w:val="20"/>
          <w:lang w:val="de-DE"/>
        </w:rPr>
        <w:t xml:space="preserve">. </w:t>
      </w:r>
      <w:r w:rsidR="00666E66" w:rsidRPr="00666E66">
        <w:rPr>
          <w:sz w:val="20"/>
          <w:szCs w:val="20"/>
          <w:lang w:val="de-DE"/>
        </w:rPr>
        <w:t xml:space="preserve">Die </w:t>
      </w:r>
      <w:r w:rsidRPr="00666E66">
        <w:rPr>
          <w:sz w:val="20"/>
          <w:szCs w:val="20"/>
          <w:lang w:val="de-DE"/>
        </w:rPr>
        <w:t xml:space="preserve">TWC </w:t>
      </w:r>
      <w:r w:rsidR="00666E66" w:rsidRPr="00666E66">
        <w:rPr>
          <w:sz w:val="20"/>
          <w:szCs w:val="20"/>
          <w:lang w:val="de-DE"/>
        </w:rPr>
        <w:t>vereinbarte, daß</w:t>
      </w:r>
      <w:r w:rsidRPr="00666E66">
        <w:rPr>
          <w:sz w:val="20"/>
          <w:szCs w:val="20"/>
          <w:lang w:val="de-DE"/>
        </w:rPr>
        <w:t xml:space="preserve"> </w:t>
      </w:r>
      <w:r w:rsidR="00666E66" w:rsidRPr="00666E66">
        <w:rPr>
          <w:sz w:val="20"/>
          <w:szCs w:val="20"/>
          <w:lang w:val="de-DE"/>
        </w:rPr>
        <w:t>die erteilten I</w:t>
      </w:r>
      <w:r w:rsidRPr="00666E66">
        <w:rPr>
          <w:sz w:val="20"/>
          <w:szCs w:val="20"/>
          <w:lang w:val="de-DE"/>
        </w:rPr>
        <w:t>nformation</w:t>
      </w:r>
      <w:r w:rsidR="00666E66" w:rsidRPr="00666E66">
        <w:rPr>
          <w:sz w:val="20"/>
          <w:szCs w:val="20"/>
          <w:lang w:val="de-DE"/>
        </w:rPr>
        <w:t>en nützlich seien, um die</w:t>
      </w:r>
      <w:r w:rsidR="00666E66">
        <w:rPr>
          <w:sz w:val="20"/>
          <w:szCs w:val="20"/>
          <w:lang w:val="de-DE"/>
        </w:rPr>
        <w:t xml:space="preserve"> Robustheit einiger</w:t>
      </w:r>
      <w:r w:rsidRPr="00666E66">
        <w:rPr>
          <w:sz w:val="20"/>
          <w:szCs w:val="20"/>
          <w:lang w:val="de-DE"/>
        </w:rPr>
        <w:t xml:space="preserve"> </w:t>
      </w:r>
      <w:r w:rsidR="00666E66">
        <w:rPr>
          <w:sz w:val="20"/>
          <w:szCs w:val="20"/>
          <w:lang w:val="de-DE"/>
        </w:rPr>
        <w:t xml:space="preserve">Merkmale aufzuzeigen </w:t>
      </w:r>
      <w:r w:rsidR="005B627E">
        <w:rPr>
          <w:sz w:val="20"/>
          <w:szCs w:val="20"/>
          <w:lang w:val="de-DE"/>
        </w:rPr>
        <w:t xml:space="preserve">und um </w:t>
      </w:r>
      <w:r w:rsidR="00666E66" w:rsidRPr="00666E66">
        <w:rPr>
          <w:sz w:val="20"/>
          <w:szCs w:val="20"/>
          <w:lang w:val="de-DE"/>
        </w:rPr>
        <w:t>Gruppierungsmerkmalen</w:t>
      </w:r>
      <w:r w:rsidR="00666E66">
        <w:rPr>
          <w:sz w:val="20"/>
          <w:szCs w:val="20"/>
          <w:lang w:val="de-DE"/>
        </w:rPr>
        <w:t xml:space="preserve"> auszuwei</w:t>
      </w:r>
      <w:r w:rsidR="005B627E">
        <w:rPr>
          <w:sz w:val="20"/>
          <w:szCs w:val="20"/>
          <w:lang w:val="de-DE"/>
        </w:rPr>
        <w:t>s</w:t>
      </w:r>
      <w:r w:rsidR="00666E66">
        <w:rPr>
          <w:sz w:val="20"/>
          <w:szCs w:val="20"/>
          <w:lang w:val="de-DE"/>
        </w:rPr>
        <w:t>en</w:t>
      </w:r>
      <w:r w:rsidRPr="00666E66">
        <w:rPr>
          <w:sz w:val="20"/>
          <w:szCs w:val="20"/>
          <w:lang w:val="de-DE"/>
        </w:rPr>
        <w:t xml:space="preserve">. </w:t>
      </w:r>
      <w:r w:rsidR="000D4E2A">
        <w:rPr>
          <w:sz w:val="20"/>
          <w:szCs w:val="20"/>
          <w:lang w:val="de-DE"/>
        </w:rPr>
        <w:t>Die</w:t>
      </w:r>
      <w:r w:rsidR="00666E66" w:rsidRPr="00F413C7">
        <w:rPr>
          <w:sz w:val="20"/>
          <w:szCs w:val="20"/>
          <w:lang w:val="de-DE"/>
        </w:rPr>
        <w:t xml:space="preserve"> </w:t>
      </w:r>
      <w:r w:rsidRPr="00F413C7">
        <w:rPr>
          <w:sz w:val="20"/>
          <w:szCs w:val="20"/>
          <w:lang w:val="de-DE"/>
        </w:rPr>
        <w:t xml:space="preserve">TWC </w:t>
      </w:r>
      <w:r w:rsidR="00666E66" w:rsidRPr="00F413C7">
        <w:rPr>
          <w:sz w:val="20"/>
          <w:szCs w:val="20"/>
          <w:lang w:val="de-DE"/>
        </w:rPr>
        <w:t>vereinbarte, daß</w:t>
      </w:r>
      <w:r w:rsidRPr="00F413C7">
        <w:rPr>
          <w:sz w:val="20"/>
          <w:szCs w:val="20"/>
          <w:lang w:val="de-DE"/>
        </w:rPr>
        <w:t xml:space="preserve"> </w:t>
      </w:r>
      <w:r w:rsidR="000D4E2A">
        <w:rPr>
          <w:sz w:val="20"/>
          <w:szCs w:val="20"/>
          <w:lang w:val="de-DE"/>
        </w:rPr>
        <w:t xml:space="preserve">das Referat der </w:t>
      </w:r>
      <w:r w:rsidR="00F413C7" w:rsidRPr="00F413C7">
        <w:rPr>
          <w:sz w:val="20"/>
          <w:szCs w:val="20"/>
          <w:lang w:val="de-DE"/>
        </w:rPr>
        <w:t>TWA</w:t>
      </w:r>
      <w:r w:rsidRPr="00F413C7">
        <w:rPr>
          <w:sz w:val="20"/>
          <w:szCs w:val="20"/>
          <w:lang w:val="de-DE"/>
        </w:rPr>
        <w:t xml:space="preserve"> </w:t>
      </w:r>
      <w:r w:rsidR="000D4E2A">
        <w:rPr>
          <w:sz w:val="20"/>
          <w:szCs w:val="20"/>
          <w:lang w:val="de-DE"/>
        </w:rPr>
        <w:t>zur Verfügung gestellt werden sollte</w:t>
      </w:r>
      <w:r w:rsidR="005B627E">
        <w:rPr>
          <w:sz w:val="20"/>
          <w:szCs w:val="20"/>
          <w:lang w:val="de-DE"/>
        </w:rPr>
        <w:t xml:space="preserve"> (</w:t>
      </w:r>
      <w:r w:rsidR="000D4E2A">
        <w:rPr>
          <w:sz w:val="20"/>
          <w:szCs w:val="20"/>
          <w:lang w:val="de-DE"/>
        </w:rPr>
        <w:t xml:space="preserve">vergleiche </w:t>
      </w:r>
      <w:r w:rsidR="00D167F7" w:rsidRPr="00F413C7">
        <w:rPr>
          <w:sz w:val="20"/>
          <w:szCs w:val="20"/>
          <w:lang w:val="de-DE"/>
        </w:rPr>
        <w:t>Dokument</w:t>
      </w:r>
      <w:r w:rsidRPr="00F413C7">
        <w:rPr>
          <w:sz w:val="20"/>
          <w:szCs w:val="20"/>
          <w:lang w:val="de-DE"/>
        </w:rPr>
        <w:t xml:space="preserve"> TWC/32/28 </w:t>
      </w:r>
      <w:r w:rsidR="006969CE">
        <w:rPr>
          <w:sz w:val="20"/>
          <w:szCs w:val="20"/>
          <w:lang w:val="de-DE"/>
        </w:rPr>
        <w:t>„Report</w:t>
      </w:r>
      <w:r w:rsidR="00A02E1F" w:rsidRPr="00F413C7">
        <w:rPr>
          <w:sz w:val="20"/>
          <w:szCs w:val="20"/>
          <w:lang w:val="de-DE"/>
        </w:rPr>
        <w:t>“</w:t>
      </w:r>
      <w:r w:rsidRPr="00F413C7">
        <w:rPr>
          <w:sz w:val="20"/>
          <w:szCs w:val="20"/>
          <w:lang w:val="de-DE"/>
        </w:rPr>
        <w:t xml:space="preserve">, </w:t>
      </w:r>
      <w:r w:rsidR="009E13D0" w:rsidRPr="00F413C7">
        <w:rPr>
          <w:sz w:val="20"/>
          <w:szCs w:val="20"/>
          <w:lang w:val="de-DE"/>
        </w:rPr>
        <w:t>Absatz</w:t>
      </w:r>
      <w:r w:rsidR="006969CE">
        <w:rPr>
          <w:sz w:val="20"/>
          <w:szCs w:val="20"/>
          <w:lang w:val="de-DE"/>
        </w:rPr>
        <w:t> </w:t>
      </w:r>
      <w:r w:rsidRPr="00F413C7">
        <w:rPr>
          <w:sz w:val="20"/>
          <w:szCs w:val="20"/>
          <w:lang w:val="de-DE"/>
        </w:rPr>
        <w:t xml:space="preserve">80). </w:t>
      </w:r>
    </w:p>
    <w:p w:rsidR="001036A0" w:rsidRPr="00F413C7" w:rsidRDefault="001036A0" w:rsidP="001036A0">
      <w:pPr>
        <w:pStyle w:val="Default"/>
        <w:jc w:val="both"/>
        <w:rPr>
          <w:sz w:val="20"/>
          <w:szCs w:val="20"/>
          <w:lang w:val="de-DE"/>
        </w:rPr>
      </w:pPr>
    </w:p>
    <w:p w:rsidR="001036A0" w:rsidRPr="000D4E2A" w:rsidRDefault="001036A0" w:rsidP="001036A0">
      <w:pPr>
        <w:pStyle w:val="Default"/>
        <w:jc w:val="both"/>
        <w:rPr>
          <w:sz w:val="20"/>
          <w:szCs w:val="20"/>
          <w:lang w:val="de-DE"/>
        </w:rPr>
      </w:pPr>
      <w:r w:rsidRPr="002070BE">
        <w:rPr>
          <w:snapToGrid w:val="0"/>
          <w:sz w:val="20"/>
          <w:szCs w:val="20"/>
        </w:rPr>
        <w:fldChar w:fldCharType="begin"/>
      </w:r>
      <w:r w:rsidRPr="000D4E2A">
        <w:rPr>
          <w:snapToGrid w:val="0"/>
          <w:sz w:val="20"/>
          <w:szCs w:val="20"/>
          <w:lang w:val="de-DE"/>
        </w:rPr>
        <w:instrText xml:space="preserve"> AUTONUM  </w:instrText>
      </w:r>
      <w:r w:rsidRPr="002070BE">
        <w:rPr>
          <w:snapToGrid w:val="0"/>
          <w:sz w:val="20"/>
          <w:szCs w:val="20"/>
        </w:rPr>
        <w:fldChar w:fldCharType="end"/>
      </w:r>
      <w:r w:rsidRPr="000D4E2A">
        <w:rPr>
          <w:snapToGrid w:val="0"/>
          <w:sz w:val="20"/>
          <w:szCs w:val="20"/>
          <w:lang w:val="de-DE"/>
        </w:rPr>
        <w:tab/>
      </w:r>
      <w:r w:rsidR="00F5541E" w:rsidRPr="000D4E2A">
        <w:rPr>
          <w:sz w:val="20"/>
          <w:szCs w:val="20"/>
          <w:lang w:val="de-DE"/>
        </w:rPr>
        <w:t>Die TWC</w:t>
      </w:r>
      <w:r w:rsidRPr="000D4E2A">
        <w:rPr>
          <w:sz w:val="20"/>
          <w:szCs w:val="20"/>
          <w:lang w:val="de-DE"/>
        </w:rPr>
        <w:t xml:space="preserve"> </w:t>
      </w:r>
      <w:r w:rsidR="000D4E2A" w:rsidRPr="000D4E2A">
        <w:rPr>
          <w:sz w:val="20"/>
          <w:szCs w:val="20"/>
          <w:lang w:val="de-DE"/>
        </w:rPr>
        <w:t xml:space="preserve">vereinbarte, </w:t>
      </w:r>
      <w:r w:rsidR="00EA0FC6">
        <w:rPr>
          <w:sz w:val="20"/>
          <w:szCs w:val="20"/>
          <w:lang w:val="de-DE"/>
        </w:rPr>
        <w:t>die</w:t>
      </w:r>
      <w:r w:rsidR="000D4E2A" w:rsidRPr="000D4E2A">
        <w:rPr>
          <w:sz w:val="20"/>
          <w:szCs w:val="20"/>
          <w:lang w:val="de-DE"/>
        </w:rPr>
        <w:t xml:space="preserve"> </w:t>
      </w:r>
      <w:r w:rsidR="00F413C7" w:rsidRPr="000D4E2A">
        <w:rPr>
          <w:sz w:val="20"/>
          <w:szCs w:val="20"/>
          <w:lang w:val="de-DE"/>
        </w:rPr>
        <w:t>Sachverständigen</w:t>
      </w:r>
      <w:r w:rsidRPr="000D4E2A">
        <w:rPr>
          <w:sz w:val="20"/>
          <w:szCs w:val="20"/>
          <w:lang w:val="de-DE"/>
        </w:rPr>
        <w:t xml:space="preserve"> </w:t>
      </w:r>
      <w:r w:rsidR="000D4E2A" w:rsidRPr="000D4E2A">
        <w:rPr>
          <w:sz w:val="20"/>
          <w:szCs w:val="20"/>
          <w:lang w:val="de-DE"/>
        </w:rPr>
        <w:t>aus</w:t>
      </w:r>
      <w:r w:rsidRPr="000D4E2A">
        <w:rPr>
          <w:sz w:val="20"/>
          <w:szCs w:val="20"/>
          <w:lang w:val="de-DE"/>
        </w:rPr>
        <w:t xml:space="preserve"> China</w:t>
      </w:r>
      <w:r w:rsidR="000D4E2A" w:rsidRPr="000D4E2A">
        <w:rPr>
          <w:sz w:val="20"/>
          <w:szCs w:val="20"/>
          <w:lang w:val="de-DE"/>
        </w:rPr>
        <w:t xml:space="preserve"> zu ersuchen, die Varianzanalyse für die </w:t>
      </w:r>
      <w:r w:rsidRPr="000D4E2A">
        <w:rPr>
          <w:sz w:val="20"/>
          <w:szCs w:val="20"/>
          <w:lang w:val="de-DE"/>
        </w:rPr>
        <w:t xml:space="preserve"> </w:t>
      </w:r>
      <w:r w:rsidR="000D4E2A" w:rsidRPr="000D4E2A">
        <w:rPr>
          <w:sz w:val="20"/>
          <w:szCs w:val="20"/>
          <w:lang w:val="de-DE"/>
        </w:rPr>
        <w:t xml:space="preserve">Interaktion </w:t>
      </w:r>
      <w:r w:rsidR="000D4E2A">
        <w:rPr>
          <w:lang w:val="de-DE"/>
        </w:rPr>
        <w:t>„</w:t>
      </w:r>
      <w:r w:rsidR="000D4E2A" w:rsidRPr="000D4E2A">
        <w:rPr>
          <w:sz w:val="20"/>
          <w:szCs w:val="20"/>
          <w:lang w:val="de-DE"/>
        </w:rPr>
        <w:t xml:space="preserve">Sorte x Standort” </w:t>
      </w:r>
      <w:r w:rsidRPr="000D4E2A">
        <w:rPr>
          <w:sz w:val="20"/>
          <w:szCs w:val="20"/>
          <w:lang w:val="de-DE"/>
        </w:rPr>
        <w:t>(</w:t>
      </w:r>
      <w:r w:rsidR="000D4E2A" w:rsidRPr="000D4E2A">
        <w:rPr>
          <w:sz w:val="20"/>
          <w:szCs w:val="20"/>
          <w:lang w:val="de-DE"/>
        </w:rPr>
        <w:t>Umwelt</w:t>
      </w:r>
      <w:r w:rsidRPr="000D4E2A">
        <w:rPr>
          <w:sz w:val="20"/>
          <w:szCs w:val="20"/>
          <w:lang w:val="de-DE"/>
        </w:rPr>
        <w:t xml:space="preserve">) </w:t>
      </w:r>
      <w:r w:rsidR="000D4E2A">
        <w:rPr>
          <w:sz w:val="20"/>
          <w:szCs w:val="20"/>
          <w:lang w:val="de-DE"/>
        </w:rPr>
        <w:t xml:space="preserve">der </w:t>
      </w:r>
      <w:r w:rsidRPr="000D4E2A">
        <w:rPr>
          <w:sz w:val="20"/>
          <w:szCs w:val="20"/>
          <w:lang w:val="de-DE"/>
        </w:rPr>
        <w:t xml:space="preserve">in </w:t>
      </w:r>
      <w:r w:rsidR="000D4E2A">
        <w:rPr>
          <w:sz w:val="20"/>
          <w:szCs w:val="20"/>
          <w:lang w:val="de-DE"/>
        </w:rPr>
        <w:t>der Studie</w:t>
      </w:r>
      <w:r w:rsidR="005B627E">
        <w:rPr>
          <w:sz w:val="20"/>
          <w:szCs w:val="20"/>
          <w:lang w:val="de-DE"/>
        </w:rPr>
        <w:t xml:space="preserve"> geprüften </w:t>
      </w:r>
      <w:r w:rsidR="005B627E" w:rsidRPr="000D4E2A">
        <w:rPr>
          <w:sz w:val="20"/>
          <w:szCs w:val="20"/>
          <w:lang w:val="de-DE"/>
        </w:rPr>
        <w:t>QN</w:t>
      </w:r>
      <w:r w:rsidR="005B627E">
        <w:rPr>
          <w:sz w:val="20"/>
          <w:szCs w:val="20"/>
          <w:lang w:val="de-DE"/>
        </w:rPr>
        <w:t>-Merkmale</w:t>
      </w:r>
      <w:r w:rsidR="000D4E2A">
        <w:rPr>
          <w:sz w:val="20"/>
          <w:szCs w:val="20"/>
          <w:lang w:val="de-DE"/>
        </w:rPr>
        <w:t xml:space="preserve"> unter Verwendung des </w:t>
      </w:r>
      <w:r w:rsidRPr="000D4E2A">
        <w:rPr>
          <w:sz w:val="20"/>
          <w:szCs w:val="20"/>
          <w:lang w:val="de-DE"/>
        </w:rPr>
        <w:t>statisti</w:t>
      </w:r>
      <w:r w:rsidR="000D4E2A">
        <w:rPr>
          <w:sz w:val="20"/>
          <w:szCs w:val="20"/>
          <w:lang w:val="de-DE"/>
        </w:rPr>
        <w:t>schen M</w:t>
      </w:r>
      <w:r w:rsidRPr="000D4E2A">
        <w:rPr>
          <w:sz w:val="20"/>
          <w:szCs w:val="20"/>
          <w:lang w:val="de-DE"/>
        </w:rPr>
        <w:t>odul</w:t>
      </w:r>
      <w:r w:rsidR="000D4E2A">
        <w:rPr>
          <w:sz w:val="20"/>
          <w:szCs w:val="20"/>
          <w:lang w:val="de-DE"/>
        </w:rPr>
        <w:t>s der neuen S</w:t>
      </w:r>
      <w:r w:rsidRPr="000D4E2A">
        <w:rPr>
          <w:sz w:val="20"/>
          <w:szCs w:val="20"/>
          <w:lang w:val="de-DE"/>
        </w:rPr>
        <w:t xml:space="preserve">oftware </w:t>
      </w:r>
      <w:r w:rsidR="000D4E2A">
        <w:rPr>
          <w:sz w:val="20"/>
          <w:szCs w:val="20"/>
          <w:lang w:val="de-DE"/>
        </w:rPr>
        <w:t>„</w:t>
      </w:r>
      <w:r w:rsidRPr="000D4E2A">
        <w:rPr>
          <w:sz w:val="20"/>
          <w:szCs w:val="20"/>
          <w:lang w:val="de-DE"/>
        </w:rPr>
        <w:t>DUSTC”</w:t>
      </w:r>
      <w:r w:rsidR="00EA0FC6">
        <w:rPr>
          <w:sz w:val="20"/>
          <w:szCs w:val="20"/>
          <w:lang w:val="de-DE"/>
        </w:rPr>
        <w:t xml:space="preserve">, </w:t>
      </w:r>
      <w:r w:rsidR="0069064F">
        <w:rPr>
          <w:sz w:val="20"/>
          <w:szCs w:val="20"/>
          <w:lang w:val="de-DE"/>
        </w:rPr>
        <w:t>die</w:t>
      </w:r>
      <w:r w:rsidR="005B627E">
        <w:rPr>
          <w:sz w:val="20"/>
          <w:szCs w:val="20"/>
          <w:lang w:val="de-DE"/>
        </w:rPr>
        <w:t xml:space="preserve"> </w:t>
      </w:r>
      <w:r w:rsidR="000D4E2A">
        <w:rPr>
          <w:sz w:val="20"/>
          <w:szCs w:val="20"/>
          <w:lang w:val="de-DE"/>
        </w:rPr>
        <w:t xml:space="preserve">von </w:t>
      </w:r>
      <w:r w:rsidRPr="000D4E2A">
        <w:rPr>
          <w:sz w:val="20"/>
          <w:szCs w:val="20"/>
          <w:lang w:val="de-DE"/>
        </w:rPr>
        <w:t>China</w:t>
      </w:r>
      <w:r w:rsidR="000D4E2A" w:rsidRPr="000D4E2A">
        <w:rPr>
          <w:sz w:val="20"/>
          <w:szCs w:val="20"/>
          <w:lang w:val="de-DE"/>
        </w:rPr>
        <w:t xml:space="preserve"> </w:t>
      </w:r>
      <w:r w:rsidR="000D4E2A">
        <w:rPr>
          <w:sz w:val="20"/>
          <w:szCs w:val="20"/>
          <w:lang w:val="de-DE"/>
        </w:rPr>
        <w:t>zur Vorlage auf der dreiunddreißigsten Tagung</w:t>
      </w:r>
      <w:r w:rsidRPr="000D4E2A">
        <w:rPr>
          <w:sz w:val="20"/>
          <w:szCs w:val="20"/>
          <w:lang w:val="de-DE"/>
        </w:rPr>
        <w:t xml:space="preserve"> </w:t>
      </w:r>
      <w:r w:rsidR="000D4E2A">
        <w:rPr>
          <w:sz w:val="20"/>
          <w:szCs w:val="20"/>
          <w:lang w:val="de-DE"/>
        </w:rPr>
        <w:t>der</w:t>
      </w:r>
      <w:r w:rsidR="00F5541E" w:rsidRPr="000D4E2A">
        <w:rPr>
          <w:sz w:val="20"/>
          <w:szCs w:val="20"/>
          <w:lang w:val="de-DE"/>
        </w:rPr>
        <w:t xml:space="preserve"> TWC</w:t>
      </w:r>
      <w:r w:rsidRPr="000D4E2A">
        <w:rPr>
          <w:sz w:val="20"/>
          <w:szCs w:val="20"/>
          <w:lang w:val="de-DE"/>
        </w:rPr>
        <w:t xml:space="preserve"> </w:t>
      </w:r>
      <w:r w:rsidR="005B627E">
        <w:rPr>
          <w:sz w:val="20"/>
          <w:szCs w:val="20"/>
          <w:lang w:val="de-DE"/>
        </w:rPr>
        <w:t>entwickelt</w:t>
      </w:r>
      <w:r w:rsidR="005B627E" w:rsidRPr="000D4E2A">
        <w:rPr>
          <w:sz w:val="20"/>
          <w:szCs w:val="20"/>
          <w:lang w:val="de-DE"/>
        </w:rPr>
        <w:t xml:space="preserve"> </w:t>
      </w:r>
      <w:r w:rsidR="005B627E">
        <w:rPr>
          <w:sz w:val="20"/>
          <w:szCs w:val="20"/>
          <w:lang w:val="de-DE"/>
        </w:rPr>
        <w:t>wurde</w:t>
      </w:r>
      <w:r w:rsidR="00EA0FC6">
        <w:rPr>
          <w:sz w:val="20"/>
          <w:szCs w:val="20"/>
          <w:lang w:val="de-DE"/>
        </w:rPr>
        <w:t>, vorzustellen</w:t>
      </w:r>
      <w:r w:rsidR="00EA0FC6" w:rsidRPr="000D4E2A">
        <w:rPr>
          <w:sz w:val="20"/>
          <w:szCs w:val="20"/>
          <w:lang w:val="de-DE"/>
        </w:rPr>
        <w:t xml:space="preserve"> </w:t>
      </w:r>
      <w:r w:rsidRPr="000D4E2A">
        <w:rPr>
          <w:sz w:val="20"/>
          <w:szCs w:val="20"/>
          <w:lang w:val="de-DE"/>
        </w:rPr>
        <w:t>(</w:t>
      </w:r>
      <w:r w:rsidR="001430D4">
        <w:rPr>
          <w:sz w:val="20"/>
          <w:szCs w:val="20"/>
          <w:lang w:val="de-DE"/>
        </w:rPr>
        <w:t>vergleiche</w:t>
      </w:r>
      <w:r w:rsidR="00884C9E" w:rsidRPr="000D4E2A">
        <w:rPr>
          <w:sz w:val="20"/>
          <w:szCs w:val="20"/>
          <w:lang w:val="de-DE"/>
        </w:rPr>
        <w:t xml:space="preserve"> </w:t>
      </w:r>
      <w:r w:rsidR="00D167F7" w:rsidRPr="000D4E2A">
        <w:rPr>
          <w:sz w:val="20"/>
          <w:szCs w:val="20"/>
          <w:lang w:val="de-DE"/>
        </w:rPr>
        <w:t>Dokument</w:t>
      </w:r>
      <w:r w:rsidRPr="000D4E2A">
        <w:rPr>
          <w:sz w:val="20"/>
          <w:szCs w:val="20"/>
          <w:lang w:val="de-DE"/>
        </w:rPr>
        <w:t xml:space="preserve"> TWC/32/28 </w:t>
      </w:r>
      <w:r w:rsidR="00A02E1F" w:rsidRPr="000D4E2A">
        <w:rPr>
          <w:sz w:val="20"/>
          <w:szCs w:val="20"/>
          <w:lang w:val="de-DE"/>
        </w:rPr>
        <w:t>„</w:t>
      </w:r>
      <w:r w:rsidR="006969CE">
        <w:rPr>
          <w:sz w:val="20"/>
          <w:szCs w:val="20"/>
          <w:lang w:val="de-DE"/>
        </w:rPr>
        <w:t>Repor</w:t>
      </w:r>
      <w:r w:rsidR="00A02E1F" w:rsidRPr="000D4E2A">
        <w:rPr>
          <w:sz w:val="20"/>
          <w:szCs w:val="20"/>
          <w:lang w:val="de-DE"/>
        </w:rPr>
        <w:t>t“</w:t>
      </w:r>
      <w:r w:rsidRPr="000D4E2A">
        <w:rPr>
          <w:sz w:val="20"/>
          <w:szCs w:val="20"/>
          <w:lang w:val="de-DE"/>
        </w:rPr>
        <w:t xml:space="preserve">, </w:t>
      </w:r>
      <w:r w:rsidR="009E13D0" w:rsidRPr="000D4E2A">
        <w:rPr>
          <w:sz w:val="20"/>
          <w:szCs w:val="20"/>
          <w:lang w:val="de-DE"/>
        </w:rPr>
        <w:t>Absatz</w:t>
      </w:r>
      <w:r w:rsidRPr="000D4E2A">
        <w:rPr>
          <w:sz w:val="20"/>
          <w:szCs w:val="20"/>
          <w:lang w:val="de-DE"/>
        </w:rPr>
        <w:t xml:space="preserve"> 81). </w:t>
      </w:r>
    </w:p>
    <w:p w:rsidR="001036A0" w:rsidRPr="000D4E2A" w:rsidRDefault="001036A0" w:rsidP="001036A0">
      <w:pPr>
        <w:pStyle w:val="Default"/>
        <w:jc w:val="both"/>
        <w:rPr>
          <w:sz w:val="20"/>
          <w:szCs w:val="20"/>
          <w:lang w:val="de-DE"/>
        </w:rPr>
      </w:pPr>
    </w:p>
    <w:p w:rsidR="001036A0" w:rsidRPr="00B61432" w:rsidRDefault="001036A0" w:rsidP="001036A0">
      <w:pPr>
        <w:pStyle w:val="Default"/>
        <w:jc w:val="both"/>
        <w:rPr>
          <w:sz w:val="20"/>
          <w:szCs w:val="20"/>
          <w:lang w:val="de-DE"/>
        </w:rPr>
      </w:pPr>
      <w:r w:rsidRPr="002070BE">
        <w:rPr>
          <w:snapToGrid w:val="0"/>
          <w:sz w:val="20"/>
          <w:szCs w:val="20"/>
        </w:rPr>
        <w:fldChar w:fldCharType="begin"/>
      </w:r>
      <w:r w:rsidRPr="001430D4">
        <w:rPr>
          <w:snapToGrid w:val="0"/>
          <w:sz w:val="20"/>
          <w:szCs w:val="20"/>
          <w:lang w:val="de-DE"/>
        </w:rPr>
        <w:instrText xml:space="preserve"> AUTONUM  </w:instrText>
      </w:r>
      <w:r w:rsidRPr="002070BE">
        <w:rPr>
          <w:snapToGrid w:val="0"/>
          <w:sz w:val="20"/>
          <w:szCs w:val="20"/>
        </w:rPr>
        <w:fldChar w:fldCharType="end"/>
      </w:r>
      <w:r w:rsidRPr="001430D4">
        <w:rPr>
          <w:snapToGrid w:val="0"/>
          <w:sz w:val="20"/>
          <w:szCs w:val="20"/>
          <w:lang w:val="de-DE"/>
        </w:rPr>
        <w:tab/>
      </w:r>
      <w:r w:rsidR="00F5541E" w:rsidRPr="001430D4">
        <w:rPr>
          <w:sz w:val="20"/>
          <w:szCs w:val="20"/>
          <w:lang w:val="de-DE"/>
        </w:rPr>
        <w:t>Die TWC</w:t>
      </w:r>
      <w:r w:rsidRPr="001430D4">
        <w:rPr>
          <w:sz w:val="20"/>
          <w:szCs w:val="20"/>
          <w:lang w:val="de-DE"/>
        </w:rPr>
        <w:t xml:space="preserve"> </w:t>
      </w:r>
      <w:r w:rsidR="009C4642" w:rsidRPr="001430D4">
        <w:rPr>
          <w:sz w:val="20"/>
          <w:szCs w:val="20"/>
          <w:lang w:val="de-DE"/>
        </w:rPr>
        <w:t>hörte ein Referat</w:t>
      </w:r>
      <w:r w:rsidRPr="001430D4">
        <w:rPr>
          <w:sz w:val="20"/>
          <w:szCs w:val="20"/>
          <w:lang w:val="de-DE"/>
        </w:rPr>
        <w:t xml:space="preserve"> </w:t>
      </w:r>
      <w:r w:rsidR="001430D4" w:rsidRPr="001430D4">
        <w:rPr>
          <w:sz w:val="20"/>
          <w:szCs w:val="20"/>
          <w:lang w:val="de-DE"/>
        </w:rPr>
        <w:t xml:space="preserve">von </w:t>
      </w:r>
      <w:r w:rsidRPr="001430D4">
        <w:rPr>
          <w:sz w:val="20"/>
          <w:szCs w:val="20"/>
          <w:lang w:val="de-DE"/>
        </w:rPr>
        <w:t xml:space="preserve">China </w:t>
      </w:r>
      <w:r w:rsidR="001430D4">
        <w:rPr>
          <w:sz w:val="20"/>
          <w:szCs w:val="20"/>
          <w:lang w:val="de-DE"/>
        </w:rPr>
        <w:t>über</w:t>
      </w:r>
      <w:r w:rsidRPr="001430D4">
        <w:rPr>
          <w:sz w:val="20"/>
          <w:szCs w:val="20"/>
          <w:lang w:val="de-DE"/>
        </w:rPr>
        <w:t xml:space="preserve"> </w:t>
      </w:r>
      <w:r w:rsidR="001430D4">
        <w:rPr>
          <w:sz w:val="20"/>
          <w:szCs w:val="20"/>
          <w:lang w:val="de-DE"/>
        </w:rPr>
        <w:t>„</w:t>
      </w:r>
      <w:r w:rsidR="00EA0FC6">
        <w:rPr>
          <w:sz w:val="20"/>
          <w:szCs w:val="20"/>
          <w:lang w:val="de-DE"/>
        </w:rPr>
        <w:t xml:space="preserve">die </w:t>
      </w:r>
      <w:r w:rsidR="001430D4" w:rsidRPr="001430D4">
        <w:rPr>
          <w:sz w:val="20"/>
          <w:szCs w:val="20"/>
          <w:lang w:val="de-DE"/>
        </w:rPr>
        <w:t xml:space="preserve">Datenbank für Sortenschutz </w:t>
      </w:r>
      <w:r w:rsidRPr="001430D4">
        <w:rPr>
          <w:sz w:val="20"/>
          <w:szCs w:val="20"/>
          <w:lang w:val="de-DE"/>
        </w:rPr>
        <w:t>in China</w:t>
      </w:r>
      <w:r w:rsidR="001430D4">
        <w:rPr>
          <w:sz w:val="20"/>
          <w:szCs w:val="20"/>
          <w:lang w:val="de-DE"/>
        </w:rPr>
        <w:t>“</w:t>
      </w:r>
      <w:r w:rsidRPr="001430D4">
        <w:rPr>
          <w:sz w:val="20"/>
          <w:szCs w:val="20"/>
          <w:lang w:val="de-DE"/>
        </w:rPr>
        <w:t>,</w:t>
      </w:r>
      <w:r w:rsidR="001430D4">
        <w:rPr>
          <w:sz w:val="20"/>
          <w:szCs w:val="20"/>
          <w:lang w:val="de-DE"/>
        </w:rPr>
        <w:t xml:space="preserve"> wie </w:t>
      </w:r>
      <w:r w:rsidRPr="001430D4">
        <w:rPr>
          <w:sz w:val="20"/>
          <w:szCs w:val="20"/>
          <w:lang w:val="de-DE"/>
        </w:rPr>
        <w:t xml:space="preserve">in </w:t>
      </w:r>
      <w:r w:rsidR="00666E66" w:rsidRPr="001430D4">
        <w:rPr>
          <w:sz w:val="20"/>
          <w:szCs w:val="20"/>
          <w:lang w:val="de-DE"/>
        </w:rPr>
        <w:t>Anlage</w:t>
      </w:r>
      <w:r w:rsidRPr="001430D4">
        <w:rPr>
          <w:sz w:val="20"/>
          <w:szCs w:val="20"/>
          <w:lang w:val="de-DE"/>
        </w:rPr>
        <w:t xml:space="preserve"> II</w:t>
      </w:r>
      <w:r w:rsidR="009E13D0" w:rsidRPr="001430D4">
        <w:rPr>
          <w:sz w:val="20"/>
          <w:szCs w:val="20"/>
          <w:lang w:val="de-DE"/>
        </w:rPr>
        <w:t xml:space="preserve"> </w:t>
      </w:r>
      <w:r w:rsidR="001430D4">
        <w:rPr>
          <w:sz w:val="20"/>
          <w:szCs w:val="20"/>
          <w:lang w:val="de-DE"/>
        </w:rPr>
        <w:t>des</w:t>
      </w:r>
      <w:r w:rsidR="009E13D0" w:rsidRPr="001430D4">
        <w:rPr>
          <w:sz w:val="20"/>
          <w:szCs w:val="20"/>
          <w:lang w:val="de-DE"/>
        </w:rPr>
        <w:t xml:space="preserve"> </w:t>
      </w:r>
      <w:r w:rsidR="00D167F7" w:rsidRPr="001430D4">
        <w:rPr>
          <w:sz w:val="20"/>
          <w:szCs w:val="20"/>
          <w:lang w:val="de-DE"/>
        </w:rPr>
        <w:t>Dokument</w:t>
      </w:r>
      <w:r w:rsidR="001430D4">
        <w:rPr>
          <w:sz w:val="20"/>
          <w:szCs w:val="20"/>
          <w:lang w:val="de-DE"/>
        </w:rPr>
        <w:t>s</w:t>
      </w:r>
      <w:r w:rsidRPr="001430D4">
        <w:rPr>
          <w:sz w:val="20"/>
          <w:szCs w:val="20"/>
          <w:lang w:val="de-DE"/>
        </w:rPr>
        <w:t xml:space="preserve"> TWC/32/6</w:t>
      </w:r>
      <w:r w:rsidR="001430D4">
        <w:rPr>
          <w:sz w:val="20"/>
          <w:szCs w:val="20"/>
          <w:lang w:val="de-DE"/>
        </w:rPr>
        <w:t xml:space="preserve"> dargelegt</w:t>
      </w:r>
      <w:r w:rsidRPr="001430D4">
        <w:rPr>
          <w:sz w:val="20"/>
          <w:szCs w:val="20"/>
          <w:lang w:val="de-DE"/>
        </w:rPr>
        <w:t xml:space="preserve">. </w:t>
      </w:r>
      <w:r w:rsidR="00F5541E" w:rsidRPr="001430D4">
        <w:rPr>
          <w:sz w:val="20"/>
          <w:szCs w:val="20"/>
          <w:lang w:val="de-DE"/>
        </w:rPr>
        <w:t>Die TWC</w:t>
      </w:r>
      <w:r w:rsidRPr="001430D4">
        <w:rPr>
          <w:sz w:val="20"/>
          <w:szCs w:val="20"/>
          <w:lang w:val="de-DE"/>
        </w:rPr>
        <w:t xml:space="preserve"> </w:t>
      </w:r>
      <w:r w:rsidR="001430D4" w:rsidRPr="001430D4">
        <w:rPr>
          <w:sz w:val="20"/>
          <w:szCs w:val="20"/>
          <w:lang w:val="de-DE"/>
        </w:rPr>
        <w:t>nahm zur Kenntnis, daß</w:t>
      </w:r>
      <w:r w:rsidRPr="001430D4">
        <w:rPr>
          <w:sz w:val="20"/>
          <w:szCs w:val="20"/>
          <w:lang w:val="de-DE"/>
        </w:rPr>
        <w:t xml:space="preserve"> </w:t>
      </w:r>
      <w:r w:rsidR="001430D4">
        <w:rPr>
          <w:sz w:val="20"/>
          <w:szCs w:val="20"/>
          <w:lang w:val="de-DE"/>
        </w:rPr>
        <w:t>die neue S</w:t>
      </w:r>
      <w:r w:rsidRPr="001430D4">
        <w:rPr>
          <w:sz w:val="20"/>
          <w:szCs w:val="20"/>
          <w:lang w:val="de-DE"/>
        </w:rPr>
        <w:t xml:space="preserve">oftware </w:t>
      </w:r>
      <w:r w:rsidR="001430D4">
        <w:rPr>
          <w:sz w:val="20"/>
          <w:szCs w:val="20"/>
          <w:lang w:val="de-DE"/>
        </w:rPr>
        <w:t xml:space="preserve">Module </w:t>
      </w:r>
      <w:r w:rsidR="000D4E2A" w:rsidRPr="001430D4">
        <w:rPr>
          <w:sz w:val="20"/>
          <w:szCs w:val="20"/>
          <w:lang w:val="de-DE"/>
        </w:rPr>
        <w:t xml:space="preserve">für </w:t>
      </w:r>
      <w:r w:rsidR="001430D4">
        <w:rPr>
          <w:sz w:val="20"/>
          <w:szCs w:val="20"/>
          <w:lang w:val="de-DE"/>
        </w:rPr>
        <w:t>die</w:t>
      </w:r>
      <w:r w:rsidRPr="001430D4">
        <w:rPr>
          <w:sz w:val="20"/>
          <w:szCs w:val="20"/>
          <w:lang w:val="de-DE"/>
        </w:rPr>
        <w:t xml:space="preserve"> </w:t>
      </w:r>
      <w:r w:rsidR="00B61432">
        <w:rPr>
          <w:sz w:val="20"/>
          <w:szCs w:val="20"/>
          <w:lang w:val="de-DE"/>
        </w:rPr>
        <w:t xml:space="preserve">Verwaltung von Anträgen, </w:t>
      </w:r>
      <w:r w:rsidR="005B627E">
        <w:rPr>
          <w:sz w:val="20"/>
          <w:szCs w:val="20"/>
          <w:lang w:val="de-DE"/>
        </w:rPr>
        <w:t xml:space="preserve">eine </w:t>
      </w:r>
      <w:r w:rsidR="00F5541E" w:rsidRPr="001430D4">
        <w:rPr>
          <w:sz w:val="20"/>
          <w:szCs w:val="20"/>
          <w:lang w:val="de-DE"/>
        </w:rPr>
        <w:t>Datenbank</w:t>
      </w:r>
      <w:r w:rsidR="00B61432">
        <w:rPr>
          <w:sz w:val="20"/>
          <w:szCs w:val="20"/>
          <w:lang w:val="de-DE"/>
        </w:rPr>
        <w:t xml:space="preserve"> für Sortenbeschreibung</w:t>
      </w:r>
      <w:r w:rsidRPr="001430D4">
        <w:rPr>
          <w:sz w:val="20"/>
          <w:szCs w:val="20"/>
          <w:lang w:val="de-DE"/>
        </w:rPr>
        <w:t xml:space="preserve">, </w:t>
      </w:r>
      <w:r w:rsidR="00B61432">
        <w:rPr>
          <w:sz w:val="20"/>
          <w:szCs w:val="20"/>
          <w:lang w:val="de-DE"/>
        </w:rPr>
        <w:t>Daten</w:t>
      </w:r>
      <w:r w:rsidRPr="001430D4">
        <w:rPr>
          <w:sz w:val="20"/>
          <w:szCs w:val="20"/>
          <w:lang w:val="de-DE"/>
        </w:rPr>
        <w:t>analys</w:t>
      </w:r>
      <w:r w:rsidR="00B61432">
        <w:rPr>
          <w:sz w:val="20"/>
          <w:szCs w:val="20"/>
          <w:lang w:val="de-DE"/>
        </w:rPr>
        <w:t>e</w:t>
      </w:r>
      <w:r w:rsidR="00884C9E" w:rsidRPr="001430D4">
        <w:rPr>
          <w:sz w:val="20"/>
          <w:szCs w:val="20"/>
          <w:lang w:val="de-DE"/>
        </w:rPr>
        <w:t xml:space="preserve"> und </w:t>
      </w:r>
      <w:r w:rsidR="00B61432">
        <w:rPr>
          <w:sz w:val="20"/>
          <w:szCs w:val="20"/>
          <w:lang w:val="de-DE"/>
        </w:rPr>
        <w:t>Bild</w:t>
      </w:r>
      <w:r w:rsidRPr="001430D4">
        <w:rPr>
          <w:sz w:val="20"/>
          <w:szCs w:val="20"/>
          <w:lang w:val="de-DE"/>
        </w:rPr>
        <w:t>analys</w:t>
      </w:r>
      <w:r w:rsidR="00B61432">
        <w:rPr>
          <w:sz w:val="20"/>
          <w:szCs w:val="20"/>
          <w:lang w:val="de-DE"/>
        </w:rPr>
        <w:t>e</w:t>
      </w:r>
      <w:r w:rsidR="005B627E">
        <w:rPr>
          <w:sz w:val="20"/>
          <w:szCs w:val="20"/>
          <w:lang w:val="de-DE"/>
        </w:rPr>
        <w:t xml:space="preserve"> enthalte</w:t>
      </w:r>
      <w:r w:rsidRPr="001430D4">
        <w:rPr>
          <w:sz w:val="20"/>
          <w:szCs w:val="20"/>
          <w:lang w:val="de-DE"/>
        </w:rPr>
        <w:t xml:space="preserve">. </w:t>
      </w:r>
      <w:r w:rsidR="00F5541E" w:rsidRPr="00B61432">
        <w:rPr>
          <w:sz w:val="20"/>
          <w:szCs w:val="20"/>
          <w:lang w:val="de-DE"/>
        </w:rPr>
        <w:t>Die TWC</w:t>
      </w:r>
      <w:r w:rsidRPr="00B61432">
        <w:rPr>
          <w:sz w:val="20"/>
          <w:szCs w:val="20"/>
          <w:lang w:val="de-DE"/>
        </w:rPr>
        <w:t xml:space="preserve"> </w:t>
      </w:r>
      <w:r w:rsidR="000D4E2A" w:rsidRPr="00B61432">
        <w:rPr>
          <w:sz w:val="20"/>
          <w:szCs w:val="20"/>
          <w:lang w:val="de-DE"/>
        </w:rPr>
        <w:t>vereinbarte</w:t>
      </w:r>
      <w:r w:rsidR="00B61432" w:rsidRPr="00B61432">
        <w:rPr>
          <w:sz w:val="20"/>
          <w:szCs w:val="20"/>
          <w:lang w:val="de-DE"/>
        </w:rPr>
        <w:t xml:space="preserve">, daß die </w:t>
      </w:r>
      <w:r w:rsidR="00F413C7" w:rsidRPr="00B61432">
        <w:rPr>
          <w:sz w:val="20"/>
          <w:szCs w:val="20"/>
          <w:lang w:val="de-DE"/>
        </w:rPr>
        <w:t>Sachverständigen</w:t>
      </w:r>
      <w:r w:rsidR="00B61432" w:rsidRPr="00B61432">
        <w:rPr>
          <w:sz w:val="20"/>
          <w:szCs w:val="20"/>
          <w:lang w:val="de-DE"/>
        </w:rPr>
        <w:t xml:space="preserve"> aus</w:t>
      </w:r>
      <w:r w:rsidRPr="00B61432">
        <w:rPr>
          <w:sz w:val="20"/>
          <w:szCs w:val="20"/>
          <w:lang w:val="de-DE"/>
        </w:rPr>
        <w:t xml:space="preserve"> China</w:t>
      </w:r>
      <w:r w:rsidR="009E13D0" w:rsidRPr="00B61432">
        <w:rPr>
          <w:sz w:val="20"/>
          <w:szCs w:val="20"/>
          <w:lang w:val="de-DE"/>
        </w:rPr>
        <w:t xml:space="preserve"> </w:t>
      </w:r>
      <w:r w:rsidR="00EA0FC6">
        <w:rPr>
          <w:sz w:val="20"/>
          <w:szCs w:val="20"/>
          <w:lang w:val="de-DE"/>
        </w:rPr>
        <w:t xml:space="preserve">auf der dreiunddreißigsten </w:t>
      </w:r>
      <w:r w:rsidR="00EA0FC6" w:rsidRPr="00B61432">
        <w:rPr>
          <w:sz w:val="20"/>
          <w:szCs w:val="20"/>
          <w:lang w:val="de-DE"/>
        </w:rPr>
        <w:t xml:space="preserve">Tagung </w:t>
      </w:r>
      <w:r w:rsidR="00EA0FC6">
        <w:rPr>
          <w:sz w:val="20"/>
          <w:szCs w:val="20"/>
          <w:lang w:val="de-DE"/>
        </w:rPr>
        <w:t>der</w:t>
      </w:r>
      <w:r w:rsidR="00EA0FC6" w:rsidRPr="00B61432">
        <w:rPr>
          <w:sz w:val="20"/>
          <w:szCs w:val="20"/>
          <w:lang w:val="de-DE"/>
        </w:rPr>
        <w:t xml:space="preserve"> TWC </w:t>
      </w:r>
      <w:r w:rsidR="00B61432">
        <w:rPr>
          <w:sz w:val="20"/>
          <w:szCs w:val="20"/>
          <w:lang w:val="de-DE"/>
        </w:rPr>
        <w:t>ein Referat über die be</w:t>
      </w:r>
      <w:r w:rsidR="0069064F">
        <w:rPr>
          <w:sz w:val="20"/>
          <w:szCs w:val="20"/>
          <w:lang w:val="de-DE"/>
        </w:rPr>
        <w:t xml:space="preserve">sonderen </w:t>
      </w:r>
      <w:r w:rsidR="0027707B">
        <w:rPr>
          <w:sz w:val="20"/>
          <w:szCs w:val="20"/>
          <w:lang w:val="de-DE"/>
        </w:rPr>
        <w:t>Eigenschaften der Software, einschließlich</w:t>
      </w:r>
      <w:r w:rsidR="0069064F">
        <w:rPr>
          <w:sz w:val="20"/>
          <w:szCs w:val="20"/>
          <w:lang w:val="de-DE"/>
        </w:rPr>
        <w:t xml:space="preserve"> der</w:t>
      </w:r>
      <w:r w:rsidR="0027707B">
        <w:rPr>
          <w:sz w:val="20"/>
          <w:szCs w:val="20"/>
          <w:lang w:val="de-DE"/>
        </w:rPr>
        <w:t xml:space="preserve"> Bildanalyse, </w:t>
      </w:r>
      <w:r w:rsidR="00EA0FC6">
        <w:rPr>
          <w:sz w:val="20"/>
          <w:szCs w:val="20"/>
          <w:lang w:val="de-DE"/>
        </w:rPr>
        <w:t>halten sollten</w:t>
      </w:r>
      <w:r w:rsidR="00EA0FC6" w:rsidRPr="00B61432">
        <w:rPr>
          <w:sz w:val="20"/>
          <w:szCs w:val="20"/>
          <w:lang w:val="de-DE"/>
        </w:rPr>
        <w:t xml:space="preserve"> </w:t>
      </w:r>
      <w:r w:rsidRPr="00B61432">
        <w:rPr>
          <w:sz w:val="20"/>
          <w:szCs w:val="20"/>
          <w:lang w:val="de-DE"/>
        </w:rPr>
        <w:t>(</w:t>
      </w:r>
      <w:r w:rsidR="0027707B">
        <w:rPr>
          <w:sz w:val="20"/>
          <w:szCs w:val="20"/>
          <w:lang w:val="de-DE"/>
        </w:rPr>
        <w:t>vergleiche</w:t>
      </w:r>
      <w:r w:rsidR="00884C9E" w:rsidRPr="00B61432">
        <w:rPr>
          <w:sz w:val="20"/>
          <w:szCs w:val="20"/>
          <w:lang w:val="de-DE"/>
        </w:rPr>
        <w:t xml:space="preserve"> </w:t>
      </w:r>
      <w:r w:rsidR="00D167F7" w:rsidRPr="00B61432">
        <w:rPr>
          <w:sz w:val="20"/>
          <w:szCs w:val="20"/>
          <w:lang w:val="de-DE"/>
        </w:rPr>
        <w:t>Dokument</w:t>
      </w:r>
      <w:r w:rsidRPr="00B61432">
        <w:rPr>
          <w:sz w:val="20"/>
          <w:szCs w:val="20"/>
          <w:lang w:val="de-DE"/>
        </w:rPr>
        <w:t xml:space="preserve"> TWC/32/28 </w:t>
      </w:r>
      <w:r w:rsidR="00A02E1F" w:rsidRPr="00B61432">
        <w:rPr>
          <w:sz w:val="20"/>
          <w:szCs w:val="20"/>
          <w:lang w:val="de-DE"/>
        </w:rPr>
        <w:t>„</w:t>
      </w:r>
      <w:r w:rsidR="006969CE">
        <w:rPr>
          <w:sz w:val="20"/>
          <w:szCs w:val="20"/>
          <w:lang w:val="de-DE"/>
        </w:rPr>
        <w:t>Repor</w:t>
      </w:r>
      <w:r w:rsidR="00A02E1F" w:rsidRPr="00B61432">
        <w:rPr>
          <w:sz w:val="20"/>
          <w:szCs w:val="20"/>
          <w:lang w:val="de-DE"/>
        </w:rPr>
        <w:t>t“</w:t>
      </w:r>
      <w:r w:rsidRPr="00B61432">
        <w:rPr>
          <w:sz w:val="20"/>
          <w:szCs w:val="20"/>
          <w:lang w:val="de-DE"/>
        </w:rPr>
        <w:t xml:space="preserve">, </w:t>
      </w:r>
      <w:r w:rsidR="009E13D0" w:rsidRPr="00B61432">
        <w:rPr>
          <w:sz w:val="20"/>
          <w:szCs w:val="20"/>
          <w:lang w:val="de-DE"/>
        </w:rPr>
        <w:t>Absatz</w:t>
      </w:r>
      <w:r w:rsidRPr="00B61432">
        <w:rPr>
          <w:sz w:val="20"/>
          <w:szCs w:val="20"/>
          <w:lang w:val="de-DE"/>
        </w:rPr>
        <w:t> 82).</w:t>
      </w:r>
    </w:p>
    <w:p w:rsidR="001036A0" w:rsidRPr="00B61432" w:rsidRDefault="001036A0" w:rsidP="001036A0">
      <w:pPr>
        <w:pStyle w:val="Default"/>
        <w:jc w:val="both"/>
        <w:rPr>
          <w:sz w:val="20"/>
          <w:szCs w:val="20"/>
          <w:lang w:val="de-DE"/>
        </w:rPr>
      </w:pPr>
    </w:p>
    <w:p w:rsidR="001036A0" w:rsidRPr="0027707B" w:rsidRDefault="001036A0" w:rsidP="001036A0">
      <w:pPr>
        <w:autoSpaceDE w:val="0"/>
        <w:autoSpaceDN w:val="0"/>
        <w:adjustRightInd w:val="0"/>
        <w:rPr>
          <w:lang w:val="de-DE"/>
        </w:rPr>
      </w:pPr>
      <w:r w:rsidRPr="002070BE">
        <w:rPr>
          <w:snapToGrid w:val="0"/>
        </w:rPr>
        <w:fldChar w:fldCharType="begin"/>
      </w:r>
      <w:r w:rsidRPr="0027707B">
        <w:rPr>
          <w:snapToGrid w:val="0"/>
          <w:lang w:val="de-DE"/>
        </w:rPr>
        <w:instrText xml:space="preserve"> AUTONUM  </w:instrText>
      </w:r>
      <w:r w:rsidRPr="002070BE">
        <w:rPr>
          <w:snapToGrid w:val="0"/>
        </w:rPr>
        <w:fldChar w:fldCharType="end"/>
      </w:r>
      <w:r w:rsidRPr="0027707B">
        <w:rPr>
          <w:snapToGrid w:val="0"/>
          <w:lang w:val="de-DE"/>
        </w:rPr>
        <w:tab/>
      </w:r>
      <w:r w:rsidR="0027707B" w:rsidRPr="0027707B">
        <w:rPr>
          <w:snapToGrid w:val="0"/>
          <w:lang w:val="de-DE"/>
        </w:rPr>
        <w:t xml:space="preserve">Die </w:t>
      </w:r>
      <w:r w:rsidRPr="0027707B">
        <w:rPr>
          <w:rFonts w:cs="Arial"/>
          <w:lang w:val="de-DE"/>
        </w:rPr>
        <w:t xml:space="preserve">TWV </w:t>
      </w:r>
      <w:r w:rsidR="0027707B" w:rsidRPr="0027707B">
        <w:rPr>
          <w:rFonts w:cs="Arial"/>
          <w:lang w:val="de-DE"/>
        </w:rPr>
        <w:t xml:space="preserve">nahm die </w:t>
      </w:r>
      <w:r w:rsidR="00F413C7" w:rsidRPr="0027707B">
        <w:rPr>
          <w:rFonts w:cs="Arial"/>
          <w:lang w:val="de-DE"/>
        </w:rPr>
        <w:t>Bemerkungen</w:t>
      </w:r>
      <w:r w:rsidRPr="0027707B">
        <w:rPr>
          <w:rFonts w:cs="Arial"/>
          <w:lang w:val="de-DE"/>
        </w:rPr>
        <w:t xml:space="preserve"> </w:t>
      </w:r>
      <w:r w:rsidR="0027707B" w:rsidRPr="0027707B">
        <w:rPr>
          <w:rFonts w:cs="Arial"/>
          <w:lang w:val="de-DE"/>
        </w:rPr>
        <w:t>von den</w:t>
      </w:r>
      <w:r w:rsidRPr="0027707B">
        <w:rPr>
          <w:rFonts w:cs="Arial"/>
          <w:lang w:val="de-DE"/>
        </w:rPr>
        <w:t xml:space="preserve"> </w:t>
      </w:r>
      <w:r w:rsidR="00F413C7" w:rsidRPr="0027707B">
        <w:rPr>
          <w:rFonts w:cs="Arial"/>
          <w:lang w:val="de-DE"/>
        </w:rPr>
        <w:t>Sachverständigen</w:t>
      </w:r>
      <w:r w:rsidRPr="0027707B">
        <w:rPr>
          <w:rFonts w:cs="Arial"/>
          <w:lang w:val="de-DE"/>
        </w:rPr>
        <w:t xml:space="preserve"> </w:t>
      </w:r>
      <w:r w:rsidR="005B627E">
        <w:rPr>
          <w:rFonts w:cs="Arial"/>
          <w:lang w:val="de-DE"/>
        </w:rPr>
        <w:t>von</w:t>
      </w:r>
      <w:r w:rsidRPr="0027707B">
        <w:rPr>
          <w:rFonts w:cs="Arial"/>
          <w:lang w:val="de-DE"/>
        </w:rPr>
        <w:t xml:space="preserve"> ISF</w:t>
      </w:r>
      <w:r w:rsidR="00884C9E" w:rsidRPr="0027707B">
        <w:rPr>
          <w:rFonts w:cs="Arial"/>
          <w:lang w:val="de-DE"/>
        </w:rPr>
        <w:t xml:space="preserve"> und </w:t>
      </w:r>
      <w:r w:rsidRPr="0027707B">
        <w:rPr>
          <w:rFonts w:cs="Arial"/>
          <w:lang w:val="de-DE"/>
        </w:rPr>
        <w:t xml:space="preserve">ESA </w:t>
      </w:r>
      <w:r w:rsidR="00E30CFA">
        <w:rPr>
          <w:rFonts w:cs="Arial"/>
          <w:lang w:val="de-DE"/>
        </w:rPr>
        <w:t xml:space="preserve">zur Kenntnis, daß </w:t>
      </w:r>
      <w:r w:rsidR="00F413C7" w:rsidRPr="0027707B">
        <w:rPr>
          <w:rFonts w:cs="Arial"/>
          <w:lang w:val="de-DE"/>
        </w:rPr>
        <w:t>Sortenbeschreibungen</w:t>
      </w:r>
      <w:r w:rsidR="00E30CFA">
        <w:rPr>
          <w:rFonts w:cs="Arial"/>
          <w:lang w:val="de-DE"/>
        </w:rPr>
        <w:t xml:space="preserve"> nur in Fällen von geschützten Sorten </w:t>
      </w:r>
      <w:r w:rsidR="005B627E">
        <w:rPr>
          <w:rFonts w:cs="Arial"/>
          <w:lang w:val="de-DE"/>
        </w:rPr>
        <w:t xml:space="preserve">zur Verfügung gestellt werden sollten </w:t>
      </w:r>
      <w:r w:rsidR="00E30CFA">
        <w:rPr>
          <w:rFonts w:cs="Arial"/>
          <w:lang w:val="de-DE"/>
        </w:rPr>
        <w:t xml:space="preserve">und </w:t>
      </w:r>
      <w:r w:rsidR="00EA0FC6">
        <w:rPr>
          <w:rFonts w:cs="Arial"/>
          <w:lang w:val="de-DE"/>
        </w:rPr>
        <w:t xml:space="preserve">der allgemeinen Öffentlichkeit kein </w:t>
      </w:r>
      <w:r w:rsidR="00E30CFA">
        <w:rPr>
          <w:rFonts w:cs="Arial"/>
          <w:lang w:val="de-DE"/>
        </w:rPr>
        <w:t>Zugang zu I</w:t>
      </w:r>
      <w:r w:rsidRPr="0027707B">
        <w:rPr>
          <w:rFonts w:cs="Arial"/>
          <w:lang w:val="de-DE"/>
        </w:rPr>
        <w:t>nformation</w:t>
      </w:r>
      <w:r w:rsidR="00E30CFA">
        <w:rPr>
          <w:rFonts w:cs="Arial"/>
          <w:lang w:val="de-DE"/>
        </w:rPr>
        <w:t xml:space="preserve">en, die sich auf Inzucht- oder Elternlinien beziehen, </w:t>
      </w:r>
      <w:r w:rsidR="005B627E">
        <w:rPr>
          <w:rFonts w:cs="Arial"/>
          <w:lang w:val="de-DE"/>
        </w:rPr>
        <w:t>zur Verfügung gestellt werden</w:t>
      </w:r>
      <w:r w:rsidR="00E30CFA">
        <w:rPr>
          <w:rFonts w:cs="Arial"/>
          <w:lang w:val="de-DE"/>
        </w:rPr>
        <w:t xml:space="preserve"> </w:t>
      </w:r>
      <w:r w:rsidR="005B627E">
        <w:rPr>
          <w:rFonts w:cs="Arial"/>
          <w:lang w:val="de-DE"/>
        </w:rPr>
        <w:t>sollte</w:t>
      </w:r>
      <w:r w:rsidR="005B627E" w:rsidRPr="0027707B">
        <w:rPr>
          <w:lang w:val="de-DE"/>
        </w:rPr>
        <w:t xml:space="preserve"> </w:t>
      </w:r>
      <w:r w:rsidRPr="0027707B">
        <w:rPr>
          <w:lang w:val="de-DE"/>
        </w:rPr>
        <w:t>(</w:t>
      </w:r>
      <w:r w:rsidR="009E13D0" w:rsidRPr="0027707B">
        <w:rPr>
          <w:lang w:val="de-DE"/>
        </w:rPr>
        <w:t>vergleiche Dokument</w:t>
      </w:r>
      <w:r w:rsidRPr="0027707B">
        <w:rPr>
          <w:lang w:val="de-DE"/>
        </w:rPr>
        <w:t xml:space="preserve"> TWV/48/43 </w:t>
      </w:r>
      <w:r w:rsidR="00A02E1F" w:rsidRPr="0027707B">
        <w:rPr>
          <w:lang w:val="de-DE"/>
        </w:rPr>
        <w:t>„</w:t>
      </w:r>
      <w:r w:rsidR="006969CE">
        <w:rPr>
          <w:lang w:val="de-DE"/>
        </w:rPr>
        <w:t>Repor</w:t>
      </w:r>
      <w:r w:rsidR="00A02E1F" w:rsidRPr="0027707B">
        <w:rPr>
          <w:lang w:val="de-DE"/>
        </w:rPr>
        <w:t>t“</w:t>
      </w:r>
      <w:r w:rsidRPr="0027707B">
        <w:rPr>
          <w:lang w:val="de-DE"/>
        </w:rPr>
        <w:t xml:space="preserve">, </w:t>
      </w:r>
      <w:r w:rsidR="009E13D0" w:rsidRPr="0027707B">
        <w:rPr>
          <w:lang w:val="de-DE"/>
        </w:rPr>
        <w:t>Absatz</w:t>
      </w:r>
      <w:r w:rsidRPr="0027707B">
        <w:rPr>
          <w:lang w:val="de-DE"/>
        </w:rPr>
        <w:t xml:space="preserve"> 126)</w:t>
      </w:r>
      <w:r w:rsidRPr="0027707B">
        <w:rPr>
          <w:rFonts w:cs="Arial"/>
          <w:lang w:val="de-DE"/>
        </w:rPr>
        <w:t>.</w:t>
      </w:r>
    </w:p>
    <w:p w:rsidR="001036A0" w:rsidRPr="0027707B" w:rsidRDefault="001036A0" w:rsidP="001036A0">
      <w:pPr>
        <w:pStyle w:val="Default"/>
        <w:jc w:val="both"/>
        <w:rPr>
          <w:lang w:val="de-DE"/>
        </w:rPr>
      </w:pPr>
    </w:p>
    <w:p w:rsidR="001036A0" w:rsidRPr="00666E66" w:rsidRDefault="001036A0" w:rsidP="001036A0">
      <w:pPr>
        <w:pStyle w:val="DecisionParagraphs"/>
        <w:rPr>
          <w:rFonts w:cs="Arial"/>
          <w:lang w:val="de-DE"/>
        </w:rPr>
      </w:pPr>
      <w:r w:rsidRPr="0008344F">
        <w:rPr>
          <w:color w:val="000000"/>
        </w:rPr>
        <w:fldChar w:fldCharType="begin"/>
      </w:r>
      <w:r w:rsidRPr="00666E66">
        <w:rPr>
          <w:color w:val="000000"/>
          <w:lang w:val="de-DE"/>
        </w:rPr>
        <w:instrText xml:space="preserve"> AUTONUM  </w:instrText>
      </w:r>
      <w:r w:rsidRPr="0008344F">
        <w:rPr>
          <w:color w:val="000000"/>
        </w:rPr>
        <w:fldChar w:fldCharType="end"/>
      </w:r>
      <w:r w:rsidRPr="00666E66">
        <w:rPr>
          <w:color w:val="000000"/>
          <w:lang w:val="de-DE"/>
        </w:rPr>
        <w:tab/>
      </w:r>
      <w:r w:rsidR="00666E66" w:rsidRPr="00666E66">
        <w:rPr>
          <w:rFonts w:cs="Arial"/>
          <w:lang w:val="de-DE"/>
        </w:rPr>
        <w:t>Der TC wird ersucht, die Entwicklungen bezüglich der Datenbanken für Sortenbeschreibungen</w:t>
      </w:r>
      <w:r w:rsidRPr="00666E66">
        <w:rPr>
          <w:rFonts w:cs="Arial"/>
          <w:snapToGrid w:val="0"/>
          <w:lang w:val="de-DE"/>
        </w:rPr>
        <w:t xml:space="preserve">, </w:t>
      </w:r>
      <w:r w:rsidR="00E30CFA">
        <w:rPr>
          <w:rFonts w:cs="Arial"/>
          <w:snapToGrid w:val="0"/>
          <w:lang w:val="de-DE"/>
        </w:rPr>
        <w:t xml:space="preserve">wie in diesem </w:t>
      </w:r>
      <w:r w:rsidR="00D167F7" w:rsidRPr="00666E66">
        <w:rPr>
          <w:rFonts w:cs="Arial"/>
          <w:snapToGrid w:val="0"/>
          <w:lang w:val="de-DE"/>
        </w:rPr>
        <w:t>Dokument</w:t>
      </w:r>
      <w:r w:rsidRPr="00666E66">
        <w:rPr>
          <w:rFonts w:cs="Arial"/>
          <w:snapToGrid w:val="0"/>
          <w:lang w:val="de-DE"/>
        </w:rPr>
        <w:t xml:space="preserve"> </w:t>
      </w:r>
      <w:r w:rsidR="00E30CFA">
        <w:rPr>
          <w:rFonts w:cs="Arial"/>
          <w:snapToGrid w:val="0"/>
          <w:lang w:val="de-DE"/>
        </w:rPr>
        <w:t xml:space="preserve">dargelegt, </w:t>
      </w:r>
      <w:r w:rsidR="00EA0FC6">
        <w:rPr>
          <w:rFonts w:cs="Arial"/>
          <w:lang w:val="de-DE"/>
        </w:rPr>
        <w:t>zur Kenntnis zu nehmen,</w:t>
      </w:r>
      <w:r w:rsidR="00EA0FC6">
        <w:rPr>
          <w:rFonts w:cs="Arial"/>
          <w:snapToGrid w:val="0"/>
          <w:lang w:val="de-DE"/>
        </w:rPr>
        <w:t xml:space="preserve"> </w:t>
      </w:r>
      <w:r w:rsidR="00E30CFA">
        <w:rPr>
          <w:rFonts w:cs="Arial"/>
          <w:snapToGrid w:val="0"/>
          <w:lang w:val="de-DE"/>
        </w:rPr>
        <w:t>und insbesondere, daß</w:t>
      </w:r>
      <w:r w:rsidRPr="00666E66">
        <w:rPr>
          <w:rFonts w:cs="Arial"/>
          <w:snapToGrid w:val="0"/>
          <w:lang w:val="de-DE"/>
        </w:rPr>
        <w:t>:</w:t>
      </w:r>
    </w:p>
    <w:p w:rsidR="001036A0" w:rsidRPr="00666E66" w:rsidRDefault="001036A0" w:rsidP="001036A0">
      <w:pPr>
        <w:pStyle w:val="DecisionParagraphs"/>
        <w:tabs>
          <w:tab w:val="left" w:pos="6000"/>
        </w:tabs>
        <w:ind w:firstLine="567"/>
        <w:rPr>
          <w:rFonts w:cs="Arial"/>
          <w:snapToGrid w:val="0"/>
          <w:lang w:val="de-DE"/>
        </w:rPr>
      </w:pPr>
    </w:p>
    <w:p w:rsidR="001036A0" w:rsidRPr="00E30CFA" w:rsidRDefault="001036A0" w:rsidP="001036A0">
      <w:pPr>
        <w:pStyle w:val="DecisionParagraphs"/>
        <w:numPr>
          <w:ilvl w:val="0"/>
          <w:numId w:val="1"/>
        </w:numPr>
        <w:tabs>
          <w:tab w:val="left" w:pos="6000"/>
        </w:tabs>
        <w:ind w:left="4820" w:firstLine="567"/>
        <w:rPr>
          <w:rFonts w:cs="Arial"/>
          <w:lang w:val="de-DE"/>
        </w:rPr>
      </w:pPr>
      <w:r w:rsidRPr="00E30CFA">
        <w:rPr>
          <w:rFonts w:cs="Arial"/>
          <w:lang w:val="de-DE"/>
        </w:rPr>
        <w:t xml:space="preserve"> </w:t>
      </w:r>
      <w:r w:rsidR="00E30CFA" w:rsidRPr="00E30CFA">
        <w:rPr>
          <w:rFonts w:cs="Arial"/>
          <w:lang w:val="de-DE"/>
        </w:rPr>
        <w:t>die</w:t>
      </w:r>
      <w:r w:rsidRPr="00E30CFA">
        <w:rPr>
          <w:rFonts w:cs="Arial"/>
          <w:lang w:val="de-DE"/>
        </w:rPr>
        <w:t xml:space="preserve"> TWO </w:t>
      </w:r>
      <w:r w:rsidR="00666E66" w:rsidRPr="00E30CFA">
        <w:rPr>
          <w:rFonts w:cs="Arial"/>
          <w:lang w:val="de-DE"/>
        </w:rPr>
        <w:t>vereinbarte, daß</w:t>
      </w:r>
      <w:r w:rsidRPr="00E30CFA">
        <w:rPr>
          <w:rFonts w:cs="Arial"/>
          <w:lang w:val="de-DE"/>
        </w:rPr>
        <w:t xml:space="preserve"> </w:t>
      </w:r>
      <w:r w:rsidR="00E30CFA" w:rsidRPr="00E30CFA">
        <w:rPr>
          <w:rFonts w:cs="Arial"/>
          <w:lang w:val="de-DE"/>
        </w:rPr>
        <w:t xml:space="preserve">es nicht </w:t>
      </w:r>
      <w:r w:rsidR="005B627E">
        <w:rPr>
          <w:rFonts w:cs="Arial"/>
          <w:lang w:val="de-DE"/>
        </w:rPr>
        <w:t>zweckmäßig</w:t>
      </w:r>
      <w:r w:rsidR="00E30CFA" w:rsidRPr="00E30CFA">
        <w:rPr>
          <w:rFonts w:cs="Arial"/>
          <w:lang w:val="de-DE"/>
        </w:rPr>
        <w:t xml:space="preserve"> </w:t>
      </w:r>
      <w:r w:rsidR="0002649A">
        <w:rPr>
          <w:rFonts w:cs="Arial"/>
          <w:lang w:val="de-DE"/>
        </w:rPr>
        <w:t>sei</w:t>
      </w:r>
      <w:r w:rsidR="00E30CFA" w:rsidRPr="00E30CFA">
        <w:rPr>
          <w:rFonts w:cs="Arial"/>
          <w:lang w:val="de-DE"/>
        </w:rPr>
        <w:t xml:space="preserve">, </w:t>
      </w:r>
      <w:r w:rsidR="00E30CFA">
        <w:rPr>
          <w:rFonts w:cs="Arial"/>
          <w:lang w:val="de-DE"/>
        </w:rPr>
        <w:t>zu diesem Zeitpunkt</w:t>
      </w:r>
      <w:r w:rsidR="0002649A">
        <w:rPr>
          <w:rFonts w:cs="Arial"/>
          <w:lang w:val="de-DE"/>
        </w:rPr>
        <w:t xml:space="preserve"> eine</w:t>
      </w:r>
      <w:r w:rsidR="0002649A" w:rsidRPr="00E30CFA">
        <w:rPr>
          <w:rFonts w:cs="Arial"/>
          <w:lang w:val="de-DE"/>
        </w:rPr>
        <w:t xml:space="preserve"> Datenbank für </w:t>
      </w:r>
      <w:r w:rsidR="0002649A">
        <w:rPr>
          <w:rFonts w:cs="Arial"/>
          <w:lang w:val="de-DE"/>
        </w:rPr>
        <w:t>eine Ziersorte zu entwickeln</w:t>
      </w:r>
      <w:r w:rsidRPr="00E30CFA">
        <w:rPr>
          <w:rFonts w:cs="Arial"/>
          <w:lang w:val="de-DE"/>
        </w:rPr>
        <w:t xml:space="preserve">; </w:t>
      </w:r>
      <w:r w:rsidR="00E30CFA">
        <w:rPr>
          <w:rFonts w:cs="Arial"/>
          <w:lang w:val="de-DE"/>
        </w:rPr>
        <w:t>u</w:t>
      </w:r>
      <w:r w:rsidRPr="00E30CFA">
        <w:rPr>
          <w:rFonts w:cs="Arial"/>
          <w:lang w:val="de-DE"/>
        </w:rPr>
        <w:t>nd</w:t>
      </w:r>
    </w:p>
    <w:p w:rsidR="001036A0" w:rsidRPr="00E30CFA" w:rsidRDefault="001036A0" w:rsidP="001036A0">
      <w:pPr>
        <w:pStyle w:val="DecisionParagraphs"/>
        <w:tabs>
          <w:tab w:val="left" w:pos="6000"/>
        </w:tabs>
        <w:ind w:firstLine="567"/>
        <w:rPr>
          <w:lang w:val="de-DE"/>
        </w:rPr>
      </w:pPr>
    </w:p>
    <w:p w:rsidR="001036A0" w:rsidRPr="00E30CFA" w:rsidRDefault="00F5541E" w:rsidP="001036A0">
      <w:pPr>
        <w:pStyle w:val="DecisionParagraphs"/>
        <w:numPr>
          <w:ilvl w:val="0"/>
          <w:numId w:val="1"/>
        </w:numPr>
        <w:tabs>
          <w:tab w:val="left" w:pos="6000"/>
        </w:tabs>
        <w:ind w:left="4820" w:firstLine="567"/>
        <w:rPr>
          <w:rFonts w:cs="Arial"/>
          <w:lang w:val="de-DE"/>
        </w:rPr>
      </w:pPr>
      <w:r w:rsidRPr="00E30CFA">
        <w:rPr>
          <w:lang w:val="de-DE"/>
        </w:rPr>
        <w:lastRenderedPageBreak/>
        <w:t>die TWC</w:t>
      </w:r>
      <w:r w:rsidR="001036A0" w:rsidRPr="00E30CFA">
        <w:rPr>
          <w:lang w:val="de-DE"/>
        </w:rPr>
        <w:t xml:space="preserve"> </w:t>
      </w:r>
      <w:r w:rsidR="00E30CFA" w:rsidRPr="00E30CFA">
        <w:rPr>
          <w:lang w:val="de-DE"/>
        </w:rPr>
        <w:t xml:space="preserve">einen </w:t>
      </w:r>
      <w:r w:rsidR="00F413C7" w:rsidRPr="00E30CFA">
        <w:rPr>
          <w:rFonts w:cs="Arial"/>
          <w:lang w:val="de-DE"/>
        </w:rPr>
        <w:t>Sachverständigen</w:t>
      </w:r>
      <w:r w:rsidR="001036A0" w:rsidRPr="00E30CFA">
        <w:rPr>
          <w:rFonts w:cs="Arial"/>
          <w:lang w:val="de-DE"/>
        </w:rPr>
        <w:t xml:space="preserve"> </w:t>
      </w:r>
      <w:r w:rsidR="00E30CFA" w:rsidRPr="00E30CFA">
        <w:rPr>
          <w:rFonts w:cs="Arial"/>
          <w:lang w:val="de-DE"/>
        </w:rPr>
        <w:t>aus</w:t>
      </w:r>
      <w:r w:rsidR="001036A0" w:rsidRPr="00E30CFA">
        <w:rPr>
          <w:rFonts w:cs="Arial"/>
          <w:lang w:val="de-DE"/>
        </w:rPr>
        <w:t xml:space="preserve"> China</w:t>
      </w:r>
      <w:r w:rsidR="009E13D0" w:rsidRPr="00E30CFA">
        <w:rPr>
          <w:rFonts w:cs="Arial"/>
          <w:lang w:val="de-DE"/>
        </w:rPr>
        <w:t xml:space="preserve"> </w:t>
      </w:r>
      <w:r w:rsidR="00E30CFA" w:rsidRPr="00E30CFA">
        <w:rPr>
          <w:rFonts w:cs="Arial"/>
          <w:lang w:val="de-DE"/>
        </w:rPr>
        <w:t xml:space="preserve">ersucht hat, die </w:t>
      </w:r>
      <w:r w:rsidR="00E30CFA" w:rsidRPr="000D4E2A">
        <w:rPr>
          <w:lang w:val="de-DE"/>
        </w:rPr>
        <w:t>Varianzanalyse</w:t>
      </w:r>
      <w:r w:rsidR="00E30CFA" w:rsidRPr="00E30CFA">
        <w:rPr>
          <w:rFonts w:cs="Arial"/>
          <w:lang w:val="de-DE"/>
        </w:rPr>
        <w:t xml:space="preserve"> für die I</w:t>
      </w:r>
      <w:r w:rsidR="00E30CFA" w:rsidRPr="00E30CFA">
        <w:rPr>
          <w:lang w:val="de-DE"/>
        </w:rPr>
        <w:t>nterak</w:t>
      </w:r>
      <w:r w:rsidR="001036A0" w:rsidRPr="00E30CFA">
        <w:rPr>
          <w:lang w:val="de-DE"/>
        </w:rPr>
        <w:t xml:space="preserve">tion </w:t>
      </w:r>
      <w:r w:rsidR="00E30CFA">
        <w:rPr>
          <w:lang w:val="de-DE"/>
        </w:rPr>
        <w:t>„</w:t>
      </w:r>
      <w:r w:rsidR="00E30CFA" w:rsidRPr="000D4E2A">
        <w:rPr>
          <w:lang w:val="de-DE"/>
        </w:rPr>
        <w:t xml:space="preserve">Sorte x Standort” (Umwelt) </w:t>
      </w:r>
      <w:r w:rsidR="00E30CFA">
        <w:rPr>
          <w:lang w:val="de-DE"/>
        </w:rPr>
        <w:t xml:space="preserve">der </w:t>
      </w:r>
      <w:r w:rsidR="0002649A" w:rsidRPr="000D4E2A">
        <w:rPr>
          <w:lang w:val="de-DE"/>
        </w:rPr>
        <w:t xml:space="preserve">in </w:t>
      </w:r>
      <w:r w:rsidR="0002649A">
        <w:rPr>
          <w:lang w:val="de-DE"/>
        </w:rPr>
        <w:t>der Studie</w:t>
      </w:r>
      <w:r w:rsidR="0002649A" w:rsidRPr="000D4E2A">
        <w:rPr>
          <w:lang w:val="de-DE"/>
        </w:rPr>
        <w:t xml:space="preserve"> </w:t>
      </w:r>
      <w:r w:rsidR="0002649A">
        <w:rPr>
          <w:lang w:val="de-DE"/>
        </w:rPr>
        <w:t>geprüften</w:t>
      </w:r>
      <w:r w:rsidR="0002649A" w:rsidRPr="000D4E2A">
        <w:rPr>
          <w:lang w:val="de-DE"/>
        </w:rPr>
        <w:t xml:space="preserve"> </w:t>
      </w:r>
      <w:r w:rsidR="00E30CFA" w:rsidRPr="000D4E2A">
        <w:rPr>
          <w:lang w:val="de-DE"/>
        </w:rPr>
        <w:t>QN</w:t>
      </w:r>
      <w:r w:rsidR="00E30CFA">
        <w:rPr>
          <w:lang w:val="de-DE"/>
        </w:rPr>
        <w:t>-Merkmale</w:t>
      </w:r>
      <w:r w:rsidR="00E30CFA" w:rsidRPr="000D4E2A">
        <w:rPr>
          <w:lang w:val="de-DE"/>
        </w:rPr>
        <w:t xml:space="preserve"> </w:t>
      </w:r>
      <w:r w:rsidR="00E30CFA">
        <w:rPr>
          <w:lang w:val="de-DE"/>
        </w:rPr>
        <w:t xml:space="preserve">unter Verwendung des </w:t>
      </w:r>
      <w:r w:rsidR="00E30CFA" w:rsidRPr="000D4E2A">
        <w:rPr>
          <w:lang w:val="de-DE"/>
        </w:rPr>
        <w:t>statisti</w:t>
      </w:r>
      <w:r w:rsidR="00E30CFA">
        <w:rPr>
          <w:lang w:val="de-DE"/>
        </w:rPr>
        <w:t>schen M</w:t>
      </w:r>
      <w:r w:rsidR="00E30CFA" w:rsidRPr="000D4E2A">
        <w:rPr>
          <w:lang w:val="de-DE"/>
        </w:rPr>
        <w:t>odul</w:t>
      </w:r>
      <w:r w:rsidR="00E30CFA">
        <w:rPr>
          <w:lang w:val="de-DE"/>
        </w:rPr>
        <w:t>s der neuen S</w:t>
      </w:r>
      <w:r w:rsidR="00E30CFA" w:rsidRPr="000D4E2A">
        <w:rPr>
          <w:lang w:val="de-DE"/>
        </w:rPr>
        <w:t xml:space="preserve">oftware </w:t>
      </w:r>
      <w:r w:rsidR="00E30CFA">
        <w:rPr>
          <w:lang w:val="de-DE"/>
        </w:rPr>
        <w:t>„</w:t>
      </w:r>
      <w:r w:rsidR="00E30CFA" w:rsidRPr="000D4E2A">
        <w:rPr>
          <w:lang w:val="de-DE"/>
        </w:rPr>
        <w:t>DUSTC”</w:t>
      </w:r>
      <w:r w:rsidR="0002649A">
        <w:rPr>
          <w:lang w:val="de-DE"/>
        </w:rPr>
        <w:t xml:space="preserve">, </w:t>
      </w:r>
      <w:r w:rsidR="0069064F">
        <w:rPr>
          <w:lang w:val="de-DE"/>
        </w:rPr>
        <w:t>die</w:t>
      </w:r>
      <w:r w:rsidR="0002649A">
        <w:rPr>
          <w:lang w:val="de-DE"/>
        </w:rPr>
        <w:t xml:space="preserve"> </w:t>
      </w:r>
      <w:r w:rsidR="00E30CFA">
        <w:rPr>
          <w:lang w:val="de-DE"/>
        </w:rPr>
        <w:t xml:space="preserve">von </w:t>
      </w:r>
      <w:r w:rsidR="00E30CFA" w:rsidRPr="000D4E2A">
        <w:rPr>
          <w:lang w:val="de-DE"/>
        </w:rPr>
        <w:t xml:space="preserve">China </w:t>
      </w:r>
      <w:r w:rsidR="00E30CFA">
        <w:rPr>
          <w:lang w:val="de-DE"/>
        </w:rPr>
        <w:t xml:space="preserve">zur Vorlage auf ihrer dreiunddreißigsten Tagung </w:t>
      </w:r>
      <w:r w:rsidR="0002649A">
        <w:rPr>
          <w:lang w:val="de-DE"/>
        </w:rPr>
        <w:t xml:space="preserve">entwickelt wurde, </w:t>
      </w:r>
      <w:r w:rsidR="00E30CFA">
        <w:rPr>
          <w:lang w:val="de-DE"/>
        </w:rPr>
        <w:t>vorzustellen</w:t>
      </w:r>
      <w:r w:rsidR="001036A0" w:rsidRPr="00E30CFA">
        <w:rPr>
          <w:rFonts w:cs="Arial"/>
          <w:lang w:val="de-DE"/>
        </w:rPr>
        <w:t>.</w:t>
      </w:r>
    </w:p>
    <w:p w:rsidR="00683710" w:rsidRPr="00E30CFA" w:rsidRDefault="00683710">
      <w:pPr>
        <w:jc w:val="left"/>
        <w:rPr>
          <w:snapToGrid w:val="0"/>
          <w:lang w:val="de-DE"/>
        </w:rPr>
      </w:pPr>
    </w:p>
    <w:p w:rsidR="00091F90" w:rsidRPr="00E30CFA" w:rsidRDefault="00091F90">
      <w:pPr>
        <w:jc w:val="left"/>
        <w:rPr>
          <w:caps/>
          <w:snapToGrid w:val="0"/>
          <w:lang w:val="de-DE"/>
        </w:rPr>
      </w:pPr>
    </w:p>
    <w:p w:rsidR="00900C26" w:rsidRPr="001036A0" w:rsidRDefault="00FA585B" w:rsidP="00FA585B">
      <w:pPr>
        <w:jc w:val="right"/>
        <w:rPr>
          <w:lang w:val="de-DE"/>
        </w:rPr>
      </w:pPr>
      <w:r w:rsidRPr="001036A0">
        <w:rPr>
          <w:lang w:val="de-DE"/>
        </w:rPr>
        <w:t>[Ende des Dokuments]</w:t>
      </w:r>
    </w:p>
    <w:sectPr w:rsidR="00900C26" w:rsidRPr="001036A0"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0A2" w:rsidRDefault="00BE70A2" w:rsidP="00F45372">
      <w:r>
        <w:separator/>
      </w:r>
    </w:p>
    <w:p w:rsidR="00BE70A2" w:rsidRDefault="00BE70A2" w:rsidP="00F45372"/>
    <w:p w:rsidR="00BE70A2" w:rsidRDefault="00BE70A2" w:rsidP="00F45372"/>
  </w:endnote>
  <w:endnote w:type="continuationSeparator" w:id="0">
    <w:p w:rsidR="00BE70A2" w:rsidRDefault="00BE70A2" w:rsidP="00F45372">
      <w:r>
        <w:separator/>
      </w:r>
    </w:p>
    <w:p w:rsidR="00BE70A2" w:rsidRPr="002C34C9" w:rsidRDefault="00BE70A2">
      <w:pPr>
        <w:pStyle w:val="Footer"/>
        <w:spacing w:after="60"/>
        <w:rPr>
          <w:sz w:val="18"/>
          <w:lang w:val="fr-CH"/>
        </w:rPr>
      </w:pPr>
      <w:r w:rsidRPr="002C34C9">
        <w:rPr>
          <w:sz w:val="18"/>
          <w:lang w:val="fr-CH"/>
        </w:rPr>
        <w:t>[Suite de la note de la page précédente]</w:t>
      </w:r>
    </w:p>
    <w:p w:rsidR="00BE70A2" w:rsidRPr="002C34C9" w:rsidRDefault="00BE70A2" w:rsidP="00F45372">
      <w:pPr>
        <w:rPr>
          <w:lang w:val="fr-CH"/>
        </w:rPr>
      </w:pPr>
    </w:p>
    <w:p w:rsidR="00BE70A2" w:rsidRPr="002C34C9" w:rsidRDefault="00BE70A2" w:rsidP="00F45372">
      <w:pPr>
        <w:rPr>
          <w:lang w:val="fr-CH"/>
        </w:rPr>
      </w:pPr>
    </w:p>
  </w:endnote>
  <w:endnote w:type="continuationNotice" w:id="1">
    <w:p w:rsidR="00BE70A2" w:rsidRPr="002C34C9" w:rsidRDefault="00BE70A2" w:rsidP="00F45372">
      <w:pPr>
        <w:rPr>
          <w:lang w:val="fr-CH"/>
        </w:rPr>
      </w:pPr>
      <w:r w:rsidRPr="002C34C9">
        <w:rPr>
          <w:lang w:val="fr-CH"/>
        </w:rPr>
        <w:t>[Suite de la note page suivante]</w:t>
      </w:r>
    </w:p>
    <w:p w:rsidR="00BE70A2" w:rsidRPr="002C34C9" w:rsidRDefault="00BE70A2" w:rsidP="00F45372">
      <w:pPr>
        <w:rPr>
          <w:lang w:val="fr-CH"/>
        </w:rPr>
      </w:pPr>
    </w:p>
    <w:p w:rsidR="00BE70A2" w:rsidRPr="002C34C9" w:rsidRDefault="00BE70A2"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0A2" w:rsidRDefault="00BE70A2" w:rsidP="00F45372">
      <w:r>
        <w:separator/>
      </w:r>
    </w:p>
  </w:footnote>
  <w:footnote w:type="continuationSeparator" w:id="0">
    <w:p w:rsidR="00BE70A2" w:rsidRDefault="00BE70A2" w:rsidP="00F45372">
      <w:r>
        <w:separator/>
      </w:r>
    </w:p>
  </w:footnote>
  <w:footnote w:type="continuationNotice" w:id="1">
    <w:p w:rsidR="00BE70A2" w:rsidRPr="005E74F6" w:rsidRDefault="00BE70A2" w:rsidP="005E74F6">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642" w:rsidRPr="00C27491" w:rsidRDefault="009C4642" w:rsidP="00EB048E">
    <w:pPr>
      <w:pStyle w:val="Header"/>
      <w:rPr>
        <w:rStyle w:val="PageNumber"/>
        <w:lang w:val="de-DE"/>
      </w:rPr>
    </w:pPr>
    <w:r>
      <w:rPr>
        <w:rStyle w:val="PageNumber"/>
        <w:lang w:val="de-DE"/>
      </w:rPr>
      <w:t>TC/51/</w:t>
    </w:r>
    <w:r w:rsidR="0069064F">
      <w:rPr>
        <w:rStyle w:val="PageNumber"/>
        <w:lang w:val="de-DE"/>
      </w:rPr>
      <w:t>9</w:t>
    </w:r>
  </w:p>
  <w:p w:rsidR="009C4642" w:rsidRPr="00C27491" w:rsidRDefault="009C4642" w:rsidP="00EB048E">
    <w:pPr>
      <w:pStyle w:val="Header"/>
      <w:rPr>
        <w:lang w:val="de-DE"/>
      </w:rPr>
    </w:pPr>
    <w:r w:rsidRPr="00C27491">
      <w:rPr>
        <w:lang w:val="de-DE"/>
      </w:rPr>
      <w:t xml:space="preserve">Seite </w:t>
    </w:r>
    <w:r w:rsidRPr="00C27491">
      <w:rPr>
        <w:rStyle w:val="PageNumber"/>
        <w:lang w:val="de-DE"/>
      </w:rPr>
      <w:fldChar w:fldCharType="begin"/>
    </w:r>
    <w:r w:rsidRPr="00C27491">
      <w:rPr>
        <w:rStyle w:val="PageNumber"/>
        <w:lang w:val="de-DE"/>
      </w:rPr>
      <w:instrText xml:space="preserve"> PAGE </w:instrText>
    </w:r>
    <w:r w:rsidRPr="00C27491">
      <w:rPr>
        <w:rStyle w:val="PageNumber"/>
        <w:lang w:val="de-DE"/>
      </w:rPr>
      <w:fldChar w:fldCharType="separate"/>
    </w:r>
    <w:r w:rsidR="00B40A6D">
      <w:rPr>
        <w:rStyle w:val="PageNumber"/>
        <w:noProof/>
        <w:lang w:val="de-DE"/>
      </w:rPr>
      <w:t>6</w:t>
    </w:r>
    <w:r w:rsidRPr="00C27491">
      <w:rPr>
        <w:rStyle w:val="PageNumber"/>
        <w:lang w:val="de-DE"/>
      </w:rPr>
      <w:fldChar w:fldCharType="end"/>
    </w:r>
  </w:p>
  <w:p w:rsidR="009C4642" w:rsidRPr="00C27491" w:rsidRDefault="009C4642" w:rsidP="00F45372">
    <w:pP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2252E"/>
    <w:multiLevelType w:val="hybridMultilevel"/>
    <w:tmpl w:val="15A0D9D6"/>
    <w:lvl w:ilvl="0" w:tplc="0409001B">
      <w:start w:val="1"/>
      <w:numFmt w:val="lowerRoman"/>
      <w:lvlText w:val="%1."/>
      <w:lvlJc w:val="righ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4D57424"/>
    <w:multiLevelType w:val="hybridMultilevel"/>
    <w:tmpl w:val="67884C4C"/>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311773"/>
    <w:multiLevelType w:val="hybridMultilevel"/>
    <w:tmpl w:val="BCD494A4"/>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311C9B"/>
    <w:multiLevelType w:val="hybridMultilevel"/>
    <w:tmpl w:val="9006A27C"/>
    <w:lvl w:ilvl="0" w:tplc="AC548EBE">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de-DE"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21D"/>
    <w:rsid w:val="00010CCA"/>
    <w:rsid w:val="00010CF3"/>
    <w:rsid w:val="00011E27"/>
    <w:rsid w:val="000148BC"/>
    <w:rsid w:val="00024AB8"/>
    <w:rsid w:val="0002649A"/>
    <w:rsid w:val="00030854"/>
    <w:rsid w:val="00032ED6"/>
    <w:rsid w:val="00036028"/>
    <w:rsid w:val="00043053"/>
    <w:rsid w:val="00044642"/>
    <w:rsid w:val="000446B9"/>
    <w:rsid w:val="00047E21"/>
    <w:rsid w:val="00054790"/>
    <w:rsid w:val="00085505"/>
    <w:rsid w:val="00091F90"/>
    <w:rsid w:val="000C7021"/>
    <w:rsid w:val="000D00EC"/>
    <w:rsid w:val="000D4E2A"/>
    <w:rsid w:val="000D6BBC"/>
    <w:rsid w:val="000D7780"/>
    <w:rsid w:val="001036A0"/>
    <w:rsid w:val="00105929"/>
    <w:rsid w:val="001131D5"/>
    <w:rsid w:val="00141DB8"/>
    <w:rsid w:val="001430D4"/>
    <w:rsid w:val="0017474A"/>
    <w:rsid w:val="001758C6"/>
    <w:rsid w:val="0021332C"/>
    <w:rsid w:val="00213982"/>
    <w:rsid w:val="0024416D"/>
    <w:rsid w:val="0027707B"/>
    <w:rsid w:val="002800A0"/>
    <w:rsid w:val="002801B3"/>
    <w:rsid w:val="00281060"/>
    <w:rsid w:val="002940E8"/>
    <w:rsid w:val="002A6E50"/>
    <w:rsid w:val="002C256A"/>
    <w:rsid w:val="002C34C9"/>
    <w:rsid w:val="00305A7F"/>
    <w:rsid w:val="003152FE"/>
    <w:rsid w:val="00327436"/>
    <w:rsid w:val="00344BD6"/>
    <w:rsid w:val="0035528D"/>
    <w:rsid w:val="00361821"/>
    <w:rsid w:val="003D227C"/>
    <w:rsid w:val="003D2B4D"/>
    <w:rsid w:val="003D5E50"/>
    <w:rsid w:val="00400114"/>
    <w:rsid w:val="0044455D"/>
    <w:rsid w:val="00444A88"/>
    <w:rsid w:val="00474DA4"/>
    <w:rsid w:val="004D047D"/>
    <w:rsid w:val="004F305A"/>
    <w:rsid w:val="00512164"/>
    <w:rsid w:val="00516584"/>
    <w:rsid w:val="00520297"/>
    <w:rsid w:val="005338F9"/>
    <w:rsid w:val="0054281C"/>
    <w:rsid w:val="0055268D"/>
    <w:rsid w:val="00576BE4"/>
    <w:rsid w:val="005A400A"/>
    <w:rsid w:val="005B627E"/>
    <w:rsid w:val="005C2CC2"/>
    <w:rsid w:val="005E74F6"/>
    <w:rsid w:val="00612379"/>
    <w:rsid w:val="0061555F"/>
    <w:rsid w:val="00641200"/>
    <w:rsid w:val="00642E33"/>
    <w:rsid w:val="00666E66"/>
    <w:rsid w:val="00683710"/>
    <w:rsid w:val="00687EB4"/>
    <w:rsid w:val="0069064F"/>
    <w:rsid w:val="006969CE"/>
    <w:rsid w:val="006B17D2"/>
    <w:rsid w:val="006C224E"/>
    <w:rsid w:val="006D780A"/>
    <w:rsid w:val="00732DEC"/>
    <w:rsid w:val="00735BD5"/>
    <w:rsid w:val="007556F6"/>
    <w:rsid w:val="00760EEF"/>
    <w:rsid w:val="00777EE5"/>
    <w:rsid w:val="00784836"/>
    <w:rsid w:val="0079023E"/>
    <w:rsid w:val="007A2854"/>
    <w:rsid w:val="007A7F16"/>
    <w:rsid w:val="007D0B9D"/>
    <w:rsid w:val="007D19B0"/>
    <w:rsid w:val="007F498F"/>
    <w:rsid w:val="0080679D"/>
    <w:rsid w:val="008108B0"/>
    <w:rsid w:val="00811713"/>
    <w:rsid w:val="00811B20"/>
    <w:rsid w:val="00815939"/>
    <w:rsid w:val="0082296E"/>
    <w:rsid w:val="00824099"/>
    <w:rsid w:val="00867AC1"/>
    <w:rsid w:val="00884C9E"/>
    <w:rsid w:val="008A743F"/>
    <w:rsid w:val="008C0970"/>
    <w:rsid w:val="008D2CF7"/>
    <w:rsid w:val="008D30A7"/>
    <w:rsid w:val="00900C26"/>
    <w:rsid w:val="0090197F"/>
    <w:rsid w:val="00906DDC"/>
    <w:rsid w:val="0092221D"/>
    <w:rsid w:val="0092535E"/>
    <w:rsid w:val="00934E09"/>
    <w:rsid w:val="00936253"/>
    <w:rsid w:val="00937572"/>
    <w:rsid w:val="00952DD4"/>
    <w:rsid w:val="00970FED"/>
    <w:rsid w:val="00997029"/>
    <w:rsid w:val="009C4642"/>
    <w:rsid w:val="009D690D"/>
    <w:rsid w:val="009D6A7E"/>
    <w:rsid w:val="009E13D0"/>
    <w:rsid w:val="009E5E9E"/>
    <w:rsid w:val="009E65B6"/>
    <w:rsid w:val="00A02E1F"/>
    <w:rsid w:val="00A34364"/>
    <w:rsid w:val="00A42AC3"/>
    <w:rsid w:val="00A430CF"/>
    <w:rsid w:val="00A54309"/>
    <w:rsid w:val="00A56F40"/>
    <w:rsid w:val="00AB1CDA"/>
    <w:rsid w:val="00AB2B93"/>
    <w:rsid w:val="00AB7E5B"/>
    <w:rsid w:val="00AE0EF1"/>
    <w:rsid w:val="00B07301"/>
    <w:rsid w:val="00B224DE"/>
    <w:rsid w:val="00B40A6D"/>
    <w:rsid w:val="00B44AC6"/>
    <w:rsid w:val="00B5027B"/>
    <w:rsid w:val="00B61432"/>
    <w:rsid w:val="00B84BBD"/>
    <w:rsid w:val="00BA43FB"/>
    <w:rsid w:val="00BC127D"/>
    <w:rsid w:val="00BC1FE6"/>
    <w:rsid w:val="00BE70A2"/>
    <w:rsid w:val="00C061B6"/>
    <w:rsid w:val="00C2446C"/>
    <w:rsid w:val="00C2675C"/>
    <w:rsid w:val="00C27491"/>
    <w:rsid w:val="00C36AE5"/>
    <w:rsid w:val="00C41F17"/>
    <w:rsid w:val="00C5280D"/>
    <w:rsid w:val="00C5791C"/>
    <w:rsid w:val="00C65B60"/>
    <w:rsid w:val="00C66290"/>
    <w:rsid w:val="00C72B7A"/>
    <w:rsid w:val="00C944CA"/>
    <w:rsid w:val="00C966AE"/>
    <w:rsid w:val="00C973F2"/>
    <w:rsid w:val="00CA774A"/>
    <w:rsid w:val="00CB1BE0"/>
    <w:rsid w:val="00CC11B0"/>
    <w:rsid w:val="00CE43A3"/>
    <w:rsid w:val="00CF7E36"/>
    <w:rsid w:val="00D167F7"/>
    <w:rsid w:val="00D3708D"/>
    <w:rsid w:val="00D40426"/>
    <w:rsid w:val="00D57C96"/>
    <w:rsid w:val="00D67E69"/>
    <w:rsid w:val="00D70C6C"/>
    <w:rsid w:val="00D91203"/>
    <w:rsid w:val="00D95174"/>
    <w:rsid w:val="00DA6F36"/>
    <w:rsid w:val="00DB596E"/>
    <w:rsid w:val="00DC00EA"/>
    <w:rsid w:val="00E30CFA"/>
    <w:rsid w:val="00E66DF9"/>
    <w:rsid w:val="00E72D49"/>
    <w:rsid w:val="00E7593C"/>
    <w:rsid w:val="00E7678A"/>
    <w:rsid w:val="00E935F1"/>
    <w:rsid w:val="00E94A81"/>
    <w:rsid w:val="00EA0FC6"/>
    <w:rsid w:val="00EA1FFB"/>
    <w:rsid w:val="00EB048E"/>
    <w:rsid w:val="00EE34DF"/>
    <w:rsid w:val="00EF2F89"/>
    <w:rsid w:val="00F1237A"/>
    <w:rsid w:val="00F22CBD"/>
    <w:rsid w:val="00F31835"/>
    <w:rsid w:val="00F33B37"/>
    <w:rsid w:val="00F413C7"/>
    <w:rsid w:val="00F45372"/>
    <w:rsid w:val="00F52625"/>
    <w:rsid w:val="00F5541E"/>
    <w:rsid w:val="00F560F7"/>
    <w:rsid w:val="00F6334D"/>
    <w:rsid w:val="00F655B6"/>
    <w:rsid w:val="00F67D5E"/>
    <w:rsid w:val="00F82C96"/>
    <w:rsid w:val="00F97DE9"/>
    <w:rsid w:val="00FA49AB"/>
    <w:rsid w:val="00FA585B"/>
    <w:rsid w:val="00FE39C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A3"/>
    <w:pPr>
      <w:jc w:val="both"/>
    </w:pPr>
    <w:rPr>
      <w:rFonts w:ascii="Arial" w:hAnsi="Arial"/>
    </w:rPr>
  </w:style>
  <w:style w:type="paragraph" w:styleId="Heading1">
    <w:name w:val="heading 1"/>
    <w:next w:val="Normal"/>
    <w:link w:val="Heading1Char"/>
    <w:autoRedefine/>
    <w:qFormat/>
    <w:rsid w:val="007A7F16"/>
    <w:pPr>
      <w:keepNext/>
      <w:jc w:val="both"/>
      <w:outlineLvl w:val="0"/>
    </w:pPr>
    <w:rPr>
      <w:rFonts w:ascii="Arial" w:hAnsi="Arial"/>
      <w:caps/>
    </w:rPr>
  </w:style>
  <w:style w:type="paragraph" w:styleId="Heading2">
    <w:name w:val="heading 2"/>
    <w:next w:val="Normal"/>
    <w:autoRedefine/>
    <w:qFormat/>
    <w:rsid w:val="007A7F16"/>
    <w:pPr>
      <w:keepNext/>
      <w:jc w:val="both"/>
      <w:outlineLvl w:val="1"/>
    </w:pPr>
    <w:rPr>
      <w:rFonts w:ascii="Arial" w:hAnsi="Arial"/>
      <w:u w:val="single"/>
    </w:rPr>
  </w:style>
  <w:style w:type="paragraph" w:styleId="Heading3">
    <w:name w:val="heading 3"/>
    <w:next w:val="Normal"/>
    <w:link w:val="Heading3Char"/>
    <w:autoRedefine/>
    <w:qFormat/>
    <w:rsid w:val="007A7F16"/>
    <w:pPr>
      <w:keepNext/>
      <w:jc w:val="both"/>
      <w:outlineLvl w:val="2"/>
    </w:pPr>
    <w:rPr>
      <w:rFonts w:ascii="Arial" w:hAnsi="Arial"/>
      <w:i/>
    </w:rPr>
  </w:style>
  <w:style w:type="paragraph" w:styleId="Heading4">
    <w:name w:val="heading 4"/>
    <w:next w:val="Normal"/>
    <w:autoRedefine/>
    <w:qFormat/>
    <w:rsid w:val="007A7F16"/>
    <w:pPr>
      <w:keepNext/>
      <w:ind w:left="567"/>
      <w:jc w:val="both"/>
      <w:outlineLvl w:val="3"/>
    </w:pPr>
    <w:rPr>
      <w:rFonts w:ascii="Arial" w:hAnsi="Arial"/>
      <w:u w:val="single"/>
      <w:lang w:val="fr-FR"/>
    </w:rPr>
  </w:style>
  <w:style w:type="paragraph" w:styleId="Heading5">
    <w:name w:val="heading 5"/>
    <w:next w:val="Normal"/>
    <w:autoRedefine/>
    <w:qFormat/>
    <w:rsid w:val="007A7F16"/>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5E74F6"/>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5E74F6"/>
    <w:pPr>
      <w:keepNext/>
      <w:keepLines/>
      <w:spacing w:before="180" w:after="120"/>
      <w:jc w:val="left"/>
    </w:pPr>
    <w:rPr>
      <w:caps/>
      <w:noProof/>
      <w:snapToGrid w:val="0"/>
      <w:u w:val="single"/>
    </w:rPr>
  </w:style>
  <w:style w:type="paragraph" w:customStyle="1" w:styleId="pldetails">
    <w:name w:val="pldetails"/>
    <w:basedOn w:val="Normal"/>
    <w:rsid w:val="005E74F6"/>
    <w:pPr>
      <w:keepLines/>
      <w:spacing w:before="60" w:after="60"/>
      <w:jc w:val="left"/>
    </w:pPr>
    <w:rPr>
      <w:noProof/>
      <w:snapToGrid w:val="0"/>
    </w:rPr>
  </w:style>
  <w:style w:type="paragraph" w:customStyle="1" w:styleId="plheading">
    <w:name w:val="plheading"/>
    <w:basedOn w:val="Normal"/>
    <w:rsid w:val="005E74F6"/>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7A7F1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032ED6"/>
    <w:pPr>
      <w:tabs>
        <w:tab w:val="right" w:leader="dot" w:pos="9639"/>
      </w:tabs>
      <w:spacing w:line="276" w:lineRule="auto"/>
      <w:ind w:left="568" w:right="851" w:hanging="284"/>
    </w:pPr>
    <w:rPr>
      <w:rFonts w:ascii="Arial" w:hAnsi="Arial"/>
      <w:sz w:val="18"/>
      <w:lang w:val="fr-FR"/>
    </w:rPr>
  </w:style>
  <w:style w:type="character" w:styleId="Hyperlink">
    <w:name w:val="Hyperlink"/>
    <w:basedOn w:val="DefaultParagraphFont"/>
    <w:uiPriority w:val="99"/>
    <w:rsid w:val="005E74F6"/>
    <w:rPr>
      <w:rFonts w:ascii="Arial" w:hAnsi="Arial"/>
      <w:color w:val="0000FF"/>
      <w:u w:val="single"/>
    </w:rPr>
  </w:style>
  <w:style w:type="paragraph" w:styleId="TOC4">
    <w:name w:val="toc 4"/>
    <w:next w:val="Normal"/>
    <w:autoRedefine/>
    <w:semiHidden/>
    <w:rsid w:val="007A7F1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F33B37"/>
    <w:pPr>
      <w:tabs>
        <w:tab w:val="right" w:leader="dot" w:pos="9639"/>
      </w:tabs>
      <w:spacing w:before="120" w:after="120" w:line="276" w:lineRule="auto"/>
      <w:ind w:left="567"/>
      <w:jc w:val="center"/>
    </w:pPr>
    <w:rPr>
      <w:rFonts w:ascii="Arial" w:hAnsi="Arial"/>
      <w:caps/>
    </w:rPr>
  </w:style>
  <w:style w:type="paragraph" w:styleId="TOC5">
    <w:name w:val="toc 5"/>
    <w:next w:val="Normal"/>
    <w:autoRedefine/>
    <w:semiHidden/>
    <w:rsid w:val="007A7F16"/>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44455D"/>
    <w:rPr>
      <w:rFonts w:ascii="Tahoma" w:hAnsi="Tahoma" w:cs="Tahoma"/>
      <w:sz w:val="16"/>
      <w:szCs w:val="16"/>
    </w:rPr>
  </w:style>
  <w:style w:type="character" w:customStyle="1" w:styleId="BalloonTextChar">
    <w:name w:val="Balloon Text Char"/>
    <w:basedOn w:val="DefaultParagraphFont"/>
    <w:link w:val="BalloonText"/>
    <w:rsid w:val="0044455D"/>
    <w:rPr>
      <w:rFonts w:ascii="Tahoma" w:hAnsi="Tahoma" w:cs="Tahoma"/>
      <w:sz w:val="16"/>
      <w:szCs w:val="16"/>
    </w:rPr>
  </w:style>
  <w:style w:type="character" w:customStyle="1" w:styleId="Heading1Char">
    <w:name w:val="Heading 1 Char"/>
    <w:basedOn w:val="DefaultParagraphFont"/>
    <w:link w:val="Heading1"/>
    <w:rsid w:val="001036A0"/>
    <w:rPr>
      <w:rFonts w:ascii="Arial" w:hAnsi="Arial"/>
      <w:caps/>
    </w:rPr>
  </w:style>
  <w:style w:type="character" w:customStyle="1" w:styleId="Heading3Char">
    <w:name w:val="Heading 3 Char"/>
    <w:basedOn w:val="DefaultParagraphFont"/>
    <w:link w:val="Heading3"/>
    <w:rsid w:val="001036A0"/>
    <w:rPr>
      <w:rFonts w:ascii="Arial" w:hAnsi="Arial"/>
      <w:i/>
    </w:rPr>
  </w:style>
  <w:style w:type="paragraph" w:styleId="ListParagraph">
    <w:name w:val="List Paragraph"/>
    <w:basedOn w:val="Normal"/>
    <w:uiPriority w:val="34"/>
    <w:qFormat/>
    <w:rsid w:val="001036A0"/>
    <w:pPr>
      <w:spacing w:before="100" w:beforeAutospacing="1" w:after="100" w:afterAutospacing="1"/>
      <w:jc w:val="left"/>
    </w:pPr>
    <w:rPr>
      <w:rFonts w:ascii="Times New Roman" w:hAnsi="Times New Roman"/>
      <w:sz w:val="24"/>
      <w:szCs w:val="24"/>
      <w:lang w:val="fr-FR" w:eastAsia="fr-FR"/>
    </w:rPr>
  </w:style>
  <w:style w:type="paragraph" w:customStyle="1" w:styleId="Default">
    <w:name w:val="Default"/>
    <w:rsid w:val="001036A0"/>
    <w:pPr>
      <w:autoSpaceDE w:val="0"/>
      <w:autoSpaceDN w:val="0"/>
      <w:adjustRightInd w:val="0"/>
    </w:pPr>
    <w:rPr>
      <w:rFonts w:ascii="Arial" w:hAnsi="Arial" w:cs="Arial"/>
      <w:color w:val="000000"/>
      <w:sz w:val="24"/>
      <w:szCs w:val="24"/>
    </w:rPr>
  </w:style>
  <w:style w:type="character" w:customStyle="1" w:styleId="DecisionParagraphsChar">
    <w:name w:val="DecisionParagraphs Char"/>
    <w:link w:val="DecisionParagraphs"/>
    <w:rsid w:val="001036A0"/>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A3"/>
    <w:pPr>
      <w:jc w:val="both"/>
    </w:pPr>
    <w:rPr>
      <w:rFonts w:ascii="Arial" w:hAnsi="Arial"/>
    </w:rPr>
  </w:style>
  <w:style w:type="paragraph" w:styleId="Heading1">
    <w:name w:val="heading 1"/>
    <w:next w:val="Normal"/>
    <w:link w:val="Heading1Char"/>
    <w:autoRedefine/>
    <w:qFormat/>
    <w:rsid w:val="007A7F16"/>
    <w:pPr>
      <w:keepNext/>
      <w:jc w:val="both"/>
      <w:outlineLvl w:val="0"/>
    </w:pPr>
    <w:rPr>
      <w:rFonts w:ascii="Arial" w:hAnsi="Arial"/>
      <w:caps/>
    </w:rPr>
  </w:style>
  <w:style w:type="paragraph" w:styleId="Heading2">
    <w:name w:val="heading 2"/>
    <w:next w:val="Normal"/>
    <w:autoRedefine/>
    <w:qFormat/>
    <w:rsid w:val="007A7F16"/>
    <w:pPr>
      <w:keepNext/>
      <w:jc w:val="both"/>
      <w:outlineLvl w:val="1"/>
    </w:pPr>
    <w:rPr>
      <w:rFonts w:ascii="Arial" w:hAnsi="Arial"/>
      <w:u w:val="single"/>
    </w:rPr>
  </w:style>
  <w:style w:type="paragraph" w:styleId="Heading3">
    <w:name w:val="heading 3"/>
    <w:next w:val="Normal"/>
    <w:link w:val="Heading3Char"/>
    <w:autoRedefine/>
    <w:qFormat/>
    <w:rsid w:val="007A7F16"/>
    <w:pPr>
      <w:keepNext/>
      <w:jc w:val="both"/>
      <w:outlineLvl w:val="2"/>
    </w:pPr>
    <w:rPr>
      <w:rFonts w:ascii="Arial" w:hAnsi="Arial"/>
      <w:i/>
    </w:rPr>
  </w:style>
  <w:style w:type="paragraph" w:styleId="Heading4">
    <w:name w:val="heading 4"/>
    <w:next w:val="Normal"/>
    <w:autoRedefine/>
    <w:qFormat/>
    <w:rsid w:val="007A7F16"/>
    <w:pPr>
      <w:keepNext/>
      <w:ind w:left="567"/>
      <w:jc w:val="both"/>
      <w:outlineLvl w:val="3"/>
    </w:pPr>
    <w:rPr>
      <w:rFonts w:ascii="Arial" w:hAnsi="Arial"/>
      <w:u w:val="single"/>
      <w:lang w:val="fr-FR"/>
    </w:rPr>
  </w:style>
  <w:style w:type="paragraph" w:styleId="Heading5">
    <w:name w:val="heading 5"/>
    <w:next w:val="Normal"/>
    <w:autoRedefine/>
    <w:qFormat/>
    <w:rsid w:val="007A7F16"/>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5E74F6"/>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5E74F6"/>
    <w:pPr>
      <w:keepNext/>
      <w:keepLines/>
      <w:spacing w:before="180" w:after="120"/>
      <w:jc w:val="left"/>
    </w:pPr>
    <w:rPr>
      <w:caps/>
      <w:noProof/>
      <w:snapToGrid w:val="0"/>
      <w:u w:val="single"/>
    </w:rPr>
  </w:style>
  <w:style w:type="paragraph" w:customStyle="1" w:styleId="pldetails">
    <w:name w:val="pldetails"/>
    <w:basedOn w:val="Normal"/>
    <w:rsid w:val="005E74F6"/>
    <w:pPr>
      <w:keepLines/>
      <w:spacing w:before="60" w:after="60"/>
      <w:jc w:val="left"/>
    </w:pPr>
    <w:rPr>
      <w:noProof/>
      <w:snapToGrid w:val="0"/>
    </w:rPr>
  </w:style>
  <w:style w:type="paragraph" w:customStyle="1" w:styleId="plheading">
    <w:name w:val="plheading"/>
    <w:basedOn w:val="Normal"/>
    <w:rsid w:val="005E74F6"/>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7A7F1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032ED6"/>
    <w:pPr>
      <w:tabs>
        <w:tab w:val="right" w:leader="dot" w:pos="9639"/>
      </w:tabs>
      <w:spacing w:line="276" w:lineRule="auto"/>
      <w:ind w:left="568" w:right="851" w:hanging="284"/>
    </w:pPr>
    <w:rPr>
      <w:rFonts w:ascii="Arial" w:hAnsi="Arial"/>
      <w:sz w:val="18"/>
      <w:lang w:val="fr-FR"/>
    </w:rPr>
  </w:style>
  <w:style w:type="character" w:styleId="Hyperlink">
    <w:name w:val="Hyperlink"/>
    <w:basedOn w:val="DefaultParagraphFont"/>
    <w:uiPriority w:val="99"/>
    <w:rsid w:val="005E74F6"/>
    <w:rPr>
      <w:rFonts w:ascii="Arial" w:hAnsi="Arial"/>
      <w:color w:val="0000FF"/>
      <w:u w:val="single"/>
    </w:rPr>
  </w:style>
  <w:style w:type="paragraph" w:styleId="TOC4">
    <w:name w:val="toc 4"/>
    <w:next w:val="Normal"/>
    <w:autoRedefine/>
    <w:semiHidden/>
    <w:rsid w:val="007A7F1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F33B37"/>
    <w:pPr>
      <w:tabs>
        <w:tab w:val="right" w:leader="dot" w:pos="9639"/>
      </w:tabs>
      <w:spacing w:before="120" w:after="120" w:line="276" w:lineRule="auto"/>
      <w:ind w:left="567"/>
      <w:jc w:val="center"/>
    </w:pPr>
    <w:rPr>
      <w:rFonts w:ascii="Arial" w:hAnsi="Arial"/>
      <w:caps/>
    </w:rPr>
  </w:style>
  <w:style w:type="paragraph" w:styleId="TOC5">
    <w:name w:val="toc 5"/>
    <w:next w:val="Normal"/>
    <w:autoRedefine/>
    <w:semiHidden/>
    <w:rsid w:val="007A7F16"/>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44455D"/>
    <w:rPr>
      <w:rFonts w:ascii="Tahoma" w:hAnsi="Tahoma" w:cs="Tahoma"/>
      <w:sz w:val="16"/>
      <w:szCs w:val="16"/>
    </w:rPr>
  </w:style>
  <w:style w:type="character" w:customStyle="1" w:styleId="BalloonTextChar">
    <w:name w:val="Balloon Text Char"/>
    <w:basedOn w:val="DefaultParagraphFont"/>
    <w:link w:val="BalloonText"/>
    <w:rsid w:val="0044455D"/>
    <w:rPr>
      <w:rFonts w:ascii="Tahoma" w:hAnsi="Tahoma" w:cs="Tahoma"/>
      <w:sz w:val="16"/>
      <w:szCs w:val="16"/>
    </w:rPr>
  </w:style>
  <w:style w:type="character" w:customStyle="1" w:styleId="Heading1Char">
    <w:name w:val="Heading 1 Char"/>
    <w:basedOn w:val="DefaultParagraphFont"/>
    <w:link w:val="Heading1"/>
    <w:rsid w:val="001036A0"/>
    <w:rPr>
      <w:rFonts w:ascii="Arial" w:hAnsi="Arial"/>
      <w:caps/>
    </w:rPr>
  </w:style>
  <w:style w:type="character" w:customStyle="1" w:styleId="Heading3Char">
    <w:name w:val="Heading 3 Char"/>
    <w:basedOn w:val="DefaultParagraphFont"/>
    <w:link w:val="Heading3"/>
    <w:rsid w:val="001036A0"/>
    <w:rPr>
      <w:rFonts w:ascii="Arial" w:hAnsi="Arial"/>
      <w:i/>
    </w:rPr>
  </w:style>
  <w:style w:type="paragraph" w:styleId="ListParagraph">
    <w:name w:val="List Paragraph"/>
    <w:basedOn w:val="Normal"/>
    <w:uiPriority w:val="34"/>
    <w:qFormat/>
    <w:rsid w:val="001036A0"/>
    <w:pPr>
      <w:spacing w:before="100" w:beforeAutospacing="1" w:after="100" w:afterAutospacing="1"/>
      <w:jc w:val="left"/>
    </w:pPr>
    <w:rPr>
      <w:rFonts w:ascii="Times New Roman" w:hAnsi="Times New Roman"/>
      <w:sz w:val="24"/>
      <w:szCs w:val="24"/>
      <w:lang w:val="fr-FR" w:eastAsia="fr-FR"/>
    </w:rPr>
  </w:style>
  <w:style w:type="paragraph" w:customStyle="1" w:styleId="Default">
    <w:name w:val="Default"/>
    <w:rsid w:val="001036A0"/>
    <w:pPr>
      <w:autoSpaceDE w:val="0"/>
      <w:autoSpaceDN w:val="0"/>
      <w:adjustRightInd w:val="0"/>
    </w:pPr>
    <w:rPr>
      <w:rFonts w:ascii="Arial" w:hAnsi="Arial" w:cs="Arial"/>
      <w:color w:val="000000"/>
      <w:sz w:val="24"/>
      <w:szCs w:val="24"/>
    </w:rPr>
  </w:style>
  <w:style w:type="character" w:customStyle="1" w:styleId="DecisionParagraphsChar">
    <w:name w:val="DecisionParagraphs Char"/>
    <w:link w:val="DecisionParagraphs"/>
    <w:rsid w:val="001036A0"/>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ja\AppData\Local\Temp\tc_51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tc_51_DE</Template>
  <TotalTime>13</TotalTime>
  <Pages>6</Pages>
  <Words>2237</Words>
  <Characters>15692</Characters>
  <Application>Microsoft Office Word</Application>
  <DocSecurity>0</DocSecurity>
  <Lines>130</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TC/50</vt:lpstr>
      <vt:lpstr>TC/50</vt:lpstr>
    </vt:vector>
  </TitlesOfParts>
  <Company>UPOV</Company>
  <LinksUpToDate>false</LinksUpToDate>
  <CharactersWithSpaces>17894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Sonja</dc:creator>
  <cp:lastModifiedBy>LONG Victoria</cp:lastModifiedBy>
  <cp:revision>10</cp:revision>
  <cp:lastPrinted>2015-03-13T09:34:00Z</cp:lastPrinted>
  <dcterms:created xsi:type="dcterms:W3CDTF">2015-03-07T08:47:00Z</dcterms:created>
  <dcterms:modified xsi:type="dcterms:W3CDTF">2015-03-13T09:34:00Z</dcterms:modified>
</cp:coreProperties>
</file>