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bookmarkStart w:id="0" w:name="_GoBack"/>
            <w:bookmarkEnd w:id="0"/>
          </w:p>
        </w:tc>
        <w:tc>
          <w:tcPr>
            <w:tcW w:w="1549" w:type="dxa"/>
            <w:vAlign w:val="center"/>
          </w:tcPr>
          <w:p w:rsidR="000D7780" w:rsidRPr="00C5280D" w:rsidRDefault="00B324D4" w:rsidP="006655D3">
            <w:pPr>
              <w:pStyle w:val="LogoUPOV"/>
            </w:pPr>
            <w:r>
              <w:rPr>
                <w:noProof/>
                <w:lang w:val="en-US" w:eastAsia="en-US" w:bidi="ar-SA"/>
              </w:rPr>
              <w:drawing>
                <wp:inline distT="0" distB="0" distL="0" distR="0" wp14:anchorId="136A48C5" wp14:editId="6F7657E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C5280D" w:rsidRDefault="0024416D" w:rsidP="006655D3">
            <w:pPr>
              <w:pStyle w:val="Lettrine"/>
            </w:pPr>
            <w:r>
              <w:t>G</w:t>
            </w:r>
          </w:p>
          <w:p w:rsidR="000D7780" w:rsidRPr="00C5280D" w:rsidRDefault="00667404" w:rsidP="006655D3">
            <w:pPr>
              <w:pStyle w:val="Docoriginal"/>
            </w:pPr>
            <w:r>
              <w:t>TC/51/</w:t>
            </w:r>
            <w:bookmarkStart w:id="1" w:name="Code"/>
            <w:bookmarkEnd w:id="1"/>
            <w:r>
              <w:t>24</w:t>
            </w:r>
          </w:p>
          <w:p w:rsidR="000D7780" w:rsidRPr="00B46575" w:rsidRDefault="0061555F" w:rsidP="006655D3">
            <w:pPr>
              <w:pStyle w:val="Docoriginal"/>
              <w:rPr>
                <w:b w:val="0"/>
                <w:spacing w:val="0"/>
              </w:rPr>
            </w:pPr>
            <w:r>
              <w:rPr>
                <w:rStyle w:val="StyleDoclangBold"/>
                <w:b/>
                <w:spacing w:val="0"/>
              </w:rPr>
              <w:t>ORIGINAL:</w:t>
            </w:r>
            <w:r>
              <w:rPr>
                <w:rStyle w:val="StyleDocoriginalNotBold1"/>
                <w:spacing w:val="0"/>
              </w:rPr>
              <w:t xml:space="preserve">  </w:t>
            </w:r>
            <w:bookmarkStart w:id="2" w:name="Original"/>
            <w:bookmarkEnd w:id="2"/>
            <w:r>
              <w:rPr>
                <w:b w:val="0"/>
                <w:spacing w:val="0"/>
              </w:rPr>
              <w:t>englisch</w:t>
            </w:r>
          </w:p>
          <w:p w:rsidR="000D7780" w:rsidRPr="00C5280D" w:rsidRDefault="000D7780" w:rsidP="000300FD">
            <w:pPr>
              <w:pStyle w:val="Docoriginal"/>
            </w:pPr>
            <w:r>
              <w:t xml:space="preserve">DATUM: </w:t>
            </w:r>
            <w:r>
              <w:rPr>
                <w:rStyle w:val="StyleDocoriginalNotBold1"/>
                <w:spacing w:val="0"/>
              </w:rPr>
              <w:t xml:space="preserve"> </w:t>
            </w:r>
            <w:bookmarkStart w:id="3" w:name="Date"/>
            <w:bookmarkEnd w:id="3"/>
            <w:r w:rsidRPr="000300FD">
              <w:rPr>
                <w:b w:val="0"/>
                <w:spacing w:val="0"/>
              </w:rPr>
              <w:t xml:space="preserve"> </w:t>
            </w:r>
            <w:r w:rsidR="000300FD" w:rsidRPr="000300FD">
              <w:rPr>
                <w:b w:val="0"/>
                <w:spacing w:val="0"/>
              </w:rPr>
              <w:t>1</w:t>
            </w:r>
            <w:r w:rsidRPr="000300FD">
              <w:rPr>
                <w:b w:val="0"/>
                <w:spacing w:val="0"/>
              </w:rPr>
              <w:t xml:space="preserve">. </w:t>
            </w:r>
            <w:r w:rsidR="000300FD" w:rsidRPr="000300FD">
              <w:rPr>
                <w:b w:val="0"/>
                <w:spacing w:val="0"/>
              </w:rPr>
              <w:t>Februar</w:t>
            </w:r>
            <w:r w:rsidRPr="000300FD">
              <w:rPr>
                <w:b w:val="0"/>
                <w:spacing w:val="0"/>
              </w:rPr>
              <w:t xml:space="preserve"> 2015</w:t>
            </w:r>
          </w:p>
        </w:tc>
      </w:tr>
      <w:tr w:rsidR="000D7780" w:rsidRPr="00C5280D" w:rsidTr="00FA49AB">
        <w:tc>
          <w:tcPr>
            <w:tcW w:w="9534" w:type="dxa"/>
            <w:gridSpan w:val="3"/>
          </w:tcPr>
          <w:p w:rsidR="000D7780" w:rsidRPr="00C5280D" w:rsidRDefault="0024416D" w:rsidP="006655D3">
            <w:pPr>
              <w:pStyle w:val="upove"/>
              <w:rPr>
                <w:sz w:val="28"/>
              </w:rPr>
            </w:pPr>
            <w:r>
              <w:t xml:space="preserve">INTERNATIONALER VERBAND ZUM SCHUTZ VON PFLANZENZÜCHTUNGEN </w:t>
            </w:r>
          </w:p>
        </w:tc>
      </w:tr>
      <w:tr w:rsidR="000D7780" w:rsidRPr="00C5280D" w:rsidTr="00FA49AB">
        <w:tc>
          <w:tcPr>
            <w:tcW w:w="9534" w:type="dxa"/>
            <w:gridSpan w:val="3"/>
          </w:tcPr>
          <w:p w:rsidR="000D7780" w:rsidRPr="00C5280D" w:rsidRDefault="00867AC1" w:rsidP="006655D3">
            <w:pPr>
              <w:pStyle w:val="Country"/>
            </w:pPr>
            <w:r>
              <w:t>Genf</w:t>
            </w:r>
          </w:p>
        </w:tc>
      </w:tr>
    </w:tbl>
    <w:p w:rsidR="000D7780" w:rsidRPr="00C5280D" w:rsidRDefault="00AC6779" w:rsidP="006655D3">
      <w:pPr>
        <w:pStyle w:val="Sessiontc"/>
      </w:pPr>
      <w:r>
        <w:t>Technischer AusschuSS</w:t>
      </w:r>
    </w:p>
    <w:p w:rsidR="00361821" w:rsidRPr="00C5280D" w:rsidRDefault="0061555F" w:rsidP="006655D3">
      <w:pPr>
        <w:pStyle w:val="Sessiontcplacedate"/>
      </w:pPr>
      <w:r>
        <w:t>Einundfünfzigste Tagung</w:t>
      </w:r>
      <w:r>
        <w:br/>
        <w:t>Genf, 23. bis 25. März 2015</w:t>
      </w:r>
    </w:p>
    <w:p w:rsidR="000D7780" w:rsidRPr="00C5280D" w:rsidRDefault="00BA47C9" w:rsidP="006655D3">
      <w:pPr>
        <w:pStyle w:val="Titleofdoc0"/>
      </w:pPr>
      <w:bookmarkStart w:id="4" w:name="TitleOfDoc"/>
      <w:bookmarkEnd w:id="4"/>
      <w:r>
        <w:t>Überarbeitung von Dokument TGP/10:  Neuer Abschnitt:  Prüfung der Homogenität anhand von Abweichern aufgrund von mehr als einer Probe oder Unterproben</w:t>
      </w:r>
    </w:p>
    <w:p w:rsidR="00050E16" w:rsidRPr="00C5280D" w:rsidRDefault="00AE0EF1" w:rsidP="00050E16">
      <w:pPr>
        <w:pStyle w:val="preparedby1"/>
      </w:pPr>
      <w:bookmarkStart w:id="5" w:name="Prepared"/>
      <w:bookmarkEnd w:id="5"/>
      <w:r>
        <w:t>vom Verbandsbüro erstelltes Dokument</w:t>
      </w:r>
      <w:r>
        <w:br/>
      </w:r>
      <w:r>
        <w:br/>
      </w:r>
      <w:r>
        <w:rPr>
          <w:color w:val="A6A6A6" w:themeColor="background1" w:themeShade="A6"/>
        </w:rPr>
        <w:t>Haftungsausschluß:  dieses Dokument gibt nicht die Grundsätze oder eine Anleitung der UPOV wieder</w:t>
      </w:r>
    </w:p>
    <w:p w:rsidR="003F7E71" w:rsidRPr="00ED3415" w:rsidRDefault="003F7E71" w:rsidP="003F7E71">
      <w:pPr>
        <w:autoSpaceDE w:val="0"/>
        <w:autoSpaceDN w:val="0"/>
        <w:adjustRightInd w:val="0"/>
        <w:rPr>
          <w:rFonts w:eastAsia="MS Mincho"/>
          <w:color w:val="000000"/>
          <w:szCs w:val="24"/>
        </w:rPr>
      </w:pPr>
      <w:r w:rsidRPr="005D7A1E">
        <w:rPr>
          <w:szCs w:val="24"/>
        </w:rPr>
        <w:fldChar w:fldCharType="begin"/>
      </w:r>
      <w:r w:rsidRPr="005D7A1E">
        <w:rPr>
          <w:szCs w:val="24"/>
        </w:rPr>
        <w:instrText xml:space="preserve"> AUTONUM  </w:instrText>
      </w:r>
      <w:r w:rsidRPr="005D7A1E">
        <w:rPr>
          <w:szCs w:val="24"/>
        </w:rPr>
        <w:fldChar w:fldCharType="end"/>
      </w:r>
      <w:r>
        <w:tab/>
      </w:r>
      <w:r w:rsidR="00AC6779">
        <w:t>Zweck dieses Dokuments ist es, einen Vorschlag für die Überarbeitung des Dok</w:t>
      </w:r>
      <w:r w:rsidR="00AC6779">
        <w:rPr>
          <w:color w:val="000000"/>
        </w:rPr>
        <w:t>uments TGP/10 „Prüfung der Homogenität” vorzulegen, um Anleitung zur Prüfung der Homogenität anhand von Abweichern aufgrund von mehr als einer Probe oder Unterproben zu geben</w:t>
      </w:r>
      <w:r>
        <w:rPr>
          <w:color w:val="000000"/>
        </w:rPr>
        <w:t xml:space="preserve">.  </w:t>
      </w:r>
    </w:p>
    <w:p w:rsidR="003F7E71" w:rsidRDefault="003F7E71" w:rsidP="003F7E71">
      <w:pPr>
        <w:autoSpaceDE w:val="0"/>
        <w:autoSpaceDN w:val="0"/>
        <w:adjustRightInd w:val="0"/>
        <w:rPr>
          <w:rFonts w:eastAsia="MS Mincho"/>
          <w:color w:val="000000"/>
          <w:szCs w:val="24"/>
        </w:rPr>
      </w:pPr>
    </w:p>
    <w:p w:rsidR="003F7E71" w:rsidRDefault="003F7E71" w:rsidP="003F7E71">
      <w:pPr>
        <w:rPr>
          <w:rFonts w:cs="Arial"/>
          <w:color w:val="000000"/>
        </w:rPr>
      </w:pPr>
      <w:r w:rsidRPr="005623A7">
        <w:fldChar w:fldCharType="begin"/>
      </w:r>
      <w:r w:rsidRPr="005623A7">
        <w:instrText xml:space="preserve"> AUTONUM  </w:instrText>
      </w:r>
      <w:r w:rsidRPr="005623A7">
        <w:fldChar w:fldCharType="end"/>
      </w:r>
      <w:r>
        <w:tab/>
      </w:r>
      <w:r>
        <w:rPr>
          <w:color w:val="000000"/>
        </w:rPr>
        <w:t>In diesem Dokument werden folgende Abkürzungen verwendet:</w:t>
      </w:r>
    </w:p>
    <w:p w:rsidR="00A02465" w:rsidRDefault="00A02465" w:rsidP="003F7E71">
      <w:pPr>
        <w:rPr>
          <w:rFonts w:cs="Arial"/>
          <w:color w:val="000000"/>
        </w:rPr>
      </w:pPr>
    </w:p>
    <w:p w:rsidR="003F7E71" w:rsidRPr="00322838" w:rsidRDefault="003F7E71" w:rsidP="003F7E71">
      <w:pPr>
        <w:rPr>
          <w:rFonts w:cs="Arial"/>
        </w:rPr>
      </w:pPr>
      <w:r>
        <w:tab/>
        <w:t>TC:</w:t>
      </w:r>
      <w:r>
        <w:tab/>
      </w:r>
      <w:r>
        <w:tab/>
        <w:t>Technischer Ausschuß</w:t>
      </w:r>
    </w:p>
    <w:p w:rsidR="003F7E71" w:rsidRPr="00322838" w:rsidRDefault="003F7E71" w:rsidP="003F7E71">
      <w:pPr>
        <w:rPr>
          <w:rFonts w:eastAsia="PMingLiU" w:cs="Arial"/>
          <w:szCs w:val="24"/>
        </w:rPr>
      </w:pPr>
      <w:r>
        <w:tab/>
        <w:t>TC-EDC:</w:t>
      </w:r>
      <w:r>
        <w:tab/>
        <w:t>Erweiterter Redaktionsausschuß</w:t>
      </w:r>
    </w:p>
    <w:p w:rsidR="003F7E71" w:rsidRPr="00322838" w:rsidRDefault="003F7E71" w:rsidP="003F7E71">
      <w:pPr>
        <w:rPr>
          <w:rFonts w:eastAsia="PMingLiU" w:cs="Arial"/>
          <w:szCs w:val="24"/>
        </w:rPr>
      </w:pPr>
      <w:r>
        <w:tab/>
        <w:t>TWA:</w:t>
      </w:r>
      <w:r>
        <w:tab/>
      </w:r>
      <w:r>
        <w:tab/>
        <w:t>Technische Arbeitsgruppe für landwirtschaftliche Arten</w:t>
      </w:r>
    </w:p>
    <w:p w:rsidR="003F7E71" w:rsidRPr="00322838" w:rsidRDefault="003F7E71" w:rsidP="003F7E71">
      <w:pPr>
        <w:rPr>
          <w:rFonts w:eastAsia="PMingLiU" w:cs="Arial"/>
          <w:szCs w:val="24"/>
        </w:rPr>
      </w:pPr>
      <w:r>
        <w:tab/>
        <w:t>TWC:</w:t>
      </w:r>
      <w:r>
        <w:tab/>
      </w:r>
      <w:r>
        <w:tab/>
        <w:t>Technische Arbeitsgruppe für Automatisierung und Computerprogramme</w:t>
      </w:r>
    </w:p>
    <w:p w:rsidR="003F7E71" w:rsidRPr="00322838" w:rsidRDefault="003F7E71" w:rsidP="003F7E71">
      <w:pPr>
        <w:rPr>
          <w:rFonts w:eastAsia="PMingLiU" w:cs="Arial"/>
          <w:szCs w:val="24"/>
        </w:rPr>
      </w:pPr>
      <w:r>
        <w:tab/>
        <w:t xml:space="preserve">TWF: </w:t>
      </w:r>
      <w:r>
        <w:tab/>
      </w:r>
      <w:r>
        <w:tab/>
        <w:t>Technische Arbeitsgruppe für Obstarten</w:t>
      </w:r>
    </w:p>
    <w:p w:rsidR="003F7E71" w:rsidRPr="00322838" w:rsidRDefault="003F7E71" w:rsidP="003F7E71">
      <w:pPr>
        <w:rPr>
          <w:rFonts w:eastAsia="PMingLiU" w:cs="Arial"/>
          <w:szCs w:val="24"/>
        </w:rPr>
      </w:pPr>
      <w:r>
        <w:tab/>
        <w:t>TWO:</w:t>
      </w:r>
      <w:r>
        <w:tab/>
      </w:r>
      <w:r>
        <w:tab/>
        <w:t>Technische Arbeitsgruppe für Zierpflanzen und forstliche Baumarten</w:t>
      </w:r>
    </w:p>
    <w:p w:rsidR="003F7E71" w:rsidRPr="00322838" w:rsidRDefault="003F7E71" w:rsidP="003F7E71">
      <w:pPr>
        <w:rPr>
          <w:rFonts w:eastAsia="PMingLiU" w:cs="Arial"/>
          <w:szCs w:val="24"/>
        </w:rPr>
      </w:pPr>
      <w:r>
        <w:tab/>
        <w:t>TWP:</w:t>
      </w:r>
      <w:r>
        <w:tab/>
      </w:r>
      <w:r w:rsidR="00AC6779">
        <w:tab/>
      </w:r>
      <w:r>
        <w:t>Technische Arbeitsgruppen</w:t>
      </w:r>
    </w:p>
    <w:p w:rsidR="003F7E71" w:rsidRDefault="003F7E71" w:rsidP="003F7E71">
      <w:pPr>
        <w:rPr>
          <w:rFonts w:eastAsia="PMingLiU" w:cs="Arial"/>
          <w:szCs w:val="24"/>
        </w:rPr>
      </w:pPr>
      <w:r>
        <w:tab/>
        <w:t>TWV:</w:t>
      </w:r>
      <w:r>
        <w:tab/>
      </w:r>
      <w:r>
        <w:tab/>
        <w:t>Technische Arbeitsgruppe für Gemüsearten</w:t>
      </w:r>
    </w:p>
    <w:p w:rsidR="003F7E71" w:rsidRPr="00FF5F20" w:rsidRDefault="003F7E71" w:rsidP="003F7E71">
      <w:pPr>
        <w:rPr>
          <w:rFonts w:eastAsia="PMingLiU" w:cs="Arial"/>
          <w:szCs w:val="24"/>
        </w:rPr>
      </w:pPr>
    </w:p>
    <w:p w:rsidR="000C2545" w:rsidRDefault="003F7E71" w:rsidP="000C2545">
      <w:pPr>
        <w:autoSpaceDE w:val="0"/>
        <w:autoSpaceDN w:val="0"/>
        <w:adjustRightInd w:val="0"/>
        <w:spacing w:before="120"/>
        <w:rPr>
          <w:color w:val="000000"/>
        </w:rPr>
      </w:pPr>
      <w:r w:rsidRPr="005623A7">
        <w:fldChar w:fldCharType="begin"/>
      </w:r>
      <w:r w:rsidRPr="005623A7">
        <w:instrText xml:space="preserve"> AUTONUM  </w:instrText>
      </w:r>
      <w:r w:rsidRPr="005623A7">
        <w:fldChar w:fldCharType="end"/>
      </w:r>
      <w:r>
        <w:tab/>
      </w:r>
      <w:r>
        <w:rPr>
          <w:color w:val="000000"/>
        </w:rPr>
        <w:t>Der Aufbau dieses Dokuments ist wie folgt:</w:t>
      </w:r>
    </w:p>
    <w:p w:rsidR="000C2545" w:rsidRDefault="000C2545" w:rsidP="000C2545">
      <w:pPr>
        <w:autoSpaceDE w:val="0"/>
        <w:autoSpaceDN w:val="0"/>
        <w:adjustRightInd w:val="0"/>
        <w:spacing w:before="120"/>
        <w:rPr>
          <w:noProof/>
        </w:rPr>
      </w:pPr>
      <w:r>
        <w:rPr>
          <w:noProof/>
          <w:snapToGrid w:val="0"/>
        </w:rPr>
        <w:fldChar w:fldCharType="begin"/>
      </w:r>
      <w:r w:rsidR="003F7E71">
        <w:rPr>
          <w:snapToGrid w:val="0"/>
        </w:rPr>
        <w:instrText xml:space="preserve"> TOC \o "1-3" \h \z \u </w:instrText>
      </w:r>
      <w:r>
        <w:rPr>
          <w:noProof/>
          <w:snapToGrid w:val="0"/>
        </w:rPr>
        <w:fldChar w:fldCharType="separate"/>
      </w:r>
    </w:p>
    <w:p w:rsidR="000C2545" w:rsidRDefault="00A425B2">
      <w:pPr>
        <w:pStyle w:val="TOC1"/>
        <w:rPr>
          <w:rFonts w:asciiTheme="minorHAnsi" w:eastAsiaTheme="minorEastAsia" w:hAnsiTheme="minorHAnsi" w:cstheme="minorBidi"/>
          <w:caps w:val="0"/>
          <w:noProof/>
          <w:sz w:val="22"/>
          <w:szCs w:val="22"/>
          <w:lang w:bidi="ar-SA"/>
        </w:rPr>
      </w:pPr>
      <w:hyperlink w:anchor="_Toc411166963" w:history="1">
        <w:r w:rsidR="000C2545" w:rsidRPr="003D62E4">
          <w:rPr>
            <w:rStyle w:val="Hyperlink"/>
            <w:noProof/>
          </w:rPr>
          <w:t>HINTERGRUND</w:t>
        </w:r>
        <w:r w:rsidR="000C2545">
          <w:rPr>
            <w:noProof/>
            <w:webHidden/>
          </w:rPr>
          <w:tab/>
        </w:r>
        <w:r w:rsidR="000C2545">
          <w:rPr>
            <w:noProof/>
            <w:webHidden/>
          </w:rPr>
          <w:fldChar w:fldCharType="begin"/>
        </w:r>
        <w:r w:rsidR="000C2545">
          <w:rPr>
            <w:noProof/>
            <w:webHidden/>
          </w:rPr>
          <w:instrText xml:space="preserve"> PAGEREF _Toc411166963 \h </w:instrText>
        </w:r>
        <w:r w:rsidR="000C2545">
          <w:rPr>
            <w:noProof/>
            <w:webHidden/>
          </w:rPr>
        </w:r>
        <w:r w:rsidR="000C2545">
          <w:rPr>
            <w:noProof/>
            <w:webHidden/>
          </w:rPr>
          <w:fldChar w:fldCharType="separate"/>
        </w:r>
        <w:r>
          <w:rPr>
            <w:noProof/>
            <w:webHidden/>
          </w:rPr>
          <w:t>2</w:t>
        </w:r>
        <w:r w:rsidR="000C2545">
          <w:rPr>
            <w:noProof/>
            <w:webHidden/>
          </w:rPr>
          <w:fldChar w:fldCharType="end"/>
        </w:r>
      </w:hyperlink>
    </w:p>
    <w:p w:rsidR="000C2545" w:rsidRDefault="00A425B2">
      <w:pPr>
        <w:pStyle w:val="TOC1"/>
        <w:rPr>
          <w:rFonts w:asciiTheme="minorHAnsi" w:eastAsiaTheme="minorEastAsia" w:hAnsiTheme="minorHAnsi" w:cstheme="minorBidi"/>
          <w:caps w:val="0"/>
          <w:noProof/>
          <w:sz w:val="22"/>
          <w:szCs w:val="22"/>
          <w:lang w:bidi="ar-SA"/>
        </w:rPr>
      </w:pPr>
      <w:hyperlink w:anchor="_Toc411166964" w:history="1">
        <w:r w:rsidR="000C2545" w:rsidRPr="003D62E4">
          <w:rPr>
            <w:rStyle w:val="Hyperlink"/>
            <w:noProof/>
          </w:rPr>
          <w:t>ENTWICKLUNGEN IM JAHR 2014</w:t>
        </w:r>
        <w:r w:rsidR="000C2545">
          <w:rPr>
            <w:noProof/>
            <w:webHidden/>
          </w:rPr>
          <w:tab/>
        </w:r>
        <w:r w:rsidR="000C2545">
          <w:rPr>
            <w:noProof/>
            <w:webHidden/>
          </w:rPr>
          <w:fldChar w:fldCharType="begin"/>
        </w:r>
        <w:r w:rsidR="000C2545">
          <w:rPr>
            <w:noProof/>
            <w:webHidden/>
          </w:rPr>
          <w:instrText xml:space="preserve"> PAGEREF _Toc411166964 \h </w:instrText>
        </w:r>
        <w:r w:rsidR="000C2545">
          <w:rPr>
            <w:noProof/>
            <w:webHidden/>
          </w:rPr>
        </w:r>
        <w:r w:rsidR="000C2545">
          <w:rPr>
            <w:noProof/>
            <w:webHidden/>
          </w:rPr>
          <w:fldChar w:fldCharType="separate"/>
        </w:r>
        <w:r>
          <w:rPr>
            <w:noProof/>
            <w:webHidden/>
          </w:rPr>
          <w:t>2</w:t>
        </w:r>
        <w:r w:rsidR="000C2545">
          <w:rPr>
            <w:noProof/>
            <w:webHidden/>
          </w:rPr>
          <w:fldChar w:fldCharType="end"/>
        </w:r>
      </w:hyperlink>
    </w:p>
    <w:p w:rsidR="000C2545" w:rsidRDefault="00A425B2">
      <w:pPr>
        <w:pStyle w:val="TOC2"/>
        <w:rPr>
          <w:rFonts w:asciiTheme="minorHAnsi" w:eastAsiaTheme="minorEastAsia" w:hAnsiTheme="minorHAnsi" w:cstheme="minorBidi"/>
          <w:smallCaps w:val="0"/>
          <w:noProof/>
          <w:sz w:val="22"/>
          <w:szCs w:val="22"/>
          <w:lang w:bidi="ar-SA"/>
        </w:rPr>
      </w:pPr>
      <w:hyperlink w:anchor="_Toc411166965" w:history="1">
        <w:r w:rsidR="000C2545" w:rsidRPr="003D62E4">
          <w:rPr>
            <w:rStyle w:val="Hyperlink"/>
            <w:noProof/>
          </w:rPr>
          <w:t>Technischer Aussc</w:t>
        </w:r>
        <w:r w:rsidR="00014EBA">
          <w:rPr>
            <w:rStyle w:val="Hyperlink"/>
            <w:noProof/>
          </w:rPr>
          <w:t>huss</w:t>
        </w:r>
        <w:r w:rsidR="000C2545">
          <w:rPr>
            <w:noProof/>
            <w:webHidden/>
          </w:rPr>
          <w:tab/>
        </w:r>
        <w:r w:rsidR="000C2545">
          <w:rPr>
            <w:noProof/>
            <w:webHidden/>
          </w:rPr>
          <w:fldChar w:fldCharType="begin"/>
        </w:r>
        <w:r w:rsidR="000C2545">
          <w:rPr>
            <w:noProof/>
            <w:webHidden/>
          </w:rPr>
          <w:instrText xml:space="preserve"> PAGEREF _Toc411166965 \h </w:instrText>
        </w:r>
        <w:r w:rsidR="000C2545">
          <w:rPr>
            <w:noProof/>
            <w:webHidden/>
          </w:rPr>
        </w:r>
        <w:r w:rsidR="000C2545">
          <w:rPr>
            <w:noProof/>
            <w:webHidden/>
          </w:rPr>
          <w:fldChar w:fldCharType="separate"/>
        </w:r>
        <w:r>
          <w:rPr>
            <w:noProof/>
            <w:webHidden/>
          </w:rPr>
          <w:t>2</w:t>
        </w:r>
        <w:r w:rsidR="000C2545">
          <w:rPr>
            <w:noProof/>
            <w:webHidden/>
          </w:rPr>
          <w:fldChar w:fldCharType="end"/>
        </w:r>
      </w:hyperlink>
    </w:p>
    <w:p w:rsidR="000C2545" w:rsidRDefault="00A425B2">
      <w:pPr>
        <w:pStyle w:val="TOC2"/>
        <w:rPr>
          <w:rFonts w:asciiTheme="minorHAnsi" w:eastAsiaTheme="minorEastAsia" w:hAnsiTheme="minorHAnsi" w:cstheme="minorBidi"/>
          <w:smallCaps w:val="0"/>
          <w:noProof/>
          <w:sz w:val="22"/>
          <w:szCs w:val="22"/>
          <w:lang w:bidi="ar-SA"/>
        </w:rPr>
      </w:pPr>
      <w:hyperlink w:anchor="_Toc411166966" w:history="1">
        <w:r w:rsidR="000C2545" w:rsidRPr="003D62E4">
          <w:rPr>
            <w:rStyle w:val="Hyperlink"/>
            <w:noProof/>
          </w:rPr>
          <w:t>Technische Arbeitsgruppen</w:t>
        </w:r>
        <w:r w:rsidR="000C2545">
          <w:rPr>
            <w:noProof/>
            <w:webHidden/>
          </w:rPr>
          <w:tab/>
        </w:r>
        <w:r w:rsidR="000C2545">
          <w:rPr>
            <w:noProof/>
            <w:webHidden/>
          </w:rPr>
          <w:fldChar w:fldCharType="begin"/>
        </w:r>
        <w:r w:rsidR="000C2545">
          <w:rPr>
            <w:noProof/>
            <w:webHidden/>
          </w:rPr>
          <w:instrText xml:space="preserve"> PAGEREF _Toc411166966 \h </w:instrText>
        </w:r>
        <w:r w:rsidR="000C2545">
          <w:rPr>
            <w:noProof/>
            <w:webHidden/>
          </w:rPr>
        </w:r>
        <w:r w:rsidR="000C2545">
          <w:rPr>
            <w:noProof/>
            <w:webHidden/>
          </w:rPr>
          <w:fldChar w:fldCharType="separate"/>
        </w:r>
        <w:r>
          <w:rPr>
            <w:noProof/>
            <w:webHidden/>
          </w:rPr>
          <w:t>2</w:t>
        </w:r>
        <w:r w:rsidR="000C2545">
          <w:rPr>
            <w:noProof/>
            <w:webHidden/>
          </w:rPr>
          <w:fldChar w:fldCharType="end"/>
        </w:r>
      </w:hyperlink>
    </w:p>
    <w:p w:rsidR="000C2545" w:rsidRDefault="00A425B2">
      <w:pPr>
        <w:pStyle w:val="TOC3"/>
        <w:rPr>
          <w:rFonts w:asciiTheme="minorHAnsi" w:eastAsiaTheme="minorEastAsia" w:hAnsiTheme="minorHAnsi" w:cstheme="minorBidi"/>
          <w:noProof/>
          <w:sz w:val="22"/>
          <w:szCs w:val="22"/>
          <w:lang w:bidi="ar-SA"/>
        </w:rPr>
      </w:pPr>
      <w:hyperlink w:anchor="_Toc411166967" w:history="1">
        <w:r w:rsidR="000C2545" w:rsidRPr="003D62E4">
          <w:rPr>
            <w:rStyle w:val="Hyperlink"/>
            <w:noProof/>
          </w:rPr>
          <w:t>Technische Arbeitsgruppe für Zierpflanzen und forstliche Baumarten</w:t>
        </w:r>
        <w:r w:rsidR="000C2545">
          <w:rPr>
            <w:noProof/>
            <w:webHidden/>
          </w:rPr>
          <w:tab/>
        </w:r>
        <w:r w:rsidR="000C2545">
          <w:rPr>
            <w:noProof/>
            <w:webHidden/>
          </w:rPr>
          <w:fldChar w:fldCharType="begin"/>
        </w:r>
        <w:r w:rsidR="000C2545">
          <w:rPr>
            <w:noProof/>
            <w:webHidden/>
          </w:rPr>
          <w:instrText xml:space="preserve"> PAGEREF _Toc411166967 \h </w:instrText>
        </w:r>
        <w:r w:rsidR="000C2545">
          <w:rPr>
            <w:noProof/>
            <w:webHidden/>
          </w:rPr>
        </w:r>
        <w:r w:rsidR="000C2545">
          <w:rPr>
            <w:noProof/>
            <w:webHidden/>
          </w:rPr>
          <w:fldChar w:fldCharType="separate"/>
        </w:r>
        <w:r>
          <w:rPr>
            <w:noProof/>
            <w:webHidden/>
          </w:rPr>
          <w:t>2</w:t>
        </w:r>
        <w:r w:rsidR="000C2545">
          <w:rPr>
            <w:noProof/>
            <w:webHidden/>
          </w:rPr>
          <w:fldChar w:fldCharType="end"/>
        </w:r>
      </w:hyperlink>
    </w:p>
    <w:p w:rsidR="000C2545" w:rsidRDefault="00A425B2">
      <w:pPr>
        <w:pStyle w:val="TOC3"/>
        <w:rPr>
          <w:rFonts w:asciiTheme="minorHAnsi" w:eastAsiaTheme="minorEastAsia" w:hAnsiTheme="minorHAnsi" w:cstheme="minorBidi"/>
          <w:noProof/>
          <w:sz w:val="22"/>
          <w:szCs w:val="22"/>
          <w:lang w:bidi="ar-SA"/>
        </w:rPr>
      </w:pPr>
      <w:hyperlink w:anchor="_Toc411166968" w:history="1">
        <w:r w:rsidR="000C2545" w:rsidRPr="003D62E4">
          <w:rPr>
            <w:rStyle w:val="Hyperlink"/>
            <w:noProof/>
          </w:rPr>
          <w:t>Technische Arbeitsgruppe für Obstarten</w:t>
        </w:r>
        <w:r w:rsidR="000C2545">
          <w:rPr>
            <w:noProof/>
            <w:webHidden/>
          </w:rPr>
          <w:tab/>
        </w:r>
        <w:r w:rsidR="000C2545">
          <w:rPr>
            <w:noProof/>
            <w:webHidden/>
          </w:rPr>
          <w:fldChar w:fldCharType="begin"/>
        </w:r>
        <w:r w:rsidR="000C2545">
          <w:rPr>
            <w:noProof/>
            <w:webHidden/>
          </w:rPr>
          <w:instrText xml:space="preserve"> PAGEREF _Toc411166968 \h </w:instrText>
        </w:r>
        <w:r w:rsidR="000C2545">
          <w:rPr>
            <w:noProof/>
            <w:webHidden/>
          </w:rPr>
        </w:r>
        <w:r w:rsidR="000C2545">
          <w:rPr>
            <w:noProof/>
            <w:webHidden/>
          </w:rPr>
          <w:fldChar w:fldCharType="separate"/>
        </w:r>
        <w:r>
          <w:rPr>
            <w:noProof/>
            <w:webHidden/>
          </w:rPr>
          <w:t>2</w:t>
        </w:r>
        <w:r w:rsidR="000C2545">
          <w:rPr>
            <w:noProof/>
            <w:webHidden/>
          </w:rPr>
          <w:fldChar w:fldCharType="end"/>
        </w:r>
      </w:hyperlink>
    </w:p>
    <w:p w:rsidR="000C2545" w:rsidRDefault="00A425B2">
      <w:pPr>
        <w:pStyle w:val="TOC3"/>
        <w:rPr>
          <w:rFonts w:asciiTheme="minorHAnsi" w:eastAsiaTheme="minorEastAsia" w:hAnsiTheme="minorHAnsi" w:cstheme="minorBidi"/>
          <w:noProof/>
          <w:sz w:val="22"/>
          <w:szCs w:val="22"/>
          <w:lang w:bidi="ar-SA"/>
        </w:rPr>
      </w:pPr>
      <w:hyperlink w:anchor="_Toc411166969" w:history="1">
        <w:r w:rsidR="000C2545" w:rsidRPr="003D62E4">
          <w:rPr>
            <w:rStyle w:val="Hyperlink"/>
            <w:noProof/>
          </w:rPr>
          <w:t>Technische Arbeitsgruppe für Automatisierung und Computerprogramme</w:t>
        </w:r>
        <w:r w:rsidR="000C2545">
          <w:rPr>
            <w:noProof/>
            <w:webHidden/>
          </w:rPr>
          <w:tab/>
        </w:r>
        <w:r w:rsidR="000C2545">
          <w:rPr>
            <w:noProof/>
            <w:webHidden/>
          </w:rPr>
          <w:fldChar w:fldCharType="begin"/>
        </w:r>
        <w:r w:rsidR="000C2545">
          <w:rPr>
            <w:noProof/>
            <w:webHidden/>
          </w:rPr>
          <w:instrText xml:space="preserve"> PAGEREF _Toc411166969 \h </w:instrText>
        </w:r>
        <w:r w:rsidR="000C2545">
          <w:rPr>
            <w:noProof/>
            <w:webHidden/>
          </w:rPr>
        </w:r>
        <w:r w:rsidR="000C2545">
          <w:rPr>
            <w:noProof/>
            <w:webHidden/>
          </w:rPr>
          <w:fldChar w:fldCharType="separate"/>
        </w:r>
        <w:r>
          <w:rPr>
            <w:noProof/>
            <w:webHidden/>
          </w:rPr>
          <w:t>3</w:t>
        </w:r>
        <w:r w:rsidR="000C2545">
          <w:rPr>
            <w:noProof/>
            <w:webHidden/>
          </w:rPr>
          <w:fldChar w:fldCharType="end"/>
        </w:r>
      </w:hyperlink>
    </w:p>
    <w:p w:rsidR="000C2545" w:rsidRDefault="00A425B2">
      <w:pPr>
        <w:pStyle w:val="TOC3"/>
        <w:rPr>
          <w:rFonts w:asciiTheme="minorHAnsi" w:eastAsiaTheme="minorEastAsia" w:hAnsiTheme="minorHAnsi" w:cstheme="minorBidi"/>
          <w:noProof/>
          <w:sz w:val="22"/>
          <w:szCs w:val="22"/>
          <w:lang w:bidi="ar-SA"/>
        </w:rPr>
      </w:pPr>
      <w:hyperlink w:anchor="_Toc411166970" w:history="1">
        <w:r w:rsidR="000C2545" w:rsidRPr="003D62E4">
          <w:rPr>
            <w:rStyle w:val="Hyperlink"/>
            <w:noProof/>
          </w:rPr>
          <w:t>Technische Arbeitsgruppe für Gemüsearten</w:t>
        </w:r>
        <w:r w:rsidR="000C2545">
          <w:rPr>
            <w:noProof/>
            <w:webHidden/>
          </w:rPr>
          <w:tab/>
        </w:r>
        <w:r w:rsidR="000C2545">
          <w:rPr>
            <w:noProof/>
            <w:webHidden/>
          </w:rPr>
          <w:fldChar w:fldCharType="begin"/>
        </w:r>
        <w:r w:rsidR="000C2545">
          <w:rPr>
            <w:noProof/>
            <w:webHidden/>
          </w:rPr>
          <w:instrText xml:space="preserve"> PAGEREF _Toc411166970 \h </w:instrText>
        </w:r>
        <w:r w:rsidR="000C2545">
          <w:rPr>
            <w:noProof/>
            <w:webHidden/>
          </w:rPr>
        </w:r>
        <w:r w:rsidR="000C2545">
          <w:rPr>
            <w:noProof/>
            <w:webHidden/>
          </w:rPr>
          <w:fldChar w:fldCharType="separate"/>
        </w:r>
        <w:r>
          <w:rPr>
            <w:noProof/>
            <w:webHidden/>
          </w:rPr>
          <w:t>4</w:t>
        </w:r>
        <w:r w:rsidR="000C2545">
          <w:rPr>
            <w:noProof/>
            <w:webHidden/>
          </w:rPr>
          <w:fldChar w:fldCharType="end"/>
        </w:r>
      </w:hyperlink>
    </w:p>
    <w:p w:rsidR="000C2545" w:rsidRDefault="00A425B2">
      <w:pPr>
        <w:pStyle w:val="TOC3"/>
        <w:rPr>
          <w:rFonts w:asciiTheme="minorHAnsi" w:eastAsiaTheme="minorEastAsia" w:hAnsiTheme="minorHAnsi" w:cstheme="minorBidi"/>
          <w:noProof/>
          <w:sz w:val="22"/>
          <w:szCs w:val="22"/>
          <w:lang w:bidi="ar-SA"/>
        </w:rPr>
      </w:pPr>
      <w:hyperlink w:anchor="_Toc411166971" w:history="1">
        <w:r w:rsidR="000C2545" w:rsidRPr="003D62E4">
          <w:rPr>
            <w:rStyle w:val="Hyperlink"/>
            <w:noProof/>
          </w:rPr>
          <w:t>Technische Arbeitsgruppe für landwirtschaftliche Arten</w:t>
        </w:r>
        <w:r w:rsidR="000C2545">
          <w:rPr>
            <w:noProof/>
            <w:webHidden/>
          </w:rPr>
          <w:tab/>
        </w:r>
        <w:r w:rsidR="000C2545">
          <w:rPr>
            <w:noProof/>
            <w:webHidden/>
          </w:rPr>
          <w:fldChar w:fldCharType="begin"/>
        </w:r>
        <w:r w:rsidR="000C2545">
          <w:rPr>
            <w:noProof/>
            <w:webHidden/>
          </w:rPr>
          <w:instrText xml:space="preserve"> PAGEREF _Toc411166971 \h </w:instrText>
        </w:r>
        <w:r w:rsidR="000C2545">
          <w:rPr>
            <w:noProof/>
            <w:webHidden/>
          </w:rPr>
        </w:r>
        <w:r w:rsidR="000C2545">
          <w:rPr>
            <w:noProof/>
            <w:webHidden/>
          </w:rPr>
          <w:fldChar w:fldCharType="separate"/>
        </w:r>
        <w:r>
          <w:rPr>
            <w:noProof/>
            <w:webHidden/>
          </w:rPr>
          <w:t>4</w:t>
        </w:r>
        <w:r w:rsidR="000C2545">
          <w:rPr>
            <w:noProof/>
            <w:webHidden/>
          </w:rPr>
          <w:fldChar w:fldCharType="end"/>
        </w:r>
      </w:hyperlink>
    </w:p>
    <w:p w:rsidR="000C2545" w:rsidRDefault="00A425B2">
      <w:pPr>
        <w:pStyle w:val="TOC1"/>
        <w:rPr>
          <w:rFonts w:asciiTheme="minorHAnsi" w:eastAsiaTheme="minorEastAsia" w:hAnsiTheme="minorHAnsi" w:cstheme="minorBidi"/>
          <w:caps w:val="0"/>
          <w:noProof/>
          <w:sz w:val="22"/>
          <w:szCs w:val="22"/>
          <w:lang w:bidi="ar-SA"/>
        </w:rPr>
      </w:pPr>
      <w:hyperlink w:anchor="_Toc411166972" w:history="1">
        <w:r w:rsidR="000C2545" w:rsidRPr="003D62E4">
          <w:rPr>
            <w:rStyle w:val="Hyperlink"/>
            <w:noProof/>
          </w:rPr>
          <w:t>BEMERKUNGEN des Erweiterten Redaktionsausschusses auf seiner Tagung im Januar 2015</w:t>
        </w:r>
        <w:r w:rsidR="000C2545">
          <w:rPr>
            <w:noProof/>
            <w:webHidden/>
          </w:rPr>
          <w:tab/>
        </w:r>
        <w:r w:rsidR="000C2545">
          <w:rPr>
            <w:noProof/>
            <w:webHidden/>
          </w:rPr>
          <w:fldChar w:fldCharType="begin"/>
        </w:r>
        <w:r w:rsidR="000C2545">
          <w:rPr>
            <w:noProof/>
            <w:webHidden/>
          </w:rPr>
          <w:instrText xml:space="preserve"> PAGEREF _Toc411166972 \h </w:instrText>
        </w:r>
        <w:r w:rsidR="000C2545">
          <w:rPr>
            <w:noProof/>
            <w:webHidden/>
          </w:rPr>
        </w:r>
        <w:r w:rsidR="000C2545">
          <w:rPr>
            <w:noProof/>
            <w:webHidden/>
          </w:rPr>
          <w:fldChar w:fldCharType="separate"/>
        </w:r>
        <w:r>
          <w:rPr>
            <w:noProof/>
            <w:webHidden/>
          </w:rPr>
          <w:t>5</w:t>
        </w:r>
        <w:r w:rsidR="000C2545">
          <w:rPr>
            <w:noProof/>
            <w:webHidden/>
          </w:rPr>
          <w:fldChar w:fldCharType="end"/>
        </w:r>
      </w:hyperlink>
    </w:p>
    <w:p w:rsidR="000C2545" w:rsidRDefault="00A425B2">
      <w:pPr>
        <w:pStyle w:val="TOC1"/>
        <w:rPr>
          <w:rFonts w:asciiTheme="minorHAnsi" w:eastAsiaTheme="minorEastAsia" w:hAnsiTheme="minorHAnsi" w:cstheme="minorBidi"/>
          <w:caps w:val="0"/>
          <w:noProof/>
          <w:sz w:val="22"/>
          <w:szCs w:val="22"/>
          <w:lang w:bidi="ar-SA"/>
        </w:rPr>
      </w:pPr>
      <w:hyperlink w:anchor="_Toc411166973" w:history="1">
        <w:r w:rsidR="000C2545" w:rsidRPr="003D62E4">
          <w:rPr>
            <w:rStyle w:val="Hyperlink"/>
            <w:noProof/>
          </w:rPr>
          <w:t>Zusammenfassung der Ansätze</w:t>
        </w:r>
        <w:r w:rsidR="000C2545">
          <w:rPr>
            <w:noProof/>
            <w:webHidden/>
          </w:rPr>
          <w:tab/>
        </w:r>
        <w:r w:rsidR="000C2545">
          <w:rPr>
            <w:noProof/>
            <w:webHidden/>
          </w:rPr>
          <w:fldChar w:fldCharType="begin"/>
        </w:r>
        <w:r w:rsidR="000C2545">
          <w:rPr>
            <w:noProof/>
            <w:webHidden/>
          </w:rPr>
          <w:instrText xml:space="preserve"> PAGEREF _Toc411166973 \h </w:instrText>
        </w:r>
        <w:r w:rsidR="000C2545">
          <w:rPr>
            <w:noProof/>
            <w:webHidden/>
          </w:rPr>
        </w:r>
        <w:r w:rsidR="000C2545">
          <w:rPr>
            <w:noProof/>
            <w:webHidden/>
          </w:rPr>
          <w:fldChar w:fldCharType="separate"/>
        </w:r>
        <w:r>
          <w:rPr>
            <w:noProof/>
            <w:webHidden/>
          </w:rPr>
          <w:t>5</w:t>
        </w:r>
        <w:r w:rsidR="000C2545">
          <w:rPr>
            <w:noProof/>
            <w:webHidden/>
          </w:rPr>
          <w:fldChar w:fldCharType="end"/>
        </w:r>
      </w:hyperlink>
    </w:p>
    <w:p w:rsidR="0088748C" w:rsidRDefault="000C2545">
      <w:pPr>
        <w:pStyle w:val="TOC1"/>
        <w:rPr>
          <w:rFonts w:asciiTheme="minorHAnsi" w:eastAsiaTheme="minorEastAsia" w:hAnsiTheme="minorHAnsi" w:cstheme="minorBidi"/>
          <w:noProof/>
          <w:snapToGrid w:val="0"/>
          <w:sz w:val="22"/>
          <w:szCs w:val="22"/>
        </w:rPr>
      </w:pPr>
      <w:r>
        <w:rPr>
          <w:snapToGrid w:val="0"/>
        </w:rPr>
        <w:fldChar w:fldCharType="end"/>
      </w:r>
    </w:p>
    <w:p w:rsidR="003F7E71" w:rsidRDefault="003F7E71" w:rsidP="000300FD">
      <w:pPr>
        <w:keepNext/>
        <w:rPr>
          <w:rFonts w:eastAsia="MS Mincho"/>
          <w:color w:val="000000"/>
          <w:szCs w:val="24"/>
        </w:rPr>
      </w:pPr>
      <w:r>
        <w:rPr>
          <w:color w:val="000000"/>
        </w:rPr>
        <w:t xml:space="preserve">ANLAGE I: </w:t>
      </w:r>
      <w:r>
        <w:tab/>
      </w:r>
      <w:r>
        <w:tab/>
      </w:r>
      <w:r>
        <w:rPr>
          <w:color w:val="000000"/>
        </w:rPr>
        <w:t>Situation A: Zwei Wachstumsperioden an einem Standort</w:t>
      </w:r>
    </w:p>
    <w:p w:rsidR="003F7E71" w:rsidRDefault="003F7E71" w:rsidP="003F7E71">
      <w:pPr>
        <w:tabs>
          <w:tab w:val="left" w:pos="1701"/>
        </w:tabs>
        <w:autoSpaceDE w:val="0"/>
        <w:autoSpaceDN w:val="0"/>
        <w:adjustRightInd w:val="0"/>
        <w:rPr>
          <w:rFonts w:eastAsia="MS Mincho"/>
          <w:color w:val="000000"/>
          <w:szCs w:val="24"/>
        </w:rPr>
      </w:pPr>
      <w:r>
        <w:rPr>
          <w:color w:val="000000"/>
        </w:rPr>
        <w:t>ANLAGE II:</w:t>
      </w:r>
      <w:r>
        <w:tab/>
      </w:r>
      <w:r>
        <w:rPr>
          <w:color w:val="000000"/>
        </w:rPr>
        <w:t>Situation B: Zwei Standorte im gleichen Jahr</w:t>
      </w:r>
    </w:p>
    <w:p w:rsidR="003F7E71" w:rsidRDefault="003F7E71" w:rsidP="00AC6779">
      <w:pPr>
        <w:tabs>
          <w:tab w:val="left" w:pos="1701"/>
        </w:tabs>
        <w:autoSpaceDE w:val="0"/>
        <w:autoSpaceDN w:val="0"/>
        <w:adjustRightInd w:val="0"/>
        <w:ind w:left="1701" w:hanging="1701"/>
        <w:rPr>
          <w:rFonts w:eastAsia="MS Mincho"/>
          <w:color w:val="000000"/>
          <w:szCs w:val="24"/>
        </w:rPr>
      </w:pPr>
      <w:r>
        <w:rPr>
          <w:color w:val="000000"/>
        </w:rPr>
        <w:lastRenderedPageBreak/>
        <w:t>ANLAGE III:</w:t>
      </w:r>
      <w:r>
        <w:tab/>
      </w:r>
      <w:r>
        <w:rPr>
          <w:color w:val="000000"/>
        </w:rPr>
        <w:t>Situa</w:t>
      </w:r>
      <w:r w:rsidR="000300FD">
        <w:rPr>
          <w:color w:val="000000"/>
        </w:rPr>
        <w:t>tion C: Mehr als eine Prüfung/</w:t>
      </w:r>
      <w:r>
        <w:rPr>
          <w:color w:val="000000"/>
        </w:rPr>
        <w:t>ein Versuch für ein Merkmal in der gleichen Wachstumsperiode</w:t>
      </w:r>
    </w:p>
    <w:p w:rsidR="003F7E71" w:rsidRPr="00ED3415" w:rsidRDefault="003F7E71" w:rsidP="003F7E71">
      <w:pPr>
        <w:tabs>
          <w:tab w:val="left" w:pos="1701"/>
        </w:tabs>
        <w:autoSpaceDE w:val="0"/>
        <w:autoSpaceDN w:val="0"/>
        <w:adjustRightInd w:val="0"/>
        <w:rPr>
          <w:rFonts w:eastAsia="MS Mincho"/>
          <w:color w:val="000000"/>
          <w:szCs w:val="24"/>
        </w:rPr>
      </w:pPr>
      <w:r>
        <w:rPr>
          <w:color w:val="000000"/>
        </w:rPr>
        <w:t>ANLAGE IV:</w:t>
      </w:r>
      <w:r>
        <w:tab/>
      </w:r>
      <w:r>
        <w:rPr>
          <w:color w:val="000000"/>
        </w:rPr>
        <w:t>Situation D: Prüfung v</w:t>
      </w:r>
      <w:r w:rsidR="000300FD">
        <w:rPr>
          <w:color w:val="000000"/>
        </w:rPr>
        <w:t>on Unterproben in einer Prüfung/</w:t>
      </w:r>
      <w:r>
        <w:rPr>
          <w:color w:val="000000"/>
        </w:rPr>
        <w:t xml:space="preserve">einem Versuch </w:t>
      </w:r>
    </w:p>
    <w:p w:rsidR="003F7E71" w:rsidRDefault="003F7E71" w:rsidP="00AC6779">
      <w:pPr>
        <w:ind w:left="1695" w:hanging="1695"/>
      </w:pPr>
      <w:r>
        <w:rPr>
          <w:color w:val="000000"/>
        </w:rPr>
        <w:t>ANLAGE V:</w:t>
      </w:r>
      <w:r>
        <w:tab/>
      </w:r>
      <w:r>
        <w:tab/>
        <w:t>Verwendung eines schrittweisen Ansatzes beim Vorgehen anhand von Abweichern innerhalb derselben Wachstumsperiode</w:t>
      </w:r>
    </w:p>
    <w:p w:rsidR="00AC6779" w:rsidRDefault="00AC6779" w:rsidP="003F7E71">
      <w:pPr>
        <w:pStyle w:val="Heading1"/>
      </w:pPr>
      <w:bookmarkStart w:id="6" w:name="_Toc380150989"/>
      <w:bookmarkStart w:id="7" w:name="_Toc409692720"/>
    </w:p>
    <w:p w:rsidR="003F7E71" w:rsidRPr="00D65E68" w:rsidRDefault="003F7E71" w:rsidP="003F7E71">
      <w:pPr>
        <w:pStyle w:val="Heading1"/>
        <w:rPr>
          <w:rFonts w:eastAsia="MS Mincho"/>
        </w:rPr>
      </w:pPr>
      <w:bookmarkStart w:id="8" w:name="_Toc411166963"/>
      <w:r>
        <w:t>HINTERGRUND</w:t>
      </w:r>
      <w:bookmarkEnd w:id="6"/>
      <w:bookmarkEnd w:id="7"/>
      <w:bookmarkEnd w:id="8"/>
    </w:p>
    <w:p w:rsidR="003F7E71" w:rsidRPr="00D65E68" w:rsidRDefault="003F7E71" w:rsidP="003F7E71">
      <w:pPr>
        <w:rPr>
          <w:rFonts w:eastAsia="MS Mincho"/>
        </w:rPr>
      </w:pPr>
    </w:p>
    <w:p w:rsidR="00AC6779" w:rsidRDefault="003F7E71" w:rsidP="00AC6779">
      <w:r w:rsidRPr="005623A7">
        <w:fldChar w:fldCharType="begin"/>
      </w:r>
      <w:r w:rsidRPr="005623A7">
        <w:instrText xml:space="preserve"> AUTONUM  </w:instrText>
      </w:r>
      <w:r w:rsidRPr="005623A7">
        <w:fldChar w:fldCharType="end"/>
      </w:r>
      <w:r>
        <w:tab/>
      </w:r>
      <w:bookmarkStart w:id="9" w:name="_Toc380151005"/>
      <w:r w:rsidR="00AC6779">
        <w:t>Den Hintergrund zu diesem Thema liefern die Dokumente TC/48/14 „Prüfung der Homogenität anhand von Abweichern aufgrund von mehr als einer Probe oder Unterprobe“ und TC/50/12 „Prüfung der Homogenität anhand von Abweichern aufgrund von mehr als einer Probe oder Unterproben“.</w:t>
      </w:r>
    </w:p>
    <w:p w:rsidR="00AC6779" w:rsidRDefault="00AC6779" w:rsidP="00AC6779"/>
    <w:p w:rsidR="00AC6779" w:rsidRDefault="00AC6779" w:rsidP="00AC6779">
      <w:pPr>
        <w:pStyle w:val="Heading1"/>
      </w:pPr>
      <w:bookmarkStart w:id="10" w:name="_Toc380151003"/>
      <w:bookmarkStart w:id="11" w:name="_Toc409692721"/>
      <w:bookmarkStart w:id="12" w:name="_Toc410994533"/>
      <w:bookmarkStart w:id="13" w:name="_Toc411166964"/>
      <w:r>
        <w:t>ENTWICKLUNGEN IM JAHR 2014</w:t>
      </w:r>
      <w:bookmarkEnd w:id="10"/>
      <w:bookmarkEnd w:id="11"/>
      <w:bookmarkEnd w:id="12"/>
      <w:bookmarkEnd w:id="13"/>
    </w:p>
    <w:p w:rsidR="00AC6779" w:rsidRDefault="00AC6779" w:rsidP="00AC6779">
      <w:pPr>
        <w:rPr>
          <w:caps/>
        </w:rPr>
      </w:pPr>
    </w:p>
    <w:p w:rsidR="00AC6779" w:rsidRDefault="00AC6779" w:rsidP="00AC6779">
      <w:pPr>
        <w:pStyle w:val="Heading2"/>
      </w:pPr>
      <w:bookmarkStart w:id="14" w:name="_Toc409692722"/>
      <w:bookmarkStart w:id="15" w:name="_Toc410994534"/>
      <w:bookmarkStart w:id="16" w:name="_Toc411166965"/>
      <w:r>
        <w:t>Technischer Ausschuß</w:t>
      </w:r>
      <w:bookmarkEnd w:id="14"/>
      <w:bookmarkEnd w:id="15"/>
      <w:bookmarkEnd w:id="16"/>
    </w:p>
    <w:p w:rsidR="00AC6779" w:rsidRDefault="00AC6779" w:rsidP="00AC6779"/>
    <w:p w:rsidR="00AC6779" w:rsidRDefault="00AC6779" w:rsidP="00AC6779">
      <w:r>
        <w:fldChar w:fldCharType="begin"/>
      </w:r>
      <w:r>
        <w:instrText xml:space="preserve"> AUTONUM  </w:instrText>
      </w:r>
      <w:r>
        <w:fldChar w:fldCharType="end"/>
      </w:r>
      <w:r>
        <w:tab/>
        <w:t>Der TC prüfte das Dokument TC/50/12.</w:t>
      </w:r>
    </w:p>
    <w:p w:rsidR="00AC6779" w:rsidRDefault="00AC6779" w:rsidP="00AC6779"/>
    <w:p w:rsidR="00AC6779" w:rsidRPr="001142CD" w:rsidRDefault="00AC6779" w:rsidP="00AC6779">
      <w:r>
        <w:fldChar w:fldCharType="begin"/>
      </w:r>
      <w:r>
        <w:instrText xml:space="preserve"> AUTONUM  </w:instrText>
      </w:r>
      <w:r>
        <w:fldChar w:fldCharType="end"/>
      </w:r>
      <w:r>
        <w:tab/>
        <w:t>Der TC nahm zur Kenntnis, daß die TWC vorgeschlagen hatte, detailliertere Informationen und weitere Analysen zu den Folgen der Verwendung unterschiedlicher Herangehensweisen in den Situationen A, B, C und D auf ihrer Tagu</w:t>
      </w:r>
      <w:r w:rsidR="00014EBA">
        <w:t>ng im Jahr 2014, zu erteil</w:t>
      </w:r>
      <w:r>
        <w:t>en</w:t>
      </w:r>
      <w:r w:rsidR="00014EBA">
        <w:t>, wie in Dokument TC/50/12, Absatz 33 dargelegt</w:t>
      </w:r>
      <w:r>
        <w:t>. Der TC vereinbarte, daß das Dokument geändert werden sollte, um zu erläutern, daß in Situationen A und B eine Sorte unter gewissen Umständen nach einer Wachstumsperiode zurückgewiesen werden könne.</w:t>
      </w:r>
    </w:p>
    <w:p w:rsidR="00AC6779" w:rsidRDefault="00AC6779" w:rsidP="00AC6779">
      <w:pPr>
        <w:rPr>
          <w:i/>
        </w:rPr>
      </w:pPr>
    </w:p>
    <w:p w:rsidR="00AC6779" w:rsidRDefault="00AC6779" w:rsidP="00AC6779">
      <w:r>
        <w:fldChar w:fldCharType="begin"/>
      </w:r>
      <w:r>
        <w:instrText xml:space="preserve"> AUTONUM  </w:instrText>
      </w:r>
      <w:r>
        <w:fldChar w:fldCharType="end"/>
      </w:r>
      <w:r>
        <w:tab/>
        <w:t>Der TC nahm zur Kenntnis, daß die TWC vorgeschlagen hatte, die statistische Grundlage für die akzeptable Anzahl von Abweichern in Situation D auf ihrer Tagung im Jahr 2014 weiter zu erörtern, wie in Dokument TC/50/12, Absätze 34 und 35, dargelegt.</w:t>
      </w:r>
    </w:p>
    <w:p w:rsidR="00AC6779" w:rsidRDefault="00AC6779" w:rsidP="00AC6779"/>
    <w:p w:rsidR="00AC6779" w:rsidRPr="00DD41C2" w:rsidRDefault="00AC6779" w:rsidP="00AC6779">
      <w:r>
        <w:fldChar w:fldCharType="begin"/>
      </w:r>
      <w:r>
        <w:instrText xml:space="preserve"> AUTONUM  </w:instrText>
      </w:r>
      <w:r>
        <w:fldChar w:fldCharType="end"/>
      </w:r>
      <w:r>
        <w:tab/>
        <w:t>Der TC vereinbarte, nach Prüfung der Bemerkungen der TWC in Dokument TGP/10 Anleitung für Situationen A, B, C und D zu entwickeln, wie in den Anlagen I bis IV des Dokuments TC/50/12 dargelegt.</w:t>
      </w:r>
    </w:p>
    <w:p w:rsidR="00AC6779" w:rsidRPr="003232C8" w:rsidRDefault="00AC6779" w:rsidP="00AC6779"/>
    <w:p w:rsidR="00AC6779" w:rsidRPr="003232C8" w:rsidRDefault="00AC6779" w:rsidP="00AC6779">
      <w:pPr>
        <w:rPr>
          <w:rFonts w:cs="Arial"/>
        </w:rPr>
      </w:pPr>
      <w:r>
        <w:fldChar w:fldCharType="begin"/>
      </w:r>
      <w:r>
        <w:instrText xml:space="preserve"> AUTONUM  </w:instrText>
      </w:r>
      <w:r>
        <w:fldChar w:fldCharType="end"/>
      </w:r>
      <w:r>
        <w:tab/>
        <w:t>Der TC vereinbarte, daß bei der Prüfung der etwaigen Entwicklung von Anleitung zu dem in Situation C dargelegten Ansatz, wie in Dokument TC/50/12, Anlage III, dargelegt, Dokument, TGP/10,</w:t>
      </w:r>
      <w:r w:rsidR="00014EBA">
        <w:t xml:space="preserve"> Absatz 6, geprüft werden sollte</w:t>
      </w:r>
      <w:r>
        <w:t xml:space="preserve"> (vergleiche Dokument TC/50/36 „Bericht über die Entschließungen“, Absätze 123 bis 127).</w:t>
      </w:r>
    </w:p>
    <w:p w:rsidR="00AC6779" w:rsidRDefault="00AC6779" w:rsidP="00AC6779"/>
    <w:p w:rsidR="00AC6779" w:rsidRPr="0060271F" w:rsidRDefault="00AC6779" w:rsidP="00AC6779">
      <w:pPr>
        <w:pStyle w:val="Heading2"/>
      </w:pPr>
      <w:bookmarkStart w:id="17" w:name="_Toc409692723"/>
      <w:bookmarkStart w:id="18" w:name="_Toc410994535"/>
      <w:bookmarkStart w:id="19" w:name="_Toc411166966"/>
      <w:r>
        <w:t>Technische Arbeitsgruppen</w:t>
      </w:r>
      <w:bookmarkEnd w:id="17"/>
      <w:bookmarkEnd w:id="18"/>
      <w:bookmarkEnd w:id="19"/>
    </w:p>
    <w:p w:rsidR="00AC6779" w:rsidRDefault="00AC6779" w:rsidP="00AC6779"/>
    <w:p w:rsidR="00AC6779" w:rsidRDefault="00AC6779" w:rsidP="00AC6779">
      <w:pPr>
        <w:pStyle w:val="Heading3"/>
      </w:pPr>
      <w:bookmarkStart w:id="20" w:name="_Toc409692724"/>
      <w:bookmarkStart w:id="21" w:name="_Toc410994536"/>
      <w:bookmarkStart w:id="22" w:name="_Toc411166967"/>
      <w:r>
        <w:t>Technische Arbeitsgruppe für Zierpflanzen und forstliche Baumarten</w:t>
      </w:r>
      <w:bookmarkEnd w:id="20"/>
      <w:bookmarkEnd w:id="21"/>
      <w:bookmarkEnd w:id="22"/>
      <w:r>
        <w:t xml:space="preserve"> </w:t>
      </w:r>
    </w:p>
    <w:p w:rsidR="00AC6779" w:rsidRDefault="00AC6779" w:rsidP="00AC6779">
      <w:pPr>
        <w:rPr>
          <w:rFonts w:eastAsia="MS Mincho"/>
        </w:rPr>
      </w:pPr>
    </w:p>
    <w:p w:rsidR="00AC6779" w:rsidRDefault="00AC6779" w:rsidP="00AC6779">
      <w:r w:rsidRPr="005E5CEE">
        <w:fldChar w:fldCharType="begin"/>
      </w:r>
      <w:r w:rsidRPr="005E5CEE">
        <w:instrText xml:space="preserve"> AUTONUM  </w:instrText>
      </w:r>
      <w:r w:rsidRPr="005E5CEE">
        <w:fldChar w:fldCharType="end"/>
      </w:r>
      <w:r>
        <w:tab/>
        <w:t xml:space="preserve">Die TWO prüfte das Dokument TWO/47/9 und die in den Anlagen I bis IV beschriebenen Situationen als Grundlage für die Ausarbeitung von Anleitung in Dokument TGP/10. </w:t>
      </w:r>
    </w:p>
    <w:p w:rsidR="00AC6779" w:rsidRDefault="00AC6779" w:rsidP="00AC6779"/>
    <w:p w:rsidR="00AC6779" w:rsidRDefault="00AC6779" w:rsidP="00AC6779">
      <w:r w:rsidRPr="005E5CEE">
        <w:fldChar w:fldCharType="begin"/>
      </w:r>
      <w:r w:rsidRPr="005E5CEE">
        <w:instrText xml:space="preserve"> AUTONUM  </w:instrText>
      </w:r>
      <w:r w:rsidRPr="005E5CEE">
        <w:fldChar w:fldCharType="end"/>
      </w:r>
      <w:r>
        <w:tab/>
        <w:t>Die TWO war sich darin einig, daß Klärung zur Entscheidung, die in Situation B, Alternative a) „der Anbauversuch wird an beiden Standorten für ein zweites Jahr wiederholt“, im Fall, daß eine Sorte an einem Standort oder in einem Jahr innerhalb des Homogenitätsstandards liegt, aber am anderen Standort oder im anderen Jahr nicht innerhalb des Homogenitätsstandards liegt, zu treffen ist, erteilt werden sollte (vergleiche Dokument TWO/47/28 „</w:t>
      </w:r>
      <w:r w:rsidRPr="00014EBA">
        <w:rPr>
          <w:i/>
        </w:rPr>
        <w:t>Report</w:t>
      </w:r>
      <w:r>
        <w:t>”, Absätze 61 und 62).</w:t>
      </w:r>
    </w:p>
    <w:p w:rsidR="00AC6779" w:rsidRPr="00D549E4" w:rsidRDefault="00AC6779" w:rsidP="00AC6779">
      <w:pPr>
        <w:rPr>
          <w:rFonts w:eastAsia="MS Mincho"/>
        </w:rPr>
      </w:pPr>
    </w:p>
    <w:p w:rsidR="00AC6779" w:rsidRDefault="00AC6779" w:rsidP="00AC6779">
      <w:pPr>
        <w:pStyle w:val="Heading3"/>
      </w:pPr>
      <w:bookmarkStart w:id="23" w:name="_Toc409692725"/>
      <w:bookmarkStart w:id="24" w:name="_Toc410994537"/>
      <w:bookmarkStart w:id="25" w:name="_Toc411166968"/>
      <w:r>
        <w:t>Technische Arbeitsgruppe für Obstarten</w:t>
      </w:r>
      <w:bookmarkEnd w:id="23"/>
      <w:bookmarkEnd w:id="24"/>
      <w:bookmarkEnd w:id="25"/>
      <w:r>
        <w:t xml:space="preserve"> </w:t>
      </w:r>
    </w:p>
    <w:p w:rsidR="00AC6779" w:rsidRDefault="00AC6779" w:rsidP="00AC6779">
      <w:pPr>
        <w:rPr>
          <w:rFonts w:eastAsia="MS Mincho"/>
        </w:rPr>
      </w:pPr>
    </w:p>
    <w:p w:rsidR="00AC6779" w:rsidRPr="00653DEB" w:rsidRDefault="00AC6779" w:rsidP="00AC6779">
      <w:r w:rsidRPr="00653DEB">
        <w:fldChar w:fldCharType="begin"/>
      </w:r>
      <w:r w:rsidRPr="00653DEB">
        <w:instrText xml:space="preserve"> AUTONUM  </w:instrText>
      </w:r>
      <w:r w:rsidRPr="00653DEB">
        <w:fldChar w:fldCharType="end"/>
      </w:r>
      <w:r>
        <w:tab/>
        <w:t>Die TWF prüfte das Dokument TWF/45/9 und die in den Anlagen I bis IV beschriebenen Situationen als eine Grundlage für die Ausarbeitung von Anleitung in Dokument TGP/10.</w:t>
      </w:r>
    </w:p>
    <w:p w:rsidR="00AC6779" w:rsidRPr="00653DEB" w:rsidRDefault="00AC6779" w:rsidP="00AC6779"/>
    <w:p w:rsidR="00AC6779" w:rsidRPr="00653DEB" w:rsidRDefault="00AC6779" w:rsidP="00AC6779">
      <w:r w:rsidRPr="00653DEB">
        <w:fldChar w:fldCharType="begin"/>
      </w:r>
      <w:r w:rsidRPr="00653DEB">
        <w:instrText xml:space="preserve"> AUTONUM  </w:instrText>
      </w:r>
      <w:r w:rsidRPr="00653DEB">
        <w:fldChar w:fldCharType="end"/>
      </w:r>
      <w:r>
        <w:tab/>
        <w:t>Die TWF stimmte der Bemerkung der TWO auf ihrer siebenundvierzigsten Tagung zu, daß Klärung zur Entscheidung, die in Situation B, Alternative a) „der Anbauversuch wird an beiden Standorten für ein zweites Jahr wiederholt“, im Fall, daß eine Sorte an einem Standort oder in einem Jahr innerhalb des Homogenitätsstandards liegt, aber am anderen Standort oder im anderen Jahr nicht innerhalb des Homogenitätsstandards liegt, zu treffen ist, erteilt werden sollte.</w:t>
      </w:r>
    </w:p>
    <w:p w:rsidR="00AC6779" w:rsidRPr="00653DEB" w:rsidRDefault="00AC6779" w:rsidP="00AC6779"/>
    <w:p w:rsidR="00AC6779" w:rsidRPr="00653DEB" w:rsidRDefault="00AC6779" w:rsidP="00AC6779">
      <w:r w:rsidRPr="00653DEB">
        <w:fldChar w:fldCharType="begin"/>
      </w:r>
      <w:r w:rsidRPr="00653DEB">
        <w:instrText xml:space="preserve"> AUTONUM  </w:instrText>
      </w:r>
      <w:r w:rsidRPr="00653DEB">
        <w:fldChar w:fldCharType="end"/>
      </w:r>
      <w:r>
        <w:tab/>
        <w:t>Die TWF war sich darin einig, daß die Ansätze nicht maßgeblich für den Obstsektor seien, da</w:t>
      </w:r>
      <w:r w:rsidR="00D86F28">
        <w:t> </w:t>
      </w:r>
      <w:r>
        <w:t>vegetativ vermehrte Sorten anscheinend nicht im An</w:t>
      </w:r>
      <w:r w:rsidR="000F460B">
        <w:t>wendungsbereich des Dokuments lie</w:t>
      </w:r>
      <w:r>
        <w:t>gen (vergleiche Dokument TWF/45/32 „</w:t>
      </w:r>
      <w:r w:rsidRPr="00014EBA">
        <w:rPr>
          <w:i/>
        </w:rPr>
        <w:t>Report</w:t>
      </w:r>
      <w:r>
        <w:t>”, Absätze 66 bis 68).</w:t>
      </w:r>
    </w:p>
    <w:p w:rsidR="00AC6779" w:rsidRPr="00D549E4" w:rsidRDefault="00AC6779" w:rsidP="00AC6779">
      <w:pPr>
        <w:rPr>
          <w:rFonts w:eastAsia="MS Mincho"/>
        </w:rPr>
      </w:pPr>
    </w:p>
    <w:p w:rsidR="00AC6779" w:rsidRPr="00ED3415" w:rsidRDefault="00AC6779" w:rsidP="00AC6779">
      <w:pPr>
        <w:pStyle w:val="Heading3"/>
      </w:pPr>
      <w:bookmarkStart w:id="26" w:name="_Toc409692726"/>
      <w:bookmarkStart w:id="27" w:name="_Toc410994538"/>
      <w:bookmarkStart w:id="28" w:name="_Toc411166969"/>
      <w:r>
        <w:t>Technische Arbeitsgruppe für Automatisierung und Computerprogramme</w:t>
      </w:r>
      <w:bookmarkEnd w:id="26"/>
      <w:bookmarkEnd w:id="27"/>
      <w:bookmarkEnd w:id="28"/>
      <w:r>
        <w:t xml:space="preserve"> </w:t>
      </w:r>
    </w:p>
    <w:p w:rsidR="00AC6779" w:rsidRDefault="00AC6779" w:rsidP="00AC6779"/>
    <w:p w:rsidR="00AC6779" w:rsidRPr="00BD5B6E" w:rsidRDefault="00AC6779" w:rsidP="00AC6779">
      <w:r w:rsidRPr="00BD5B6E">
        <w:fldChar w:fldCharType="begin"/>
      </w:r>
      <w:r w:rsidRPr="00BD5B6E">
        <w:instrText xml:space="preserve"> AUTONUM  </w:instrText>
      </w:r>
      <w:r w:rsidRPr="00BD5B6E">
        <w:fldChar w:fldCharType="end"/>
      </w:r>
      <w:r>
        <w:tab/>
        <w:t xml:space="preserve">Die TWC prüfte das Dokument TWC/32/9. </w:t>
      </w:r>
    </w:p>
    <w:p w:rsidR="00AC6779" w:rsidRPr="00BD5B6E" w:rsidRDefault="00AC6779" w:rsidP="00AC6779"/>
    <w:p w:rsidR="00AC6779" w:rsidRPr="00BD5B6E" w:rsidRDefault="00AC6779" w:rsidP="00AC6779">
      <w:r w:rsidRPr="00BD5B6E">
        <w:fldChar w:fldCharType="begin"/>
      </w:r>
      <w:r w:rsidRPr="00BD5B6E">
        <w:instrText xml:space="preserve"> AUTONUM  </w:instrText>
      </w:r>
      <w:r w:rsidRPr="00BD5B6E">
        <w:fldChar w:fldCharType="end"/>
      </w:r>
      <w:r>
        <w:tab/>
        <w:t xml:space="preserve">Die TWC vereinbarte, daß die Werte für Fehler vom Typ I und Typ II in jedes der in den Situationen A und B für die Ausarbeitung von Anleitung in Dokument TGP/10 beschriebenen Beispiele aufgenommen werden sollten. Der Fehler vom Typ I wird mit einer Entscheidung hinsichtlich der Nichthomogenität (Zurückweisung der echten Nullhypothese) </w:t>
      </w:r>
      <w:r w:rsidR="000F460B">
        <w:t>und der Fehler vom Typ II</w:t>
      </w:r>
      <w:r>
        <w:t xml:space="preserve"> mit einer Entscheidung hinsichtlich der Homogenität in Verbindung gebracht (Akzeptieren der Alternativhypothese). </w:t>
      </w:r>
    </w:p>
    <w:p w:rsidR="00AC6779" w:rsidRPr="00BD5B6E" w:rsidRDefault="00AC6779" w:rsidP="00AC6779"/>
    <w:p w:rsidR="00AC6779" w:rsidRPr="00BD5B6E" w:rsidRDefault="00AC6779" w:rsidP="00AC6779">
      <w:pPr>
        <w:rPr>
          <w:szCs w:val="24"/>
        </w:rPr>
      </w:pPr>
      <w:r w:rsidRPr="00BD5B6E">
        <w:fldChar w:fldCharType="begin"/>
      </w:r>
      <w:r w:rsidRPr="00BD5B6E">
        <w:instrText xml:space="preserve"> AUTONUM  </w:instrText>
      </w:r>
      <w:r w:rsidRPr="00BD5B6E">
        <w:fldChar w:fldCharType="end"/>
      </w:r>
      <w:r>
        <w:tab/>
        <w:t>Die TWC war sich darin einig, daß die in Dokument TGP/10 „Prüfung der Homogenität“, Abschnitt 6 „Kombination aller Erfassungen an einer Sorte” enthaltene Anleitung ausreichend für die Befassung mit Situation C „Mehr als eine Probe / Unterprobe für ein Merkmal in der gleichen Wachstumsperiode”, Anlage III des Dokuments TWC/32/9, sei. Die TWC war sich darin einig, daß das bereitgestellte Beispiel als eine Sonderprüfung betrachtet werden könnte und daß Ergebnisse der Homogenitätsprüfung unabhängig geprüft werden sollten.</w:t>
      </w:r>
    </w:p>
    <w:p w:rsidR="00AC6779" w:rsidRPr="00BD5B6E" w:rsidRDefault="00AC6779" w:rsidP="00AC6779">
      <w:pPr>
        <w:rPr>
          <w:szCs w:val="24"/>
        </w:rPr>
      </w:pPr>
    </w:p>
    <w:p w:rsidR="00AC6779" w:rsidRPr="00BD5B6E" w:rsidRDefault="00AC6779" w:rsidP="00AC6779">
      <w:pPr>
        <w:rPr>
          <w:szCs w:val="24"/>
        </w:rPr>
      </w:pPr>
      <w:r w:rsidRPr="00BD5B6E">
        <w:fldChar w:fldCharType="begin"/>
      </w:r>
      <w:r w:rsidRPr="00BD5B6E">
        <w:instrText xml:space="preserve"> AUTONUM  </w:instrText>
      </w:r>
      <w:r w:rsidRPr="00BD5B6E">
        <w:fldChar w:fldCharType="end"/>
      </w:r>
      <w:r>
        <w:tab/>
        <w:t xml:space="preserve">In Bezug auf Situation D prüfte die TWC die Verwendung eines schrittweisen Ansatzes im Verfahren anhand von Abweichern in derselben Wachstumsperiode und die statistische Grundlage für die annehmbare Anzahl von Abweichern in der Unterprobe von 20 Pflanzen, die bei einer Probengröße von 100 Pflanzen verwendet wird, wie in Anlage V von Dokument TWC/32/9 dargelegt, die von einem Sachverständigen aus Deutschland eingereicht wurde.  </w:t>
      </w:r>
    </w:p>
    <w:p w:rsidR="00AC6779" w:rsidRPr="00BD5B6E" w:rsidRDefault="00AC6779" w:rsidP="00AC6779">
      <w:pPr>
        <w:rPr>
          <w:szCs w:val="24"/>
        </w:rPr>
      </w:pPr>
    </w:p>
    <w:p w:rsidR="00AC6779" w:rsidRPr="00BD5B6E" w:rsidRDefault="00AC6779" w:rsidP="00AC6779">
      <w:pPr>
        <w:rPr>
          <w:szCs w:val="24"/>
        </w:rPr>
      </w:pPr>
      <w:r w:rsidRPr="00BD5B6E">
        <w:fldChar w:fldCharType="begin"/>
      </w:r>
      <w:r w:rsidRPr="00BD5B6E">
        <w:instrText xml:space="preserve"> AUTONUM  </w:instrText>
      </w:r>
      <w:r w:rsidRPr="00BD5B6E">
        <w:fldChar w:fldCharType="end"/>
      </w:r>
      <w:r>
        <w:tab/>
        <w:t xml:space="preserve">Die TWC war sich darin einig, daß Fehler vom Typ I und Typ II, die in der statistischen Grundlage für die annehmbare Anzahl von Abweichern in der Unterprobe von 20 Pflanzen, die bei einer Probengröße von 100 Pflanzen verwendet werden, mit jenen der gesamten Probe für das bereitgestellte Beispiel für Weizen und Gerste vergleichbar seien.  </w:t>
      </w:r>
    </w:p>
    <w:p w:rsidR="00AC6779" w:rsidRPr="00BD5B6E" w:rsidRDefault="00AC6779" w:rsidP="00AC6779">
      <w:pPr>
        <w:rPr>
          <w:szCs w:val="24"/>
        </w:rPr>
      </w:pPr>
    </w:p>
    <w:p w:rsidR="00AC6779" w:rsidRPr="00BD5B6E" w:rsidRDefault="00AC6779" w:rsidP="00AC6779">
      <w:pPr>
        <w:rPr>
          <w:rFonts w:cs="Arial"/>
        </w:rPr>
      </w:pPr>
      <w:r w:rsidRPr="00BD5B6E">
        <w:fldChar w:fldCharType="begin"/>
      </w:r>
      <w:r w:rsidRPr="00BD5B6E">
        <w:instrText xml:space="preserve"> AUTONUM  </w:instrText>
      </w:r>
      <w:r w:rsidRPr="00BD5B6E">
        <w:fldChar w:fldCharType="end"/>
      </w:r>
      <w:r>
        <w:tab/>
        <w:t>Die TWC nahm zur Kenntnis, daß der schrittweise Ansatz beim Verfahren anhand von Abweichern</w:t>
      </w:r>
      <w:r w:rsidR="00884417">
        <w:t xml:space="preserve"> Kosten senken soll, ohne die Risik</w:t>
      </w:r>
      <w:r>
        <w:t>en bei der Homogenitätsprüfung zu erhöhen. Die TWC vereinbarte, die Anleitung wie folgt vorzuschlagen (vergleiche Dokument TWC/32/28 „</w:t>
      </w:r>
      <w:r w:rsidRPr="00F40B8A">
        <w:rPr>
          <w:i/>
        </w:rPr>
        <w:t>Report</w:t>
      </w:r>
      <w:r>
        <w:t>”, Absätze 19 bis 24):</w:t>
      </w:r>
    </w:p>
    <w:p w:rsidR="00AC6779" w:rsidRPr="00BD5B6E" w:rsidRDefault="00AC6779" w:rsidP="00AC6779">
      <w:pPr>
        <w:ind w:left="567" w:right="567"/>
        <w:jc w:val="left"/>
        <w:rPr>
          <w:sz w:val="18"/>
        </w:rPr>
      </w:pPr>
    </w:p>
    <w:p w:rsidR="00AC6779" w:rsidRPr="00BD5B6E" w:rsidRDefault="00AC6779" w:rsidP="00AC6779">
      <w:pPr>
        <w:ind w:left="567" w:right="567"/>
        <w:rPr>
          <w:rFonts w:cs="Arial"/>
          <w:sz w:val="18"/>
        </w:rPr>
      </w:pPr>
    </w:p>
    <w:p w:rsidR="00AC6779" w:rsidRPr="00BD5B6E" w:rsidRDefault="00AC6779" w:rsidP="00AC6779">
      <w:pPr>
        <w:ind w:left="567" w:right="567"/>
        <w:rPr>
          <w:sz w:val="18"/>
          <w:szCs w:val="24"/>
        </w:rPr>
      </w:pPr>
      <w:r>
        <w:rPr>
          <w:sz w:val="18"/>
        </w:rPr>
        <w:t>„SITUATION D:  PRÜFUNG VON UNTERPROBEN IN EINER PRÜFUNG / EINEM VERSUCH</w:t>
      </w:r>
    </w:p>
    <w:p w:rsidR="00AC6779" w:rsidRPr="00BD5B6E" w:rsidRDefault="00AC6779" w:rsidP="00AC6779">
      <w:pPr>
        <w:ind w:left="567" w:right="567"/>
        <w:rPr>
          <w:sz w:val="18"/>
          <w:szCs w:val="24"/>
        </w:rPr>
      </w:pPr>
    </w:p>
    <w:p w:rsidR="00AC6779" w:rsidRPr="00BD5B6E" w:rsidRDefault="00AC6779" w:rsidP="00AC6779">
      <w:pPr>
        <w:ind w:left="567"/>
        <w:rPr>
          <w:b/>
          <w:sz w:val="18"/>
        </w:rPr>
      </w:pPr>
      <w:r>
        <w:rPr>
          <w:b/>
          <w:sz w:val="18"/>
        </w:rPr>
        <w:t>Ansatz:  Verwendung von Unterproben als erster Prüfungsschritt</w:t>
      </w:r>
    </w:p>
    <w:p w:rsidR="00AC6779" w:rsidRPr="00BD5B6E" w:rsidRDefault="00AC6779" w:rsidP="00AC6779">
      <w:pPr>
        <w:ind w:left="567" w:right="567"/>
        <w:rPr>
          <w:rFonts w:cs="Arial"/>
          <w:sz w:val="18"/>
        </w:rPr>
      </w:pPr>
    </w:p>
    <w:p w:rsidR="00AC6779" w:rsidRPr="00BD5B6E" w:rsidRDefault="00AC6779" w:rsidP="00AC6779">
      <w:pPr>
        <w:ind w:left="567" w:right="567"/>
        <w:rPr>
          <w:rFonts w:cs="Arial"/>
          <w:sz w:val="18"/>
        </w:rPr>
      </w:pPr>
      <w:r>
        <w:rPr>
          <w:sz w:val="18"/>
        </w:rPr>
        <w:t xml:space="preserve">Eine Sorte wird als homogen betrachtet, wenn die Anzahl der Abweicher einen festgelegten unteren Grenzwert in der Unterprobe nicht übersteigt. </w:t>
      </w:r>
    </w:p>
    <w:p w:rsidR="00AC6779" w:rsidRPr="00BD5B6E" w:rsidRDefault="00AC6779" w:rsidP="00AC6779">
      <w:pPr>
        <w:ind w:left="567" w:right="567"/>
        <w:rPr>
          <w:rFonts w:cs="Arial"/>
          <w:sz w:val="18"/>
        </w:rPr>
      </w:pPr>
    </w:p>
    <w:p w:rsidR="00AC6779" w:rsidRPr="00BD5B6E" w:rsidRDefault="00AC6779" w:rsidP="00AC6779">
      <w:pPr>
        <w:ind w:left="567" w:right="567"/>
        <w:rPr>
          <w:rFonts w:cs="Arial"/>
          <w:sz w:val="18"/>
        </w:rPr>
      </w:pPr>
      <w:r>
        <w:rPr>
          <w:sz w:val="18"/>
        </w:rPr>
        <w:t>Eine Sorte wird als nicht homogen betrachtet, wenn die Anzahl der Abweicher einen festgelegten oberen Grenzwert in der Unterprobe übersteigt.</w:t>
      </w:r>
    </w:p>
    <w:p w:rsidR="00AC6779" w:rsidRPr="00BD5B6E" w:rsidRDefault="00AC6779" w:rsidP="00AC6779">
      <w:pPr>
        <w:ind w:left="567" w:right="567"/>
        <w:rPr>
          <w:rFonts w:cs="Arial"/>
          <w:sz w:val="18"/>
        </w:rPr>
      </w:pPr>
    </w:p>
    <w:p w:rsidR="00AC6779" w:rsidRPr="00BD5B6E" w:rsidRDefault="00AC6779" w:rsidP="00AC6779">
      <w:pPr>
        <w:ind w:left="567" w:right="567"/>
        <w:rPr>
          <w:rFonts w:cs="Arial"/>
          <w:sz w:val="18"/>
        </w:rPr>
      </w:pPr>
      <w:r>
        <w:rPr>
          <w:sz w:val="18"/>
        </w:rPr>
        <w:t>Liegt die Anzahl der Abweicher zwischen den festgelegten unteren und oberen Grenzwerten, so wird die gesamte Probe geprüft. Die unteren und oberen Grenzwerte müssen unter Berücksichtigung vergleichbarer Fehler vom Typ I und Typ II in der Unterprobe und der gesamten Probe gewählt werden.</w:t>
      </w:r>
    </w:p>
    <w:p w:rsidR="00AC6779" w:rsidRPr="00BD5B6E" w:rsidRDefault="00AC6779" w:rsidP="00AC6779">
      <w:pPr>
        <w:ind w:left="567" w:right="567"/>
        <w:rPr>
          <w:rFonts w:cs="Arial"/>
          <w:sz w:val="18"/>
        </w:rPr>
      </w:pPr>
    </w:p>
    <w:p w:rsidR="00AC6779" w:rsidRPr="00BD5B6E" w:rsidRDefault="00AC6779" w:rsidP="00AC6779">
      <w:pPr>
        <w:ind w:left="567" w:right="567"/>
        <w:rPr>
          <w:rFonts w:cs="Arial"/>
          <w:sz w:val="18"/>
        </w:rPr>
      </w:pPr>
      <w:r>
        <w:rPr>
          <w:sz w:val="18"/>
        </w:rPr>
        <w:t>Beispiel:</w:t>
      </w:r>
    </w:p>
    <w:p w:rsidR="00AC6779" w:rsidRPr="00BD5B6E" w:rsidRDefault="00AC6779" w:rsidP="00AC6779">
      <w:pPr>
        <w:ind w:left="567" w:right="567"/>
        <w:rPr>
          <w:rFonts w:cs="Arial"/>
          <w:sz w:val="18"/>
        </w:rPr>
      </w:pPr>
    </w:p>
    <w:p w:rsidR="00AC6779" w:rsidRPr="00BD5B6E" w:rsidRDefault="00AC6779" w:rsidP="00AC6779">
      <w:pPr>
        <w:autoSpaceDE w:val="0"/>
        <w:autoSpaceDN w:val="0"/>
        <w:adjustRightInd w:val="0"/>
        <w:ind w:left="567" w:right="567"/>
        <w:rPr>
          <w:rFonts w:cs="Arial"/>
          <w:sz w:val="18"/>
        </w:rPr>
      </w:pPr>
      <w:r>
        <w:rPr>
          <w:sz w:val="18"/>
        </w:rPr>
        <w:t>In einer Probengröße von 100 Pflanzen beträgt die akzeptierte Anzahl an Abweichertypen 3 (ausgehend von einem Populationsstandard von 1% und einer Akzeptanzwahrscheinlichkeit von mindestens 95%).</w:t>
      </w:r>
    </w:p>
    <w:p w:rsidR="00AC6779" w:rsidRPr="00BD5B6E" w:rsidRDefault="00AC6779" w:rsidP="00AC6779">
      <w:pPr>
        <w:autoSpaceDE w:val="0"/>
        <w:autoSpaceDN w:val="0"/>
        <w:adjustRightInd w:val="0"/>
        <w:ind w:left="567" w:right="567"/>
        <w:rPr>
          <w:rFonts w:cs="Arial"/>
          <w:sz w:val="18"/>
        </w:rPr>
      </w:pPr>
    </w:p>
    <w:p w:rsidR="00AC6779" w:rsidRPr="00BD5B6E" w:rsidRDefault="00AC6779" w:rsidP="00AC6779">
      <w:pPr>
        <w:autoSpaceDE w:val="0"/>
        <w:autoSpaceDN w:val="0"/>
        <w:adjustRightInd w:val="0"/>
        <w:ind w:left="567" w:right="567"/>
        <w:rPr>
          <w:rFonts w:cs="Arial"/>
          <w:sz w:val="18"/>
        </w:rPr>
      </w:pPr>
      <w:r>
        <w:rPr>
          <w:sz w:val="18"/>
        </w:rPr>
        <w:t>In einer Unterprobe von 20 Pflanzen, die in Zusammenhang mit der oben genannten Probengröße von 100 Pflanzen verwendet wird:</w:t>
      </w:r>
    </w:p>
    <w:p w:rsidR="00AC6779" w:rsidRPr="00BD5B6E" w:rsidRDefault="00AC6779" w:rsidP="00AC6779">
      <w:pPr>
        <w:autoSpaceDE w:val="0"/>
        <w:autoSpaceDN w:val="0"/>
        <w:adjustRightInd w:val="0"/>
        <w:ind w:left="1134" w:right="567"/>
        <w:rPr>
          <w:rFonts w:cs="Arial"/>
          <w:sz w:val="18"/>
        </w:rPr>
      </w:pPr>
    </w:p>
    <w:p w:rsidR="00AC6779" w:rsidRPr="00BD5B6E" w:rsidRDefault="00AC6779" w:rsidP="00AC6779">
      <w:pPr>
        <w:ind w:left="1134" w:right="567"/>
        <w:rPr>
          <w:rFonts w:cs="Arial"/>
          <w:sz w:val="18"/>
        </w:rPr>
      </w:pPr>
      <w:r>
        <w:rPr>
          <w:sz w:val="18"/>
        </w:rPr>
        <w:t>Eine Sorte wird als homogen betrachtet, wenn die Unterprobe keine Abweicher aufweist.</w:t>
      </w:r>
    </w:p>
    <w:p w:rsidR="00AC6779" w:rsidRPr="00BD5B6E" w:rsidRDefault="00AC6779" w:rsidP="00AC6779">
      <w:pPr>
        <w:ind w:left="1134" w:right="567"/>
        <w:rPr>
          <w:rFonts w:cs="Arial"/>
          <w:sz w:val="18"/>
        </w:rPr>
      </w:pPr>
    </w:p>
    <w:p w:rsidR="00AC6779" w:rsidRPr="00BD5B6E" w:rsidRDefault="00AC6779" w:rsidP="00AC6779">
      <w:pPr>
        <w:ind w:left="1134" w:right="567"/>
        <w:rPr>
          <w:rFonts w:cs="Arial"/>
          <w:sz w:val="18"/>
        </w:rPr>
      </w:pPr>
      <w:r>
        <w:rPr>
          <w:sz w:val="18"/>
        </w:rPr>
        <w:t>Eine Sorte wird als nicht homogen betrachtet, wenn die Unterprobe mehr als 3 Abweicher aufweist.</w:t>
      </w:r>
    </w:p>
    <w:p w:rsidR="00AC6779" w:rsidRPr="00BD5B6E" w:rsidRDefault="00AC6779" w:rsidP="00AC6779">
      <w:pPr>
        <w:ind w:left="1134" w:right="567"/>
        <w:rPr>
          <w:rFonts w:cs="Arial"/>
          <w:sz w:val="18"/>
        </w:rPr>
      </w:pPr>
    </w:p>
    <w:p w:rsidR="00AC6779" w:rsidRPr="00BD5B6E" w:rsidRDefault="00AC6779" w:rsidP="00AC6779">
      <w:pPr>
        <w:ind w:left="1134" w:right="567"/>
        <w:rPr>
          <w:rFonts w:cs="Arial"/>
          <w:sz w:val="18"/>
        </w:rPr>
      </w:pPr>
      <w:r>
        <w:rPr>
          <w:sz w:val="18"/>
        </w:rPr>
        <w:t>Ist die Anzahl der Abweichertypen 1 bis 3, so wird die gesamte Probe von 100 Pflanzen geprüft.</w:t>
      </w:r>
    </w:p>
    <w:p w:rsidR="00AC6779" w:rsidRPr="00BD5B6E" w:rsidRDefault="00AC6779" w:rsidP="00AC6779">
      <w:pPr>
        <w:ind w:left="567" w:right="567"/>
        <w:rPr>
          <w:rFonts w:cs="Arial"/>
          <w:sz w:val="18"/>
        </w:rPr>
      </w:pPr>
    </w:p>
    <w:p w:rsidR="00AC6779" w:rsidRPr="00BD5B6E" w:rsidRDefault="00AC6779" w:rsidP="00AC6779">
      <w:pPr>
        <w:rPr>
          <w:rFonts w:cs="Arial"/>
          <w:b/>
          <w:sz w:val="18"/>
        </w:rPr>
      </w:pPr>
      <w:r>
        <w:rPr>
          <w:sz w:val="18"/>
        </w:rPr>
        <w:t>Anlage V von Dokument TWC/32/9 enthält eine vollständige Beschreibung der statistischen Grundlage für diesen Ansatz.“</w:t>
      </w:r>
    </w:p>
    <w:p w:rsidR="003F7E71" w:rsidRDefault="003F7E71" w:rsidP="003F7E71">
      <w:pPr>
        <w:pStyle w:val="Heading2"/>
      </w:pPr>
    </w:p>
    <w:p w:rsidR="003F7E71" w:rsidRPr="00235D1F" w:rsidRDefault="003F7E71" w:rsidP="003F7E71"/>
    <w:p w:rsidR="003F7E71" w:rsidRDefault="003F7E71" w:rsidP="003F7E71">
      <w:pPr>
        <w:pStyle w:val="Heading3"/>
      </w:pPr>
      <w:bookmarkStart w:id="29" w:name="_Toc409692727"/>
      <w:bookmarkStart w:id="30" w:name="_Toc411166970"/>
      <w:r>
        <w:lastRenderedPageBreak/>
        <w:t>Technische Arbeitsgruppe für Gemüsearten</w:t>
      </w:r>
      <w:bookmarkEnd w:id="29"/>
      <w:bookmarkEnd w:id="30"/>
      <w:r>
        <w:t xml:space="preserve"> </w:t>
      </w:r>
    </w:p>
    <w:p w:rsidR="003F7E71" w:rsidRDefault="003F7E71" w:rsidP="003F7E71"/>
    <w:p w:rsidR="00AC6779" w:rsidRPr="00142558" w:rsidRDefault="003F7E71" w:rsidP="00AC6779">
      <w:pPr>
        <w:ind w:right="-425"/>
      </w:pPr>
      <w:r w:rsidRPr="00142558">
        <w:fldChar w:fldCharType="begin"/>
      </w:r>
      <w:r w:rsidRPr="00142558">
        <w:instrText xml:space="preserve"> AUTONUM  </w:instrText>
      </w:r>
      <w:r w:rsidRPr="00142558">
        <w:fldChar w:fldCharType="end"/>
      </w:r>
      <w:r>
        <w:tab/>
      </w:r>
      <w:r w:rsidR="00AC6779">
        <w:t>Die TWV prüfte das Dokument TWV/48/9 und die in den Anlagen I bis IV beschriebenen Situationen als eine Grundlage für die Ausarbeitung von Anleitung in Dokument TGP/10.</w:t>
      </w:r>
    </w:p>
    <w:p w:rsidR="00AC6779" w:rsidRPr="00142558" w:rsidRDefault="00AC6779" w:rsidP="00AC6779"/>
    <w:p w:rsidR="00AC6779" w:rsidRPr="00142558" w:rsidRDefault="00AC6779" w:rsidP="00AC6779">
      <w:pPr>
        <w:ind w:right="-425"/>
      </w:pPr>
      <w:r w:rsidRPr="00142558">
        <w:fldChar w:fldCharType="begin"/>
      </w:r>
      <w:r w:rsidRPr="00142558">
        <w:instrText xml:space="preserve"> AUTONUM  </w:instrText>
      </w:r>
      <w:r w:rsidRPr="00142558">
        <w:fldChar w:fldCharType="end"/>
      </w:r>
      <w:r>
        <w:tab/>
        <w:t>Die TWV war sich</w:t>
      </w:r>
      <w:r w:rsidR="00014EBA">
        <w:t xml:space="preserve"> darin einig, daß es wichtig sei</w:t>
      </w:r>
      <w:r>
        <w:t>, die Homogenität in jeder unabhängigen Wa</w:t>
      </w:r>
      <w:r w:rsidR="00014EBA">
        <w:t>chstumsperiode zu prüfen und war</w:t>
      </w:r>
      <w:r>
        <w:t xml:space="preserve"> nicht für die Kombination der Ergebnisse aus 2 Wachstumsperioden (vergleiche Dokument TWV/48/43 „</w:t>
      </w:r>
      <w:r w:rsidRPr="00F40B8A">
        <w:rPr>
          <w:i/>
        </w:rPr>
        <w:t>Report</w:t>
      </w:r>
      <w:r>
        <w:t>”, Absätze 79 und 80).</w:t>
      </w:r>
    </w:p>
    <w:p w:rsidR="00AC6779" w:rsidRDefault="00AC6779" w:rsidP="00AC6779"/>
    <w:p w:rsidR="00AC6779" w:rsidRDefault="00AC6779" w:rsidP="00AC6779"/>
    <w:p w:rsidR="00AC6779" w:rsidRPr="00D549E4" w:rsidRDefault="00AC6779" w:rsidP="00AC6779">
      <w:pPr>
        <w:pStyle w:val="Heading3"/>
      </w:pPr>
      <w:bookmarkStart w:id="31" w:name="_Toc409692728"/>
      <w:bookmarkStart w:id="32" w:name="_Toc410994540"/>
      <w:bookmarkStart w:id="33" w:name="_Toc411166971"/>
      <w:r>
        <w:t>Technische Arbeitsgruppe für landwirtschaftliche Arten</w:t>
      </w:r>
      <w:bookmarkEnd w:id="31"/>
      <w:bookmarkEnd w:id="32"/>
      <w:bookmarkEnd w:id="33"/>
    </w:p>
    <w:p w:rsidR="00AC6779" w:rsidRDefault="00AC6779" w:rsidP="00AC6779"/>
    <w:p w:rsidR="00AC6779" w:rsidRPr="004E00D0" w:rsidRDefault="00AC6779" w:rsidP="00AC6779">
      <w:r w:rsidRPr="004E00D0">
        <w:fldChar w:fldCharType="begin"/>
      </w:r>
      <w:r w:rsidRPr="004E00D0">
        <w:instrText xml:space="preserve"> AUTONUM  </w:instrText>
      </w:r>
      <w:r w:rsidRPr="004E00D0">
        <w:fldChar w:fldCharType="end"/>
      </w:r>
      <w:r>
        <w:tab/>
        <w:t>Die TWA prüfte das Dokument TWA/43/9, einschließlich der Anlagen I bis IV, als eine Grundlage für die Entwicklung von Anleitung in Dokument TGP/10.</w:t>
      </w:r>
    </w:p>
    <w:p w:rsidR="00AC6779" w:rsidRPr="004E00D0" w:rsidRDefault="00AC6779" w:rsidP="00AC6779"/>
    <w:p w:rsidR="00AC6779" w:rsidRPr="004E00D0" w:rsidRDefault="00AC6779" w:rsidP="00AC6779">
      <w:r w:rsidRPr="004E00D0">
        <w:fldChar w:fldCharType="begin"/>
      </w:r>
      <w:r w:rsidRPr="004E00D0">
        <w:instrText xml:space="preserve"> AUTONUM  </w:instrText>
      </w:r>
      <w:r w:rsidRPr="004E00D0">
        <w:fldChar w:fldCharType="end"/>
      </w:r>
      <w:r>
        <w:tab/>
        <w:t>Die TWA nahm zur Kenntnis, daß die TWC darum ersucht worden war, eine Analyse der Folgen der in den Anlagen von Dokument TWA/43/9 dargelegten Herangehensweisen und insbesondere, ob Herangehensweise 2 in den Situationen A und B zweckmäßig ist, vorzulegen.</w:t>
      </w:r>
    </w:p>
    <w:p w:rsidR="00AC6779" w:rsidRPr="004E00D0" w:rsidRDefault="00AC6779" w:rsidP="00AC6779"/>
    <w:p w:rsidR="00AC6779" w:rsidRDefault="00AC6779" w:rsidP="00AC6779">
      <w:pPr>
        <w:rPr>
          <w:rFonts w:eastAsiaTheme="minorEastAsia"/>
        </w:rPr>
      </w:pPr>
      <w:r w:rsidRPr="004E00D0">
        <w:fldChar w:fldCharType="begin"/>
      </w:r>
      <w:r w:rsidRPr="004E00D0">
        <w:instrText xml:space="preserve"> AUTONUM  </w:instrText>
      </w:r>
      <w:r w:rsidRPr="004E00D0">
        <w:fldChar w:fldCharType="end"/>
      </w:r>
      <w:r>
        <w:tab/>
        <w:t>Die TWA stimmte mit der TWV darin überein, daß es wichtig sei, die Homogenität in jeder unabhängigen Wachstumsperiode zu prüfen und war nicht dafür, die Ergebnisse aus 2 Wachstumsperioden zu kombinieren.</w:t>
      </w:r>
    </w:p>
    <w:p w:rsidR="00AC6779" w:rsidRPr="004E00D0" w:rsidRDefault="00AC6779" w:rsidP="00AC6779">
      <w:pPr>
        <w:rPr>
          <w:rFonts w:eastAsiaTheme="minorEastAsia"/>
        </w:rPr>
      </w:pPr>
    </w:p>
    <w:p w:rsidR="00AC6779" w:rsidRPr="004E00D0" w:rsidRDefault="00AC6779" w:rsidP="00AC6779">
      <w:r w:rsidRPr="004E00D0">
        <w:fldChar w:fldCharType="begin"/>
      </w:r>
      <w:r w:rsidRPr="004E00D0">
        <w:instrText xml:space="preserve"> AUTONUM  </w:instrText>
      </w:r>
      <w:r w:rsidRPr="004E00D0">
        <w:fldChar w:fldCharType="end"/>
      </w:r>
      <w:r>
        <w:tab/>
        <w:t xml:space="preserve">Die TWA vereinbarte, daß Situation B ein einleitender Absatz hinzugefügt werden sollte, um zu erklären, daß Jahre nur durch Standorte der DUS-Anbauversuche ersetzt werden können, wenn bestimmte Anforderungen erfüllt sind, wie etwa, daß es keine bedeutende Interaktion zwischen Genotyp und Standort für keines der in der DUS-Prüfung verwendeten Merkmale gibt.  </w:t>
      </w:r>
    </w:p>
    <w:p w:rsidR="00AC6779" w:rsidRPr="004E00D0" w:rsidRDefault="00AC6779" w:rsidP="00AC6779"/>
    <w:p w:rsidR="00AC6779" w:rsidRPr="004E00D0" w:rsidRDefault="00AC6779" w:rsidP="00AC6779">
      <w:r w:rsidRPr="004E00D0">
        <w:fldChar w:fldCharType="begin"/>
      </w:r>
      <w:r w:rsidRPr="004E00D0">
        <w:instrText xml:space="preserve"> AUTONUM  </w:instrText>
      </w:r>
      <w:r w:rsidRPr="004E00D0">
        <w:fldChar w:fldCharType="end"/>
      </w:r>
      <w:r>
        <w:tab/>
        <w:t xml:space="preserve">Die TWA stimmte mit der TWC darin überein, daß die in Dokument TGP/10 „Prüfung der Homogenität“, Abschnitt 6, „Kombination aller Erfassungen an einer Sorte” enthaltene Anleitung ausreichend für die Befassung mit Situation C „Mehr als eine Probe oder Unterprobe für ein Merkmal in der gleichen Wachstumsperiode”, Anlage III des Dokuments TWA/43/9, sei. </w:t>
      </w:r>
    </w:p>
    <w:p w:rsidR="00AC6779" w:rsidRPr="004E00D0" w:rsidRDefault="00AC6779" w:rsidP="00AC6779"/>
    <w:p w:rsidR="00AC6779" w:rsidRPr="004E00D0" w:rsidRDefault="00AC6779" w:rsidP="00AC6779">
      <w:r w:rsidRPr="004E00D0">
        <w:fldChar w:fldCharType="begin"/>
      </w:r>
      <w:r w:rsidRPr="004E00D0">
        <w:instrText xml:space="preserve"> AUTONUM  </w:instrText>
      </w:r>
      <w:r w:rsidRPr="004E00D0">
        <w:fldChar w:fldCharType="end"/>
      </w:r>
      <w:r>
        <w:tab/>
        <w:t>Die TWA stimmte mit der TWC darin überein, daß eine Anleitung für Situation D wie folgt lauten sollte (vergleiche Dokument TWA/43/27 „</w:t>
      </w:r>
      <w:r w:rsidRPr="00CC437E">
        <w:rPr>
          <w:i/>
        </w:rPr>
        <w:t>Report</w:t>
      </w:r>
      <w:r>
        <w:t xml:space="preserve">”, Absätze 66 bis 71): </w:t>
      </w:r>
    </w:p>
    <w:p w:rsidR="00AC6779" w:rsidRPr="004E00D0" w:rsidRDefault="00AC6779" w:rsidP="00AC6779"/>
    <w:p w:rsidR="00AC6779" w:rsidRPr="004E00D0" w:rsidRDefault="00AC6779" w:rsidP="00AC6779">
      <w:pPr>
        <w:ind w:left="567" w:right="567"/>
        <w:rPr>
          <w:sz w:val="18"/>
        </w:rPr>
      </w:pPr>
      <w:r>
        <w:rPr>
          <w:sz w:val="18"/>
        </w:rPr>
        <w:t>„SITUATION D:  PRÜFUNG VON UNTERPROBEN IN EINER PRÜFUNG / EINEM VERSUCH</w:t>
      </w:r>
    </w:p>
    <w:p w:rsidR="00AC6779" w:rsidRPr="004E00D0" w:rsidRDefault="00AC6779" w:rsidP="00AC6779">
      <w:pPr>
        <w:ind w:left="567" w:right="567"/>
        <w:rPr>
          <w:sz w:val="18"/>
        </w:rPr>
      </w:pPr>
    </w:p>
    <w:p w:rsidR="00AC6779" w:rsidRPr="004E00D0" w:rsidRDefault="00AC6779" w:rsidP="00AC6779">
      <w:pPr>
        <w:ind w:left="567"/>
        <w:rPr>
          <w:b/>
          <w:sz w:val="18"/>
        </w:rPr>
      </w:pPr>
      <w:r>
        <w:rPr>
          <w:b/>
          <w:sz w:val="18"/>
        </w:rPr>
        <w:t>Herangehensweise:  Verwendung von Unterproben als erster Prüfungsschritt</w:t>
      </w:r>
    </w:p>
    <w:p w:rsidR="00AC6779" w:rsidRPr="004E00D0" w:rsidRDefault="00AC6779" w:rsidP="00AC6779">
      <w:pPr>
        <w:ind w:left="567" w:right="567"/>
        <w:rPr>
          <w:sz w:val="18"/>
        </w:rPr>
      </w:pPr>
    </w:p>
    <w:p w:rsidR="00AC6779" w:rsidRPr="004E00D0" w:rsidRDefault="00AC6779" w:rsidP="00AC6779">
      <w:pPr>
        <w:ind w:left="567" w:right="567"/>
        <w:rPr>
          <w:sz w:val="18"/>
        </w:rPr>
      </w:pPr>
      <w:r>
        <w:rPr>
          <w:sz w:val="18"/>
        </w:rPr>
        <w:t xml:space="preserve">Eine Sorte wird als homogen betrachtet, wenn die Anzahl der Abweicher einen festgelegten unteren Grenzwert in der Unterprobe nicht übersteigt. </w:t>
      </w:r>
    </w:p>
    <w:p w:rsidR="00AC6779" w:rsidRPr="004E00D0" w:rsidRDefault="00AC6779" w:rsidP="00AC6779">
      <w:pPr>
        <w:ind w:left="567" w:right="567"/>
        <w:rPr>
          <w:sz w:val="18"/>
        </w:rPr>
      </w:pPr>
    </w:p>
    <w:p w:rsidR="00AC6779" w:rsidRPr="004E00D0" w:rsidRDefault="00AC6779" w:rsidP="00AC6779">
      <w:pPr>
        <w:ind w:left="567" w:right="567"/>
        <w:rPr>
          <w:sz w:val="18"/>
        </w:rPr>
      </w:pPr>
      <w:r>
        <w:rPr>
          <w:sz w:val="18"/>
        </w:rPr>
        <w:t>Eine Sorte wird als nicht homogen betrachtet, wenn die Anzahl der Abweicher einen festgelegten oberen Grenzwert in der Unterprobe übersteigt.</w:t>
      </w:r>
    </w:p>
    <w:p w:rsidR="00AC6779" w:rsidRPr="004E00D0" w:rsidRDefault="00AC6779" w:rsidP="00AC6779">
      <w:pPr>
        <w:ind w:left="567" w:right="567"/>
        <w:rPr>
          <w:sz w:val="18"/>
        </w:rPr>
      </w:pPr>
    </w:p>
    <w:p w:rsidR="00AC6779" w:rsidRPr="004E00D0" w:rsidRDefault="00AC6779" w:rsidP="00AC6779">
      <w:pPr>
        <w:ind w:left="567" w:right="567"/>
        <w:rPr>
          <w:sz w:val="18"/>
        </w:rPr>
      </w:pPr>
      <w:r>
        <w:rPr>
          <w:sz w:val="18"/>
        </w:rPr>
        <w:t>Liegt die Anzahl der Abweicher zwischen den festgelegten unteren und oberen Grenzwerten, so wird die gesamte Probe geprüft. Die unteren und oberen Grenzwerte müssen unter Berücksichtigung vergleichbarer Fehler vom Typ I und Typ II in der Unterprobe und der gesamten Probe gewählt werden.</w:t>
      </w:r>
    </w:p>
    <w:p w:rsidR="00AC6779" w:rsidRPr="004E00D0" w:rsidRDefault="00AC6779" w:rsidP="00AC6779">
      <w:pPr>
        <w:ind w:left="567" w:right="567"/>
        <w:rPr>
          <w:sz w:val="18"/>
        </w:rPr>
      </w:pPr>
    </w:p>
    <w:p w:rsidR="00AC6779" w:rsidRPr="004E00D0" w:rsidRDefault="00AC6779" w:rsidP="00AC6779">
      <w:pPr>
        <w:ind w:left="567" w:right="567"/>
        <w:rPr>
          <w:sz w:val="18"/>
        </w:rPr>
      </w:pPr>
      <w:r>
        <w:rPr>
          <w:sz w:val="18"/>
        </w:rPr>
        <w:t>Beispiel:</w:t>
      </w:r>
    </w:p>
    <w:p w:rsidR="00AC6779" w:rsidRPr="004E00D0" w:rsidRDefault="00AC6779" w:rsidP="00AC6779">
      <w:pPr>
        <w:ind w:left="567" w:right="567"/>
        <w:rPr>
          <w:sz w:val="18"/>
        </w:rPr>
      </w:pPr>
    </w:p>
    <w:p w:rsidR="00AC6779" w:rsidRPr="004E00D0" w:rsidRDefault="00AC6779" w:rsidP="00AC6779">
      <w:pPr>
        <w:autoSpaceDE w:val="0"/>
        <w:autoSpaceDN w:val="0"/>
        <w:adjustRightInd w:val="0"/>
        <w:ind w:left="567" w:right="567"/>
        <w:rPr>
          <w:sz w:val="18"/>
        </w:rPr>
      </w:pPr>
      <w:r>
        <w:rPr>
          <w:sz w:val="18"/>
        </w:rPr>
        <w:t>In einer Probengröße von 100 Pflanzen beträgt die akzeptierte Anzahl an Abweichertypen 3 (ausgehend von einem Populationsstandard von 1% und einer Akzeptanzwahrscheinlichkeit von mindestens 95%).</w:t>
      </w:r>
    </w:p>
    <w:p w:rsidR="00AC6779" w:rsidRPr="004E00D0" w:rsidRDefault="00AC6779" w:rsidP="00AC6779">
      <w:pPr>
        <w:autoSpaceDE w:val="0"/>
        <w:autoSpaceDN w:val="0"/>
        <w:adjustRightInd w:val="0"/>
        <w:ind w:left="567" w:right="567"/>
        <w:rPr>
          <w:sz w:val="18"/>
        </w:rPr>
      </w:pPr>
    </w:p>
    <w:p w:rsidR="00AC6779" w:rsidRPr="004E00D0" w:rsidRDefault="00AC6779" w:rsidP="00AC6779">
      <w:pPr>
        <w:autoSpaceDE w:val="0"/>
        <w:autoSpaceDN w:val="0"/>
        <w:adjustRightInd w:val="0"/>
        <w:ind w:left="567" w:right="567"/>
        <w:rPr>
          <w:sz w:val="18"/>
        </w:rPr>
      </w:pPr>
      <w:r>
        <w:rPr>
          <w:sz w:val="18"/>
        </w:rPr>
        <w:t>In einer Unterprobe von 20 Pflanzen, die in Zusammenhang mit der oben genannten Probengröße von 100 Pflanzen verwendet wird:</w:t>
      </w:r>
    </w:p>
    <w:p w:rsidR="00AC6779" w:rsidRPr="004E00D0" w:rsidRDefault="00AC6779" w:rsidP="00AC6779">
      <w:pPr>
        <w:autoSpaceDE w:val="0"/>
        <w:autoSpaceDN w:val="0"/>
        <w:adjustRightInd w:val="0"/>
        <w:ind w:left="1134" w:right="567"/>
        <w:rPr>
          <w:sz w:val="18"/>
        </w:rPr>
      </w:pPr>
    </w:p>
    <w:p w:rsidR="00AC6779" w:rsidRPr="004E00D0" w:rsidRDefault="00AC6779" w:rsidP="00AC6779">
      <w:pPr>
        <w:ind w:left="1134" w:right="567"/>
        <w:rPr>
          <w:sz w:val="18"/>
        </w:rPr>
      </w:pPr>
      <w:r>
        <w:rPr>
          <w:sz w:val="18"/>
        </w:rPr>
        <w:t>Eine Sorte wird als homogen betrachtet, wenn die Unterprobe keine Abweicher aufweist.</w:t>
      </w:r>
    </w:p>
    <w:p w:rsidR="00AC6779" w:rsidRPr="004E00D0" w:rsidRDefault="00AC6779" w:rsidP="00AC6779">
      <w:pPr>
        <w:ind w:left="1134" w:right="567"/>
        <w:rPr>
          <w:sz w:val="18"/>
        </w:rPr>
      </w:pPr>
    </w:p>
    <w:p w:rsidR="00AC6779" w:rsidRPr="004E00D0" w:rsidRDefault="00AC6779" w:rsidP="00AC6779">
      <w:pPr>
        <w:ind w:left="1134" w:right="567"/>
        <w:rPr>
          <w:sz w:val="18"/>
        </w:rPr>
      </w:pPr>
      <w:r>
        <w:rPr>
          <w:sz w:val="18"/>
        </w:rPr>
        <w:t>Eine Sorte wird als nicht homogen betrachtet, wenn die Unterprobe mehr als 3 Abweicher aufweist.</w:t>
      </w:r>
    </w:p>
    <w:p w:rsidR="00AC6779" w:rsidRPr="004E00D0" w:rsidRDefault="00AC6779" w:rsidP="00AC6779">
      <w:pPr>
        <w:ind w:left="1134" w:right="567"/>
        <w:rPr>
          <w:sz w:val="18"/>
        </w:rPr>
      </w:pPr>
    </w:p>
    <w:p w:rsidR="00AC6779" w:rsidRPr="004E00D0" w:rsidRDefault="00AC6779" w:rsidP="00AC6779">
      <w:pPr>
        <w:ind w:left="1134" w:right="567"/>
        <w:rPr>
          <w:sz w:val="18"/>
        </w:rPr>
      </w:pPr>
      <w:r>
        <w:rPr>
          <w:sz w:val="18"/>
        </w:rPr>
        <w:t>Ist die Anzahl der Abweichertypen 1 bis 3, so wird die gesamte Probe von 100 Pflanzen geprüft.</w:t>
      </w:r>
    </w:p>
    <w:p w:rsidR="00AC6779" w:rsidRPr="004E00D0" w:rsidRDefault="00AC6779" w:rsidP="00AC6779">
      <w:pPr>
        <w:ind w:left="567" w:right="567"/>
        <w:rPr>
          <w:sz w:val="18"/>
        </w:rPr>
      </w:pPr>
    </w:p>
    <w:p w:rsidR="00AC6779" w:rsidRPr="00BD5B6E" w:rsidRDefault="00AC6779" w:rsidP="00AC6779">
      <w:pPr>
        <w:ind w:left="567" w:right="567"/>
        <w:rPr>
          <w:b/>
          <w:sz w:val="18"/>
        </w:rPr>
      </w:pPr>
      <w:r>
        <w:rPr>
          <w:sz w:val="18"/>
        </w:rPr>
        <w:t>Anlage V von Dokument TWC/32/9 enthält eine vollständige Beschreibung der statistischen Grundlage für diesen Ansatz.“</w:t>
      </w:r>
    </w:p>
    <w:p w:rsidR="003F7E71" w:rsidRPr="00BD5B6E" w:rsidRDefault="003F7E71" w:rsidP="00AC6779">
      <w:pPr>
        <w:ind w:right="-425"/>
        <w:rPr>
          <w:b/>
          <w:sz w:val="18"/>
        </w:rPr>
      </w:pPr>
    </w:p>
    <w:p w:rsidR="003F7E71" w:rsidRDefault="003F7E71" w:rsidP="003F7E71"/>
    <w:p w:rsidR="00556453" w:rsidRPr="00100526" w:rsidRDefault="00556453" w:rsidP="00556453">
      <w:pPr>
        <w:pStyle w:val="Heading1"/>
      </w:pPr>
      <w:bookmarkStart w:id="34" w:name="_Toc377561588"/>
      <w:bookmarkStart w:id="35" w:name="_Toc377747614"/>
      <w:bookmarkStart w:id="36" w:name="_Toc409450127"/>
      <w:bookmarkStart w:id="37" w:name="_Toc409692729"/>
      <w:bookmarkStart w:id="38" w:name="_Toc411166972"/>
      <w:r>
        <w:t>BEMERKUNGEN des Erweiterten Redaktionsausschusses auf seiner Tagung im Januar 201</w:t>
      </w:r>
      <w:bookmarkEnd w:id="34"/>
      <w:bookmarkEnd w:id="35"/>
      <w:r>
        <w:t>5</w:t>
      </w:r>
      <w:bookmarkEnd w:id="36"/>
      <w:bookmarkEnd w:id="37"/>
      <w:bookmarkEnd w:id="38"/>
    </w:p>
    <w:p w:rsidR="00556453" w:rsidRDefault="00556453" w:rsidP="00556453">
      <w:pPr>
        <w:rPr>
          <w:rFonts w:cs="Arial"/>
          <w:snapToGrid w:val="0"/>
        </w:rPr>
      </w:pPr>
    </w:p>
    <w:p w:rsidR="00556453" w:rsidRPr="00495C76" w:rsidRDefault="00556453" w:rsidP="00046408">
      <w:pPr>
        <w:rPr>
          <w:lang w:val="en-US"/>
        </w:rPr>
      </w:pPr>
      <w:r>
        <w:fldChar w:fldCharType="begin"/>
      </w:r>
      <w:r>
        <w:instrText xml:space="preserve"> AUTONUM  </w:instrText>
      </w:r>
      <w:r>
        <w:fldChar w:fldCharType="end"/>
      </w:r>
      <w:r>
        <w:tab/>
        <w:t>Der TC-EDC</w:t>
      </w:r>
      <w:r>
        <w:rPr>
          <w:color w:val="000000"/>
        </w:rPr>
        <w:t xml:space="preserve"> </w:t>
      </w:r>
      <w:r>
        <w:t xml:space="preserve">prüfte auf seiner Tagung am 7. und 8. </w:t>
      </w:r>
      <w:r w:rsidRPr="00495C76">
        <w:rPr>
          <w:lang w:val="en-US"/>
        </w:rPr>
        <w:t xml:space="preserve">Januar 2015 in Genf </w:t>
      </w:r>
      <w:r w:rsidRPr="00495C76">
        <w:rPr>
          <w:color w:val="000000"/>
          <w:lang w:val="en-US"/>
        </w:rPr>
        <w:t xml:space="preserve"> </w:t>
      </w:r>
      <w:r w:rsidRPr="00495C76">
        <w:rPr>
          <w:lang w:val="en-US"/>
        </w:rPr>
        <w:t>Dokument TC</w:t>
      </w:r>
      <w:r w:rsidRPr="00495C76">
        <w:rPr>
          <w:lang w:val="en-US"/>
        </w:rPr>
        <w:noBreakHyphen/>
        <w:t>EDC/Jan15/5 „</w:t>
      </w:r>
      <w:r w:rsidR="00495C76" w:rsidRPr="00495C76">
        <w:rPr>
          <w:lang w:val="en-US"/>
        </w:rPr>
        <w:t>Revision of document TGP</w:t>
      </w:r>
      <w:r w:rsidR="00495C76" w:rsidRPr="00495C76">
        <w:rPr>
          <w:rFonts w:cs="Arial"/>
          <w:snapToGrid w:val="0"/>
          <w:lang w:val="en-US"/>
        </w:rPr>
        <w:t>/10: New Section: Assessing uniformity by off-types on basis of more than one sample or sub-samples</w:t>
      </w:r>
      <w:r w:rsidRPr="00495C76">
        <w:rPr>
          <w:lang w:val="en-US"/>
        </w:rPr>
        <w:t>“ und machte folgende Bemerkungen:</w:t>
      </w:r>
    </w:p>
    <w:p w:rsidR="00241E23" w:rsidRPr="00495C76" w:rsidRDefault="00241E23" w:rsidP="00046408">
      <w:pPr>
        <w:rPr>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1"/>
        <w:gridCol w:w="8208"/>
      </w:tblGrid>
      <w:tr w:rsidR="00241E23" w:rsidRPr="00903340" w:rsidTr="00241E23">
        <w:tc>
          <w:tcPr>
            <w:tcW w:w="1431" w:type="dxa"/>
            <w:tcBorders>
              <w:top w:val="single" w:sz="4" w:space="0" w:color="auto"/>
              <w:left w:val="single" w:sz="4" w:space="0" w:color="auto"/>
              <w:bottom w:val="single" w:sz="4" w:space="0" w:color="auto"/>
              <w:right w:val="single" w:sz="4" w:space="0" w:color="auto"/>
            </w:tcBorders>
          </w:tcPr>
          <w:p w:rsidR="00241E23" w:rsidRPr="00241E23" w:rsidRDefault="00241E23" w:rsidP="00902327">
            <w:pPr>
              <w:jc w:val="left"/>
              <w:rPr>
                <w:rFonts w:cs="Arial"/>
              </w:rPr>
            </w:pPr>
            <w:r>
              <w:t>Anlage I, Ansatz 1</w:t>
            </w:r>
          </w:p>
        </w:tc>
        <w:tc>
          <w:tcPr>
            <w:tcW w:w="8208" w:type="dxa"/>
            <w:tcBorders>
              <w:top w:val="single" w:sz="4" w:space="0" w:color="auto"/>
              <w:left w:val="single" w:sz="4" w:space="0" w:color="auto"/>
              <w:bottom w:val="single" w:sz="4" w:space="0" w:color="auto"/>
              <w:right w:val="single" w:sz="4" w:space="0" w:color="auto"/>
            </w:tcBorders>
          </w:tcPr>
          <w:p w:rsidR="00241E23" w:rsidRPr="00241E23" w:rsidRDefault="00241E23" w:rsidP="00241E23">
            <w:pPr>
              <w:keepNext/>
              <w:keepLines/>
              <w:rPr>
                <w:rFonts w:cs="Arial"/>
              </w:rPr>
            </w:pPr>
            <w:r>
              <w:t xml:space="preserve">„nach Rücksprache mit dem Antragsteller“ im dritten Absatz streichen </w:t>
            </w:r>
          </w:p>
        </w:tc>
      </w:tr>
      <w:tr w:rsidR="00241E23" w:rsidRPr="003D6FD3" w:rsidTr="00241E23">
        <w:tc>
          <w:tcPr>
            <w:tcW w:w="1431" w:type="dxa"/>
            <w:tcBorders>
              <w:top w:val="single" w:sz="4" w:space="0" w:color="auto"/>
              <w:left w:val="single" w:sz="4" w:space="0" w:color="auto"/>
              <w:bottom w:val="single" w:sz="4" w:space="0" w:color="auto"/>
              <w:right w:val="single" w:sz="4" w:space="0" w:color="auto"/>
            </w:tcBorders>
          </w:tcPr>
          <w:p w:rsidR="00241E23" w:rsidRPr="00B644B7" w:rsidRDefault="00241E23" w:rsidP="00902327">
            <w:pPr>
              <w:jc w:val="left"/>
              <w:rPr>
                <w:rFonts w:cs="Arial"/>
              </w:rPr>
            </w:pPr>
            <w:r>
              <w:t>Anlagen I und II</w:t>
            </w:r>
          </w:p>
        </w:tc>
        <w:tc>
          <w:tcPr>
            <w:tcW w:w="8208" w:type="dxa"/>
            <w:tcBorders>
              <w:top w:val="single" w:sz="4" w:space="0" w:color="auto"/>
              <w:left w:val="single" w:sz="4" w:space="0" w:color="auto"/>
              <w:bottom w:val="single" w:sz="4" w:space="0" w:color="auto"/>
              <w:right w:val="single" w:sz="4" w:space="0" w:color="auto"/>
            </w:tcBorders>
          </w:tcPr>
          <w:p w:rsidR="00241E23" w:rsidRPr="00B644B7" w:rsidRDefault="006101A9" w:rsidP="009441A6">
            <w:pPr>
              <w:keepNext/>
              <w:keepLines/>
              <w:rPr>
                <w:rFonts w:cs="Arial"/>
              </w:rPr>
            </w:pPr>
            <w:r>
              <w:t>Verbandsmitglieder sollen ersucht werden, den TWP und dem TC Informationen auf der Grundlage ihrer Verwendu</w:t>
            </w:r>
            <w:r w:rsidR="00AC6779">
              <w:t>ng der Ansätze 1 oder 2 zu erteil</w:t>
            </w:r>
            <w:r>
              <w:t>en, um ein besseres Verständn</w:t>
            </w:r>
            <w:r w:rsidR="00AC6779">
              <w:t>is der Risik</w:t>
            </w:r>
            <w:r>
              <w:t>en, Vorteile, Kostenfolgen und anderer maßgeblicher Aspekte zu gewinnen.</w:t>
            </w:r>
          </w:p>
        </w:tc>
      </w:tr>
      <w:tr w:rsidR="00046408" w:rsidRPr="003D6FD3" w:rsidTr="00E17DFC">
        <w:tc>
          <w:tcPr>
            <w:tcW w:w="1431" w:type="dxa"/>
          </w:tcPr>
          <w:p w:rsidR="00046408" w:rsidRPr="00B644B7" w:rsidRDefault="00046408" w:rsidP="00046408">
            <w:pPr>
              <w:jc w:val="left"/>
              <w:rPr>
                <w:rFonts w:cs="Arial"/>
              </w:rPr>
            </w:pPr>
            <w:r>
              <w:t>Anlage II</w:t>
            </w:r>
          </w:p>
        </w:tc>
        <w:tc>
          <w:tcPr>
            <w:tcW w:w="8208" w:type="dxa"/>
          </w:tcPr>
          <w:p w:rsidR="00046408" w:rsidRDefault="0093233E" w:rsidP="0093233E">
            <w:pPr>
              <w:keepNext/>
              <w:keepLines/>
              <w:rPr>
                <w:rFonts w:cs="Arial"/>
              </w:rPr>
            </w:pPr>
            <w:r>
              <w:t xml:space="preserve">Die Situationen A und B sollten kombiniert werden und es sollte klargestellt werden, daß zwei unabhängige Wachstumsperioden an einem einzigen Prüfungsort in verschiedenen Jahren oder an unterschiedlichen Prüfungsorten im selben Jahr stattfinden könnten, gemäß Dokument TGP/8 Teil I, Abschnitte 1.2 und 1.3. </w:t>
            </w:r>
          </w:p>
          <w:p w:rsidR="00241E23" w:rsidRPr="00B644B7" w:rsidRDefault="00241E23" w:rsidP="0093233E">
            <w:pPr>
              <w:keepNext/>
              <w:keepLines/>
              <w:rPr>
                <w:rFonts w:cs="Arial"/>
              </w:rPr>
            </w:pPr>
          </w:p>
        </w:tc>
      </w:tr>
      <w:tr w:rsidR="00046408" w:rsidRPr="003D6FD3" w:rsidTr="00E17DFC">
        <w:tc>
          <w:tcPr>
            <w:tcW w:w="1431" w:type="dxa"/>
          </w:tcPr>
          <w:p w:rsidR="00046408" w:rsidRPr="00B644B7" w:rsidRDefault="00046408" w:rsidP="00046408">
            <w:pPr>
              <w:jc w:val="left"/>
              <w:rPr>
                <w:rFonts w:cs="Arial"/>
              </w:rPr>
            </w:pPr>
            <w:r>
              <w:t>Anlage IV</w:t>
            </w:r>
          </w:p>
        </w:tc>
        <w:tc>
          <w:tcPr>
            <w:tcW w:w="8208" w:type="dxa"/>
          </w:tcPr>
          <w:p w:rsidR="00046408" w:rsidRPr="00B644B7" w:rsidRDefault="007C11A4" w:rsidP="007C11A4">
            <w:pPr>
              <w:keepNext/>
              <w:keepLines/>
              <w:rPr>
                <w:rFonts w:cs="Arial"/>
              </w:rPr>
            </w:pPr>
            <w:r>
              <w:t>Bei dem bereitgestellten Beispiel sollte klargestellt werden, daß „die Sorte als nicht homogen betrachtet wird, wenn die Anzahl der Abweicher in der Probe mit 100 Pflanzen größer als 3 ist.“</w:t>
            </w:r>
          </w:p>
        </w:tc>
      </w:tr>
    </w:tbl>
    <w:p w:rsidR="00556453" w:rsidRDefault="00556453" w:rsidP="003F7E71"/>
    <w:p w:rsidR="00556453" w:rsidRDefault="00556453" w:rsidP="003F7E71"/>
    <w:p w:rsidR="003F7E71" w:rsidRPr="00D65E68" w:rsidRDefault="003F7E71" w:rsidP="003F7E71">
      <w:pPr>
        <w:pStyle w:val="Heading1"/>
      </w:pPr>
      <w:bookmarkStart w:id="39" w:name="_Toc409692730"/>
      <w:bookmarkStart w:id="40" w:name="_Toc411166973"/>
      <w:r>
        <w:t>Zusammenfassung der Ansätze</w:t>
      </w:r>
      <w:bookmarkEnd w:id="9"/>
      <w:bookmarkEnd w:id="39"/>
      <w:bookmarkEnd w:id="40"/>
    </w:p>
    <w:p w:rsidR="003F7E71" w:rsidRPr="00D65E68" w:rsidRDefault="003F7E71" w:rsidP="003F7E71">
      <w:pPr>
        <w:rPr>
          <w:rFonts w:cs="Arial"/>
          <w:caps/>
          <w:snapToGrid w:val="0"/>
        </w:rPr>
      </w:pPr>
    </w:p>
    <w:p w:rsidR="003F7E71" w:rsidRDefault="003F7E71" w:rsidP="003F7E71">
      <w:pPr>
        <w:rPr>
          <w:szCs w:val="24"/>
        </w:rPr>
      </w:pPr>
      <w:r w:rsidRPr="00D8502F">
        <w:fldChar w:fldCharType="begin"/>
      </w:r>
      <w:r w:rsidRPr="00D8502F">
        <w:instrText xml:space="preserve"> AUTONUM  </w:instrText>
      </w:r>
      <w:r w:rsidRPr="00D8502F">
        <w:fldChar w:fldCharType="end"/>
      </w:r>
      <w:r>
        <w:tab/>
        <w:t>Die Anlagen I bis IV dieses Dokuments fassen verschiedene Situationen, in denen unterschiedliche Proben für die Gesamtprüfung der Homogenität einer Sorte gemäß den Entschließungen des TC auf seiner fünfzigsten Tagung auf der Grundlage der von den TWP auf ihren Tagungen im Jahr 2014 eingebrachten Vorschläge kombiniert werden, wie folgt zusammen:</w:t>
      </w:r>
    </w:p>
    <w:p w:rsidR="003F7E71" w:rsidRDefault="003F7E71" w:rsidP="003F7E71">
      <w:pPr>
        <w:jc w:val="left"/>
        <w:rPr>
          <w:szCs w:val="24"/>
        </w:rP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3F7E71" w:rsidRPr="004229F4" w:rsidTr="003F7E71">
        <w:trPr>
          <w:cantSplit/>
          <w:jc w:val="center"/>
        </w:trPr>
        <w:tc>
          <w:tcPr>
            <w:tcW w:w="6664" w:type="dxa"/>
            <w:shd w:val="clear" w:color="auto" w:fill="E6E6E6"/>
          </w:tcPr>
          <w:p w:rsidR="003F7E71" w:rsidRPr="008365E7" w:rsidRDefault="003F7E71" w:rsidP="003F7E71">
            <w:pPr>
              <w:jc w:val="center"/>
              <w:rPr>
                <w:rFonts w:cs="Arial"/>
                <w:sz w:val="18"/>
                <w:szCs w:val="22"/>
                <w:u w:val="single"/>
              </w:rPr>
            </w:pPr>
            <w:r>
              <w:rPr>
                <w:sz w:val="18"/>
                <w:u w:val="single"/>
              </w:rPr>
              <w:t>Anmerkung für Überarbeitungen der Anlagen I bis IV</w:t>
            </w:r>
          </w:p>
          <w:p w:rsidR="003F7E71" w:rsidRPr="008365E7" w:rsidRDefault="003F7E71" w:rsidP="003F7E71">
            <w:pPr>
              <w:rPr>
                <w:rFonts w:cs="Arial"/>
                <w:sz w:val="18"/>
                <w:szCs w:val="22"/>
                <w:u w:val="single"/>
              </w:rPr>
            </w:pPr>
          </w:p>
          <w:p w:rsidR="003F7E71" w:rsidRPr="008365E7" w:rsidRDefault="003F7E71" w:rsidP="003F7E71">
            <w:pPr>
              <w:rPr>
                <w:rFonts w:cs="Arial"/>
                <w:sz w:val="18"/>
                <w:szCs w:val="22"/>
              </w:rPr>
            </w:pPr>
            <w:r>
              <w:rPr>
                <w:b/>
                <w:strike/>
                <w:sz w:val="18"/>
              </w:rPr>
              <w:t>Durchgestrichen</w:t>
            </w:r>
            <w:r>
              <w:rPr>
                <w:b/>
                <w:sz w:val="18"/>
              </w:rPr>
              <w:t xml:space="preserve">er (hervorgehobener) </w:t>
            </w:r>
            <w:r>
              <w:rPr>
                <w:sz w:val="18"/>
              </w:rPr>
              <w:t>Wortlaut gibt die vorgeschlagene Streichung von Text gemäß den von den TWP auf ihren Tagungen im Jahr 2014 vorgeschlagenen Änderungen an.</w:t>
            </w:r>
          </w:p>
          <w:p w:rsidR="003F7E71" w:rsidRPr="008365E7" w:rsidRDefault="003F7E71" w:rsidP="003F7E71">
            <w:pPr>
              <w:rPr>
                <w:rFonts w:cs="Arial"/>
                <w:sz w:val="18"/>
                <w:szCs w:val="22"/>
              </w:rPr>
            </w:pPr>
          </w:p>
          <w:p w:rsidR="003F7E71" w:rsidRPr="002B1964" w:rsidRDefault="00AC6779" w:rsidP="003F7E71">
            <w:pPr>
              <w:rPr>
                <w:rFonts w:cs="Arial"/>
                <w:sz w:val="18"/>
                <w:szCs w:val="22"/>
              </w:rPr>
            </w:pPr>
            <w:r>
              <w:rPr>
                <w:b/>
                <w:sz w:val="18"/>
                <w:u w:val="single"/>
              </w:rPr>
              <w:t>Unterstr</w:t>
            </w:r>
            <w:r w:rsidR="003F7E71">
              <w:rPr>
                <w:b/>
                <w:sz w:val="18"/>
                <w:u w:val="single"/>
              </w:rPr>
              <w:t>ichener</w:t>
            </w:r>
            <w:r w:rsidR="003F7E71">
              <w:rPr>
                <w:b/>
                <w:sz w:val="18"/>
              </w:rPr>
              <w:t xml:space="preserve"> (hervorgehobener)</w:t>
            </w:r>
            <w:r>
              <w:rPr>
                <w:sz w:val="18"/>
              </w:rPr>
              <w:t xml:space="preserve"> Wortlaut gibt</w:t>
            </w:r>
            <w:r w:rsidR="003F7E71">
              <w:rPr>
                <w:sz w:val="18"/>
              </w:rPr>
              <w:t xml:space="preserve"> vorgeschlagene Hinzufügung von Text gemäß den von den TWP auf ihren Tagungen im Jahr 2014 vorgeschlagenen Änderungen an.</w:t>
            </w:r>
          </w:p>
        </w:tc>
      </w:tr>
    </w:tbl>
    <w:p w:rsidR="003F7E71" w:rsidRDefault="003F7E71" w:rsidP="003F7E71">
      <w:pPr>
        <w:snapToGrid w:val="0"/>
        <w:jc w:val="left"/>
        <w:rPr>
          <w:szCs w:val="24"/>
        </w:rPr>
      </w:pPr>
    </w:p>
    <w:p w:rsidR="003F7E71" w:rsidRPr="00F971AF" w:rsidRDefault="003F7E71" w:rsidP="003F7E71">
      <w:pPr>
        <w:autoSpaceDE w:val="0"/>
        <w:autoSpaceDN w:val="0"/>
        <w:adjustRightInd w:val="0"/>
        <w:snapToGrid w:val="0"/>
        <w:rPr>
          <w:i/>
          <w:szCs w:val="24"/>
        </w:rPr>
      </w:pPr>
      <w:r>
        <w:rPr>
          <w:i/>
        </w:rPr>
        <w:t>Anlage I: Situation A:  Zwei Wachstumsperioden an einem Standort</w:t>
      </w:r>
    </w:p>
    <w:p w:rsidR="003F7E71" w:rsidRPr="00F971AF" w:rsidRDefault="003F7E71" w:rsidP="003F7E71">
      <w:pPr>
        <w:autoSpaceDE w:val="0"/>
        <w:autoSpaceDN w:val="0"/>
        <w:adjustRightInd w:val="0"/>
        <w:snapToGrid w:val="0"/>
        <w:ind w:left="567"/>
        <w:rPr>
          <w:szCs w:val="24"/>
        </w:rPr>
      </w:pPr>
    </w:p>
    <w:p w:rsidR="003F7E71" w:rsidRPr="00F971AF" w:rsidRDefault="003F7E71" w:rsidP="003F7E71">
      <w:pPr>
        <w:autoSpaceDE w:val="0"/>
        <w:autoSpaceDN w:val="0"/>
        <w:adjustRightInd w:val="0"/>
        <w:snapToGrid w:val="0"/>
        <w:ind w:left="567" w:firstLine="273"/>
        <w:rPr>
          <w:szCs w:val="24"/>
        </w:rPr>
      </w:pPr>
      <w:r>
        <w:t xml:space="preserve">Ansatz 1:  Dritte Wachstumsperiode im Fall widersprüchlicher Ergebnisse </w:t>
      </w:r>
    </w:p>
    <w:p w:rsidR="003F7E71" w:rsidRPr="00F971AF" w:rsidRDefault="003F7E71" w:rsidP="003F7E71">
      <w:pPr>
        <w:autoSpaceDE w:val="0"/>
        <w:autoSpaceDN w:val="0"/>
        <w:adjustRightInd w:val="0"/>
        <w:snapToGrid w:val="0"/>
        <w:ind w:left="567" w:firstLine="273"/>
        <w:rPr>
          <w:szCs w:val="24"/>
        </w:rPr>
      </w:pPr>
      <w:r>
        <w:t>Ansatz 2:  Kombination der Ergebnisse aus zwei Wachstumsperioden</w:t>
      </w:r>
    </w:p>
    <w:p w:rsidR="003F7E71" w:rsidRDefault="003F7E71" w:rsidP="003F7E71">
      <w:pPr>
        <w:jc w:val="left"/>
        <w:rPr>
          <w:szCs w:val="24"/>
        </w:rPr>
      </w:pPr>
    </w:p>
    <w:p w:rsidR="003F7E71" w:rsidRPr="00F971AF" w:rsidRDefault="003F7E71" w:rsidP="003F7E71">
      <w:pPr>
        <w:snapToGrid w:val="0"/>
        <w:jc w:val="left"/>
        <w:rPr>
          <w:i/>
          <w:szCs w:val="24"/>
        </w:rPr>
      </w:pPr>
      <w:r>
        <w:rPr>
          <w:i/>
        </w:rPr>
        <w:t xml:space="preserve">Anlage II: Situation B:  Zwei Standorte im gleichen Jahr </w:t>
      </w:r>
    </w:p>
    <w:p w:rsidR="003F7E71" w:rsidRPr="00F971AF" w:rsidRDefault="003F7E71" w:rsidP="003F7E71">
      <w:pPr>
        <w:snapToGrid w:val="0"/>
        <w:ind w:left="567"/>
        <w:jc w:val="left"/>
      </w:pPr>
    </w:p>
    <w:p w:rsidR="003F7E71" w:rsidRPr="00F971AF" w:rsidRDefault="003F7E71" w:rsidP="003F7E71">
      <w:pPr>
        <w:snapToGrid w:val="0"/>
        <w:ind w:left="567" w:firstLine="273"/>
        <w:rPr>
          <w:szCs w:val="24"/>
        </w:rPr>
      </w:pPr>
      <w:r>
        <w:t xml:space="preserve">Ansatz 1:  Dritte Wachstumsperiode im Fall widersprüchlicher Ergebnisse </w:t>
      </w:r>
    </w:p>
    <w:p w:rsidR="003F7E71" w:rsidRPr="00F971AF" w:rsidRDefault="003F7E71" w:rsidP="003F7E71">
      <w:pPr>
        <w:snapToGrid w:val="0"/>
        <w:ind w:left="567" w:firstLine="273"/>
        <w:rPr>
          <w:szCs w:val="24"/>
        </w:rPr>
      </w:pPr>
      <w:r>
        <w:t xml:space="preserve">Ansatz 2:  Kombination der Ergebnisse aus zwei Standorten </w:t>
      </w:r>
    </w:p>
    <w:p w:rsidR="003F7E71" w:rsidRPr="00F971AF" w:rsidRDefault="003F7E71" w:rsidP="003F7E71">
      <w:pPr>
        <w:autoSpaceDE w:val="0"/>
        <w:autoSpaceDN w:val="0"/>
        <w:adjustRightInd w:val="0"/>
        <w:snapToGrid w:val="0"/>
        <w:ind w:left="567"/>
        <w:rPr>
          <w:szCs w:val="24"/>
        </w:rPr>
      </w:pPr>
    </w:p>
    <w:p w:rsidR="003F7E71" w:rsidRPr="00ED5B06" w:rsidRDefault="003F7E71" w:rsidP="003F7E71">
      <w:pPr>
        <w:snapToGrid w:val="0"/>
        <w:jc w:val="left"/>
        <w:rPr>
          <w:i/>
          <w:strike/>
          <w:highlight w:val="lightGray"/>
        </w:rPr>
      </w:pPr>
      <w:r>
        <w:rPr>
          <w:i/>
          <w:strike/>
          <w:highlight w:val="lightGray"/>
        </w:rPr>
        <w:t>Anlage III: Situation C:  Mehr als eine Probe / Unterprobe für ein Merkmal in der gleichen Wachstumsperiode</w:t>
      </w:r>
    </w:p>
    <w:p w:rsidR="003F7E71" w:rsidRPr="00ED5B06" w:rsidRDefault="003F7E71" w:rsidP="003F7E71">
      <w:pPr>
        <w:snapToGrid w:val="0"/>
        <w:ind w:left="567"/>
        <w:jc w:val="left"/>
        <w:rPr>
          <w:i/>
          <w:strike/>
          <w:highlight w:val="lightGray"/>
        </w:rPr>
      </w:pPr>
    </w:p>
    <w:p w:rsidR="003F7E71" w:rsidRPr="00ED5B06" w:rsidRDefault="003F7E71" w:rsidP="003F7E71">
      <w:pPr>
        <w:snapToGrid w:val="0"/>
        <w:ind w:left="567" w:firstLine="273"/>
        <w:jc w:val="left"/>
      </w:pPr>
      <w:r>
        <w:rPr>
          <w:strike/>
          <w:highlight w:val="lightGray"/>
        </w:rPr>
        <w:t>Ansatz:  Zusätzliche Wachstumsperiode im Fall widersprüchlicher Ergebnisse</w:t>
      </w:r>
      <w:r w:rsidRPr="00203B9B">
        <w:t xml:space="preserve"> </w:t>
      </w:r>
      <w:r w:rsidR="00203B9B">
        <w:t>(</w:t>
      </w:r>
      <w:r>
        <w:t>streichen)</w:t>
      </w:r>
    </w:p>
    <w:p w:rsidR="003F7E71" w:rsidRDefault="003F7E71" w:rsidP="003F7E71">
      <w:pPr>
        <w:autoSpaceDE w:val="0"/>
        <w:autoSpaceDN w:val="0"/>
        <w:adjustRightInd w:val="0"/>
        <w:snapToGrid w:val="0"/>
        <w:ind w:left="567"/>
        <w:rPr>
          <w:szCs w:val="24"/>
        </w:rPr>
      </w:pPr>
    </w:p>
    <w:p w:rsidR="003F7E71" w:rsidRPr="00F971AF" w:rsidRDefault="003F7E71" w:rsidP="00077633">
      <w:pPr>
        <w:keepNext/>
        <w:snapToGrid w:val="0"/>
        <w:jc w:val="left"/>
        <w:rPr>
          <w:i/>
          <w:szCs w:val="24"/>
        </w:rPr>
      </w:pPr>
      <w:r>
        <w:rPr>
          <w:i/>
        </w:rPr>
        <w:t xml:space="preserve">Anlage IV: Situation D:  Prüfung von Unterproben in einer Prüfung / einem Versuch </w:t>
      </w:r>
    </w:p>
    <w:p w:rsidR="003F7E71" w:rsidRPr="00F971AF" w:rsidRDefault="003F7E71" w:rsidP="003F7E71">
      <w:pPr>
        <w:snapToGrid w:val="0"/>
        <w:ind w:left="567"/>
        <w:jc w:val="left"/>
        <w:rPr>
          <w:i/>
          <w:szCs w:val="24"/>
        </w:rPr>
      </w:pPr>
    </w:p>
    <w:p w:rsidR="003F7E71" w:rsidRPr="00966299" w:rsidRDefault="003F7E71" w:rsidP="003F7E71">
      <w:pPr>
        <w:snapToGrid w:val="0"/>
        <w:ind w:left="567" w:firstLine="273"/>
        <w:jc w:val="left"/>
        <w:rPr>
          <w:i/>
          <w:szCs w:val="24"/>
        </w:rPr>
      </w:pPr>
      <w:r>
        <w:t>Ansatz</w:t>
      </w:r>
      <w:r>
        <w:rPr>
          <w:i/>
        </w:rPr>
        <w:t xml:space="preserve">: </w:t>
      </w:r>
      <w:r>
        <w:t xml:space="preserve"> Unterprobe als erster Prüfungsschritt </w:t>
      </w:r>
    </w:p>
    <w:p w:rsidR="003F7E71" w:rsidRDefault="003F7E71" w:rsidP="003F7E71">
      <w:pPr>
        <w:snapToGrid w:val="0"/>
        <w:jc w:val="left"/>
        <w:rPr>
          <w:szCs w:val="24"/>
        </w:rPr>
      </w:pPr>
    </w:p>
    <w:p w:rsidR="00AC6779" w:rsidRDefault="003F7E71" w:rsidP="00AC6779">
      <w:r w:rsidRPr="00654E37">
        <w:fldChar w:fldCharType="begin"/>
      </w:r>
      <w:r w:rsidRPr="00654E37">
        <w:instrText xml:space="preserve"> AUTONUM  </w:instrText>
      </w:r>
      <w:r w:rsidRPr="00654E37">
        <w:fldChar w:fldCharType="end"/>
      </w:r>
      <w:r>
        <w:tab/>
      </w:r>
      <w:r w:rsidR="00AC6779">
        <w:t xml:space="preserve">Die Zusammenfassung in den Anlagen I bis IV beziehen sich lediglich auf Situationen, in denen mehr als eine Probe oder Unterprobe die Prüfung desselben Merkmals betreffen. Im Falle verschiedener Proben oder Unterproben (z. B. Sonderprüfung) zur Prüfung eines unterschiedlichen Merkmals gibt es keine </w:t>
      </w:r>
      <w:r w:rsidR="00AC6779">
        <w:lastRenderedPageBreak/>
        <w:t>Anforderung zur Kombination der Ergebnisse, da eine Sorte in allen maßgeblichen Merkmalen homogen sein muß.</w:t>
      </w:r>
    </w:p>
    <w:p w:rsidR="00AC6779" w:rsidRDefault="00AC6779" w:rsidP="00AC6779">
      <w:pPr>
        <w:jc w:val="left"/>
        <w:rPr>
          <w:szCs w:val="24"/>
        </w:rPr>
      </w:pPr>
    </w:p>
    <w:p w:rsidR="009441A6" w:rsidRDefault="00AC6779" w:rsidP="00AC6779">
      <w:r>
        <w:rPr>
          <w:szCs w:val="24"/>
        </w:rPr>
        <w:fldChar w:fldCharType="begin"/>
      </w:r>
      <w:r>
        <w:rPr>
          <w:szCs w:val="24"/>
        </w:rPr>
        <w:instrText xml:space="preserve"> AUTONUM  </w:instrText>
      </w:r>
      <w:r>
        <w:rPr>
          <w:szCs w:val="24"/>
        </w:rPr>
        <w:fldChar w:fldCharType="end"/>
      </w:r>
      <w:r>
        <w:tab/>
        <w:t>Anlage V dieses Dokuments enthält ein von den Sachverständigen aus Deutschland dargelegtes Memorandum über die Verwendung eines schrittweisen Ansatzes beim Vorgehen nach Abweichern in derselben Wachstumsperiode in Situation D</w:t>
      </w:r>
      <w:r w:rsidR="003F7E71">
        <w:t>.</w:t>
      </w:r>
    </w:p>
    <w:p w:rsidR="00AC6779" w:rsidRDefault="00AC6779" w:rsidP="00AC6779">
      <w:pPr>
        <w:rPr>
          <w:szCs w:val="24"/>
        </w:rPr>
      </w:pPr>
    </w:p>
    <w:p w:rsidR="009F4CDF" w:rsidRDefault="003F7E71" w:rsidP="003F7E71">
      <w:pPr>
        <w:pStyle w:val="DecisionParagraphs"/>
        <w:tabs>
          <w:tab w:val="num" w:pos="5387"/>
        </w:tabs>
        <w:rPr>
          <w:highlight w:val="yellow"/>
        </w:rPr>
      </w:pPr>
      <w:r w:rsidRPr="00046F70">
        <w:fldChar w:fldCharType="begin"/>
      </w:r>
      <w:r w:rsidRPr="00046F70">
        <w:instrText xml:space="preserve"> AUTONUM  </w:instrText>
      </w:r>
      <w:r w:rsidRPr="00046F70">
        <w:fldChar w:fldCharType="end"/>
      </w:r>
      <w:r>
        <w:tab/>
        <w:t xml:space="preserve">Der TC wird ersucht zu prüfen: </w:t>
      </w:r>
    </w:p>
    <w:p w:rsidR="00727D66" w:rsidRDefault="00727D66" w:rsidP="003F7E71">
      <w:pPr>
        <w:pStyle w:val="DecisionParagraphs"/>
        <w:tabs>
          <w:tab w:val="num" w:pos="5387"/>
        </w:tabs>
        <w:rPr>
          <w:highlight w:val="yellow"/>
        </w:rPr>
      </w:pPr>
    </w:p>
    <w:p w:rsidR="00727D66" w:rsidRPr="00727D66" w:rsidRDefault="00727D66" w:rsidP="00727D66">
      <w:pPr>
        <w:pStyle w:val="DecisionParagraphs"/>
        <w:numPr>
          <w:ilvl w:val="0"/>
          <w:numId w:val="2"/>
        </w:numPr>
        <w:tabs>
          <w:tab w:val="clear" w:pos="5387"/>
          <w:tab w:val="left" w:pos="5954"/>
        </w:tabs>
        <w:ind w:left="4820" w:firstLine="567"/>
      </w:pPr>
      <w:r>
        <w:t>die von den TWP auf ihren Tagungen im Jahr 2014 und vom TC-EDC auf seiner Tagung im Januar 2015 gemachten Vorschläge zum Entwurf einer Anleitung zur Aufnahme in eine künftige Überarbeitung von Dokument TGP/10, wie in den Anlagen I bis IV dieses Dokuments dargelegt;</w:t>
      </w:r>
    </w:p>
    <w:p w:rsidR="00727D66" w:rsidRPr="006571BE" w:rsidRDefault="00727D66" w:rsidP="00727D66">
      <w:pPr>
        <w:pStyle w:val="DecisionParagraphs"/>
        <w:tabs>
          <w:tab w:val="clear" w:pos="5387"/>
          <w:tab w:val="left" w:pos="5954"/>
        </w:tabs>
        <w:ind w:left="5387"/>
      </w:pPr>
    </w:p>
    <w:p w:rsidR="00727D66" w:rsidRDefault="00727D66" w:rsidP="0030455C">
      <w:pPr>
        <w:pStyle w:val="DecisionParagraphs"/>
        <w:keepLines/>
        <w:numPr>
          <w:ilvl w:val="0"/>
          <w:numId w:val="2"/>
        </w:numPr>
        <w:tabs>
          <w:tab w:val="clear" w:pos="5387"/>
          <w:tab w:val="left" w:pos="5954"/>
        </w:tabs>
        <w:ind w:left="4820" w:firstLine="567"/>
      </w:pPr>
      <w:r>
        <w:t>ob die Situationen A und B, wie in den Anlagen I und II dieses Dokuments dargelegt, kombiniert werden sollten, mit einer Erklärung gemäß Dokument TGP/8 Teil I, Abschnitte 1.2 und 1.3, daß zwei unabhängige Wachstumsperioden an einem Prüfungsort in verschiedenen Jahren oder an verschiedenen Prüfungsorten im selben Jahr stattfinden könnten; und</w:t>
      </w:r>
    </w:p>
    <w:p w:rsidR="009F4CDF" w:rsidRDefault="009F4CDF" w:rsidP="009F4CDF">
      <w:pPr>
        <w:pStyle w:val="DecisionParagraphs"/>
        <w:tabs>
          <w:tab w:val="num" w:pos="5387"/>
          <w:tab w:val="left" w:pos="5954"/>
        </w:tabs>
        <w:ind w:firstLine="567"/>
        <w:rPr>
          <w:highlight w:val="yellow"/>
        </w:rPr>
      </w:pPr>
    </w:p>
    <w:p w:rsidR="003F7E71" w:rsidRDefault="00DB1B22" w:rsidP="009F4CDF">
      <w:pPr>
        <w:pStyle w:val="DecisionParagraphs"/>
        <w:numPr>
          <w:ilvl w:val="0"/>
          <w:numId w:val="2"/>
        </w:numPr>
        <w:tabs>
          <w:tab w:val="clear" w:pos="5387"/>
          <w:tab w:val="left" w:pos="5954"/>
        </w:tabs>
        <w:ind w:left="4820" w:firstLine="567"/>
      </w:pPr>
      <w:r>
        <w:t xml:space="preserve">ob Verbandsmitglieder ersucht werden sollen, den TWP und dem </w:t>
      </w:r>
      <w:r w:rsidR="00884417">
        <w:t>TC Informationen über die Risik</w:t>
      </w:r>
      <w:r>
        <w:t>en, Vorteile, Kostenfolgen und andere maßgebliche Aspekte ihrer Wahl von Ansatz 1 und 2 bei der Prüfung der Homogenität nach Abweichern auf der Grundlage von mehr als einer Probe oder Unterproben, wie in den Anlagen I und II dieses Dokument dargelegt, zu erteilen.</w:t>
      </w:r>
    </w:p>
    <w:p w:rsidR="003F7E71" w:rsidRDefault="003F7E71" w:rsidP="003F7E71"/>
    <w:p w:rsidR="003F7E71" w:rsidRDefault="003F7E71" w:rsidP="003F7E71">
      <w:pPr>
        <w:jc w:val="right"/>
      </w:pPr>
    </w:p>
    <w:p w:rsidR="003F7E71" w:rsidRDefault="003F7E71" w:rsidP="003F7E71">
      <w:pPr>
        <w:jc w:val="right"/>
      </w:pPr>
    </w:p>
    <w:p w:rsidR="003F7E71" w:rsidRDefault="003F7E71" w:rsidP="003F7E71">
      <w:pPr>
        <w:jc w:val="right"/>
      </w:pPr>
      <w:r>
        <w:t>[Anlagen folgen]</w:t>
      </w:r>
    </w:p>
    <w:p w:rsidR="003F7E71" w:rsidRDefault="003F7E71" w:rsidP="003F7E71"/>
    <w:p w:rsidR="003F7E71" w:rsidRDefault="003F7E71" w:rsidP="003F7E71">
      <w:pPr>
        <w:rPr>
          <w:snapToGrid w:val="0"/>
        </w:rPr>
        <w:sectPr w:rsidR="003F7E71" w:rsidSect="003F7E71">
          <w:headerReference w:type="default" r:id="rId10"/>
          <w:pgSz w:w="11907" w:h="16840" w:code="9"/>
          <w:pgMar w:top="510" w:right="1134" w:bottom="993" w:left="1134" w:header="510" w:footer="680" w:gutter="0"/>
          <w:cols w:space="720"/>
          <w:titlePg/>
        </w:sectPr>
      </w:pPr>
    </w:p>
    <w:tbl>
      <w:tblPr>
        <w:tblW w:w="10206"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206"/>
      </w:tblGrid>
      <w:tr w:rsidR="003F7E71" w:rsidRPr="00ED3415" w:rsidTr="003F7E71">
        <w:trPr>
          <w:trHeight w:val="350"/>
        </w:trPr>
        <w:tc>
          <w:tcPr>
            <w:tcW w:w="10206" w:type="dxa"/>
          </w:tcPr>
          <w:p w:rsidR="003F7E71" w:rsidRPr="002A2C89" w:rsidRDefault="003F7E71" w:rsidP="003F7E71">
            <w:pPr>
              <w:autoSpaceDE w:val="0"/>
              <w:autoSpaceDN w:val="0"/>
              <w:adjustRightInd w:val="0"/>
              <w:spacing w:before="120"/>
              <w:jc w:val="center"/>
              <w:rPr>
                <w:rFonts w:eastAsia="SimSun"/>
                <w:szCs w:val="24"/>
              </w:rPr>
            </w:pPr>
            <w:r>
              <w:lastRenderedPageBreak/>
              <w:t>SITUATION A:  ZWEI WACHSTUMSPERIODEN AN EINEM STANDORT</w:t>
            </w:r>
          </w:p>
        </w:tc>
      </w:tr>
      <w:tr w:rsidR="003F7E71" w:rsidRPr="00ED3415" w:rsidTr="004D475B">
        <w:trPr>
          <w:trHeight w:val="1576"/>
        </w:trPr>
        <w:tc>
          <w:tcPr>
            <w:tcW w:w="10206" w:type="dxa"/>
          </w:tcPr>
          <w:p w:rsidR="003F7E71" w:rsidRDefault="003F7E71" w:rsidP="003F7E71">
            <w:pPr>
              <w:rPr>
                <w:b/>
                <w:szCs w:val="24"/>
              </w:rPr>
            </w:pPr>
          </w:p>
          <w:p w:rsidR="003F7E71" w:rsidRDefault="003F7E71" w:rsidP="003F7E71">
            <w:pPr>
              <w:rPr>
                <w:b/>
                <w:szCs w:val="24"/>
              </w:rPr>
            </w:pPr>
            <w:r>
              <w:rPr>
                <w:b/>
              </w:rPr>
              <w:t xml:space="preserve">Ansatz 1:  Dritte Wachstumsperiode im Fall widersprüchlicher Ergebnisse </w:t>
            </w:r>
          </w:p>
          <w:p w:rsidR="003F7E71" w:rsidRPr="00C9028D" w:rsidRDefault="003F7E71" w:rsidP="003F7E71">
            <w:pPr>
              <w:rPr>
                <w:b/>
                <w:szCs w:val="24"/>
              </w:rPr>
            </w:pPr>
          </w:p>
          <w:p w:rsidR="003F7E71" w:rsidRDefault="003F7E71" w:rsidP="003F7E71">
            <w:pPr>
              <w:rPr>
                <w:rFonts w:eastAsia="SimSun"/>
                <w:szCs w:val="24"/>
              </w:rPr>
            </w:pPr>
            <w:r>
              <w:t>Eine Sorte wird als homogen betrachtet, wenn sie in beiden Wachstumsperioden dem Homogenitätsstandard entspricht.</w:t>
            </w:r>
          </w:p>
          <w:p w:rsidR="003F7E71" w:rsidRPr="00ED3415" w:rsidRDefault="003F7E71" w:rsidP="003F7E71">
            <w:pPr>
              <w:rPr>
                <w:rFonts w:eastAsia="SimSun"/>
                <w:szCs w:val="24"/>
              </w:rPr>
            </w:pPr>
          </w:p>
          <w:p w:rsidR="003F7E71" w:rsidRDefault="003F7E71" w:rsidP="003F7E71">
            <w:pPr>
              <w:rPr>
                <w:rFonts w:eastAsia="SimSun"/>
                <w:szCs w:val="24"/>
              </w:rPr>
            </w:pPr>
            <w:r>
              <w:t>Eine Sorte wird als nicht homogen betrachtet, wenn sie in beiden Wachstumsperioden nicht dem Homogenitätsstandard entspricht.</w:t>
            </w:r>
          </w:p>
          <w:p w:rsidR="003F7E71" w:rsidRPr="00ED3415" w:rsidRDefault="003F7E71" w:rsidP="003F7E71">
            <w:pPr>
              <w:rPr>
                <w:rFonts w:eastAsia="SimSun"/>
                <w:szCs w:val="24"/>
              </w:rPr>
            </w:pPr>
          </w:p>
          <w:p w:rsidR="003F7E71" w:rsidRDefault="003F7E71" w:rsidP="003F7E71">
            <w:pPr>
              <w:keepNext/>
              <w:keepLines/>
              <w:rPr>
                <w:rFonts w:eastAsia="SimSun"/>
                <w:szCs w:val="24"/>
              </w:rPr>
            </w:pPr>
            <w:r>
              <w:t xml:space="preserve">Entspricht die Sorte am Ende der beiden Wachstumsperioden in einer Wachstumsperiode dem Homogenitätsstandard, in der anderen Wachstumsperiode aber nicht, dann wird die Homogenität </w:t>
            </w:r>
            <w:r>
              <w:rPr>
                <w:strike/>
                <w:highlight w:val="lightGray"/>
              </w:rPr>
              <w:t>nach Rücksprache mit dem Antragsteller</w:t>
            </w:r>
            <w:r w:rsidR="00AC6779" w:rsidRPr="00884417">
              <w:t xml:space="preserve"> </w:t>
            </w:r>
            <w:r>
              <w:t>in einer dr</w:t>
            </w:r>
            <w:r w:rsidR="00604487">
              <w:t>itten Wachstumsperiode geprüft.</w:t>
            </w:r>
            <w:r>
              <w:t xml:space="preserve"> Liegt die Sorte in der dritten Wachstumsperiode im Homogenitätsstandard, so wird di</w:t>
            </w:r>
            <w:r w:rsidR="00604487">
              <w:t>e Sorte als homogen betrachtet.</w:t>
            </w:r>
            <w:r>
              <w:t xml:space="preserve"> Entspricht die Sorte in der dritten Wachstumsperiode nicht dem Homogenitätsstandard, so wird die Sorte als nicht homogen betrachtet.</w:t>
            </w:r>
          </w:p>
          <w:p w:rsidR="003F7E71" w:rsidRDefault="003F7E71" w:rsidP="003F7E71">
            <w:pPr>
              <w:keepNext/>
              <w:keepLines/>
              <w:rPr>
                <w:color w:val="000000"/>
                <w:szCs w:val="24"/>
              </w:rPr>
            </w:pPr>
          </w:p>
          <w:p w:rsidR="003F7E71" w:rsidRDefault="003F7E71" w:rsidP="003F7E71">
            <w:pPr>
              <w:keepNext/>
              <w:keepLines/>
              <w:rPr>
                <w:rFonts w:eastAsia="SimSun"/>
                <w:szCs w:val="24"/>
              </w:rPr>
            </w:pPr>
            <w:r>
              <w:rPr>
                <w:color w:val="000000"/>
              </w:rPr>
              <w:t>Bei der Prüfung von Ergebnissen, die in jeder der Wachstumsperioden sehr unterschiedlich sind, muß mit größter Sorgfalt verfahren werden, etwa wenn ein Abweichertyp in einer Wachstumsperiode sehr häufig und in einer anderen überhaupt nicht vorkommt.</w:t>
            </w:r>
          </w:p>
          <w:p w:rsidR="003F7E71" w:rsidRDefault="003F7E71" w:rsidP="003F7E71">
            <w:pPr>
              <w:keepNext/>
              <w:keepLines/>
              <w:rPr>
                <w:rFonts w:eastAsia="SimSun"/>
                <w:szCs w:val="24"/>
              </w:rPr>
            </w:pPr>
          </w:p>
          <w:p w:rsidR="003F7E71" w:rsidRDefault="003F7E71" w:rsidP="003F7E71">
            <w:pPr>
              <w:keepNext/>
              <w:keepLines/>
              <w:rPr>
                <w:rFonts w:eastAsia="SimSun"/>
                <w:szCs w:val="24"/>
              </w:rPr>
            </w:pPr>
            <w:r>
              <w:t>Eine Sorte kann unter gewissen Umständen nach einer Wachstumsperiode zurückgewiesen werden.</w:t>
            </w:r>
          </w:p>
          <w:p w:rsidR="003F7E71" w:rsidRDefault="003F7E71" w:rsidP="003F7E71">
            <w:pPr>
              <w:keepNext/>
              <w:keepLines/>
              <w:rPr>
                <w:rFonts w:eastAsia="SimSun"/>
                <w:szCs w:val="24"/>
              </w:rPr>
            </w:pPr>
          </w:p>
          <w:p w:rsidR="003F7E71" w:rsidRDefault="003F7E71" w:rsidP="003F7E71">
            <w:pPr>
              <w:rPr>
                <w:b/>
                <w:szCs w:val="24"/>
              </w:rPr>
            </w:pPr>
            <w:r>
              <w:rPr>
                <w:b/>
              </w:rPr>
              <w:t>Ansatz 2:  Kombination der Ergebnisse aus zwei Wachstumsperioden</w:t>
            </w:r>
          </w:p>
          <w:p w:rsidR="003F7E71" w:rsidRPr="00AE31A9" w:rsidRDefault="003F7E71" w:rsidP="003F7E71">
            <w:pPr>
              <w:keepNext/>
              <w:keepLines/>
              <w:rPr>
                <w:rFonts w:eastAsia="MS Mincho"/>
                <w:color w:val="000000"/>
              </w:rPr>
            </w:pPr>
          </w:p>
          <w:p w:rsidR="003F7E71" w:rsidRDefault="003F7E71" w:rsidP="003F7E71">
            <w:pPr>
              <w:rPr>
                <w:rFonts w:eastAsia="SimSun"/>
              </w:rPr>
            </w:pPr>
            <w:r>
              <w:t>Eine Sorte wird als homogen betrachtet, wenn sie in beiden Wachstumsperioden dem Homogenitätsstandard entspricht.</w:t>
            </w:r>
          </w:p>
          <w:p w:rsidR="003F7E71" w:rsidRDefault="003F7E71" w:rsidP="003F7E71">
            <w:pPr>
              <w:rPr>
                <w:rFonts w:eastAsia="SimSun"/>
              </w:rPr>
            </w:pPr>
          </w:p>
          <w:p w:rsidR="003F7E71" w:rsidRPr="002302DC" w:rsidRDefault="003F7E71" w:rsidP="003F7E71">
            <w:pPr>
              <w:rPr>
                <w:rFonts w:eastAsia="SimSun"/>
              </w:rPr>
            </w:pPr>
            <w:r>
              <w:t>Eine Sorte wird als nicht homogen betrachtet, wenn sie in beiden Wachstumsperioden nicht dem Homogenitätsstandard entspricht.</w:t>
            </w:r>
          </w:p>
          <w:p w:rsidR="003F7E71" w:rsidRPr="00160D6F" w:rsidRDefault="003F7E71" w:rsidP="003F7E71">
            <w:pPr>
              <w:rPr>
                <w:rFonts w:eastAsia="SimSun"/>
              </w:rPr>
            </w:pPr>
          </w:p>
          <w:p w:rsidR="003F7E71" w:rsidRPr="00183337" w:rsidRDefault="003F7E71" w:rsidP="003F7E71">
            <w:pPr>
              <w:keepNext/>
              <w:keepLines/>
              <w:rPr>
                <w:rFonts w:eastAsia="SimSun"/>
              </w:rPr>
            </w:pPr>
            <w:r>
              <w:t>Entspricht die Sorte am Ende der beiden Wachstumsperioden in einer Wachstumsperiode dem Homogenitätsstandard, in der anderen Wachstumsperiode aber nicht, wird eine Sorte als homogen betrachtet, wenn die Anzahl der Abweichertypen am Ende der beiden Wachstumsperioden die Anzahl der erlaubten Abweichertypen der kombinierten Probe nicht übersteigt.</w:t>
            </w:r>
          </w:p>
          <w:p w:rsidR="003F7E71" w:rsidRPr="00183337" w:rsidRDefault="003F7E71" w:rsidP="003F7E71">
            <w:pPr>
              <w:keepNext/>
              <w:keepLines/>
              <w:ind w:right="459"/>
              <w:rPr>
                <w:rFonts w:eastAsia="SimSun"/>
              </w:rPr>
            </w:pPr>
          </w:p>
          <w:p w:rsidR="003F7E71" w:rsidRDefault="003F7E71" w:rsidP="003F7E71">
            <w:pPr>
              <w:keepNext/>
              <w:keepLines/>
              <w:rPr>
                <w:rFonts w:eastAsia="SimSun"/>
              </w:rPr>
            </w:pPr>
            <w:r>
              <w:t>Bei der Prüfung von Ergebnissen, die in jeder der Wachstumsperioden sehr unterschiedlich sind, muß mit größter Sorgfalt verfahren werden, etwa wenn ein Abweichertyp in einer Wachstumsperiode sehr häufig und in einer anderen überhaupt nicht vorkommt.</w:t>
            </w:r>
          </w:p>
          <w:p w:rsidR="003F7E71" w:rsidRDefault="003F7E71" w:rsidP="003F7E71">
            <w:pPr>
              <w:keepNext/>
              <w:keepLines/>
              <w:rPr>
                <w:rFonts w:eastAsia="SimSun"/>
                <w:szCs w:val="24"/>
              </w:rPr>
            </w:pPr>
          </w:p>
          <w:p w:rsidR="003F7E71" w:rsidRDefault="003F7E71" w:rsidP="003F7E71">
            <w:pPr>
              <w:keepNext/>
              <w:keepLines/>
              <w:rPr>
                <w:rFonts w:eastAsia="SimSun"/>
                <w:szCs w:val="24"/>
              </w:rPr>
            </w:pPr>
            <w:r>
              <w:t>Eine Sorte kann unter gewissen Umständen nach einer Wachstumsperiode zurückgewiesen werden.</w:t>
            </w:r>
          </w:p>
          <w:p w:rsidR="003F7E71" w:rsidRPr="00BD2498" w:rsidRDefault="00A425B2" w:rsidP="003F7E71">
            <w:pPr>
              <w:keepNext/>
              <w:keepLines/>
              <w:jc w:val="left"/>
              <w:rPr>
                <w:szCs w:val="24"/>
              </w:rPr>
            </w:pPr>
            <w:r>
              <w:rPr>
                <w:rFonts w:eastAsia="SimSun"/>
                <w:szCs w:val="24"/>
              </w:rPr>
              <w:pict>
                <v:rect id="_x0000_i1025" style="width:0;height:1.5pt" o:hralign="center" o:hrstd="t" o:hr="t" fillcolor="#a0a0a0" stroked="f"/>
              </w:pict>
            </w:r>
            <w:r w:rsidR="00AC1EDD">
              <w:t>Beispiel:</w:t>
            </w:r>
          </w:p>
          <w:p w:rsidR="003F7E71" w:rsidRDefault="003F7E71" w:rsidP="003F7E71">
            <w:pPr>
              <w:keepNext/>
              <w:keepLines/>
              <w:rPr>
                <w:rFonts w:eastAsia="SimSun"/>
                <w:szCs w:val="24"/>
              </w:rPr>
            </w:pPr>
          </w:p>
          <w:tbl>
            <w:tblPr>
              <w:tblW w:w="7500" w:type="dxa"/>
              <w:tblInd w:w="600" w:type="dxa"/>
              <w:tblLook w:val="04A0" w:firstRow="1" w:lastRow="0" w:firstColumn="1" w:lastColumn="0" w:noHBand="0" w:noVBand="1"/>
            </w:tblPr>
            <w:tblGrid>
              <w:gridCol w:w="424"/>
              <w:gridCol w:w="696"/>
              <w:gridCol w:w="1134"/>
              <w:gridCol w:w="180"/>
              <w:gridCol w:w="954"/>
              <w:gridCol w:w="1807"/>
              <w:gridCol w:w="320"/>
              <w:gridCol w:w="1985"/>
            </w:tblGrid>
            <w:tr w:rsidR="003F7E71" w:rsidRPr="00304612" w:rsidTr="003F7E71">
              <w:trPr>
                <w:trHeight w:val="255"/>
              </w:trPr>
              <w:tc>
                <w:tcPr>
                  <w:tcW w:w="1120" w:type="dxa"/>
                  <w:gridSpan w:val="2"/>
                  <w:tcBorders>
                    <w:top w:val="nil"/>
                    <w:left w:val="nil"/>
                    <w:bottom w:val="nil"/>
                  </w:tcBorders>
                  <w:shd w:val="clear" w:color="auto" w:fill="auto"/>
                  <w:noWrap/>
                  <w:vAlign w:val="bottom"/>
                </w:tcPr>
                <w:p w:rsidR="003F7E71" w:rsidRPr="00304612" w:rsidRDefault="003F7E71" w:rsidP="003F7E71">
                  <w:pPr>
                    <w:jc w:val="left"/>
                    <w:rPr>
                      <w:rFonts w:cs="Arial"/>
                      <w:color w:val="000000"/>
                    </w:rPr>
                  </w:pPr>
                </w:p>
              </w:tc>
              <w:tc>
                <w:tcPr>
                  <w:tcW w:w="6380" w:type="dxa"/>
                  <w:gridSpan w:val="6"/>
                  <w:tcBorders>
                    <w:top w:val="nil"/>
                    <w:right w:val="nil"/>
                  </w:tcBorders>
                  <w:shd w:val="clear" w:color="auto" w:fill="auto"/>
                  <w:vAlign w:val="bottom"/>
                </w:tcPr>
                <w:p w:rsidR="003F7E71" w:rsidRPr="00304612" w:rsidRDefault="003F7E71" w:rsidP="003F7E71">
                  <w:pPr>
                    <w:jc w:val="left"/>
                    <w:rPr>
                      <w:rFonts w:cs="Arial"/>
                      <w:color w:val="000000"/>
                    </w:rPr>
                  </w:pPr>
                  <w:r>
                    <w:rPr>
                      <w:color w:val="000000"/>
                    </w:rPr>
                    <w:t xml:space="preserve">Populationsstandard  = 1%  </w:t>
                  </w:r>
                </w:p>
              </w:tc>
            </w:tr>
            <w:tr w:rsidR="003F7E71" w:rsidRPr="00304612" w:rsidTr="003F7E71">
              <w:trPr>
                <w:trHeight w:val="270"/>
              </w:trPr>
              <w:tc>
                <w:tcPr>
                  <w:tcW w:w="1120" w:type="dxa"/>
                  <w:gridSpan w:val="2"/>
                  <w:tcBorders>
                    <w:top w:val="nil"/>
                    <w:left w:val="nil"/>
                    <w:bottom w:val="nil"/>
                  </w:tcBorders>
                  <w:shd w:val="clear" w:color="auto" w:fill="auto"/>
                  <w:noWrap/>
                  <w:vAlign w:val="bottom"/>
                  <w:hideMark/>
                </w:tcPr>
                <w:p w:rsidR="003F7E71" w:rsidRPr="00304612" w:rsidRDefault="003F7E71" w:rsidP="003F7E71">
                  <w:pPr>
                    <w:jc w:val="left"/>
                    <w:rPr>
                      <w:rFonts w:cs="Arial"/>
                      <w:color w:val="000000"/>
                    </w:rPr>
                  </w:pPr>
                </w:p>
              </w:tc>
              <w:tc>
                <w:tcPr>
                  <w:tcW w:w="6380" w:type="dxa"/>
                  <w:gridSpan w:val="6"/>
                  <w:tcBorders>
                    <w:top w:val="nil"/>
                    <w:bottom w:val="single" w:sz="4" w:space="0" w:color="auto"/>
                    <w:right w:val="nil"/>
                  </w:tcBorders>
                  <w:shd w:val="clear" w:color="auto" w:fill="auto"/>
                  <w:vAlign w:val="bottom"/>
                </w:tcPr>
                <w:p w:rsidR="003F7E71" w:rsidRPr="00304612" w:rsidRDefault="003F7E71" w:rsidP="003F7E71">
                  <w:pPr>
                    <w:jc w:val="left"/>
                    <w:rPr>
                      <w:rFonts w:cs="Arial"/>
                      <w:color w:val="000000"/>
                    </w:rPr>
                  </w:pPr>
                  <w:r>
                    <w:rPr>
                      <w:color w:val="000000"/>
                    </w:rPr>
                    <w:t>Akzeptanzwahrscheinlichkeit ≥ 95%</w:t>
                  </w:r>
                </w:p>
              </w:tc>
            </w:tr>
            <w:tr w:rsidR="003F7E71" w:rsidRPr="00304612" w:rsidTr="003F7E71">
              <w:trPr>
                <w:gridBefore w:val="2"/>
                <w:wBefore w:w="1120" w:type="dxa"/>
                <w:trHeight w:val="255"/>
              </w:trPr>
              <w:tc>
                <w:tcPr>
                  <w:tcW w:w="6380" w:type="dxa"/>
                  <w:gridSpan w:val="6"/>
                  <w:tcBorders>
                    <w:top w:val="single" w:sz="4" w:space="0" w:color="auto"/>
                    <w:left w:val="single" w:sz="4" w:space="0" w:color="auto"/>
                    <w:bottom w:val="nil"/>
                    <w:right w:val="single" w:sz="8" w:space="0" w:color="000000"/>
                  </w:tcBorders>
                  <w:shd w:val="clear" w:color="auto" w:fill="auto"/>
                  <w:vAlign w:val="bottom"/>
                </w:tcPr>
                <w:p w:rsidR="003F7E71" w:rsidRPr="00304612" w:rsidRDefault="003F7E71" w:rsidP="003F7E71">
                  <w:pPr>
                    <w:jc w:val="left"/>
                    <w:rPr>
                      <w:rFonts w:cs="Arial"/>
                      <w:color w:val="000000"/>
                    </w:rPr>
                  </w:pPr>
                  <w:r>
                    <w:rPr>
                      <w:color w:val="000000"/>
                    </w:rPr>
                    <w:t>Probengröße in jeder der Wachstumsperioden 1 und 2 = 50</w:t>
                  </w:r>
                </w:p>
              </w:tc>
            </w:tr>
            <w:tr w:rsidR="003F7E71" w:rsidRPr="00304612" w:rsidTr="003F7E71">
              <w:trPr>
                <w:gridBefore w:val="2"/>
                <w:wBefore w:w="1120" w:type="dxa"/>
                <w:trHeight w:val="270"/>
              </w:trPr>
              <w:tc>
                <w:tcPr>
                  <w:tcW w:w="6380" w:type="dxa"/>
                  <w:gridSpan w:val="6"/>
                  <w:tcBorders>
                    <w:top w:val="nil"/>
                    <w:left w:val="single" w:sz="4" w:space="0" w:color="auto"/>
                    <w:bottom w:val="single" w:sz="8" w:space="0" w:color="auto"/>
                    <w:right w:val="single" w:sz="8" w:space="0" w:color="000000"/>
                  </w:tcBorders>
                  <w:shd w:val="clear" w:color="auto" w:fill="auto"/>
                  <w:vAlign w:val="bottom"/>
                </w:tcPr>
                <w:p w:rsidR="003F7E71" w:rsidRPr="00304612" w:rsidRDefault="003F7E71" w:rsidP="003F7E71">
                  <w:pPr>
                    <w:jc w:val="left"/>
                    <w:rPr>
                      <w:rFonts w:cs="Arial"/>
                      <w:color w:val="000000"/>
                    </w:rPr>
                  </w:pPr>
                  <w:r>
                    <w:rPr>
                      <w:color w:val="000000"/>
                    </w:rPr>
                    <w:t>Höchstzahl an Abweichertypen = 2</w:t>
                  </w:r>
                </w:p>
              </w:tc>
            </w:tr>
            <w:tr w:rsidR="003F7E71" w:rsidRPr="00304612" w:rsidTr="003F7E71">
              <w:trPr>
                <w:gridBefore w:val="2"/>
                <w:wBefore w:w="1120" w:type="dxa"/>
                <w:trHeight w:val="270"/>
              </w:trPr>
              <w:tc>
                <w:tcPr>
                  <w:tcW w:w="6380" w:type="dxa"/>
                  <w:gridSpan w:val="6"/>
                  <w:tcBorders>
                    <w:top w:val="nil"/>
                    <w:left w:val="single" w:sz="4" w:space="0" w:color="auto"/>
                    <w:bottom w:val="nil"/>
                    <w:right w:val="single" w:sz="4" w:space="0" w:color="auto"/>
                  </w:tcBorders>
                  <w:shd w:val="clear" w:color="auto" w:fill="auto"/>
                  <w:vAlign w:val="bottom"/>
                </w:tcPr>
                <w:p w:rsidR="003F7E71" w:rsidRPr="00304612" w:rsidRDefault="003F7E71" w:rsidP="003F7E71">
                  <w:pPr>
                    <w:jc w:val="left"/>
                    <w:rPr>
                      <w:rFonts w:cs="Arial"/>
                      <w:color w:val="000000"/>
                    </w:rPr>
                  </w:pPr>
                  <w:r>
                    <w:rPr>
                      <w:color w:val="000000"/>
                    </w:rPr>
                    <w:t>Probengröße in den kombinierten Wachstumsperioden 1 und 2 = 100</w:t>
                  </w:r>
                </w:p>
              </w:tc>
            </w:tr>
            <w:tr w:rsidR="003F7E71" w:rsidRPr="00304612" w:rsidTr="003F7E71">
              <w:trPr>
                <w:gridBefore w:val="2"/>
                <w:wBefore w:w="1120" w:type="dxa"/>
                <w:trHeight w:val="270"/>
              </w:trPr>
              <w:tc>
                <w:tcPr>
                  <w:tcW w:w="6380" w:type="dxa"/>
                  <w:gridSpan w:val="6"/>
                  <w:tcBorders>
                    <w:top w:val="nil"/>
                    <w:left w:val="single" w:sz="4" w:space="0" w:color="auto"/>
                    <w:bottom w:val="single" w:sz="4" w:space="0" w:color="auto"/>
                    <w:right w:val="single" w:sz="4" w:space="0" w:color="auto"/>
                  </w:tcBorders>
                  <w:shd w:val="clear" w:color="auto" w:fill="auto"/>
                  <w:vAlign w:val="bottom"/>
                </w:tcPr>
                <w:p w:rsidR="003F7E71" w:rsidRPr="00304612" w:rsidRDefault="003F7E71" w:rsidP="003F7E71">
                  <w:pPr>
                    <w:jc w:val="left"/>
                    <w:rPr>
                      <w:rFonts w:cs="Arial"/>
                      <w:color w:val="000000"/>
                    </w:rPr>
                  </w:pPr>
                  <w:r>
                    <w:rPr>
                      <w:color w:val="000000"/>
                    </w:rPr>
                    <w:t>Höchstzahl an Abweichertypen = 3</w:t>
                  </w:r>
                </w:p>
              </w:tc>
            </w:tr>
            <w:tr w:rsidR="003F7E71" w:rsidRPr="00BD2498" w:rsidTr="003F7E71">
              <w:trPr>
                <w:gridBefore w:val="2"/>
                <w:wBefore w:w="1120" w:type="dxa"/>
                <w:trHeight w:val="239"/>
              </w:trPr>
              <w:tc>
                <w:tcPr>
                  <w:tcW w:w="1314" w:type="dxa"/>
                  <w:gridSpan w:val="2"/>
                  <w:tcBorders>
                    <w:top w:val="nil"/>
                    <w:left w:val="nil"/>
                    <w:bottom w:val="single" w:sz="4" w:space="0" w:color="auto"/>
                    <w:right w:val="nil"/>
                  </w:tcBorders>
                  <w:shd w:val="clear" w:color="auto" w:fill="auto"/>
                  <w:noWrap/>
                  <w:vAlign w:val="bottom"/>
                  <w:hideMark/>
                </w:tcPr>
                <w:p w:rsidR="003F7E71" w:rsidRPr="00BD2498" w:rsidRDefault="003F7E71" w:rsidP="003F7E71">
                  <w:pPr>
                    <w:jc w:val="left"/>
                    <w:rPr>
                      <w:rFonts w:cs="Arial"/>
                      <w:color w:val="000000"/>
                    </w:rPr>
                  </w:pPr>
                  <w:r>
                    <w:rPr>
                      <w:color w:val="000000"/>
                    </w:rPr>
                    <w:t> </w:t>
                  </w:r>
                </w:p>
              </w:tc>
              <w:tc>
                <w:tcPr>
                  <w:tcW w:w="954" w:type="dxa"/>
                  <w:tcBorders>
                    <w:top w:val="nil"/>
                    <w:left w:val="nil"/>
                    <w:bottom w:val="single" w:sz="4" w:space="0" w:color="auto"/>
                    <w:right w:val="nil"/>
                  </w:tcBorders>
                  <w:shd w:val="clear" w:color="auto" w:fill="auto"/>
                  <w:noWrap/>
                  <w:vAlign w:val="bottom"/>
                  <w:hideMark/>
                </w:tcPr>
                <w:p w:rsidR="003F7E71" w:rsidRPr="00BD2498" w:rsidRDefault="003F7E71" w:rsidP="003F7E71">
                  <w:pPr>
                    <w:jc w:val="left"/>
                    <w:rPr>
                      <w:rFonts w:cs="Arial"/>
                      <w:color w:val="000000"/>
                    </w:rPr>
                  </w:pPr>
                  <w:r>
                    <w:rPr>
                      <w:color w:val="000000"/>
                    </w:rPr>
                    <w:t> </w:t>
                  </w:r>
                </w:p>
              </w:tc>
              <w:tc>
                <w:tcPr>
                  <w:tcW w:w="1807" w:type="dxa"/>
                  <w:tcBorders>
                    <w:top w:val="nil"/>
                    <w:left w:val="nil"/>
                    <w:bottom w:val="single" w:sz="4" w:space="0" w:color="auto"/>
                    <w:right w:val="nil"/>
                  </w:tcBorders>
                  <w:shd w:val="clear" w:color="auto" w:fill="auto"/>
                  <w:noWrap/>
                  <w:vAlign w:val="bottom"/>
                  <w:hideMark/>
                </w:tcPr>
                <w:p w:rsidR="003F7E71" w:rsidRPr="00BD2498" w:rsidRDefault="003F7E71" w:rsidP="003F7E71">
                  <w:pPr>
                    <w:jc w:val="left"/>
                    <w:rPr>
                      <w:rFonts w:cs="Arial"/>
                      <w:color w:val="000000"/>
                    </w:rPr>
                  </w:pPr>
                  <w:r>
                    <w:rPr>
                      <w:color w:val="000000"/>
                    </w:rPr>
                    <w:t> </w:t>
                  </w:r>
                </w:p>
              </w:tc>
              <w:tc>
                <w:tcPr>
                  <w:tcW w:w="2305" w:type="dxa"/>
                  <w:gridSpan w:val="2"/>
                  <w:tcBorders>
                    <w:top w:val="nil"/>
                    <w:left w:val="nil"/>
                    <w:bottom w:val="single" w:sz="4" w:space="0" w:color="auto"/>
                    <w:right w:val="nil"/>
                  </w:tcBorders>
                  <w:shd w:val="clear" w:color="auto" w:fill="auto"/>
                  <w:noWrap/>
                  <w:vAlign w:val="bottom"/>
                  <w:hideMark/>
                </w:tcPr>
                <w:p w:rsidR="003F7E71" w:rsidRPr="00BD2498" w:rsidRDefault="003F7E71" w:rsidP="003F7E71">
                  <w:pPr>
                    <w:jc w:val="left"/>
                    <w:rPr>
                      <w:rFonts w:cs="Arial"/>
                      <w:color w:val="000000"/>
                    </w:rPr>
                  </w:pPr>
                  <w:r>
                    <w:rPr>
                      <w:color w:val="000000"/>
                    </w:rPr>
                    <w:t> </w:t>
                  </w:r>
                </w:p>
              </w:tc>
            </w:tr>
            <w:tr w:rsidR="003F7E71" w:rsidRPr="00BD2498" w:rsidTr="003F7E71">
              <w:trPr>
                <w:gridBefore w:val="1"/>
                <w:wBefore w:w="426" w:type="dxa"/>
                <w:trHeight w:val="380"/>
              </w:trPr>
              <w:tc>
                <w:tcPr>
                  <w:tcW w:w="694" w:type="dxa"/>
                  <w:tcBorders>
                    <w:top w:val="nil"/>
                    <w:left w:val="nil"/>
                    <w:bottom w:val="nil"/>
                    <w:right w:val="single" w:sz="4" w:space="0" w:color="auto"/>
                  </w:tcBorders>
                  <w:shd w:val="clear" w:color="auto" w:fill="auto"/>
                  <w:noWrap/>
                  <w:vAlign w:val="bottom"/>
                  <w:hideMark/>
                </w:tcPr>
                <w:p w:rsidR="003F7E71" w:rsidRPr="00BD2498" w:rsidRDefault="003F7E71" w:rsidP="003F7E71">
                  <w:pPr>
                    <w:jc w:val="left"/>
                    <w:rPr>
                      <w:rFonts w:cs="Arial"/>
                      <w:color w:val="000000"/>
                    </w:rPr>
                  </w:pPr>
                  <w:r>
                    <w:rPr>
                      <w:color w:val="000000"/>
                    </w:rPr>
                    <w:t> </w:t>
                  </w:r>
                </w:p>
              </w:tc>
              <w:tc>
                <w:tcPr>
                  <w:tcW w:w="2268" w:type="dxa"/>
                  <w:gridSpan w:val="3"/>
                  <w:tcBorders>
                    <w:top w:val="nil"/>
                    <w:left w:val="nil"/>
                    <w:bottom w:val="single" w:sz="4" w:space="0" w:color="auto"/>
                    <w:right w:val="single" w:sz="4" w:space="0" w:color="000000"/>
                  </w:tcBorders>
                  <w:shd w:val="clear" w:color="auto" w:fill="auto"/>
                  <w:noWrap/>
                  <w:vAlign w:val="center"/>
                  <w:hideMark/>
                </w:tcPr>
                <w:p w:rsidR="003F7E71" w:rsidRPr="00BD2498" w:rsidRDefault="003F7E71" w:rsidP="003F7E71">
                  <w:pPr>
                    <w:jc w:val="center"/>
                    <w:rPr>
                      <w:rFonts w:cs="Arial"/>
                      <w:color w:val="000000"/>
                    </w:rPr>
                  </w:pPr>
                  <w:r>
                    <w:rPr>
                      <w:color w:val="000000"/>
                    </w:rPr>
                    <w:t>Wachstumsperiode</w:t>
                  </w:r>
                </w:p>
              </w:tc>
              <w:tc>
                <w:tcPr>
                  <w:tcW w:w="41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3F7E71" w:rsidRPr="00BD2498" w:rsidRDefault="003F7E71" w:rsidP="003F7E71">
                  <w:pPr>
                    <w:jc w:val="center"/>
                    <w:rPr>
                      <w:rFonts w:cs="Arial"/>
                      <w:color w:val="000000"/>
                    </w:rPr>
                  </w:pPr>
                  <w:r>
                    <w:rPr>
                      <w:color w:val="000000"/>
                    </w:rPr>
                    <w:t>Entscheidung</w:t>
                  </w:r>
                </w:p>
              </w:tc>
            </w:tr>
            <w:tr w:rsidR="003F7E71" w:rsidRPr="00BD2498" w:rsidTr="003F7E71">
              <w:trPr>
                <w:gridBefore w:val="1"/>
                <w:wBefore w:w="426" w:type="dxa"/>
                <w:trHeight w:val="236"/>
              </w:trPr>
              <w:tc>
                <w:tcPr>
                  <w:tcW w:w="694" w:type="dxa"/>
                  <w:tcBorders>
                    <w:top w:val="nil"/>
                    <w:left w:val="nil"/>
                    <w:bottom w:val="single" w:sz="4" w:space="0" w:color="auto"/>
                    <w:right w:val="single" w:sz="4" w:space="0" w:color="auto"/>
                  </w:tcBorders>
                  <w:shd w:val="clear" w:color="auto" w:fill="auto"/>
                  <w:noWrap/>
                  <w:vAlign w:val="bottom"/>
                  <w:hideMark/>
                </w:tcPr>
                <w:p w:rsidR="003F7E71" w:rsidRPr="00BD2498" w:rsidRDefault="003F7E71" w:rsidP="003F7E71">
                  <w:pPr>
                    <w:jc w:val="left"/>
                    <w:rPr>
                      <w:rFonts w:cs="Arial"/>
                      <w:color w:val="000000"/>
                    </w:rPr>
                  </w:pPr>
                  <w:r>
                    <w:rPr>
                      <w:color w:val="000000"/>
                    </w:rPr>
                    <w:t> </w:t>
                  </w:r>
                </w:p>
              </w:tc>
              <w:tc>
                <w:tcPr>
                  <w:tcW w:w="1134" w:type="dxa"/>
                  <w:tcBorders>
                    <w:top w:val="nil"/>
                    <w:left w:val="nil"/>
                    <w:bottom w:val="single" w:sz="8" w:space="0" w:color="auto"/>
                    <w:right w:val="single" w:sz="4" w:space="0" w:color="auto"/>
                  </w:tcBorders>
                  <w:shd w:val="clear" w:color="auto" w:fill="auto"/>
                  <w:noWrap/>
                  <w:vAlign w:val="bottom"/>
                  <w:hideMark/>
                </w:tcPr>
                <w:p w:rsidR="003F7E71" w:rsidRPr="00BD2498" w:rsidRDefault="00604487" w:rsidP="003F7E71">
                  <w:pPr>
                    <w:spacing w:after="100" w:afterAutospacing="1"/>
                    <w:jc w:val="center"/>
                    <w:rPr>
                      <w:rFonts w:cs="Arial"/>
                      <w:color w:val="000000"/>
                    </w:rPr>
                  </w:pPr>
                  <w:r>
                    <w:rPr>
                      <w:color w:val="000000"/>
                    </w:rPr>
                    <w:t>Erste</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3F7E71" w:rsidRPr="00BD2498" w:rsidRDefault="00604487" w:rsidP="003F7E71">
                  <w:pPr>
                    <w:jc w:val="center"/>
                    <w:rPr>
                      <w:rFonts w:cs="Arial"/>
                      <w:color w:val="000000"/>
                    </w:rPr>
                  </w:pPr>
                  <w:r>
                    <w:rPr>
                      <w:color w:val="000000"/>
                    </w:rPr>
                    <w:t>Zweite</w:t>
                  </w:r>
                </w:p>
              </w:tc>
              <w:tc>
                <w:tcPr>
                  <w:tcW w:w="2127" w:type="dxa"/>
                  <w:gridSpan w:val="2"/>
                  <w:tcBorders>
                    <w:top w:val="nil"/>
                    <w:left w:val="nil"/>
                    <w:bottom w:val="single" w:sz="8" w:space="0" w:color="auto"/>
                    <w:right w:val="single" w:sz="4" w:space="0" w:color="auto"/>
                  </w:tcBorders>
                  <w:shd w:val="clear" w:color="auto" w:fill="auto"/>
                  <w:noWrap/>
                  <w:vAlign w:val="center"/>
                  <w:hideMark/>
                </w:tcPr>
                <w:p w:rsidR="003F7E71" w:rsidRPr="00BD2498" w:rsidRDefault="003F7E71" w:rsidP="003F7E71">
                  <w:pPr>
                    <w:jc w:val="center"/>
                    <w:rPr>
                      <w:rFonts w:cs="Arial"/>
                      <w:color w:val="000000"/>
                    </w:rPr>
                  </w:pPr>
                  <w:r>
                    <w:rPr>
                      <w:color w:val="000000"/>
                    </w:rPr>
                    <w:t>Ansatz 1</w:t>
                  </w:r>
                </w:p>
              </w:tc>
              <w:tc>
                <w:tcPr>
                  <w:tcW w:w="1985" w:type="dxa"/>
                  <w:tcBorders>
                    <w:top w:val="nil"/>
                    <w:left w:val="nil"/>
                    <w:bottom w:val="single" w:sz="8" w:space="0" w:color="auto"/>
                    <w:right w:val="single" w:sz="4" w:space="0" w:color="auto"/>
                  </w:tcBorders>
                  <w:shd w:val="clear" w:color="auto" w:fill="auto"/>
                  <w:noWrap/>
                  <w:vAlign w:val="center"/>
                  <w:hideMark/>
                </w:tcPr>
                <w:p w:rsidR="003F7E71" w:rsidRPr="00BD2498" w:rsidRDefault="003F7E71" w:rsidP="003F7E71">
                  <w:pPr>
                    <w:jc w:val="center"/>
                    <w:rPr>
                      <w:rFonts w:cs="Arial"/>
                      <w:color w:val="000000"/>
                    </w:rPr>
                  </w:pPr>
                  <w:r>
                    <w:rPr>
                      <w:color w:val="000000"/>
                    </w:rPr>
                    <w:t>Ansatz 2</w:t>
                  </w:r>
                </w:p>
              </w:tc>
            </w:tr>
            <w:tr w:rsidR="003F7E71" w:rsidRPr="00BD2498" w:rsidTr="003F7E71">
              <w:trPr>
                <w:gridBefore w:val="1"/>
                <w:wBefore w:w="426" w:type="dxa"/>
                <w:trHeight w:val="240"/>
              </w:trPr>
              <w:tc>
                <w:tcPr>
                  <w:tcW w:w="694" w:type="dxa"/>
                  <w:vMerge w:val="restart"/>
                  <w:tcBorders>
                    <w:top w:val="nil"/>
                    <w:left w:val="single" w:sz="4" w:space="0" w:color="auto"/>
                    <w:right w:val="single" w:sz="4" w:space="0" w:color="000000"/>
                  </w:tcBorders>
                  <w:shd w:val="clear" w:color="auto" w:fill="auto"/>
                  <w:textDirection w:val="btLr"/>
                  <w:vAlign w:val="center"/>
                  <w:hideMark/>
                </w:tcPr>
                <w:p w:rsidR="003F7E71" w:rsidRPr="00BD2498" w:rsidRDefault="003F7E71" w:rsidP="003F7E71">
                  <w:pPr>
                    <w:jc w:val="center"/>
                    <w:rPr>
                      <w:rFonts w:cs="Arial"/>
                      <w:color w:val="000000"/>
                    </w:rPr>
                  </w:pPr>
                  <w:r>
                    <w:rPr>
                      <w:color w:val="000000"/>
                    </w:rPr>
                    <w:t xml:space="preserve">Anzahl an </w:t>
                  </w:r>
                  <w:r>
                    <w:rPr>
                      <w:rFonts w:cs="Arial"/>
                      <w:color w:val="000000"/>
                    </w:rPr>
                    <w:br/>
                  </w:r>
                  <w:r>
                    <w:rPr>
                      <w:color w:val="000000"/>
                    </w:rPr>
                    <w:t>Abweichertypen</w:t>
                  </w:r>
                </w:p>
              </w:tc>
              <w:tc>
                <w:tcPr>
                  <w:tcW w:w="1134" w:type="dxa"/>
                  <w:tcBorders>
                    <w:top w:val="nil"/>
                    <w:left w:val="single" w:sz="8" w:space="0" w:color="auto"/>
                    <w:bottom w:val="single" w:sz="8" w:space="0" w:color="auto"/>
                    <w:right w:val="single" w:sz="4" w:space="0" w:color="auto"/>
                  </w:tcBorders>
                  <w:shd w:val="clear" w:color="auto" w:fill="auto"/>
                  <w:noWrap/>
                  <w:vAlign w:val="center"/>
                  <w:hideMark/>
                </w:tcPr>
                <w:p w:rsidR="003F7E71" w:rsidRPr="00BD2498" w:rsidRDefault="003F7E71" w:rsidP="003F7E71">
                  <w:pPr>
                    <w:jc w:val="center"/>
                    <w:rPr>
                      <w:rFonts w:cs="Arial"/>
                      <w:color w:val="000000"/>
                    </w:rPr>
                  </w:pPr>
                  <w:r>
                    <w:rPr>
                      <w:color w:val="000000"/>
                    </w:rPr>
                    <w:t>2</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3F7E71" w:rsidRPr="00BD2498" w:rsidRDefault="003F7E71" w:rsidP="003F7E71">
                  <w:pPr>
                    <w:jc w:val="center"/>
                    <w:rPr>
                      <w:rFonts w:cs="Arial"/>
                      <w:color w:val="000000"/>
                    </w:rPr>
                  </w:pPr>
                  <w:r>
                    <w:rPr>
                      <w:color w:val="000000"/>
                    </w:rPr>
                    <w:t>2</w:t>
                  </w:r>
                </w:p>
              </w:tc>
              <w:tc>
                <w:tcPr>
                  <w:tcW w:w="2127" w:type="dxa"/>
                  <w:gridSpan w:val="2"/>
                  <w:tcBorders>
                    <w:top w:val="nil"/>
                    <w:left w:val="nil"/>
                    <w:bottom w:val="single" w:sz="8" w:space="0" w:color="auto"/>
                    <w:right w:val="single" w:sz="4" w:space="0" w:color="auto"/>
                  </w:tcBorders>
                  <w:shd w:val="clear" w:color="auto" w:fill="auto"/>
                  <w:noWrap/>
                  <w:vAlign w:val="center"/>
                  <w:hideMark/>
                </w:tcPr>
                <w:p w:rsidR="003F7E71" w:rsidRPr="00BD2498" w:rsidRDefault="003F7E71" w:rsidP="003F7E71">
                  <w:pPr>
                    <w:jc w:val="center"/>
                    <w:rPr>
                      <w:rFonts w:cs="Arial"/>
                      <w:color w:val="000000"/>
                    </w:rPr>
                  </w:pPr>
                  <w:r>
                    <w:rPr>
                      <w:color w:val="000000"/>
                    </w:rPr>
                    <w:t>homogen</w:t>
                  </w:r>
                </w:p>
              </w:tc>
              <w:tc>
                <w:tcPr>
                  <w:tcW w:w="1985" w:type="dxa"/>
                  <w:tcBorders>
                    <w:top w:val="nil"/>
                    <w:left w:val="nil"/>
                    <w:bottom w:val="single" w:sz="8" w:space="0" w:color="auto"/>
                    <w:right w:val="single" w:sz="8" w:space="0" w:color="auto"/>
                  </w:tcBorders>
                  <w:shd w:val="clear" w:color="auto" w:fill="auto"/>
                  <w:vAlign w:val="center"/>
                  <w:hideMark/>
                </w:tcPr>
                <w:p w:rsidR="003F7E71" w:rsidRPr="00BD2498" w:rsidRDefault="003F7E71" w:rsidP="003F7E71">
                  <w:pPr>
                    <w:jc w:val="center"/>
                    <w:rPr>
                      <w:rFonts w:cs="Arial"/>
                      <w:color w:val="000000"/>
                    </w:rPr>
                  </w:pPr>
                  <w:r>
                    <w:rPr>
                      <w:color w:val="000000"/>
                    </w:rPr>
                    <w:t>homogen</w:t>
                  </w:r>
                </w:p>
              </w:tc>
            </w:tr>
            <w:tr w:rsidR="003F7E71" w:rsidRPr="00BD2498" w:rsidTr="003F7E71">
              <w:trPr>
                <w:gridBefore w:val="1"/>
                <w:wBefore w:w="426" w:type="dxa"/>
                <w:trHeight w:val="273"/>
              </w:trPr>
              <w:tc>
                <w:tcPr>
                  <w:tcW w:w="694" w:type="dxa"/>
                  <w:vMerge/>
                  <w:tcBorders>
                    <w:left w:val="single" w:sz="4" w:space="0" w:color="auto"/>
                    <w:right w:val="single" w:sz="4" w:space="0" w:color="000000"/>
                  </w:tcBorders>
                  <w:vAlign w:val="center"/>
                  <w:hideMark/>
                </w:tcPr>
                <w:p w:rsidR="003F7E71" w:rsidRPr="00BD2498" w:rsidRDefault="003F7E71" w:rsidP="003F7E71">
                  <w:pPr>
                    <w:jc w:val="left"/>
                    <w:rPr>
                      <w:rFonts w:cs="Arial"/>
                      <w:color w:val="000000"/>
                    </w:rPr>
                  </w:pPr>
                </w:p>
              </w:tc>
              <w:tc>
                <w:tcPr>
                  <w:tcW w:w="1134" w:type="dxa"/>
                  <w:tcBorders>
                    <w:top w:val="nil"/>
                    <w:left w:val="nil"/>
                    <w:bottom w:val="single" w:sz="8" w:space="0" w:color="auto"/>
                    <w:right w:val="single" w:sz="4" w:space="0" w:color="auto"/>
                  </w:tcBorders>
                  <w:shd w:val="clear" w:color="auto" w:fill="auto"/>
                  <w:vAlign w:val="center"/>
                  <w:hideMark/>
                </w:tcPr>
                <w:p w:rsidR="003F7E71" w:rsidRPr="00BD2498" w:rsidRDefault="003F7E71" w:rsidP="003F7E71">
                  <w:pPr>
                    <w:jc w:val="center"/>
                    <w:rPr>
                      <w:rFonts w:cs="Arial"/>
                      <w:color w:val="000000"/>
                    </w:rPr>
                  </w:pPr>
                  <w:r>
                    <w:rPr>
                      <w:color w:val="000000"/>
                    </w:rPr>
                    <w:t>0</w:t>
                  </w:r>
                </w:p>
              </w:tc>
              <w:tc>
                <w:tcPr>
                  <w:tcW w:w="1134" w:type="dxa"/>
                  <w:gridSpan w:val="2"/>
                  <w:tcBorders>
                    <w:top w:val="nil"/>
                    <w:left w:val="nil"/>
                    <w:bottom w:val="single" w:sz="8" w:space="0" w:color="auto"/>
                    <w:right w:val="single" w:sz="4" w:space="0" w:color="auto"/>
                  </w:tcBorders>
                  <w:shd w:val="clear" w:color="auto" w:fill="auto"/>
                  <w:vAlign w:val="center"/>
                  <w:hideMark/>
                </w:tcPr>
                <w:p w:rsidR="003F7E71" w:rsidRPr="00BD2498" w:rsidRDefault="003F7E71" w:rsidP="003F7E71">
                  <w:pPr>
                    <w:jc w:val="center"/>
                    <w:rPr>
                      <w:rFonts w:cs="Arial"/>
                      <w:color w:val="000000"/>
                    </w:rPr>
                  </w:pPr>
                  <w:r>
                    <w:rPr>
                      <w:color w:val="000000"/>
                    </w:rPr>
                    <w:t>3</w:t>
                  </w:r>
                </w:p>
              </w:tc>
              <w:tc>
                <w:tcPr>
                  <w:tcW w:w="2127" w:type="dxa"/>
                  <w:gridSpan w:val="2"/>
                  <w:tcBorders>
                    <w:top w:val="nil"/>
                    <w:left w:val="nil"/>
                    <w:bottom w:val="single" w:sz="8" w:space="0" w:color="auto"/>
                    <w:right w:val="single" w:sz="4" w:space="0" w:color="auto"/>
                  </w:tcBorders>
                  <w:shd w:val="clear" w:color="auto" w:fill="auto"/>
                  <w:vAlign w:val="center"/>
                  <w:hideMark/>
                </w:tcPr>
                <w:p w:rsidR="003F7E71" w:rsidRPr="00BD2498" w:rsidRDefault="003F7E71" w:rsidP="003F7E71">
                  <w:pPr>
                    <w:jc w:val="center"/>
                    <w:rPr>
                      <w:rFonts w:cs="Arial"/>
                      <w:color w:val="000000"/>
                    </w:rPr>
                  </w:pPr>
                  <w:r>
                    <w:rPr>
                      <w:color w:val="000000"/>
                    </w:rPr>
                    <w:t>dritte Wachstumsperiode</w:t>
                  </w:r>
                </w:p>
              </w:tc>
              <w:tc>
                <w:tcPr>
                  <w:tcW w:w="1985" w:type="dxa"/>
                  <w:tcBorders>
                    <w:top w:val="nil"/>
                    <w:left w:val="nil"/>
                    <w:bottom w:val="single" w:sz="8" w:space="0" w:color="auto"/>
                    <w:right w:val="single" w:sz="4" w:space="0" w:color="auto"/>
                  </w:tcBorders>
                  <w:shd w:val="clear" w:color="auto" w:fill="auto"/>
                  <w:vAlign w:val="center"/>
                  <w:hideMark/>
                </w:tcPr>
                <w:p w:rsidR="003F7E71" w:rsidRPr="00BD2498" w:rsidRDefault="003F7E71" w:rsidP="003F7E71">
                  <w:pPr>
                    <w:jc w:val="center"/>
                    <w:rPr>
                      <w:rFonts w:cs="Arial"/>
                      <w:color w:val="000000"/>
                    </w:rPr>
                  </w:pPr>
                  <w:r>
                    <w:rPr>
                      <w:color w:val="000000"/>
                    </w:rPr>
                    <w:t>homogen</w:t>
                  </w:r>
                </w:p>
              </w:tc>
            </w:tr>
            <w:tr w:rsidR="003F7E71" w:rsidRPr="00BD2498" w:rsidTr="003F7E71">
              <w:trPr>
                <w:gridBefore w:val="1"/>
                <w:wBefore w:w="426" w:type="dxa"/>
                <w:trHeight w:val="248"/>
              </w:trPr>
              <w:tc>
                <w:tcPr>
                  <w:tcW w:w="694" w:type="dxa"/>
                  <w:vMerge/>
                  <w:tcBorders>
                    <w:left w:val="single" w:sz="4" w:space="0" w:color="auto"/>
                    <w:right w:val="single" w:sz="4" w:space="0" w:color="000000"/>
                  </w:tcBorders>
                  <w:vAlign w:val="center"/>
                  <w:hideMark/>
                </w:tcPr>
                <w:p w:rsidR="003F7E71" w:rsidRPr="00BD2498" w:rsidRDefault="003F7E71" w:rsidP="003F7E71">
                  <w:pPr>
                    <w:jc w:val="left"/>
                    <w:rPr>
                      <w:rFonts w:cs="Arial"/>
                      <w:color w:val="000000"/>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rsidR="003F7E71" w:rsidRPr="00BD2498" w:rsidRDefault="003F7E71" w:rsidP="003F7E71">
                  <w:pPr>
                    <w:jc w:val="center"/>
                    <w:rPr>
                      <w:rFonts w:cs="Arial"/>
                      <w:color w:val="000000"/>
                    </w:rPr>
                  </w:pPr>
                  <w:r>
                    <w:rPr>
                      <w:color w:val="000000"/>
                    </w:rPr>
                    <w:t>1</w:t>
                  </w:r>
                </w:p>
              </w:tc>
              <w:tc>
                <w:tcPr>
                  <w:tcW w:w="1134" w:type="dxa"/>
                  <w:gridSpan w:val="2"/>
                  <w:tcBorders>
                    <w:top w:val="nil"/>
                    <w:left w:val="nil"/>
                    <w:bottom w:val="single" w:sz="8" w:space="0" w:color="auto"/>
                    <w:right w:val="single" w:sz="4" w:space="0" w:color="auto"/>
                  </w:tcBorders>
                  <w:shd w:val="clear" w:color="auto" w:fill="auto"/>
                  <w:vAlign w:val="center"/>
                  <w:hideMark/>
                </w:tcPr>
                <w:p w:rsidR="003F7E71" w:rsidRPr="00BD2498" w:rsidRDefault="003F7E71" w:rsidP="003F7E71">
                  <w:pPr>
                    <w:jc w:val="center"/>
                    <w:rPr>
                      <w:rFonts w:cs="Arial"/>
                      <w:color w:val="000000"/>
                    </w:rPr>
                  </w:pPr>
                  <w:r>
                    <w:rPr>
                      <w:color w:val="000000"/>
                    </w:rPr>
                    <w:t>3</w:t>
                  </w:r>
                </w:p>
              </w:tc>
              <w:tc>
                <w:tcPr>
                  <w:tcW w:w="2127" w:type="dxa"/>
                  <w:gridSpan w:val="2"/>
                  <w:tcBorders>
                    <w:top w:val="nil"/>
                    <w:left w:val="nil"/>
                    <w:bottom w:val="single" w:sz="8" w:space="0" w:color="auto"/>
                    <w:right w:val="single" w:sz="4" w:space="0" w:color="auto"/>
                  </w:tcBorders>
                  <w:shd w:val="clear" w:color="auto" w:fill="auto"/>
                  <w:vAlign w:val="center"/>
                  <w:hideMark/>
                </w:tcPr>
                <w:p w:rsidR="003F7E71" w:rsidRPr="00BD2498" w:rsidRDefault="003F7E71" w:rsidP="003F7E71">
                  <w:pPr>
                    <w:jc w:val="center"/>
                    <w:rPr>
                      <w:rFonts w:cs="Arial"/>
                      <w:color w:val="000000"/>
                    </w:rPr>
                  </w:pPr>
                  <w:r>
                    <w:rPr>
                      <w:color w:val="000000"/>
                    </w:rPr>
                    <w:t>dritte Wachstumsperiode</w:t>
                  </w:r>
                </w:p>
              </w:tc>
              <w:tc>
                <w:tcPr>
                  <w:tcW w:w="1985" w:type="dxa"/>
                  <w:tcBorders>
                    <w:top w:val="nil"/>
                    <w:left w:val="nil"/>
                    <w:bottom w:val="single" w:sz="8" w:space="0" w:color="auto"/>
                    <w:right w:val="single" w:sz="8" w:space="0" w:color="auto"/>
                  </w:tcBorders>
                  <w:shd w:val="clear" w:color="auto" w:fill="auto"/>
                  <w:vAlign w:val="center"/>
                  <w:hideMark/>
                </w:tcPr>
                <w:p w:rsidR="003F7E71" w:rsidRPr="00BD2498" w:rsidRDefault="003F7E71" w:rsidP="003F7E71">
                  <w:pPr>
                    <w:jc w:val="center"/>
                    <w:rPr>
                      <w:rFonts w:cs="Arial"/>
                      <w:color w:val="000000"/>
                    </w:rPr>
                  </w:pPr>
                  <w:r>
                    <w:rPr>
                      <w:color w:val="000000"/>
                    </w:rPr>
                    <w:t>nicht homogen</w:t>
                  </w:r>
                </w:p>
              </w:tc>
            </w:tr>
            <w:tr w:rsidR="003F7E71" w:rsidRPr="00BD2498" w:rsidTr="003F7E71">
              <w:trPr>
                <w:gridBefore w:val="1"/>
                <w:wBefore w:w="426" w:type="dxa"/>
                <w:trHeight w:val="267"/>
              </w:trPr>
              <w:tc>
                <w:tcPr>
                  <w:tcW w:w="694" w:type="dxa"/>
                  <w:vMerge/>
                  <w:tcBorders>
                    <w:left w:val="single" w:sz="4" w:space="0" w:color="auto"/>
                    <w:right w:val="single" w:sz="4" w:space="0" w:color="000000"/>
                  </w:tcBorders>
                  <w:vAlign w:val="center"/>
                  <w:hideMark/>
                </w:tcPr>
                <w:p w:rsidR="003F7E71" w:rsidRPr="00BD2498" w:rsidRDefault="003F7E71" w:rsidP="003F7E71">
                  <w:pPr>
                    <w:jc w:val="left"/>
                    <w:rPr>
                      <w:rFonts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3F7E71" w:rsidRPr="00BD2498" w:rsidRDefault="003F7E71" w:rsidP="003F7E71">
                  <w:pPr>
                    <w:jc w:val="center"/>
                    <w:rPr>
                      <w:rFonts w:cs="Arial"/>
                      <w:color w:val="000000"/>
                    </w:rPr>
                  </w:pPr>
                  <w:r>
                    <w:rPr>
                      <w:color w:val="000000"/>
                    </w:rPr>
                    <w:t>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7E71" w:rsidRPr="00BD2498" w:rsidRDefault="003F7E71" w:rsidP="003F7E71">
                  <w:pPr>
                    <w:jc w:val="center"/>
                    <w:rPr>
                      <w:rFonts w:cs="Arial"/>
                      <w:color w:val="000000"/>
                    </w:rPr>
                  </w:pPr>
                  <w:r>
                    <w:rPr>
                      <w:color w:val="000000"/>
                    </w:rPr>
                    <w:t>10*</w:t>
                  </w:r>
                </w:p>
              </w:tc>
              <w:tc>
                <w:tcPr>
                  <w:tcW w:w="2127" w:type="dxa"/>
                  <w:gridSpan w:val="2"/>
                  <w:tcBorders>
                    <w:top w:val="nil"/>
                    <w:left w:val="nil"/>
                    <w:bottom w:val="single" w:sz="4" w:space="0" w:color="auto"/>
                    <w:right w:val="single" w:sz="4" w:space="0" w:color="auto"/>
                  </w:tcBorders>
                  <w:shd w:val="clear" w:color="auto" w:fill="auto"/>
                  <w:vAlign w:val="center"/>
                  <w:hideMark/>
                </w:tcPr>
                <w:p w:rsidR="003F7E71" w:rsidRPr="00BD2498" w:rsidRDefault="003F7E71" w:rsidP="003F7E71">
                  <w:pPr>
                    <w:jc w:val="center"/>
                    <w:rPr>
                      <w:rFonts w:cs="Arial"/>
                      <w:color w:val="000000"/>
                    </w:rPr>
                  </w:pPr>
                  <w:r>
                    <w:rPr>
                      <w:color w:val="000000"/>
                    </w:rPr>
                    <w:t>dritte Wachstumsperiode*</w:t>
                  </w:r>
                </w:p>
              </w:tc>
              <w:tc>
                <w:tcPr>
                  <w:tcW w:w="1985" w:type="dxa"/>
                  <w:tcBorders>
                    <w:top w:val="nil"/>
                    <w:left w:val="nil"/>
                    <w:bottom w:val="single" w:sz="4" w:space="0" w:color="auto"/>
                    <w:right w:val="single" w:sz="4" w:space="0" w:color="auto"/>
                  </w:tcBorders>
                  <w:shd w:val="clear" w:color="auto" w:fill="auto"/>
                  <w:vAlign w:val="center"/>
                  <w:hideMark/>
                </w:tcPr>
                <w:p w:rsidR="003F7E71" w:rsidRPr="00BD2498" w:rsidRDefault="003F7E71" w:rsidP="003F7E71">
                  <w:pPr>
                    <w:jc w:val="center"/>
                    <w:rPr>
                      <w:rFonts w:cs="Arial"/>
                      <w:color w:val="000000"/>
                    </w:rPr>
                  </w:pPr>
                  <w:r>
                    <w:rPr>
                      <w:color w:val="000000"/>
                    </w:rPr>
                    <w:t>nicht homogen*</w:t>
                  </w:r>
                </w:p>
              </w:tc>
            </w:tr>
            <w:tr w:rsidR="003F7E71" w:rsidRPr="00BD2498" w:rsidTr="003F7E71">
              <w:trPr>
                <w:gridBefore w:val="1"/>
                <w:wBefore w:w="426" w:type="dxa"/>
                <w:trHeight w:val="266"/>
              </w:trPr>
              <w:tc>
                <w:tcPr>
                  <w:tcW w:w="694" w:type="dxa"/>
                  <w:vMerge/>
                  <w:tcBorders>
                    <w:left w:val="single" w:sz="4" w:space="0" w:color="auto"/>
                    <w:bottom w:val="single" w:sz="4" w:space="0" w:color="auto"/>
                    <w:right w:val="single" w:sz="4" w:space="0" w:color="000000"/>
                  </w:tcBorders>
                  <w:shd w:val="clear" w:color="auto" w:fill="auto"/>
                  <w:noWrap/>
                  <w:vAlign w:val="bottom"/>
                  <w:hideMark/>
                </w:tcPr>
                <w:p w:rsidR="003F7E71" w:rsidRPr="00BD2498" w:rsidRDefault="003F7E71" w:rsidP="003F7E71">
                  <w:pPr>
                    <w:jc w:val="left"/>
                    <w:rPr>
                      <w:rFonts w:cs="Arial"/>
                      <w:color w:val="000000"/>
                    </w:rPr>
                  </w:pPr>
                </w:p>
              </w:tc>
              <w:tc>
                <w:tcPr>
                  <w:tcW w:w="1134" w:type="dxa"/>
                  <w:tcBorders>
                    <w:top w:val="nil"/>
                    <w:left w:val="single" w:sz="4" w:space="0" w:color="000000"/>
                    <w:bottom w:val="single" w:sz="4" w:space="0" w:color="auto"/>
                    <w:right w:val="single" w:sz="4" w:space="0" w:color="auto"/>
                  </w:tcBorders>
                  <w:shd w:val="clear" w:color="auto" w:fill="auto"/>
                  <w:noWrap/>
                  <w:vAlign w:val="center"/>
                  <w:hideMark/>
                </w:tcPr>
                <w:p w:rsidR="003F7E71" w:rsidRPr="00BD2498" w:rsidRDefault="003F7E71" w:rsidP="003F7E71">
                  <w:pPr>
                    <w:jc w:val="center"/>
                    <w:rPr>
                      <w:rFonts w:cs="Arial"/>
                      <w:color w:val="000000"/>
                    </w:rPr>
                  </w:pPr>
                  <w:r>
                    <w:rPr>
                      <w:color w:val="000000"/>
                    </w:rPr>
                    <w:t>10**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3F7E71" w:rsidRPr="00BD2498" w:rsidRDefault="003F7E71" w:rsidP="003F7E71">
                  <w:pPr>
                    <w:jc w:val="center"/>
                    <w:rPr>
                      <w:rFonts w:cs="Arial"/>
                      <w:color w:val="000000"/>
                    </w:rPr>
                  </w:pPr>
                  <w:r>
                    <w:rPr>
                      <w:color w:val="000000"/>
                    </w:rPr>
                    <w:t>0</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3F7E71" w:rsidRPr="00BD2498" w:rsidRDefault="003F7E71" w:rsidP="003F7E71">
                  <w:pPr>
                    <w:jc w:val="center"/>
                    <w:rPr>
                      <w:rFonts w:cs="Arial"/>
                      <w:color w:val="000000"/>
                    </w:rPr>
                  </w:pPr>
                  <w:r>
                    <w:rPr>
                      <w:color w:val="000000"/>
                    </w:rPr>
                    <w:t>dritte Wachstumsperiode**</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3F7E71" w:rsidRPr="00BD2498" w:rsidRDefault="003F7E71" w:rsidP="003F7E71">
                  <w:pPr>
                    <w:jc w:val="center"/>
                    <w:rPr>
                      <w:rFonts w:cs="Arial"/>
                      <w:color w:val="000000"/>
                    </w:rPr>
                  </w:pPr>
                  <w:r>
                    <w:rPr>
                      <w:color w:val="000000"/>
                    </w:rPr>
                    <w:t>nicht homogen**</w:t>
                  </w:r>
                </w:p>
              </w:tc>
            </w:tr>
          </w:tbl>
          <w:p w:rsidR="00C24111" w:rsidRDefault="00C24111" w:rsidP="003F7E71">
            <w:pPr>
              <w:keepNext/>
              <w:keepLines/>
              <w:ind w:left="1026"/>
              <w:rPr>
                <w:sz w:val="18"/>
              </w:rPr>
            </w:pPr>
          </w:p>
          <w:p w:rsidR="003F7E71" w:rsidRPr="00C1030A" w:rsidRDefault="003F7E71" w:rsidP="003F7E71">
            <w:pPr>
              <w:keepNext/>
              <w:keepLines/>
              <w:ind w:left="1026"/>
              <w:rPr>
                <w:rFonts w:eastAsia="SimSun"/>
                <w:sz w:val="18"/>
              </w:rPr>
            </w:pPr>
            <w:r>
              <w:rPr>
                <w:sz w:val="18"/>
              </w:rPr>
              <w:t>*  Bei der Prüfung von Ergebnissen, die in jeder der Wachstumsperioden sehr unterschiedlich sind, muß mit größter Sorgfalt verfahren werden, etwa wenn ein Abweichertyp in einer Wachstumsperiode sehr häufig und in einer anderen überhaupt nicht vorkommt.</w:t>
            </w:r>
          </w:p>
          <w:p w:rsidR="003F7E71" w:rsidRPr="00C1030A" w:rsidRDefault="003F7E71" w:rsidP="003F7E71">
            <w:pPr>
              <w:keepNext/>
              <w:keepLines/>
              <w:ind w:left="1026"/>
              <w:rPr>
                <w:rFonts w:eastAsia="SimSun"/>
                <w:sz w:val="18"/>
                <w:szCs w:val="24"/>
              </w:rPr>
            </w:pPr>
          </w:p>
          <w:p w:rsidR="003F7E71" w:rsidRDefault="003F7E71" w:rsidP="003F7E71">
            <w:pPr>
              <w:keepNext/>
              <w:keepLines/>
              <w:ind w:left="1026"/>
              <w:rPr>
                <w:b/>
                <w:szCs w:val="24"/>
              </w:rPr>
            </w:pPr>
            <w:r>
              <w:rPr>
                <w:sz w:val="18"/>
              </w:rPr>
              <w:t>**  Eine Sorte kann unter gewissen Umständen nach einer Wachstumsperiode zurückgewiesen werden.</w:t>
            </w:r>
          </w:p>
        </w:tc>
      </w:tr>
    </w:tbl>
    <w:p w:rsidR="003F7E71" w:rsidRDefault="003F7E71" w:rsidP="003F7E71">
      <w:pPr>
        <w:rPr>
          <w:rFonts w:eastAsia="MS Mincho"/>
          <w:color w:val="000000"/>
        </w:rPr>
      </w:pPr>
    </w:p>
    <w:p w:rsidR="0024347A" w:rsidRDefault="0024347A" w:rsidP="003F7E71">
      <w:pPr>
        <w:rPr>
          <w:rFonts w:eastAsia="MS Mincho"/>
          <w:color w:val="000000"/>
        </w:rPr>
      </w:pPr>
    </w:p>
    <w:p w:rsidR="0024347A" w:rsidRDefault="0024347A" w:rsidP="003F7E71">
      <w:pPr>
        <w:rPr>
          <w:rFonts w:eastAsia="MS Mincho"/>
          <w:color w:val="000000"/>
        </w:rPr>
      </w:pPr>
    </w:p>
    <w:p w:rsidR="003F7E71" w:rsidRDefault="003F7E71" w:rsidP="003F7E71">
      <w:pPr>
        <w:jc w:val="right"/>
        <w:rPr>
          <w:rFonts w:eastAsia="MS Mincho"/>
          <w:color w:val="000000"/>
        </w:rPr>
      </w:pPr>
      <w:r>
        <w:rPr>
          <w:color w:val="000000"/>
        </w:rPr>
        <w:t>[Anlage II folgt]</w:t>
      </w:r>
    </w:p>
    <w:p w:rsidR="003F7E71" w:rsidRDefault="003F7E71" w:rsidP="003F7E71">
      <w:pPr>
        <w:rPr>
          <w:rFonts w:eastAsia="MS Mincho"/>
          <w:color w:val="000000"/>
        </w:rPr>
      </w:pPr>
    </w:p>
    <w:p w:rsidR="003F7E71" w:rsidRDefault="003F7E71" w:rsidP="003F7E71">
      <w:pPr>
        <w:sectPr w:rsidR="003F7E71" w:rsidSect="00462672">
          <w:headerReference w:type="default" r:id="rId11"/>
          <w:headerReference w:type="first" r:id="rId12"/>
          <w:pgSz w:w="11907" w:h="16840" w:code="9"/>
          <w:pgMar w:top="510" w:right="1134" w:bottom="709" w:left="1134" w:header="510" w:footer="680" w:gutter="0"/>
          <w:pgNumType w:start="1"/>
          <w:cols w:space="720"/>
          <w:titlePg/>
        </w:sect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3F7E71" w:rsidRPr="00ED3415" w:rsidTr="003F7E71">
        <w:trPr>
          <w:trHeight w:val="291"/>
        </w:trPr>
        <w:tc>
          <w:tcPr>
            <w:tcW w:w="10206" w:type="dxa"/>
          </w:tcPr>
          <w:p w:rsidR="003F7E71" w:rsidRPr="002A2C89" w:rsidRDefault="003F7E71" w:rsidP="003F7E71">
            <w:pPr>
              <w:autoSpaceDE w:val="0"/>
              <w:autoSpaceDN w:val="0"/>
              <w:adjustRightInd w:val="0"/>
              <w:spacing w:before="120"/>
              <w:jc w:val="center"/>
              <w:rPr>
                <w:rFonts w:eastAsia="SimSun"/>
                <w:szCs w:val="24"/>
              </w:rPr>
            </w:pPr>
            <w:r>
              <w:lastRenderedPageBreak/>
              <w:t>SITUATION B: ZWEI STANDORTE IM GLEICHEN JAHR</w:t>
            </w:r>
          </w:p>
        </w:tc>
      </w:tr>
      <w:tr w:rsidR="003F7E71" w:rsidRPr="00ED3415" w:rsidTr="00C24111">
        <w:trPr>
          <w:trHeight w:val="1566"/>
        </w:trPr>
        <w:tc>
          <w:tcPr>
            <w:tcW w:w="10206" w:type="dxa"/>
          </w:tcPr>
          <w:p w:rsidR="003F7E71" w:rsidRPr="007738E2" w:rsidRDefault="003F7E71" w:rsidP="003F7E71">
            <w:pPr>
              <w:rPr>
                <w:b/>
                <w:sz w:val="16"/>
                <w:szCs w:val="24"/>
                <w:highlight w:val="lightGray"/>
                <w:u w:val="single"/>
              </w:rPr>
            </w:pPr>
          </w:p>
          <w:p w:rsidR="003F7E71" w:rsidRPr="006556B3" w:rsidRDefault="003F7E71" w:rsidP="003F7E71">
            <w:pPr>
              <w:rPr>
                <w:b/>
                <w:szCs w:val="24"/>
              </w:rPr>
            </w:pPr>
            <w:r>
              <w:rPr>
                <w:b/>
              </w:rPr>
              <w:t xml:space="preserve">Ansatz 1: Dritte Wachstumsperiode im Fall widersprüchlicher Ergebnisse </w:t>
            </w:r>
          </w:p>
          <w:p w:rsidR="003F7E71" w:rsidRPr="00DB4588" w:rsidRDefault="003F7E71" w:rsidP="003F7E71">
            <w:pPr>
              <w:rPr>
                <w:rFonts w:eastAsia="SimSun"/>
                <w:sz w:val="16"/>
                <w:szCs w:val="24"/>
              </w:rPr>
            </w:pPr>
          </w:p>
          <w:p w:rsidR="003F7E71" w:rsidRPr="006556B3" w:rsidRDefault="003F7E71" w:rsidP="003F7E71">
            <w:pPr>
              <w:rPr>
                <w:rFonts w:eastAsia="SimSun"/>
                <w:szCs w:val="24"/>
              </w:rPr>
            </w:pPr>
            <w:r>
              <w:t>Eine Sorte wird als homogen betrachtet, wenn sie an beiden Standorten innerhalb des Homogenitätsstandards liegt.</w:t>
            </w:r>
          </w:p>
          <w:p w:rsidR="003F7E71" w:rsidRPr="00DB4588" w:rsidRDefault="003F7E71" w:rsidP="003F7E71">
            <w:pPr>
              <w:rPr>
                <w:rFonts w:eastAsia="SimSun"/>
                <w:sz w:val="16"/>
                <w:szCs w:val="24"/>
              </w:rPr>
            </w:pPr>
          </w:p>
          <w:p w:rsidR="003F7E71" w:rsidRPr="006556B3" w:rsidRDefault="003F7E71" w:rsidP="003F7E71">
            <w:pPr>
              <w:rPr>
                <w:rFonts w:eastAsia="SimSun"/>
                <w:szCs w:val="24"/>
              </w:rPr>
            </w:pPr>
            <w:r>
              <w:t>Eine Sorte wird als nicht homogen betrachtet, wenn sie in beiden Wachstumsperioden nicht dem Homogenitätsstandard entspricht.</w:t>
            </w:r>
          </w:p>
          <w:p w:rsidR="003F7E71" w:rsidRPr="00DB4588" w:rsidRDefault="003F7E71" w:rsidP="003F7E71">
            <w:pPr>
              <w:rPr>
                <w:rFonts w:eastAsia="SimSun"/>
                <w:sz w:val="16"/>
                <w:szCs w:val="24"/>
              </w:rPr>
            </w:pPr>
          </w:p>
          <w:p w:rsidR="003F7E71" w:rsidRPr="006556B3" w:rsidRDefault="003F7E71" w:rsidP="003F7E71">
            <w:pPr>
              <w:keepNext/>
              <w:keepLines/>
              <w:rPr>
                <w:rFonts w:eastAsia="SimSun"/>
                <w:szCs w:val="24"/>
              </w:rPr>
            </w:pPr>
            <w:r>
              <w:t xml:space="preserve">Entspricht die Sorte an einem Standort dem Homogenitätsstandard, am anderen Standort jedoch nicht, </w:t>
            </w:r>
            <w:r>
              <w:rPr>
                <w:highlight w:val="lightGray"/>
                <w:u w:val="single"/>
              </w:rPr>
              <w:t>so wird der Anbauversuch an einem der beiden Standorte wiederholt</w:t>
            </w:r>
            <w:r>
              <w:rPr>
                <w:u w:val="single"/>
              </w:rPr>
              <w:t>.</w:t>
            </w:r>
          </w:p>
          <w:p w:rsidR="003F7E71" w:rsidRPr="00DB4588" w:rsidRDefault="003F7E71" w:rsidP="003F7E71">
            <w:pPr>
              <w:keepNext/>
              <w:keepLines/>
              <w:rPr>
                <w:rFonts w:eastAsia="SimSun"/>
                <w:sz w:val="16"/>
                <w:szCs w:val="24"/>
              </w:rPr>
            </w:pPr>
          </w:p>
          <w:p w:rsidR="003F7E71" w:rsidRPr="006872B1" w:rsidRDefault="003F7E71" w:rsidP="003F7E71">
            <w:pPr>
              <w:keepNext/>
              <w:keepLines/>
              <w:ind w:left="561" w:right="709"/>
              <w:rPr>
                <w:rFonts w:eastAsia="SimSun"/>
                <w:strike/>
                <w:highlight w:val="lightGray"/>
              </w:rPr>
            </w:pPr>
            <w:r>
              <w:rPr>
                <w:strike/>
                <w:highlight w:val="lightGray"/>
              </w:rPr>
              <w:t>Alternative a)</w:t>
            </w:r>
            <w:r>
              <w:tab/>
            </w:r>
            <w:r>
              <w:rPr>
                <w:strike/>
                <w:highlight w:val="lightGray"/>
              </w:rPr>
              <w:t>wird der Versuch an beiden Standorten in einem zweiten Jahr wiederholt;</w:t>
            </w:r>
          </w:p>
          <w:p w:rsidR="003F7E71" w:rsidRPr="006872B1" w:rsidRDefault="003F7E71" w:rsidP="003F7E71">
            <w:pPr>
              <w:keepNext/>
              <w:keepLines/>
              <w:ind w:left="561" w:right="709"/>
              <w:rPr>
                <w:rFonts w:eastAsia="SimSun"/>
                <w:strike/>
                <w:sz w:val="16"/>
                <w:highlight w:val="lightGray"/>
              </w:rPr>
            </w:pPr>
          </w:p>
          <w:p w:rsidR="003F7E71" w:rsidRPr="006872B1" w:rsidRDefault="00AC6779" w:rsidP="003F7E71">
            <w:pPr>
              <w:keepNext/>
              <w:keepLines/>
              <w:ind w:left="561" w:right="709"/>
              <w:rPr>
                <w:rFonts w:eastAsia="SimSun"/>
                <w:strike/>
              </w:rPr>
            </w:pPr>
            <w:r>
              <w:rPr>
                <w:strike/>
                <w:highlight w:val="lightGray"/>
              </w:rPr>
              <w:t xml:space="preserve">Alternative </w:t>
            </w:r>
            <w:r w:rsidR="003F7E71">
              <w:rPr>
                <w:strike/>
                <w:highlight w:val="lightGray"/>
              </w:rPr>
              <w:t>b)</w:t>
            </w:r>
            <w:r w:rsidR="003F7E71">
              <w:tab/>
            </w:r>
            <w:r w:rsidR="003F7E71">
              <w:rPr>
                <w:strike/>
                <w:highlight w:val="lightGray"/>
              </w:rPr>
              <w:t>wird der Anbauversuch in der Führenden Station (Standort) wiederholt</w:t>
            </w:r>
          </w:p>
          <w:p w:rsidR="003F7E71" w:rsidRPr="00DB4588" w:rsidRDefault="003F7E71" w:rsidP="003F7E71">
            <w:pPr>
              <w:keepNext/>
              <w:keepLines/>
              <w:ind w:left="561" w:right="709"/>
              <w:rPr>
                <w:sz w:val="16"/>
              </w:rPr>
            </w:pPr>
          </w:p>
          <w:p w:rsidR="003F7E71" w:rsidRDefault="003F7E71" w:rsidP="003F7E71">
            <w:pPr>
              <w:keepNext/>
              <w:keepLines/>
              <w:rPr>
                <w:rFonts w:eastAsia="SimSun"/>
                <w:szCs w:val="24"/>
              </w:rPr>
            </w:pPr>
            <w:r>
              <w:rPr>
                <w:color w:val="000000"/>
              </w:rPr>
              <w:t>Bei der Prüfung von Ergebnissen, die in jeder der Wachstumsperioden sehr unterschiedlich sind, muß mit größter Sorgfalt verfahren werden, etwa wenn ein Abweichertyp in einer Wachstumsperiode sehr häufig und in einer anderen überhaupt nicht vorkommt.</w:t>
            </w:r>
          </w:p>
          <w:p w:rsidR="003F7E71" w:rsidRPr="00DB4588" w:rsidRDefault="003F7E71" w:rsidP="003F7E71">
            <w:pPr>
              <w:keepNext/>
              <w:keepLines/>
              <w:rPr>
                <w:rFonts w:eastAsia="SimSun"/>
                <w:sz w:val="16"/>
                <w:szCs w:val="24"/>
              </w:rPr>
            </w:pPr>
          </w:p>
          <w:p w:rsidR="003F7E71" w:rsidRDefault="003F7E71" w:rsidP="003F7E71">
            <w:pPr>
              <w:keepNext/>
              <w:keepLines/>
              <w:rPr>
                <w:rFonts w:eastAsia="SimSun"/>
                <w:szCs w:val="24"/>
              </w:rPr>
            </w:pPr>
            <w:r>
              <w:t>Eine Sorte kann unter gewissen Umständen nach einer Wachstumsperiode zurückgewiesen werden.</w:t>
            </w:r>
          </w:p>
          <w:p w:rsidR="003F7E71" w:rsidRPr="00DB4588" w:rsidRDefault="003F7E71" w:rsidP="003F7E71">
            <w:pPr>
              <w:rPr>
                <w:sz w:val="16"/>
              </w:rPr>
            </w:pPr>
          </w:p>
          <w:p w:rsidR="003F7E71" w:rsidRPr="006556B3" w:rsidRDefault="003F7E71" w:rsidP="003F7E71">
            <w:pPr>
              <w:rPr>
                <w:rFonts w:eastAsia="SimSun"/>
                <w:b/>
                <w:szCs w:val="24"/>
              </w:rPr>
            </w:pPr>
            <w:r>
              <w:rPr>
                <w:b/>
              </w:rPr>
              <w:t xml:space="preserve">Ansatz 2: Kombination der Ergebnisse aus zwei Standorten </w:t>
            </w:r>
          </w:p>
          <w:p w:rsidR="003F7E71" w:rsidRPr="00DB4588" w:rsidRDefault="003F7E71" w:rsidP="003F7E71">
            <w:pPr>
              <w:rPr>
                <w:rFonts w:eastAsia="SimSun"/>
                <w:b/>
                <w:sz w:val="16"/>
                <w:szCs w:val="24"/>
              </w:rPr>
            </w:pPr>
          </w:p>
          <w:p w:rsidR="003F7E71" w:rsidRPr="006556B3" w:rsidRDefault="003F7E71" w:rsidP="003F7E71">
            <w:pPr>
              <w:rPr>
                <w:rFonts w:eastAsia="SimSun"/>
                <w:szCs w:val="24"/>
              </w:rPr>
            </w:pPr>
            <w:r>
              <w:t>Eine Sorte wird als homogen betrachtet, wenn sie an beiden Standorten innerhalb des Homogenitätsstandards liegt.</w:t>
            </w:r>
          </w:p>
          <w:p w:rsidR="003F7E71" w:rsidRPr="00DB4588" w:rsidRDefault="003F7E71" w:rsidP="003F7E71">
            <w:pPr>
              <w:rPr>
                <w:rFonts w:eastAsia="SimSun"/>
                <w:sz w:val="16"/>
                <w:szCs w:val="24"/>
              </w:rPr>
            </w:pPr>
          </w:p>
          <w:p w:rsidR="003F7E71" w:rsidRPr="006556B3" w:rsidRDefault="003F7E71" w:rsidP="003F7E71">
            <w:pPr>
              <w:keepNext/>
              <w:keepLines/>
              <w:tabs>
                <w:tab w:val="left" w:pos="1985"/>
              </w:tabs>
              <w:rPr>
                <w:rFonts w:eastAsia="SimSun"/>
                <w:szCs w:val="24"/>
              </w:rPr>
            </w:pPr>
            <w:r>
              <w:t>Eine Sorte wird als nicht homogen betrachtet, wenn sie an beiden Standorten nicht dem Homogenitätsstandard entspricht.</w:t>
            </w:r>
          </w:p>
          <w:p w:rsidR="003F7E71" w:rsidRPr="00DB4588" w:rsidRDefault="003F7E71" w:rsidP="003F7E71">
            <w:pPr>
              <w:keepNext/>
              <w:keepLines/>
              <w:tabs>
                <w:tab w:val="left" w:pos="1985"/>
              </w:tabs>
              <w:rPr>
                <w:rFonts w:eastAsia="SimSun"/>
                <w:sz w:val="16"/>
                <w:szCs w:val="24"/>
              </w:rPr>
            </w:pPr>
          </w:p>
          <w:p w:rsidR="003F7E71" w:rsidRPr="006556B3" w:rsidRDefault="003F7E71" w:rsidP="003F7E71">
            <w:pPr>
              <w:rPr>
                <w:rFonts w:eastAsia="SimSun"/>
                <w:szCs w:val="24"/>
              </w:rPr>
            </w:pPr>
            <w:r>
              <w:t>Entspricht die Sorte an einem Standort dem Homogenitätsstandard, am anderen Standort aber nicht, so wird eine Sorte als homogen betrachtet, wenn die Anzahl der Abweicherpflanzen oder -pflanzenteile die für die kombinierte Probe (zwei Standorte) erlaubte Anzahl Abweichertypen nicht übersteigt.</w:t>
            </w:r>
          </w:p>
          <w:p w:rsidR="003F7E71" w:rsidRPr="00DB4588" w:rsidRDefault="003F7E71" w:rsidP="003F7E71">
            <w:pPr>
              <w:keepNext/>
              <w:keepLines/>
              <w:rPr>
                <w:rFonts w:eastAsia="SimSun"/>
                <w:sz w:val="16"/>
                <w:szCs w:val="24"/>
              </w:rPr>
            </w:pPr>
          </w:p>
          <w:p w:rsidR="003F7E71" w:rsidRDefault="003F7E71" w:rsidP="003F7E71">
            <w:pPr>
              <w:keepNext/>
              <w:keepLines/>
              <w:rPr>
                <w:color w:val="000000"/>
                <w:szCs w:val="24"/>
              </w:rPr>
            </w:pPr>
            <w:r>
              <w:rPr>
                <w:color w:val="000000"/>
              </w:rPr>
              <w:t>Bei der Prüfung von Ergebnissen, die in jeder der Wachstumsperioden sehr unterschiedlich sind, muß mit größter Sorgfalt verfahren werden, etwa wenn ein Abweichertyp in einer Wachstumsperiode sehr häufig und in einer anderen überhaupt nicht vorkommt.</w:t>
            </w:r>
          </w:p>
          <w:p w:rsidR="003F7E71" w:rsidRPr="00DB4588" w:rsidRDefault="003F7E71" w:rsidP="003F7E71">
            <w:pPr>
              <w:keepNext/>
              <w:keepLines/>
              <w:rPr>
                <w:rFonts w:eastAsia="SimSun"/>
                <w:sz w:val="16"/>
                <w:szCs w:val="24"/>
              </w:rPr>
            </w:pPr>
          </w:p>
          <w:p w:rsidR="003F7E71" w:rsidRDefault="003F7E71" w:rsidP="003F7E71">
            <w:pPr>
              <w:keepNext/>
              <w:keepLines/>
              <w:rPr>
                <w:rFonts w:eastAsia="SimSun"/>
                <w:szCs w:val="24"/>
              </w:rPr>
            </w:pPr>
            <w:r>
              <w:t>Unter bestimmten Umständen kann eine Sorte nach einem Anbauversuch an einem Standort zurückgewiesen werden.</w:t>
            </w:r>
          </w:p>
          <w:p w:rsidR="003F7E71" w:rsidRPr="00DB4588" w:rsidRDefault="003F7E71" w:rsidP="003F7E71">
            <w:pPr>
              <w:rPr>
                <w:sz w:val="16"/>
                <w:szCs w:val="24"/>
              </w:rPr>
            </w:pPr>
          </w:p>
          <w:p w:rsidR="003F7E71" w:rsidRPr="00BD2498" w:rsidRDefault="00A425B2" w:rsidP="003F7E71">
            <w:pPr>
              <w:rPr>
                <w:szCs w:val="24"/>
              </w:rPr>
            </w:pPr>
            <w:r>
              <w:rPr>
                <w:rFonts w:eastAsia="SimSun"/>
                <w:szCs w:val="24"/>
              </w:rPr>
              <w:pict>
                <v:rect id="_x0000_i1026" style="width:0;height:1.5pt" o:hralign="center" o:hrstd="t" o:hr="t" fillcolor="#a0a0a0" stroked="f"/>
              </w:pict>
            </w:r>
            <w:r w:rsidR="00AC1EDD">
              <w:t>Beispiel:</w:t>
            </w:r>
          </w:p>
          <w:tbl>
            <w:tblPr>
              <w:tblW w:w="6520" w:type="dxa"/>
              <w:tblInd w:w="1593" w:type="dxa"/>
              <w:tblLook w:val="04A0" w:firstRow="1" w:lastRow="0" w:firstColumn="1" w:lastColumn="0" w:noHBand="0" w:noVBand="1"/>
            </w:tblPr>
            <w:tblGrid>
              <w:gridCol w:w="6520"/>
            </w:tblGrid>
            <w:tr w:rsidR="003F7E71" w:rsidRPr="00304612" w:rsidTr="003F7E71">
              <w:trPr>
                <w:trHeight w:val="255"/>
              </w:trPr>
              <w:tc>
                <w:tcPr>
                  <w:tcW w:w="6520" w:type="dxa"/>
                  <w:tcBorders>
                    <w:top w:val="nil"/>
                    <w:left w:val="nil"/>
                    <w:bottom w:val="nil"/>
                    <w:right w:val="nil"/>
                  </w:tcBorders>
                  <w:shd w:val="clear" w:color="auto" w:fill="auto"/>
                  <w:noWrap/>
                  <w:vAlign w:val="bottom"/>
                  <w:hideMark/>
                </w:tcPr>
                <w:p w:rsidR="003F7E71" w:rsidRPr="00304612" w:rsidRDefault="003F7E71" w:rsidP="003F7E71">
                  <w:pPr>
                    <w:jc w:val="left"/>
                    <w:rPr>
                      <w:rFonts w:cs="Arial"/>
                      <w:color w:val="000000"/>
                    </w:rPr>
                  </w:pPr>
                  <w:r>
                    <w:rPr>
                      <w:color w:val="000000"/>
                    </w:rPr>
                    <w:t xml:space="preserve">Populationsstandard  = 1%  </w:t>
                  </w:r>
                </w:p>
              </w:tc>
            </w:tr>
            <w:tr w:rsidR="003F7E71" w:rsidRPr="00304612" w:rsidTr="003F7E71">
              <w:trPr>
                <w:trHeight w:val="270"/>
              </w:trPr>
              <w:tc>
                <w:tcPr>
                  <w:tcW w:w="6520" w:type="dxa"/>
                  <w:tcBorders>
                    <w:top w:val="nil"/>
                    <w:left w:val="nil"/>
                    <w:bottom w:val="nil"/>
                    <w:right w:val="nil"/>
                  </w:tcBorders>
                  <w:shd w:val="clear" w:color="auto" w:fill="auto"/>
                  <w:noWrap/>
                  <w:vAlign w:val="bottom"/>
                  <w:hideMark/>
                </w:tcPr>
                <w:p w:rsidR="003F7E71" w:rsidRPr="00304612" w:rsidRDefault="003F7E71" w:rsidP="003F7E71">
                  <w:pPr>
                    <w:jc w:val="left"/>
                    <w:rPr>
                      <w:rFonts w:cs="Arial"/>
                      <w:color w:val="000000"/>
                    </w:rPr>
                  </w:pPr>
                  <w:r>
                    <w:rPr>
                      <w:color w:val="000000"/>
                    </w:rPr>
                    <w:t>Akzeptanzwahrscheinlichkeit ≥ 95%</w:t>
                  </w:r>
                </w:p>
              </w:tc>
            </w:tr>
            <w:tr w:rsidR="003F7E71" w:rsidRPr="00304612" w:rsidTr="003F7E71">
              <w:trPr>
                <w:trHeight w:val="255"/>
              </w:trPr>
              <w:tc>
                <w:tcPr>
                  <w:tcW w:w="6520" w:type="dxa"/>
                  <w:tcBorders>
                    <w:top w:val="single" w:sz="8" w:space="0" w:color="auto"/>
                    <w:left w:val="single" w:sz="8" w:space="0" w:color="auto"/>
                    <w:bottom w:val="nil"/>
                    <w:right w:val="single" w:sz="8" w:space="0" w:color="000000"/>
                  </w:tcBorders>
                  <w:shd w:val="clear" w:color="auto" w:fill="auto"/>
                  <w:noWrap/>
                  <w:vAlign w:val="bottom"/>
                  <w:hideMark/>
                </w:tcPr>
                <w:p w:rsidR="003F7E71" w:rsidRPr="00304612" w:rsidRDefault="003F7E71" w:rsidP="003F7E71">
                  <w:pPr>
                    <w:jc w:val="left"/>
                    <w:rPr>
                      <w:rFonts w:cs="Arial"/>
                      <w:color w:val="000000"/>
                    </w:rPr>
                  </w:pPr>
                  <w:r>
                    <w:rPr>
                      <w:color w:val="000000"/>
                    </w:rPr>
                    <w:t>Probengröße in jeder der Wachstumsperioden 1 und 2 = 50</w:t>
                  </w:r>
                </w:p>
              </w:tc>
            </w:tr>
            <w:tr w:rsidR="003F7E71" w:rsidRPr="00304612" w:rsidTr="003F7E71">
              <w:trPr>
                <w:trHeight w:val="270"/>
              </w:trPr>
              <w:tc>
                <w:tcPr>
                  <w:tcW w:w="6520" w:type="dxa"/>
                  <w:tcBorders>
                    <w:top w:val="nil"/>
                    <w:left w:val="single" w:sz="4" w:space="0" w:color="auto"/>
                    <w:bottom w:val="single" w:sz="8" w:space="0" w:color="auto"/>
                    <w:right w:val="single" w:sz="8" w:space="0" w:color="000000"/>
                  </w:tcBorders>
                  <w:shd w:val="clear" w:color="auto" w:fill="auto"/>
                  <w:noWrap/>
                  <w:vAlign w:val="bottom"/>
                  <w:hideMark/>
                </w:tcPr>
                <w:p w:rsidR="003F7E71" w:rsidRPr="00304612" w:rsidRDefault="003F7E71" w:rsidP="003F7E71">
                  <w:pPr>
                    <w:jc w:val="left"/>
                    <w:rPr>
                      <w:rFonts w:cs="Arial"/>
                      <w:color w:val="000000"/>
                    </w:rPr>
                  </w:pPr>
                  <w:r>
                    <w:rPr>
                      <w:color w:val="000000"/>
                    </w:rPr>
                    <w:t>Höchstzahl an Abweichertypen = 2</w:t>
                  </w:r>
                </w:p>
              </w:tc>
            </w:tr>
            <w:tr w:rsidR="003F7E71" w:rsidRPr="00304612" w:rsidTr="003F7E71">
              <w:trPr>
                <w:trHeight w:val="270"/>
              </w:trPr>
              <w:tc>
                <w:tcPr>
                  <w:tcW w:w="6520" w:type="dxa"/>
                  <w:tcBorders>
                    <w:top w:val="nil"/>
                    <w:left w:val="single" w:sz="4" w:space="0" w:color="auto"/>
                    <w:bottom w:val="nil"/>
                    <w:right w:val="single" w:sz="4" w:space="0" w:color="auto"/>
                  </w:tcBorders>
                  <w:shd w:val="clear" w:color="auto" w:fill="auto"/>
                  <w:noWrap/>
                  <w:vAlign w:val="bottom"/>
                  <w:hideMark/>
                </w:tcPr>
                <w:p w:rsidR="003F7E71" w:rsidRPr="00304612" w:rsidRDefault="003F7E71" w:rsidP="003F7E71">
                  <w:pPr>
                    <w:jc w:val="left"/>
                    <w:rPr>
                      <w:rFonts w:cs="Arial"/>
                      <w:color w:val="000000"/>
                    </w:rPr>
                  </w:pPr>
                  <w:r>
                    <w:rPr>
                      <w:color w:val="000000"/>
                    </w:rPr>
                    <w:t>Probengröße in den kombinierten Wachstumsperioden 1 und 2 = 100</w:t>
                  </w:r>
                </w:p>
              </w:tc>
            </w:tr>
            <w:tr w:rsidR="003F7E71" w:rsidRPr="00304612" w:rsidTr="003F7E71">
              <w:trPr>
                <w:trHeight w:val="270"/>
              </w:trPr>
              <w:tc>
                <w:tcPr>
                  <w:tcW w:w="6520" w:type="dxa"/>
                  <w:tcBorders>
                    <w:top w:val="nil"/>
                    <w:left w:val="single" w:sz="4" w:space="0" w:color="auto"/>
                    <w:bottom w:val="single" w:sz="4" w:space="0" w:color="auto"/>
                    <w:right w:val="single" w:sz="4" w:space="0" w:color="auto"/>
                  </w:tcBorders>
                  <w:shd w:val="clear" w:color="auto" w:fill="auto"/>
                  <w:noWrap/>
                  <w:vAlign w:val="bottom"/>
                  <w:hideMark/>
                </w:tcPr>
                <w:p w:rsidR="003F7E71" w:rsidRPr="00304612" w:rsidRDefault="003F7E71" w:rsidP="003F7E71">
                  <w:pPr>
                    <w:jc w:val="left"/>
                    <w:rPr>
                      <w:rFonts w:cs="Arial"/>
                      <w:color w:val="000000"/>
                    </w:rPr>
                  </w:pPr>
                  <w:r>
                    <w:rPr>
                      <w:color w:val="000000"/>
                    </w:rPr>
                    <w:t>Höchstzahl an Abweichertypen = 3</w:t>
                  </w:r>
                </w:p>
              </w:tc>
            </w:tr>
          </w:tbl>
          <w:p w:rsidR="003F7E71" w:rsidRDefault="003F7E71" w:rsidP="003F7E71">
            <w:pPr>
              <w:pStyle w:val="Titleofdoc0"/>
              <w:spacing w:before="0"/>
              <w:jc w:val="both"/>
              <w:rPr>
                <w:szCs w:val="24"/>
              </w:rPr>
            </w:pPr>
          </w:p>
          <w:tbl>
            <w:tblPr>
              <w:tblW w:w="7229" w:type="dxa"/>
              <w:tblInd w:w="884" w:type="dxa"/>
              <w:tblLook w:val="04A0" w:firstRow="1" w:lastRow="0" w:firstColumn="1" w:lastColumn="0" w:noHBand="0" w:noVBand="1"/>
            </w:tblPr>
            <w:tblGrid>
              <w:gridCol w:w="709"/>
              <w:gridCol w:w="1417"/>
              <w:gridCol w:w="1443"/>
              <w:gridCol w:w="1817"/>
              <w:gridCol w:w="1843"/>
            </w:tblGrid>
            <w:tr w:rsidR="003F7E71" w:rsidRPr="00BD2498" w:rsidTr="003F7E71">
              <w:trPr>
                <w:trHeight w:val="366"/>
              </w:trPr>
              <w:tc>
                <w:tcPr>
                  <w:tcW w:w="709" w:type="dxa"/>
                  <w:tcBorders>
                    <w:top w:val="nil"/>
                    <w:left w:val="nil"/>
                    <w:bottom w:val="nil"/>
                    <w:right w:val="single" w:sz="4" w:space="0" w:color="auto"/>
                  </w:tcBorders>
                  <w:shd w:val="clear" w:color="auto" w:fill="auto"/>
                  <w:noWrap/>
                  <w:vAlign w:val="bottom"/>
                  <w:hideMark/>
                </w:tcPr>
                <w:p w:rsidR="003F7E71" w:rsidRPr="00BD2498" w:rsidRDefault="003F7E71" w:rsidP="003F7E71">
                  <w:pPr>
                    <w:jc w:val="left"/>
                    <w:rPr>
                      <w:rFonts w:cs="Arial"/>
                      <w:color w:val="000000"/>
                    </w:rPr>
                  </w:pPr>
                  <w:r>
                    <w:rPr>
                      <w:color w:val="000000"/>
                    </w:rPr>
                    <w:t> </w:t>
                  </w:r>
                </w:p>
              </w:tc>
              <w:tc>
                <w:tcPr>
                  <w:tcW w:w="28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F7E71" w:rsidRPr="00BD2498" w:rsidRDefault="003F7E71" w:rsidP="003F7E71">
                  <w:pPr>
                    <w:jc w:val="center"/>
                    <w:rPr>
                      <w:rFonts w:cs="Arial"/>
                      <w:color w:val="000000"/>
                    </w:rPr>
                  </w:pPr>
                  <w:r>
                    <w:rPr>
                      <w:color w:val="000000"/>
                    </w:rPr>
                    <w:t>Standort</w:t>
                  </w:r>
                </w:p>
              </w:tc>
              <w:tc>
                <w:tcPr>
                  <w:tcW w:w="36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F7E71" w:rsidRPr="00BD2498" w:rsidRDefault="003F7E71" w:rsidP="003F7E71">
                  <w:pPr>
                    <w:jc w:val="center"/>
                    <w:rPr>
                      <w:rFonts w:cs="Arial"/>
                      <w:color w:val="000000"/>
                    </w:rPr>
                  </w:pPr>
                  <w:r>
                    <w:rPr>
                      <w:color w:val="000000"/>
                    </w:rPr>
                    <w:t>Entscheidung</w:t>
                  </w:r>
                </w:p>
              </w:tc>
            </w:tr>
            <w:tr w:rsidR="003F7E71" w:rsidRPr="00BD2498" w:rsidTr="003F7E71">
              <w:trPr>
                <w:trHeight w:val="273"/>
              </w:trPr>
              <w:tc>
                <w:tcPr>
                  <w:tcW w:w="709" w:type="dxa"/>
                  <w:tcBorders>
                    <w:top w:val="nil"/>
                    <w:left w:val="nil"/>
                    <w:bottom w:val="single" w:sz="4" w:space="0" w:color="auto"/>
                    <w:right w:val="single" w:sz="4" w:space="0" w:color="auto"/>
                  </w:tcBorders>
                  <w:shd w:val="clear" w:color="auto" w:fill="auto"/>
                  <w:noWrap/>
                  <w:vAlign w:val="bottom"/>
                  <w:hideMark/>
                </w:tcPr>
                <w:p w:rsidR="003F7E71" w:rsidRPr="00BD2498" w:rsidRDefault="003F7E71" w:rsidP="003F7E71">
                  <w:pPr>
                    <w:jc w:val="left"/>
                    <w:rPr>
                      <w:rFonts w:cs="Arial"/>
                      <w:color w:val="000000"/>
                    </w:rPr>
                  </w:pPr>
                  <w:r>
                    <w:rPr>
                      <w:color w:val="000000"/>
                    </w:rPr>
                    <w:t> </w:t>
                  </w:r>
                </w:p>
              </w:tc>
              <w:tc>
                <w:tcPr>
                  <w:tcW w:w="1417" w:type="dxa"/>
                  <w:tcBorders>
                    <w:top w:val="nil"/>
                    <w:left w:val="nil"/>
                    <w:bottom w:val="single" w:sz="8" w:space="0" w:color="auto"/>
                    <w:right w:val="single" w:sz="4" w:space="0" w:color="auto"/>
                  </w:tcBorders>
                  <w:shd w:val="clear" w:color="auto" w:fill="auto"/>
                  <w:noWrap/>
                  <w:vAlign w:val="center"/>
                  <w:hideMark/>
                </w:tcPr>
                <w:p w:rsidR="003F7E71" w:rsidRPr="00BD2498" w:rsidRDefault="003F7E71" w:rsidP="003F7E71">
                  <w:pPr>
                    <w:jc w:val="center"/>
                    <w:rPr>
                      <w:rFonts w:cs="Arial"/>
                      <w:color w:val="000000"/>
                    </w:rPr>
                  </w:pPr>
                  <w:r>
                    <w:rPr>
                      <w:color w:val="000000"/>
                    </w:rPr>
                    <w:t>Erster</w:t>
                  </w:r>
                </w:p>
              </w:tc>
              <w:tc>
                <w:tcPr>
                  <w:tcW w:w="1443" w:type="dxa"/>
                  <w:tcBorders>
                    <w:top w:val="nil"/>
                    <w:left w:val="nil"/>
                    <w:bottom w:val="single" w:sz="8" w:space="0" w:color="auto"/>
                    <w:right w:val="single" w:sz="4" w:space="0" w:color="auto"/>
                  </w:tcBorders>
                  <w:shd w:val="clear" w:color="auto" w:fill="auto"/>
                  <w:noWrap/>
                  <w:vAlign w:val="center"/>
                  <w:hideMark/>
                </w:tcPr>
                <w:p w:rsidR="003F7E71" w:rsidRPr="00BD2498" w:rsidRDefault="003F7E71" w:rsidP="003F7E71">
                  <w:pPr>
                    <w:jc w:val="center"/>
                    <w:rPr>
                      <w:rFonts w:cs="Arial"/>
                      <w:color w:val="000000"/>
                    </w:rPr>
                  </w:pPr>
                  <w:r>
                    <w:rPr>
                      <w:color w:val="000000"/>
                    </w:rPr>
                    <w:t>Zweiter</w:t>
                  </w:r>
                </w:p>
              </w:tc>
              <w:tc>
                <w:tcPr>
                  <w:tcW w:w="1817" w:type="dxa"/>
                  <w:tcBorders>
                    <w:top w:val="nil"/>
                    <w:left w:val="nil"/>
                    <w:bottom w:val="single" w:sz="8" w:space="0" w:color="auto"/>
                    <w:right w:val="single" w:sz="4" w:space="0" w:color="auto"/>
                  </w:tcBorders>
                  <w:shd w:val="clear" w:color="auto" w:fill="auto"/>
                  <w:noWrap/>
                  <w:vAlign w:val="center"/>
                  <w:hideMark/>
                </w:tcPr>
                <w:p w:rsidR="003F7E71" w:rsidRPr="00BD2498" w:rsidRDefault="003F7E71" w:rsidP="003F7E71">
                  <w:pPr>
                    <w:jc w:val="center"/>
                    <w:rPr>
                      <w:rFonts w:cs="Arial"/>
                      <w:color w:val="000000"/>
                    </w:rPr>
                  </w:pPr>
                  <w:r>
                    <w:rPr>
                      <w:color w:val="000000"/>
                    </w:rPr>
                    <w:t>Ansatz 1</w:t>
                  </w:r>
                </w:p>
              </w:tc>
              <w:tc>
                <w:tcPr>
                  <w:tcW w:w="1843" w:type="dxa"/>
                  <w:tcBorders>
                    <w:top w:val="nil"/>
                    <w:left w:val="nil"/>
                    <w:bottom w:val="single" w:sz="8" w:space="0" w:color="auto"/>
                    <w:right w:val="single" w:sz="4" w:space="0" w:color="auto"/>
                  </w:tcBorders>
                  <w:shd w:val="clear" w:color="auto" w:fill="auto"/>
                  <w:noWrap/>
                  <w:vAlign w:val="center"/>
                  <w:hideMark/>
                </w:tcPr>
                <w:p w:rsidR="003F7E71" w:rsidRPr="00BD2498" w:rsidRDefault="003F7E71" w:rsidP="003F7E71">
                  <w:pPr>
                    <w:jc w:val="center"/>
                    <w:rPr>
                      <w:rFonts w:cs="Arial"/>
                      <w:color w:val="000000"/>
                    </w:rPr>
                  </w:pPr>
                  <w:r>
                    <w:rPr>
                      <w:color w:val="000000"/>
                    </w:rPr>
                    <w:t>Ansatz 2</w:t>
                  </w:r>
                </w:p>
              </w:tc>
            </w:tr>
            <w:tr w:rsidR="003F7E71" w:rsidRPr="00BD2498" w:rsidTr="003F7E71">
              <w:trPr>
                <w:trHeight w:val="266"/>
              </w:trPr>
              <w:tc>
                <w:tcPr>
                  <w:tcW w:w="709" w:type="dxa"/>
                  <w:vMerge w:val="restart"/>
                  <w:tcBorders>
                    <w:top w:val="nil"/>
                    <w:left w:val="single" w:sz="4" w:space="0" w:color="auto"/>
                    <w:right w:val="single" w:sz="4" w:space="0" w:color="auto"/>
                  </w:tcBorders>
                  <w:shd w:val="clear" w:color="auto" w:fill="auto"/>
                  <w:textDirection w:val="btLr"/>
                  <w:vAlign w:val="center"/>
                  <w:hideMark/>
                </w:tcPr>
                <w:p w:rsidR="003F7E71" w:rsidRPr="00BD2498" w:rsidRDefault="003F7E71" w:rsidP="003F7E71">
                  <w:pPr>
                    <w:jc w:val="center"/>
                    <w:rPr>
                      <w:rFonts w:cs="Arial"/>
                      <w:color w:val="000000"/>
                    </w:rPr>
                  </w:pPr>
                  <w:r>
                    <w:rPr>
                      <w:color w:val="000000"/>
                    </w:rPr>
                    <w:t xml:space="preserve">Anzahl an </w:t>
                  </w:r>
                  <w:r>
                    <w:rPr>
                      <w:rFonts w:cs="Arial"/>
                      <w:color w:val="000000"/>
                    </w:rPr>
                    <w:br/>
                  </w:r>
                  <w:r>
                    <w:rPr>
                      <w:color w:val="000000"/>
                    </w:rPr>
                    <w:t>Abweichertypen</w:t>
                  </w:r>
                </w:p>
              </w:tc>
              <w:tc>
                <w:tcPr>
                  <w:tcW w:w="1417" w:type="dxa"/>
                  <w:tcBorders>
                    <w:top w:val="nil"/>
                    <w:left w:val="single" w:sz="4" w:space="0" w:color="auto"/>
                    <w:bottom w:val="single" w:sz="8" w:space="0" w:color="auto"/>
                    <w:right w:val="single" w:sz="4" w:space="0" w:color="auto"/>
                  </w:tcBorders>
                  <w:shd w:val="clear" w:color="auto" w:fill="auto"/>
                  <w:noWrap/>
                  <w:vAlign w:val="center"/>
                  <w:hideMark/>
                </w:tcPr>
                <w:p w:rsidR="003F7E71" w:rsidRPr="00BD2498" w:rsidRDefault="003F7E71" w:rsidP="003F7E71">
                  <w:pPr>
                    <w:jc w:val="center"/>
                    <w:rPr>
                      <w:rFonts w:cs="Arial"/>
                      <w:color w:val="000000"/>
                    </w:rPr>
                  </w:pPr>
                  <w:r>
                    <w:rPr>
                      <w:color w:val="000000"/>
                    </w:rPr>
                    <w:t>2</w:t>
                  </w:r>
                </w:p>
              </w:tc>
              <w:tc>
                <w:tcPr>
                  <w:tcW w:w="1443" w:type="dxa"/>
                  <w:tcBorders>
                    <w:top w:val="nil"/>
                    <w:left w:val="nil"/>
                    <w:bottom w:val="single" w:sz="8" w:space="0" w:color="auto"/>
                    <w:right w:val="single" w:sz="4" w:space="0" w:color="auto"/>
                  </w:tcBorders>
                  <w:shd w:val="clear" w:color="auto" w:fill="auto"/>
                  <w:noWrap/>
                  <w:vAlign w:val="center"/>
                  <w:hideMark/>
                </w:tcPr>
                <w:p w:rsidR="003F7E71" w:rsidRPr="00BD2498" w:rsidRDefault="003F7E71" w:rsidP="003F7E71">
                  <w:pPr>
                    <w:jc w:val="center"/>
                    <w:rPr>
                      <w:rFonts w:cs="Arial"/>
                      <w:color w:val="000000"/>
                    </w:rPr>
                  </w:pPr>
                  <w:r>
                    <w:rPr>
                      <w:color w:val="000000"/>
                    </w:rPr>
                    <w:t>2</w:t>
                  </w:r>
                </w:p>
              </w:tc>
              <w:tc>
                <w:tcPr>
                  <w:tcW w:w="1817" w:type="dxa"/>
                  <w:tcBorders>
                    <w:top w:val="nil"/>
                    <w:left w:val="nil"/>
                    <w:bottom w:val="single" w:sz="8" w:space="0" w:color="auto"/>
                    <w:right w:val="single" w:sz="4" w:space="0" w:color="auto"/>
                  </w:tcBorders>
                  <w:shd w:val="clear" w:color="auto" w:fill="auto"/>
                  <w:noWrap/>
                  <w:vAlign w:val="center"/>
                  <w:hideMark/>
                </w:tcPr>
                <w:p w:rsidR="003F7E71" w:rsidRPr="00BD2498" w:rsidRDefault="003F7E71" w:rsidP="003F7E71">
                  <w:pPr>
                    <w:jc w:val="center"/>
                    <w:rPr>
                      <w:rFonts w:cs="Arial"/>
                      <w:color w:val="000000"/>
                    </w:rPr>
                  </w:pPr>
                  <w:r>
                    <w:rPr>
                      <w:color w:val="000000"/>
                    </w:rPr>
                    <w:t>homogen</w:t>
                  </w:r>
                </w:p>
              </w:tc>
              <w:tc>
                <w:tcPr>
                  <w:tcW w:w="1843" w:type="dxa"/>
                  <w:tcBorders>
                    <w:top w:val="nil"/>
                    <w:left w:val="nil"/>
                    <w:bottom w:val="single" w:sz="8" w:space="0" w:color="auto"/>
                    <w:right w:val="single" w:sz="8" w:space="0" w:color="auto"/>
                  </w:tcBorders>
                  <w:shd w:val="clear" w:color="auto" w:fill="auto"/>
                  <w:vAlign w:val="center"/>
                  <w:hideMark/>
                </w:tcPr>
                <w:p w:rsidR="003F7E71" w:rsidRPr="00BD2498" w:rsidRDefault="003F7E71" w:rsidP="003F7E71">
                  <w:pPr>
                    <w:jc w:val="center"/>
                    <w:rPr>
                      <w:rFonts w:cs="Arial"/>
                      <w:color w:val="000000"/>
                    </w:rPr>
                  </w:pPr>
                  <w:r>
                    <w:rPr>
                      <w:color w:val="000000"/>
                    </w:rPr>
                    <w:t>homogen</w:t>
                  </w:r>
                </w:p>
              </w:tc>
            </w:tr>
            <w:tr w:rsidR="003F7E71" w:rsidRPr="00BD2498" w:rsidTr="003F7E71">
              <w:trPr>
                <w:trHeight w:val="257"/>
              </w:trPr>
              <w:tc>
                <w:tcPr>
                  <w:tcW w:w="709" w:type="dxa"/>
                  <w:vMerge/>
                  <w:tcBorders>
                    <w:left w:val="single" w:sz="4" w:space="0" w:color="auto"/>
                    <w:right w:val="single" w:sz="4" w:space="0" w:color="auto"/>
                  </w:tcBorders>
                  <w:vAlign w:val="center"/>
                  <w:hideMark/>
                </w:tcPr>
                <w:p w:rsidR="003F7E71" w:rsidRPr="00BD2498" w:rsidRDefault="003F7E71" w:rsidP="003F7E71">
                  <w:pPr>
                    <w:jc w:val="left"/>
                    <w:rPr>
                      <w:rFonts w:cs="Arial"/>
                      <w:color w:val="000000"/>
                    </w:rPr>
                  </w:pPr>
                </w:p>
              </w:tc>
              <w:tc>
                <w:tcPr>
                  <w:tcW w:w="1417" w:type="dxa"/>
                  <w:tcBorders>
                    <w:top w:val="nil"/>
                    <w:left w:val="single" w:sz="4" w:space="0" w:color="auto"/>
                    <w:bottom w:val="single" w:sz="8" w:space="0" w:color="auto"/>
                    <w:right w:val="single" w:sz="4" w:space="0" w:color="auto"/>
                  </w:tcBorders>
                  <w:shd w:val="clear" w:color="auto" w:fill="auto"/>
                  <w:vAlign w:val="center"/>
                  <w:hideMark/>
                </w:tcPr>
                <w:p w:rsidR="003F7E71" w:rsidRPr="00BD2498" w:rsidRDefault="003F7E71" w:rsidP="003F7E71">
                  <w:pPr>
                    <w:jc w:val="center"/>
                    <w:rPr>
                      <w:rFonts w:cs="Arial"/>
                      <w:color w:val="000000"/>
                    </w:rPr>
                  </w:pPr>
                  <w:r>
                    <w:rPr>
                      <w:color w:val="000000"/>
                    </w:rPr>
                    <w:t>0</w:t>
                  </w:r>
                </w:p>
              </w:tc>
              <w:tc>
                <w:tcPr>
                  <w:tcW w:w="1443" w:type="dxa"/>
                  <w:tcBorders>
                    <w:top w:val="nil"/>
                    <w:left w:val="nil"/>
                    <w:bottom w:val="single" w:sz="8" w:space="0" w:color="auto"/>
                    <w:right w:val="single" w:sz="4" w:space="0" w:color="auto"/>
                  </w:tcBorders>
                  <w:shd w:val="clear" w:color="auto" w:fill="auto"/>
                  <w:vAlign w:val="center"/>
                  <w:hideMark/>
                </w:tcPr>
                <w:p w:rsidR="003F7E71" w:rsidRPr="00BD2498" w:rsidRDefault="003F7E71" w:rsidP="003F7E71">
                  <w:pPr>
                    <w:jc w:val="center"/>
                    <w:rPr>
                      <w:rFonts w:cs="Arial"/>
                      <w:color w:val="000000"/>
                    </w:rPr>
                  </w:pPr>
                  <w:r>
                    <w:rPr>
                      <w:color w:val="000000"/>
                    </w:rPr>
                    <w:t>3</w:t>
                  </w:r>
                </w:p>
              </w:tc>
              <w:tc>
                <w:tcPr>
                  <w:tcW w:w="1817" w:type="dxa"/>
                  <w:tcBorders>
                    <w:top w:val="nil"/>
                    <w:left w:val="nil"/>
                    <w:bottom w:val="single" w:sz="8" w:space="0" w:color="auto"/>
                    <w:right w:val="single" w:sz="4" w:space="0" w:color="auto"/>
                  </w:tcBorders>
                  <w:shd w:val="clear" w:color="auto" w:fill="auto"/>
                  <w:vAlign w:val="center"/>
                  <w:hideMark/>
                </w:tcPr>
                <w:p w:rsidR="003F7E71" w:rsidRPr="00BD2498" w:rsidRDefault="003F7E71" w:rsidP="003F7E71">
                  <w:pPr>
                    <w:jc w:val="center"/>
                    <w:rPr>
                      <w:rFonts w:cs="Arial"/>
                      <w:color w:val="000000"/>
                    </w:rPr>
                  </w:pPr>
                  <w:r>
                    <w:rPr>
                      <w:color w:val="000000"/>
                    </w:rPr>
                    <w:t>Versuch wiederholen</w:t>
                  </w:r>
                </w:p>
              </w:tc>
              <w:tc>
                <w:tcPr>
                  <w:tcW w:w="1843" w:type="dxa"/>
                  <w:tcBorders>
                    <w:top w:val="nil"/>
                    <w:left w:val="nil"/>
                    <w:bottom w:val="single" w:sz="8" w:space="0" w:color="auto"/>
                    <w:right w:val="single" w:sz="4" w:space="0" w:color="auto"/>
                  </w:tcBorders>
                  <w:shd w:val="clear" w:color="auto" w:fill="auto"/>
                  <w:vAlign w:val="center"/>
                  <w:hideMark/>
                </w:tcPr>
                <w:p w:rsidR="003F7E71" w:rsidRPr="00BD2498" w:rsidRDefault="003F7E71" w:rsidP="003F7E71">
                  <w:pPr>
                    <w:jc w:val="center"/>
                    <w:rPr>
                      <w:rFonts w:cs="Arial"/>
                      <w:color w:val="000000"/>
                    </w:rPr>
                  </w:pPr>
                  <w:r>
                    <w:rPr>
                      <w:color w:val="000000"/>
                    </w:rPr>
                    <w:t>homogen</w:t>
                  </w:r>
                </w:p>
              </w:tc>
            </w:tr>
            <w:tr w:rsidR="003F7E71" w:rsidRPr="00BD2498" w:rsidTr="003F7E71">
              <w:trPr>
                <w:trHeight w:val="260"/>
              </w:trPr>
              <w:tc>
                <w:tcPr>
                  <w:tcW w:w="709" w:type="dxa"/>
                  <w:vMerge/>
                  <w:tcBorders>
                    <w:left w:val="single" w:sz="4" w:space="0" w:color="auto"/>
                    <w:right w:val="single" w:sz="4" w:space="0" w:color="auto"/>
                  </w:tcBorders>
                  <w:vAlign w:val="center"/>
                  <w:hideMark/>
                </w:tcPr>
                <w:p w:rsidR="003F7E71" w:rsidRPr="00BD2498" w:rsidRDefault="003F7E71" w:rsidP="003F7E71">
                  <w:pPr>
                    <w:jc w:val="left"/>
                    <w:rPr>
                      <w:rFonts w:cs="Arial"/>
                      <w:color w:val="000000"/>
                    </w:rPr>
                  </w:pPr>
                </w:p>
              </w:tc>
              <w:tc>
                <w:tcPr>
                  <w:tcW w:w="1417" w:type="dxa"/>
                  <w:tcBorders>
                    <w:top w:val="nil"/>
                    <w:left w:val="single" w:sz="4" w:space="0" w:color="auto"/>
                    <w:bottom w:val="single" w:sz="8" w:space="0" w:color="auto"/>
                    <w:right w:val="single" w:sz="4" w:space="0" w:color="auto"/>
                  </w:tcBorders>
                  <w:shd w:val="clear" w:color="auto" w:fill="auto"/>
                  <w:vAlign w:val="center"/>
                  <w:hideMark/>
                </w:tcPr>
                <w:p w:rsidR="003F7E71" w:rsidRPr="00BD2498" w:rsidRDefault="003F7E71" w:rsidP="003F7E71">
                  <w:pPr>
                    <w:jc w:val="center"/>
                    <w:rPr>
                      <w:rFonts w:cs="Arial"/>
                      <w:color w:val="000000"/>
                    </w:rPr>
                  </w:pPr>
                  <w:r>
                    <w:rPr>
                      <w:color w:val="000000"/>
                    </w:rPr>
                    <w:t>1</w:t>
                  </w:r>
                </w:p>
              </w:tc>
              <w:tc>
                <w:tcPr>
                  <w:tcW w:w="1443" w:type="dxa"/>
                  <w:tcBorders>
                    <w:top w:val="nil"/>
                    <w:left w:val="nil"/>
                    <w:bottom w:val="single" w:sz="8" w:space="0" w:color="auto"/>
                    <w:right w:val="single" w:sz="4" w:space="0" w:color="auto"/>
                  </w:tcBorders>
                  <w:shd w:val="clear" w:color="auto" w:fill="auto"/>
                  <w:vAlign w:val="center"/>
                  <w:hideMark/>
                </w:tcPr>
                <w:p w:rsidR="003F7E71" w:rsidRPr="00BD2498" w:rsidRDefault="003F7E71" w:rsidP="003F7E71">
                  <w:pPr>
                    <w:jc w:val="center"/>
                    <w:rPr>
                      <w:rFonts w:cs="Arial"/>
                      <w:color w:val="000000"/>
                    </w:rPr>
                  </w:pPr>
                  <w:r>
                    <w:rPr>
                      <w:color w:val="000000"/>
                    </w:rPr>
                    <w:t>3</w:t>
                  </w:r>
                </w:p>
              </w:tc>
              <w:tc>
                <w:tcPr>
                  <w:tcW w:w="1817" w:type="dxa"/>
                  <w:tcBorders>
                    <w:top w:val="nil"/>
                    <w:left w:val="nil"/>
                    <w:bottom w:val="single" w:sz="8" w:space="0" w:color="auto"/>
                    <w:right w:val="single" w:sz="4" w:space="0" w:color="auto"/>
                  </w:tcBorders>
                  <w:shd w:val="clear" w:color="auto" w:fill="auto"/>
                  <w:vAlign w:val="center"/>
                  <w:hideMark/>
                </w:tcPr>
                <w:p w:rsidR="003F7E71" w:rsidRPr="00BD2498" w:rsidRDefault="003F7E71" w:rsidP="003F7E71">
                  <w:pPr>
                    <w:jc w:val="center"/>
                    <w:rPr>
                      <w:rFonts w:cs="Arial"/>
                      <w:color w:val="000000"/>
                    </w:rPr>
                  </w:pPr>
                  <w:r>
                    <w:rPr>
                      <w:color w:val="000000"/>
                    </w:rPr>
                    <w:t>Versuch wiederholen</w:t>
                  </w:r>
                </w:p>
              </w:tc>
              <w:tc>
                <w:tcPr>
                  <w:tcW w:w="1843" w:type="dxa"/>
                  <w:tcBorders>
                    <w:top w:val="nil"/>
                    <w:left w:val="nil"/>
                    <w:bottom w:val="single" w:sz="8" w:space="0" w:color="auto"/>
                    <w:right w:val="single" w:sz="8" w:space="0" w:color="auto"/>
                  </w:tcBorders>
                  <w:shd w:val="clear" w:color="auto" w:fill="auto"/>
                  <w:vAlign w:val="center"/>
                  <w:hideMark/>
                </w:tcPr>
                <w:p w:rsidR="003F7E71" w:rsidRPr="00BD2498" w:rsidRDefault="003F7E71" w:rsidP="003F7E71">
                  <w:pPr>
                    <w:jc w:val="center"/>
                    <w:rPr>
                      <w:rFonts w:cs="Arial"/>
                      <w:color w:val="000000"/>
                    </w:rPr>
                  </w:pPr>
                  <w:r>
                    <w:rPr>
                      <w:color w:val="000000"/>
                    </w:rPr>
                    <w:t>nicht homogen</w:t>
                  </w:r>
                </w:p>
              </w:tc>
            </w:tr>
            <w:tr w:rsidR="003F7E71" w:rsidRPr="00BD2498" w:rsidTr="003F7E71">
              <w:trPr>
                <w:trHeight w:val="279"/>
              </w:trPr>
              <w:tc>
                <w:tcPr>
                  <w:tcW w:w="709" w:type="dxa"/>
                  <w:vMerge/>
                  <w:tcBorders>
                    <w:left w:val="single" w:sz="4" w:space="0" w:color="auto"/>
                    <w:right w:val="single" w:sz="4" w:space="0" w:color="auto"/>
                  </w:tcBorders>
                  <w:vAlign w:val="center"/>
                  <w:hideMark/>
                </w:tcPr>
                <w:p w:rsidR="003F7E71" w:rsidRPr="00BD2498" w:rsidRDefault="003F7E71" w:rsidP="003F7E71">
                  <w:pPr>
                    <w:jc w:val="left"/>
                    <w:rPr>
                      <w:rFonts w:cs="Arial"/>
                      <w:color w:val="000000"/>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F7E71" w:rsidRPr="00BD2498" w:rsidRDefault="003F7E71" w:rsidP="003F7E71">
                  <w:pPr>
                    <w:jc w:val="center"/>
                    <w:rPr>
                      <w:rFonts w:cs="Arial"/>
                      <w:color w:val="000000"/>
                    </w:rPr>
                  </w:pPr>
                  <w:r>
                    <w:rPr>
                      <w:color w:val="000000"/>
                    </w:rPr>
                    <w:t>0</w:t>
                  </w:r>
                </w:p>
              </w:tc>
              <w:tc>
                <w:tcPr>
                  <w:tcW w:w="1443" w:type="dxa"/>
                  <w:tcBorders>
                    <w:top w:val="nil"/>
                    <w:left w:val="nil"/>
                    <w:bottom w:val="single" w:sz="4" w:space="0" w:color="auto"/>
                    <w:right w:val="single" w:sz="4" w:space="0" w:color="auto"/>
                  </w:tcBorders>
                  <w:shd w:val="clear" w:color="auto" w:fill="auto"/>
                  <w:noWrap/>
                  <w:vAlign w:val="center"/>
                  <w:hideMark/>
                </w:tcPr>
                <w:p w:rsidR="003F7E71" w:rsidRPr="00BD2498" w:rsidRDefault="003F7E71" w:rsidP="003F7E71">
                  <w:pPr>
                    <w:jc w:val="center"/>
                    <w:rPr>
                      <w:rFonts w:cs="Arial"/>
                      <w:color w:val="000000"/>
                    </w:rPr>
                  </w:pPr>
                  <w:r>
                    <w:rPr>
                      <w:color w:val="000000"/>
                    </w:rPr>
                    <w:t>10*</w:t>
                  </w:r>
                </w:p>
              </w:tc>
              <w:tc>
                <w:tcPr>
                  <w:tcW w:w="1817" w:type="dxa"/>
                  <w:tcBorders>
                    <w:top w:val="nil"/>
                    <w:left w:val="nil"/>
                    <w:bottom w:val="single" w:sz="4" w:space="0" w:color="auto"/>
                    <w:right w:val="single" w:sz="4" w:space="0" w:color="auto"/>
                  </w:tcBorders>
                  <w:shd w:val="clear" w:color="auto" w:fill="auto"/>
                  <w:vAlign w:val="center"/>
                  <w:hideMark/>
                </w:tcPr>
                <w:p w:rsidR="003F7E71" w:rsidRPr="00BD2498" w:rsidRDefault="003F7E71" w:rsidP="003F7E71">
                  <w:pPr>
                    <w:jc w:val="center"/>
                    <w:rPr>
                      <w:rFonts w:cs="Arial"/>
                      <w:color w:val="000000"/>
                    </w:rPr>
                  </w:pPr>
                  <w:r>
                    <w:rPr>
                      <w:color w:val="000000"/>
                    </w:rPr>
                    <w:t>Versuch wiederholen*</w:t>
                  </w:r>
                </w:p>
              </w:tc>
              <w:tc>
                <w:tcPr>
                  <w:tcW w:w="1843" w:type="dxa"/>
                  <w:tcBorders>
                    <w:top w:val="nil"/>
                    <w:left w:val="nil"/>
                    <w:bottom w:val="single" w:sz="4" w:space="0" w:color="auto"/>
                    <w:right w:val="single" w:sz="4" w:space="0" w:color="auto"/>
                  </w:tcBorders>
                  <w:shd w:val="clear" w:color="auto" w:fill="auto"/>
                  <w:vAlign w:val="center"/>
                  <w:hideMark/>
                </w:tcPr>
                <w:p w:rsidR="003F7E71" w:rsidRPr="00BD2498" w:rsidRDefault="003F7E71" w:rsidP="003F7E71">
                  <w:pPr>
                    <w:jc w:val="center"/>
                    <w:rPr>
                      <w:rFonts w:cs="Arial"/>
                      <w:color w:val="000000"/>
                    </w:rPr>
                  </w:pPr>
                  <w:r>
                    <w:rPr>
                      <w:color w:val="000000"/>
                    </w:rPr>
                    <w:t>nicht homogen*</w:t>
                  </w:r>
                </w:p>
              </w:tc>
            </w:tr>
            <w:tr w:rsidR="003F7E71" w:rsidRPr="00BD2498" w:rsidTr="003F7E71">
              <w:trPr>
                <w:trHeight w:val="265"/>
              </w:trPr>
              <w:tc>
                <w:tcPr>
                  <w:tcW w:w="709" w:type="dxa"/>
                  <w:vMerge/>
                  <w:tcBorders>
                    <w:left w:val="single" w:sz="4" w:space="0" w:color="auto"/>
                    <w:bottom w:val="single" w:sz="4" w:space="0" w:color="auto"/>
                    <w:right w:val="single" w:sz="4" w:space="0" w:color="auto"/>
                  </w:tcBorders>
                  <w:shd w:val="clear" w:color="auto" w:fill="auto"/>
                  <w:noWrap/>
                  <w:vAlign w:val="bottom"/>
                  <w:hideMark/>
                </w:tcPr>
                <w:p w:rsidR="003F7E71" w:rsidRPr="00BD2498" w:rsidRDefault="003F7E71" w:rsidP="003F7E71">
                  <w:pPr>
                    <w:jc w:val="left"/>
                    <w:rPr>
                      <w:rFonts w:cs="Arial"/>
                      <w:color w:val="000000"/>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3F7E71" w:rsidRPr="00BD2498" w:rsidRDefault="003F7E71" w:rsidP="003F7E71">
                  <w:pPr>
                    <w:jc w:val="center"/>
                    <w:rPr>
                      <w:rFonts w:cs="Arial"/>
                      <w:color w:val="000000"/>
                    </w:rPr>
                  </w:pPr>
                  <w:r>
                    <w:rPr>
                      <w:color w:val="000000"/>
                    </w:rPr>
                    <w:t>10**</w:t>
                  </w:r>
                </w:p>
              </w:tc>
              <w:tc>
                <w:tcPr>
                  <w:tcW w:w="1443" w:type="dxa"/>
                  <w:tcBorders>
                    <w:top w:val="nil"/>
                    <w:left w:val="single" w:sz="4" w:space="0" w:color="auto"/>
                    <w:bottom w:val="single" w:sz="4" w:space="0" w:color="auto"/>
                    <w:right w:val="single" w:sz="4" w:space="0" w:color="auto"/>
                  </w:tcBorders>
                  <w:shd w:val="clear" w:color="auto" w:fill="auto"/>
                  <w:noWrap/>
                  <w:vAlign w:val="center"/>
                  <w:hideMark/>
                </w:tcPr>
                <w:p w:rsidR="003F7E71" w:rsidRPr="00BD2498" w:rsidRDefault="003F7E71" w:rsidP="003F7E71">
                  <w:pPr>
                    <w:jc w:val="center"/>
                    <w:rPr>
                      <w:rFonts w:cs="Arial"/>
                      <w:color w:val="000000"/>
                    </w:rPr>
                  </w:pPr>
                  <w:r>
                    <w:rPr>
                      <w:color w:val="000000"/>
                    </w:rPr>
                    <w:t>0</w:t>
                  </w:r>
                </w:p>
              </w:tc>
              <w:tc>
                <w:tcPr>
                  <w:tcW w:w="1817" w:type="dxa"/>
                  <w:tcBorders>
                    <w:top w:val="nil"/>
                    <w:left w:val="single" w:sz="4" w:space="0" w:color="auto"/>
                    <w:bottom w:val="single" w:sz="4" w:space="0" w:color="auto"/>
                    <w:right w:val="single" w:sz="4" w:space="0" w:color="auto"/>
                  </w:tcBorders>
                  <w:shd w:val="clear" w:color="auto" w:fill="auto"/>
                  <w:noWrap/>
                  <w:vAlign w:val="center"/>
                  <w:hideMark/>
                </w:tcPr>
                <w:p w:rsidR="003F7E71" w:rsidRPr="00BD2498" w:rsidRDefault="003F7E71" w:rsidP="003F7E71">
                  <w:pPr>
                    <w:jc w:val="center"/>
                    <w:rPr>
                      <w:rFonts w:cs="Arial"/>
                      <w:color w:val="000000"/>
                    </w:rPr>
                  </w:pPr>
                  <w:r>
                    <w:rPr>
                      <w:color w:val="000000"/>
                    </w:rPr>
                    <w:t>Versuch wiederholen**</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3F7E71" w:rsidRPr="00BD2498" w:rsidRDefault="003F7E71" w:rsidP="003F7E71">
                  <w:pPr>
                    <w:jc w:val="center"/>
                    <w:rPr>
                      <w:rFonts w:cs="Arial"/>
                      <w:color w:val="000000"/>
                    </w:rPr>
                  </w:pPr>
                  <w:r>
                    <w:rPr>
                      <w:color w:val="000000"/>
                    </w:rPr>
                    <w:t>nicht homogen**</w:t>
                  </w:r>
                </w:p>
              </w:tc>
            </w:tr>
          </w:tbl>
          <w:p w:rsidR="003F7E71" w:rsidRDefault="003F7E71" w:rsidP="003F7E71">
            <w:pPr>
              <w:pStyle w:val="Titleofdoc0"/>
              <w:spacing w:before="0"/>
              <w:jc w:val="both"/>
              <w:rPr>
                <w:szCs w:val="24"/>
              </w:rPr>
            </w:pPr>
          </w:p>
          <w:p w:rsidR="00C24111" w:rsidRDefault="00C24111" w:rsidP="003F7E71">
            <w:pPr>
              <w:keepNext/>
              <w:keepLines/>
              <w:ind w:left="884"/>
              <w:rPr>
                <w:sz w:val="18"/>
              </w:rPr>
            </w:pPr>
          </w:p>
          <w:p w:rsidR="003F7E71" w:rsidRPr="00C1030A" w:rsidRDefault="003F7E71" w:rsidP="003F7E71">
            <w:pPr>
              <w:keepNext/>
              <w:keepLines/>
              <w:ind w:left="884"/>
              <w:rPr>
                <w:rFonts w:eastAsia="SimSun"/>
                <w:sz w:val="18"/>
              </w:rPr>
            </w:pPr>
            <w:r>
              <w:rPr>
                <w:sz w:val="18"/>
              </w:rPr>
              <w:t>*  Bei der Prüfung von Ergebnissen, die in jeder der Wachstumsperioden sehr unterschiedlich sind, muß mit größter Sorgfalt verfahren werden, etwa wenn ein Abweichertyp in einer Wachstumsperiode sehr häufig und in einer anderen überhaupt nicht vorkommt.</w:t>
            </w:r>
          </w:p>
          <w:p w:rsidR="003F7E71" w:rsidRPr="00C1030A" w:rsidRDefault="003F7E71" w:rsidP="003F7E71">
            <w:pPr>
              <w:keepNext/>
              <w:keepLines/>
              <w:ind w:left="884"/>
              <w:rPr>
                <w:rFonts w:eastAsia="SimSun"/>
                <w:sz w:val="18"/>
                <w:szCs w:val="24"/>
              </w:rPr>
            </w:pPr>
          </w:p>
          <w:p w:rsidR="003F7E71" w:rsidRDefault="003F7E71" w:rsidP="003F7E71">
            <w:pPr>
              <w:keepNext/>
              <w:keepLines/>
              <w:ind w:left="885"/>
              <w:rPr>
                <w:rFonts w:eastAsia="SimSun"/>
                <w:szCs w:val="24"/>
              </w:rPr>
            </w:pPr>
            <w:r>
              <w:rPr>
                <w:sz w:val="18"/>
              </w:rPr>
              <w:t>**  Eine Sorte kann unter gewissen Umständen nach einer Wachstumsperiode zurückgewiesen werden.</w:t>
            </w:r>
          </w:p>
        </w:tc>
      </w:tr>
    </w:tbl>
    <w:p w:rsidR="003F7E71" w:rsidRDefault="003F7E71" w:rsidP="003F7E71"/>
    <w:p w:rsidR="0024347A" w:rsidRDefault="0024347A" w:rsidP="003F7E71"/>
    <w:p w:rsidR="0024347A" w:rsidRDefault="0024347A" w:rsidP="003F7E71"/>
    <w:p w:rsidR="003F7E71" w:rsidRDefault="003F7E71" w:rsidP="003F7E71">
      <w:pPr>
        <w:jc w:val="right"/>
        <w:rPr>
          <w:rFonts w:eastAsia="MS Mincho"/>
          <w:color w:val="000000"/>
        </w:rPr>
      </w:pPr>
      <w:r>
        <w:rPr>
          <w:color w:val="000000"/>
        </w:rPr>
        <w:t>[Anlage III folgt]</w:t>
      </w:r>
    </w:p>
    <w:p w:rsidR="003F7E71" w:rsidRDefault="003F7E71" w:rsidP="003F7E71">
      <w:pPr>
        <w:rPr>
          <w:rFonts w:eastAsia="MS Mincho"/>
          <w:color w:val="000000"/>
        </w:rPr>
      </w:pPr>
    </w:p>
    <w:p w:rsidR="003F7E71" w:rsidRDefault="003F7E71" w:rsidP="003F7E71">
      <w:pPr>
        <w:jc w:val="right"/>
        <w:rPr>
          <w:rFonts w:eastAsia="MS Mincho"/>
          <w:color w:val="000000"/>
        </w:rPr>
        <w:sectPr w:rsidR="003F7E71" w:rsidSect="00C24111">
          <w:headerReference w:type="default" r:id="rId13"/>
          <w:headerReference w:type="first" r:id="rId14"/>
          <w:pgSz w:w="11907" w:h="16840" w:code="9"/>
          <w:pgMar w:top="510" w:right="1134" w:bottom="851" w:left="1134" w:header="510" w:footer="680" w:gutter="0"/>
          <w:pgNumType w:start="1"/>
          <w:cols w:space="720"/>
          <w:titlePg/>
        </w:sect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3F7E71" w:rsidRPr="0056487C" w:rsidTr="003F7E71">
        <w:trPr>
          <w:trHeight w:val="632"/>
        </w:trPr>
        <w:tc>
          <w:tcPr>
            <w:tcW w:w="9355" w:type="dxa"/>
          </w:tcPr>
          <w:p w:rsidR="003F7E71" w:rsidRPr="0056487C" w:rsidRDefault="003F7E71" w:rsidP="003F7E71">
            <w:pPr>
              <w:autoSpaceDE w:val="0"/>
              <w:autoSpaceDN w:val="0"/>
              <w:adjustRightInd w:val="0"/>
              <w:spacing w:before="120" w:after="120"/>
              <w:jc w:val="center"/>
              <w:rPr>
                <w:rFonts w:eastAsia="SimSun"/>
                <w:strike/>
                <w:szCs w:val="24"/>
                <w:highlight w:val="lightGray"/>
              </w:rPr>
            </w:pPr>
            <w:r>
              <w:rPr>
                <w:strike/>
                <w:highlight w:val="lightGray"/>
              </w:rPr>
              <w:lastRenderedPageBreak/>
              <w:t>SITUATION C:  MEHR ALS EINE PROBE / UNTERPROBE FÜR EIN MERKMAL IN DER GLEICHEN WACHSTUMSPERIODE</w:t>
            </w:r>
          </w:p>
        </w:tc>
      </w:tr>
      <w:tr w:rsidR="003F7E71" w:rsidRPr="0056487C" w:rsidTr="003F7E71">
        <w:trPr>
          <w:trHeight w:val="2880"/>
        </w:trPr>
        <w:tc>
          <w:tcPr>
            <w:tcW w:w="9355" w:type="dxa"/>
            <w:tcBorders>
              <w:bottom w:val="single" w:sz="4" w:space="0" w:color="auto"/>
            </w:tcBorders>
          </w:tcPr>
          <w:p w:rsidR="003F7E71" w:rsidRPr="0056487C" w:rsidRDefault="003F7E71" w:rsidP="003F7E71">
            <w:pPr>
              <w:rPr>
                <w:b/>
                <w:strike/>
                <w:szCs w:val="24"/>
                <w:highlight w:val="lightGray"/>
              </w:rPr>
            </w:pPr>
          </w:p>
          <w:p w:rsidR="003F7E71" w:rsidRPr="0056487C" w:rsidRDefault="003F7E71" w:rsidP="003F7E71">
            <w:pPr>
              <w:rPr>
                <w:strike/>
                <w:highlight w:val="lightGray"/>
              </w:rPr>
            </w:pPr>
            <w:r>
              <w:rPr>
                <w:b/>
                <w:strike/>
                <w:highlight w:val="lightGray"/>
              </w:rPr>
              <w:t>Ansatz:  Zusätzliche Wachstumsperiode im Fall widersprüchlicher Ergebnisse</w:t>
            </w:r>
          </w:p>
          <w:p w:rsidR="003F7E71" w:rsidRPr="0056487C" w:rsidRDefault="003F7E71" w:rsidP="003F7E71">
            <w:pPr>
              <w:jc w:val="left"/>
              <w:rPr>
                <w:rFonts w:eastAsia="MS Mincho"/>
                <w:strike/>
                <w:color w:val="000000"/>
                <w:highlight w:val="lightGray"/>
              </w:rPr>
            </w:pPr>
          </w:p>
          <w:p w:rsidR="003F7E71" w:rsidRPr="0056487C" w:rsidRDefault="003F7E71" w:rsidP="003F7E71">
            <w:pPr>
              <w:rPr>
                <w:strike/>
                <w:szCs w:val="24"/>
                <w:highlight w:val="lightGray"/>
                <w:u w:val="single"/>
              </w:rPr>
            </w:pPr>
            <w:r>
              <w:rPr>
                <w:strike/>
                <w:highlight w:val="lightGray"/>
              </w:rPr>
              <w:t>Eine Sorte wird als homogen für ein Merkmal betrachtet, wenn sie in allen Proben oder Unterproben innerhalb des Homogenitätsstandards liegt.</w:t>
            </w:r>
          </w:p>
          <w:p w:rsidR="003F7E71" w:rsidRPr="0056487C" w:rsidRDefault="003F7E71" w:rsidP="003F7E71">
            <w:pPr>
              <w:rPr>
                <w:rFonts w:eastAsia="SimSun"/>
                <w:strike/>
                <w:szCs w:val="24"/>
                <w:highlight w:val="lightGray"/>
              </w:rPr>
            </w:pPr>
          </w:p>
          <w:p w:rsidR="003F7E71" w:rsidRPr="0056487C" w:rsidRDefault="003F7E71" w:rsidP="003F7E71">
            <w:pPr>
              <w:rPr>
                <w:rFonts w:eastAsia="SimSun"/>
                <w:strike/>
                <w:szCs w:val="24"/>
                <w:highlight w:val="lightGray"/>
              </w:rPr>
            </w:pPr>
            <w:r>
              <w:rPr>
                <w:strike/>
                <w:highlight w:val="lightGray"/>
              </w:rPr>
              <w:t>Eine Sorte wird als nicht homogen betrachtet, wenn sie in allen Proben oder Unterproben nicht dem Homogenitätsstandard für das Merkmal entspricht.</w:t>
            </w:r>
          </w:p>
          <w:p w:rsidR="003F7E71" w:rsidRPr="0056487C" w:rsidRDefault="003F7E71" w:rsidP="003F7E71">
            <w:pPr>
              <w:rPr>
                <w:strike/>
                <w:szCs w:val="24"/>
                <w:highlight w:val="lightGray"/>
              </w:rPr>
            </w:pPr>
          </w:p>
          <w:p w:rsidR="003F7E71" w:rsidRPr="0056487C" w:rsidRDefault="003F7E71" w:rsidP="003F7E71">
            <w:pPr>
              <w:rPr>
                <w:strike/>
                <w:szCs w:val="24"/>
                <w:highlight w:val="lightGray"/>
              </w:rPr>
            </w:pPr>
            <w:r>
              <w:rPr>
                <w:strike/>
                <w:highlight w:val="lightGray"/>
              </w:rPr>
              <w:t>In dem Fall, in dem eine Sorte in einer Probe oder Unterprobe (z.B. Hauptprüfung) innerhalb des Homogenitätsstandards liegt, bei einer anderen Probe / Unterprobe (z.B. Ährenreihen-Parzelle) jedoch nicht, dann werden beide Proben oder Unterproben in einer weiteren Wachstumsperiode geprüft.</w:t>
            </w:r>
          </w:p>
          <w:p w:rsidR="003F7E71" w:rsidRPr="0056487C" w:rsidRDefault="00A425B2" w:rsidP="003F7E71">
            <w:pPr>
              <w:rPr>
                <w:strike/>
                <w:szCs w:val="24"/>
                <w:highlight w:val="lightGray"/>
              </w:rPr>
            </w:pPr>
            <w:r>
              <w:rPr>
                <w:rFonts w:eastAsia="SimSun"/>
                <w:strike/>
                <w:szCs w:val="24"/>
                <w:highlight w:val="lightGray"/>
              </w:rPr>
              <w:pict>
                <v:rect id="_x0000_i1027" style="width:0;height:1.5pt" o:hralign="center" o:hrstd="t" o:hr="t" fillcolor="#a0a0a0" stroked="f"/>
              </w:pict>
            </w:r>
          </w:p>
          <w:p w:rsidR="003F7E71" w:rsidRPr="0056487C" w:rsidRDefault="003F7E71" w:rsidP="003F7E71">
            <w:pPr>
              <w:rPr>
                <w:strike/>
                <w:szCs w:val="24"/>
                <w:highlight w:val="lightGray"/>
              </w:rPr>
            </w:pPr>
          </w:p>
          <w:p w:rsidR="003F7E71" w:rsidRPr="0056487C" w:rsidRDefault="003F7E71" w:rsidP="003F7E71">
            <w:pPr>
              <w:rPr>
                <w:strike/>
                <w:szCs w:val="24"/>
                <w:highlight w:val="lightGray"/>
              </w:rPr>
            </w:pPr>
            <w:r>
              <w:rPr>
                <w:strike/>
                <w:highlight w:val="lightGray"/>
                <w:u w:val="single"/>
              </w:rPr>
              <w:t xml:space="preserve">Anmerkung: </w:t>
            </w:r>
            <w:r>
              <w:rPr>
                <w:strike/>
                <w:highlight w:val="lightGray"/>
              </w:rPr>
              <w:t>prüfen, ob Situation C bereits in Dokument TGP/10 „Prüfung der Homogenität“, Abschnitt 6 „Kombination aller Erfassungen an einer Sorte“ enthalten ist.</w:t>
            </w:r>
          </w:p>
          <w:p w:rsidR="003F7E71" w:rsidRPr="0056487C" w:rsidRDefault="003F7E71" w:rsidP="003F7E71">
            <w:pPr>
              <w:rPr>
                <w:strike/>
                <w:szCs w:val="24"/>
                <w:highlight w:val="lightGray"/>
              </w:rPr>
            </w:pPr>
          </w:p>
          <w:p w:rsidR="003F7E71" w:rsidRPr="0056487C" w:rsidRDefault="003F7E71" w:rsidP="003F7E71">
            <w:pPr>
              <w:ind w:left="33"/>
              <w:rPr>
                <w:strike/>
                <w:snapToGrid w:val="0"/>
                <w:highlight w:val="lightGray"/>
              </w:rPr>
            </w:pPr>
            <w:r>
              <w:rPr>
                <w:strike/>
                <w:snapToGrid w:val="0"/>
                <w:highlight w:val="lightGray"/>
              </w:rPr>
              <w:t>Auszug aus Dokument TGP/10/1 „Prüfung der Homogenität“</w:t>
            </w:r>
          </w:p>
          <w:p w:rsidR="003F7E71" w:rsidRPr="0056487C" w:rsidRDefault="003F7E71" w:rsidP="003F7E71">
            <w:pPr>
              <w:ind w:left="426"/>
              <w:rPr>
                <w:strike/>
                <w:snapToGrid w:val="0"/>
                <w:highlight w:val="lightGray"/>
              </w:rPr>
            </w:pPr>
          </w:p>
          <w:p w:rsidR="003F7E71" w:rsidRPr="0056487C" w:rsidRDefault="003F7E71" w:rsidP="003F7E71">
            <w:pPr>
              <w:spacing w:line="276" w:lineRule="auto"/>
              <w:ind w:left="742" w:right="601"/>
              <w:rPr>
                <w:strike/>
                <w:snapToGrid w:val="0"/>
                <w:sz w:val="18"/>
                <w:highlight w:val="lightGray"/>
              </w:rPr>
            </w:pPr>
            <w:r>
              <w:rPr>
                <w:strike/>
                <w:snapToGrid w:val="0"/>
                <w:sz w:val="18"/>
                <w:highlight w:val="lightGray"/>
              </w:rPr>
              <w:t>„ABSCHNITT 6:</w:t>
            </w:r>
            <w:r>
              <w:tab/>
            </w:r>
            <w:r>
              <w:rPr>
                <w:strike/>
                <w:snapToGrid w:val="0"/>
                <w:sz w:val="18"/>
                <w:highlight w:val="lightGray"/>
              </w:rPr>
              <w:t>Kombination aller Erfassungen  an einer Sorte</w:t>
            </w:r>
          </w:p>
          <w:p w:rsidR="003F7E71" w:rsidRPr="0056487C" w:rsidRDefault="003F7E71" w:rsidP="003F7E71">
            <w:pPr>
              <w:spacing w:line="276" w:lineRule="auto"/>
              <w:ind w:left="742" w:right="601"/>
              <w:rPr>
                <w:strike/>
                <w:snapToGrid w:val="0"/>
                <w:sz w:val="18"/>
                <w:highlight w:val="lightGray"/>
              </w:rPr>
            </w:pPr>
          </w:p>
          <w:p w:rsidR="003F7E71" w:rsidRPr="0056487C" w:rsidRDefault="003F7E71" w:rsidP="003F7E71">
            <w:pPr>
              <w:spacing w:line="276" w:lineRule="auto"/>
              <w:ind w:left="742" w:right="601"/>
              <w:rPr>
                <w:strike/>
                <w:snapToGrid w:val="0"/>
                <w:sz w:val="18"/>
                <w:highlight w:val="lightGray"/>
              </w:rPr>
            </w:pPr>
            <w:r>
              <w:rPr>
                <w:strike/>
                <w:snapToGrid w:val="0"/>
                <w:sz w:val="18"/>
                <w:highlight w:val="lightGray"/>
              </w:rPr>
              <w:t>[…]</w:t>
            </w:r>
          </w:p>
          <w:p w:rsidR="003F7E71" w:rsidRPr="0056487C" w:rsidRDefault="003F7E71" w:rsidP="003F7E71">
            <w:pPr>
              <w:spacing w:line="276" w:lineRule="auto"/>
              <w:ind w:left="742" w:right="601"/>
              <w:rPr>
                <w:strike/>
                <w:snapToGrid w:val="0"/>
                <w:sz w:val="18"/>
                <w:highlight w:val="lightGray"/>
              </w:rPr>
            </w:pPr>
          </w:p>
          <w:p w:rsidR="003F7E71" w:rsidRPr="0056487C" w:rsidRDefault="003F7E71" w:rsidP="003F7E71">
            <w:pPr>
              <w:spacing w:line="276" w:lineRule="auto"/>
              <w:ind w:left="742" w:right="601"/>
              <w:rPr>
                <w:strike/>
                <w:snapToGrid w:val="0"/>
                <w:sz w:val="18"/>
                <w:highlight w:val="lightGray"/>
              </w:rPr>
            </w:pPr>
            <w:r>
              <w:rPr>
                <w:strike/>
                <w:snapToGrid w:val="0"/>
                <w:sz w:val="18"/>
                <w:highlight w:val="lightGray"/>
              </w:rPr>
              <w:t>„6.3</w:t>
            </w:r>
            <w:r>
              <w:tab/>
            </w:r>
            <w:r>
              <w:rPr>
                <w:strike/>
                <w:snapToGrid w:val="0"/>
                <w:sz w:val="18"/>
                <w:highlight w:val="lightGray"/>
              </w:rPr>
              <w:t xml:space="preserve">Nur Abweicher:  An verschiedenen Proben erfaßte Merkmale </w:t>
            </w:r>
          </w:p>
          <w:p w:rsidR="003F7E71" w:rsidRPr="0056487C" w:rsidRDefault="003F7E71" w:rsidP="003F7E71">
            <w:pPr>
              <w:spacing w:line="276" w:lineRule="auto"/>
              <w:ind w:left="742" w:right="601"/>
              <w:rPr>
                <w:strike/>
                <w:snapToGrid w:val="0"/>
                <w:sz w:val="18"/>
                <w:highlight w:val="lightGray"/>
              </w:rPr>
            </w:pPr>
          </w:p>
          <w:p w:rsidR="003F7E71" w:rsidRPr="0056487C" w:rsidRDefault="003F7E71" w:rsidP="003F7E71">
            <w:pPr>
              <w:spacing w:line="276" w:lineRule="auto"/>
              <w:ind w:left="742" w:right="601"/>
              <w:rPr>
                <w:strike/>
                <w:snapToGrid w:val="0"/>
                <w:sz w:val="18"/>
              </w:rPr>
            </w:pPr>
            <w:r>
              <w:rPr>
                <w:strike/>
                <w:snapToGrid w:val="0"/>
                <w:sz w:val="18"/>
                <w:highlight w:val="lightGray"/>
              </w:rPr>
              <w:t>„In vielen Fällen wird die Homogenität durch Erfassungen an verschiedenen Pflanzenproben oder Pflanzenteilen geprüft.  Für die Homogenität bei Weizen (vergleiche UPOV</w:t>
            </w:r>
            <w:r>
              <w:noBreakHyphen/>
            </w:r>
            <w:r>
              <w:rPr>
                <w:strike/>
                <w:snapToGrid w:val="0"/>
                <w:sz w:val="18"/>
                <w:highlight w:val="lightGray"/>
              </w:rPr>
              <w:t xml:space="preserve">Prüfungsrichtlinien für Weizen:  TG/3) werden beispielsweise einige Merkmale an einer Probe von 2 000 Pflanzen, andere an einer Probe von Pflanzenteilen von 100 Pflanzen erfaßt.  </w:t>
            </w:r>
            <w:r>
              <w:noBreakHyphen/>
            </w:r>
            <w:r>
              <w:rPr>
                <w:strike/>
                <w:snapToGrid w:val="0"/>
                <w:sz w:val="18"/>
                <w:highlight w:val="lightGray"/>
              </w:rPr>
              <w:t>Abweicherpflanzen, die in der Parzelle mit 2 000 Pflanzen erfaßt werden, können von weiteren Erfassungen ausgeschlossen werden.  Für die von 100 Pflanzen entnommenen Pflanzenteile ist es in der Regel nicht möglich, den Pflanzenteil auf die ursprüngliche Pflanze in der Parzelle zurückzuverfolgen.  Daher muß die Probe von 100 Pflanzenteilen als von den 2 000 Pflanzen unabhängig angesehen werden.  Eine weitere unabhängige Probe der Pflanze wird in bezug auf die Samenmerkmale beobachtet.  In diesen Fällen sollte eine Prüfung der Homogenität an allen unabhängigen Proben durchgeführt werden, indem der geeignete Populationsstandard angewandt wird. Eine Sorte sollte als homogen angesehen werden, wenn die Homogenitätsvoraussetzungen bei allen Proben erfüllt sind.”</w:t>
            </w:r>
          </w:p>
          <w:p w:rsidR="003F7E71" w:rsidRPr="0056487C" w:rsidRDefault="003F7E71" w:rsidP="003F7E71">
            <w:pPr>
              <w:rPr>
                <w:strike/>
                <w:szCs w:val="24"/>
              </w:rPr>
            </w:pPr>
          </w:p>
          <w:p w:rsidR="003F7E71" w:rsidRPr="0056487C" w:rsidRDefault="003F7E71" w:rsidP="003F7E71">
            <w:pPr>
              <w:rPr>
                <w:strike/>
                <w:szCs w:val="24"/>
              </w:rPr>
            </w:pPr>
          </w:p>
        </w:tc>
      </w:tr>
    </w:tbl>
    <w:p w:rsidR="003F7E71" w:rsidRDefault="003F7E71" w:rsidP="003F7E71">
      <w:pPr>
        <w:rPr>
          <w:snapToGrid w:val="0"/>
        </w:rPr>
      </w:pPr>
    </w:p>
    <w:p w:rsidR="003F7E71" w:rsidRPr="00104C37" w:rsidRDefault="003F7E71" w:rsidP="003F7E71">
      <w:pPr>
        <w:rPr>
          <w:snapToGrid w:val="0"/>
        </w:rPr>
      </w:pPr>
    </w:p>
    <w:p w:rsidR="003F7E71" w:rsidRDefault="003F7E71" w:rsidP="003F7E71">
      <w:pPr>
        <w:rPr>
          <w:snapToGrid w:val="0"/>
        </w:rPr>
      </w:pPr>
    </w:p>
    <w:p w:rsidR="003F7E71" w:rsidRDefault="003F7E71" w:rsidP="003F7E71">
      <w:pPr>
        <w:jc w:val="right"/>
      </w:pPr>
      <w:r>
        <w:t>[Anlage IV folgt]</w:t>
      </w:r>
    </w:p>
    <w:p w:rsidR="003F7E71" w:rsidRDefault="003F7E71" w:rsidP="003F7E71">
      <w:pPr>
        <w:rPr>
          <w:snapToGrid w:val="0"/>
        </w:rPr>
      </w:pPr>
    </w:p>
    <w:p w:rsidR="003F7E71" w:rsidRDefault="003F7E71" w:rsidP="003F7E71">
      <w:pPr>
        <w:rPr>
          <w:snapToGrid w:val="0"/>
        </w:rPr>
        <w:sectPr w:rsidR="003F7E71" w:rsidSect="00906DDC">
          <w:headerReference w:type="first" r:id="rId15"/>
          <w:pgSz w:w="11907" w:h="16840" w:code="9"/>
          <w:pgMar w:top="510" w:right="1134" w:bottom="1134" w:left="1134" w:header="510" w:footer="680" w:gutter="0"/>
          <w:cols w:space="720"/>
          <w:titlePg/>
        </w:sect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3F7E71" w:rsidRPr="00ED3415" w:rsidTr="003F7E71">
        <w:trPr>
          <w:trHeight w:val="350"/>
        </w:trPr>
        <w:tc>
          <w:tcPr>
            <w:tcW w:w="10206" w:type="dxa"/>
          </w:tcPr>
          <w:p w:rsidR="003F7E71" w:rsidRPr="002A2C89" w:rsidRDefault="003F7E71" w:rsidP="003F7E71">
            <w:pPr>
              <w:autoSpaceDE w:val="0"/>
              <w:autoSpaceDN w:val="0"/>
              <w:adjustRightInd w:val="0"/>
              <w:spacing w:before="120" w:after="120"/>
              <w:jc w:val="center"/>
              <w:rPr>
                <w:rFonts w:eastAsia="SimSun"/>
                <w:szCs w:val="24"/>
              </w:rPr>
            </w:pPr>
            <w:r>
              <w:lastRenderedPageBreak/>
              <w:t>SITUATION D:  PRÜFUNG VON UNTERPROBEN IN EINER PRÜFUNG / EINEM VERSUCH</w:t>
            </w:r>
          </w:p>
        </w:tc>
      </w:tr>
      <w:tr w:rsidR="003F7E71" w:rsidRPr="00ED3415" w:rsidTr="003F7E71">
        <w:trPr>
          <w:trHeight w:val="6949"/>
        </w:trPr>
        <w:tc>
          <w:tcPr>
            <w:tcW w:w="10206" w:type="dxa"/>
          </w:tcPr>
          <w:p w:rsidR="003F7E71" w:rsidRPr="00443AD8" w:rsidRDefault="003F7E71" w:rsidP="003F7E71"/>
          <w:p w:rsidR="003F7E71" w:rsidRDefault="003F7E71" w:rsidP="003F7E71">
            <w:pPr>
              <w:rPr>
                <w:b/>
              </w:rPr>
            </w:pPr>
            <w:r>
              <w:rPr>
                <w:b/>
              </w:rPr>
              <w:t>Ansatz:  Verwendung von Unterproben als erster Prüfungsschritt</w:t>
            </w:r>
          </w:p>
          <w:p w:rsidR="003F7E71" w:rsidRPr="00443AD8" w:rsidRDefault="003F7E71" w:rsidP="003F7E71">
            <w:pPr>
              <w:rPr>
                <w:b/>
              </w:rPr>
            </w:pPr>
          </w:p>
          <w:p w:rsidR="003F7E71" w:rsidRDefault="003F7E71" w:rsidP="003F7E71">
            <w:r>
              <w:t xml:space="preserve">Eine Sorte wird als homogen betrachtet, wenn </w:t>
            </w:r>
            <w:r>
              <w:rPr>
                <w:strike/>
                <w:highlight w:val="lightGray"/>
              </w:rPr>
              <w:t>keine Abweicher beobachtet werden</w:t>
            </w:r>
            <w:r w:rsidR="00AC6779" w:rsidRPr="00884417">
              <w:t xml:space="preserve"> </w:t>
            </w:r>
            <w:r>
              <w:rPr>
                <w:u w:val="single"/>
              </w:rPr>
              <w:t>die Anzahl der Abweicher einen festgelegten unteren Grenzwert</w:t>
            </w:r>
            <w:r>
              <w:t xml:space="preserve"> in der Unterprobe </w:t>
            </w:r>
            <w:r>
              <w:rPr>
                <w:u w:val="single"/>
              </w:rPr>
              <w:t>nicht übersteigt</w:t>
            </w:r>
            <w:r>
              <w:t>.</w:t>
            </w:r>
          </w:p>
          <w:p w:rsidR="003F7E71" w:rsidRPr="00443AD8" w:rsidRDefault="003F7E71" w:rsidP="003F7E71"/>
          <w:p w:rsidR="003F7E71" w:rsidRDefault="003F7E71" w:rsidP="003F7E71">
            <w:r>
              <w:t xml:space="preserve">Eine Sorte wird als nicht homogen betrachtet, wenn die Anzahl der Abweichertypen </w:t>
            </w:r>
            <w:r>
              <w:rPr>
                <w:u w:val="single"/>
              </w:rPr>
              <w:t>einen festgelegten oberen Grenzwert in der Unterprobe übersteigt</w:t>
            </w:r>
            <w:r>
              <w:t xml:space="preserve"> </w:t>
            </w:r>
            <w:r>
              <w:rPr>
                <w:strike/>
                <w:highlight w:val="lightGray"/>
              </w:rPr>
              <w:t>die aktezptierte Anzahl an Abweichertypen für die gesamte Probe übersteigt.</w:t>
            </w:r>
          </w:p>
          <w:p w:rsidR="003F7E71" w:rsidRPr="00443AD8" w:rsidRDefault="003F7E71" w:rsidP="003F7E71"/>
          <w:p w:rsidR="003F7E71" w:rsidRDefault="003F7E71" w:rsidP="003F7E71">
            <w:r>
              <w:t xml:space="preserve">Ist die Anzahl an Abweichertypen </w:t>
            </w:r>
            <w:r>
              <w:rPr>
                <w:strike/>
                <w:highlight w:val="lightGray"/>
              </w:rPr>
              <w:t>1 oder höher, aber gerinter als die akzeptierte Anzahl an Abwei</w:t>
            </w:r>
            <w:r w:rsidR="00AC6779">
              <w:rPr>
                <w:strike/>
                <w:highlight w:val="lightGray"/>
              </w:rPr>
              <w:t>chertypen für die gesamte Probe</w:t>
            </w:r>
            <w:r>
              <w:rPr>
                <w:highlight w:val="lightGray"/>
              </w:rPr>
              <w:t xml:space="preserve"> </w:t>
            </w:r>
            <w:r>
              <w:rPr>
                <w:highlight w:val="lightGray"/>
                <w:u w:val="single"/>
              </w:rPr>
              <w:t>zwischen den festgelegten unteren und oberen Grenzwerten</w:t>
            </w:r>
            <w:r>
              <w:t>, w</w:t>
            </w:r>
            <w:r w:rsidR="00604487">
              <w:t xml:space="preserve">ird die gesamte Probe geprüft. </w:t>
            </w:r>
            <w:r>
              <w:rPr>
                <w:highlight w:val="lightGray"/>
                <w:u w:val="single"/>
              </w:rPr>
              <w:t>Die unteren und oberen Grenzwerte müssen unter Berücksichtigung vergleichbarer Fehler vom Typ I und Typ II in der Unterprobe und der gesamten Probe gewählt werden.</w:t>
            </w:r>
          </w:p>
          <w:p w:rsidR="003F7E71" w:rsidRDefault="00A425B2" w:rsidP="003F7E71">
            <w:r>
              <w:rPr>
                <w:rFonts w:eastAsia="SimSun"/>
                <w:szCs w:val="24"/>
              </w:rPr>
              <w:pict>
                <v:rect id="_x0000_i1028" style="width:0;height:1.5pt" o:hralign="center" o:hrstd="t" o:hr="t" fillcolor="#a0a0a0" stroked="f"/>
              </w:pict>
            </w:r>
          </w:p>
          <w:p w:rsidR="003F7E71" w:rsidRDefault="003F7E71" w:rsidP="003F7E71">
            <w:pPr>
              <w:rPr>
                <w:szCs w:val="24"/>
              </w:rPr>
            </w:pPr>
          </w:p>
          <w:p w:rsidR="003F7E71" w:rsidRPr="00BF512B" w:rsidRDefault="003F7E71" w:rsidP="003F7E71">
            <w:pPr>
              <w:rPr>
                <w:szCs w:val="24"/>
              </w:rPr>
            </w:pPr>
            <w:r>
              <w:t>Beispiel:</w:t>
            </w:r>
          </w:p>
          <w:p w:rsidR="003F7E71" w:rsidRDefault="003F7E71" w:rsidP="003F7E71">
            <w:pPr>
              <w:rPr>
                <w:szCs w:val="24"/>
              </w:rPr>
            </w:pPr>
          </w:p>
          <w:p w:rsidR="003F7E71" w:rsidRDefault="003F7E71" w:rsidP="003F7E71">
            <w:pPr>
              <w:autoSpaceDE w:val="0"/>
              <w:autoSpaceDN w:val="0"/>
              <w:adjustRightInd w:val="0"/>
              <w:rPr>
                <w:color w:val="000000"/>
                <w:szCs w:val="24"/>
              </w:rPr>
            </w:pPr>
            <w:r>
              <w:rPr>
                <w:color w:val="000000"/>
              </w:rPr>
              <w:t>In einer Probengröße von 100 Pflanzen beträgt die akzeptierte Anzahl an Abweichertypen 3 (ausgehend von einem Populationsstandard von 1% und einer Akzeptanzwahrscheinlichkeit von mindestens 95%).</w:t>
            </w:r>
          </w:p>
          <w:p w:rsidR="003F7E71" w:rsidRDefault="003F7E71" w:rsidP="003F7E71">
            <w:pPr>
              <w:autoSpaceDE w:val="0"/>
              <w:autoSpaceDN w:val="0"/>
              <w:adjustRightInd w:val="0"/>
              <w:rPr>
                <w:color w:val="000000"/>
                <w:szCs w:val="24"/>
              </w:rPr>
            </w:pPr>
          </w:p>
          <w:p w:rsidR="003F7E71" w:rsidRDefault="003F7E71" w:rsidP="003F7E71">
            <w:pPr>
              <w:autoSpaceDE w:val="0"/>
              <w:autoSpaceDN w:val="0"/>
              <w:adjustRightInd w:val="0"/>
              <w:rPr>
                <w:color w:val="000000"/>
                <w:szCs w:val="24"/>
              </w:rPr>
            </w:pPr>
            <w:r>
              <w:rPr>
                <w:color w:val="000000"/>
              </w:rPr>
              <w:t>In einer Unterprobe von 20 Pflanzen, die in Zusammenhang mit der oben genannten Probengröße von 100 Pflanzen verwendet wird:</w:t>
            </w:r>
          </w:p>
          <w:p w:rsidR="003F7E71" w:rsidRDefault="003F7E71" w:rsidP="003F7E71">
            <w:pPr>
              <w:autoSpaceDE w:val="0"/>
              <w:autoSpaceDN w:val="0"/>
              <w:adjustRightInd w:val="0"/>
              <w:rPr>
                <w:color w:val="000000"/>
                <w:szCs w:val="24"/>
              </w:rPr>
            </w:pPr>
          </w:p>
          <w:p w:rsidR="003F7E71" w:rsidRDefault="003F7E71" w:rsidP="003F7E71">
            <w:pPr>
              <w:ind w:left="567"/>
            </w:pPr>
            <w:r>
              <w:t>Eine Sorte wird als homogen betrachtet, wenn die Unterprobe keine Abweicher aufweist.</w:t>
            </w:r>
          </w:p>
          <w:p w:rsidR="003F7E71" w:rsidRPr="00443AD8" w:rsidRDefault="003F7E71" w:rsidP="003F7E71"/>
          <w:p w:rsidR="003F7E71" w:rsidRDefault="003F7E71" w:rsidP="003F7E71">
            <w:pPr>
              <w:ind w:left="567"/>
            </w:pPr>
            <w:r>
              <w:t>Eine Sorte wird als nicht homogen betrachtet, wenn die Unterprobe mehr als 3 Abweicher aufweist.</w:t>
            </w:r>
          </w:p>
          <w:p w:rsidR="003F7E71" w:rsidRPr="00443AD8" w:rsidRDefault="003F7E71" w:rsidP="003F7E71"/>
          <w:p w:rsidR="003F7E71" w:rsidRDefault="003F7E71" w:rsidP="003F7E71">
            <w:pPr>
              <w:ind w:left="567"/>
            </w:pPr>
            <w:r>
              <w:t>Ist die Anzahl der Abweichertypen 1 bis 3, so wird die gesamte Probe von 100 Pflanzen geprüft.</w:t>
            </w:r>
          </w:p>
          <w:p w:rsidR="00DB1B22" w:rsidRDefault="00DB1B22" w:rsidP="003F7E71">
            <w:pPr>
              <w:ind w:left="567"/>
            </w:pPr>
          </w:p>
          <w:p w:rsidR="00DB1B22" w:rsidRPr="00DB1B22" w:rsidRDefault="00DB1B22" w:rsidP="003F7E71">
            <w:pPr>
              <w:ind w:left="567"/>
              <w:rPr>
                <w:u w:val="single"/>
              </w:rPr>
            </w:pPr>
            <w:r>
              <w:rPr>
                <w:highlight w:val="lightGray"/>
                <w:u w:val="single"/>
              </w:rPr>
              <w:t>Die Sorte wird als</w:t>
            </w:r>
            <w:r w:rsidR="00AC6779">
              <w:rPr>
                <w:highlight w:val="lightGray"/>
                <w:u w:val="single"/>
              </w:rPr>
              <w:t xml:space="preserve"> nicht homogen betrachtet, wenn</w:t>
            </w:r>
            <w:r>
              <w:rPr>
                <w:highlight w:val="lightGray"/>
                <w:u w:val="single"/>
              </w:rPr>
              <w:t xml:space="preserve"> die Anzahl der Abweicher in der Probe mit 100 Pflanzen größer als 3 ist.</w:t>
            </w:r>
          </w:p>
          <w:p w:rsidR="007C11A4" w:rsidRDefault="007C11A4" w:rsidP="003F7E71">
            <w:pPr>
              <w:ind w:left="34" w:right="600"/>
              <w:rPr>
                <w:highlight w:val="lightGray"/>
                <w:u w:val="single"/>
              </w:rPr>
            </w:pPr>
          </w:p>
          <w:p w:rsidR="003F7E71" w:rsidRPr="00BA4717" w:rsidRDefault="003F7E71" w:rsidP="003F7E71">
            <w:pPr>
              <w:ind w:left="34" w:right="600"/>
              <w:rPr>
                <w:strike/>
                <w:szCs w:val="24"/>
                <w:highlight w:val="lightGray"/>
              </w:rPr>
            </w:pPr>
            <w:r>
              <w:rPr>
                <w:strike/>
                <w:highlight w:val="lightGray"/>
              </w:rPr>
              <w:t xml:space="preserve">(Der Hintergrund zu diesem Beispiel ist in Anlage V dieses Dokuments enthalten) </w:t>
            </w:r>
          </w:p>
          <w:p w:rsidR="003F7E71" w:rsidRPr="00BA4717" w:rsidRDefault="003F7E71" w:rsidP="003F7E71">
            <w:pPr>
              <w:ind w:left="34" w:right="600"/>
              <w:rPr>
                <w:szCs w:val="24"/>
                <w:u w:val="single"/>
              </w:rPr>
            </w:pPr>
            <w:r>
              <w:rPr>
                <w:highlight w:val="lightGray"/>
                <w:u w:val="single"/>
              </w:rPr>
              <w:t>Anlage V von Dokument TWC/32/9 enthält eine vollständige Beschreibung der statistischen Grundlage für diesen Ansatz.</w:t>
            </w:r>
          </w:p>
          <w:p w:rsidR="003F7E71" w:rsidRPr="0071257F" w:rsidRDefault="003F7E71" w:rsidP="003F7E71">
            <w:pPr>
              <w:ind w:left="34" w:right="600"/>
              <w:rPr>
                <w:szCs w:val="24"/>
              </w:rPr>
            </w:pPr>
          </w:p>
        </w:tc>
      </w:tr>
    </w:tbl>
    <w:p w:rsidR="003F7E71" w:rsidRDefault="003F7E71" w:rsidP="003F7E71">
      <w:pPr>
        <w:pStyle w:val="endofdoc"/>
        <w:rPr>
          <w:snapToGrid w:val="0"/>
        </w:rPr>
      </w:pPr>
    </w:p>
    <w:p w:rsidR="003F7E71" w:rsidRDefault="003F7E71" w:rsidP="003F7E71">
      <w:pPr>
        <w:pStyle w:val="endofdoc"/>
        <w:rPr>
          <w:snapToGrid w:val="0"/>
        </w:rPr>
      </w:pPr>
      <w:r>
        <w:t>[Anlage V folgt]</w:t>
      </w:r>
    </w:p>
    <w:p w:rsidR="003F7E71" w:rsidRDefault="003F7E71" w:rsidP="003F7E71">
      <w:pPr>
        <w:sectPr w:rsidR="003F7E71" w:rsidSect="00906DDC">
          <w:headerReference w:type="default" r:id="rId16"/>
          <w:headerReference w:type="first" r:id="rId17"/>
          <w:footerReference w:type="first" r:id="rId18"/>
          <w:pgSz w:w="11907" w:h="16840" w:code="9"/>
          <w:pgMar w:top="510" w:right="1134" w:bottom="1134" w:left="1134" w:header="510" w:footer="680" w:gutter="0"/>
          <w:cols w:space="720"/>
          <w:titlePg/>
        </w:sectPr>
      </w:pPr>
    </w:p>
    <w:p w:rsidR="003F7E71" w:rsidRDefault="003F7E71" w:rsidP="003F7E71">
      <w:pPr>
        <w:jc w:val="center"/>
      </w:pPr>
      <w:r>
        <w:lastRenderedPageBreak/>
        <w:t>MEMORANDUM DES SACHVERSTÄNDIGEN AUS DEUTSCHLAND</w:t>
      </w:r>
    </w:p>
    <w:p w:rsidR="003F7E71" w:rsidRDefault="003F7E71" w:rsidP="003F7E71">
      <w:pPr>
        <w:rPr>
          <w:rFonts w:cs="Arial"/>
          <w:caps/>
          <w:sz w:val="22"/>
          <w:szCs w:val="22"/>
        </w:rPr>
      </w:pPr>
    </w:p>
    <w:p w:rsidR="00AC6779" w:rsidRPr="00F13DEF" w:rsidRDefault="00AC6779" w:rsidP="00AC6779">
      <w:pPr>
        <w:rPr>
          <w:u w:val="single"/>
        </w:rPr>
      </w:pPr>
      <w:r>
        <w:rPr>
          <w:u w:val="single"/>
        </w:rPr>
        <w:t>Verwendung eines schrittweisen Ansatzes beim Vorgehen anhand von Abweichern innerhalb derselben Wachstumsperiode</w:t>
      </w:r>
    </w:p>
    <w:p w:rsidR="00AC6779" w:rsidRPr="00B40556" w:rsidRDefault="00AC6779" w:rsidP="00AC6779">
      <w:pPr>
        <w:rPr>
          <w:rFonts w:cs="Arial"/>
          <w:caps/>
        </w:rPr>
      </w:pPr>
    </w:p>
    <w:p w:rsidR="00AC6779" w:rsidRPr="00F13DEF" w:rsidRDefault="00AC6779" w:rsidP="00AC6779">
      <w:pPr>
        <w:rPr>
          <w:i/>
        </w:rPr>
      </w:pPr>
      <w:r>
        <w:rPr>
          <w:i/>
        </w:rPr>
        <w:t>Hintergrund</w:t>
      </w:r>
    </w:p>
    <w:p w:rsidR="00AC6779" w:rsidRPr="00B40556" w:rsidRDefault="00AC6779" w:rsidP="00AC6779">
      <w:pPr>
        <w:rPr>
          <w:rFonts w:cs="Arial"/>
        </w:rPr>
      </w:pPr>
    </w:p>
    <w:p w:rsidR="00AC6779" w:rsidRPr="00B40556" w:rsidRDefault="00AC6779" w:rsidP="00AC6779">
      <w:pPr>
        <w:rPr>
          <w:rFonts w:cs="Arial"/>
        </w:rPr>
      </w:pPr>
      <w:r>
        <w:t>Der TC nahm zur Kenntnis, daß die TWC vorgeschlagen hatte, daß die statistische Grundlage für die annehmbare Anzahl von Abweichern in Situation D auf ihrer Tagung im Jahr 2014, wie in den Absätzen 34 und 35 des Dokuments TC/50/12 dargelegt, weiter geprüft werden soll</w:t>
      </w:r>
      <w:r w:rsidR="00604487">
        <w:t>te</w:t>
      </w:r>
      <w:r>
        <w:t>.</w:t>
      </w:r>
    </w:p>
    <w:p w:rsidR="00AC6779" w:rsidRPr="00B40556" w:rsidRDefault="00AC6779" w:rsidP="00AC6779">
      <w:pPr>
        <w:rPr>
          <w:rFonts w:cs="Arial"/>
        </w:rPr>
      </w:pPr>
    </w:p>
    <w:p w:rsidR="00AC6779" w:rsidRPr="00B40556" w:rsidRDefault="00AC6779" w:rsidP="00AC6779">
      <w:pPr>
        <w:rPr>
          <w:rFonts w:cs="Arial"/>
        </w:rPr>
      </w:pPr>
      <w:r>
        <w:t>Folgender Text basiert auf Dokument TWC/31/22 Anlage V.</w:t>
      </w:r>
    </w:p>
    <w:p w:rsidR="00AC6779" w:rsidRPr="00B40556" w:rsidRDefault="00AC6779" w:rsidP="00AC6779">
      <w:pPr>
        <w:rPr>
          <w:rFonts w:cs="Arial"/>
        </w:rPr>
      </w:pPr>
    </w:p>
    <w:p w:rsidR="00AC6779" w:rsidRPr="00B40556" w:rsidRDefault="00AC6779" w:rsidP="00AC6779">
      <w:pPr>
        <w:rPr>
          <w:rFonts w:cs="Arial"/>
        </w:rPr>
      </w:pPr>
      <w:r>
        <w:t xml:space="preserve">Die Methode der Homogenitätsprüfung anhand von Abweichern (Verfahren anhand von Abweichern) wurde in Dokument TGP/8 beschrieben. Absatz 8.1.7 gibt Anleitung zur Verwendung des Verfahrens anhand von Abweichern in mehr als einer Prüfung, einschließlich einer kombinierten Prüfung, einer Zweiphasenprüfung und von Sequenzprüfungen.  </w:t>
      </w:r>
    </w:p>
    <w:p w:rsidR="00AC6779" w:rsidRPr="00B40556" w:rsidRDefault="00AC6779" w:rsidP="00AC6779">
      <w:pPr>
        <w:rPr>
          <w:rFonts w:cs="Arial"/>
        </w:rPr>
      </w:pPr>
    </w:p>
    <w:p w:rsidR="00AC6779" w:rsidRPr="00B40556" w:rsidRDefault="00AC6779" w:rsidP="00AC6779">
      <w:pPr>
        <w:rPr>
          <w:rFonts w:cs="Arial"/>
        </w:rPr>
      </w:pPr>
      <w:r>
        <w:t>Eine kombinierte Prüfung wird wir folgt beschrieben:</w:t>
      </w:r>
    </w:p>
    <w:p w:rsidR="00AC6779" w:rsidRPr="00B40556" w:rsidRDefault="00AC6779" w:rsidP="00AC6779">
      <w:pPr>
        <w:rPr>
          <w:rFonts w:cs="Arial"/>
        </w:rPr>
      </w:pPr>
      <w:r>
        <w:t>Nach zwei (oder drei) Jahren wird auf der Grundlage der Gesamtzahl der geprüften Pflanzen und der Gesamtzahl der erfaßten Abweicher eine Entscheidung getroffen.</w:t>
      </w:r>
    </w:p>
    <w:p w:rsidR="00AC6779" w:rsidRPr="00B40556" w:rsidRDefault="00AC6779" w:rsidP="00AC6779">
      <w:pPr>
        <w:rPr>
          <w:rFonts w:cs="Arial"/>
        </w:rPr>
      </w:pPr>
    </w:p>
    <w:p w:rsidR="00AC6779" w:rsidRPr="00B40556" w:rsidRDefault="00AC6779" w:rsidP="00AC6779">
      <w:pPr>
        <w:rPr>
          <w:rFonts w:cs="Arial"/>
        </w:rPr>
      </w:pPr>
      <w:r>
        <w:t>Eine Zweiphasenprüfung wird wie folgt beschrieben:</w:t>
      </w:r>
    </w:p>
    <w:p w:rsidR="00AC6779" w:rsidRPr="00B40556" w:rsidRDefault="00AC6779" w:rsidP="00AC6779">
      <w:pPr>
        <w:rPr>
          <w:rFonts w:cs="Arial"/>
        </w:rPr>
      </w:pPr>
      <w:r>
        <w:t xml:space="preserve">Es werden die Ergebnisse des ersten Jahres verwendet, um zu sehen, ob die Daten eine klare Entscheidung nahelegen (zurückweisen oder annehmen). Ist die Entscheidung nicht klar, wird mit dem zweiten Jahr fortgefahren und die Entscheidung nach dem zweiten Jahr getroffen. </w:t>
      </w:r>
    </w:p>
    <w:p w:rsidR="00AC6779" w:rsidRPr="00B40556" w:rsidRDefault="00AC6779" w:rsidP="00AC6779">
      <w:pPr>
        <w:rPr>
          <w:rFonts w:cs="Arial"/>
        </w:rPr>
      </w:pPr>
    </w:p>
    <w:p w:rsidR="00AC6779" w:rsidRPr="00B40556" w:rsidRDefault="00AC6779" w:rsidP="00AC6779">
      <w:pPr>
        <w:rPr>
          <w:rFonts w:cs="Arial"/>
        </w:rPr>
      </w:pPr>
      <w:r>
        <w:t xml:space="preserve">Eine Sequenzprüfung ist eine Mehrphasenprüfung, bei der Entscheidungsregeln abhängig oder unabhängig von den Ergebnissen der Prüfung festgelegt werden können. </w:t>
      </w:r>
    </w:p>
    <w:p w:rsidR="00AC6779" w:rsidRPr="00B40556" w:rsidRDefault="00AC6779" w:rsidP="00AC6779">
      <w:pPr>
        <w:rPr>
          <w:rFonts w:cs="Arial"/>
        </w:rPr>
      </w:pPr>
    </w:p>
    <w:p w:rsidR="00AC6779" w:rsidRPr="00B40556" w:rsidRDefault="00AC6779" w:rsidP="00AC6779">
      <w:pPr>
        <w:rPr>
          <w:rFonts w:cs="Arial"/>
        </w:rPr>
      </w:pPr>
      <w:r>
        <w:t>Ein spezifisches Beispiel für die Verwendung einer Zweiphasenprüfung ist in Dokument TWC/29/09 „Prüfung der Homogenität anhand von Abweichern aufgrund von mehr als einer Probe oder Unterproben“, Anlage I, Seite 13, enthalten. Folgender spezieller Ansatz wird von mehreren europäischen Prüfungsämtern bei Weizen und Gerste für die Homogenitätsprüfung im Fall von Merkmalen, die an einer Probengröße von 100 Pflanzen oder Pflanzenteilen erfaßt werden, angewandt. Für jede Entscheidung wird der Populationsstandard auf 1% festgesetzt mit einer Akzeptanzwahrscheinlichkeit von 95% für jede Entscheidung.</w:t>
      </w:r>
    </w:p>
    <w:p w:rsidR="00AC6779" w:rsidRPr="00B40556" w:rsidRDefault="00AC6779" w:rsidP="00AC6779">
      <w:pPr>
        <w:rPr>
          <w:rFonts w:cs="Arial"/>
        </w:rPr>
      </w:pPr>
    </w:p>
    <w:p w:rsidR="00AC6779" w:rsidRPr="00B40556" w:rsidRDefault="00AC6779" w:rsidP="00AC6779">
      <w:pPr>
        <w:rPr>
          <w:rFonts w:cs="Arial"/>
        </w:rPr>
      </w:pPr>
      <w:r>
        <w:t xml:space="preserve">Im ersten Schritt werden 20 Pflanzen oder Pflanzenteile beobachtet. </w:t>
      </w:r>
    </w:p>
    <w:p w:rsidR="00AC6779" w:rsidRPr="00B40556" w:rsidRDefault="00AC6779" w:rsidP="00AC6779">
      <w:pPr>
        <w:rPr>
          <w:rFonts w:cs="Arial"/>
        </w:rPr>
      </w:pPr>
    </w:p>
    <w:p w:rsidR="00AC6779" w:rsidRPr="00B40556" w:rsidRDefault="00AC6779" w:rsidP="00AC6779">
      <w:pPr>
        <w:pStyle w:val="ListParagraph"/>
        <w:numPr>
          <w:ilvl w:val="0"/>
          <w:numId w:val="1"/>
        </w:numPr>
        <w:rPr>
          <w:rFonts w:cs="Arial"/>
        </w:rPr>
      </w:pPr>
      <w:r>
        <w:t>Gibt es bei 20 Pflanzen keine Abweicherpflanzen, dann übersteigt die Sorte die Zahl der für dieses Merkmal für diese Wachstumsperiode erlaubten Abweicher nicht</w:t>
      </w:r>
    </w:p>
    <w:p w:rsidR="00AC6779" w:rsidRPr="00B40556" w:rsidRDefault="00AC6779" w:rsidP="00AC6779">
      <w:pPr>
        <w:pStyle w:val="ListParagraph"/>
        <w:numPr>
          <w:ilvl w:val="0"/>
          <w:numId w:val="1"/>
        </w:numPr>
        <w:rPr>
          <w:rFonts w:cs="Arial"/>
        </w:rPr>
      </w:pPr>
      <w:r>
        <w:t>Gibt es mehr als 3 Abweicherpflanzen, so übersteigt die Sorte die erlaubte Anzahl von Abweichertypen für dieses Merkmal für diese Wachstumsperiode.</w:t>
      </w:r>
    </w:p>
    <w:p w:rsidR="00AC6779" w:rsidRPr="00B40556" w:rsidRDefault="00AC6779" w:rsidP="00AC6779">
      <w:pPr>
        <w:pStyle w:val="ListParagraph"/>
        <w:numPr>
          <w:ilvl w:val="0"/>
          <w:numId w:val="1"/>
        </w:numPr>
        <w:rPr>
          <w:rFonts w:cs="Arial"/>
        </w:rPr>
      </w:pPr>
      <w:r>
        <w:t>Gibt es 1, 2, oder 3 Abweicherpflanzen, folgt der zweite Schritt.</w:t>
      </w:r>
    </w:p>
    <w:p w:rsidR="00AC6779" w:rsidRPr="00B40556" w:rsidRDefault="00AC6779" w:rsidP="00AC6779">
      <w:pPr>
        <w:rPr>
          <w:rFonts w:cs="Arial"/>
        </w:rPr>
      </w:pPr>
    </w:p>
    <w:p w:rsidR="00AC6779" w:rsidRPr="00B40556" w:rsidRDefault="00AC6779" w:rsidP="00AC6779">
      <w:pPr>
        <w:rPr>
          <w:rFonts w:cs="Arial"/>
        </w:rPr>
      </w:pPr>
      <w:r>
        <w:t>Im zweiten Schritt werden weitere 80 Pflanzen oder Pflanzenteile beobachtet.</w:t>
      </w:r>
    </w:p>
    <w:p w:rsidR="00AC6779" w:rsidRPr="00B40556" w:rsidRDefault="00AC6779" w:rsidP="00AC6779">
      <w:pPr>
        <w:rPr>
          <w:rFonts w:cs="Arial"/>
        </w:rPr>
      </w:pPr>
    </w:p>
    <w:p w:rsidR="00AC6779" w:rsidRPr="00B40556" w:rsidRDefault="00AC6779" w:rsidP="00AC6779">
      <w:pPr>
        <w:pStyle w:val="ListParagraph"/>
        <w:numPr>
          <w:ilvl w:val="0"/>
          <w:numId w:val="1"/>
        </w:numPr>
        <w:rPr>
          <w:rFonts w:cs="Arial"/>
        </w:rPr>
      </w:pPr>
      <w:r>
        <w:t>Gibt es 3 oder weniger Abweicherpflanzen in 100 Pflanzen (20 von Schritt 1 + 80 von Schritt 2), so übersteigt die Sorte die Anzahl der erlaubten Abweicher für dieses Merkmal für diese Wachstumsperiode nicht</w:t>
      </w:r>
    </w:p>
    <w:p w:rsidR="00AC6779" w:rsidRPr="00B40556" w:rsidRDefault="00AC6779" w:rsidP="00AC6779">
      <w:pPr>
        <w:pStyle w:val="ListParagraph"/>
        <w:numPr>
          <w:ilvl w:val="0"/>
          <w:numId w:val="1"/>
        </w:numPr>
        <w:rPr>
          <w:rFonts w:cs="Arial"/>
        </w:rPr>
      </w:pPr>
      <w:r>
        <w:t>Gibt es mehr als 3 Abweicherpflanzen in 100 Pflanzen (20 von Schritt 1 + 80 von Schritt 2), so übersteigt die Sorte die Anzahl der erlaubten Abweicherpflanzen für dieses Merkmal für diese Wachstumsperiode</w:t>
      </w:r>
    </w:p>
    <w:p w:rsidR="00AC6779" w:rsidRPr="00B40556" w:rsidRDefault="00AC6779" w:rsidP="00AC6779">
      <w:pPr>
        <w:rPr>
          <w:rFonts w:cs="Arial"/>
        </w:rPr>
      </w:pPr>
    </w:p>
    <w:p w:rsidR="00AC6779" w:rsidRPr="00B40556" w:rsidRDefault="00AC6779" w:rsidP="00AC6779">
      <w:pPr>
        <w:rPr>
          <w:rFonts w:cs="Arial"/>
        </w:rPr>
      </w:pPr>
      <w:r>
        <w:t>Die Entscheidungsregel wird wie folgt festgelegt:</w:t>
      </w:r>
    </w:p>
    <w:p w:rsidR="00AC6779" w:rsidRPr="00B40556" w:rsidRDefault="00AC6779" w:rsidP="00AC6779">
      <w:pPr>
        <w:rPr>
          <w:rFonts w:cs="Arial"/>
        </w:rPr>
      </w:pPr>
    </w:p>
    <w:p w:rsidR="00AC6779" w:rsidRPr="00B40556" w:rsidRDefault="00AC6779" w:rsidP="00AC6779">
      <w:pPr>
        <w:ind w:left="709" w:right="567"/>
        <w:rPr>
          <w:rFonts w:cs="Arial"/>
        </w:rPr>
      </w:pPr>
      <w:r>
        <w:t>Eine Sorte wird als innerhalb des Homogenitätsstandards in einer vorgegebenen Wachstumsperiode liegend betrachtet, wenn die Anzahl der Abweicher in allen Proben nicht die Anzahl der in einer der Proben erlaubten Abweicher übersteigt.</w:t>
      </w:r>
    </w:p>
    <w:p w:rsidR="00AC6779" w:rsidRPr="00B40556" w:rsidRDefault="00AC6779" w:rsidP="00AC6779">
      <w:pPr>
        <w:ind w:left="709" w:right="567"/>
        <w:rPr>
          <w:rFonts w:cs="Arial"/>
        </w:rPr>
      </w:pPr>
    </w:p>
    <w:p w:rsidR="00AC6779" w:rsidRDefault="00AC6779" w:rsidP="00AC6779">
      <w:pPr>
        <w:ind w:left="709" w:right="567"/>
        <w:rPr>
          <w:rFonts w:cs="Arial"/>
        </w:rPr>
      </w:pPr>
      <w:r>
        <w:lastRenderedPageBreak/>
        <w:t>Eine Sorte wird als homogen betrachtet, wenn sie in beiden Wachstumsperioden innerhalb des Homogenitätsstandards liegt.</w:t>
      </w:r>
    </w:p>
    <w:p w:rsidR="00AC6779" w:rsidRDefault="00AC6779" w:rsidP="00AC6779">
      <w:pPr>
        <w:ind w:left="709" w:right="567"/>
        <w:rPr>
          <w:rFonts w:cs="Arial"/>
        </w:rPr>
      </w:pPr>
    </w:p>
    <w:p w:rsidR="00AC6779" w:rsidRPr="00B40556" w:rsidRDefault="00AC6779" w:rsidP="00AC6779">
      <w:pPr>
        <w:ind w:left="709" w:right="567"/>
        <w:rPr>
          <w:rFonts w:cs="Arial"/>
        </w:rPr>
      </w:pPr>
      <w:r>
        <w:t>Entspricht die Sorte am Ende von zwei Wachstumsperioden in einer Wachstumsperiode dem Homogenitätsstandard, in der anderen Wachstumsperiode aber nicht, dann wird die Prüfung über eine dritte Wachstumsperiode hinweg fortgesetzt. Entspricht die Sorte am Ende der dritten Wachstumsperiode dem Homogenitätsstandard, so wird die Sorte als homogen betrachtet. Entspricht die Sorte am Ende der dritten Wachstumsperiode nicht dem Homogenitätsstandard, so wird die Sorte als nicht homogen betrachtet.</w:t>
      </w:r>
    </w:p>
    <w:p w:rsidR="00AC6779" w:rsidRPr="00B40556" w:rsidRDefault="00AC6779" w:rsidP="00AC6779">
      <w:pPr>
        <w:rPr>
          <w:rFonts w:cs="Arial"/>
        </w:rPr>
      </w:pPr>
    </w:p>
    <w:p w:rsidR="00AC6779" w:rsidRPr="00B40556" w:rsidRDefault="00AC6779" w:rsidP="00AC6779">
      <w:pPr>
        <w:rPr>
          <w:rFonts w:cs="Arial"/>
        </w:rPr>
      </w:pPr>
    </w:p>
    <w:p w:rsidR="00AC6779" w:rsidRPr="00B40556" w:rsidRDefault="00AC6779" w:rsidP="00AC6779">
      <w:pPr>
        <w:rPr>
          <w:rFonts w:cs="Arial"/>
        </w:rPr>
      </w:pPr>
      <w:r>
        <w:t xml:space="preserve">Dieser so genannte schrittweise Ansatz kann für eine Reihe von Merkmalen in jeder Wachstumsperiode, in der die Schritte durch die Proben (20 Pflanzen oder 20 + 80 Pflanzen) repräsentiert werden, verwendet werden.  </w:t>
      </w:r>
    </w:p>
    <w:p w:rsidR="00AC6779" w:rsidRPr="00B40556" w:rsidRDefault="00AC6779" w:rsidP="00AC6779">
      <w:pPr>
        <w:rPr>
          <w:rFonts w:cs="Arial"/>
        </w:rPr>
      </w:pPr>
    </w:p>
    <w:p w:rsidR="00AC6779" w:rsidRPr="00B40556" w:rsidRDefault="00AC6779" w:rsidP="00AC6779">
      <w:pPr>
        <w:rPr>
          <w:rFonts w:cs="Arial"/>
        </w:rPr>
      </w:pPr>
      <w:r>
        <w:t>Für den Vergleich unterschiedlicher Prüfungen und Entscheidungsregeln ist es zweckmäßig, entsprechende Fehler vom Typ I und Typ II zu vergleichen. Grundlegende Ideen wurden von Sachverständigen aus Frankreich in Dokument TWC/13/17 „Sequenzanalyse“ beschrieben.</w:t>
      </w:r>
    </w:p>
    <w:p w:rsidR="00AC6779" w:rsidRPr="00B40556" w:rsidRDefault="00AC6779" w:rsidP="00AC6779">
      <w:pPr>
        <w:rPr>
          <w:rFonts w:cs="Arial"/>
        </w:rPr>
      </w:pPr>
    </w:p>
    <w:p w:rsidR="00AC6779" w:rsidRPr="00B40556" w:rsidRDefault="00AC6779" w:rsidP="00AC6779">
      <w:pPr>
        <w:rPr>
          <w:rFonts w:cs="Arial"/>
        </w:rPr>
      </w:pPr>
      <w:r>
        <w:t>Es sollte daran erinnert werden, daß eine Entscheidung hinsichtlich der Homogenität einer Sorte immer einen so genannten Fehler vom Typ II aufweist (Akzeptanz der Nullhypothese), wohingegen eine Entscheidung hinsichtlich der Nichthomogenität einer Sorte einen so genannten Fehler von Typ I aufweist (Ablehnung der Nullhypothese). Folgendes gilt für das beschriebene Getreidebeispiel:</w:t>
      </w:r>
    </w:p>
    <w:p w:rsidR="00AC6779" w:rsidRPr="00B40556" w:rsidRDefault="00AC6779" w:rsidP="00AC6779">
      <w:pPr>
        <w:rPr>
          <w:rFonts w:cs="Arial"/>
        </w:rPr>
      </w:pPr>
    </w:p>
    <w:p w:rsidR="00AC6779" w:rsidRPr="00B40556" w:rsidRDefault="00AC6779" w:rsidP="00AC6779">
      <w:pPr>
        <w:rPr>
          <w:rFonts w:cs="Arial"/>
        </w:rPr>
      </w:pPr>
      <w:r>
        <w:t>Es wird davon ausgegangen, daß der Populationsstandard 1% und die Akzeptanzwahrscheinlichkeit 95% ist. Die Anzahl der erlaubten Abweicher bei 100 Pflanzen ist 3. Alle Gefahren werden auf der Grundlage der binomialen Verteilung bewertet. Zur Berechnung des Fehlers vom Typ II wird angenommen, daß der Populationsstandard für die nicht homogenen Sorten 2% ist (zwei Mal 1%).</w:t>
      </w:r>
    </w:p>
    <w:p w:rsidR="00AC6779" w:rsidRPr="00B40556" w:rsidRDefault="00AC6779" w:rsidP="00AC6779">
      <w:pPr>
        <w:rPr>
          <w:rFonts w:cs="Arial"/>
        </w:rPr>
      </w:pPr>
    </w:p>
    <w:p w:rsidR="00AC6779" w:rsidRPr="00B40556" w:rsidRDefault="00AC6779" w:rsidP="00AC6779">
      <w:pPr>
        <w:rPr>
          <w:rFonts w:cs="Arial"/>
        </w:rPr>
      </w:pPr>
      <w:r>
        <w:t>Für 20 Pflanzen ist die Zahl der erlaubten Abweichertypen normalerweise 1. Allerdings ist für 20 Pflanzen im ersten Schritt des Zweiphasenverfahrens (siehe oben) festgelegt, daß kein Abweicher erlaubt ist. Gibt es bei 20 Pflanzen im ersten Schritt keinen Abweicher, so ist der Fehler vom Typ II (Beta-Fehler-Risiko) 66,8%. Das ist hoch, aber vergleichbar mit 2 Abweichern in 100 Pflanzen. In diesem Fall ist der Fehler von Typ II 67,7 %.</w:t>
      </w:r>
    </w:p>
    <w:p w:rsidR="00AC6779" w:rsidRPr="00B40556" w:rsidRDefault="00AC6779" w:rsidP="00AC6779">
      <w:pPr>
        <w:rPr>
          <w:rFonts w:cs="Arial"/>
        </w:rPr>
      </w:pPr>
    </w:p>
    <w:p w:rsidR="00AC6779" w:rsidRPr="00B40556" w:rsidRDefault="00AC6779" w:rsidP="00AC6779">
      <w:pPr>
        <w:rPr>
          <w:rFonts w:cs="Arial"/>
        </w:rPr>
      </w:pPr>
      <w:r>
        <w:t>Bei der Betrachtung des Fehlers vom Typ I ist der tatsächliche Fehler 1,7 % im Fall von 20 Pflanzen und 1 Abweicher und 1,8% im Fall von 3 Abweichern in 100 Pflanzen. Eine Entscheidung auf der Grundlage einer Probe von 20 Pflanzen wird nur getroffen, wenn es keine Abweicher gibt, was einen kleineren Fehler darstellt als die an 100 Pflanzen getroffene Entscheidung.</w:t>
      </w:r>
    </w:p>
    <w:p w:rsidR="00AC6779" w:rsidRPr="00B40556" w:rsidRDefault="00AC6779" w:rsidP="00AC6779">
      <w:pPr>
        <w:rPr>
          <w:rFonts w:cs="Arial"/>
        </w:rPr>
      </w:pPr>
    </w:p>
    <w:p w:rsidR="00AC6779" w:rsidRPr="00B40556" w:rsidRDefault="00AC6779" w:rsidP="00AC6779">
      <w:pPr>
        <w:rPr>
          <w:rFonts w:cs="Arial"/>
        </w:rPr>
      </w:pPr>
      <w:r>
        <w:t xml:space="preserve">Im Fall von 20 Pflanzen im ersten Schritt und über 3 Abweicher, ist der Fehler vom Typ I (Alpha-Fehler-Risiko) fast Null. Er ist sehr klein und kleiner als im Fall von mehr als 3 Abweichern in 100 Pflanzen. In diesem Fall ist der Fehler von Typ I (Alpha-Fehler-Risiko) 0,3 %. </w:t>
      </w:r>
    </w:p>
    <w:p w:rsidR="00AC6779" w:rsidRPr="00B40556" w:rsidRDefault="00AC6779" w:rsidP="00AC6779">
      <w:pPr>
        <w:rPr>
          <w:rFonts w:cs="Arial"/>
        </w:rPr>
      </w:pPr>
    </w:p>
    <w:p w:rsidR="00AC6779" w:rsidRPr="00B40556" w:rsidRDefault="00AC6779" w:rsidP="00AC6779">
      <w:pPr>
        <w:rPr>
          <w:rFonts w:cs="Arial"/>
        </w:rPr>
      </w:pPr>
      <w:r>
        <w:t>Gibt es im ersten Schritt 1, 2, oder 3 Abweicher in 20 Pflanzen, so werden die nächsten 80 Pflanzen geprüft und die Entscheidung wird auf der Grundlage von 100 Pflanzen getroffen. In diesem Fall müssen die Fehler vom Typ I und Typ II unter Verwendung spezieller Formeln oder der Software aus Frankreich bewertet werden (</w:t>
      </w:r>
      <w:hyperlink r:id="rId19">
        <w:r>
          <w:rPr>
            <w:rStyle w:val="Hyperlink"/>
          </w:rPr>
          <w:t>http://www.seedtest.org/en/stats_tool_box_content---1--1143.html</w:t>
        </w:r>
      </w:hyperlink>
      <w:r>
        <w:t xml:space="preserve">). </w:t>
      </w:r>
    </w:p>
    <w:p w:rsidR="00AC6779" w:rsidRPr="00B40556" w:rsidRDefault="00AC6779" w:rsidP="00AC6779">
      <w:pPr>
        <w:rPr>
          <w:rFonts w:cs="Arial"/>
        </w:rPr>
      </w:pPr>
    </w:p>
    <w:p w:rsidR="00AC6779" w:rsidRPr="00B40556" w:rsidRDefault="00AC6779" w:rsidP="00AC6779">
      <w:pPr>
        <w:rPr>
          <w:rFonts w:cs="Arial"/>
        </w:rPr>
      </w:pPr>
      <w:r>
        <w:t>So ist es möglich, alle anderen Situationen zu vergleichen.</w:t>
      </w:r>
    </w:p>
    <w:p w:rsidR="00AC6779" w:rsidRPr="00B40556" w:rsidRDefault="00AC6779" w:rsidP="00AC6779">
      <w:pPr>
        <w:rPr>
          <w:rFonts w:cs="Arial"/>
        </w:rPr>
      </w:pPr>
    </w:p>
    <w:p w:rsidR="00AC6779" w:rsidRPr="00B40556" w:rsidRDefault="00AC6779" w:rsidP="00AC6779">
      <w:pPr>
        <w:rPr>
          <w:rFonts w:cs="Arial"/>
        </w:rPr>
      </w:pPr>
      <w:r>
        <w:t>Die offene Frage ist: Benötigen wir eine Stellungnahme zu den unterschiedlichen Fehlertypen für jede Entscheidung oder benötigen wir eine Stellu</w:t>
      </w:r>
      <w:r w:rsidR="00884417">
        <w:t>ngnahme zu allen Entscheidungen? Die</w:t>
      </w:r>
      <w:r>
        <w:t>s sollte mit Sachverständigen für Statistik erörtert werden.</w:t>
      </w:r>
    </w:p>
    <w:p w:rsidR="00AC6779" w:rsidRPr="00B40556" w:rsidRDefault="00AC6779" w:rsidP="00AC6779">
      <w:pPr>
        <w:rPr>
          <w:rFonts w:cs="Arial"/>
        </w:rPr>
      </w:pPr>
      <w:r>
        <w:t>Wegen zugrundeliegender nichtlinearer Formeln gibt es keine allgemeinen Regeln für alle praktischen, in DUS-Prüfungen verwendbaren Fälle.</w:t>
      </w:r>
    </w:p>
    <w:p w:rsidR="003F7E71" w:rsidRPr="0048474A" w:rsidRDefault="003F7E71" w:rsidP="003F7E71">
      <w:pPr>
        <w:rPr>
          <w:rFonts w:cs="Arial"/>
          <w:sz w:val="22"/>
          <w:szCs w:val="22"/>
        </w:rPr>
      </w:pPr>
    </w:p>
    <w:p w:rsidR="003F7E71" w:rsidRPr="00C5280D" w:rsidRDefault="003F7E71" w:rsidP="003F7E71"/>
    <w:p w:rsidR="003F7E71" w:rsidRPr="00C5280D" w:rsidRDefault="003F7E71" w:rsidP="00AC6779">
      <w:pPr>
        <w:pStyle w:val="endofdoc"/>
      </w:pPr>
      <w:r>
        <w:t>[Ende der Anlage V und des Dokuments]</w:t>
      </w:r>
      <w:r w:rsidR="00AC6779" w:rsidRPr="00C5280D">
        <w:t xml:space="preserve"> </w:t>
      </w:r>
    </w:p>
    <w:p w:rsidR="00050E16" w:rsidRPr="00C5280D" w:rsidRDefault="00050E16" w:rsidP="003F7E71"/>
    <w:sectPr w:rsidR="00050E16" w:rsidRPr="00C5280D" w:rsidSect="00A02465">
      <w:headerReference w:type="default" r:id="rId20"/>
      <w:headerReference w:type="first" r:id="rId21"/>
      <w:footerReference w:type="first" r:id="rId2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624" w:rsidRDefault="009B0624" w:rsidP="006655D3">
      <w:r>
        <w:separator/>
      </w:r>
    </w:p>
    <w:p w:rsidR="009B0624" w:rsidRDefault="009B0624" w:rsidP="006655D3"/>
    <w:p w:rsidR="009B0624" w:rsidRDefault="009B0624" w:rsidP="006655D3"/>
  </w:endnote>
  <w:endnote w:type="continuationSeparator" w:id="0">
    <w:p w:rsidR="009B0624" w:rsidRDefault="009B0624" w:rsidP="006655D3">
      <w:r>
        <w:separator/>
      </w:r>
    </w:p>
    <w:p w:rsidR="009B0624" w:rsidRPr="005C3F34" w:rsidRDefault="009B0624">
      <w:pPr>
        <w:pStyle w:val="Footer"/>
        <w:spacing w:after="60"/>
        <w:rPr>
          <w:sz w:val="18"/>
          <w:lang w:val="fr-CH"/>
        </w:rPr>
      </w:pPr>
      <w:r w:rsidRPr="005C3F34">
        <w:rPr>
          <w:sz w:val="18"/>
          <w:lang w:val="fr-CH"/>
        </w:rPr>
        <w:t>[Suite de la note de la page précédente]</w:t>
      </w:r>
    </w:p>
    <w:p w:rsidR="009B0624" w:rsidRPr="005C3F34" w:rsidRDefault="009B0624" w:rsidP="006655D3">
      <w:pPr>
        <w:rPr>
          <w:lang w:val="fr-CH"/>
        </w:rPr>
      </w:pPr>
    </w:p>
    <w:p w:rsidR="009B0624" w:rsidRPr="005C3F34" w:rsidRDefault="009B0624" w:rsidP="006655D3">
      <w:pPr>
        <w:rPr>
          <w:lang w:val="fr-CH"/>
        </w:rPr>
      </w:pPr>
    </w:p>
  </w:endnote>
  <w:endnote w:type="continuationNotice" w:id="1">
    <w:p w:rsidR="009B0624" w:rsidRPr="005C3F34" w:rsidRDefault="009B0624" w:rsidP="006655D3">
      <w:pPr>
        <w:rPr>
          <w:lang w:val="fr-CH"/>
        </w:rPr>
      </w:pPr>
      <w:r w:rsidRPr="005C3F34">
        <w:rPr>
          <w:lang w:val="fr-CH"/>
        </w:rPr>
        <w:t>[Suite de la note page suivante]</w:t>
      </w:r>
    </w:p>
    <w:p w:rsidR="009B0624" w:rsidRPr="005C3F34" w:rsidRDefault="009B0624" w:rsidP="006655D3">
      <w:pPr>
        <w:rPr>
          <w:lang w:val="fr-CH"/>
        </w:rPr>
      </w:pPr>
    </w:p>
    <w:p w:rsidR="009B0624" w:rsidRPr="005C3F34" w:rsidRDefault="009B0624"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624" w:rsidRPr="00AE0EF1" w:rsidRDefault="009B06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624" w:rsidRPr="002B2BCF" w:rsidRDefault="009B06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624" w:rsidRDefault="009B0624" w:rsidP="006655D3">
      <w:r>
        <w:separator/>
      </w:r>
    </w:p>
  </w:footnote>
  <w:footnote w:type="continuationSeparator" w:id="0">
    <w:p w:rsidR="009B0624" w:rsidRDefault="009B0624" w:rsidP="006655D3">
      <w:r>
        <w:separator/>
      </w:r>
    </w:p>
  </w:footnote>
  <w:footnote w:type="continuationNotice" w:id="1">
    <w:p w:rsidR="009B0624" w:rsidRPr="00AB530F" w:rsidRDefault="009B0624"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624" w:rsidRDefault="009B0624" w:rsidP="00EB048E">
    <w:pPr>
      <w:pStyle w:val="Header"/>
    </w:pPr>
    <w:r>
      <w:t>TC/51/24</w:t>
    </w:r>
  </w:p>
  <w:p w:rsidR="009B0624" w:rsidRPr="00C5280D" w:rsidRDefault="009B0624"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A425B2">
      <w:rPr>
        <w:rStyle w:val="PageNumber"/>
        <w:noProof/>
      </w:rPr>
      <w:t>6</w:t>
    </w:r>
    <w:r w:rsidRPr="00C5280D">
      <w:rPr>
        <w:rStyle w:val="PageNumber"/>
      </w:rPr>
      <w:fldChar w:fldCharType="end"/>
    </w:r>
  </w:p>
  <w:p w:rsidR="009B0624" w:rsidRPr="00C5280D" w:rsidRDefault="009B0624" w:rsidP="003F7E71">
    <w:pPr>
      <w:tabs>
        <w:tab w:val="left" w:pos="5556"/>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624" w:rsidRDefault="009B0624" w:rsidP="003F7E71">
    <w:pPr>
      <w:pStyle w:val="Header"/>
    </w:pPr>
    <w:r>
      <w:t>TC/51/24</w:t>
    </w:r>
  </w:p>
  <w:p w:rsidR="009B0624" w:rsidRPr="005C056F" w:rsidRDefault="009B0624" w:rsidP="003F7E71">
    <w:pPr>
      <w:pStyle w:val="Header"/>
    </w:pPr>
  </w:p>
  <w:p w:rsidR="009B0624" w:rsidRPr="005C056F" w:rsidRDefault="009B0624" w:rsidP="003F7E71">
    <w:pPr>
      <w:pStyle w:val="Header"/>
    </w:pPr>
    <w:r>
      <w:t>ANLAGE V</w:t>
    </w:r>
  </w:p>
  <w:p w:rsidR="009B0624" w:rsidRPr="005C056F" w:rsidRDefault="009B06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672" w:rsidRDefault="00462672">
    <w:pPr>
      <w:pStyle w:val="Header"/>
    </w:pPr>
    <w:r>
      <w:t>TC/51/24</w:t>
    </w:r>
  </w:p>
  <w:p w:rsidR="00462672" w:rsidRDefault="00462672">
    <w:pPr>
      <w:pStyle w:val="Header"/>
    </w:pPr>
    <w:r>
      <w:t xml:space="preserve">Anlage I, Seite </w:t>
    </w:r>
    <w:sdt>
      <w:sdtPr>
        <w:id w:val="83449380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425B2">
          <w:rPr>
            <w:noProof/>
          </w:rPr>
          <w:t>2</w:t>
        </w:r>
        <w:r>
          <w:rPr>
            <w:noProof/>
          </w:rPr>
          <w:fldChar w:fldCharType="end"/>
        </w:r>
      </w:sdtContent>
    </w:sdt>
  </w:p>
  <w:p w:rsidR="009B0624" w:rsidRPr="00C5280D" w:rsidRDefault="009B0624" w:rsidP="003F7E71">
    <w:pPr>
      <w:tabs>
        <w:tab w:val="left" w:pos="555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624" w:rsidRDefault="009B0624" w:rsidP="003F7E71">
    <w:pPr>
      <w:pStyle w:val="Header"/>
    </w:pPr>
    <w:r>
      <w:t>TC/51/24</w:t>
    </w:r>
  </w:p>
  <w:p w:rsidR="009B0624" w:rsidRPr="005C056F" w:rsidRDefault="009B0624" w:rsidP="003F7E71">
    <w:pPr>
      <w:pStyle w:val="Header"/>
      <w:rPr>
        <w:rStyle w:val="PageNumber"/>
      </w:rPr>
    </w:pPr>
  </w:p>
  <w:p w:rsidR="009B0624" w:rsidRPr="005C056F" w:rsidRDefault="009B0624" w:rsidP="003F7E71">
    <w:pPr>
      <w:pStyle w:val="Header"/>
    </w:pPr>
    <w:r>
      <w:t>ANLAGE I</w:t>
    </w:r>
  </w:p>
  <w:p w:rsidR="009B0624" w:rsidRPr="005C056F" w:rsidRDefault="009B0624" w:rsidP="003F7E71">
    <w:pPr>
      <w:pStyle w:val="Header"/>
      <w:rPr>
        <w:rFonts w:eastAsia="MS Mincho"/>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111" w:rsidRDefault="00C24111">
    <w:pPr>
      <w:pStyle w:val="Header"/>
    </w:pPr>
    <w:r>
      <w:t>TC/51/24</w:t>
    </w:r>
  </w:p>
  <w:p w:rsidR="00C24111" w:rsidRDefault="00C24111">
    <w:pPr>
      <w:pStyle w:val="Header"/>
    </w:pPr>
    <w:r>
      <w:t xml:space="preserve">Anlage II, Seite </w:t>
    </w:r>
    <w:sdt>
      <w:sdtPr>
        <w:id w:val="-157596359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425B2">
          <w:rPr>
            <w:noProof/>
          </w:rPr>
          <w:t>2</w:t>
        </w:r>
        <w:r>
          <w:rPr>
            <w:noProof/>
          </w:rPr>
          <w:fldChar w:fldCharType="end"/>
        </w:r>
      </w:sdtContent>
    </w:sdt>
  </w:p>
  <w:p w:rsidR="00C24111" w:rsidRPr="00C5280D" w:rsidRDefault="00C24111" w:rsidP="003F7E71">
    <w:pPr>
      <w:tabs>
        <w:tab w:val="left" w:pos="555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624" w:rsidRDefault="009B0624" w:rsidP="003F7E71">
    <w:pPr>
      <w:pStyle w:val="Header"/>
    </w:pPr>
    <w:r>
      <w:t>TC/51/24</w:t>
    </w:r>
  </w:p>
  <w:p w:rsidR="009B0624" w:rsidRDefault="009B0624" w:rsidP="003F7E71">
    <w:pPr>
      <w:pStyle w:val="Header"/>
    </w:pPr>
  </w:p>
  <w:p w:rsidR="009B0624" w:rsidRPr="005C056F" w:rsidRDefault="009B0624" w:rsidP="003F7E71">
    <w:pPr>
      <w:pStyle w:val="Header"/>
    </w:pPr>
    <w:r>
      <w:t>ANLAGE II</w:t>
    </w:r>
  </w:p>
  <w:p w:rsidR="009B0624" w:rsidRPr="005C056F" w:rsidRDefault="009B0624" w:rsidP="003F7E71">
    <w:pPr>
      <w:pStyle w:val="Header"/>
      <w:rPr>
        <w:rFonts w:eastAsia="MS Mincho"/>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624" w:rsidRDefault="009B0624" w:rsidP="003F7E71">
    <w:pPr>
      <w:pStyle w:val="Header"/>
    </w:pPr>
    <w:r>
      <w:t>TC/51/24</w:t>
    </w:r>
  </w:p>
  <w:p w:rsidR="009B0624" w:rsidRPr="005C056F" w:rsidRDefault="009B0624" w:rsidP="003F7E71">
    <w:pPr>
      <w:pStyle w:val="Header"/>
      <w:rPr>
        <w:rStyle w:val="PageNumber"/>
      </w:rPr>
    </w:pPr>
  </w:p>
  <w:p w:rsidR="009B0624" w:rsidRPr="005C056F" w:rsidRDefault="009B0624" w:rsidP="003F7E71">
    <w:pPr>
      <w:pStyle w:val="Header"/>
    </w:pPr>
    <w:r>
      <w:t>ANLAGE III</w:t>
    </w:r>
  </w:p>
  <w:p w:rsidR="009B0624" w:rsidRPr="005C056F" w:rsidRDefault="009B0624" w:rsidP="003F7E71">
    <w:pPr>
      <w:pStyle w:val="Header"/>
      <w:rPr>
        <w:rFonts w:eastAsia="MS Mincho"/>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624" w:rsidRPr="00832298" w:rsidRDefault="009B0624" w:rsidP="003F7E71">
    <w:pPr>
      <w:pStyle w:val="Header"/>
    </w:pPr>
    <w:r>
      <w:t>TWO/47/9</w:t>
    </w:r>
  </w:p>
  <w:p w:rsidR="009B0624" w:rsidRPr="00C5280D" w:rsidRDefault="009B0624" w:rsidP="00EB048E">
    <w:pPr>
      <w:pStyle w:val="Header"/>
    </w:pPr>
    <w:r>
      <w:t xml:space="preserve">Seite </w:t>
    </w:r>
    <w:r w:rsidRPr="00832298">
      <w:fldChar w:fldCharType="begin"/>
    </w:r>
    <w:r w:rsidRPr="00832298">
      <w:instrText xml:space="preserve"> PAGE </w:instrText>
    </w:r>
    <w:r w:rsidRPr="00832298">
      <w:fldChar w:fldCharType="separate"/>
    </w:r>
    <w:r>
      <w:rPr>
        <w:noProof/>
      </w:rPr>
      <w:t>6</w:t>
    </w:r>
    <w:r w:rsidRPr="00832298">
      <w:fldChar w:fldCharType="end"/>
    </w:r>
  </w:p>
  <w:p w:rsidR="009B0624" w:rsidRPr="00C5280D" w:rsidRDefault="009B0624" w:rsidP="003F7E7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624" w:rsidRDefault="009B0624" w:rsidP="003F7E71">
    <w:pPr>
      <w:pStyle w:val="Header"/>
    </w:pPr>
    <w:r>
      <w:t>TC/51/24</w:t>
    </w:r>
  </w:p>
  <w:p w:rsidR="009B0624" w:rsidRPr="005C056F" w:rsidRDefault="009B0624" w:rsidP="003F7E71">
    <w:pPr>
      <w:pStyle w:val="Header"/>
    </w:pPr>
  </w:p>
  <w:p w:rsidR="009B0624" w:rsidRPr="005C056F" w:rsidRDefault="009B0624" w:rsidP="003F7E71">
    <w:pPr>
      <w:pStyle w:val="Header"/>
    </w:pPr>
    <w:r>
      <w:t>ANLAGE IV</w:t>
    </w:r>
  </w:p>
  <w:p w:rsidR="009B0624" w:rsidRPr="005C056F" w:rsidRDefault="009B062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624" w:rsidRPr="00C5280D" w:rsidRDefault="009B0624" w:rsidP="00EB048E">
    <w:pPr>
      <w:pStyle w:val="Header"/>
      <w:rPr>
        <w:rStyle w:val="PageNumber"/>
      </w:rPr>
    </w:pPr>
    <w:r>
      <w:rPr>
        <w:rStyle w:val="PageNumber"/>
      </w:rPr>
      <w:t>TC/51/24</w:t>
    </w:r>
  </w:p>
  <w:p w:rsidR="009B0624" w:rsidRPr="00C5280D" w:rsidRDefault="009B0624" w:rsidP="00EB048E">
    <w:pPr>
      <w:pStyle w:val="Header"/>
    </w:pPr>
    <w:r>
      <w:t xml:space="preserve">Anlage V, 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A425B2">
      <w:rPr>
        <w:rStyle w:val="PageNumber"/>
        <w:noProof/>
      </w:rPr>
      <w:t>2</w:t>
    </w:r>
    <w:r w:rsidRPr="00C5280D">
      <w:rPr>
        <w:rStyle w:val="PageNumber"/>
      </w:rPr>
      <w:fldChar w:fldCharType="end"/>
    </w:r>
  </w:p>
  <w:p w:rsidR="009B0624" w:rsidRPr="00C5280D" w:rsidRDefault="009B0624"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D3E39"/>
    <w:multiLevelType w:val="hybridMultilevel"/>
    <w:tmpl w:val="00DA2C3E"/>
    <w:lvl w:ilvl="0" w:tplc="04070017">
      <w:start w:val="1"/>
      <w:numFmt w:val="lowerLetter"/>
      <w:lvlText w:val="%1)"/>
      <w:lvlJc w:val="left"/>
      <w:pPr>
        <w:ind w:left="5747" w:hanging="360"/>
      </w:pPr>
      <w:rPr>
        <w:rFonts w:hint="default"/>
      </w:rPr>
    </w:lvl>
    <w:lvl w:ilvl="1" w:tplc="04090019" w:tentative="1">
      <w:start w:val="1"/>
      <w:numFmt w:val="lowerLetter"/>
      <w:lvlText w:val="%2."/>
      <w:lvlJc w:val="left"/>
      <w:pPr>
        <w:ind w:left="6313" w:hanging="360"/>
      </w:pPr>
    </w:lvl>
    <w:lvl w:ilvl="2" w:tplc="0409001B" w:tentative="1">
      <w:start w:val="1"/>
      <w:numFmt w:val="lowerRoman"/>
      <w:lvlText w:val="%3."/>
      <w:lvlJc w:val="right"/>
      <w:pPr>
        <w:ind w:left="7033" w:hanging="180"/>
      </w:pPr>
    </w:lvl>
    <w:lvl w:ilvl="3" w:tplc="0409000F" w:tentative="1">
      <w:start w:val="1"/>
      <w:numFmt w:val="decimal"/>
      <w:lvlText w:val="%4."/>
      <w:lvlJc w:val="left"/>
      <w:pPr>
        <w:ind w:left="7753" w:hanging="360"/>
      </w:pPr>
    </w:lvl>
    <w:lvl w:ilvl="4" w:tplc="04090019" w:tentative="1">
      <w:start w:val="1"/>
      <w:numFmt w:val="lowerLetter"/>
      <w:lvlText w:val="%5."/>
      <w:lvlJc w:val="left"/>
      <w:pPr>
        <w:ind w:left="8473" w:hanging="360"/>
      </w:pPr>
    </w:lvl>
    <w:lvl w:ilvl="5" w:tplc="0409001B" w:tentative="1">
      <w:start w:val="1"/>
      <w:numFmt w:val="lowerRoman"/>
      <w:lvlText w:val="%6."/>
      <w:lvlJc w:val="right"/>
      <w:pPr>
        <w:ind w:left="9193" w:hanging="180"/>
      </w:pPr>
    </w:lvl>
    <w:lvl w:ilvl="6" w:tplc="0409000F" w:tentative="1">
      <w:start w:val="1"/>
      <w:numFmt w:val="decimal"/>
      <w:lvlText w:val="%7."/>
      <w:lvlJc w:val="left"/>
      <w:pPr>
        <w:ind w:left="9913" w:hanging="360"/>
      </w:pPr>
    </w:lvl>
    <w:lvl w:ilvl="7" w:tplc="04090019" w:tentative="1">
      <w:start w:val="1"/>
      <w:numFmt w:val="lowerLetter"/>
      <w:lvlText w:val="%8."/>
      <w:lvlJc w:val="left"/>
      <w:pPr>
        <w:ind w:left="10633" w:hanging="360"/>
      </w:pPr>
    </w:lvl>
    <w:lvl w:ilvl="8" w:tplc="0409001B" w:tentative="1">
      <w:start w:val="1"/>
      <w:numFmt w:val="lowerRoman"/>
      <w:lvlText w:val="%9."/>
      <w:lvlJc w:val="right"/>
      <w:pPr>
        <w:ind w:left="11353" w:hanging="180"/>
      </w:pPr>
    </w:lvl>
  </w:abstractNum>
  <w:abstractNum w:abstractNumId="1">
    <w:nsid w:val="757E2D8C"/>
    <w:multiLevelType w:val="hybridMultilevel"/>
    <w:tmpl w:val="D5CA2D2E"/>
    <w:lvl w:ilvl="0" w:tplc="D40C6B1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F34"/>
    <w:rsid w:val="00010CF3"/>
    <w:rsid w:val="00011E27"/>
    <w:rsid w:val="000148BC"/>
    <w:rsid w:val="00014EBA"/>
    <w:rsid w:val="00024AB8"/>
    <w:rsid w:val="000300FD"/>
    <w:rsid w:val="00030854"/>
    <w:rsid w:val="00036028"/>
    <w:rsid w:val="00044642"/>
    <w:rsid w:val="000446B9"/>
    <w:rsid w:val="00046408"/>
    <w:rsid w:val="00047E21"/>
    <w:rsid w:val="00050159"/>
    <w:rsid w:val="00050E16"/>
    <w:rsid w:val="00071A9A"/>
    <w:rsid w:val="00077633"/>
    <w:rsid w:val="00085505"/>
    <w:rsid w:val="0009449F"/>
    <w:rsid w:val="000C2545"/>
    <w:rsid w:val="000C7021"/>
    <w:rsid w:val="000D6BBC"/>
    <w:rsid w:val="000D7780"/>
    <w:rsid w:val="000F2F11"/>
    <w:rsid w:val="000F460B"/>
    <w:rsid w:val="00105929"/>
    <w:rsid w:val="001131D5"/>
    <w:rsid w:val="00141DB8"/>
    <w:rsid w:val="0017474A"/>
    <w:rsid w:val="001758C6"/>
    <w:rsid w:val="00182B99"/>
    <w:rsid w:val="00203B9B"/>
    <w:rsid w:val="0021332C"/>
    <w:rsid w:val="00213982"/>
    <w:rsid w:val="00223391"/>
    <w:rsid w:val="00241E23"/>
    <w:rsid w:val="0024347A"/>
    <w:rsid w:val="0024416D"/>
    <w:rsid w:val="00271911"/>
    <w:rsid w:val="002800A0"/>
    <w:rsid w:val="002801B3"/>
    <w:rsid w:val="00281060"/>
    <w:rsid w:val="002940E8"/>
    <w:rsid w:val="002A6E50"/>
    <w:rsid w:val="002B2BCF"/>
    <w:rsid w:val="002C256A"/>
    <w:rsid w:val="002D42EF"/>
    <w:rsid w:val="0030455C"/>
    <w:rsid w:val="00305A7F"/>
    <w:rsid w:val="003152FE"/>
    <w:rsid w:val="00327436"/>
    <w:rsid w:val="00344BD6"/>
    <w:rsid w:val="0035528D"/>
    <w:rsid w:val="00361821"/>
    <w:rsid w:val="003A2A66"/>
    <w:rsid w:val="003D227C"/>
    <w:rsid w:val="003D2B4D"/>
    <w:rsid w:val="003F7E71"/>
    <w:rsid w:val="00410983"/>
    <w:rsid w:val="00444A88"/>
    <w:rsid w:val="004471F2"/>
    <w:rsid w:val="00462120"/>
    <w:rsid w:val="00462672"/>
    <w:rsid w:val="00474DA4"/>
    <w:rsid w:val="00476B4D"/>
    <w:rsid w:val="004805FA"/>
    <w:rsid w:val="0049090B"/>
    <w:rsid w:val="004935D2"/>
    <w:rsid w:val="00495C76"/>
    <w:rsid w:val="004B1215"/>
    <w:rsid w:val="004D047D"/>
    <w:rsid w:val="004D475B"/>
    <w:rsid w:val="004F305A"/>
    <w:rsid w:val="00512164"/>
    <w:rsid w:val="00520297"/>
    <w:rsid w:val="005338F9"/>
    <w:rsid w:val="0054281C"/>
    <w:rsid w:val="0055268D"/>
    <w:rsid w:val="00556453"/>
    <w:rsid w:val="00576BE4"/>
    <w:rsid w:val="005A400A"/>
    <w:rsid w:val="005C3F34"/>
    <w:rsid w:val="005D1E52"/>
    <w:rsid w:val="005F2D62"/>
    <w:rsid w:val="00604487"/>
    <w:rsid w:val="006101A9"/>
    <w:rsid w:val="00612379"/>
    <w:rsid w:val="0061555F"/>
    <w:rsid w:val="00641200"/>
    <w:rsid w:val="006571BE"/>
    <w:rsid w:val="006655D3"/>
    <w:rsid w:val="00665D97"/>
    <w:rsid w:val="00667404"/>
    <w:rsid w:val="00687EB4"/>
    <w:rsid w:val="006B17D2"/>
    <w:rsid w:val="006C224E"/>
    <w:rsid w:val="006D780A"/>
    <w:rsid w:val="006E5468"/>
    <w:rsid w:val="00727D66"/>
    <w:rsid w:val="00732DEC"/>
    <w:rsid w:val="00735BD5"/>
    <w:rsid w:val="007556F6"/>
    <w:rsid w:val="00760EEF"/>
    <w:rsid w:val="00777EE5"/>
    <w:rsid w:val="00784836"/>
    <w:rsid w:val="0079023E"/>
    <w:rsid w:val="007A2854"/>
    <w:rsid w:val="007C11A4"/>
    <w:rsid w:val="007D0B9D"/>
    <w:rsid w:val="007D19B0"/>
    <w:rsid w:val="007F498F"/>
    <w:rsid w:val="0080679D"/>
    <w:rsid w:val="008108B0"/>
    <w:rsid w:val="00811B20"/>
    <w:rsid w:val="0082296E"/>
    <w:rsid w:val="00824099"/>
    <w:rsid w:val="00846D7C"/>
    <w:rsid w:val="00852132"/>
    <w:rsid w:val="00867AC1"/>
    <w:rsid w:val="00884417"/>
    <w:rsid w:val="0088748C"/>
    <w:rsid w:val="008A743F"/>
    <w:rsid w:val="008C0970"/>
    <w:rsid w:val="008D0BC5"/>
    <w:rsid w:val="008D2CF7"/>
    <w:rsid w:val="008F5497"/>
    <w:rsid w:val="00900C26"/>
    <w:rsid w:val="0090197F"/>
    <w:rsid w:val="00902327"/>
    <w:rsid w:val="00906DDC"/>
    <w:rsid w:val="00916A6E"/>
    <w:rsid w:val="0093233E"/>
    <w:rsid w:val="00934E09"/>
    <w:rsid w:val="00936253"/>
    <w:rsid w:val="009441A6"/>
    <w:rsid w:val="0094601E"/>
    <w:rsid w:val="00952DD4"/>
    <w:rsid w:val="00970FED"/>
    <w:rsid w:val="00992D82"/>
    <w:rsid w:val="00997029"/>
    <w:rsid w:val="009A1273"/>
    <w:rsid w:val="009B0624"/>
    <w:rsid w:val="009B440E"/>
    <w:rsid w:val="009D690D"/>
    <w:rsid w:val="009E65B6"/>
    <w:rsid w:val="009F4CDF"/>
    <w:rsid w:val="00A02465"/>
    <w:rsid w:val="00A24C10"/>
    <w:rsid w:val="00A37833"/>
    <w:rsid w:val="00A425B2"/>
    <w:rsid w:val="00A42AC3"/>
    <w:rsid w:val="00A430CF"/>
    <w:rsid w:val="00A54309"/>
    <w:rsid w:val="00AB2B93"/>
    <w:rsid w:val="00AB530F"/>
    <w:rsid w:val="00AB7E5B"/>
    <w:rsid w:val="00AC1EDD"/>
    <w:rsid w:val="00AC6779"/>
    <w:rsid w:val="00AE0EF1"/>
    <w:rsid w:val="00AE2937"/>
    <w:rsid w:val="00B07301"/>
    <w:rsid w:val="00B224DE"/>
    <w:rsid w:val="00B324D4"/>
    <w:rsid w:val="00B46575"/>
    <w:rsid w:val="00B84BBD"/>
    <w:rsid w:val="00BA43FB"/>
    <w:rsid w:val="00BA47C9"/>
    <w:rsid w:val="00BA7B59"/>
    <w:rsid w:val="00BC127D"/>
    <w:rsid w:val="00BC1FE6"/>
    <w:rsid w:val="00BE0525"/>
    <w:rsid w:val="00C061B6"/>
    <w:rsid w:val="00C24111"/>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57C96"/>
    <w:rsid w:val="00D751A8"/>
    <w:rsid w:val="00D86F28"/>
    <w:rsid w:val="00D91203"/>
    <w:rsid w:val="00D95174"/>
    <w:rsid w:val="00DA6F36"/>
    <w:rsid w:val="00DB1B22"/>
    <w:rsid w:val="00DB596E"/>
    <w:rsid w:val="00DB7773"/>
    <w:rsid w:val="00DC00EA"/>
    <w:rsid w:val="00DE1FB7"/>
    <w:rsid w:val="00E17DFC"/>
    <w:rsid w:val="00E243D0"/>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665D97"/>
    <w:pPr>
      <w:tabs>
        <w:tab w:val="right" w:leader="dot" w:pos="9639"/>
      </w:tabs>
      <w:spacing w:before="60"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ListParagraph">
    <w:name w:val="List Paragraph"/>
    <w:basedOn w:val="Normal"/>
    <w:uiPriority w:val="34"/>
    <w:qFormat/>
    <w:rsid w:val="003F7E71"/>
    <w:pPr>
      <w:ind w:left="720"/>
      <w:contextualSpacing/>
    </w:pPr>
  </w:style>
  <w:style w:type="table" w:styleId="TableGrid">
    <w:name w:val="Table Grid"/>
    <w:basedOn w:val="TableNormal"/>
    <w:rsid w:val="003F7E7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56453"/>
    <w:rPr>
      <w:rFonts w:ascii="Arial" w:hAnsi="Arial"/>
      <w:caps/>
    </w:rPr>
  </w:style>
  <w:style w:type="character" w:customStyle="1" w:styleId="HeaderChar">
    <w:name w:val="Header Char"/>
    <w:basedOn w:val="DefaultParagraphFont"/>
    <w:link w:val="Header"/>
    <w:uiPriority w:val="99"/>
    <w:rsid w:val="00C24111"/>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665D97"/>
    <w:pPr>
      <w:tabs>
        <w:tab w:val="right" w:leader="dot" w:pos="9639"/>
      </w:tabs>
      <w:spacing w:before="60"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ListParagraph">
    <w:name w:val="List Paragraph"/>
    <w:basedOn w:val="Normal"/>
    <w:uiPriority w:val="34"/>
    <w:qFormat/>
    <w:rsid w:val="003F7E71"/>
    <w:pPr>
      <w:ind w:left="720"/>
      <w:contextualSpacing/>
    </w:pPr>
  </w:style>
  <w:style w:type="table" w:styleId="TableGrid">
    <w:name w:val="Table Grid"/>
    <w:basedOn w:val="TableNormal"/>
    <w:rsid w:val="003F7E7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56453"/>
    <w:rPr>
      <w:rFonts w:ascii="Arial" w:hAnsi="Arial"/>
      <w:caps/>
    </w:rPr>
  </w:style>
  <w:style w:type="character" w:customStyle="1" w:styleId="HeaderChar">
    <w:name w:val="Header Char"/>
    <w:basedOn w:val="DefaultParagraphFont"/>
    <w:link w:val="Header"/>
    <w:uiPriority w:val="99"/>
    <w:rsid w:val="00C2411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seedtest.org/en/stats_tool_box_content---1--1143.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C\Tc51\templates\tc_5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487D6-4FBB-4264-A0D7-568A77F31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tc_51_EN</Template>
  <TotalTime>30</TotalTime>
  <Pages>14</Pages>
  <Words>4825</Words>
  <Characters>30717</Characters>
  <Application>Microsoft Office Word</Application>
  <DocSecurity>0</DocSecurity>
  <Lines>255</Lines>
  <Paragraphs>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TC/50</vt:lpstr>
      <vt:lpstr>TC/50</vt:lpstr>
    </vt:vector>
  </TitlesOfParts>
  <Company>UPOV</Company>
  <LinksUpToDate>false</LinksUpToDate>
  <CharactersWithSpaces>35472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PASIEKA Allie</dc:creator>
  <cp:lastModifiedBy>LONG Victoria</cp:lastModifiedBy>
  <cp:revision>22</cp:revision>
  <cp:lastPrinted>2015-02-12T10:21:00Z</cp:lastPrinted>
  <dcterms:created xsi:type="dcterms:W3CDTF">2015-02-08T12:53:00Z</dcterms:created>
  <dcterms:modified xsi:type="dcterms:W3CDTF">2015-02-12T10:22:00Z</dcterms:modified>
</cp:coreProperties>
</file>