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2A24E2" w:rsidTr="001328E8">
        <w:trPr>
          <w:trHeight w:val="1760"/>
        </w:trPr>
        <w:tc>
          <w:tcPr>
            <w:tcW w:w="4243" w:type="dxa"/>
          </w:tcPr>
          <w:p w:rsidR="000D7780" w:rsidRPr="002A24E2" w:rsidRDefault="000D7780" w:rsidP="006655D3">
            <w:pPr>
              <w:rPr>
                <w:lang w:val="de-DE"/>
              </w:rPr>
            </w:pPr>
            <w:bookmarkStart w:id="0" w:name="_GoBack"/>
            <w:bookmarkEnd w:id="0"/>
          </w:p>
        </w:tc>
        <w:tc>
          <w:tcPr>
            <w:tcW w:w="1646" w:type="dxa"/>
            <w:vAlign w:val="center"/>
          </w:tcPr>
          <w:p w:rsidR="000D7780" w:rsidRPr="002A24E2" w:rsidRDefault="00B324D4" w:rsidP="006655D3">
            <w:pPr>
              <w:pStyle w:val="LogoUPOV"/>
              <w:rPr>
                <w:lang w:val="de-DE"/>
              </w:rPr>
            </w:pPr>
            <w:r w:rsidRPr="002A24E2">
              <w:rPr>
                <w:noProof/>
              </w:rPr>
              <w:drawing>
                <wp:inline distT="0" distB="0" distL="0" distR="0" wp14:anchorId="6E485BC9" wp14:editId="68F61172">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2A24E2" w:rsidRDefault="001328E8" w:rsidP="006655D3">
            <w:pPr>
              <w:pStyle w:val="Lettrine"/>
              <w:rPr>
                <w:lang w:val="de-DE"/>
              </w:rPr>
            </w:pPr>
            <w:r w:rsidRPr="002A24E2">
              <w:rPr>
                <w:lang w:val="de-DE"/>
              </w:rPr>
              <w:t>G</w:t>
            </w:r>
          </w:p>
          <w:p w:rsidR="000D7780" w:rsidRPr="002A24E2" w:rsidRDefault="00667404" w:rsidP="006655D3">
            <w:pPr>
              <w:pStyle w:val="Docoriginal"/>
              <w:rPr>
                <w:lang w:val="de-DE"/>
              </w:rPr>
            </w:pPr>
            <w:r w:rsidRPr="002A24E2">
              <w:rPr>
                <w:lang w:val="de-DE"/>
              </w:rPr>
              <w:t>TC/</w:t>
            </w:r>
            <w:r w:rsidR="00050E16" w:rsidRPr="002A24E2">
              <w:rPr>
                <w:lang w:val="de-DE"/>
              </w:rPr>
              <w:t>5</w:t>
            </w:r>
            <w:r w:rsidR="004B1215" w:rsidRPr="002A24E2">
              <w:rPr>
                <w:lang w:val="de-DE"/>
              </w:rPr>
              <w:t>1</w:t>
            </w:r>
            <w:r w:rsidRPr="002A24E2">
              <w:rPr>
                <w:lang w:val="de-DE"/>
              </w:rPr>
              <w:t>/</w:t>
            </w:r>
            <w:bookmarkStart w:id="1" w:name="Code"/>
            <w:bookmarkEnd w:id="1"/>
            <w:r w:rsidR="00601FFD" w:rsidRPr="002A24E2">
              <w:rPr>
                <w:lang w:val="de-DE"/>
              </w:rPr>
              <w:t>20</w:t>
            </w:r>
          </w:p>
          <w:p w:rsidR="000D7780" w:rsidRPr="002A24E2" w:rsidRDefault="0061555F" w:rsidP="006655D3">
            <w:pPr>
              <w:pStyle w:val="Docoriginal"/>
              <w:rPr>
                <w:b w:val="0"/>
                <w:spacing w:val="0"/>
                <w:lang w:val="de-DE"/>
              </w:rPr>
            </w:pPr>
            <w:r w:rsidRPr="002A24E2">
              <w:rPr>
                <w:rStyle w:val="StyleDoclangBold"/>
                <w:b/>
                <w:bCs/>
                <w:spacing w:val="0"/>
                <w:lang w:val="de-DE"/>
              </w:rPr>
              <w:t>ORIGINAL</w:t>
            </w:r>
            <w:r w:rsidR="000D7780" w:rsidRPr="002A24E2">
              <w:rPr>
                <w:rStyle w:val="StyleDoclangBold"/>
                <w:b/>
                <w:bCs/>
                <w:spacing w:val="0"/>
                <w:lang w:val="de-DE"/>
              </w:rPr>
              <w:t>:</w:t>
            </w:r>
            <w:r w:rsidRPr="002A24E2">
              <w:rPr>
                <w:rStyle w:val="StyleDocoriginalNotBold1"/>
                <w:spacing w:val="0"/>
                <w:lang w:val="de-DE"/>
              </w:rPr>
              <w:t xml:space="preserve"> </w:t>
            </w:r>
            <w:bookmarkStart w:id="2" w:name="Original"/>
            <w:bookmarkEnd w:id="2"/>
            <w:r w:rsidR="001328E8" w:rsidRPr="002A24E2">
              <w:rPr>
                <w:rStyle w:val="StyleDocoriginalNotBold1"/>
                <w:spacing w:val="0"/>
                <w:lang w:val="de-DE"/>
              </w:rPr>
              <w:t>e</w:t>
            </w:r>
            <w:r w:rsidR="0024416D" w:rsidRPr="002A24E2">
              <w:rPr>
                <w:b w:val="0"/>
                <w:spacing w:val="0"/>
                <w:lang w:val="de-DE"/>
              </w:rPr>
              <w:t>nglis</w:t>
            </w:r>
            <w:r w:rsidR="001328E8" w:rsidRPr="002A24E2">
              <w:rPr>
                <w:b w:val="0"/>
                <w:spacing w:val="0"/>
                <w:lang w:val="de-DE"/>
              </w:rPr>
              <w:t>c</w:t>
            </w:r>
            <w:r w:rsidR="0024416D" w:rsidRPr="002A24E2">
              <w:rPr>
                <w:b w:val="0"/>
                <w:spacing w:val="0"/>
                <w:lang w:val="de-DE"/>
              </w:rPr>
              <w:t>h</w:t>
            </w:r>
          </w:p>
          <w:p w:rsidR="000D7780" w:rsidRPr="002A24E2" w:rsidRDefault="000D7780" w:rsidP="001328E8">
            <w:pPr>
              <w:pStyle w:val="Docoriginal"/>
              <w:rPr>
                <w:lang w:val="de-DE"/>
              </w:rPr>
            </w:pPr>
            <w:r w:rsidRPr="002A24E2">
              <w:rPr>
                <w:spacing w:val="0"/>
                <w:lang w:val="de-DE"/>
              </w:rPr>
              <w:t>DAT</w:t>
            </w:r>
            <w:r w:rsidR="001328E8" w:rsidRPr="002A24E2">
              <w:rPr>
                <w:spacing w:val="0"/>
                <w:lang w:val="de-DE"/>
              </w:rPr>
              <w:t>UM</w:t>
            </w:r>
            <w:r w:rsidRPr="002A24E2">
              <w:rPr>
                <w:spacing w:val="0"/>
                <w:lang w:val="de-DE"/>
              </w:rPr>
              <w:t>:</w:t>
            </w:r>
            <w:r w:rsidRPr="002A24E2">
              <w:rPr>
                <w:rStyle w:val="StyleDocoriginalNotBold1"/>
                <w:spacing w:val="0"/>
                <w:lang w:val="de-DE"/>
              </w:rPr>
              <w:t xml:space="preserve"> </w:t>
            </w:r>
            <w:bookmarkStart w:id="3" w:name="Date"/>
            <w:bookmarkEnd w:id="3"/>
            <w:r w:rsidR="001328E8" w:rsidRPr="003D3958">
              <w:rPr>
                <w:b w:val="0"/>
                <w:spacing w:val="0"/>
                <w:lang w:val="de-DE"/>
              </w:rPr>
              <w:t>25. J</w:t>
            </w:r>
            <w:r w:rsidR="004B4303" w:rsidRPr="003D3958">
              <w:rPr>
                <w:b w:val="0"/>
                <w:spacing w:val="0"/>
                <w:lang w:val="de-DE"/>
              </w:rPr>
              <w:t>anuar</w:t>
            </w:r>
            <w:r w:rsidR="0024416D" w:rsidRPr="003D3958">
              <w:rPr>
                <w:b w:val="0"/>
                <w:spacing w:val="0"/>
                <w:lang w:val="de-DE"/>
              </w:rPr>
              <w:t xml:space="preserve"> </w:t>
            </w:r>
            <w:r w:rsidR="001131D5" w:rsidRPr="003D3958">
              <w:rPr>
                <w:b w:val="0"/>
                <w:spacing w:val="0"/>
                <w:lang w:val="de-DE"/>
              </w:rPr>
              <w:t>201</w:t>
            </w:r>
            <w:r w:rsidR="004B1215" w:rsidRPr="003D3958">
              <w:rPr>
                <w:b w:val="0"/>
                <w:spacing w:val="0"/>
                <w:lang w:val="de-DE"/>
              </w:rPr>
              <w:t>5</w:t>
            </w:r>
          </w:p>
        </w:tc>
      </w:tr>
      <w:tr w:rsidR="000D7780" w:rsidRPr="00261E44" w:rsidTr="001328E8">
        <w:tc>
          <w:tcPr>
            <w:tcW w:w="10131" w:type="dxa"/>
            <w:gridSpan w:val="3"/>
          </w:tcPr>
          <w:p w:rsidR="000D7780" w:rsidRPr="002A24E2" w:rsidRDefault="001328E8" w:rsidP="006655D3">
            <w:pPr>
              <w:pStyle w:val="upove"/>
              <w:rPr>
                <w:sz w:val="28"/>
                <w:lang w:val="de-DE"/>
              </w:rPr>
            </w:pPr>
            <w:r w:rsidRPr="002A24E2">
              <w:rPr>
                <w:snapToGrid w:val="0"/>
                <w:lang w:val="de-DE"/>
              </w:rPr>
              <w:t>INTERNATIONALER VERBAND ZUM SCHUTZ VON PFLANZENZÜCHTUNGEN</w:t>
            </w:r>
          </w:p>
        </w:tc>
      </w:tr>
      <w:tr w:rsidR="000D7780" w:rsidRPr="002A24E2" w:rsidTr="001328E8">
        <w:tc>
          <w:tcPr>
            <w:tcW w:w="10131" w:type="dxa"/>
            <w:gridSpan w:val="3"/>
          </w:tcPr>
          <w:p w:rsidR="000D7780" w:rsidRPr="002A24E2" w:rsidRDefault="00867AC1" w:rsidP="001328E8">
            <w:pPr>
              <w:pStyle w:val="Country"/>
              <w:rPr>
                <w:lang w:val="de-DE"/>
              </w:rPr>
            </w:pPr>
            <w:r w:rsidRPr="002A24E2">
              <w:rPr>
                <w:lang w:val="de-DE"/>
              </w:rPr>
              <w:t>Gen</w:t>
            </w:r>
            <w:r w:rsidR="001328E8" w:rsidRPr="002A24E2">
              <w:rPr>
                <w:lang w:val="de-DE"/>
              </w:rPr>
              <w:t>f</w:t>
            </w:r>
          </w:p>
        </w:tc>
      </w:tr>
    </w:tbl>
    <w:p w:rsidR="001328E8" w:rsidRPr="002A24E2" w:rsidRDefault="001328E8" w:rsidP="001328E8">
      <w:pPr>
        <w:pStyle w:val="Sessiontc"/>
        <w:rPr>
          <w:lang w:val="de-DE"/>
        </w:rPr>
      </w:pPr>
      <w:r w:rsidRPr="002A24E2">
        <w:rPr>
          <w:lang w:val="de-DE"/>
        </w:rPr>
        <w:t>TechniSCHER AUSSCHUSS</w:t>
      </w:r>
    </w:p>
    <w:p w:rsidR="001328E8" w:rsidRPr="002A24E2" w:rsidRDefault="001328E8" w:rsidP="001328E8">
      <w:pPr>
        <w:pStyle w:val="Sessiontcplacedate"/>
        <w:rPr>
          <w:lang w:val="de-DE"/>
        </w:rPr>
      </w:pPr>
      <w:r w:rsidRPr="002A24E2">
        <w:rPr>
          <w:lang w:val="de-DE"/>
        </w:rPr>
        <w:t>Einundfünfzigste Tagung</w:t>
      </w:r>
      <w:r w:rsidRPr="002A24E2">
        <w:rPr>
          <w:lang w:val="de-DE"/>
        </w:rPr>
        <w:br/>
        <w:t xml:space="preserve">Genf, 23. bis 25. März 2015 </w:t>
      </w:r>
    </w:p>
    <w:p w:rsidR="000D7780" w:rsidRPr="002A24E2" w:rsidRDefault="001328E8" w:rsidP="006655D3">
      <w:pPr>
        <w:pStyle w:val="Titleofdoc0"/>
        <w:rPr>
          <w:lang w:val="de-DE"/>
        </w:rPr>
      </w:pPr>
      <w:bookmarkStart w:id="4" w:name="TitleOfDoc"/>
      <w:bookmarkEnd w:id="4"/>
      <w:r w:rsidRPr="002A24E2">
        <w:rPr>
          <w:rFonts w:cs="Arial"/>
          <w:lang w:val="de-DE"/>
        </w:rPr>
        <w:t>ÜBERARBEITUNG VON DOKUMENT</w:t>
      </w:r>
      <w:r w:rsidR="00E93231" w:rsidRPr="002A24E2">
        <w:rPr>
          <w:rFonts w:cs="Arial"/>
          <w:lang w:val="de-DE"/>
        </w:rPr>
        <w:t xml:space="preserve"> TGP/8: </w:t>
      </w:r>
      <w:r w:rsidRPr="002A24E2">
        <w:rPr>
          <w:rFonts w:cs="Arial"/>
          <w:lang w:val="de-DE"/>
        </w:rPr>
        <w:t>TEIL</w:t>
      </w:r>
      <w:r w:rsidR="00E93231" w:rsidRPr="002A24E2">
        <w:rPr>
          <w:rFonts w:cs="Arial"/>
          <w:lang w:val="de-DE"/>
        </w:rPr>
        <w:t xml:space="preserve"> II: </w:t>
      </w:r>
      <w:r w:rsidRPr="002A24E2">
        <w:rPr>
          <w:rFonts w:cs="Arial"/>
          <w:lang w:val="de-DE"/>
        </w:rPr>
        <w:t>AUSGEWÄHLTE VERFAHREN</w:t>
      </w:r>
      <w:r w:rsidR="00C22BB6" w:rsidRPr="002A24E2">
        <w:rPr>
          <w:rFonts w:cs="Arial"/>
          <w:lang w:val="de-DE"/>
        </w:rPr>
        <w:br/>
      </w:r>
      <w:r w:rsidRPr="002A24E2">
        <w:rPr>
          <w:rFonts w:cs="Arial"/>
          <w:lang w:val="de-DE"/>
        </w:rPr>
        <w:t>FÜR DIE DUS</w:t>
      </w:r>
      <w:r w:rsidR="00495C95" w:rsidRPr="002A24E2">
        <w:rPr>
          <w:rFonts w:cs="Arial"/>
          <w:lang w:val="de-DE"/>
        </w:rPr>
        <w:t>-</w:t>
      </w:r>
      <w:r w:rsidRPr="002A24E2">
        <w:rPr>
          <w:rFonts w:cs="Arial"/>
          <w:lang w:val="de-DE"/>
        </w:rPr>
        <w:t>PRÜFUNG</w:t>
      </w:r>
      <w:r w:rsidR="00D51394" w:rsidRPr="002A24E2">
        <w:rPr>
          <w:rFonts w:cs="Arial"/>
          <w:lang w:val="de-DE"/>
        </w:rPr>
        <w:t>,</w:t>
      </w:r>
      <w:r w:rsidR="00D51394" w:rsidRPr="002A24E2">
        <w:rPr>
          <w:rFonts w:cs="Arial"/>
          <w:lang w:val="de-DE"/>
        </w:rPr>
        <w:br/>
      </w:r>
      <w:r w:rsidR="00E93231" w:rsidRPr="002A24E2">
        <w:rPr>
          <w:rFonts w:cs="Arial"/>
          <w:lang w:val="de-DE"/>
        </w:rPr>
        <w:t>Ne</w:t>
      </w:r>
      <w:r w:rsidRPr="002A24E2">
        <w:rPr>
          <w:rFonts w:cs="Arial"/>
          <w:lang w:val="de-DE"/>
        </w:rPr>
        <w:t>UER ABSCHNITT</w:t>
      </w:r>
      <w:r w:rsidR="00E93231" w:rsidRPr="002A24E2">
        <w:rPr>
          <w:rFonts w:cs="Arial"/>
          <w:lang w:val="de-DE"/>
        </w:rPr>
        <w:t>:</w:t>
      </w:r>
      <w:r w:rsidR="00D51394" w:rsidRPr="002A24E2">
        <w:rPr>
          <w:rFonts w:cs="Arial"/>
          <w:lang w:val="de-DE"/>
        </w:rPr>
        <w:t xml:space="preserve"> </w:t>
      </w:r>
      <w:r w:rsidRPr="002A24E2">
        <w:rPr>
          <w:rFonts w:cs="Arial"/>
          <w:lang w:val="de-DE"/>
        </w:rPr>
        <w:t>ANLEITUNG FÜR RANDOMISIERTE „BLIND“-PRÜFUNGEN</w:t>
      </w:r>
    </w:p>
    <w:p w:rsidR="001328E8" w:rsidRPr="002A24E2" w:rsidRDefault="001328E8" w:rsidP="001328E8">
      <w:pPr>
        <w:pStyle w:val="preparedby1"/>
        <w:rPr>
          <w:lang w:val="de-DE"/>
        </w:rPr>
      </w:pPr>
      <w:bookmarkStart w:id="5" w:name="Prepared"/>
      <w:bookmarkEnd w:id="5"/>
      <w:r w:rsidRPr="002A24E2">
        <w:rPr>
          <w:lang w:val="de-DE"/>
        </w:rPr>
        <w:t>vom Verbandsbüro erstelltes Dokument</w:t>
      </w:r>
      <w:r w:rsidRPr="002A24E2">
        <w:rPr>
          <w:lang w:val="de-DE"/>
        </w:rPr>
        <w:br/>
      </w:r>
      <w:r w:rsidRPr="002A24E2">
        <w:rPr>
          <w:lang w:val="de-DE"/>
        </w:rPr>
        <w:br/>
      </w:r>
      <w:r w:rsidRPr="002A24E2">
        <w:rPr>
          <w:color w:val="A6A6A6" w:themeColor="background1" w:themeShade="A6"/>
          <w:lang w:val="de-DE"/>
        </w:rPr>
        <w:t>Haftungsausschluß: Dieses Dokument gibt nicht die Grundsätze oder eine Anleitung der UPOV wieder</w:t>
      </w:r>
    </w:p>
    <w:p w:rsidR="004B4303" w:rsidRPr="002A24E2" w:rsidRDefault="004B4303" w:rsidP="004B4303">
      <w:pPr>
        <w:rPr>
          <w:rFonts w:cs="Arial"/>
          <w:lang w:val="de-DE" w:eastAsia="ja-JP"/>
        </w:rPr>
      </w:pPr>
      <w:r w:rsidRPr="002A24E2">
        <w:rPr>
          <w:rFonts w:cs="Arial"/>
          <w:lang w:val="de-DE" w:eastAsia="ja-JP"/>
        </w:rPr>
        <w:fldChar w:fldCharType="begin"/>
      </w:r>
      <w:r w:rsidRPr="002A24E2">
        <w:rPr>
          <w:rFonts w:cs="Arial"/>
          <w:lang w:val="de-DE" w:eastAsia="ja-JP"/>
        </w:rPr>
        <w:instrText xml:space="preserve"> AUTONUM  </w:instrText>
      </w:r>
      <w:r w:rsidRPr="002A24E2">
        <w:rPr>
          <w:rFonts w:cs="Arial"/>
          <w:lang w:val="de-DE" w:eastAsia="ja-JP"/>
        </w:rPr>
        <w:fldChar w:fldCharType="end"/>
      </w:r>
      <w:r w:rsidRPr="002A24E2">
        <w:rPr>
          <w:rFonts w:cs="Arial"/>
          <w:lang w:val="de-DE" w:eastAsia="ja-JP"/>
        </w:rPr>
        <w:tab/>
      </w:r>
      <w:r w:rsidR="001328E8" w:rsidRPr="002A24E2">
        <w:rPr>
          <w:lang w:val="de-DE"/>
        </w:rPr>
        <w:t xml:space="preserve">Zweck dieses Dokuments ist es, einen Vorschlag für die Erarbeitung einer Anleitung für randomisierte </w:t>
      </w:r>
      <w:r w:rsidR="0012067F" w:rsidRPr="002A24E2">
        <w:rPr>
          <w:lang w:val="de-DE"/>
        </w:rPr>
        <w:t>„</w:t>
      </w:r>
      <w:r w:rsidR="001328E8" w:rsidRPr="002A24E2">
        <w:rPr>
          <w:lang w:val="de-DE"/>
        </w:rPr>
        <w:t>Blind</w:t>
      </w:r>
      <w:r w:rsidR="0012067F" w:rsidRPr="002A24E2">
        <w:rPr>
          <w:lang w:val="de-DE"/>
        </w:rPr>
        <w:t>“</w:t>
      </w:r>
      <w:r w:rsidR="001328E8" w:rsidRPr="002A24E2">
        <w:rPr>
          <w:lang w:val="de-DE"/>
        </w:rPr>
        <w:t xml:space="preserve">-Prüfungen vorzulegen, die in eine künftige Überarbeitung des </w:t>
      </w:r>
      <w:r w:rsidR="00C22BB6" w:rsidRPr="002A24E2">
        <w:rPr>
          <w:lang w:val="de-DE"/>
        </w:rPr>
        <w:t>D</w:t>
      </w:r>
      <w:r w:rsidR="001328E8" w:rsidRPr="002A24E2">
        <w:rPr>
          <w:lang w:val="de-DE"/>
        </w:rPr>
        <w:t xml:space="preserve">okuments </w:t>
      </w:r>
      <w:r w:rsidRPr="002A24E2">
        <w:rPr>
          <w:rFonts w:cs="Arial"/>
          <w:lang w:val="de-DE" w:eastAsia="ja-JP"/>
        </w:rPr>
        <w:t>TGP/8</w:t>
      </w:r>
      <w:r w:rsidR="001328E8" w:rsidRPr="002A24E2">
        <w:rPr>
          <w:rFonts w:cs="Arial"/>
          <w:lang w:val="de-DE" w:eastAsia="ja-JP"/>
        </w:rPr>
        <w:t xml:space="preserve"> aufgenommen </w:t>
      </w:r>
      <w:r w:rsidR="005412DD" w:rsidRPr="002A24E2">
        <w:rPr>
          <w:rFonts w:cs="Arial"/>
          <w:lang w:val="de-DE" w:eastAsia="ja-JP"/>
        </w:rPr>
        <w:t>werden</w:t>
      </w:r>
      <w:r w:rsidR="001328E8" w:rsidRPr="002A24E2">
        <w:rPr>
          <w:rFonts w:cs="Arial"/>
          <w:lang w:val="de-DE" w:eastAsia="ja-JP"/>
        </w:rPr>
        <w:t xml:space="preserve"> soll</w:t>
      </w:r>
      <w:r w:rsidRPr="002A24E2">
        <w:rPr>
          <w:lang w:val="de-DE"/>
        </w:rPr>
        <w:t>.</w:t>
      </w:r>
    </w:p>
    <w:p w:rsidR="004B4303" w:rsidRPr="002A24E2" w:rsidRDefault="004B4303" w:rsidP="004B4303">
      <w:pPr>
        <w:rPr>
          <w:rFonts w:cs="Arial"/>
          <w:lang w:val="de-DE" w:eastAsia="ja-JP"/>
        </w:rPr>
      </w:pPr>
    </w:p>
    <w:p w:rsidR="001328E8" w:rsidRPr="002A24E2" w:rsidRDefault="004B4303" w:rsidP="001328E8">
      <w:pPr>
        <w:rPr>
          <w:lang w:val="de-DE"/>
        </w:rPr>
      </w:pPr>
      <w:r w:rsidRPr="002A24E2">
        <w:rPr>
          <w:rFonts w:cs="Arial"/>
          <w:color w:val="000000"/>
          <w:lang w:val="de-DE"/>
        </w:rPr>
        <w:fldChar w:fldCharType="begin"/>
      </w:r>
      <w:r w:rsidRPr="002A24E2">
        <w:rPr>
          <w:rFonts w:cs="Arial"/>
          <w:color w:val="000000"/>
          <w:lang w:val="de-DE"/>
        </w:rPr>
        <w:instrText xml:space="preserve"> AUTONUM  </w:instrText>
      </w:r>
      <w:r w:rsidRPr="002A24E2">
        <w:rPr>
          <w:rFonts w:cs="Arial"/>
          <w:color w:val="000000"/>
          <w:lang w:val="de-DE"/>
        </w:rPr>
        <w:fldChar w:fldCharType="end"/>
      </w:r>
      <w:r w:rsidRPr="002A24E2">
        <w:rPr>
          <w:rFonts w:cs="Arial"/>
          <w:color w:val="000000"/>
          <w:lang w:val="de-DE"/>
        </w:rPr>
        <w:tab/>
      </w:r>
      <w:r w:rsidR="001328E8" w:rsidRPr="002A24E2">
        <w:rPr>
          <w:lang w:val="de-DE"/>
        </w:rPr>
        <w:t>In diesem Dokument werden folgende Abkürzungen verwendet:</w:t>
      </w:r>
    </w:p>
    <w:p w:rsidR="001328E8" w:rsidRPr="002A24E2" w:rsidRDefault="001328E8" w:rsidP="001328E8">
      <w:pPr>
        <w:rPr>
          <w:color w:val="000000"/>
          <w:lang w:val="de-DE"/>
        </w:rPr>
      </w:pPr>
    </w:p>
    <w:p w:rsidR="001328E8" w:rsidRPr="002A24E2" w:rsidRDefault="001328E8" w:rsidP="001328E8">
      <w:pPr>
        <w:ind w:left="1701" w:hanging="1134"/>
        <w:rPr>
          <w:lang w:val="de-DE"/>
        </w:rPr>
      </w:pPr>
      <w:r w:rsidRPr="002A24E2">
        <w:rPr>
          <w:lang w:val="de-DE"/>
        </w:rPr>
        <w:t>TC:</w:t>
      </w:r>
      <w:r w:rsidRPr="002A24E2">
        <w:rPr>
          <w:lang w:val="de-DE"/>
        </w:rPr>
        <w:tab/>
        <w:t>Technischer Ausschuß</w:t>
      </w:r>
    </w:p>
    <w:p w:rsidR="001328E8" w:rsidRPr="002A24E2" w:rsidRDefault="001328E8" w:rsidP="001328E8">
      <w:pPr>
        <w:ind w:left="1701" w:hanging="1134"/>
        <w:rPr>
          <w:lang w:val="de-DE"/>
        </w:rPr>
      </w:pPr>
      <w:r w:rsidRPr="002A24E2">
        <w:rPr>
          <w:lang w:val="de-DE"/>
        </w:rPr>
        <w:t>TC-EDC:</w:t>
      </w:r>
      <w:r w:rsidRPr="002A24E2">
        <w:rPr>
          <w:lang w:val="de-DE"/>
        </w:rPr>
        <w:tab/>
        <w:t>Erweiterter Redaktionsausschuß</w:t>
      </w:r>
    </w:p>
    <w:p w:rsidR="001328E8" w:rsidRPr="002A24E2" w:rsidRDefault="001328E8" w:rsidP="001328E8">
      <w:pPr>
        <w:ind w:left="1701" w:hanging="1134"/>
        <w:rPr>
          <w:lang w:val="de-DE"/>
        </w:rPr>
      </w:pPr>
      <w:r w:rsidRPr="002A24E2">
        <w:rPr>
          <w:lang w:val="de-DE"/>
        </w:rPr>
        <w:t>TWA:</w:t>
      </w:r>
      <w:r w:rsidRPr="002A24E2">
        <w:rPr>
          <w:lang w:val="de-DE"/>
        </w:rPr>
        <w:tab/>
        <w:t>Technische Arbeitsgruppe für landwirtschaftliche Arten</w:t>
      </w:r>
    </w:p>
    <w:p w:rsidR="001328E8" w:rsidRPr="002A24E2" w:rsidRDefault="001328E8" w:rsidP="001328E8">
      <w:pPr>
        <w:ind w:left="1701" w:hanging="1134"/>
        <w:rPr>
          <w:lang w:val="de-DE"/>
        </w:rPr>
      </w:pPr>
      <w:r w:rsidRPr="002A24E2">
        <w:rPr>
          <w:lang w:val="de-DE"/>
        </w:rPr>
        <w:t>TWC:</w:t>
      </w:r>
      <w:r w:rsidRPr="002A24E2">
        <w:rPr>
          <w:lang w:val="de-DE"/>
        </w:rPr>
        <w:tab/>
        <w:t>Technische Arbeitsgruppe für Automatisierung und Computerprogramme</w:t>
      </w:r>
    </w:p>
    <w:p w:rsidR="001328E8" w:rsidRPr="002A24E2" w:rsidRDefault="001328E8" w:rsidP="001328E8">
      <w:pPr>
        <w:ind w:left="1701" w:hanging="1134"/>
        <w:rPr>
          <w:lang w:val="de-DE"/>
        </w:rPr>
      </w:pPr>
      <w:r w:rsidRPr="002A24E2">
        <w:rPr>
          <w:lang w:val="de-DE"/>
        </w:rPr>
        <w:t>TWF:</w:t>
      </w:r>
      <w:r w:rsidRPr="002A24E2">
        <w:rPr>
          <w:lang w:val="de-DE"/>
        </w:rPr>
        <w:tab/>
        <w:t>Technische Arbeitsgruppe für Obstarten</w:t>
      </w:r>
    </w:p>
    <w:p w:rsidR="001328E8" w:rsidRPr="002A24E2" w:rsidRDefault="001328E8" w:rsidP="001328E8">
      <w:pPr>
        <w:ind w:left="1701" w:hanging="1134"/>
        <w:rPr>
          <w:lang w:val="de-DE"/>
        </w:rPr>
      </w:pPr>
      <w:r w:rsidRPr="002A24E2">
        <w:rPr>
          <w:lang w:val="de-DE"/>
        </w:rPr>
        <w:t>TWO:</w:t>
      </w:r>
      <w:r w:rsidRPr="002A24E2">
        <w:rPr>
          <w:lang w:val="de-DE"/>
        </w:rPr>
        <w:tab/>
        <w:t>Technische Arbeitsgruppe für Zierpflanzen und forstliche Baumarten</w:t>
      </w:r>
    </w:p>
    <w:p w:rsidR="00B1290B" w:rsidRPr="002A24E2" w:rsidRDefault="001328E8" w:rsidP="00B1290B">
      <w:pPr>
        <w:ind w:left="1701" w:hanging="1134"/>
        <w:rPr>
          <w:lang w:val="de-DE"/>
        </w:rPr>
      </w:pPr>
      <w:r w:rsidRPr="002A24E2">
        <w:rPr>
          <w:lang w:val="de-DE"/>
        </w:rPr>
        <w:t>TWV:</w:t>
      </w:r>
      <w:r w:rsidRPr="002A24E2">
        <w:rPr>
          <w:lang w:val="de-DE"/>
        </w:rPr>
        <w:tab/>
        <w:t>Technische Arbeitsgruppe für Gemüsearten</w:t>
      </w:r>
    </w:p>
    <w:p w:rsidR="001328E8" w:rsidRPr="002A24E2" w:rsidRDefault="00B1290B" w:rsidP="001328E8">
      <w:pPr>
        <w:ind w:left="1701" w:hanging="1134"/>
        <w:rPr>
          <w:color w:val="000000"/>
          <w:lang w:val="de-DE"/>
        </w:rPr>
      </w:pPr>
      <w:r w:rsidRPr="002A24E2">
        <w:rPr>
          <w:color w:val="000000"/>
          <w:lang w:val="de-DE"/>
        </w:rPr>
        <w:t>TWP:</w:t>
      </w:r>
      <w:r w:rsidRPr="002A24E2">
        <w:rPr>
          <w:lang w:val="de-DE"/>
        </w:rPr>
        <w:tab/>
        <w:t>Technische Arbeitsgruppen</w:t>
      </w:r>
    </w:p>
    <w:p w:rsidR="004B4303" w:rsidRPr="002A24E2" w:rsidRDefault="004B4303" w:rsidP="004B4303">
      <w:pPr>
        <w:rPr>
          <w:lang w:val="de-DE"/>
        </w:rPr>
      </w:pPr>
    </w:p>
    <w:p w:rsidR="004B4303" w:rsidRPr="002A24E2" w:rsidRDefault="004B4303" w:rsidP="004B4303">
      <w:pPr>
        <w:autoSpaceDE w:val="0"/>
        <w:autoSpaceDN w:val="0"/>
        <w:adjustRightInd w:val="0"/>
        <w:spacing w:before="120"/>
        <w:rPr>
          <w:rFonts w:eastAsia="MS Mincho"/>
          <w:color w:val="000000"/>
          <w:szCs w:val="24"/>
          <w:lang w:val="de-DE" w:eastAsia="ja-JP"/>
        </w:rPr>
      </w:pPr>
      <w:r w:rsidRPr="002A24E2">
        <w:rPr>
          <w:lang w:val="de-DE"/>
        </w:rPr>
        <w:fldChar w:fldCharType="begin"/>
      </w:r>
      <w:r w:rsidRPr="002A24E2">
        <w:rPr>
          <w:lang w:val="de-DE"/>
        </w:rPr>
        <w:instrText xml:space="preserve"> AUTONUM  </w:instrText>
      </w:r>
      <w:r w:rsidRPr="002A24E2">
        <w:rPr>
          <w:lang w:val="de-DE"/>
        </w:rPr>
        <w:fldChar w:fldCharType="end"/>
      </w:r>
      <w:r w:rsidRPr="002A24E2">
        <w:rPr>
          <w:lang w:val="de-DE"/>
        </w:rPr>
        <w:tab/>
      </w:r>
      <w:r w:rsidR="00A55D43" w:rsidRPr="002A24E2">
        <w:rPr>
          <w:lang w:val="de-DE"/>
        </w:rPr>
        <w:t xml:space="preserve">Der </w:t>
      </w:r>
      <w:r w:rsidR="00A55D43" w:rsidRPr="002A24E2">
        <w:rPr>
          <w:rFonts w:cs="Arial"/>
          <w:lang w:val="de-DE"/>
        </w:rPr>
        <w:t>Aufbau dieses Dokuments ist nachstehend zusammengefaßt</w:t>
      </w:r>
      <w:r w:rsidRPr="002A24E2">
        <w:rPr>
          <w:rFonts w:eastAsia="MS Mincho"/>
          <w:color w:val="000000"/>
          <w:szCs w:val="24"/>
          <w:lang w:val="de-DE" w:eastAsia="ja-JP"/>
        </w:rPr>
        <w:t>:</w:t>
      </w:r>
    </w:p>
    <w:p w:rsidR="004B4303" w:rsidRPr="002A24E2" w:rsidRDefault="004B4303" w:rsidP="004B4303">
      <w:pPr>
        <w:autoSpaceDE w:val="0"/>
        <w:autoSpaceDN w:val="0"/>
        <w:adjustRightInd w:val="0"/>
        <w:rPr>
          <w:rFonts w:eastAsia="MS Mincho"/>
          <w:color w:val="000000"/>
          <w:szCs w:val="16"/>
          <w:lang w:val="de-DE" w:eastAsia="ja-JP"/>
        </w:rPr>
      </w:pPr>
    </w:p>
    <w:p w:rsidR="00D805FF" w:rsidRDefault="00D805FF">
      <w:pPr>
        <w:pStyle w:val="TOC1"/>
        <w:rPr>
          <w:rFonts w:asciiTheme="minorHAnsi" w:eastAsiaTheme="minorEastAsia" w:hAnsiTheme="minorHAnsi" w:cstheme="minorBidi"/>
          <w:caps w:val="0"/>
          <w:noProof/>
          <w:sz w:val="22"/>
          <w:szCs w:val="22"/>
          <w:lang w:val="fr-CH" w:eastAsia="fr-CH"/>
        </w:rPr>
      </w:pPr>
      <w:r>
        <w:rPr>
          <w:rFonts w:eastAsia="MS Mincho"/>
          <w:color w:val="000000"/>
          <w:szCs w:val="24"/>
          <w:lang w:val="de-DE" w:eastAsia="ja-JP"/>
        </w:rPr>
        <w:fldChar w:fldCharType="begin"/>
      </w:r>
      <w:r>
        <w:rPr>
          <w:rFonts w:eastAsia="MS Mincho"/>
          <w:color w:val="000000"/>
          <w:szCs w:val="24"/>
          <w:lang w:val="de-DE" w:eastAsia="ja-JP"/>
        </w:rPr>
        <w:instrText xml:space="preserve"> TOC \o "1-1" \h \z \u </w:instrText>
      </w:r>
      <w:r>
        <w:rPr>
          <w:rFonts w:eastAsia="MS Mincho"/>
          <w:color w:val="000000"/>
          <w:szCs w:val="24"/>
          <w:lang w:val="de-DE" w:eastAsia="ja-JP"/>
        </w:rPr>
        <w:fldChar w:fldCharType="separate"/>
      </w:r>
      <w:hyperlink w:anchor="_Toc410827622" w:history="1">
        <w:r w:rsidRPr="00EB587A">
          <w:rPr>
            <w:rStyle w:val="Hyperlink"/>
            <w:noProof/>
            <w:lang w:val="de-DE"/>
          </w:rPr>
          <w:t>HINTERGRUND</w:t>
        </w:r>
        <w:r>
          <w:rPr>
            <w:noProof/>
            <w:webHidden/>
          </w:rPr>
          <w:tab/>
        </w:r>
        <w:r>
          <w:rPr>
            <w:noProof/>
            <w:webHidden/>
          </w:rPr>
          <w:fldChar w:fldCharType="begin"/>
        </w:r>
        <w:r>
          <w:rPr>
            <w:noProof/>
            <w:webHidden/>
          </w:rPr>
          <w:instrText xml:space="preserve"> PAGEREF _Toc410827622 \h </w:instrText>
        </w:r>
        <w:r>
          <w:rPr>
            <w:noProof/>
            <w:webHidden/>
          </w:rPr>
        </w:r>
        <w:r>
          <w:rPr>
            <w:noProof/>
            <w:webHidden/>
          </w:rPr>
          <w:fldChar w:fldCharType="separate"/>
        </w:r>
        <w:r w:rsidR="003D3958">
          <w:rPr>
            <w:noProof/>
            <w:webHidden/>
          </w:rPr>
          <w:t>2</w:t>
        </w:r>
        <w:r>
          <w:rPr>
            <w:noProof/>
            <w:webHidden/>
          </w:rPr>
          <w:fldChar w:fldCharType="end"/>
        </w:r>
      </w:hyperlink>
    </w:p>
    <w:p w:rsidR="00D805FF" w:rsidRDefault="00261E44">
      <w:pPr>
        <w:pStyle w:val="TOC1"/>
        <w:rPr>
          <w:rFonts w:asciiTheme="minorHAnsi" w:eastAsiaTheme="minorEastAsia" w:hAnsiTheme="minorHAnsi" w:cstheme="minorBidi"/>
          <w:caps w:val="0"/>
          <w:noProof/>
          <w:sz w:val="22"/>
          <w:szCs w:val="22"/>
          <w:lang w:val="fr-CH" w:eastAsia="fr-CH"/>
        </w:rPr>
      </w:pPr>
      <w:hyperlink w:anchor="_Toc410827623" w:history="1">
        <w:r w:rsidR="00D805FF" w:rsidRPr="00EB587A">
          <w:rPr>
            <w:rStyle w:val="Hyperlink"/>
            <w:noProof/>
            <w:lang w:val="de-DE"/>
          </w:rPr>
          <w:t>BEMERKUNGEN DES TECHNISCHEN AUSSCHUSSES IM JAHRE 2013</w:t>
        </w:r>
        <w:r w:rsidR="00D805FF">
          <w:rPr>
            <w:noProof/>
            <w:webHidden/>
          </w:rPr>
          <w:tab/>
        </w:r>
        <w:r w:rsidR="00D805FF">
          <w:rPr>
            <w:noProof/>
            <w:webHidden/>
          </w:rPr>
          <w:fldChar w:fldCharType="begin"/>
        </w:r>
        <w:r w:rsidR="00D805FF">
          <w:rPr>
            <w:noProof/>
            <w:webHidden/>
          </w:rPr>
          <w:instrText xml:space="preserve"> PAGEREF _Toc410827623 \h </w:instrText>
        </w:r>
        <w:r w:rsidR="00D805FF">
          <w:rPr>
            <w:noProof/>
            <w:webHidden/>
          </w:rPr>
        </w:r>
        <w:r w:rsidR="00D805FF">
          <w:rPr>
            <w:noProof/>
            <w:webHidden/>
          </w:rPr>
          <w:fldChar w:fldCharType="separate"/>
        </w:r>
        <w:r w:rsidR="003D3958">
          <w:rPr>
            <w:noProof/>
            <w:webHidden/>
          </w:rPr>
          <w:t>2</w:t>
        </w:r>
        <w:r w:rsidR="00D805FF">
          <w:rPr>
            <w:noProof/>
            <w:webHidden/>
          </w:rPr>
          <w:fldChar w:fldCharType="end"/>
        </w:r>
      </w:hyperlink>
    </w:p>
    <w:p w:rsidR="00D805FF" w:rsidRDefault="00261E44">
      <w:pPr>
        <w:pStyle w:val="TOC1"/>
        <w:rPr>
          <w:rFonts w:asciiTheme="minorHAnsi" w:eastAsiaTheme="minorEastAsia" w:hAnsiTheme="minorHAnsi" w:cstheme="minorBidi"/>
          <w:caps w:val="0"/>
          <w:noProof/>
          <w:sz w:val="22"/>
          <w:szCs w:val="22"/>
          <w:lang w:val="fr-CH" w:eastAsia="fr-CH"/>
        </w:rPr>
      </w:pPr>
      <w:hyperlink w:anchor="_Toc410827624" w:history="1">
        <w:r w:rsidR="00D805FF" w:rsidRPr="00EB587A">
          <w:rPr>
            <w:rStyle w:val="Hyperlink"/>
            <w:noProof/>
            <w:lang w:val="de-DE"/>
          </w:rPr>
          <w:t>BEMERKUNGEN DER TECHNISCHEN ARBEITSGRUPPEN IM JAHRE 2013</w:t>
        </w:r>
        <w:r w:rsidR="00D805FF">
          <w:rPr>
            <w:noProof/>
            <w:webHidden/>
          </w:rPr>
          <w:tab/>
        </w:r>
        <w:r w:rsidR="00D805FF">
          <w:rPr>
            <w:noProof/>
            <w:webHidden/>
          </w:rPr>
          <w:fldChar w:fldCharType="begin"/>
        </w:r>
        <w:r w:rsidR="00D805FF">
          <w:rPr>
            <w:noProof/>
            <w:webHidden/>
          </w:rPr>
          <w:instrText xml:space="preserve"> PAGEREF _Toc410827624 \h </w:instrText>
        </w:r>
        <w:r w:rsidR="00D805FF">
          <w:rPr>
            <w:noProof/>
            <w:webHidden/>
          </w:rPr>
        </w:r>
        <w:r w:rsidR="00D805FF">
          <w:rPr>
            <w:noProof/>
            <w:webHidden/>
          </w:rPr>
          <w:fldChar w:fldCharType="separate"/>
        </w:r>
        <w:r w:rsidR="003D3958">
          <w:rPr>
            <w:noProof/>
            <w:webHidden/>
          </w:rPr>
          <w:t>2</w:t>
        </w:r>
        <w:r w:rsidR="00D805FF">
          <w:rPr>
            <w:noProof/>
            <w:webHidden/>
          </w:rPr>
          <w:fldChar w:fldCharType="end"/>
        </w:r>
      </w:hyperlink>
    </w:p>
    <w:p w:rsidR="00D805FF" w:rsidRDefault="00261E44">
      <w:pPr>
        <w:pStyle w:val="TOC1"/>
        <w:rPr>
          <w:rFonts w:asciiTheme="minorHAnsi" w:eastAsiaTheme="minorEastAsia" w:hAnsiTheme="minorHAnsi" w:cstheme="minorBidi"/>
          <w:caps w:val="0"/>
          <w:noProof/>
          <w:sz w:val="22"/>
          <w:szCs w:val="22"/>
          <w:lang w:val="fr-CH" w:eastAsia="fr-CH"/>
        </w:rPr>
      </w:pPr>
      <w:hyperlink w:anchor="_Toc410827625" w:history="1">
        <w:r w:rsidR="00D805FF" w:rsidRPr="00EB587A">
          <w:rPr>
            <w:rStyle w:val="Hyperlink"/>
            <w:noProof/>
            <w:lang w:val="de-DE"/>
          </w:rPr>
          <w:t>BEMERKUNGEN DES TECHNISCHEN AUSSCHUSSES IM JAHRE 2014</w:t>
        </w:r>
        <w:r w:rsidR="00D805FF">
          <w:rPr>
            <w:noProof/>
            <w:webHidden/>
          </w:rPr>
          <w:tab/>
        </w:r>
        <w:r w:rsidR="00D805FF">
          <w:rPr>
            <w:noProof/>
            <w:webHidden/>
          </w:rPr>
          <w:fldChar w:fldCharType="begin"/>
        </w:r>
        <w:r w:rsidR="00D805FF">
          <w:rPr>
            <w:noProof/>
            <w:webHidden/>
          </w:rPr>
          <w:instrText xml:space="preserve"> PAGEREF _Toc410827625 \h </w:instrText>
        </w:r>
        <w:r w:rsidR="00D805FF">
          <w:rPr>
            <w:noProof/>
            <w:webHidden/>
          </w:rPr>
        </w:r>
        <w:r w:rsidR="00D805FF">
          <w:rPr>
            <w:noProof/>
            <w:webHidden/>
          </w:rPr>
          <w:fldChar w:fldCharType="separate"/>
        </w:r>
        <w:r w:rsidR="003D3958">
          <w:rPr>
            <w:noProof/>
            <w:webHidden/>
          </w:rPr>
          <w:t>3</w:t>
        </w:r>
        <w:r w:rsidR="00D805FF">
          <w:rPr>
            <w:noProof/>
            <w:webHidden/>
          </w:rPr>
          <w:fldChar w:fldCharType="end"/>
        </w:r>
      </w:hyperlink>
    </w:p>
    <w:p w:rsidR="00D805FF" w:rsidRDefault="00261E44">
      <w:pPr>
        <w:pStyle w:val="TOC1"/>
        <w:rPr>
          <w:rFonts w:asciiTheme="minorHAnsi" w:eastAsiaTheme="minorEastAsia" w:hAnsiTheme="minorHAnsi" w:cstheme="minorBidi"/>
          <w:caps w:val="0"/>
          <w:noProof/>
          <w:sz w:val="22"/>
          <w:szCs w:val="22"/>
          <w:lang w:val="fr-CH" w:eastAsia="fr-CH"/>
        </w:rPr>
      </w:pPr>
      <w:hyperlink w:anchor="_Toc410827626" w:history="1">
        <w:r w:rsidR="00D805FF" w:rsidRPr="00EB587A">
          <w:rPr>
            <w:rStyle w:val="Hyperlink"/>
            <w:noProof/>
            <w:lang w:val="de-DE"/>
          </w:rPr>
          <w:t>BEMERKUNGEN DER TECHNISCHEN ARBEITSGRUPPEN IM JAHRE 2014</w:t>
        </w:r>
        <w:r w:rsidR="00D805FF">
          <w:rPr>
            <w:noProof/>
            <w:webHidden/>
          </w:rPr>
          <w:tab/>
        </w:r>
        <w:r w:rsidR="00D805FF">
          <w:rPr>
            <w:noProof/>
            <w:webHidden/>
          </w:rPr>
          <w:fldChar w:fldCharType="begin"/>
        </w:r>
        <w:r w:rsidR="00D805FF">
          <w:rPr>
            <w:noProof/>
            <w:webHidden/>
          </w:rPr>
          <w:instrText xml:space="preserve"> PAGEREF _Toc410827626 \h </w:instrText>
        </w:r>
        <w:r w:rsidR="00D805FF">
          <w:rPr>
            <w:noProof/>
            <w:webHidden/>
          </w:rPr>
        </w:r>
        <w:r w:rsidR="00D805FF">
          <w:rPr>
            <w:noProof/>
            <w:webHidden/>
          </w:rPr>
          <w:fldChar w:fldCharType="separate"/>
        </w:r>
        <w:r w:rsidR="003D3958">
          <w:rPr>
            <w:noProof/>
            <w:webHidden/>
          </w:rPr>
          <w:t>4</w:t>
        </w:r>
        <w:r w:rsidR="00D805FF">
          <w:rPr>
            <w:noProof/>
            <w:webHidden/>
          </w:rPr>
          <w:fldChar w:fldCharType="end"/>
        </w:r>
      </w:hyperlink>
    </w:p>
    <w:p w:rsidR="00D805FF" w:rsidRDefault="00261E44">
      <w:pPr>
        <w:pStyle w:val="TOC1"/>
        <w:rPr>
          <w:rFonts w:asciiTheme="minorHAnsi" w:eastAsiaTheme="minorEastAsia" w:hAnsiTheme="minorHAnsi" w:cstheme="minorBidi"/>
          <w:caps w:val="0"/>
          <w:noProof/>
          <w:sz w:val="22"/>
          <w:szCs w:val="22"/>
          <w:lang w:val="fr-CH" w:eastAsia="fr-CH"/>
        </w:rPr>
      </w:pPr>
      <w:hyperlink w:anchor="_Toc410827627" w:history="1">
        <w:r w:rsidR="00D805FF" w:rsidRPr="00EB587A">
          <w:rPr>
            <w:rStyle w:val="Hyperlink"/>
            <w:noProof/>
            <w:lang w:val="de-DE"/>
          </w:rPr>
          <w:t>nÄCHSTE SCHRITTE</w:t>
        </w:r>
        <w:r w:rsidR="00D805FF">
          <w:rPr>
            <w:noProof/>
            <w:webHidden/>
          </w:rPr>
          <w:tab/>
        </w:r>
        <w:r w:rsidR="00D805FF">
          <w:rPr>
            <w:noProof/>
            <w:webHidden/>
          </w:rPr>
          <w:fldChar w:fldCharType="begin"/>
        </w:r>
        <w:r w:rsidR="00D805FF">
          <w:rPr>
            <w:noProof/>
            <w:webHidden/>
          </w:rPr>
          <w:instrText xml:space="preserve"> PAGEREF _Toc410827627 \h </w:instrText>
        </w:r>
        <w:r w:rsidR="00D805FF">
          <w:rPr>
            <w:noProof/>
            <w:webHidden/>
          </w:rPr>
        </w:r>
        <w:r w:rsidR="00D805FF">
          <w:rPr>
            <w:noProof/>
            <w:webHidden/>
          </w:rPr>
          <w:fldChar w:fldCharType="separate"/>
        </w:r>
        <w:r w:rsidR="003D3958">
          <w:rPr>
            <w:noProof/>
            <w:webHidden/>
          </w:rPr>
          <w:t>6</w:t>
        </w:r>
        <w:r w:rsidR="00D805FF">
          <w:rPr>
            <w:noProof/>
            <w:webHidden/>
          </w:rPr>
          <w:fldChar w:fldCharType="end"/>
        </w:r>
      </w:hyperlink>
    </w:p>
    <w:p w:rsidR="004B4303" w:rsidRPr="002A24E2" w:rsidRDefault="00D805FF" w:rsidP="004B4303">
      <w:pPr>
        <w:rPr>
          <w:rFonts w:eastAsia="MS Mincho"/>
          <w:color w:val="000000"/>
          <w:szCs w:val="24"/>
          <w:lang w:val="de-DE" w:eastAsia="ja-JP"/>
        </w:rPr>
      </w:pPr>
      <w:r>
        <w:rPr>
          <w:rFonts w:eastAsia="MS Mincho"/>
          <w:color w:val="000000"/>
          <w:szCs w:val="24"/>
          <w:lang w:val="de-DE" w:eastAsia="ja-JP"/>
        </w:rPr>
        <w:fldChar w:fldCharType="end"/>
      </w:r>
    </w:p>
    <w:p w:rsidR="004B4303" w:rsidRPr="002A24E2" w:rsidRDefault="004B4303" w:rsidP="005F15FE">
      <w:pPr>
        <w:spacing w:after="60"/>
        <w:ind w:left="1701" w:hanging="1701"/>
        <w:rPr>
          <w:caps/>
          <w:lang w:val="de-DE"/>
        </w:rPr>
      </w:pPr>
      <w:r w:rsidRPr="002A24E2">
        <w:rPr>
          <w:rFonts w:eastAsia="MS Mincho"/>
          <w:color w:val="000000"/>
          <w:szCs w:val="24"/>
          <w:lang w:val="de-DE" w:eastAsia="ja-JP"/>
        </w:rPr>
        <w:t>AN</w:t>
      </w:r>
      <w:r w:rsidR="00A55D43" w:rsidRPr="002A24E2">
        <w:rPr>
          <w:rFonts w:eastAsia="MS Mincho"/>
          <w:color w:val="000000"/>
          <w:szCs w:val="24"/>
          <w:lang w:val="de-DE" w:eastAsia="ja-JP"/>
        </w:rPr>
        <w:t>LAGE</w:t>
      </w:r>
      <w:r w:rsidRPr="002A24E2">
        <w:rPr>
          <w:rFonts w:eastAsia="MS Mincho"/>
          <w:color w:val="000000"/>
          <w:szCs w:val="24"/>
          <w:lang w:val="de-DE" w:eastAsia="ja-JP"/>
        </w:rPr>
        <w:t xml:space="preserve"> I:</w:t>
      </w:r>
      <w:r w:rsidRPr="002A24E2">
        <w:rPr>
          <w:rFonts w:eastAsia="MS Mincho"/>
          <w:color w:val="000000"/>
          <w:szCs w:val="24"/>
          <w:lang w:val="de-DE" w:eastAsia="ja-JP"/>
        </w:rPr>
        <w:tab/>
      </w:r>
      <w:r w:rsidR="005F15FE" w:rsidRPr="002A24E2">
        <w:rPr>
          <w:rFonts w:eastAsia="MS Mincho"/>
          <w:color w:val="000000"/>
          <w:szCs w:val="24"/>
          <w:lang w:val="de-DE" w:eastAsia="ja-JP"/>
        </w:rPr>
        <w:t xml:space="preserve">Von den TWP </w:t>
      </w:r>
      <w:r w:rsidR="005F15FE" w:rsidRPr="002A24E2">
        <w:rPr>
          <w:lang w:val="de-DE"/>
        </w:rPr>
        <w:t>auf ihren Tagungen i</w:t>
      </w:r>
      <w:r w:rsidR="00495C95" w:rsidRPr="002A24E2">
        <w:rPr>
          <w:lang w:val="de-DE"/>
        </w:rPr>
        <w:t>n</w:t>
      </w:r>
      <w:r w:rsidR="005F15FE" w:rsidRPr="002A24E2">
        <w:rPr>
          <w:lang w:val="de-DE"/>
        </w:rPr>
        <w:t xml:space="preserve"> </w:t>
      </w:r>
      <w:r w:rsidR="00495C95" w:rsidRPr="002A24E2">
        <w:rPr>
          <w:lang w:val="de-DE"/>
        </w:rPr>
        <w:t xml:space="preserve">den </w:t>
      </w:r>
      <w:r w:rsidR="005F15FE" w:rsidRPr="002A24E2">
        <w:rPr>
          <w:lang w:val="de-DE"/>
        </w:rPr>
        <w:t>Jahre</w:t>
      </w:r>
      <w:r w:rsidR="00495C95" w:rsidRPr="002A24E2">
        <w:rPr>
          <w:lang w:val="de-DE"/>
        </w:rPr>
        <w:t>n</w:t>
      </w:r>
      <w:r w:rsidR="005F15FE" w:rsidRPr="002A24E2">
        <w:rPr>
          <w:lang w:val="de-DE"/>
        </w:rPr>
        <w:t xml:space="preserve"> 2013 </w:t>
      </w:r>
      <w:r w:rsidR="005412DD" w:rsidRPr="002A24E2">
        <w:rPr>
          <w:lang w:val="de-DE"/>
        </w:rPr>
        <w:t>und</w:t>
      </w:r>
      <w:r w:rsidR="005F15FE" w:rsidRPr="002A24E2">
        <w:rPr>
          <w:lang w:val="de-DE"/>
        </w:rPr>
        <w:t xml:space="preserve"> 2014 </w:t>
      </w:r>
      <w:r w:rsidR="005F15FE" w:rsidRPr="002A24E2">
        <w:rPr>
          <w:rFonts w:eastAsia="MS Mincho"/>
          <w:color w:val="000000"/>
          <w:szCs w:val="24"/>
          <w:lang w:val="de-DE" w:eastAsia="ja-JP"/>
        </w:rPr>
        <w:t>geprüfter Entwurf einer Anleitung</w:t>
      </w:r>
    </w:p>
    <w:p w:rsidR="004B4303" w:rsidRPr="002A24E2" w:rsidRDefault="004B4303" w:rsidP="004B4303">
      <w:pPr>
        <w:spacing w:after="60"/>
        <w:ind w:left="1701" w:hanging="1701"/>
        <w:rPr>
          <w:lang w:val="de-DE"/>
        </w:rPr>
      </w:pPr>
      <w:r w:rsidRPr="002A24E2">
        <w:rPr>
          <w:rFonts w:eastAsia="MS Mincho"/>
          <w:color w:val="000000"/>
          <w:szCs w:val="24"/>
          <w:lang w:val="de-DE" w:eastAsia="ja-JP"/>
        </w:rPr>
        <w:t>AN</w:t>
      </w:r>
      <w:r w:rsidR="00A55D43" w:rsidRPr="002A24E2">
        <w:rPr>
          <w:rFonts w:eastAsia="MS Mincho"/>
          <w:color w:val="000000"/>
          <w:szCs w:val="24"/>
          <w:lang w:val="de-DE" w:eastAsia="ja-JP"/>
        </w:rPr>
        <w:t>LAGE</w:t>
      </w:r>
      <w:r w:rsidRPr="002A24E2">
        <w:rPr>
          <w:rFonts w:eastAsia="MS Mincho"/>
          <w:color w:val="000000"/>
          <w:szCs w:val="24"/>
          <w:lang w:val="de-DE" w:eastAsia="ja-JP"/>
        </w:rPr>
        <w:t xml:space="preserve"> II:</w:t>
      </w:r>
      <w:r w:rsidRPr="002A24E2">
        <w:rPr>
          <w:rFonts w:eastAsia="MS Mincho"/>
          <w:color w:val="000000"/>
          <w:szCs w:val="24"/>
          <w:lang w:val="de-DE" w:eastAsia="ja-JP"/>
        </w:rPr>
        <w:tab/>
      </w:r>
      <w:r w:rsidR="005F15FE" w:rsidRPr="002A24E2">
        <w:rPr>
          <w:rFonts w:eastAsia="MS Mincho"/>
          <w:color w:val="000000"/>
          <w:szCs w:val="24"/>
          <w:lang w:val="de-DE" w:eastAsia="ja-JP"/>
        </w:rPr>
        <w:t>Auszug aus den Dokumenten</w:t>
      </w:r>
      <w:r w:rsidRPr="002A24E2">
        <w:rPr>
          <w:rFonts w:eastAsia="MS Mincho"/>
          <w:color w:val="000000"/>
          <w:szCs w:val="24"/>
          <w:lang w:val="de-DE" w:eastAsia="ja-JP"/>
        </w:rPr>
        <w:t xml:space="preserve"> TGP/9/1: </w:t>
      </w:r>
      <w:r w:rsidR="005F15FE" w:rsidRPr="002A24E2">
        <w:rPr>
          <w:rFonts w:eastAsia="MS Mincho"/>
          <w:color w:val="000000"/>
          <w:szCs w:val="24"/>
          <w:lang w:val="de-DE" w:eastAsia="ja-JP"/>
        </w:rPr>
        <w:t>Prüfung der Unterscheidbarkeit</w:t>
      </w:r>
      <w:r w:rsidRPr="002A24E2">
        <w:rPr>
          <w:rFonts w:eastAsia="MS Mincho"/>
          <w:color w:val="000000"/>
          <w:szCs w:val="24"/>
          <w:lang w:val="de-DE" w:eastAsia="ja-JP"/>
        </w:rPr>
        <w:t xml:space="preserve">: </w:t>
      </w:r>
      <w:r w:rsidR="005F15FE" w:rsidRPr="002A24E2">
        <w:rPr>
          <w:rFonts w:eastAsia="MS Mincho"/>
          <w:color w:val="000000"/>
          <w:szCs w:val="24"/>
          <w:lang w:val="de-DE" w:eastAsia="ja-JP"/>
        </w:rPr>
        <w:t>Abschnitt</w:t>
      </w:r>
      <w:r w:rsidRPr="002A24E2">
        <w:rPr>
          <w:rFonts w:eastAsia="MS Mincho"/>
          <w:color w:val="000000"/>
          <w:szCs w:val="24"/>
          <w:lang w:val="de-DE" w:eastAsia="ja-JP"/>
        </w:rPr>
        <w:t xml:space="preserve"> 6 </w:t>
      </w:r>
      <w:r w:rsidR="005F15FE" w:rsidRPr="002A24E2">
        <w:rPr>
          <w:rFonts w:eastAsia="MS Mincho"/>
          <w:color w:val="000000"/>
          <w:szCs w:val="24"/>
          <w:lang w:val="de-DE" w:eastAsia="ja-JP"/>
        </w:rPr>
        <w:t>„Zusätzliche Verfahren“: Unterabschnitt</w:t>
      </w:r>
      <w:r w:rsidRPr="002A24E2">
        <w:rPr>
          <w:rFonts w:eastAsia="MS Mincho"/>
          <w:color w:val="000000"/>
          <w:szCs w:val="24"/>
          <w:lang w:val="de-DE" w:eastAsia="ja-JP"/>
        </w:rPr>
        <w:t xml:space="preserve"> 6.4: </w:t>
      </w:r>
      <w:r w:rsidR="005F15FE" w:rsidRPr="002A24E2">
        <w:rPr>
          <w:rFonts w:eastAsia="MS Mincho"/>
          <w:color w:val="000000"/>
          <w:szCs w:val="24"/>
          <w:lang w:val="de-DE" w:eastAsia="ja-JP"/>
        </w:rPr>
        <w:t xml:space="preserve">„Anwendung </w:t>
      </w:r>
      <w:r w:rsidR="00495C95" w:rsidRPr="002A24E2">
        <w:rPr>
          <w:rFonts w:eastAsia="MS Mincho"/>
          <w:color w:val="000000"/>
          <w:szCs w:val="24"/>
          <w:lang w:val="de-DE" w:eastAsia="ja-JP"/>
        </w:rPr>
        <w:t>randomisierter</w:t>
      </w:r>
      <w:r w:rsidR="005F15FE" w:rsidRPr="002A24E2">
        <w:rPr>
          <w:rFonts w:eastAsia="MS Mincho"/>
          <w:color w:val="000000"/>
          <w:szCs w:val="24"/>
          <w:lang w:val="de-DE" w:eastAsia="ja-JP"/>
        </w:rPr>
        <w:t xml:space="preserve"> </w:t>
      </w:r>
      <w:r w:rsidR="002A3747" w:rsidRPr="002A24E2">
        <w:rPr>
          <w:rFonts w:eastAsia="MS Mincho"/>
          <w:color w:val="000000"/>
          <w:szCs w:val="24"/>
          <w:lang w:val="de-DE" w:eastAsia="ja-JP"/>
        </w:rPr>
        <w:t>‚</w:t>
      </w:r>
      <w:r w:rsidR="005F15FE" w:rsidRPr="002A24E2">
        <w:rPr>
          <w:rFonts w:eastAsia="MS Mincho"/>
          <w:color w:val="000000"/>
          <w:szCs w:val="24"/>
          <w:lang w:val="de-DE" w:eastAsia="ja-JP"/>
        </w:rPr>
        <w:t>Blind</w:t>
      </w:r>
      <w:r w:rsidR="00495C95" w:rsidRPr="002A24E2">
        <w:rPr>
          <w:rFonts w:eastAsia="MS Mincho"/>
          <w:color w:val="000000"/>
          <w:szCs w:val="24"/>
          <w:lang w:val="de-DE" w:eastAsia="ja-JP"/>
        </w:rPr>
        <w:t>‘</w:t>
      </w:r>
      <w:r w:rsidR="00B1290B" w:rsidRPr="002A24E2">
        <w:rPr>
          <w:rFonts w:eastAsia="MS Mincho"/>
          <w:color w:val="000000"/>
          <w:szCs w:val="24"/>
          <w:lang w:val="de-DE" w:eastAsia="ja-JP"/>
        </w:rPr>
        <w:noBreakHyphen/>
      </w:r>
      <w:r w:rsidR="005F15FE" w:rsidRPr="002A24E2">
        <w:rPr>
          <w:rFonts w:eastAsia="MS Mincho"/>
          <w:color w:val="000000"/>
          <w:szCs w:val="24"/>
          <w:lang w:val="de-DE" w:eastAsia="ja-JP"/>
        </w:rPr>
        <w:t>Prüfung</w:t>
      </w:r>
      <w:r w:rsidR="00495C95" w:rsidRPr="002A24E2">
        <w:rPr>
          <w:rFonts w:eastAsia="MS Mincho"/>
          <w:color w:val="000000"/>
          <w:szCs w:val="24"/>
          <w:lang w:val="de-DE" w:eastAsia="ja-JP"/>
        </w:rPr>
        <w:t>en</w:t>
      </w:r>
      <w:r w:rsidR="005F15FE" w:rsidRPr="002A24E2">
        <w:rPr>
          <w:rFonts w:eastAsia="MS Mincho"/>
          <w:color w:val="000000"/>
          <w:szCs w:val="24"/>
          <w:lang w:val="de-DE" w:eastAsia="ja-JP"/>
        </w:rPr>
        <w:t xml:space="preserve">“ und </w:t>
      </w:r>
      <w:r w:rsidRPr="002A24E2">
        <w:rPr>
          <w:rFonts w:eastAsia="MS Mincho"/>
          <w:color w:val="000000"/>
          <w:szCs w:val="24"/>
          <w:lang w:val="de-DE" w:eastAsia="ja-JP"/>
        </w:rPr>
        <w:t xml:space="preserve">TGP/8/1: </w:t>
      </w:r>
      <w:r w:rsidR="005F15FE" w:rsidRPr="002A24E2">
        <w:rPr>
          <w:rFonts w:eastAsia="MS Mincho"/>
          <w:color w:val="000000"/>
          <w:szCs w:val="24"/>
          <w:lang w:val="de-DE" w:eastAsia="ja-JP"/>
        </w:rPr>
        <w:t>Teil</w:t>
      </w:r>
      <w:r w:rsidRPr="002A24E2">
        <w:rPr>
          <w:rFonts w:eastAsia="MS Mincho"/>
          <w:color w:val="000000"/>
          <w:szCs w:val="24"/>
          <w:lang w:val="de-DE" w:eastAsia="ja-JP"/>
        </w:rPr>
        <w:t xml:space="preserve"> I: </w:t>
      </w:r>
      <w:r w:rsidR="005F15FE" w:rsidRPr="002A24E2">
        <w:rPr>
          <w:rFonts w:cs="Arial"/>
          <w:lang w:val="de-DE"/>
        </w:rPr>
        <w:t>DUS-Prüfungsanlage und Datenanalyse</w:t>
      </w:r>
      <w:r w:rsidRPr="002A24E2">
        <w:rPr>
          <w:rFonts w:eastAsia="MS Mincho"/>
          <w:color w:val="000000"/>
          <w:szCs w:val="24"/>
          <w:lang w:val="de-DE" w:eastAsia="ja-JP"/>
        </w:rPr>
        <w:t xml:space="preserve">: </w:t>
      </w:r>
      <w:r w:rsidR="005F15FE" w:rsidRPr="002A24E2">
        <w:rPr>
          <w:rFonts w:eastAsia="MS Mincho"/>
          <w:color w:val="000000"/>
          <w:szCs w:val="24"/>
          <w:lang w:val="de-DE" w:eastAsia="ja-JP"/>
        </w:rPr>
        <w:t>Abschnitt</w:t>
      </w:r>
      <w:r w:rsidRPr="002A24E2">
        <w:rPr>
          <w:rFonts w:eastAsia="MS Mincho"/>
          <w:color w:val="000000"/>
          <w:szCs w:val="24"/>
          <w:lang w:val="de-DE" w:eastAsia="ja-JP"/>
        </w:rPr>
        <w:t xml:space="preserve"> 1.5.3.4 </w:t>
      </w:r>
      <w:r w:rsidR="002A3747" w:rsidRPr="002A24E2">
        <w:rPr>
          <w:rFonts w:eastAsia="MS Mincho"/>
          <w:color w:val="000000"/>
          <w:szCs w:val="24"/>
          <w:lang w:val="de-DE" w:eastAsia="ja-JP"/>
        </w:rPr>
        <w:t>„</w:t>
      </w:r>
      <w:r w:rsidR="005F15FE" w:rsidRPr="002A24E2">
        <w:rPr>
          <w:rFonts w:eastAsia="MS Mincho"/>
          <w:color w:val="000000"/>
          <w:szCs w:val="24"/>
          <w:lang w:val="de-DE" w:eastAsia="ja-JP"/>
        </w:rPr>
        <w:t xml:space="preserve">Randomisierte </w:t>
      </w:r>
      <w:r w:rsidR="00DD2C6B" w:rsidRPr="002A24E2">
        <w:rPr>
          <w:rFonts w:eastAsia="MS Mincho"/>
          <w:color w:val="000000"/>
          <w:szCs w:val="24"/>
          <w:lang w:val="de-DE" w:eastAsia="ja-JP"/>
        </w:rPr>
        <w:t>‚</w:t>
      </w:r>
      <w:r w:rsidR="005F15FE" w:rsidRPr="002A24E2">
        <w:rPr>
          <w:rFonts w:eastAsia="MS Mincho"/>
          <w:color w:val="000000"/>
          <w:szCs w:val="24"/>
          <w:lang w:val="de-DE" w:eastAsia="ja-JP"/>
        </w:rPr>
        <w:t>Blind</w:t>
      </w:r>
      <w:r w:rsidR="00DD2C6B" w:rsidRPr="002A24E2">
        <w:rPr>
          <w:rFonts w:eastAsia="MS Mincho"/>
          <w:color w:val="000000"/>
          <w:szCs w:val="24"/>
          <w:lang w:val="de-DE" w:eastAsia="ja-JP"/>
        </w:rPr>
        <w:t>‘</w:t>
      </w:r>
      <w:r w:rsidR="005F15FE" w:rsidRPr="002A24E2">
        <w:rPr>
          <w:rFonts w:eastAsia="MS Mincho"/>
          <w:color w:val="000000"/>
          <w:szCs w:val="24"/>
          <w:lang w:val="de-DE" w:eastAsia="ja-JP"/>
        </w:rPr>
        <w:t>-Prüfungen</w:t>
      </w:r>
      <w:r w:rsidR="00DD2C6B" w:rsidRPr="002A24E2">
        <w:rPr>
          <w:rFonts w:eastAsia="MS Mincho"/>
          <w:color w:val="000000"/>
          <w:szCs w:val="24"/>
          <w:lang w:val="de-DE" w:eastAsia="ja-JP"/>
        </w:rPr>
        <w:t>“</w:t>
      </w:r>
    </w:p>
    <w:p w:rsidR="004B4303" w:rsidRPr="002A24E2" w:rsidRDefault="004B4303" w:rsidP="004B4303">
      <w:pPr>
        <w:tabs>
          <w:tab w:val="left" w:pos="1710"/>
        </w:tabs>
        <w:ind w:left="1710" w:hanging="1710"/>
        <w:rPr>
          <w:caps/>
          <w:u w:val="single"/>
          <w:lang w:val="de-DE"/>
        </w:rPr>
      </w:pPr>
    </w:p>
    <w:p w:rsidR="004B4303" w:rsidRPr="002A24E2" w:rsidRDefault="004B4303" w:rsidP="004B4303">
      <w:pPr>
        <w:rPr>
          <w:lang w:val="de-DE"/>
        </w:rPr>
      </w:pPr>
    </w:p>
    <w:p w:rsidR="004B4303" w:rsidRPr="002A24E2" w:rsidRDefault="004B4303" w:rsidP="004B4303">
      <w:pPr>
        <w:rPr>
          <w:lang w:val="de-DE"/>
        </w:rPr>
      </w:pPr>
    </w:p>
    <w:p w:rsidR="00C22BB6" w:rsidRPr="002A24E2" w:rsidRDefault="00C22BB6">
      <w:pPr>
        <w:jc w:val="left"/>
        <w:rPr>
          <w:caps/>
          <w:lang w:val="de-DE"/>
        </w:rPr>
      </w:pPr>
      <w:bookmarkStart w:id="6" w:name="_Toc406149589"/>
      <w:bookmarkStart w:id="7" w:name="_Toc410718282"/>
    </w:p>
    <w:p w:rsidR="004B4303" w:rsidRPr="002A24E2" w:rsidRDefault="00DD2C6B" w:rsidP="004B4303">
      <w:pPr>
        <w:pStyle w:val="Heading1"/>
        <w:rPr>
          <w:lang w:val="de-DE"/>
        </w:rPr>
      </w:pPr>
      <w:bookmarkStart w:id="8" w:name="_Toc410810141"/>
      <w:bookmarkStart w:id="9" w:name="_Toc410827622"/>
      <w:r w:rsidRPr="002A24E2">
        <w:rPr>
          <w:lang w:val="de-DE"/>
        </w:rPr>
        <w:lastRenderedPageBreak/>
        <w:t>HINTERGRUND</w:t>
      </w:r>
      <w:bookmarkEnd w:id="6"/>
      <w:bookmarkEnd w:id="7"/>
      <w:bookmarkEnd w:id="8"/>
      <w:bookmarkEnd w:id="9"/>
    </w:p>
    <w:p w:rsidR="004B4303" w:rsidRPr="002A24E2" w:rsidRDefault="004B4303" w:rsidP="004B4303">
      <w:pPr>
        <w:rPr>
          <w:lang w:val="de-DE"/>
        </w:rPr>
      </w:pPr>
    </w:p>
    <w:p w:rsidR="004B4303" w:rsidRPr="002A24E2" w:rsidRDefault="004B4303" w:rsidP="004B4303">
      <w:pPr>
        <w:rPr>
          <w:lang w:val="de-DE"/>
        </w:rPr>
      </w:pPr>
      <w:r w:rsidRPr="002A24E2">
        <w:rPr>
          <w:lang w:val="de-DE"/>
        </w:rPr>
        <w:fldChar w:fldCharType="begin"/>
      </w:r>
      <w:r w:rsidRPr="002A24E2">
        <w:rPr>
          <w:lang w:val="de-DE"/>
        </w:rPr>
        <w:instrText xml:space="preserve"> AUTONUM  </w:instrText>
      </w:r>
      <w:r w:rsidRPr="002A24E2">
        <w:rPr>
          <w:lang w:val="de-DE"/>
        </w:rPr>
        <w:fldChar w:fldCharType="end"/>
      </w:r>
      <w:r w:rsidRPr="002A24E2">
        <w:rPr>
          <w:lang w:val="de-DE"/>
        </w:rPr>
        <w:tab/>
      </w:r>
      <w:r w:rsidR="002A3747" w:rsidRPr="002A24E2">
        <w:rPr>
          <w:spacing w:val="-2"/>
          <w:szCs w:val="24"/>
          <w:lang w:val="de-DE"/>
        </w:rPr>
        <w:t xml:space="preserve">Der Technische Ausschuß </w:t>
      </w:r>
      <w:r w:rsidR="002A3747" w:rsidRPr="002A24E2">
        <w:rPr>
          <w:lang w:val="de-DE"/>
        </w:rPr>
        <w:t xml:space="preserve">(TC) </w:t>
      </w:r>
      <w:r w:rsidR="002A3747" w:rsidRPr="002A24E2">
        <w:rPr>
          <w:spacing w:val="-2"/>
          <w:szCs w:val="24"/>
          <w:lang w:val="de-DE"/>
        </w:rPr>
        <w:t>vereinbarte auf seiner achtundvierzigsten Tagung vom 26. bis 28.</w:t>
      </w:r>
      <w:r w:rsidR="00B1290B" w:rsidRPr="002A24E2">
        <w:rPr>
          <w:spacing w:val="-2"/>
          <w:szCs w:val="24"/>
          <w:lang w:val="de-DE"/>
        </w:rPr>
        <w:t> </w:t>
      </w:r>
      <w:r w:rsidR="002A3747" w:rsidRPr="002A24E2">
        <w:rPr>
          <w:spacing w:val="-2"/>
          <w:szCs w:val="24"/>
          <w:lang w:val="de-DE"/>
        </w:rPr>
        <w:t>März</w:t>
      </w:r>
      <w:r w:rsidR="00B1290B" w:rsidRPr="002A24E2">
        <w:rPr>
          <w:spacing w:val="-2"/>
          <w:szCs w:val="24"/>
          <w:lang w:val="de-DE"/>
        </w:rPr>
        <w:t> </w:t>
      </w:r>
      <w:r w:rsidR="002A3747" w:rsidRPr="002A24E2">
        <w:rPr>
          <w:spacing w:val="-2"/>
          <w:szCs w:val="24"/>
          <w:lang w:val="de-DE"/>
        </w:rPr>
        <w:t xml:space="preserve">2012 </w:t>
      </w:r>
      <w:r w:rsidR="002A3747" w:rsidRPr="002A24E2">
        <w:rPr>
          <w:szCs w:val="24"/>
          <w:lang w:val="de-DE"/>
        </w:rPr>
        <w:t xml:space="preserve">in Genf, </w:t>
      </w:r>
      <w:r w:rsidR="00495C95" w:rsidRPr="002A24E2">
        <w:rPr>
          <w:rFonts w:eastAsia="Calibri"/>
          <w:lang w:val="de-DE" w:eastAsia="de-DE" w:bidi="de-DE"/>
        </w:rPr>
        <w:t>daß die Sachverständigen aus Frankreich ausgehend von ihrer Erfahrung Anleitung zur Datenanalyse für randomisierte „Blind“-Prüfungen, einschließlich ihrer Anwendung randomisierter „Blind“-Prüfungen für Krankeitsresistenzprüfungen und andere</w:t>
      </w:r>
      <w:r w:rsidR="00B1290B" w:rsidRPr="002A24E2">
        <w:rPr>
          <w:rFonts w:eastAsia="Calibri"/>
          <w:lang w:val="de-DE" w:eastAsia="de-DE" w:bidi="de-DE"/>
        </w:rPr>
        <w:t>r</w:t>
      </w:r>
      <w:r w:rsidR="00495C95" w:rsidRPr="002A24E2">
        <w:rPr>
          <w:rFonts w:eastAsia="Calibri"/>
          <w:lang w:val="de-DE" w:eastAsia="de-DE" w:bidi="de-DE"/>
        </w:rPr>
        <w:t xml:space="preserve"> Beispiele, erarbeiten</w:t>
      </w:r>
      <w:r w:rsidR="002A3747" w:rsidRPr="002A24E2">
        <w:rPr>
          <w:szCs w:val="24"/>
          <w:lang w:val="de-DE"/>
        </w:rPr>
        <w:t xml:space="preserve"> sollten </w:t>
      </w:r>
      <w:r w:rsidRPr="002A24E2">
        <w:rPr>
          <w:lang w:val="de-DE"/>
        </w:rPr>
        <w:t>(</w:t>
      </w:r>
      <w:r w:rsidR="00DD2C6B" w:rsidRPr="002A24E2">
        <w:rPr>
          <w:lang w:val="de-DE"/>
        </w:rPr>
        <w:t>vergleiche Dokument</w:t>
      </w:r>
      <w:r w:rsidRPr="002A24E2">
        <w:rPr>
          <w:lang w:val="de-DE"/>
        </w:rPr>
        <w:t xml:space="preserve"> TC/48/22</w:t>
      </w:r>
      <w:r w:rsidR="00DD2C6B" w:rsidRPr="002A24E2">
        <w:rPr>
          <w:lang w:val="de-DE"/>
        </w:rPr>
        <w:t>,</w:t>
      </w:r>
      <w:r w:rsidRPr="002A24E2">
        <w:rPr>
          <w:lang w:val="de-DE"/>
        </w:rPr>
        <w:t xml:space="preserve"> </w:t>
      </w:r>
      <w:r w:rsidR="00DD2C6B" w:rsidRPr="002A24E2">
        <w:rPr>
          <w:lang w:val="de-DE"/>
        </w:rPr>
        <w:t>„Bericht über die Entschließungen“</w:t>
      </w:r>
      <w:r w:rsidRPr="002A24E2">
        <w:rPr>
          <w:lang w:val="de-DE"/>
        </w:rPr>
        <w:t xml:space="preserve">, </w:t>
      </w:r>
      <w:r w:rsidR="005F15FE" w:rsidRPr="002A24E2">
        <w:rPr>
          <w:lang w:val="de-DE"/>
        </w:rPr>
        <w:t>Absatz</w:t>
      </w:r>
      <w:r w:rsidR="00DD2C6B" w:rsidRPr="002A24E2">
        <w:rPr>
          <w:lang w:val="de-DE"/>
        </w:rPr>
        <w:t xml:space="preserve"> 60).</w:t>
      </w:r>
    </w:p>
    <w:p w:rsidR="00DD2C6B" w:rsidRPr="002A24E2" w:rsidRDefault="00DD2C6B" w:rsidP="004B4303">
      <w:pPr>
        <w:rPr>
          <w:lang w:val="de-DE"/>
        </w:rPr>
      </w:pPr>
    </w:p>
    <w:p w:rsidR="004B4303" w:rsidRPr="002A24E2" w:rsidRDefault="00C22BB6" w:rsidP="004B4303">
      <w:pPr>
        <w:pStyle w:val="Heading1"/>
        <w:rPr>
          <w:lang w:val="de-DE"/>
        </w:rPr>
      </w:pPr>
      <w:bookmarkStart w:id="10" w:name="_Toc406149590"/>
      <w:bookmarkStart w:id="11" w:name="_Toc410718283"/>
      <w:bookmarkStart w:id="12" w:name="_Toc410810142"/>
      <w:bookmarkStart w:id="13" w:name="_Toc410827623"/>
      <w:r w:rsidRPr="002A24E2">
        <w:rPr>
          <w:lang w:val="de-DE"/>
        </w:rPr>
        <w:t>BEMERKUNGEN DES TECHNISCHEN AUSSCHUSSES IM JAHRE</w:t>
      </w:r>
      <w:r w:rsidR="004B4303" w:rsidRPr="002A24E2">
        <w:rPr>
          <w:lang w:val="de-DE"/>
        </w:rPr>
        <w:t xml:space="preserve"> 2013</w:t>
      </w:r>
      <w:bookmarkEnd w:id="10"/>
      <w:bookmarkEnd w:id="11"/>
      <w:bookmarkEnd w:id="12"/>
      <w:bookmarkEnd w:id="13"/>
    </w:p>
    <w:p w:rsidR="004B4303" w:rsidRPr="002A24E2" w:rsidRDefault="004B4303" w:rsidP="004B4303">
      <w:pPr>
        <w:rPr>
          <w:lang w:val="de-DE"/>
        </w:rPr>
      </w:pPr>
    </w:p>
    <w:p w:rsidR="004B4303" w:rsidRPr="002A24E2" w:rsidRDefault="004B4303" w:rsidP="004B4303">
      <w:pPr>
        <w:rPr>
          <w:rFonts w:cs="Arial"/>
          <w:lang w:val="de-DE"/>
        </w:rPr>
      </w:pPr>
      <w:r w:rsidRPr="002A24E2">
        <w:rPr>
          <w:iCs/>
          <w:spacing w:val="-4"/>
          <w:lang w:val="de-DE"/>
        </w:rPr>
        <w:fldChar w:fldCharType="begin"/>
      </w:r>
      <w:r w:rsidRPr="002A24E2">
        <w:rPr>
          <w:iCs/>
          <w:spacing w:val="-4"/>
          <w:lang w:val="de-DE"/>
        </w:rPr>
        <w:instrText xml:space="preserve"> AUTONUM  </w:instrText>
      </w:r>
      <w:r w:rsidRPr="002A24E2">
        <w:rPr>
          <w:iCs/>
          <w:spacing w:val="-4"/>
          <w:lang w:val="de-DE"/>
        </w:rPr>
        <w:fldChar w:fldCharType="end"/>
      </w:r>
      <w:r w:rsidRPr="002A24E2">
        <w:rPr>
          <w:iCs/>
          <w:spacing w:val="-4"/>
          <w:lang w:val="de-DE"/>
        </w:rPr>
        <w:tab/>
      </w:r>
      <w:r w:rsidR="002A3747" w:rsidRPr="002A24E2">
        <w:rPr>
          <w:szCs w:val="24"/>
          <w:lang w:val="de-DE"/>
        </w:rPr>
        <w:t xml:space="preserve">Der TC vereinbarte auf seiner neunundvierzigsten Tagung vom 18. bis 20. März 2013 in Genf </w:t>
      </w:r>
      <w:r w:rsidR="00495C95" w:rsidRPr="002A24E2">
        <w:rPr>
          <w:rFonts w:eastAsia="Calibri"/>
          <w:iCs/>
          <w:spacing w:val="-4"/>
          <w:lang w:val="de-DE" w:eastAsia="de-DE" w:bidi="de-DE"/>
        </w:rPr>
        <w:t xml:space="preserve">die Erarbeitung eines neuen Entwurfs für einen neuen Abschnitt über die „Anleitung zur Datenanalyse für randomisierte </w:t>
      </w:r>
      <w:r w:rsidR="00B1290B" w:rsidRPr="002A24E2">
        <w:rPr>
          <w:rFonts w:eastAsia="Calibri"/>
          <w:iCs/>
          <w:spacing w:val="-4"/>
          <w:lang w:val="de-DE" w:eastAsia="de-DE" w:bidi="de-DE"/>
        </w:rPr>
        <w:t>‚</w:t>
      </w:r>
      <w:r w:rsidR="00495C95" w:rsidRPr="002A24E2">
        <w:rPr>
          <w:rFonts w:eastAsia="Calibri"/>
          <w:iCs/>
          <w:spacing w:val="-4"/>
          <w:lang w:val="de-DE" w:eastAsia="de-DE" w:bidi="de-DE"/>
        </w:rPr>
        <w:t>Blind</w:t>
      </w:r>
      <w:r w:rsidR="00B1290B" w:rsidRPr="002A24E2">
        <w:rPr>
          <w:rFonts w:eastAsia="Calibri"/>
          <w:iCs/>
          <w:spacing w:val="-4"/>
          <w:lang w:val="de-DE" w:eastAsia="de-DE" w:bidi="de-DE"/>
        </w:rPr>
        <w:t>‘</w:t>
      </w:r>
      <w:r w:rsidR="00495C95" w:rsidRPr="002A24E2">
        <w:rPr>
          <w:rFonts w:eastAsia="Calibri"/>
          <w:iCs/>
          <w:spacing w:val="-4"/>
          <w:lang w:val="de-DE" w:eastAsia="de-DE" w:bidi="de-DE"/>
        </w:rPr>
        <w:t>-Prüfungen</w:t>
      </w:r>
      <w:r w:rsidR="00B1290B" w:rsidRPr="002A24E2">
        <w:rPr>
          <w:rFonts w:eastAsia="Calibri"/>
          <w:iCs/>
          <w:spacing w:val="-4"/>
          <w:lang w:val="de-DE" w:eastAsia="de-DE" w:bidi="de-DE"/>
        </w:rPr>
        <w:t>“</w:t>
      </w:r>
      <w:r w:rsidR="00495C95" w:rsidRPr="002A24E2">
        <w:rPr>
          <w:rFonts w:eastAsia="Calibri"/>
          <w:iCs/>
          <w:spacing w:val="-4"/>
          <w:lang w:val="de-DE" w:eastAsia="de-DE" w:bidi="de-DE"/>
        </w:rPr>
        <w:t xml:space="preserve"> durch einen Sachverständigen aus Frankreich auf der Grundlage der Anlage des Dokuments TC/49/30 und der Bemerkungen der TWP </w:t>
      </w:r>
      <w:r w:rsidR="00495C95" w:rsidRPr="002A24E2">
        <w:rPr>
          <w:rFonts w:eastAsia="Calibri"/>
          <w:lang w:val="de-DE" w:eastAsia="de-DE" w:bidi="de-DE"/>
        </w:rPr>
        <w:t xml:space="preserve">auf ihren Tagungen im Jahre 2012 </w:t>
      </w:r>
      <w:r w:rsidR="00495C95" w:rsidRPr="002A24E2">
        <w:rPr>
          <w:rFonts w:eastAsia="Calibri"/>
          <w:iCs/>
          <w:spacing w:val="-4"/>
          <w:lang w:val="de-DE" w:eastAsia="de-DE" w:bidi="de-DE"/>
        </w:rPr>
        <w:t>und des TC-EDC</w:t>
      </w:r>
      <w:r w:rsidR="00495C95" w:rsidRPr="002A24E2">
        <w:rPr>
          <w:rFonts w:eastAsia="Calibri"/>
          <w:lang w:val="de-DE" w:eastAsia="de-DE" w:bidi="de-DE"/>
        </w:rPr>
        <w:t xml:space="preserve"> auf seiner Sitzung im Jahre 2013</w:t>
      </w:r>
      <w:r w:rsidR="00495C95" w:rsidRPr="002A24E2">
        <w:rPr>
          <w:rFonts w:eastAsia="Calibri"/>
          <w:iCs/>
          <w:spacing w:val="-4"/>
          <w:lang w:val="de-DE" w:eastAsia="de-DE" w:bidi="de-DE"/>
        </w:rPr>
        <w:t xml:space="preserve"> zur Prüfung durch die TWP auf ihren Tagungen im Jahre 2013 </w:t>
      </w:r>
      <w:r w:rsidRPr="002A24E2">
        <w:rPr>
          <w:rFonts w:cs="Arial"/>
          <w:lang w:val="de-DE"/>
        </w:rPr>
        <w:t>(</w:t>
      </w:r>
      <w:r w:rsidR="00DD2C6B" w:rsidRPr="002A24E2">
        <w:rPr>
          <w:rFonts w:cs="Arial"/>
          <w:lang w:val="de-DE"/>
        </w:rPr>
        <w:t>vergleiche Dokument</w:t>
      </w:r>
      <w:r w:rsidRPr="002A24E2">
        <w:rPr>
          <w:rFonts w:cs="Arial"/>
          <w:lang w:val="de-DE"/>
        </w:rPr>
        <w:t> TC/49/41</w:t>
      </w:r>
      <w:r w:rsidR="00AF57B2" w:rsidRPr="002A24E2">
        <w:rPr>
          <w:rFonts w:cs="Arial"/>
          <w:lang w:val="de-DE"/>
        </w:rPr>
        <w:t>,</w:t>
      </w:r>
      <w:r w:rsidRPr="002A24E2">
        <w:rPr>
          <w:rFonts w:cs="Arial"/>
          <w:lang w:val="de-DE"/>
        </w:rPr>
        <w:t xml:space="preserve"> </w:t>
      </w:r>
      <w:r w:rsidR="00AF57B2" w:rsidRPr="002A24E2">
        <w:rPr>
          <w:rFonts w:cs="Arial"/>
          <w:lang w:val="de-DE"/>
        </w:rPr>
        <w:t>„Bericht über die Entschließungen“</w:t>
      </w:r>
      <w:r w:rsidRPr="002A24E2">
        <w:rPr>
          <w:rFonts w:cs="Arial"/>
          <w:lang w:val="de-DE"/>
        </w:rPr>
        <w:t xml:space="preserve">, </w:t>
      </w:r>
      <w:r w:rsidR="005F15FE" w:rsidRPr="002A24E2">
        <w:rPr>
          <w:rFonts w:cs="Arial"/>
          <w:lang w:val="de-DE"/>
        </w:rPr>
        <w:t>Absätze</w:t>
      </w:r>
      <w:r w:rsidRPr="002A24E2">
        <w:rPr>
          <w:rFonts w:cs="Arial"/>
          <w:lang w:val="de-DE"/>
        </w:rPr>
        <w:t xml:space="preserve"> 67 </w:t>
      </w:r>
      <w:r w:rsidR="00AF57B2" w:rsidRPr="002A24E2">
        <w:rPr>
          <w:rFonts w:cs="Arial"/>
          <w:lang w:val="de-DE"/>
        </w:rPr>
        <w:t>u</w:t>
      </w:r>
      <w:r w:rsidRPr="002A24E2">
        <w:rPr>
          <w:rFonts w:cs="Arial"/>
          <w:lang w:val="de-DE"/>
        </w:rPr>
        <w:t>nd 68)</w:t>
      </w:r>
      <w:r w:rsidRPr="002A24E2">
        <w:rPr>
          <w:iCs/>
          <w:spacing w:val="-4"/>
          <w:lang w:val="de-DE"/>
        </w:rPr>
        <w:t>.</w:t>
      </w:r>
    </w:p>
    <w:p w:rsidR="004B4303" w:rsidRPr="002A24E2" w:rsidRDefault="004B4303" w:rsidP="004B4303">
      <w:pPr>
        <w:rPr>
          <w:lang w:val="de-DE"/>
        </w:rPr>
      </w:pPr>
    </w:p>
    <w:p w:rsidR="004B4303" w:rsidRPr="002A24E2" w:rsidRDefault="00C22BB6" w:rsidP="004B4303">
      <w:pPr>
        <w:pStyle w:val="Heading1"/>
        <w:rPr>
          <w:lang w:val="de-DE"/>
        </w:rPr>
      </w:pPr>
      <w:bookmarkStart w:id="14" w:name="_Toc406149591"/>
      <w:bookmarkStart w:id="15" w:name="_Toc410718284"/>
      <w:bookmarkStart w:id="16" w:name="_Toc410810143"/>
      <w:bookmarkStart w:id="17" w:name="_Toc410827624"/>
      <w:r w:rsidRPr="002A24E2">
        <w:rPr>
          <w:lang w:val="de-DE"/>
        </w:rPr>
        <w:t>BEMERKUNGEN DER TECHNISCHEN ARBEITSGRUPPEN IM JAHRE</w:t>
      </w:r>
      <w:r w:rsidR="004B4303" w:rsidRPr="002A24E2">
        <w:rPr>
          <w:lang w:val="de-DE"/>
        </w:rPr>
        <w:t xml:space="preserve"> 2013</w:t>
      </w:r>
      <w:bookmarkEnd w:id="14"/>
      <w:bookmarkEnd w:id="15"/>
      <w:bookmarkEnd w:id="16"/>
      <w:bookmarkEnd w:id="17"/>
    </w:p>
    <w:p w:rsidR="004B4303" w:rsidRPr="002A24E2" w:rsidRDefault="004B4303" w:rsidP="004B4303">
      <w:pPr>
        <w:rPr>
          <w:lang w:val="de-DE"/>
        </w:rPr>
      </w:pPr>
    </w:p>
    <w:p w:rsidR="004B4303" w:rsidRPr="002A24E2" w:rsidRDefault="004B4303" w:rsidP="004B4303">
      <w:pPr>
        <w:rPr>
          <w:lang w:val="de-DE"/>
        </w:rPr>
      </w:pPr>
      <w:r w:rsidRPr="002A24E2">
        <w:rPr>
          <w:lang w:val="de-DE"/>
        </w:rPr>
        <w:fldChar w:fldCharType="begin"/>
      </w:r>
      <w:r w:rsidRPr="002A24E2">
        <w:rPr>
          <w:lang w:val="de-DE"/>
        </w:rPr>
        <w:instrText xml:space="preserve"> AUTONUM  </w:instrText>
      </w:r>
      <w:r w:rsidRPr="002A24E2">
        <w:rPr>
          <w:lang w:val="de-DE"/>
        </w:rPr>
        <w:fldChar w:fldCharType="end"/>
      </w:r>
      <w:r w:rsidRPr="002A24E2">
        <w:rPr>
          <w:lang w:val="de-DE"/>
        </w:rPr>
        <w:tab/>
      </w:r>
      <w:r w:rsidR="00AF57B2" w:rsidRPr="002A24E2">
        <w:rPr>
          <w:lang w:val="de-DE"/>
        </w:rPr>
        <w:t>Di</w:t>
      </w:r>
      <w:r w:rsidRPr="002A24E2">
        <w:rPr>
          <w:lang w:val="de-DE"/>
        </w:rPr>
        <w:t xml:space="preserve">e TWO, </w:t>
      </w:r>
      <w:r w:rsidR="00AF57B2" w:rsidRPr="002A24E2">
        <w:rPr>
          <w:lang w:val="de-DE"/>
        </w:rPr>
        <w:t xml:space="preserve">die </w:t>
      </w:r>
      <w:r w:rsidRPr="002A24E2">
        <w:rPr>
          <w:lang w:val="de-DE"/>
        </w:rPr>
        <w:t xml:space="preserve">TWF, </w:t>
      </w:r>
      <w:r w:rsidR="00AF57B2" w:rsidRPr="002A24E2">
        <w:rPr>
          <w:lang w:val="de-DE"/>
        </w:rPr>
        <w:t xml:space="preserve">die </w:t>
      </w:r>
      <w:r w:rsidRPr="002A24E2">
        <w:rPr>
          <w:lang w:val="de-DE"/>
        </w:rPr>
        <w:t xml:space="preserve">TWV, </w:t>
      </w:r>
      <w:r w:rsidR="00AF57B2" w:rsidRPr="002A24E2">
        <w:rPr>
          <w:lang w:val="de-DE"/>
        </w:rPr>
        <w:t xml:space="preserve">die </w:t>
      </w:r>
      <w:r w:rsidRPr="002A24E2">
        <w:rPr>
          <w:lang w:val="de-DE"/>
        </w:rPr>
        <w:t xml:space="preserve">TWC </w:t>
      </w:r>
      <w:r w:rsidR="00AF57B2" w:rsidRPr="002A24E2">
        <w:rPr>
          <w:lang w:val="de-DE"/>
        </w:rPr>
        <w:t>u</w:t>
      </w:r>
      <w:r w:rsidRPr="002A24E2">
        <w:rPr>
          <w:lang w:val="de-DE"/>
        </w:rPr>
        <w:t xml:space="preserve">nd </w:t>
      </w:r>
      <w:r w:rsidR="00AF57B2" w:rsidRPr="002A24E2">
        <w:rPr>
          <w:lang w:val="de-DE"/>
        </w:rPr>
        <w:t xml:space="preserve">die </w:t>
      </w:r>
      <w:r w:rsidRPr="002A24E2">
        <w:rPr>
          <w:lang w:val="de-DE"/>
        </w:rPr>
        <w:t xml:space="preserve">TWA </w:t>
      </w:r>
      <w:r w:rsidR="00AF57B2" w:rsidRPr="002A24E2">
        <w:rPr>
          <w:lang w:val="de-DE"/>
        </w:rPr>
        <w:t xml:space="preserve">prüften auf ihren Tagungen im Jahre 2013 die </w:t>
      </w:r>
      <w:r w:rsidR="005F15FE" w:rsidRPr="002A24E2">
        <w:rPr>
          <w:lang w:val="de-DE"/>
        </w:rPr>
        <w:t>Dokumente</w:t>
      </w:r>
      <w:r w:rsidRPr="002A24E2">
        <w:rPr>
          <w:lang w:val="de-DE"/>
        </w:rPr>
        <w:t> TWO/46/19,</w:t>
      </w:r>
      <w:r w:rsidRPr="002A24E2">
        <w:rPr>
          <w:rFonts w:cs="Arial"/>
          <w:lang w:val="de-DE"/>
        </w:rPr>
        <w:t xml:space="preserve"> TWF/44/19, TWV/47/19, TWC/31/19 </w:t>
      </w:r>
      <w:r w:rsidR="00AF57B2" w:rsidRPr="002A24E2">
        <w:rPr>
          <w:rFonts w:cs="Arial"/>
          <w:lang w:val="de-DE"/>
        </w:rPr>
        <w:t>bzw.</w:t>
      </w:r>
      <w:r w:rsidRPr="002A24E2">
        <w:rPr>
          <w:rFonts w:cs="Arial"/>
          <w:lang w:val="de-DE"/>
        </w:rPr>
        <w:t xml:space="preserve"> TWA/42/19, </w:t>
      </w:r>
      <w:r w:rsidR="00AF57B2" w:rsidRPr="002A24E2">
        <w:rPr>
          <w:rFonts w:cs="Arial"/>
          <w:lang w:val="de-DE"/>
        </w:rPr>
        <w:t xml:space="preserve">die den </w:t>
      </w:r>
      <w:r w:rsidR="005F15FE" w:rsidRPr="002A24E2">
        <w:rPr>
          <w:rFonts w:cs="Arial"/>
          <w:lang w:val="de-DE"/>
        </w:rPr>
        <w:t>Entwurf einer Anleitung</w:t>
      </w:r>
      <w:r w:rsidRPr="002A24E2">
        <w:rPr>
          <w:rFonts w:cs="Arial"/>
          <w:lang w:val="de-DE"/>
        </w:rPr>
        <w:t xml:space="preserve"> </w:t>
      </w:r>
      <w:r w:rsidR="00AF57B2" w:rsidRPr="002A24E2">
        <w:rPr>
          <w:rFonts w:cs="Arial"/>
          <w:lang w:val="de-DE"/>
        </w:rPr>
        <w:t xml:space="preserve">enthielten, der </w:t>
      </w:r>
      <w:r w:rsidR="00B1290B" w:rsidRPr="002A24E2">
        <w:rPr>
          <w:rFonts w:cs="Arial"/>
          <w:lang w:val="de-DE"/>
        </w:rPr>
        <w:t xml:space="preserve">in </w:t>
      </w:r>
      <w:r w:rsidR="00AF57B2" w:rsidRPr="002A24E2">
        <w:rPr>
          <w:rFonts w:cs="Arial"/>
          <w:lang w:val="de-DE"/>
        </w:rPr>
        <w:t>Anlage</w:t>
      </w:r>
      <w:r w:rsidRPr="002A24E2">
        <w:rPr>
          <w:rFonts w:cs="Arial"/>
          <w:lang w:val="de-DE"/>
        </w:rPr>
        <w:t xml:space="preserve"> I </w:t>
      </w:r>
      <w:r w:rsidR="00AF57B2" w:rsidRPr="002A24E2">
        <w:rPr>
          <w:rFonts w:cs="Arial"/>
          <w:lang w:val="de-DE"/>
        </w:rPr>
        <w:t>dieses Dokuments wiedergegeben ist</w:t>
      </w:r>
      <w:r w:rsidRPr="002A24E2">
        <w:rPr>
          <w:rFonts w:cs="Arial"/>
          <w:lang w:val="de-DE"/>
        </w:rPr>
        <w:t>.</w:t>
      </w:r>
    </w:p>
    <w:p w:rsidR="00DD6C95" w:rsidRPr="002A24E2" w:rsidRDefault="00DD6C95" w:rsidP="00DD6C95">
      <w:pPr>
        <w:rPr>
          <w:szCs w:val="24"/>
          <w:lang w:val="de-DE"/>
        </w:rPr>
      </w:pPr>
    </w:p>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418"/>
        <w:gridCol w:w="7348"/>
        <w:gridCol w:w="839"/>
      </w:tblGrid>
      <w:tr w:rsidR="00DD6C95" w:rsidRPr="002A24E2" w:rsidTr="00520B98">
        <w:trPr>
          <w:cantSplit/>
        </w:trPr>
        <w:tc>
          <w:tcPr>
            <w:tcW w:w="1418" w:type="dxa"/>
          </w:tcPr>
          <w:p w:rsidR="00DD6C95" w:rsidRPr="002A24E2" w:rsidRDefault="00DD6C95" w:rsidP="00520B98">
            <w:pPr>
              <w:jc w:val="left"/>
              <w:rPr>
                <w:szCs w:val="24"/>
                <w:lang w:val="de-DE"/>
              </w:rPr>
            </w:pPr>
            <w:r w:rsidRPr="002A24E2">
              <w:rPr>
                <w:szCs w:val="24"/>
                <w:lang w:val="de-DE"/>
              </w:rPr>
              <w:t>Allgemein</w:t>
            </w:r>
            <w:r w:rsidR="00495C95" w:rsidRPr="002A24E2">
              <w:rPr>
                <w:szCs w:val="24"/>
                <w:lang w:val="de-DE"/>
              </w:rPr>
              <w:t>es</w:t>
            </w:r>
          </w:p>
        </w:tc>
        <w:tc>
          <w:tcPr>
            <w:tcW w:w="7348" w:type="dxa"/>
          </w:tcPr>
          <w:p w:rsidR="00DD6C95" w:rsidRPr="002A24E2" w:rsidRDefault="00DD6C95" w:rsidP="00520B98">
            <w:pPr>
              <w:rPr>
                <w:szCs w:val="24"/>
                <w:lang w:val="de-DE"/>
              </w:rPr>
            </w:pPr>
            <w:r w:rsidRPr="002A24E2">
              <w:rPr>
                <w:szCs w:val="24"/>
                <w:lang w:val="de-DE"/>
              </w:rPr>
              <w:t>Die TWO nahm die Bemerkungen der TWP auf ihren Tagungen im Jahr</w:t>
            </w:r>
            <w:r w:rsidR="00495C95" w:rsidRPr="002A24E2">
              <w:rPr>
                <w:szCs w:val="24"/>
                <w:lang w:val="de-DE"/>
              </w:rPr>
              <w:t>e</w:t>
            </w:r>
            <w:r w:rsidRPr="002A24E2">
              <w:rPr>
                <w:szCs w:val="24"/>
                <w:lang w:val="de-DE"/>
              </w:rPr>
              <w:t xml:space="preserve"> 2012 und diejenigen des TC-ED</w:t>
            </w:r>
            <w:r w:rsidR="00195700" w:rsidRPr="002A24E2">
              <w:rPr>
                <w:szCs w:val="24"/>
                <w:lang w:val="de-DE"/>
              </w:rPr>
              <w:t>C</w:t>
            </w:r>
            <w:r w:rsidRPr="002A24E2">
              <w:rPr>
                <w:szCs w:val="24"/>
                <w:lang w:val="de-DE"/>
              </w:rPr>
              <w:t xml:space="preserve"> im Jahr</w:t>
            </w:r>
            <w:r w:rsidR="00495C95" w:rsidRPr="002A24E2">
              <w:rPr>
                <w:szCs w:val="24"/>
                <w:lang w:val="de-DE"/>
              </w:rPr>
              <w:t>e</w:t>
            </w:r>
            <w:r w:rsidRPr="002A24E2">
              <w:rPr>
                <w:szCs w:val="24"/>
                <w:lang w:val="de-DE"/>
              </w:rPr>
              <w:t xml:space="preserve"> 2013 zur Kenntnis und prüfte den Entwurf eines neuen Abschnitts über </w:t>
            </w:r>
            <w:r w:rsidR="00495C95" w:rsidRPr="002A24E2">
              <w:rPr>
                <w:szCs w:val="24"/>
                <w:lang w:val="de-DE"/>
              </w:rPr>
              <w:t xml:space="preserve">die </w:t>
            </w:r>
            <w:r w:rsidRPr="002A24E2">
              <w:rPr>
                <w:szCs w:val="24"/>
                <w:lang w:val="de-DE"/>
              </w:rPr>
              <w:t xml:space="preserve">„Anleitung zur Datenanalyse für randomisierte </w:t>
            </w:r>
            <w:r w:rsidR="00B1290B" w:rsidRPr="002A24E2">
              <w:rPr>
                <w:szCs w:val="24"/>
                <w:lang w:val="de-DE"/>
              </w:rPr>
              <w:t>‚</w:t>
            </w:r>
            <w:r w:rsidRPr="002A24E2">
              <w:rPr>
                <w:szCs w:val="24"/>
                <w:lang w:val="de-DE"/>
              </w:rPr>
              <w:t>Blind</w:t>
            </w:r>
            <w:r w:rsidR="00B1290B" w:rsidRPr="002A24E2">
              <w:rPr>
                <w:szCs w:val="24"/>
                <w:lang w:val="de-DE"/>
              </w:rPr>
              <w:t>‘</w:t>
            </w:r>
            <w:r w:rsidR="00495C95" w:rsidRPr="002A24E2">
              <w:rPr>
                <w:szCs w:val="24"/>
                <w:lang w:val="de-DE"/>
              </w:rPr>
              <w:t>-P</w:t>
            </w:r>
            <w:r w:rsidRPr="002A24E2">
              <w:rPr>
                <w:szCs w:val="24"/>
                <w:lang w:val="de-DE"/>
              </w:rPr>
              <w:t>rüfungen“ (vergleiche Dokument TWO/46/29</w:t>
            </w:r>
            <w:r w:rsidR="00495C95" w:rsidRPr="002A24E2">
              <w:rPr>
                <w:szCs w:val="24"/>
                <w:lang w:val="de-DE"/>
              </w:rPr>
              <w:t>,</w:t>
            </w:r>
            <w:r w:rsidRPr="002A24E2">
              <w:rPr>
                <w:szCs w:val="24"/>
                <w:lang w:val="de-DE"/>
              </w:rPr>
              <w:t xml:space="preserve"> „</w:t>
            </w:r>
            <w:r w:rsidRPr="002A24E2">
              <w:rPr>
                <w:i/>
                <w:szCs w:val="24"/>
                <w:lang w:val="de-DE"/>
              </w:rPr>
              <w:t>Report</w:t>
            </w:r>
            <w:r w:rsidR="00495C95" w:rsidRPr="002A24E2">
              <w:rPr>
                <w:szCs w:val="24"/>
                <w:lang w:val="de-DE"/>
              </w:rPr>
              <w:t>“, Absatz 44).</w:t>
            </w:r>
          </w:p>
          <w:p w:rsidR="00DD6C95" w:rsidRPr="002A24E2" w:rsidRDefault="00DD6C95" w:rsidP="00520B98">
            <w:pPr>
              <w:pStyle w:val="Titleofdoc0"/>
              <w:spacing w:before="0"/>
              <w:jc w:val="both"/>
              <w:rPr>
                <w:szCs w:val="24"/>
                <w:lang w:val="de-DE"/>
              </w:rPr>
            </w:pPr>
          </w:p>
        </w:tc>
        <w:tc>
          <w:tcPr>
            <w:tcW w:w="839" w:type="dxa"/>
          </w:tcPr>
          <w:p w:rsidR="00DD6C95" w:rsidRPr="002A24E2" w:rsidRDefault="00DD6C95" w:rsidP="00520B98">
            <w:pPr>
              <w:rPr>
                <w:szCs w:val="24"/>
                <w:lang w:val="de-DE"/>
              </w:rPr>
            </w:pPr>
            <w:r w:rsidRPr="002A24E2">
              <w:rPr>
                <w:szCs w:val="24"/>
                <w:lang w:val="de-DE"/>
              </w:rPr>
              <w:t xml:space="preserve">TWO </w:t>
            </w:r>
          </w:p>
        </w:tc>
      </w:tr>
      <w:tr w:rsidR="00DD6C95" w:rsidRPr="002A24E2" w:rsidTr="00520B98">
        <w:trPr>
          <w:cantSplit/>
        </w:trPr>
        <w:tc>
          <w:tcPr>
            <w:tcW w:w="1418" w:type="dxa"/>
          </w:tcPr>
          <w:p w:rsidR="00DD6C95" w:rsidRPr="002A24E2" w:rsidRDefault="00DD6C95" w:rsidP="00520B98">
            <w:pPr>
              <w:keepNext/>
              <w:jc w:val="left"/>
              <w:rPr>
                <w:szCs w:val="24"/>
                <w:lang w:val="de-DE"/>
              </w:rPr>
            </w:pPr>
          </w:p>
        </w:tc>
        <w:tc>
          <w:tcPr>
            <w:tcW w:w="7348" w:type="dxa"/>
          </w:tcPr>
          <w:p w:rsidR="00DD6C95" w:rsidRPr="002A24E2" w:rsidRDefault="00DD6C95" w:rsidP="00520B98">
            <w:pPr>
              <w:rPr>
                <w:szCs w:val="24"/>
                <w:lang w:val="de-DE"/>
              </w:rPr>
            </w:pPr>
            <w:r w:rsidRPr="002A24E2">
              <w:rPr>
                <w:szCs w:val="24"/>
                <w:lang w:val="de-DE"/>
              </w:rPr>
              <w:t>Die TWF nahm die Bemerkungen der TWP auf ihren Tagungen im Jahr</w:t>
            </w:r>
            <w:r w:rsidR="00195700" w:rsidRPr="002A24E2">
              <w:rPr>
                <w:szCs w:val="24"/>
                <w:lang w:val="de-DE"/>
              </w:rPr>
              <w:t>e</w:t>
            </w:r>
            <w:r w:rsidRPr="002A24E2">
              <w:rPr>
                <w:szCs w:val="24"/>
                <w:lang w:val="de-DE"/>
              </w:rPr>
              <w:t xml:space="preserve"> 2012 und diejenigen des TC-ED</w:t>
            </w:r>
            <w:r w:rsidR="00195700" w:rsidRPr="002A24E2">
              <w:rPr>
                <w:szCs w:val="24"/>
                <w:lang w:val="de-DE"/>
              </w:rPr>
              <w:t>C</w:t>
            </w:r>
            <w:r w:rsidRPr="002A24E2">
              <w:rPr>
                <w:szCs w:val="24"/>
                <w:lang w:val="de-DE"/>
              </w:rPr>
              <w:t xml:space="preserve"> im Jahr</w:t>
            </w:r>
            <w:r w:rsidR="00195700" w:rsidRPr="002A24E2">
              <w:rPr>
                <w:szCs w:val="24"/>
                <w:lang w:val="de-DE"/>
              </w:rPr>
              <w:t>e</w:t>
            </w:r>
            <w:r w:rsidRPr="002A24E2">
              <w:rPr>
                <w:szCs w:val="24"/>
                <w:lang w:val="de-DE"/>
              </w:rPr>
              <w:t xml:space="preserve"> 2013 zur Kenntnis und prüfte den Entwurf eines neuen Abschnitts über </w:t>
            </w:r>
            <w:r w:rsidR="00195700" w:rsidRPr="002A24E2">
              <w:rPr>
                <w:szCs w:val="24"/>
                <w:lang w:val="de-DE"/>
              </w:rPr>
              <w:t xml:space="preserve">die </w:t>
            </w:r>
            <w:r w:rsidRPr="002A24E2">
              <w:rPr>
                <w:szCs w:val="24"/>
                <w:lang w:val="de-DE"/>
              </w:rPr>
              <w:t xml:space="preserve">„Anleitung zur Datenanalyse für randomisierte </w:t>
            </w:r>
            <w:r w:rsidR="00B1290B" w:rsidRPr="002A24E2">
              <w:rPr>
                <w:szCs w:val="24"/>
                <w:lang w:val="de-DE"/>
              </w:rPr>
              <w:t>‚</w:t>
            </w:r>
            <w:r w:rsidRPr="002A24E2">
              <w:rPr>
                <w:szCs w:val="24"/>
                <w:lang w:val="de-DE"/>
              </w:rPr>
              <w:t>Blind</w:t>
            </w:r>
            <w:r w:rsidR="00B1290B" w:rsidRPr="002A24E2">
              <w:rPr>
                <w:szCs w:val="24"/>
                <w:lang w:val="de-DE"/>
              </w:rPr>
              <w:t>‘</w:t>
            </w:r>
            <w:r w:rsidR="00195700" w:rsidRPr="002A24E2">
              <w:rPr>
                <w:szCs w:val="24"/>
                <w:lang w:val="de-DE"/>
              </w:rPr>
              <w:t>-P</w:t>
            </w:r>
            <w:r w:rsidRPr="002A24E2">
              <w:rPr>
                <w:szCs w:val="24"/>
                <w:lang w:val="de-DE"/>
              </w:rPr>
              <w:t>rüfungen“ (vergleiche Dokument TWF/44/31</w:t>
            </w:r>
            <w:r w:rsidR="00195700" w:rsidRPr="002A24E2">
              <w:rPr>
                <w:szCs w:val="24"/>
                <w:lang w:val="de-DE"/>
              </w:rPr>
              <w:t>,</w:t>
            </w:r>
            <w:r w:rsidRPr="002A24E2">
              <w:rPr>
                <w:szCs w:val="24"/>
                <w:lang w:val="de-DE"/>
              </w:rPr>
              <w:t xml:space="preserve"> „</w:t>
            </w:r>
            <w:r w:rsidRPr="002A24E2">
              <w:rPr>
                <w:i/>
                <w:szCs w:val="24"/>
                <w:lang w:val="de-DE"/>
              </w:rPr>
              <w:t>Report</w:t>
            </w:r>
            <w:r w:rsidR="00195700" w:rsidRPr="002A24E2">
              <w:rPr>
                <w:szCs w:val="24"/>
                <w:lang w:val="de-DE"/>
              </w:rPr>
              <w:t>“, Absatz 48).</w:t>
            </w:r>
          </w:p>
          <w:p w:rsidR="00DD6C95" w:rsidRPr="002A24E2" w:rsidRDefault="00DD6C95" w:rsidP="00520B98">
            <w:pPr>
              <w:rPr>
                <w:szCs w:val="24"/>
                <w:lang w:val="de-DE"/>
              </w:rPr>
            </w:pPr>
          </w:p>
          <w:p w:rsidR="00DD6C95" w:rsidRPr="002A24E2" w:rsidRDefault="00DD6C95" w:rsidP="00520B98">
            <w:pPr>
              <w:rPr>
                <w:szCs w:val="24"/>
                <w:lang w:val="de-DE"/>
              </w:rPr>
            </w:pPr>
            <w:r w:rsidRPr="002A24E2">
              <w:rPr>
                <w:szCs w:val="24"/>
                <w:lang w:val="de-DE"/>
              </w:rPr>
              <w:t xml:space="preserve">Die TWF vereinbarte, daß der Verfasser die Anleitung weiterentwickeln sollte, wie in Anlage II </w:t>
            </w:r>
            <w:r w:rsidR="00B1290B" w:rsidRPr="002A24E2">
              <w:rPr>
                <w:szCs w:val="24"/>
                <w:lang w:val="de-DE"/>
              </w:rPr>
              <w:t>des</w:t>
            </w:r>
            <w:r w:rsidR="00195700" w:rsidRPr="002A24E2">
              <w:rPr>
                <w:szCs w:val="24"/>
                <w:lang w:val="de-DE"/>
              </w:rPr>
              <w:t xml:space="preserve"> Dokument</w:t>
            </w:r>
            <w:r w:rsidR="00B1290B" w:rsidRPr="002A24E2">
              <w:rPr>
                <w:szCs w:val="24"/>
                <w:lang w:val="de-DE"/>
              </w:rPr>
              <w:t>s</w:t>
            </w:r>
            <w:r w:rsidR="00195700" w:rsidRPr="002A24E2">
              <w:rPr>
                <w:szCs w:val="24"/>
                <w:lang w:val="de-DE"/>
              </w:rPr>
              <w:t xml:space="preserve"> TWF/4419 zum Entwurf</w:t>
            </w:r>
            <w:r w:rsidRPr="002A24E2">
              <w:rPr>
                <w:szCs w:val="24"/>
                <w:lang w:val="de-DE"/>
              </w:rPr>
              <w:t xml:space="preserve"> eine</w:t>
            </w:r>
            <w:r w:rsidR="00195700" w:rsidRPr="002A24E2">
              <w:rPr>
                <w:szCs w:val="24"/>
                <w:lang w:val="de-DE"/>
              </w:rPr>
              <w:t>r</w:t>
            </w:r>
            <w:r w:rsidRPr="002A24E2">
              <w:rPr>
                <w:szCs w:val="24"/>
                <w:lang w:val="de-DE"/>
              </w:rPr>
              <w:t xml:space="preserve"> Anleitung zur Datenanalyse für randomisierte </w:t>
            </w:r>
            <w:r w:rsidR="00195700" w:rsidRPr="002A24E2">
              <w:rPr>
                <w:szCs w:val="24"/>
                <w:lang w:val="de-DE"/>
              </w:rPr>
              <w:t>„</w:t>
            </w:r>
            <w:r w:rsidRPr="002A24E2">
              <w:rPr>
                <w:szCs w:val="24"/>
                <w:lang w:val="de-DE"/>
              </w:rPr>
              <w:t>Blind</w:t>
            </w:r>
            <w:r w:rsidR="00195700" w:rsidRPr="002A24E2">
              <w:rPr>
                <w:szCs w:val="24"/>
                <w:lang w:val="de-DE"/>
              </w:rPr>
              <w:t>“-P</w:t>
            </w:r>
            <w:r w:rsidRPr="002A24E2">
              <w:rPr>
                <w:szCs w:val="24"/>
                <w:lang w:val="de-DE"/>
              </w:rPr>
              <w:t xml:space="preserve">rüfungen zur Aufnahme in eine künftige Überarbeitung </w:t>
            </w:r>
            <w:r w:rsidR="00195700" w:rsidRPr="002A24E2">
              <w:rPr>
                <w:szCs w:val="24"/>
                <w:lang w:val="de-DE"/>
              </w:rPr>
              <w:t>des</w:t>
            </w:r>
            <w:r w:rsidRPr="002A24E2">
              <w:rPr>
                <w:szCs w:val="24"/>
                <w:lang w:val="de-DE"/>
              </w:rPr>
              <w:t xml:space="preserve"> Dokument</w:t>
            </w:r>
            <w:r w:rsidR="00195700" w:rsidRPr="002A24E2">
              <w:rPr>
                <w:szCs w:val="24"/>
                <w:lang w:val="de-DE"/>
              </w:rPr>
              <w:t>s</w:t>
            </w:r>
            <w:r w:rsidRPr="002A24E2">
              <w:rPr>
                <w:szCs w:val="24"/>
                <w:lang w:val="de-DE"/>
              </w:rPr>
              <w:t xml:space="preserve"> TGP/8 dargelegt (vergleiche Dokument</w:t>
            </w:r>
            <w:r w:rsidR="00195700" w:rsidRPr="002A24E2">
              <w:rPr>
                <w:szCs w:val="24"/>
                <w:lang w:val="de-DE"/>
              </w:rPr>
              <w:t> </w:t>
            </w:r>
            <w:r w:rsidRPr="002A24E2">
              <w:rPr>
                <w:szCs w:val="24"/>
                <w:lang w:val="de-DE"/>
              </w:rPr>
              <w:t>TWF/44/31</w:t>
            </w:r>
            <w:r w:rsidR="00195700" w:rsidRPr="002A24E2">
              <w:rPr>
                <w:szCs w:val="24"/>
                <w:lang w:val="de-DE"/>
              </w:rPr>
              <w:t>,</w:t>
            </w:r>
            <w:r w:rsidRPr="002A24E2">
              <w:rPr>
                <w:szCs w:val="24"/>
                <w:lang w:val="de-DE"/>
              </w:rPr>
              <w:t xml:space="preserve"> „</w:t>
            </w:r>
            <w:r w:rsidRPr="002A24E2">
              <w:rPr>
                <w:i/>
                <w:szCs w:val="24"/>
                <w:lang w:val="de-DE"/>
              </w:rPr>
              <w:t>Report</w:t>
            </w:r>
            <w:r w:rsidR="00195700" w:rsidRPr="002A24E2">
              <w:rPr>
                <w:szCs w:val="24"/>
                <w:lang w:val="de-DE"/>
              </w:rPr>
              <w:t>“, Absatz 49).</w:t>
            </w:r>
          </w:p>
          <w:p w:rsidR="00DD6C95" w:rsidRPr="002A24E2" w:rsidRDefault="00DD6C95" w:rsidP="00520B98">
            <w:pPr>
              <w:keepNext/>
              <w:rPr>
                <w:szCs w:val="24"/>
                <w:lang w:val="de-DE"/>
              </w:rPr>
            </w:pPr>
          </w:p>
        </w:tc>
        <w:tc>
          <w:tcPr>
            <w:tcW w:w="839" w:type="dxa"/>
          </w:tcPr>
          <w:p w:rsidR="00DD6C95" w:rsidRPr="002A24E2" w:rsidRDefault="00DD6C95" w:rsidP="00520B98">
            <w:pPr>
              <w:keepNext/>
              <w:rPr>
                <w:szCs w:val="24"/>
                <w:lang w:val="de-DE"/>
              </w:rPr>
            </w:pPr>
            <w:r w:rsidRPr="002A24E2">
              <w:rPr>
                <w:szCs w:val="24"/>
                <w:lang w:val="de-DE"/>
              </w:rPr>
              <w:t xml:space="preserve">TWF </w:t>
            </w:r>
          </w:p>
        </w:tc>
      </w:tr>
      <w:tr w:rsidR="00DD6C95" w:rsidRPr="002A24E2" w:rsidTr="00520B98">
        <w:trPr>
          <w:cantSplit/>
        </w:trPr>
        <w:tc>
          <w:tcPr>
            <w:tcW w:w="1418" w:type="dxa"/>
          </w:tcPr>
          <w:p w:rsidR="00DD6C95" w:rsidRPr="002A24E2" w:rsidRDefault="00DD6C95" w:rsidP="00520B98">
            <w:pPr>
              <w:jc w:val="left"/>
              <w:rPr>
                <w:szCs w:val="24"/>
                <w:lang w:val="de-DE"/>
              </w:rPr>
            </w:pPr>
          </w:p>
        </w:tc>
        <w:tc>
          <w:tcPr>
            <w:tcW w:w="7348" w:type="dxa"/>
          </w:tcPr>
          <w:p w:rsidR="00DD6C95" w:rsidRPr="002A24E2" w:rsidRDefault="00DD6C95" w:rsidP="00520B98">
            <w:pPr>
              <w:rPr>
                <w:szCs w:val="24"/>
                <w:lang w:val="de-DE"/>
              </w:rPr>
            </w:pPr>
            <w:r w:rsidRPr="002A24E2">
              <w:rPr>
                <w:szCs w:val="24"/>
                <w:lang w:val="de-DE"/>
              </w:rPr>
              <w:t>Die TWV nahm die Bemerkungen der TWP auf ihren Tagungen im Jahr</w:t>
            </w:r>
            <w:r w:rsidR="00195700" w:rsidRPr="002A24E2">
              <w:rPr>
                <w:szCs w:val="24"/>
                <w:lang w:val="de-DE"/>
              </w:rPr>
              <w:t>e 2012 und diejenigen des TC-EDC</w:t>
            </w:r>
            <w:r w:rsidRPr="002A24E2">
              <w:rPr>
                <w:szCs w:val="24"/>
                <w:lang w:val="de-DE"/>
              </w:rPr>
              <w:t xml:space="preserve"> im Jahr</w:t>
            </w:r>
            <w:r w:rsidR="00195700" w:rsidRPr="002A24E2">
              <w:rPr>
                <w:szCs w:val="24"/>
                <w:lang w:val="de-DE"/>
              </w:rPr>
              <w:t>e</w:t>
            </w:r>
            <w:r w:rsidRPr="002A24E2">
              <w:rPr>
                <w:szCs w:val="24"/>
                <w:lang w:val="de-DE"/>
              </w:rPr>
              <w:t xml:space="preserve"> 2013 zur Kenntnis und prüfte den Entwurf eines neuen Abschnitts über </w:t>
            </w:r>
            <w:r w:rsidR="00195700" w:rsidRPr="002A24E2">
              <w:rPr>
                <w:szCs w:val="24"/>
                <w:lang w:val="de-DE"/>
              </w:rPr>
              <w:t xml:space="preserve">die </w:t>
            </w:r>
            <w:r w:rsidRPr="002A24E2">
              <w:rPr>
                <w:szCs w:val="24"/>
                <w:lang w:val="de-DE"/>
              </w:rPr>
              <w:t xml:space="preserve">„Anleitung zur Datenanalyse für randomisierte </w:t>
            </w:r>
            <w:r w:rsidR="00B1290B" w:rsidRPr="002A24E2">
              <w:rPr>
                <w:szCs w:val="24"/>
                <w:lang w:val="de-DE"/>
              </w:rPr>
              <w:t>‚</w:t>
            </w:r>
            <w:r w:rsidRPr="002A24E2">
              <w:rPr>
                <w:szCs w:val="24"/>
                <w:lang w:val="de-DE"/>
              </w:rPr>
              <w:t>Blind</w:t>
            </w:r>
            <w:r w:rsidR="00B1290B" w:rsidRPr="002A24E2">
              <w:rPr>
                <w:szCs w:val="24"/>
                <w:lang w:val="de-DE"/>
              </w:rPr>
              <w:t>‘</w:t>
            </w:r>
            <w:r w:rsidR="00195700" w:rsidRPr="002A24E2">
              <w:rPr>
                <w:szCs w:val="24"/>
                <w:lang w:val="de-DE"/>
              </w:rPr>
              <w:t>-P</w:t>
            </w:r>
            <w:r w:rsidRPr="002A24E2">
              <w:rPr>
                <w:szCs w:val="24"/>
                <w:lang w:val="de-DE"/>
              </w:rPr>
              <w:t>rüfungen“ (vergleiche Dokument TWV/47/34</w:t>
            </w:r>
            <w:r w:rsidR="00195700" w:rsidRPr="002A24E2">
              <w:rPr>
                <w:szCs w:val="24"/>
                <w:lang w:val="de-DE"/>
              </w:rPr>
              <w:t>,</w:t>
            </w:r>
            <w:r w:rsidRPr="002A24E2">
              <w:rPr>
                <w:szCs w:val="24"/>
                <w:lang w:val="de-DE"/>
              </w:rPr>
              <w:t xml:space="preserve"> „</w:t>
            </w:r>
            <w:r w:rsidRPr="002A24E2">
              <w:rPr>
                <w:i/>
                <w:szCs w:val="24"/>
                <w:lang w:val="de-DE"/>
              </w:rPr>
              <w:t>Report</w:t>
            </w:r>
            <w:r w:rsidR="00195700" w:rsidRPr="002A24E2">
              <w:rPr>
                <w:szCs w:val="24"/>
                <w:lang w:val="de-DE"/>
              </w:rPr>
              <w:t>“, Absatz 48).</w:t>
            </w:r>
          </w:p>
          <w:p w:rsidR="00DD6C95" w:rsidRPr="002A24E2" w:rsidRDefault="00DD6C95" w:rsidP="00520B98">
            <w:pPr>
              <w:rPr>
                <w:szCs w:val="24"/>
                <w:lang w:val="de-DE"/>
              </w:rPr>
            </w:pPr>
          </w:p>
        </w:tc>
        <w:tc>
          <w:tcPr>
            <w:tcW w:w="839" w:type="dxa"/>
          </w:tcPr>
          <w:p w:rsidR="00DD6C95" w:rsidRPr="002A24E2" w:rsidRDefault="00DD6C95" w:rsidP="00520B98">
            <w:pPr>
              <w:rPr>
                <w:szCs w:val="24"/>
                <w:lang w:val="de-DE"/>
              </w:rPr>
            </w:pPr>
            <w:r w:rsidRPr="002A24E2">
              <w:rPr>
                <w:szCs w:val="24"/>
                <w:lang w:val="de-DE"/>
              </w:rPr>
              <w:t>TWV</w:t>
            </w:r>
          </w:p>
        </w:tc>
      </w:tr>
      <w:tr w:rsidR="00DD6C95" w:rsidRPr="002A24E2" w:rsidTr="00520B98">
        <w:trPr>
          <w:cantSplit/>
        </w:trPr>
        <w:tc>
          <w:tcPr>
            <w:tcW w:w="1418" w:type="dxa"/>
          </w:tcPr>
          <w:p w:rsidR="00DD6C95" w:rsidRPr="002A24E2" w:rsidRDefault="00DD6C95" w:rsidP="00520B98">
            <w:pPr>
              <w:jc w:val="left"/>
              <w:rPr>
                <w:szCs w:val="24"/>
                <w:lang w:val="de-DE"/>
              </w:rPr>
            </w:pPr>
          </w:p>
        </w:tc>
        <w:tc>
          <w:tcPr>
            <w:tcW w:w="7348" w:type="dxa"/>
          </w:tcPr>
          <w:p w:rsidR="00DD6C95" w:rsidRPr="002A24E2" w:rsidRDefault="00DD6C95" w:rsidP="00520B98">
            <w:pPr>
              <w:rPr>
                <w:szCs w:val="24"/>
                <w:lang w:val="de-DE"/>
              </w:rPr>
            </w:pPr>
            <w:r w:rsidRPr="002A24E2">
              <w:rPr>
                <w:szCs w:val="24"/>
                <w:lang w:val="de-DE"/>
              </w:rPr>
              <w:t xml:space="preserve">Die TWC prüfte </w:t>
            </w:r>
            <w:r w:rsidR="00195700" w:rsidRPr="002A24E2">
              <w:rPr>
                <w:szCs w:val="24"/>
                <w:lang w:val="de-DE"/>
              </w:rPr>
              <w:t xml:space="preserve">das </w:t>
            </w:r>
            <w:r w:rsidRPr="002A24E2">
              <w:rPr>
                <w:szCs w:val="24"/>
                <w:lang w:val="de-DE"/>
              </w:rPr>
              <w:t xml:space="preserve">Dokument TWC/31/19 und nahm zur Kenntnis, daß der Entwurf einer Anleitung allgemein ausgedrückt werden sollte, damit er für </w:t>
            </w:r>
            <w:r w:rsidR="00195700" w:rsidRPr="002A24E2">
              <w:rPr>
                <w:szCs w:val="24"/>
                <w:lang w:val="de-DE"/>
              </w:rPr>
              <w:t>Prüfungen</w:t>
            </w:r>
            <w:r w:rsidRPr="002A24E2">
              <w:rPr>
                <w:szCs w:val="24"/>
                <w:lang w:val="de-DE"/>
              </w:rPr>
              <w:t xml:space="preserve"> von Pflanzen in Parzellen und für Einzelpflanzen sowie für die Erfassung der verschiedenen Merkmalstypen (QN, PQ, QL) angew</w:t>
            </w:r>
            <w:r w:rsidR="00195700" w:rsidRPr="002A24E2">
              <w:rPr>
                <w:szCs w:val="24"/>
                <w:lang w:val="de-DE"/>
              </w:rPr>
              <w:t>a</w:t>
            </w:r>
            <w:r w:rsidRPr="002A24E2">
              <w:rPr>
                <w:szCs w:val="24"/>
                <w:lang w:val="de-DE"/>
              </w:rPr>
              <w:t>ndt werden kann</w:t>
            </w:r>
            <w:r w:rsidRPr="002A24E2">
              <w:rPr>
                <w:color w:val="000000"/>
                <w:szCs w:val="24"/>
                <w:lang w:val="de-DE"/>
              </w:rPr>
              <w:t xml:space="preserve"> </w:t>
            </w:r>
            <w:r w:rsidRPr="002A24E2">
              <w:rPr>
                <w:szCs w:val="24"/>
                <w:lang w:val="de-DE"/>
              </w:rPr>
              <w:t>(vergleiche Dokument TWC/31/32</w:t>
            </w:r>
            <w:r w:rsidR="00195700" w:rsidRPr="002A24E2">
              <w:rPr>
                <w:szCs w:val="24"/>
                <w:lang w:val="de-DE"/>
              </w:rPr>
              <w:t>,</w:t>
            </w:r>
            <w:r w:rsidRPr="002A24E2">
              <w:rPr>
                <w:szCs w:val="24"/>
                <w:lang w:val="de-DE"/>
              </w:rPr>
              <w:t xml:space="preserve"> „</w:t>
            </w:r>
            <w:r w:rsidRPr="002A24E2">
              <w:rPr>
                <w:i/>
                <w:szCs w:val="24"/>
                <w:lang w:val="de-DE"/>
              </w:rPr>
              <w:t>Report</w:t>
            </w:r>
            <w:r w:rsidRPr="002A24E2">
              <w:rPr>
                <w:szCs w:val="24"/>
                <w:lang w:val="de-DE"/>
              </w:rPr>
              <w:t>“, Absatz 46)</w:t>
            </w:r>
            <w:r w:rsidR="00195700" w:rsidRPr="002A24E2">
              <w:rPr>
                <w:color w:val="000000"/>
                <w:szCs w:val="24"/>
                <w:lang w:val="de-DE"/>
              </w:rPr>
              <w:t>.</w:t>
            </w:r>
          </w:p>
          <w:p w:rsidR="00DD6C95" w:rsidRPr="002A24E2" w:rsidRDefault="00DD6C95" w:rsidP="00520B98">
            <w:pPr>
              <w:rPr>
                <w:szCs w:val="24"/>
                <w:lang w:val="de-DE"/>
              </w:rPr>
            </w:pPr>
          </w:p>
        </w:tc>
        <w:tc>
          <w:tcPr>
            <w:tcW w:w="839" w:type="dxa"/>
          </w:tcPr>
          <w:p w:rsidR="00DD6C95" w:rsidRPr="002A24E2" w:rsidRDefault="00DD6C95" w:rsidP="00520B98">
            <w:pPr>
              <w:rPr>
                <w:szCs w:val="24"/>
                <w:lang w:val="de-DE"/>
              </w:rPr>
            </w:pPr>
            <w:r w:rsidRPr="002A24E2">
              <w:rPr>
                <w:szCs w:val="24"/>
                <w:lang w:val="de-DE"/>
              </w:rPr>
              <w:t>TWC</w:t>
            </w:r>
          </w:p>
        </w:tc>
      </w:tr>
      <w:tr w:rsidR="00DD6C95" w:rsidRPr="002A24E2" w:rsidTr="00520B98">
        <w:trPr>
          <w:cantSplit/>
        </w:trPr>
        <w:tc>
          <w:tcPr>
            <w:tcW w:w="1418" w:type="dxa"/>
          </w:tcPr>
          <w:p w:rsidR="00DD6C95" w:rsidRPr="002A24E2" w:rsidRDefault="00DD6C95" w:rsidP="00520B98">
            <w:pPr>
              <w:jc w:val="left"/>
              <w:rPr>
                <w:szCs w:val="24"/>
                <w:lang w:val="de-DE"/>
              </w:rPr>
            </w:pPr>
          </w:p>
        </w:tc>
        <w:tc>
          <w:tcPr>
            <w:tcW w:w="7348" w:type="dxa"/>
          </w:tcPr>
          <w:p w:rsidR="00DD6C95" w:rsidRPr="002A24E2" w:rsidRDefault="00DD6C95" w:rsidP="00520B98">
            <w:pPr>
              <w:rPr>
                <w:szCs w:val="24"/>
                <w:lang w:val="de-DE"/>
              </w:rPr>
            </w:pPr>
            <w:r w:rsidRPr="002A24E2">
              <w:rPr>
                <w:szCs w:val="24"/>
                <w:lang w:val="de-DE"/>
              </w:rPr>
              <w:t>Die TWA nahm die Bemerkungen der TWP auf ihren Tagungen im Jahr</w:t>
            </w:r>
            <w:r w:rsidR="00195700" w:rsidRPr="002A24E2">
              <w:rPr>
                <w:szCs w:val="24"/>
                <w:lang w:val="de-DE"/>
              </w:rPr>
              <w:t>e</w:t>
            </w:r>
            <w:r w:rsidRPr="002A24E2">
              <w:rPr>
                <w:szCs w:val="24"/>
                <w:lang w:val="de-DE"/>
              </w:rPr>
              <w:t xml:space="preserve"> 2012 und diejenigen des TC-ED</w:t>
            </w:r>
            <w:r w:rsidR="00195700" w:rsidRPr="002A24E2">
              <w:rPr>
                <w:szCs w:val="24"/>
                <w:lang w:val="de-DE"/>
              </w:rPr>
              <w:t>C</w:t>
            </w:r>
            <w:r w:rsidRPr="002A24E2">
              <w:rPr>
                <w:szCs w:val="24"/>
                <w:lang w:val="de-DE"/>
              </w:rPr>
              <w:t xml:space="preserve"> im Jahr</w:t>
            </w:r>
            <w:r w:rsidR="00195700" w:rsidRPr="002A24E2">
              <w:rPr>
                <w:szCs w:val="24"/>
                <w:lang w:val="de-DE"/>
              </w:rPr>
              <w:t>e</w:t>
            </w:r>
            <w:r w:rsidRPr="002A24E2">
              <w:rPr>
                <w:szCs w:val="24"/>
                <w:lang w:val="de-DE"/>
              </w:rPr>
              <w:t xml:space="preserve"> 2013 zur Kenntnis und prüfte den Entwurf eines neuen Abschnitts über </w:t>
            </w:r>
            <w:r w:rsidR="00195700" w:rsidRPr="002A24E2">
              <w:rPr>
                <w:szCs w:val="24"/>
                <w:lang w:val="de-DE"/>
              </w:rPr>
              <w:t xml:space="preserve">die </w:t>
            </w:r>
            <w:r w:rsidRPr="002A24E2">
              <w:rPr>
                <w:szCs w:val="24"/>
                <w:lang w:val="de-DE"/>
              </w:rPr>
              <w:t xml:space="preserve">„Anleitung zur Datenanalyse für randomisierte </w:t>
            </w:r>
            <w:r w:rsidR="00B1290B" w:rsidRPr="002A24E2">
              <w:rPr>
                <w:szCs w:val="24"/>
                <w:lang w:val="de-DE"/>
              </w:rPr>
              <w:t>‚</w:t>
            </w:r>
            <w:r w:rsidRPr="002A24E2">
              <w:rPr>
                <w:szCs w:val="24"/>
                <w:lang w:val="de-DE"/>
              </w:rPr>
              <w:t>Blind</w:t>
            </w:r>
            <w:r w:rsidR="00B1290B" w:rsidRPr="002A24E2">
              <w:rPr>
                <w:szCs w:val="24"/>
                <w:lang w:val="de-DE"/>
              </w:rPr>
              <w:t>‘</w:t>
            </w:r>
            <w:r w:rsidR="00195700" w:rsidRPr="002A24E2">
              <w:rPr>
                <w:szCs w:val="24"/>
                <w:lang w:val="de-DE"/>
              </w:rPr>
              <w:t>-P</w:t>
            </w:r>
            <w:r w:rsidR="00B1290B" w:rsidRPr="002A24E2">
              <w:rPr>
                <w:szCs w:val="24"/>
                <w:lang w:val="de-DE"/>
              </w:rPr>
              <w:t>rüfungen“.</w:t>
            </w:r>
          </w:p>
          <w:p w:rsidR="00DD6C95" w:rsidRPr="002A24E2" w:rsidRDefault="00DD6C95" w:rsidP="00520B98">
            <w:pPr>
              <w:rPr>
                <w:szCs w:val="24"/>
                <w:lang w:val="de-DE"/>
              </w:rPr>
            </w:pPr>
          </w:p>
          <w:p w:rsidR="00DD6C95" w:rsidRPr="002A24E2" w:rsidRDefault="00DD6C95" w:rsidP="00520B98">
            <w:pPr>
              <w:rPr>
                <w:szCs w:val="24"/>
                <w:lang w:val="de-DE"/>
              </w:rPr>
            </w:pPr>
            <w:r w:rsidRPr="002A24E2">
              <w:rPr>
                <w:szCs w:val="24"/>
                <w:lang w:val="de-DE"/>
              </w:rPr>
              <w:t>Die TWA vereinbarte, daß der</w:t>
            </w:r>
            <w:r w:rsidR="00195700" w:rsidRPr="002A24E2">
              <w:rPr>
                <w:szCs w:val="24"/>
                <w:lang w:val="de-DE"/>
              </w:rPr>
              <w:t xml:space="preserve"> Verfasser die Anleitung weiter</w:t>
            </w:r>
            <w:r w:rsidRPr="002A24E2">
              <w:rPr>
                <w:szCs w:val="24"/>
                <w:lang w:val="de-DE"/>
              </w:rPr>
              <w:t xml:space="preserve">entwickeln sollte, wie in Anlage II </w:t>
            </w:r>
            <w:r w:rsidR="00195700" w:rsidRPr="002A24E2">
              <w:rPr>
                <w:szCs w:val="24"/>
                <w:lang w:val="de-DE"/>
              </w:rPr>
              <w:t>des</w:t>
            </w:r>
            <w:r w:rsidRPr="002A24E2">
              <w:rPr>
                <w:szCs w:val="24"/>
                <w:lang w:val="de-DE"/>
              </w:rPr>
              <w:t xml:space="preserve"> Dokument</w:t>
            </w:r>
            <w:r w:rsidR="00195700" w:rsidRPr="002A24E2">
              <w:rPr>
                <w:szCs w:val="24"/>
                <w:lang w:val="de-DE"/>
              </w:rPr>
              <w:t>s</w:t>
            </w:r>
            <w:r w:rsidRPr="002A24E2">
              <w:rPr>
                <w:szCs w:val="24"/>
                <w:lang w:val="de-DE"/>
              </w:rPr>
              <w:t xml:space="preserve"> TWA/42/19 zum Entwurf eine</w:t>
            </w:r>
            <w:r w:rsidR="00195700" w:rsidRPr="002A24E2">
              <w:rPr>
                <w:szCs w:val="24"/>
                <w:lang w:val="de-DE"/>
              </w:rPr>
              <w:t>r</w:t>
            </w:r>
            <w:r w:rsidRPr="002A24E2">
              <w:rPr>
                <w:szCs w:val="24"/>
                <w:lang w:val="de-DE"/>
              </w:rPr>
              <w:t xml:space="preserve"> Anleitung zur Datenanalyse für randomisierte </w:t>
            </w:r>
            <w:r w:rsidR="00195700" w:rsidRPr="002A24E2">
              <w:rPr>
                <w:szCs w:val="24"/>
                <w:lang w:val="de-DE"/>
              </w:rPr>
              <w:t>„</w:t>
            </w:r>
            <w:r w:rsidRPr="002A24E2">
              <w:rPr>
                <w:szCs w:val="24"/>
                <w:lang w:val="de-DE"/>
              </w:rPr>
              <w:t>Blind</w:t>
            </w:r>
            <w:r w:rsidR="00195700" w:rsidRPr="002A24E2">
              <w:rPr>
                <w:szCs w:val="24"/>
                <w:lang w:val="de-DE"/>
              </w:rPr>
              <w:t>“-P</w:t>
            </w:r>
            <w:r w:rsidRPr="002A24E2">
              <w:rPr>
                <w:szCs w:val="24"/>
                <w:lang w:val="de-DE"/>
              </w:rPr>
              <w:t>rüfungen zur Aufnahme in eine künftige Überarbeitun</w:t>
            </w:r>
            <w:r w:rsidR="00195700" w:rsidRPr="002A24E2">
              <w:rPr>
                <w:szCs w:val="24"/>
                <w:lang w:val="de-DE"/>
              </w:rPr>
              <w:t>g des Dokuments TGP/8 dargelegt.</w:t>
            </w:r>
          </w:p>
          <w:p w:rsidR="00DD6C95" w:rsidRPr="002A24E2" w:rsidRDefault="00DD6C95" w:rsidP="00520B98">
            <w:pPr>
              <w:rPr>
                <w:szCs w:val="24"/>
                <w:lang w:val="de-DE"/>
              </w:rPr>
            </w:pPr>
          </w:p>
          <w:p w:rsidR="00DD6C95" w:rsidRPr="002A24E2" w:rsidRDefault="00DD6C95" w:rsidP="00520B98">
            <w:pPr>
              <w:rPr>
                <w:szCs w:val="24"/>
                <w:lang w:val="de-DE"/>
              </w:rPr>
            </w:pPr>
            <w:r w:rsidRPr="002A24E2">
              <w:rPr>
                <w:szCs w:val="24"/>
                <w:lang w:val="de-DE"/>
              </w:rPr>
              <w:t xml:space="preserve">Die TWA vereinbarte, daß randomisierte </w:t>
            </w:r>
            <w:r w:rsidR="00195700" w:rsidRPr="002A24E2">
              <w:rPr>
                <w:szCs w:val="24"/>
                <w:lang w:val="de-DE"/>
              </w:rPr>
              <w:t>„</w:t>
            </w:r>
            <w:r w:rsidRPr="002A24E2">
              <w:rPr>
                <w:szCs w:val="24"/>
                <w:lang w:val="de-DE"/>
              </w:rPr>
              <w:t>Blind</w:t>
            </w:r>
            <w:r w:rsidR="00195700" w:rsidRPr="002A24E2">
              <w:rPr>
                <w:szCs w:val="24"/>
                <w:lang w:val="de-DE"/>
              </w:rPr>
              <w:t>“-P</w:t>
            </w:r>
            <w:r w:rsidRPr="002A24E2">
              <w:rPr>
                <w:szCs w:val="24"/>
                <w:lang w:val="de-DE"/>
              </w:rPr>
              <w:t>rüfungen eine nützliche Methode für spezifische Umstände seien</w:t>
            </w:r>
            <w:r w:rsidR="00195700" w:rsidRPr="002A24E2">
              <w:rPr>
                <w:szCs w:val="24"/>
                <w:lang w:val="de-DE"/>
              </w:rPr>
              <w:t>,</w:t>
            </w:r>
            <w:r w:rsidRPr="002A24E2">
              <w:rPr>
                <w:szCs w:val="24"/>
                <w:lang w:val="de-DE"/>
              </w:rPr>
              <w:t xml:space="preserve"> und </w:t>
            </w:r>
            <w:r w:rsidR="00195700" w:rsidRPr="002A24E2">
              <w:rPr>
                <w:szCs w:val="24"/>
                <w:lang w:val="de-DE"/>
              </w:rPr>
              <w:t xml:space="preserve">erinnerte </w:t>
            </w:r>
            <w:r w:rsidRPr="002A24E2">
              <w:rPr>
                <w:szCs w:val="24"/>
                <w:lang w:val="de-DE"/>
              </w:rPr>
              <w:t>an die Rolle der Züchter bei der Identifi</w:t>
            </w:r>
            <w:r w:rsidR="00195700" w:rsidRPr="002A24E2">
              <w:rPr>
                <w:szCs w:val="24"/>
                <w:lang w:val="de-DE"/>
              </w:rPr>
              <w:t>kation</w:t>
            </w:r>
            <w:r w:rsidRPr="002A24E2">
              <w:rPr>
                <w:szCs w:val="24"/>
                <w:lang w:val="de-DE"/>
              </w:rPr>
              <w:t xml:space="preserve"> ihrer Sorten und der DUS-Sachverständigen bei der endgültigen Entscheidung über die </w:t>
            </w:r>
            <w:r w:rsidR="00AE02BC">
              <w:rPr>
                <w:szCs w:val="24"/>
                <w:lang w:val="de-DE"/>
              </w:rPr>
              <w:t>Prüfung (vergleiche Dokument TWA</w:t>
            </w:r>
            <w:r w:rsidRPr="002A24E2">
              <w:rPr>
                <w:szCs w:val="24"/>
                <w:lang w:val="de-DE"/>
              </w:rPr>
              <w:t>/42/31</w:t>
            </w:r>
            <w:r w:rsidR="00195700" w:rsidRPr="002A24E2">
              <w:rPr>
                <w:szCs w:val="24"/>
                <w:lang w:val="de-DE"/>
              </w:rPr>
              <w:t>,</w:t>
            </w:r>
            <w:r w:rsidRPr="002A24E2">
              <w:rPr>
                <w:szCs w:val="24"/>
                <w:lang w:val="de-DE"/>
              </w:rPr>
              <w:t xml:space="preserve"> „</w:t>
            </w:r>
            <w:r w:rsidRPr="002A24E2">
              <w:rPr>
                <w:i/>
                <w:szCs w:val="24"/>
                <w:lang w:val="de-DE"/>
              </w:rPr>
              <w:t>Report</w:t>
            </w:r>
            <w:r w:rsidRPr="002A24E2">
              <w:rPr>
                <w:szCs w:val="24"/>
                <w:lang w:val="de-DE"/>
              </w:rPr>
              <w:t>“, Absätze 51 bis 53).</w:t>
            </w:r>
          </w:p>
          <w:p w:rsidR="00DD6C95" w:rsidRPr="002A24E2" w:rsidRDefault="00DD6C95" w:rsidP="00520B98">
            <w:pPr>
              <w:keepNext/>
              <w:rPr>
                <w:szCs w:val="24"/>
                <w:lang w:val="de-DE"/>
              </w:rPr>
            </w:pPr>
          </w:p>
        </w:tc>
        <w:tc>
          <w:tcPr>
            <w:tcW w:w="839" w:type="dxa"/>
          </w:tcPr>
          <w:p w:rsidR="00DD6C95" w:rsidRPr="002A24E2" w:rsidRDefault="00DD6C95" w:rsidP="00520B98">
            <w:pPr>
              <w:rPr>
                <w:szCs w:val="24"/>
                <w:lang w:val="de-DE"/>
              </w:rPr>
            </w:pPr>
            <w:r w:rsidRPr="002A24E2">
              <w:rPr>
                <w:szCs w:val="24"/>
                <w:lang w:val="de-DE"/>
              </w:rPr>
              <w:t>TWA</w:t>
            </w:r>
          </w:p>
        </w:tc>
      </w:tr>
      <w:tr w:rsidR="00DD6C95" w:rsidRPr="002A24E2" w:rsidTr="00520B98">
        <w:trPr>
          <w:cantSplit/>
        </w:trPr>
        <w:tc>
          <w:tcPr>
            <w:tcW w:w="1418" w:type="dxa"/>
          </w:tcPr>
          <w:p w:rsidR="00DD6C95" w:rsidRPr="002A24E2" w:rsidRDefault="00195700" w:rsidP="00520B98">
            <w:pPr>
              <w:jc w:val="left"/>
              <w:rPr>
                <w:szCs w:val="24"/>
                <w:lang w:val="de-DE"/>
              </w:rPr>
            </w:pPr>
            <w:r w:rsidRPr="002A24E2">
              <w:rPr>
                <w:szCs w:val="24"/>
                <w:lang w:val="de-DE"/>
              </w:rPr>
              <w:t>Überschrift</w:t>
            </w:r>
          </w:p>
        </w:tc>
        <w:tc>
          <w:tcPr>
            <w:tcW w:w="7348" w:type="dxa"/>
          </w:tcPr>
          <w:p w:rsidR="00DD6C95" w:rsidRPr="002A24E2" w:rsidRDefault="00DD6C95" w:rsidP="00520B98">
            <w:pPr>
              <w:pStyle w:val="Titleofdoc0"/>
              <w:spacing w:before="0"/>
              <w:jc w:val="both"/>
              <w:rPr>
                <w:caps w:val="0"/>
                <w:szCs w:val="24"/>
                <w:lang w:val="de-DE"/>
              </w:rPr>
            </w:pPr>
            <w:r w:rsidRPr="002A24E2">
              <w:rPr>
                <w:caps w:val="0"/>
                <w:szCs w:val="24"/>
                <w:lang w:val="de-DE"/>
              </w:rPr>
              <w:t xml:space="preserve">Die TWO nahm zur Kenntnis, daß sich der Entwurf </w:t>
            </w:r>
            <w:r w:rsidR="00195700" w:rsidRPr="002A24E2">
              <w:rPr>
                <w:caps w:val="0"/>
                <w:szCs w:val="24"/>
                <w:lang w:val="de-DE"/>
              </w:rPr>
              <w:t>eines</w:t>
            </w:r>
            <w:r w:rsidRPr="002A24E2">
              <w:rPr>
                <w:caps w:val="0"/>
                <w:szCs w:val="24"/>
                <w:lang w:val="de-DE"/>
              </w:rPr>
              <w:t xml:space="preserve"> neuen Abschnitt</w:t>
            </w:r>
            <w:r w:rsidR="00195700" w:rsidRPr="002A24E2">
              <w:rPr>
                <w:caps w:val="0"/>
                <w:szCs w:val="24"/>
                <w:lang w:val="de-DE"/>
              </w:rPr>
              <w:t>s</w:t>
            </w:r>
            <w:r w:rsidRPr="002A24E2">
              <w:rPr>
                <w:caps w:val="0"/>
                <w:szCs w:val="24"/>
                <w:lang w:val="de-DE"/>
              </w:rPr>
              <w:t xml:space="preserve"> auf die DUS-</w:t>
            </w:r>
            <w:r w:rsidR="00195700" w:rsidRPr="002A24E2">
              <w:rPr>
                <w:caps w:val="0"/>
                <w:szCs w:val="24"/>
                <w:lang w:val="de-DE"/>
              </w:rPr>
              <w:t>P</w:t>
            </w:r>
            <w:r w:rsidRPr="002A24E2">
              <w:rPr>
                <w:caps w:val="0"/>
                <w:szCs w:val="24"/>
                <w:lang w:val="de-DE"/>
              </w:rPr>
              <w:t>rüfung</w:t>
            </w:r>
            <w:r w:rsidR="00195700" w:rsidRPr="002A24E2">
              <w:rPr>
                <w:caps w:val="0"/>
                <w:szCs w:val="24"/>
                <w:lang w:val="de-DE"/>
              </w:rPr>
              <w:t>sanlage</w:t>
            </w:r>
            <w:r w:rsidRPr="002A24E2">
              <w:rPr>
                <w:caps w:val="0"/>
                <w:szCs w:val="24"/>
                <w:lang w:val="de-DE"/>
              </w:rPr>
              <w:t xml:space="preserve"> beziehe und </w:t>
            </w:r>
            <w:r w:rsidR="00195700" w:rsidRPr="002A24E2">
              <w:rPr>
                <w:caps w:val="0"/>
                <w:szCs w:val="24"/>
                <w:lang w:val="de-DE"/>
              </w:rPr>
              <w:t>regte an</w:t>
            </w:r>
            <w:r w:rsidRPr="002A24E2">
              <w:rPr>
                <w:caps w:val="0"/>
                <w:szCs w:val="24"/>
                <w:lang w:val="de-DE"/>
              </w:rPr>
              <w:t>, d</w:t>
            </w:r>
            <w:r w:rsidR="00195700" w:rsidRPr="002A24E2">
              <w:rPr>
                <w:caps w:val="0"/>
                <w:szCs w:val="24"/>
                <w:lang w:val="de-DE"/>
              </w:rPr>
              <w:t>ie Überschrift</w:t>
            </w:r>
            <w:r w:rsidRPr="002A24E2">
              <w:rPr>
                <w:caps w:val="0"/>
                <w:szCs w:val="24"/>
                <w:lang w:val="de-DE"/>
              </w:rPr>
              <w:t xml:space="preserve"> zu</w:t>
            </w:r>
            <w:r w:rsidR="00195700" w:rsidRPr="002A24E2">
              <w:rPr>
                <w:caps w:val="0"/>
                <w:szCs w:val="24"/>
                <w:lang w:val="de-DE"/>
              </w:rPr>
              <w:t xml:space="preserve"> </w:t>
            </w:r>
            <w:r w:rsidRPr="002A24E2">
              <w:rPr>
                <w:caps w:val="0"/>
                <w:szCs w:val="24"/>
                <w:lang w:val="de-DE"/>
              </w:rPr>
              <w:t>ändern in „Entwurf eine</w:t>
            </w:r>
            <w:r w:rsidR="00195700" w:rsidRPr="002A24E2">
              <w:rPr>
                <w:caps w:val="0"/>
                <w:szCs w:val="24"/>
                <w:lang w:val="de-DE"/>
              </w:rPr>
              <w:t>r</w:t>
            </w:r>
            <w:r w:rsidRPr="002A24E2">
              <w:rPr>
                <w:caps w:val="0"/>
                <w:szCs w:val="24"/>
                <w:lang w:val="de-DE"/>
              </w:rPr>
              <w:t xml:space="preserve"> Anleitung für randomisierte </w:t>
            </w:r>
            <w:r w:rsidR="001C1EC9" w:rsidRPr="002A24E2">
              <w:rPr>
                <w:caps w:val="0"/>
                <w:szCs w:val="24"/>
                <w:lang w:val="de-DE"/>
              </w:rPr>
              <w:t>‚</w:t>
            </w:r>
            <w:r w:rsidRPr="002A24E2">
              <w:rPr>
                <w:caps w:val="0"/>
                <w:szCs w:val="24"/>
                <w:lang w:val="de-DE"/>
              </w:rPr>
              <w:t>Blind</w:t>
            </w:r>
            <w:r w:rsidR="001C1EC9" w:rsidRPr="002A24E2">
              <w:rPr>
                <w:caps w:val="0"/>
                <w:szCs w:val="24"/>
                <w:lang w:val="de-DE"/>
              </w:rPr>
              <w:t>‘</w:t>
            </w:r>
            <w:r w:rsidR="00195700" w:rsidRPr="002A24E2">
              <w:rPr>
                <w:caps w:val="0"/>
                <w:szCs w:val="24"/>
                <w:lang w:val="de-DE"/>
              </w:rPr>
              <w:t>-P</w:t>
            </w:r>
            <w:r w:rsidRPr="002A24E2">
              <w:rPr>
                <w:caps w:val="0"/>
                <w:szCs w:val="24"/>
                <w:lang w:val="de-DE"/>
              </w:rPr>
              <w:t>rüfungen, die von der Behörde oder einer Drittpartei durchgeführt werden“ (vergleiche Dokument</w:t>
            </w:r>
            <w:r w:rsidR="00195700" w:rsidRPr="002A24E2">
              <w:rPr>
                <w:caps w:val="0"/>
                <w:szCs w:val="24"/>
                <w:lang w:val="de-DE"/>
              </w:rPr>
              <w:t> </w:t>
            </w:r>
            <w:r w:rsidRPr="002A24E2">
              <w:rPr>
                <w:caps w:val="0"/>
                <w:szCs w:val="24"/>
                <w:lang w:val="de-DE"/>
              </w:rPr>
              <w:t>TWO/46/29</w:t>
            </w:r>
            <w:r w:rsidR="00195700" w:rsidRPr="002A24E2">
              <w:rPr>
                <w:caps w:val="0"/>
                <w:szCs w:val="24"/>
                <w:lang w:val="de-DE"/>
              </w:rPr>
              <w:t>,</w:t>
            </w:r>
            <w:r w:rsidRPr="002A24E2">
              <w:rPr>
                <w:caps w:val="0"/>
                <w:szCs w:val="24"/>
                <w:lang w:val="de-DE"/>
              </w:rPr>
              <w:t xml:space="preserve"> „</w:t>
            </w:r>
            <w:r w:rsidRPr="002A24E2">
              <w:rPr>
                <w:i/>
                <w:caps w:val="0"/>
                <w:szCs w:val="24"/>
                <w:lang w:val="de-DE"/>
              </w:rPr>
              <w:t>Report</w:t>
            </w:r>
            <w:r w:rsidR="00195700" w:rsidRPr="002A24E2">
              <w:rPr>
                <w:caps w:val="0"/>
                <w:szCs w:val="24"/>
                <w:lang w:val="de-DE"/>
              </w:rPr>
              <w:t>“, Absatz 45).</w:t>
            </w:r>
          </w:p>
          <w:p w:rsidR="00DD6C95" w:rsidRPr="002A24E2" w:rsidRDefault="00DD6C95" w:rsidP="00520B98">
            <w:pPr>
              <w:rPr>
                <w:szCs w:val="24"/>
                <w:lang w:val="de-DE"/>
              </w:rPr>
            </w:pPr>
          </w:p>
        </w:tc>
        <w:tc>
          <w:tcPr>
            <w:tcW w:w="839" w:type="dxa"/>
          </w:tcPr>
          <w:p w:rsidR="00DD6C95" w:rsidRPr="002A24E2" w:rsidRDefault="00DD6C95" w:rsidP="00520B98">
            <w:pPr>
              <w:rPr>
                <w:szCs w:val="24"/>
                <w:lang w:val="de-DE"/>
              </w:rPr>
            </w:pPr>
            <w:r w:rsidRPr="002A24E2">
              <w:rPr>
                <w:szCs w:val="24"/>
                <w:lang w:val="de-DE"/>
              </w:rPr>
              <w:t>TWO</w:t>
            </w:r>
          </w:p>
        </w:tc>
      </w:tr>
      <w:tr w:rsidR="00DD6C95" w:rsidRPr="002A24E2" w:rsidTr="00520B98">
        <w:trPr>
          <w:cantSplit/>
        </w:trPr>
        <w:tc>
          <w:tcPr>
            <w:tcW w:w="1418" w:type="dxa"/>
          </w:tcPr>
          <w:p w:rsidR="00DD6C95" w:rsidRPr="002A24E2" w:rsidRDefault="00DD6C95" w:rsidP="00520B98">
            <w:pPr>
              <w:jc w:val="left"/>
              <w:rPr>
                <w:szCs w:val="24"/>
                <w:lang w:val="de-DE"/>
              </w:rPr>
            </w:pPr>
            <w:r w:rsidRPr="002A24E2">
              <w:rPr>
                <w:szCs w:val="24"/>
                <w:lang w:val="de-DE"/>
              </w:rPr>
              <w:t>Einführung</w:t>
            </w:r>
          </w:p>
        </w:tc>
        <w:tc>
          <w:tcPr>
            <w:tcW w:w="7348" w:type="dxa"/>
          </w:tcPr>
          <w:p w:rsidR="00DD6C95" w:rsidRPr="002A24E2" w:rsidRDefault="00DD6C95" w:rsidP="00520B98">
            <w:pPr>
              <w:pStyle w:val="Titleofdoc0"/>
              <w:spacing w:before="0"/>
              <w:jc w:val="both"/>
              <w:rPr>
                <w:caps w:val="0"/>
                <w:szCs w:val="24"/>
                <w:lang w:val="de-DE"/>
              </w:rPr>
            </w:pPr>
            <w:r w:rsidRPr="002A24E2">
              <w:rPr>
                <w:caps w:val="0"/>
                <w:szCs w:val="24"/>
                <w:lang w:val="de-DE"/>
              </w:rPr>
              <w:t>Die TWO schlug vor, daß die Einführung allgemein gehalten werden sollte</w:t>
            </w:r>
            <w:r w:rsidR="00195700" w:rsidRPr="002A24E2">
              <w:rPr>
                <w:caps w:val="0"/>
                <w:szCs w:val="24"/>
                <w:lang w:val="de-DE"/>
              </w:rPr>
              <w:t>,</w:t>
            </w:r>
            <w:r w:rsidRPr="002A24E2">
              <w:rPr>
                <w:caps w:val="0"/>
                <w:szCs w:val="24"/>
                <w:lang w:val="de-DE"/>
              </w:rPr>
              <w:t xml:space="preserve"> und </w:t>
            </w:r>
            <w:r w:rsidR="00195700" w:rsidRPr="002A24E2">
              <w:rPr>
                <w:caps w:val="0"/>
                <w:szCs w:val="24"/>
                <w:lang w:val="de-DE"/>
              </w:rPr>
              <w:t>ersuch</w:t>
            </w:r>
            <w:r w:rsidRPr="002A24E2">
              <w:rPr>
                <w:caps w:val="0"/>
                <w:szCs w:val="24"/>
                <w:lang w:val="de-DE"/>
              </w:rPr>
              <w:t>te</w:t>
            </w:r>
            <w:r w:rsidR="00195700" w:rsidRPr="002A24E2">
              <w:rPr>
                <w:caps w:val="0"/>
                <w:szCs w:val="24"/>
                <w:lang w:val="de-DE"/>
              </w:rPr>
              <w:t xml:space="preserve"> darum</w:t>
            </w:r>
            <w:r w:rsidRPr="002A24E2">
              <w:rPr>
                <w:caps w:val="0"/>
                <w:szCs w:val="24"/>
                <w:lang w:val="de-DE"/>
              </w:rPr>
              <w:t>, daß ein Beispiel für Zierpflanzen hinzugefügt werden sollte (vergleiche Dokument TWO/46/29</w:t>
            </w:r>
            <w:r w:rsidR="00FD3F63" w:rsidRPr="002A24E2">
              <w:rPr>
                <w:caps w:val="0"/>
                <w:szCs w:val="24"/>
                <w:lang w:val="de-DE"/>
              </w:rPr>
              <w:t>,</w:t>
            </w:r>
            <w:r w:rsidRPr="002A24E2">
              <w:rPr>
                <w:caps w:val="0"/>
                <w:szCs w:val="24"/>
                <w:lang w:val="de-DE"/>
              </w:rPr>
              <w:t xml:space="preserve"> „</w:t>
            </w:r>
            <w:r w:rsidRPr="002A24E2">
              <w:rPr>
                <w:i/>
                <w:caps w:val="0"/>
                <w:szCs w:val="24"/>
                <w:lang w:val="de-DE"/>
              </w:rPr>
              <w:t>Report</w:t>
            </w:r>
            <w:r w:rsidR="00FD3F63" w:rsidRPr="002A24E2">
              <w:rPr>
                <w:caps w:val="0"/>
                <w:szCs w:val="24"/>
                <w:lang w:val="de-DE"/>
              </w:rPr>
              <w:t>“, Absatz 46.)</w:t>
            </w:r>
          </w:p>
          <w:p w:rsidR="00DD6C95" w:rsidRPr="002A24E2" w:rsidRDefault="00DD6C95" w:rsidP="00520B98">
            <w:pPr>
              <w:pStyle w:val="Titleofdoc0"/>
              <w:spacing w:before="0"/>
              <w:jc w:val="both"/>
              <w:rPr>
                <w:caps w:val="0"/>
                <w:szCs w:val="24"/>
                <w:lang w:val="de-DE"/>
              </w:rPr>
            </w:pPr>
          </w:p>
        </w:tc>
        <w:tc>
          <w:tcPr>
            <w:tcW w:w="839" w:type="dxa"/>
          </w:tcPr>
          <w:p w:rsidR="00DD6C95" w:rsidRPr="002A24E2" w:rsidRDefault="00DD6C95" w:rsidP="00520B98">
            <w:pPr>
              <w:rPr>
                <w:szCs w:val="24"/>
                <w:lang w:val="de-DE"/>
              </w:rPr>
            </w:pPr>
            <w:r w:rsidRPr="002A24E2">
              <w:rPr>
                <w:szCs w:val="24"/>
                <w:lang w:val="de-DE"/>
              </w:rPr>
              <w:t>TWO</w:t>
            </w:r>
          </w:p>
        </w:tc>
      </w:tr>
      <w:tr w:rsidR="00DD6C95" w:rsidRPr="002A24E2" w:rsidTr="00520B98">
        <w:trPr>
          <w:cantSplit/>
        </w:trPr>
        <w:tc>
          <w:tcPr>
            <w:tcW w:w="1418" w:type="dxa"/>
          </w:tcPr>
          <w:p w:rsidR="00DD6C95" w:rsidRPr="002A24E2" w:rsidRDefault="00DD6C95" w:rsidP="001C1EC9">
            <w:pPr>
              <w:jc w:val="left"/>
              <w:rPr>
                <w:szCs w:val="24"/>
                <w:lang w:val="de-DE"/>
              </w:rPr>
            </w:pPr>
            <w:r w:rsidRPr="002A24E2">
              <w:rPr>
                <w:szCs w:val="24"/>
                <w:lang w:val="de-DE"/>
              </w:rPr>
              <w:t>Herkunft des Materials / Genehmi-gung für die Verwendung bestimmte</w:t>
            </w:r>
            <w:r w:rsidR="00FD3F63" w:rsidRPr="002A24E2">
              <w:rPr>
                <w:szCs w:val="24"/>
                <w:lang w:val="de-DE"/>
              </w:rPr>
              <w:t>r Vergleichs-sorten</w:t>
            </w:r>
          </w:p>
        </w:tc>
        <w:tc>
          <w:tcPr>
            <w:tcW w:w="7348" w:type="dxa"/>
          </w:tcPr>
          <w:p w:rsidR="00DD6C95" w:rsidRPr="002A24E2" w:rsidRDefault="00AE02BC" w:rsidP="00520B98">
            <w:pPr>
              <w:rPr>
                <w:szCs w:val="24"/>
                <w:lang w:val="de-DE"/>
              </w:rPr>
            </w:pPr>
            <w:r>
              <w:rPr>
                <w:szCs w:val="24"/>
                <w:lang w:val="de-DE"/>
              </w:rPr>
              <w:t>Die TWV</w:t>
            </w:r>
            <w:r w:rsidR="007B495F" w:rsidRPr="002A24E2">
              <w:rPr>
                <w:szCs w:val="24"/>
                <w:lang w:val="de-DE"/>
              </w:rPr>
              <w:t xml:space="preserve"> vereinbarte, daß der Verfasser die Anleitung weiterentwickeln sollte, um Erklärungen beizufügen, daß die Herkunft des Materials die endgültige Entscheidung nicht beeinflussen sollte und daß die Genehmigung des Züchters für Sorten, die Gegenstand eines Antrags sind, wie auch für bestimmte Elternlinien</w:t>
            </w:r>
            <w:r w:rsidR="007B495F">
              <w:rPr>
                <w:szCs w:val="24"/>
                <w:lang w:val="de-DE"/>
              </w:rPr>
              <w:t>,</w:t>
            </w:r>
            <w:r w:rsidR="007B495F" w:rsidRPr="002A24E2">
              <w:rPr>
                <w:szCs w:val="24"/>
                <w:lang w:val="de-DE"/>
              </w:rPr>
              <w:t xml:space="preserve"> eingeholt werden muß (vergleiche Dokument TWV/47/34, </w:t>
            </w:r>
            <w:r w:rsidR="007B495F" w:rsidRPr="002A24E2">
              <w:rPr>
                <w:caps/>
                <w:szCs w:val="24"/>
                <w:lang w:val="de-DE"/>
              </w:rPr>
              <w:t>„</w:t>
            </w:r>
            <w:r w:rsidR="007B495F" w:rsidRPr="002A24E2">
              <w:rPr>
                <w:i/>
                <w:szCs w:val="24"/>
                <w:lang w:val="de-DE"/>
              </w:rPr>
              <w:t>Report</w:t>
            </w:r>
            <w:r w:rsidR="007B495F" w:rsidRPr="002A24E2">
              <w:rPr>
                <w:caps/>
                <w:szCs w:val="24"/>
                <w:lang w:val="de-DE"/>
              </w:rPr>
              <w:t xml:space="preserve">“, </w:t>
            </w:r>
            <w:r w:rsidR="007B495F" w:rsidRPr="002A24E2">
              <w:rPr>
                <w:szCs w:val="24"/>
                <w:lang w:val="de-DE"/>
              </w:rPr>
              <w:t>Absatz 49).</w:t>
            </w:r>
          </w:p>
          <w:p w:rsidR="00DD6C95" w:rsidRPr="002A24E2" w:rsidRDefault="00DD6C95" w:rsidP="00520B98">
            <w:pPr>
              <w:pStyle w:val="Titleofdoc0"/>
              <w:spacing w:before="0"/>
              <w:jc w:val="both"/>
              <w:rPr>
                <w:caps w:val="0"/>
                <w:szCs w:val="24"/>
                <w:lang w:val="de-DE"/>
              </w:rPr>
            </w:pPr>
          </w:p>
        </w:tc>
        <w:tc>
          <w:tcPr>
            <w:tcW w:w="839" w:type="dxa"/>
          </w:tcPr>
          <w:p w:rsidR="00DD6C95" w:rsidRPr="002A24E2" w:rsidRDefault="00DD6C95" w:rsidP="00520B98">
            <w:pPr>
              <w:rPr>
                <w:szCs w:val="24"/>
                <w:lang w:val="de-DE"/>
              </w:rPr>
            </w:pPr>
            <w:r w:rsidRPr="002A24E2">
              <w:rPr>
                <w:szCs w:val="24"/>
                <w:lang w:val="de-DE"/>
              </w:rPr>
              <w:t>TWV</w:t>
            </w:r>
          </w:p>
        </w:tc>
      </w:tr>
      <w:tr w:rsidR="00DD6C95" w:rsidRPr="002A24E2" w:rsidTr="00520B98">
        <w:trPr>
          <w:cantSplit/>
        </w:trPr>
        <w:tc>
          <w:tcPr>
            <w:tcW w:w="1418" w:type="dxa"/>
          </w:tcPr>
          <w:p w:rsidR="00DD6C95" w:rsidRPr="002A24E2" w:rsidRDefault="00DD6C95" w:rsidP="00520B98">
            <w:pPr>
              <w:jc w:val="left"/>
              <w:rPr>
                <w:szCs w:val="24"/>
                <w:lang w:val="de-DE"/>
              </w:rPr>
            </w:pPr>
            <w:r w:rsidRPr="002A24E2">
              <w:rPr>
                <w:szCs w:val="24"/>
                <w:lang w:val="de-DE"/>
              </w:rPr>
              <w:t>Vorbereitung der Prüfung</w:t>
            </w:r>
          </w:p>
        </w:tc>
        <w:tc>
          <w:tcPr>
            <w:tcW w:w="7348" w:type="dxa"/>
          </w:tcPr>
          <w:p w:rsidR="00DD6C95" w:rsidRPr="002A24E2" w:rsidRDefault="00DD6C95" w:rsidP="00520B98">
            <w:pPr>
              <w:rPr>
                <w:color w:val="000000"/>
                <w:szCs w:val="24"/>
                <w:lang w:val="de-DE"/>
              </w:rPr>
            </w:pPr>
            <w:r w:rsidRPr="002A24E2">
              <w:rPr>
                <w:szCs w:val="24"/>
                <w:lang w:val="de-DE"/>
              </w:rPr>
              <w:t xml:space="preserve">Die TWC vereinbarte, daß der Abschnitt mit der Beschreibung der Methode der Prüfungsvorbereitung weiter ausgebaut werden sollte, um das für die Codierung der Sorten </w:t>
            </w:r>
            <w:r w:rsidR="00FD3F63" w:rsidRPr="002A24E2">
              <w:rPr>
                <w:szCs w:val="24"/>
                <w:lang w:val="de-DE"/>
              </w:rPr>
              <w:t>anzuwendende</w:t>
            </w:r>
            <w:r w:rsidRPr="002A24E2">
              <w:rPr>
                <w:szCs w:val="24"/>
                <w:lang w:val="de-DE"/>
              </w:rPr>
              <w:t xml:space="preserve"> Verfahren klarzustellen.</w:t>
            </w:r>
            <w:r w:rsidRPr="002A24E2">
              <w:rPr>
                <w:color w:val="000000"/>
                <w:szCs w:val="24"/>
                <w:lang w:val="de-DE"/>
              </w:rPr>
              <w:t xml:space="preserve"> </w:t>
            </w:r>
            <w:r w:rsidRPr="002A24E2">
              <w:rPr>
                <w:szCs w:val="24"/>
                <w:lang w:val="de-DE"/>
              </w:rPr>
              <w:t>Die TWC verlangte, daß das in Absatz 4 verwendete Beispiel durch die randomisierte Zuordnung der Codes und die Verdoppelung sämtlicher verwendeter Stichproben, einschließlich „C“ (Mischung)</w:t>
            </w:r>
            <w:r w:rsidR="001C1EC9" w:rsidRPr="002A24E2">
              <w:rPr>
                <w:szCs w:val="24"/>
                <w:lang w:val="de-DE"/>
              </w:rPr>
              <w:t>,</w:t>
            </w:r>
            <w:r w:rsidRPr="002A24E2">
              <w:rPr>
                <w:szCs w:val="24"/>
                <w:lang w:val="de-DE"/>
              </w:rPr>
              <w:t xml:space="preserve"> verbessert werden sollte (vergleiche Dokument TWC/31/32</w:t>
            </w:r>
            <w:r w:rsidR="00FD3F63" w:rsidRPr="002A24E2">
              <w:rPr>
                <w:szCs w:val="24"/>
                <w:lang w:val="de-DE"/>
              </w:rPr>
              <w:t>,</w:t>
            </w:r>
            <w:r w:rsidRPr="002A24E2">
              <w:rPr>
                <w:szCs w:val="24"/>
                <w:lang w:val="de-DE"/>
              </w:rPr>
              <w:t xml:space="preserve"> „</w:t>
            </w:r>
            <w:r w:rsidRPr="002A24E2">
              <w:rPr>
                <w:i/>
                <w:szCs w:val="24"/>
                <w:lang w:val="de-DE"/>
              </w:rPr>
              <w:t>Report</w:t>
            </w:r>
            <w:r w:rsidR="00FD3F63" w:rsidRPr="002A24E2">
              <w:rPr>
                <w:szCs w:val="24"/>
                <w:lang w:val="de-DE"/>
              </w:rPr>
              <w:t>“</w:t>
            </w:r>
            <w:r w:rsidRPr="002A24E2">
              <w:rPr>
                <w:szCs w:val="24"/>
                <w:lang w:val="de-DE"/>
              </w:rPr>
              <w:t>, Absatz 47).</w:t>
            </w:r>
          </w:p>
          <w:p w:rsidR="00DD6C95" w:rsidRPr="002A24E2" w:rsidRDefault="00DD6C95" w:rsidP="00520B98">
            <w:pPr>
              <w:rPr>
                <w:color w:val="000000"/>
                <w:szCs w:val="24"/>
                <w:lang w:val="de-DE"/>
              </w:rPr>
            </w:pPr>
          </w:p>
          <w:p w:rsidR="00DD6C95" w:rsidRPr="002A24E2" w:rsidRDefault="00DD6C95" w:rsidP="00520B98">
            <w:pPr>
              <w:autoSpaceDE w:val="0"/>
              <w:autoSpaceDN w:val="0"/>
              <w:adjustRightInd w:val="0"/>
              <w:rPr>
                <w:rFonts w:ascii="ArialMT" w:hAnsi="ArialMT"/>
                <w:szCs w:val="24"/>
                <w:lang w:val="de-DE"/>
              </w:rPr>
            </w:pPr>
            <w:r w:rsidRPr="002A24E2">
              <w:rPr>
                <w:szCs w:val="24"/>
                <w:lang w:val="de-DE"/>
              </w:rPr>
              <w:t xml:space="preserve">Die TWC vereinbarte, daß die Anleitung statistische Erwägungen zur Prüfungsanlage enthalten sollte, </w:t>
            </w:r>
            <w:r w:rsidR="00FD3F63" w:rsidRPr="002A24E2">
              <w:rPr>
                <w:szCs w:val="24"/>
                <w:lang w:val="de-DE"/>
              </w:rPr>
              <w:t>wie beispielsweise, daß</w:t>
            </w:r>
            <w:r w:rsidRPr="002A24E2">
              <w:rPr>
                <w:szCs w:val="24"/>
                <w:lang w:val="de-DE"/>
              </w:rPr>
              <w:t xml:space="preserve"> die Anzahl Wiederholungen so hoch sein sollte, daß nur eine geringe Wahrscheinlichkeit </w:t>
            </w:r>
            <w:r w:rsidRPr="002A24E2">
              <w:rPr>
                <w:rFonts w:ascii="ArialMT" w:hAnsi="ArialMT"/>
                <w:szCs w:val="24"/>
                <w:lang w:val="de-DE"/>
              </w:rPr>
              <w:t xml:space="preserve">(z. B. &lt;0,05 oder 0,01) </w:t>
            </w:r>
            <w:r w:rsidRPr="002A24E2">
              <w:rPr>
                <w:szCs w:val="24"/>
                <w:lang w:val="de-DE"/>
              </w:rPr>
              <w:t>besteht, daß die Kandidatensorte durch Zufall richtig bezeichnet wurde (vergleiche Dokument TWC/31/32</w:t>
            </w:r>
            <w:r w:rsidR="00FD3F63" w:rsidRPr="002A24E2">
              <w:rPr>
                <w:szCs w:val="24"/>
                <w:lang w:val="de-DE"/>
              </w:rPr>
              <w:t>,</w:t>
            </w:r>
            <w:r w:rsidRPr="002A24E2">
              <w:rPr>
                <w:szCs w:val="24"/>
                <w:lang w:val="de-DE"/>
              </w:rPr>
              <w:t xml:space="preserve"> „</w:t>
            </w:r>
            <w:r w:rsidRPr="002A24E2">
              <w:rPr>
                <w:i/>
                <w:szCs w:val="24"/>
                <w:lang w:val="de-DE"/>
              </w:rPr>
              <w:t>Report</w:t>
            </w:r>
            <w:r w:rsidRPr="002A24E2">
              <w:rPr>
                <w:szCs w:val="24"/>
                <w:lang w:val="de-DE"/>
              </w:rPr>
              <w:t>”, Absatz 48).</w:t>
            </w:r>
          </w:p>
          <w:p w:rsidR="00DD6C95" w:rsidRPr="002A24E2" w:rsidRDefault="00DD6C95" w:rsidP="00520B98">
            <w:pPr>
              <w:rPr>
                <w:szCs w:val="24"/>
                <w:lang w:val="de-DE"/>
              </w:rPr>
            </w:pPr>
          </w:p>
        </w:tc>
        <w:tc>
          <w:tcPr>
            <w:tcW w:w="839" w:type="dxa"/>
          </w:tcPr>
          <w:p w:rsidR="00DD6C95" w:rsidRPr="002A24E2" w:rsidRDefault="00DD6C95" w:rsidP="00520B98">
            <w:pPr>
              <w:rPr>
                <w:szCs w:val="24"/>
                <w:lang w:val="de-DE"/>
              </w:rPr>
            </w:pPr>
            <w:r w:rsidRPr="002A24E2">
              <w:rPr>
                <w:szCs w:val="24"/>
                <w:lang w:val="de-DE"/>
              </w:rPr>
              <w:t>TWC</w:t>
            </w:r>
          </w:p>
        </w:tc>
      </w:tr>
      <w:tr w:rsidR="00DD6C95" w:rsidRPr="002A24E2" w:rsidTr="00520B98">
        <w:trPr>
          <w:cantSplit/>
        </w:trPr>
        <w:tc>
          <w:tcPr>
            <w:tcW w:w="1418" w:type="dxa"/>
          </w:tcPr>
          <w:p w:rsidR="00DD6C95" w:rsidRPr="002A24E2" w:rsidRDefault="00DD6C95" w:rsidP="00520B98">
            <w:pPr>
              <w:jc w:val="left"/>
              <w:rPr>
                <w:szCs w:val="24"/>
                <w:lang w:val="de-DE"/>
              </w:rPr>
            </w:pPr>
            <w:r w:rsidRPr="002A24E2">
              <w:rPr>
                <w:szCs w:val="24"/>
                <w:lang w:val="de-DE"/>
              </w:rPr>
              <w:t>Analyse der Ergebnisse</w:t>
            </w:r>
          </w:p>
        </w:tc>
        <w:tc>
          <w:tcPr>
            <w:tcW w:w="7348" w:type="dxa"/>
          </w:tcPr>
          <w:p w:rsidR="00DD6C95" w:rsidRPr="002A24E2" w:rsidRDefault="00DD6C95" w:rsidP="00520B98">
            <w:pPr>
              <w:rPr>
                <w:szCs w:val="24"/>
                <w:lang w:val="de-DE"/>
              </w:rPr>
            </w:pPr>
            <w:r w:rsidRPr="002A24E2">
              <w:rPr>
                <w:szCs w:val="24"/>
                <w:lang w:val="de-DE"/>
              </w:rPr>
              <w:t xml:space="preserve">Die TWC vereinbarte, daß der Entwurf </w:t>
            </w:r>
            <w:r w:rsidR="00FD3F63" w:rsidRPr="002A24E2">
              <w:rPr>
                <w:szCs w:val="24"/>
                <w:lang w:val="de-DE"/>
              </w:rPr>
              <w:t>eine</w:t>
            </w:r>
            <w:r w:rsidRPr="002A24E2">
              <w:rPr>
                <w:szCs w:val="24"/>
                <w:lang w:val="de-DE"/>
              </w:rPr>
              <w:t>r Anleitung Informationen über die Analyse der Ergebnisse enthalten sollte (vergleiche Dokument TWC/31/32, „</w:t>
            </w:r>
            <w:r w:rsidRPr="002A24E2">
              <w:rPr>
                <w:i/>
                <w:szCs w:val="24"/>
                <w:lang w:val="de-DE"/>
              </w:rPr>
              <w:t>Report</w:t>
            </w:r>
            <w:r w:rsidRPr="002A24E2">
              <w:rPr>
                <w:szCs w:val="24"/>
                <w:lang w:val="de-DE"/>
              </w:rPr>
              <w:t>“, Absatz 49).</w:t>
            </w:r>
          </w:p>
          <w:p w:rsidR="00DD6C95" w:rsidRPr="002A24E2" w:rsidRDefault="00DD6C95" w:rsidP="00520B98">
            <w:pPr>
              <w:rPr>
                <w:color w:val="000000"/>
                <w:szCs w:val="24"/>
                <w:lang w:val="de-DE"/>
              </w:rPr>
            </w:pPr>
          </w:p>
        </w:tc>
        <w:tc>
          <w:tcPr>
            <w:tcW w:w="839" w:type="dxa"/>
          </w:tcPr>
          <w:p w:rsidR="00DD6C95" w:rsidRPr="002A24E2" w:rsidRDefault="00DD6C95" w:rsidP="00520B98">
            <w:pPr>
              <w:rPr>
                <w:szCs w:val="24"/>
                <w:lang w:val="de-DE"/>
              </w:rPr>
            </w:pPr>
            <w:r w:rsidRPr="002A24E2">
              <w:rPr>
                <w:szCs w:val="24"/>
                <w:lang w:val="de-DE"/>
              </w:rPr>
              <w:t>TWC</w:t>
            </w:r>
          </w:p>
        </w:tc>
      </w:tr>
    </w:tbl>
    <w:p w:rsidR="00DD6C95" w:rsidRPr="002A24E2" w:rsidRDefault="00DD6C95" w:rsidP="00DD6C95">
      <w:pPr>
        <w:rPr>
          <w:szCs w:val="24"/>
          <w:lang w:val="de-DE"/>
        </w:rPr>
      </w:pPr>
    </w:p>
    <w:p w:rsidR="004B4303" w:rsidRPr="002A24E2" w:rsidRDefault="00C22BB6" w:rsidP="004B4303">
      <w:pPr>
        <w:pStyle w:val="Heading1"/>
        <w:rPr>
          <w:lang w:val="de-DE"/>
        </w:rPr>
      </w:pPr>
      <w:bookmarkStart w:id="18" w:name="_Toc406149592"/>
      <w:bookmarkStart w:id="19" w:name="_Toc410718285"/>
      <w:bookmarkStart w:id="20" w:name="_Toc410810144"/>
      <w:bookmarkStart w:id="21" w:name="_Toc410827625"/>
      <w:r w:rsidRPr="002A24E2">
        <w:rPr>
          <w:lang w:val="de-DE"/>
        </w:rPr>
        <w:t>BEMERKUNGEN DES TECHNISCHEN AUSSCHUSSES IM JAHRE</w:t>
      </w:r>
      <w:r w:rsidR="004B4303" w:rsidRPr="002A24E2">
        <w:rPr>
          <w:lang w:val="de-DE"/>
        </w:rPr>
        <w:t xml:space="preserve"> 2014</w:t>
      </w:r>
      <w:bookmarkEnd w:id="18"/>
      <w:bookmarkEnd w:id="19"/>
      <w:bookmarkEnd w:id="20"/>
      <w:bookmarkEnd w:id="21"/>
    </w:p>
    <w:p w:rsidR="004B4303" w:rsidRPr="002A24E2" w:rsidRDefault="004B4303" w:rsidP="004B4303">
      <w:pPr>
        <w:rPr>
          <w:lang w:val="de-DE"/>
        </w:rPr>
      </w:pPr>
    </w:p>
    <w:p w:rsidR="004B4303" w:rsidRPr="002A24E2" w:rsidRDefault="004B4303" w:rsidP="004B4303">
      <w:pPr>
        <w:rPr>
          <w:rFonts w:cs="Arial"/>
          <w:lang w:val="de-DE" w:eastAsia="ja-JP"/>
        </w:rPr>
      </w:pPr>
      <w:r w:rsidRPr="002A24E2">
        <w:rPr>
          <w:rFonts w:cs="Arial"/>
          <w:lang w:val="de-DE"/>
        </w:rPr>
        <w:fldChar w:fldCharType="begin"/>
      </w:r>
      <w:r w:rsidRPr="002A24E2">
        <w:rPr>
          <w:rFonts w:cs="Arial"/>
          <w:lang w:val="de-DE"/>
        </w:rPr>
        <w:instrText xml:space="preserve"> AUTONUM  </w:instrText>
      </w:r>
      <w:r w:rsidRPr="002A24E2">
        <w:rPr>
          <w:rFonts w:cs="Arial"/>
          <w:lang w:val="de-DE"/>
        </w:rPr>
        <w:fldChar w:fldCharType="end"/>
      </w:r>
      <w:r w:rsidRPr="002A24E2">
        <w:rPr>
          <w:rFonts w:cs="Arial"/>
          <w:lang w:val="de-DE"/>
        </w:rPr>
        <w:tab/>
      </w:r>
      <w:r w:rsidR="00CB5145" w:rsidRPr="002A24E2">
        <w:rPr>
          <w:rFonts w:cs="Arial"/>
          <w:lang w:val="de-DE"/>
        </w:rPr>
        <w:t>Der</w:t>
      </w:r>
      <w:r w:rsidRPr="002A24E2">
        <w:rPr>
          <w:color w:val="000000"/>
          <w:lang w:val="de-DE"/>
        </w:rPr>
        <w:t xml:space="preserve"> TC</w:t>
      </w:r>
      <w:r w:rsidR="00CB5145" w:rsidRPr="002A24E2">
        <w:rPr>
          <w:color w:val="000000"/>
          <w:lang w:val="de-DE"/>
        </w:rPr>
        <w:t xml:space="preserve"> prüfte auf seiner fünfzigsten Tagung vom 7. bis 9. April 2014 in Genf das </w:t>
      </w:r>
      <w:r w:rsidR="005F15FE" w:rsidRPr="002A24E2">
        <w:rPr>
          <w:rFonts w:cs="Arial"/>
          <w:lang w:val="de-DE"/>
        </w:rPr>
        <w:t>Dokument</w:t>
      </w:r>
      <w:r w:rsidRPr="002A24E2">
        <w:rPr>
          <w:rFonts w:cs="Arial"/>
          <w:lang w:val="de-DE"/>
        </w:rPr>
        <w:t xml:space="preserve"> TC/50/26</w:t>
      </w:r>
      <w:r w:rsidR="00CB5145" w:rsidRPr="002A24E2">
        <w:rPr>
          <w:rFonts w:cs="Arial"/>
          <w:lang w:val="de-DE"/>
        </w:rPr>
        <w:t>, das den</w:t>
      </w:r>
      <w:r w:rsidRPr="002A24E2">
        <w:rPr>
          <w:rFonts w:cs="Arial"/>
          <w:lang w:val="de-DE"/>
        </w:rPr>
        <w:t xml:space="preserve"> </w:t>
      </w:r>
      <w:r w:rsidR="00B04A50" w:rsidRPr="002A24E2">
        <w:rPr>
          <w:rFonts w:cs="Arial"/>
          <w:lang w:val="de-DE"/>
        </w:rPr>
        <w:t xml:space="preserve">in Anlage I dieses Dokuments wiedergegebenen </w:t>
      </w:r>
      <w:r w:rsidR="005F15FE" w:rsidRPr="002A24E2">
        <w:rPr>
          <w:rFonts w:cs="Arial"/>
          <w:lang w:val="de-DE"/>
        </w:rPr>
        <w:t>Entwurf einer Anleitung</w:t>
      </w:r>
      <w:r w:rsidRPr="002A24E2">
        <w:rPr>
          <w:rFonts w:cs="Arial"/>
          <w:lang w:val="de-DE"/>
        </w:rPr>
        <w:t xml:space="preserve"> </w:t>
      </w:r>
      <w:r w:rsidR="00B04A50" w:rsidRPr="002A24E2">
        <w:rPr>
          <w:rFonts w:cs="Arial"/>
          <w:lang w:val="de-DE"/>
        </w:rPr>
        <w:t>enthielt</w:t>
      </w:r>
      <w:r w:rsidRPr="002A24E2">
        <w:rPr>
          <w:rFonts w:cs="Arial"/>
          <w:lang w:val="de-DE"/>
        </w:rPr>
        <w:t xml:space="preserve">. </w:t>
      </w:r>
      <w:r w:rsidR="00B04A50" w:rsidRPr="002A24E2">
        <w:rPr>
          <w:rFonts w:cs="Arial"/>
          <w:lang w:val="de-DE"/>
        </w:rPr>
        <w:t>Der</w:t>
      </w:r>
      <w:r w:rsidRPr="002A24E2">
        <w:rPr>
          <w:rFonts w:cs="Arial"/>
          <w:lang w:val="de-DE"/>
        </w:rPr>
        <w:t xml:space="preserve"> TC </w:t>
      </w:r>
      <w:r w:rsidR="00B04A50" w:rsidRPr="002A24E2">
        <w:rPr>
          <w:rFonts w:cs="Arial"/>
          <w:lang w:val="de-DE"/>
        </w:rPr>
        <w:t xml:space="preserve">vereinbarte, </w:t>
      </w:r>
      <w:r w:rsidR="0057202E" w:rsidRPr="002A24E2">
        <w:rPr>
          <w:rFonts w:cs="Arial"/>
          <w:lang w:val="de-DE"/>
        </w:rPr>
        <w:t xml:space="preserve">daß </w:t>
      </w:r>
      <w:r w:rsidR="00B04A50" w:rsidRPr="002A24E2">
        <w:rPr>
          <w:rFonts w:cs="Arial"/>
          <w:lang w:val="de-DE"/>
        </w:rPr>
        <w:t xml:space="preserve">Sachverständige aus Frankreich die Ausarbeitung der vorgeschlagenen Anleitung aufgrund der Bemerkungen der TWP, wie in Absatz 7 dieses Dokuments dargelegt, und der </w:t>
      </w:r>
      <w:r w:rsidR="001C1EC9" w:rsidRPr="002A24E2">
        <w:rPr>
          <w:rFonts w:cs="Arial"/>
          <w:lang w:val="de-DE"/>
        </w:rPr>
        <w:t>darauf</w:t>
      </w:r>
      <w:r w:rsidR="00B04A50" w:rsidRPr="002A24E2">
        <w:rPr>
          <w:rFonts w:cs="Arial"/>
          <w:lang w:val="de-DE"/>
        </w:rPr>
        <w:t xml:space="preserve">folgenden Bemerkungen des </w:t>
      </w:r>
      <w:r w:rsidR="00B04A50" w:rsidRPr="002A24E2">
        <w:rPr>
          <w:lang w:val="de-DE"/>
        </w:rPr>
        <w:t xml:space="preserve">TC-EDC auf seiner Sitzung vom 8. und 9. Januar 2014 in Genf </w:t>
      </w:r>
      <w:r w:rsidR="00B04A50" w:rsidRPr="002A24E2">
        <w:rPr>
          <w:rFonts w:cs="Arial"/>
          <w:lang w:val="de-DE"/>
        </w:rPr>
        <w:t>fortsetzen</w:t>
      </w:r>
      <w:r w:rsidR="0057202E" w:rsidRPr="002A24E2">
        <w:rPr>
          <w:rFonts w:cs="Arial"/>
          <w:lang w:val="de-DE"/>
        </w:rPr>
        <w:t xml:space="preserve"> sollten</w:t>
      </w:r>
      <w:r w:rsidRPr="002A24E2">
        <w:rPr>
          <w:rFonts w:cs="Arial"/>
          <w:lang w:val="de-DE" w:eastAsia="ja-JP"/>
        </w:rPr>
        <w:t>:</w:t>
      </w:r>
    </w:p>
    <w:p w:rsidR="00FD3F63" w:rsidRPr="002A24E2" w:rsidRDefault="00FD3F63">
      <w:pPr>
        <w:jc w:val="left"/>
        <w:rPr>
          <w:szCs w:val="24"/>
          <w:lang w:val="de-DE"/>
        </w:rPr>
      </w:pPr>
      <w:r w:rsidRPr="002A24E2">
        <w:rPr>
          <w:szCs w:val="24"/>
          <w:lang w:val="de-DE"/>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938"/>
      </w:tblGrid>
      <w:tr w:rsidR="0032237D" w:rsidRPr="00261E44" w:rsidTr="00003233">
        <w:tc>
          <w:tcPr>
            <w:tcW w:w="1701" w:type="dxa"/>
          </w:tcPr>
          <w:p w:rsidR="0032237D" w:rsidRPr="002A24E2" w:rsidRDefault="0032237D" w:rsidP="0057202E">
            <w:pPr>
              <w:jc w:val="left"/>
              <w:rPr>
                <w:szCs w:val="24"/>
                <w:lang w:val="de-DE"/>
              </w:rPr>
            </w:pPr>
            <w:r w:rsidRPr="002A24E2">
              <w:rPr>
                <w:szCs w:val="24"/>
                <w:lang w:val="de-DE"/>
              </w:rPr>
              <w:lastRenderedPageBreak/>
              <w:t>Allgemeine</w:t>
            </w:r>
            <w:r w:rsidR="00FD3F63" w:rsidRPr="002A24E2">
              <w:rPr>
                <w:szCs w:val="24"/>
                <w:lang w:val="de-DE"/>
              </w:rPr>
              <w:t xml:space="preserve"> </w:t>
            </w:r>
            <w:r w:rsidR="0057202E" w:rsidRPr="002A24E2">
              <w:rPr>
                <w:szCs w:val="24"/>
                <w:lang w:val="de-DE"/>
              </w:rPr>
              <w:t>Be</w:t>
            </w:r>
            <w:r w:rsidRPr="002A24E2">
              <w:rPr>
                <w:szCs w:val="24"/>
                <w:lang w:val="de-DE"/>
              </w:rPr>
              <w:t>merkungen</w:t>
            </w:r>
          </w:p>
        </w:tc>
        <w:tc>
          <w:tcPr>
            <w:tcW w:w="7938" w:type="dxa"/>
          </w:tcPr>
          <w:p w:rsidR="0032237D" w:rsidRPr="002A24E2" w:rsidRDefault="0032237D" w:rsidP="0057202E">
            <w:pPr>
              <w:rPr>
                <w:szCs w:val="24"/>
                <w:lang w:val="de-DE"/>
              </w:rPr>
            </w:pPr>
            <w:r w:rsidRPr="002A24E2">
              <w:rPr>
                <w:szCs w:val="24"/>
                <w:lang w:val="de-DE"/>
              </w:rPr>
              <w:t xml:space="preserve">- Der TC-EDC nahm zur Kenntnis, daß randomisierte </w:t>
            </w:r>
            <w:r w:rsidR="00FD3F63" w:rsidRPr="002A24E2">
              <w:rPr>
                <w:szCs w:val="24"/>
                <w:lang w:val="de-DE"/>
              </w:rPr>
              <w:t>„</w:t>
            </w:r>
            <w:r w:rsidRPr="002A24E2">
              <w:rPr>
                <w:szCs w:val="24"/>
                <w:lang w:val="de-DE"/>
              </w:rPr>
              <w:t>Blind</w:t>
            </w:r>
            <w:r w:rsidR="00FD3F63" w:rsidRPr="002A24E2">
              <w:rPr>
                <w:szCs w:val="24"/>
                <w:lang w:val="de-DE"/>
              </w:rPr>
              <w:t>“-P</w:t>
            </w:r>
            <w:r w:rsidRPr="002A24E2">
              <w:rPr>
                <w:szCs w:val="24"/>
                <w:lang w:val="de-DE"/>
              </w:rPr>
              <w:t xml:space="preserve">rüfungen nur sehr selten </w:t>
            </w:r>
            <w:r w:rsidR="0057202E" w:rsidRPr="002A24E2">
              <w:rPr>
                <w:szCs w:val="24"/>
                <w:lang w:val="de-DE"/>
              </w:rPr>
              <w:t>ange</w:t>
            </w:r>
            <w:r w:rsidRPr="002A24E2">
              <w:rPr>
                <w:szCs w:val="24"/>
                <w:lang w:val="de-DE"/>
              </w:rPr>
              <w:t>w</w:t>
            </w:r>
            <w:r w:rsidR="0057202E" w:rsidRPr="002A24E2">
              <w:rPr>
                <w:szCs w:val="24"/>
                <w:lang w:val="de-DE"/>
              </w:rPr>
              <w:t>a</w:t>
            </w:r>
            <w:r w:rsidRPr="002A24E2">
              <w:rPr>
                <w:szCs w:val="24"/>
                <w:lang w:val="de-DE"/>
              </w:rPr>
              <w:t>ndt werden</w:t>
            </w:r>
            <w:r w:rsidR="0057202E" w:rsidRPr="002A24E2">
              <w:rPr>
                <w:szCs w:val="24"/>
                <w:lang w:val="de-DE"/>
              </w:rPr>
              <w:t>,</w:t>
            </w:r>
            <w:r w:rsidRPr="002A24E2">
              <w:rPr>
                <w:szCs w:val="24"/>
                <w:lang w:val="de-DE"/>
              </w:rPr>
              <w:t xml:space="preserve"> und schlug vor, daß der TC überprüfen solle, ob es angemessen sei, eine Anleitung für eine Methode in </w:t>
            </w:r>
            <w:r w:rsidR="0057202E" w:rsidRPr="002A24E2">
              <w:rPr>
                <w:szCs w:val="24"/>
                <w:lang w:val="de-DE"/>
              </w:rPr>
              <w:t xml:space="preserve">das Dokument </w:t>
            </w:r>
            <w:r w:rsidRPr="002A24E2">
              <w:rPr>
                <w:szCs w:val="24"/>
                <w:lang w:val="de-DE"/>
              </w:rPr>
              <w:t xml:space="preserve">TGP/8 aufzunehmen, die nur unter außerordentlichen Umständen verwendet wird und deren Aufnahme in </w:t>
            </w:r>
            <w:r w:rsidR="0057202E" w:rsidRPr="002A24E2">
              <w:rPr>
                <w:szCs w:val="24"/>
                <w:lang w:val="de-DE"/>
              </w:rPr>
              <w:t xml:space="preserve">das Dokument </w:t>
            </w:r>
            <w:r w:rsidRPr="002A24E2">
              <w:rPr>
                <w:szCs w:val="24"/>
                <w:lang w:val="de-DE"/>
              </w:rPr>
              <w:t xml:space="preserve">TGP/8 nahelegen könnte, daß es sich um eine routinemäßig </w:t>
            </w:r>
            <w:r w:rsidR="0057202E" w:rsidRPr="002A24E2">
              <w:rPr>
                <w:szCs w:val="24"/>
                <w:lang w:val="de-DE"/>
              </w:rPr>
              <w:t>ange</w:t>
            </w:r>
            <w:r w:rsidRPr="002A24E2">
              <w:rPr>
                <w:szCs w:val="24"/>
                <w:lang w:val="de-DE"/>
              </w:rPr>
              <w:t>w</w:t>
            </w:r>
            <w:r w:rsidR="0057202E" w:rsidRPr="002A24E2">
              <w:rPr>
                <w:szCs w:val="24"/>
                <w:lang w:val="de-DE"/>
              </w:rPr>
              <w:t>a</w:t>
            </w:r>
            <w:r w:rsidRPr="002A24E2">
              <w:rPr>
                <w:szCs w:val="24"/>
                <w:lang w:val="de-DE"/>
              </w:rPr>
              <w:t xml:space="preserve">ndte Methode handle. Falls beschlossen werden sollte, die Anleitung beizubehalten, wurde vorgeschlagen, daß klargestellt werden sollte, daß es sich bei den randomisierten </w:t>
            </w:r>
            <w:r w:rsidR="0057202E" w:rsidRPr="002A24E2">
              <w:rPr>
                <w:szCs w:val="24"/>
                <w:lang w:val="de-DE"/>
              </w:rPr>
              <w:t>„</w:t>
            </w:r>
            <w:r w:rsidRPr="002A24E2">
              <w:rPr>
                <w:szCs w:val="24"/>
                <w:lang w:val="de-DE"/>
              </w:rPr>
              <w:t>Blind</w:t>
            </w:r>
            <w:r w:rsidR="0057202E" w:rsidRPr="002A24E2">
              <w:rPr>
                <w:szCs w:val="24"/>
                <w:lang w:val="de-DE"/>
              </w:rPr>
              <w:t>“-P</w:t>
            </w:r>
            <w:r w:rsidRPr="002A24E2">
              <w:rPr>
                <w:szCs w:val="24"/>
                <w:lang w:val="de-DE"/>
              </w:rPr>
              <w:t xml:space="preserve">rüfungen um ein nützliches Mittel handelt, anhand dessen die Behörden den Züchtern aufzeigen können, daß </w:t>
            </w:r>
            <w:r w:rsidR="0057202E" w:rsidRPr="002A24E2">
              <w:rPr>
                <w:szCs w:val="24"/>
                <w:lang w:val="de-DE"/>
              </w:rPr>
              <w:t>die</w:t>
            </w:r>
            <w:r w:rsidRPr="002A24E2">
              <w:rPr>
                <w:szCs w:val="24"/>
                <w:lang w:val="de-DE"/>
              </w:rPr>
              <w:t xml:space="preserve"> Sorten </w:t>
            </w:r>
            <w:r w:rsidR="0057202E" w:rsidRPr="002A24E2">
              <w:rPr>
                <w:szCs w:val="24"/>
                <w:lang w:val="de-DE"/>
              </w:rPr>
              <w:t>nicht unterscheidbar seien</w:t>
            </w:r>
            <w:r w:rsidRPr="002A24E2">
              <w:rPr>
                <w:szCs w:val="24"/>
                <w:lang w:val="de-DE"/>
              </w:rPr>
              <w:t>, den Züchtern aber auch die Möglichkeit g</w:t>
            </w:r>
            <w:r w:rsidR="0057202E" w:rsidRPr="002A24E2">
              <w:rPr>
                <w:szCs w:val="24"/>
                <w:lang w:val="de-DE"/>
              </w:rPr>
              <w:t>ebe</w:t>
            </w:r>
            <w:r w:rsidRPr="002A24E2">
              <w:rPr>
                <w:szCs w:val="24"/>
                <w:lang w:val="de-DE"/>
              </w:rPr>
              <w:t xml:space="preserve">, Unterschiede bei den maßgebenden Merkmalen, </w:t>
            </w:r>
            <w:r w:rsidR="0057202E" w:rsidRPr="002A24E2">
              <w:rPr>
                <w:szCs w:val="24"/>
                <w:lang w:val="de-DE"/>
              </w:rPr>
              <w:t xml:space="preserve">die </w:t>
            </w:r>
            <w:r w:rsidRPr="002A24E2">
              <w:rPr>
                <w:szCs w:val="24"/>
                <w:lang w:val="de-DE"/>
              </w:rPr>
              <w:t>die Sorten bei der Anbauprüfung mit angemessener Kenntnis deutlich unterschieden hätten</w:t>
            </w:r>
            <w:r w:rsidR="0057202E" w:rsidRPr="002A24E2">
              <w:rPr>
                <w:szCs w:val="24"/>
                <w:lang w:val="de-DE"/>
              </w:rPr>
              <w:t>, nachzuweisen</w:t>
            </w:r>
            <w:r w:rsidRPr="002A24E2">
              <w:rPr>
                <w:szCs w:val="24"/>
                <w:lang w:val="de-DE"/>
              </w:rPr>
              <w:t xml:space="preserve">. Der TC-EDC schlug </w:t>
            </w:r>
            <w:r w:rsidR="0057202E" w:rsidRPr="002A24E2">
              <w:rPr>
                <w:szCs w:val="24"/>
                <w:lang w:val="de-DE"/>
              </w:rPr>
              <w:t>ferner</w:t>
            </w:r>
            <w:r w:rsidRPr="002A24E2">
              <w:rPr>
                <w:szCs w:val="24"/>
                <w:lang w:val="de-DE"/>
              </w:rPr>
              <w:t xml:space="preserve"> vor, den Aufbau des Dokuments zu überar</w:t>
            </w:r>
            <w:r w:rsidR="0057202E" w:rsidRPr="002A24E2">
              <w:rPr>
                <w:szCs w:val="24"/>
                <w:lang w:val="de-DE"/>
              </w:rPr>
              <w:t>beiten, um es klarer zu machen.</w:t>
            </w:r>
          </w:p>
        </w:tc>
      </w:tr>
      <w:tr w:rsidR="0032237D" w:rsidRPr="00261E44" w:rsidTr="00003233">
        <w:tc>
          <w:tcPr>
            <w:tcW w:w="1701" w:type="dxa"/>
          </w:tcPr>
          <w:p w:rsidR="0032237D" w:rsidRPr="002A24E2" w:rsidRDefault="0032237D" w:rsidP="00003233">
            <w:pPr>
              <w:jc w:val="left"/>
              <w:rPr>
                <w:szCs w:val="24"/>
                <w:lang w:val="de-DE"/>
              </w:rPr>
            </w:pPr>
            <w:r w:rsidRPr="002A24E2">
              <w:rPr>
                <w:szCs w:val="24"/>
                <w:lang w:val="de-DE"/>
              </w:rPr>
              <w:t>Titelseite</w:t>
            </w:r>
          </w:p>
        </w:tc>
        <w:tc>
          <w:tcPr>
            <w:tcW w:w="7938" w:type="dxa"/>
          </w:tcPr>
          <w:p w:rsidR="0032237D" w:rsidRPr="002A24E2" w:rsidRDefault="0032237D" w:rsidP="00003233">
            <w:pPr>
              <w:rPr>
                <w:szCs w:val="24"/>
                <w:lang w:val="de-DE"/>
              </w:rPr>
            </w:pPr>
            <w:r w:rsidRPr="002A24E2">
              <w:rPr>
                <w:szCs w:val="24"/>
                <w:lang w:val="de-DE"/>
              </w:rPr>
              <w:t>zu überprüfen, ob „Datenanalyse“ aus de</w:t>
            </w:r>
            <w:r w:rsidR="0057202E" w:rsidRPr="002A24E2">
              <w:rPr>
                <w:szCs w:val="24"/>
                <w:lang w:val="de-DE"/>
              </w:rPr>
              <w:t>r Überschrift</w:t>
            </w:r>
            <w:r w:rsidRPr="002A24E2">
              <w:rPr>
                <w:szCs w:val="24"/>
                <w:lang w:val="de-DE"/>
              </w:rPr>
              <w:t xml:space="preserve"> des Dokuments entfernt werden sollte.</w:t>
            </w:r>
          </w:p>
          <w:p w:rsidR="0032237D" w:rsidRPr="002A24E2" w:rsidRDefault="0032237D" w:rsidP="00003233">
            <w:pPr>
              <w:rPr>
                <w:szCs w:val="24"/>
                <w:lang w:val="de-DE"/>
              </w:rPr>
            </w:pPr>
          </w:p>
        </w:tc>
      </w:tr>
    </w:tbl>
    <w:p w:rsidR="0032237D" w:rsidRPr="002A24E2" w:rsidRDefault="0032237D" w:rsidP="0032237D">
      <w:pPr>
        <w:rPr>
          <w:szCs w:val="24"/>
          <w:lang w:val="de-DE"/>
        </w:rPr>
      </w:pPr>
    </w:p>
    <w:p w:rsidR="005712D2" w:rsidRPr="002A24E2" w:rsidRDefault="004B4303" w:rsidP="005712D2">
      <w:pPr>
        <w:rPr>
          <w:lang w:val="de-DE"/>
        </w:rPr>
      </w:pPr>
      <w:r w:rsidRPr="002A24E2">
        <w:rPr>
          <w:lang w:val="de-DE"/>
        </w:rPr>
        <w:fldChar w:fldCharType="begin"/>
      </w:r>
      <w:r w:rsidRPr="002A24E2">
        <w:rPr>
          <w:lang w:val="de-DE"/>
        </w:rPr>
        <w:instrText xml:space="preserve"> AUTONUM  </w:instrText>
      </w:r>
      <w:r w:rsidRPr="002A24E2">
        <w:rPr>
          <w:lang w:val="de-DE"/>
        </w:rPr>
        <w:fldChar w:fldCharType="end"/>
      </w:r>
      <w:r w:rsidRPr="002A24E2">
        <w:rPr>
          <w:lang w:val="de-DE"/>
        </w:rPr>
        <w:tab/>
      </w:r>
      <w:r w:rsidR="005712D2" w:rsidRPr="002A24E2">
        <w:rPr>
          <w:lang w:val="de-DE"/>
        </w:rPr>
        <w:t xml:space="preserve">Der TC vereinbarte, daß die Umstände, unter denen randomisierte </w:t>
      </w:r>
      <w:r w:rsidR="0057202E" w:rsidRPr="002A24E2">
        <w:rPr>
          <w:lang w:val="de-DE"/>
        </w:rPr>
        <w:t>„</w:t>
      </w:r>
      <w:r w:rsidR="005712D2" w:rsidRPr="002A24E2">
        <w:rPr>
          <w:lang w:val="de-DE"/>
        </w:rPr>
        <w:t>Blind</w:t>
      </w:r>
      <w:r w:rsidR="0057202E" w:rsidRPr="002A24E2">
        <w:rPr>
          <w:lang w:val="de-DE"/>
        </w:rPr>
        <w:t>“-P</w:t>
      </w:r>
      <w:r w:rsidR="005712D2" w:rsidRPr="002A24E2">
        <w:rPr>
          <w:lang w:val="de-DE"/>
        </w:rPr>
        <w:t>rüfungen zweckmäßig sind, geklärt werden sollten.</w:t>
      </w:r>
    </w:p>
    <w:p w:rsidR="005712D2" w:rsidRPr="002A24E2" w:rsidRDefault="005712D2" w:rsidP="005712D2">
      <w:pPr>
        <w:rPr>
          <w:lang w:val="de-DE"/>
        </w:rPr>
      </w:pPr>
    </w:p>
    <w:p w:rsidR="004B4303" w:rsidRPr="002A24E2" w:rsidRDefault="005712D2" w:rsidP="004B4303">
      <w:pPr>
        <w:rPr>
          <w:lang w:val="de-DE"/>
        </w:rPr>
      </w:pPr>
      <w:r w:rsidRPr="002A24E2">
        <w:rPr>
          <w:lang w:val="de-DE"/>
        </w:rPr>
        <w:fldChar w:fldCharType="begin"/>
      </w:r>
      <w:r w:rsidRPr="002A24E2">
        <w:rPr>
          <w:lang w:val="de-DE"/>
        </w:rPr>
        <w:instrText xml:space="preserve"> AUTONUM  </w:instrText>
      </w:r>
      <w:r w:rsidRPr="002A24E2">
        <w:rPr>
          <w:lang w:val="de-DE"/>
        </w:rPr>
        <w:fldChar w:fldCharType="end"/>
      </w:r>
      <w:r w:rsidRPr="002A24E2">
        <w:rPr>
          <w:lang w:val="de-DE"/>
        </w:rPr>
        <w:tab/>
        <w:t xml:space="preserve">Der TC vereinbarte, den Aufbau des Dokuments zu überarbeiten, um es klarer zu machen, und daß erwogen werden sollte, ob die Anleitung zur Anwendung randomisierter „Blind“-Prüfungen ohne Datenanalyse aufgenommen werden sollte, was die Streichung von „Datenanalyse“ aus dem Titel des Dokuments erfordern würde. Der TC vereinbarte, daß das Verbandsbüro Auskünfte über die Anwendung randomisierter „Blind“-Prüfungen </w:t>
      </w:r>
      <w:r w:rsidR="0057202E" w:rsidRPr="002A24E2">
        <w:rPr>
          <w:lang w:val="de-DE"/>
        </w:rPr>
        <w:t>zur</w:t>
      </w:r>
      <w:r w:rsidRPr="002A24E2">
        <w:rPr>
          <w:lang w:val="de-DE"/>
        </w:rPr>
        <w:t xml:space="preserve"> Vorlage </w:t>
      </w:r>
      <w:r w:rsidR="0057202E" w:rsidRPr="002A24E2">
        <w:rPr>
          <w:lang w:val="de-DE"/>
        </w:rPr>
        <w:t>an</w:t>
      </w:r>
      <w:r w:rsidRPr="002A24E2">
        <w:rPr>
          <w:lang w:val="de-DE"/>
        </w:rPr>
        <w:t xml:space="preserve"> d</w:t>
      </w:r>
      <w:r w:rsidR="0057202E" w:rsidRPr="002A24E2">
        <w:rPr>
          <w:lang w:val="de-DE"/>
        </w:rPr>
        <w:t>ie</w:t>
      </w:r>
      <w:r w:rsidRPr="002A24E2">
        <w:rPr>
          <w:lang w:val="de-DE"/>
        </w:rPr>
        <w:t xml:space="preserve"> TWP und de</w:t>
      </w:r>
      <w:r w:rsidR="0057202E" w:rsidRPr="002A24E2">
        <w:rPr>
          <w:lang w:val="de-DE"/>
        </w:rPr>
        <w:t xml:space="preserve">n TC einholen solle </w:t>
      </w:r>
      <w:r w:rsidR="004B4303" w:rsidRPr="002A24E2">
        <w:rPr>
          <w:lang w:val="de-DE"/>
        </w:rPr>
        <w:t>(</w:t>
      </w:r>
      <w:r w:rsidR="00DD2C6B" w:rsidRPr="002A24E2">
        <w:rPr>
          <w:lang w:val="de-DE"/>
        </w:rPr>
        <w:t>vergleiche Dokument</w:t>
      </w:r>
      <w:r w:rsidR="0057202E" w:rsidRPr="002A24E2">
        <w:rPr>
          <w:lang w:val="de-DE"/>
        </w:rPr>
        <w:t> </w:t>
      </w:r>
      <w:r w:rsidR="004B4303" w:rsidRPr="002A24E2">
        <w:rPr>
          <w:lang w:val="de-DE"/>
        </w:rPr>
        <w:t>TC/50/36</w:t>
      </w:r>
      <w:r w:rsidRPr="002A24E2">
        <w:rPr>
          <w:lang w:val="de-DE"/>
        </w:rPr>
        <w:t>,</w:t>
      </w:r>
      <w:r w:rsidR="004B4303" w:rsidRPr="002A24E2">
        <w:rPr>
          <w:lang w:val="de-DE"/>
        </w:rPr>
        <w:t xml:space="preserve"> </w:t>
      </w:r>
      <w:r w:rsidRPr="002A24E2">
        <w:rPr>
          <w:lang w:val="de-DE"/>
        </w:rPr>
        <w:t>„</w:t>
      </w:r>
      <w:r w:rsidR="00AF57B2" w:rsidRPr="002A24E2">
        <w:rPr>
          <w:lang w:val="de-DE"/>
        </w:rPr>
        <w:t>Bericht über die Entschließungen</w:t>
      </w:r>
      <w:r w:rsidRPr="002A24E2">
        <w:rPr>
          <w:lang w:val="de-DE"/>
        </w:rPr>
        <w:t>“</w:t>
      </w:r>
      <w:r w:rsidR="004B4303" w:rsidRPr="002A24E2">
        <w:rPr>
          <w:lang w:val="de-DE"/>
        </w:rPr>
        <w:t xml:space="preserve">, </w:t>
      </w:r>
      <w:r w:rsidR="005F15FE" w:rsidRPr="002A24E2">
        <w:rPr>
          <w:lang w:val="de-DE"/>
        </w:rPr>
        <w:t>Absätze</w:t>
      </w:r>
      <w:r w:rsidR="004B4303" w:rsidRPr="002A24E2">
        <w:rPr>
          <w:lang w:val="de-DE"/>
        </w:rPr>
        <w:t xml:space="preserve"> 59 </w:t>
      </w:r>
      <w:r w:rsidR="005412DD" w:rsidRPr="002A24E2">
        <w:rPr>
          <w:lang w:val="de-DE"/>
        </w:rPr>
        <w:t>bis</w:t>
      </w:r>
      <w:r w:rsidR="004B4303" w:rsidRPr="002A24E2">
        <w:rPr>
          <w:lang w:val="de-DE"/>
        </w:rPr>
        <w:t xml:space="preserve"> 61).</w:t>
      </w:r>
    </w:p>
    <w:p w:rsidR="004B4303" w:rsidRPr="002A24E2" w:rsidRDefault="004B4303" w:rsidP="004B4303">
      <w:pPr>
        <w:rPr>
          <w:lang w:val="de-DE"/>
        </w:rPr>
      </w:pPr>
    </w:p>
    <w:p w:rsidR="004B4303" w:rsidRPr="002A24E2" w:rsidRDefault="004B4303" w:rsidP="004B4303">
      <w:pPr>
        <w:rPr>
          <w:rFonts w:cs="Arial"/>
          <w:lang w:val="de-DE"/>
        </w:rPr>
      </w:pPr>
      <w:r w:rsidRPr="002A24E2">
        <w:rPr>
          <w:lang w:val="de-DE"/>
        </w:rPr>
        <w:fldChar w:fldCharType="begin"/>
      </w:r>
      <w:r w:rsidRPr="002A24E2">
        <w:rPr>
          <w:lang w:val="de-DE"/>
        </w:rPr>
        <w:instrText xml:space="preserve"> AUTONUM  </w:instrText>
      </w:r>
      <w:r w:rsidRPr="002A24E2">
        <w:rPr>
          <w:lang w:val="de-DE"/>
        </w:rPr>
        <w:fldChar w:fldCharType="end"/>
      </w:r>
      <w:r w:rsidRPr="002A24E2">
        <w:rPr>
          <w:lang w:val="de-DE"/>
        </w:rPr>
        <w:tab/>
      </w:r>
      <w:r w:rsidR="005412DD" w:rsidRPr="002A24E2">
        <w:rPr>
          <w:lang w:val="de-DE"/>
        </w:rPr>
        <w:t xml:space="preserve">Der Sachverständige aus Frankreich teilte dem Verbandsbüro mit, daß es angesichts der erforderlichen umfassenden Neuformulierung des Wortlauts nicht möglich sein werde, einen Wortlaut vorzulegen, der von den TWP im Jahre 2014 </w:t>
      </w:r>
      <w:r w:rsidR="001C1EC9" w:rsidRPr="002A24E2">
        <w:rPr>
          <w:lang w:val="de-DE"/>
        </w:rPr>
        <w:t>zu prüfen wäre</w:t>
      </w:r>
      <w:r w:rsidR="005412DD" w:rsidRPr="002A24E2">
        <w:rPr>
          <w:lang w:val="de-DE"/>
        </w:rPr>
        <w:t>, und schlug vor, daß e</w:t>
      </w:r>
      <w:r w:rsidR="0057202E" w:rsidRPr="002A24E2">
        <w:rPr>
          <w:lang w:val="de-DE"/>
        </w:rPr>
        <w:t>i</w:t>
      </w:r>
      <w:r w:rsidR="005412DD" w:rsidRPr="002A24E2">
        <w:rPr>
          <w:lang w:val="de-DE"/>
        </w:rPr>
        <w:t xml:space="preserve">n neuer Entwurf zur Prüfung durch den TC und die TWP im Jahre 2015 ausgearbeitet werden solle. </w:t>
      </w:r>
      <w:r w:rsidR="00067568" w:rsidRPr="002A24E2">
        <w:rPr>
          <w:lang w:val="de-DE"/>
        </w:rPr>
        <w:t xml:space="preserve">Zur </w:t>
      </w:r>
      <w:r w:rsidR="005412DD" w:rsidRPr="002A24E2">
        <w:rPr>
          <w:lang w:val="de-DE"/>
        </w:rPr>
        <w:t>Erleichterung</w:t>
      </w:r>
      <w:r w:rsidR="00067568" w:rsidRPr="002A24E2">
        <w:rPr>
          <w:lang w:val="de-DE"/>
        </w:rPr>
        <w:t xml:space="preserve"> der </w:t>
      </w:r>
      <w:r w:rsidR="005412DD" w:rsidRPr="002A24E2">
        <w:rPr>
          <w:lang w:val="de-DE"/>
        </w:rPr>
        <w:t>Prüfung</w:t>
      </w:r>
      <w:r w:rsidR="00067568" w:rsidRPr="002A24E2">
        <w:rPr>
          <w:lang w:val="de-DE"/>
        </w:rPr>
        <w:t xml:space="preserve"> </w:t>
      </w:r>
      <w:r w:rsidR="005412DD" w:rsidRPr="002A24E2">
        <w:rPr>
          <w:lang w:val="de-DE"/>
        </w:rPr>
        <w:t>durch</w:t>
      </w:r>
      <w:r w:rsidR="00067568" w:rsidRPr="002A24E2">
        <w:rPr>
          <w:lang w:val="de-DE"/>
        </w:rPr>
        <w:t xml:space="preserve"> </w:t>
      </w:r>
      <w:r w:rsidR="005412DD" w:rsidRPr="002A24E2">
        <w:rPr>
          <w:lang w:val="de-DE"/>
        </w:rPr>
        <w:t>den</w:t>
      </w:r>
      <w:r w:rsidRPr="002A24E2">
        <w:rPr>
          <w:rFonts w:cs="Arial"/>
          <w:lang w:val="de-DE"/>
        </w:rPr>
        <w:t xml:space="preserve"> TC</w:t>
      </w:r>
      <w:r w:rsidR="00067568" w:rsidRPr="002A24E2">
        <w:rPr>
          <w:rFonts w:cs="Arial"/>
          <w:lang w:val="de-DE"/>
        </w:rPr>
        <w:t xml:space="preserve"> auf seiner einundfünfzigsten Tagung wurde </w:t>
      </w:r>
      <w:r w:rsidR="005412DD" w:rsidRPr="002A24E2">
        <w:rPr>
          <w:rFonts w:cs="Arial"/>
          <w:lang w:val="de-DE"/>
        </w:rPr>
        <w:t>außerdem</w:t>
      </w:r>
      <w:r w:rsidR="00067568" w:rsidRPr="002A24E2">
        <w:rPr>
          <w:rFonts w:cs="Arial"/>
          <w:lang w:val="de-DE"/>
        </w:rPr>
        <w:t xml:space="preserve"> vorgeschlagen, </w:t>
      </w:r>
      <w:r w:rsidR="005412DD" w:rsidRPr="002A24E2">
        <w:rPr>
          <w:rFonts w:cs="Arial"/>
          <w:lang w:val="de-DE"/>
        </w:rPr>
        <w:t>daß</w:t>
      </w:r>
      <w:r w:rsidR="00067568" w:rsidRPr="002A24E2">
        <w:rPr>
          <w:rFonts w:cs="Arial"/>
          <w:lang w:val="de-DE"/>
        </w:rPr>
        <w:t xml:space="preserve"> ein erster </w:t>
      </w:r>
      <w:r w:rsidR="005412DD" w:rsidRPr="002A24E2">
        <w:rPr>
          <w:rFonts w:cs="Arial"/>
          <w:lang w:val="de-DE"/>
        </w:rPr>
        <w:t>Entwurf</w:t>
      </w:r>
      <w:r w:rsidR="00067568" w:rsidRPr="002A24E2">
        <w:rPr>
          <w:rFonts w:cs="Arial"/>
          <w:lang w:val="de-DE"/>
        </w:rPr>
        <w:t xml:space="preserve"> ausgearbeitet werde</w:t>
      </w:r>
      <w:r w:rsidR="00313007" w:rsidRPr="002A24E2">
        <w:rPr>
          <w:rFonts w:cs="Arial"/>
          <w:lang w:val="de-DE"/>
        </w:rPr>
        <w:t>n solle</w:t>
      </w:r>
      <w:r w:rsidR="00067568" w:rsidRPr="002A24E2">
        <w:rPr>
          <w:rFonts w:cs="Arial"/>
          <w:lang w:val="de-DE"/>
        </w:rPr>
        <w:t xml:space="preserve">, der vom TC-EDC auf seiner </w:t>
      </w:r>
      <w:r w:rsidR="005412DD" w:rsidRPr="002A24E2">
        <w:rPr>
          <w:rFonts w:cs="Arial"/>
          <w:lang w:val="de-DE"/>
        </w:rPr>
        <w:t>Sitzung</w:t>
      </w:r>
      <w:r w:rsidR="00067568" w:rsidRPr="002A24E2">
        <w:rPr>
          <w:rFonts w:cs="Arial"/>
          <w:lang w:val="de-DE"/>
        </w:rPr>
        <w:t xml:space="preserve"> vom 7. </w:t>
      </w:r>
      <w:r w:rsidR="00313007" w:rsidRPr="002A24E2">
        <w:rPr>
          <w:rFonts w:cs="Arial"/>
          <w:lang w:val="de-DE"/>
        </w:rPr>
        <w:t>u</w:t>
      </w:r>
      <w:r w:rsidR="00067568" w:rsidRPr="002A24E2">
        <w:rPr>
          <w:rFonts w:cs="Arial"/>
          <w:lang w:val="de-DE"/>
        </w:rPr>
        <w:t xml:space="preserve">nd 8. Januar 2015 </w:t>
      </w:r>
      <w:r w:rsidR="00313007" w:rsidRPr="002A24E2">
        <w:rPr>
          <w:rFonts w:cs="Arial"/>
          <w:lang w:val="de-DE"/>
        </w:rPr>
        <w:t>zu prüfen ist.</w:t>
      </w:r>
    </w:p>
    <w:p w:rsidR="004B4303" w:rsidRPr="002A24E2" w:rsidRDefault="004B4303" w:rsidP="004B4303">
      <w:pPr>
        <w:rPr>
          <w:lang w:val="de-DE"/>
        </w:rPr>
      </w:pPr>
    </w:p>
    <w:p w:rsidR="004B4303" w:rsidRPr="002A24E2" w:rsidRDefault="00C22BB6" w:rsidP="004B4303">
      <w:pPr>
        <w:pStyle w:val="Heading1"/>
        <w:rPr>
          <w:lang w:val="de-DE"/>
        </w:rPr>
      </w:pPr>
      <w:bookmarkStart w:id="22" w:name="_Toc406149593"/>
      <w:bookmarkStart w:id="23" w:name="_Toc410718286"/>
      <w:bookmarkStart w:id="24" w:name="_Toc410810145"/>
      <w:bookmarkStart w:id="25" w:name="_Toc410827626"/>
      <w:r w:rsidRPr="002A24E2">
        <w:rPr>
          <w:lang w:val="de-DE"/>
        </w:rPr>
        <w:t>BEMERKUNGEN DER TECHNISCHEN ARBEITSGRUPPEN IM JAHRE</w:t>
      </w:r>
      <w:r w:rsidR="004B4303" w:rsidRPr="002A24E2">
        <w:rPr>
          <w:lang w:val="de-DE"/>
        </w:rPr>
        <w:t xml:space="preserve"> 2014</w:t>
      </w:r>
      <w:bookmarkEnd w:id="22"/>
      <w:bookmarkEnd w:id="23"/>
      <w:bookmarkEnd w:id="24"/>
      <w:bookmarkEnd w:id="25"/>
    </w:p>
    <w:p w:rsidR="004B4303" w:rsidRPr="002A24E2" w:rsidRDefault="004B4303" w:rsidP="004B4303">
      <w:pPr>
        <w:rPr>
          <w:lang w:val="de-DE"/>
        </w:rPr>
      </w:pPr>
    </w:p>
    <w:p w:rsidR="004B4303" w:rsidRPr="002A24E2" w:rsidRDefault="004B4303" w:rsidP="004B4303">
      <w:pPr>
        <w:rPr>
          <w:lang w:val="de-DE"/>
        </w:rPr>
      </w:pPr>
      <w:r w:rsidRPr="002A24E2">
        <w:rPr>
          <w:lang w:val="de-DE"/>
        </w:rPr>
        <w:fldChar w:fldCharType="begin"/>
      </w:r>
      <w:r w:rsidRPr="002A24E2">
        <w:rPr>
          <w:lang w:val="de-DE"/>
        </w:rPr>
        <w:instrText xml:space="preserve"> AUTONUM  </w:instrText>
      </w:r>
      <w:r w:rsidRPr="002A24E2">
        <w:rPr>
          <w:lang w:val="de-DE"/>
        </w:rPr>
        <w:fldChar w:fldCharType="end"/>
      </w:r>
      <w:r w:rsidRPr="002A24E2">
        <w:rPr>
          <w:lang w:val="de-DE"/>
        </w:rPr>
        <w:tab/>
      </w:r>
      <w:r w:rsidR="00DD6C95" w:rsidRPr="002A24E2">
        <w:rPr>
          <w:lang w:val="de-DE"/>
        </w:rPr>
        <w:t>Die</w:t>
      </w:r>
      <w:r w:rsidRPr="002A24E2">
        <w:rPr>
          <w:lang w:val="de-DE"/>
        </w:rPr>
        <w:t xml:space="preserve"> TWO, </w:t>
      </w:r>
      <w:r w:rsidR="00DD6C95" w:rsidRPr="002A24E2">
        <w:rPr>
          <w:lang w:val="de-DE"/>
        </w:rPr>
        <w:t xml:space="preserve">die </w:t>
      </w:r>
      <w:r w:rsidRPr="002A24E2">
        <w:rPr>
          <w:lang w:val="de-DE"/>
        </w:rPr>
        <w:t xml:space="preserve">TWF, </w:t>
      </w:r>
      <w:r w:rsidR="00DD6C95" w:rsidRPr="002A24E2">
        <w:rPr>
          <w:lang w:val="de-DE"/>
        </w:rPr>
        <w:t xml:space="preserve">die </w:t>
      </w:r>
      <w:r w:rsidRPr="002A24E2">
        <w:rPr>
          <w:lang w:val="de-DE"/>
        </w:rPr>
        <w:t xml:space="preserve">TWC, </w:t>
      </w:r>
      <w:r w:rsidR="00DD6C95" w:rsidRPr="002A24E2">
        <w:rPr>
          <w:lang w:val="de-DE"/>
        </w:rPr>
        <w:t xml:space="preserve">die </w:t>
      </w:r>
      <w:r w:rsidRPr="002A24E2">
        <w:rPr>
          <w:lang w:val="de-DE"/>
        </w:rPr>
        <w:t xml:space="preserve">TWV </w:t>
      </w:r>
      <w:r w:rsidR="00DD6C95" w:rsidRPr="002A24E2">
        <w:rPr>
          <w:lang w:val="de-DE"/>
        </w:rPr>
        <w:t>u</w:t>
      </w:r>
      <w:r w:rsidRPr="002A24E2">
        <w:rPr>
          <w:lang w:val="de-DE"/>
        </w:rPr>
        <w:t xml:space="preserve">nd </w:t>
      </w:r>
      <w:r w:rsidR="00DD6C95" w:rsidRPr="002A24E2">
        <w:rPr>
          <w:lang w:val="de-DE"/>
        </w:rPr>
        <w:t xml:space="preserve">die </w:t>
      </w:r>
      <w:r w:rsidRPr="002A24E2">
        <w:rPr>
          <w:lang w:val="de-DE"/>
        </w:rPr>
        <w:t xml:space="preserve">TWA </w:t>
      </w:r>
      <w:r w:rsidR="00DD6C95" w:rsidRPr="002A24E2">
        <w:rPr>
          <w:lang w:val="de-DE"/>
        </w:rPr>
        <w:t xml:space="preserve">prüften auf ihren Tagungen im Jahre 2014 die </w:t>
      </w:r>
      <w:r w:rsidR="005F15FE" w:rsidRPr="002A24E2">
        <w:rPr>
          <w:lang w:val="de-DE"/>
        </w:rPr>
        <w:t>Dokumente</w:t>
      </w:r>
      <w:r w:rsidRPr="002A24E2">
        <w:rPr>
          <w:lang w:val="de-DE"/>
        </w:rPr>
        <w:t> TWO/47/19,</w:t>
      </w:r>
      <w:r w:rsidRPr="002A24E2">
        <w:rPr>
          <w:rFonts w:cs="Arial"/>
          <w:lang w:val="de-DE"/>
        </w:rPr>
        <w:t xml:space="preserve"> TWF/45/19, TWV/48/19, TWC/32/19 </w:t>
      </w:r>
      <w:r w:rsidR="00DD6C95" w:rsidRPr="002A24E2">
        <w:rPr>
          <w:rFonts w:cs="Arial"/>
          <w:lang w:val="de-DE"/>
        </w:rPr>
        <w:t>bzw.</w:t>
      </w:r>
      <w:r w:rsidRPr="002A24E2">
        <w:rPr>
          <w:rFonts w:cs="Arial"/>
          <w:lang w:val="de-DE"/>
        </w:rPr>
        <w:t xml:space="preserve"> TWA/43/19, </w:t>
      </w:r>
      <w:r w:rsidR="00313007" w:rsidRPr="002A24E2">
        <w:rPr>
          <w:rFonts w:cs="Arial"/>
          <w:lang w:val="de-DE"/>
        </w:rPr>
        <w:t xml:space="preserve">die </w:t>
      </w:r>
      <w:r w:rsidR="00DD6C95" w:rsidRPr="002A24E2">
        <w:rPr>
          <w:rFonts w:cs="Arial"/>
          <w:lang w:val="de-DE"/>
        </w:rPr>
        <w:t>den</w:t>
      </w:r>
      <w:r w:rsidRPr="002A24E2">
        <w:rPr>
          <w:rFonts w:cs="Arial"/>
          <w:lang w:val="de-DE"/>
        </w:rPr>
        <w:t xml:space="preserve"> </w:t>
      </w:r>
      <w:r w:rsidR="005F15FE" w:rsidRPr="002A24E2">
        <w:rPr>
          <w:rFonts w:cs="Arial"/>
          <w:lang w:val="de-DE"/>
        </w:rPr>
        <w:t>Entwurf einer Anleitung</w:t>
      </w:r>
      <w:r w:rsidRPr="002A24E2">
        <w:rPr>
          <w:rFonts w:cs="Arial"/>
          <w:lang w:val="de-DE"/>
        </w:rPr>
        <w:t xml:space="preserve"> </w:t>
      </w:r>
      <w:r w:rsidR="00DD6C95" w:rsidRPr="002A24E2">
        <w:rPr>
          <w:rFonts w:cs="Arial"/>
          <w:lang w:val="de-DE"/>
        </w:rPr>
        <w:t xml:space="preserve">enthielten, der </w:t>
      </w:r>
      <w:r w:rsidRPr="002A24E2">
        <w:rPr>
          <w:rFonts w:cs="Arial"/>
          <w:lang w:val="de-DE"/>
        </w:rPr>
        <w:t xml:space="preserve">in </w:t>
      </w:r>
      <w:r w:rsidR="00AF57B2" w:rsidRPr="002A24E2">
        <w:rPr>
          <w:rFonts w:cs="Arial"/>
          <w:lang w:val="de-DE"/>
        </w:rPr>
        <w:t>Anlage</w:t>
      </w:r>
      <w:r w:rsidRPr="002A24E2">
        <w:rPr>
          <w:rFonts w:cs="Arial"/>
          <w:lang w:val="de-DE"/>
        </w:rPr>
        <w:t xml:space="preserve"> I </w:t>
      </w:r>
      <w:r w:rsidR="00AF57B2" w:rsidRPr="002A24E2">
        <w:rPr>
          <w:rFonts w:cs="Arial"/>
          <w:lang w:val="de-DE"/>
        </w:rPr>
        <w:t>dieses Dokuments</w:t>
      </w:r>
      <w:r w:rsidR="00DD6C95" w:rsidRPr="002A24E2">
        <w:rPr>
          <w:rFonts w:cs="Arial"/>
          <w:lang w:val="de-DE"/>
        </w:rPr>
        <w:t xml:space="preserve"> wiedergegeben ist</w:t>
      </w:r>
      <w:r w:rsidRPr="002A24E2">
        <w:rPr>
          <w:rFonts w:cs="Arial"/>
          <w:lang w:val="de-DE"/>
        </w:rPr>
        <w:t>.</w:t>
      </w:r>
    </w:p>
    <w:p w:rsidR="004B4303" w:rsidRPr="002A24E2" w:rsidRDefault="004B4303" w:rsidP="004B4303">
      <w:pPr>
        <w:rPr>
          <w:lang w:val="de-D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6924"/>
        <w:gridCol w:w="1014"/>
      </w:tblGrid>
      <w:tr w:rsidR="004B4303" w:rsidRPr="002A24E2" w:rsidTr="005F15FE">
        <w:trPr>
          <w:cantSplit/>
        </w:trPr>
        <w:tc>
          <w:tcPr>
            <w:tcW w:w="1701" w:type="dxa"/>
          </w:tcPr>
          <w:p w:rsidR="004B4303" w:rsidRPr="002A24E2" w:rsidRDefault="00DD6C95" w:rsidP="00DD6C95">
            <w:pPr>
              <w:jc w:val="left"/>
              <w:rPr>
                <w:lang w:val="de-DE"/>
              </w:rPr>
            </w:pPr>
            <w:r w:rsidRPr="002A24E2">
              <w:rPr>
                <w:lang w:val="de-DE"/>
              </w:rPr>
              <w:t>Allgemeine Bemerkungen</w:t>
            </w:r>
          </w:p>
        </w:tc>
        <w:tc>
          <w:tcPr>
            <w:tcW w:w="6924" w:type="dxa"/>
          </w:tcPr>
          <w:p w:rsidR="004B4303" w:rsidRPr="002A24E2" w:rsidRDefault="005412DD" w:rsidP="005F15FE">
            <w:pPr>
              <w:rPr>
                <w:lang w:val="de-DE"/>
              </w:rPr>
            </w:pPr>
            <w:r w:rsidRPr="002A24E2">
              <w:rPr>
                <w:lang w:val="de-DE"/>
              </w:rPr>
              <w:t xml:space="preserve">Die TWO nahm zur Kenntnis, daß </w:t>
            </w:r>
            <w:r w:rsidR="00313007" w:rsidRPr="002A24E2">
              <w:rPr>
                <w:snapToGrid w:val="0"/>
                <w:lang w:val="de-DE"/>
              </w:rPr>
              <w:t xml:space="preserve">sich </w:t>
            </w:r>
            <w:r w:rsidRPr="002A24E2">
              <w:rPr>
                <w:lang w:val="de-DE"/>
              </w:rPr>
              <w:t xml:space="preserve">das Beispiel </w:t>
            </w:r>
            <w:r w:rsidRPr="002A24E2">
              <w:rPr>
                <w:snapToGrid w:val="0"/>
                <w:lang w:val="de-DE"/>
              </w:rPr>
              <w:t>in Dokument</w:t>
            </w:r>
            <w:r w:rsidR="00313007" w:rsidRPr="002A24E2">
              <w:rPr>
                <w:snapToGrid w:val="0"/>
                <w:lang w:val="de-DE"/>
              </w:rPr>
              <w:t> </w:t>
            </w:r>
            <w:r w:rsidRPr="002A24E2">
              <w:rPr>
                <w:snapToGrid w:val="0"/>
                <w:lang w:val="de-DE"/>
              </w:rPr>
              <w:t>TWO/47/19 auf samenvermehrte Sorten beziehe, und vereinbarte, daß andere Aspekte der Prüfungsanlage für vegetativ vermehrte Sorten</w:t>
            </w:r>
            <w:r w:rsidR="00313007" w:rsidRPr="002A24E2">
              <w:rPr>
                <w:snapToGrid w:val="0"/>
                <w:lang w:val="de-DE"/>
              </w:rPr>
              <w:t xml:space="preserve">, beispielsweise </w:t>
            </w:r>
            <w:r w:rsidR="005653E9" w:rsidRPr="002A24E2">
              <w:rPr>
                <w:snapToGrid w:val="0"/>
                <w:lang w:val="de-DE"/>
              </w:rPr>
              <w:t>Art</w:t>
            </w:r>
            <w:r w:rsidR="00313007" w:rsidRPr="002A24E2">
              <w:rPr>
                <w:snapToGrid w:val="0"/>
                <w:lang w:val="de-DE"/>
              </w:rPr>
              <w:t xml:space="preserve"> und Herkunft des verwendeten Pflanzenmaterials, wie unter Punkt „</w:t>
            </w:r>
            <w:r w:rsidR="00003233" w:rsidRPr="002A24E2">
              <w:rPr>
                <w:snapToGrid w:val="0"/>
                <w:lang w:val="de-DE"/>
              </w:rPr>
              <w:t>Zur</w:t>
            </w:r>
            <w:r w:rsidR="00313007" w:rsidRPr="002A24E2">
              <w:rPr>
                <w:snapToGrid w:val="0"/>
                <w:lang w:val="de-DE"/>
              </w:rPr>
              <w:t xml:space="preserve"> Prüfung eingereichtes Pflanzenmaterial“,</w:t>
            </w:r>
            <w:r w:rsidRPr="002A24E2">
              <w:rPr>
                <w:snapToGrid w:val="0"/>
                <w:lang w:val="de-DE"/>
              </w:rPr>
              <w:t xml:space="preserve"> </w:t>
            </w:r>
            <w:r w:rsidR="00313007" w:rsidRPr="002A24E2">
              <w:rPr>
                <w:snapToGrid w:val="0"/>
                <w:lang w:val="de-DE"/>
              </w:rPr>
              <w:t>erwogen werden sollten</w:t>
            </w:r>
            <w:r w:rsidR="00313007" w:rsidRPr="002A24E2">
              <w:rPr>
                <w:rFonts w:cs="Arial"/>
                <w:lang w:val="de-DE"/>
              </w:rPr>
              <w:t xml:space="preserve"> </w:t>
            </w:r>
            <w:r w:rsidRPr="002A24E2">
              <w:rPr>
                <w:rFonts w:cs="Arial"/>
                <w:lang w:val="de-DE"/>
              </w:rPr>
              <w:t>(vergleiche Dokument</w:t>
            </w:r>
            <w:r w:rsidR="00003233" w:rsidRPr="002A24E2">
              <w:rPr>
                <w:rFonts w:cs="Arial"/>
                <w:lang w:val="de-DE"/>
              </w:rPr>
              <w:t> </w:t>
            </w:r>
            <w:r w:rsidRPr="002A24E2">
              <w:rPr>
                <w:rFonts w:cs="Arial"/>
                <w:lang w:val="de-DE"/>
              </w:rPr>
              <w:t>TWO/47/28, „</w:t>
            </w:r>
            <w:r w:rsidRPr="002A24E2">
              <w:rPr>
                <w:rFonts w:cs="Arial"/>
                <w:i/>
                <w:lang w:val="de-DE"/>
              </w:rPr>
              <w:t>Report</w:t>
            </w:r>
            <w:r w:rsidRPr="002A24E2">
              <w:rPr>
                <w:rFonts w:cs="Arial"/>
                <w:lang w:val="de-DE"/>
              </w:rPr>
              <w:t>“, Absatz 53)</w:t>
            </w:r>
            <w:r w:rsidRPr="002A24E2">
              <w:rPr>
                <w:lang w:val="de-DE"/>
              </w:rPr>
              <w:t>.</w:t>
            </w:r>
          </w:p>
          <w:p w:rsidR="004B4303" w:rsidRPr="002A24E2" w:rsidRDefault="004B4303" w:rsidP="005F15FE">
            <w:pPr>
              <w:rPr>
                <w:lang w:val="de-DE"/>
              </w:rPr>
            </w:pPr>
          </w:p>
        </w:tc>
        <w:tc>
          <w:tcPr>
            <w:tcW w:w="1014" w:type="dxa"/>
          </w:tcPr>
          <w:p w:rsidR="004B4303" w:rsidRPr="002A24E2" w:rsidRDefault="004B4303" w:rsidP="005F15FE">
            <w:pPr>
              <w:jc w:val="center"/>
              <w:rPr>
                <w:lang w:val="de-DE"/>
              </w:rPr>
            </w:pPr>
            <w:r w:rsidRPr="002A24E2">
              <w:rPr>
                <w:lang w:val="de-DE"/>
              </w:rPr>
              <w:t>TWO</w:t>
            </w:r>
          </w:p>
        </w:tc>
      </w:tr>
      <w:tr w:rsidR="004B4303" w:rsidRPr="002A24E2" w:rsidTr="005F15FE">
        <w:trPr>
          <w:cantSplit/>
        </w:trPr>
        <w:tc>
          <w:tcPr>
            <w:tcW w:w="1701" w:type="dxa"/>
          </w:tcPr>
          <w:p w:rsidR="004B4303" w:rsidRPr="002A24E2" w:rsidRDefault="004B4303" w:rsidP="005F15FE">
            <w:pPr>
              <w:jc w:val="left"/>
              <w:rPr>
                <w:lang w:val="de-DE"/>
              </w:rPr>
            </w:pPr>
          </w:p>
        </w:tc>
        <w:tc>
          <w:tcPr>
            <w:tcW w:w="6924" w:type="dxa"/>
          </w:tcPr>
          <w:p w:rsidR="004B4303" w:rsidRPr="002A24E2" w:rsidRDefault="00D70EF8" w:rsidP="005F15FE">
            <w:pPr>
              <w:ind w:right="12"/>
              <w:rPr>
                <w:rFonts w:cs="Arial"/>
                <w:lang w:val="de-DE"/>
              </w:rPr>
            </w:pPr>
            <w:r w:rsidRPr="002A24E2">
              <w:rPr>
                <w:lang w:val="de-DE"/>
              </w:rPr>
              <w:t>Di</w:t>
            </w:r>
            <w:r w:rsidR="004B4303" w:rsidRPr="002A24E2">
              <w:rPr>
                <w:lang w:val="de-DE"/>
              </w:rPr>
              <w:t xml:space="preserve">e TWV </w:t>
            </w:r>
            <w:r w:rsidRPr="002A24E2">
              <w:rPr>
                <w:lang w:val="de-DE"/>
              </w:rPr>
              <w:t xml:space="preserve">stimmte zu, </w:t>
            </w:r>
            <w:r w:rsidR="005412DD" w:rsidRPr="002A24E2">
              <w:rPr>
                <w:lang w:val="de-DE"/>
              </w:rPr>
              <w:t>daß</w:t>
            </w:r>
            <w:r w:rsidRPr="002A24E2">
              <w:rPr>
                <w:lang w:val="de-DE"/>
              </w:rPr>
              <w:t xml:space="preserve"> es notwendig sei, die Unterscheidung zwischen Prüfungen in </w:t>
            </w:r>
            <w:r w:rsidR="005412DD" w:rsidRPr="002A24E2">
              <w:rPr>
                <w:lang w:val="de-DE"/>
              </w:rPr>
              <w:t>den</w:t>
            </w:r>
            <w:r w:rsidRPr="002A24E2">
              <w:rPr>
                <w:lang w:val="de-DE"/>
              </w:rPr>
              <w:t xml:space="preserve"> </w:t>
            </w:r>
            <w:r w:rsidR="005412DD" w:rsidRPr="002A24E2">
              <w:rPr>
                <w:lang w:val="de-DE"/>
              </w:rPr>
              <w:t>Räumlichkeiten</w:t>
            </w:r>
            <w:r w:rsidRPr="002A24E2">
              <w:rPr>
                <w:lang w:val="de-DE"/>
              </w:rPr>
              <w:t xml:space="preserve"> des </w:t>
            </w:r>
            <w:r w:rsidR="0013127B" w:rsidRPr="002A24E2">
              <w:rPr>
                <w:lang w:val="de-DE"/>
              </w:rPr>
              <w:t>Z</w:t>
            </w:r>
            <w:r w:rsidRPr="002A24E2">
              <w:rPr>
                <w:lang w:val="de-DE"/>
              </w:rPr>
              <w:t>üchters und randomisierten „</w:t>
            </w:r>
            <w:r w:rsidR="005F15FE" w:rsidRPr="002A24E2">
              <w:rPr>
                <w:lang w:val="de-DE"/>
              </w:rPr>
              <w:t>Blind</w:t>
            </w:r>
            <w:r w:rsidRPr="002A24E2">
              <w:rPr>
                <w:lang w:val="de-DE"/>
              </w:rPr>
              <w:t>“</w:t>
            </w:r>
            <w:r w:rsidR="00003233" w:rsidRPr="002A24E2">
              <w:rPr>
                <w:lang w:val="de-DE"/>
              </w:rPr>
              <w:noBreakHyphen/>
            </w:r>
            <w:r w:rsidR="005F15FE" w:rsidRPr="002A24E2">
              <w:rPr>
                <w:lang w:val="de-DE"/>
              </w:rPr>
              <w:t>Prüfungen</w:t>
            </w:r>
            <w:r w:rsidR="004B4303" w:rsidRPr="002A24E2">
              <w:rPr>
                <w:lang w:val="de-DE"/>
              </w:rPr>
              <w:t xml:space="preserve"> in </w:t>
            </w:r>
            <w:r w:rsidRPr="002A24E2">
              <w:rPr>
                <w:lang w:val="de-DE"/>
              </w:rPr>
              <w:t>der</w:t>
            </w:r>
            <w:r w:rsidR="004B4303" w:rsidRPr="002A24E2">
              <w:rPr>
                <w:lang w:val="de-DE"/>
              </w:rPr>
              <w:t xml:space="preserve"> </w:t>
            </w:r>
            <w:r w:rsidR="005F15FE" w:rsidRPr="002A24E2">
              <w:rPr>
                <w:lang w:val="de-DE"/>
              </w:rPr>
              <w:t>Anleitung</w:t>
            </w:r>
            <w:r w:rsidR="004B4303" w:rsidRPr="002A24E2">
              <w:rPr>
                <w:lang w:val="de-DE"/>
              </w:rPr>
              <w:t xml:space="preserve"> </w:t>
            </w:r>
            <w:r w:rsidRPr="002A24E2">
              <w:rPr>
                <w:lang w:val="de-DE"/>
              </w:rPr>
              <w:t xml:space="preserve">zu klären </w:t>
            </w:r>
            <w:r w:rsidR="004B4303" w:rsidRPr="002A24E2">
              <w:rPr>
                <w:rFonts w:cs="Arial"/>
                <w:lang w:val="de-DE"/>
              </w:rPr>
              <w:t>(</w:t>
            </w:r>
            <w:r w:rsidR="00DD2C6B" w:rsidRPr="002A24E2">
              <w:rPr>
                <w:rFonts w:cs="Arial"/>
                <w:lang w:val="de-DE"/>
              </w:rPr>
              <w:t>vergleiche Dokument</w:t>
            </w:r>
            <w:r w:rsidR="00003233" w:rsidRPr="002A24E2">
              <w:rPr>
                <w:rFonts w:cs="Arial"/>
                <w:lang w:val="de-DE"/>
              </w:rPr>
              <w:t> </w:t>
            </w:r>
            <w:r w:rsidR="004B4303" w:rsidRPr="002A24E2">
              <w:rPr>
                <w:rFonts w:cs="Arial"/>
                <w:lang w:val="de-DE"/>
              </w:rPr>
              <w:t>TWV/48/43</w:t>
            </w:r>
            <w:r w:rsidR="00DD6C95" w:rsidRPr="002A24E2">
              <w:rPr>
                <w:rFonts w:cs="Arial"/>
                <w:lang w:val="de-DE"/>
              </w:rPr>
              <w:t>, „</w:t>
            </w:r>
            <w:r w:rsidR="00DD6C95" w:rsidRPr="002A24E2">
              <w:rPr>
                <w:rFonts w:cs="Arial"/>
                <w:i/>
                <w:lang w:val="de-DE"/>
              </w:rPr>
              <w:t>Report</w:t>
            </w:r>
            <w:r w:rsidR="00DD6C95" w:rsidRPr="002A24E2">
              <w:rPr>
                <w:rFonts w:cs="Arial"/>
                <w:lang w:val="de-DE"/>
              </w:rPr>
              <w:t>“</w:t>
            </w:r>
            <w:r w:rsidR="004B4303" w:rsidRPr="002A24E2">
              <w:rPr>
                <w:rFonts w:cs="Arial"/>
                <w:lang w:val="de-DE"/>
              </w:rPr>
              <w:t xml:space="preserve">, </w:t>
            </w:r>
            <w:r w:rsidR="005F15FE" w:rsidRPr="002A24E2">
              <w:rPr>
                <w:rFonts w:cs="Arial"/>
                <w:lang w:val="de-DE"/>
              </w:rPr>
              <w:t>Absatz</w:t>
            </w:r>
            <w:r w:rsidR="004B4303" w:rsidRPr="002A24E2">
              <w:rPr>
                <w:rFonts w:cs="Arial"/>
                <w:lang w:val="de-DE"/>
              </w:rPr>
              <w:t xml:space="preserve"> 52).</w:t>
            </w:r>
          </w:p>
          <w:p w:rsidR="004B4303" w:rsidRPr="002A24E2" w:rsidRDefault="004B4303" w:rsidP="005F15FE">
            <w:pPr>
              <w:ind w:right="12"/>
              <w:rPr>
                <w:lang w:val="de-DE"/>
              </w:rPr>
            </w:pPr>
          </w:p>
        </w:tc>
        <w:tc>
          <w:tcPr>
            <w:tcW w:w="1014" w:type="dxa"/>
          </w:tcPr>
          <w:p w:rsidR="004B4303" w:rsidRPr="002A24E2" w:rsidRDefault="004B4303" w:rsidP="005F15FE">
            <w:pPr>
              <w:jc w:val="center"/>
              <w:rPr>
                <w:lang w:val="de-DE"/>
              </w:rPr>
            </w:pPr>
            <w:r w:rsidRPr="002A24E2">
              <w:rPr>
                <w:lang w:val="de-DE"/>
              </w:rPr>
              <w:t>TWV</w:t>
            </w:r>
          </w:p>
        </w:tc>
      </w:tr>
      <w:tr w:rsidR="004B4303" w:rsidRPr="002A24E2" w:rsidTr="005F15FE">
        <w:trPr>
          <w:cantSplit/>
        </w:trPr>
        <w:tc>
          <w:tcPr>
            <w:tcW w:w="1701" w:type="dxa"/>
          </w:tcPr>
          <w:p w:rsidR="004B4303" w:rsidRPr="002A24E2" w:rsidRDefault="004B4303" w:rsidP="005F15FE">
            <w:pPr>
              <w:jc w:val="left"/>
              <w:rPr>
                <w:lang w:val="de-DE"/>
              </w:rPr>
            </w:pPr>
          </w:p>
        </w:tc>
        <w:tc>
          <w:tcPr>
            <w:tcW w:w="6924" w:type="dxa"/>
          </w:tcPr>
          <w:p w:rsidR="004B4303" w:rsidRPr="002A24E2" w:rsidRDefault="00D70EF8" w:rsidP="005F15FE">
            <w:pPr>
              <w:rPr>
                <w:rFonts w:cs="Arial"/>
                <w:lang w:val="de-DE"/>
              </w:rPr>
            </w:pPr>
            <w:r w:rsidRPr="002A24E2">
              <w:rPr>
                <w:lang w:val="de-DE"/>
              </w:rPr>
              <w:t>Die</w:t>
            </w:r>
            <w:r w:rsidR="004B4303" w:rsidRPr="002A24E2">
              <w:rPr>
                <w:lang w:val="de-DE"/>
              </w:rPr>
              <w:t xml:space="preserve"> TWA </w:t>
            </w:r>
            <w:r w:rsidR="005653E9" w:rsidRPr="002A24E2">
              <w:rPr>
                <w:lang w:val="de-DE"/>
              </w:rPr>
              <w:t>vereinbarte</w:t>
            </w:r>
            <w:r w:rsidRPr="002A24E2">
              <w:rPr>
                <w:lang w:val="de-DE"/>
              </w:rPr>
              <w:t xml:space="preserve">, </w:t>
            </w:r>
            <w:r w:rsidR="005412DD" w:rsidRPr="002A24E2">
              <w:rPr>
                <w:lang w:val="de-DE"/>
              </w:rPr>
              <w:t>daß</w:t>
            </w:r>
            <w:r w:rsidRPr="002A24E2">
              <w:rPr>
                <w:lang w:val="de-DE"/>
              </w:rPr>
              <w:t xml:space="preserve"> die zu erarbeitende </w:t>
            </w:r>
            <w:r w:rsidR="005F15FE" w:rsidRPr="002A24E2">
              <w:rPr>
                <w:lang w:val="de-DE"/>
              </w:rPr>
              <w:t>Anleitung</w:t>
            </w:r>
            <w:r w:rsidR="004B4303" w:rsidRPr="002A24E2">
              <w:rPr>
                <w:lang w:val="de-DE"/>
              </w:rPr>
              <w:t xml:space="preserve"> </w:t>
            </w:r>
            <w:r w:rsidRPr="002A24E2">
              <w:rPr>
                <w:lang w:val="de-DE"/>
              </w:rPr>
              <w:t xml:space="preserve">die Bedeutung der Probengröße </w:t>
            </w:r>
            <w:r w:rsidR="005412DD" w:rsidRPr="002A24E2">
              <w:rPr>
                <w:lang w:val="de-DE"/>
              </w:rPr>
              <w:t>sowie</w:t>
            </w:r>
            <w:r w:rsidRPr="002A24E2">
              <w:rPr>
                <w:lang w:val="de-DE"/>
              </w:rPr>
              <w:t xml:space="preserve"> d</w:t>
            </w:r>
            <w:r w:rsidR="00003233" w:rsidRPr="002A24E2">
              <w:rPr>
                <w:lang w:val="de-DE"/>
              </w:rPr>
              <w:t>i</w:t>
            </w:r>
            <w:r w:rsidRPr="002A24E2">
              <w:rPr>
                <w:lang w:val="de-DE"/>
              </w:rPr>
              <w:t xml:space="preserve">e Art und Weise, wie die Abweichungen </w:t>
            </w:r>
            <w:r w:rsidR="005412DD" w:rsidRPr="002A24E2">
              <w:rPr>
                <w:lang w:val="de-DE"/>
              </w:rPr>
              <w:t>bei</w:t>
            </w:r>
            <w:r w:rsidRPr="002A24E2">
              <w:rPr>
                <w:lang w:val="de-DE"/>
              </w:rPr>
              <w:t xml:space="preserve"> der Methodik auf ein </w:t>
            </w:r>
            <w:r w:rsidR="005412DD" w:rsidRPr="002A24E2">
              <w:rPr>
                <w:lang w:val="de-DE"/>
              </w:rPr>
              <w:t>Mindestmaß</w:t>
            </w:r>
            <w:r w:rsidRPr="002A24E2">
              <w:rPr>
                <w:lang w:val="de-DE"/>
              </w:rPr>
              <w:t xml:space="preserve"> reduziert werden können, erläutern</w:t>
            </w:r>
            <w:r w:rsidR="00003233" w:rsidRPr="002A24E2">
              <w:rPr>
                <w:lang w:val="de-DE"/>
              </w:rPr>
              <w:t xml:space="preserve"> sollte</w:t>
            </w:r>
            <w:r w:rsidRPr="002A24E2">
              <w:rPr>
                <w:lang w:val="de-DE"/>
              </w:rPr>
              <w:t xml:space="preserve"> </w:t>
            </w:r>
            <w:r w:rsidR="004B4303" w:rsidRPr="002A24E2">
              <w:rPr>
                <w:rFonts w:cs="Arial"/>
                <w:lang w:val="de-DE"/>
              </w:rPr>
              <w:t>(</w:t>
            </w:r>
            <w:r w:rsidR="00DD2C6B" w:rsidRPr="002A24E2">
              <w:rPr>
                <w:rFonts w:cs="Arial"/>
                <w:lang w:val="de-DE"/>
              </w:rPr>
              <w:t>vergleiche Dokument</w:t>
            </w:r>
            <w:r w:rsidR="004B4303" w:rsidRPr="002A24E2">
              <w:rPr>
                <w:rFonts w:cs="Arial"/>
                <w:lang w:val="de-DE"/>
              </w:rPr>
              <w:t xml:space="preserve"> TWA/43/27</w:t>
            </w:r>
            <w:r w:rsidR="00DD6C95" w:rsidRPr="002A24E2">
              <w:rPr>
                <w:rFonts w:cs="Arial"/>
                <w:lang w:val="de-DE"/>
              </w:rPr>
              <w:t>, „</w:t>
            </w:r>
            <w:r w:rsidR="00DD6C95" w:rsidRPr="002A24E2">
              <w:rPr>
                <w:rFonts w:cs="Arial"/>
                <w:i/>
                <w:lang w:val="de-DE"/>
              </w:rPr>
              <w:t>Report</w:t>
            </w:r>
            <w:r w:rsidR="00DD6C95" w:rsidRPr="002A24E2">
              <w:rPr>
                <w:rFonts w:cs="Arial"/>
                <w:lang w:val="de-DE"/>
              </w:rPr>
              <w:t>“</w:t>
            </w:r>
            <w:r w:rsidR="004B4303" w:rsidRPr="002A24E2">
              <w:rPr>
                <w:rFonts w:cs="Arial"/>
                <w:lang w:val="de-DE"/>
              </w:rPr>
              <w:t xml:space="preserve">, </w:t>
            </w:r>
            <w:r w:rsidR="005F15FE" w:rsidRPr="002A24E2">
              <w:rPr>
                <w:rFonts w:cs="Arial"/>
                <w:lang w:val="de-DE"/>
              </w:rPr>
              <w:t>Absatz</w:t>
            </w:r>
            <w:r w:rsidR="004B4303" w:rsidRPr="002A24E2">
              <w:rPr>
                <w:rFonts w:cs="Arial"/>
                <w:lang w:val="de-DE"/>
              </w:rPr>
              <w:t xml:space="preserve"> 46).</w:t>
            </w:r>
          </w:p>
          <w:p w:rsidR="004B4303" w:rsidRPr="002A24E2" w:rsidRDefault="004B4303" w:rsidP="005F15FE">
            <w:pPr>
              <w:rPr>
                <w:lang w:val="de-DE"/>
              </w:rPr>
            </w:pPr>
          </w:p>
        </w:tc>
        <w:tc>
          <w:tcPr>
            <w:tcW w:w="1014" w:type="dxa"/>
          </w:tcPr>
          <w:p w:rsidR="004B4303" w:rsidRPr="002A24E2" w:rsidRDefault="004B4303" w:rsidP="005F15FE">
            <w:pPr>
              <w:jc w:val="center"/>
              <w:rPr>
                <w:lang w:val="de-DE"/>
              </w:rPr>
            </w:pPr>
            <w:r w:rsidRPr="002A24E2">
              <w:rPr>
                <w:lang w:val="de-DE"/>
              </w:rPr>
              <w:t>TWA</w:t>
            </w:r>
          </w:p>
        </w:tc>
      </w:tr>
      <w:tr w:rsidR="004B4303" w:rsidRPr="002A24E2" w:rsidTr="005F15FE">
        <w:trPr>
          <w:cantSplit/>
        </w:trPr>
        <w:tc>
          <w:tcPr>
            <w:tcW w:w="1701" w:type="dxa"/>
          </w:tcPr>
          <w:p w:rsidR="004B4303" w:rsidRPr="002A24E2" w:rsidRDefault="004B4303" w:rsidP="005F15FE">
            <w:pPr>
              <w:jc w:val="left"/>
              <w:rPr>
                <w:lang w:val="de-DE"/>
              </w:rPr>
            </w:pPr>
          </w:p>
        </w:tc>
        <w:tc>
          <w:tcPr>
            <w:tcW w:w="6924" w:type="dxa"/>
          </w:tcPr>
          <w:p w:rsidR="004B4303" w:rsidRPr="002A24E2" w:rsidRDefault="00D70EF8" w:rsidP="005F15FE">
            <w:pPr>
              <w:rPr>
                <w:snapToGrid w:val="0"/>
                <w:lang w:val="de-DE"/>
              </w:rPr>
            </w:pPr>
            <w:r w:rsidRPr="002A24E2">
              <w:rPr>
                <w:snapToGrid w:val="0"/>
                <w:lang w:val="de-DE"/>
              </w:rPr>
              <w:t>Di</w:t>
            </w:r>
            <w:r w:rsidR="004B4303" w:rsidRPr="002A24E2">
              <w:rPr>
                <w:snapToGrid w:val="0"/>
                <w:lang w:val="de-DE"/>
              </w:rPr>
              <w:t xml:space="preserve">e TWO </w:t>
            </w:r>
            <w:r w:rsidRPr="002A24E2">
              <w:rPr>
                <w:snapToGrid w:val="0"/>
                <w:lang w:val="de-DE"/>
              </w:rPr>
              <w:t>prüfte das</w:t>
            </w:r>
            <w:r w:rsidR="004B4303" w:rsidRPr="002A24E2">
              <w:rPr>
                <w:snapToGrid w:val="0"/>
                <w:lang w:val="de-DE"/>
              </w:rPr>
              <w:t xml:space="preserve"> </w:t>
            </w:r>
            <w:r w:rsidR="005F15FE" w:rsidRPr="002A24E2">
              <w:rPr>
                <w:snapToGrid w:val="0"/>
                <w:lang w:val="de-DE"/>
              </w:rPr>
              <w:t>Dokument</w:t>
            </w:r>
            <w:r w:rsidR="004B4303" w:rsidRPr="002A24E2">
              <w:rPr>
                <w:snapToGrid w:val="0"/>
                <w:lang w:val="de-DE"/>
              </w:rPr>
              <w:t xml:space="preserve"> TWO/47/19 </w:t>
            </w:r>
            <w:r w:rsidRPr="002A24E2">
              <w:rPr>
                <w:snapToGrid w:val="0"/>
                <w:lang w:val="de-DE"/>
              </w:rPr>
              <w:t>u</w:t>
            </w:r>
            <w:r w:rsidR="00003233" w:rsidRPr="002A24E2">
              <w:rPr>
                <w:snapToGrid w:val="0"/>
                <w:lang w:val="de-DE"/>
              </w:rPr>
              <w:t>nd</w:t>
            </w:r>
            <w:r w:rsidRPr="002A24E2">
              <w:rPr>
                <w:snapToGrid w:val="0"/>
                <w:lang w:val="de-DE"/>
              </w:rPr>
              <w:t xml:space="preserve"> </w:t>
            </w:r>
            <w:r w:rsidR="005412DD" w:rsidRPr="002A24E2">
              <w:rPr>
                <w:snapToGrid w:val="0"/>
                <w:lang w:val="de-DE"/>
              </w:rPr>
              <w:t>stimmte</w:t>
            </w:r>
            <w:r w:rsidRPr="002A24E2">
              <w:rPr>
                <w:snapToGrid w:val="0"/>
                <w:lang w:val="de-DE"/>
              </w:rPr>
              <w:t xml:space="preserve"> zu, </w:t>
            </w:r>
            <w:r w:rsidR="005412DD" w:rsidRPr="002A24E2">
              <w:rPr>
                <w:snapToGrid w:val="0"/>
                <w:lang w:val="de-DE"/>
              </w:rPr>
              <w:t>daß</w:t>
            </w:r>
            <w:r w:rsidR="004B4303" w:rsidRPr="002A24E2">
              <w:rPr>
                <w:snapToGrid w:val="0"/>
                <w:lang w:val="de-DE"/>
              </w:rPr>
              <w:t xml:space="preserve"> </w:t>
            </w:r>
            <w:r w:rsidR="005F15FE" w:rsidRPr="002A24E2">
              <w:rPr>
                <w:snapToGrid w:val="0"/>
                <w:lang w:val="de-DE"/>
              </w:rPr>
              <w:t xml:space="preserve">randomisierte </w:t>
            </w:r>
            <w:r w:rsidR="0013127B" w:rsidRPr="002A24E2">
              <w:rPr>
                <w:snapToGrid w:val="0"/>
                <w:lang w:val="de-DE"/>
              </w:rPr>
              <w:t>„</w:t>
            </w:r>
            <w:r w:rsidR="005F15FE" w:rsidRPr="002A24E2">
              <w:rPr>
                <w:snapToGrid w:val="0"/>
                <w:lang w:val="de-DE"/>
              </w:rPr>
              <w:t>Blind</w:t>
            </w:r>
            <w:r w:rsidR="0013127B" w:rsidRPr="002A24E2">
              <w:rPr>
                <w:snapToGrid w:val="0"/>
                <w:lang w:val="de-DE"/>
              </w:rPr>
              <w:t>“</w:t>
            </w:r>
            <w:r w:rsidR="005F15FE" w:rsidRPr="002A24E2">
              <w:rPr>
                <w:snapToGrid w:val="0"/>
                <w:lang w:val="de-DE"/>
              </w:rPr>
              <w:t>-Prüfungen</w:t>
            </w:r>
            <w:r w:rsidR="004B4303" w:rsidRPr="002A24E2">
              <w:rPr>
                <w:snapToGrid w:val="0"/>
                <w:lang w:val="de-DE"/>
              </w:rPr>
              <w:t xml:space="preserve"> </w:t>
            </w:r>
            <w:r w:rsidR="0013127B" w:rsidRPr="002A24E2">
              <w:rPr>
                <w:snapToGrid w:val="0"/>
                <w:lang w:val="de-DE"/>
              </w:rPr>
              <w:t xml:space="preserve">selten angewandt würden. </w:t>
            </w:r>
            <w:r w:rsidR="005412DD" w:rsidRPr="002A24E2">
              <w:rPr>
                <w:snapToGrid w:val="0"/>
                <w:lang w:val="de-DE"/>
              </w:rPr>
              <w:t>Die TWO merkte an, daß randomisierte „Blind</w:t>
            </w:r>
            <w:r w:rsidR="00003233" w:rsidRPr="002A24E2">
              <w:rPr>
                <w:snapToGrid w:val="0"/>
                <w:lang w:val="de-DE"/>
              </w:rPr>
              <w:t>“</w:t>
            </w:r>
            <w:r w:rsidR="005412DD" w:rsidRPr="002A24E2">
              <w:rPr>
                <w:snapToGrid w:val="0"/>
                <w:lang w:val="de-DE"/>
              </w:rPr>
              <w:t xml:space="preserve">-Prüfungen angewandt würden: in Brasilien, </w:t>
            </w:r>
            <w:r w:rsidR="00003233" w:rsidRPr="002A24E2">
              <w:rPr>
                <w:snapToGrid w:val="0"/>
                <w:lang w:val="de-DE"/>
              </w:rPr>
              <w:t xml:space="preserve">um </w:t>
            </w:r>
            <w:r w:rsidR="005412DD" w:rsidRPr="002A24E2">
              <w:rPr>
                <w:snapToGrid w:val="0"/>
                <w:lang w:val="de-DE"/>
              </w:rPr>
              <w:t xml:space="preserve">in bestimmten Fällen die Prüfung der Unterscheidbarkeit im Rahmen eines Züchterprüfungssystems für landwirtschaftliche Pflanzen und Gemüsearten zu bestätigen, in Neuseeland für einige Obstpflanzen und in Streitigkeitsfällen bezüglich der Unterscheidbarkeit und im Vereinigten Königreich und in den Niederlanden zur Bestätigung der mangelnden Unterscheidbarkeit zwischen Sorten </w:t>
            </w:r>
            <w:r w:rsidR="005412DD" w:rsidRPr="002A24E2">
              <w:rPr>
                <w:rFonts w:cs="Arial"/>
                <w:lang w:val="de-DE"/>
              </w:rPr>
              <w:t>(vergleiche Dokument</w:t>
            </w:r>
            <w:r w:rsidR="00003233" w:rsidRPr="002A24E2">
              <w:rPr>
                <w:rFonts w:cs="Arial"/>
                <w:lang w:val="de-DE"/>
              </w:rPr>
              <w:t> </w:t>
            </w:r>
            <w:r w:rsidR="005412DD" w:rsidRPr="002A24E2">
              <w:rPr>
                <w:rFonts w:cs="Arial"/>
                <w:lang w:val="de-DE"/>
              </w:rPr>
              <w:t>TWO/47/28, „</w:t>
            </w:r>
            <w:r w:rsidR="005412DD" w:rsidRPr="002A24E2">
              <w:rPr>
                <w:rFonts w:cs="Arial"/>
                <w:i/>
                <w:lang w:val="de-DE"/>
              </w:rPr>
              <w:t>Report</w:t>
            </w:r>
            <w:r w:rsidR="005412DD" w:rsidRPr="002A24E2">
              <w:rPr>
                <w:rFonts w:cs="Arial"/>
                <w:lang w:val="de-DE"/>
              </w:rPr>
              <w:t>“, Absatz 52).</w:t>
            </w:r>
          </w:p>
          <w:p w:rsidR="004B4303" w:rsidRPr="002A24E2" w:rsidRDefault="004B4303" w:rsidP="005F15FE">
            <w:pPr>
              <w:rPr>
                <w:lang w:val="de-DE"/>
              </w:rPr>
            </w:pPr>
          </w:p>
        </w:tc>
        <w:tc>
          <w:tcPr>
            <w:tcW w:w="1014" w:type="dxa"/>
          </w:tcPr>
          <w:p w:rsidR="004B4303" w:rsidRPr="002A24E2" w:rsidRDefault="004B4303" w:rsidP="005F15FE">
            <w:pPr>
              <w:jc w:val="center"/>
              <w:rPr>
                <w:lang w:val="de-DE"/>
              </w:rPr>
            </w:pPr>
            <w:r w:rsidRPr="002A24E2">
              <w:rPr>
                <w:lang w:val="de-DE"/>
              </w:rPr>
              <w:t>TWO</w:t>
            </w:r>
          </w:p>
        </w:tc>
      </w:tr>
      <w:tr w:rsidR="004B4303" w:rsidRPr="002A24E2" w:rsidTr="005F15FE">
        <w:trPr>
          <w:cantSplit/>
        </w:trPr>
        <w:tc>
          <w:tcPr>
            <w:tcW w:w="1701" w:type="dxa"/>
          </w:tcPr>
          <w:p w:rsidR="004B4303" w:rsidRPr="002A24E2" w:rsidRDefault="004B4303" w:rsidP="005F15FE">
            <w:pPr>
              <w:jc w:val="left"/>
              <w:rPr>
                <w:lang w:val="de-DE"/>
              </w:rPr>
            </w:pPr>
          </w:p>
        </w:tc>
        <w:tc>
          <w:tcPr>
            <w:tcW w:w="6924" w:type="dxa"/>
          </w:tcPr>
          <w:p w:rsidR="004B4303" w:rsidRPr="002A24E2" w:rsidRDefault="0013127B" w:rsidP="005F15FE">
            <w:pPr>
              <w:rPr>
                <w:lang w:val="de-DE"/>
              </w:rPr>
            </w:pPr>
            <w:r w:rsidRPr="002A24E2">
              <w:rPr>
                <w:lang w:val="de-DE"/>
              </w:rPr>
              <w:t>Di</w:t>
            </w:r>
            <w:r w:rsidR="004B4303" w:rsidRPr="002A24E2">
              <w:rPr>
                <w:lang w:val="de-DE"/>
              </w:rPr>
              <w:t>e TWF n</w:t>
            </w:r>
            <w:r w:rsidRPr="002A24E2">
              <w:rPr>
                <w:lang w:val="de-DE"/>
              </w:rPr>
              <w:t xml:space="preserve">ahm die von der </w:t>
            </w:r>
            <w:r w:rsidR="004B4303" w:rsidRPr="002A24E2">
              <w:rPr>
                <w:lang w:val="de-DE"/>
              </w:rPr>
              <w:t>TWO a</w:t>
            </w:r>
            <w:r w:rsidRPr="002A24E2">
              <w:rPr>
                <w:lang w:val="de-DE"/>
              </w:rPr>
              <w:t xml:space="preserve">uf deren siebenundvierzigster Tagung erteilten Informationen über die Anwendung </w:t>
            </w:r>
            <w:r w:rsidR="005F15FE" w:rsidRPr="002A24E2">
              <w:rPr>
                <w:lang w:val="de-DE"/>
              </w:rPr>
              <w:t>randomisierte</w:t>
            </w:r>
            <w:r w:rsidRPr="002A24E2">
              <w:rPr>
                <w:lang w:val="de-DE"/>
              </w:rPr>
              <w:t>r</w:t>
            </w:r>
            <w:r w:rsidR="005F15FE" w:rsidRPr="002A24E2">
              <w:rPr>
                <w:lang w:val="de-DE"/>
              </w:rPr>
              <w:t xml:space="preserve"> </w:t>
            </w:r>
            <w:r w:rsidRPr="002A24E2">
              <w:rPr>
                <w:lang w:val="de-DE"/>
              </w:rPr>
              <w:t>„</w:t>
            </w:r>
            <w:r w:rsidR="005F15FE" w:rsidRPr="002A24E2">
              <w:rPr>
                <w:lang w:val="de-DE"/>
              </w:rPr>
              <w:t>Blind</w:t>
            </w:r>
            <w:r w:rsidRPr="002A24E2">
              <w:rPr>
                <w:lang w:val="de-DE"/>
              </w:rPr>
              <w:t>“</w:t>
            </w:r>
            <w:r w:rsidRPr="002A24E2">
              <w:rPr>
                <w:lang w:val="de-DE"/>
              </w:rPr>
              <w:noBreakHyphen/>
            </w:r>
            <w:r w:rsidR="005F15FE" w:rsidRPr="002A24E2">
              <w:rPr>
                <w:lang w:val="de-DE"/>
              </w:rPr>
              <w:t>Prüfungen</w:t>
            </w:r>
            <w:r w:rsidR="004B4303" w:rsidRPr="002A24E2">
              <w:rPr>
                <w:lang w:val="de-DE"/>
              </w:rPr>
              <w:t xml:space="preserve"> in Bra</w:t>
            </w:r>
            <w:r w:rsidRPr="002A24E2">
              <w:rPr>
                <w:lang w:val="de-DE"/>
              </w:rPr>
              <w:t>s</w:t>
            </w:r>
            <w:r w:rsidR="004B4303" w:rsidRPr="002A24E2">
              <w:rPr>
                <w:lang w:val="de-DE"/>
              </w:rPr>
              <w:t>il</w:t>
            </w:r>
            <w:r w:rsidRPr="002A24E2">
              <w:rPr>
                <w:lang w:val="de-DE"/>
              </w:rPr>
              <w:t>ien</w:t>
            </w:r>
            <w:r w:rsidR="004B4303" w:rsidRPr="002A24E2">
              <w:rPr>
                <w:lang w:val="de-DE"/>
              </w:rPr>
              <w:t>, Ne</w:t>
            </w:r>
            <w:r w:rsidRPr="002A24E2">
              <w:rPr>
                <w:lang w:val="de-DE"/>
              </w:rPr>
              <w:t>usee</w:t>
            </w:r>
            <w:r w:rsidR="004B4303" w:rsidRPr="002A24E2">
              <w:rPr>
                <w:lang w:val="de-DE"/>
              </w:rPr>
              <w:t xml:space="preserve">land </w:t>
            </w:r>
            <w:r w:rsidRPr="002A24E2">
              <w:rPr>
                <w:lang w:val="de-DE"/>
              </w:rPr>
              <w:t>u</w:t>
            </w:r>
            <w:r w:rsidR="004B4303" w:rsidRPr="002A24E2">
              <w:rPr>
                <w:lang w:val="de-DE"/>
              </w:rPr>
              <w:t>nd i</w:t>
            </w:r>
            <w:r w:rsidRPr="002A24E2">
              <w:rPr>
                <w:lang w:val="de-DE"/>
              </w:rPr>
              <w:t xml:space="preserve">m </w:t>
            </w:r>
            <w:r w:rsidR="005412DD" w:rsidRPr="002A24E2">
              <w:rPr>
                <w:lang w:val="de-DE"/>
              </w:rPr>
              <w:t>Vereinigten</w:t>
            </w:r>
            <w:r w:rsidRPr="002A24E2">
              <w:rPr>
                <w:lang w:val="de-DE"/>
              </w:rPr>
              <w:t xml:space="preserve"> Königreich, </w:t>
            </w:r>
            <w:r w:rsidR="005412DD" w:rsidRPr="002A24E2">
              <w:rPr>
                <w:lang w:val="de-DE"/>
              </w:rPr>
              <w:t>einschließlich</w:t>
            </w:r>
            <w:r w:rsidRPr="002A24E2">
              <w:rPr>
                <w:lang w:val="de-DE"/>
              </w:rPr>
              <w:t xml:space="preserve"> der Umstände, unter denen randomisierte „</w:t>
            </w:r>
            <w:r w:rsidR="005F15FE" w:rsidRPr="002A24E2">
              <w:rPr>
                <w:lang w:val="de-DE"/>
              </w:rPr>
              <w:t>Blind</w:t>
            </w:r>
            <w:r w:rsidRPr="002A24E2">
              <w:rPr>
                <w:lang w:val="de-DE"/>
              </w:rPr>
              <w:t>“</w:t>
            </w:r>
            <w:r w:rsidR="005F15FE" w:rsidRPr="002A24E2">
              <w:rPr>
                <w:lang w:val="de-DE"/>
              </w:rPr>
              <w:t>-Prüfungen</w:t>
            </w:r>
            <w:r w:rsidR="004B4303" w:rsidRPr="002A24E2">
              <w:rPr>
                <w:lang w:val="de-DE"/>
              </w:rPr>
              <w:t xml:space="preserve"> </w:t>
            </w:r>
            <w:r w:rsidRPr="002A24E2">
              <w:rPr>
                <w:lang w:val="de-DE"/>
              </w:rPr>
              <w:t xml:space="preserve">angewandt </w:t>
            </w:r>
            <w:r w:rsidR="005412DD" w:rsidRPr="002A24E2">
              <w:rPr>
                <w:lang w:val="de-DE"/>
              </w:rPr>
              <w:t>werden</w:t>
            </w:r>
            <w:r w:rsidRPr="002A24E2">
              <w:rPr>
                <w:lang w:val="de-DE"/>
              </w:rPr>
              <w:t xml:space="preserve">, zur Kenntnis </w:t>
            </w:r>
            <w:r w:rsidR="004B4303" w:rsidRPr="002A24E2">
              <w:rPr>
                <w:rFonts w:cs="Arial"/>
                <w:lang w:val="de-DE"/>
              </w:rPr>
              <w:t>(</w:t>
            </w:r>
            <w:r w:rsidR="00DD2C6B" w:rsidRPr="002A24E2">
              <w:rPr>
                <w:rFonts w:cs="Arial"/>
                <w:lang w:val="de-DE"/>
              </w:rPr>
              <w:t>vergleiche Dokument</w:t>
            </w:r>
            <w:r w:rsidR="004B4303" w:rsidRPr="002A24E2">
              <w:rPr>
                <w:rFonts w:cs="Arial"/>
                <w:lang w:val="de-DE"/>
              </w:rPr>
              <w:t xml:space="preserve"> TWF/45/32</w:t>
            </w:r>
            <w:r w:rsidR="00DD6C95" w:rsidRPr="002A24E2">
              <w:rPr>
                <w:rFonts w:cs="Arial"/>
                <w:lang w:val="de-DE"/>
              </w:rPr>
              <w:t>, „</w:t>
            </w:r>
            <w:r w:rsidR="00DD6C95" w:rsidRPr="002A24E2">
              <w:rPr>
                <w:rFonts w:cs="Arial"/>
                <w:i/>
                <w:lang w:val="de-DE"/>
              </w:rPr>
              <w:t>Report</w:t>
            </w:r>
            <w:r w:rsidR="00DD6C95" w:rsidRPr="002A24E2">
              <w:rPr>
                <w:rFonts w:cs="Arial"/>
                <w:lang w:val="de-DE"/>
              </w:rPr>
              <w:t>“</w:t>
            </w:r>
            <w:r w:rsidR="004B4303" w:rsidRPr="002A24E2">
              <w:rPr>
                <w:rFonts w:cs="Arial"/>
                <w:lang w:val="de-DE"/>
              </w:rPr>
              <w:t xml:space="preserve">, </w:t>
            </w:r>
            <w:r w:rsidR="005F15FE" w:rsidRPr="002A24E2">
              <w:rPr>
                <w:rFonts w:cs="Arial"/>
                <w:lang w:val="de-DE"/>
              </w:rPr>
              <w:t>Absatz</w:t>
            </w:r>
            <w:r w:rsidR="004B4303" w:rsidRPr="002A24E2">
              <w:rPr>
                <w:rFonts w:cs="Arial"/>
                <w:lang w:val="de-DE"/>
              </w:rPr>
              <w:t xml:space="preserve"> 43)</w:t>
            </w:r>
            <w:r w:rsidR="004B4303" w:rsidRPr="002A24E2">
              <w:rPr>
                <w:lang w:val="de-DE"/>
              </w:rPr>
              <w:t>.</w:t>
            </w:r>
          </w:p>
          <w:p w:rsidR="004B4303" w:rsidRPr="002A24E2" w:rsidRDefault="004B4303" w:rsidP="005F15FE">
            <w:pPr>
              <w:tabs>
                <w:tab w:val="left" w:pos="1486"/>
              </w:tabs>
              <w:rPr>
                <w:snapToGrid w:val="0"/>
                <w:lang w:val="de-DE"/>
              </w:rPr>
            </w:pPr>
          </w:p>
          <w:p w:rsidR="004B4303" w:rsidRPr="002A24E2" w:rsidRDefault="005412DD" w:rsidP="005F15FE">
            <w:pPr>
              <w:tabs>
                <w:tab w:val="left" w:pos="1486"/>
              </w:tabs>
              <w:rPr>
                <w:lang w:val="de-DE"/>
              </w:rPr>
            </w:pPr>
            <w:r w:rsidRPr="002A24E2">
              <w:rPr>
                <w:lang w:val="de-DE"/>
              </w:rPr>
              <w:t xml:space="preserve">Die TWF nahm zur Kenntnis, daß </w:t>
            </w:r>
            <w:r w:rsidRPr="002A24E2">
              <w:rPr>
                <w:rFonts w:cs="Arial"/>
                <w:lang w:val="de-DE"/>
              </w:rPr>
              <w:t xml:space="preserve">der Sachverständige der Internationalen Gemeinschaft der Züchter vegetativ </w:t>
            </w:r>
            <w:r w:rsidRPr="002A24E2">
              <w:rPr>
                <w:rStyle w:val="f81"/>
                <w:rFonts w:ascii="Arial" w:hAnsi="Arial" w:cs="Arial"/>
                <w:sz w:val="20"/>
                <w:szCs w:val="20"/>
                <w:lang w:val="de-DE"/>
              </w:rPr>
              <w:t xml:space="preserve">vermehrbarer Zier- und Obstpflanzen </w:t>
            </w:r>
            <w:r w:rsidRPr="002A24E2">
              <w:rPr>
                <w:lang w:val="de-DE"/>
              </w:rPr>
              <w:t xml:space="preserve">(CIOPORA) die Anwendung randomisierter „Blind“-Prüfungen nicht befürworte </w:t>
            </w:r>
            <w:r w:rsidRPr="002A24E2">
              <w:rPr>
                <w:rFonts w:cs="Arial"/>
                <w:lang w:val="de-DE"/>
              </w:rPr>
              <w:t>(vergleiche Dokument TWF/45/32, „</w:t>
            </w:r>
            <w:r w:rsidRPr="002A24E2">
              <w:rPr>
                <w:rFonts w:cs="Arial"/>
                <w:i/>
                <w:lang w:val="de-DE"/>
              </w:rPr>
              <w:t>Report</w:t>
            </w:r>
            <w:r w:rsidRPr="002A24E2">
              <w:rPr>
                <w:rFonts w:cs="Arial"/>
                <w:lang w:val="de-DE"/>
              </w:rPr>
              <w:t>“, Absatz 44)</w:t>
            </w:r>
            <w:r w:rsidRPr="002A24E2">
              <w:rPr>
                <w:lang w:val="de-DE"/>
              </w:rPr>
              <w:t>.</w:t>
            </w:r>
          </w:p>
          <w:p w:rsidR="004B4303" w:rsidRPr="002A24E2" w:rsidRDefault="004B4303" w:rsidP="005F15FE">
            <w:pPr>
              <w:tabs>
                <w:tab w:val="left" w:pos="1486"/>
              </w:tabs>
              <w:rPr>
                <w:snapToGrid w:val="0"/>
                <w:lang w:val="de-DE"/>
              </w:rPr>
            </w:pPr>
          </w:p>
        </w:tc>
        <w:tc>
          <w:tcPr>
            <w:tcW w:w="1014" w:type="dxa"/>
          </w:tcPr>
          <w:p w:rsidR="004B4303" w:rsidRPr="002A24E2" w:rsidRDefault="004B4303" w:rsidP="005F15FE">
            <w:pPr>
              <w:jc w:val="center"/>
              <w:rPr>
                <w:lang w:val="de-DE"/>
              </w:rPr>
            </w:pPr>
            <w:r w:rsidRPr="002A24E2">
              <w:rPr>
                <w:lang w:val="de-DE"/>
              </w:rPr>
              <w:t>TWF</w:t>
            </w:r>
          </w:p>
        </w:tc>
      </w:tr>
      <w:tr w:rsidR="004B4303" w:rsidRPr="002A24E2" w:rsidTr="005F15FE">
        <w:trPr>
          <w:cantSplit/>
        </w:trPr>
        <w:tc>
          <w:tcPr>
            <w:tcW w:w="1701" w:type="dxa"/>
          </w:tcPr>
          <w:p w:rsidR="004B4303" w:rsidRPr="002A24E2" w:rsidRDefault="004B4303" w:rsidP="005F15FE">
            <w:pPr>
              <w:jc w:val="left"/>
              <w:rPr>
                <w:lang w:val="de-DE"/>
              </w:rPr>
            </w:pPr>
          </w:p>
        </w:tc>
        <w:tc>
          <w:tcPr>
            <w:tcW w:w="6924" w:type="dxa"/>
          </w:tcPr>
          <w:p w:rsidR="004B4303" w:rsidRPr="002A24E2" w:rsidRDefault="00927229" w:rsidP="005F15FE">
            <w:pPr>
              <w:rPr>
                <w:lang w:val="de-DE"/>
              </w:rPr>
            </w:pPr>
            <w:r w:rsidRPr="002A24E2">
              <w:rPr>
                <w:snapToGrid w:val="0"/>
                <w:lang w:val="de-DE"/>
              </w:rPr>
              <w:t>Di</w:t>
            </w:r>
            <w:r w:rsidR="004B4303" w:rsidRPr="002A24E2">
              <w:rPr>
                <w:snapToGrid w:val="0"/>
                <w:lang w:val="de-DE"/>
              </w:rPr>
              <w:t xml:space="preserve">e TWC </w:t>
            </w:r>
            <w:r w:rsidRPr="002A24E2">
              <w:rPr>
                <w:snapToGrid w:val="0"/>
                <w:lang w:val="de-DE"/>
              </w:rPr>
              <w:t xml:space="preserve">prüfte das </w:t>
            </w:r>
            <w:r w:rsidR="005F15FE" w:rsidRPr="002A24E2">
              <w:rPr>
                <w:snapToGrid w:val="0"/>
                <w:lang w:val="de-DE"/>
              </w:rPr>
              <w:t>Dokument</w:t>
            </w:r>
            <w:r w:rsidR="004B4303" w:rsidRPr="002A24E2">
              <w:rPr>
                <w:snapToGrid w:val="0"/>
                <w:lang w:val="de-DE"/>
              </w:rPr>
              <w:t xml:space="preserve"> TWC/32/19 </w:t>
            </w:r>
            <w:r w:rsidRPr="002A24E2">
              <w:rPr>
                <w:snapToGrid w:val="0"/>
                <w:lang w:val="de-DE"/>
              </w:rPr>
              <w:t>u</w:t>
            </w:r>
            <w:r w:rsidR="004B4303" w:rsidRPr="002A24E2">
              <w:rPr>
                <w:snapToGrid w:val="0"/>
                <w:lang w:val="de-DE"/>
              </w:rPr>
              <w:t xml:space="preserve">nd </w:t>
            </w:r>
            <w:r w:rsidR="00003233" w:rsidRPr="002A24E2">
              <w:rPr>
                <w:snapToGrid w:val="0"/>
                <w:lang w:val="de-DE"/>
              </w:rPr>
              <w:t>nahm zur Kenntnis,</w:t>
            </w:r>
            <w:r w:rsidRPr="002A24E2">
              <w:rPr>
                <w:snapToGrid w:val="0"/>
                <w:lang w:val="de-DE"/>
              </w:rPr>
              <w:t xml:space="preserve"> </w:t>
            </w:r>
            <w:r w:rsidR="005412DD" w:rsidRPr="002A24E2">
              <w:rPr>
                <w:snapToGrid w:val="0"/>
                <w:lang w:val="de-DE"/>
              </w:rPr>
              <w:t>daß</w:t>
            </w:r>
            <w:r w:rsidR="004B4303" w:rsidRPr="002A24E2">
              <w:rPr>
                <w:snapToGrid w:val="0"/>
                <w:lang w:val="de-DE"/>
              </w:rPr>
              <w:t xml:space="preserve"> </w:t>
            </w:r>
            <w:r w:rsidR="005F15FE" w:rsidRPr="002A24E2">
              <w:rPr>
                <w:snapToGrid w:val="0"/>
                <w:lang w:val="de-DE"/>
              </w:rPr>
              <w:t xml:space="preserve">randomisierte </w:t>
            </w:r>
            <w:r w:rsidRPr="002A24E2">
              <w:rPr>
                <w:snapToGrid w:val="0"/>
                <w:lang w:val="de-DE"/>
              </w:rPr>
              <w:t>„</w:t>
            </w:r>
            <w:r w:rsidR="005F15FE" w:rsidRPr="002A24E2">
              <w:rPr>
                <w:snapToGrid w:val="0"/>
                <w:lang w:val="de-DE"/>
              </w:rPr>
              <w:t>Blind</w:t>
            </w:r>
            <w:r w:rsidRPr="002A24E2">
              <w:rPr>
                <w:snapToGrid w:val="0"/>
                <w:lang w:val="de-DE"/>
              </w:rPr>
              <w:t>“</w:t>
            </w:r>
            <w:r w:rsidR="005F15FE" w:rsidRPr="002A24E2">
              <w:rPr>
                <w:snapToGrid w:val="0"/>
                <w:lang w:val="de-DE"/>
              </w:rPr>
              <w:t>-Prüfungen</w:t>
            </w:r>
            <w:r w:rsidR="004B4303" w:rsidRPr="002A24E2">
              <w:rPr>
                <w:snapToGrid w:val="0"/>
                <w:lang w:val="de-DE"/>
              </w:rPr>
              <w:t xml:space="preserve"> </w:t>
            </w:r>
            <w:r w:rsidRPr="002A24E2">
              <w:rPr>
                <w:snapToGrid w:val="0"/>
                <w:lang w:val="de-DE"/>
              </w:rPr>
              <w:t>selten angewandt würden</w:t>
            </w:r>
            <w:r w:rsidR="004B4303" w:rsidRPr="002A24E2">
              <w:rPr>
                <w:snapToGrid w:val="0"/>
                <w:lang w:val="de-DE"/>
              </w:rPr>
              <w:t xml:space="preserve">. </w:t>
            </w:r>
            <w:r w:rsidRPr="002A24E2">
              <w:rPr>
                <w:snapToGrid w:val="0"/>
                <w:lang w:val="de-DE"/>
              </w:rPr>
              <w:t>Di</w:t>
            </w:r>
            <w:r w:rsidR="004B4303" w:rsidRPr="002A24E2">
              <w:rPr>
                <w:snapToGrid w:val="0"/>
                <w:lang w:val="de-DE"/>
              </w:rPr>
              <w:t>e TWC n</w:t>
            </w:r>
            <w:r w:rsidRPr="002A24E2">
              <w:rPr>
                <w:snapToGrid w:val="0"/>
                <w:lang w:val="de-DE"/>
              </w:rPr>
              <w:t xml:space="preserve">ahm zur Kenntnis, </w:t>
            </w:r>
            <w:r w:rsidR="005412DD" w:rsidRPr="002A24E2">
              <w:rPr>
                <w:snapToGrid w:val="0"/>
                <w:lang w:val="de-DE"/>
              </w:rPr>
              <w:t>daß</w:t>
            </w:r>
            <w:r w:rsidRPr="002A24E2">
              <w:rPr>
                <w:snapToGrid w:val="0"/>
                <w:lang w:val="de-DE"/>
              </w:rPr>
              <w:t xml:space="preserve"> </w:t>
            </w:r>
            <w:r w:rsidR="005F15FE" w:rsidRPr="002A24E2">
              <w:rPr>
                <w:snapToGrid w:val="0"/>
                <w:lang w:val="de-DE"/>
              </w:rPr>
              <w:t xml:space="preserve">randomisierte </w:t>
            </w:r>
            <w:r w:rsidRPr="002A24E2">
              <w:rPr>
                <w:snapToGrid w:val="0"/>
                <w:lang w:val="de-DE"/>
              </w:rPr>
              <w:t>„</w:t>
            </w:r>
            <w:r w:rsidR="005F15FE" w:rsidRPr="002A24E2">
              <w:rPr>
                <w:snapToGrid w:val="0"/>
                <w:lang w:val="de-DE"/>
              </w:rPr>
              <w:t>Blind</w:t>
            </w:r>
            <w:r w:rsidRPr="002A24E2">
              <w:rPr>
                <w:snapToGrid w:val="0"/>
                <w:lang w:val="de-DE"/>
              </w:rPr>
              <w:t>“</w:t>
            </w:r>
            <w:r w:rsidR="005F15FE" w:rsidRPr="002A24E2">
              <w:rPr>
                <w:snapToGrid w:val="0"/>
                <w:lang w:val="de-DE"/>
              </w:rPr>
              <w:t>-Prüfungen</w:t>
            </w:r>
            <w:r w:rsidR="004B4303" w:rsidRPr="002A24E2">
              <w:rPr>
                <w:snapToGrid w:val="0"/>
                <w:lang w:val="de-DE"/>
              </w:rPr>
              <w:t xml:space="preserve"> </w:t>
            </w:r>
            <w:r w:rsidRPr="002A24E2">
              <w:rPr>
                <w:snapToGrid w:val="0"/>
                <w:lang w:val="de-DE"/>
              </w:rPr>
              <w:t xml:space="preserve">in den </w:t>
            </w:r>
            <w:r w:rsidR="005412DD" w:rsidRPr="002A24E2">
              <w:rPr>
                <w:snapToGrid w:val="0"/>
                <w:lang w:val="de-DE"/>
              </w:rPr>
              <w:t>Niederlanden</w:t>
            </w:r>
            <w:r w:rsidRPr="002A24E2">
              <w:rPr>
                <w:snapToGrid w:val="0"/>
                <w:lang w:val="de-DE"/>
              </w:rPr>
              <w:t xml:space="preserve"> angewandt würden, um eine mangelnde Unterscheidbarkeit zwischen </w:t>
            </w:r>
            <w:r w:rsidR="005412DD" w:rsidRPr="002A24E2">
              <w:rPr>
                <w:snapToGrid w:val="0"/>
                <w:lang w:val="de-DE"/>
              </w:rPr>
              <w:t>Sorten</w:t>
            </w:r>
            <w:r w:rsidRPr="002A24E2">
              <w:rPr>
                <w:snapToGrid w:val="0"/>
                <w:lang w:val="de-DE"/>
              </w:rPr>
              <w:t xml:space="preserve"> zu bestätigen</w:t>
            </w:r>
            <w:r w:rsidR="004B4303" w:rsidRPr="002A24E2">
              <w:rPr>
                <w:lang w:val="de-DE"/>
              </w:rPr>
              <w:t>.</w:t>
            </w:r>
            <w:r w:rsidRPr="002A24E2">
              <w:rPr>
                <w:lang w:val="de-DE"/>
              </w:rPr>
              <w:t xml:space="preserve"> </w:t>
            </w:r>
            <w:r w:rsidR="006755BB" w:rsidRPr="002A24E2">
              <w:rPr>
                <w:lang w:val="de-DE"/>
              </w:rPr>
              <w:t xml:space="preserve">Die TWC nahm zur Kenntnis, daß die Niederlande einige Prüfungen der Krankheitsresistenz in den Räumlichkeiten der Züchter organisierten, doch würden die Sorten nicht codiert. </w:t>
            </w:r>
            <w:r w:rsidRPr="002A24E2">
              <w:rPr>
                <w:lang w:val="de-DE"/>
              </w:rPr>
              <w:t xml:space="preserve">Die TWC nahm die Anregung des Sachverständigen aus </w:t>
            </w:r>
            <w:r w:rsidR="005412DD" w:rsidRPr="002A24E2">
              <w:rPr>
                <w:lang w:val="de-DE"/>
              </w:rPr>
              <w:t>den</w:t>
            </w:r>
            <w:r w:rsidRPr="002A24E2">
              <w:rPr>
                <w:lang w:val="de-DE"/>
              </w:rPr>
              <w:t xml:space="preserve"> Niederlanden zur Kenntnis, </w:t>
            </w:r>
            <w:r w:rsidR="005412DD" w:rsidRPr="002A24E2">
              <w:rPr>
                <w:lang w:val="de-DE"/>
              </w:rPr>
              <w:t>daß</w:t>
            </w:r>
            <w:r w:rsidRPr="002A24E2">
              <w:rPr>
                <w:lang w:val="de-DE"/>
              </w:rPr>
              <w:t xml:space="preserve"> eine </w:t>
            </w:r>
            <w:r w:rsidR="005F15FE" w:rsidRPr="002A24E2">
              <w:rPr>
                <w:lang w:val="de-DE"/>
              </w:rPr>
              <w:t>Anleitung</w:t>
            </w:r>
            <w:r w:rsidR="004B4303" w:rsidRPr="002A24E2">
              <w:rPr>
                <w:lang w:val="de-DE"/>
              </w:rPr>
              <w:t xml:space="preserve"> </w:t>
            </w:r>
            <w:r w:rsidRPr="002A24E2">
              <w:rPr>
                <w:lang w:val="de-DE"/>
              </w:rPr>
              <w:t>für d</w:t>
            </w:r>
            <w:r w:rsidR="00F8268D" w:rsidRPr="002A24E2">
              <w:rPr>
                <w:lang w:val="de-DE"/>
              </w:rPr>
              <w:t>erartig</w:t>
            </w:r>
            <w:r w:rsidRPr="002A24E2">
              <w:rPr>
                <w:lang w:val="de-DE"/>
              </w:rPr>
              <w:t xml:space="preserve">e in </w:t>
            </w:r>
            <w:r w:rsidR="005412DD" w:rsidRPr="002A24E2">
              <w:rPr>
                <w:lang w:val="de-DE"/>
              </w:rPr>
              <w:t>den</w:t>
            </w:r>
            <w:r w:rsidRPr="002A24E2">
              <w:rPr>
                <w:lang w:val="de-DE"/>
              </w:rPr>
              <w:t xml:space="preserve"> </w:t>
            </w:r>
            <w:r w:rsidR="005412DD" w:rsidRPr="002A24E2">
              <w:rPr>
                <w:lang w:val="de-DE"/>
              </w:rPr>
              <w:t>Räumlichkeiten</w:t>
            </w:r>
            <w:r w:rsidRPr="002A24E2">
              <w:rPr>
                <w:lang w:val="de-DE"/>
              </w:rPr>
              <w:t xml:space="preserve"> der Züchter </w:t>
            </w:r>
            <w:r w:rsidR="005412DD" w:rsidRPr="002A24E2">
              <w:rPr>
                <w:lang w:val="de-DE"/>
              </w:rPr>
              <w:t>organisierte</w:t>
            </w:r>
            <w:r w:rsidRPr="002A24E2">
              <w:rPr>
                <w:lang w:val="de-DE"/>
              </w:rPr>
              <w:t xml:space="preserve"> Prüfungen erarbeitet und in das </w:t>
            </w:r>
            <w:r w:rsidR="005F15FE" w:rsidRPr="002A24E2">
              <w:rPr>
                <w:lang w:val="de-DE"/>
              </w:rPr>
              <w:t>Dokument</w:t>
            </w:r>
            <w:r w:rsidR="004B4303" w:rsidRPr="002A24E2">
              <w:rPr>
                <w:lang w:val="de-DE"/>
              </w:rPr>
              <w:t xml:space="preserve"> TGP/6</w:t>
            </w:r>
            <w:r w:rsidRPr="002A24E2">
              <w:rPr>
                <w:lang w:val="de-DE"/>
              </w:rPr>
              <w:t>,</w:t>
            </w:r>
            <w:r w:rsidR="004B4303" w:rsidRPr="002A24E2">
              <w:rPr>
                <w:lang w:val="de-DE"/>
              </w:rPr>
              <w:t xml:space="preserve"> </w:t>
            </w:r>
            <w:r w:rsidRPr="002A24E2">
              <w:rPr>
                <w:lang w:val="de-DE"/>
              </w:rPr>
              <w:t>„Organisation de</w:t>
            </w:r>
            <w:r w:rsidR="004B4303" w:rsidRPr="002A24E2">
              <w:rPr>
                <w:lang w:val="de-DE"/>
              </w:rPr>
              <w:t>r DUS</w:t>
            </w:r>
            <w:r w:rsidRPr="002A24E2">
              <w:rPr>
                <w:lang w:val="de-DE"/>
              </w:rPr>
              <w:t xml:space="preserve">-Prüfung“, aufgenommen </w:t>
            </w:r>
            <w:r w:rsidR="005412DD" w:rsidRPr="002A24E2">
              <w:rPr>
                <w:lang w:val="de-DE"/>
              </w:rPr>
              <w:t>werden</w:t>
            </w:r>
            <w:r w:rsidRPr="002A24E2">
              <w:rPr>
                <w:lang w:val="de-DE"/>
              </w:rPr>
              <w:t xml:space="preserve"> könnte</w:t>
            </w:r>
            <w:r w:rsidR="004B4303" w:rsidRPr="002A24E2">
              <w:rPr>
                <w:rFonts w:cs="Arial"/>
                <w:lang w:val="de-DE"/>
              </w:rPr>
              <w:t xml:space="preserve"> (</w:t>
            </w:r>
            <w:r w:rsidR="00DD2C6B" w:rsidRPr="002A24E2">
              <w:rPr>
                <w:rFonts w:cs="Arial"/>
                <w:lang w:val="de-DE"/>
              </w:rPr>
              <w:t>vergleiche Dokument</w:t>
            </w:r>
            <w:r w:rsidR="004B4303" w:rsidRPr="002A24E2">
              <w:rPr>
                <w:rFonts w:cs="Arial"/>
                <w:lang w:val="de-DE"/>
              </w:rPr>
              <w:t xml:space="preserve"> TWC/32/28</w:t>
            </w:r>
            <w:r w:rsidR="00D70EF8" w:rsidRPr="002A24E2">
              <w:rPr>
                <w:rFonts w:cs="Arial"/>
                <w:lang w:val="de-DE"/>
              </w:rPr>
              <w:t>, „</w:t>
            </w:r>
            <w:r w:rsidR="00D70EF8" w:rsidRPr="002A24E2">
              <w:rPr>
                <w:rFonts w:cs="Arial"/>
                <w:i/>
                <w:lang w:val="de-DE"/>
              </w:rPr>
              <w:t>Report</w:t>
            </w:r>
            <w:r w:rsidR="00D70EF8" w:rsidRPr="002A24E2">
              <w:rPr>
                <w:rFonts w:cs="Arial"/>
                <w:lang w:val="de-DE"/>
              </w:rPr>
              <w:t>“</w:t>
            </w:r>
            <w:r w:rsidR="004B4303" w:rsidRPr="002A24E2">
              <w:rPr>
                <w:rFonts w:cs="Arial"/>
                <w:lang w:val="de-DE"/>
              </w:rPr>
              <w:t xml:space="preserve">, </w:t>
            </w:r>
            <w:r w:rsidR="005F15FE" w:rsidRPr="002A24E2">
              <w:rPr>
                <w:rFonts w:cs="Arial"/>
                <w:lang w:val="de-DE"/>
              </w:rPr>
              <w:t>Absatz</w:t>
            </w:r>
            <w:r w:rsidR="004B4303" w:rsidRPr="002A24E2">
              <w:rPr>
                <w:rFonts w:cs="Arial"/>
                <w:lang w:val="de-DE"/>
              </w:rPr>
              <w:t xml:space="preserve"> 38)</w:t>
            </w:r>
            <w:r w:rsidR="004B4303" w:rsidRPr="002A24E2">
              <w:rPr>
                <w:lang w:val="de-DE"/>
              </w:rPr>
              <w:t>.</w:t>
            </w:r>
          </w:p>
          <w:p w:rsidR="004B4303" w:rsidRPr="002A24E2" w:rsidRDefault="004B4303" w:rsidP="005F15FE">
            <w:pPr>
              <w:rPr>
                <w:snapToGrid w:val="0"/>
                <w:lang w:val="de-DE"/>
              </w:rPr>
            </w:pPr>
          </w:p>
        </w:tc>
        <w:tc>
          <w:tcPr>
            <w:tcW w:w="1014" w:type="dxa"/>
          </w:tcPr>
          <w:p w:rsidR="004B4303" w:rsidRPr="002A24E2" w:rsidRDefault="004B4303" w:rsidP="005F15FE">
            <w:pPr>
              <w:jc w:val="center"/>
              <w:rPr>
                <w:lang w:val="de-DE"/>
              </w:rPr>
            </w:pPr>
            <w:r w:rsidRPr="002A24E2">
              <w:rPr>
                <w:lang w:val="de-DE"/>
              </w:rPr>
              <w:t>TWC</w:t>
            </w:r>
          </w:p>
        </w:tc>
      </w:tr>
      <w:tr w:rsidR="004B4303" w:rsidRPr="002A24E2" w:rsidTr="005F15FE">
        <w:trPr>
          <w:cantSplit/>
        </w:trPr>
        <w:tc>
          <w:tcPr>
            <w:tcW w:w="1701" w:type="dxa"/>
          </w:tcPr>
          <w:p w:rsidR="004B4303" w:rsidRPr="002A24E2" w:rsidRDefault="004B4303" w:rsidP="005F15FE">
            <w:pPr>
              <w:jc w:val="left"/>
              <w:rPr>
                <w:lang w:val="de-DE"/>
              </w:rPr>
            </w:pPr>
          </w:p>
        </w:tc>
        <w:tc>
          <w:tcPr>
            <w:tcW w:w="6924" w:type="dxa"/>
          </w:tcPr>
          <w:p w:rsidR="004B4303" w:rsidRPr="002A24E2" w:rsidRDefault="00927229" w:rsidP="005F15FE">
            <w:pPr>
              <w:rPr>
                <w:lang w:val="de-DE"/>
              </w:rPr>
            </w:pPr>
            <w:r w:rsidRPr="002A24E2">
              <w:rPr>
                <w:lang w:val="de-DE"/>
              </w:rPr>
              <w:t>Di</w:t>
            </w:r>
            <w:r w:rsidR="004B4303" w:rsidRPr="002A24E2">
              <w:rPr>
                <w:lang w:val="de-DE"/>
              </w:rPr>
              <w:t>e TWV n</w:t>
            </w:r>
            <w:r w:rsidRPr="002A24E2">
              <w:rPr>
                <w:lang w:val="de-DE"/>
              </w:rPr>
              <w:t xml:space="preserve">ahm die von den </w:t>
            </w:r>
            <w:r w:rsidR="005412DD" w:rsidRPr="002A24E2">
              <w:rPr>
                <w:lang w:val="de-DE"/>
              </w:rPr>
              <w:t>Sachverständigen</w:t>
            </w:r>
            <w:r w:rsidRPr="002A24E2">
              <w:rPr>
                <w:lang w:val="de-DE"/>
              </w:rPr>
              <w:t xml:space="preserve"> aus </w:t>
            </w:r>
            <w:r w:rsidR="005412DD" w:rsidRPr="002A24E2">
              <w:rPr>
                <w:lang w:val="de-DE"/>
              </w:rPr>
              <w:t>Frankreich</w:t>
            </w:r>
            <w:r w:rsidRPr="002A24E2">
              <w:rPr>
                <w:lang w:val="de-DE"/>
              </w:rPr>
              <w:t xml:space="preserve"> und </w:t>
            </w:r>
            <w:r w:rsidR="005412DD" w:rsidRPr="002A24E2">
              <w:rPr>
                <w:lang w:val="de-DE"/>
              </w:rPr>
              <w:t>den</w:t>
            </w:r>
            <w:r w:rsidRPr="002A24E2">
              <w:rPr>
                <w:lang w:val="de-DE"/>
              </w:rPr>
              <w:t xml:space="preserve"> Niederlanden erteilten Informationen über ihre Anwendung </w:t>
            </w:r>
            <w:r w:rsidR="005F15FE" w:rsidRPr="002A24E2">
              <w:rPr>
                <w:lang w:val="de-DE"/>
              </w:rPr>
              <w:t>randomisiert</w:t>
            </w:r>
            <w:r w:rsidRPr="002A24E2">
              <w:rPr>
                <w:lang w:val="de-DE"/>
              </w:rPr>
              <w:t>er</w:t>
            </w:r>
            <w:r w:rsidR="005F15FE" w:rsidRPr="002A24E2">
              <w:rPr>
                <w:lang w:val="de-DE"/>
              </w:rPr>
              <w:t xml:space="preserve"> </w:t>
            </w:r>
            <w:r w:rsidRPr="002A24E2">
              <w:rPr>
                <w:lang w:val="de-DE"/>
              </w:rPr>
              <w:t>„</w:t>
            </w:r>
            <w:r w:rsidR="005F15FE" w:rsidRPr="002A24E2">
              <w:rPr>
                <w:lang w:val="de-DE"/>
              </w:rPr>
              <w:t>Blind</w:t>
            </w:r>
            <w:r w:rsidRPr="002A24E2">
              <w:rPr>
                <w:lang w:val="de-DE"/>
              </w:rPr>
              <w:t>“</w:t>
            </w:r>
            <w:r w:rsidR="005F15FE" w:rsidRPr="002A24E2">
              <w:rPr>
                <w:lang w:val="de-DE"/>
              </w:rPr>
              <w:t>-Prüfungen</w:t>
            </w:r>
            <w:r w:rsidR="004B4303" w:rsidRPr="002A24E2">
              <w:rPr>
                <w:lang w:val="de-DE"/>
              </w:rPr>
              <w:t xml:space="preserve">, </w:t>
            </w:r>
            <w:r w:rsidR="005412DD" w:rsidRPr="002A24E2">
              <w:rPr>
                <w:lang w:val="de-DE"/>
              </w:rPr>
              <w:t>einschließlich</w:t>
            </w:r>
            <w:r w:rsidRPr="002A24E2">
              <w:rPr>
                <w:lang w:val="de-DE"/>
              </w:rPr>
              <w:t xml:space="preserve"> der Umstände, </w:t>
            </w:r>
            <w:r w:rsidR="005412DD" w:rsidRPr="002A24E2">
              <w:rPr>
                <w:lang w:val="de-DE"/>
              </w:rPr>
              <w:t>unter</w:t>
            </w:r>
            <w:r w:rsidRPr="002A24E2">
              <w:rPr>
                <w:lang w:val="de-DE"/>
              </w:rPr>
              <w:t xml:space="preserve"> denen </w:t>
            </w:r>
            <w:r w:rsidR="005F15FE" w:rsidRPr="002A24E2">
              <w:rPr>
                <w:lang w:val="de-DE"/>
              </w:rPr>
              <w:t xml:space="preserve">randomisierte </w:t>
            </w:r>
            <w:r w:rsidRPr="002A24E2">
              <w:rPr>
                <w:lang w:val="de-DE"/>
              </w:rPr>
              <w:t>„</w:t>
            </w:r>
            <w:r w:rsidR="005F15FE" w:rsidRPr="002A24E2">
              <w:rPr>
                <w:lang w:val="de-DE"/>
              </w:rPr>
              <w:t>Blind</w:t>
            </w:r>
            <w:r w:rsidRPr="002A24E2">
              <w:rPr>
                <w:lang w:val="de-DE"/>
              </w:rPr>
              <w:t>“</w:t>
            </w:r>
            <w:r w:rsidR="005F15FE" w:rsidRPr="002A24E2">
              <w:rPr>
                <w:lang w:val="de-DE"/>
              </w:rPr>
              <w:t>-Prüfungen</w:t>
            </w:r>
            <w:r w:rsidR="004B4303" w:rsidRPr="002A24E2">
              <w:rPr>
                <w:lang w:val="de-DE"/>
              </w:rPr>
              <w:t xml:space="preserve"> </w:t>
            </w:r>
            <w:r w:rsidRPr="002A24E2">
              <w:rPr>
                <w:lang w:val="de-DE"/>
              </w:rPr>
              <w:t xml:space="preserve">angewandt </w:t>
            </w:r>
            <w:r w:rsidR="005412DD" w:rsidRPr="002A24E2">
              <w:rPr>
                <w:lang w:val="de-DE"/>
              </w:rPr>
              <w:t>werden</w:t>
            </w:r>
            <w:r w:rsidRPr="002A24E2">
              <w:rPr>
                <w:lang w:val="de-DE"/>
              </w:rPr>
              <w:t xml:space="preserve">, zur Kenntnis </w:t>
            </w:r>
            <w:r w:rsidR="004B4303" w:rsidRPr="002A24E2">
              <w:rPr>
                <w:rFonts w:cs="Arial"/>
                <w:lang w:val="de-DE"/>
              </w:rPr>
              <w:t>(</w:t>
            </w:r>
            <w:r w:rsidR="00DD2C6B" w:rsidRPr="002A24E2">
              <w:rPr>
                <w:rFonts w:cs="Arial"/>
                <w:lang w:val="de-DE"/>
              </w:rPr>
              <w:t>vergleiche Dokument</w:t>
            </w:r>
            <w:r w:rsidR="00003233" w:rsidRPr="002A24E2">
              <w:rPr>
                <w:rFonts w:cs="Arial"/>
                <w:lang w:val="de-DE"/>
              </w:rPr>
              <w:t> </w:t>
            </w:r>
            <w:r w:rsidR="004B4303" w:rsidRPr="002A24E2">
              <w:rPr>
                <w:rFonts w:cs="Arial"/>
                <w:lang w:val="de-DE"/>
              </w:rPr>
              <w:t>TWV/48/43</w:t>
            </w:r>
            <w:r w:rsidR="00D70EF8" w:rsidRPr="002A24E2">
              <w:rPr>
                <w:rFonts w:cs="Arial"/>
                <w:lang w:val="de-DE"/>
              </w:rPr>
              <w:t>, „</w:t>
            </w:r>
            <w:r w:rsidR="00D70EF8" w:rsidRPr="002A24E2">
              <w:rPr>
                <w:rFonts w:cs="Arial"/>
                <w:i/>
                <w:lang w:val="de-DE"/>
              </w:rPr>
              <w:t>Report</w:t>
            </w:r>
            <w:r w:rsidR="00D70EF8" w:rsidRPr="002A24E2">
              <w:rPr>
                <w:rFonts w:cs="Arial"/>
                <w:lang w:val="de-DE"/>
              </w:rPr>
              <w:t>“</w:t>
            </w:r>
            <w:r w:rsidR="004B4303" w:rsidRPr="002A24E2">
              <w:rPr>
                <w:rFonts w:cs="Arial"/>
                <w:lang w:val="de-DE"/>
              </w:rPr>
              <w:t xml:space="preserve">, </w:t>
            </w:r>
            <w:r w:rsidR="005F15FE" w:rsidRPr="002A24E2">
              <w:rPr>
                <w:rFonts w:cs="Arial"/>
                <w:lang w:val="de-DE"/>
              </w:rPr>
              <w:t>Absatz</w:t>
            </w:r>
            <w:r w:rsidR="004B4303" w:rsidRPr="002A24E2">
              <w:rPr>
                <w:rFonts w:cs="Arial"/>
                <w:lang w:val="de-DE"/>
              </w:rPr>
              <w:t xml:space="preserve"> 50)</w:t>
            </w:r>
            <w:r w:rsidR="004B4303" w:rsidRPr="002A24E2">
              <w:rPr>
                <w:lang w:val="de-DE"/>
              </w:rPr>
              <w:t>.</w:t>
            </w:r>
          </w:p>
          <w:p w:rsidR="004B4303" w:rsidRPr="002A24E2" w:rsidRDefault="004B4303" w:rsidP="005F15FE">
            <w:pPr>
              <w:rPr>
                <w:lang w:val="de-DE"/>
              </w:rPr>
            </w:pPr>
          </w:p>
          <w:p w:rsidR="004B4303" w:rsidRPr="002A24E2" w:rsidRDefault="00927229" w:rsidP="005F15FE">
            <w:pPr>
              <w:rPr>
                <w:lang w:val="de-DE"/>
              </w:rPr>
            </w:pPr>
            <w:r w:rsidRPr="002A24E2">
              <w:rPr>
                <w:lang w:val="de-DE"/>
              </w:rPr>
              <w:t>Di</w:t>
            </w:r>
            <w:r w:rsidR="004B4303" w:rsidRPr="002A24E2">
              <w:rPr>
                <w:lang w:val="de-DE"/>
              </w:rPr>
              <w:t xml:space="preserve">e TWV </w:t>
            </w:r>
            <w:r w:rsidRPr="002A24E2">
              <w:rPr>
                <w:lang w:val="de-DE"/>
              </w:rPr>
              <w:t xml:space="preserve">stimmte zu, </w:t>
            </w:r>
            <w:r w:rsidR="005412DD" w:rsidRPr="002A24E2">
              <w:rPr>
                <w:lang w:val="de-DE"/>
              </w:rPr>
              <w:t>daß</w:t>
            </w:r>
            <w:r w:rsidRPr="002A24E2">
              <w:rPr>
                <w:lang w:val="de-DE"/>
              </w:rPr>
              <w:t xml:space="preserve"> die </w:t>
            </w:r>
            <w:r w:rsidR="005412DD" w:rsidRPr="002A24E2">
              <w:rPr>
                <w:lang w:val="de-DE"/>
              </w:rPr>
              <w:t>Behörden</w:t>
            </w:r>
            <w:r w:rsidRPr="002A24E2">
              <w:rPr>
                <w:lang w:val="de-DE"/>
              </w:rPr>
              <w:t xml:space="preserve"> bei der Anwendung </w:t>
            </w:r>
            <w:r w:rsidR="005F15FE" w:rsidRPr="002A24E2">
              <w:rPr>
                <w:lang w:val="de-DE"/>
              </w:rPr>
              <w:t>randomisierte</w:t>
            </w:r>
            <w:r w:rsidRPr="002A24E2">
              <w:rPr>
                <w:lang w:val="de-DE"/>
              </w:rPr>
              <w:t>r</w:t>
            </w:r>
            <w:r w:rsidR="005F15FE" w:rsidRPr="002A24E2">
              <w:rPr>
                <w:lang w:val="de-DE"/>
              </w:rPr>
              <w:t xml:space="preserve"> </w:t>
            </w:r>
            <w:r w:rsidR="00F8268D" w:rsidRPr="002A24E2">
              <w:rPr>
                <w:lang w:val="de-DE"/>
              </w:rPr>
              <w:t>„</w:t>
            </w:r>
            <w:r w:rsidR="005F15FE" w:rsidRPr="002A24E2">
              <w:rPr>
                <w:lang w:val="de-DE"/>
              </w:rPr>
              <w:t>Blind</w:t>
            </w:r>
            <w:r w:rsidR="00F8268D" w:rsidRPr="002A24E2">
              <w:rPr>
                <w:lang w:val="de-DE"/>
              </w:rPr>
              <w:t>“</w:t>
            </w:r>
            <w:r w:rsidR="005F15FE" w:rsidRPr="002A24E2">
              <w:rPr>
                <w:lang w:val="de-DE"/>
              </w:rPr>
              <w:t>-Prüfungen</w:t>
            </w:r>
            <w:r w:rsidRPr="002A24E2">
              <w:rPr>
                <w:lang w:val="de-DE"/>
              </w:rPr>
              <w:t xml:space="preserve"> die </w:t>
            </w:r>
            <w:r w:rsidR="005412DD" w:rsidRPr="002A24E2">
              <w:rPr>
                <w:lang w:val="de-DE"/>
              </w:rPr>
              <w:t>endgültige</w:t>
            </w:r>
            <w:r w:rsidRPr="002A24E2">
              <w:rPr>
                <w:lang w:val="de-DE"/>
              </w:rPr>
              <w:t xml:space="preserve"> Entscheidung </w:t>
            </w:r>
            <w:r w:rsidR="005412DD" w:rsidRPr="002A24E2">
              <w:rPr>
                <w:lang w:val="de-DE"/>
              </w:rPr>
              <w:t>gemäß</w:t>
            </w:r>
            <w:r w:rsidRPr="002A24E2">
              <w:rPr>
                <w:lang w:val="de-DE"/>
              </w:rPr>
              <w:t xml:space="preserve"> den </w:t>
            </w:r>
            <w:r w:rsidR="005412DD" w:rsidRPr="002A24E2">
              <w:rPr>
                <w:lang w:val="de-DE"/>
              </w:rPr>
              <w:t>Regeln</w:t>
            </w:r>
            <w:r w:rsidRPr="002A24E2">
              <w:rPr>
                <w:lang w:val="de-DE"/>
              </w:rPr>
              <w:t xml:space="preserve"> und Kriterien zur Durchführung </w:t>
            </w:r>
            <w:r w:rsidR="005412DD" w:rsidRPr="002A24E2">
              <w:rPr>
                <w:lang w:val="de-DE"/>
              </w:rPr>
              <w:t>einer</w:t>
            </w:r>
            <w:r w:rsidRPr="002A24E2">
              <w:rPr>
                <w:lang w:val="de-DE"/>
              </w:rPr>
              <w:t xml:space="preserve"> DUS-Prüfung </w:t>
            </w:r>
            <w:r w:rsidR="00712CF6" w:rsidRPr="002A24E2">
              <w:rPr>
                <w:lang w:val="de-DE"/>
              </w:rPr>
              <w:t>treffen und da</w:t>
            </w:r>
            <w:r w:rsidR="002B3F08" w:rsidRPr="002A24E2">
              <w:rPr>
                <w:lang w:val="de-DE"/>
              </w:rPr>
              <w:t xml:space="preserve">ß </w:t>
            </w:r>
            <w:r w:rsidR="00712CF6" w:rsidRPr="002A24E2">
              <w:rPr>
                <w:lang w:val="de-DE"/>
              </w:rPr>
              <w:t xml:space="preserve">eine </w:t>
            </w:r>
            <w:r w:rsidR="005F15FE" w:rsidRPr="002A24E2">
              <w:rPr>
                <w:lang w:val="de-DE"/>
              </w:rPr>
              <w:t xml:space="preserve">randomisierte </w:t>
            </w:r>
            <w:r w:rsidR="00F8268D" w:rsidRPr="002A24E2">
              <w:rPr>
                <w:lang w:val="de-DE"/>
              </w:rPr>
              <w:t>„</w:t>
            </w:r>
            <w:r w:rsidR="005F15FE" w:rsidRPr="002A24E2">
              <w:rPr>
                <w:lang w:val="de-DE"/>
              </w:rPr>
              <w:t>Blind</w:t>
            </w:r>
            <w:r w:rsidR="00F8268D" w:rsidRPr="002A24E2">
              <w:rPr>
                <w:lang w:val="de-DE"/>
              </w:rPr>
              <w:t>“</w:t>
            </w:r>
            <w:r w:rsidR="005F15FE" w:rsidRPr="002A24E2">
              <w:rPr>
                <w:lang w:val="de-DE"/>
              </w:rPr>
              <w:t>-Prüfung</w:t>
            </w:r>
            <w:r w:rsidR="004B4303" w:rsidRPr="002A24E2">
              <w:rPr>
                <w:lang w:val="de-DE"/>
              </w:rPr>
              <w:t xml:space="preserve"> </w:t>
            </w:r>
            <w:r w:rsidR="00712CF6" w:rsidRPr="002A24E2">
              <w:rPr>
                <w:lang w:val="de-DE"/>
              </w:rPr>
              <w:t xml:space="preserve">nur in Ausnahmefällen </w:t>
            </w:r>
            <w:r w:rsidR="005412DD" w:rsidRPr="002A24E2">
              <w:rPr>
                <w:lang w:val="de-DE"/>
              </w:rPr>
              <w:t>durchgeführt</w:t>
            </w:r>
            <w:r w:rsidR="00712CF6" w:rsidRPr="002A24E2">
              <w:rPr>
                <w:lang w:val="de-DE"/>
              </w:rPr>
              <w:t xml:space="preserve"> w</w:t>
            </w:r>
            <w:r w:rsidR="00F8268D" w:rsidRPr="002A24E2">
              <w:rPr>
                <w:lang w:val="de-DE"/>
              </w:rPr>
              <w:t>e</w:t>
            </w:r>
            <w:r w:rsidR="00712CF6" w:rsidRPr="002A24E2">
              <w:rPr>
                <w:lang w:val="de-DE"/>
              </w:rPr>
              <w:t>rde.</w:t>
            </w:r>
          </w:p>
          <w:p w:rsidR="004B4303" w:rsidRPr="002A24E2" w:rsidRDefault="004B4303" w:rsidP="005F15FE">
            <w:pPr>
              <w:rPr>
                <w:lang w:val="de-DE"/>
              </w:rPr>
            </w:pPr>
          </w:p>
          <w:p w:rsidR="004B4303" w:rsidRPr="002A24E2" w:rsidRDefault="00712CF6" w:rsidP="005F15FE">
            <w:pPr>
              <w:rPr>
                <w:rFonts w:cs="Arial"/>
                <w:lang w:val="de-DE"/>
              </w:rPr>
            </w:pPr>
            <w:r w:rsidRPr="002A24E2">
              <w:rPr>
                <w:lang w:val="de-DE"/>
              </w:rPr>
              <w:t>Di</w:t>
            </w:r>
            <w:r w:rsidR="004B4303" w:rsidRPr="002A24E2">
              <w:rPr>
                <w:lang w:val="de-DE"/>
              </w:rPr>
              <w:t>e TWV n</w:t>
            </w:r>
            <w:r w:rsidRPr="002A24E2">
              <w:rPr>
                <w:lang w:val="de-DE"/>
              </w:rPr>
              <w:t xml:space="preserve">ahm zur Kenntnis, </w:t>
            </w:r>
            <w:r w:rsidR="005412DD" w:rsidRPr="002A24E2">
              <w:rPr>
                <w:lang w:val="de-DE"/>
              </w:rPr>
              <w:t>daß</w:t>
            </w:r>
            <w:r w:rsidRPr="002A24E2">
              <w:rPr>
                <w:lang w:val="de-DE"/>
              </w:rPr>
              <w:t xml:space="preserve"> die </w:t>
            </w:r>
            <w:r w:rsidR="005412DD" w:rsidRPr="002A24E2">
              <w:rPr>
                <w:lang w:val="de-DE"/>
              </w:rPr>
              <w:t>Sachverständigen</w:t>
            </w:r>
            <w:r w:rsidRPr="002A24E2">
              <w:rPr>
                <w:lang w:val="de-DE"/>
              </w:rPr>
              <w:t xml:space="preserve"> von</w:t>
            </w:r>
            <w:r w:rsidR="004B4303" w:rsidRPr="002A24E2">
              <w:rPr>
                <w:lang w:val="de-DE"/>
              </w:rPr>
              <w:t xml:space="preserve"> </w:t>
            </w:r>
            <w:r w:rsidR="004B4303" w:rsidRPr="002A24E2">
              <w:rPr>
                <w:i/>
                <w:lang w:val="de-DE"/>
              </w:rPr>
              <w:t>CropLife International</w:t>
            </w:r>
            <w:r w:rsidR="004B4303" w:rsidRPr="002A24E2">
              <w:rPr>
                <w:lang w:val="de-DE"/>
              </w:rPr>
              <w:t xml:space="preserve"> </w:t>
            </w:r>
            <w:r w:rsidRPr="002A24E2">
              <w:rPr>
                <w:lang w:val="de-DE"/>
              </w:rPr>
              <w:t>u</w:t>
            </w:r>
            <w:r w:rsidR="004B4303" w:rsidRPr="002A24E2">
              <w:rPr>
                <w:lang w:val="de-DE"/>
              </w:rPr>
              <w:t xml:space="preserve">nd </w:t>
            </w:r>
            <w:r w:rsidR="004B4303" w:rsidRPr="002A24E2">
              <w:rPr>
                <w:i/>
                <w:lang w:val="de-DE"/>
              </w:rPr>
              <w:t>European Seed Association</w:t>
            </w:r>
            <w:r w:rsidR="004B4303" w:rsidRPr="002A24E2">
              <w:rPr>
                <w:lang w:val="de-DE"/>
              </w:rPr>
              <w:t xml:space="preserve"> </w:t>
            </w:r>
            <w:r w:rsidRPr="002A24E2">
              <w:rPr>
                <w:lang w:val="de-DE"/>
              </w:rPr>
              <w:t>die Anwendung von „Blind“</w:t>
            </w:r>
            <w:r w:rsidR="002B3F08" w:rsidRPr="002A24E2">
              <w:rPr>
                <w:lang w:val="de-DE"/>
              </w:rPr>
              <w:noBreakHyphen/>
            </w:r>
            <w:r w:rsidRPr="002A24E2">
              <w:rPr>
                <w:lang w:val="de-DE"/>
              </w:rPr>
              <w:t>Prüfungen und in einigen Fällen von randomisierten „Blind“</w:t>
            </w:r>
            <w:r w:rsidR="002B3F08" w:rsidRPr="002A24E2">
              <w:rPr>
                <w:lang w:val="de-DE"/>
              </w:rPr>
              <w:noBreakHyphen/>
            </w:r>
            <w:r w:rsidRPr="002A24E2">
              <w:rPr>
                <w:lang w:val="de-DE"/>
              </w:rPr>
              <w:t xml:space="preserve">Prüfungen befürworteten </w:t>
            </w:r>
            <w:r w:rsidR="004B4303" w:rsidRPr="002A24E2">
              <w:rPr>
                <w:rFonts w:cs="Arial"/>
                <w:lang w:val="de-DE"/>
              </w:rPr>
              <w:t>(</w:t>
            </w:r>
            <w:r w:rsidR="00DD2C6B" w:rsidRPr="002A24E2">
              <w:rPr>
                <w:rFonts w:cs="Arial"/>
                <w:lang w:val="de-DE"/>
              </w:rPr>
              <w:t>vergleiche Dokument</w:t>
            </w:r>
            <w:r w:rsidR="004B4303" w:rsidRPr="002A24E2">
              <w:rPr>
                <w:rFonts w:cs="Arial"/>
                <w:lang w:val="de-DE"/>
              </w:rPr>
              <w:t xml:space="preserve"> TWV/48/43</w:t>
            </w:r>
            <w:r w:rsidR="00D70EF8" w:rsidRPr="002A24E2">
              <w:rPr>
                <w:rFonts w:cs="Arial"/>
                <w:lang w:val="de-DE"/>
              </w:rPr>
              <w:t>, „</w:t>
            </w:r>
            <w:r w:rsidR="00D70EF8" w:rsidRPr="002A24E2">
              <w:rPr>
                <w:rFonts w:cs="Arial"/>
                <w:i/>
                <w:lang w:val="de-DE"/>
              </w:rPr>
              <w:t>Report</w:t>
            </w:r>
            <w:r w:rsidR="00D70EF8" w:rsidRPr="002A24E2">
              <w:rPr>
                <w:rFonts w:cs="Arial"/>
                <w:lang w:val="de-DE"/>
              </w:rPr>
              <w:t>“</w:t>
            </w:r>
            <w:r w:rsidR="004B4303" w:rsidRPr="002A24E2">
              <w:rPr>
                <w:rFonts w:cs="Arial"/>
                <w:lang w:val="de-DE"/>
              </w:rPr>
              <w:t xml:space="preserve">, </w:t>
            </w:r>
            <w:r w:rsidR="005F15FE" w:rsidRPr="002A24E2">
              <w:rPr>
                <w:rFonts w:cs="Arial"/>
                <w:lang w:val="de-DE"/>
              </w:rPr>
              <w:t>Absätze</w:t>
            </w:r>
            <w:r w:rsidR="004B4303" w:rsidRPr="002A24E2">
              <w:rPr>
                <w:rFonts w:cs="Arial"/>
                <w:lang w:val="de-DE"/>
              </w:rPr>
              <w:t xml:space="preserve"> 53 </w:t>
            </w:r>
            <w:r w:rsidRPr="002A24E2">
              <w:rPr>
                <w:rFonts w:cs="Arial"/>
                <w:lang w:val="de-DE"/>
              </w:rPr>
              <w:t>u</w:t>
            </w:r>
            <w:r w:rsidR="004B4303" w:rsidRPr="002A24E2">
              <w:rPr>
                <w:rFonts w:cs="Arial"/>
                <w:lang w:val="de-DE"/>
              </w:rPr>
              <w:t>nd 54).</w:t>
            </w:r>
          </w:p>
          <w:p w:rsidR="004B4303" w:rsidRPr="002A24E2" w:rsidRDefault="004B4303" w:rsidP="005F15FE">
            <w:pPr>
              <w:rPr>
                <w:snapToGrid w:val="0"/>
                <w:lang w:val="de-DE"/>
              </w:rPr>
            </w:pPr>
          </w:p>
        </w:tc>
        <w:tc>
          <w:tcPr>
            <w:tcW w:w="1014" w:type="dxa"/>
          </w:tcPr>
          <w:p w:rsidR="004B4303" w:rsidRPr="002A24E2" w:rsidRDefault="004B4303" w:rsidP="005F15FE">
            <w:pPr>
              <w:jc w:val="center"/>
              <w:rPr>
                <w:lang w:val="de-DE"/>
              </w:rPr>
            </w:pPr>
            <w:r w:rsidRPr="002A24E2">
              <w:rPr>
                <w:lang w:val="de-DE"/>
              </w:rPr>
              <w:t>TWV</w:t>
            </w:r>
          </w:p>
        </w:tc>
      </w:tr>
      <w:tr w:rsidR="004B4303" w:rsidRPr="002A24E2" w:rsidTr="005F15FE">
        <w:trPr>
          <w:cantSplit/>
        </w:trPr>
        <w:tc>
          <w:tcPr>
            <w:tcW w:w="1701" w:type="dxa"/>
          </w:tcPr>
          <w:p w:rsidR="004B4303" w:rsidRPr="002A24E2" w:rsidRDefault="004B4303" w:rsidP="005F15FE">
            <w:pPr>
              <w:jc w:val="left"/>
              <w:rPr>
                <w:lang w:val="de-DE"/>
              </w:rPr>
            </w:pPr>
          </w:p>
        </w:tc>
        <w:tc>
          <w:tcPr>
            <w:tcW w:w="6924" w:type="dxa"/>
          </w:tcPr>
          <w:p w:rsidR="004B4303" w:rsidRPr="002A24E2" w:rsidRDefault="005412DD" w:rsidP="009376B1">
            <w:pPr>
              <w:rPr>
                <w:snapToGrid w:val="0"/>
                <w:lang w:val="de-DE"/>
              </w:rPr>
            </w:pPr>
            <w:r w:rsidRPr="002A24E2">
              <w:rPr>
                <w:snapToGrid w:val="0"/>
                <w:lang w:val="de-DE"/>
              </w:rPr>
              <w:t xml:space="preserve">Die TWA nahm zur Kenntnis, daß randomisierte </w:t>
            </w:r>
            <w:r w:rsidR="002B3F08" w:rsidRPr="002A24E2">
              <w:rPr>
                <w:snapToGrid w:val="0"/>
                <w:lang w:val="de-DE"/>
              </w:rPr>
              <w:t>„</w:t>
            </w:r>
            <w:r w:rsidRPr="002A24E2">
              <w:rPr>
                <w:snapToGrid w:val="0"/>
                <w:lang w:val="de-DE"/>
              </w:rPr>
              <w:t>Blind</w:t>
            </w:r>
            <w:r w:rsidR="002B3F08" w:rsidRPr="002A24E2">
              <w:rPr>
                <w:snapToGrid w:val="0"/>
                <w:lang w:val="de-DE"/>
              </w:rPr>
              <w:t>“</w:t>
            </w:r>
            <w:r w:rsidRPr="002A24E2">
              <w:rPr>
                <w:snapToGrid w:val="0"/>
                <w:lang w:val="de-DE"/>
              </w:rPr>
              <w:t xml:space="preserve">-Prüfungen angewandt würden: in Brasilien, um in bestimmten Fällen die Prüfung der Unterscheidbarkeit im Rahmen eines Züchterprüfungssystems für landwirtschaftliche Pflanzen und Gemüsearten zu bestätigen, im Vereinigten Königreich zur Prüfung der Unterscheidbarkeit und in Frankreich zur Erfassung von Krankheitsresistenzmerkmalen, die von der Behörde nicht geprüft werden </w:t>
            </w:r>
            <w:r w:rsidRPr="002A24E2">
              <w:rPr>
                <w:rFonts w:cs="Arial"/>
                <w:lang w:val="de-DE"/>
              </w:rPr>
              <w:t>(vergleiche Dokument TWA/43/27, „</w:t>
            </w:r>
            <w:r w:rsidRPr="002A24E2">
              <w:rPr>
                <w:rFonts w:cs="Arial"/>
                <w:i/>
                <w:lang w:val="de-DE"/>
              </w:rPr>
              <w:t>Report</w:t>
            </w:r>
            <w:r w:rsidRPr="002A24E2">
              <w:rPr>
                <w:rFonts w:cs="Arial"/>
                <w:lang w:val="de-DE"/>
              </w:rPr>
              <w:t>“, Absatz 46).</w:t>
            </w:r>
          </w:p>
        </w:tc>
        <w:tc>
          <w:tcPr>
            <w:tcW w:w="1014" w:type="dxa"/>
          </w:tcPr>
          <w:p w:rsidR="004B4303" w:rsidRPr="002A24E2" w:rsidRDefault="004B4303" w:rsidP="005F15FE">
            <w:pPr>
              <w:jc w:val="center"/>
              <w:rPr>
                <w:lang w:val="de-DE"/>
              </w:rPr>
            </w:pPr>
            <w:r w:rsidRPr="002A24E2">
              <w:rPr>
                <w:lang w:val="de-DE"/>
              </w:rPr>
              <w:t>TWA</w:t>
            </w:r>
          </w:p>
        </w:tc>
      </w:tr>
    </w:tbl>
    <w:p w:rsidR="004B4303" w:rsidRPr="002A24E2" w:rsidRDefault="004B4303" w:rsidP="004B4303">
      <w:pPr>
        <w:rPr>
          <w:lang w:val="de-DE"/>
        </w:rPr>
      </w:pPr>
    </w:p>
    <w:p w:rsidR="004B4303" w:rsidRPr="002A24E2" w:rsidRDefault="004B4303" w:rsidP="004B4303">
      <w:pPr>
        <w:pStyle w:val="Heading1"/>
        <w:rPr>
          <w:lang w:val="de-DE"/>
        </w:rPr>
      </w:pPr>
      <w:bookmarkStart w:id="26" w:name="_Toc406149594"/>
      <w:bookmarkStart w:id="27" w:name="_Toc410718287"/>
      <w:bookmarkStart w:id="28" w:name="_Toc410810146"/>
      <w:bookmarkStart w:id="29" w:name="_Toc410827627"/>
      <w:r w:rsidRPr="002A24E2">
        <w:rPr>
          <w:lang w:val="de-DE"/>
        </w:rPr>
        <w:lastRenderedPageBreak/>
        <w:t>n</w:t>
      </w:r>
      <w:r w:rsidR="00520B98" w:rsidRPr="002A24E2">
        <w:rPr>
          <w:lang w:val="de-DE"/>
        </w:rPr>
        <w:t>ÄCHSTE SCHRITTE</w:t>
      </w:r>
      <w:bookmarkEnd w:id="26"/>
      <w:bookmarkEnd w:id="27"/>
      <w:bookmarkEnd w:id="28"/>
      <w:bookmarkEnd w:id="29"/>
    </w:p>
    <w:p w:rsidR="004B4303" w:rsidRPr="002A24E2" w:rsidRDefault="004B4303" w:rsidP="004B4303">
      <w:pPr>
        <w:rPr>
          <w:lang w:val="de-DE"/>
        </w:rPr>
      </w:pPr>
    </w:p>
    <w:p w:rsidR="004B4303" w:rsidRPr="002A24E2" w:rsidRDefault="004B4303" w:rsidP="004B4303">
      <w:pPr>
        <w:rPr>
          <w:lang w:val="de-DE"/>
        </w:rPr>
      </w:pPr>
      <w:r w:rsidRPr="002A24E2">
        <w:rPr>
          <w:lang w:val="de-DE"/>
        </w:rPr>
        <w:fldChar w:fldCharType="begin"/>
      </w:r>
      <w:r w:rsidRPr="002A24E2">
        <w:rPr>
          <w:lang w:val="de-DE"/>
        </w:rPr>
        <w:instrText xml:space="preserve"> AUTONUM  </w:instrText>
      </w:r>
      <w:r w:rsidRPr="002A24E2">
        <w:rPr>
          <w:lang w:val="de-DE"/>
        </w:rPr>
        <w:fldChar w:fldCharType="end"/>
      </w:r>
      <w:r w:rsidRPr="002A24E2">
        <w:rPr>
          <w:lang w:val="de-DE"/>
        </w:rPr>
        <w:tab/>
      </w:r>
      <w:r w:rsidR="00520B98" w:rsidRPr="002A24E2">
        <w:rPr>
          <w:lang w:val="de-DE"/>
        </w:rPr>
        <w:t xml:space="preserve">Der Sachverständige aus Frankreich </w:t>
      </w:r>
      <w:r w:rsidR="005412DD" w:rsidRPr="002A24E2">
        <w:rPr>
          <w:lang w:val="de-DE"/>
        </w:rPr>
        <w:t>wandte</w:t>
      </w:r>
      <w:r w:rsidR="00520B98" w:rsidRPr="002A24E2">
        <w:rPr>
          <w:lang w:val="de-DE"/>
        </w:rPr>
        <w:t xml:space="preserve"> sich aufgrund der Erfahrung in den </w:t>
      </w:r>
      <w:r w:rsidR="005412DD" w:rsidRPr="002A24E2">
        <w:rPr>
          <w:lang w:val="de-DE"/>
        </w:rPr>
        <w:t>Niederlanden</w:t>
      </w:r>
      <w:r w:rsidR="00520B98" w:rsidRPr="002A24E2">
        <w:rPr>
          <w:lang w:val="de-DE"/>
        </w:rPr>
        <w:t xml:space="preserve">, über die von </w:t>
      </w:r>
      <w:r w:rsidR="005412DD" w:rsidRPr="002A24E2">
        <w:rPr>
          <w:lang w:val="de-DE"/>
        </w:rPr>
        <w:t>den</w:t>
      </w:r>
      <w:r w:rsidR="00520B98" w:rsidRPr="002A24E2">
        <w:rPr>
          <w:lang w:val="de-DE"/>
        </w:rPr>
        <w:t xml:space="preserve"> </w:t>
      </w:r>
      <w:r w:rsidRPr="002A24E2">
        <w:rPr>
          <w:lang w:val="de-DE"/>
        </w:rPr>
        <w:t xml:space="preserve">TWP </w:t>
      </w:r>
      <w:r w:rsidR="005F15FE" w:rsidRPr="002A24E2">
        <w:rPr>
          <w:lang w:val="de-DE"/>
        </w:rPr>
        <w:t>auf ihren Tagungen im Jahre 2014</w:t>
      </w:r>
      <w:r w:rsidR="00520B98" w:rsidRPr="002A24E2">
        <w:rPr>
          <w:lang w:val="de-DE"/>
        </w:rPr>
        <w:t xml:space="preserve"> berichtet wurde, an einen Sachverständigen aus </w:t>
      </w:r>
      <w:r w:rsidR="005412DD" w:rsidRPr="002A24E2">
        <w:rPr>
          <w:lang w:val="de-DE"/>
        </w:rPr>
        <w:t>den</w:t>
      </w:r>
      <w:r w:rsidR="00520B98" w:rsidRPr="002A24E2">
        <w:rPr>
          <w:lang w:val="de-DE"/>
        </w:rPr>
        <w:t xml:space="preserve"> </w:t>
      </w:r>
      <w:r w:rsidR="005412DD" w:rsidRPr="002A24E2">
        <w:rPr>
          <w:lang w:val="de-DE"/>
        </w:rPr>
        <w:t>Niederlanden</w:t>
      </w:r>
      <w:r w:rsidR="00520B98" w:rsidRPr="002A24E2">
        <w:rPr>
          <w:lang w:val="de-DE"/>
        </w:rPr>
        <w:t xml:space="preserve">, um die </w:t>
      </w:r>
      <w:r w:rsidR="005412DD" w:rsidRPr="002A24E2">
        <w:rPr>
          <w:lang w:val="de-DE"/>
        </w:rPr>
        <w:t>Ausarbeitung</w:t>
      </w:r>
      <w:r w:rsidR="00520B98" w:rsidRPr="002A24E2">
        <w:rPr>
          <w:lang w:val="de-DE"/>
        </w:rPr>
        <w:t xml:space="preserve"> der Richtlinien über </w:t>
      </w:r>
      <w:r w:rsidR="005F15FE" w:rsidRPr="002A24E2">
        <w:rPr>
          <w:lang w:val="de-DE"/>
        </w:rPr>
        <w:t xml:space="preserve">randomisierte </w:t>
      </w:r>
      <w:r w:rsidR="00520B98" w:rsidRPr="002A24E2">
        <w:rPr>
          <w:lang w:val="de-DE"/>
        </w:rPr>
        <w:t>„</w:t>
      </w:r>
      <w:r w:rsidR="005F15FE" w:rsidRPr="002A24E2">
        <w:rPr>
          <w:lang w:val="de-DE"/>
        </w:rPr>
        <w:t>Blind</w:t>
      </w:r>
      <w:r w:rsidR="00520B98" w:rsidRPr="002A24E2">
        <w:rPr>
          <w:lang w:val="de-DE"/>
        </w:rPr>
        <w:t>“</w:t>
      </w:r>
      <w:r w:rsidR="005F15FE" w:rsidRPr="002A24E2">
        <w:rPr>
          <w:lang w:val="de-DE"/>
        </w:rPr>
        <w:t>-Prüfungen</w:t>
      </w:r>
      <w:r w:rsidR="00520B98" w:rsidRPr="002A24E2">
        <w:rPr>
          <w:lang w:val="de-DE"/>
        </w:rPr>
        <w:t xml:space="preserve"> zu erörtern</w:t>
      </w:r>
      <w:r w:rsidRPr="002A24E2">
        <w:rPr>
          <w:lang w:val="de-DE"/>
        </w:rPr>
        <w:t xml:space="preserve">. </w:t>
      </w:r>
      <w:r w:rsidR="005412DD" w:rsidRPr="002A24E2">
        <w:rPr>
          <w:lang w:val="de-DE"/>
        </w:rPr>
        <w:t xml:space="preserve">Ihre Erörterungen führten zu dem Vorschlag, daß weiter erwogen werden sollte, ob die bestehende Anleitung in Dokument TGP/9, „Prüfung der Unterscheidbarkeit“, und in Dokument </w:t>
      </w:r>
      <w:r w:rsidR="005412DD" w:rsidRPr="002A24E2">
        <w:rPr>
          <w:rFonts w:eastAsia="MS Mincho"/>
          <w:color w:val="000000"/>
          <w:szCs w:val="24"/>
          <w:lang w:val="de-DE" w:eastAsia="ja-JP"/>
        </w:rPr>
        <w:t>TGP/8: Teil I: „DUS-Prüfungsanlage und Datenanalyse“ ausreiche, um die Angelegenheit zu behandeln.</w:t>
      </w:r>
      <w:r w:rsidR="005412DD" w:rsidRPr="002A24E2">
        <w:rPr>
          <w:lang w:val="de-DE"/>
        </w:rPr>
        <w:t xml:space="preserve"> </w:t>
      </w:r>
      <w:r w:rsidR="00AF57B2" w:rsidRPr="002A24E2">
        <w:rPr>
          <w:bCs/>
          <w:lang w:val="de-DE"/>
        </w:rPr>
        <w:t>Anlage</w:t>
      </w:r>
      <w:r w:rsidRPr="002A24E2">
        <w:rPr>
          <w:bCs/>
          <w:lang w:val="de-DE"/>
        </w:rPr>
        <w:t xml:space="preserve"> II </w:t>
      </w:r>
      <w:r w:rsidR="00AF57B2" w:rsidRPr="002A24E2">
        <w:rPr>
          <w:bCs/>
          <w:lang w:val="de-DE"/>
        </w:rPr>
        <w:t>dieses Dokuments</w:t>
      </w:r>
      <w:r w:rsidRPr="002A24E2">
        <w:rPr>
          <w:bCs/>
          <w:lang w:val="de-DE"/>
        </w:rPr>
        <w:t xml:space="preserve"> </w:t>
      </w:r>
      <w:r w:rsidR="00217617" w:rsidRPr="002A24E2">
        <w:rPr>
          <w:bCs/>
          <w:lang w:val="de-DE"/>
        </w:rPr>
        <w:t>enthält Auszüge aus den Dokumen</w:t>
      </w:r>
      <w:r w:rsidR="005F15FE" w:rsidRPr="002A24E2">
        <w:rPr>
          <w:bCs/>
          <w:lang w:val="de-DE"/>
        </w:rPr>
        <w:t>te</w:t>
      </w:r>
      <w:r w:rsidR="00217617" w:rsidRPr="002A24E2">
        <w:rPr>
          <w:bCs/>
          <w:lang w:val="de-DE"/>
        </w:rPr>
        <w:t>n</w:t>
      </w:r>
      <w:r w:rsidRPr="002A24E2">
        <w:rPr>
          <w:bCs/>
          <w:lang w:val="de-DE"/>
        </w:rPr>
        <w:t xml:space="preserve"> TGP/9 </w:t>
      </w:r>
      <w:r w:rsidR="00217617" w:rsidRPr="002A24E2">
        <w:rPr>
          <w:bCs/>
          <w:lang w:val="de-DE"/>
        </w:rPr>
        <w:t>u</w:t>
      </w:r>
      <w:r w:rsidRPr="002A24E2">
        <w:rPr>
          <w:bCs/>
          <w:lang w:val="de-DE"/>
        </w:rPr>
        <w:t xml:space="preserve">nd TGP/8 </w:t>
      </w:r>
      <w:r w:rsidR="00217617" w:rsidRPr="002A24E2">
        <w:rPr>
          <w:bCs/>
          <w:lang w:val="de-DE"/>
        </w:rPr>
        <w:t>zur</w:t>
      </w:r>
      <w:r w:rsidRPr="002A24E2">
        <w:rPr>
          <w:bCs/>
          <w:lang w:val="de-DE"/>
        </w:rPr>
        <w:t xml:space="preserve"> </w:t>
      </w:r>
      <w:r w:rsidR="005F15FE" w:rsidRPr="002A24E2">
        <w:rPr>
          <w:bCs/>
          <w:lang w:val="de-DE"/>
        </w:rPr>
        <w:t>Anleitung</w:t>
      </w:r>
      <w:r w:rsidRPr="002A24E2">
        <w:rPr>
          <w:bCs/>
          <w:lang w:val="de-DE"/>
        </w:rPr>
        <w:t xml:space="preserve"> </w:t>
      </w:r>
      <w:r w:rsidR="00217617" w:rsidRPr="002A24E2">
        <w:rPr>
          <w:bCs/>
          <w:lang w:val="de-DE"/>
        </w:rPr>
        <w:t>über die Anwendung randomisierter „Blind“</w:t>
      </w:r>
      <w:r w:rsidR="002B3F08" w:rsidRPr="002A24E2">
        <w:rPr>
          <w:bCs/>
          <w:lang w:val="de-DE"/>
        </w:rPr>
        <w:noBreakHyphen/>
      </w:r>
      <w:r w:rsidR="00217617" w:rsidRPr="002A24E2">
        <w:rPr>
          <w:bCs/>
          <w:lang w:val="de-DE"/>
        </w:rPr>
        <w:t>Prüfungen</w:t>
      </w:r>
      <w:r w:rsidRPr="002A24E2">
        <w:rPr>
          <w:lang w:val="de-DE"/>
        </w:rPr>
        <w:t>.</w:t>
      </w:r>
    </w:p>
    <w:p w:rsidR="004B4303" w:rsidRPr="002A24E2" w:rsidRDefault="004B4303" w:rsidP="004B4303">
      <w:pPr>
        <w:jc w:val="left"/>
        <w:rPr>
          <w:szCs w:val="24"/>
          <w:lang w:val="de-DE"/>
        </w:rPr>
      </w:pPr>
    </w:p>
    <w:p w:rsidR="004B4303" w:rsidRPr="002A24E2" w:rsidRDefault="004B4303" w:rsidP="004B4303">
      <w:pPr>
        <w:tabs>
          <w:tab w:val="left" w:pos="5529"/>
        </w:tabs>
        <w:ind w:left="4820"/>
        <w:rPr>
          <w:i/>
          <w:lang w:val="de-DE"/>
        </w:rPr>
      </w:pPr>
      <w:r w:rsidRPr="002A24E2">
        <w:rPr>
          <w:i/>
          <w:lang w:val="de-DE"/>
        </w:rPr>
        <w:fldChar w:fldCharType="begin"/>
      </w:r>
      <w:r w:rsidRPr="002A24E2">
        <w:rPr>
          <w:i/>
          <w:lang w:val="de-DE"/>
        </w:rPr>
        <w:instrText xml:space="preserve"> AUTONUM  </w:instrText>
      </w:r>
      <w:r w:rsidRPr="002A24E2">
        <w:rPr>
          <w:i/>
          <w:lang w:val="de-DE"/>
        </w:rPr>
        <w:fldChar w:fldCharType="end"/>
      </w:r>
      <w:r w:rsidRPr="002A24E2">
        <w:rPr>
          <w:i/>
          <w:lang w:val="de-DE"/>
        </w:rPr>
        <w:tab/>
      </w:r>
      <w:r w:rsidR="00217617" w:rsidRPr="002A24E2">
        <w:rPr>
          <w:i/>
          <w:lang w:val="de-DE"/>
        </w:rPr>
        <w:t>Der</w:t>
      </w:r>
      <w:r w:rsidRPr="002A24E2">
        <w:rPr>
          <w:i/>
          <w:lang w:val="de-DE"/>
        </w:rPr>
        <w:t xml:space="preserve"> TC-EDC </w:t>
      </w:r>
      <w:r w:rsidR="00217617" w:rsidRPr="002A24E2">
        <w:rPr>
          <w:i/>
          <w:lang w:val="de-DE"/>
        </w:rPr>
        <w:t xml:space="preserve">wird </w:t>
      </w:r>
      <w:r w:rsidR="005412DD" w:rsidRPr="002A24E2">
        <w:rPr>
          <w:i/>
          <w:lang w:val="de-DE"/>
        </w:rPr>
        <w:t>ersucht</w:t>
      </w:r>
      <w:r w:rsidR="00217617" w:rsidRPr="002A24E2">
        <w:rPr>
          <w:i/>
          <w:lang w:val="de-DE"/>
        </w:rPr>
        <w:t xml:space="preserve"> zu prüfen, ob eine weitere </w:t>
      </w:r>
      <w:r w:rsidR="005F15FE" w:rsidRPr="002A24E2">
        <w:rPr>
          <w:i/>
          <w:lang w:val="de-DE"/>
        </w:rPr>
        <w:t>Anleitung</w:t>
      </w:r>
      <w:r w:rsidR="00B439F8" w:rsidRPr="002A24E2">
        <w:rPr>
          <w:i/>
          <w:lang w:val="de-DE"/>
        </w:rPr>
        <w:t xml:space="preserve"> </w:t>
      </w:r>
      <w:r w:rsidR="00217617" w:rsidRPr="002A24E2">
        <w:rPr>
          <w:i/>
          <w:lang w:val="de-DE"/>
        </w:rPr>
        <w:t xml:space="preserve">erarbeitet </w:t>
      </w:r>
      <w:r w:rsidR="005412DD" w:rsidRPr="002A24E2">
        <w:rPr>
          <w:i/>
          <w:lang w:val="de-DE"/>
        </w:rPr>
        <w:t>werden</w:t>
      </w:r>
      <w:r w:rsidR="00217617" w:rsidRPr="002A24E2">
        <w:rPr>
          <w:i/>
          <w:lang w:val="de-DE"/>
        </w:rPr>
        <w:t xml:space="preserve"> sollte und, wenn ja, anzugeben, welche </w:t>
      </w:r>
      <w:r w:rsidR="005F15FE" w:rsidRPr="002A24E2">
        <w:rPr>
          <w:rFonts w:cs="Arial"/>
          <w:i/>
          <w:lang w:val="de-DE"/>
        </w:rPr>
        <w:t>Abschnitte</w:t>
      </w:r>
      <w:r w:rsidR="00B439F8" w:rsidRPr="002A24E2">
        <w:rPr>
          <w:rFonts w:cs="Arial"/>
          <w:i/>
          <w:lang w:val="de-DE"/>
        </w:rPr>
        <w:t xml:space="preserve"> </w:t>
      </w:r>
      <w:r w:rsidR="00217617" w:rsidRPr="002A24E2">
        <w:rPr>
          <w:rFonts w:cs="Arial"/>
          <w:i/>
          <w:lang w:val="de-DE"/>
        </w:rPr>
        <w:t>der bestehenden</w:t>
      </w:r>
      <w:r w:rsidR="00B439F8" w:rsidRPr="002A24E2">
        <w:rPr>
          <w:rFonts w:cs="Arial"/>
          <w:i/>
          <w:lang w:val="de-DE"/>
        </w:rPr>
        <w:t xml:space="preserve"> </w:t>
      </w:r>
      <w:r w:rsidR="005F15FE" w:rsidRPr="002A24E2">
        <w:rPr>
          <w:rFonts w:cs="Arial"/>
          <w:i/>
          <w:lang w:val="de-DE"/>
        </w:rPr>
        <w:t>Anleitung</w:t>
      </w:r>
      <w:r w:rsidR="00B439F8" w:rsidRPr="002A24E2">
        <w:rPr>
          <w:rFonts w:cs="Arial"/>
          <w:i/>
          <w:lang w:val="de-DE"/>
        </w:rPr>
        <w:t xml:space="preserve"> in </w:t>
      </w:r>
      <w:r w:rsidR="00217617" w:rsidRPr="002A24E2">
        <w:rPr>
          <w:rFonts w:cs="Arial"/>
          <w:i/>
          <w:lang w:val="de-DE"/>
        </w:rPr>
        <w:t xml:space="preserve">den </w:t>
      </w:r>
      <w:r w:rsidR="005F15FE" w:rsidRPr="002A24E2">
        <w:rPr>
          <w:rFonts w:cs="Arial"/>
          <w:i/>
          <w:lang w:val="de-DE"/>
        </w:rPr>
        <w:t>Dokumente</w:t>
      </w:r>
      <w:r w:rsidR="00217617" w:rsidRPr="002A24E2">
        <w:rPr>
          <w:rFonts w:cs="Arial"/>
          <w:i/>
          <w:lang w:val="de-DE"/>
        </w:rPr>
        <w:t>n</w:t>
      </w:r>
      <w:r w:rsidR="00B439F8" w:rsidRPr="002A24E2">
        <w:rPr>
          <w:rFonts w:cs="Arial"/>
          <w:i/>
          <w:lang w:val="de-DE"/>
        </w:rPr>
        <w:t xml:space="preserve"> TGP/8 </w:t>
      </w:r>
      <w:r w:rsidR="00217617" w:rsidRPr="002A24E2">
        <w:rPr>
          <w:rFonts w:cs="Arial"/>
          <w:i/>
          <w:lang w:val="de-DE"/>
        </w:rPr>
        <w:t>u</w:t>
      </w:r>
      <w:r w:rsidR="00B439F8" w:rsidRPr="002A24E2">
        <w:rPr>
          <w:rFonts w:cs="Arial"/>
          <w:i/>
          <w:lang w:val="de-DE"/>
        </w:rPr>
        <w:t xml:space="preserve">nd TGP/9 </w:t>
      </w:r>
      <w:r w:rsidR="00217617" w:rsidRPr="002A24E2">
        <w:rPr>
          <w:rFonts w:cs="Arial"/>
          <w:i/>
          <w:lang w:val="de-DE"/>
        </w:rPr>
        <w:t>geändert werden sollten.</w:t>
      </w:r>
    </w:p>
    <w:p w:rsidR="004B4303" w:rsidRPr="002A24E2" w:rsidRDefault="004B4303" w:rsidP="00B439F8">
      <w:pPr>
        <w:pStyle w:val="DecisionParagraphs"/>
        <w:tabs>
          <w:tab w:val="clear" w:pos="5387"/>
          <w:tab w:val="left" w:pos="4536"/>
          <w:tab w:val="left" w:pos="8799"/>
        </w:tabs>
        <w:rPr>
          <w:i w:val="0"/>
          <w:lang w:val="de-DE"/>
        </w:rPr>
      </w:pPr>
    </w:p>
    <w:p w:rsidR="004B4303" w:rsidRPr="002A24E2" w:rsidRDefault="004B4303" w:rsidP="004B4303">
      <w:pPr>
        <w:pStyle w:val="DecisionParagraphs"/>
        <w:tabs>
          <w:tab w:val="left" w:pos="4536"/>
          <w:tab w:val="left" w:pos="5670"/>
        </w:tabs>
        <w:rPr>
          <w:lang w:val="de-DE"/>
        </w:rPr>
      </w:pPr>
    </w:p>
    <w:p w:rsidR="004B4303" w:rsidRPr="002A24E2" w:rsidRDefault="004B4303" w:rsidP="004B4303">
      <w:pPr>
        <w:pStyle w:val="DecisionParagraphs"/>
        <w:tabs>
          <w:tab w:val="left" w:pos="4536"/>
          <w:tab w:val="left" w:pos="5670"/>
        </w:tabs>
        <w:rPr>
          <w:lang w:val="de-DE"/>
        </w:rPr>
      </w:pPr>
    </w:p>
    <w:p w:rsidR="004B4303" w:rsidRPr="002A24E2" w:rsidRDefault="004B4303" w:rsidP="004B4303">
      <w:pPr>
        <w:jc w:val="right"/>
        <w:rPr>
          <w:lang w:val="de-DE"/>
        </w:rPr>
      </w:pPr>
      <w:r w:rsidRPr="002A24E2">
        <w:rPr>
          <w:lang w:val="de-DE"/>
        </w:rPr>
        <w:t>[An</w:t>
      </w:r>
      <w:r w:rsidR="0031243A" w:rsidRPr="002A24E2">
        <w:rPr>
          <w:lang w:val="de-DE"/>
        </w:rPr>
        <w:t>lagen</w:t>
      </w:r>
      <w:r w:rsidRPr="002A24E2">
        <w:rPr>
          <w:lang w:val="de-DE"/>
        </w:rPr>
        <w:t xml:space="preserve"> fol</w:t>
      </w:r>
      <w:r w:rsidR="0031243A" w:rsidRPr="002A24E2">
        <w:rPr>
          <w:lang w:val="de-DE"/>
        </w:rPr>
        <w:t>gen</w:t>
      </w:r>
      <w:r w:rsidRPr="002A24E2">
        <w:rPr>
          <w:lang w:val="de-DE"/>
        </w:rPr>
        <w:t>]</w:t>
      </w:r>
    </w:p>
    <w:p w:rsidR="004B4303" w:rsidRPr="002A24E2" w:rsidRDefault="004B4303" w:rsidP="004B4303">
      <w:pPr>
        <w:rPr>
          <w:lang w:val="de-DE"/>
        </w:rPr>
        <w:sectPr w:rsidR="004B4303" w:rsidRPr="002A24E2" w:rsidSect="005F15FE">
          <w:headerReference w:type="default" r:id="rId10"/>
          <w:pgSz w:w="11907" w:h="16840" w:code="9"/>
          <w:pgMar w:top="510" w:right="1134" w:bottom="993" w:left="1134" w:header="510" w:footer="680" w:gutter="0"/>
          <w:cols w:space="720"/>
          <w:titlePg/>
        </w:sectPr>
      </w:pPr>
    </w:p>
    <w:p w:rsidR="004B4303" w:rsidRPr="002A24E2" w:rsidRDefault="008F1F87" w:rsidP="004B4303">
      <w:pPr>
        <w:jc w:val="left"/>
        <w:rPr>
          <w:caps/>
          <w:lang w:val="de-DE"/>
        </w:rPr>
      </w:pPr>
      <w:r w:rsidRPr="002A24E2">
        <w:rPr>
          <w:caps/>
          <w:lang w:val="de-DE"/>
        </w:rPr>
        <w:lastRenderedPageBreak/>
        <w:t xml:space="preserve">VON DEN TwP auf ihren Tagungen iN DEN JahreN 2013 Und 2014 GEPRÜFTER </w:t>
      </w:r>
      <w:r w:rsidR="005F15FE" w:rsidRPr="002A24E2">
        <w:rPr>
          <w:caps/>
          <w:lang w:val="de-DE"/>
        </w:rPr>
        <w:t>ENTWURF EINER ANLEITUNG</w:t>
      </w:r>
    </w:p>
    <w:p w:rsidR="003E47BB" w:rsidRPr="002A24E2" w:rsidRDefault="003E47BB" w:rsidP="004B4303">
      <w:pPr>
        <w:jc w:val="left"/>
        <w:rPr>
          <w:caps/>
          <w:lang w:val="de-DE"/>
        </w:rPr>
      </w:pP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4B4303" w:rsidRPr="00261E44" w:rsidTr="005F15FE">
        <w:trPr>
          <w:cantSplit/>
          <w:jc w:val="center"/>
        </w:trPr>
        <w:tc>
          <w:tcPr>
            <w:tcW w:w="6664" w:type="dxa"/>
            <w:shd w:val="clear" w:color="auto" w:fill="E6E6E6"/>
          </w:tcPr>
          <w:p w:rsidR="004B4303" w:rsidRPr="002A24E2" w:rsidRDefault="003E47BB" w:rsidP="005F15FE">
            <w:pPr>
              <w:jc w:val="center"/>
              <w:rPr>
                <w:rFonts w:cs="Arial"/>
                <w:sz w:val="18"/>
                <w:szCs w:val="22"/>
                <w:u w:val="single"/>
                <w:lang w:val="de-DE"/>
              </w:rPr>
            </w:pPr>
            <w:r w:rsidRPr="002A24E2">
              <w:rPr>
                <w:rFonts w:cs="Arial"/>
                <w:sz w:val="18"/>
                <w:szCs w:val="22"/>
                <w:u w:val="single"/>
                <w:lang w:val="de-DE"/>
              </w:rPr>
              <w:t>Anmerkungen für die Überarbeitungen in</w:t>
            </w:r>
            <w:r w:rsidR="004B4303" w:rsidRPr="002A24E2">
              <w:rPr>
                <w:rFonts w:cs="Arial"/>
                <w:sz w:val="18"/>
                <w:szCs w:val="22"/>
                <w:u w:val="single"/>
                <w:lang w:val="de-DE"/>
              </w:rPr>
              <w:t xml:space="preserve"> </w:t>
            </w:r>
            <w:r w:rsidR="00AF57B2" w:rsidRPr="002A24E2">
              <w:rPr>
                <w:rFonts w:cs="Arial"/>
                <w:sz w:val="18"/>
                <w:szCs w:val="22"/>
                <w:u w:val="single"/>
                <w:lang w:val="de-DE"/>
              </w:rPr>
              <w:t>Anlage</w:t>
            </w:r>
            <w:r w:rsidR="004B4303" w:rsidRPr="002A24E2">
              <w:rPr>
                <w:rFonts w:cs="Arial"/>
                <w:sz w:val="18"/>
                <w:szCs w:val="22"/>
                <w:u w:val="single"/>
                <w:lang w:val="de-DE"/>
              </w:rPr>
              <w:t xml:space="preserve"> I i</w:t>
            </w:r>
            <w:r w:rsidRPr="002A24E2">
              <w:rPr>
                <w:rFonts w:cs="Arial"/>
                <w:sz w:val="18"/>
                <w:szCs w:val="22"/>
                <w:u w:val="single"/>
                <w:lang w:val="de-DE"/>
              </w:rPr>
              <w:t>m Jahre</w:t>
            </w:r>
            <w:r w:rsidR="004B4303" w:rsidRPr="002A24E2">
              <w:rPr>
                <w:rFonts w:cs="Arial"/>
                <w:sz w:val="18"/>
                <w:szCs w:val="22"/>
                <w:u w:val="single"/>
                <w:lang w:val="de-DE"/>
              </w:rPr>
              <w:t xml:space="preserve"> 2014</w:t>
            </w:r>
          </w:p>
          <w:p w:rsidR="004B4303" w:rsidRPr="002A24E2" w:rsidRDefault="004B4303" w:rsidP="005F15FE">
            <w:pPr>
              <w:rPr>
                <w:rFonts w:cs="Arial"/>
                <w:sz w:val="18"/>
                <w:szCs w:val="18"/>
                <w:u w:val="single"/>
                <w:lang w:val="de-DE"/>
              </w:rPr>
            </w:pPr>
          </w:p>
          <w:p w:rsidR="004B4303" w:rsidRPr="002A24E2" w:rsidRDefault="003E47BB" w:rsidP="005F15FE">
            <w:pPr>
              <w:rPr>
                <w:rFonts w:cs="Arial"/>
                <w:sz w:val="18"/>
                <w:szCs w:val="18"/>
                <w:lang w:val="de-DE"/>
              </w:rPr>
            </w:pPr>
            <w:r w:rsidRPr="002A24E2">
              <w:rPr>
                <w:b/>
                <w:strike/>
                <w:sz w:val="18"/>
                <w:szCs w:val="18"/>
                <w:lang w:val="de-DE"/>
              </w:rPr>
              <w:t>Durchgestrichener</w:t>
            </w:r>
            <w:r w:rsidRPr="002A24E2">
              <w:rPr>
                <w:b/>
                <w:sz w:val="18"/>
                <w:szCs w:val="18"/>
                <w:lang w:val="de-DE"/>
              </w:rPr>
              <w:t xml:space="preserve"> (hervorgehobener) </w:t>
            </w:r>
            <w:r w:rsidRPr="002A24E2">
              <w:rPr>
                <w:sz w:val="18"/>
                <w:szCs w:val="18"/>
                <w:lang w:val="de-DE"/>
              </w:rPr>
              <w:t>Wortlaut gibt die vorgeschlagene</w:t>
            </w:r>
            <w:r w:rsidRPr="002A24E2">
              <w:rPr>
                <w:bCs/>
                <w:sz w:val="18"/>
                <w:szCs w:val="18"/>
                <w:lang w:val="de-DE"/>
              </w:rPr>
              <w:t xml:space="preserve"> Streichung aus dem Wortlaut an</w:t>
            </w:r>
            <w:r w:rsidR="004B4303" w:rsidRPr="002A24E2">
              <w:rPr>
                <w:rFonts w:cs="Arial"/>
                <w:sz w:val="18"/>
                <w:szCs w:val="18"/>
                <w:lang w:val="de-DE"/>
              </w:rPr>
              <w:t>.</w:t>
            </w:r>
          </w:p>
          <w:p w:rsidR="004B4303" w:rsidRPr="002A24E2" w:rsidRDefault="004B4303" w:rsidP="005F15FE">
            <w:pPr>
              <w:rPr>
                <w:rFonts w:cs="Arial"/>
                <w:sz w:val="18"/>
                <w:szCs w:val="18"/>
                <w:lang w:val="de-DE"/>
              </w:rPr>
            </w:pPr>
          </w:p>
          <w:p w:rsidR="004B4303" w:rsidRPr="002A24E2" w:rsidRDefault="003E47BB" w:rsidP="003E47BB">
            <w:pPr>
              <w:rPr>
                <w:rFonts w:cs="Arial"/>
                <w:sz w:val="18"/>
                <w:szCs w:val="22"/>
                <w:lang w:val="de-DE"/>
              </w:rPr>
            </w:pPr>
            <w:r w:rsidRPr="002A24E2">
              <w:rPr>
                <w:b/>
                <w:bCs/>
                <w:sz w:val="18"/>
                <w:szCs w:val="18"/>
                <w:u w:val="single"/>
                <w:lang w:val="de-DE"/>
              </w:rPr>
              <w:t>Unterstrichener</w:t>
            </w:r>
            <w:r w:rsidRPr="002A24E2">
              <w:rPr>
                <w:b/>
                <w:bCs/>
                <w:sz w:val="18"/>
                <w:szCs w:val="18"/>
                <w:lang w:val="de-DE"/>
              </w:rPr>
              <w:t xml:space="preserve"> </w:t>
            </w:r>
            <w:r w:rsidRPr="002A24E2">
              <w:rPr>
                <w:b/>
                <w:sz w:val="18"/>
                <w:szCs w:val="18"/>
                <w:lang w:val="de-DE"/>
              </w:rPr>
              <w:t>(hervorgehobener)</w:t>
            </w:r>
            <w:r w:rsidRPr="002A24E2">
              <w:rPr>
                <w:sz w:val="18"/>
                <w:szCs w:val="18"/>
                <w:lang w:val="de-DE"/>
              </w:rPr>
              <w:t xml:space="preserve"> Wortlaut gibt die vorgeschlagene</w:t>
            </w:r>
            <w:r w:rsidRPr="002A24E2">
              <w:rPr>
                <w:bCs/>
                <w:sz w:val="18"/>
                <w:szCs w:val="18"/>
                <w:lang w:val="de-DE"/>
              </w:rPr>
              <w:t xml:space="preserve"> Einfügung in den Wortlaut an</w:t>
            </w:r>
            <w:r w:rsidRPr="002A24E2">
              <w:rPr>
                <w:rFonts w:cs="Arial"/>
                <w:sz w:val="18"/>
                <w:szCs w:val="18"/>
                <w:lang w:val="de-DE"/>
              </w:rPr>
              <w:t>.</w:t>
            </w:r>
          </w:p>
        </w:tc>
      </w:tr>
    </w:tbl>
    <w:p w:rsidR="004B4303" w:rsidRPr="002A24E2" w:rsidRDefault="004B4303" w:rsidP="004B4303">
      <w:pPr>
        <w:jc w:val="center"/>
        <w:rPr>
          <w:rFonts w:cs="Arial"/>
          <w:caps/>
          <w:lang w:val="de-DE"/>
        </w:rPr>
      </w:pPr>
    </w:p>
    <w:p w:rsidR="003E47BB" w:rsidRPr="002A24E2" w:rsidRDefault="003E47BB" w:rsidP="003E47BB">
      <w:pPr>
        <w:jc w:val="left"/>
        <w:rPr>
          <w:caps/>
          <w:szCs w:val="24"/>
          <w:lang w:val="de-DE"/>
        </w:rPr>
      </w:pPr>
      <w:r w:rsidRPr="002A24E2">
        <w:rPr>
          <w:caps/>
          <w:szCs w:val="24"/>
          <w:lang w:val="de-DE"/>
        </w:rPr>
        <w:t>ENTWURF EINER Anleitung zur Datenanalyse für randomisierte „Blind“-prüfungen,</w:t>
      </w:r>
    </w:p>
    <w:p w:rsidR="003E47BB" w:rsidRPr="002A24E2" w:rsidRDefault="003E47BB" w:rsidP="003E47BB">
      <w:pPr>
        <w:shd w:val="clear" w:color="auto" w:fill="FFFFFF"/>
        <w:jc w:val="left"/>
        <w:rPr>
          <w:caps/>
          <w:szCs w:val="24"/>
          <w:u w:val="single"/>
          <w:lang w:val="de-DE"/>
        </w:rPr>
      </w:pPr>
      <w:r w:rsidRPr="002A24E2">
        <w:rPr>
          <w:caps/>
          <w:szCs w:val="24"/>
          <w:u w:val="single"/>
          <w:shd w:val="clear" w:color="auto" w:fill="D9D9D9"/>
          <w:lang w:val="de-DE"/>
        </w:rPr>
        <w:t>die vom anwender oder unter dessen verantwortung durchgeführt werden</w:t>
      </w:r>
    </w:p>
    <w:p w:rsidR="003E47BB" w:rsidRPr="002A24E2" w:rsidRDefault="003E47BB" w:rsidP="003E47BB">
      <w:pPr>
        <w:jc w:val="center"/>
        <w:rPr>
          <w:caps/>
          <w:szCs w:val="24"/>
          <w:lang w:val="de-DE"/>
        </w:rPr>
      </w:pPr>
    </w:p>
    <w:p w:rsidR="003E47BB" w:rsidRPr="002A24E2" w:rsidRDefault="003E47BB" w:rsidP="003E47BB">
      <w:pPr>
        <w:rPr>
          <w:szCs w:val="24"/>
          <w:lang w:val="de-DE"/>
        </w:rPr>
      </w:pPr>
    </w:p>
    <w:p w:rsidR="003E47BB" w:rsidRPr="002A24E2" w:rsidRDefault="003E47BB" w:rsidP="003E47BB">
      <w:pPr>
        <w:rPr>
          <w:szCs w:val="24"/>
          <w:lang w:val="de-DE"/>
        </w:rPr>
      </w:pPr>
    </w:p>
    <w:p w:rsidR="003E47BB" w:rsidRPr="002A24E2" w:rsidRDefault="003E47BB" w:rsidP="003E47BB">
      <w:pPr>
        <w:rPr>
          <w:szCs w:val="24"/>
          <w:u w:val="single"/>
          <w:shd w:val="clear" w:color="auto" w:fill="BFBFBF"/>
          <w:lang w:val="de-DE"/>
        </w:rPr>
      </w:pPr>
      <w:r w:rsidRPr="002A24E2">
        <w:rPr>
          <w:szCs w:val="24"/>
          <w:u w:val="single"/>
          <w:shd w:val="clear" w:color="auto" w:fill="BFBFBF"/>
          <w:lang w:val="de-DE"/>
        </w:rPr>
        <w:t>Einführung:</w:t>
      </w:r>
    </w:p>
    <w:p w:rsidR="003E47BB" w:rsidRPr="002A24E2" w:rsidRDefault="003E47BB" w:rsidP="003E47BB">
      <w:pPr>
        <w:rPr>
          <w:szCs w:val="24"/>
          <w:u w:val="single"/>
          <w:lang w:val="de-DE"/>
        </w:rPr>
      </w:pPr>
    </w:p>
    <w:p w:rsidR="003E47BB" w:rsidRPr="002A24E2" w:rsidRDefault="003E47BB" w:rsidP="003E47BB">
      <w:pPr>
        <w:rPr>
          <w:szCs w:val="24"/>
          <w:lang w:val="de-DE"/>
        </w:rPr>
      </w:pPr>
      <w:r w:rsidRPr="002A24E2">
        <w:rPr>
          <w:szCs w:val="24"/>
          <w:shd w:val="clear" w:color="auto" w:fill="BFBFBF"/>
          <w:lang w:val="de-DE"/>
        </w:rPr>
        <w:t>[Ist zu erstellen]</w:t>
      </w:r>
    </w:p>
    <w:p w:rsidR="003E47BB" w:rsidRPr="002A24E2" w:rsidRDefault="003E47BB" w:rsidP="003E47BB">
      <w:pPr>
        <w:rPr>
          <w:szCs w:val="24"/>
          <w:lang w:val="de-DE"/>
        </w:rPr>
      </w:pPr>
    </w:p>
    <w:p w:rsidR="003E47BB" w:rsidRPr="002A24E2" w:rsidRDefault="003E47BB" w:rsidP="003E47BB">
      <w:pPr>
        <w:rPr>
          <w:szCs w:val="24"/>
          <w:u w:val="single"/>
          <w:lang w:val="de-DE"/>
        </w:rPr>
      </w:pPr>
      <w:r w:rsidRPr="002A24E2">
        <w:rPr>
          <w:szCs w:val="24"/>
          <w:u w:val="single"/>
          <w:lang w:val="de-DE"/>
        </w:rPr>
        <w:t>Hintergrund</w:t>
      </w:r>
    </w:p>
    <w:p w:rsidR="003E47BB" w:rsidRPr="002A24E2" w:rsidRDefault="003E47BB" w:rsidP="003E47BB">
      <w:pPr>
        <w:rPr>
          <w:szCs w:val="24"/>
          <w:u w:val="single"/>
          <w:lang w:val="de-DE"/>
        </w:rPr>
      </w:pPr>
    </w:p>
    <w:p w:rsidR="003E47BB" w:rsidRPr="002A24E2" w:rsidRDefault="003E47BB" w:rsidP="003E47BB">
      <w:pPr>
        <w:rPr>
          <w:szCs w:val="24"/>
          <w:lang w:val="de-DE"/>
        </w:rPr>
      </w:pPr>
      <w:r w:rsidRPr="002A24E2">
        <w:rPr>
          <w:szCs w:val="24"/>
          <w:lang w:val="de-DE"/>
        </w:rPr>
        <w:t>1.</w:t>
      </w:r>
      <w:r w:rsidRPr="002A24E2">
        <w:rPr>
          <w:szCs w:val="24"/>
          <w:lang w:val="de-DE"/>
        </w:rPr>
        <w:tab/>
        <w:t>In Frankreich werden randomisierte Blindprüfungen bereits seit vielen Jahren eingesetzt, um:</w:t>
      </w:r>
    </w:p>
    <w:p w:rsidR="003E47BB" w:rsidRPr="002A24E2" w:rsidRDefault="003E47BB" w:rsidP="003E47BB">
      <w:pPr>
        <w:rPr>
          <w:szCs w:val="24"/>
          <w:lang w:val="de-DE"/>
        </w:rPr>
      </w:pPr>
    </w:p>
    <w:p w:rsidR="003E47BB" w:rsidRPr="002A24E2" w:rsidRDefault="003E47BB" w:rsidP="003E47BB">
      <w:pPr>
        <w:ind w:left="567"/>
        <w:rPr>
          <w:szCs w:val="24"/>
          <w:lang w:val="de-DE"/>
        </w:rPr>
      </w:pPr>
      <w:r w:rsidRPr="002A24E2">
        <w:rPr>
          <w:szCs w:val="24"/>
          <w:lang w:val="de-DE"/>
        </w:rPr>
        <w:t xml:space="preserve">- </w:t>
      </w:r>
      <w:r w:rsidRPr="002A24E2">
        <w:rPr>
          <w:szCs w:val="24"/>
          <w:lang w:val="de-DE"/>
        </w:rPr>
        <w:tab/>
        <w:t>einige vom Anmelder angegebene Merkmale zu bestätigen;</w:t>
      </w:r>
    </w:p>
    <w:p w:rsidR="003E47BB" w:rsidRPr="002A24E2" w:rsidRDefault="003E47BB" w:rsidP="003E47BB">
      <w:pPr>
        <w:ind w:left="1134" w:hanging="567"/>
        <w:rPr>
          <w:szCs w:val="24"/>
          <w:lang w:val="de-DE"/>
        </w:rPr>
      </w:pPr>
      <w:r w:rsidRPr="002A24E2">
        <w:rPr>
          <w:szCs w:val="24"/>
          <w:lang w:val="de-DE"/>
        </w:rPr>
        <w:t xml:space="preserve">- </w:t>
      </w:r>
      <w:r w:rsidRPr="002A24E2">
        <w:rPr>
          <w:szCs w:val="24"/>
          <w:lang w:val="de-DE"/>
        </w:rPr>
        <w:tab/>
        <w:t xml:space="preserve">genetische Krankheitsresistenzen, die nicht offiziell </w:t>
      </w:r>
      <w:r w:rsidRPr="002A24E2">
        <w:rPr>
          <w:strike/>
          <w:szCs w:val="24"/>
          <w:highlight w:val="lightGray"/>
          <w:lang w:val="de-DE"/>
        </w:rPr>
        <w:t>von der</w:t>
      </w:r>
      <w:r w:rsidRPr="002A24E2">
        <w:rPr>
          <w:szCs w:val="24"/>
          <w:highlight w:val="lightGray"/>
          <w:lang w:val="de-DE"/>
        </w:rPr>
        <w:t xml:space="preserve"> </w:t>
      </w:r>
      <w:r w:rsidRPr="002A24E2">
        <w:rPr>
          <w:i/>
          <w:strike/>
          <w:szCs w:val="24"/>
          <w:highlight w:val="lightGray"/>
          <w:lang w:val="de-DE"/>
        </w:rPr>
        <w:t>Groupe d'étude et de contrôle des variétés et des semences</w:t>
      </w:r>
      <w:r w:rsidRPr="002A24E2">
        <w:rPr>
          <w:strike/>
          <w:szCs w:val="24"/>
          <w:highlight w:val="lightGray"/>
          <w:lang w:val="de-DE"/>
        </w:rPr>
        <w:t xml:space="preserve"> (GEVES),</w:t>
      </w:r>
      <w:r w:rsidRPr="002A24E2">
        <w:rPr>
          <w:szCs w:val="24"/>
          <w:highlight w:val="lightGray"/>
          <w:lang w:val="de-DE"/>
        </w:rPr>
        <w:t xml:space="preserve"> </w:t>
      </w:r>
      <w:r w:rsidRPr="002A24E2">
        <w:rPr>
          <w:strike/>
          <w:szCs w:val="24"/>
          <w:highlight w:val="lightGray"/>
          <w:u w:val="single"/>
          <w:lang w:val="de-DE"/>
        </w:rPr>
        <w:t>der für die DUS-Prüfung zuständigen Behörde,</w:t>
      </w:r>
      <w:r w:rsidRPr="002A24E2">
        <w:rPr>
          <w:szCs w:val="24"/>
          <w:lang w:val="de-DE"/>
        </w:rPr>
        <w:t xml:space="preserve"> getestet wurden, zu prüfen.</w:t>
      </w:r>
    </w:p>
    <w:p w:rsidR="003E47BB" w:rsidRPr="002A24E2" w:rsidRDefault="003E47BB" w:rsidP="003E47BB">
      <w:pPr>
        <w:ind w:left="567"/>
        <w:rPr>
          <w:szCs w:val="24"/>
          <w:lang w:val="de-DE"/>
        </w:rPr>
      </w:pPr>
    </w:p>
    <w:p w:rsidR="003E47BB" w:rsidRPr="002A24E2" w:rsidRDefault="003E47BB" w:rsidP="003E47BB">
      <w:pPr>
        <w:rPr>
          <w:szCs w:val="24"/>
          <w:lang w:val="de-DE"/>
        </w:rPr>
      </w:pPr>
      <w:r w:rsidRPr="002A24E2">
        <w:rPr>
          <w:szCs w:val="24"/>
          <w:lang w:val="de-DE"/>
        </w:rPr>
        <w:t>2.</w:t>
      </w:r>
      <w:r w:rsidRPr="002A24E2">
        <w:rPr>
          <w:szCs w:val="24"/>
          <w:lang w:val="de-DE"/>
        </w:rPr>
        <w:tab/>
        <w:t>In Fällen, in denen nach einer oder zwei Wachstumsperioden Schwierigkeiten im Hinblick auf die Unterscheidbarkeit auftreten, wurden randomisierte Blind</w:t>
      </w:r>
      <w:r w:rsidR="00F8268D" w:rsidRPr="002A24E2">
        <w:rPr>
          <w:szCs w:val="24"/>
          <w:lang w:val="de-DE"/>
        </w:rPr>
        <w:t>p</w:t>
      </w:r>
      <w:r w:rsidRPr="002A24E2">
        <w:rPr>
          <w:szCs w:val="24"/>
          <w:lang w:val="de-DE"/>
        </w:rPr>
        <w:t>rüfungen eingesetzt, um speziellen (z. B. regionalen, klimatischen usw.) Anpassungen im Verlauf der DUS-Prüfung Rechnung zu tragen.</w:t>
      </w:r>
    </w:p>
    <w:p w:rsidR="003E47BB" w:rsidRPr="002A24E2" w:rsidRDefault="003E47BB" w:rsidP="003E47BB">
      <w:pPr>
        <w:rPr>
          <w:szCs w:val="24"/>
          <w:lang w:val="de-DE"/>
        </w:rPr>
      </w:pPr>
    </w:p>
    <w:p w:rsidR="003E47BB" w:rsidRPr="002A24E2" w:rsidRDefault="003E47BB" w:rsidP="003E47BB">
      <w:pPr>
        <w:rPr>
          <w:szCs w:val="24"/>
          <w:u w:val="single"/>
          <w:lang w:val="de-DE"/>
        </w:rPr>
      </w:pPr>
      <w:r w:rsidRPr="002A24E2">
        <w:rPr>
          <w:szCs w:val="24"/>
          <w:u w:val="single"/>
          <w:lang w:val="de-DE"/>
        </w:rPr>
        <w:t>Vorbereitung der Prüfung:</w:t>
      </w:r>
    </w:p>
    <w:p w:rsidR="003E47BB" w:rsidRPr="002A24E2" w:rsidRDefault="003E47BB" w:rsidP="003E47BB">
      <w:pPr>
        <w:rPr>
          <w:szCs w:val="24"/>
          <w:lang w:val="de-DE"/>
        </w:rPr>
      </w:pPr>
    </w:p>
    <w:p w:rsidR="003E47BB" w:rsidRPr="002A24E2" w:rsidRDefault="003E47BB" w:rsidP="003E47BB">
      <w:pPr>
        <w:numPr>
          <w:ilvl w:val="0"/>
          <w:numId w:val="1"/>
        </w:numPr>
        <w:tabs>
          <w:tab w:val="clear" w:pos="720"/>
        </w:tabs>
        <w:spacing w:line="280" w:lineRule="auto"/>
        <w:ind w:left="1134" w:hanging="567"/>
        <w:jc w:val="left"/>
        <w:rPr>
          <w:szCs w:val="24"/>
          <w:lang w:val="de-DE"/>
        </w:rPr>
      </w:pPr>
      <w:r w:rsidRPr="002A24E2">
        <w:rPr>
          <w:szCs w:val="24"/>
          <w:lang w:val="de-DE"/>
        </w:rPr>
        <w:t xml:space="preserve">Der Anmelder kann entscheiden, ob er diese Möglichkeit akzeptieren möchte </w:t>
      </w:r>
      <w:r w:rsidRPr="002A24E2">
        <w:rPr>
          <w:szCs w:val="24"/>
          <w:highlight w:val="lightGray"/>
          <w:u w:val="single"/>
          <w:lang w:val="de-DE"/>
        </w:rPr>
        <w:t>oder nicht</w:t>
      </w:r>
      <w:r w:rsidRPr="002A24E2">
        <w:rPr>
          <w:szCs w:val="24"/>
          <w:lang w:val="de-DE"/>
        </w:rPr>
        <w:t>;</w:t>
      </w:r>
    </w:p>
    <w:p w:rsidR="003E47BB" w:rsidRPr="002A24E2" w:rsidRDefault="003E47BB" w:rsidP="003E47BB">
      <w:pPr>
        <w:numPr>
          <w:ilvl w:val="0"/>
          <w:numId w:val="1"/>
        </w:numPr>
        <w:tabs>
          <w:tab w:val="clear" w:pos="720"/>
        </w:tabs>
        <w:spacing w:line="280" w:lineRule="auto"/>
        <w:ind w:left="1134" w:hanging="567"/>
        <w:jc w:val="left"/>
        <w:rPr>
          <w:szCs w:val="24"/>
          <w:lang w:val="de-DE"/>
        </w:rPr>
      </w:pPr>
      <w:r w:rsidRPr="002A24E2">
        <w:rPr>
          <w:szCs w:val="24"/>
          <w:lang w:val="de-DE"/>
        </w:rPr>
        <w:t>Dem Anmelder wird unter Code A, B, C, D, E … Saatgut zugesandt … (in der DUS-Prüfung befindliche Sorte + abgeschlossene Vergleichssorte + Mischung);</w:t>
      </w:r>
    </w:p>
    <w:p w:rsidR="003E47BB" w:rsidRPr="002A24E2" w:rsidRDefault="003E47BB" w:rsidP="003E47BB">
      <w:pPr>
        <w:numPr>
          <w:ilvl w:val="0"/>
          <w:numId w:val="1"/>
        </w:numPr>
        <w:tabs>
          <w:tab w:val="clear" w:pos="720"/>
        </w:tabs>
        <w:spacing w:line="280" w:lineRule="auto"/>
        <w:ind w:left="1134" w:hanging="567"/>
        <w:jc w:val="left"/>
        <w:rPr>
          <w:szCs w:val="24"/>
          <w:lang w:val="de-DE"/>
        </w:rPr>
      </w:pPr>
      <w:r w:rsidRPr="002A24E2">
        <w:rPr>
          <w:szCs w:val="24"/>
          <w:lang w:val="de-DE"/>
        </w:rPr>
        <w:t xml:space="preserve">Die Prüfung wird in der Einrichtung des Anmelders </w:t>
      </w:r>
      <w:r w:rsidRPr="002A24E2">
        <w:rPr>
          <w:szCs w:val="24"/>
          <w:highlight w:val="lightGray"/>
          <w:u w:val="single"/>
          <w:lang w:val="de-DE"/>
        </w:rPr>
        <w:t>auf der Basis von mindestens zwei Wiederholungen</w:t>
      </w:r>
      <w:r w:rsidRPr="002A24E2">
        <w:rPr>
          <w:szCs w:val="24"/>
          <w:lang w:val="de-DE"/>
        </w:rPr>
        <w:t xml:space="preserve"> durchgeführt;</w:t>
      </w:r>
    </w:p>
    <w:p w:rsidR="003E47BB" w:rsidRPr="002A24E2" w:rsidRDefault="003E47BB" w:rsidP="003E47BB">
      <w:pPr>
        <w:numPr>
          <w:ilvl w:val="0"/>
          <w:numId w:val="1"/>
        </w:numPr>
        <w:tabs>
          <w:tab w:val="clear" w:pos="720"/>
        </w:tabs>
        <w:spacing w:line="280" w:lineRule="auto"/>
        <w:ind w:left="1134" w:hanging="567"/>
        <w:jc w:val="left"/>
        <w:rPr>
          <w:szCs w:val="24"/>
          <w:lang w:val="de-DE"/>
        </w:rPr>
      </w:pPr>
      <w:r w:rsidRPr="002A24E2">
        <w:rPr>
          <w:szCs w:val="24"/>
          <w:u w:val="single"/>
          <w:shd w:val="clear" w:color="auto" w:fill="BFBFBF"/>
          <w:lang w:val="de-DE"/>
        </w:rPr>
        <w:t>Die Anzahl der beobachteten Pflanzen muß zumindest der in der Anleitung empfohlenen Anzahl entsprechen;</w:t>
      </w:r>
      <w:r w:rsidRPr="002A24E2">
        <w:rPr>
          <w:szCs w:val="24"/>
          <w:u w:val="single"/>
          <w:lang w:val="de-DE"/>
        </w:rPr>
        <w:t xml:space="preserve"> </w:t>
      </w:r>
    </w:p>
    <w:p w:rsidR="003E47BB" w:rsidRPr="002A24E2" w:rsidRDefault="003E47BB" w:rsidP="003E47BB">
      <w:pPr>
        <w:numPr>
          <w:ilvl w:val="0"/>
          <w:numId w:val="1"/>
        </w:numPr>
        <w:tabs>
          <w:tab w:val="clear" w:pos="720"/>
        </w:tabs>
        <w:ind w:left="1134" w:hanging="567"/>
        <w:jc w:val="left"/>
        <w:rPr>
          <w:szCs w:val="24"/>
          <w:lang w:val="de-DE"/>
        </w:rPr>
      </w:pPr>
      <w:r w:rsidRPr="002A24E2">
        <w:rPr>
          <w:szCs w:val="24"/>
          <w:lang w:val="de-DE"/>
        </w:rPr>
        <w:t xml:space="preserve">Der Anmelder muß </w:t>
      </w:r>
      <w:r w:rsidRPr="002A24E2">
        <w:rPr>
          <w:strike/>
          <w:szCs w:val="24"/>
          <w:highlight w:val="lightGray"/>
          <w:lang w:val="de-DE"/>
        </w:rPr>
        <w:t>GEVES</w:t>
      </w:r>
      <w:r w:rsidRPr="002A24E2">
        <w:rPr>
          <w:szCs w:val="24"/>
          <w:highlight w:val="lightGray"/>
          <w:lang w:val="de-DE"/>
        </w:rPr>
        <w:t xml:space="preserve"> </w:t>
      </w:r>
      <w:r w:rsidRPr="002A24E2">
        <w:rPr>
          <w:szCs w:val="24"/>
          <w:highlight w:val="lightGray"/>
          <w:u w:val="single"/>
          <w:lang w:val="de-DE"/>
        </w:rPr>
        <w:t>die Behörde</w:t>
      </w:r>
      <w:r w:rsidRPr="002A24E2">
        <w:rPr>
          <w:szCs w:val="24"/>
          <w:highlight w:val="lightGray"/>
          <w:lang w:val="de-DE"/>
        </w:rPr>
        <w:t xml:space="preserve"> </w:t>
      </w:r>
      <w:r w:rsidRPr="002A24E2">
        <w:rPr>
          <w:szCs w:val="24"/>
          <w:highlight w:val="lightGray"/>
          <w:u w:val="single"/>
          <w:lang w:val="de-DE"/>
        </w:rPr>
        <w:t>über</w:t>
      </w:r>
      <w:r w:rsidRPr="002A24E2">
        <w:rPr>
          <w:szCs w:val="24"/>
          <w:lang w:val="de-DE"/>
        </w:rPr>
        <w:t xml:space="preserve"> den Prüfungsfortschritt im Hinblick auf einen Besuch informieren.</w:t>
      </w:r>
    </w:p>
    <w:p w:rsidR="003E47BB" w:rsidRPr="002A24E2" w:rsidRDefault="003E47BB" w:rsidP="003E47BB">
      <w:pPr>
        <w:rPr>
          <w:szCs w:val="24"/>
          <w:lang w:val="de-DE"/>
        </w:rPr>
      </w:pPr>
    </w:p>
    <w:p w:rsidR="003E47BB" w:rsidRPr="002A24E2" w:rsidRDefault="003E47BB" w:rsidP="003E47BB">
      <w:pPr>
        <w:rPr>
          <w:szCs w:val="24"/>
          <w:lang w:val="de-DE"/>
        </w:rPr>
      </w:pPr>
      <w:r w:rsidRPr="002A24E2">
        <w:rPr>
          <w:szCs w:val="24"/>
          <w:lang w:val="de-DE"/>
        </w:rPr>
        <w:t>3.</w:t>
      </w:r>
      <w:r w:rsidRPr="002A24E2">
        <w:rPr>
          <w:szCs w:val="24"/>
          <w:lang w:val="de-DE"/>
        </w:rPr>
        <w:tab/>
        <w:t>Im Falle eines Unterscheidbarkeitsproblems kann eine Blind</w:t>
      </w:r>
      <w:r w:rsidR="00F8268D" w:rsidRPr="002A24E2">
        <w:rPr>
          <w:szCs w:val="24"/>
          <w:lang w:val="de-DE"/>
        </w:rPr>
        <w:t>p</w:t>
      </w:r>
      <w:r w:rsidRPr="002A24E2">
        <w:rPr>
          <w:szCs w:val="24"/>
          <w:lang w:val="de-DE"/>
        </w:rPr>
        <w:t xml:space="preserve">rüfung in der Einrichtung </w:t>
      </w:r>
      <w:r w:rsidRPr="002A24E2">
        <w:rPr>
          <w:strike/>
          <w:szCs w:val="24"/>
          <w:highlight w:val="lightGray"/>
          <w:lang w:val="de-DE"/>
        </w:rPr>
        <w:t xml:space="preserve">von GEVES </w:t>
      </w:r>
      <w:r w:rsidRPr="002A24E2">
        <w:rPr>
          <w:szCs w:val="24"/>
          <w:highlight w:val="lightGray"/>
          <w:u w:val="single"/>
          <w:lang w:val="de-DE"/>
        </w:rPr>
        <w:t>der Behörde</w:t>
      </w:r>
      <w:r w:rsidRPr="002A24E2">
        <w:rPr>
          <w:szCs w:val="24"/>
          <w:lang w:val="de-DE"/>
        </w:rPr>
        <w:t xml:space="preserve"> angepflanzt werden, um eine Feststellung anhand anderer Verfahren (z. B. DNS</w:t>
      </w:r>
      <w:r w:rsidRPr="002A24E2">
        <w:rPr>
          <w:szCs w:val="24"/>
          <w:lang w:val="de-DE"/>
        </w:rPr>
        <w:noBreakHyphen/>
        <w:t xml:space="preserve">Profilierungsverfahren) zu vermeiden. Der Anmelder wird zu einem Besuch der Prüfung eingeladen. Das Prüfungsprotokoll ist nicht verpflichtend, aber </w:t>
      </w:r>
      <w:r w:rsidRPr="002A24E2">
        <w:rPr>
          <w:strike/>
          <w:szCs w:val="24"/>
          <w:highlight w:val="lightGray"/>
          <w:lang w:val="de-DE"/>
        </w:rPr>
        <w:t>GEVES</w:t>
      </w:r>
      <w:r w:rsidRPr="002A24E2">
        <w:rPr>
          <w:szCs w:val="24"/>
          <w:highlight w:val="lightGray"/>
          <w:lang w:val="de-DE"/>
        </w:rPr>
        <w:t xml:space="preserve"> </w:t>
      </w:r>
      <w:r w:rsidRPr="002A24E2">
        <w:rPr>
          <w:szCs w:val="24"/>
          <w:highlight w:val="lightGray"/>
          <w:u w:val="single"/>
          <w:lang w:val="de-DE"/>
        </w:rPr>
        <w:t>die Behörde</w:t>
      </w:r>
      <w:r w:rsidRPr="002A24E2">
        <w:rPr>
          <w:szCs w:val="24"/>
          <w:lang w:val="de-DE"/>
        </w:rPr>
        <w:t xml:space="preserve"> könnte ihn darum bitten, und dem Anmelder werden einige Empfehlungen gegeben (Zahl der </w:t>
      </w:r>
      <w:r w:rsidRPr="002A24E2">
        <w:rPr>
          <w:strike/>
          <w:szCs w:val="24"/>
          <w:highlight w:val="lightGray"/>
          <w:lang w:val="de-DE"/>
        </w:rPr>
        <w:t>Wiederholungen</w:t>
      </w:r>
      <w:r w:rsidRPr="002A24E2">
        <w:rPr>
          <w:szCs w:val="24"/>
          <w:highlight w:val="lightGray"/>
          <w:lang w:val="de-DE"/>
        </w:rPr>
        <w:t xml:space="preserve"> </w:t>
      </w:r>
      <w:r w:rsidRPr="002A24E2">
        <w:rPr>
          <w:szCs w:val="24"/>
          <w:highlight w:val="lightGray"/>
          <w:u w:val="single"/>
          <w:lang w:val="de-DE"/>
        </w:rPr>
        <w:t>zu erfassenden Pflanzen</w:t>
      </w:r>
      <w:r w:rsidRPr="002A24E2">
        <w:rPr>
          <w:szCs w:val="24"/>
          <w:lang w:val="de-DE"/>
        </w:rPr>
        <w:t>).</w:t>
      </w:r>
    </w:p>
    <w:p w:rsidR="003E47BB" w:rsidRPr="002A24E2" w:rsidRDefault="003E47BB" w:rsidP="003E47BB">
      <w:pPr>
        <w:rPr>
          <w:szCs w:val="24"/>
          <w:lang w:val="de-DE"/>
        </w:rPr>
      </w:pPr>
    </w:p>
    <w:p w:rsidR="003E47BB" w:rsidRPr="002A24E2" w:rsidRDefault="003E47BB" w:rsidP="003E47BB">
      <w:pPr>
        <w:rPr>
          <w:szCs w:val="24"/>
          <w:u w:val="single"/>
          <w:lang w:val="de-DE"/>
        </w:rPr>
      </w:pPr>
      <w:r w:rsidRPr="002A24E2">
        <w:rPr>
          <w:szCs w:val="24"/>
          <w:u w:val="single"/>
          <w:lang w:val="de-DE"/>
        </w:rPr>
        <w:t>Übermittlung von Ergebnissen:</w:t>
      </w:r>
    </w:p>
    <w:p w:rsidR="003E47BB" w:rsidRPr="002A24E2" w:rsidRDefault="003E47BB" w:rsidP="003E47BB">
      <w:pPr>
        <w:rPr>
          <w:szCs w:val="24"/>
          <w:u w:val="single"/>
          <w:lang w:val="de-DE"/>
        </w:rPr>
      </w:pPr>
    </w:p>
    <w:p w:rsidR="003E47BB" w:rsidRPr="002A24E2" w:rsidRDefault="003E47BB" w:rsidP="003E47BB">
      <w:pPr>
        <w:rPr>
          <w:szCs w:val="24"/>
          <w:lang w:val="de-DE"/>
        </w:rPr>
      </w:pPr>
      <w:r w:rsidRPr="002A24E2">
        <w:rPr>
          <w:szCs w:val="24"/>
          <w:lang w:val="de-DE"/>
        </w:rPr>
        <w:t>4.</w:t>
      </w:r>
      <w:r w:rsidRPr="002A24E2">
        <w:rPr>
          <w:szCs w:val="24"/>
          <w:lang w:val="de-DE"/>
        </w:rPr>
        <w:tab/>
        <w:t xml:space="preserve">Die Ergebnisse werden gemäß der unten stehenden Ausführung vom Anmelder an </w:t>
      </w:r>
      <w:r w:rsidRPr="002A24E2">
        <w:rPr>
          <w:strike/>
          <w:szCs w:val="24"/>
          <w:highlight w:val="lightGray"/>
          <w:lang w:val="de-DE"/>
        </w:rPr>
        <w:t>GEVES</w:t>
      </w:r>
      <w:r w:rsidRPr="002A24E2">
        <w:rPr>
          <w:szCs w:val="24"/>
          <w:highlight w:val="lightGray"/>
          <w:lang w:val="de-DE"/>
        </w:rPr>
        <w:t xml:space="preserve"> </w:t>
      </w:r>
      <w:r w:rsidRPr="002A24E2">
        <w:rPr>
          <w:szCs w:val="24"/>
          <w:highlight w:val="lightGray"/>
          <w:u w:val="single"/>
          <w:lang w:val="de-DE"/>
        </w:rPr>
        <w:t>die Behörde</w:t>
      </w:r>
      <w:r w:rsidRPr="002A24E2">
        <w:rPr>
          <w:szCs w:val="24"/>
          <w:lang w:val="de-DE"/>
        </w:rPr>
        <w:t xml:space="preserve"> übermittelt:</w:t>
      </w:r>
    </w:p>
    <w:p w:rsidR="003E47BB" w:rsidRPr="002A24E2" w:rsidRDefault="003E47BB" w:rsidP="003E47BB">
      <w:pPr>
        <w:rPr>
          <w:szCs w:val="24"/>
          <w:lang w:val="de-DE"/>
        </w:rPr>
      </w:pPr>
    </w:p>
    <w:p w:rsidR="003E47BB" w:rsidRPr="002A24E2" w:rsidRDefault="003E47BB" w:rsidP="003E47BB">
      <w:pPr>
        <w:rPr>
          <w:szCs w:val="24"/>
          <w:lang w:val="de-DE"/>
        </w:rPr>
      </w:pPr>
      <w:r w:rsidRPr="002A24E2">
        <w:rPr>
          <w:szCs w:val="24"/>
          <w:lang w:val="de-DE"/>
        </w:rPr>
        <w:tab/>
        <w:t>A = Kandidatensorte</w:t>
      </w:r>
    </w:p>
    <w:p w:rsidR="003E47BB" w:rsidRPr="002A24E2" w:rsidRDefault="003E47BB" w:rsidP="003E47BB">
      <w:pPr>
        <w:rPr>
          <w:szCs w:val="24"/>
          <w:lang w:val="de-DE"/>
        </w:rPr>
      </w:pPr>
      <w:r w:rsidRPr="002A24E2">
        <w:rPr>
          <w:szCs w:val="24"/>
          <w:lang w:val="de-DE"/>
        </w:rPr>
        <w:tab/>
        <w:t>B = Vergleichssorte</w:t>
      </w:r>
    </w:p>
    <w:p w:rsidR="003E47BB" w:rsidRPr="002A24E2" w:rsidRDefault="003E47BB" w:rsidP="003E47BB">
      <w:pPr>
        <w:rPr>
          <w:szCs w:val="24"/>
          <w:lang w:val="de-DE"/>
        </w:rPr>
      </w:pPr>
      <w:r w:rsidRPr="002A24E2">
        <w:rPr>
          <w:szCs w:val="24"/>
          <w:lang w:val="de-DE"/>
        </w:rPr>
        <w:tab/>
        <w:t>C = Mischung</w:t>
      </w:r>
    </w:p>
    <w:p w:rsidR="009376B1" w:rsidRDefault="009376B1">
      <w:pPr>
        <w:jc w:val="left"/>
        <w:rPr>
          <w:szCs w:val="24"/>
          <w:lang w:val="de-DE"/>
        </w:rPr>
      </w:pPr>
      <w:r>
        <w:rPr>
          <w:szCs w:val="24"/>
          <w:lang w:val="de-DE"/>
        </w:rPr>
        <w:br w:type="page"/>
      </w:r>
    </w:p>
    <w:p w:rsidR="003E47BB" w:rsidRPr="002A24E2" w:rsidRDefault="003E47BB" w:rsidP="003E47BB">
      <w:pPr>
        <w:rPr>
          <w:szCs w:val="24"/>
          <w:lang w:val="de-DE"/>
        </w:rPr>
      </w:pPr>
      <w:r w:rsidRPr="002A24E2">
        <w:rPr>
          <w:szCs w:val="24"/>
          <w:lang w:val="de-DE"/>
        </w:rPr>
        <w:lastRenderedPageBreak/>
        <w:tab/>
        <w:t>D = Kandidatensorte</w:t>
      </w:r>
    </w:p>
    <w:p w:rsidR="003E47BB" w:rsidRPr="002A24E2" w:rsidRDefault="003E47BB" w:rsidP="003E47BB">
      <w:pPr>
        <w:rPr>
          <w:szCs w:val="24"/>
          <w:lang w:val="de-DE"/>
        </w:rPr>
      </w:pPr>
      <w:r w:rsidRPr="002A24E2">
        <w:rPr>
          <w:szCs w:val="24"/>
          <w:lang w:val="de-DE"/>
        </w:rPr>
        <w:tab/>
        <w:t>E = Vergleichssorte</w:t>
      </w:r>
    </w:p>
    <w:p w:rsidR="003E47BB" w:rsidRPr="002A24E2" w:rsidRDefault="003E47BB" w:rsidP="003E47BB">
      <w:pPr>
        <w:rPr>
          <w:szCs w:val="24"/>
          <w:lang w:val="de-DE"/>
        </w:rPr>
      </w:pPr>
    </w:p>
    <w:p w:rsidR="003E47BB" w:rsidRPr="002A24E2" w:rsidRDefault="003E47BB" w:rsidP="003E47BB">
      <w:pPr>
        <w:rPr>
          <w:szCs w:val="24"/>
          <w:lang w:val="de-DE"/>
        </w:rPr>
      </w:pPr>
      <w:r w:rsidRPr="002A24E2">
        <w:rPr>
          <w:szCs w:val="24"/>
          <w:lang w:val="de-DE"/>
        </w:rPr>
        <w:t>5.</w:t>
      </w:r>
      <w:r w:rsidRPr="002A24E2">
        <w:rPr>
          <w:szCs w:val="24"/>
          <w:lang w:val="de-DE"/>
        </w:rPr>
        <w:tab/>
        <w:t>Die Tatsache, daß der Anmelder gute Ergebnisse meldet, ist sehr wichtig</w:t>
      </w:r>
      <w:r w:rsidR="008F35A8" w:rsidRPr="002A24E2">
        <w:rPr>
          <w:szCs w:val="24"/>
          <w:lang w:val="de-DE"/>
        </w:rPr>
        <w:t>,</w:t>
      </w:r>
      <w:r w:rsidRPr="002A24E2">
        <w:rPr>
          <w:szCs w:val="24"/>
          <w:lang w:val="de-DE"/>
        </w:rPr>
        <w:t xml:space="preserve"> aber nicht ausreichend. Die endgültige Entscheidung wird stets </w:t>
      </w:r>
      <w:r w:rsidRPr="002A24E2">
        <w:rPr>
          <w:strike/>
          <w:szCs w:val="24"/>
          <w:highlight w:val="lightGray"/>
          <w:lang w:val="de-DE"/>
        </w:rPr>
        <w:t>von GEVES</w:t>
      </w:r>
      <w:r w:rsidRPr="002A24E2">
        <w:rPr>
          <w:szCs w:val="24"/>
          <w:lang w:val="de-DE"/>
        </w:rPr>
        <w:t xml:space="preserve"> nach Auswertung aller Ergebnisse getroffen. Im Falle eines Unterscheidbarkeitsproblems müssen die vom Anmelder zur Unterscheidung der Sorten verwendeten Merkmale mehr oder weniger dieselben wie die </w:t>
      </w:r>
      <w:r w:rsidRPr="002A24E2">
        <w:rPr>
          <w:strike/>
          <w:szCs w:val="24"/>
          <w:highlight w:val="lightGray"/>
          <w:lang w:val="de-DE"/>
        </w:rPr>
        <w:t>von GEVES</w:t>
      </w:r>
      <w:r w:rsidRPr="002A24E2">
        <w:rPr>
          <w:szCs w:val="24"/>
          <w:lang w:val="de-DE"/>
        </w:rPr>
        <w:t xml:space="preserve"> während der Wachstumsperioden einer offiziellen Prüfung beobachteten Merkmale sein.</w:t>
      </w:r>
    </w:p>
    <w:p w:rsidR="003E47BB" w:rsidRPr="002A24E2" w:rsidRDefault="003E47BB" w:rsidP="003E47BB">
      <w:pPr>
        <w:rPr>
          <w:szCs w:val="24"/>
          <w:lang w:val="de-DE"/>
        </w:rPr>
      </w:pPr>
    </w:p>
    <w:p w:rsidR="003E47BB" w:rsidRPr="002A24E2" w:rsidRDefault="003E47BB" w:rsidP="003E47BB">
      <w:pPr>
        <w:rPr>
          <w:szCs w:val="24"/>
          <w:lang w:val="de-DE"/>
        </w:rPr>
      </w:pPr>
      <w:r w:rsidRPr="002A24E2">
        <w:rPr>
          <w:szCs w:val="24"/>
          <w:lang w:val="de-DE"/>
        </w:rPr>
        <w:t>6.</w:t>
      </w:r>
      <w:r w:rsidRPr="002A24E2">
        <w:rPr>
          <w:szCs w:val="24"/>
          <w:lang w:val="de-DE"/>
        </w:rPr>
        <w:tab/>
        <w:t>Bei dieser Herangehensweise werden die im Rahmen einer nicht offiziellen Prüfung erzielten Ergebnisse formalisiert.</w:t>
      </w:r>
    </w:p>
    <w:p w:rsidR="003E47BB" w:rsidRPr="002A24E2" w:rsidRDefault="003E47BB" w:rsidP="003E47BB">
      <w:pPr>
        <w:rPr>
          <w:szCs w:val="24"/>
          <w:lang w:val="de-DE"/>
        </w:rPr>
      </w:pPr>
    </w:p>
    <w:p w:rsidR="003E47BB" w:rsidRPr="002A24E2" w:rsidRDefault="003E47BB" w:rsidP="003E47BB">
      <w:pPr>
        <w:rPr>
          <w:szCs w:val="24"/>
          <w:lang w:val="de-DE"/>
        </w:rPr>
      </w:pPr>
    </w:p>
    <w:p w:rsidR="003E47BB" w:rsidRPr="002A24E2" w:rsidRDefault="003E47BB" w:rsidP="009376B1">
      <w:pPr>
        <w:rPr>
          <w:szCs w:val="24"/>
          <w:lang w:val="de-DE"/>
        </w:rPr>
      </w:pPr>
    </w:p>
    <w:p w:rsidR="003E47BB" w:rsidRPr="002A24E2" w:rsidRDefault="003E47BB" w:rsidP="003E47BB">
      <w:pPr>
        <w:jc w:val="right"/>
        <w:rPr>
          <w:szCs w:val="24"/>
          <w:lang w:val="de-DE"/>
        </w:rPr>
      </w:pPr>
      <w:r w:rsidRPr="002A24E2">
        <w:rPr>
          <w:szCs w:val="24"/>
          <w:lang w:val="de-DE"/>
        </w:rPr>
        <w:t>[Anlage II folgt]</w:t>
      </w:r>
    </w:p>
    <w:p w:rsidR="004B4303" w:rsidRPr="002A24E2" w:rsidRDefault="004B4303" w:rsidP="004B4303">
      <w:pPr>
        <w:jc w:val="right"/>
        <w:rPr>
          <w:lang w:val="de-DE"/>
        </w:rPr>
      </w:pPr>
    </w:p>
    <w:p w:rsidR="004B4303" w:rsidRPr="002A24E2" w:rsidRDefault="004B4303" w:rsidP="008F35A8">
      <w:pPr>
        <w:rPr>
          <w:lang w:val="de-DE"/>
        </w:rPr>
      </w:pPr>
    </w:p>
    <w:p w:rsidR="004B4303" w:rsidRPr="002A24E2" w:rsidRDefault="004B4303" w:rsidP="004B4303">
      <w:pPr>
        <w:jc w:val="right"/>
        <w:rPr>
          <w:lang w:val="de-DE"/>
        </w:rPr>
        <w:sectPr w:rsidR="004B4303" w:rsidRPr="002A24E2" w:rsidSect="00906DDC">
          <w:headerReference w:type="default" r:id="rId11"/>
          <w:headerReference w:type="first" r:id="rId12"/>
          <w:footerReference w:type="first" r:id="rId13"/>
          <w:pgSz w:w="11907" w:h="16840" w:code="9"/>
          <w:pgMar w:top="510" w:right="1134" w:bottom="1134" w:left="1134" w:header="510" w:footer="680" w:gutter="0"/>
          <w:cols w:space="720"/>
          <w:titlePg/>
        </w:sectPr>
      </w:pPr>
    </w:p>
    <w:p w:rsidR="004B4303" w:rsidRPr="002A24E2" w:rsidRDefault="004B4303" w:rsidP="004B4303">
      <w:pPr>
        <w:jc w:val="center"/>
        <w:rPr>
          <w:caps/>
          <w:sz w:val="18"/>
          <w:szCs w:val="18"/>
          <w:lang w:val="de-DE"/>
        </w:rPr>
      </w:pPr>
    </w:p>
    <w:p w:rsidR="004B4303" w:rsidRPr="002A24E2" w:rsidRDefault="008F35A8" w:rsidP="004B4303">
      <w:pPr>
        <w:autoSpaceDE w:val="0"/>
        <w:autoSpaceDN w:val="0"/>
        <w:adjustRightInd w:val="0"/>
        <w:rPr>
          <w:rFonts w:eastAsia="MS Mincho"/>
          <w:color w:val="000000"/>
          <w:szCs w:val="24"/>
          <w:lang w:val="de-DE" w:eastAsia="ja-JP"/>
        </w:rPr>
      </w:pPr>
      <w:r w:rsidRPr="002A24E2">
        <w:rPr>
          <w:rFonts w:eastAsia="MS Mincho"/>
          <w:color w:val="000000"/>
          <w:szCs w:val="24"/>
          <w:lang w:val="de-DE" w:eastAsia="ja-JP"/>
        </w:rPr>
        <w:t>AUSZUG AUS</w:t>
      </w:r>
      <w:r w:rsidR="004B4303" w:rsidRPr="002A24E2">
        <w:rPr>
          <w:rFonts w:eastAsia="MS Mincho"/>
          <w:color w:val="000000"/>
          <w:szCs w:val="24"/>
          <w:lang w:val="de-DE" w:eastAsia="ja-JP"/>
        </w:rPr>
        <w:t xml:space="preserve"> </w:t>
      </w:r>
      <w:r w:rsidR="005F15FE" w:rsidRPr="002A24E2">
        <w:rPr>
          <w:rFonts w:eastAsia="MS Mincho"/>
          <w:color w:val="000000"/>
          <w:szCs w:val="24"/>
          <w:lang w:val="de-DE" w:eastAsia="ja-JP"/>
        </w:rPr>
        <w:t>DOKUMENT</w:t>
      </w:r>
      <w:r w:rsidR="004B4303" w:rsidRPr="002A24E2">
        <w:rPr>
          <w:rFonts w:eastAsia="MS Mincho"/>
          <w:color w:val="000000"/>
          <w:szCs w:val="24"/>
          <w:lang w:val="de-DE" w:eastAsia="ja-JP"/>
        </w:rPr>
        <w:t xml:space="preserve"> TGP/9/1: </w:t>
      </w:r>
      <w:r w:rsidRPr="002A24E2">
        <w:rPr>
          <w:rFonts w:eastAsia="MS Mincho"/>
          <w:color w:val="000000"/>
          <w:szCs w:val="24"/>
          <w:lang w:val="de-DE" w:eastAsia="ja-JP"/>
        </w:rPr>
        <w:t>PRÜFUNG DER UNTERSCHEIDBARKEIT:</w:t>
      </w:r>
      <w:r w:rsidR="004B4303" w:rsidRPr="002A24E2">
        <w:rPr>
          <w:rFonts w:eastAsia="MS Mincho"/>
          <w:color w:val="000000"/>
          <w:szCs w:val="24"/>
          <w:lang w:val="de-DE" w:eastAsia="ja-JP"/>
        </w:rPr>
        <w:t xml:space="preserve"> </w:t>
      </w:r>
      <w:r w:rsidR="005F15FE" w:rsidRPr="002A24E2">
        <w:rPr>
          <w:rFonts w:eastAsia="MS Mincho"/>
          <w:color w:val="000000"/>
          <w:szCs w:val="24"/>
          <w:lang w:val="de-DE" w:eastAsia="ja-JP"/>
        </w:rPr>
        <w:t>ABSCHNITT</w:t>
      </w:r>
      <w:r w:rsidR="004B4303" w:rsidRPr="002A24E2">
        <w:rPr>
          <w:rFonts w:eastAsia="MS Mincho"/>
          <w:color w:val="000000"/>
          <w:szCs w:val="24"/>
          <w:lang w:val="de-DE" w:eastAsia="ja-JP"/>
        </w:rPr>
        <w:t xml:space="preserve"> 6: </w:t>
      </w:r>
      <w:r w:rsidRPr="002A24E2">
        <w:rPr>
          <w:rFonts w:eastAsia="MS Mincho"/>
          <w:color w:val="000000"/>
          <w:szCs w:val="24"/>
          <w:lang w:val="de-DE" w:eastAsia="ja-JP"/>
        </w:rPr>
        <w:t>ZUSÄTZLICHE VERFAHREN</w:t>
      </w:r>
    </w:p>
    <w:p w:rsidR="004B4303" w:rsidRPr="002A24E2" w:rsidRDefault="004B4303" w:rsidP="004B4303">
      <w:pPr>
        <w:jc w:val="center"/>
        <w:rPr>
          <w:caps/>
          <w:sz w:val="18"/>
          <w:szCs w:val="18"/>
          <w:lang w:val="de-DE"/>
        </w:rPr>
      </w:pPr>
    </w:p>
    <w:p w:rsidR="004B4303" w:rsidRPr="002A24E2" w:rsidRDefault="004B4303" w:rsidP="004B4303">
      <w:pPr>
        <w:jc w:val="center"/>
        <w:rPr>
          <w:caps/>
          <w:sz w:val="18"/>
          <w:szCs w:val="18"/>
          <w:lang w:val="de-DE"/>
        </w:rPr>
      </w:pPr>
    </w:p>
    <w:p w:rsidR="008F35A8" w:rsidRPr="002A24E2" w:rsidRDefault="008F35A8" w:rsidP="008F35A8">
      <w:pPr>
        <w:pStyle w:val="Heading2"/>
        <w:rPr>
          <w:lang w:val="de-DE"/>
        </w:rPr>
      </w:pPr>
      <w:bookmarkStart w:id="30" w:name="_Toc156741096"/>
      <w:bookmarkStart w:id="31" w:name="_Toc196280389"/>
      <w:r w:rsidRPr="002A24E2">
        <w:rPr>
          <w:lang w:val="de-DE"/>
        </w:rPr>
        <w:t>„</w:t>
      </w:r>
      <w:bookmarkStart w:id="32" w:name="_Toc97552408"/>
      <w:bookmarkStart w:id="33" w:name="_Toc99007837"/>
      <w:bookmarkStart w:id="34" w:name="_Toc99015164"/>
      <w:bookmarkStart w:id="35" w:name="_Toc99430437"/>
      <w:bookmarkStart w:id="36" w:name="_Toc128731109"/>
      <w:bookmarkStart w:id="37" w:name="_Toc128732072"/>
      <w:bookmarkStart w:id="38" w:name="_Toc128879526"/>
      <w:bookmarkStart w:id="39" w:name="_Toc128905998"/>
      <w:bookmarkStart w:id="40" w:name="_Toc129594032"/>
      <w:bookmarkStart w:id="41" w:name="_Toc138129088"/>
      <w:bookmarkStart w:id="42" w:name="_Toc138129451"/>
      <w:bookmarkStart w:id="43" w:name="_Toc158613149"/>
      <w:bookmarkStart w:id="44" w:name="_Toc158631604"/>
      <w:bookmarkStart w:id="45" w:name="_Toc158632152"/>
      <w:bookmarkStart w:id="46" w:name="_Toc158634285"/>
      <w:bookmarkStart w:id="47" w:name="_Toc158634550"/>
      <w:bookmarkStart w:id="48" w:name="_Toc158722617"/>
      <w:bookmarkStart w:id="49" w:name="_Toc177531476"/>
      <w:r w:rsidRPr="002A24E2">
        <w:rPr>
          <w:lang w:val="de-DE"/>
        </w:rPr>
        <w:t>6.4</w:t>
      </w:r>
      <w:r w:rsidRPr="002A24E2">
        <w:rPr>
          <w:lang w:val="de-DE"/>
        </w:rPr>
        <w:tab/>
        <w:t>Anwendung randomisierter „Blind“-Prüfung</w:t>
      </w:r>
      <w:bookmarkEnd w:id="32"/>
      <w:r w:rsidRPr="002A24E2">
        <w:rPr>
          <w:lang w:val="de-DE"/>
        </w:rPr>
        <w:t>en</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8F35A8" w:rsidRPr="002A24E2" w:rsidRDefault="008F35A8" w:rsidP="008F35A8">
      <w:pPr>
        <w:pStyle w:val="EndnoteText"/>
        <w:keepNext/>
        <w:tabs>
          <w:tab w:val="left" w:pos="992"/>
        </w:tabs>
        <w:rPr>
          <w:lang w:val="de-DE"/>
        </w:rPr>
      </w:pPr>
    </w:p>
    <w:p w:rsidR="008F35A8" w:rsidRPr="002A24E2" w:rsidRDefault="008F35A8" w:rsidP="008F35A8">
      <w:pPr>
        <w:tabs>
          <w:tab w:val="left" w:pos="992"/>
        </w:tabs>
        <w:rPr>
          <w:lang w:val="de-DE"/>
        </w:rPr>
      </w:pPr>
      <w:r w:rsidRPr="002A24E2">
        <w:rPr>
          <w:lang w:val="de-DE"/>
        </w:rPr>
        <w:t>6.4.1</w:t>
      </w:r>
      <w:r w:rsidRPr="002A24E2">
        <w:rPr>
          <w:lang w:val="de-DE"/>
        </w:rPr>
        <w:tab/>
        <w:t>Nach oder während der Prüfung kann es Zweifel bezüglich der Unterscheidbarkeit einer Sorte aufgrund der Anbauprüfung geben. In diesen Fällen sind folgende Situationen möglich:</w:t>
      </w:r>
    </w:p>
    <w:p w:rsidR="00AD4FEF" w:rsidRPr="002A24E2" w:rsidRDefault="00AD4FEF" w:rsidP="008F35A8">
      <w:pPr>
        <w:tabs>
          <w:tab w:val="left" w:pos="992"/>
        </w:tabs>
        <w:rPr>
          <w:lang w:val="de-DE"/>
        </w:rPr>
      </w:pPr>
    </w:p>
    <w:p w:rsidR="008F35A8" w:rsidRPr="002A24E2" w:rsidRDefault="008F35A8" w:rsidP="008F35A8">
      <w:pPr>
        <w:numPr>
          <w:ilvl w:val="0"/>
          <w:numId w:val="2"/>
        </w:numPr>
        <w:tabs>
          <w:tab w:val="left" w:pos="992"/>
        </w:tabs>
        <w:jc w:val="left"/>
        <w:rPr>
          <w:lang w:val="de-DE"/>
        </w:rPr>
      </w:pPr>
      <w:r w:rsidRPr="002A24E2">
        <w:rPr>
          <w:lang w:val="de-DE"/>
        </w:rPr>
        <w:t>wenn keine Unterschiede beobachtet werden, wird der Antrag zurückgewiesen.</w:t>
      </w:r>
    </w:p>
    <w:p w:rsidR="008F35A8" w:rsidRPr="002A24E2" w:rsidRDefault="008F35A8" w:rsidP="008F35A8">
      <w:pPr>
        <w:tabs>
          <w:tab w:val="left" w:pos="992"/>
        </w:tabs>
        <w:ind w:left="990"/>
        <w:jc w:val="left"/>
        <w:rPr>
          <w:lang w:val="de-DE"/>
        </w:rPr>
      </w:pPr>
    </w:p>
    <w:p w:rsidR="008F35A8" w:rsidRPr="002A24E2" w:rsidRDefault="008F35A8" w:rsidP="008F35A8">
      <w:pPr>
        <w:numPr>
          <w:ilvl w:val="0"/>
          <w:numId w:val="2"/>
        </w:numPr>
        <w:tabs>
          <w:tab w:val="left" w:pos="992"/>
        </w:tabs>
        <w:rPr>
          <w:lang w:val="de-DE"/>
        </w:rPr>
      </w:pPr>
      <w:r w:rsidRPr="002A24E2">
        <w:rPr>
          <w:lang w:val="de-DE"/>
        </w:rPr>
        <w:t>wenn kein deutlicher Unterschied beobachtet wurde und der Züchter/Antragsteller die Unterscheidbarkeit geltend macht, kann die Prüfungsbehörde entscheiden, zusätzliche Prüfungen durchzuführen.</w:t>
      </w:r>
    </w:p>
    <w:p w:rsidR="008F35A8" w:rsidRPr="002A24E2" w:rsidRDefault="008F35A8" w:rsidP="008F35A8">
      <w:pPr>
        <w:tabs>
          <w:tab w:val="left" w:pos="992"/>
        </w:tabs>
        <w:rPr>
          <w:lang w:val="de-DE"/>
        </w:rPr>
      </w:pPr>
    </w:p>
    <w:p w:rsidR="008F35A8" w:rsidRPr="002A24E2" w:rsidRDefault="008F35A8" w:rsidP="008F35A8">
      <w:pPr>
        <w:rPr>
          <w:lang w:val="de-DE"/>
        </w:rPr>
      </w:pPr>
      <w:r w:rsidRPr="002A24E2">
        <w:rPr>
          <w:lang w:val="de-DE"/>
        </w:rPr>
        <w:t>6.4.2</w:t>
      </w:r>
      <w:r w:rsidRPr="002A24E2">
        <w:rPr>
          <w:lang w:val="de-DE"/>
        </w:rPr>
        <w:tab/>
        <w:t>Bei visuell beobachteten Merkmalen ist die „Blind“-Prüfung eine Möglichkeit für eine zusätzliche Prüfung.</w:t>
      </w:r>
    </w:p>
    <w:p w:rsidR="008F35A8" w:rsidRPr="002A24E2" w:rsidRDefault="008F35A8" w:rsidP="008F35A8">
      <w:pPr>
        <w:rPr>
          <w:lang w:val="de-DE"/>
        </w:rPr>
      </w:pPr>
    </w:p>
    <w:p w:rsidR="008F35A8" w:rsidRPr="002A24E2" w:rsidRDefault="008F35A8" w:rsidP="008F35A8">
      <w:pPr>
        <w:rPr>
          <w:lang w:val="de-DE"/>
        </w:rPr>
      </w:pPr>
      <w:r w:rsidRPr="002A24E2">
        <w:rPr>
          <w:lang w:val="de-DE"/>
        </w:rPr>
        <w:t>6.4.3</w:t>
      </w:r>
      <w:r w:rsidRPr="002A24E2">
        <w:rPr>
          <w:lang w:val="de-DE"/>
        </w:rPr>
        <w:tab/>
        <w:t>Ziel der „Blind“-Prüfung ist es, die Unterscheidbarkeit zwischen einem Sortenpaar zu prüfen, wobei jede voreingenommene Beobachtung vermieden wird, indem die Proben im Anbauversuch kodiert werden (der Sachverständige ist in Bezug auf die Identität der Sorte in jeder Parzelle „blind“). Diese Art Prüfung kann Klärung herbeiführen, wenn die Unterschiede zwischen der Kandidatensorte und (einer) ähnlichen Sorte(n) nicht deutlich definierbar sind. In einem derartigen Fall kann eine weitere Prüfung während oder nach der Prüfung der Unterscheidbarkeit den Nachweis für eine endgültige Entscheidung durch die Behörde erbringen.</w:t>
      </w:r>
    </w:p>
    <w:p w:rsidR="008F35A8" w:rsidRPr="002A24E2" w:rsidRDefault="008F35A8" w:rsidP="008F35A8">
      <w:pPr>
        <w:rPr>
          <w:lang w:val="de-DE"/>
        </w:rPr>
      </w:pPr>
    </w:p>
    <w:p w:rsidR="008F35A8" w:rsidRPr="002A24E2" w:rsidRDefault="008F35A8" w:rsidP="008F35A8">
      <w:pPr>
        <w:rPr>
          <w:lang w:val="de-DE"/>
        </w:rPr>
      </w:pPr>
      <w:r w:rsidRPr="002A24E2">
        <w:rPr>
          <w:lang w:val="de-DE"/>
        </w:rPr>
        <w:t>6.4.4</w:t>
      </w:r>
      <w:r w:rsidRPr="002A24E2">
        <w:rPr>
          <w:lang w:val="de-DE"/>
        </w:rPr>
        <w:tab/>
        <w:t>Nachstehend einige Beispiele für „Blind“-Prüfungen:</w:t>
      </w:r>
    </w:p>
    <w:p w:rsidR="008F35A8" w:rsidRPr="002A24E2" w:rsidRDefault="008F35A8" w:rsidP="008F35A8">
      <w:pPr>
        <w:rPr>
          <w:lang w:val="de-DE"/>
        </w:rPr>
      </w:pPr>
    </w:p>
    <w:p w:rsidR="008F35A8" w:rsidRPr="002A24E2" w:rsidRDefault="008F35A8" w:rsidP="008F35A8">
      <w:pPr>
        <w:ind w:left="992"/>
        <w:rPr>
          <w:lang w:val="de-DE"/>
        </w:rPr>
      </w:pPr>
      <w:r w:rsidRPr="002A24E2">
        <w:rPr>
          <w:i/>
          <w:lang w:val="de-DE"/>
        </w:rPr>
        <w:t>Randomisierte Sortenparzellen</w:t>
      </w:r>
      <w:r w:rsidRPr="002A24E2">
        <w:rPr>
          <w:lang w:val="de-DE"/>
        </w:rPr>
        <w:t>: Doppelproben derselben Sorte erhalten individuelle Codes und werden im Anbauversuch randomisiert.</w:t>
      </w:r>
    </w:p>
    <w:p w:rsidR="008F35A8" w:rsidRPr="002A24E2" w:rsidRDefault="008F35A8" w:rsidP="008F35A8">
      <w:pPr>
        <w:ind w:left="992"/>
        <w:rPr>
          <w:lang w:val="de-DE"/>
        </w:rPr>
      </w:pPr>
    </w:p>
    <w:p w:rsidR="008F35A8" w:rsidRPr="002A24E2" w:rsidRDefault="008F35A8" w:rsidP="008F35A8">
      <w:pPr>
        <w:ind w:left="992"/>
        <w:rPr>
          <w:lang w:val="de-DE"/>
        </w:rPr>
      </w:pPr>
      <w:r w:rsidRPr="002A24E2">
        <w:rPr>
          <w:i/>
          <w:lang w:val="de-DE"/>
        </w:rPr>
        <w:t>Parzellen mit einer Sortenmischung</w:t>
      </w:r>
      <w:r w:rsidRPr="002A24E2">
        <w:rPr>
          <w:lang w:val="de-DE"/>
        </w:rPr>
        <w:t>: Parzellen mit einer Mischung von Material von in Prüfung befindlichen Sorten werden in den Anbauversuch einbezogen. Dies kann für samenvermehrte Sorten zweckdienlich sein.</w:t>
      </w:r>
    </w:p>
    <w:p w:rsidR="008F35A8" w:rsidRPr="002A24E2" w:rsidRDefault="008F35A8" w:rsidP="008F35A8">
      <w:pPr>
        <w:ind w:left="992"/>
        <w:rPr>
          <w:lang w:val="de-DE"/>
        </w:rPr>
      </w:pPr>
    </w:p>
    <w:p w:rsidR="008F35A8" w:rsidRPr="002A24E2" w:rsidRDefault="008F35A8" w:rsidP="008F35A8">
      <w:pPr>
        <w:ind w:left="992"/>
        <w:rPr>
          <w:lang w:val="de-DE"/>
        </w:rPr>
      </w:pPr>
      <w:r w:rsidRPr="002A24E2">
        <w:rPr>
          <w:i/>
          <w:lang w:val="de-DE"/>
        </w:rPr>
        <w:t>Pflanzenteile von Sorten</w:t>
      </w:r>
      <w:r w:rsidRPr="002A24E2">
        <w:rPr>
          <w:lang w:val="de-DE"/>
        </w:rPr>
        <w:t>: randomisiert angeordnete Pflanzenteile der in Prüfung befindlichen Sorten (z. B. Blätter oder Früchte).</w:t>
      </w:r>
    </w:p>
    <w:p w:rsidR="008F35A8" w:rsidRPr="002A24E2" w:rsidRDefault="008F35A8" w:rsidP="008F35A8">
      <w:pPr>
        <w:ind w:left="992"/>
        <w:rPr>
          <w:lang w:val="de-DE"/>
        </w:rPr>
      </w:pPr>
    </w:p>
    <w:p w:rsidR="008F35A8" w:rsidRPr="002A24E2" w:rsidRDefault="008F35A8" w:rsidP="008F35A8">
      <w:pPr>
        <w:rPr>
          <w:lang w:val="de-DE"/>
        </w:rPr>
      </w:pPr>
      <w:r w:rsidRPr="002A24E2">
        <w:rPr>
          <w:lang w:val="de-DE"/>
        </w:rPr>
        <w:t>6.4.5</w:t>
      </w:r>
      <w:r w:rsidRPr="002A24E2">
        <w:rPr>
          <w:lang w:val="de-DE"/>
        </w:rPr>
        <w:tab/>
        <w:t>Die Züchter/Antragsteller können am „Blind“-Prüfungsverfahren beteiligt werden. Sie können auch zur Besichtigung der „Blind“-Prüfung eingeladen und aufgefordert werden, die Parzellen ihrer Sorte zu identifizieren.</w:t>
      </w:r>
    </w:p>
    <w:p w:rsidR="008F35A8" w:rsidRPr="002A24E2" w:rsidRDefault="008F35A8" w:rsidP="008F35A8">
      <w:pPr>
        <w:rPr>
          <w:lang w:val="de-DE"/>
        </w:rPr>
      </w:pPr>
    </w:p>
    <w:p w:rsidR="008F35A8" w:rsidRPr="002A24E2" w:rsidRDefault="008F35A8" w:rsidP="008F35A8">
      <w:pPr>
        <w:rPr>
          <w:lang w:val="de-DE"/>
        </w:rPr>
      </w:pPr>
      <w:r w:rsidRPr="002A24E2">
        <w:rPr>
          <w:lang w:val="de-DE"/>
        </w:rPr>
        <w:t>6.4.6</w:t>
      </w:r>
      <w:r w:rsidRPr="002A24E2">
        <w:rPr>
          <w:lang w:val="de-DE"/>
        </w:rPr>
        <w:tab/>
        <w:t xml:space="preserve">Am </w:t>
      </w:r>
      <w:r w:rsidR="005412DD" w:rsidRPr="002A24E2">
        <w:rPr>
          <w:lang w:val="de-DE"/>
        </w:rPr>
        <w:t>Schluß</w:t>
      </w:r>
      <w:r w:rsidRPr="002A24E2">
        <w:rPr>
          <w:lang w:val="de-DE"/>
        </w:rPr>
        <w:t xml:space="preserve"> der „Blind“-Prüfung kann die Sorte als unterscheidbar erklärt werden, wenn</w:t>
      </w:r>
    </w:p>
    <w:p w:rsidR="008F35A8" w:rsidRPr="002A24E2" w:rsidRDefault="008F35A8" w:rsidP="008F35A8">
      <w:pPr>
        <w:rPr>
          <w:lang w:val="de-DE"/>
        </w:rPr>
      </w:pPr>
    </w:p>
    <w:p w:rsidR="008F35A8" w:rsidRPr="002A24E2" w:rsidRDefault="008F35A8" w:rsidP="008F35A8">
      <w:pPr>
        <w:ind w:left="1701" w:hanging="709"/>
        <w:rPr>
          <w:lang w:val="de-DE"/>
        </w:rPr>
      </w:pPr>
      <w:r w:rsidRPr="002A24E2">
        <w:rPr>
          <w:lang w:val="de-DE"/>
        </w:rPr>
        <w:t>a)</w:t>
      </w:r>
      <w:r w:rsidRPr="002A24E2">
        <w:rPr>
          <w:lang w:val="de-DE"/>
        </w:rPr>
        <w:tab/>
        <w:t>der Sachverständige und gegebenenfalls der Züchter/Antragsteller die Sorte immer identifizieren, und</w:t>
      </w:r>
    </w:p>
    <w:p w:rsidR="008F35A8" w:rsidRPr="002A24E2" w:rsidRDefault="008F35A8" w:rsidP="008F35A8">
      <w:pPr>
        <w:ind w:left="1701" w:hanging="709"/>
        <w:rPr>
          <w:lang w:val="de-DE"/>
        </w:rPr>
      </w:pPr>
    </w:p>
    <w:p w:rsidR="008F35A8" w:rsidRPr="002A24E2" w:rsidRDefault="008F35A8" w:rsidP="008F35A8">
      <w:pPr>
        <w:ind w:left="1701" w:hanging="709"/>
        <w:rPr>
          <w:lang w:val="de-DE"/>
        </w:rPr>
      </w:pPr>
      <w:r w:rsidRPr="002A24E2">
        <w:rPr>
          <w:lang w:val="de-DE"/>
        </w:rPr>
        <w:t>b)</w:t>
      </w:r>
      <w:r w:rsidRPr="002A24E2">
        <w:rPr>
          <w:lang w:val="de-DE"/>
        </w:rPr>
        <w:tab/>
        <w:t>der Unterschied als deutlicher Unterschied für dieses Merkmal angesehen werden kann.</w:t>
      </w:r>
    </w:p>
    <w:p w:rsidR="008F35A8" w:rsidRPr="002A24E2" w:rsidRDefault="008F35A8" w:rsidP="008F35A8">
      <w:pPr>
        <w:ind w:left="1701" w:hanging="709"/>
        <w:rPr>
          <w:lang w:val="de-DE"/>
        </w:rPr>
      </w:pPr>
    </w:p>
    <w:p w:rsidR="008F35A8" w:rsidRPr="002A24E2" w:rsidRDefault="008F35A8" w:rsidP="008F35A8">
      <w:pPr>
        <w:tabs>
          <w:tab w:val="left" w:pos="992"/>
        </w:tabs>
        <w:rPr>
          <w:lang w:val="de-DE"/>
        </w:rPr>
      </w:pPr>
      <w:r w:rsidRPr="002A24E2">
        <w:rPr>
          <w:lang w:val="de-DE"/>
        </w:rPr>
        <w:t>6.4.7</w:t>
      </w:r>
      <w:r w:rsidRPr="002A24E2">
        <w:rPr>
          <w:lang w:val="de-DE"/>
        </w:rPr>
        <w:tab/>
        <w:t>In allen Fällen trifft die Behörde die Entscheidung über die Unterscheidbarkeit.</w:t>
      </w:r>
      <w:r w:rsidR="00AD4FEF" w:rsidRPr="002A24E2">
        <w:rPr>
          <w:lang w:val="de-DE"/>
        </w:rPr>
        <w:t>“</w:t>
      </w:r>
    </w:p>
    <w:p w:rsidR="008F35A8" w:rsidRPr="002A24E2" w:rsidRDefault="008F35A8" w:rsidP="008F35A8">
      <w:pPr>
        <w:tabs>
          <w:tab w:val="left" w:pos="992"/>
        </w:tabs>
        <w:rPr>
          <w:lang w:val="de-DE"/>
        </w:rPr>
      </w:pPr>
    </w:p>
    <w:bookmarkEnd w:id="30"/>
    <w:bookmarkEnd w:id="31"/>
    <w:p w:rsidR="004B4303" w:rsidRPr="002A24E2" w:rsidRDefault="004B4303" w:rsidP="004B4303">
      <w:pPr>
        <w:rPr>
          <w:lang w:val="de-DE"/>
        </w:rPr>
      </w:pPr>
    </w:p>
    <w:p w:rsidR="004B4303" w:rsidRPr="002A24E2" w:rsidRDefault="008F35A8" w:rsidP="004B4303">
      <w:pPr>
        <w:autoSpaceDE w:val="0"/>
        <w:autoSpaceDN w:val="0"/>
        <w:adjustRightInd w:val="0"/>
        <w:rPr>
          <w:rFonts w:eastAsia="MS Mincho"/>
          <w:color w:val="000000"/>
          <w:szCs w:val="24"/>
          <w:lang w:val="de-DE" w:eastAsia="ja-JP"/>
        </w:rPr>
      </w:pPr>
      <w:r w:rsidRPr="002A24E2">
        <w:rPr>
          <w:rFonts w:eastAsia="MS Mincho"/>
          <w:color w:val="000000"/>
          <w:szCs w:val="24"/>
          <w:lang w:val="de-DE" w:eastAsia="ja-JP"/>
        </w:rPr>
        <w:t>AUSZUG AUS</w:t>
      </w:r>
      <w:r w:rsidR="004B4303" w:rsidRPr="002A24E2">
        <w:rPr>
          <w:rFonts w:eastAsia="MS Mincho"/>
          <w:color w:val="000000"/>
          <w:szCs w:val="24"/>
          <w:lang w:val="de-DE" w:eastAsia="ja-JP"/>
        </w:rPr>
        <w:t xml:space="preserve"> </w:t>
      </w:r>
      <w:r w:rsidR="005F15FE" w:rsidRPr="002A24E2">
        <w:rPr>
          <w:rFonts w:eastAsia="MS Mincho"/>
          <w:color w:val="000000"/>
          <w:szCs w:val="24"/>
          <w:lang w:val="de-DE" w:eastAsia="ja-JP"/>
        </w:rPr>
        <w:t>DOKUMENT</w:t>
      </w:r>
      <w:r w:rsidR="004B4303" w:rsidRPr="002A24E2">
        <w:rPr>
          <w:rFonts w:eastAsia="MS Mincho"/>
          <w:color w:val="000000"/>
          <w:szCs w:val="24"/>
          <w:lang w:val="de-DE" w:eastAsia="ja-JP"/>
        </w:rPr>
        <w:t xml:space="preserve"> TGP/8/1: </w:t>
      </w:r>
      <w:r w:rsidRPr="002A24E2">
        <w:rPr>
          <w:rFonts w:eastAsia="MS Mincho"/>
          <w:color w:val="000000"/>
          <w:szCs w:val="24"/>
          <w:lang w:val="de-DE" w:eastAsia="ja-JP"/>
        </w:rPr>
        <w:t>TEIL</w:t>
      </w:r>
      <w:r w:rsidR="004B4303" w:rsidRPr="002A24E2">
        <w:rPr>
          <w:rFonts w:eastAsia="MS Mincho"/>
          <w:color w:val="000000"/>
          <w:szCs w:val="24"/>
          <w:lang w:val="de-DE" w:eastAsia="ja-JP"/>
        </w:rPr>
        <w:t xml:space="preserve"> I: DUS</w:t>
      </w:r>
      <w:r w:rsidRPr="002A24E2">
        <w:rPr>
          <w:rFonts w:eastAsia="MS Mincho"/>
          <w:color w:val="000000"/>
          <w:szCs w:val="24"/>
          <w:lang w:val="de-DE" w:eastAsia="ja-JP"/>
        </w:rPr>
        <w:t>-PRÜFUNGSANLAGE UND DATENAN</w:t>
      </w:r>
      <w:r w:rsidR="00AD4FEF" w:rsidRPr="002A24E2">
        <w:rPr>
          <w:rFonts w:eastAsia="MS Mincho"/>
          <w:color w:val="000000"/>
          <w:szCs w:val="24"/>
          <w:lang w:val="de-DE" w:eastAsia="ja-JP"/>
        </w:rPr>
        <w:t>A</w:t>
      </w:r>
      <w:r w:rsidRPr="002A24E2">
        <w:rPr>
          <w:rFonts w:eastAsia="MS Mincho"/>
          <w:color w:val="000000"/>
          <w:szCs w:val="24"/>
          <w:lang w:val="de-DE" w:eastAsia="ja-JP"/>
        </w:rPr>
        <w:t>LYSE</w:t>
      </w:r>
      <w:r w:rsidR="004B4303" w:rsidRPr="002A24E2">
        <w:rPr>
          <w:rFonts w:eastAsia="MS Mincho"/>
          <w:color w:val="000000"/>
          <w:szCs w:val="24"/>
          <w:lang w:val="de-DE" w:eastAsia="ja-JP"/>
        </w:rPr>
        <w:t xml:space="preserve">: </w:t>
      </w:r>
      <w:r w:rsidR="005F15FE" w:rsidRPr="002A24E2">
        <w:rPr>
          <w:rFonts w:eastAsia="MS Mincho"/>
          <w:color w:val="000000"/>
          <w:szCs w:val="24"/>
          <w:lang w:val="de-DE" w:eastAsia="ja-JP"/>
        </w:rPr>
        <w:t>ABSCHNITT</w:t>
      </w:r>
      <w:r w:rsidR="004B4303" w:rsidRPr="002A24E2">
        <w:rPr>
          <w:rFonts w:eastAsia="MS Mincho"/>
          <w:color w:val="000000"/>
          <w:szCs w:val="24"/>
          <w:lang w:val="de-DE" w:eastAsia="ja-JP"/>
        </w:rPr>
        <w:t xml:space="preserve"> 1.5.3.4 </w:t>
      </w:r>
      <w:r w:rsidRPr="002A24E2">
        <w:rPr>
          <w:rFonts w:eastAsia="MS Mincho"/>
          <w:color w:val="000000"/>
          <w:szCs w:val="24"/>
          <w:lang w:val="de-DE" w:eastAsia="ja-JP"/>
        </w:rPr>
        <w:t xml:space="preserve">„RANDOMISIERTE </w:t>
      </w:r>
      <w:r w:rsidR="00A85C23" w:rsidRPr="002A24E2">
        <w:rPr>
          <w:rFonts w:eastAsia="MS Mincho"/>
          <w:color w:val="000000"/>
          <w:szCs w:val="24"/>
          <w:lang w:val="de-DE" w:eastAsia="ja-JP"/>
        </w:rPr>
        <w:t>‚</w:t>
      </w:r>
      <w:r w:rsidR="005F15FE" w:rsidRPr="002A24E2">
        <w:rPr>
          <w:rFonts w:eastAsia="MS Mincho"/>
          <w:color w:val="000000"/>
          <w:szCs w:val="24"/>
          <w:lang w:val="de-DE" w:eastAsia="ja-JP"/>
        </w:rPr>
        <w:t>BLIND</w:t>
      </w:r>
      <w:r w:rsidR="00A85C23" w:rsidRPr="002A24E2">
        <w:rPr>
          <w:rFonts w:eastAsia="MS Mincho"/>
          <w:color w:val="000000"/>
          <w:szCs w:val="24"/>
          <w:lang w:val="de-DE" w:eastAsia="ja-JP"/>
        </w:rPr>
        <w:t>‘</w:t>
      </w:r>
      <w:r w:rsidR="005F15FE" w:rsidRPr="002A24E2">
        <w:rPr>
          <w:rFonts w:eastAsia="MS Mincho"/>
          <w:color w:val="000000"/>
          <w:szCs w:val="24"/>
          <w:lang w:val="de-DE" w:eastAsia="ja-JP"/>
        </w:rPr>
        <w:t>-PRÜFUNGEN</w:t>
      </w:r>
      <w:r w:rsidRPr="002A24E2">
        <w:rPr>
          <w:rFonts w:eastAsia="MS Mincho"/>
          <w:color w:val="000000"/>
          <w:szCs w:val="24"/>
          <w:lang w:val="de-DE" w:eastAsia="ja-JP"/>
        </w:rPr>
        <w:t>“</w:t>
      </w:r>
    </w:p>
    <w:p w:rsidR="004B4303" w:rsidRPr="002A24E2" w:rsidRDefault="004B4303" w:rsidP="004B4303">
      <w:pPr>
        <w:rPr>
          <w:lang w:val="de-DE"/>
        </w:rPr>
      </w:pPr>
    </w:p>
    <w:p w:rsidR="008F35A8" w:rsidRPr="002A24E2" w:rsidRDefault="008F35A8" w:rsidP="008F35A8">
      <w:pPr>
        <w:autoSpaceDE w:val="0"/>
        <w:autoSpaceDN w:val="0"/>
        <w:adjustRightInd w:val="0"/>
        <w:jc w:val="left"/>
        <w:rPr>
          <w:rFonts w:cs="Arial"/>
          <w:i/>
          <w:iCs/>
          <w:lang w:val="de-DE"/>
        </w:rPr>
      </w:pPr>
      <w:r w:rsidRPr="002A24E2">
        <w:rPr>
          <w:rFonts w:cs="Arial"/>
          <w:iCs/>
          <w:lang w:val="de-DE"/>
        </w:rPr>
        <w:t>„1.5.3.4</w:t>
      </w:r>
      <w:r w:rsidRPr="002A24E2">
        <w:rPr>
          <w:rFonts w:cs="Arial"/>
          <w:i/>
          <w:iCs/>
          <w:lang w:val="de-DE"/>
        </w:rPr>
        <w:tab/>
      </w:r>
      <w:r w:rsidRPr="002A24E2">
        <w:rPr>
          <w:rFonts w:cs="Arial"/>
          <w:iCs/>
          <w:lang w:val="de-DE"/>
        </w:rPr>
        <w:t>Randomisierte Blindprüfungen</w:t>
      </w:r>
    </w:p>
    <w:p w:rsidR="008F35A8" w:rsidRPr="002A24E2" w:rsidRDefault="008F35A8" w:rsidP="008F35A8">
      <w:pPr>
        <w:autoSpaceDE w:val="0"/>
        <w:autoSpaceDN w:val="0"/>
        <w:adjustRightInd w:val="0"/>
        <w:jc w:val="left"/>
        <w:rPr>
          <w:rFonts w:cs="Arial"/>
          <w:lang w:val="de-DE"/>
        </w:rPr>
      </w:pPr>
    </w:p>
    <w:p w:rsidR="008F35A8" w:rsidRPr="002A24E2" w:rsidRDefault="008F35A8" w:rsidP="00AD4FEF">
      <w:pPr>
        <w:autoSpaceDE w:val="0"/>
        <w:autoSpaceDN w:val="0"/>
        <w:adjustRightInd w:val="0"/>
        <w:rPr>
          <w:rFonts w:cs="Arial"/>
          <w:lang w:val="de-DE"/>
        </w:rPr>
      </w:pPr>
      <w:r w:rsidRPr="002A24E2">
        <w:rPr>
          <w:rFonts w:cs="Arial"/>
          <w:lang w:val="de-DE"/>
        </w:rPr>
        <w:t>1.5.3.4.1</w:t>
      </w:r>
      <w:r w:rsidRPr="002A24E2">
        <w:rPr>
          <w:rFonts w:cs="Arial"/>
          <w:lang w:val="de-DE"/>
        </w:rPr>
        <w:tab/>
        <w:t xml:space="preserve">Ein Teil des Anbauversuchs kann aus Parzellen bestehen, die spezifisch </w:t>
      </w:r>
      <w:r w:rsidR="00AD4FEF" w:rsidRPr="002A24E2">
        <w:rPr>
          <w:rFonts w:cs="Arial"/>
          <w:lang w:val="de-DE"/>
        </w:rPr>
        <w:t>für</w:t>
      </w:r>
      <w:r w:rsidRPr="002A24E2">
        <w:rPr>
          <w:rFonts w:cs="Arial"/>
          <w:lang w:val="de-DE"/>
        </w:rPr>
        <w:t xml:space="preserve"> </w:t>
      </w:r>
      <w:r w:rsidR="00AD4FEF" w:rsidRPr="002A24E2">
        <w:rPr>
          <w:rFonts w:cs="Arial"/>
          <w:lang w:val="de-DE"/>
        </w:rPr>
        <w:t xml:space="preserve">randomisierte </w:t>
      </w:r>
      <w:r w:rsidR="00A85C23" w:rsidRPr="002A24E2">
        <w:rPr>
          <w:rFonts w:cs="Arial"/>
          <w:lang w:val="de-DE"/>
        </w:rPr>
        <w:t>„</w:t>
      </w:r>
      <w:r w:rsidR="00AD4FEF" w:rsidRPr="002A24E2">
        <w:rPr>
          <w:rFonts w:cs="Arial"/>
          <w:lang w:val="de-DE"/>
        </w:rPr>
        <w:t>Blind</w:t>
      </w:r>
      <w:r w:rsidRPr="002A24E2">
        <w:rPr>
          <w:rFonts w:cs="Arial"/>
          <w:lang w:val="de-DE"/>
        </w:rPr>
        <w:t>“-</w:t>
      </w:r>
      <w:r w:rsidR="00AD4FEF" w:rsidRPr="002A24E2">
        <w:rPr>
          <w:rFonts w:cs="Arial"/>
          <w:lang w:val="de-DE"/>
        </w:rPr>
        <w:t>Prüfungen</w:t>
      </w:r>
      <w:r w:rsidRPr="002A24E2">
        <w:rPr>
          <w:rFonts w:cs="Arial"/>
          <w:lang w:val="de-DE"/>
        </w:rPr>
        <w:t xml:space="preserve"> angebaut werden, wie Parzellen mit Pflanzen der beiden Sorten, die unterschieden</w:t>
      </w:r>
      <w:r w:rsidR="00AD4FEF" w:rsidRPr="002A24E2">
        <w:rPr>
          <w:rFonts w:cs="Arial"/>
          <w:lang w:val="de-DE"/>
        </w:rPr>
        <w:t xml:space="preserve"> </w:t>
      </w:r>
      <w:r w:rsidRPr="002A24E2">
        <w:rPr>
          <w:rFonts w:cs="Arial"/>
          <w:lang w:val="de-DE"/>
        </w:rPr>
        <w:t>werden sollen, wobei die Pflanzen in randomisierter, jedoch bekannter Anordnung angebaut werden, oder andernfalls aus einer Mischung von T</w:t>
      </w:r>
      <w:r w:rsidR="00A85C23" w:rsidRPr="002A24E2">
        <w:rPr>
          <w:rFonts w:cs="Arial"/>
          <w:lang w:val="de-DE"/>
        </w:rPr>
        <w:t>ö</w:t>
      </w:r>
      <w:r w:rsidRPr="002A24E2">
        <w:rPr>
          <w:rFonts w:cs="Arial"/>
          <w:lang w:val="de-DE"/>
        </w:rPr>
        <w:t xml:space="preserve">pfen mit den beiden Sorten in einem </w:t>
      </w:r>
      <w:r w:rsidR="00AD4FEF" w:rsidRPr="002A24E2">
        <w:rPr>
          <w:rFonts w:cs="Arial"/>
          <w:lang w:val="de-DE"/>
        </w:rPr>
        <w:t>Gewächshaus</w:t>
      </w:r>
      <w:r w:rsidRPr="002A24E2">
        <w:rPr>
          <w:rFonts w:cs="Arial"/>
          <w:lang w:val="de-DE"/>
        </w:rPr>
        <w:t xml:space="preserve">. Die </w:t>
      </w:r>
      <w:r w:rsidR="00AD4FEF" w:rsidRPr="002A24E2">
        <w:rPr>
          <w:rFonts w:cs="Arial"/>
          <w:lang w:val="de-DE"/>
        </w:rPr>
        <w:t xml:space="preserve">beiden </w:t>
      </w:r>
      <w:r w:rsidR="00AD4FEF" w:rsidRPr="002A24E2">
        <w:rPr>
          <w:rFonts w:cs="Arial"/>
          <w:lang w:val="de-DE"/>
        </w:rPr>
        <w:lastRenderedPageBreak/>
        <w:t>Sorten</w:t>
      </w:r>
      <w:r w:rsidRPr="002A24E2">
        <w:rPr>
          <w:rFonts w:cs="Arial"/>
          <w:lang w:val="de-DE"/>
        </w:rPr>
        <w:t xml:space="preserve"> umfassen die Kandidatensorte sowie die Sorte, bei der die Unterscheidbarkeit der </w:t>
      </w:r>
      <w:r w:rsidR="00AD4FEF" w:rsidRPr="002A24E2">
        <w:rPr>
          <w:rFonts w:cs="Arial"/>
          <w:lang w:val="de-DE"/>
        </w:rPr>
        <w:t>Kandidatensorte fraglich</w:t>
      </w:r>
      <w:r w:rsidRPr="002A24E2">
        <w:rPr>
          <w:rFonts w:cs="Arial"/>
          <w:lang w:val="de-DE"/>
        </w:rPr>
        <w:t xml:space="preserve"> ist. Der Grundsatz der randomisierten „Blind“-</w:t>
      </w:r>
      <w:r w:rsidR="00AD4FEF" w:rsidRPr="002A24E2">
        <w:rPr>
          <w:rFonts w:cs="Arial"/>
          <w:lang w:val="de-DE"/>
        </w:rPr>
        <w:t>Prüfung</w:t>
      </w:r>
      <w:r w:rsidRPr="002A24E2">
        <w:rPr>
          <w:rFonts w:cs="Arial"/>
          <w:lang w:val="de-DE"/>
        </w:rPr>
        <w:t xml:space="preserve"> ist, da</w:t>
      </w:r>
      <w:r w:rsidR="00A85C23" w:rsidRPr="002A24E2">
        <w:rPr>
          <w:rFonts w:cs="Arial"/>
          <w:lang w:val="de-DE"/>
        </w:rPr>
        <w:t>ß</w:t>
      </w:r>
      <w:r w:rsidRPr="002A24E2">
        <w:rPr>
          <w:rFonts w:cs="Arial"/>
          <w:lang w:val="de-DE"/>
        </w:rPr>
        <w:t xml:space="preserve"> einem Beurteiler, mitunter auch </w:t>
      </w:r>
      <w:r w:rsidR="00AD4FEF" w:rsidRPr="002A24E2">
        <w:rPr>
          <w:rFonts w:cs="Arial"/>
          <w:lang w:val="de-DE"/>
        </w:rPr>
        <w:t>einem Züchter</w:t>
      </w:r>
      <w:r w:rsidRPr="002A24E2">
        <w:rPr>
          <w:rFonts w:cs="Arial"/>
          <w:lang w:val="de-DE"/>
        </w:rPr>
        <w:t xml:space="preserve">, die Pflanzen vorgelegt werden und sie ersucht werden, Pflanze um Pflanze zu </w:t>
      </w:r>
      <w:r w:rsidR="00AD4FEF" w:rsidRPr="002A24E2">
        <w:rPr>
          <w:rFonts w:cs="Arial"/>
          <w:lang w:val="de-DE"/>
        </w:rPr>
        <w:t>erklären</w:t>
      </w:r>
      <w:r w:rsidRPr="002A24E2">
        <w:rPr>
          <w:rFonts w:cs="Arial"/>
          <w:lang w:val="de-DE"/>
        </w:rPr>
        <w:t xml:space="preserve">, welches </w:t>
      </w:r>
      <w:r w:rsidR="00AD4FEF" w:rsidRPr="002A24E2">
        <w:rPr>
          <w:rFonts w:cs="Arial"/>
          <w:lang w:val="de-DE"/>
        </w:rPr>
        <w:t>die Kandidatensorte</w:t>
      </w:r>
      <w:r w:rsidRPr="002A24E2">
        <w:rPr>
          <w:rFonts w:cs="Arial"/>
          <w:lang w:val="de-DE"/>
        </w:rPr>
        <w:t xml:space="preserve"> und welches die andere Sorte ist.</w:t>
      </w:r>
    </w:p>
    <w:p w:rsidR="008F35A8" w:rsidRPr="002A24E2" w:rsidRDefault="008F35A8" w:rsidP="00AD4FEF">
      <w:pPr>
        <w:autoSpaceDE w:val="0"/>
        <w:autoSpaceDN w:val="0"/>
        <w:adjustRightInd w:val="0"/>
        <w:rPr>
          <w:rFonts w:cs="Arial"/>
          <w:lang w:val="de-DE"/>
        </w:rPr>
      </w:pPr>
    </w:p>
    <w:p w:rsidR="004B4303" w:rsidRPr="002A24E2" w:rsidRDefault="00AD4FEF" w:rsidP="00AD4FEF">
      <w:pPr>
        <w:autoSpaceDE w:val="0"/>
        <w:autoSpaceDN w:val="0"/>
        <w:adjustRightInd w:val="0"/>
        <w:rPr>
          <w:rFonts w:cs="Arial"/>
          <w:u w:val="single"/>
          <w:lang w:val="de-DE"/>
        </w:rPr>
      </w:pPr>
      <w:r w:rsidRPr="002A24E2">
        <w:rPr>
          <w:rFonts w:cs="Arial"/>
          <w:lang w:val="de-DE"/>
        </w:rPr>
        <w:t>1.5.3.4.2</w:t>
      </w:r>
      <w:r w:rsidRPr="002A24E2">
        <w:rPr>
          <w:rFonts w:cs="Arial"/>
          <w:lang w:val="de-DE"/>
        </w:rPr>
        <w:tab/>
        <w:t>Um dies zu ermöglichen, müssen die Pflanzen in randomisierter Anordnung vorgelegt oder</w:t>
      </w:r>
      <w:r w:rsidR="006755BB" w:rsidRPr="002A24E2">
        <w:rPr>
          <w:rFonts w:cs="Arial"/>
          <w:lang w:val="de-DE"/>
        </w:rPr>
        <w:t xml:space="preserve"> </w:t>
      </w:r>
      <w:r w:rsidRPr="002A24E2">
        <w:rPr>
          <w:rFonts w:cs="Arial"/>
          <w:lang w:val="de-DE"/>
        </w:rPr>
        <w:t>angebaut werden, jedoch so, da</w:t>
      </w:r>
      <w:r w:rsidR="00A85C23" w:rsidRPr="002A24E2">
        <w:rPr>
          <w:rFonts w:cs="Arial"/>
          <w:lang w:val="de-DE"/>
        </w:rPr>
        <w:t>ß</w:t>
      </w:r>
      <w:r w:rsidRPr="002A24E2">
        <w:rPr>
          <w:rFonts w:cs="Arial"/>
          <w:lang w:val="de-DE"/>
        </w:rPr>
        <w:t xml:space="preserve"> der Prüfer weiß, welches welche Sorte ist, der Beurteiler jede Sorte beurteilt und der Prüfer zählt, wie viele Male die verschiedenen Sorten richtig identifiziert werden. Zur Verstärkung</w:t>
      </w:r>
      <w:r w:rsidR="008F35A8" w:rsidRPr="002A24E2">
        <w:rPr>
          <w:rFonts w:cs="Arial"/>
          <w:lang w:val="de-DE"/>
        </w:rPr>
        <w:t xml:space="preserve"> der Blindheit der </w:t>
      </w:r>
      <w:r w:rsidRPr="002A24E2">
        <w:rPr>
          <w:rFonts w:cs="Arial"/>
          <w:lang w:val="de-DE"/>
        </w:rPr>
        <w:t>Prüfung</w:t>
      </w:r>
      <w:r w:rsidR="008F35A8" w:rsidRPr="002A24E2">
        <w:rPr>
          <w:rFonts w:cs="Arial"/>
          <w:lang w:val="de-DE"/>
        </w:rPr>
        <w:t xml:space="preserve"> wird von jeder der beiden Sorten eine unterschiedliche </w:t>
      </w:r>
      <w:r w:rsidRPr="002A24E2">
        <w:rPr>
          <w:rFonts w:cs="Arial"/>
          <w:lang w:val="de-DE"/>
        </w:rPr>
        <w:t>Anzahl Pflanzen</w:t>
      </w:r>
      <w:r w:rsidR="008F35A8" w:rsidRPr="002A24E2">
        <w:rPr>
          <w:rFonts w:cs="Arial"/>
          <w:lang w:val="de-DE"/>
        </w:rPr>
        <w:t xml:space="preserve"> vorgelegt, beispielsweise 51 von der Kandidatensorte und 69 von der anderen Sorte, anstatt </w:t>
      </w:r>
      <w:r w:rsidRPr="002A24E2">
        <w:rPr>
          <w:rFonts w:cs="Arial"/>
          <w:lang w:val="de-DE"/>
        </w:rPr>
        <w:t>60 von</w:t>
      </w:r>
      <w:r w:rsidR="008F35A8" w:rsidRPr="002A24E2">
        <w:rPr>
          <w:rFonts w:cs="Arial"/>
          <w:lang w:val="de-DE"/>
        </w:rPr>
        <w:t xml:space="preserve"> jeder Sorte. </w:t>
      </w:r>
      <w:r w:rsidRPr="002A24E2">
        <w:rPr>
          <w:rFonts w:cs="Arial"/>
          <w:lang w:val="de-DE"/>
        </w:rPr>
        <w:t>Da es in verschiedenen Entwicklungsstadien Unterschiede geben kann, kann der Beurteiler die Pflanzen mehr als einmal beurteilen.</w:t>
      </w:r>
      <w:r w:rsidR="006755BB" w:rsidRPr="002A24E2">
        <w:rPr>
          <w:rFonts w:cs="Arial"/>
          <w:lang w:val="de-DE"/>
        </w:rPr>
        <w:t>“</w:t>
      </w:r>
    </w:p>
    <w:p w:rsidR="004B4303" w:rsidRPr="002A24E2" w:rsidRDefault="004B4303" w:rsidP="004B4303">
      <w:pPr>
        <w:ind w:right="9"/>
        <w:rPr>
          <w:rFonts w:cs="Arial"/>
          <w:lang w:val="de-DE"/>
        </w:rPr>
      </w:pPr>
    </w:p>
    <w:p w:rsidR="004B4303" w:rsidRPr="002A24E2" w:rsidRDefault="004B4303" w:rsidP="004B4303">
      <w:pPr>
        <w:rPr>
          <w:lang w:val="de-DE"/>
        </w:rPr>
      </w:pPr>
    </w:p>
    <w:p w:rsidR="00E14FD7" w:rsidRPr="002A24E2" w:rsidRDefault="00E14FD7" w:rsidP="007B495F">
      <w:pPr>
        <w:rPr>
          <w:lang w:val="de-DE"/>
        </w:rPr>
      </w:pPr>
    </w:p>
    <w:p w:rsidR="004B4303" w:rsidRPr="002A24E2" w:rsidRDefault="004B4303" w:rsidP="004B4303">
      <w:pPr>
        <w:jc w:val="right"/>
        <w:rPr>
          <w:lang w:val="de-DE"/>
        </w:rPr>
      </w:pPr>
      <w:r w:rsidRPr="002A24E2">
        <w:rPr>
          <w:lang w:val="de-DE"/>
        </w:rPr>
        <w:t>[End</w:t>
      </w:r>
      <w:r w:rsidR="0031243A" w:rsidRPr="002A24E2">
        <w:rPr>
          <w:lang w:val="de-DE"/>
        </w:rPr>
        <w:t>e</w:t>
      </w:r>
      <w:r w:rsidRPr="002A24E2">
        <w:rPr>
          <w:lang w:val="de-DE"/>
        </w:rPr>
        <w:t xml:space="preserve"> </w:t>
      </w:r>
      <w:r w:rsidR="0031243A" w:rsidRPr="002A24E2">
        <w:rPr>
          <w:lang w:val="de-DE"/>
        </w:rPr>
        <w:t>der</w:t>
      </w:r>
      <w:r w:rsidRPr="002A24E2">
        <w:rPr>
          <w:lang w:val="de-DE"/>
        </w:rPr>
        <w:t xml:space="preserve"> An</w:t>
      </w:r>
      <w:r w:rsidR="0031243A" w:rsidRPr="002A24E2">
        <w:rPr>
          <w:lang w:val="de-DE"/>
        </w:rPr>
        <w:t>lage</w:t>
      </w:r>
      <w:r w:rsidRPr="002A24E2">
        <w:rPr>
          <w:lang w:val="de-DE"/>
        </w:rPr>
        <w:t xml:space="preserve"> II </w:t>
      </w:r>
      <w:r w:rsidR="0031243A" w:rsidRPr="002A24E2">
        <w:rPr>
          <w:lang w:val="de-DE"/>
        </w:rPr>
        <w:t>u</w:t>
      </w:r>
      <w:r w:rsidRPr="002A24E2">
        <w:rPr>
          <w:lang w:val="de-DE"/>
        </w:rPr>
        <w:t xml:space="preserve">nd </w:t>
      </w:r>
      <w:r w:rsidR="0031243A" w:rsidRPr="002A24E2">
        <w:rPr>
          <w:lang w:val="de-DE"/>
        </w:rPr>
        <w:t>des</w:t>
      </w:r>
      <w:r w:rsidRPr="002A24E2">
        <w:rPr>
          <w:lang w:val="de-DE"/>
        </w:rPr>
        <w:t xml:space="preserve"> </w:t>
      </w:r>
      <w:r w:rsidR="005F15FE" w:rsidRPr="002A24E2">
        <w:rPr>
          <w:lang w:val="de-DE"/>
        </w:rPr>
        <w:t>Dokument</w:t>
      </w:r>
      <w:r w:rsidR="0031243A" w:rsidRPr="002A24E2">
        <w:rPr>
          <w:lang w:val="de-DE"/>
        </w:rPr>
        <w:t>s</w:t>
      </w:r>
      <w:r w:rsidRPr="002A24E2">
        <w:rPr>
          <w:lang w:val="de-DE"/>
        </w:rPr>
        <w:t>]</w:t>
      </w:r>
    </w:p>
    <w:sectPr w:rsidR="004B4303" w:rsidRPr="002A24E2" w:rsidSect="004B4303">
      <w:headerReference w:type="default" r:id="rId14"/>
      <w:headerReference w:type="first" r:id="rId15"/>
      <w:footerReference w:type="first" r:id="rId1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E33" w:rsidRDefault="005C2E33" w:rsidP="006655D3">
      <w:r>
        <w:separator/>
      </w:r>
    </w:p>
    <w:p w:rsidR="005C2E33" w:rsidRDefault="005C2E33" w:rsidP="006655D3"/>
    <w:p w:rsidR="005C2E33" w:rsidRDefault="005C2E33" w:rsidP="006655D3"/>
  </w:endnote>
  <w:endnote w:type="continuationSeparator" w:id="0">
    <w:p w:rsidR="005C2E33" w:rsidRDefault="005C2E33" w:rsidP="006655D3">
      <w:r>
        <w:separator/>
      </w:r>
    </w:p>
    <w:p w:rsidR="005C2E33" w:rsidRPr="00E93231" w:rsidRDefault="005C2E33">
      <w:pPr>
        <w:pStyle w:val="Footer"/>
        <w:spacing w:after="60"/>
        <w:rPr>
          <w:sz w:val="18"/>
          <w:lang w:val="fr-CH"/>
        </w:rPr>
      </w:pPr>
      <w:r w:rsidRPr="00E93231">
        <w:rPr>
          <w:sz w:val="18"/>
          <w:lang w:val="fr-CH"/>
        </w:rPr>
        <w:t>[Suite de la note de la page précédente]</w:t>
      </w:r>
    </w:p>
    <w:p w:rsidR="005C2E33" w:rsidRPr="00E93231" w:rsidRDefault="005C2E33" w:rsidP="006655D3">
      <w:pPr>
        <w:rPr>
          <w:lang w:val="fr-CH"/>
        </w:rPr>
      </w:pPr>
    </w:p>
    <w:p w:rsidR="005C2E33" w:rsidRPr="00E93231" w:rsidRDefault="005C2E33" w:rsidP="006655D3">
      <w:pPr>
        <w:rPr>
          <w:lang w:val="fr-CH"/>
        </w:rPr>
      </w:pPr>
    </w:p>
  </w:endnote>
  <w:endnote w:type="continuationNotice" w:id="1">
    <w:p w:rsidR="005C2E33" w:rsidRPr="00E93231" w:rsidRDefault="005C2E33" w:rsidP="006655D3">
      <w:pPr>
        <w:rPr>
          <w:lang w:val="fr-CH"/>
        </w:rPr>
      </w:pPr>
      <w:r w:rsidRPr="00E93231">
        <w:rPr>
          <w:lang w:val="fr-CH"/>
        </w:rPr>
        <w:t>[Suite de la note page suivante]</w:t>
      </w:r>
    </w:p>
    <w:p w:rsidR="005C2E33" w:rsidRPr="00E93231" w:rsidRDefault="005C2E33" w:rsidP="006655D3">
      <w:pPr>
        <w:rPr>
          <w:lang w:val="fr-CH"/>
        </w:rPr>
      </w:pPr>
    </w:p>
    <w:p w:rsidR="005C2E33" w:rsidRPr="00E93231" w:rsidRDefault="005C2E33"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233" w:rsidRPr="00AE0EF1" w:rsidRDefault="000032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233" w:rsidRPr="00AE0EF1" w:rsidRDefault="000032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E33" w:rsidRDefault="005C2E33" w:rsidP="006655D3">
      <w:r>
        <w:separator/>
      </w:r>
    </w:p>
  </w:footnote>
  <w:footnote w:type="continuationSeparator" w:id="0">
    <w:p w:rsidR="005C2E33" w:rsidRDefault="005C2E33" w:rsidP="006655D3">
      <w:r>
        <w:separator/>
      </w:r>
    </w:p>
  </w:footnote>
  <w:footnote w:type="continuationNotice" w:id="1">
    <w:p w:rsidR="005C2E33" w:rsidRPr="00AB530F" w:rsidRDefault="005C2E33"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233" w:rsidRDefault="00003233" w:rsidP="00EB048E">
    <w:pPr>
      <w:pStyle w:val="Header"/>
    </w:pPr>
    <w:r w:rsidRPr="00CC5554">
      <w:t>TC</w:t>
    </w:r>
    <w:r>
      <w:t>/51/20</w:t>
    </w:r>
  </w:p>
  <w:p w:rsidR="00003233" w:rsidRPr="00C5280D" w:rsidRDefault="00003233" w:rsidP="00EB048E">
    <w:pPr>
      <w:pStyle w:val="Header"/>
    </w:pPr>
    <w:r>
      <w:t>Seit</w:t>
    </w:r>
    <w:r w:rsidRPr="00C5280D">
      <w:t xml:space="preserve">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261E44">
      <w:rPr>
        <w:rStyle w:val="PageNumber"/>
        <w:noProof/>
      </w:rPr>
      <w:t>2</w:t>
    </w:r>
    <w:r w:rsidRPr="00C5280D">
      <w:rPr>
        <w:rStyle w:val="PageNumber"/>
      </w:rPr>
      <w:fldChar w:fldCharType="end"/>
    </w:r>
  </w:p>
  <w:p w:rsidR="00003233" w:rsidRPr="00C5280D" w:rsidRDefault="00003233"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233" w:rsidRPr="00C5280D" w:rsidRDefault="00003233" w:rsidP="00EB048E">
    <w:pPr>
      <w:pStyle w:val="Header"/>
      <w:rPr>
        <w:rStyle w:val="PageNumber"/>
      </w:rPr>
    </w:pPr>
    <w:r w:rsidRPr="00C5280D">
      <w:rPr>
        <w:rStyle w:val="PageNumber"/>
      </w:rPr>
      <w:t>TC/</w:t>
    </w:r>
    <w:r>
      <w:rPr>
        <w:rStyle w:val="PageNumber"/>
      </w:rPr>
      <w:t>51</w:t>
    </w:r>
    <w:r w:rsidRPr="00C5280D">
      <w:rPr>
        <w:rStyle w:val="PageNumber"/>
      </w:rPr>
      <w:t>/</w:t>
    </w:r>
    <w:r>
      <w:rPr>
        <w:rStyle w:val="PageNumber"/>
      </w:rPr>
      <w:t>20</w:t>
    </w:r>
  </w:p>
  <w:p w:rsidR="00003233" w:rsidRPr="00C5280D" w:rsidRDefault="00003233" w:rsidP="00EB048E">
    <w:pPr>
      <w:pStyle w:val="Header"/>
    </w:pPr>
    <w:r>
      <w:t>Anlage I, Seit</w:t>
    </w:r>
    <w:r w:rsidRPr="00C5280D">
      <w:t xml:space="preserve">e </w:t>
    </w:r>
    <w:r w:rsidR="00261E44">
      <w:t>2</w:t>
    </w:r>
  </w:p>
  <w:p w:rsidR="00003233" w:rsidRPr="00C5280D" w:rsidRDefault="00003233"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233" w:rsidRDefault="00003233">
    <w:pPr>
      <w:pStyle w:val="Header"/>
      <w:rPr>
        <w:lang w:val="en-US"/>
      </w:rPr>
    </w:pPr>
    <w:r w:rsidRPr="00CC5554">
      <w:rPr>
        <w:lang w:val="en-US"/>
      </w:rPr>
      <w:t>TC/</w:t>
    </w:r>
    <w:r>
      <w:rPr>
        <w:lang w:val="en-US"/>
      </w:rPr>
      <w:t>51</w:t>
    </w:r>
    <w:r w:rsidRPr="00CC5554">
      <w:rPr>
        <w:lang w:val="en-US"/>
      </w:rPr>
      <w:t>/</w:t>
    </w:r>
    <w:r>
      <w:rPr>
        <w:lang w:val="en-US"/>
      </w:rPr>
      <w:t>20</w:t>
    </w:r>
  </w:p>
  <w:p w:rsidR="00003233" w:rsidRPr="00CC5554" w:rsidRDefault="00003233">
    <w:pPr>
      <w:pStyle w:val="Header"/>
      <w:rPr>
        <w:lang w:val="en-US"/>
      </w:rPr>
    </w:pPr>
  </w:p>
  <w:p w:rsidR="00003233" w:rsidRPr="00CC5554" w:rsidRDefault="00003233">
    <w:pPr>
      <w:pStyle w:val="Header"/>
      <w:rPr>
        <w:lang w:val="en-US"/>
      </w:rPr>
    </w:pPr>
    <w:r w:rsidRPr="00CC5554">
      <w:rPr>
        <w:lang w:val="en-US"/>
      </w:rPr>
      <w:t>AN</w:t>
    </w:r>
    <w:r>
      <w:rPr>
        <w:lang w:val="en-US"/>
      </w:rPr>
      <w:t>LAGE</w:t>
    </w:r>
    <w:r w:rsidRPr="00CC5554">
      <w:rPr>
        <w:lang w:val="en-US"/>
      </w:rPr>
      <w:t xml:space="preserve"> I</w:t>
    </w:r>
  </w:p>
  <w:p w:rsidR="00003233" w:rsidRPr="00CC5554" w:rsidRDefault="00003233">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E44" w:rsidRPr="00C5280D" w:rsidRDefault="00261E44" w:rsidP="00EB048E">
    <w:pPr>
      <w:pStyle w:val="Header"/>
      <w:rPr>
        <w:rStyle w:val="PageNumber"/>
      </w:rPr>
    </w:pPr>
    <w:r w:rsidRPr="00C5280D">
      <w:rPr>
        <w:rStyle w:val="PageNumber"/>
      </w:rPr>
      <w:t>TC/</w:t>
    </w:r>
    <w:r>
      <w:rPr>
        <w:rStyle w:val="PageNumber"/>
      </w:rPr>
      <w:t>51</w:t>
    </w:r>
    <w:r w:rsidRPr="00C5280D">
      <w:rPr>
        <w:rStyle w:val="PageNumber"/>
      </w:rPr>
      <w:t>/</w:t>
    </w:r>
    <w:r>
      <w:rPr>
        <w:rStyle w:val="PageNumber"/>
      </w:rPr>
      <w:t>20</w:t>
    </w:r>
  </w:p>
  <w:p w:rsidR="00261E44" w:rsidRPr="00C5280D" w:rsidRDefault="00261E44" w:rsidP="00EB048E">
    <w:pPr>
      <w:pStyle w:val="Header"/>
    </w:pPr>
    <w:r>
      <w:t>Anlage II, Seit</w:t>
    </w:r>
    <w:r w:rsidRPr="00C5280D">
      <w:t xml:space="preserve">e </w:t>
    </w:r>
    <w:r>
      <w:t>2</w:t>
    </w:r>
  </w:p>
  <w:p w:rsidR="00261E44" w:rsidRPr="00C5280D" w:rsidRDefault="00261E44"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233" w:rsidRDefault="00003233">
    <w:pPr>
      <w:pStyle w:val="Header"/>
      <w:rPr>
        <w:lang w:val="en-US"/>
      </w:rPr>
    </w:pPr>
    <w:r w:rsidRPr="00CC5554">
      <w:rPr>
        <w:lang w:val="en-US"/>
      </w:rPr>
      <w:t>TC/</w:t>
    </w:r>
    <w:r>
      <w:rPr>
        <w:lang w:val="en-US"/>
      </w:rPr>
      <w:t>51</w:t>
    </w:r>
    <w:r w:rsidRPr="00CC5554">
      <w:rPr>
        <w:lang w:val="en-US"/>
      </w:rPr>
      <w:t>/</w:t>
    </w:r>
    <w:r>
      <w:rPr>
        <w:lang w:val="en-US"/>
      </w:rPr>
      <w:t>20</w:t>
    </w:r>
  </w:p>
  <w:p w:rsidR="00003233" w:rsidRPr="00CC5554" w:rsidRDefault="00003233">
    <w:pPr>
      <w:pStyle w:val="Header"/>
      <w:rPr>
        <w:lang w:val="en-US"/>
      </w:rPr>
    </w:pPr>
  </w:p>
  <w:p w:rsidR="00003233" w:rsidRPr="00CC5554" w:rsidRDefault="00003233">
    <w:pPr>
      <w:pStyle w:val="Header"/>
      <w:rPr>
        <w:lang w:val="en-US"/>
      </w:rPr>
    </w:pPr>
    <w:r w:rsidRPr="00CC5554">
      <w:rPr>
        <w:lang w:val="en-US"/>
      </w:rPr>
      <w:t>AN</w:t>
    </w:r>
    <w:r>
      <w:rPr>
        <w:lang w:val="en-US"/>
      </w:rPr>
      <w:t>LAGE</w:t>
    </w:r>
    <w:r w:rsidRPr="00CC5554">
      <w:rPr>
        <w:lang w:val="en-US"/>
      </w:rPr>
      <w:t xml:space="preserve"> I</w:t>
    </w:r>
    <w:r>
      <w:rPr>
        <w:lang w:val="en-US"/>
      </w:rPr>
      <w:t>I</w:t>
    </w:r>
  </w:p>
  <w:p w:rsidR="00003233" w:rsidRPr="00CC5554" w:rsidRDefault="00003233">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30144"/>
    <w:multiLevelType w:val="hybridMultilevel"/>
    <w:tmpl w:val="540E1BB4"/>
    <w:lvl w:ilvl="0" w:tplc="FFFFFFFF">
      <w:start w:val="1"/>
      <w:numFmt w:val="lowerLetter"/>
      <w:lvlText w:val="%1)"/>
      <w:lvlJc w:val="left"/>
      <w:pPr>
        <w:tabs>
          <w:tab w:val="num" w:pos="1350"/>
        </w:tabs>
        <w:ind w:left="1350" w:hanging="360"/>
      </w:pPr>
      <w:rPr>
        <w:rFonts w:hint="default"/>
      </w:rPr>
    </w:lvl>
    <w:lvl w:ilvl="1" w:tplc="FFFFFFFF" w:tentative="1">
      <w:start w:val="1"/>
      <w:numFmt w:val="lowerLetter"/>
      <w:lvlText w:val="%2."/>
      <w:lvlJc w:val="left"/>
      <w:pPr>
        <w:tabs>
          <w:tab w:val="num" w:pos="2070"/>
        </w:tabs>
        <w:ind w:left="2070" w:hanging="360"/>
      </w:pPr>
    </w:lvl>
    <w:lvl w:ilvl="2" w:tplc="FFFFFFFF" w:tentative="1">
      <w:start w:val="1"/>
      <w:numFmt w:val="lowerRoman"/>
      <w:lvlText w:val="%3."/>
      <w:lvlJc w:val="right"/>
      <w:pPr>
        <w:tabs>
          <w:tab w:val="num" w:pos="2790"/>
        </w:tabs>
        <w:ind w:left="2790" w:hanging="180"/>
      </w:pPr>
    </w:lvl>
    <w:lvl w:ilvl="3" w:tplc="FFFFFFFF" w:tentative="1">
      <w:start w:val="1"/>
      <w:numFmt w:val="decimal"/>
      <w:lvlText w:val="%4."/>
      <w:lvlJc w:val="left"/>
      <w:pPr>
        <w:tabs>
          <w:tab w:val="num" w:pos="3510"/>
        </w:tabs>
        <w:ind w:left="3510" w:hanging="360"/>
      </w:pPr>
    </w:lvl>
    <w:lvl w:ilvl="4" w:tplc="FFFFFFFF" w:tentative="1">
      <w:start w:val="1"/>
      <w:numFmt w:val="lowerLetter"/>
      <w:lvlText w:val="%5."/>
      <w:lvlJc w:val="left"/>
      <w:pPr>
        <w:tabs>
          <w:tab w:val="num" w:pos="4230"/>
        </w:tabs>
        <w:ind w:left="4230" w:hanging="360"/>
      </w:pPr>
    </w:lvl>
    <w:lvl w:ilvl="5" w:tplc="FFFFFFFF" w:tentative="1">
      <w:start w:val="1"/>
      <w:numFmt w:val="lowerRoman"/>
      <w:lvlText w:val="%6."/>
      <w:lvlJc w:val="right"/>
      <w:pPr>
        <w:tabs>
          <w:tab w:val="num" w:pos="4950"/>
        </w:tabs>
        <w:ind w:left="4950" w:hanging="180"/>
      </w:pPr>
    </w:lvl>
    <w:lvl w:ilvl="6" w:tplc="FFFFFFFF" w:tentative="1">
      <w:start w:val="1"/>
      <w:numFmt w:val="decimal"/>
      <w:lvlText w:val="%7."/>
      <w:lvlJc w:val="left"/>
      <w:pPr>
        <w:tabs>
          <w:tab w:val="num" w:pos="5670"/>
        </w:tabs>
        <w:ind w:left="5670" w:hanging="360"/>
      </w:pPr>
    </w:lvl>
    <w:lvl w:ilvl="7" w:tplc="FFFFFFFF" w:tentative="1">
      <w:start w:val="1"/>
      <w:numFmt w:val="lowerLetter"/>
      <w:lvlText w:val="%8."/>
      <w:lvlJc w:val="left"/>
      <w:pPr>
        <w:tabs>
          <w:tab w:val="num" w:pos="6390"/>
        </w:tabs>
        <w:ind w:left="6390" w:hanging="360"/>
      </w:pPr>
    </w:lvl>
    <w:lvl w:ilvl="8" w:tplc="FFFFFFFF" w:tentative="1">
      <w:start w:val="1"/>
      <w:numFmt w:val="lowerRoman"/>
      <w:lvlText w:val="%9."/>
      <w:lvlJc w:val="right"/>
      <w:pPr>
        <w:tabs>
          <w:tab w:val="num" w:pos="7110"/>
        </w:tabs>
        <w:ind w:left="7110" w:hanging="180"/>
      </w:pPr>
    </w:lvl>
  </w:abstractNum>
  <w:abstractNum w:abstractNumId="1">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231"/>
    <w:rsid w:val="00003233"/>
    <w:rsid w:val="00006F58"/>
    <w:rsid w:val="00010CF3"/>
    <w:rsid w:val="00011E27"/>
    <w:rsid w:val="000148BC"/>
    <w:rsid w:val="000201C1"/>
    <w:rsid w:val="00024AB8"/>
    <w:rsid w:val="00030854"/>
    <w:rsid w:val="00036028"/>
    <w:rsid w:val="00044642"/>
    <w:rsid w:val="000446B9"/>
    <w:rsid w:val="00047E21"/>
    <w:rsid w:val="00050E16"/>
    <w:rsid w:val="0005450C"/>
    <w:rsid w:val="00067568"/>
    <w:rsid w:val="00085505"/>
    <w:rsid w:val="000C7021"/>
    <w:rsid w:val="000D6BBC"/>
    <w:rsid w:val="000D7780"/>
    <w:rsid w:val="000F2F11"/>
    <w:rsid w:val="00105929"/>
    <w:rsid w:val="001131D5"/>
    <w:rsid w:val="0012067F"/>
    <w:rsid w:val="0013127B"/>
    <w:rsid w:val="001328E8"/>
    <w:rsid w:val="00141DB8"/>
    <w:rsid w:val="0017474A"/>
    <w:rsid w:val="001758C6"/>
    <w:rsid w:val="00182B99"/>
    <w:rsid w:val="00195700"/>
    <w:rsid w:val="001C1EC9"/>
    <w:rsid w:val="0021332C"/>
    <w:rsid w:val="00213982"/>
    <w:rsid w:val="00217617"/>
    <w:rsid w:val="0022146F"/>
    <w:rsid w:val="002233F1"/>
    <w:rsid w:val="0024416D"/>
    <w:rsid w:val="00261E44"/>
    <w:rsid w:val="00271911"/>
    <w:rsid w:val="0027402B"/>
    <w:rsid w:val="002800A0"/>
    <w:rsid w:val="002801B3"/>
    <w:rsid w:val="00281060"/>
    <w:rsid w:val="002940E8"/>
    <w:rsid w:val="002A24E2"/>
    <w:rsid w:val="002A3747"/>
    <w:rsid w:val="002A6E50"/>
    <w:rsid w:val="002B3F08"/>
    <w:rsid w:val="002C256A"/>
    <w:rsid w:val="002F780B"/>
    <w:rsid w:val="00305A7F"/>
    <w:rsid w:val="0031243A"/>
    <w:rsid w:val="00313007"/>
    <w:rsid w:val="003152FE"/>
    <w:rsid w:val="0032237D"/>
    <w:rsid w:val="00327436"/>
    <w:rsid w:val="00344BD6"/>
    <w:rsid w:val="0035528D"/>
    <w:rsid w:val="00361821"/>
    <w:rsid w:val="0039174F"/>
    <w:rsid w:val="003D227C"/>
    <w:rsid w:val="003D2B4D"/>
    <w:rsid w:val="003D3958"/>
    <w:rsid w:val="003E47BB"/>
    <w:rsid w:val="00444A88"/>
    <w:rsid w:val="00474DA4"/>
    <w:rsid w:val="00476B4D"/>
    <w:rsid w:val="004805FA"/>
    <w:rsid w:val="004935D2"/>
    <w:rsid w:val="00495C95"/>
    <w:rsid w:val="004B1215"/>
    <w:rsid w:val="004B4303"/>
    <w:rsid w:val="004D047D"/>
    <w:rsid w:val="004F305A"/>
    <w:rsid w:val="00512164"/>
    <w:rsid w:val="00520297"/>
    <w:rsid w:val="00520B98"/>
    <w:rsid w:val="005338F9"/>
    <w:rsid w:val="005412DD"/>
    <w:rsid w:val="0054281C"/>
    <w:rsid w:val="0055268D"/>
    <w:rsid w:val="00564446"/>
    <w:rsid w:val="005653E9"/>
    <w:rsid w:val="005712D2"/>
    <w:rsid w:val="0057202E"/>
    <w:rsid w:val="00576BE4"/>
    <w:rsid w:val="005A400A"/>
    <w:rsid w:val="005C2E33"/>
    <w:rsid w:val="005F15FE"/>
    <w:rsid w:val="00601FFD"/>
    <w:rsid w:val="00612379"/>
    <w:rsid w:val="0061555F"/>
    <w:rsid w:val="00641200"/>
    <w:rsid w:val="006655D3"/>
    <w:rsid w:val="00667404"/>
    <w:rsid w:val="006755BB"/>
    <w:rsid w:val="00687EB4"/>
    <w:rsid w:val="006B17D2"/>
    <w:rsid w:val="006B423D"/>
    <w:rsid w:val="006C224E"/>
    <w:rsid w:val="006D780A"/>
    <w:rsid w:val="00712CF6"/>
    <w:rsid w:val="00732DEC"/>
    <w:rsid w:val="00735BD5"/>
    <w:rsid w:val="007556F6"/>
    <w:rsid w:val="00760EEF"/>
    <w:rsid w:val="00777EE5"/>
    <w:rsid w:val="00784836"/>
    <w:rsid w:val="0079023E"/>
    <w:rsid w:val="00793A6E"/>
    <w:rsid w:val="007A2854"/>
    <w:rsid w:val="007B495F"/>
    <w:rsid w:val="007D0B9D"/>
    <w:rsid w:val="007D19B0"/>
    <w:rsid w:val="007F498F"/>
    <w:rsid w:val="0080679D"/>
    <w:rsid w:val="00807592"/>
    <w:rsid w:val="008108B0"/>
    <w:rsid w:val="00811B20"/>
    <w:rsid w:val="0082296E"/>
    <w:rsid w:val="00824099"/>
    <w:rsid w:val="00831E70"/>
    <w:rsid w:val="00846D7C"/>
    <w:rsid w:val="00867AC1"/>
    <w:rsid w:val="008A743F"/>
    <w:rsid w:val="008C0970"/>
    <w:rsid w:val="008D0BC5"/>
    <w:rsid w:val="008D2CF7"/>
    <w:rsid w:val="008F1F87"/>
    <w:rsid w:val="008F35A8"/>
    <w:rsid w:val="00900C26"/>
    <w:rsid w:val="0090197F"/>
    <w:rsid w:val="00906DDC"/>
    <w:rsid w:val="00927229"/>
    <w:rsid w:val="00934E09"/>
    <w:rsid w:val="00936253"/>
    <w:rsid w:val="009376B1"/>
    <w:rsid w:val="00952DD4"/>
    <w:rsid w:val="00970FED"/>
    <w:rsid w:val="00992D82"/>
    <w:rsid w:val="00997029"/>
    <w:rsid w:val="009A5060"/>
    <w:rsid w:val="009B440E"/>
    <w:rsid w:val="009D690D"/>
    <w:rsid w:val="009E65B6"/>
    <w:rsid w:val="00A24C10"/>
    <w:rsid w:val="00A42AC3"/>
    <w:rsid w:val="00A430CF"/>
    <w:rsid w:val="00A54309"/>
    <w:rsid w:val="00A55D43"/>
    <w:rsid w:val="00A77F70"/>
    <w:rsid w:val="00A85C23"/>
    <w:rsid w:val="00AB2B93"/>
    <w:rsid w:val="00AB530F"/>
    <w:rsid w:val="00AB7E5B"/>
    <w:rsid w:val="00AD4FEF"/>
    <w:rsid w:val="00AE02BC"/>
    <w:rsid w:val="00AE0EF1"/>
    <w:rsid w:val="00AE2937"/>
    <w:rsid w:val="00AF57B2"/>
    <w:rsid w:val="00B04A50"/>
    <w:rsid w:val="00B07301"/>
    <w:rsid w:val="00B1290B"/>
    <w:rsid w:val="00B1509F"/>
    <w:rsid w:val="00B224DE"/>
    <w:rsid w:val="00B324D4"/>
    <w:rsid w:val="00B439F8"/>
    <w:rsid w:val="00B46575"/>
    <w:rsid w:val="00B84BBD"/>
    <w:rsid w:val="00BA43FB"/>
    <w:rsid w:val="00BC127D"/>
    <w:rsid w:val="00BC1FE6"/>
    <w:rsid w:val="00C061B6"/>
    <w:rsid w:val="00C22BB6"/>
    <w:rsid w:val="00C2446C"/>
    <w:rsid w:val="00C36AE5"/>
    <w:rsid w:val="00C41F17"/>
    <w:rsid w:val="00C5280D"/>
    <w:rsid w:val="00C5791C"/>
    <w:rsid w:val="00C66290"/>
    <w:rsid w:val="00C72B7A"/>
    <w:rsid w:val="00C973F2"/>
    <w:rsid w:val="00CA304C"/>
    <w:rsid w:val="00CA774A"/>
    <w:rsid w:val="00CB5145"/>
    <w:rsid w:val="00CC11B0"/>
    <w:rsid w:val="00CE3647"/>
    <w:rsid w:val="00CF7E36"/>
    <w:rsid w:val="00D3708D"/>
    <w:rsid w:val="00D40426"/>
    <w:rsid w:val="00D51394"/>
    <w:rsid w:val="00D57C96"/>
    <w:rsid w:val="00D70EF8"/>
    <w:rsid w:val="00D805FF"/>
    <w:rsid w:val="00D91203"/>
    <w:rsid w:val="00D95174"/>
    <w:rsid w:val="00DA6F36"/>
    <w:rsid w:val="00DB596E"/>
    <w:rsid w:val="00DB7773"/>
    <w:rsid w:val="00DC00EA"/>
    <w:rsid w:val="00DD2C6B"/>
    <w:rsid w:val="00DD6C95"/>
    <w:rsid w:val="00E14FD7"/>
    <w:rsid w:val="00E32F7E"/>
    <w:rsid w:val="00E570B4"/>
    <w:rsid w:val="00E65E36"/>
    <w:rsid w:val="00E72D49"/>
    <w:rsid w:val="00E7593C"/>
    <w:rsid w:val="00E7678A"/>
    <w:rsid w:val="00E93231"/>
    <w:rsid w:val="00E935F1"/>
    <w:rsid w:val="00E93F85"/>
    <w:rsid w:val="00E94A81"/>
    <w:rsid w:val="00EA1FFB"/>
    <w:rsid w:val="00EB048E"/>
    <w:rsid w:val="00EE34DF"/>
    <w:rsid w:val="00EF2F89"/>
    <w:rsid w:val="00F1237A"/>
    <w:rsid w:val="00F22CBD"/>
    <w:rsid w:val="00F45372"/>
    <w:rsid w:val="00F560F7"/>
    <w:rsid w:val="00F6334D"/>
    <w:rsid w:val="00F8268D"/>
    <w:rsid w:val="00FA41A1"/>
    <w:rsid w:val="00FA49AB"/>
    <w:rsid w:val="00FB5056"/>
    <w:rsid w:val="00FC73C6"/>
    <w:rsid w:val="00FD3F63"/>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A55D43"/>
    <w:pPr>
      <w:tabs>
        <w:tab w:val="right" w:leader="dot" w:pos="9639"/>
      </w:tabs>
      <w:contextualSpacing/>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link w:val="Heading1"/>
    <w:rsid w:val="004B4303"/>
    <w:rPr>
      <w:rFonts w:ascii="Arial" w:hAnsi="Arial"/>
      <w:caps/>
    </w:rPr>
  </w:style>
  <w:style w:type="paragraph" w:styleId="BodyTextIndent">
    <w:name w:val="Body Text Indent"/>
    <w:basedOn w:val="Normal"/>
    <w:link w:val="BodyTextIndentChar"/>
    <w:rsid w:val="004B4303"/>
    <w:pPr>
      <w:ind w:left="1134"/>
    </w:pPr>
    <w:rPr>
      <w:rFonts w:ascii="Times New Roman" w:hAnsi="Times New Roman"/>
      <w:sz w:val="24"/>
    </w:rPr>
  </w:style>
  <w:style w:type="character" w:customStyle="1" w:styleId="BodyTextIndentChar">
    <w:name w:val="Body Text Indent Char"/>
    <w:basedOn w:val="DefaultParagraphFont"/>
    <w:link w:val="BodyTextIndent"/>
    <w:rsid w:val="004B4303"/>
    <w:rPr>
      <w:sz w:val="24"/>
    </w:rPr>
  </w:style>
  <w:style w:type="table" w:styleId="TableGrid">
    <w:name w:val="Table Grid"/>
    <w:basedOn w:val="TableNormal"/>
    <w:rsid w:val="004B430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81">
    <w:name w:val="f81"/>
    <w:basedOn w:val="DefaultParagraphFont"/>
    <w:rsid w:val="00927229"/>
    <w:rPr>
      <w:rFonts w:ascii="Times New Roman" w:hAnsi="Times New Roman" w:cs="Times New Roman" w:hint="default"/>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A55D43"/>
    <w:pPr>
      <w:tabs>
        <w:tab w:val="right" w:leader="dot" w:pos="9639"/>
      </w:tabs>
      <w:contextualSpacing/>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link w:val="Heading1"/>
    <w:rsid w:val="004B4303"/>
    <w:rPr>
      <w:rFonts w:ascii="Arial" w:hAnsi="Arial"/>
      <w:caps/>
    </w:rPr>
  </w:style>
  <w:style w:type="paragraph" w:styleId="BodyTextIndent">
    <w:name w:val="Body Text Indent"/>
    <w:basedOn w:val="Normal"/>
    <w:link w:val="BodyTextIndentChar"/>
    <w:rsid w:val="004B4303"/>
    <w:pPr>
      <w:ind w:left="1134"/>
    </w:pPr>
    <w:rPr>
      <w:rFonts w:ascii="Times New Roman" w:hAnsi="Times New Roman"/>
      <w:sz w:val="24"/>
    </w:rPr>
  </w:style>
  <w:style w:type="character" w:customStyle="1" w:styleId="BodyTextIndentChar">
    <w:name w:val="Body Text Indent Char"/>
    <w:basedOn w:val="DefaultParagraphFont"/>
    <w:link w:val="BodyTextIndent"/>
    <w:rsid w:val="004B4303"/>
    <w:rPr>
      <w:sz w:val="24"/>
    </w:rPr>
  </w:style>
  <w:style w:type="table" w:styleId="TableGrid">
    <w:name w:val="Table Grid"/>
    <w:basedOn w:val="TableNormal"/>
    <w:rsid w:val="004B430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81">
    <w:name w:val="f81"/>
    <w:basedOn w:val="DefaultParagraphFont"/>
    <w:rsid w:val="00927229"/>
    <w:rPr>
      <w:rFonts w:ascii="Times New Roman" w:hAnsi="Times New Roman" w:cs="Times New Roman"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TC\Tc51\templates\tc_5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C3317-7BC4-4FEC-A6F7-FDBB2F83E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tc_51_EN</Template>
  <TotalTime>336</TotalTime>
  <Pages>10</Pages>
  <Words>3130</Words>
  <Characters>21123</Characters>
  <Application>Microsoft Office Word</Application>
  <DocSecurity>0</DocSecurity>
  <Lines>176</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TC/50</vt:lpstr>
      <vt:lpstr>TC/50</vt:lpstr>
    </vt:vector>
  </TitlesOfParts>
  <Company>UPOV</Company>
  <LinksUpToDate>false</LinksUpToDate>
  <CharactersWithSpaces>24205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PASIEKA Allie</dc:creator>
  <cp:lastModifiedBy>LONG Victoria</cp:lastModifiedBy>
  <cp:revision>32</cp:revision>
  <cp:lastPrinted>2015-02-09T08:58:00Z</cp:lastPrinted>
  <dcterms:created xsi:type="dcterms:W3CDTF">2015-02-03T08:04:00Z</dcterms:created>
  <dcterms:modified xsi:type="dcterms:W3CDTF">2015-02-09T14:49:00Z</dcterms:modified>
</cp:coreProperties>
</file>