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0F37B3" w:rsidTr="005258D2">
        <w:trPr>
          <w:trHeight w:val="1760"/>
        </w:trPr>
        <w:tc>
          <w:tcPr>
            <w:tcW w:w="4243" w:type="dxa"/>
          </w:tcPr>
          <w:p w:rsidR="000D7780" w:rsidRPr="00C40A15" w:rsidRDefault="000D7780" w:rsidP="006655D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40A15" w:rsidRDefault="00B324D4" w:rsidP="006655D3">
            <w:pPr>
              <w:pStyle w:val="LogoUPOV"/>
              <w:rPr>
                <w:lang w:val="de-DE"/>
              </w:rPr>
            </w:pPr>
            <w:r w:rsidRPr="00C40A15">
              <w:rPr>
                <w:noProof/>
              </w:rPr>
              <w:drawing>
                <wp:inline distT="0" distB="0" distL="0" distR="0" wp14:anchorId="5545BB1A" wp14:editId="6F27BD5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40A15" w:rsidRDefault="005258D2" w:rsidP="006655D3">
            <w:pPr>
              <w:pStyle w:val="Lettrine"/>
              <w:rPr>
                <w:lang w:val="de-DE"/>
              </w:rPr>
            </w:pPr>
            <w:r w:rsidRPr="00C40A15">
              <w:rPr>
                <w:lang w:val="de-DE"/>
              </w:rPr>
              <w:t>G</w:t>
            </w:r>
          </w:p>
          <w:p w:rsidR="000D7780" w:rsidRPr="00C40A15" w:rsidRDefault="00667404" w:rsidP="006655D3">
            <w:pPr>
              <w:pStyle w:val="Docoriginal"/>
              <w:rPr>
                <w:lang w:val="de-DE"/>
              </w:rPr>
            </w:pPr>
            <w:r w:rsidRPr="00C40A15">
              <w:rPr>
                <w:lang w:val="de-DE"/>
              </w:rPr>
              <w:t>TC/</w:t>
            </w:r>
            <w:r w:rsidR="00050E16" w:rsidRPr="00C40A15">
              <w:rPr>
                <w:lang w:val="de-DE"/>
              </w:rPr>
              <w:t>5</w:t>
            </w:r>
            <w:r w:rsidR="004B1215" w:rsidRPr="00C40A15">
              <w:rPr>
                <w:lang w:val="de-DE"/>
              </w:rPr>
              <w:t>1</w:t>
            </w:r>
            <w:r w:rsidRPr="00C40A15">
              <w:rPr>
                <w:lang w:val="de-DE"/>
              </w:rPr>
              <w:t>/</w:t>
            </w:r>
            <w:bookmarkStart w:id="0" w:name="Code"/>
            <w:bookmarkEnd w:id="0"/>
            <w:r w:rsidR="009F2463" w:rsidRPr="00C40A15">
              <w:rPr>
                <w:lang w:val="de-DE"/>
              </w:rPr>
              <w:t>15</w:t>
            </w:r>
          </w:p>
          <w:p w:rsidR="000D7780" w:rsidRPr="00C40A15" w:rsidRDefault="0061555F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C40A15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40A15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40A15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5258D2" w:rsidRPr="00C40A15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C40A15">
              <w:rPr>
                <w:b w:val="0"/>
                <w:spacing w:val="0"/>
                <w:lang w:val="de-DE"/>
              </w:rPr>
              <w:t>nglis</w:t>
            </w:r>
            <w:r w:rsidR="005258D2" w:rsidRPr="00C40A15">
              <w:rPr>
                <w:b w:val="0"/>
                <w:spacing w:val="0"/>
                <w:lang w:val="de-DE"/>
              </w:rPr>
              <w:t>c</w:t>
            </w:r>
            <w:r w:rsidR="0024416D" w:rsidRPr="00C40A15">
              <w:rPr>
                <w:b w:val="0"/>
                <w:spacing w:val="0"/>
                <w:lang w:val="de-DE"/>
              </w:rPr>
              <w:t>h</w:t>
            </w:r>
          </w:p>
          <w:p w:rsidR="000D7780" w:rsidRPr="00C40A15" w:rsidRDefault="000D7780" w:rsidP="000F37B3">
            <w:pPr>
              <w:pStyle w:val="Docoriginal"/>
              <w:rPr>
                <w:lang w:val="de-DE"/>
              </w:rPr>
            </w:pPr>
            <w:r w:rsidRPr="00C40A15">
              <w:rPr>
                <w:spacing w:val="0"/>
                <w:lang w:val="de-DE"/>
              </w:rPr>
              <w:t>DAT</w:t>
            </w:r>
            <w:r w:rsidR="005258D2" w:rsidRPr="00C40A15">
              <w:rPr>
                <w:spacing w:val="0"/>
                <w:lang w:val="de-DE"/>
              </w:rPr>
              <w:t>UM</w:t>
            </w:r>
            <w:r w:rsidRPr="00C40A15">
              <w:rPr>
                <w:spacing w:val="0"/>
                <w:lang w:val="de-DE"/>
              </w:rPr>
              <w:t>:</w:t>
            </w:r>
            <w:r w:rsidRPr="00C40A15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5258D2" w:rsidRPr="000F37B3">
              <w:rPr>
                <w:b w:val="0"/>
                <w:spacing w:val="0"/>
                <w:lang w:val="de-DE"/>
              </w:rPr>
              <w:t>2</w:t>
            </w:r>
            <w:r w:rsidR="000F37B3" w:rsidRPr="000F37B3">
              <w:rPr>
                <w:b w:val="0"/>
                <w:spacing w:val="0"/>
                <w:lang w:val="de-DE"/>
              </w:rPr>
              <w:t>5</w:t>
            </w:r>
            <w:r w:rsidR="005258D2" w:rsidRPr="000F37B3">
              <w:rPr>
                <w:b w:val="0"/>
                <w:spacing w:val="0"/>
                <w:lang w:val="de-DE"/>
              </w:rPr>
              <w:t>. J</w:t>
            </w:r>
            <w:r w:rsidR="00463127" w:rsidRPr="000F37B3">
              <w:rPr>
                <w:b w:val="0"/>
                <w:spacing w:val="0"/>
                <w:lang w:val="de-DE"/>
              </w:rPr>
              <w:t>anuar</w:t>
            </w:r>
            <w:r w:rsidR="0024416D" w:rsidRPr="000F37B3">
              <w:rPr>
                <w:b w:val="0"/>
                <w:spacing w:val="0"/>
                <w:lang w:val="de-DE"/>
              </w:rPr>
              <w:t xml:space="preserve"> </w:t>
            </w:r>
            <w:r w:rsidR="001131D5" w:rsidRPr="000F37B3">
              <w:rPr>
                <w:b w:val="0"/>
                <w:spacing w:val="0"/>
                <w:lang w:val="de-DE"/>
              </w:rPr>
              <w:t>201</w:t>
            </w:r>
            <w:r w:rsidR="004B1215" w:rsidRPr="000F37B3">
              <w:rPr>
                <w:b w:val="0"/>
                <w:spacing w:val="0"/>
                <w:lang w:val="de-DE"/>
              </w:rPr>
              <w:t>5</w:t>
            </w:r>
          </w:p>
        </w:tc>
      </w:tr>
      <w:tr w:rsidR="000D7780" w:rsidRPr="000F37B3" w:rsidTr="005258D2">
        <w:tc>
          <w:tcPr>
            <w:tcW w:w="10131" w:type="dxa"/>
            <w:gridSpan w:val="3"/>
          </w:tcPr>
          <w:p w:rsidR="000D7780" w:rsidRPr="00C40A15" w:rsidRDefault="005258D2" w:rsidP="006655D3">
            <w:pPr>
              <w:pStyle w:val="upove"/>
              <w:rPr>
                <w:sz w:val="28"/>
                <w:lang w:val="de-DE"/>
              </w:rPr>
            </w:pPr>
            <w:r w:rsidRPr="00C40A15">
              <w:rPr>
                <w:snapToGrid w:val="0"/>
                <w:lang w:val="de-DE"/>
              </w:rPr>
              <w:t>INTERNATIONALER VERBAND ZUM SCHUTZ VON PFLANZENZÜCHTUNGEN</w:t>
            </w:r>
          </w:p>
        </w:tc>
      </w:tr>
      <w:tr w:rsidR="000D7780" w:rsidRPr="000F37B3" w:rsidTr="005258D2">
        <w:tc>
          <w:tcPr>
            <w:tcW w:w="10131" w:type="dxa"/>
            <w:gridSpan w:val="3"/>
          </w:tcPr>
          <w:p w:rsidR="000D7780" w:rsidRPr="00C40A15" w:rsidRDefault="00867AC1" w:rsidP="005258D2">
            <w:pPr>
              <w:pStyle w:val="Country"/>
              <w:rPr>
                <w:lang w:val="de-DE"/>
              </w:rPr>
            </w:pPr>
            <w:r w:rsidRPr="00C40A15">
              <w:rPr>
                <w:lang w:val="de-DE"/>
              </w:rPr>
              <w:t>Gen</w:t>
            </w:r>
            <w:r w:rsidR="005258D2" w:rsidRPr="00C40A15">
              <w:rPr>
                <w:lang w:val="de-DE"/>
              </w:rPr>
              <w:t>f</w:t>
            </w:r>
          </w:p>
        </w:tc>
      </w:tr>
    </w:tbl>
    <w:p w:rsidR="005B4852" w:rsidRPr="00C40A15" w:rsidRDefault="005B4852" w:rsidP="005B4852">
      <w:pPr>
        <w:pStyle w:val="Sessiontc"/>
        <w:rPr>
          <w:lang w:val="de-DE"/>
        </w:rPr>
      </w:pPr>
      <w:r w:rsidRPr="00C40A15">
        <w:rPr>
          <w:lang w:val="de-DE"/>
        </w:rPr>
        <w:t>TechniSCHER AUSSCHUSS</w:t>
      </w:r>
    </w:p>
    <w:p w:rsidR="00B33C19" w:rsidRPr="00C40A15" w:rsidRDefault="005B4852" w:rsidP="00B33C19">
      <w:pPr>
        <w:pStyle w:val="Sessiontcplacedate"/>
        <w:rPr>
          <w:lang w:val="de-DE"/>
        </w:rPr>
      </w:pPr>
      <w:r w:rsidRPr="00C40A15">
        <w:rPr>
          <w:lang w:val="de-DE"/>
        </w:rPr>
        <w:t>Einundfünfzigste Tagung</w:t>
      </w:r>
      <w:r w:rsidRPr="00C40A15">
        <w:rPr>
          <w:lang w:val="de-DE"/>
        </w:rPr>
        <w:br/>
        <w:t>Genf, 23. bis 25. März 2015</w:t>
      </w:r>
      <w:r w:rsidR="00B33C19" w:rsidRPr="00C40A15">
        <w:rPr>
          <w:lang w:val="de-DE"/>
        </w:rPr>
        <w:t xml:space="preserve"> </w:t>
      </w:r>
    </w:p>
    <w:p w:rsidR="00B33C19" w:rsidRPr="00C40A15" w:rsidRDefault="00B33C19" w:rsidP="00B33C19">
      <w:pPr>
        <w:pStyle w:val="Titleofdoc0"/>
        <w:rPr>
          <w:lang w:val="de-DE"/>
        </w:rPr>
      </w:pPr>
      <w:bookmarkStart w:id="3" w:name="TitleOfDoc"/>
      <w:bookmarkEnd w:id="3"/>
      <w:r w:rsidRPr="00C40A15">
        <w:rPr>
          <w:lang w:val="de-DE"/>
        </w:rPr>
        <w:t>ÜBERARBEITUNG VON doKument TGP/7: GELTUNGSBEREICH DER PRÜFUNGSRICHTLINIEN</w:t>
      </w:r>
    </w:p>
    <w:p w:rsidR="008D04D7" w:rsidRPr="00C40A15" w:rsidRDefault="008D04D7" w:rsidP="008D04D7">
      <w:pPr>
        <w:pStyle w:val="preparedby1"/>
        <w:rPr>
          <w:lang w:val="de-DE"/>
        </w:rPr>
      </w:pPr>
      <w:r w:rsidRPr="00C40A15">
        <w:rPr>
          <w:lang w:val="de-DE"/>
        </w:rPr>
        <w:t>vom Verbandsbüro erstelltes Dokument</w:t>
      </w:r>
      <w:r w:rsidRPr="00C40A15">
        <w:rPr>
          <w:lang w:val="de-DE"/>
        </w:rPr>
        <w:br/>
      </w:r>
      <w:r w:rsidRPr="00C40A15">
        <w:rPr>
          <w:lang w:val="de-DE"/>
        </w:rPr>
        <w:br/>
      </w:r>
      <w:r w:rsidRPr="00C40A15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bCs/>
          <w:lang w:val="de-DE"/>
        </w:rPr>
      </w:pPr>
      <w:r w:rsidRPr="00C40A15">
        <w:rPr>
          <w:rFonts w:cs="Arial"/>
          <w:bCs/>
          <w:lang w:val="de-DE"/>
        </w:rPr>
        <w:fldChar w:fldCharType="begin"/>
      </w:r>
      <w:r w:rsidRPr="00C40A15">
        <w:rPr>
          <w:rFonts w:cs="Arial"/>
          <w:bCs/>
          <w:lang w:val="de-DE"/>
        </w:rPr>
        <w:instrText xml:space="preserve"> AUTONUM  </w:instrText>
      </w:r>
      <w:r w:rsidRPr="00C40A15">
        <w:rPr>
          <w:rFonts w:cs="Arial"/>
          <w:bCs/>
          <w:lang w:val="de-DE"/>
        </w:rPr>
        <w:fldChar w:fldCharType="end"/>
      </w:r>
      <w:r w:rsidRPr="00C40A15">
        <w:rPr>
          <w:rFonts w:cs="Arial"/>
          <w:bCs/>
          <w:lang w:val="de-DE"/>
        </w:rPr>
        <w:tab/>
      </w:r>
      <w:r w:rsidR="005258D2" w:rsidRPr="00C40A15">
        <w:rPr>
          <w:lang w:val="de-DE"/>
        </w:rPr>
        <w:t xml:space="preserve">Zweck dieses Dokuments ist es, einen Vorschlag für die Überarbeitung des Dokuments </w:t>
      </w:r>
      <w:r w:rsidRPr="00C40A15">
        <w:rPr>
          <w:rFonts w:cs="Arial"/>
          <w:bCs/>
          <w:lang w:val="de-DE"/>
        </w:rPr>
        <w:t>TGP/7</w:t>
      </w:r>
      <w:r w:rsidR="005258D2" w:rsidRPr="00C40A15">
        <w:rPr>
          <w:rFonts w:cs="Arial"/>
          <w:bCs/>
          <w:lang w:val="de-DE"/>
        </w:rPr>
        <w:t>,</w:t>
      </w:r>
      <w:r w:rsidRPr="00C40A15">
        <w:rPr>
          <w:rFonts w:cs="Arial"/>
          <w:bCs/>
          <w:lang w:val="de-DE"/>
        </w:rPr>
        <w:t xml:space="preserve"> </w:t>
      </w:r>
      <w:r w:rsidR="000809DB" w:rsidRPr="00C40A15">
        <w:rPr>
          <w:rFonts w:cs="Arial"/>
          <w:bCs/>
          <w:lang w:val="de-DE"/>
        </w:rPr>
        <w:t>„</w:t>
      </w:r>
      <w:r w:rsidR="005258D2" w:rsidRPr="00C40A15">
        <w:rPr>
          <w:rFonts w:cs="Arial"/>
          <w:bCs/>
          <w:lang w:val="de-DE"/>
        </w:rPr>
        <w:t xml:space="preserve">Erstellung von </w:t>
      </w:r>
      <w:r w:rsidR="00A370CB" w:rsidRPr="00C40A15">
        <w:rPr>
          <w:rFonts w:cs="Arial"/>
          <w:bCs/>
          <w:lang w:val="de-DE"/>
        </w:rPr>
        <w:t>Prüfungsrichtlinien</w:t>
      </w:r>
      <w:r w:rsidR="000809DB" w:rsidRPr="00C40A15">
        <w:rPr>
          <w:rFonts w:cs="Arial"/>
          <w:bCs/>
          <w:lang w:val="de-DE"/>
        </w:rPr>
        <w:t>“</w:t>
      </w:r>
      <w:r w:rsidR="005258D2" w:rsidRPr="00C40A15">
        <w:rPr>
          <w:rFonts w:cs="Arial"/>
          <w:bCs/>
          <w:lang w:val="de-DE"/>
        </w:rPr>
        <w:t>, Kapitel</w:t>
      </w:r>
      <w:r w:rsidRPr="00C40A15">
        <w:rPr>
          <w:rFonts w:cs="Arial"/>
          <w:bCs/>
          <w:lang w:val="de-DE"/>
        </w:rPr>
        <w:t xml:space="preserve"> 4.2:</w:t>
      </w:r>
      <w:r w:rsidR="005258D2" w:rsidRPr="00C40A15">
        <w:rPr>
          <w:rFonts w:cs="Arial"/>
          <w:bCs/>
          <w:lang w:val="de-DE"/>
        </w:rPr>
        <w:t xml:space="preserve"> „Homogenitätsprüfung“</w:t>
      </w:r>
      <w:r w:rsidRPr="00C40A15">
        <w:rPr>
          <w:rFonts w:cs="Arial"/>
          <w:bCs/>
          <w:lang w:val="de-DE"/>
        </w:rPr>
        <w:t xml:space="preserve">, </w:t>
      </w:r>
      <w:r w:rsidR="005258D2" w:rsidRPr="00C40A15">
        <w:rPr>
          <w:rFonts w:cs="Arial"/>
          <w:bCs/>
          <w:lang w:val="de-DE"/>
        </w:rPr>
        <w:t>bezüglich der Anleitung für Sorten mit Vermehrungsarten, die in den Prüfungsrichtlinien nicht angegeben sind</w:t>
      </w:r>
      <w:r w:rsidR="00B33C19" w:rsidRPr="00C40A15">
        <w:rPr>
          <w:rFonts w:cs="Arial"/>
          <w:bCs/>
          <w:lang w:val="de-DE"/>
        </w:rPr>
        <w:t>, vorzulegen</w:t>
      </w:r>
      <w:r w:rsidR="005258D2" w:rsidRPr="00C40A15">
        <w:rPr>
          <w:rFonts w:cs="Arial"/>
          <w:bCs/>
          <w:lang w:val="de-DE"/>
        </w:rPr>
        <w:t>.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bCs/>
          <w:lang w:val="de-DE"/>
        </w:rPr>
      </w:pPr>
    </w:p>
    <w:p w:rsidR="005B4852" w:rsidRPr="00C40A15" w:rsidRDefault="00463127" w:rsidP="005B4852">
      <w:pPr>
        <w:rPr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ab/>
      </w:r>
      <w:r w:rsidR="005B4852" w:rsidRPr="00C40A15">
        <w:rPr>
          <w:lang w:val="de-DE"/>
        </w:rPr>
        <w:t>In diesem Dokument werden folgende Abkürzungen verwendet:</w:t>
      </w:r>
    </w:p>
    <w:p w:rsidR="005B4852" w:rsidRPr="00C40A15" w:rsidRDefault="005B4852" w:rsidP="005B4852">
      <w:pPr>
        <w:rPr>
          <w:color w:val="000000"/>
          <w:lang w:val="de-DE"/>
        </w:rPr>
      </w:pP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CAJ:</w:t>
      </w:r>
      <w:r w:rsidRPr="00C40A15">
        <w:rPr>
          <w:lang w:val="de-DE"/>
        </w:rPr>
        <w:tab/>
        <w:t>Verwaltungs- und Rechtsausschuß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TC:</w:t>
      </w:r>
      <w:r w:rsidRPr="00C40A15">
        <w:rPr>
          <w:lang w:val="de-DE"/>
        </w:rPr>
        <w:tab/>
        <w:t>Technischer Ausschuß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TC-EDC:</w:t>
      </w:r>
      <w:r w:rsidRPr="00C40A15">
        <w:rPr>
          <w:lang w:val="de-DE"/>
        </w:rPr>
        <w:tab/>
        <w:t>Erweiterter Redaktionsausschuß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TWA:</w:t>
      </w:r>
      <w:r w:rsidRPr="00C40A15">
        <w:rPr>
          <w:lang w:val="de-DE"/>
        </w:rPr>
        <w:tab/>
        <w:t>Technische Arbeitsgruppe für landwirtschaftliche Arten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TWC:</w:t>
      </w:r>
      <w:r w:rsidRPr="00C40A15">
        <w:rPr>
          <w:lang w:val="de-DE"/>
        </w:rPr>
        <w:tab/>
        <w:t>Technische Arbeitsgruppe für Automatisierung und Computerprogramme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TWF:</w:t>
      </w:r>
      <w:r w:rsidRPr="00C40A15">
        <w:rPr>
          <w:lang w:val="de-DE"/>
        </w:rPr>
        <w:tab/>
        <w:t>Technische Arbeitsgruppe für Obstarten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TWO:</w:t>
      </w:r>
      <w:r w:rsidRPr="00C40A15">
        <w:rPr>
          <w:lang w:val="de-DE"/>
        </w:rPr>
        <w:tab/>
        <w:t>Technische Arbeitsgruppe für Zierpflanzen und forstliche Baumarten</w:t>
      </w:r>
    </w:p>
    <w:p w:rsidR="005B4852" w:rsidRPr="00C40A15" w:rsidRDefault="005B4852" w:rsidP="005B4852">
      <w:pPr>
        <w:ind w:left="1701" w:hanging="1134"/>
        <w:rPr>
          <w:lang w:val="de-DE"/>
        </w:rPr>
      </w:pPr>
      <w:r w:rsidRPr="00C40A15">
        <w:rPr>
          <w:lang w:val="de-DE"/>
        </w:rPr>
        <w:t>TWV:</w:t>
      </w:r>
      <w:r w:rsidRPr="00C40A15">
        <w:rPr>
          <w:lang w:val="de-DE"/>
        </w:rPr>
        <w:tab/>
        <w:t>Technische Arbeitsgruppe für Gemüsearten</w:t>
      </w:r>
    </w:p>
    <w:p w:rsidR="005B4852" w:rsidRPr="00C40A15" w:rsidRDefault="005B4852" w:rsidP="005B4852">
      <w:pPr>
        <w:ind w:left="1701" w:hanging="1134"/>
        <w:rPr>
          <w:color w:val="000000"/>
          <w:lang w:val="de-DE"/>
        </w:rPr>
      </w:pPr>
      <w:r w:rsidRPr="00C40A15">
        <w:rPr>
          <w:color w:val="000000"/>
          <w:lang w:val="de-DE"/>
        </w:rPr>
        <w:t>TWP:</w:t>
      </w:r>
      <w:r w:rsidRPr="00C40A15">
        <w:rPr>
          <w:lang w:val="de-DE"/>
        </w:rPr>
        <w:tab/>
        <w:t>Technische Arbeitsgruppen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bCs/>
          <w:lang w:val="de-DE"/>
        </w:rPr>
      </w:pPr>
    </w:p>
    <w:bookmarkStart w:id="4" w:name="_Toc386210362"/>
    <w:p w:rsidR="00463127" w:rsidRPr="00C40A15" w:rsidRDefault="00463127" w:rsidP="00463127">
      <w:pPr>
        <w:autoSpaceDE w:val="0"/>
        <w:autoSpaceDN w:val="0"/>
        <w:adjustRightInd w:val="0"/>
        <w:spacing w:before="120"/>
        <w:rPr>
          <w:rFonts w:eastAsia="MS Mincho"/>
          <w:color w:val="000000"/>
          <w:szCs w:val="24"/>
          <w:lang w:val="de-DE" w:eastAsia="ja-JP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Pr="00C40A15">
        <w:rPr>
          <w:lang w:val="de-DE"/>
        </w:rPr>
        <w:tab/>
      </w:r>
      <w:r w:rsidR="005B4852" w:rsidRPr="00C40A15">
        <w:rPr>
          <w:lang w:val="de-DE"/>
        </w:rPr>
        <w:t xml:space="preserve">Der </w:t>
      </w:r>
      <w:r w:rsidR="005B4852" w:rsidRPr="00C40A15">
        <w:rPr>
          <w:rFonts w:cs="Arial"/>
          <w:lang w:val="de-DE"/>
        </w:rPr>
        <w:t>Aufbau dieses Dokuments ist nachstehend zusammengefaßt</w:t>
      </w:r>
      <w:r w:rsidRPr="00C40A15">
        <w:rPr>
          <w:rFonts w:eastAsia="MS Mincho"/>
          <w:color w:val="000000"/>
          <w:szCs w:val="24"/>
          <w:lang w:val="de-DE" w:eastAsia="ja-JP"/>
        </w:rPr>
        <w:t>:</w:t>
      </w:r>
    </w:p>
    <w:p w:rsidR="00463127" w:rsidRPr="00C40A15" w:rsidRDefault="00463127" w:rsidP="00463127">
      <w:pPr>
        <w:rPr>
          <w:lang w:val="de-DE"/>
        </w:rPr>
      </w:pPr>
    </w:p>
    <w:p w:rsidR="00EA006A" w:rsidRDefault="00EA006A" w:rsidP="00EA006A">
      <w:pPr>
        <w:pStyle w:val="TOC1"/>
        <w:jc w:val="left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>
        <w:rPr>
          <w:caps w:val="0"/>
          <w:lang w:val="de-DE"/>
        </w:rPr>
        <w:fldChar w:fldCharType="begin"/>
      </w:r>
      <w:r>
        <w:rPr>
          <w:caps w:val="0"/>
          <w:lang w:val="de-DE"/>
        </w:rPr>
        <w:instrText xml:space="preserve"> TOC \o "1-2" \p " " \h \z \u </w:instrText>
      </w:r>
      <w:r>
        <w:rPr>
          <w:caps w:val="0"/>
          <w:lang w:val="de-DE"/>
        </w:rPr>
        <w:fldChar w:fldCharType="separate"/>
      </w:r>
      <w:hyperlink w:anchor="_Toc410655330" w:history="1">
        <w:r w:rsidRPr="00BA2A3E">
          <w:rPr>
            <w:rStyle w:val="Hyperlink"/>
            <w:noProof/>
            <w:lang w:val="de-DE"/>
          </w:rPr>
          <w:t>HINTERGRUND</w:t>
        </w:r>
        <w:r>
          <w:rPr>
            <w:noProof/>
            <w:webHidden/>
          </w:rPr>
          <w:t xml:space="preserve">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_Toc410655330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37B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31" w:history="1">
        <w:r w:rsidR="00EA006A" w:rsidRPr="00BA2A3E">
          <w:rPr>
            <w:rStyle w:val="Hyperlink"/>
            <w:noProof/>
          </w:rPr>
          <w:t>ASW 8 a) </w:t>
        </w:r>
        <w:r w:rsidR="00EA006A" w:rsidRPr="00BA2A3E">
          <w:rPr>
            <w:rStyle w:val="Hyperlink"/>
            <w:i/>
            <w:noProof/>
          </w:rPr>
          <w:t>i</w:t>
        </w:r>
        <w:r w:rsidR="00EA006A" w:rsidRPr="00BA2A3E">
          <w:rPr>
            <w:rStyle w:val="Hyperlink"/>
            <w:noProof/>
          </w:rPr>
          <w:t>):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_Toc410655331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32" w:history="1">
        <w:r w:rsidR="00EA006A" w:rsidRPr="00BA2A3E">
          <w:rPr>
            <w:rStyle w:val="Hyperlink"/>
            <w:noProof/>
          </w:rPr>
          <w:t>ASW 8 c) </w:t>
        </w:r>
        <w:r w:rsidR="00EA006A" w:rsidRPr="00BA2A3E">
          <w:rPr>
            <w:rStyle w:val="Hyperlink"/>
            <w:i/>
            <w:noProof/>
          </w:rPr>
          <w:t>i</w:t>
        </w:r>
        <w:r w:rsidR="00EA006A" w:rsidRPr="00BA2A3E">
          <w:rPr>
            <w:rStyle w:val="Hyperlink"/>
            <w:noProof/>
          </w:rPr>
          <w:t>):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_Toc410655332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1"/>
        <w:jc w:val="left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410655333" w:history="1">
        <w:r w:rsidR="00EA006A" w:rsidRPr="00BA2A3E">
          <w:rPr>
            <w:rStyle w:val="Hyperlink"/>
            <w:noProof/>
            <w:lang w:val="de-DE"/>
          </w:rPr>
          <w:t>MÖGLICHE ZU PRÜFENDE ANSÄTZE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_Toc410655333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34" w:history="1">
        <w:r w:rsidR="00EA006A" w:rsidRPr="00BA2A3E">
          <w:rPr>
            <w:rStyle w:val="Hyperlink"/>
            <w:noProof/>
          </w:rPr>
          <w:t>Ansatz 1: Keine Änderung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_Toc410655334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35" w:history="1">
        <w:r w:rsidR="00EA006A" w:rsidRPr="00BA2A3E">
          <w:rPr>
            <w:rStyle w:val="Hyperlink"/>
            <w:noProof/>
          </w:rPr>
          <w:t>Ansatz 2: Angabe der bestehenden Vermehrungsart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_Toc410655335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36" w:history="1">
        <w:r w:rsidR="00EA006A" w:rsidRPr="00BA2A3E">
          <w:rPr>
            <w:rStyle w:val="Hyperlink"/>
            <w:noProof/>
          </w:rPr>
          <w:t>Ansatz 3: Angabe der bestehenden Vermehrungsart und Vorwegnahme künftiger Entwicklungen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_Toc410655336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1"/>
        <w:jc w:val="left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410655337" w:history="1">
        <w:r w:rsidR="00EA006A" w:rsidRPr="00BA2A3E">
          <w:rPr>
            <w:rStyle w:val="Hyperlink"/>
            <w:noProof/>
            <w:lang w:val="de-DE"/>
          </w:rPr>
          <w:t>BEMERKUNGEN DER TECHNISCHEN ARBEITSGRUPPEN IM JAHRE 2014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_Toc410655337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1"/>
        <w:jc w:val="left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410655338" w:history="1">
        <w:r w:rsidR="00EA006A" w:rsidRPr="00BA2A3E">
          <w:rPr>
            <w:rStyle w:val="Hyperlink"/>
            <w:noProof/>
            <w:lang w:val="de-DE"/>
          </w:rPr>
          <w:t>VORSCHLAG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_Toc410655338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39" w:history="1">
        <w:r w:rsidR="00EA006A" w:rsidRPr="00BA2A3E">
          <w:rPr>
            <w:rStyle w:val="Hyperlink"/>
            <w:noProof/>
          </w:rPr>
          <w:t>Neuer Standardwortlaut: TG-Mustervorlage, Kapitel 4.2: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_Toc410655339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EA006A">
          <w:rPr>
            <w:noProof/>
            <w:webHidden/>
          </w:rPr>
          <w:fldChar w:fldCharType="end"/>
        </w:r>
      </w:hyperlink>
    </w:p>
    <w:p w:rsidR="00EA006A" w:rsidRDefault="000F37B3" w:rsidP="00EA006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CH" w:eastAsia="fr-CH"/>
        </w:rPr>
      </w:pPr>
      <w:hyperlink w:anchor="_Toc410655340" w:history="1">
        <w:r w:rsidR="00EA006A" w:rsidRPr="00BA2A3E">
          <w:rPr>
            <w:rStyle w:val="Hyperlink"/>
            <w:noProof/>
          </w:rPr>
          <w:t>ASW 8 c)</w:t>
        </w:r>
        <w:r w:rsidR="00EA006A">
          <w:rPr>
            <w:noProof/>
            <w:webHidden/>
          </w:rPr>
          <w:t xml:space="preserve"> </w:t>
        </w:r>
        <w:r w:rsidR="00EA006A">
          <w:rPr>
            <w:noProof/>
            <w:webHidden/>
          </w:rPr>
          <w:tab/>
        </w:r>
        <w:r w:rsidR="00EA006A">
          <w:rPr>
            <w:noProof/>
            <w:webHidden/>
          </w:rPr>
          <w:fldChar w:fldCharType="begin"/>
        </w:r>
        <w:r w:rsidR="00EA006A">
          <w:rPr>
            <w:noProof/>
            <w:webHidden/>
          </w:rPr>
          <w:instrText xml:space="preserve"> PAGEREF _Toc410655340 \h </w:instrText>
        </w:r>
        <w:r w:rsidR="00EA006A">
          <w:rPr>
            <w:noProof/>
            <w:webHidden/>
          </w:rPr>
        </w:r>
        <w:r w:rsidR="00EA00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A006A">
          <w:rPr>
            <w:noProof/>
            <w:webHidden/>
          </w:rPr>
          <w:fldChar w:fldCharType="end"/>
        </w:r>
      </w:hyperlink>
    </w:p>
    <w:p w:rsidR="00463127" w:rsidRPr="00C40A15" w:rsidRDefault="00EA006A" w:rsidP="00EA006A">
      <w:pPr>
        <w:jc w:val="left"/>
        <w:rPr>
          <w:lang w:val="de-DE"/>
        </w:rPr>
      </w:pPr>
      <w:r>
        <w:rPr>
          <w:caps/>
          <w:lang w:val="de-DE"/>
        </w:rPr>
        <w:fldChar w:fldCharType="end"/>
      </w:r>
    </w:p>
    <w:p w:rsidR="00463127" w:rsidRPr="00C40A15" w:rsidRDefault="00463127" w:rsidP="005B7C6E">
      <w:pPr>
        <w:jc w:val="left"/>
        <w:rPr>
          <w:lang w:val="de-DE"/>
        </w:rPr>
      </w:pPr>
    </w:p>
    <w:p w:rsidR="00463127" w:rsidRPr="00C40A15" w:rsidRDefault="008D04D7" w:rsidP="00265ABB">
      <w:pPr>
        <w:pStyle w:val="Heading1"/>
        <w:keepLines/>
        <w:rPr>
          <w:lang w:val="de-DE"/>
        </w:rPr>
      </w:pPr>
      <w:bookmarkStart w:id="5" w:name="_Toc410639231"/>
      <w:bookmarkStart w:id="6" w:name="_Toc410639396"/>
      <w:bookmarkStart w:id="7" w:name="_Toc410655330"/>
      <w:r w:rsidRPr="00C40A15">
        <w:rPr>
          <w:lang w:val="de-DE"/>
        </w:rPr>
        <w:lastRenderedPageBreak/>
        <w:t>HINTERGRUND</w:t>
      </w:r>
      <w:bookmarkEnd w:id="4"/>
      <w:bookmarkEnd w:id="5"/>
      <w:bookmarkEnd w:id="6"/>
      <w:bookmarkEnd w:id="7"/>
    </w:p>
    <w:p w:rsidR="00463127" w:rsidRPr="00C40A15" w:rsidRDefault="00463127" w:rsidP="00265ABB">
      <w:pPr>
        <w:keepNext/>
        <w:keepLines/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265ABB">
      <w:pPr>
        <w:keepNext/>
        <w:keepLines/>
        <w:autoSpaceDE w:val="0"/>
        <w:autoSpaceDN w:val="0"/>
        <w:adjustRightInd w:val="0"/>
        <w:rPr>
          <w:rFonts w:cs="Arial"/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ab/>
      </w:r>
      <w:r w:rsidR="008D04D7" w:rsidRPr="00C40A15">
        <w:rPr>
          <w:rFonts w:cs="Arial"/>
          <w:lang w:val="de-DE"/>
        </w:rPr>
        <w:t xml:space="preserve">Der TC </w:t>
      </w:r>
      <w:r w:rsidR="008D04D7" w:rsidRPr="00C40A15">
        <w:rPr>
          <w:lang w:val="de-DE"/>
        </w:rPr>
        <w:t xml:space="preserve">vereinbarte auf seiner fünfzigsten Tagung vom 7. bis 9. April 2014 in Genf, das Verbandsbüro zu ersuchen, eine Anleitung für Prüfungsrichtlinien auszuarbeiten, die auf der Grundlage von Sorten mit </w:t>
      </w:r>
      <w:r w:rsidR="004C4AFB" w:rsidRPr="00C40A15">
        <w:rPr>
          <w:lang w:val="de-DE"/>
        </w:rPr>
        <w:t xml:space="preserve">nur </w:t>
      </w:r>
      <w:r w:rsidR="008D04D7" w:rsidRPr="00C40A15">
        <w:rPr>
          <w:lang w:val="de-DE"/>
        </w:rPr>
        <w:t xml:space="preserve">einer Vermehrungsart erarbeitet werden, wenn die Sorten künftig mit anderen Vermehrungsarten entwickelt werden </w:t>
      </w:r>
      <w:r w:rsidR="00C101E3" w:rsidRPr="00C40A15">
        <w:rPr>
          <w:lang w:val="de-DE"/>
        </w:rPr>
        <w:t>können</w:t>
      </w:r>
      <w:r w:rsidR="00F3160C" w:rsidRPr="00C40A15">
        <w:rPr>
          <w:lang w:val="de-DE"/>
        </w:rPr>
        <w:t xml:space="preserve"> </w:t>
      </w:r>
      <w:r w:rsidRPr="00C40A15">
        <w:rPr>
          <w:rFonts w:cs="Arial"/>
          <w:lang w:val="de-DE"/>
        </w:rPr>
        <w:t>(</w:t>
      </w:r>
      <w:r w:rsidR="00F3160C" w:rsidRPr="00C40A15">
        <w:rPr>
          <w:rFonts w:cs="Arial"/>
          <w:lang w:val="de-DE"/>
        </w:rPr>
        <w:t>vergleiche Dokument</w:t>
      </w:r>
      <w:r w:rsidRPr="00C40A15">
        <w:rPr>
          <w:rFonts w:cs="Arial"/>
          <w:lang w:val="de-DE"/>
        </w:rPr>
        <w:t> TC/50/36</w:t>
      </w:r>
      <w:r w:rsidR="004C4AFB" w:rsidRPr="00C40A15">
        <w:rPr>
          <w:rFonts w:cs="Arial"/>
          <w:lang w:val="de-DE"/>
        </w:rPr>
        <w:t>,</w:t>
      </w:r>
      <w:r w:rsidRPr="00C40A15">
        <w:rPr>
          <w:rFonts w:cs="Arial"/>
          <w:lang w:val="de-DE"/>
        </w:rPr>
        <w:t xml:space="preserve"> </w:t>
      </w:r>
      <w:r w:rsidR="004C4AFB" w:rsidRPr="00C40A15">
        <w:rPr>
          <w:rFonts w:cs="Arial"/>
          <w:lang w:val="de-DE"/>
        </w:rPr>
        <w:t>„Bericht über die Entschließungen“</w:t>
      </w:r>
      <w:r w:rsidRPr="00C40A15">
        <w:rPr>
          <w:rFonts w:cs="Arial"/>
          <w:lang w:val="de-DE"/>
        </w:rPr>
        <w:t xml:space="preserve">, </w:t>
      </w:r>
      <w:r w:rsidR="00F3160C" w:rsidRPr="00C40A15">
        <w:rPr>
          <w:rFonts w:cs="Arial"/>
          <w:lang w:val="de-DE"/>
        </w:rPr>
        <w:t>Absatz</w:t>
      </w:r>
      <w:r w:rsidRPr="00C40A15">
        <w:rPr>
          <w:rFonts w:cs="Arial"/>
          <w:lang w:val="de-DE"/>
        </w:rPr>
        <w:t xml:space="preserve"> 69).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 xml:space="preserve"> </w:t>
      </w:r>
      <w:r w:rsidRPr="00C40A15">
        <w:rPr>
          <w:rFonts w:cs="Arial"/>
          <w:lang w:val="de-DE"/>
        </w:rPr>
        <w:tab/>
      </w:r>
      <w:r w:rsidR="004C4AFB" w:rsidRPr="00C40A15">
        <w:rPr>
          <w:rFonts w:cs="Arial"/>
          <w:lang w:val="de-DE"/>
        </w:rPr>
        <w:t xml:space="preserve">Im </w:t>
      </w:r>
      <w:r w:rsidR="00A370CB" w:rsidRPr="00C40A15">
        <w:rPr>
          <w:rFonts w:cs="Arial"/>
          <w:lang w:val="de-DE"/>
        </w:rPr>
        <w:t>Falle</w:t>
      </w:r>
      <w:r w:rsidR="004C4AFB" w:rsidRPr="00C40A15">
        <w:rPr>
          <w:rFonts w:cs="Arial"/>
          <w:lang w:val="de-DE"/>
        </w:rPr>
        <w:t xml:space="preserve"> von </w:t>
      </w:r>
      <w:r w:rsidR="00A370CB" w:rsidRPr="00C40A15">
        <w:rPr>
          <w:rFonts w:cs="Arial"/>
          <w:lang w:val="de-DE"/>
        </w:rPr>
        <w:t>Prüfungsrichtlinien</w:t>
      </w:r>
      <w:r w:rsidR="004C4AFB" w:rsidRPr="00C40A15">
        <w:rPr>
          <w:rFonts w:cs="Arial"/>
          <w:lang w:val="de-DE"/>
        </w:rPr>
        <w:t xml:space="preserve"> mit nur einer </w:t>
      </w:r>
      <w:r w:rsidR="00F3160C" w:rsidRPr="00C40A15">
        <w:rPr>
          <w:rFonts w:cs="Arial"/>
          <w:lang w:val="de-DE"/>
        </w:rPr>
        <w:t>Vermehrungsart</w:t>
      </w:r>
      <w:r w:rsidR="004C4AFB" w:rsidRPr="00C40A15">
        <w:rPr>
          <w:rFonts w:cs="Arial"/>
          <w:lang w:val="de-DE"/>
        </w:rPr>
        <w:t xml:space="preserve"> gibt</w:t>
      </w:r>
      <w:r w:rsidRPr="00C40A15">
        <w:rPr>
          <w:rFonts w:cs="Arial"/>
          <w:lang w:val="de-DE"/>
        </w:rPr>
        <w:t xml:space="preserve"> </w:t>
      </w:r>
      <w:r w:rsidR="004C4AFB" w:rsidRPr="00C40A15">
        <w:rPr>
          <w:rFonts w:cs="Arial"/>
          <w:lang w:val="de-DE"/>
        </w:rPr>
        <w:t>Kapitel</w:t>
      </w:r>
      <w:r w:rsidRPr="00C40A15">
        <w:rPr>
          <w:rFonts w:cs="Arial"/>
          <w:lang w:val="de-DE"/>
        </w:rPr>
        <w:t> 4.2: </w:t>
      </w:r>
      <w:r w:rsidR="004C4AFB" w:rsidRPr="00C40A15">
        <w:rPr>
          <w:rFonts w:cs="Arial"/>
          <w:lang w:val="de-DE"/>
        </w:rPr>
        <w:t>„</w:t>
      </w:r>
      <w:r w:rsidR="00A370CB" w:rsidRPr="00C40A15">
        <w:rPr>
          <w:rFonts w:cs="Arial"/>
          <w:lang w:val="de-DE"/>
        </w:rPr>
        <w:t>Homogenität</w:t>
      </w:r>
      <w:r w:rsidR="004C4AFB" w:rsidRPr="00C40A15">
        <w:rPr>
          <w:rFonts w:cs="Arial"/>
          <w:lang w:val="de-DE"/>
        </w:rPr>
        <w:t>“</w:t>
      </w:r>
      <w:r w:rsidRPr="00C40A15">
        <w:rPr>
          <w:rFonts w:cs="Arial"/>
          <w:lang w:val="de-DE"/>
        </w:rPr>
        <w:t xml:space="preserve"> </w:t>
      </w:r>
      <w:r w:rsidR="004C4AFB" w:rsidRPr="00C40A15">
        <w:rPr>
          <w:rFonts w:cs="Arial"/>
          <w:lang w:val="de-DE"/>
        </w:rPr>
        <w:t>entweder die</w:t>
      </w:r>
      <w:r w:rsidRPr="00C40A15">
        <w:rPr>
          <w:rFonts w:cs="Arial"/>
          <w:lang w:val="de-DE"/>
        </w:rPr>
        <w:t xml:space="preserve"> </w:t>
      </w:r>
      <w:r w:rsidR="00F3160C" w:rsidRPr="00C40A15">
        <w:rPr>
          <w:rFonts w:cs="Arial"/>
          <w:lang w:val="de-DE"/>
        </w:rPr>
        <w:t>Vermehrungsart</w:t>
      </w:r>
      <w:r w:rsidRPr="00C40A15">
        <w:rPr>
          <w:rFonts w:cs="Arial"/>
          <w:lang w:val="de-DE"/>
        </w:rPr>
        <w:t xml:space="preserve"> </w:t>
      </w:r>
      <w:r w:rsidR="004C4AFB" w:rsidRPr="00C40A15">
        <w:rPr>
          <w:rFonts w:cs="Arial"/>
          <w:lang w:val="de-DE"/>
        </w:rPr>
        <w:t xml:space="preserve">an </w:t>
      </w:r>
      <w:r w:rsidRPr="00C40A15">
        <w:rPr>
          <w:rFonts w:cs="Arial"/>
          <w:lang w:val="de-DE"/>
        </w:rPr>
        <w:t>(</w:t>
      </w:r>
      <w:r w:rsidRPr="00C40A15">
        <w:rPr>
          <w:lang w:val="de-DE"/>
        </w:rPr>
        <w:t>ASW</w:t>
      </w:r>
      <w:r w:rsidR="000809DB" w:rsidRPr="00C40A15">
        <w:rPr>
          <w:lang w:val="de-DE"/>
        </w:rPr>
        <w:t> </w:t>
      </w:r>
      <w:r w:rsidRPr="00C40A15">
        <w:rPr>
          <w:lang w:val="de-DE"/>
        </w:rPr>
        <w:t>8</w:t>
      </w:r>
      <w:r w:rsidR="000809DB" w:rsidRPr="00C40A15">
        <w:rPr>
          <w:lang w:val="de-DE"/>
        </w:rPr>
        <w:t> </w:t>
      </w:r>
      <w:r w:rsidRPr="00C40A15">
        <w:rPr>
          <w:lang w:val="de-DE"/>
        </w:rPr>
        <w:t>a)</w:t>
      </w:r>
      <w:r w:rsidR="002D4C46" w:rsidRPr="00C40A15">
        <w:rPr>
          <w:lang w:val="de-DE"/>
        </w:rPr>
        <w:t> </w:t>
      </w:r>
      <w:r w:rsidRPr="00C40A15">
        <w:rPr>
          <w:i/>
          <w:lang w:val="de-DE"/>
        </w:rPr>
        <w:t>i</w:t>
      </w:r>
      <w:r w:rsidRPr="00C40A15">
        <w:rPr>
          <w:lang w:val="de-DE"/>
        </w:rPr>
        <w:t>))</w:t>
      </w:r>
      <w:r w:rsidRPr="00C40A15">
        <w:rPr>
          <w:rFonts w:cs="Arial"/>
          <w:lang w:val="de-DE"/>
        </w:rPr>
        <w:t xml:space="preserve"> o</w:t>
      </w:r>
      <w:r w:rsidR="00A370CB" w:rsidRPr="00C40A15">
        <w:rPr>
          <w:rFonts w:cs="Arial"/>
          <w:lang w:val="de-DE"/>
        </w:rPr>
        <w:t>de</w:t>
      </w:r>
      <w:r w:rsidRPr="00C40A15">
        <w:rPr>
          <w:rFonts w:cs="Arial"/>
          <w:lang w:val="de-DE"/>
        </w:rPr>
        <w:t xml:space="preserve">r </w:t>
      </w:r>
      <w:r w:rsidR="00A370CB" w:rsidRPr="00C40A15">
        <w:rPr>
          <w:rFonts w:cs="Arial"/>
          <w:lang w:val="de-DE"/>
        </w:rPr>
        <w:t>verweist</w:t>
      </w:r>
      <w:r w:rsidR="000809DB" w:rsidRPr="00C40A15">
        <w:rPr>
          <w:rFonts w:cs="Arial"/>
          <w:lang w:val="de-DE"/>
        </w:rPr>
        <w:t>,</w:t>
      </w:r>
      <w:r w:rsidR="00A370CB" w:rsidRPr="00C40A15">
        <w:rPr>
          <w:rFonts w:cs="Arial"/>
          <w:lang w:val="de-DE"/>
        </w:rPr>
        <w:t xml:space="preserve"> </w:t>
      </w:r>
      <w:r w:rsidR="000809DB" w:rsidRPr="00C40A15">
        <w:rPr>
          <w:rFonts w:cs="Arial"/>
          <w:lang w:val="de-DE"/>
        </w:rPr>
        <w:t xml:space="preserve">wie folgt, </w:t>
      </w:r>
      <w:r w:rsidR="00A370CB" w:rsidRPr="00C40A15">
        <w:rPr>
          <w:rFonts w:cs="Arial"/>
          <w:lang w:val="de-DE"/>
        </w:rPr>
        <w:t>nicht auf die</w:t>
      </w:r>
      <w:r w:rsidRPr="00C40A15">
        <w:rPr>
          <w:rFonts w:cs="Arial"/>
          <w:lang w:val="de-DE"/>
        </w:rPr>
        <w:t xml:space="preserve"> </w:t>
      </w:r>
      <w:r w:rsidR="00F3160C" w:rsidRPr="00C40A15">
        <w:rPr>
          <w:rFonts w:cs="Arial"/>
          <w:lang w:val="de-DE"/>
        </w:rPr>
        <w:t>Vermehrungsart</w:t>
      </w:r>
      <w:r w:rsidRPr="00C40A15">
        <w:rPr>
          <w:rFonts w:cs="Arial"/>
          <w:lang w:val="de-DE"/>
        </w:rPr>
        <w:t xml:space="preserve"> (ASW 8 c)</w:t>
      </w:r>
      <w:r w:rsidRPr="00C40A15">
        <w:rPr>
          <w:rFonts w:cs="Arial"/>
          <w:i/>
          <w:lang w:val="de-DE"/>
        </w:rPr>
        <w:t>i</w:t>
      </w:r>
      <w:r w:rsidRPr="00C40A15">
        <w:rPr>
          <w:rFonts w:cs="Arial"/>
          <w:lang w:val="de-DE"/>
        </w:rPr>
        <w:t>)):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  <w:bookmarkStart w:id="8" w:name="_GoBack"/>
      <w:bookmarkEnd w:id="8"/>
    </w:p>
    <w:p w:rsidR="00463127" w:rsidRPr="00C40A15" w:rsidRDefault="00463127" w:rsidP="007B34C0">
      <w:pPr>
        <w:pStyle w:val="Heading2"/>
      </w:pPr>
      <w:bookmarkStart w:id="9" w:name="_Toc410639232"/>
      <w:bookmarkStart w:id="10" w:name="_Toc410639397"/>
      <w:bookmarkStart w:id="11" w:name="_Toc410655331"/>
      <w:r w:rsidRPr="00C40A15">
        <w:t>ASW 8 a)</w:t>
      </w:r>
      <w:r w:rsidR="002D4C46" w:rsidRPr="00C40A15">
        <w:t> </w:t>
      </w:r>
      <w:r w:rsidRPr="00C40A15">
        <w:rPr>
          <w:i/>
        </w:rPr>
        <w:t>i</w:t>
      </w:r>
      <w:r w:rsidRPr="00C40A15">
        <w:t>):</w:t>
      </w:r>
      <w:bookmarkEnd w:id="9"/>
      <w:bookmarkEnd w:id="10"/>
      <w:bookmarkEnd w:id="11"/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0F37B3" w:rsidRDefault="007B34C0" w:rsidP="000F37B3">
      <w:pPr>
        <w:pStyle w:val="Heading4"/>
      </w:pPr>
      <w:r w:rsidRPr="000F37B3">
        <w:t>„</w:t>
      </w:r>
      <w:r w:rsidR="00463127" w:rsidRPr="000F37B3">
        <w:t>a)</w:t>
      </w:r>
      <w:r w:rsidR="00463127" w:rsidRPr="000F37B3">
        <w:tab/>
      </w:r>
      <w:r w:rsidR="00EF4993" w:rsidRPr="000F37B3">
        <w:t>Fremdbefruchtende Sorten</w:t>
      </w:r>
    </w:p>
    <w:p w:rsidR="00463127" w:rsidRPr="00C40A15" w:rsidRDefault="00463127" w:rsidP="00463127">
      <w:pPr>
        <w:rPr>
          <w:lang w:val="de-DE"/>
        </w:rPr>
      </w:pPr>
    </w:p>
    <w:p w:rsidR="004C4AFB" w:rsidRPr="00C40A15" w:rsidRDefault="00EF4993" w:rsidP="00CB5169">
      <w:pPr>
        <w:pStyle w:val="ListParagraph"/>
        <w:numPr>
          <w:ilvl w:val="0"/>
          <w:numId w:val="7"/>
        </w:numPr>
        <w:ind w:left="1701" w:hanging="567"/>
        <w:rPr>
          <w:rFonts w:cs="Arial"/>
          <w:sz w:val="18"/>
          <w:szCs w:val="18"/>
          <w:lang w:val="de-DE" w:eastAsia="fr-CH"/>
        </w:rPr>
      </w:pPr>
      <w:r w:rsidRPr="00C40A15">
        <w:rPr>
          <w:rFonts w:cs="Arial"/>
          <w:i/>
          <w:sz w:val="18"/>
          <w:szCs w:val="18"/>
          <w:lang w:val="de-DE" w:eastAsia="fr-CH"/>
        </w:rPr>
        <w:t>Prüfungsrichtlinien, die nur fremdbefruchtende Sorten betreffen</w:t>
      </w:r>
    </w:p>
    <w:p w:rsidR="004C4AFB" w:rsidRPr="00C40A15" w:rsidRDefault="004C4AFB" w:rsidP="004C4AFB">
      <w:pPr>
        <w:jc w:val="left"/>
        <w:rPr>
          <w:rFonts w:cs="Arial"/>
          <w:sz w:val="18"/>
          <w:szCs w:val="18"/>
          <w:lang w:val="de-DE" w:eastAsia="fr-CH"/>
        </w:rPr>
      </w:pPr>
    </w:p>
    <w:p w:rsidR="00463127" w:rsidRPr="00C40A15" w:rsidRDefault="00EF4993" w:rsidP="00463127">
      <w:pPr>
        <w:keepNext/>
        <w:ind w:left="567" w:right="567"/>
        <w:rPr>
          <w:sz w:val="18"/>
          <w:szCs w:val="18"/>
          <w:lang w:val="de-DE"/>
        </w:rPr>
      </w:pPr>
      <w:r w:rsidRPr="00C40A15">
        <w:rPr>
          <w:rFonts w:cs="Arial"/>
          <w:sz w:val="18"/>
          <w:szCs w:val="18"/>
          <w:lang w:val="de-DE" w:eastAsia="fr-CH"/>
        </w:rPr>
        <w:t>Die Bestimmung der Homogenität sollte entsprechend den Empfehlungen der Allgemeinen Einführung für</w:t>
      </w:r>
      <w:r w:rsidRPr="00C40A15">
        <w:rPr>
          <w:sz w:val="18"/>
          <w:szCs w:val="18"/>
          <w:lang w:val="de-DE"/>
        </w:rPr>
        <w:t xml:space="preserve"> </w:t>
      </w:r>
      <w:r w:rsidRPr="00C40A15">
        <w:rPr>
          <w:rFonts w:cs="Arial"/>
          <w:sz w:val="18"/>
          <w:szCs w:val="18"/>
          <w:lang w:val="de-DE" w:eastAsia="fr-CH"/>
        </w:rPr>
        <w:t>fremdbefruchtende Sorten erfolgen</w:t>
      </w:r>
      <w:r w:rsidR="00463127" w:rsidRPr="00C40A15">
        <w:rPr>
          <w:sz w:val="18"/>
          <w:szCs w:val="18"/>
          <w:lang w:val="de-DE"/>
        </w:rPr>
        <w:t>.</w:t>
      </w:r>
      <w:r w:rsidR="007B34C0" w:rsidRPr="00C40A15">
        <w:rPr>
          <w:sz w:val="18"/>
          <w:szCs w:val="18"/>
          <w:lang w:val="de-DE"/>
        </w:rPr>
        <w:t>“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463127" w:rsidP="007B34C0">
      <w:pPr>
        <w:pStyle w:val="Heading2"/>
      </w:pPr>
      <w:bookmarkStart w:id="12" w:name="_Toc410639233"/>
      <w:bookmarkStart w:id="13" w:name="_Toc410639398"/>
      <w:bookmarkStart w:id="14" w:name="_Toc410655332"/>
      <w:r w:rsidRPr="00C40A15">
        <w:t>ASW 8 c)</w:t>
      </w:r>
      <w:r w:rsidR="002D4C46" w:rsidRPr="00C40A15">
        <w:t> </w:t>
      </w:r>
      <w:r w:rsidRPr="00C40A15">
        <w:rPr>
          <w:i/>
        </w:rPr>
        <w:t>i</w:t>
      </w:r>
      <w:r w:rsidRPr="00C40A15">
        <w:t>):</w:t>
      </w:r>
      <w:bookmarkEnd w:id="12"/>
      <w:bookmarkEnd w:id="13"/>
      <w:bookmarkEnd w:id="14"/>
    </w:p>
    <w:p w:rsidR="00463127" w:rsidRPr="00C40A15" w:rsidRDefault="00463127" w:rsidP="00463127">
      <w:pPr>
        <w:rPr>
          <w:lang w:val="de-DE"/>
        </w:rPr>
      </w:pPr>
    </w:p>
    <w:p w:rsidR="00CB5169" w:rsidRPr="00C40A15" w:rsidRDefault="007B34C0" w:rsidP="00CB5169">
      <w:pPr>
        <w:ind w:firstLine="567"/>
        <w:rPr>
          <w:sz w:val="18"/>
          <w:szCs w:val="18"/>
          <w:lang w:val="de-DE"/>
        </w:rPr>
      </w:pPr>
      <w:r w:rsidRPr="00C40A15">
        <w:rPr>
          <w:sz w:val="18"/>
          <w:szCs w:val="18"/>
          <w:lang w:val="de-DE"/>
        </w:rPr>
        <w:t>„</w:t>
      </w:r>
      <w:r w:rsidR="00CB5169" w:rsidRPr="00C40A15">
        <w:rPr>
          <w:sz w:val="18"/>
          <w:szCs w:val="18"/>
          <w:lang w:val="de-DE"/>
        </w:rPr>
        <w:t>c)</w:t>
      </w:r>
      <w:r w:rsidR="00CB5169" w:rsidRPr="00C40A15">
        <w:rPr>
          <w:sz w:val="18"/>
          <w:szCs w:val="18"/>
          <w:lang w:val="de-DE"/>
        </w:rPr>
        <w:tab/>
        <w:t>P</w:t>
      </w:r>
      <w:r w:rsidR="00CB5169" w:rsidRPr="00C40A15">
        <w:rPr>
          <w:rFonts w:cs="Arial"/>
          <w:sz w:val="18"/>
          <w:szCs w:val="18"/>
          <w:lang w:val="de-DE" w:eastAsia="fr-CH"/>
        </w:rPr>
        <w:t>rüfung der Homogenität durch Abweicher (Erfassung aller Merkmale mit derselben Stichprobe</w:t>
      </w:r>
      <w:r w:rsidR="004A3195" w:rsidRPr="00C40A15">
        <w:rPr>
          <w:rFonts w:cs="Arial"/>
          <w:sz w:val="18"/>
          <w:szCs w:val="18"/>
          <w:lang w:val="de-DE" w:eastAsia="fr-CH"/>
        </w:rPr>
        <w:t>)</w:t>
      </w:r>
    </w:p>
    <w:p w:rsidR="00CB5169" w:rsidRPr="00C40A15" w:rsidRDefault="00CB5169" w:rsidP="00CB5169">
      <w:pPr>
        <w:ind w:firstLine="567"/>
        <w:rPr>
          <w:sz w:val="18"/>
          <w:szCs w:val="18"/>
          <w:lang w:val="de-DE"/>
        </w:rPr>
      </w:pPr>
    </w:p>
    <w:p w:rsidR="00016CD6" w:rsidRPr="00C40A15" w:rsidRDefault="00016CD6" w:rsidP="005A21CA">
      <w:pPr>
        <w:pStyle w:val="ListParagraph"/>
        <w:numPr>
          <w:ilvl w:val="0"/>
          <w:numId w:val="6"/>
        </w:numPr>
        <w:ind w:left="1701" w:right="567" w:hanging="558"/>
        <w:rPr>
          <w:rFonts w:cs="Arial"/>
          <w:i/>
          <w:sz w:val="18"/>
          <w:szCs w:val="18"/>
          <w:lang w:val="de-DE" w:eastAsia="fr-CH"/>
        </w:rPr>
      </w:pPr>
      <w:r w:rsidRPr="00C40A15">
        <w:rPr>
          <w:rFonts w:cs="Arial"/>
          <w:i/>
          <w:sz w:val="18"/>
          <w:szCs w:val="18"/>
          <w:lang w:val="de-DE" w:eastAsia="fr-CH"/>
        </w:rPr>
        <w:t>Prüfungsrichtlinien, die nur Sorten betreffen, deren Homogenität anhand von Abweichern erfaßt wird</w:t>
      </w:r>
    </w:p>
    <w:p w:rsidR="00463127" w:rsidRPr="00C40A15" w:rsidRDefault="00463127" w:rsidP="00463127">
      <w:pPr>
        <w:ind w:left="567" w:right="567"/>
        <w:rPr>
          <w:sz w:val="18"/>
          <w:lang w:val="de-DE"/>
        </w:rPr>
      </w:pPr>
    </w:p>
    <w:p w:rsidR="00463127" w:rsidRPr="00C40A15" w:rsidRDefault="00CB5169" w:rsidP="00463127">
      <w:pPr>
        <w:ind w:left="567" w:right="567"/>
        <w:rPr>
          <w:sz w:val="18"/>
          <w:szCs w:val="18"/>
          <w:lang w:val="de-DE"/>
        </w:rPr>
      </w:pPr>
      <w:r w:rsidRPr="00C40A15">
        <w:rPr>
          <w:sz w:val="18"/>
          <w:szCs w:val="18"/>
          <w:lang w:val="de-DE"/>
        </w:rPr>
        <w:t>Für die Bestimmung der Homogenität sollte ein Populationsstandard von { x }</w:t>
      </w:r>
      <w:r w:rsidR="00FA2BD0" w:rsidRPr="00C40A15">
        <w:rPr>
          <w:sz w:val="18"/>
          <w:szCs w:val="18"/>
          <w:lang w:val="de-DE"/>
        </w:rPr>
        <w:t> %</w:t>
      </w:r>
      <w:r w:rsidRPr="00C40A15">
        <w:rPr>
          <w:sz w:val="18"/>
          <w:szCs w:val="18"/>
          <w:lang w:val="de-DE"/>
        </w:rPr>
        <w:t xml:space="preserve"> mit einer Akzeptanzwahrscheinlichkeit von mindestens { y }</w:t>
      </w:r>
      <w:r w:rsidR="00FA2BD0" w:rsidRPr="00C40A15">
        <w:rPr>
          <w:sz w:val="18"/>
          <w:szCs w:val="18"/>
          <w:lang w:val="de-DE"/>
        </w:rPr>
        <w:t> %</w:t>
      </w:r>
      <w:r w:rsidRPr="00C40A15">
        <w:rPr>
          <w:sz w:val="18"/>
          <w:szCs w:val="18"/>
          <w:lang w:val="de-DE"/>
        </w:rPr>
        <w:t xml:space="preserve"> angewandt werden. Bei einer Probengröße von { a } Pflanzen ist die höchste zulässige Anzahl von Abweichern [{ b }</w:t>
      </w:r>
      <w:r w:rsidR="007B34C0" w:rsidRPr="00C40A15">
        <w:rPr>
          <w:sz w:val="18"/>
          <w:szCs w:val="18"/>
          <w:lang w:val="de-DE"/>
        </w:rPr>
        <w:t>]</w:t>
      </w:r>
      <w:r w:rsidR="00016CD6" w:rsidRPr="00C40A15">
        <w:rPr>
          <w:sz w:val="18"/>
          <w:szCs w:val="18"/>
          <w:lang w:val="de-DE"/>
        </w:rPr>
        <w:t xml:space="preserve"> / [1]</w:t>
      </w:r>
      <w:r w:rsidR="00463127" w:rsidRPr="00C40A15">
        <w:rPr>
          <w:sz w:val="18"/>
          <w:szCs w:val="18"/>
          <w:lang w:val="de-DE"/>
        </w:rPr>
        <w:t>.</w:t>
      </w:r>
      <w:r w:rsidR="00016CD6" w:rsidRPr="00C40A15">
        <w:rPr>
          <w:sz w:val="18"/>
          <w:szCs w:val="18"/>
          <w:lang w:val="de-DE"/>
        </w:rPr>
        <w:t>“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016CD6" w:rsidP="00265ABB">
      <w:pPr>
        <w:pStyle w:val="Heading1"/>
        <w:rPr>
          <w:rFonts w:cs="Arial"/>
          <w:lang w:val="de-DE"/>
        </w:rPr>
      </w:pPr>
      <w:bookmarkStart w:id="15" w:name="_Toc410639234"/>
      <w:bookmarkStart w:id="16" w:name="_Toc410639399"/>
      <w:bookmarkStart w:id="17" w:name="_Toc410655333"/>
      <w:r w:rsidRPr="00C40A15">
        <w:rPr>
          <w:lang w:val="de-DE"/>
        </w:rPr>
        <w:t>MÖGLICHE ZU PRÜFENDE ANSÄTZE</w:t>
      </w:r>
      <w:bookmarkEnd w:id="15"/>
      <w:bookmarkEnd w:id="16"/>
      <w:bookmarkEnd w:id="17"/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ab/>
      </w:r>
      <w:r w:rsidR="00016CD6" w:rsidRPr="00C40A15">
        <w:rPr>
          <w:rFonts w:cs="Arial"/>
          <w:lang w:val="de-DE"/>
        </w:rPr>
        <w:t xml:space="preserve">Den TWP wurden auf ihren Tagungen im Jahre 2014 drei zu prüfende </w:t>
      </w:r>
      <w:r w:rsidR="00A370CB" w:rsidRPr="00C40A15">
        <w:rPr>
          <w:rFonts w:cs="Arial"/>
          <w:lang w:val="de-DE"/>
        </w:rPr>
        <w:t>mögliche</w:t>
      </w:r>
      <w:r w:rsidR="00016CD6" w:rsidRPr="00C40A15">
        <w:rPr>
          <w:rFonts w:cs="Arial"/>
          <w:lang w:val="de-DE"/>
        </w:rPr>
        <w:t xml:space="preserve"> Ansätze vorgelegt</w:t>
      </w:r>
      <w:r w:rsidRPr="00C40A15">
        <w:rPr>
          <w:rFonts w:cs="Arial"/>
          <w:lang w:val="de-DE"/>
        </w:rPr>
        <w:t>: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7B34C0">
      <w:pPr>
        <w:pStyle w:val="Heading2"/>
      </w:pPr>
      <w:bookmarkStart w:id="18" w:name="_Toc410639235"/>
      <w:bookmarkStart w:id="19" w:name="_Toc410639400"/>
      <w:bookmarkStart w:id="20" w:name="_Toc410655334"/>
      <w:r w:rsidRPr="00C40A15">
        <w:t>A</w:t>
      </w:r>
      <w:r w:rsidR="00016CD6" w:rsidRPr="00C40A15">
        <w:t>nsatz</w:t>
      </w:r>
      <w:r w:rsidRPr="00C40A15">
        <w:t xml:space="preserve"> 1: </w:t>
      </w:r>
      <w:r w:rsidR="00016CD6" w:rsidRPr="00C40A15">
        <w:t>Keine Änderung</w:t>
      </w:r>
      <w:bookmarkEnd w:id="18"/>
      <w:bookmarkEnd w:id="19"/>
      <w:bookmarkEnd w:id="20"/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ab/>
      </w:r>
      <w:r w:rsidR="00016CD6" w:rsidRPr="00C40A15">
        <w:rPr>
          <w:rFonts w:cs="Arial"/>
          <w:lang w:val="de-DE"/>
        </w:rPr>
        <w:t>Kein Verweis auf die Vermehrung</w:t>
      </w:r>
      <w:r w:rsidR="00F3160C" w:rsidRPr="00C40A15">
        <w:rPr>
          <w:rFonts w:cs="Arial"/>
          <w:lang w:val="de-DE"/>
        </w:rPr>
        <w:t>sart</w:t>
      </w:r>
      <w:r w:rsidRPr="00C40A15">
        <w:rPr>
          <w:rFonts w:cs="Arial"/>
          <w:lang w:val="de-DE"/>
        </w:rPr>
        <w:t xml:space="preserve"> in </w:t>
      </w:r>
      <w:r w:rsidR="00016CD6" w:rsidRPr="00C40A15">
        <w:rPr>
          <w:rFonts w:cs="Arial"/>
          <w:lang w:val="de-DE"/>
        </w:rPr>
        <w:t>Kapitel</w:t>
      </w:r>
      <w:r w:rsidRPr="00C40A15">
        <w:rPr>
          <w:rFonts w:cs="Arial"/>
          <w:lang w:val="de-DE"/>
        </w:rPr>
        <w:t xml:space="preserve"> 4.2 </w:t>
      </w:r>
      <w:r w:rsidR="00016CD6" w:rsidRPr="00C40A15">
        <w:rPr>
          <w:rFonts w:cs="Arial"/>
          <w:lang w:val="de-DE"/>
        </w:rPr>
        <w:t>u</w:t>
      </w:r>
      <w:r w:rsidRPr="00C40A15">
        <w:rPr>
          <w:rFonts w:cs="Arial"/>
          <w:lang w:val="de-DE"/>
        </w:rPr>
        <w:t xml:space="preserve">nd </w:t>
      </w:r>
      <w:r w:rsidR="00016CD6" w:rsidRPr="00C40A15">
        <w:rPr>
          <w:rFonts w:cs="Arial"/>
          <w:lang w:val="de-DE"/>
        </w:rPr>
        <w:t xml:space="preserve">Überarbeitung der </w:t>
      </w:r>
      <w:r w:rsidR="00A370CB" w:rsidRPr="00C40A15">
        <w:rPr>
          <w:rFonts w:cs="Arial"/>
          <w:lang w:val="de-DE"/>
        </w:rPr>
        <w:t>Prüfungsrichtlinien</w:t>
      </w:r>
      <w:r w:rsidR="00016CD6" w:rsidRPr="00C40A15">
        <w:rPr>
          <w:rFonts w:cs="Arial"/>
          <w:lang w:val="de-DE"/>
        </w:rPr>
        <w:t xml:space="preserve">, wenn Sorten mit neuen </w:t>
      </w:r>
      <w:r w:rsidR="00F3160C" w:rsidRPr="00C40A15">
        <w:rPr>
          <w:rFonts w:cs="Arial"/>
          <w:lang w:val="de-DE"/>
        </w:rPr>
        <w:t>Vermehrungsarten</w:t>
      </w:r>
      <w:r w:rsidRPr="00C40A15">
        <w:rPr>
          <w:rFonts w:cs="Arial"/>
          <w:lang w:val="de-DE"/>
        </w:rPr>
        <w:t xml:space="preserve"> </w:t>
      </w:r>
      <w:r w:rsidR="00016CD6" w:rsidRPr="00C40A15">
        <w:rPr>
          <w:rFonts w:cs="Arial"/>
          <w:lang w:val="de-DE"/>
        </w:rPr>
        <w:t xml:space="preserve">entwickelt werden. Dieser Ansatz </w:t>
      </w:r>
      <w:r w:rsidR="00A370CB" w:rsidRPr="00C40A15">
        <w:rPr>
          <w:rFonts w:cs="Arial"/>
          <w:lang w:val="de-DE"/>
        </w:rPr>
        <w:t>entspricht</w:t>
      </w:r>
      <w:r w:rsidR="00016CD6" w:rsidRPr="00C40A15">
        <w:rPr>
          <w:rFonts w:cs="Arial"/>
          <w:lang w:val="de-DE"/>
        </w:rPr>
        <w:t xml:space="preserve"> demjenigen, der für zahlreiche </w:t>
      </w:r>
      <w:r w:rsidR="00A370CB" w:rsidRPr="00C40A15">
        <w:rPr>
          <w:rFonts w:cs="Arial"/>
          <w:lang w:val="de-DE"/>
        </w:rPr>
        <w:t>Aspekte</w:t>
      </w:r>
      <w:r w:rsidR="00016CD6" w:rsidRPr="00C40A15">
        <w:rPr>
          <w:rFonts w:cs="Arial"/>
          <w:lang w:val="de-DE"/>
        </w:rPr>
        <w:t xml:space="preserve"> der Prüfungsrichtlinien angewandt wird, beispielsweise für neue </w:t>
      </w:r>
      <w:r w:rsidR="00A370CB" w:rsidRPr="00C40A15">
        <w:rPr>
          <w:rFonts w:cs="Arial"/>
          <w:lang w:val="de-DE"/>
        </w:rPr>
        <w:t>Ausprägungsstufen</w:t>
      </w:r>
      <w:r w:rsidR="00016CD6" w:rsidRPr="00C40A15">
        <w:rPr>
          <w:rFonts w:cs="Arial"/>
          <w:lang w:val="de-DE"/>
        </w:rPr>
        <w:t xml:space="preserve"> und neue Merkmale</w:t>
      </w:r>
      <w:r w:rsidRPr="00C40A15">
        <w:rPr>
          <w:rFonts w:cs="Arial"/>
          <w:lang w:val="de-DE"/>
        </w:rPr>
        <w:t xml:space="preserve">. ASW 8 </w:t>
      </w:r>
      <w:r w:rsidRPr="00C40A15">
        <w:rPr>
          <w:lang w:val="de-DE"/>
        </w:rPr>
        <w:t>a)</w:t>
      </w:r>
      <w:r w:rsidR="00FA2BD0" w:rsidRPr="00C40A15">
        <w:rPr>
          <w:lang w:val="de-DE"/>
        </w:rPr>
        <w:t> </w:t>
      </w:r>
      <w:r w:rsidRPr="00C40A15">
        <w:rPr>
          <w:i/>
          <w:lang w:val="de-DE"/>
        </w:rPr>
        <w:t>i</w:t>
      </w:r>
      <w:r w:rsidRPr="00C40A15">
        <w:rPr>
          <w:lang w:val="de-DE"/>
        </w:rPr>
        <w:t xml:space="preserve">) </w:t>
      </w:r>
      <w:r w:rsidR="00016CD6" w:rsidRPr="00C40A15">
        <w:rPr>
          <w:lang w:val="de-DE"/>
        </w:rPr>
        <w:t>u</w:t>
      </w:r>
      <w:r w:rsidRPr="00C40A15">
        <w:rPr>
          <w:lang w:val="de-DE"/>
        </w:rPr>
        <w:t>nd ASW 8 c)</w:t>
      </w:r>
      <w:r w:rsidR="00FA2BD0" w:rsidRPr="00C40A15">
        <w:rPr>
          <w:lang w:val="de-DE"/>
        </w:rPr>
        <w:t> </w:t>
      </w:r>
      <w:r w:rsidRPr="00C40A15">
        <w:rPr>
          <w:i/>
          <w:lang w:val="de-DE"/>
        </w:rPr>
        <w:t>i</w:t>
      </w:r>
      <w:r w:rsidRPr="00C40A15">
        <w:rPr>
          <w:lang w:val="de-DE"/>
        </w:rPr>
        <w:t>)</w:t>
      </w:r>
      <w:r w:rsidRPr="00C40A15">
        <w:rPr>
          <w:rFonts w:cs="Arial"/>
          <w:lang w:val="de-DE"/>
        </w:rPr>
        <w:t xml:space="preserve"> </w:t>
      </w:r>
      <w:r w:rsidR="00016CD6" w:rsidRPr="00C40A15">
        <w:rPr>
          <w:rFonts w:cs="Arial"/>
          <w:lang w:val="de-DE"/>
        </w:rPr>
        <w:t xml:space="preserve">würden unverändert </w:t>
      </w:r>
      <w:r w:rsidR="00A370CB" w:rsidRPr="00C40A15">
        <w:rPr>
          <w:rFonts w:cs="Arial"/>
          <w:lang w:val="de-DE"/>
        </w:rPr>
        <w:t>bleiben</w:t>
      </w:r>
      <w:r w:rsidRPr="00C40A15">
        <w:rPr>
          <w:rFonts w:cs="Arial"/>
          <w:lang w:val="de-DE"/>
        </w:rPr>
        <w:t>.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7B34C0">
      <w:pPr>
        <w:pStyle w:val="Heading2"/>
      </w:pPr>
      <w:bookmarkStart w:id="21" w:name="_Toc410639236"/>
      <w:bookmarkStart w:id="22" w:name="_Toc410639401"/>
      <w:bookmarkStart w:id="23" w:name="_Toc410655335"/>
      <w:r w:rsidRPr="00C40A15">
        <w:t>A</w:t>
      </w:r>
      <w:r w:rsidR="004A3195" w:rsidRPr="00C40A15">
        <w:t>nsatz</w:t>
      </w:r>
      <w:r w:rsidRPr="00C40A15">
        <w:t xml:space="preserve"> 2: </w:t>
      </w:r>
      <w:r w:rsidR="004A3195" w:rsidRPr="00C40A15">
        <w:t>Angabe der bestehenden</w:t>
      </w:r>
      <w:r w:rsidRPr="00C40A15">
        <w:t xml:space="preserve"> </w:t>
      </w:r>
      <w:r w:rsidR="00F3160C" w:rsidRPr="00C40A15">
        <w:t>Vermehrungsart</w:t>
      </w:r>
      <w:bookmarkEnd w:id="21"/>
      <w:bookmarkEnd w:id="22"/>
      <w:bookmarkEnd w:id="23"/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ab/>
      </w:r>
      <w:r w:rsidR="00A370CB" w:rsidRPr="00C40A15">
        <w:rPr>
          <w:rFonts w:cs="Arial"/>
          <w:lang w:val="de-DE"/>
        </w:rPr>
        <w:t>Empfehlung der Homogenität gemäß</w:t>
      </w:r>
      <w:r w:rsidR="004A3195" w:rsidRPr="00C40A15">
        <w:rPr>
          <w:rFonts w:cs="Arial"/>
          <w:lang w:val="de-DE"/>
        </w:rPr>
        <w:t xml:space="preserve"> einer </w:t>
      </w:r>
      <w:r w:rsidR="00A370CB" w:rsidRPr="00C40A15">
        <w:rPr>
          <w:rFonts w:cs="Arial"/>
          <w:lang w:val="de-DE"/>
        </w:rPr>
        <w:t>spezifischen</w:t>
      </w:r>
      <w:r w:rsidR="004A3195" w:rsidRPr="00C40A15">
        <w:rPr>
          <w:rFonts w:cs="Arial"/>
          <w:lang w:val="de-DE"/>
        </w:rPr>
        <w:t xml:space="preserve"> </w:t>
      </w:r>
      <w:r w:rsidR="00A370CB" w:rsidRPr="00C40A15">
        <w:rPr>
          <w:rFonts w:cs="Arial"/>
          <w:lang w:val="de-DE"/>
        </w:rPr>
        <w:t>Vermehrungsmethode</w:t>
      </w:r>
      <w:r w:rsidR="004A3195" w:rsidRPr="00C40A15">
        <w:rPr>
          <w:rFonts w:cs="Arial"/>
          <w:lang w:val="de-DE"/>
        </w:rPr>
        <w:t xml:space="preserve"> </w:t>
      </w:r>
      <w:r w:rsidRPr="00C40A15">
        <w:rPr>
          <w:rFonts w:cs="Arial"/>
          <w:lang w:val="de-DE"/>
        </w:rPr>
        <w:t>(</w:t>
      </w:r>
      <w:r w:rsidR="004A3195" w:rsidRPr="00C40A15">
        <w:rPr>
          <w:rFonts w:cs="Arial"/>
          <w:lang w:val="de-DE"/>
        </w:rPr>
        <w:t>vergleiche</w:t>
      </w:r>
      <w:r w:rsidRPr="00C40A15">
        <w:rPr>
          <w:rFonts w:cs="Arial"/>
          <w:lang w:val="de-DE"/>
        </w:rPr>
        <w:t xml:space="preserve"> </w:t>
      </w:r>
      <w:r w:rsidRPr="00C40A15">
        <w:rPr>
          <w:lang w:val="de-DE"/>
        </w:rPr>
        <w:t>ASW</w:t>
      </w:r>
      <w:r w:rsidR="007B34C0" w:rsidRPr="00C40A15">
        <w:rPr>
          <w:lang w:val="de-DE"/>
        </w:rPr>
        <w:t> </w:t>
      </w:r>
      <w:r w:rsidRPr="00C40A15">
        <w:rPr>
          <w:lang w:val="de-DE"/>
        </w:rPr>
        <w:t>8</w:t>
      </w:r>
      <w:r w:rsidR="004A3195" w:rsidRPr="00C40A15">
        <w:rPr>
          <w:lang w:val="de-DE"/>
        </w:rPr>
        <w:t> </w:t>
      </w:r>
      <w:r w:rsidRPr="00C40A15">
        <w:rPr>
          <w:lang w:val="de-DE"/>
        </w:rPr>
        <w:t>a)</w:t>
      </w:r>
      <w:r w:rsidR="00FA2BD0" w:rsidRPr="00C40A15">
        <w:rPr>
          <w:lang w:val="de-DE"/>
        </w:rPr>
        <w:t> </w:t>
      </w:r>
      <w:r w:rsidRPr="00C40A15">
        <w:rPr>
          <w:i/>
          <w:lang w:val="de-DE"/>
        </w:rPr>
        <w:t>i</w:t>
      </w:r>
      <w:r w:rsidRPr="00C40A15">
        <w:rPr>
          <w:lang w:val="de-DE"/>
        </w:rPr>
        <w:t xml:space="preserve">)) </w:t>
      </w:r>
      <w:r w:rsidR="004A3195" w:rsidRPr="00C40A15">
        <w:rPr>
          <w:lang w:val="de-DE"/>
        </w:rPr>
        <w:t>u</w:t>
      </w:r>
      <w:r w:rsidRPr="00C40A15">
        <w:rPr>
          <w:lang w:val="de-DE"/>
        </w:rPr>
        <w:t>nd</w:t>
      </w:r>
      <w:r w:rsidRPr="00C40A15">
        <w:rPr>
          <w:rFonts w:cs="Arial"/>
          <w:lang w:val="de-DE"/>
        </w:rPr>
        <w:t xml:space="preserve"> </w:t>
      </w:r>
      <w:r w:rsidR="00A370CB" w:rsidRPr="00C40A15">
        <w:rPr>
          <w:rFonts w:cs="Arial"/>
          <w:lang w:val="de-DE"/>
        </w:rPr>
        <w:t>Überarbeitung</w:t>
      </w:r>
      <w:r w:rsidR="004A3195" w:rsidRPr="00C40A15">
        <w:rPr>
          <w:rFonts w:cs="Arial"/>
          <w:lang w:val="de-DE"/>
        </w:rPr>
        <w:t xml:space="preserve"> der </w:t>
      </w:r>
      <w:r w:rsidR="00016CD6" w:rsidRPr="00C40A15">
        <w:rPr>
          <w:rFonts w:cs="Arial"/>
          <w:lang w:val="de-DE"/>
        </w:rPr>
        <w:t>Prüfungsrichtlinien</w:t>
      </w:r>
      <w:r w:rsidR="004A3195" w:rsidRPr="00C40A15">
        <w:rPr>
          <w:rFonts w:cs="Arial"/>
          <w:lang w:val="de-DE"/>
        </w:rPr>
        <w:t xml:space="preserve">, wenn </w:t>
      </w:r>
      <w:r w:rsidR="00A370CB" w:rsidRPr="00C40A15">
        <w:rPr>
          <w:rFonts w:cs="Arial"/>
          <w:lang w:val="de-DE"/>
        </w:rPr>
        <w:t>Sorten</w:t>
      </w:r>
      <w:r w:rsidR="004A3195" w:rsidRPr="00C40A15">
        <w:rPr>
          <w:rFonts w:cs="Arial"/>
          <w:lang w:val="de-DE"/>
        </w:rPr>
        <w:t xml:space="preserve"> mit neuen</w:t>
      </w:r>
      <w:r w:rsidRPr="00C40A15">
        <w:rPr>
          <w:rFonts w:cs="Arial"/>
          <w:lang w:val="de-DE"/>
        </w:rPr>
        <w:t xml:space="preserve"> </w:t>
      </w:r>
      <w:r w:rsidR="00F3160C" w:rsidRPr="00C40A15">
        <w:rPr>
          <w:rFonts w:cs="Arial"/>
          <w:lang w:val="de-DE"/>
        </w:rPr>
        <w:t>Vermehrungsarten</w:t>
      </w:r>
      <w:r w:rsidRPr="00C40A15">
        <w:rPr>
          <w:rFonts w:cs="Arial"/>
          <w:lang w:val="de-DE"/>
        </w:rPr>
        <w:t xml:space="preserve"> </w:t>
      </w:r>
      <w:r w:rsidR="004A3195" w:rsidRPr="00C40A15">
        <w:rPr>
          <w:rFonts w:cs="Arial"/>
          <w:lang w:val="de-DE"/>
        </w:rPr>
        <w:t>entwickelt werden</w:t>
      </w:r>
      <w:r w:rsidRPr="00C40A15">
        <w:rPr>
          <w:rFonts w:cs="Arial"/>
          <w:lang w:val="de-DE"/>
        </w:rPr>
        <w:t xml:space="preserve">. </w:t>
      </w:r>
      <w:r w:rsidR="004A3195" w:rsidRPr="00C40A15">
        <w:rPr>
          <w:rFonts w:cs="Arial"/>
          <w:lang w:val="de-DE"/>
        </w:rPr>
        <w:t>Keine Änderung von ASW 8 a)</w:t>
      </w:r>
      <w:r w:rsidR="00FA2BD0" w:rsidRPr="00C40A15">
        <w:rPr>
          <w:rFonts w:cs="Arial"/>
          <w:lang w:val="de-DE"/>
        </w:rPr>
        <w:t> </w:t>
      </w:r>
      <w:r w:rsidR="004A3195" w:rsidRPr="00C40A15">
        <w:rPr>
          <w:rFonts w:cs="Arial"/>
          <w:i/>
          <w:lang w:val="de-DE"/>
        </w:rPr>
        <w:t>i</w:t>
      </w:r>
      <w:r w:rsidR="004A3195" w:rsidRPr="00C40A15">
        <w:rPr>
          <w:rFonts w:cs="Arial"/>
          <w:lang w:val="de-DE"/>
        </w:rPr>
        <w:t>) wäre erforderlich.</w:t>
      </w:r>
      <w:r w:rsidRPr="00C40A15">
        <w:rPr>
          <w:rFonts w:cs="Arial"/>
          <w:lang w:val="de-DE"/>
        </w:rPr>
        <w:t xml:space="preserve"> </w:t>
      </w:r>
      <w:r w:rsidR="00A370CB" w:rsidRPr="00C40A15">
        <w:rPr>
          <w:rFonts w:cs="Arial"/>
          <w:lang w:val="de-DE"/>
        </w:rPr>
        <w:t>Dieser</w:t>
      </w:r>
      <w:r w:rsidR="004A3195" w:rsidRPr="00C40A15">
        <w:rPr>
          <w:rFonts w:cs="Arial"/>
          <w:lang w:val="de-DE"/>
        </w:rPr>
        <w:t xml:space="preserve"> Ansatz würde folgende Änderung von </w:t>
      </w:r>
      <w:r w:rsidRPr="00C40A15">
        <w:rPr>
          <w:lang w:val="de-DE"/>
        </w:rPr>
        <w:t>ASW 8</w:t>
      </w:r>
      <w:r w:rsidR="004A3195" w:rsidRPr="00C40A15">
        <w:rPr>
          <w:lang w:val="de-DE"/>
        </w:rPr>
        <w:t> </w:t>
      </w:r>
      <w:r w:rsidRPr="00C40A15">
        <w:rPr>
          <w:lang w:val="de-DE"/>
        </w:rPr>
        <w:t>c)</w:t>
      </w:r>
      <w:r w:rsidRPr="00C40A15">
        <w:rPr>
          <w:rFonts w:cs="Arial"/>
          <w:lang w:val="de-DE"/>
        </w:rPr>
        <w:t xml:space="preserve"> </w:t>
      </w:r>
      <w:r w:rsidR="004A3195" w:rsidRPr="00C40A15">
        <w:rPr>
          <w:rFonts w:cs="Arial"/>
          <w:lang w:val="de-DE"/>
        </w:rPr>
        <w:t>voraussetzen</w:t>
      </w:r>
      <w:r w:rsidRPr="00C40A15">
        <w:rPr>
          <w:rFonts w:cs="Arial"/>
          <w:lang w:val="de-DE"/>
        </w:rPr>
        <w:t>: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5A21CA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  <w:bookmarkStart w:id="24" w:name="_Toc27819145"/>
      <w:bookmarkStart w:id="25" w:name="_Toc27819326"/>
      <w:bookmarkStart w:id="26" w:name="_Toc27819507"/>
      <w:bookmarkStart w:id="27" w:name="_Toc309114865"/>
      <w:r w:rsidRPr="00C40A15">
        <w:rPr>
          <w:rFonts w:cs="Arial"/>
          <w:sz w:val="18"/>
          <w:u w:val="single"/>
          <w:lang w:val="de-DE"/>
        </w:rPr>
        <w:t>„</w:t>
      </w:r>
      <w:r w:rsidR="00463127" w:rsidRPr="00C40A15">
        <w:rPr>
          <w:rFonts w:cs="Arial"/>
          <w:sz w:val="18"/>
          <w:u w:val="single"/>
          <w:lang w:val="de-DE"/>
        </w:rPr>
        <w:t xml:space="preserve">ASW 8 (TG </w:t>
      </w:r>
      <w:r w:rsidR="004A3195" w:rsidRPr="00C40A15">
        <w:rPr>
          <w:rFonts w:cs="Arial"/>
          <w:sz w:val="18"/>
          <w:u w:val="single"/>
          <w:lang w:val="de-DE"/>
        </w:rPr>
        <w:t>-Muster</w:t>
      </w:r>
      <w:r w:rsidRPr="00C40A15">
        <w:rPr>
          <w:rFonts w:cs="Arial"/>
          <w:sz w:val="18"/>
          <w:u w:val="single"/>
          <w:lang w:val="de-DE"/>
        </w:rPr>
        <w:t>v</w:t>
      </w:r>
      <w:r w:rsidR="004A3195" w:rsidRPr="00C40A15">
        <w:rPr>
          <w:rFonts w:cs="Arial"/>
          <w:sz w:val="18"/>
          <w:u w:val="single"/>
          <w:lang w:val="de-DE"/>
        </w:rPr>
        <w:t>or</w:t>
      </w:r>
      <w:r w:rsidRPr="00C40A15">
        <w:rPr>
          <w:rFonts w:cs="Arial"/>
          <w:sz w:val="18"/>
          <w:u w:val="single"/>
          <w:lang w:val="de-DE"/>
        </w:rPr>
        <w:t>l</w:t>
      </w:r>
      <w:r w:rsidR="004A3195" w:rsidRPr="00C40A15">
        <w:rPr>
          <w:rFonts w:cs="Arial"/>
          <w:sz w:val="18"/>
          <w:u w:val="single"/>
          <w:lang w:val="de-DE"/>
        </w:rPr>
        <w:t>age</w:t>
      </w:r>
      <w:r w:rsidR="00463127" w:rsidRPr="00C40A15">
        <w:rPr>
          <w:rFonts w:cs="Arial"/>
          <w:sz w:val="18"/>
          <w:u w:val="single"/>
          <w:lang w:val="de-DE"/>
        </w:rPr>
        <w:t xml:space="preserve">: </w:t>
      </w:r>
      <w:r w:rsidR="004A3195" w:rsidRPr="00C40A15">
        <w:rPr>
          <w:rFonts w:cs="Arial"/>
          <w:sz w:val="18"/>
          <w:u w:val="single"/>
          <w:lang w:val="de-DE"/>
        </w:rPr>
        <w:t>Kapite</w:t>
      </w:r>
      <w:r w:rsidRPr="00C40A15">
        <w:rPr>
          <w:rFonts w:cs="Arial"/>
          <w:sz w:val="18"/>
          <w:u w:val="single"/>
          <w:lang w:val="de-DE"/>
        </w:rPr>
        <w:t>l</w:t>
      </w:r>
      <w:r w:rsidR="00463127" w:rsidRPr="00C40A15">
        <w:rPr>
          <w:rFonts w:cs="Arial"/>
          <w:sz w:val="18"/>
          <w:u w:val="single"/>
          <w:lang w:val="de-DE"/>
        </w:rPr>
        <w:t xml:space="preserve"> 4.2) – </w:t>
      </w:r>
      <w:r w:rsidR="004A3195" w:rsidRPr="00C40A15">
        <w:rPr>
          <w:rFonts w:cs="Arial"/>
          <w:sz w:val="18"/>
          <w:u w:val="single"/>
          <w:lang w:val="de-DE"/>
        </w:rPr>
        <w:t>Homogenitätsprüfung</w:t>
      </w:r>
      <w:bookmarkEnd w:id="24"/>
      <w:bookmarkEnd w:id="25"/>
      <w:bookmarkEnd w:id="26"/>
      <w:bookmarkEnd w:id="27"/>
    </w:p>
    <w:p w:rsidR="00463127" w:rsidRPr="00C40A15" w:rsidRDefault="00463127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463127" w:rsidRPr="00C40A15" w:rsidRDefault="004A3195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  <w:r w:rsidRPr="00C40A15">
        <w:rPr>
          <w:rFonts w:cs="Arial"/>
          <w:sz w:val="18"/>
          <w:u w:val="single"/>
          <w:lang w:val="de-DE"/>
        </w:rPr>
        <w:t>[…]</w:t>
      </w:r>
    </w:p>
    <w:p w:rsidR="00463127" w:rsidRPr="00C40A15" w:rsidRDefault="00463127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de-DE"/>
        </w:rPr>
      </w:pPr>
      <w:bookmarkStart w:id="28" w:name="_Toc27819148"/>
      <w:bookmarkStart w:id="29" w:name="_Toc27819329"/>
      <w:bookmarkStart w:id="30" w:name="_Toc27819510"/>
      <w:bookmarkStart w:id="31" w:name="_Toc309114870"/>
      <w:r w:rsidRPr="00C40A15">
        <w:rPr>
          <w:rFonts w:cs="Arial"/>
          <w:i/>
          <w:iCs/>
          <w:sz w:val="18"/>
          <w:lang w:val="de-DE"/>
        </w:rPr>
        <w:t>c)</w:t>
      </w:r>
      <w:r w:rsidRPr="00C40A15">
        <w:rPr>
          <w:rFonts w:cs="Arial"/>
          <w:i/>
          <w:iCs/>
          <w:sz w:val="18"/>
          <w:lang w:val="de-DE"/>
        </w:rPr>
        <w:tab/>
      </w:r>
      <w:r w:rsidR="004A3195" w:rsidRPr="00C40A15">
        <w:rPr>
          <w:i/>
          <w:sz w:val="18"/>
          <w:szCs w:val="18"/>
          <w:lang w:val="de-DE"/>
        </w:rPr>
        <w:t>P</w:t>
      </w:r>
      <w:r w:rsidR="004A3195" w:rsidRPr="00C40A15">
        <w:rPr>
          <w:rFonts w:cs="Arial"/>
          <w:i/>
          <w:sz w:val="18"/>
          <w:szCs w:val="18"/>
          <w:lang w:val="de-DE" w:eastAsia="fr-CH"/>
        </w:rPr>
        <w:t>rüfung der Homogenität durch Abweicher (Erfassung aller Merkmale mit derselben Stichprobe)</w:t>
      </w:r>
      <w:bookmarkEnd w:id="28"/>
      <w:bookmarkEnd w:id="29"/>
      <w:bookmarkEnd w:id="30"/>
      <w:bookmarkEnd w:id="31"/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rFonts w:cs="Arial"/>
          <w:i/>
          <w:iCs/>
          <w:sz w:val="18"/>
          <w:lang w:val="de-DE"/>
        </w:rPr>
      </w:pPr>
    </w:p>
    <w:p w:rsidR="00463127" w:rsidRPr="00C40A15" w:rsidRDefault="00463127" w:rsidP="005A21CA">
      <w:pPr>
        <w:autoSpaceDE w:val="0"/>
        <w:autoSpaceDN w:val="0"/>
        <w:adjustRightInd w:val="0"/>
        <w:ind w:left="1134" w:right="567" w:hanging="567"/>
        <w:rPr>
          <w:rFonts w:cs="Arial"/>
          <w:i/>
          <w:iCs/>
          <w:strike/>
          <w:sz w:val="18"/>
          <w:highlight w:val="lightGray"/>
          <w:lang w:val="de-DE"/>
        </w:rPr>
      </w:pPr>
      <w:r w:rsidRPr="00C40A15">
        <w:rPr>
          <w:rFonts w:cs="Arial"/>
          <w:i/>
          <w:iCs/>
          <w:sz w:val="18"/>
          <w:lang w:val="de-DE"/>
        </w:rPr>
        <w:tab/>
      </w:r>
      <w:bookmarkStart w:id="32" w:name="_Toc309114871"/>
      <w:r w:rsidRPr="00C40A15">
        <w:rPr>
          <w:rFonts w:cs="Arial"/>
          <w:i/>
          <w:iCs/>
          <w:strike/>
          <w:sz w:val="18"/>
          <w:highlight w:val="lightGray"/>
          <w:lang w:val="de-DE"/>
        </w:rPr>
        <w:t xml:space="preserve">i) </w:t>
      </w:r>
      <w:r w:rsidR="004A3195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nur Sorten betreffen, deren Homogenität anhand von Abweichern erfaßt wird</w:t>
      </w:r>
      <w:bookmarkEnd w:id="32"/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rFonts w:cs="Arial"/>
          <w:i/>
          <w:iCs/>
          <w:strike/>
          <w:sz w:val="18"/>
          <w:highlight w:val="lightGray"/>
          <w:lang w:val="de-DE"/>
        </w:rPr>
      </w:pPr>
    </w:p>
    <w:p w:rsidR="00463127" w:rsidRPr="00C40A15" w:rsidRDefault="004A3195" w:rsidP="00463127">
      <w:pPr>
        <w:autoSpaceDE w:val="0"/>
        <w:autoSpaceDN w:val="0"/>
        <w:adjustRightInd w:val="0"/>
        <w:ind w:left="567" w:right="567"/>
        <w:rPr>
          <w:rFonts w:cs="Arial"/>
          <w:sz w:val="18"/>
          <w:highlight w:val="lightGray"/>
          <w:lang w:val="de-DE"/>
        </w:rPr>
      </w:pPr>
      <w:r w:rsidRPr="00C40A15">
        <w:rPr>
          <w:strike/>
          <w:sz w:val="18"/>
          <w:szCs w:val="18"/>
          <w:highlight w:val="lightGray"/>
          <w:lang w:val="de-DE"/>
        </w:rPr>
        <w:t>Für die Bestimmung der Homogenität sollte ein Populationsstandard von { x }</w:t>
      </w:r>
      <w:r w:rsidR="00FA2BD0" w:rsidRPr="00C40A15">
        <w:rPr>
          <w:strike/>
          <w:sz w:val="18"/>
          <w:szCs w:val="18"/>
          <w:highlight w:val="lightGray"/>
          <w:lang w:val="de-DE"/>
        </w:rPr>
        <w:t> %</w:t>
      </w:r>
      <w:r w:rsidRPr="00C40A15">
        <w:rPr>
          <w:strike/>
          <w:sz w:val="18"/>
          <w:szCs w:val="18"/>
          <w:highlight w:val="lightGray"/>
          <w:lang w:val="de-DE"/>
        </w:rPr>
        <w:t xml:space="preserve"> mit einer Akzeptanzwahrscheinlichkeit von mindestens { y }</w:t>
      </w:r>
      <w:r w:rsidR="00FA2BD0" w:rsidRPr="00C40A15">
        <w:rPr>
          <w:strike/>
          <w:sz w:val="18"/>
          <w:szCs w:val="18"/>
          <w:highlight w:val="lightGray"/>
          <w:lang w:val="de-DE"/>
        </w:rPr>
        <w:t> %</w:t>
      </w:r>
      <w:r w:rsidRPr="00C40A15">
        <w:rPr>
          <w:strike/>
          <w:sz w:val="18"/>
          <w:szCs w:val="18"/>
          <w:highlight w:val="lightGray"/>
          <w:lang w:val="de-DE"/>
        </w:rPr>
        <w:t xml:space="preserve"> angewandt werden. Bei einer Probengröße von { a } Pflanzen ist die höchste zulässige Anzahl von Abweichern [{ b }</w:t>
      </w:r>
      <w:r w:rsidR="005A21CA" w:rsidRPr="00C40A15">
        <w:rPr>
          <w:strike/>
          <w:sz w:val="18"/>
          <w:szCs w:val="18"/>
          <w:highlight w:val="lightGray"/>
          <w:lang w:val="de-DE"/>
        </w:rPr>
        <w:t>]</w:t>
      </w:r>
      <w:r w:rsidRPr="00C40A15">
        <w:rPr>
          <w:strike/>
          <w:sz w:val="18"/>
          <w:szCs w:val="18"/>
          <w:highlight w:val="lightGray"/>
          <w:lang w:val="de-DE"/>
        </w:rPr>
        <w:t xml:space="preserve"> / [1].</w:t>
      </w:r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rFonts w:cs="Arial"/>
          <w:sz w:val="18"/>
          <w:highlight w:val="lightGray"/>
          <w:lang w:val="de-DE"/>
        </w:rPr>
      </w:pPr>
    </w:p>
    <w:p w:rsidR="004A3195" w:rsidRPr="00C40A15" w:rsidRDefault="00463127" w:rsidP="005A21CA">
      <w:pPr>
        <w:ind w:left="1134" w:right="567"/>
        <w:rPr>
          <w:rFonts w:cs="Arial"/>
          <w:i/>
          <w:strike/>
          <w:sz w:val="24"/>
          <w:szCs w:val="24"/>
          <w:lang w:val="de-DE" w:eastAsia="fr-CH"/>
        </w:rPr>
      </w:pPr>
      <w:bookmarkStart w:id="33" w:name="_Toc309114872"/>
      <w:r w:rsidRPr="00C40A15">
        <w:rPr>
          <w:rFonts w:cs="Arial"/>
          <w:i/>
          <w:iCs/>
          <w:strike/>
          <w:sz w:val="18"/>
          <w:highlight w:val="lightGray"/>
          <w:lang w:val="de-DE"/>
        </w:rPr>
        <w:t>ii</w:t>
      </w:r>
      <w:r w:rsidRPr="00C40A15">
        <w:rPr>
          <w:rFonts w:cs="Arial"/>
          <w:i/>
          <w:iCs/>
          <w:strike/>
          <w:sz w:val="18"/>
          <w:szCs w:val="18"/>
          <w:highlight w:val="lightGray"/>
          <w:lang w:val="de-DE"/>
        </w:rPr>
        <w:t xml:space="preserve">) </w:t>
      </w:r>
      <w:r w:rsidR="005A21CA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Sorten, deren Homogenität anhand von Abweichern erfaßt wird</w:t>
      </w:r>
      <w:r w:rsidR="00D472F3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,</w:t>
      </w:r>
      <w:r w:rsidR="005A21CA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 xml:space="preserve"> und andere Sortentypen betreffen</w:t>
      </w:r>
    </w:p>
    <w:p w:rsidR="005A21CA" w:rsidRPr="00C40A15" w:rsidRDefault="005A21CA" w:rsidP="005A21CA">
      <w:pPr>
        <w:ind w:left="567" w:right="567"/>
        <w:rPr>
          <w:rFonts w:cs="Arial"/>
          <w:sz w:val="18"/>
          <w:szCs w:val="18"/>
          <w:lang w:val="de-DE" w:eastAsia="fr-CH"/>
        </w:rPr>
      </w:pPr>
      <w:r w:rsidRPr="00C40A15">
        <w:rPr>
          <w:rFonts w:cs="Arial"/>
          <w:sz w:val="18"/>
          <w:szCs w:val="18"/>
          <w:lang w:val="de-DE" w:eastAsia="fr-CH"/>
        </w:rPr>
        <w:lastRenderedPageBreak/>
        <w:t>Für die Bestimmung der Homogenität von [selbstbefruchtenden] [vegetativ vermehrten] [samenvermehrten] Sorten sollte ein Populationsstandard von {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x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}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% mit einer Akzeptanzwahrscheinlichkeit von mindestens {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y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}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% angewandt werden. Bei einer Probengröße von {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a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} Pflanzen ist die höchste zulässige Anzahl von Abweichern [{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b</w:t>
      </w:r>
      <w:r w:rsidR="007B34C0" w:rsidRPr="00C40A15">
        <w:rPr>
          <w:rFonts w:cs="Arial"/>
          <w:sz w:val="18"/>
          <w:szCs w:val="18"/>
          <w:lang w:val="de-DE" w:eastAsia="fr-CH"/>
        </w:rPr>
        <w:t> </w:t>
      </w:r>
      <w:r w:rsidRPr="00C40A15">
        <w:rPr>
          <w:rFonts w:cs="Arial"/>
          <w:sz w:val="18"/>
          <w:szCs w:val="18"/>
          <w:lang w:val="de-DE" w:eastAsia="fr-CH"/>
        </w:rPr>
        <w:t>}]</w:t>
      </w:r>
      <w:r w:rsidR="007B34C0" w:rsidRPr="00C40A15">
        <w:rPr>
          <w:rFonts w:cs="Arial"/>
          <w:sz w:val="18"/>
          <w:szCs w:val="18"/>
          <w:lang w:val="de-DE" w:eastAsia="fr-CH"/>
        </w:rPr>
        <w:t xml:space="preserve"> /</w:t>
      </w:r>
      <w:r w:rsidRPr="00C40A15">
        <w:rPr>
          <w:rFonts w:cs="Arial"/>
          <w:sz w:val="18"/>
          <w:szCs w:val="18"/>
          <w:lang w:val="de-DE" w:eastAsia="fr-CH"/>
        </w:rPr>
        <w:t xml:space="preserve"> [1].</w:t>
      </w:r>
    </w:p>
    <w:bookmarkEnd w:id="33"/>
    <w:p w:rsidR="00534B23" w:rsidRPr="00C40A15" w:rsidRDefault="00534B23" w:rsidP="00534B23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  <w:r w:rsidRPr="00C40A15">
        <w:rPr>
          <w:rFonts w:cs="Arial"/>
          <w:sz w:val="18"/>
          <w:u w:val="single"/>
          <w:lang w:val="de-DE"/>
        </w:rPr>
        <w:t>[…]</w:t>
      </w:r>
      <w:r w:rsidR="005A21CA" w:rsidRPr="00C40A15">
        <w:rPr>
          <w:rFonts w:cs="Arial"/>
          <w:sz w:val="18"/>
          <w:lang w:val="de-DE"/>
        </w:rPr>
        <w:t>“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u w:val="single"/>
          <w:lang w:val="de-DE"/>
        </w:rPr>
      </w:pPr>
    </w:p>
    <w:p w:rsidR="00463127" w:rsidRPr="00C40A15" w:rsidRDefault="00463127" w:rsidP="007B34C0">
      <w:pPr>
        <w:pStyle w:val="Heading2"/>
      </w:pPr>
      <w:bookmarkStart w:id="34" w:name="_Toc410639237"/>
      <w:bookmarkStart w:id="35" w:name="_Toc410639402"/>
      <w:bookmarkStart w:id="36" w:name="_Toc410655336"/>
      <w:r w:rsidRPr="00C40A15">
        <w:t>A</w:t>
      </w:r>
      <w:r w:rsidR="007C5720" w:rsidRPr="00C40A15">
        <w:t>nsatz</w:t>
      </w:r>
      <w:r w:rsidRPr="00C40A15">
        <w:t xml:space="preserve"> 3: </w:t>
      </w:r>
      <w:r w:rsidR="007C5720" w:rsidRPr="00C40A15">
        <w:t>Angabe der bestehenden</w:t>
      </w:r>
      <w:r w:rsidRPr="00C40A15">
        <w:t xml:space="preserve"> </w:t>
      </w:r>
      <w:r w:rsidR="00F3160C" w:rsidRPr="00C40A15">
        <w:t>Vermehrungsart</w:t>
      </w:r>
      <w:r w:rsidRPr="00C40A15">
        <w:t xml:space="preserve"> </w:t>
      </w:r>
      <w:r w:rsidR="007C5720" w:rsidRPr="00C40A15">
        <w:t>u</w:t>
      </w:r>
      <w:r w:rsidRPr="00C40A15">
        <w:t xml:space="preserve">nd </w:t>
      </w:r>
      <w:r w:rsidR="00A370CB" w:rsidRPr="00C40A15">
        <w:t>Vorwegnahme</w:t>
      </w:r>
      <w:r w:rsidR="007C5720" w:rsidRPr="00C40A15">
        <w:t xml:space="preserve"> künftiger </w:t>
      </w:r>
      <w:r w:rsidR="00A370CB" w:rsidRPr="00C40A15">
        <w:t>Entwicklungen</w:t>
      </w:r>
      <w:bookmarkEnd w:id="34"/>
      <w:bookmarkEnd w:id="35"/>
      <w:bookmarkEnd w:id="36"/>
      <w:r w:rsidR="007C5720" w:rsidRPr="00C40A15">
        <w:t xml:space="preserve"> 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  <w:r w:rsidRPr="00C40A15">
        <w:rPr>
          <w:rFonts w:cs="Arial"/>
          <w:lang w:val="de-DE"/>
        </w:rPr>
        <w:fldChar w:fldCharType="begin"/>
      </w:r>
      <w:r w:rsidRPr="00C40A15">
        <w:rPr>
          <w:rFonts w:cs="Arial"/>
          <w:lang w:val="de-DE"/>
        </w:rPr>
        <w:instrText xml:space="preserve"> AUTONUM  </w:instrText>
      </w:r>
      <w:r w:rsidRPr="00C40A15">
        <w:rPr>
          <w:rFonts w:cs="Arial"/>
          <w:lang w:val="de-DE"/>
        </w:rPr>
        <w:fldChar w:fldCharType="end"/>
      </w:r>
      <w:r w:rsidRPr="00C40A15">
        <w:rPr>
          <w:rFonts w:cs="Arial"/>
          <w:lang w:val="de-DE"/>
        </w:rPr>
        <w:tab/>
      </w:r>
      <w:r w:rsidR="00A370CB" w:rsidRPr="00C40A15">
        <w:rPr>
          <w:rFonts w:cs="Arial"/>
          <w:lang w:val="de-DE"/>
        </w:rPr>
        <w:t>Empfehlung der Homogenität gemäß eine</w:t>
      </w:r>
      <w:r w:rsidR="00C101E3" w:rsidRPr="00C40A15">
        <w:rPr>
          <w:rFonts w:cs="Arial"/>
          <w:lang w:val="de-DE"/>
        </w:rPr>
        <w:t>r</w:t>
      </w:r>
      <w:r w:rsidR="00A370CB" w:rsidRPr="00C40A15">
        <w:rPr>
          <w:rFonts w:cs="Arial"/>
          <w:lang w:val="de-DE"/>
        </w:rPr>
        <w:t xml:space="preserve"> spezifischen Vermehrungsmethode (vergleiche </w:t>
      </w:r>
      <w:r w:rsidR="00A370CB" w:rsidRPr="00C40A15">
        <w:rPr>
          <w:lang w:val="de-DE"/>
        </w:rPr>
        <w:t>ASW</w:t>
      </w:r>
      <w:r w:rsidR="00FA2BD0" w:rsidRPr="00C40A15">
        <w:rPr>
          <w:lang w:val="de-DE"/>
        </w:rPr>
        <w:t> </w:t>
      </w:r>
      <w:r w:rsidR="00A370CB" w:rsidRPr="00C40A15">
        <w:rPr>
          <w:lang w:val="de-DE"/>
        </w:rPr>
        <w:t>8 a)</w:t>
      </w:r>
      <w:r w:rsidR="00FA2BD0" w:rsidRPr="00C40A15">
        <w:rPr>
          <w:lang w:val="de-DE"/>
        </w:rPr>
        <w:t> </w:t>
      </w:r>
      <w:r w:rsidR="00A370CB" w:rsidRPr="00C40A15">
        <w:rPr>
          <w:i/>
          <w:lang w:val="de-DE"/>
        </w:rPr>
        <w:t>i</w:t>
      </w:r>
      <w:r w:rsidR="00A370CB" w:rsidRPr="00C40A15">
        <w:rPr>
          <w:lang w:val="de-DE"/>
        </w:rPr>
        <w:t>)) u</w:t>
      </w:r>
      <w:r w:rsidR="00A370CB" w:rsidRPr="00C40A15">
        <w:rPr>
          <w:rFonts w:cs="Arial"/>
          <w:lang w:val="de-DE"/>
        </w:rPr>
        <w:t>nd Bereitstellung einer spezifischen Anleitung über die Art und Weise des Um</w:t>
      </w:r>
      <w:r w:rsidR="007B34C0" w:rsidRPr="00C40A15">
        <w:rPr>
          <w:rFonts w:cs="Arial"/>
          <w:lang w:val="de-DE"/>
        </w:rPr>
        <w:t>g</w:t>
      </w:r>
      <w:r w:rsidR="00A370CB" w:rsidRPr="00C40A15">
        <w:rPr>
          <w:rFonts w:cs="Arial"/>
          <w:lang w:val="de-DE"/>
        </w:rPr>
        <w:t>ang</w:t>
      </w:r>
      <w:r w:rsidR="007B34C0" w:rsidRPr="00C40A15">
        <w:rPr>
          <w:rFonts w:cs="Arial"/>
          <w:lang w:val="de-DE"/>
        </w:rPr>
        <w:t>s</w:t>
      </w:r>
      <w:r w:rsidR="00A370CB" w:rsidRPr="00C40A15">
        <w:rPr>
          <w:rFonts w:cs="Arial"/>
          <w:lang w:val="de-DE"/>
        </w:rPr>
        <w:t xml:space="preserve"> mit neuen Vermehrungsarten von Sorten in Abschnitt 4.2. </w:t>
      </w:r>
      <w:r w:rsidR="007C5720" w:rsidRPr="00C40A15">
        <w:rPr>
          <w:rFonts w:cs="Arial"/>
          <w:lang w:val="de-DE"/>
        </w:rPr>
        <w:t xml:space="preserve">Dieser Absatz würde folgende Änderung von </w:t>
      </w:r>
      <w:r w:rsidRPr="00C40A15">
        <w:rPr>
          <w:lang w:val="de-DE"/>
        </w:rPr>
        <w:t>ASW 8 </w:t>
      </w:r>
      <w:r w:rsidR="00A370CB" w:rsidRPr="00C40A15">
        <w:rPr>
          <w:lang w:val="de-DE"/>
        </w:rPr>
        <w:t>voraussetzen</w:t>
      </w:r>
      <w:r w:rsidRPr="00C40A15">
        <w:rPr>
          <w:rFonts w:cs="Arial"/>
          <w:lang w:val="de-DE"/>
        </w:rPr>
        <w:t>: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7C5720" w:rsidRPr="00C40A15" w:rsidRDefault="007C5720" w:rsidP="005B7C6E">
      <w:pPr>
        <w:ind w:left="567"/>
        <w:rPr>
          <w:sz w:val="18"/>
          <w:szCs w:val="18"/>
          <w:u w:val="single"/>
          <w:lang w:val="de-DE"/>
        </w:rPr>
      </w:pPr>
      <w:bookmarkStart w:id="37" w:name="_Toc410639238"/>
      <w:r w:rsidRPr="00C40A15">
        <w:rPr>
          <w:sz w:val="18"/>
          <w:szCs w:val="18"/>
          <w:u w:val="single"/>
          <w:lang w:val="de-DE"/>
        </w:rPr>
        <w:t>„ASW 8 (TG -Mustervorlage: Kapitel 4.2) – Homogenitätsprüfung</w:t>
      </w:r>
      <w:bookmarkEnd w:id="37"/>
    </w:p>
    <w:p w:rsidR="007C5720" w:rsidRPr="00C40A15" w:rsidRDefault="007C5720" w:rsidP="007C5720">
      <w:pPr>
        <w:autoSpaceDE w:val="0"/>
        <w:autoSpaceDN w:val="0"/>
        <w:adjustRightInd w:val="0"/>
        <w:rPr>
          <w:rFonts w:cs="Arial"/>
          <w:lang w:val="de-DE"/>
        </w:rPr>
      </w:pPr>
    </w:p>
    <w:p w:rsidR="007C5720" w:rsidRPr="00C40A15" w:rsidRDefault="007C5720" w:rsidP="000F37B3">
      <w:pPr>
        <w:pStyle w:val="Heading4"/>
      </w:pPr>
      <w:r w:rsidRPr="00C40A15">
        <w:t>a)</w:t>
      </w:r>
      <w:r w:rsidRPr="00C40A15">
        <w:tab/>
        <w:t>Fremdbefruchtende Sorten</w:t>
      </w:r>
    </w:p>
    <w:p w:rsidR="007C5720" w:rsidRPr="00C40A15" w:rsidRDefault="007C5720" w:rsidP="007C5720">
      <w:pPr>
        <w:rPr>
          <w:lang w:val="de-DE"/>
        </w:rPr>
      </w:pPr>
    </w:p>
    <w:p w:rsidR="007C5720" w:rsidRPr="00C40A15" w:rsidRDefault="007C5720" w:rsidP="007B34C0">
      <w:pPr>
        <w:pStyle w:val="ListParagraph"/>
        <w:numPr>
          <w:ilvl w:val="0"/>
          <w:numId w:val="8"/>
        </w:numPr>
        <w:ind w:left="1560" w:hanging="426"/>
        <w:rPr>
          <w:rFonts w:cs="Arial"/>
          <w:sz w:val="18"/>
          <w:szCs w:val="18"/>
          <w:lang w:val="de-DE" w:eastAsia="fr-CH"/>
        </w:rPr>
      </w:pPr>
      <w:r w:rsidRPr="00C40A15">
        <w:rPr>
          <w:rFonts w:cs="Arial"/>
          <w:i/>
          <w:sz w:val="18"/>
          <w:szCs w:val="18"/>
          <w:lang w:val="de-DE" w:eastAsia="fr-CH"/>
        </w:rPr>
        <w:t>Prüfungsrichtlinien, die nur fremdbefruchtende Sorten betreffen</w:t>
      </w:r>
    </w:p>
    <w:p w:rsidR="007C5720" w:rsidRPr="00C40A15" w:rsidRDefault="007C5720" w:rsidP="007C5720">
      <w:pPr>
        <w:jc w:val="left"/>
        <w:rPr>
          <w:rFonts w:cs="Arial"/>
          <w:sz w:val="18"/>
          <w:szCs w:val="18"/>
          <w:lang w:val="de-DE" w:eastAsia="fr-CH"/>
        </w:rPr>
      </w:pPr>
    </w:p>
    <w:p w:rsidR="007C5720" w:rsidRPr="00C40A15" w:rsidRDefault="007C5720" w:rsidP="007C5720">
      <w:pPr>
        <w:keepNext/>
        <w:ind w:left="567" w:right="567"/>
        <w:rPr>
          <w:sz w:val="18"/>
          <w:szCs w:val="18"/>
          <w:lang w:val="de-DE"/>
        </w:rPr>
      </w:pPr>
      <w:r w:rsidRPr="00C40A15">
        <w:rPr>
          <w:rFonts w:cs="Arial"/>
          <w:sz w:val="18"/>
          <w:szCs w:val="18"/>
          <w:lang w:val="de-DE" w:eastAsia="fr-CH"/>
        </w:rPr>
        <w:t>Die Bestimmung der Homogenität sollte entsprechend den Empfehlungen der Allgemeinen Einführung für</w:t>
      </w:r>
      <w:r w:rsidRPr="00C40A15">
        <w:rPr>
          <w:sz w:val="18"/>
          <w:szCs w:val="18"/>
          <w:lang w:val="de-DE"/>
        </w:rPr>
        <w:t xml:space="preserve"> </w:t>
      </w:r>
      <w:r w:rsidRPr="00C40A15">
        <w:rPr>
          <w:rFonts w:cs="Arial"/>
          <w:sz w:val="18"/>
          <w:szCs w:val="18"/>
          <w:lang w:val="de-DE" w:eastAsia="fr-CH"/>
        </w:rPr>
        <w:t>fremdbefruchtende Sorten erfolgen</w:t>
      </w:r>
      <w:r w:rsidRPr="00C40A15">
        <w:rPr>
          <w:sz w:val="18"/>
          <w:szCs w:val="18"/>
          <w:lang w:val="de-DE"/>
        </w:rPr>
        <w:t>.</w:t>
      </w:r>
    </w:p>
    <w:p w:rsidR="00463127" w:rsidRPr="00C40A15" w:rsidRDefault="00463127" w:rsidP="00463127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463127" w:rsidRPr="00C40A15" w:rsidRDefault="007C5720" w:rsidP="00463127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de-DE"/>
        </w:rPr>
      </w:pPr>
      <w:r w:rsidRPr="00C40A15">
        <w:rPr>
          <w:rFonts w:cs="Arial"/>
          <w:sz w:val="18"/>
          <w:highlight w:val="lightGray"/>
          <w:u w:val="single"/>
          <w:lang w:val="de-DE"/>
        </w:rPr>
        <w:t>Diese</w:t>
      </w:r>
      <w:r w:rsidR="00463127" w:rsidRPr="00C40A15">
        <w:rPr>
          <w:rFonts w:cs="Arial"/>
          <w:sz w:val="18"/>
          <w:highlight w:val="lightGray"/>
          <w:u w:val="single"/>
          <w:lang w:val="de-DE"/>
        </w:rPr>
        <w:t xml:space="preserve"> </w:t>
      </w:r>
      <w:r w:rsidR="00016CD6" w:rsidRPr="00C40A15">
        <w:rPr>
          <w:rFonts w:cs="Arial"/>
          <w:sz w:val="18"/>
          <w:highlight w:val="lightGray"/>
          <w:u w:val="single"/>
          <w:lang w:val="de-DE"/>
        </w:rPr>
        <w:t>Prüfungsrichtlinien</w:t>
      </w:r>
      <w:r w:rsidR="00463127" w:rsidRPr="00C40A15">
        <w:rPr>
          <w:rFonts w:cs="Arial"/>
          <w:sz w:val="18"/>
          <w:highlight w:val="lightGray"/>
          <w:u w:val="single"/>
          <w:lang w:val="de-DE"/>
        </w:rPr>
        <w:t xml:space="preserve"> 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wurden für die Prüfung fremdbefruchtender Sorten erarbeitet. Für Sorten mit anderen </w:t>
      </w:r>
      <w:r w:rsidR="00F3160C" w:rsidRPr="00C40A15">
        <w:rPr>
          <w:rFonts w:cs="Arial"/>
          <w:sz w:val="18"/>
          <w:highlight w:val="lightGray"/>
          <w:u w:val="single"/>
          <w:lang w:val="de-DE"/>
        </w:rPr>
        <w:t>Vermehrungsarten</w:t>
      </w:r>
      <w:r w:rsidR="00463127" w:rsidRPr="00C40A15">
        <w:rPr>
          <w:rFonts w:cs="Arial"/>
          <w:sz w:val="18"/>
          <w:highlight w:val="lightGray"/>
          <w:u w:val="single"/>
          <w:lang w:val="de-DE"/>
        </w:rPr>
        <w:t xml:space="preserve"> 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sollten </w:t>
      </w:r>
      <w:r w:rsidRPr="00C40A15">
        <w:rPr>
          <w:rFonts w:cs="Arial"/>
          <w:sz w:val="18"/>
          <w:szCs w:val="18"/>
          <w:highlight w:val="lightGray"/>
          <w:u w:val="single"/>
          <w:lang w:val="de-DE" w:eastAsia="fr-CH"/>
        </w:rPr>
        <w:t>die Empfehlungen in der Allgemeinen Einführung u</w:t>
      </w:r>
      <w:r w:rsidR="00463127" w:rsidRPr="00C40A15">
        <w:rPr>
          <w:rFonts w:cs="Arial"/>
          <w:sz w:val="18"/>
          <w:highlight w:val="lightGray"/>
          <w:u w:val="single"/>
          <w:lang w:val="de-DE"/>
        </w:rPr>
        <w:t xml:space="preserve">nd 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in </w:t>
      </w:r>
      <w:r w:rsidR="00F3160C" w:rsidRPr="00C40A15">
        <w:rPr>
          <w:rFonts w:cs="Arial"/>
          <w:sz w:val="18"/>
          <w:highlight w:val="lightGray"/>
          <w:u w:val="single"/>
          <w:lang w:val="de-DE"/>
        </w:rPr>
        <w:t>Dokument</w:t>
      </w:r>
      <w:r w:rsidR="00463127" w:rsidRPr="00C40A15">
        <w:rPr>
          <w:rFonts w:cs="Arial"/>
          <w:sz w:val="18"/>
          <w:highlight w:val="lightGray"/>
          <w:u w:val="single"/>
          <w:lang w:val="de-DE"/>
        </w:rPr>
        <w:t> TGP/13</w:t>
      </w:r>
      <w:r w:rsidRPr="00C40A15">
        <w:rPr>
          <w:rFonts w:cs="Arial"/>
          <w:sz w:val="18"/>
          <w:highlight w:val="lightGray"/>
          <w:u w:val="single"/>
          <w:lang w:val="de-DE"/>
        </w:rPr>
        <w:t>,</w:t>
      </w:r>
      <w:r w:rsidR="00463127" w:rsidRPr="00C40A15">
        <w:rPr>
          <w:rFonts w:cs="Arial"/>
          <w:sz w:val="18"/>
          <w:highlight w:val="lightGray"/>
          <w:u w:val="single"/>
          <w:lang w:val="de-DE"/>
        </w:rPr>
        <w:t xml:space="preserve"> 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„Anleitung </w:t>
      </w:r>
      <w:r w:rsidR="00A370CB" w:rsidRPr="00C40A15">
        <w:rPr>
          <w:rFonts w:cs="Arial"/>
          <w:sz w:val="18"/>
          <w:highlight w:val="lightGray"/>
          <w:u w:val="single"/>
          <w:lang w:val="de-DE"/>
        </w:rPr>
        <w:t>für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 neu</w:t>
      </w:r>
      <w:r w:rsidR="005F1B6E" w:rsidRPr="00C40A15">
        <w:rPr>
          <w:rFonts w:cs="Arial"/>
          <w:sz w:val="18"/>
          <w:highlight w:val="lightGray"/>
          <w:u w:val="single"/>
          <w:lang w:val="de-DE"/>
        </w:rPr>
        <w:t>e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 </w:t>
      </w:r>
      <w:r w:rsidR="005F1B6E" w:rsidRPr="00C40A15">
        <w:rPr>
          <w:rFonts w:cs="Arial"/>
          <w:sz w:val="18"/>
          <w:highlight w:val="lightGray"/>
          <w:u w:val="single"/>
          <w:lang w:val="de-DE"/>
        </w:rPr>
        <w:t>T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ypen und Arten“, </w:t>
      </w:r>
      <w:r w:rsidR="00317290" w:rsidRPr="00C40A15">
        <w:rPr>
          <w:rFonts w:cs="Arial"/>
          <w:sz w:val="18"/>
          <w:highlight w:val="lightGray"/>
          <w:u w:val="single"/>
          <w:lang w:val="de-DE"/>
        </w:rPr>
        <w:t xml:space="preserve">Abschnitt 4.5., „Prüfung der Homogenität“, </w:t>
      </w:r>
      <w:r w:rsidR="005F1B6E" w:rsidRPr="00C40A15">
        <w:rPr>
          <w:rFonts w:cs="Arial"/>
          <w:sz w:val="18"/>
          <w:highlight w:val="lightGray"/>
          <w:u w:val="single"/>
          <w:lang w:val="de-DE"/>
        </w:rPr>
        <w:t>befolgt werden.</w:t>
      </w:r>
    </w:p>
    <w:p w:rsidR="00463127" w:rsidRPr="00C40A15" w:rsidRDefault="00463127" w:rsidP="00463127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463127" w:rsidRPr="00C40A15" w:rsidRDefault="00D472F3" w:rsidP="00463127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  <w:r w:rsidRPr="00C40A15">
        <w:rPr>
          <w:rFonts w:cs="Arial"/>
          <w:sz w:val="18"/>
          <w:u w:val="single"/>
          <w:lang w:val="de-DE"/>
        </w:rPr>
        <w:t>[…]</w:t>
      </w:r>
    </w:p>
    <w:p w:rsidR="00463127" w:rsidRPr="00C40A15" w:rsidRDefault="00463127" w:rsidP="00463127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317290" w:rsidRPr="00C40A15" w:rsidRDefault="00317290" w:rsidP="00317290">
      <w:pPr>
        <w:ind w:firstLine="567"/>
        <w:rPr>
          <w:i/>
          <w:sz w:val="18"/>
          <w:szCs w:val="18"/>
          <w:lang w:val="de-DE"/>
        </w:rPr>
      </w:pPr>
      <w:r w:rsidRPr="00C40A15">
        <w:rPr>
          <w:i/>
          <w:sz w:val="18"/>
          <w:szCs w:val="18"/>
          <w:lang w:val="de-DE"/>
        </w:rPr>
        <w:t>c)</w:t>
      </w:r>
      <w:r w:rsidRPr="00C40A15">
        <w:rPr>
          <w:i/>
          <w:sz w:val="18"/>
          <w:szCs w:val="18"/>
          <w:lang w:val="de-DE"/>
        </w:rPr>
        <w:tab/>
        <w:t>P</w:t>
      </w:r>
      <w:r w:rsidRPr="00C40A15">
        <w:rPr>
          <w:rFonts w:cs="Arial"/>
          <w:i/>
          <w:sz w:val="18"/>
          <w:szCs w:val="18"/>
          <w:lang w:val="de-DE" w:eastAsia="fr-CH"/>
        </w:rPr>
        <w:t>rüfung der Homogenität durch Abweicher (Erfassung aller Merkmale mit derselben Stichprobe)</w:t>
      </w:r>
    </w:p>
    <w:p w:rsidR="00317290" w:rsidRPr="00C40A15" w:rsidRDefault="00317290" w:rsidP="00317290">
      <w:pPr>
        <w:ind w:firstLine="567"/>
        <w:rPr>
          <w:sz w:val="18"/>
          <w:szCs w:val="18"/>
          <w:u w:val="single"/>
          <w:lang w:val="de-DE"/>
        </w:rPr>
      </w:pPr>
    </w:p>
    <w:p w:rsidR="00317290" w:rsidRPr="00C40A15" w:rsidRDefault="00317290" w:rsidP="007B34C0">
      <w:pPr>
        <w:pStyle w:val="ListParagraph"/>
        <w:numPr>
          <w:ilvl w:val="0"/>
          <w:numId w:val="9"/>
        </w:numPr>
        <w:ind w:left="1560" w:right="567" w:hanging="426"/>
        <w:rPr>
          <w:rFonts w:cs="Arial"/>
          <w:i/>
          <w:strike/>
          <w:sz w:val="18"/>
          <w:szCs w:val="18"/>
          <w:highlight w:val="lightGray"/>
          <w:lang w:val="de-DE" w:eastAsia="fr-CH"/>
        </w:rPr>
      </w:pPr>
      <w:r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nur Sorten betreffen, deren Homogenität anhand von Abweichern erfaßt wird</w:t>
      </w:r>
    </w:p>
    <w:p w:rsidR="00317290" w:rsidRPr="00C40A15" w:rsidRDefault="00317290" w:rsidP="00317290">
      <w:pPr>
        <w:ind w:left="567" w:right="567"/>
        <w:rPr>
          <w:strike/>
          <w:sz w:val="18"/>
          <w:highlight w:val="lightGray"/>
          <w:lang w:val="de-DE"/>
        </w:rPr>
      </w:pPr>
    </w:p>
    <w:p w:rsidR="00463127" w:rsidRPr="00C40A15" w:rsidRDefault="00317290" w:rsidP="00A370CB">
      <w:pPr>
        <w:keepNext/>
        <w:autoSpaceDE w:val="0"/>
        <w:autoSpaceDN w:val="0"/>
        <w:adjustRightInd w:val="0"/>
        <w:ind w:left="567" w:right="567"/>
        <w:rPr>
          <w:rFonts w:cs="Arial"/>
          <w:iCs/>
          <w:strike/>
          <w:sz w:val="18"/>
          <w:highlight w:val="lightGray"/>
          <w:lang w:val="de-DE"/>
        </w:rPr>
      </w:pPr>
      <w:r w:rsidRPr="00C40A15">
        <w:rPr>
          <w:strike/>
          <w:sz w:val="18"/>
          <w:szCs w:val="18"/>
          <w:highlight w:val="lightGray"/>
          <w:lang w:val="de-DE"/>
        </w:rPr>
        <w:t>Für die Bestimmung der Homogenität sollte ein Populationsstandard von { x }</w:t>
      </w:r>
      <w:r w:rsidR="005F1B6E" w:rsidRPr="00C40A15">
        <w:rPr>
          <w:strike/>
          <w:sz w:val="18"/>
          <w:szCs w:val="18"/>
          <w:highlight w:val="lightGray"/>
          <w:lang w:val="de-DE"/>
        </w:rPr>
        <w:t> </w:t>
      </w:r>
      <w:r w:rsidRPr="00C40A15">
        <w:rPr>
          <w:strike/>
          <w:sz w:val="18"/>
          <w:szCs w:val="18"/>
          <w:highlight w:val="lightGray"/>
          <w:lang w:val="de-DE"/>
        </w:rPr>
        <w:t>% mit einer Akzeptanzwahrscheinlichkeit von mindestens { y }</w:t>
      </w:r>
      <w:r w:rsidR="005F1B6E" w:rsidRPr="00C40A15">
        <w:rPr>
          <w:strike/>
          <w:sz w:val="18"/>
          <w:szCs w:val="18"/>
          <w:highlight w:val="lightGray"/>
          <w:lang w:val="de-DE"/>
        </w:rPr>
        <w:t> </w:t>
      </w:r>
      <w:r w:rsidRPr="00C40A15">
        <w:rPr>
          <w:strike/>
          <w:sz w:val="18"/>
          <w:szCs w:val="18"/>
          <w:highlight w:val="lightGray"/>
          <w:lang w:val="de-DE"/>
        </w:rPr>
        <w:t>% angewandt werden. Bei einer Probengröße von { a } Pflanzen ist die höchste zulässige Anzahl von Abweichern [{ b } / [1].“</w:t>
      </w:r>
    </w:p>
    <w:p w:rsidR="00463127" w:rsidRPr="00C40A15" w:rsidRDefault="00463127" w:rsidP="00463127">
      <w:pPr>
        <w:keepNext/>
        <w:autoSpaceDE w:val="0"/>
        <w:autoSpaceDN w:val="0"/>
        <w:adjustRightInd w:val="0"/>
        <w:ind w:left="567"/>
        <w:rPr>
          <w:rFonts w:cs="Arial"/>
          <w:sz w:val="18"/>
          <w:highlight w:val="lightGray"/>
          <w:u w:val="single"/>
          <w:lang w:val="de-DE"/>
        </w:rPr>
      </w:pPr>
    </w:p>
    <w:p w:rsidR="005F1B6E" w:rsidRPr="00C40A15" w:rsidRDefault="005F1B6E" w:rsidP="005F1B6E">
      <w:pPr>
        <w:tabs>
          <w:tab w:val="left" w:pos="1560"/>
        </w:tabs>
        <w:ind w:left="1134" w:right="567"/>
        <w:rPr>
          <w:rFonts w:cs="Arial"/>
          <w:i/>
          <w:strike/>
          <w:sz w:val="18"/>
          <w:szCs w:val="18"/>
          <w:lang w:val="de-DE" w:eastAsia="fr-CH"/>
        </w:rPr>
      </w:pPr>
      <w:r w:rsidRPr="00C40A15">
        <w:rPr>
          <w:rFonts w:cs="Arial"/>
          <w:i/>
          <w:iCs/>
          <w:strike/>
          <w:sz w:val="18"/>
          <w:highlight w:val="lightGray"/>
          <w:lang w:val="de-DE"/>
        </w:rPr>
        <w:t>ii</w:t>
      </w:r>
      <w:r w:rsidRPr="00C40A15">
        <w:rPr>
          <w:rFonts w:cs="Arial"/>
          <w:i/>
          <w:iCs/>
          <w:strike/>
          <w:sz w:val="18"/>
          <w:szCs w:val="18"/>
          <w:highlight w:val="lightGray"/>
          <w:lang w:val="de-DE"/>
        </w:rPr>
        <w:t>)</w:t>
      </w:r>
      <w:r w:rsidRPr="00C40A15">
        <w:rPr>
          <w:rFonts w:cs="Arial"/>
          <w:i/>
          <w:iCs/>
          <w:strike/>
          <w:sz w:val="18"/>
          <w:szCs w:val="18"/>
          <w:highlight w:val="lightGray"/>
          <w:lang w:val="de-DE"/>
        </w:rPr>
        <w:tab/>
      </w:r>
      <w:r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Sorten, deren Homogenität anhand von Abweichern erfaßt wird, und andere Sortentypen betreffen</w:t>
      </w:r>
    </w:p>
    <w:p w:rsidR="005F1B6E" w:rsidRPr="00C40A15" w:rsidRDefault="005F1B6E" w:rsidP="005F1B6E">
      <w:pPr>
        <w:ind w:left="567" w:right="567"/>
        <w:rPr>
          <w:rFonts w:cs="Arial"/>
          <w:sz w:val="18"/>
          <w:szCs w:val="18"/>
          <w:lang w:val="de-DE" w:eastAsia="fr-CH"/>
        </w:rPr>
      </w:pPr>
    </w:p>
    <w:p w:rsidR="005F1B6E" w:rsidRPr="00C40A15" w:rsidRDefault="005F1B6E" w:rsidP="005F1B6E">
      <w:pPr>
        <w:ind w:left="567" w:right="567"/>
        <w:rPr>
          <w:rFonts w:cs="Arial"/>
          <w:sz w:val="18"/>
          <w:szCs w:val="18"/>
          <w:lang w:val="de-DE" w:eastAsia="fr-CH"/>
        </w:rPr>
      </w:pPr>
      <w:r w:rsidRPr="00C40A15">
        <w:rPr>
          <w:rFonts w:cs="Arial"/>
          <w:sz w:val="18"/>
          <w:szCs w:val="18"/>
          <w:lang w:val="de-DE" w:eastAsia="fr-CH"/>
        </w:rPr>
        <w:t>Für die Bestimmung der Homogenität von [selbstbefruchtenden] [vegetativ vermehrten] [samenvermehrten] Sorten sollte ein Populationsstandard von { x } % mit einer Akzeptanzwahrscheinlichkeit von mindestens { y } % angewandt werden. Bei einer Probengröße von { a } Pflanzen ist die höchste zulässige Anzahl von Abweichern [{ b }] / [1].</w:t>
      </w:r>
    </w:p>
    <w:p w:rsidR="005F1B6E" w:rsidRPr="00C40A15" w:rsidRDefault="005F1B6E" w:rsidP="00463127">
      <w:pPr>
        <w:keepNext/>
        <w:autoSpaceDE w:val="0"/>
        <w:autoSpaceDN w:val="0"/>
        <w:adjustRightInd w:val="0"/>
        <w:ind w:left="567"/>
        <w:rPr>
          <w:rFonts w:cs="Arial"/>
          <w:sz w:val="18"/>
          <w:highlight w:val="lightGray"/>
          <w:u w:val="single"/>
          <w:lang w:val="de-DE"/>
        </w:rPr>
      </w:pPr>
    </w:p>
    <w:p w:rsidR="00463127" w:rsidRPr="00C40A15" w:rsidRDefault="00317290" w:rsidP="00463127">
      <w:pPr>
        <w:keepNext/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de-DE"/>
        </w:rPr>
      </w:pPr>
      <w:r w:rsidRPr="00C40A15">
        <w:rPr>
          <w:rFonts w:cs="Arial"/>
          <w:sz w:val="18"/>
          <w:highlight w:val="lightGray"/>
          <w:u w:val="single"/>
          <w:lang w:val="de-DE"/>
        </w:rPr>
        <w:t>Diese Prüfungsrichtlinien wurden für die Prüfung von [</w:t>
      </w:r>
      <w:r w:rsidRPr="00C40A15">
        <w:rPr>
          <w:rFonts w:cs="Arial"/>
          <w:i/>
          <w:sz w:val="18"/>
          <w:highlight w:val="lightGray"/>
          <w:u w:val="single"/>
          <w:lang w:val="de-DE"/>
        </w:rPr>
        <w:t>Vermehrungsart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] Sorten erarbeitet. Für Sorten mit anderen Vermehrungsarten sollten </w:t>
      </w:r>
      <w:r w:rsidRPr="00C40A15">
        <w:rPr>
          <w:rFonts w:cs="Arial"/>
          <w:sz w:val="18"/>
          <w:szCs w:val="18"/>
          <w:highlight w:val="lightGray"/>
          <w:u w:val="single"/>
          <w:lang w:val="de-DE" w:eastAsia="fr-CH"/>
        </w:rPr>
        <w:t>die Empfehlungen in der Allgemeinen Einführung u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nd in Dokument TGP/13, „Anleitung </w:t>
      </w:r>
      <w:r w:rsidR="00A370CB" w:rsidRPr="00C40A15">
        <w:rPr>
          <w:rFonts w:cs="Arial"/>
          <w:sz w:val="18"/>
          <w:highlight w:val="lightGray"/>
          <w:u w:val="single"/>
          <w:lang w:val="de-DE"/>
        </w:rPr>
        <w:t>für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 neu</w:t>
      </w:r>
      <w:r w:rsidR="005F1B6E" w:rsidRPr="00C40A15">
        <w:rPr>
          <w:rFonts w:cs="Arial"/>
          <w:sz w:val="18"/>
          <w:highlight w:val="lightGray"/>
          <w:u w:val="single"/>
          <w:lang w:val="de-DE"/>
        </w:rPr>
        <w:t>e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 </w:t>
      </w:r>
      <w:r w:rsidR="005F1B6E" w:rsidRPr="00C40A15">
        <w:rPr>
          <w:rFonts w:cs="Arial"/>
          <w:sz w:val="18"/>
          <w:highlight w:val="lightGray"/>
          <w:u w:val="single"/>
          <w:lang w:val="de-DE"/>
        </w:rPr>
        <w:t>T</w:t>
      </w:r>
      <w:r w:rsidRPr="00C40A15">
        <w:rPr>
          <w:rFonts w:cs="Arial"/>
          <w:sz w:val="18"/>
          <w:highlight w:val="lightGray"/>
          <w:u w:val="single"/>
          <w:lang w:val="de-DE"/>
        </w:rPr>
        <w:t>ypen und Arten“, Abschnitt 4.5., „Prüfung der Homogenität“, befolgt werden.“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317290" w:rsidP="00265ABB">
      <w:pPr>
        <w:pStyle w:val="Heading1"/>
        <w:rPr>
          <w:lang w:val="de-DE"/>
        </w:rPr>
      </w:pPr>
      <w:bookmarkStart w:id="38" w:name="_Toc404851071"/>
      <w:bookmarkStart w:id="39" w:name="_Toc410639239"/>
      <w:bookmarkStart w:id="40" w:name="_Toc410639403"/>
      <w:bookmarkStart w:id="41" w:name="_Toc410655337"/>
      <w:r w:rsidRPr="00C40A15">
        <w:rPr>
          <w:lang w:val="de-DE"/>
        </w:rPr>
        <w:t xml:space="preserve">BEMERKUNGEN DER TECHNISCHEN ARBEITSGRUPPEN IM JAHRE </w:t>
      </w:r>
      <w:r w:rsidR="00463127" w:rsidRPr="00C40A15">
        <w:rPr>
          <w:lang w:val="de-DE"/>
        </w:rPr>
        <w:t>2014</w:t>
      </w:r>
      <w:bookmarkEnd w:id="38"/>
      <w:bookmarkEnd w:id="39"/>
      <w:bookmarkEnd w:id="40"/>
      <w:bookmarkEnd w:id="41"/>
    </w:p>
    <w:p w:rsidR="00302E47" w:rsidRPr="00C40A15" w:rsidRDefault="00302E47" w:rsidP="00463127">
      <w:pPr>
        <w:rPr>
          <w:lang w:val="de-DE"/>
        </w:rPr>
      </w:pPr>
    </w:p>
    <w:p w:rsidR="00463127" w:rsidRPr="00C40A15" w:rsidRDefault="00302E47" w:rsidP="00463127">
      <w:pPr>
        <w:rPr>
          <w:lang w:val="de-DE"/>
        </w:rPr>
      </w:pPr>
      <w:r w:rsidRPr="00C40A15">
        <w:rPr>
          <w:snapToGrid w:val="0"/>
          <w:lang w:val="de-DE"/>
        </w:rPr>
        <w:fldChar w:fldCharType="begin"/>
      </w:r>
      <w:r w:rsidRPr="00C40A15">
        <w:rPr>
          <w:snapToGrid w:val="0"/>
          <w:lang w:val="de-DE"/>
        </w:rPr>
        <w:instrText xml:space="preserve"> AUTONUM  </w:instrText>
      </w:r>
      <w:r w:rsidRPr="00C40A15">
        <w:rPr>
          <w:snapToGrid w:val="0"/>
          <w:lang w:val="de-DE"/>
        </w:rPr>
        <w:fldChar w:fldCharType="end"/>
      </w:r>
      <w:r w:rsidRPr="00C40A15">
        <w:rPr>
          <w:snapToGrid w:val="0"/>
          <w:lang w:val="de-DE"/>
        </w:rPr>
        <w:tab/>
      </w:r>
      <w:r w:rsidR="005F1B6E" w:rsidRPr="00C40A15">
        <w:rPr>
          <w:snapToGrid w:val="0"/>
          <w:lang w:val="de-DE"/>
        </w:rPr>
        <w:t>D</w:t>
      </w:r>
      <w:r w:rsidR="00317290" w:rsidRPr="00C40A15">
        <w:rPr>
          <w:lang w:val="de-DE"/>
        </w:rPr>
        <w:t>ie</w:t>
      </w:r>
      <w:r w:rsidR="00463127" w:rsidRPr="00C40A15">
        <w:rPr>
          <w:lang w:val="de-DE"/>
        </w:rPr>
        <w:t xml:space="preserve"> </w:t>
      </w:r>
      <w:r w:rsidR="005F1B6E" w:rsidRPr="00C40A15">
        <w:rPr>
          <w:lang w:val="de-DE"/>
        </w:rPr>
        <w:t xml:space="preserve">TWO, die TWF, die TWC, die </w:t>
      </w:r>
      <w:r w:rsidR="00463127" w:rsidRPr="00C40A15">
        <w:rPr>
          <w:lang w:val="de-DE"/>
        </w:rPr>
        <w:t xml:space="preserve">TWV </w:t>
      </w:r>
      <w:r w:rsidR="00317290" w:rsidRPr="00C40A15">
        <w:rPr>
          <w:lang w:val="de-DE"/>
        </w:rPr>
        <w:t>u</w:t>
      </w:r>
      <w:r w:rsidR="00463127" w:rsidRPr="00C40A15">
        <w:rPr>
          <w:lang w:val="de-DE"/>
        </w:rPr>
        <w:t xml:space="preserve">nd </w:t>
      </w:r>
      <w:r w:rsidR="00317290" w:rsidRPr="00C40A15">
        <w:rPr>
          <w:lang w:val="de-DE"/>
        </w:rPr>
        <w:t xml:space="preserve">die </w:t>
      </w:r>
      <w:r w:rsidR="00463127" w:rsidRPr="00C40A15">
        <w:rPr>
          <w:lang w:val="de-DE"/>
        </w:rPr>
        <w:t xml:space="preserve">TWA </w:t>
      </w:r>
      <w:r w:rsidR="00317290" w:rsidRPr="00C40A15">
        <w:rPr>
          <w:lang w:val="de-DE"/>
        </w:rPr>
        <w:t xml:space="preserve">prüften auf ihren Tagungen im Jahre 2014 die </w:t>
      </w:r>
      <w:r w:rsidR="00F3160C" w:rsidRPr="00C40A15">
        <w:rPr>
          <w:lang w:val="de-DE"/>
        </w:rPr>
        <w:t>Dokumente</w:t>
      </w:r>
      <w:r w:rsidR="00463127" w:rsidRPr="00C40A15">
        <w:rPr>
          <w:lang w:val="de-DE"/>
        </w:rPr>
        <w:t> TWO/47/13,</w:t>
      </w:r>
      <w:r w:rsidR="00463127" w:rsidRPr="00C40A15">
        <w:rPr>
          <w:rFonts w:cs="Arial"/>
          <w:lang w:val="de-DE"/>
        </w:rPr>
        <w:t xml:space="preserve"> TWF/45/13, TWC/32/13</w:t>
      </w:r>
      <w:r w:rsidR="00317290" w:rsidRPr="00C40A15">
        <w:rPr>
          <w:rFonts w:cs="Arial"/>
          <w:lang w:val="de-DE"/>
        </w:rPr>
        <w:t>,</w:t>
      </w:r>
      <w:r w:rsidR="00463127" w:rsidRPr="00C40A15">
        <w:rPr>
          <w:rFonts w:cs="Arial"/>
          <w:lang w:val="de-DE"/>
        </w:rPr>
        <w:t xml:space="preserve"> </w:t>
      </w:r>
      <w:r w:rsidR="00317290" w:rsidRPr="00C40A15">
        <w:rPr>
          <w:rFonts w:cs="Arial"/>
          <w:lang w:val="de-DE"/>
        </w:rPr>
        <w:t>TWV/48/13 bzw.</w:t>
      </w:r>
      <w:r w:rsidR="00463127" w:rsidRPr="00C40A15">
        <w:rPr>
          <w:rFonts w:cs="Arial"/>
          <w:lang w:val="de-DE"/>
        </w:rPr>
        <w:t xml:space="preserve"> TWA/43/13, </w:t>
      </w:r>
      <w:r w:rsidR="00317290" w:rsidRPr="00C40A15">
        <w:rPr>
          <w:rFonts w:cs="Arial"/>
          <w:lang w:val="de-DE"/>
        </w:rPr>
        <w:t xml:space="preserve">die die drei vorgeschlagenen Ansätze zur Anleitung für </w:t>
      </w:r>
      <w:r w:rsidR="00016CD6" w:rsidRPr="00C40A15">
        <w:rPr>
          <w:rFonts w:cs="Arial"/>
          <w:lang w:val="de-DE"/>
        </w:rPr>
        <w:t>Prüfungsrichtlinien</w:t>
      </w:r>
      <w:r w:rsidR="00463127" w:rsidRPr="00C40A15">
        <w:rPr>
          <w:rFonts w:cs="Arial"/>
          <w:lang w:val="de-DE"/>
        </w:rPr>
        <w:t xml:space="preserve"> </w:t>
      </w:r>
      <w:r w:rsidR="00317290" w:rsidRPr="00C40A15">
        <w:rPr>
          <w:rFonts w:cs="Arial"/>
          <w:lang w:val="de-DE"/>
        </w:rPr>
        <w:t xml:space="preserve">enthielten, die auf der Grundlage von Sorten mit nur einer </w:t>
      </w:r>
      <w:r w:rsidR="00F3160C" w:rsidRPr="00C40A15">
        <w:rPr>
          <w:rFonts w:cs="Arial"/>
          <w:lang w:val="de-DE"/>
        </w:rPr>
        <w:t>Vermehrungsart</w:t>
      </w:r>
      <w:r w:rsidR="00463127" w:rsidRPr="00C40A15">
        <w:rPr>
          <w:rFonts w:cs="Arial"/>
          <w:lang w:val="de-DE"/>
        </w:rPr>
        <w:t xml:space="preserve"> </w:t>
      </w:r>
      <w:r w:rsidR="00317290" w:rsidRPr="00C40A15">
        <w:rPr>
          <w:rFonts w:cs="Arial"/>
          <w:lang w:val="de-DE"/>
        </w:rPr>
        <w:t>erarbeitet w</w:t>
      </w:r>
      <w:r w:rsidR="005F1B6E" w:rsidRPr="00C40A15">
        <w:rPr>
          <w:rFonts w:cs="Arial"/>
          <w:lang w:val="de-DE"/>
        </w:rPr>
        <w:t>e</w:t>
      </w:r>
      <w:r w:rsidR="00317290" w:rsidRPr="00C40A15">
        <w:rPr>
          <w:rFonts w:cs="Arial"/>
          <w:lang w:val="de-DE"/>
        </w:rPr>
        <w:t xml:space="preserve">rden, wenn Sorten künftig mit anderen Vermehrungsarten entwickelt </w:t>
      </w:r>
      <w:r w:rsidR="00A370CB" w:rsidRPr="00C40A15">
        <w:rPr>
          <w:rFonts w:cs="Arial"/>
          <w:lang w:val="de-DE"/>
        </w:rPr>
        <w:t>werden</w:t>
      </w:r>
      <w:r w:rsidR="0068630A" w:rsidRPr="00C40A15">
        <w:rPr>
          <w:rFonts w:cs="Arial"/>
          <w:lang w:val="de-DE"/>
        </w:rPr>
        <w:t xml:space="preserve"> können</w:t>
      </w:r>
      <w:r w:rsidR="00317290" w:rsidRPr="00C40A15">
        <w:rPr>
          <w:rFonts w:cs="Arial"/>
          <w:lang w:val="de-DE"/>
        </w:rPr>
        <w:t xml:space="preserve">, wie in den </w:t>
      </w:r>
      <w:r w:rsidR="00F3160C" w:rsidRPr="00C40A15">
        <w:rPr>
          <w:rFonts w:cs="Arial"/>
          <w:lang w:val="de-DE"/>
        </w:rPr>
        <w:t>Absätze</w:t>
      </w:r>
      <w:r w:rsidR="00317290" w:rsidRPr="00C40A15">
        <w:rPr>
          <w:rFonts w:cs="Arial"/>
          <w:lang w:val="de-DE"/>
        </w:rPr>
        <w:t>n</w:t>
      </w:r>
      <w:r w:rsidR="00463127" w:rsidRPr="00C40A15">
        <w:rPr>
          <w:rFonts w:cs="Arial"/>
          <w:lang w:val="de-DE"/>
        </w:rPr>
        <w:t xml:space="preserve"> 7 </w:t>
      </w:r>
      <w:r w:rsidR="00317290" w:rsidRPr="00C40A15">
        <w:rPr>
          <w:rFonts w:cs="Arial"/>
          <w:lang w:val="de-DE"/>
        </w:rPr>
        <w:t>bis</w:t>
      </w:r>
      <w:r w:rsidR="00463127" w:rsidRPr="00C40A15">
        <w:rPr>
          <w:rFonts w:cs="Arial"/>
          <w:lang w:val="de-DE"/>
        </w:rPr>
        <w:t xml:space="preserve"> 9 </w:t>
      </w:r>
      <w:r w:rsidR="00317290" w:rsidRPr="00C40A15">
        <w:rPr>
          <w:rFonts w:cs="Arial"/>
          <w:lang w:val="de-DE"/>
        </w:rPr>
        <w:t>dieses</w:t>
      </w:r>
      <w:r w:rsidR="00463127" w:rsidRPr="00C40A15">
        <w:rPr>
          <w:rFonts w:cs="Arial"/>
          <w:lang w:val="de-DE"/>
        </w:rPr>
        <w:t xml:space="preserve"> </w:t>
      </w:r>
      <w:r w:rsidR="00F3160C" w:rsidRPr="00C40A15">
        <w:rPr>
          <w:rFonts w:cs="Arial"/>
          <w:lang w:val="de-DE"/>
        </w:rPr>
        <w:t>Dokument</w:t>
      </w:r>
      <w:r w:rsidR="00317290" w:rsidRPr="00C40A15">
        <w:rPr>
          <w:rFonts w:cs="Arial"/>
          <w:lang w:val="de-DE"/>
        </w:rPr>
        <w:t>s dargelegt</w:t>
      </w:r>
      <w:r w:rsidR="00463127" w:rsidRPr="00C40A15">
        <w:rPr>
          <w:rFonts w:cs="Arial"/>
          <w:lang w:val="de-DE"/>
        </w:rPr>
        <w:t>.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463127" w:rsidP="00463127">
      <w:pPr>
        <w:rPr>
          <w:snapToGrid w:val="0"/>
          <w:lang w:val="de-DE"/>
        </w:rPr>
      </w:pPr>
      <w:r w:rsidRPr="00C40A15">
        <w:rPr>
          <w:snapToGrid w:val="0"/>
          <w:lang w:val="de-DE"/>
        </w:rPr>
        <w:fldChar w:fldCharType="begin"/>
      </w:r>
      <w:r w:rsidRPr="00C40A15">
        <w:rPr>
          <w:snapToGrid w:val="0"/>
          <w:lang w:val="de-DE"/>
        </w:rPr>
        <w:instrText xml:space="preserve"> AUTONUM  </w:instrText>
      </w:r>
      <w:r w:rsidRPr="00C40A15">
        <w:rPr>
          <w:snapToGrid w:val="0"/>
          <w:lang w:val="de-DE"/>
        </w:rPr>
        <w:fldChar w:fldCharType="end"/>
      </w:r>
      <w:r w:rsidRPr="00C40A15">
        <w:rPr>
          <w:snapToGrid w:val="0"/>
          <w:lang w:val="de-DE"/>
        </w:rPr>
        <w:tab/>
      </w:r>
      <w:r w:rsidR="00317290" w:rsidRPr="00C40A15">
        <w:rPr>
          <w:snapToGrid w:val="0"/>
          <w:lang w:val="de-DE"/>
        </w:rPr>
        <w:t>Di</w:t>
      </w:r>
      <w:r w:rsidRPr="00C40A15">
        <w:rPr>
          <w:snapToGrid w:val="0"/>
          <w:lang w:val="de-DE"/>
        </w:rPr>
        <w:t xml:space="preserve">e TWO, </w:t>
      </w:r>
      <w:r w:rsidR="00317290" w:rsidRPr="00C40A15">
        <w:rPr>
          <w:snapToGrid w:val="0"/>
          <w:lang w:val="de-DE"/>
        </w:rPr>
        <w:t xml:space="preserve">die </w:t>
      </w:r>
      <w:r w:rsidRPr="00C40A15">
        <w:rPr>
          <w:snapToGrid w:val="0"/>
          <w:lang w:val="de-DE"/>
        </w:rPr>
        <w:t xml:space="preserve">TWF, </w:t>
      </w:r>
      <w:r w:rsidR="00317290" w:rsidRPr="00C40A15">
        <w:rPr>
          <w:snapToGrid w:val="0"/>
          <w:lang w:val="de-DE"/>
        </w:rPr>
        <w:t xml:space="preserve">die </w:t>
      </w:r>
      <w:r w:rsidRPr="00C40A15">
        <w:rPr>
          <w:snapToGrid w:val="0"/>
          <w:lang w:val="de-DE"/>
        </w:rPr>
        <w:t xml:space="preserve">TWC, </w:t>
      </w:r>
      <w:r w:rsidR="00317290" w:rsidRPr="00C40A15">
        <w:rPr>
          <w:snapToGrid w:val="0"/>
          <w:lang w:val="de-DE"/>
        </w:rPr>
        <w:t xml:space="preserve">die </w:t>
      </w:r>
      <w:r w:rsidRPr="00C40A15">
        <w:rPr>
          <w:snapToGrid w:val="0"/>
          <w:lang w:val="de-DE"/>
        </w:rPr>
        <w:t xml:space="preserve">TWV </w:t>
      </w:r>
      <w:r w:rsidR="00317290" w:rsidRPr="00C40A15">
        <w:rPr>
          <w:snapToGrid w:val="0"/>
          <w:lang w:val="de-DE"/>
        </w:rPr>
        <w:t>und die</w:t>
      </w:r>
      <w:r w:rsidRPr="00C40A15">
        <w:rPr>
          <w:snapToGrid w:val="0"/>
          <w:lang w:val="de-DE"/>
        </w:rPr>
        <w:t xml:space="preserve"> TWA </w:t>
      </w:r>
      <w:r w:rsidR="00A370CB" w:rsidRPr="00C40A15">
        <w:rPr>
          <w:snapToGrid w:val="0"/>
          <w:lang w:val="de-DE"/>
        </w:rPr>
        <w:t>vereinbarten</w:t>
      </w:r>
      <w:r w:rsidR="00317290" w:rsidRPr="00C40A15">
        <w:rPr>
          <w:snapToGrid w:val="0"/>
          <w:lang w:val="de-DE"/>
        </w:rPr>
        <w:t xml:space="preserve">, </w:t>
      </w:r>
      <w:r w:rsidR="00A370CB" w:rsidRPr="00C40A15">
        <w:rPr>
          <w:snapToGrid w:val="0"/>
          <w:lang w:val="de-DE"/>
        </w:rPr>
        <w:t>daß</w:t>
      </w:r>
      <w:r w:rsidR="00317290" w:rsidRPr="00C40A15">
        <w:rPr>
          <w:snapToGrid w:val="0"/>
          <w:lang w:val="de-DE"/>
        </w:rPr>
        <w:t xml:space="preserve"> Ansatz</w:t>
      </w:r>
      <w:r w:rsidRPr="00C40A15">
        <w:rPr>
          <w:snapToGrid w:val="0"/>
          <w:lang w:val="de-DE"/>
        </w:rPr>
        <w:t xml:space="preserve"> 3</w:t>
      </w:r>
      <w:r w:rsidR="00317290" w:rsidRPr="00C40A15">
        <w:rPr>
          <w:snapToGrid w:val="0"/>
          <w:lang w:val="de-DE"/>
        </w:rPr>
        <w:t>, „Angabe der bestehenden</w:t>
      </w:r>
      <w:r w:rsidRPr="00C40A15">
        <w:rPr>
          <w:snapToGrid w:val="0"/>
          <w:lang w:val="de-DE"/>
        </w:rPr>
        <w:t xml:space="preserve"> </w:t>
      </w:r>
      <w:r w:rsidR="00F3160C" w:rsidRPr="00C40A15">
        <w:rPr>
          <w:snapToGrid w:val="0"/>
          <w:lang w:val="de-DE"/>
        </w:rPr>
        <w:t>Vermehrungsart</w:t>
      </w:r>
      <w:r w:rsidRPr="00C40A15">
        <w:rPr>
          <w:snapToGrid w:val="0"/>
          <w:lang w:val="de-DE"/>
        </w:rPr>
        <w:t xml:space="preserve"> </w:t>
      </w:r>
      <w:r w:rsidR="00317290" w:rsidRPr="00C40A15">
        <w:rPr>
          <w:snapToGrid w:val="0"/>
          <w:lang w:val="de-DE"/>
        </w:rPr>
        <w:t>u</w:t>
      </w:r>
      <w:r w:rsidRPr="00C40A15">
        <w:rPr>
          <w:snapToGrid w:val="0"/>
          <w:lang w:val="de-DE"/>
        </w:rPr>
        <w:t xml:space="preserve">nd </w:t>
      </w:r>
      <w:r w:rsidR="00317290" w:rsidRPr="00C40A15">
        <w:rPr>
          <w:snapToGrid w:val="0"/>
          <w:lang w:val="de-DE"/>
        </w:rPr>
        <w:t xml:space="preserve">Vorwegnahme künftiger </w:t>
      </w:r>
      <w:r w:rsidR="00A370CB" w:rsidRPr="00C40A15">
        <w:rPr>
          <w:snapToGrid w:val="0"/>
          <w:lang w:val="de-DE"/>
        </w:rPr>
        <w:t>Entwicklungen</w:t>
      </w:r>
      <w:r w:rsidR="00317290" w:rsidRPr="00C40A15">
        <w:rPr>
          <w:snapToGrid w:val="0"/>
          <w:lang w:val="de-DE"/>
        </w:rPr>
        <w:t xml:space="preserve">“ die geeignetste Anleitung für </w:t>
      </w:r>
      <w:r w:rsidR="00016CD6" w:rsidRPr="00C40A15">
        <w:rPr>
          <w:snapToGrid w:val="0"/>
          <w:lang w:val="de-DE"/>
        </w:rPr>
        <w:t>Prüfungsrichtlinien</w:t>
      </w:r>
      <w:r w:rsidRPr="00C40A15">
        <w:rPr>
          <w:snapToGrid w:val="0"/>
          <w:lang w:val="de-DE"/>
        </w:rPr>
        <w:t xml:space="preserve"> </w:t>
      </w:r>
      <w:r w:rsidR="00317290" w:rsidRPr="00C40A15">
        <w:rPr>
          <w:snapToGrid w:val="0"/>
          <w:lang w:val="de-DE"/>
        </w:rPr>
        <w:t xml:space="preserve">sei, die auf der Grundlage von Sorten mit nur einer </w:t>
      </w:r>
      <w:r w:rsidR="00F3160C" w:rsidRPr="00C40A15">
        <w:rPr>
          <w:snapToGrid w:val="0"/>
          <w:lang w:val="de-DE"/>
        </w:rPr>
        <w:t>Vermehrungsart</w:t>
      </w:r>
      <w:r w:rsidRPr="00C40A15">
        <w:rPr>
          <w:snapToGrid w:val="0"/>
          <w:lang w:val="de-DE"/>
        </w:rPr>
        <w:t xml:space="preserve"> </w:t>
      </w:r>
      <w:r w:rsidR="00317290" w:rsidRPr="00C40A15">
        <w:rPr>
          <w:snapToGrid w:val="0"/>
          <w:lang w:val="de-DE"/>
        </w:rPr>
        <w:t xml:space="preserve">erarbeitet </w:t>
      </w:r>
      <w:r w:rsidR="00A370CB" w:rsidRPr="00C40A15">
        <w:rPr>
          <w:snapToGrid w:val="0"/>
          <w:lang w:val="de-DE"/>
        </w:rPr>
        <w:t>w</w:t>
      </w:r>
      <w:r w:rsidR="0058371E" w:rsidRPr="00C40A15">
        <w:rPr>
          <w:snapToGrid w:val="0"/>
          <w:lang w:val="de-DE"/>
        </w:rPr>
        <w:t>e</w:t>
      </w:r>
      <w:r w:rsidR="00A370CB" w:rsidRPr="00C40A15">
        <w:rPr>
          <w:snapToGrid w:val="0"/>
          <w:lang w:val="de-DE"/>
        </w:rPr>
        <w:t>rden</w:t>
      </w:r>
      <w:r w:rsidR="00317290" w:rsidRPr="00C40A15">
        <w:rPr>
          <w:snapToGrid w:val="0"/>
          <w:lang w:val="de-DE"/>
        </w:rPr>
        <w:t xml:space="preserve">, </w:t>
      </w:r>
      <w:r w:rsidR="00317290" w:rsidRPr="00C40A15">
        <w:rPr>
          <w:rFonts w:cs="Arial"/>
          <w:lang w:val="de-DE"/>
        </w:rPr>
        <w:t xml:space="preserve">wenn Sorten künftig mit anderen Vermehrungsarten entwickelt </w:t>
      </w:r>
      <w:r w:rsidR="00A370CB" w:rsidRPr="00C40A15">
        <w:rPr>
          <w:rFonts w:cs="Arial"/>
          <w:lang w:val="de-DE"/>
        </w:rPr>
        <w:t>werden</w:t>
      </w:r>
      <w:r w:rsidR="0068630A" w:rsidRPr="00C40A15">
        <w:rPr>
          <w:rFonts w:cs="Arial"/>
          <w:lang w:val="de-DE"/>
        </w:rPr>
        <w:t xml:space="preserve"> können</w:t>
      </w:r>
      <w:r w:rsidR="00317290" w:rsidRPr="00C40A15">
        <w:rPr>
          <w:snapToGrid w:val="0"/>
          <w:lang w:val="de-DE"/>
        </w:rPr>
        <w:t>.</w:t>
      </w:r>
    </w:p>
    <w:p w:rsidR="00463127" w:rsidRPr="00C40A15" w:rsidRDefault="00463127" w:rsidP="00463127">
      <w:pPr>
        <w:rPr>
          <w:snapToGrid w:val="0"/>
          <w:lang w:val="de-DE"/>
        </w:rPr>
      </w:pPr>
    </w:p>
    <w:p w:rsidR="00463127" w:rsidRPr="00C40A15" w:rsidRDefault="00463127" w:rsidP="00463127">
      <w:pPr>
        <w:rPr>
          <w:snapToGrid w:val="0"/>
          <w:lang w:val="de-DE"/>
        </w:rPr>
      </w:pPr>
      <w:r w:rsidRPr="00C40A15">
        <w:rPr>
          <w:snapToGrid w:val="0"/>
          <w:lang w:val="de-DE"/>
        </w:rPr>
        <w:fldChar w:fldCharType="begin"/>
      </w:r>
      <w:r w:rsidRPr="00C40A15">
        <w:rPr>
          <w:snapToGrid w:val="0"/>
          <w:lang w:val="de-DE"/>
        </w:rPr>
        <w:instrText xml:space="preserve"> AUTONUM  </w:instrText>
      </w:r>
      <w:r w:rsidRPr="00C40A15">
        <w:rPr>
          <w:snapToGrid w:val="0"/>
          <w:lang w:val="de-DE"/>
        </w:rPr>
        <w:fldChar w:fldCharType="end"/>
      </w:r>
      <w:r w:rsidRPr="00C40A15">
        <w:rPr>
          <w:snapToGrid w:val="0"/>
          <w:lang w:val="de-DE"/>
        </w:rPr>
        <w:tab/>
      </w:r>
      <w:r w:rsidR="00317290" w:rsidRPr="00C40A15">
        <w:rPr>
          <w:snapToGrid w:val="0"/>
          <w:lang w:val="de-DE"/>
        </w:rPr>
        <w:t>Die</w:t>
      </w:r>
      <w:r w:rsidRPr="00C40A15">
        <w:rPr>
          <w:snapToGrid w:val="0"/>
          <w:lang w:val="de-DE"/>
        </w:rPr>
        <w:t xml:space="preserve"> TWO, </w:t>
      </w:r>
      <w:r w:rsidR="00317290" w:rsidRPr="00C40A15">
        <w:rPr>
          <w:snapToGrid w:val="0"/>
          <w:lang w:val="de-DE"/>
        </w:rPr>
        <w:t>die TWF, die TWC</w:t>
      </w:r>
      <w:r w:rsidR="0058371E" w:rsidRPr="00C40A15">
        <w:rPr>
          <w:snapToGrid w:val="0"/>
          <w:lang w:val="de-DE"/>
        </w:rPr>
        <w:t xml:space="preserve"> und</w:t>
      </w:r>
      <w:r w:rsidR="00317290" w:rsidRPr="00C40A15">
        <w:rPr>
          <w:snapToGrid w:val="0"/>
          <w:lang w:val="de-DE"/>
        </w:rPr>
        <w:t xml:space="preserve"> die TWV </w:t>
      </w:r>
      <w:r w:rsidR="00037E30" w:rsidRPr="00C40A15">
        <w:rPr>
          <w:snapToGrid w:val="0"/>
          <w:lang w:val="de-DE"/>
        </w:rPr>
        <w:t xml:space="preserve">vereinbarten, </w:t>
      </w:r>
      <w:r w:rsidR="00A370CB" w:rsidRPr="00C40A15">
        <w:rPr>
          <w:snapToGrid w:val="0"/>
          <w:lang w:val="de-DE"/>
        </w:rPr>
        <w:t>daß</w:t>
      </w:r>
      <w:r w:rsidR="00037E30" w:rsidRPr="00C40A15">
        <w:rPr>
          <w:snapToGrid w:val="0"/>
          <w:lang w:val="de-DE"/>
        </w:rPr>
        <w:t xml:space="preserve"> </w:t>
      </w:r>
      <w:r w:rsidRPr="00C40A15">
        <w:rPr>
          <w:snapToGrid w:val="0"/>
          <w:lang w:val="de-DE"/>
        </w:rPr>
        <w:t xml:space="preserve">ASW 8 </w:t>
      </w:r>
      <w:r w:rsidR="00A370CB" w:rsidRPr="00C40A15">
        <w:rPr>
          <w:snapToGrid w:val="0"/>
          <w:lang w:val="de-DE"/>
        </w:rPr>
        <w:t>gemäß</w:t>
      </w:r>
      <w:r w:rsidR="00037E30" w:rsidRPr="00C40A15">
        <w:rPr>
          <w:snapToGrid w:val="0"/>
          <w:lang w:val="de-DE"/>
        </w:rPr>
        <w:t xml:space="preserve"> dem Vorschlag in Ansatz</w:t>
      </w:r>
      <w:r w:rsidR="0058371E" w:rsidRPr="00C40A15">
        <w:rPr>
          <w:snapToGrid w:val="0"/>
          <w:lang w:val="de-DE"/>
        </w:rPr>
        <w:t> </w:t>
      </w:r>
      <w:r w:rsidR="00037E30" w:rsidRPr="00C40A15">
        <w:rPr>
          <w:snapToGrid w:val="0"/>
          <w:lang w:val="de-DE"/>
        </w:rPr>
        <w:t xml:space="preserve">3 geändert werden sollte, wie </w:t>
      </w:r>
      <w:r w:rsidRPr="00C40A15">
        <w:rPr>
          <w:snapToGrid w:val="0"/>
          <w:lang w:val="de-DE"/>
        </w:rPr>
        <w:t xml:space="preserve">in </w:t>
      </w:r>
      <w:r w:rsidR="00F3160C" w:rsidRPr="00C40A15">
        <w:rPr>
          <w:snapToGrid w:val="0"/>
          <w:lang w:val="de-DE"/>
        </w:rPr>
        <w:t>Absatz</w:t>
      </w:r>
      <w:r w:rsidRPr="00C40A15">
        <w:rPr>
          <w:snapToGrid w:val="0"/>
          <w:lang w:val="de-DE"/>
        </w:rPr>
        <w:t xml:space="preserve"> 9 </w:t>
      </w:r>
      <w:r w:rsidR="00037E30" w:rsidRPr="00C40A15">
        <w:rPr>
          <w:snapToGrid w:val="0"/>
          <w:lang w:val="de-DE"/>
        </w:rPr>
        <w:t>dieses Dokuments</w:t>
      </w:r>
      <w:r w:rsidRPr="00C40A15">
        <w:rPr>
          <w:snapToGrid w:val="0"/>
          <w:lang w:val="de-DE"/>
        </w:rPr>
        <w:t xml:space="preserve"> </w:t>
      </w:r>
      <w:r w:rsidR="00037E30" w:rsidRPr="00C40A15">
        <w:rPr>
          <w:snapToGrid w:val="0"/>
          <w:lang w:val="de-DE"/>
        </w:rPr>
        <w:t xml:space="preserve">dargelegt </w:t>
      </w:r>
      <w:r w:rsidRPr="00C40A15">
        <w:rPr>
          <w:lang w:val="de-DE"/>
        </w:rPr>
        <w:t>(</w:t>
      </w:r>
      <w:r w:rsidR="00F3160C" w:rsidRPr="00C40A15">
        <w:rPr>
          <w:lang w:val="de-DE"/>
        </w:rPr>
        <w:t xml:space="preserve">vergleiche </w:t>
      </w:r>
      <w:r w:rsidR="0058371E" w:rsidRPr="00C40A15">
        <w:rPr>
          <w:lang w:val="de-DE"/>
        </w:rPr>
        <w:t xml:space="preserve">die </w:t>
      </w:r>
      <w:r w:rsidR="00F3160C" w:rsidRPr="00C40A15">
        <w:rPr>
          <w:lang w:val="de-DE"/>
        </w:rPr>
        <w:lastRenderedPageBreak/>
        <w:t>Dokumente</w:t>
      </w:r>
      <w:r w:rsidRPr="00C40A15">
        <w:rPr>
          <w:lang w:val="de-DE"/>
        </w:rPr>
        <w:t> TWO/47/28</w:t>
      </w:r>
      <w:r w:rsidR="00037E30" w:rsidRPr="00C40A15">
        <w:rPr>
          <w:lang w:val="de-DE"/>
        </w:rPr>
        <w:t>,</w:t>
      </w:r>
      <w:r w:rsidRPr="00C40A15">
        <w:rPr>
          <w:lang w:val="de-DE"/>
        </w:rPr>
        <w:t xml:space="preserve"> </w:t>
      </w:r>
      <w:r w:rsidR="00037E30" w:rsidRPr="00C40A15">
        <w:rPr>
          <w:lang w:val="de-DE"/>
        </w:rPr>
        <w:t>„</w:t>
      </w:r>
      <w:r w:rsidR="00037E30" w:rsidRPr="00C40A15">
        <w:rPr>
          <w:i/>
          <w:lang w:val="de-DE"/>
        </w:rPr>
        <w:t>Report</w:t>
      </w:r>
      <w:r w:rsidR="00037E30" w:rsidRPr="00C40A15">
        <w:rPr>
          <w:lang w:val="de-DE"/>
        </w:rPr>
        <w:t>“</w:t>
      </w:r>
      <w:r w:rsidRPr="00C40A15">
        <w:rPr>
          <w:lang w:val="de-DE"/>
        </w:rPr>
        <w:t xml:space="preserve">, </w:t>
      </w:r>
      <w:r w:rsidR="00F3160C" w:rsidRPr="00C40A15">
        <w:rPr>
          <w:lang w:val="de-DE"/>
        </w:rPr>
        <w:t>Absatz</w:t>
      </w:r>
      <w:r w:rsidRPr="00C40A15">
        <w:rPr>
          <w:lang w:val="de-DE"/>
        </w:rPr>
        <w:t xml:space="preserve"> 36</w:t>
      </w:r>
      <w:r w:rsidR="00037E30" w:rsidRPr="00C40A15">
        <w:rPr>
          <w:lang w:val="de-DE"/>
        </w:rPr>
        <w:t>,</w:t>
      </w:r>
      <w:r w:rsidRPr="00C40A15">
        <w:rPr>
          <w:lang w:val="de-DE"/>
        </w:rPr>
        <w:t xml:space="preserve"> TWF/44/31</w:t>
      </w:r>
      <w:r w:rsidR="00037E30" w:rsidRPr="00C40A15">
        <w:rPr>
          <w:lang w:val="de-DE"/>
        </w:rPr>
        <w:t>,</w:t>
      </w:r>
      <w:r w:rsidRPr="00C40A15">
        <w:rPr>
          <w:lang w:val="de-DE"/>
        </w:rPr>
        <w:t xml:space="preserve"> </w:t>
      </w:r>
      <w:r w:rsidR="00037E30" w:rsidRPr="00C40A15">
        <w:rPr>
          <w:lang w:val="de-DE"/>
        </w:rPr>
        <w:t>„</w:t>
      </w:r>
      <w:r w:rsidR="00037E30" w:rsidRPr="00C40A15">
        <w:rPr>
          <w:i/>
          <w:lang w:val="de-DE"/>
        </w:rPr>
        <w:t>Report</w:t>
      </w:r>
      <w:r w:rsidR="00037E30" w:rsidRPr="00C40A15">
        <w:rPr>
          <w:lang w:val="de-DE"/>
        </w:rPr>
        <w:t>“</w:t>
      </w:r>
      <w:r w:rsidRPr="00C40A15">
        <w:rPr>
          <w:lang w:val="de-DE"/>
        </w:rPr>
        <w:t xml:space="preserve">, </w:t>
      </w:r>
      <w:r w:rsidR="00F3160C" w:rsidRPr="00C40A15">
        <w:rPr>
          <w:lang w:val="de-DE"/>
        </w:rPr>
        <w:t>Absatz</w:t>
      </w:r>
      <w:r w:rsidRPr="00C40A15">
        <w:rPr>
          <w:lang w:val="de-DE"/>
        </w:rPr>
        <w:t> 24</w:t>
      </w:r>
      <w:r w:rsidR="00037E30" w:rsidRPr="00C40A15">
        <w:rPr>
          <w:lang w:val="de-DE"/>
        </w:rPr>
        <w:t>,</w:t>
      </w:r>
      <w:r w:rsidRPr="00C40A15">
        <w:rPr>
          <w:lang w:val="de-DE"/>
        </w:rPr>
        <w:t xml:space="preserve"> </w:t>
      </w:r>
      <w:r w:rsidRPr="00C40A15">
        <w:rPr>
          <w:rFonts w:cs="Arial"/>
          <w:lang w:val="de-DE"/>
        </w:rPr>
        <w:t>TWC/31/32</w:t>
      </w:r>
      <w:r w:rsidR="00037E30" w:rsidRPr="00C40A15">
        <w:rPr>
          <w:rFonts w:cs="Arial"/>
          <w:lang w:val="de-DE"/>
        </w:rPr>
        <w:t>,</w:t>
      </w:r>
      <w:r w:rsidRPr="00C40A15">
        <w:rPr>
          <w:rFonts w:cs="Arial"/>
          <w:lang w:val="de-DE"/>
        </w:rPr>
        <w:t xml:space="preserve"> </w:t>
      </w:r>
      <w:r w:rsidR="00037E30" w:rsidRPr="00C40A15">
        <w:rPr>
          <w:lang w:val="de-DE"/>
        </w:rPr>
        <w:t>„</w:t>
      </w:r>
      <w:r w:rsidR="00037E30" w:rsidRPr="00C40A15">
        <w:rPr>
          <w:i/>
          <w:lang w:val="de-DE"/>
        </w:rPr>
        <w:t>Report</w:t>
      </w:r>
      <w:r w:rsidR="00037E30" w:rsidRPr="00C40A15">
        <w:rPr>
          <w:lang w:val="de-DE"/>
        </w:rPr>
        <w:t>“</w:t>
      </w:r>
      <w:r w:rsidRPr="00C40A15">
        <w:rPr>
          <w:rFonts w:cs="Arial"/>
          <w:lang w:val="de-DE"/>
        </w:rPr>
        <w:t xml:space="preserve">, </w:t>
      </w:r>
      <w:r w:rsidR="00F3160C" w:rsidRPr="00C40A15">
        <w:rPr>
          <w:rFonts w:cs="Arial"/>
          <w:lang w:val="de-DE"/>
        </w:rPr>
        <w:t>Absatz</w:t>
      </w:r>
      <w:r w:rsidRPr="00C40A15">
        <w:rPr>
          <w:rFonts w:cs="Arial"/>
          <w:lang w:val="de-DE"/>
        </w:rPr>
        <w:t> 67</w:t>
      </w:r>
      <w:r w:rsidR="00037E30" w:rsidRPr="00C40A15">
        <w:rPr>
          <w:rFonts w:cs="Arial"/>
          <w:lang w:val="de-DE"/>
        </w:rPr>
        <w:t>, u</w:t>
      </w:r>
      <w:r w:rsidRPr="00C40A15">
        <w:rPr>
          <w:rFonts w:cs="Arial"/>
          <w:lang w:val="de-DE"/>
        </w:rPr>
        <w:t>nd TWV/47/34</w:t>
      </w:r>
      <w:r w:rsidR="00037E30" w:rsidRPr="00C40A15">
        <w:rPr>
          <w:rFonts w:cs="Arial"/>
          <w:lang w:val="de-DE"/>
        </w:rPr>
        <w:t>,</w:t>
      </w:r>
      <w:r w:rsidRPr="00C40A15">
        <w:rPr>
          <w:rFonts w:cs="Arial"/>
          <w:lang w:val="de-DE"/>
        </w:rPr>
        <w:t xml:space="preserve"> </w:t>
      </w:r>
      <w:r w:rsidR="00037E30" w:rsidRPr="00C40A15">
        <w:rPr>
          <w:lang w:val="de-DE"/>
        </w:rPr>
        <w:t>„</w:t>
      </w:r>
      <w:r w:rsidR="00037E30" w:rsidRPr="00C40A15">
        <w:rPr>
          <w:i/>
          <w:lang w:val="de-DE"/>
        </w:rPr>
        <w:t>Report</w:t>
      </w:r>
      <w:r w:rsidR="00037E30" w:rsidRPr="00C40A15">
        <w:rPr>
          <w:lang w:val="de-DE"/>
        </w:rPr>
        <w:t>“</w:t>
      </w:r>
      <w:r w:rsidRPr="00C40A15">
        <w:rPr>
          <w:rFonts w:cs="Arial"/>
          <w:lang w:val="de-DE"/>
        </w:rPr>
        <w:t xml:space="preserve">, </w:t>
      </w:r>
      <w:r w:rsidR="00F3160C" w:rsidRPr="00C40A15">
        <w:rPr>
          <w:rFonts w:cs="Arial"/>
          <w:lang w:val="de-DE"/>
        </w:rPr>
        <w:t>Absatz</w:t>
      </w:r>
      <w:r w:rsidRPr="00C40A15">
        <w:rPr>
          <w:rFonts w:cs="Arial"/>
          <w:lang w:val="de-DE"/>
        </w:rPr>
        <w:t xml:space="preserve"> 28</w:t>
      </w:r>
      <w:r w:rsidRPr="00C40A15">
        <w:rPr>
          <w:lang w:val="de-DE"/>
        </w:rPr>
        <w:t>).</w:t>
      </w:r>
    </w:p>
    <w:p w:rsidR="00463127" w:rsidRPr="00C40A15" w:rsidRDefault="00463127" w:rsidP="00463127">
      <w:pPr>
        <w:rPr>
          <w:rFonts w:cs="Arial"/>
          <w:sz w:val="18"/>
          <w:lang w:val="de-DE"/>
        </w:rPr>
      </w:pPr>
    </w:p>
    <w:p w:rsidR="00463127" w:rsidRPr="00C40A15" w:rsidRDefault="00463127" w:rsidP="00463127">
      <w:pPr>
        <w:rPr>
          <w:snapToGrid w:val="0"/>
          <w:lang w:val="de-DE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Pr="00C40A15">
        <w:rPr>
          <w:lang w:val="de-DE"/>
        </w:rPr>
        <w:tab/>
      </w:r>
      <w:r w:rsidR="00A370CB" w:rsidRPr="00C40A15">
        <w:rPr>
          <w:lang w:val="de-DE"/>
        </w:rPr>
        <w:t>Die TWA vereinbarte, daß der vorgeschlagene neue Absatz in Ansatz 3 mit Anleitung zu Verfahren bei Sorten, die künftig mit anderen Vermehrungsarten entwickelt werde</w:t>
      </w:r>
      <w:r w:rsidR="0058371E" w:rsidRPr="00C40A15">
        <w:rPr>
          <w:lang w:val="de-DE"/>
        </w:rPr>
        <w:t>n</w:t>
      </w:r>
      <w:r w:rsidR="00A370CB" w:rsidRPr="00C40A15">
        <w:rPr>
          <w:lang w:val="de-DE"/>
        </w:rPr>
        <w:t xml:space="preserve">, repetitiv würde, wenn die Prüfungsrichtlinien auf der Grundlage von Sorten mit mehr als einer </w:t>
      </w:r>
      <w:r w:rsidR="0058371E" w:rsidRPr="00C40A15">
        <w:rPr>
          <w:lang w:val="de-DE"/>
        </w:rPr>
        <w:t xml:space="preserve">Vermehrungsart </w:t>
      </w:r>
      <w:r w:rsidR="00A370CB" w:rsidRPr="00C40A15">
        <w:rPr>
          <w:lang w:val="de-DE"/>
        </w:rPr>
        <w:t>erarbeitet werden, und vereinbarte, daß ASW 8 wie folgt geändert werden solle (vergleiche Dokument</w:t>
      </w:r>
      <w:r w:rsidR="00A370CB" w:rsidRPr="00C40A15">
        <w:rPr>
          <w:rFonts w:cs="Arial"/>
          <w:lang w:val="de-DE"/>
        </w:rPr>
        <w:t xml:space="preserve"> TWA/43/27 </w:t>
      </w:r>
      <w:r w:rsidR="00A370CB" w:rsidRPr="00C40A15">
        <w:rPr>
          <w:lang w:val="de-DE"/>
        </w:rPr>
        <w:t>„</w:t>
      </w:r>
      <w:r w:rsidR="00A370CB" w:rsidRPr="00C40A15">
        <w:rPr>
          <w:i/>
          <w:lang w:val="de-DE"/>
        </w:rPr>
        <w:t>Report</w:t>
      </w:r>
      <w:r w:rsidR="00A370CB" w:rsidRPr="00C40A15">
        <w:rPr>
          <w:lang w:val="de-DE"/>
        </w:rPr>
        <w:t>“</w:t>
      </w:r>
      <w:r w:rsidR="00A370CB" w:rsidRPr="00C40A15">
        <w:rPr>
          <w:rFonts w:cs="Arial"/>
          <w:lang w:val="de-DE"/>
        </w:rPr>
        <w:t>, Absätze 24 und 25)</w:t>
      </w:r>
      <w:r w:rsidR="00A370CB" w:rsidRPr="00C40A15">
        <w:rPr>
          <w:lang w:val="de-DE"/>
        </w:rPr>
        <w:t>:</w:t>
      </w:r>
    </w:p>
    <w:p w:rsidR="00463127" w:rsidRPr="00C40A15" w:rsidRDefault="00463127" w:rsidP="00463127">
      <w:pPr>
        <w:autoSpaceDE w:val="0"/>
        <w:autoSpaceDN w:val="0"/>
        <w:adjustRightInd w:val="0"/>
        <w:rPr>
          <w:lang w:val="de-DE"/>
        </w:rPr>
      </w:pPr>
    </w:p>
    <w:p w:rsidR="00037E30" w:rsidRPr="00C40A15" w:rsidRDefault="00037E30" w:rsidP="005B7C6E">
      <w:pPr>
        <w:ind w:left="567"/>
        <w:rPr>
          <w:sz w:val="18"/>
          <w:szCs w:val="18"/>
          <w:u w:val="single"/>
          <w:lang w:val="de-DE"/>
        </w:rPr>
      </w:pPr>
      <w:bookmarkStart w:id="42" w:name="_Toc410639240"/>
      <w:r w:rsidRPr="00C40A15">
        <w:rPr>
          <w:sz w:val="18"/>
          <w:szCs w:val="18"/>
          <w:u w:val="single"/>
          <w:lang w:val="de-DE"/>
        </w:rPr>
        <w:t>„ASW 8 (TG -Mustervorlage: Kapitel 4.2) – Homogenitätsprüfung</w:t>
      </w:r>
      <w:bookmarkEnd w:id="42"/>
    </w:p>
    <w:p w:rsidR="00037E30" w:rsidRPr="00C40A15" w:rsidRDefault="00037E30" w:rsidP="00037E30">
      <w:pPr>
        <w:autoSpaceDE w:val="0"/>
        <w:autoSpaceDN w:val="0"/>
        <w:adjustRightInd w:val="0"/>
        <w:rPr>
          <w:rFonts w:cs="Arial"/>
          <w:lang w:val="de-DE"/>
        </w:rPr>
      </w:pPr>
    </w:p>
    <w:p w:rsidR="00037E30" w:rsidRPr="00C40A15" w:rsidRDefault="00037E30" w:rsidP="000F37B3">
      <w:pPr>
        <w:pStyle w:val="Heading4"/>
      </w:pPr>
      <w:r w:rsidRPr="00C40A15">
        <w:t>a)</w:t>
      </w:r>
      <w:r w:rsidRPr="00C40A15">
        <w:tab/>
        <w:t>Fremdbefruchtende Sorten</w:t>
      </w:r>
    </w:p>
    <w:p w:rsidR="00037E30" w:rsidRPr="00C40A15" w:rsidRDefault="00037E30" w:rsidP="00037E30">
      <w:pPr>
        <w:rPr>
          <w:lang w:val="de-DE"/>
        </w:rPr>
      </w:pPr>
    </w:p>
    <w:p w:rsidR="00037E30" w:rsidRPr="00C40A15" w:rsidRDefault="00302E47" w:rsidP="00302E47">
      <w:pPr>
        <w:ind w:left="567" w:firstLine="567"/>
        <w:rPr>
          <w:rFonts w:cs="Arial"/>
          <w:sz w:val="18"/>
          <w:szCs w:val="18"/>
          <w:lang w:val="de-DE" w:eastAsia="fr-CH"/>
        </w:rPr>
      </w:pPr>
      <w:r w:rsidRPr="00C40A15">
        <w:rPr>
          <w:rFonts w:cs="Arial"/>
          <w:i/>
          <w:sz w:val="18"/>
          <w:szCs w:val="18"/>
          <w:lang w:val="de-DE" w:eastAsia="fr-CH"/>
        </w:rPr>
        <w:t>i)   Pr</w:t>
      </w:r>
      <w:r w:rsidR="00037E30" w:rsidRPr="00C40A15">
        <w:rPr>
          <w:rFonts w:cs="Arial"/>
          <w:i/>
          <w:sz w:val="18"/>
          <w:szCs w:val="18"/>
          <w:lang w:val="de-DE" w:eastAsia="fr-CH"/>
        </w:rPr>
        <w:t>üfungsrichtlinien, die nur fremdbefruchtende Sorten betreffen</w:t>
      </w:r>
    </w:p>
    <w:p w:rsidR="00037E30" w:rsidRPr="00C40A15" w:rsidRDefault="00037E30" w:rsidP="00037E30">
      <w:pPr>
        <w:jc w:val="left"/>
        <w:rPr>
          <w:rFonts w:cs="Arial"/>
          <w:sz w:val="18"/>
          <w:szCs w:val="18"/>
          <w:lang w:val="de-DE" w:eastAsia="fr-CH"/>
        </w:rPr>
      </w:pPr>
    </w:p>
    <w:p w:rsidR="00037E30" w:rsidRPr="00C40A15" w:rsidRDefault="00037E30" w:rsidP="00037E30">
      <w:pPr>
        <w:keepNext/>
        <w:ind w:left="567" w:right="567"/>
        <w:rPr>
          <w:sz w:val="18"/>
          <w:szCs w:val="18"/>
          <w:lang w:val="de-DE"/>
        </w:rPr>
      </w:pPr>
      <w:r w:rsidRPr="00C40A15">
        <w:rPr>
          <w:rFonts w:cs="Arial"/>
          <w:sz w:val="18"/>
          <w:szCs w:val="18"/>
          <w:lang w:val="de-DE" w:eastAsia="fr-CH"/>
        </w:rPr>
        <w:t>Die Bestimmung der Homogenität sollte entsprechend den Empfehlungen der Allgemeinen Einführung für</w:t>
      </w:r>
      <w:r w:rsidRPr="00C40A15">
        <w:rPr>
          <w:sz w:val="18"/>
          <w:szCs w:val="18"/>
          <w:lang w:val="de-DE"/>
        </w:rPr>
        <w:t xml:space="preserve"> </w:t>
      </w:r>
      <w:r w:rsidRPr="00C40A15">
        <w:rPr>
          <w:rFonts w:cs="Arial"/>
          <w:sz w:val="18"/>
          <w:szCs w:val="18"/>
          <w:lang w:val="de-DE" w:eastAsia="fr-CH"/>
        </w:rPr>
        <w:t>fremdbefruchtende Sorten erfolgen</w:t>
      </w:r>
      <w:r w:rsidRPr="00C40A15">
        <w:rPr>
          <w:sz w:val="18"/>
          <w:szCs w:val="18"/>
          <w:lang w:val="de-DE"/>
        </w:rPr>
        <w:t>.</w:t>
      </w:r>
    </w:p>
    <w:p w:rsidR="00037E30" w:rsidRPr="00C40A15" w:rsidRDefault="00037E30" w:rsidP="00037E30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037E30" w:rsidRPr="00C40A15" w:rsidRDefault="00037E30" w:rsidP="00037E30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  <w:r w:rsidRPr="00C40A15">
        <w:rPr>
          <w:rFonts w:cs="Arial"/>
          <w:sz w:val="18"/>
          <w:u w:val="single"/>
          <w:lang w:val="de-DE"/>
        </w:rPr>
        <w:t>[…]</w:t>
      </w:r>
    </w:p>
    <w:p w:rsidR="00037E30" w:rsidRPr="00C40A15" w:rsidRDefault="00037E30" w:rsidP="00037E30">
      <w:pPr>
        <w:keepNext/>
        <w:autoSpaceDE w:val="0"/>
        <w:autoSpaceDN w:val="0"/>
        <w:adjustRightInd w:val="0"/>
        <w:ind w:left="567"/>
        <w:rPr>
          <w:rFonts w:cs="Arial"/>
          <w:sz w:val="18"/>
          <w:u w:val="single"/>
          <w:lang w:val="de-DE"/>
        </w:rPr>
      </w:pPr>
    </w:p>
    <w:p w:rsidR="00037E30" w:rsidRPr="00C40A15" w:rsidRDefault="00037E30" w:rsidP="00037E30">
      <w:pPr>
        <w:ind w:firstLine="567"/>
        <w:rPr>
          <w:i/>
          <w:sz w:val="18"/>
          <w:szCs w:val="18"/>
          <w:lang w:val="de-DE"/>
        </w:rPr>
      </w:pPr>
      <w:r w:rsidRPr="00C40A15">
        <w:rPr>
          <w:i/>
          <w:sz w:val="18"/>
          <w:szCs w:val="18"/>
          <w:lang w:val="de-DE"/>
        </w:rPr>
        <w:t>c)</w:t>
      </w:r>
      <w:r w:rsidRPr="00C40A15">
        <w:rPr>
          <w:i/>
          <w:sz w:val="18"/>
          <w:szCs w:val="18"/>
          <w:lang w:val="de-DE"/>
        </w:rPr>
        <w:tab/>
        <w:t>P</w:t>
      </w:r>
      <w:r w:rsidRPr="00C40A15">
        <w:rPr>
          <w:rFonts w:cs="Arial"/>
          <w:i/>
          <w:sz w:val="18"/>
          <w:szCs w:val="18"/>
          <w:lang w:val="de-DE" w:eastAsia="fr-CH"/>
        </w:rPr>
        <w:t>rüfung der Homogenität durch Abweicher (Erfassung aller Merkmale mit derselben Stichprobe)</w:t>
      </w:r>
    </w:p>
    <w:p w:rsidR="00037E30" w:rsidRPr="00C40A15" w:rsidRDefault="00037E30" w:rsidP="00037E30">
      <w:pPr>
        <w:ind w:firstLine="567"/>
        <w:rPr>
          <w:sz w:val="18"/>
          <w:szCs w:val="18"/>
          <w:u w:val="single"/>
          <w:lang w:val="de-DE"/>
        </w:rPr>
      </w:pPr>
    </w:p>
    <w:p w:rsidR="00037E30" w:rsidRPr="00C40A15" w:rsidRDefault="00302E47" w:rsidP="00302E47">
      <w:pPr>
        <w:ind w:left="1134" w:right="567"/>
        <w:rPr>
          <w:rFonts w:cs="Arial"/>
          <w:i/>
          <w:strike/>
          <w:sz w:val="18"/>
          <w:szCs w:val="18"/>
          <w:highlight w:val="lightGray"/>
          <w:lang w:val="de-DE" w:eastAsia="fr-CH"/>
        </w:rPr>
      </w:pPr>
      <w:r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 xml:space="preserve">i)   </w:t>
      </w:r>
      <w:r w:rsidR="00037E30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nur Sorten betreffen, deren Homogenität anhand von Abweichern erfaßt wird</w:t>
      </w:r>
    </w:p>
    <w:p w:rsidR="00037E30" w:rsidRPr="00C40A15" w:rsidRDefault="00037E30" w:rsidP="00037E30">
      <w:pPr>
        <w:ind w:left="567" w:right="567"/>
        <w:rPr>
          <w:strike/>
          <w:sz w:val="18"/>
          <w:highlight w:val="lightGray"/>
          <w:lang w:val="de-DE"/>
        </w:rPr>
      </w:pPr>
    </w:p>
    <w:p w:rsidR="00463127" w:rsidRPr="00C40A15" w:rsidRDefault="00037E30" w:rsidP="005F1B6E">
      <w:pPr>
        <w:keepNext/>
        <w:autoSpaceDE w:val="0"/>
        <w:autoSpaceDN w:val="0"/>
        <w:adjustRightInd w:val="0"/>
        <w:ind w:left="567" w:right="567"/>
        <w:rPr>
          <w:sz w:val="18"/>
          <w:highlight w:val="lightGray"/>
          <w:lang w:val="de-DE"/>
        </w:rPr>
      </w:pPr>
      <w:r w:rsidRPr="00C40A15">
        <w:rPr>
          <w:strike/>
          <w:sz w:val="18"/>
          <w:szCs w:val="18"/>
          <w:highlight w:val="lightGray"/>
          <w:lang w:val="de-DE"/>
        </w:rPr>
        <w:t>Für die Bestimmung der Homogenität sollte ein Populationsstandard von { x }</w:t>
      </w:r>
      <w:r w:rsidR="0058371E" w:rsidRPr="00C40A15">
        <w:rPr>
          <w:strike/>
          <w:sz w:val="18"/>
          <w:szCs w:val="18"/>
          <w:highlight w:val="lightGray"/>
          <w:lang w:val="de-DE"/>
        </w:rPr>
        <w:t> </w:t>
      </w:r>
      <w:r w:rsidRPr="00C40A15">
        <w:rPr>
          <w:strike/>
          <w:sz w:val="18"/>
          <w:szCs w:val="18"/>
          <w:highlight w:val="lightGray"/>
          <w:lang w:val="de-DE"/>
        </w:rPr>
        <w:t>% mit einer Akzeptanzwahrscheinlichkeit von mindestens { y }</w:t>
      </w:r>
      <w:r w:rsidR="0058371E" w:rsidRPr="00C40A15">
        <w:rPr>
          <w:strike/>
          <w:sz w:val="18"/>
          <w:szCs w:val="18"/>
          <w:highlight w:val="lightGray"/>
          <w:lang w:val="de-DE"/>
        </w:rPr>
        <w:t> </w:t>
      </w:r>
      <w:r w:rsidRPr="00C40A15">
        <w:rPr>
          <w:strike/>
          <w:sz w:val="18"/>
          <w:szCs w:val="18"/>
          <w:highlight w:val="lightGray"/>
          <w:lang w:val="de-DE"/>
        </w:rPr>
        <w:t>% angewandt werden. Bei einer Probengröße von { a } Pflanzen ist die höchste zulässige Anza</w:t>
      </w:r>
      <w:r w:rsidR="0058371E" w:rsidRPr="00C40A15">
        <w:rPr>
          <w:strike/>
          <w:sz w:val="18"/>
          <w:szCs w:val="18"/>
          <w:highlight w:val="lightGray"/>
          <w:lang w:val="de-DE"/>
        </w:rPr>
        <w:t>hl von Abweichern [{ b } / [1].</w:t>
      </w:r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de-DE"/>
        </w:rPr>
      </w:pPr>
    </w:p>
    <w:p w:rsidR="00463127" w:rsidRPr="00C40A15" w:rsidRDefault="00463127" w:rsidP="00463127">
      <w:pPr>
        <w:autoSpaceDE w:val="0"/>
        <w:autoSpaceDN w:val="0"/>
        <w:adjustRightInd w:val="0"/>
        <w:ind w:left="1134" w:right="567" w:hanging="567"/>
        <w:rPr>
          <w:i/>
          <w:iCs/>
          <w:sz w:val="18"/>
          <w:lang w:val="de-DE"/>
        </w:rPr>
      </w:pPr>
      <w:r w:rsidRPr="00C40A15">
        <w:rPr>
          <w:i/>
          <w:iCs/>
          <w:sz w:val="18"/>
          <w:highlight w:val="lightGray"/>
          <w:lang w:val="de-DE"/>
        </w:rPr>
        <w:tab/>
      </w:r>
      <w:r w:rsidRPr="00C40A15">
        <w:rPr>
          <w:i/>
          <w:iCs/>
          <w:strike/>
          <w:sz w:val="18"/>
          <w:highlight w:val="lightGray"/>
          <w:lang w:val="de-DE"/>
        </w:rPr>
        <w:t xml:space="preserve">ii) </w:t>
      </w:r>
      <w:r w:rsidR="00D472F3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Sorten, deren Homogenität anhand von Abweichern erfaßt wird, und andere Sortentypen betreffen</w:t>
      </w:r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i/>
          <w:iCs/>
          <w:sz w:val="18"/>
          <w:lang w:val="de-DE"/>
        </w:rPr>
      </w:pPr>
    </w:p>
    <w:p w:rsidR="00463127" w:rsidRPr="00C40A15" w:rsidRDefault="0058371E" w:rsidP="00463127">
      <w:pPr>
        <w:autoSpaceDE w:val="0"/>
        <w:autoSpaceDN w:val="0"/>
        <w:adjustRightInd w:val="0"/>
        <w:ind w:left="567" w:right="567"/>
        <w:rPr>
          <w:sz w:val="18"/>
          <w:lang w:val="de-DE"/>
        </w:rPr>
      </w:pPr>
      <w:r w:rsidRPr="00C40A15">
        <w:rPr>
          <w:rFonts w:cs="Arial"/>
          <w:sz w:val="18"/>
          <w:szCs w:val="18"/>
          <w:lang w:val="de-DE" w:eastAsia="fr-CH"/>
        </w:rPr>
        <w:t>Für die Bestimmung der Homogenität von [selbstbefruchtenden] [vegetativ vermehrten] [samenvermehrten] Sorten sollte ein Populationsstandard von { x } % mit einer Akzeptanzwahrscheinlichkeit von mindestens { y } % angewandt werden. Bei einer Probengröße von { a } Pflanzen ist die höchste zulässige Anzahl von Abweichern [{ b }] / [1].</w:t>
      </w:r>
      <w:r w:rsidR="00302E47" w:rsidRPr="00C40A15">
        <w:rPr>
          <w:sz w:val="18"/>
          <w:szCs w:val="18"/>
          <w:lang w:val="de-DE"/>
        </w:rPr>
        <w:t>“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463127" w:rsidP="00463127">
      <w:pPr>
        <w:rPr>
          <w:lang w:val="de-DE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Pr="00C40A15">
        <w:rPr>
          <w:lang w:val="de-DE"/>
        </w:rPr>
        <w:tab/>
      </w:r>
      <w:r w:rsidR="00A370CB" w:rsidRPr="00C40A15">
        <w:rPr>
          <w:lang w:val="de-DE"/>
        </w:rPr>
        <w:t xml:space="preserve">Die TWA vereinbarte, daß der vorgeschlagene neue </w:t>
      </w:r>
      <w:r w:rsidR="0058371E" w:rsidRPr="00C40A15">
        <w:rPr>
          <w:lang w:val="de-DE"/>
        </w:rPr>
        <w:t xml:space="preserve">Absatz </w:t>
      </w:r>
      <w:r w:rsidR="00A370CB" w:rsidRPr="00C40A15">
        <w:rPr>
          <w:lang w:val="de-DE"/>
        </w:rPr>
        <w:t>in Ansatz 3 mit Anleitung zu Verfahren bei Sorten, die künftig mit anderen Vermehrungsarten entwickelt werden, als neuer Standardwortlaut in der TG</w:t>
      </w:r>
      <w:r w:rsidR="0058371E" w:rsidRPr="00C40A15">
        <w:rPr>
          <w:lang w:val="de-DE"/>
        </w:rPr>
        <w:noBreakHyphen/>
      </w:r>
      <w:r w:rsidR="00A370CB" w:rsidRPr="00C40A15">
        <w:rPr>
          <w:lang w:val="de-DE"/>
        </w:rPr>
        <w:t>Mustervorlage getrennt dargestellt werden und wie folgt lauten solle (vergleiche Dokument</w:t>
      </w:r>
      <w:r w:rsidR="00A370CB" w:rsidRPr="00C40A15">
        <w:rPr>
          <w:rFonts w:cs="Arial"/>
          <w:lang w:val="de-DE"/>
        </w:rPr>
        <w:t xml:space="preserve"> TWA/43/27, „</w:t>
      </w:r>
      <w:r w:rsidR="00A370CB" w:rsidRPr="00C40A15">
        <w:rPr>
          <w:rFonts w:cs="Arial"/>
          <w:i/>
          <w:lang w:val="de-DE"/>
        </w:rPr>
        <w:t>Report</w:t>
      </w:r>
      <w:r w:rsidR="00A370CB" w:rsidRPr="00C40A15">
        <w:rPr>
          <w:rFonts w:cs="Arial"/>
          <w:lang w:val="de-DE"/>
        </w:rPr>
        <w:t>“, Absatz 26)</w:t>
      </w:r>
      <w:r w:rsidR="00A370CB" w:rsidRPr="00C40A15">
        <w:rPr>
          <w:lang w:val="de-DE"/>
        </w:rPr>
        <w:t>: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302E47" w:rsidP="00463127">
      <w:pPr>
        <w:autoSpaceDE w:val="0"/>
        <w:autoSpaceDN w:val="0"/>
        <w:adjustRightInd w:val="0"/>
        <w:ind w:left="567" w:right="567"/>
        <w:rPr>
          <w:sz w:val="18"/>
          <w:u w:val="single"/>
          <w:lang w:val="de-DE"/>
        </w:rPr>
      </w:pPr>
      <w:r w:rsidRPr="00C40A15">
        <w:rPr>
          <w:rFonts w:cs="Arial"/>
          <w:sz w:val="18"/>
          <w:highlight w:val="lightGray"/>
          <w:u w:val="single"/>
          <w:lang w:val="de-DE"/>
        </w:rPr>
        <w:t>„Diese Prüfungsrichtlinien wurden für die Prüfung von [</w:t>
      </w:r>
      <w:r w:rsidRPr="00C40A15">
        <w:rPr>
          <w:rFonts w:cs="Arial"/>
          <w:i/>
          <w:sz w:val="18"/>
          <w:highlight w:val="lightGray"/>
          <w:u w:val="single"/>
          <w:lang w:val="de-DE"/>
        </w:rPr>
        <w:t>Art oder Arten der Vermehrung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] Sorten erarbeitet. Für Sorten mit anderen Vermehrungsarten sollten </w:t>
      </w:r>
      <w:r w:rsidRPr="00C40A15">
        <w:rPr>
          <w:rFonts w:cs="Arial"/>
          <w:sz w:val="18"/>
          <w:szCs w:val="18"/>
          <w:highlight w:val="lightGray"/>
          <w:u w:val="single"/>
          <w:lang w:val="de-DE" w:eastAsia="fr-CH"/>
        </w:rPr>
        <w:t>die Empfehlungen in der Allgemeinen Einführung u</w:t>
      </w:r>
      <w:r w:rsidRPr="00C40A15">
        <w:rPr>
          <w:rFonts w:cs="Arial"/>
          <w:sz w:val="18"/>
          <w:highlight w:val="lightGray"/>
          <w:u w:val="single"/>
          <w:lang w:val="de-DE"/>
        </w:rPr>
        <w:t>nd in Dokument TGP/13, „Anleitung für neu</w:t>
      </w:r>
      <w:r w:rsidR="0058371E" w:rsidRPr="00C40A15">
        <w:rPr>
          <w:rFonts w:cs="Arial"/>
          <w:sz w:val="18"/>
          <w:highlight w:val="lightGray"/>
          <w:u w:val="single"/>
          <w:lang w:val="de-DE"/>
        </w:rPr>
        <w:t>e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 Typen und Arten“, Abschnitt 4.5., „Prüfung der Homogenität“, befolgt werden.“</w:t>
      </w:r>
    </w:p>
    <w:p w:rsidR="00463127" w:rsidRPr="00C40A15" w:rsidRDefault="00463127" w:rsidP="00463127">
      <w:pPr>
        <w:autoSpaceDE w:val="0"/>
        <w:autoSpaceDN w:val="0"/>
        <w:adjustRightInd w:val="0"/>
        <w:ind w:left="567" w:right="567"/>
        <w:rPr>
          <w:sz w:val="18"/>
          <w:u w:val="single"/>
          <w:lang w:val="de-DE"/>
        </w:rPr>
      </w:pPr>
    </w:p>
    <w:p w:rsidR="00463127" w:rsidRPr="00C40A15" w:rsidRDefault="00463127" w:rsidP="00463127">
      <w:pPr>
        <w:rPr>
          <w:lang w:val="de-DE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Pr="00C40A15">
        <w:rPr>
          <w:lang w:val="de-DE"/>
        </w:rPr>
        <w:tab/>
      </w:r>
      <w:r w:rsidR="00302E47" w:rsidRPr="00C40A15">
        <w:rPr>
          <w:lang w:val="de-DE"/>
        </w:rPr>
        <w:t>Di</w:t>
      </w:r>
      <w:r w:rsidRPr="00C40A15">
        <w:rPr>
          <w:lang w:val="de-DE"/>
        </w:rPr>
        <w:t xml:space="preserve">e TWV </w:t>
      </w:r>
      <w:r w:rsidR="00302E47" w:rsidRPr="00C40A15">
        <w:rPr>
          <w:lang w:val="de-DE"/>
        </w:rPr>
        <w:t xml:space="preserve">vereinbarte, </w:t>
      </w:r>
      <w:r w:rsidR="00A370CB" w:rsidRPr="00C40A15">
        <w:rPr>
          <w:lang w:val="de-DE"/>
        </w:rPr>
        <w:t>daß</w:t>
      </w:r>
      <w:r w:rsidR="00302E47" w:rsidRPr="00C40A15">
        <w:rPr>
          <w:lang w:val="de-DE"/>
        </w:rPr>
        <w:t xml:space="preserve"> die Änderung in </w:t>
      </w:r>
      <w:r w:rsidR="00F3160C" w:rsidRPr="00C40A15">
        <w:rPr>
          <w:lang w:val="de-DE"/>
        </w:rPr>
        <w:t>Dokument</w:t>
      </w:r>
      <w:r w:rsidRPr="00C40A15">
        <w:rPr>
          <w:lang w:val="de-DE"/>
        </w:rPr>
        <w:t xml:space="preserve"> TGP/7 </w:t>
      </w:r>
      <w:r w:rsidR="00302E47" w:rsidRPr="00C40A15">
        <w:rPr>
          <w:lang w:val="de-DE"/>
        </w:rPr>
        <w:t>u</w:t>
      </w:r>
      <w:r w:rsidRPr="00C40A15">
        <w:rPr>
          <w:lang w:val="de-DE"/>
        </w:rPr>
        <w:t xml:space="preserve">nd </w:t>
      </w:r>
      <w:r w:rsidR="00302E47" w:rsidRPr="00C40A15">
        <w:rPr>
          <w:lang w:val="de-DE"/>
        </w:rPr>
        <w:t xml:space="preserve">deren Verwendung in </w:t>
      </w:r>
      <w:r w:rsidR="00A370CB" w:rsidRPr="00C40A15">
        <w:rPr>
          <w:lang w:val="de-DE"/>
        </w:rPr>
        <w:t>den</w:t>
      </w:r>
      <w:r w:rsidR="00302E47" w:rsidRPr="00C40A15">
        <w:rPr>
          <w:lang w:val="de-DE"/>
        </w:rPr>
        <w:t xml:space="preserve"> </w:t>
      </w:r>
      <w:r w:rsidR="00016CD6" w:rsidRPr="00C40A15">
        <w:rPr>
          <w:lang w:val="de-DE"/>
        </w:rPr>
        <w:t>Prüfungsrichtlinien</w:t>
      </w:r>
      <w:r w:rsidRPr="00C40A15">
        <w:rPr>
          <w:lang w:val="de-DE"/>
        </w:rPr>
        <w:t xml:space="preserve"> </w:t>
      </w:r>
      <w:r w:rsidR="00302E47" w:rsidRPr="00C40A15">
        <w:rPr>
          <w:lang w:val="de-DE"/>
        </w:rPr>
        <w:t>die bestehenden</w:t>
      </w:r>
      <w:r w:rsidRPr="00C40A15">
        <w:rPr>
          <w:lang w:val="de-DE"/>
        </w:rPr>
        <w:t xml:space="preserve"> </w:t>
      </w:r>
      <w:r w:rsidR="00F3160C" w:rsidRPr="00C40A15">
        <w:rPr>
          <w:lang w:val="de-DE"/>
        </w:rPr>
        <w:t>Vermehrungsarten</w:t>
      </w:r>
      <w:r w:rsidRPr="00C40A15">
        <w:rPr>
          <w:lang w:val="de-DE"/>
        </w:rPr>
        <w:t xml:space="preserve"> </w:t>
      </w:r>
      <w:r w:rsidR="00302E47" w:rsidRPr="00C40A15">
        <w:rPr>
          <w:lang w:val="de-DE"/>
        </w:rPr>
        <w:t xml:space="preserve">sowie </w:t>
      </w:r>
      <w:r w:rsidR="0058371E" w:rsidRPr="00C40A15">
        <w:rPr>
          <w:lang w:val="de-DE"/>
        </w:rPr>
        <w:t xml:space="preserve">auch </w:t>
      </w:r>
      <w:r w:rsidR="00302E47" w:rsidRPr="00C40A15">
        <w:rPr>
          <w:lang w:val="de-DE"/>
        </w:rPr>
        <w:t xml:space="preserve">künftige Entwicklungen für die </w:t>
      </w:r>
      <w:r w:rsidR="0058371E" w:rsidRPr="00C40A15">
        <w:rPr>
          <w:lang w:val="de-DE"/>
        </w:rPr>
        <w:t>A</w:t>
      </w:r>
      <w:r w:rsidR="00302E47" w:rsidRPr="00C40A15">
        <w:rPr>
          <w:lang w:val="de-DE"/>
        </w:rPr>
        <w:t xml:space="preserve">rten abdecken </w:t>
      </w:r>
      <w:r w:rsidR="00D472F3" w:rsidRPr="00C40A15">
        <w:rPr>
          <w:lang w:val="de-DE"/>
        </w:rPr>
        <w:t>w</w:t>
      </w:r>
      <w:r w:rsidR="00302E47" w:rsidRPr="00C40A15">
        <w:rPr>
          <w:lang w:val="de-DE"/>
        </w:rPr>
        <w:t>ürden</w:t>
      </w:r>
      <w:r w:rsidRPr="00C40A15">
        <w:rPr>
          <w:lang w:val="de-DE"/>
        </w:rPr>
        <w:t>.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463127" w:rsidP="00463127">
      <w:pPr>
        <w:rPr>
          <w:lang w:val="de-DE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="00D472F3" w:rsidRPr="00C40A15">
        <w:rPr>
          <w:lang w:val="de-DE"/>
        </w:rPr>
        <w:tab/>
        <w:t>Di</w:t>
      </w:r>
      <w:r w:rsidRPr="00C40A15">
        <w:rPr>
          <w:lang w:val="de-DE"/>
        </w:rPr>
        <w:t xml:space="preserve">e TWV </w:t>
      </w:r>
      <w:r w:rsidR="00D472F3" w:rsidRPr="00C40A15">
        <w:rPr>
          <w:lang w:val="de-DE"/>
        </w:rPr>
        <w:t xml:space="preserve">nahm zur Kenntnis, </w:t>
      </w:r>
      <w:r w:rsidR="00A370CB" w:rsidRPr="00C40A15">
        <w:rPr>
          <w:lang w:val="de-DE"/>
        </w:rPr>
        <w:t>daß</w:t>
      </w:r>
      <w:r w:rsidR="00D472F3" w:rsidRPr="00C40A15">
        <w:rPr>
          <w:lang w:val="de-DE"/>
        </w:rPr>
        <w:t xml:space="preserve"> der </w:t>
      </w:r>
      <w:r w:rsidR="00A370CB" w:rsidRPr="00C40A15">
        <w:rPr>
          <w:lang w:val="de-DE"/>
        </w:rPr>
        <w:t>Sachverständige</w:t>
      </w:r>
      <w:r w:rsidR="00D472F3" w:rsidRPr="00C40A15">
        <w:rPr>
          <w:lang w:val="de-DE"/>
        </w:rPr>
        <w:t xml:space="preserve"> aus der Europäischen Union </w:t>
      </w:r>
      <w:r w:rsidR="00A370CB" w:rsidRPr="00C40A15">
        <w:rPr>
          <w:lang w:val="de-DE"/>
        </w:rPr>
        <w:t>eine</w:t>
      </w:r>
      <w:r w:rsidR="0058371E" w:rsidRPr="00C40A15">
        <w:rPr>
          <w:lang w:val="de-DE"/>
        </w:rPr>
        <w:t>n gewissen</w:t>
      </w:r>
      <w:r w:rsidR="00D472F3" w:rsidRPr="00C40A15">
        <w:rPr>
          <w:lang w:val="de-DE"/>
        </w:rPr>
        <w:t xml:space="preserve"> </w:t>
      </w:r>
      <w:r w:rsidR="00A370CB" w:rsidRPr="00C40A15">
        <w:rPr>
          <w:lang w:val="de-DE"/>
        </w:rPr>
        <w:t>Vorbehalt</w:t>
      </w:r>
      <w:r w:rsidR="00D472F3" w:rsidRPr="00C40A15">
        <w:rPr>
          <w:lang w:val="de-DE"/>
        </w:rPr>
        <w:t xml:space="preserve"> </w:t>
      </w:r>
      <w:r w:rsidR="00A370CB" w:rsidRPr="00C40A15">
        <w:rPr>
          <w:lang w:val="de-DE"/>
        </w:rPr>
        <w:t>bezüglich</w:t>
      </w:r>
      <w:r w:rsidR="00D472F3" w:rsidRPr="00C40A15">
        <w:rPr>
          <w:lang w:val="de-DE"/>
        </w:rPr>
        <w:t xml:space="preserve"> der derzeitigen Formulierung im Zusammenhang </w:t>
      </w:r>
      <w:r w:rsidR="00A370CB" w:rsidRPr="00C40A15">
        <w:rPr>
          <w:lang w:val="de-DE"/>
        </w:rPr>
        <w:t>mit</w:t>
      </w:r>
      <w:r w:rsidR="00D472F3" w:rsidRPr="00C40A15">
        <w:rPr>
          <w:lang w:val="de-DE"/>
        </w:rPr>
        <w:t xml:space="preserve"> der </w:t>
      </w:r>
      <w:r w:rsidR="00A370CB" w:rsidRPr="00C40A15">
        <w:rPr>
          <w:lang w:val="de-DE"/>
        </w:rPr>
        <w:t>Prüfung</w:t>
      </w:r>
      <w:r w:rsidR="00D472F3" w:rsidRPr="00C40A15">
        <w:rPr>
          <w:lang w:val="de-DE"/>
        </w:rPr>
        <w:t xml:space="preserve"> der Homogenität in den Prüfungsrichtlinien </w:t>
      </w:r>
      <w:r w:rsidR="00A370CB" w:rsidRPr="00C40A15">
        <w:rPr>
          <w:lang w:val="de-DE"/>
        </w:rPr>
        <w:t>äußerte</w:t>
      </w:r>
      <w:r w:rsidR="00D472F3" w:rsidRPr="00C40A15">
        <w:rPr>
          <w:lang w:val="de-DE"/>
        </w:rPr>
        <w:t xml:space="preserve"> </w:t>
      </w:r>
      <w:r w:rsidRPr="00C40A15">
        <w:rPr>
          <w:lang w:val="de-DE"/>
        </w:rPr>
        <w:t>(</w:t>
      </w:r>
      <w:r w:rsidR="00F3160C" w:rsidRPr="00C40A15">
        <w:rPr>
          <w:lang w:val="de-DE"/>
        </w:rPr>
        <w:t>vergleiche Dokument</w:t>
      </w:r>
      <w:r w:rsidRPr="00C40A15">
        <w:rPr>
          <w:rFonts w:cs="Arial"/>
          <w:lang w:val="de-DE"/>
        </w:rPr>
        <w:t xml:space="preserve"> TWV/47/34</w:t>
      </w:r>
      <w:r w:rsidR="00D472F3" w:rsidRPr="00C40A15">
        <w:rPr>
          <w:rFonts w:cs="Arial"/>
          <w:lang w:val="de-DE"/>
        </w:rPr>
        <w:t>,</w:t>
      </w:r>
      <w:r w:rsidRPr="00C40A15">
        <w:rPr>
          <w:rFonts w:cs="Arial"/>
          <w:lang w:val="de-DE"/>
        </w:rPr>
        <w:t xml:space="preserve"> </w:t>
      </w:r>
      <w:r w:rsidR="00D472F3" w:rsidRPr="00C40A15">
        <w:rPr>
          <w:rFonts w:cs="Arial"/>
          <w:lang w:val="de-DE"/>
        </w:rPr>
        <w:t>„</w:t>
      </w:r>
      <w:r w:rsidR="00D472F3" w:rsidRPr="00C40A15">
        <w:rPr>
          <w:rFonts w:cs="Arial"/>
          <w:i/>
          <w:lang w:val="de-DE"/>
        </w:rPr>
        <w:t>Report</w:t>
      </w:r>
      <w:r w:rsidR="00D472F3" w:rsidRPr="00C40A15">
        <w:rPr>
          <w:rFonts w:cs="Arial"/>
          <w:lang w:val="de-DE"/>
        </w:rPr>
        <w:t>“</w:t>
      </w:r>
      <w:r w:rsidRPr="00C40A15">
        <w:rPr>
          <w:rFonts w:cs="Arial"/>
          <w:lang w:val="de-DE"/>
        </w:rPr>
        <w:t xml:space="preserve">, </w:t>
      </w:r>
      <w:r w:rsidR="00F3160C" w:rsidRPr="00C40A15">
        <w:rPr>
          <w:rFonts w:cs="Arial"/>
          <w:lang w:val="de-DE"/>
        </w:rPr>
        <w:t>Absätze</w:t>
      </w:r>
      <w:r w:rsidRPr="00C40A15">
        <w:rPr>
          <w:rFonts w:cs="Arial"/>
          <w:lang w:val="de-DE"/>
        </w:rPr>
        <w:t xml:space="preserve"> 29 </w:t>
      </w:r>
      <w:r w:rsidR="00D472F3" w:rsidRPr="00C40A15">
        <w:rPr>
          <w:rFonts w:cs="Arial"/>
          <w:lang w:val="de-DE"/>
        </w:rPr>
        <w:t>bis</w:t>
      </w:r>
      <w:r w:rsidRPr="00C40A15">
        <w:rPr>
          <w:rFonts w:cs="Arial"/>
          <w:lang w:val="de-DE"/>
        </w:rPr>
        <w:t xml:space="preserve"> 31)</w:t>
      </w:r>
      <w:r w:rsidRPr="00C40A15">
        <w:rPr>
          <w:lang w:val="de-DE"/>
        </w:rPr>
        <w:t>.</w:t>
      </w:r>
    </w:p>
    <w:p w:rsidR="00463127" w:rsidRPr="00C40A15" w:rsidRDefault="00463127" w:rsidP="00463127">
      <w:pPr>
        <w:autoSpaceDE w:val="0"/>
        <w:autoSpaceDN w:val="0"/>
        <w:adjustRightInd w:val="0"/>
        <w:rPr>
          <w:rFonts w:cs="Arial"/>
          <w:lang w:val="de-DE"/>
        </w:rPr>
      </w:pPr>
    </w:p>
    <w:p w:rsidR="00463127" w:rsidRPr="00C40A15" w:rsidRDefault="00D472F3" w:rsidP="00265ABB">
      <w:pPr>
        <w:pStyle w:val="Heading1"/>
        <w:rPr>
          <w:lang w:val="de-DE"/>
        </w:rPr>
      </w:pPr>
      <w:bookmarkStart w:id="43" w:name="_Toc410639241"/>
      <w:bookmarkStart w:id="44" w:name="_Toc410639404"/>
      <w:bookmarkStart w:id="45" w:name="_Toc410655338"/>
      <w:r w:rsidRPr="00C40A15">
        <w:rPr>
          <w:lang w:val="de-DE"/>
        </w:rPr>
        <w:t>VORSCHLAG</w:t>
      </w:r>
      <w:bookmarkEnd w:id="43"/>
      <w:bookmarkEnd w:id="44"/>
      <w:bookmarkEnd w:id="45"/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463127" w:rsidP="00463127">
      <w:pPr>
        <w:rPr>
          <w:lang w:val="de-DE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Pr="00C40A15">
        <w:rPr>
          <w:lang w:val="de-DE"/>
        </w:rPr>
        <w:tab/>
      </w:r>
      <w:r w:rsidR="00D472F3" w:rsidRPr="00C40A15">
        <w:rPr>
          <w:lang w:val="de-DE"/>
        </w:rPr>
        <w:t>Auf der Grundlage der Bemerkungen der</w:t>
      </w:r>
      <w:r w:rsidRPr="00C40A15">
        <w:rPr>
          <w:lang w:val="de-DE"/>
        </w:rPr>
        <w:t xml:space="preserve"> TWP </w:t>
      </w:r>
      <w:r w:rsidR="00016CD6" w:rsidRPr="00C40A15">
        <w:rPr>
          <w:lang w:val="de-DE"/>
        </w:rPr>
        <w:t>auf ihren Tagungen im Jahre 2014</w:t>
      </w:r>
      <w:r w:rsidR="00D472F3" w:rsidRPr="00C40A15">
        <w:rPr>
          <w:lang w:val="de-DE"/>
        </w:rPr>
        <w:t xml:space="preserve"> wird vorgeschlagen, das </w:t>
      </w:r>
      <w:r w:rsidR="00F3160C" w:rsidRPr="00C40A15">
        <w:rPr>
          <w:lang w:val="de-DE"/>
        </w:rPr>
        <w:t>Dokument</w:t>
      </w:r>
      <w:r w:rsidRPr="00C40A15">
        <w:rPr>
          <w:lang w:val="de-DE"/>
        </w:rPr>
        <w:t xml:space="preserve"> TGP/7 </w:t>
      </w:r>
      <w:r w:rsidR="00D472F3" w:rsidRPr="00C40A15">
        <w:rPr>
          <w:lang w:val="de-DE"/>
        </w:rPr>
        <w:t xml:space="preserve">um einen neuen Standardwortlaut in der TG-Mustervorlage, Kapitel 4.2, </w:t>
      </w:r>
      <w:r w:rsidR="009246AC" w:rsidRPr="00C40A15">
        <w:rPr>
          <w:lang w:val="de-DE"/>
        </w:rPr>
        <w:t>„</w:t>
      </w:r>
      <w:r w:rsidR="00D472F3" w:rsidRPr="00C40A15">
        <w:rPr>
          <w:lang w:val="de-DE"/>
        </w:rPr>
        <w:t>Homogenität“, zu ergänzen und</w:t>
      </w:r>
      <w:r w:rsidRPr="00C40A15">
        <w:rPr>
          <w:lang w:val="de-DE"/>
        </w:rPr>
        <w:t xml:space="preserve"> ASW </w:t>
      </w:r>
      <w:r w:rsidR="009246AC" w:rsidRPr="00C40A15">
        <w:rPr>
          <w:lang w:val="de-DE"/>
        </w:rPr>
        <w:t>8</w:t>
      </w:r>
      <w:r w:rsidR="00FA2BD0" w:rsidRPr="00C40A15">
        <w:rPr>
          <w:lang w:val="de-DE"/>
        </w:rPr>
        <w:t> </w:t>
      </w:r>
      <w:r w:rsidR="009246AC" w:rsidRPr="00C40A15">
        <w:rPr>
          <w:lang w:val="de-DE"/>
        </w:rPr>
        <w:t>c</w:t>
      </w:r>
      <w:r w:rsidRPr="00C40A15">
        <w:rPr>
          <w:lang w:val="de-DE"/>
        </w:rPr>
        <w:t xml:space="preserve">) </w:t>
      </w:r>
      <w:r w:rsidR="00D472F3" w:rsidRPr="00C40A15">
        <w:rPr>
          <w:lang w:val="de-DE"/>
        </w:rPr>
        <w:t>wie folgt zu ändern</w:t>
      </w:r>
      <w:r w:rsidRPr="00C40A15">
        <w:rPr>
          <w:lang w:val="de-DE"/>
        </w:rPr>
        <w:t>:</w:t>
      </w: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A370CB" w:rsidP="007B34C0">
      <w:pPr>
        <w:pStyle w:val="Heading2"/>
      </w:pPr>
      <w:bookmarkStart w:id="46" w:name="_Toc410639242"/>
      <w:bookmarkStart w:id="47" w:name="_Toc410639405"/>
      <w:bookmarkStart w:id="48" w:name="_Toc410655339"/>
      <w:r w:rsidRPr="00C40A15">
        <w:t>Neuer Standardwortlaut: TG-Mustervorlage, Kapitel 4.2:</w:t>
      </w:r>
      <w:bookmarkEnd w:id="46"/>
      <w:bookmarkEnd w:id="47"/>
      <w:bookmarkEnd w:id="48"/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D472F3" w:rsidP="00463127">
      <w:pPr>
        <w:autoSpaceDE w:val="0"/>
        <w:autoSpaceDN w:val="0"/>
        <w:adjustRightInd w:val="0"/>
        <w:ind w:left="567" w:right="567"/>
        <w:rPr>
          <w:sz w:val="18"/>
          <w:u w:val="single"/>
          <w:lang w:val="de-DE"/>
        </w:rPr>
      </w:pPr>
      <w:r w:rsidRPr="00C40A15">
        <w:rPr>
          <w:rFonts w:cs="Arial"/>
          <w:sz w:val="18"/>
          <w:highlight w:val="lightGray"/>
          <w:u w:val="single"/>
          <w:lang w:val="de-DE"/>
        </w:rPr>
        <w:t>„Diese Prüfungsrichtlinien wurden für die Prüfung von [</w:t>
      </w:r>
      <w:r w:rsidRPr="00C40A15">
        <w:rPr>
          <w:rFonts w:cs="Arial"/>
          <w:i/>
          <w:sz w:val="18"/>
          <w:highlight w:val="lightGray"/>
          <w:u w:val="single"/>
          <w:lang w:val="de-DE"/>
        </w:rPr>
        <w:t>Art oder Arten der Vermehrung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] Sorten erarbeitet. Für Sorten mit anderen Vermehrungsarten sollten </w:t>
      </w:r>
      <w:r w:rsidRPr="00C40A15">
        <w:rPr>
          <w:rFonts w:cs="Arial"/>
          <w:sz w:val="18"/>
          <w:szCs w:val="18"/>
          <w:highlight w:val="lightGray"/>
          <w:u w:val="single"/>
          <w:lang w:val="de-DE" w:eastAsia="fr-CH"/>
        </w:rPr>
        <w:t>die Empfehlungen in der Allgemeinen Einführung u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nd in </w:t>
      </w:r>
      <w:r w:rsidRPr="00C40A15">
        <w:rPr>
          <w:rFonts w:cs="Arial"/>
          <w:sz w:val="18"/>
          <w:highlight w:val="lightGray"/>
          <w:u w:val="single"/>
          <w:lang w:val="de-DE"/>
        </w:rPr>
        <w:lastRenderedPageBreak/>
        <w:t>Dokument TGP/13, „Anleitung für neu</w:t>
      </w:r>
      <w:r w:rsidR="009246AC" w:rsidRPr="00C40A15">
        <w:rPr>
          <w:rFonts w:cs="Arial"/>
          <w:sz w:val="18"/>
          <w:highlight w:val="lightGray"/>
          <w:u w:val="single"/>
          <w:lang w:val="de-DE"/>
        </w:rPr>
        <w:t>e</w:t>
      </w:r>
      <w:r w:rsidRPr="00C40A15">
        <w:rPr>
          <w:rFonts w:cs="Arial"/>
          <w:sz w:val="18"/>
          <w:highlight w:val="lightGray"/>
          <w:u w:val="single"/>
          <w:lang w:val="de-DE"/>
        </w:rPr>
        <w:t xml:space="preserve"> Typen und Arten“, Abschnitt 4.5., „Prüfung der Homogenität“, befolgt werden.“</w:t>
      </w:r>
    </w:p>
    <w:p w:rsidR="00D472F3" w:rsidRPr="00C40A15" w:rsidRDefault="00D472F3" w:rsidP="00463127">
      <w:pPr>
        <w:autoSpaceDE w:val="0"/>
        <w:autoSpaceDN w:val="0"/>
        <w:adjustRightInd w:val="0"/>
        <w:ind w:left="567" w:right="567"/>
        <w:rPr>
          <w:sz w:val="18"/>
          <w:u w:val="single"/>
          <w:lang w:val="de-DE"/>
        </w:rPr>
      </w:pPr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463127" w:rsidP="007B34C0">
      <w:pPr>
        <w:pStyle w:val="Heading2"/>
      </w:pPr>
      <w:bookmarkStart w:id="49" w:name="_Toc410639243"/>
      <w:bookmarkStart w:id="50" w:name="_Toc410639406"/>
      <w:bookmarkStart w:id="51" w:name="_Toc410655340"/>
      <w:r w:rsidRPr="00C40A15">
        <w:t>ASW 8 c)</w:t>
      </w:r>
      <w:bookmarkEnd w:id="49"/>
      <w:bookmarkEnd w:id="50"/>
      <w:bookmarkEnd w:id="51"/>
    </w:p>
    <w:p w:rsidR="00463127" w:rsidRPr="00C40A15" w:rsidRDefault="00463127" w:rsidP="00463127">
      <w:pPr>
        <w:rPr>
          <w:lang w:val="de-DE"/>
        </w:rPr>
      </w:pPr>
    </w:p>
    <w:p w:rsidR="00463127" w:rsidRPr="00C40A15" w:rsidRDefault="009246AC" w:rsidP="00463127">
      <w:pPr>
        <w:autoSpaceDE w:val="0"/>
        <w:autoSpaceDN w:val="0"/>
        <w:adjustRightInd w:val="0"/>
        <w:ind w:left="567"/>
        <w:rPr>
          <w:i/>
          <w:iCs/>
          <w:sz w:val="18"/>
          <w:lang w:val="de-DE"/>
        </w:rPr>
      </w:pPr>
      <w:r w:rsidRPr="00C40A15">
        <w:rPr>
          <w:i/>
          <w:iCs/>
          <w:sz w:val="18"/>
          <w:lang w:val="de-DE"/>
        </w:rPr>
        <w:t>„</w:t>
      </w:r>
      <w:r w:rsidR="00463127" w:rsidRPr="00C40A15">
        <w:rPr>
          <w:i/>
          <w:iCs/>
          <w:sz w:val="18"/>
          <w:lang w:val="de-DE"/>
        </w:rPr>
        <w:t>c)</w:t>
      </w:r>
      <w:r w:rsidR="00463127" w:rsidRPr="00C40A15">
        <w:rPr>
          <w:i/>
          <w:iCs/>
          <w:sz w:val="18"/>
          <w:lang w:val="de-DE"/>
        </w:rPr>
        <w:tab/>
      </w:r>
      <w:r w:rsidR="00D472F3" w:rsidRPr="00C40A15">
        <w:rPr>
          <w:i/>
          <w:sz w:val="18"/>
          <w:szCs w:val="18"/>
          <w:lang w:val="de-DE"/>
        </w:rPr>
        <w:t>P</w:t>
      </w:r>
      <w:r w:rsidR="00D472F3" w:rsidRPr="00C40A15">
        <w:rPr>
          <w:rFonts w:cs="Arial"/>
          <w:i/>
          <w:sz w:val="18"/>
          <w:szCs w:val="18"/>
          <w:lang w:val="de-DE" w:eastAsia="fr-CH"/>
        </w:rPr>
        <w:t>rüfung der Homogenität durch Abweicher (Erfassung aller Merkmale mit derselben Stichprobe)</w:t>
      </w:r>
    </w:p>
    <w:p w:rsidR="00463127" w:rsidRPr="00C40A15" w:rsidRDefault="00463127" w:rsidP="00463127">
      <w:pPr>
        <w:autoSpaceDE w:val="0"/>
        <w:autoSpaceDN w:val="0"/>
        <w:adjustRightInd w:val="0"/>
        <w:ind w:left="567"/>
        <w:rPr>
          <w:i/>
          <w:iCs/>
          <w:sz w:val="18"/>
          <w:lang w:val="de-DE"/>
        </w:rPr>
      </w:pPr>
    </w:p>
    <w:p w:rsidR="00D472F3" w:rsidRPr="00C40A15" w:rsidRDefault="009246AC" w:rsidP="009246AC">
      <w:pPr>
        <w:tabs>
          <w:tab w:val="left" w:pos="1560"/>
        </w:tabs>
        <w:ind w:left="1134" w:right="567"/>
        <w:rPr>
          <w:rFonts w:cs="Arial"/>
          <w:i/>
          <w:strike/>
          <w:sz w:val="18"/>
          <w:szCs w:val="18"/>
          <w:highlight w:val="lightGray"/>
          <w:lang w:val="de-DE" w:eastAsia="fr-CH"/>
        </w:rPr>
      </w:pPr>
      <w:r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i)</w:t>
      </w:r>
      <w:r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ab/>
      </w:r>
      <w:r w:rsidR="00D472F3"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nur Sorten betreffen, deren Homogenität anhand von Abweichern erfaßt wird</w:t>
      </w:r>
    </w:p>
    <w:p w:rsidR="00D472F3" w:rsidRPr="00C40A15" w:rsidRDefault="00D472F3" w:rsidP="00D472F3">
      <w:pPr>
        <w:ind w:left="567" w:right="567"/>
        <w:rPr>
          <w:strike/>
          <w:sz w:val="18"/>
          <w:highlight w:val="lightGray"/>
          <w:lang w:val="de-DE"/>
        </w:rPr>
      </w:pPr>
    </w:p>
    <w:p w:rsidR="00D472F3" w:rsidRPr="00C40A15" w:rsidRDefault="00D472F3" w:rsidP="009246AC">
      <w:pPr>
        <w:keepNext/>
        <w:autoSpaceDE w:val="0"/>
        <w:autoSpaceDN w:val="0"/>
        <w:adjustRightInd w:val="0"/>
        <w:ind w:left="567" w:right="567"/>
        <w:rPr>
          <w:sz w:val="18"/>
          <w:lang w:val="de-DE"/>
        </w:rPr>
      </w:pPr>
      <w:r w:rsidRPr="00C40A15">
        <w:rPr>
          <w:strike/>
          <w:sz w:val="18"/>
          <w:szCs w:val="18"/>
          <w:highlight w:val="lightGray"/>
          <w:lang w:val="de-DE"/>
        </w:rPr>
        <w:t>Für die Bestimmung der Homogenität sollte ein Populationsstandard von { x }</w:t>
      </w:r>
      <w:r w:rsidR="00FA2BD0" w:rsidRPr="00C40A15">
        <w:rPr>
          <w:strike/>
          <w:sz w:val="18"/>
          <w:szCs w:val="18"/>
          <w:highlight w:val="lightGray"/>
          <w:lang w:val="de-DE"/>
        </w:rPr>
        <w:t> </w:t>
      </w:r>
      <w:r w:rsidRPr="00C40A15">
        <w:rPr>
          <w:strike/>
          <w:sz w:val="18"/>
          <w:szCs w:val="18"/>
          <w:highlight w:val="lightGray"/>
          <w:lang w:val="de-DE"/>
        </w:rPr>
        <w:t>% mit einer Akzeptanzwahrscheinlichkeit von mindestens { y }</w:t>
      </w:r>
      <w:r w:rsidR="00FA2BD0" w:rsidRPr="00C40A15">
        <w:rPr>
          <w:strike/>
          <w:sz w:val="18"/>
          <w:szCs w:val="18"/>
          <w:highlight w:val="lightGray"/>
          <w:lang w:val="de-DE"/>
        </w:rPr>
        <w:t> </w:t>
      </w:r>
      <w:r w:rsidRPr="00C40A15">
        <w:rPr>
          <w:strike/>
          <w:sz w:val="18"/>
          <w:szCs w:val="18"/>
          <w:highlight w:val="lightGray"/>
          <w:lang w:val="de-DE"/>
        </w:rPr>
        <w:t>% angewandt werden. Bei einer Probengröße von { a } Pflanzen ist die höchste zulässige Anzahl von Abweichern [{ b } / [1].“</w:t>
      </w:r>
    </w:p>
    <w:p w:rsidR="00D472F3" w:rsidRPr="00C40A15" w:rsidRDefault="00D472F3" w:rsidP="00D472F3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de-DE"/>
        </w:rPr>
      </w:pPr>
    </w:p>
    <w:p w:rsidR="009246AC" w:rsidRPr="00C40A15" w:rsidRDefault="009246AC" w:rsidP="009246AC">
      <w:pPr>
        <w:tabs>
          <w:tab w:val="left" w:pos="1560"/>
        </w:tabs>
        <w:autoSpaceDE w:val="0"/>
        <w:autoSpaceDN w:val="0"/>
        <w:adjustRightInd w:val="0"/>
        <w:ind w:left="1134" w:right="567" w:hanging="567"/>
        <w:rPr>
          <w:i/>
          <w:iCs/>
          <w:sz w:val="18"/>
          <w:lang w:val="de-DE"/>
        </w:rPr>
      </w:pPr>
      <w:r w:rsidRPr="00C40A15">
        <w:rPr>
          <w:i/>
          <w:iCs/>
          <w:sz w:val="18"/>
          <w:highlight w:val="lightGray"/>
          <w:lang w:val="de-DE"/>
        </w:rPr>
        <w:tab/>
      </w:r>
      <w:r w:rsidRPr="00C40A15">
        <w:rPr>
          <w:i/>
          <w:iCs/>
          <w:strike/>
          <w:sz w:val="18"/>
          <w:highlight w:val="lightGray"/>
          <w:lang w:val="de-DE"/>
        </w:rPr>
        <w:t xml:space="preserve">ii) </w:t>
      </w:r>
      <w:r w:rsidRPr="00C40A15">
        <w:rPr>
          <w:i/>
          <w:iCs/>
          <w:strike/>
          <w:sz w:val="18"/>
          <w:highlight w:val="lightGray"/>
          <w:lang w:val="de-DE"/>
        </w:rPr>
        <w:tab/>
      </w:r>
      <w:r w:rsidRPr="00C40A15">
        <w:rPr>
          <w:rFonts w:cs="Arial"/>
          <w:i/>
          <w:strike/>
          <w:sz w:val="18"/>
          <w:szCs w:val="18"/>
          <w:highlight w:val="lightGray"/>
          <w:lang w:val="de-DE" w:eastAsia="fr-CH"/>
        </w:rPr>
        <w:t>Prüfungsrichtlinien, die Sorten, deren Homogenität anhand von Abweichern erfaßt wird, und andere Sortentypen betreffen</w:t>
      </w:r>
    </w:p>
    <w:p w:rsidR="009246AC" w:rsidRPr="00C40A15" w:rsidRDefault="009246AC" w:rsidP="009246AC">
      <w:pPr>
        <w:autoSpaceDE w:val="0"/>
        <w:autoSpaceDN w:val="0"/>
        <w:adjustRightInd w:val="0"/>
        <w:ind w:left="567" w:right="567"/>
        <w:rPr>
          <w:i/>
          <w:iCs/>
          <w:sz w:val="18"/>
          <w:lang w:val="de-DE"/>
        </w:rPr>
      </w:pPr>
    </w:p>
    <w:p w:rsidR="009246AC" w:rsidRPr="00C40A15" w:rsidRDefault="009246AC" w:rsidP="009246AC">
      <w:pPr>
        <w:autoSpaceDE w:val="0"/>
        <w:autoSpaceDN w:val="0"/>
        <w:adjustRightInd w:val="0"/>
        <w:ind w:left="567" w:right="567"/>
        <w:rPr>
          <w:sz w:val="18"/>
          <w:lang w:val="de-DE"/>
        </w:rPr>
      </w:pPr>
      <w:r w:rsidRPr="00C40A15">
        <w:rPr>
          <w:rFonts w:cs="Arial"/>
          <w:sz w:val="18"/>
          <w:szCs w:val="18"/>
          <w:lang w:val="de-DE" w:eastAsia="fr-CH"/>
        </w:rPr>
        <w:t>Für die Bestimmung der Homogenität von [selbstbefruchtenden] [vegetativ vermehrten] [samenvermehrten] Sorten sollte ein Populationsstandard von { x } % mit einer Akzeptanzwahrscheinlichkeit von mindestens { y } % angewandt werden. Bei einer Probengröße von { a } Pflanzen ist die höchste zulässige Anzahl von Abweichern [{ b }] / [1].</w:t>
      </w:r>
      <w:r w:rsidRPr="00C40A15">
        <w:rPr>
          <w:sz w:val="18"/>
          <w:szCs w:val="18"/>
          <w:lang w:val="de-DE"/>
        </w:rPr>
        <w:t>“</w:t>
      </w:r>
    </w:p>
    <w:p w:rsidR="009246AC" w:rsidRPr="00C40A15" w:rsidRDefault="009246AC" w:rsidP="00D472F3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de-DE"/>
        </w:rPr>
      </w:pPr>
    </w:p>
    <w:p w:rsidR="009246AC" w:rsidRPr="00C40A15" w:rsidRDefault="009246AC" w:rsidP="00D472F3">
      <w:pPr>
        <w:autoSpaceDE w:val="0"/>
        <w:autoSpaceDN w:val="0"/>
        <w:adjustRightInd w:val="0"/>
        <w:ind w:left="567" w:right="567"/>
        <w:rPr>
          <w:sz w:val="18"/>
          <w:highlight w:val="lightGray"/>
          <w:lang w:val="de-DE"/>
        </w:rPr>
      </w:pPr>
    </w:p>
    <w:p w:rsidR="00463127" w:rsidRPr="00C40A15" w:rsidRDefault="00463127" w:rsidP="00463127">
      <w:pPr>
        <w:rPr>
          <w:lang w:val="de-DE"/>
        </w:rPr>
      </w:pPr>
    </w:p>
    <w:p w:rsidR="000D76B2" w:rsidRDefault="00463127" w:rsidP="000D76B2">
      <w:pPr>
        <w:pStyle w:val="DecisionParagraphs"/>
        <w:rPr>
          <w:rFonts w:cs="Arial"/>
          <w:lang w:val="de-DE"/>
        </w:rPr>
      </w:pPr>
      <w:r w:rsidRPr="00C40A15">
        <w:rPr>
          <w:lang w:val="de-DE"/>
        </w:rPr>
        <w:fldChar w:fldCharType="begin"/>
      </w:r>
      <w:r w:rsidRPr="00C40A15">
        <w:rPr>
          <w:lang w:val="de-DE"/>
        </w:rPr>
        <w:instrText xml:space="preserve"> AUTONUM  </w:instrText>
      </w:r>
      <w:r w:rsidRPr="00C40A15">
        <w:rPr>
          <w:lang w:val="de-DE"/>
        </w:rPr>
        <w:fldChar w:fldCharType="end"/>
      </w:r>
      <w:r w:rsidRPr="00C40A15">
        <w:rPr>
          <w:lang w:val="de-DE"/>
        </w:rPr>
        <w:tab/>
      </w:r>
      <w:r w:rsidR="00A370CB" w:rsidRPr="00C40A15">
        <w:rPr>
          <w:lang w:val="de-DE"/>
        </w:rPr>
        <w:t>Der TC wird ersucht, den Vorschlag zur Ergänzung des Dokuments TGP/7 um einen neuen Standardwortlaut i</w:t>
      </w:r>
      <w:r w:rsidR="00C101E3" w:rsidRPr="00C40A15">
        <w:rPr>
          <w:lang w:val="de-DE"/>
        </w:rPr>
        <w:t>n der TG-Mustervorlage, Kapitel </w:t>
      </w:r>
      <w:r w:rsidR="00A370CB" w:rsidRPr="00C40A15">
        <w:rPr>
          <w:lang w:val="de-DE"/>
        </w:rPr>
        <w:t xml:space="preserve">4.2, </w:t>
      </w:r>
      <w:r w:rsidR="009246AC" w:rsidRPr="00C40A15">
        <w:rPr>
          <w:lang w:val="de-DE"/>
        </w:rPr>
        <w:t>„</w:t>
      </w:r>
      <w:r w:rsidR="00A370CB" w:rsidRPr="00C40A15">
        <w:rPr>
          <w:lang w:val="de-DE"/>
        </w:rPr>
        <w:t>Homogenität”, zu</w:t>
      </w:r>
      <w:r w:rsidR="00FA2BD0" w:rsidRPr="00C40A15">
        <w:rPr>
          <w:lang w:val="de-DE"/>
        </w:rPr>
        <w:t xml:space="preserve"> prüfen und ASW </w:t>
      </w:r>
      <w:r w:rsidR="009246AC" w:rsidRPr="00C40A15">
        <w:rPr>
          <w:lang w:val="de-DE"/>
        </w:rPr>
        <w:t>8</w:t>
      </w:r>
      <w:r w:rsidR="00FA2BD0" w:rsidRPr="00C40A15">
        <w:rPr>
          <w:lang w:val="de-DE"/>
        </w:rPr>
        <w:t> </w:t>
      </w:r>
      <w:r w:rsidR="009246AC" w:rsidRPr="00C40A15">
        <w:rPr>
          <w:lang w:val="de-DE"/>
        </w:rPr>
        <w:t>c</w:t>
      </w:r>
      <w:r w:rsidR="00A370CB" w:rsidRPr="00C40A15">
        <w:rPr>
          <w:lang w:val="de-DE"/>
        </w:rPr>
        <w:t xml:space="preserve">) zu ändern, um Anleitung </w:t>
      </w:r>
      <w:r w:rsidR="009246AC" w:rsidRPr="00C40A15">
        <w:rPr>
          <w:lang w:val="de-DE"/>
        </w:rPr>
        <w:t xml:space="preserve">für Prüfungsrichtlinien zu </w:t>
      </w:r>
      <w:r w:rsidR="00F21476" w:rsidRPr="00C40A15">
        <w:rPr>
          <w:lang w:val="de-DE"/>
        </w:rPr>
        <w:t>geben</w:t>
      </w:r>
      <w:r w:rsidR="009246AC" w:rsidRPr="00C40A15">
        <w:rPr>
          <w:lang w:val="de-DE"/>
        </w:rPr>
        <w:t xml:space="preserve">, die </w:t>
      </w:r>
      <w:r w:rsidR="00A370CB" w:rsidRPr="00C40A15">
        <w:rPr>
          <w:lang w:val="de-DE"/>
        </w:rPr>
        <w:t xml:space="preserve">aufgrund von Sorten mit nur einer </w:t>
      </w:r>
      <w:r w:rsidR="00A370CB" w:rsidRPr="00C40A15">
        <w:rPr>
          <w:rFonts w:cs="Arial"/>
          <w:lang w:val="de-DE"/>
        </w:rPr>
        <w:t xml:space="preserve">Vermehrungsart </w:t>
      </w:r>
      <w:r w:rsidR="009246AC" w:rsidRPr="00C40A15">
        <w:rPr>
          <w:lang w:val="de-DE"/>
        </w:rPr>
        <w:t>erarbeitet werden</w:t>
      </w:r>
      <w:r w:rsidR="00A370CB" w:rsidRPr="00C40A15">
        <w:rPr>
          <w:lang w:val="de-DE"/>
        </w:rPr>
        <w:t xml:space="preserve">, </w:t>
      </w:r>
      <w:r w:rsidR="009246AC" w:rsidRPr="00C40A15">
        <w:rPr>
          <w:lang w:val="de-DE"/>
        </w:rPr>
        <w:t>wenn</w:t>
      </w:r>
      <w:r w:rsidR="00A370CB" w:rsidRPr="00C40A15">
        <w:rPr>
          <w:lang w:val="de-DE"/>
        </w:rPr>
        <w:t xml:space="preserve"> künftig </w:t>
      </w:r>
      <w:r w:rsidR="009246AC" w:rsidRPr="00C40A15">
        <w:rPr>
          <w:lang w:val="de-DE"/>
        </w:rPr>
        <w:t xml:space="preserve">Sorten </w:t>
      </w:r>
      <w:r w:rsidR="00A370CB" w:rsidRPr="00C40A15">
        <w:rPr>
          <w:lang w:val="de-DE"/>
        </w:rPr>
        <w:t xml:space="preserve">mit anderen Vermehrungsarten entwickelt werden können, wie </w:t>
      </w:r>
      <w:r w:rsidR="00A370CB" w:rsidRPr="00C40A15">
        <w:rPr>
          <w:rFonts w:cs="Arial"/>
          <w:lang w:val="de-DE"/>
        </w:rPr>
        <w:t>in Absat</w:t>
      </w:r>
      <w:r w:rsidR="000D76B2">
        <w:rPr>
          <w:rFonts w:cs="Arial"/>
          <w:lang w:val="de-DE"/>
        </w:rPr>
        <w:t>z 17 dieses Dokuments dargelegt</w:t>
      </w:r>
    </w:p>
    <w:p w:rsidR="000D76B2" w:rsidRDefault="000D76B2" w:rsidP="000D76B2">
      <w:pPr>
        <w:pStyle w:val="DecisionParagraphs"/>
        <w:rPr>
          <w:rFonts w:cs="Arial"/>
          <w:lang w:val="de-DE"/>
        </w:rPr>
      </w:pPr>
    </w:p>
    <w:p w:rsidR="000D76B2" w:rsidRDefault="000D76B2" w:rsidP="000D76B2">
      <w:pPr>
        <w:pStyle w:val="DecisionParagraphs"/>
        <w:rPr>
          <w:rFonts w:cs="Arial"/>
          <w:lang w:val="de-DE"/>
        </w:rPr>
      </w:pPr>
    </w:p>
    <w:p w:rsidR="000D76B2" w:rsidRDefault="000D76B2" w:rsidP="000D76B2">
      <w:pPr>
        <w:pStyle w:val="DecisionParagraphs"/>
        <w:rPr>
          <w:rFonts w:cs="Arial"/>
          <w:lang w:val="de-DE"/>
        </w:rPr>
      </w:pPr>
    </w:p>
    <w:p w:rsidR="00050E16" w:rsidRPr="00C40A15" w:rsidRDefault="00463127" w:rsidP="000D76B2">
      <w:pPr>
        <w:pStyle w:val="DecisionParagraphs"/>
        <w:jc w:val="right"/>
        <w:rPr>
          <w:snapToGrid w:val="0"/>
          <w:lang w:val="de-DE"/>
        </w:rPr>
      </w:pPr>
      <w:r w:rsidRPr="00C40A15">
        <w:rPr>
          <w:snapToGrid w:val="0"/>
          <w:lang w:val="de-DE"/>
        </w:rPr>
        <w:t>[End</w:t>
      </w:r>
      <w:r w:rsidR="00577918" w:rsidRPr="00C40A15">
        <w:rPr>
          <w:snapToGrid w:val="0"/>
          <w:lang w:val="de-DE"/>
        </w:rPr>
        <w:t>e</w:t>
      </w:r>
      <w:r w:rsidRPr="00C40A15">
        <w:rPr>
          <w:snapToGrid w:val="0"/>
          <w:lang w:val="de-DE"/>
        </w:rPr>
        <w:t xml:space="preserve"> </w:t>
      </w:r>
      <w:r w:rsidR="00577918" w:rsidRPr="00C40A15">
        <w:rPr>
          <w:snapToGrid w:val="0"/>
          <w:lang w:val="de-DE"/>
        </w:rPr>
        <w:t>des</w:t>
      </w:r>
      <w:r w:rsidRPr="00C40A15">
        <w:rPr>
          <w:snapToGrid w:val="0"/>
          <w:lang w:val="de-DE"/>
        </w:rPr>
        <w:t xml:space="preserve"> </w:t>
      </w:r>
      <w:r w:rsidR="00F3160C" w:rsidRPr="00C40A15">
        <w:rPr>
          <w:snapToGrid w:val="0"/>
          <w:lang w:val="de-DE"/>
        </w:rPr>
        <w:t>Dokument</w:t>
      </w:r>
      <w:r w:rsidR="00577918" w:rsidRPr="00C40A15">
        <w:rPr>
          <w:snapToGrid w:val="0"/>
          <w:lang w:val="de-DE"/>
        </w:rPr>
        <w:t>s</w:t>
      </w:r>
      <w:r w:rsidRPr="00C40A15">
        <w:rPr>
          <w:snapToGrid w:val="0"/>
          <w:lang w:val="de-DE"/>
        </w:rPr>
        <w:t>]</w:t>
      </w:r>
    </w:p>
    <w:sectPr w:rsidR="00050E16" w:rsidRPr="00C40A15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0C" w:rsidRDefault="0091700C" w:rsidP="006655D3">
      <w:r>
        <w:separator/>
      </w:r>
    </w:p>
    <w:p w:rsidR="0091700C" w:rsidRDefault="0091700C" w:rsidP="006655D3"/>
    <w:p w:rsidR="0091700C" w:rsidRDefault="0091700C" w:rsidP="006655D3"/>
  </w:endnote>
  <w:endnote w:type="continuationSeparator" w:id="0">
    <w:p w:rsidR="0091700C" w:rsidRDefault="0091700C" w:rsidP="006655D3">
      <w:r>
        <w:separator/>
      </w:r>
    </w:p>
    <w:p w:rsidR="0091700C" w:rsidRPr="002669BE" w:rsidRDefault="0091700C">
      <w:pPr>
        <w:pStyle w:val="Footer"/>
        <w:spacing w:after="60"/>
        <w:rPr>
          <w:sz w:val="18"/>
          <w:lang w:val="fr-CH"/>
        </w:rPr>
      </w:pPr>
      <w:r w:rsidRPr="002669BE">
        <w:rPr>
          <w:sz w:val="18"/>
          <w:lang w:val="fr-CH"/>
        </w:rPr>
        <w:t>[Suite de la note de la page précédente]</w:t>
      </w:r>
    </w:p>
    <w:p w:rsidR="0091700C" w:rsidRPr="002669BE" w:rsidRDefault="0091700C" w:rsidP="006655D3">
      <w:pPr>
        <w:rPr>
          <w:lang w:val="fr-CH"/>
        </w:rPr>
      </w:pPr>
    </w:p>
    <w:p w:rsidR="0091700C" w:rsidRPr="002669BE" w:rsidRDefault="0091700C" w:rsidP="006655D3">
      <w:pPr>
        <w:rPr>
          <w:lang w:val="fr-CH"/>
        </w:rPr>
      </w:pPr>
    </w:p>
  </w:endnote>
  <w:endnote w:type="continuationNotice" w:id="1">
    <w:p w:rsidR="0091700C" w:rsidRPr="002669BE" w:rsidRDefault="0091700C" w:rsidP="006655D3">
      <w:pPr>
        <w:rPr>
          <w:lang w:val="fr-CH"/>
        </w:rPr>
      </w:pPr>
      <w:r w:rsidRPr="002669BE">
        <w:rPr>
          <w:lang w:val="fr-CH"/>
        </w:rPr>
        <w:t>[Suite de la note page suivante]</w:t>
      </w:r>
    </w:p>
    <w:p w:rsidR="0091700C" w:rsidRPr="002669BE" w:rsidRDefault="0091700C" w:rsidP="006655D3">
      <w:pPr>
        <w:rPr>
          <w:lang w:val="fr-CH"/>
        </w:rPr>
      </w:pPr>
    </w:p>
    <w:p w:rsidR="0091700C" w:rsidRPr="002669BE" w:rsidRDefault="0091700C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0C" w:rsidRDefault="0091700C" w:rsidP="006655D3">
      <w:r>
        <w:separator/>
      </w:r>
    </w:p>
  </w:footnote>
  <w:footnote w:type="continuationSeparator" w:id="0">
    <w:p w:rsidR="0091700C" w:rsidRDefault="0091700C" w:rsidP="006655D3">
      <w:r>
        <w:separator/>
      </w:r>
    </w:p>
  </w:footnote>
  <w:footnote w:type="continuationNotice" w:id="1">
    <w:p w:rsidR="0091700C" w:rsidRPr="00AB530F" w:rsidRDefault="009170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90" w:rsidRPr="00C5280D" w:rsidRDefault="003172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TC/51/15</w:t>
    </w:r>
  </w:p>
  <w:p w:rsidR="00317290" w:rsidRPr="00C5280D" w:rsidRDefault="00317290" w:rsidP="00EB048E">
    <w:pPr>
      <w:pStyle w:val="Header"/>
      <w:rPr>
        <w:lang w:val="en-US"/>
      </w:rPr>
    </w:pPr>
    <w:r>
      <w:rPr>
        <w:lang w:val="en-US"/>
      </w:rPr>
      <w:t>Seit</w:t>
    </w:r>
    <w:r w:rsidRPr="00C5280D">
      <w:rPr>
        <w:lang w:val="en-US"/>
      </w:rPr>
      <w:t xml:space="preserve">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F37B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317290" w:rsidRPr="00C5280D" w:rsidRDefault="00317290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467C"/>
    <w:multiLevelType w:val="hybridMultilevel"/>
    <w:tmpl w:val="EFB80884"/>
    <w:lvl w:ilvl="0" w:tplc="28C8CDFC">
      <w:start w:val="1"/>
      <w:numFmt w:val="lowerRoman"/>
      <w:lvlText w:val="%1)"/>
      <w:lvlJc w:val="left"/>
      <w:pPr>
        <w:ind w:left="1854" w:hanging="72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F995838"/>
    <w:multiLevelType w:val="hybridMultilevel"/>
    <w:tmpl w:val="9FA86328"/>
    <w:lvl w:ilvl="0" w:tplc="97AAD29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59131C"/>
    <w:multiLevelType w:val="hybridMultilevel"/>
    <w:tmpl w:val="A342AE7E"/>
    <w:lvl w:ilvl="0" w:tplc="EB9C5CA6">
      <w:start w:val="1"/>
      <w:numFmt w:val="lowerRoman"/>
      <w:lvlText w:val="%1)"/>
      <w:lvlJc w:val="left"/>
      <w:pPr>
        <w:ind w:left="1854" w:hanging="720"/>
      </w:pPr>
      <w:rPr>
        <w:rFonts w:cs="Times New Roman" w:hint="default"/>
        <w:i/>
        <w:sz w:val="2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5925619"/>
    <w:multiLevelType w:val="hybridMultilevel"/>
    <w:tmpl w:val="1FBCC482"/>
    <w:lvl w:ilvl="0" w:tplc="62EA2A74">
      <w:start w:val="1"/>
      <w:numFmt w:val="lowerRoman"/>
      <w:lvlText w:val="%1)"/>
      <w:lvlJc w:val="left"/>
      <w:pPr>
        <w:ind w:left="1863" w:hanging="72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2223" w:hanging="360"/>
      </w:pPr>
    </w:lvl>
    <w:lvl w:ilvl="2" w:tplc="100C001B" w:tentative="1">
      <w:start w:val="1"/>
      <w:numFmt w:val="lowerRoman"/>
      <w:lvlText w:val="%3."/>
      <w:lvlJc w:val="right"/>
      <w:pPr>
        <w:ind w:left="2943" w:hanging="180"/>
      </w:pPr>
    </w:lvl>
    <w:lvl w:ilvl="3" w:tplc="100C000F" w:tentative="1">
      <w:start w:val="1"/>
      <w:numFmt w:val="decimal"/>
      <w:lvlText w:val="%4."/>
      <w:lvlJc w:val="left"/>
      <w:pPr>
        <w:ind w:left="3663" w:hanging="360"/>
      </w:pPr>
    </w:lvl>
    <w:lvl w:ilvl="4" w:tplc="100C0019" w:tentative="1">
      <w:start w:val="1"/>
      <w:numFmt w:val="lowerLetter"/>
      <w:lvlText w:val="%5."/>
      <w:lvlJc w:val="left"/>
      <w:pPr>
        <w:ind w:left="4383" w:hanging="360"/>
      </w:pPr>
    </w:lvl>
    <w:lvl w:ilvl="5" w:tplc="100C001B" w:tentative="1">
      <w:start w:val="1"/>
      <w:numFmt w:val="lowerRoman"/>
      <w:lvlText w:val="%6."/>
      <w:lvlJc w:val="right"/>
      <w:pPr>
        <w:ind w:left="5103" w:hanging="180"/>
      </w:pPr>
    </w:lvl>
    <w:lvl w:ilvl="6" w:tplc="100C000F" w:tentative="1">
      <w:start w:val="1"/>
      <w:numFmt w:val="decimal"/>
      <w:lvlText w:val="%7."/>
      <w:lvlJc w:val="left"/>
      <w:pPr>
        <w:ind w:left="5823" w:hanging="360"/>
      </w:pPr>
    </w:lvl>
    <w:lvl w:ilvl="7" w:tplc="100C0019" w:tentative="1">
      <w:start w:val="1"/>
      <w:numFmt w:val="lowerLetter"/>
      <w:lvlText w:val="%8."/>
      <w:lvlJc w:val="left"/>
      <w:pPr>
        <w:ind w:left="6543" w:hanging="360"/>
      </w:pPr>
    </w:lvl>
    <w:lvl w:ilvl="8" w:tplc="10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3D940D32"/>
    <w:multiLevelType w:val="hybridMultilevel"/>
    <w:tmpl w:val="D5689428"/>
    <w:lvl w:ilvl="0" w:tplc="68FE7750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40A965C4"/>
    <w:multiLevelType w:val="hybridMultilevel"/>
    <w:tmpl w:val="1FBCC482"/>
    <w:lvl w:ilvl="0" w:tplc="62EA2A74">
      <w:start w:val="1"/>
      <w:numFmt w:val="lowerRoman"/>
      <w:lvlText w:val="%1)"/>
      <w:lvlJc w:val="left"/>
      <w:pPr>
        <w:ind w:left="1863" w:hanging="72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2223" w:hanging="360"/>
      </w:pPr>
    </w:lvl>
    <w:lvl w:ilvl="2" w:tplc="100C001B" w:tentative="1">
      <w:start w:val="1"/>
      <w:numFmt w:val="lowerRoman"/>
      <w:lvlText w:val="%3."/>
      <w:lvlJc w:val="right"/>
      <w:pPr>
        <w:ind w:left="2943" w:hanging="180"/>
      </w:pPr>
    </w:lvl>
    <w:lvl w:ilvl="3" w:tplc="100C000F" w:tentative="1">
      <w:start w:val="1"/>
      <w:numFmt w:val="decimal"/>
      <w:lvlText w:val="%4."/>
      <w:lvlJc w:val="left"/>
      <w:pPr>
        <w:ind w:left="3663" w:hanging="360"/>
      </w:pPr>
    </w:lvl>
    <w:lvl w:ilvl="4" w:tplc="100C0019" w:tentative="1">
      <w:start w:val="1"/>
      <w:numFmt w:val="lowerLetter"/>
      <w:lvlText w:val="%5."/>
      <w:lvlJc w:val="left"/>
      <w:pPr>
        <w:ind w:left="4383" w:hanging="360"/>
      </w:pPr>
    </w:lvl>
    <w:lvl w:ilvl="5" w:tplc="100C001B" w:tentative="1">
      <w:start w:val="1"/>
      <w:numFmt w:val="lowerRoman"/>
      <w:lvlText w:val="%6."/>
      <w:lvlJc w:val="right"/>
      <w:pPr>
        <w:ind w:left="5103" w:hanging="180"/>
      </w:pPr>
    </w:lvl>
    <w:lvl w:ilvl="6" w:tplc="100C000F" w:tentative="1">
      <w:start w:val="1"/>
      <w:numFmt w:val="decimal"/>
      <w:lvlText w:val="%7."/>
      <w:lvlJc w:val="left"/>
      <w:pPr>
        <w:ind w:left="5823" w:hanging="360"/>
      </w:pPr>
    </w:lvl>
    <w:lvl w:ilvl="7" w:tplc="100C0019" w:tentative="1">
      <w:start w:val="1"/>
      <w:numFmt w:val="lowerLetter"/>
      <w:lvlText w:val="%8."/>
      <w:lvlJc w:val="left"/>
      <w:pPr>
        <w:ind w:left="6543" w:hanging="360"/>
      </w:pPr>
    </w:lvl>
    <w:lvl w:ilvl="8" w:tplc="10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420466DE"/>
    <w:multiLevelType w:val="hybridMultilevel"/>
    <w:tmpl w:val="4ACA7D68"/>
    <w:lvl w:ilvl="0" w:tplc="9B801F4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58637E"/>
    <w:multiLevelType w:val="hybridMultilevel"/>
    <w:tmpl w:val="D5689428"/>
    <w:lvl w:ilvl="0" w:tplc="68FE7750">
      <w:start w:val="1"/>
      <w:numFmt w:val="lowerRoman"/>
      <w:lvlText w:val="(%1)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>
    <w:nsid w:val="66907194"/>
    <w:multiLevelType w:val="hybridMultilevel"/>
    <w:tmpl w:val="A342AE7E"/>
    <w:lvl w:ilvl="0" w:tplc="EB9C5CA6">
      <w:start w:val="1"/>
      <w:numFmt w:val="lowerRoman"/>
      <w:lvlText w:val="%1)"/>
      <w:lvlJc w:val="left"/>
      <w:pPr>
        <w:ind w:left="1854" w:hanging="720"/>
      </w:pPr>
      <w:rPr>
        <w:rFonts w:cs="Times New Roman" w:hint="default"/>
        <w:i/>
        <w:sz w:val="20"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4BA591A"/>
    <w:multiLevelType w:val="hybridMultilevel"/>
    <w:tmpl w:val="4ACA7D68"/>
    <w:lvl w:ilvl="0" w:tplc="9B801F4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ED2608"/>
    <w:multiLevelType w:val="hybridMultilevel"/>
    <w:tmpl w:val="DDBC081A"/>
    <w:lvl w:ilvl="0" w:tplc="6FA20C9A">
      <w:start w:val="1"/>
      <w:numFmt w:val="lowerRoman"/>
      <w:lvlText w:val="%1)"/>
      <w:lvlJc w:val="left"/>
      <w:pPr>
        <w:ind w:left="1854" w:hanging="72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2214" w:hanging="360"/>
      </w:pPr>
    </w:lvl>
    <w:lvl w:ilvl="2" w:tplc="100C001B" w:tentative="1">
      <w:start w:val="1"/>
      <w:numFmt w:val="lowerRoman"/>
      <w:lvlText w:val="%3."/>
      <w:lvlJc w:val="right"/>
      <w:pPr>
        <w:ind w:left="2934" w:hanging="180"/>
      </w:pPr>
    </w:lvl>
    <w:lvl w:ilvl="3" w:tplc="100C000F" w:tentative="1">
      <w:start w:val="1"/>
      <w:numFmt w:val="decimal"/>
      <w:lvlText w:val="%4."/>
      <w:lvlJc w:val="left"/>
      <w:pPr>
        <w:ind w:left="3654" w:hanging="360"/>
      </w:pPr>
    </w:lvl>
    <w:lvl w:ilvl="4" w:tplc="100C0019" w:tentative="1">
      <w:start w:val="1"/>
      <w:numFmt w:val="lowerLetter"/>
      <w:lvlText w:val="%5."/>
      <w:lvlJc w:val="left"/>
      <w:pPr>
        <w:ind w:left="4374" w:hanging="360"/>
      </w:pPr>
    </w:lvl>
    <w:lvl w:ilvl="5" w:tplc="100C001B" w:tentative="1">
      <w:start w:val="1"/>
      <w:numFmt w:val="lowerRoman"/>
      <w:lvlText w:val="%6."/>
      <w:lvlJc w:val="right"/>
      <w:pPr>
        <w:ind w:left="5094" w:hanging="180"/>
      </w:pPr>
    </w:lvl>
    <w:lvl w:ilvl="6" w:tplc="100C000F" w:tentative="1">
      <w:start w:val="1"/>
      <w:numFmt w:val="decimal"/>
      <w:lvlText w:val="%7."/>
      <w:lvlJc w:val="left"/>
      <w:pPr>
        <w:ind w:left="5814" w:hanging="360"/>
      </w:pPr>
    </w:lvl>
    <w:lvl w:ilvl="7" w:tplc="100C0019" w:tentative="1">
      <w:start w:val="1"/>
      <w:numFmt w:val="lowerLetter"/>
      <w:lvlText w:val="%8."/>
      <w:lvlJc w:val="left"/>
      <w:pPr>
        <w:ind w:left="6534" w:hanging="360"/>
      </w:pPr>
    </w:lvl>
    <w:lvl w:ilvl="8" w:tplc="100C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BE"/>
    <w:rsid w:val="00010CF3"/>
    <w:rsid w:val="00011E27"/>
    <w:rsid w:val="0001419C"/>
    <w:rsid w:val="000148BC"/>
    <w:rsid w:val="00016CD6"/>
    <w:rsid w:val="00024AB8"/>
    <w:rsid w:val="00030854"/>
    <w:rsid w:val="00036028"/>
    <w:rsid w:val="00037E30"/>
    <w:rsid w:val="00044642"/>
    <w:rsid w:val="000446B9"/>
    <w:rsid w:val="00047E21"/>
    <w:rsid w:val="00050E16"/>
    <w:rsid w:val="000703F2"/>
    <w:rsid w:val="000809DB"/>
    <w:rsid w:val="00085505"/>
    <w:rsid w:val="000C7021"/>
    <w:rsid w:val="000D6BBC"/>
    <w:rsid w:val="000D76B2"/>
    <w:rsid w:val="000D7780"/>
    <w:rsid w:val="000E7593"/>
    <w:rsid w:val="000F2F11"/>
    <w:rsid w:val="000F37B3"/>
    <w:rsid w:val="001009A0"/>
    <w:rsid w:val="00105929"/>
    <w:rsid w:val="001131D5"/>
    <w:rsid w:val="00141DB8"/>
    <w:rsid w:val="00151FEC"/>
    <w:rsid w:val="0017474A"/>
    <w:rsid w:val="001758C6"/>
    <w:rsid w:val="00182B99"/>
    <w:rsid w:val="001C0258"/>
    <w:rsid w:val="001E3629"/>
    <w:rsid w:val="0021332C"/>
    <w:rsid w:val="00213982"/>
    <w:rsid w:val="00232082"/>
    <w:rsid w:val="0024416D"/>
    <w:rsid w:val="00246EE4"/>
    <w:rsid w:val="002471AE"/>
    <w:rsid w:val="00265ABB"/>
    <w:rsid w:val="002669BE"/>
    <w:rsid w:val="00271911"/>
    <w:rsid w:val="002800A0"/>
    <w:rsid w:val="002801B3"/>
    <w:rsid w:val="00281060"/>
    <w:rsid w:val="002940E8"/>
    <w:rsid w:val="002A6E50"/>
    <w:rsid w:val="002C256A"/>
    <w:rsid w:val="002D4C46"/>
    <w:rsid w:val="00302E47"/>
    <w:rsid w:val="00305A7F"/>
    <w:rsid w:val="003152FE"/>
    <w:rsid w:val="00317290"/>
    <w:rsid w:val="00327436"/>
    <w:rsid w:val="00344BD6"/>
    <w:rsid w:val="0035528D"/>
    <w:rsid w:val="00361821"/>
    <w:rsid w:val="003646D6"/>
    <w:rsid w:val="003D227C"/>
    <w:rsid w:val="003D2B4D"/>
    <w:rsid w:val="00444A88"/>
    <w:rsid w:val="00463127"/>
    <w:rsid w:val="00474DA4"/>
    <w:rsid w:val="00476B4D"/>
    <w:rsid w:val="004805FA"/>
    <w:rsid w:val="004935D2"/>
    <w:rsid w:val="004A3195"/>
    <w:rsid w:val="004B1215"/>
    <w:rsid w:val="004C4AFB"/>
    <w:rsid w:val="004D047D"/>
    <w:rsid w:val="004E4150"/>
    <w:rsid w:val="004F305A"/>
    <w:rsid w:val="00512164"/>
    <w:rsid w:val="00520297"/>
    <w:rsid w:val="005258D2"/>
    <w:rsid w:val="005338F9"/>
    <w:rsid w:val="00534B23"/>
    <w:rsid w:val="0054281C"/>
    <w:rsid w:val="0055268D"/>
    <w:rsid w:val="0055613A"/>
    <w:rsid w:val="005642FA"/>
    <w:rsid w:val="00576BE4"/>
    <w:rsid w:val="00577918"/>
    <w:rsid w:val="0058371E"/>
    <w:rsid w:val="005A21CA"/>
    <w:rsid w:val="005A400A"/>
    <w:rsid w:val="005B4852"/>
    <w:rsid w:val="005B7C6E"/>
    <w:rsid w:val="005F1B6E"/>
    <w:rsid w:val="00612379"/>
    <w:rsid w:val="00612C3C"/>
    <w:rsid w:val="0061555F"/>
    <w:rsid w:val="00641200"/>
    <w:rsid w:val="006655D3"/>
    <w:rsid w:val="00667404"/>
    <w:rsid w:val="00671326"/>
    <w:rsid w:val="0068630A"/>
    <w:rsid w:val="00687EB4"/>
    <w:rsid w:val="006B17D2"/>
    <w:rsid w:val="006C224E"/>
    <w:rsid w:val="006D780A"/>
    <w:rsid w:val="00723D43"/>
    <w:rsid w:val="00732DEC"/>
    <w:rsid w:val="00735BD5"/>
    <w:rsid w:val="007556F6"/>
    <w:rsid w:val="00757751"/>
    <w:rsid w:val="00760EEF"/>
    <w:rsid w:val="00777EE5"/>
    <w:rsid w:val="00784836"/>
    <w:rsid w:val="0079023E"/>
    <w:rsid w:val="007A2854"/>
    <w:rsid w:val="007B34C0"/>
    <w:rsid w:val="007C5720"/>
    <w:rsid w:val="007D0B9D"/>
    <w:rsid w:val="007D19B0"/>
    <w:rsid w:val="007F498F"/>
    <w:rsid w:val="0080679D"/>
    <w:rsid w:val="008108B0"/>
    <w:rsid w:val="00811B20"/>
    <w:rsid w:val="0082296E"/>
    <w:rsid w:val="00824099"/>
    <w:rsid w:val="00846D7C"/>
    <w:rsid w:val="008668C7"/>
    <w:rsid w:val="00867AC1"/>
    <w:rsid w:val="008A743F"/>
    <w:rsid w:val="008C0970"/>
    <w:rsid w:val="008D04D7"/>
    <w:rsid w:val="008D0BC5"/>
    <w:rsid w:val="008D2CF7"/>
    <w:rsid w:val="008D4CED"/>
    <w:rsid w:val="00900C26"/>
    <w:rsid w:val="0090197F"/>
    <w:rsid w:val="00906DDC"/>
    <w:rsid w:val="0091506B"/>
    <w:rsid w:val="0091700C"/>
    <w:rsid w:val="009246AC"/>
    <w:rsid w:val="00934E09"/>
    <w:rsid w:val="00936253"/>
    <w:rsid w:val="00952DD4"/>
    <w:rsid w:val="00970FED"/>
    <w:rsid w:val="0097795C"/>
    <w:rsid w:val="00992D82"/>
    <w:rsid w:val="00997029"/>
    <w:rsid w:val="009B440E"/>
    <w:rsid w:val="009D690D"/>
    <w:rsid w:val="009E65B6"/>
    <w:rsid w:val="009F2463"/>
    <w:rsid w:val="00A24C10"/>
    <w:rsid w:val="00A370CB"/>
    <w:rsid w:val="00A37B24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1377E"/>
    <w:rsid w:val="00B224DE"/>
    <w:rsid w:val="00B324D4"/>
    <w:rsid w:val="00B33C19"/>
    <w:rsid w:val="00B46575"/>
    <w:rsid w:val="00B84BBD"/>
    <w:rsid w:val="00BA43FB"/>
    <w:rsid w:val="00BC127D"/>
    <w:rsid w:val="00BC1FE6"/>
    <w:rsid w:val="00C061B6"/>
    <w:rsid w:val="00C101E3"/>
    <w:rsid w:val="00C2446C"/>
    <w:rsid w:val="00C36AE5"/>
    <w:rsid w:val="00C40A15"/>
    <w:rsid w:val="00C41F17"/>
    <w:rsid w:val="00C5280D"/>
    <w:rsid w:val="00C5791C"/>
    <w:rsid w:val="00C66290"/>
    <w:rsid w:val="00C72B7A"/>
    <w:rsid w:val="00C973F2"/>
    <w:rsid w:val="00CA304C"/>
    <w:rsid w:val="00CA5C3B"/>
    <w:rsid w:val="00CA774A"/>
    <w:rsid w:val="00CB5169"/>
    <w:rsid w:val="00CC11B0"/>
    <w:rsid w:val="00CF7E36"/>
    <w:rsid w:val="00D3708D"/>
    <w:rsid w:val="00D40426"/>
    <w:rsid w:val="00D472F3"/>
    <w:rsid w:val="00D57C96"/>
    <w:rsid w:val="00D77A90"/>
    <w:rsid w:val="00D91203"/>
    <w:rsid w:val="00D95174"/>
    <w:rsid w:val="00DA6F36"/>
    <w:rsid w:val="00DB596E"/>
    <w:rsid w:val="00DB7773"/>
    <w:rsid w:val="00DC00EA"/>
    <w:rsid w:val="00E32F7E"/>
    <w:rsid w:val="00E72D49"/>
    <w:rsid w:val="00E7593C"/>
    <w:rsid w:val="00E7678A"/>
    <w:rsid w:val="00E87D8E"/>
    <w:rsid w:val="00E935F1"/>
    <w:rsid w:val="00E94A81"/>
    <w:rsid w:val="00EA006A"/>
    <w:rsid w:val="00EA1FFB"/>
    <w:rsid w:val="00EB048E"/>
    <w:rsid w:val="00EE34DF"/>
    <w:rsid w:val="00EF2F89"/>
    <w:rsid w:val="00EF4993"/>
    <w:rsid w:val="00F1237A"/>
    <w:rsid w:val="00F21476"/>
    <w:rsid w:val="00F22CBD"/>
    <w:rsid w:val="00F3160C"/>
    <w:rsid w:val="00F45372"/>
    <w:rsid w:val="00F560F7"/>
    <w:rsid w:val="00F6334D"/>
    <w:rsid w:val="00FA2BD0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265AB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B34C0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0F37B3"/>
    <w:pPr>
      <w:keepNext/>
      <w:ind w:left="567"/>
      <w:jc w:val="both"/>
      <w:outlineLvl w:val="3"/>
    </w:pPr>
    <w:rPr>
      <w:rFonts w:ascii="Arial" w:hAnsi="Arial"/>
      <w:i/>
      <w:sz w:val="18"/>
      <w:szCs w:val="18"/>
      <w:lang w:val="de-D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5642F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642FA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127"/>
    <w:pPr>
      <w:ind w:left="720"/>
      <w:contextualSpacing/>
    </w:pPr>
  </w:style>
  <w:style w:type="character" w:customStyle="1" w:styleId="Heading1Char">
    <w:name w:val="Heading 1 Char"/>
    <w:link w:val="Heading1"/>
    <w:rsid w:val="00265ABB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5258D2"/>
    <w:rPr>
      <w:rFonts w:ascii="Arial" w:hAnsi="Arial"/>
      <w:sz w:val="16"/>
    </w:rPr>
  </w:style>
  <w:style w:type="character" w:styleId="Strong">
    <w:name w:val="Strong"/>
    <w:basedOn w:val="DefaultParagraphFont"/>
    <w:qFormat/>
    <w:rsid w:val="004A31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265AB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B34C0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0F37B3"/>
    <w:pPr>
      <w:keepNext/>
      <w:ind w:left="567"/>
      <w:jc w:val="both"/>
      <w:outlineLvl w:val="3"/>
    </w:pPr>
    <w:rPr>
      <w:rFonts w:ascii="Arial" w:hAnsi="Arial"/>
      <w:i/>
      <w:sz w:val="18"/>
      <w:szCs w:val="18"/>
      <w:lang w:val="de-D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5642F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5642FA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127"/>
    <w:pPr>
      <w:ind w:left="720"/>
      <w:contextualSpacing/>
    </w:pPr>
  </w:style>
  <w:style w:type="character" w:customStyle="1" w:styleId="Heading1Char">
    <w:name w:val="Heading 1 Char"/>
    <w:link w:val="Heading1"/>
    <w:rsid w:val="00265ABB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5258D2"/>
    <w:rPr>
      <w:rFonts w:ascii="Arial" w:hAnsi="Arial"/>
      <w:sz w:val="16"/>
    </w:rPr>
  </w:style>
  <w:style w:type="character" w:styleId="Strong">
    <w:name w:val="Strong"/>
    <w:basedOn w:val="DefaultParagraphFont"/>
    <w:qFormat/>
    <w:rsid w:val="004A3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-12-02-2014\UPOV-2015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3E6F-F4B6-47B7-860C-E2E2C363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tc_51_EN</Template>
  <TotalTime>84</TotalTime>
  <Pages>5</Pages>
  <Words>1806</Words>
  <Characters>12246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TC/50</vt:lpstr>
      <vt:lpstr>TC/50</vt:lpstr>
    </vt:vector>
  </TitlesOfParts>
  <Company>UPOV</Company>
  <LinksUpToDate>false</LinksUpToDate>
  <CharactersWithSpaces>14024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lastModifiedBy>LONG Victoria</cp:lastModifiedBy>
  <cp:revision>13</cp:revision>
  <cp:lastPrinted>2015-02-09T10:24:00Z</cp:lastPrinted>
  <dcterms:created xsi:type="dcterms:W3CDTF">2015-02-02T10:24:00Z</dcterms:created>
  <dcterms:modified xsi:type="dcterms:W3CDTF">2015-02-09T10:24:00Z</dcterms:modified>
</cp:coreProperties>
</file>