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F1423" w:rsidTr="005A0C4C">
        <w:trPr>
          <w:trHeight w:val="1760"/>
        </w:trPr>
        <w:tc>
          <w:tcPr>
            <w:tcW w:w="4243" w:type="dxa"/>
          </w:tcPr>
          <w:p w:rsidR="000D7780" w:rsidRPr="008B1251" w:rsidRDefault="000D7780" w:rsidP="006655D3">
            <w:pPr>
              <w:rPr>
                <w:lang w:val="de-DE"/>
              </w:rPr>
            </w:pPr>
            <w:bookmarkStart w:id="0" w:name="_GoBack"/>
            <w:bookmarkEnd w:id="0"/>
          </w:p>
        </w:tc>
        <w:tc>
          <w:tcPr>
            <w:tcW w:w="1646" w:type="dxa"/>
            <w:vAlign w:val="center"/>
          </w:tcPr>
          <w:p w:rsidR="000D7780" w:rsidRPr="008B1251" w:rsidRDefault="00B324D4" w:rsidP="006655D3">
            <w:pPr>
              <w:pStyle w:val="LogoUPOV"/>
              <w:rPr>
                <w:lang w:val="de-DE"/>
              </w:rPr>
            </w:pPr>
            <w:r w:rsidRPr="008B1251">
              <w:rPr>
                <w:noProof/>
              </w:rPr>
              <w:drawing>
                <wp:inline distT="0" distB="0" distL="0" distR="0" wp14:anchorId="4EDA3BA0" wp14:editId="252E51F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B1251" w:rsidRDefault="005A0C4C" w:rsidP="006655D3">
            <w:pPr>
              <w:pStyle w:val="Lettrine"/>
              <w:rPr>
                <w:lang w:val="de-DE"/>
              </w:rPr>
            </w:pPr>
            <w:r w:rsidRPr="008B1251">
              <w:rPr>
                <w:lang w:val="de-DE"/>
              </w:rPr>
              <w:t>G</w:t>
            </w:r>
          </w:p>
          <w:p w:rsidR="000D7780" w:rsidRPr="008B1251" w:rsidRDefault="00667404" w:rsidP="006655D3">
            <w:pPr>
              <w:pStyle w:val="Docoriginal"/>
              <w:rPr>
                <w:lang w:val="de-DE"/>
              </w:rPr>
            </w:pPr>
            <w:r w:rsidRPr="008B1251">
              <w:rPr>
                <w:lang w:val="de-DE"/>
              </w:rPr>
              <w:t>TC/</w:t>
            </w:r>
            <w:r w:rsidR="00050E16" w:rsidRPr="008B1251">
              <w:rPr>
                <w:lang w:val="de-DE"/>
              </w:rPr>
              <w:t>5</w:t>
            </w:r>
            <w:r w:rsidR="004B1215" w:rsidRPr="008B1251">
              <w:rPr>
                <w:lang w:val="de-DE"/>
              </w:rPr>
              <w:t>1</w:t>
            </w:r>
            <w:r w:rsidRPr="008B1251">
              <w:rPr>
                <w:lang w:val="de-DE"/>
              </w:rPr>
              <w:t>/</w:t>
            </w:r>
            <w:bookmarkStart w:id="1" w:name="Code"/>
            <w:bookmarkEnd w:id="1"/>
            <w:r w:rsidR="00D84E72" w:rsidRPr="008B1251">
              <w:rPr>
                <w:lang w:val="de-DE"/>
              </w:rPr>
              <w:t>10</w:t>
            </w:r>
          </w:p>
          <w:p w:rsidR="000D7780" w:rsidRPr="008B1251" w:rsidRDefault="0061555F" w:rsidP="006655D3">
            <w:pPr>
              <w:pStyle w:val="Docoriginal"/>
              <w:rPr>
                <w:b w:val="0"/>
                <w:spacing w:val="0"/>
                <w:lang w:val="de-DE"/>
              </w:rPr>
            </w:pPr>
            <w:r w:rsidRPr="008B1251">
              <w:rPr>
                <w:rStyle w:val="StyleDoclangBold"/>
                <w:b/>
                <w:bCs/>
                <w:spacing w:val="0"/>
                <w:lang w:val="de-DE"/>
              </w:rPr>
              <w:t>ORIGINAL</w:t>
            </w:r>
            <w:r w:rsidR="000D7780" w:rsidRPr="008B1251">
              <w:rPr>
                <w:rStyle w:val="StyleDoclangBold"/>
                <w:b/>
                <w:bCs/>
                <w:spacing w:val="0"/>
                <w:lang w:val="de-DE"/>
              </w:rPr>
              <w:t>:</w:t>
            </w:r>
            <w:r w:rsidRPr="008B1251">
              <w:rPr>
                <w:rStyle w:val="StyleDocoriginalNotBold1"/>
                <w:spacing w:val="0"/>
                <w:lang w:val="de-DE"/>
              </w:rPr>
              <w:t xml:space="preserve"> </w:t>
            </w:r>
            <w:bookmarkStart w:id="2" w:name="Original"/>
            <w:bookmarkEnd w:id="2"/>
            <w:r w:rsidR="005A0C4C" w:rsidRPr="008B1251">
              <w:rPr>
                <w:rStyle w:val="StyleDocoriginalNotBold1"/>
                <w:spacing w:val="0"/>
                <w:lang w:val="de-DE"/>
              </w:rPr>
              <w:t>e</w:t>
            </w:r>
            <w:r w:rsidR="0024416D" w:rsidRPr="008B1251">
              <w:rPr>
                <w:b w:val="0"/>
                <w:spacing w:val="0"/>
                <w:lang w:val="de-DE"/>
              </w:rPr>
              <w:t>nglis</w:t>
            </w:r>
            <w:r w:rsidR="005A0C4C" w:rsidRPr="008B1251">
              <w:rPr>
                <w:b w:val="0"/>
                <w:spacing w:val="0"/>
                <w:lang w:val="de-DE"/>
              </w:rPr>
              <w:t>c</w:t>
            </w:r>
            <w:r w:rsidR="0024416D" w:rsidRPr="008B1251">
              <w:rPr>
                <w:b w:val="0"/>
                <w:spacing w:val="0"/>
                <w:lang w:val="de-DE"/>
              </w:rPr>
              <w:t>h</w:t>
            </w:r>
          </w:p>
          <w:p w:rsidR="000D7780" w:rsidRPr="008B1251" w:rsidRDefault="000D7780" w:rsidP="00EF1423">
            <w:pPr>
              <w:pStyle w:val="Docoriginal"/>
              <w:rPr>
                <w:lang w:val="de-DE"/>
              </w:rPr>
            </w:pPr>
            <w:r w:rsidRPr="008B1251">
              <w:rPr>
                <w:spacing w:val="0"/>
                <w:lang w:val="de-DE"/>
              </w:rPr>
              <w:t>DAT</w:t>
            </w:r>
            <w:r w:rsidR="005A0C4C" w:rsidRPr="008B1251">
              <w:rPr>
                <w:spacing w:val="0"/>
                <w:lang w:val="de-DE"/>
              </w:rPr>
              <w:t>UM</w:t>
            </w:r>
            <w:r w:rsidRPr="008B1251">
              <w:rPr>
                <w:spacing w:val="0"/>
                <w:lang w:val="de-DE"/>
              </w:rPr>
              <w:t>:</w:t>
            </w:r>
            <w:r w:rsidRPr="008B1251">
              <w:rPr>
                <w:rStyle w:val="StyleDocoriginalNotBold1"/>
                <w:spacing w:val="0"/>
                <w:lang w:val="de-DE"/>
              </w:rPr>
              <w:t xml:space="preserve"> </w:t>
            </w:r>
            <w:bookmarkStart w:id="3" w:name="Date"/>
            <w:bookmarkEnd w:id="3"/>
            <w:r w:rsidR="00EF1423" w:rsidRPr="00EF1423">
              <w:rPr>
                <w:b w:val="0"/>
                <w:spacing w:val="0"/>
                <w:lang w:val="de-DE"/>
              </w:rPr>
              <w:t>4</w:t>
            </w:r>
            <w:r w:rsidR="00451BF6" w:rsidRPr="00EF1423">
              <w:rPr>
                <w:b w:val="0"/>
                <w:spacing w:val="0"/>
                <w:lang w:val="de-DE"/>
              </w:rPr>
              <w:t xml:space="preserve">. </w:t>
            </w:r>
            <w:r w:rsidR="00EF1423" w:rsidRPr="00EF1423">
              <w:rPr>
                <w:b w:val="0"/>
                <w:spacing w:val="0"/>
                <w:lang w:val="de-DE"/>
              </w:rPr>
              <w:t>März</w:t>
            </w:r>
            <w:r w:rsidR="00D6509E" w:rsidRPr="00EF1423">
              <w:rPr>
                <w:b w:val="0"/>
                <w:spacing w:val="0"/>
                <w:lang w:val="de-DE"/>
              </w:rPr>
              <w:t xml:space="preserve"> 2015</w:t>
            </w:r>
          </w:p>
        </w:tc>
      </w:tr>
      <w:tr w:rsidR="000D7780" w:rsidRPr="0045684D" w:rsidTr="005A0C4C">
        <w:tc>
          <w:tcPr>
            <w:tcW w:w="10131" w:type="dxa"/>
            <w:gridSpan w:val="3"/>
          </w:tcPr>
          <w:p w:rsidR="000D7780" w:rsidRPr="008B1251" w:rsidRDefault="005A0C4C" w:rsidP="006655D3">
            <w:pPr>
              <w:pStyle w:val="upove"/>
              <w:rPr>
                <w:sz w:val="28"/>
                <w:lang w:val="de-DE"/>
              </w:rPr>
            </w:pPr>
            <w:r w:rsidRPr="008B1251">
              <w:rPr>
                <w:snapToGrid w:val="0"/>
                <w:lang w:val="de-DE"/>
              </w:rPr>
              <w:t>INTERNATIONALER VERBAND ZUM SCHUTZ VON PFLANZENZÜCHTUNGEN</w:t>
            </w:r>
          </w:p>
        </w:tc>
      </w:tr>
      <w:tr w:rsidR="000D7780" w:rsidRPr="00EF1423" w:rsidTr="005A0C4C">
        <w:tc>
          <w:tcPr>
            <w:tcW w:w="10131" w:type="dxa"/>
            <w:gridSpan w:val="3"/>
          </w:tcPr>
          <w:p w:rsidR="000D7780" w:rsidRPr="008B1251" w:rsidRDefault="00867AC1" w:rsidP="005A0C4C">
            <w:pPr>
              <w:pStyle w:val="Country"/>
              <w:rPr>
                <w:lang w:val="de-DE"/>
              </w:rPr>
            </w:pPr>
            <w:r w:rsidRPr="008B1251">
              <w:rPr>
                <w:lang w:val="de-DE"/>
              </w:rPr>
              <w:t>Gen</w:t>
            </w:r>
            <w:r w:rsidR="005A0C4C" w:rsidRPr="008B1251">
              <w:rPr>
                <w:lang w:val="de-DE"/>
              </w:rPr>
              <w:t>f</w:t>
            </w:r>
          </w:p>
        </w:tc>
      </w:tr>
    </w:tbl>
    <w:p w:rsidR="005A0C4C" w:rsidRPr="008B1251" w:rsidRDefault="005A0C4C" w:rsidP="005A0C4C">
      <w:pPr>
        <w:pStyle w:val="Sessiontc"/>
        <w:rPr>
          <w:lang w:val="de-DE"/>
        </w:rPr>
      </w:pPr>
      <w:r w:rsidRPr="008B1251">
        <w:rPr>
          <w:lang w:val="de-DE"/>
        </w:rPr>
        <w:t>TechniSCHER AUSSCHUSS</w:t>
      </w:r>
    </w:p>
    <w:p w:rsidR="00361821" w:rsidRPr="008B1251" w:rsidRDefault="005A0C4C" w:rsidP="005A0C4C">
      <w:pPr>
        <w:pStyle w:val="Sessiontcplacedate"/>
        <w:rPr>
          <w:lang w:val="de-DE"/>
        </w:rPr>
      </w:pPr>
      <w:r w:rsidRPr="008B1251">
        <w:rPr>
          <w:lang w:val="de-DE"/>
        </w:rPr>
        <w:t>Einundfünfzigste Tagung</w:t>
      </w:r>
      <w:r w:rsidRPr="008B1251">
        <w:rPr>
          <w:lang w:val="de-DE"/>
        </w:rPr>
        <w:br/>
        <w:t>Genf, 23. bis 25. März 2015</w:t>
      </w:r>
    </w:p>
    <w:p w:rsidR="000D7780" w:rsidRPr="008B1251" w:rsidRDefault="005A0C4C" w:rsidP="006655D3">
      <w:pPr>
        <w:pStyle w:val="Titleofdoc0"/>
        <w:rPr>
          <w:lang w:val="de-DE"/>
        </w:rPr>
      </w:pPr>
      <w:bookmarkStart w:id="4" w:name="TitleOfDoc"/>
      <w:bookmarkEnd w:id="4"/>
      <w:r w:rsidRPr="008B1251">
        <w:rPr>
          <w:lang w:val="de-DE"/>
        </w:rPr>
        <w:t>Bericht über die Entwicklungen in der UPOV, u. a. die auf den letzten Tagungen des Verwaltungs- und Rechtsausschusses, des Beratenden Ausschusses und des Rates erörterten wichtigen Angelegenheiten</w:t>
      </w:r>
    </w:p>
    <w:p w:rsidR="00050E16" w:rsidRPr="008B1251" w:rsidRDefault="005A0C4C" w:rsidP="00050E16">
      <w:pPr>
        <w:pStyle w:val="preparedby1"/>
        <w:rPr>
          <w:lang w:val="de-DE"/>
        </w:rPr>
      </w:pPr>
      <w:bookmarkStart w:id="5" w:name="Prepared"/>
      <w:bookmarkEnd w:id="5"/>
      <w:r w:rsidRPr="008B1251">
        <w:rPr>
          <w:lang w:val="de-DE"/>
        </w:rPr>
        <w:t>vom Verbandsbüro erstelltes Dokument</w:t>
      </w:r>
      <w:r w:rsidR="00050E16" w:rsidRPr="008B1251">
        <w:rPr>
          <w:lang w:val="de-DE"/>
        </w:rPr>
        <w:br/>
      </w:r>
      <w:r w:rsidR="00050E16" w:rsidRPr="008B1251">
        <w:rPr>
          <w:lang w:val="de-DE"/>
        </w:rPr>
        <w:br/>
      </w:r>
      <w:r w:rsidR="00B24F8D" w:rsidRPr="008B1251">
        <w:rPr>
          <w:color w:val="999999"/>
          <w:lang w:val="de-DE"/>
        </w:rPr>
        <w:t>Haftungsausschluß: Dieses Dokument gibt nicht die Grundsätze oder eine Anleitung der UPOV wieder</w:t>
      </w:r>
    </w:p>
    <w:p w:rsidR="00357731" w:rsidRPr="008B1251" w:rsidRDefault="00357731" w:rsidP="00357731">
      <w:pPr>
        <w:rPr>
          <w:snapToGrid w:val="0"/>
          <w:color w:val="000000" w:themeColor="text1"/>
          <w:lang w:val="de-DE"/>
        </w:rPr>
      </w:pPr>
      <w:r w:rsidRPr="008B1251">
        <w:rPr>
          <w:snapToGrid w:val="0"/>
          <w:color w:val="000000" w:themeColor="text1"/>
          <w:lang w:val="de-DE"/>
        </w:rPr>
        <w:fldChar w:fldCharType="begin"/>
      </w:r>
      <w:r w:rsidRPr="008B1251">
        <w:rPr>
          <w:snapToGrid w:val="0"/>
          <w:color w:val="000000" w:themeColor="text1"/>
          <w:lang w:val="de-DE"/>
        </w:rPr>
        <w:instrText xml:space="preserve"> AUTONUM  </w:instrText>
      </w:r>
      <w:r w:rsidRPr="008B1251">
        <w:rPr>
          <w:snapToGrid w:val="0"/>
          <w:color w:val="000000" w:themeColor="text1"/>
          <w:lang w:val="de-DE"/>
        </w:rPr>
        <w:fldChar w:fldCharType="end"/>
      </w:r>
      <w:r w:rsidRPr="008B1251">
        <w:rPr>
          <w:snapToGrid w:val="0"/>
          <w:color w:val="000000" w:themeColor="text1"/>
          <w:lang w:val="de-DE"/>
        </w:rPr>
        <w:tab/>
      </w:r>
      <w:r w:rsidR="00B24F8D" w:rsidRPr="008B1251">
        <w:rPr>
          <w:snapToGrid w:val="0"/>
          <w:lang w:val="de-DE"/>
        </w:rPr>
        <w:t>Zweck dieses Dokuments ist es, über die Entwicklungen bei der UPOV seit der fünfzigsten Tagung des Technischen Ausschusses (TC) zu berichten, die nicht unter spezifischen Tagesordnungspunkten der einundfünfzigsten Tagung des Technischen Ausschusses aufgeführt sind. Hierzu gehören wichtige Angelegenheiten, die auf den letzten Tagungen des Verwaltungs- und Rechtsausschusses, des Beratenden Ausschusses und des Rates erörtert wurden.</w:t>
      </w:r>
    </w:p>
    <w:p w:rsidR="00357731" w:rsidRPr="008B1251" w:rsidRDefault="00357731" w:rsidP="00357731">
      <w:pPr>
        <w:rPr>
          <w:snapToGrid w:val="0"/>
          <w:color w:val="000000" w:themeColor="text1"/>
          <w:lang w:val="de-DE"/>
        </w:rPr>
      </w:pPr>
    </w:p>
    <w:p w:rsidR="003F0E9F" w:rsidRPr="008B1251" w:rsidRDefault="003F0E9F" w:rsidP="003F0E9F">
      <w:pPr>
        <w:rPr>
          <w:snapToGrid w:val="0"/>
          <w:lang w:val="de-DE"/>
        </w:rPr>
      </w:pPr>
      <w:r w:rsidRPr="008B1251">
        <w:rPr>
          <w:snapToGrid w:val="0"/>
          <w:lang w:val="de-DE"/>
        </w:rPr>
        <w:fldChar w:fldCharType="begin"/>
      </w:r>
      <w:r w:rsidRPr="008B1251">
        <w:rPr>
          <w:snapToGrid w:val="0"/>
          <w:lang w:val="de-DE"/>
        </w:rPr>
        <w:instrText xml:space="preserve"> AUTONUM  </w:instrText>
      </w:r>
      <w:r w:rsidRPr="008B1251">
        <w:rPr>
          <w:snapToGrid w:val="0"/>
          <w:lang w:val="de-DE"/>
        </w:rPr>
        <w:fldChar w:fldCharType="end"/>
      </w:r>
      <w:r w:rsidRPr="008B1251">
        <w:rPr>
          <w:snapToGrid w:val="0"/>
          <w:lang w:val="de-DE"/>
        </w:rPr>
        <w:tab/>
      </w:r>
      <w:r w:rsidR="00B24F8D" w:rsidRPr="008B1251">
        <w:rPr>
          <w:snapToGrid w:val="0"/>
          <w:lang w:val="de-DE"/>
        </w:rPr>
        <w:t xml:space="preserve">Auf der einundfünfzigsten Tagung des TC wird ein Referat gehalten werden, das die Punkte in diesem Dokument zusammenfaßt. Ein Exemplar (nur in Englisch) </w:t>
      </w:r>
      <w:r w:rsidR="004D263C" w:rsidRPr="008B1251">
        <w:rPr>
          <w:snapToGrid w:val="0"/>
          <w:lang w:val="de-DE"/>
        </w:rPr>
        <w:t>wird</w:t>
      </w:r>
      <w:r w:rsidR="00B24F8D" w:rsidRPr="008B1251">
        <w:rPr>
          <w:snapToGrid w:val="0"/>
          <w:lang w:val="de-DE"/>
        </w:rPr>
        <w:t xml:space="preserve"> als </w:t>
      </w:r>
      <w:r w:rsidR="004D263C" w:rsidRPr="008B1251">
        <w:rPr>
          <w:snapToGrid w:val="0"/>
          <w:lang w:val="de-DE"/>
        </w:rPr>
        <w:t>Ergänzung</w:t>
      </w:r>
      <w:r w:rsidR="00B24F8D" w:rsidRPr="008B1251">
        <w:rPr>
          <w:snapToGrid w:val="0"/>
          <w:lang w:val="de-DE"/>
        </w:rPr>
        <w:t xml:space="preserve"> </w:t>
      </w:r>
      <w:r w:rsidR="004D263C" w:rsidRPr="008B1251">
        <w:rPr>
          <w:snapToGrid w:val="0"/>
          <w:lang w:val="de-DE"/>
        </w:rPr>
        <w:t>zu diesem Dokument vorgelegt werden</w:t>
      </w:r>
      <w:r w:rsidRPr="008B1251">
        <w:rPr>
          <w:snapToGrid w:val="0"/>
          <w:lang w:val="de-DE"/>
        </w:rPr>
        <w:t>.</w:t>
      </w:r>
    </w:p>
    <w:p w:rsidR="00A55B16" w:rsidRPr="008B1251" w:rsidRDefault="00A55B16">
      <w:pPr>
        <w:jc w:val="left"/>
        <w:rPr>
          <w:lang w:val="de-DE"/>
        </w:rPr>
      </w:pPr>
      <w:r w:rsidRPr="008B1251">
        <w:rPr>
          <w:color w:val="FF0000"/>
          <w:lang w:val="de-DE"/>
        </w:rPr>
        <w:br w:type="page"/>
      </w:r>
    </w:p>
    <w:p w:rsidR="00355E16" w:rsidRDefault="00355E16">
      <w:pPr>
        <w:pStyle w:val="TOC1"/>
        <w:rPr>
          <w:rFonts w:asciiTheme="minorHAnsi" w:eastAsiaTheme="minorEastAsia" w:hAnsiTheme="minorHAnsi" w:cstheme="minorBidi"/>
          <w:caps w:val="0"/>
          <w:noProof/>
          <w:sz w:val="22"/>
          <w:szCs w:val="22"/>
          <w:lang w:val="fr-CH" w:eastAsia="fr-CH"/>
        </w:rPr>
      </w:pPr>
      <w:r>
        <w:rPr>
          <w:lang w:val="de-DE"/>
        </w:rPr>
        <w:lastRenderedPageBreak/>
        <w:fldChar w:fldCharType="begin"/>
      </w:r>
      <w:r>
        <w:rPr>
          <w:lang w:val="de-DE"/>
        </w:rPr>
        <w:instrText xml:space="preserve"> TOC \o "1-3" \h \z \u </w:instrText>
      </w:r>
      <w:r>
        <w:rPr>
          <w:lang w:val="de-DE"/>
        </w:rPr>
        <w:fldChar w:fldCharType="separate"/>
      </w:r>
      <w:hyperlink w:anchor="_Toc413335699" w:history="1">
        <w:r w:rsidRPr="009978C1">
          <w:rPr>
            <w:rStyle w:val="Hyperlink"/>
            <w:noProof/>
            <w:lang w:val="de-DE"/>
          </w:rPr>
          <w:t>MITGLIEDERZAHL</w:t>
        </w:r>
        <w:r>
          <w:rPr>
            <w:noProof/>
            <w:webHidden/>
          </w:rPr>
          <w:tab/>
        </w:r>
        <w:r>
          <w:rPr>
            <w:noProof/>
            <w:webHidden/>
          </w:rPr>
          <w:fldChar w:fldCharType="begin"/>
        </w:r>
        <w:r>
          <w:rPr>
            <w:noProof/>
            <w:webHidden/>
          </w:rPr>
          <w:instrText xml:space="preserve"> PAGEREF _Toc413335699 \h </w:instrText>
        </w:r>
        <w:r>
          <w:rPr>
            <w:noProof/>
            <w:webHidden/>
          </w:rPr>
        </w:r>
        <w:r>
          <w:rPr>
            <w:noProof/>
            <w:webHidden/>
          </w:rPr>
          <w:fldChar w:fldCharType="separate"/>
        </w:r>
        <w:r w:rsidR="007A2942">
          <w:rPr>
            <w:noProof/>
            <w:webHidden/>
          </w:rPr>
          <w:t>3</w:t>
        </w:r>
        <w:r>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00" w:history="1">
        <w:r w:rsidR="00355E16" w:rsidRPr="009978C1">
          <w:rPr>
            <w:rStyle w:val="Hyperlink"/>
            <w:noProof/>
          </w:rPr>
          <w:t>Verbandsmitglieder</w:t>
        </w:r>
        <w:r w:rsidR="00355E16">
          <w:rPr>
            <w:noProof/>
            <w:webHidden/>
          </w:rPr>
          <w:tab/>
        </w:r>
        <w:r w:rsidR="00355E16">
          <w:rPr>
            <w:noProof/>
            <w:webHidden/>
          </w:rPr>
          <w:fldChar w:fldCharType="begin"/>
        </w:r>
        <w:r w:rsidR="00355E16">
          <w:rPr>
            <w:noProof/>
            <w:webHidden/>
          </w:rPr>
          <w:instrText xml:space="preserve"> PAGEREF _Toc413335700 \h </w:instrText>
        </w:r>
        <w:r w:rsidR="00355E16">
          <w:rPr>
            <w:noProof/>
            <w:webHidden/>
          </w:rPr>
        </w:r>
        <w:r w:rsidR="00355E16">
          <w:rPr>
            <w:noProof/>
            <w:webHidden/>
          </w:rPr>
          <w:fldChar w:fldCharType="separate"/>
        </w:r>
        <w:r>
          <w:rPr>
            <w:noProof/>
            <w:webHidden/>
          </w:rPr>
          <w:t>3</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01" w:history="1">
        <w:r w:rsidR="00355E16" w:rsidRPr="009978C1">
          <w:rPr>
            <w:rStyle w:val="Hyperlink"/>
            <w:noProof/>
          </w:rPr>
          <w:t>Lage bezüglich der verschiedenen Akten des Übereinkommens</w:t>
        </w:r>
        <w:r w:rsidR="00355E16">
          <w:rPr>
            <w:noProof/>
            <w:webHidden/>
          </w:rPr>
          <w:tab/>
        </w:r>
        <w:r w:rsidR="00355E16">
          <w:rPr>
            <w:noProof/>
            <w:webHidden/>
          </w:rPr>
          <w:fldChar w:fldCharType="begin"/>
        </w:r>
        <w:r w:rsidR="00355E16">
          <w:rPr>
            <w:noProof/>
            <w:webHidden/>
          </w:rPr>
          <w:instrText xml:space="preserve"> PAGEREF _Toc413335701 \h </w:instrText>
        </w:r>
        <w:r w:rsidR="00355E16">
          <w:rPr>
            <w:noProof/>
            <w:webHidden/>
          </w:rPr>
        </w:r>
        <w:r w:rsidR="00355E16">
          <w:rPr>
            <w:noProof/>
            <w:webHidden/>
          </w:rPr>
          <w:fldChar w:fldCharType="separate"/>
        </w:r>
        <w:r>
          <w:rPr>
            <w:noProof/>
            <w:webHidden/>
          </w:rPr>
          <w:t>3</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02" w:history="1">
        <w:r w:rsidR="00355E16" w:rsidRPr="009978C1">
          <w:rPr>
            <w:rStyle w:val="Hyperlink"/>
            <w:noProof/>
          </w:rPr>
          <w:t>Prüfung von Gesetzen</w:t>
        </w:r>
        <w:r w:rsidR="00355E16">
          <w:rPr>
            <w:noProof/>
            <w:webHidden/>
          </w:rPr>
          <w:tab/>
        </w:r>
        <w:r w:rsidR="00355E16">
          <w:rPr>
            <w:noProof/>
            <w:webHidden/>
          </w:rPr>
          <w:fldChar w:fldCharType="begin"/>
        </w:r>
        <w:r w:rsidR="00355E16">
          <w:rPr>
            <w:noProof/>
            <w:webHidden/>
          </w:rPr>
          <w:instrText xml:space="preserve"> PAGEREF _Toc413335702 \h </w:instrText>
        </w:r>
        <w:r w:rsidR="00355E16">
          <w:rPr>
            <w:noProof/>
            <w:webHidden/>
          </w:rPr>
        </w:r>
        <w:r w:rsidR="00355E16">
          <w:rPr>
            <w:noProof/>
            <w:webHidden/>
          </w:rPr>
          <w:fldChar w:fldCharType="separate"/>
        </w:r>
        <w:r>
          <w:rPr>
            <w:noProof/>
            <w:webHidden/>
          </w:rPr>
          <w:t>3</w:t>
        </w:r>
        <w:r w:rsidR="00355E16">
          <w:rPr>
            <w:noProof/>
            <w:webHidden/>
          </w:rPr>
          <w:fldChar w:fldCharType="end"/>
        </w:r>
      </w:hyperlink>
    </w:p>
    <w:p w:rsidR="00355E16" w:rsidRDefault="007A2942">
      <w:pPr>
        <w:pStyle w:val="TOC3"/>
        <w:rPr>
          <w:rFonts w:asciiTheme="minorHAnsi" w:eastAsiaTheme="minorEastAsia" w:hAnsiTheme="minorHAnsi" w:cstheme="minorBidi"/>
          <w:noProof/>
          <w:sz w:val="22"/>
          <w:szCs w:val="22"/>
          <w:lang w:val="fr-CH" w:eastAsia="fr-CH"/>
        </w:rPr>
      </w:pPr>
      <w:hyperlink w:anchor="_Toc413335703" w:history="1">
        <w:r w:rsidR="00355E16" w:rsidRPr="009978C1">
          <w:rPr>
            <w:rStyle w:val="Hyperlink"/>
            <w:rFonts w:eastAsia="MS Mincho"/>
            <w:noProof/>
            <w:lang w:val="de-DE" w:eastAsia="ja-JP"/>
          </w:rPr>
          <w:t>Afrikanische Organisation für geistiges Eigentum (ARIPO)</w:t>
        </w:r>
        <w:r w:rsidR="00355E16">
          <w:rPr>
            <w:noProof/>
            <w:webHidden/>
          </w:rPr>
          <w:tab/>
        </w:r>
        <w:r w:rsidR="00355E16">
          <w:rPr>
            <w:noProof/>
            <w:webHidden/>
          </w:rPr>
          <w:fldChar w:fldCharType="begin"/>
        </w:r>
        <w:r w:rsidR="00355E16">
          <w:rPr>
            <w:noProof/>
            <w:webHidden/>
          </w:rPr>
          <w:instrText xml:space="preserve"> PAGEREF _Toc413335703 \h </w:instrText>
        </w:r>
        <w:r w:rsidR="00355E16">
          <w:rPr>
            <w:noProof/>
            <w:webHidden/>
          </w:rPr>
        </w:r>
        <w:r w:rsidR="00355E16">
          <w:rPr>
            <w:noProof/>
            <w:webHidden/>
          </w:rPr>
          <w:fldChar w:fldCharType="separate"/>
        </w:r>
        <w:r>
          <w:rPr>
            <w:noProof/>
            <w:webHidden/>
          </w:rPr>
          <w:t>3</w:t>
        </w:r>
        <w:r w:rsidR="00355E16">
          <w:rPr>
            <w:noProof/>
            <w:webHidden/>
          </w:rPr>
          <w:fldChar w:fldCharType="end"/>
        </w:r>
      </w:hyperlink>
    </w:p>
    <w:p w:rsidR="00355E16" w:rsidRDefault="007A2942">
      <w:pPr>
        <w:pStyle w:val="TOC3"/>
        <w:rPr>
          <w:rFonts w:asciiTheme="minorHAnsi" w:eastAsiaTheme="minorEastAsia" w:hAnsiTheme="minorHAnsi" w:cstheme="minorBidi"/>
          <w:noProof/>
          <w:sz w:val="22"/>
          <w:szCs w:val="22"/>
          <w:lang w:val="fr-CH" w:eastAsia="fr-CH"/>
        </w:rPr>
      </w:pPr>
      <w:hyperlink w:anchor="_Toc413335704" w:history="1">
        <w:r w:rsidR="00355E16" w:rsidRPr="009978C1">
          <w:rPr>
            <w:rStyle w:val="Hyperlink"/>
            <w:noProof/>
            <w:lang w:val="de-DE" w:eastAsia="de-DE" w:bidi="de-DE"/>
          </w:rPr>
          <w:t>Entwicklungen betreffend das Gesetz über Pflanzenzüchterrechte für Sansibar</w:t>
        </w:r>
        <w:r w:rsidR="00355E16">
          <w:rPr>
            <w:noProof/>
            <w:webHidden/>
          </w:rPr>
          <w:tab/>
        </w:r>
        <w:r w:rsidR="00355E16">
          <w:rPr>
            <w:noProof/>
            <w:webHidden/>
          </w:rPr>
          <w:fldChar w:fldCharType="begin"/>
        </w:r>
        <w:r w:rsidR="00355E16">
          <w:rPr>
            <w:noProof/>
            <w:webHidden/>
          </w:rPr>
          <w:instrText xml:space="preserve"> PAGEREF _Toc413335704 \h </w:instrText>
        </w:r>
        <w:r w:rsidR="00355E16">
          <w:rPr>
            <w:noProof/>
            <w:webHidden/>
          </w:rPr>
        </w:r>
        <w:r w:rsidR="00355E16">
          <w:rPr>
            <w:noProof/>
            <w:webHidden/>
          </w:rPr>
          <w:fldChar w:fldCharType="separate"/>
        </w:r>
        <w:r>
          <w:rPr>
            <w:noProof/>
            <w:webHidden/>
          </w:rPr>
          <w:t>3</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05" w:history="1">
        <w:r w:rsidR="00355E16" w:rsidRPr="009978C1">
          <w:rPr>
            <w:rStyle w:val="Hyperlink"/>
            <w:noProof/>
            <w:lang w:val="de-DE"/>
          </w:rPr>
          <w:t>BEOBACHTER</w:t>
        </w:r>
        <w:r w:rsidR="00355E16">
          <w:rPr>
            <w:noProof/>
            <w:webHidden/>
          </w:rPr>
          <w:tab/>
        </w:r>
        <w:r w:rsidR="00355E16">
          <w:rPr>
            <w:noProof/>
            <w:webHidden/>
          </w:rPr>
          <w:fldChar w:fldCharType="begin"/>
        </w:r>
        <w:r w:rsidR="00355E16">
          <w:rPr>
            <w:noProof/>
            <w:webHidden/>
          </w:rPr>
          <w:instrText xml:space="preserve"> PAGEREF _Toc413335705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06" w:history="1">
        <w:r w:rsidR="00355E16" w:rsidRPr="009978C1">
          <w:rPr>
            <w:rStyle w:val="Hyperlink"/>
            <w:noProof/>
            <w:lang w:val="de-DE"/>
          </w:rPr>
          <w:t>VERBANDSBÜRO</w:t>
        </w:r>
        <w:r w:rsidR="00355E16">
          <w:rPr>
            <w:noProof/>
            <w:webHidden/>
          </w:rPr>
          <w:tab/>
        </w:r>
        <w:r w:rsidR="00355E16">
          <w:rPr>
            <w:noProof/>
            <w:webHidden/>
          </w:rPr>
          <w:fldChar w:fldCharType="begin"/>
        </w:r>
        <w:r w:rsidR="00355E16">
          <w:rPr>
            <w:noProof/>
            <w:webHidden/>
          </w:rPr>
          <w:instrText xml:space="preserve"> PAGEREF _Toc413335706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07" w:history="1">
        <w:r w:rsidR="00355E16" w:rsidRPr="009978C1">
          <w:rPr>
            <w:rStyle w:val="Hyperlink"/>
            <w:noProof/>
          </w:rPr>
          <w:t>Ernennung des Generalsekretärs</w:t>
        </w:r>
        <w:r w:rsidR="00355E16">
          <w:rPr>
            <w:noProof/>
            <w:webHidden/>
          </w:rPr>
          <w:tab/>
        </w:r>
        <w:r w:rsidR="00355E16">
          <w:rPr>
            <w:noProof/>
            <w:webHidden/>
          </w:rPr>
          <w:fldChar w:fldCharType="begin"/>
        </w:r>
        <w:r w:rsidR="00355E16">
          <w:rPr>
            <w:noProof/>
            <w:webHidden/>
          </w:rPr>
          <w:instrText xml:space="preserve"> PAGEREF _Toc413335707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08" w:history="1">
        <w:r w:rsidR="00355E16" w:rsidRPr="009978C1">
          <w:rPr>
            <w:rStyle w:val="Hyperlink"/>
            <w:noProof/>
            <w:lang w:val="de-DE"/>
          </w:rPr>
          <w:t>SORTENSCHUTZStatistiK</w:t>
        </w:r>
        <w:r w:rsidR="00355E16">
          <w:rPr>
            <w:noProof/>
            <w:webHidden/>
          </w:rPr>
          <w:tab/>
        </w:r>
        <w:r w:rsidR="00355E16">
          <w:rPr>
            <w:noProof/>
            <w:webHidden/>
          </w:rPr>
          <w:fldChar w:fldCharType="begin"/>
        </w:r>
        <w:r w:rsidR="00355E16">
          <w:rPr>
            <w:noProof/>
            <w:webHidden/>
          </w:rPr>
          <w:instrText xml:space="preserve"> PAGEREF _Toc413335708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09" w:history="1">
        <w:r w:rsidR="00355E16" w:rsidRPr="009978C1">
          <w:rPr>
            <w:rStyle w:val="Hyperlink"/>
            <w:noProof/>
          </w:rPr>
          <w:t>Liste der in den Verbandsmitgliedern schutzfähigen Taxa</w:t>
        </w:r>
        <w:r w:rsidR="00355E16">
          <w:rPr>
            <w:noProof/>
            <w:webHidden/>
          </w:rPr>
          <w:tab/>
        </w:r>
        <w:r w:rsidR="00355E16">
          <w:rPr>
            <w:noProof/>
            <w:webHidden/>
          </w:rPr>
          <w:fldChar w:fldCharType="begin"/>
        </w:r>
        <w:r w:rsidR="00355E16">
          <w:rPr>
            <w:noProof/>
            <w:webHidden/>
          </w:rPr>
          <w:instrText xml:space="preserve"> PAGEREF _Toc413335709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10" w:history="1">
        <w:r w:rsidR="00355E16" w:rsidRPr="009978C1">
          <w:rPr>
            <w:rStyle w:val="Hyperlink"/>
            <w:noProof/>
          </w:rPr>
          <w:t>Sortenschutzstatistik</w:t>
        </w:r>
        <w:r w:rsidR="00355E16">
          <w:rPr>
            <w:noProof/>
            <w:webHidden/>
          </w:rPr>
          <w:tab/>
        </w:r>
        <w:r w:rsidR="00355E16">
          <w:rPr>
            <w:noProof/>
            <w:webHidden/>
          </w:rPr>
          <w:fldChar w:fldCharType="begin"/>
        </w:r>
        <w:r w:rsidR="00355E16">
          <w:rPr>
            <w:noProof/>
            <w:webHidden/>
          </w:rPr>
          <w:instrText xml:space="preserve"> PAGEREF _Toc413335710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11" w:history="1">
        <w:r w:rsidR="00355E16" w:rsidRPr="009978C1">
          <w:rPr>
            <w:rStyle w:val="Hyperlink"/>
            <w:noProof/>
          </w:rPr>
          <w:t>Zusammenarbeit bei der Prüfung neuer Pflanzensorten</w:t>
        </w:r>
        <w:r w:rsidR="00355E16">
          <w:rPr>
            <w:noProof/>
            <w:webHidden/>
          </w:rPr>
          <w:tab/>
        </w:r>
        <w:r w:rsidR="00355E16">
          <w:rPr>
            <w:noProof/>
            <w:webHidden/>
          </w:rPr>
          <w:fldChar w:fldCharType="begin"/>
        </w:r>
        <w:r w:rsidR="00355E16">
          <w:rPr>
            <w:noProof/>
            <w:webHidden/>
          </w:rPr>
          <w:instrText xml:space="preserve"> PAGEREF _Toc413335711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12" w:history="1">
        <w:r w:rsidR="00355E16" w:rsidRPr="009978C1">
          <w:rPr>
            <w:rStyle w:val="Hyperlink"/>
            <w:noProof/>
            <w:lang w:val="de-DE"/>
          </w:rPr>
          <w:t>Finanzlage</w:t>
        </w:r>
        <w:r w:rsidR="00355E16">
          <w:rPr>
            <w:noProof/>
            <w:webHidden/>
          </w:rPr>
          <w:tab/>
        </w:r>
        <w:r w:rsidR="00355E16">
          <w:rPr>
            <w:noProof/>
            <w:webHidden/>
          </w:rPr>
          <w:fldChar w:fldCharType="begin"/>
        </w:r>
        <w:r w:rsidR="00355E16">
          <w:rPr>
            <w:noProof/>
            <w:webHidden/>
          </w:rPr>
          <w:instrText xml:space="preserve"> PAGEREF _Toc413335712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13" w:history="1">
        <w:r w:rsidR="00355E16" w:rsidRPr="009978C1">
          <w:rPr>
            <w:rStyle w:val="Hyperlink"/>
            <w:noProof/>
          </w:rPr>
          <w:t>Sonderprojektfonds</w:t>
        </w:r>
        <w:r w:rsidR="00355E16">
          <w:rPr>
            <w:noProof/>
            <w:webHidden/>
          </w:rPr>
          <w:tab/>
        </w:r>
        <w:r w:rsidR="00355E16">
          <w:rPr>
            <w:noProof/>
            <w:webHidden/>
          </w:rPr>
          <w:fldChar w:fldCharType="begin"/>
        </w:r>
        <w:r w:rsidR="00355E16">
          <w:rPr>
            <w:noProof/>
            <w:webHidden/>
          </w:rPr>
          <w:instrText xml:space="preserve"> PAGEREF _Toc413335713 \h </w:instrText>
        </w:r>
        <w:r w:rsidR="00355E16">
          <w:rPr>
            <w:noProof/>
            <w:webHidden/>
          </w:rPr>
        </w:r>
        <w:r w:rsidR="00355E16">
          <w:rPr>
            <w:noProof/>
            <w:webHidden/>
          </w:rPr>
          <w:fldChar w:fldCharType="separate"/>
        </w:r>
        <w:r>
          <w:rPr>
            <w:noProof/>
            <w:webHidden/>
          </w:rPr>
          <w:t>4</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14" w:history="1">
        <w:r w:rsidR="00355E16" w:rsidRPr="009978C1">
          <w:rPr>
            <w:rStyle w:val="Hyperlink"/>
            <w:noProof/>
            <w:lang w:val="de-DE"/>
          </w:rPr>
          <w:t>VORSITZ VON UPOV-ORGANEN</w:t>
        </w:r>
        <w:r w:rsidR="00355E16">
          <w:rPr>
            <w:noProof/>
            <w:webHidden/>
          </w:rPr>
          <w:tab/>
        </w:r>
        <w:r w:rsidR="00355E16">
          <w:rPr>
            <w:noProof/>
            <w:webHidden/>
          </w:rPr>
          <w:fldChar w:fldCharType="begin"/>
        </w:r>
        <w:r w:rsidR="00355E16">
          <w:rPr>
            <w:noProof/>
            <w:webHidden/>
          </w:rPr>
          <w:instrText xml:space="preserve"> PAGEREF _Toc413335714 \h </w:instrText>
        </w:r>
        <w:r w:rsidR="00355E16">
          <w:rPr>
            <w:noProof/>
            <w:webHidden/>
          </w:rPr>
        </w:r>
        <w:r w:rsidR="00355E16">
          <w:rPr>
            <w:noProof/>
            <w:webHidden/>
          </w:rPr>
          <w:fldChar w:fldCharType="separate"/>
        </w:r>
        <w:r>
          <w:rPr>
            <w:noProof/>
            <w:webHidden/>
          </w:rPr>
          <w:t>5</w:t>
        </w:r>
        <w:r w:rsidR="00355E16">
          <w:rPr>
            <w:noProof/>
            <w:webHidden/>
          </w:rPr>
          <w:fldChar w:fldCharType="end"/>
        </w:r>
      </w:hyperlink>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15" w:history="1">
        <w:r w:rsidR="00355E16" w:rsidRPr="009978C1">
          <w:rPr>
            <w:rStyle w:val="Hyperlink"/>
            <w:noProof/>
            <w:lang w:val="de-DE"/>
          </w:rPr>
          <w:t>UPOV-SAMMLUNG</w:t>
        </w:r>
        <w:r w:rsidR="00355E16">
          <w:rPr>
            <w:noProof/>
            <w:webHidden/>
          </w:rPr>
          <w:tab/>
        </w:r>
        <w:r w:rsidR="00355E16">
          <w:rPr>
            <w:noProof/>
            <w:webHidden/>
          </w:rPr>
          <w:fldChar w:fldCharType="begin"/>
        </w:r>
        <w:r w:rsidR="00355E16">
          <w:rPr>
            <w:noProof/>
            <w:webHidden/>
          </w:rPr>
          <w:instrText xml:space="preserve"> PAGEREF _Toc413335715 \h </w:instrText>
        </w:r>
        <w:r w:rsidR="00355E16">
          <w:rPr>
            <w:noProof/>
            <w:webHidden/>
          </w:rPr>
        </w:r>
        <w:r w:rsidR="00355E16">
          <w:rPr>
            <w:noProof/>
            <w:webHidden/>
          </w:rPr>
          <w:fldChar w:fldCharType="separate"/>
        </w:r>
        <w:r>
          <w:rPr>
            <w:noProof/>
            <w:webHidden/>
          </w:rPr>
          <w:t>5</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16" w:history="1">
        <w:r w:rsidR="00355E16" w:rsidRPr="009978C1">
          <w:rPr>
            <w:rStyle w:val="Hyperlink"/>
            <w:noProof/>
          </w:rPr>
          <w:t>Programm für die Ausarbeitung von Erläuterungen zum UPOV-Übereinkommen</w:t>
        </w:r>
        <w:r w:rsidR="00355E16">
          <w:rPr>
            <w:noProof/>
            <w:webHidden/>
          </w:rPr>
          <w:tab/>
        </w:r>
        <w:r w:rsidR="00355E16">
          <w:rPr>
            <w:noProof/>
            <w:webHidden/>
          </w:rPr>
          <w:fldChar w:fldCharType="begin"/>
        </w:r>
        <w:r w:rsidR="00355E16">
          <w:rPr>
            <w:noProof/>
            <w:webHidden/>
          </w:rPr>
          <w:instrText xml:space="preserve"> PAGEREF _Toc413335716 \h </w:instrText>
        </w:r>
        <w:r w:rsidR="00355E16">
          <w:rPr>
            <w:noProof/>
            <w:webHidden/>
          </w:rPr>
        </w:r>
        <w:r w:rsidR="00355E16">
          <w:rPr>
            <w:noProof/>
            <w:webHidden/>
          </w:rPr>
          <w:fldChar w:fldCharType="separate"/>
        </w:r>
        <w:r>
          <w:rPr>
            <w:noProof/>
            <w:webHidden/>
          </w:rPr>
          <w:t>5</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17" w:history="1">
        <w:r w:rsidR="00355E16" w:rsidRPr="009978C1">
          <w:rPr>
            <w:rStyle w:val="Hyperlink"/>
            <w:noProof/>
            <w:lang w:val="de-DE"/>
          </w:rPr>
          <w:t>UPOV-Dokumente</w:t>
        </w:r>
        <w:r w:rsidR="00355E16">
          <w:rPr>
            <w:noProof/>
            <w:webHidden/>
          </w:rPr>
          <w:tab/>
        </w:r>
        <w:r w:rsidR="00355E16">
          <w:rPr>
            <w:noProof/>
            <w:webHidden/>
          </w:rPr>
          <w:fldChar w:fldCharType="begin"/>
        </w:r>
        <w:r w:rsidR="00355E16">
          <w:rPr>
            <w:noProof/>
            <w:webHidden/>
          </w:rPr>
          <w:instrText xml:space="preserve"> PAGEREF _Toc413335717 \h </w:instrText>
        </w:r>
        <w:r w:rsidR="00355E16">
          <w:rPr>
            <w:noProof/>
            <w:webHidden/>
          </w:rPr>
        </w:r>
        <w:r w:rsidR="00355E16">
          <w:rPr>
            <w:noProof/>
            <w:webHidden/>
          </w:rPr>
          <w:fldChar w:fldCharType="separate"/>
        </w:r>
        <w:r>
          <w:rPr>
            <w:noProof/>
            <w:webHidden/>
          </w:rPr>
          <w:t>7</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18" w:history="1">
        <w:r w:rsidR="00355E16" w:rsidRPr="009978C1">
          <w:rPr>
            <w:rStyle w:val="Hyperlink"/>
            <w:noProof/>
          </w:rPr>
          <w:t>Historische Dokumente auf der UPOV-Website</w:t>
        </w:r>
        <w:r w:rsidR="00355E16">
          <w:rPr>
            <w:noProof/>
            <w:webHidden/>
          </w:rPr>
          <w:tab/>
        </w:r>
        <w:r w:rsidR="00355E16">
          <w:rPr>
            <w:noProof/>
            <w:webHidden/>
          </w:rPr>
          <w:fldChar w:fldCharType="begin"/>
        </w:r>
        <w:r w:rsidR="00355E16">
          <w:rPr>
            <w:noProof/>
            <w:webHidden/>
          </w:rPr>
          <w:instrText xml:space="preserve"> PAGEREF _Toc413335718 \h </w:instrText>
        </w:r>
        <w:r w:rsidR="00355E16">
          <w:rPr>
            <w:noProof/>
            <w:webHidden/>
          </w:rPr>
        </w:r>
        <w:r w:rsidR="00355E16">
          <w:rPr>
            <w:noProof/>
            <w:webHidden/>
          </w:rPr>
          <w:fldChar w:fldCharType="separate"/>
        </w:r>
        <w:r>
          <w:rPr>
            <w:noProof/>
            <w:webHidden/>
          </w:rPr>
          <w:t>7</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19" w:history="1">
        <w:r w:rsidR="00355E16" w:rsidRPr="009978C1">
          <w:rPr>
            <w:rStyle w:val="Hyperlink"/>
            <w:noProof/>
          </w:rPr>
          <w:t>CAJ-Tagungsdokumente</w:t>
        </w:r>
        <w:r w:rsidR="00355E16">
          <w:rPr>
            <w:noProof/>
            <w:webHidden/>
          </w:rPr>
          <w:tab/>
        </w:r>
        <w:r w:rsidR="00355E16">
          <w:rPr>
            <w:noProof/>
            <w:webHidden/>
          </w:rPr>
          <w:fldChar w:fldCharType="begin"/>
        </w:r>
        <w:r w:rsidR="00355E16">
          <w:rPr>
            <w:noProof/>
            <w:webHidden/>
          </w:rPr>
          <w:instrText xml:space="preserve"> PAGEREF _Toc413335719 \h </w:instrText>
        </w:r>
        <w:r w:rsidR="00355E16">
          <w:rPr>
            <w:noProof/>
            <w:webHidden/>
          </w:rPr>
        </w:r>
        <w:r w:rsidR="00355E16">
          <w:rPr>
            <w:noProof/>
            <w:webHidden/>
          </w:rPr>
          <w:fldChar w:fldCharType="separate"/>
        </w:r>
        <w:r>
          <w:rPr>
            <w:noProof/>
            <w:webHidden/>
          </w:rPr>
          <w:t>7</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20" w:history="1">
        <w:r w:rsidR="00355E16" w:rsidRPr="009978C1">
          <w:rPr>
            <w:rStyle w:val="Hyperlink"/>
            <w:noProof/>
            <w:lang w:val="de-DE"/>
          </w:rPr>
          <w:t>VERÖFFENTLICHUNGEN, AKTIVITÄTEN UND SCHULUNG</w:t>
        </w:r>
        <w:r w:rsidR="00355E16">
          <w:rPr>
            <w:noProof/>
            <w:webHidden/>
          </w:rPr>
          <w:tab/>
        </w:r>
        <w:r w:rsidR="00355E16">
          <w:rPr>
            <w:noProof/>
            <w:webHidden/>
          </w:rPr>
          <w:fldChar w:fldCharType="begin"/>
        </w:r>
        <w:r w:rsidR="00355E16">
          <w:rPr>
            <w:noProof/>
            <w:webHidden/>
          </w:rPr>
          <w:instrText xml:space="preserve"> PAGEREF _Toc413335720 \h </w:instrText>
        </w:r>
        <w:r w:rsidR="00355E16">
          <w:rPr>
            <w:noProof/>
            <w:webHidden/>
          </w:rPr>
        </w:r>
        <w:r w:rsidR="00355E16">
          <w:rPr>
            <w:noProof/>
            <w:webHidden/>
          </w:rPr>
          <w:fldChar w:fldCharType="separate"/>
        </w:r>
        <w:r>
          <w:rPr>
            <w:noProof/>
            <w:webHidden/>
          </w:rPr>
          <w:t>7</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21" w:history="1">
        <w:r w:rsidR="00355E16" w:rsidRPr="009978C1">
          <w:rPr>
            <w:rStyle w:val="Hyperlink"/>
            <w:noProof/>
          </w:rPr>
          <w:t>Kommunikationsstrategie</w:t>
        </w:r>
        <w:r w:rsidR="00355E16">
          <w:rPr>
            <w:noProof/>
            <w:webHidden/>
          </w:rPr>
          <w:tab/>
        </w:r>
        <w:r w:rsidR="00355E16">
          <w:rPr>
            <w:noProof/>
            <w:webHidden/>
          </w:rPr>
          <w:fldChar w:fldCharType="begin"/>
        </w:r>
        <w:r w:rsidR="00355E16">
          <w:rPr>
            <w:noProof/>
            <w:webHidden/>
          </w:rPr>
          <w:instrText xml:space="preserve"> PAGEREF _Toc413335721 \h </w:instrText>
        </w:r>
        <w:r w:rsidR="00355E16">
          <w:rPr>
            <w:noProof/>
            <w:webHidden/>
          </w:rPr>
        </w:r>
        <w:r w:rsidR="00355E16">
          <w:rPr>
            <w:noProof/>
            <w:webHidden/>
          </w:rPr>
          <w:fldChar w:fldCharType="separate"/>
        </w:r>
        <w:r>
          <w:rPr>
            <w:noProof/>
            <w:webHidden/>
          </w:rPr>
          <w:t>7</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22" w:history="1">
        <w:r w:rsidR="00355E16" w:rsidRPr="009978C1">
          <w:rPr>
            <w:rStyle w:val="Hyperlink"/>
            <w:noProof/>
          </w:rPr>
          <w:t>Publikation Trilogie</w:t>
        </w:r>
        <w:r w:rsidR="00355E16">
          <w:rPr>
            <w:noProof/>
            <w:webHidden/>
          </w:rPr>
          <w:tab/>
        </w:r>
        <w:r w:rsidR="00355E16">
          <w:rPr>
            <w:noProof/>
            <w:webHidden/>
          </w:rPr>
          <w:fldChar w:fldCharType="begin"/>
        </w:r>
        <w:r w:rsidR="00355E16">
          <w:rPr>
            <w:noProof/>
            <w:webHidden/>
          </w:rPr>
          <w:instrText xml:space="preserve"> PAGEREF _Toc413335722 \h </w:instrText>
        </w:r>
        <w:r w:rsidR="00355E16">
          <w:rPr>
            <w:noProof/>
            <w:webHidden/>
          </w:rPr>
        </w:r>
        <w:r w:rsidR="00355E16">
          <w:rPr>
            <w:noProof/>
            <w:webHidden/>
          </w:rPr>
          <w:fldChar w:fldCharType="separate"/>
        </w:r>
        <w:r>
          <w:rPr>
            <w:noProof/>
            <w:webHidden/>
          </w:rPr>
          <w:t>8</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23" w:history="1">
        <w:r w:rsidR="00355E16" w:rsidRPr="009978C1">
          <w:rPr>
            <w:rStyle w:val="Hyperlink"/>
            <w:noProof/>
          </w:rPr>
          <w:t>Seminar über im wesentlichen abgeleitete Sorten (EDV)</w:t>
        </w:r>
        <w:r w:rsidR="00355E16">
          <w:rPr>
            <w:noProof/>
            <w:webHidden/>
          </w:rPr>
          <w:tab/>
        </w:r>
        <w:r w:rsidR="00355E16">
          <w:rPr>
            <w:noProof/>
            <w:webHidden/>
          </w:rPr>
          <w:fldChar w:fldCharType="begin"/>
        </w:r>
        <w:r w:rsidR="00355E16">
          <w:rPr>
            <w:noProof/>
            <w:webHidden/>
          </w:rPr>
          <w:instrText xml:space="preserve"> PAGEREF _Toc413335723 \h </w:instrText>
        </w:r>
        <w:r w:rsidR="00355E16">
          <w:rPr>
            <w:noProof/>
            <w:webHidden/>
          </w:rPr>
        </w:r>
        <w:r w:rsidR="00355E16">
          <w:rPr>
            <w:noProof/>
            <w:webHidden/>
          </w:rPr>
          <w:fldChar w:fldCharType="separate"/>
        </w:r>
        <w:r>
          <w:rPr>
            <w:noProof/>
            <w:webHidden/>
          </w:rPr>
          <w:t>9</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24" w:history="1">
        <w:r w:rsidR="00355E16" w:rsidRPr="009978C1">
          <w:rPr>
            <w:rStyle w:val="Hyperlink"/>
            <w:noProof/>
          </w:rPr>
          <w:t>Fernlehrgänge</w:t>
        </w:r>
        <w:r w:rsidR="00355E16">
          <w:rPr>
            <w:noProof/>
            <w:webHidden/>
          </w:rPr>
          <w:tab/>
        </w:r>
        <w:r w:rsidR="00355E16">
          <w:rPr>
            <w:noProof/>
            <w:webHidden/>
          </w:rPr>
          <w:fldChar w:fldCharType="begin"/>
        </w:r>
        <w:r w:rsidR="00355E16">
          <w:rPr>
            <w:noProof/>
            <w:webHidden/>
          </w:rPr>
          <w:instrText xml:space="preserve"> PAGEREF _Toc413335724 \h </w:instrText>
        </w:r>
        <w:r w:rsidR="00355E16">
          <w:rPr>
            <w:noProof/>
            <w:webHidden/>
          </w:rPr>
        </w:r>
        <w:r w:rsidR="00355E16">
          <w:rPr>
            <w:noProof/>
            <w:webHidden/>
          </w:rPr>
          <w:fldChar w:fldCharType="separate"/>
        </w:r>
        <w:r>
          <w:rPr>
            <w:noProof/>
            <w:webHidden/>
          </w:rPr>
          <w:t>9</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25" w:history="1">
        <w:r w:rsidR="00355E16" w:rsidRPr="009978C1">
          <w:rPr>
            <w:rStyle w:val="Hyperlink"/>
            <w:noProof/>
            <w:snapToGrid w:val="0"/>
            <w:lang w:val="de-DE"/>
          </w:rPr>
          <w:t>Vorschlag für ein Internationales Einreichungssystem, Qualitätssicherung und Suche von Sortenbezeichnungen</w:t>
        </w:r>
        <w:r w:rsidR="00355E16">
          <w:rPr>
            <w:noProof/>
            <w:webHidden/>
          </w:rPr>
          <w:tab/>
        </w:r>
        <w:r w:rsidR="00355E16">
          <w:rPr>
            <w:noProof/>
            <w:webHidden/>
          </w:rPr>
          <w:fldChar w:fldCharType="begin"/>
        </w:r>
        <w:r w:rsidR="00355E16">
          <w:rPr>
            <w:noProof/>
            <w:webHidden/>
          </w:rPr>
          <w:instrText xml:space="preserve"> PAGEREF _Toc413335725 \h </w:instrText>
        </w:r>
        <w:r w:rsidR="00355E16">
          <w:rPr>
            <w:noProof/>
            <w:webHidden/>
          </w:rPr>
        </w:r>
        <w:r w:rsidR="00355E16">
          <w:rPr>
            <w:noProof/>
            <w:webHidden/>
          </w:rPr>
          <w:fldChar w:fldCharType="separate"/>
        </w:r>
        <w:r>
          <w:rPr>
            <w:noProof/>
            <w:webHidden/>
          </w:rPr>
          <w:t>9</w:t>
        </w:r>
        <w:r w:rsidR="00355E16">
          <w:rPr>
            <w:noProof/>
            <w:webHidden/>
          </w:rPr>
          <w:fldChar w:fldCharType="end"/>
        </w:r>
      </w:hyperlink>
    </w:p>
    <w:p w:rsidR="00EF1423" w:rsidRDefault="00EF1423">
      <w:pPr>
        <w:pStyle w:val="TOC1"/>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26" w:history="1">
        <w:r w:rsidR="00355E16" w:rsidRPr="009978C1">
          <w:rPr>
            <w:rStyle w:val="Hyperlink"/>
            <w:noProof/>
            <w:lang w:val="de-DE"/>
          </w:rPr>
          <w:t>Entwicklungen von Belang für die UPOV auf anderen internationalen Foren</w:t>
        </w:r>
        <w:r w:rsidR="00355E16">
          <w:rPr>
            <w:noProof/>
            <w:webHidden/>
          </w:rPr>
          <w:tab/>
        </w:r>
        <w:r w:rsidR="00355E16">
          <w:rPr>
            <w:noProof/>
            <w:webHidden/>
          </w:rPr>
          <w:fldChar w:fldCharType="begin"/>
        </w:r>
        <w:r w:rsidR="00355E16">
          <w:rPr>
            <w:noProof/>
            <w:webHidden/>
          </w:rPr>
          <w:instrText xml:space="preserve"> PAGEREF _Toc413335726 \h </w:instrText>
        </w:r>
        <w:r w:rsidR="00355E16">
          <w:rPr>
            <w:noProof/>
            <w:webHidden/>
          </w:rPr>
        </w:r>
        <w:r w:rsidR="00355E16">
          <w:rPr>
            <w:noProof/>
            <w:webHidden/>
          </w:rPr>
          <w:fldChar w:fldCharType="separate"/>
        </w:r>
        <w:r>
          <w:rPr>
            <w:noProof/>
            <w:webHidden/>
          </w:rPr>
          <w:t>10</w:t>
        </w:r>
        <w:r w:rsidR="00355E16">
          <w:rPr>
            <w:noProof/>
            <w:webHidden/>
          </w:rPr>
          <w:fldChar w:fldCharType="end"/>
        </w:r>
      </w:hyperlink>
    </w:p>
    <w:p w:rsidR="00355E16" w:rsidRDefault="007A2942">
      <w:pPr>
        <w:pStyle w:val="TOC2"/>
        <w:rPr>
          <w:rFonts w:asciiTheme="minorHAnsi" w:eastAsiaTheme="minorEastAsia" w:hAnsiTheme="minorHAnsi" w:cstheme="minorBidi"/>
          <w:smallCaps w:val="0"/>
          <w:noProof/>
          <w:sz w:val="22"/>
          <w:szCs w:val="22"/>
          <w:lang w:val="fr-CH" w:eastAsia="fr-CH"/>
        </w:rPr>
      </w:pPr>
      <w:hyperlink w:anchor="_Toc413335727" w:history="1">
        <w:r w:rsidR="00355E16" w:rsidRPr="009978C1">
          <w:rPr>
            <w:rStyle w:val="Hyperlink"/>
            <w:noProof/>
          </w:rPr>
          <w:t>Internationaler Vertrag über pflanzengenetische Ressourcen für Ernährung und Landwirtschaft (ITPGRFA)</w:t>
        </w:r>
        <w:r w:rsidR="00355E16">
          <w:rPr>
            <w:noProof/>
            <w:webHidden/>
          </w:rPr>
          <w:tab/>
        </w:r>
        <w:r w:rsidR="00355E16">
          <w:rPr>
            <w:noProof/>
            <w:webHidden/>
          </w:rPr>
          <w:fldChar w:fldCharType="begin"/>
        </w:r>
        <w:r w:rsidR="00355E16">
          <w:rPr>
            <w:noProof/>
            <w:webHidden/>
          </w:rPr>
          <w:instrText xml:space="preserve"> PAGEREF _Toc413335727 \h </w:instrText>
        </w:r>
        <w:r w:rsidR="00355E16">
          <w:rPr>
            <w:noProof/>
            <w:webHidden/>
          </w:rPr>
        </w:r>
        <w:r w:rsidR="00355E16">
          <w:rPr>
            <w:noProof/>
            <w:webHidden/>
          </w:rPr>
          <w:fldChar w:fldCharType="separate"/>
        </w:r>
        <w:r>
          <w:rPr>
            <w:noProof/>
            <w:webHidden/>
          </w:rPr>
          <w:t>10</w:t>
        </w:r>
        <w:r w:rsidR="00355E16">
          <w:rPr>
            <w:noProof/>
            <w:webHidden/>
          </w:rPr>
          <w:fldChar w:fldCharType="end"/>
        </w:r>
      </w:hyperlink>
    </w:p>
    <w:p w:rsidR="00355E16" w:rsidRDefault="007A2942">
      <w:pPr>
        <w:pStyle w:val="TOC3"/>
        <w:rPr>
          <w:rFonts w:asciiTheme="minorHAnsi" w:eastAsiaTheme="minorEastAsia" w:hAnsiTheme="minorHAnsi" w:cstheme="minorBidi"/>
          <w:noProof/>
          <w:sz w:val="22"/>
          <w:szCs w:val="22"/>
          <w:lang w:val="fr-CH" w:eastAsia="fr-CH"/>
        </w:rPr>
      </w:pPr>
      <w:hyperlink w:anchor="_Toc413335728" w:history="1">
        <w:r w:rsidR="00355E16" w:rsidRPr="009978C1">
          <w:rPr>
            <w:rStyle w:val="Hyperlink"/>
            <w:noProof/>
            <w:lang w:val="de-DE"/>
          </w:rPr>
          <w:t>Wechselbeziehungen zwischen ITPGRFA, UPOV und WIPO</w:t>
        </w:r>
        <w:r w:rsidR="00355E16">
          <w:rPr>
            <w:noProof/>
            <w:webHidden/>
          </w:rPr>
          <w:tab/>
        </w:r>
        <w:r w:rsidR="00355E16">
          <w:rPr>
            <w:noProof/>
            <w:webHidden/>
          </w:rPr>
          <w:fldChar w:fldCharType="begin"/>
        </w:r>
        <w:r w:rsidR="00355E16">
          <w:rPr>
            <w:noProof/>
            <w:webHidden/>
          </w:rPr>
          <w:instrText xml:space="preserve"> PAGEREF _Toc413335728 \h </w:instrText>
        </w:r>
        <w:r w:rsidR="00355E16">
          <w:rPr>
            <w:noProof/>
            <w:webHidden/>
          </w:rPr>
        </w:r>
        <w:r w:rsidR="00355E16">
          <w:rPr>
            <w:noProof/>
            <w:webHidden/>
          </w:rPr>
          <w:fldChar w:fldCharType="separate"/>
        </w:r>
        <w:r>
          <w:rPr>
            <w:noProof/>
            <w:webHidden/>
          </w:rPr>
          <w:t>10</w:t>
        </w:r>
        <w:r w:rsidR="00355E16">
          <w:rPr>
            <w:noProof/>
            <w:webHidden/>
          </w:rPr>
          <w:fldChar w:fldCharType="end"/>
        </w:r>
      </w:hyperlink>
    </w:p>
    <w:p w:rsidR="00355E16" w:rsidRDefault="007A2942">
      <w:pPr>
        <w:pStyle w:val="TOC3"/>
        <w:rPr>
          <w:rFonts w:asciiTheme="minorHAnsi" w:eastAsiaTheme="minorEastAsia" w:hAnsiTheme="minorHAnsi" w:cstheme="minorBidi"/>
          <w:noProof/>
          <w:sz w:val="22"/>
          <w:szCs w:val="22"/>
          <w:lang w:val="fr-CH" w:eastAsia="fr-CH"/>
        </w:rPr>
      </w:pPr>
      <w:hyperlink w:anchor="_Toc413335729" w:history="1">
        <w:r w:rsidR="00355E16" w:rsidRPr="009978C1">
          <w:rPr>
            <w:rStyle w:val="Hyperlink"/>
            <w:noProof/>
            <w:lang w:val="de-DE"/>
          </w:rPr>
          <w:t>Organisation für wirtschaftliche Zusammenarbeit und Entwicklung (OECD)</w:t>
        </w:r>
        <w:r w:rsidR="00355E16">
          <w:rPr>
            <w:noProof/>
            <w:webHidden/>
          </w:rPr>
          <w:tab/>
        </w:r>
        <w:r w:rsidR="00355E16">
          <w:rPr>
            <w:noProof/>
            <w:webHidden/>
          </w:rPr>
          <w:fldChar w:fldCharType="begin"/>
        </w:r>
        <w:r w:rsidR="00355E16">
          <w:rPr>
            <w:noProof/>
            <w:webHidden/>
          </w:rPr>
          <w:instrText xml:space="preserve"> PAGEREF _Toc413335729 \h </w:instrText>
        </w:r>
        <w:r w:rsidR="00355E16">
          <w:rPr>
            <w:noProof/>
            <w:webHidden/>
          </w:rPr>
        </w:r>
        <w:r w:rsidR="00355E16">
          <w:rPr>
            <w:noProof/>
            <w:webHidden/>
          </w:rPr>
          <w:fldChar w:fldCharType="separate"/>
        </w:r>
        <w:r>
          <w:rPr>
            <w:noProof/>
            <w:webHidden/>
          </w:rPr>
          <w:t>10</w:t>
        </w:r>
        <w:r w:rsidR="00355E16">
          <w:rPr>
            <w:noProof/>
            <w:webHidden/>
          </w:rPr>
          <w:fldChar w:fldCharType="end"/>
        </w:r>
      </w:hyperlink>
    </w:p>
    <w:p w:rsidR="00BF29FC" w:rsidRDefault="00BF29FC">
      <w:pPr>
        <w:pStyle w:val="TOC1"/>
        <w:rPr>
          <w:rStyle w:val="Hyperlink"/>
          <w:noProof/>
        </w:rPr>
      </w:pPr>
    </w:p>
    <w:p w:rsidR="00355E16" w:rsidRDefault="007A2942">
      <w:pPr>
        <w:pStyle w:val="TOC1"/>
        <w:rPr>
          <w:rFonts w:asciiTheme="minorHAnsi" w:eastAsiaTheme="minorEastAsia" w:hAnsiTheme="minorHAnsi" w:cstheme="minorBidi"/>
          <w:caps w:val="0"/>
          <w:noProof/>
          <w:sz w:val="22"/>
          <w:szCs w:val="22"/>
          <w:lang w:val="fr-CH" w:eastAsia="fr-CH"/>
        </w:rPr>
      </w:pPr>
      <w:hyperlink w:anchor="_Toc413335730" w:history="1">
        <w:r w:rsidR="00355E16" w:rsidRPr="009978C1">
          <w:rPr>
            <w:rStyle w:val="Hyperlink"/>
            <w:noProof/>
            <w:lang w:val="de-DE"/>
          </w:rPr>
          <w:t>WÜRDIGUNG VON HERRN François Boulineau (FranKREICH), VORSITZENDER DER TECHNISCHEN ARBEITSGRUPPE FÜR GEMÜSEARTEN (TWV)</w:t>
        </w:r>
        <w:r w:rsidR="00355E16">
          <w:rPr>
            <w:noProof/>
            <w:webHidden/>
          </w:rPr>
          <w:tab/>
        </w:r>
        <w:r w:rsidR="00355E16">
          <w:rPr>
            <w:noProof/>
            <w:webHidden/>
          </w:rPr>
          <w:fldChar w:fldCharType="begin"/>
        </w:r>
        <w:r w:rsidR="00355E16">
          <w:rPr>
            <w:noProof/>
            <w:webHidden/>
          </w:rPr>
          <w:instrText xml:space="preserve"> PAGEREF _Toc413335730 \h </w:instrText>
        </w:r>
        <w:r w:rsidR="00355E16">
          <w:rPr>
            <w:noProof/>
            <w:webHidden/>
          </w:rPr>
        </w:r>
        <w:r w:rsidR="00355E16">
          <w:rPr>
            <w:noProof/>
            <w:webHidden/>
          </w:rPr>
          <w:fldChar w:fldCharType="separate"/>
        </w:r>
        <w:r>
          <w:rPr>
            <w:noProof/>
            <w:webHidden/>
          </w:rPr>
          <w:t>10</w:t>
        </w:r>
        <w:r w:rsidR="00355E16">
          <w:rPr>
            <w:noProof/>
            <w:webHidden/>
          </w:rPr>
          <w:fldChar w:fldCharType="end"/>
        </w:r>
      </w:hyperlink>
    </w:p>
    <w:p w:rsidR="001B2376" w:rsidRPr="008B1251" w:rsidRDefault="00355E16" w:rsidP="00050E16">
      <w:pPr>
        <w:rPr>
          <w:lang w:val="de-DE"/>
        </w:rPr>
      </w:pPr>
      <w:r>
        <w:rPr>
          <w:lang w:val="de-DE"/>
        </w:rPr>
        <w:fldChar w:fldCharType="end"/>
      </w:r>
    </w:p>
    <w:p w:rsidR="00A55B16" w:rsidRPr="008B1251" w:rsidRDefault="00A55B16">
      <w:pPr>
        <w:jc w:val="left"/>
        <w:rPr>
          <w:caps/>
          <w:color w:val="000000" w:themeColor="text1"/>
          <w:lang w:val="de-DE"/>
        </w:rPr>
      </w:pPr>
      <w:r w:rsidRPr="008B1251">
        <w:rPr>
          <w:lang w:val="de-DE"/>
        </w:rPr>
        <w:br w:type="page"/>
      </w:r>
    </w:p>
    <w:p w:rsidR="004D263C" w:rsidRPr="008B1251" w:rsidRDefault="004D263C" w:rsidP="004D263C">
      <w:pPr>
        <w:pStyle w:val="Heading1"/>
        <w:rPr>
          <w:lang w:val="de-DE"/>
        </w:rPr>
      </w:pPr>
      <w:bookmarkStart w:id="6" w:name="_Toc379530064"/>
      <w:bookmarkStart w:id="7" w:name="_Toc380391611"/>
      <w:bookmarkStart w:id="8" w:name="_Toc380419851"/>
      <w:bookmarkStart w:id="9" w:name="_Toc380483651"/>
      <w:bookmarkStart w:id="10" w:name="_Toc413311287"/>
      <w:bookmarkStart w:id="11" w:name="_Toc413311660"/>
      <w:bookmarkStart w:id="12" w:name="_Toc413335699"/>
      <w:bookmarkStart w:id="13" w:name="_Toc413078834"/>
      <w:r w:rsidRPr="008B1251">
        <w:rPr>
          <w:lang w:val="de-DE"/>
        </w:rPr>
        <w:lastRenderedPageBreak/>
        <w:t>MITGLIEDERZAHL</w:t>
      </w:r>
      <w:bookmarkEnd w:id="6"/>
      <w:bookmarkEnd w:id="7"/>
      <w:bookmarkEnd w:id="8"/>
      <w:bookmarkEnd w:id="9"/>
      <w:bookmarkEnd w:id="10"/>
      <w:bookmarkEnd w:id="11"/>
      <w:bookmarkEnd w:id="12"/>
    </w:p>
    <w:p w:rsidR="004D263C" w:rsidRPr="008B1251" w:rsidRDefault="004D263C" w:rsidP="004D263C">
      <w:pPr>
        <w:rPr>
          <w:lang w:val="de-DE"/>
        </w:rPr>
      </w:pPr>
    </w:p>
    <w:p w:rsidR="004D263C" w:rsidRPr="008B1251" w:rsidRDefault="004D263C" w:rsidP="002E1C71">
      <w:pPr>
        <w:pStyle w:val="Heading2"/>
      </w:pPr>
      <w:bookmarkStart w:id="14" w:name="_Toc379530065"/>
      <w:bookmarkStart w:id="15" w:name="_Toc380391612"/>
      <w:bookmarkStart w:id="16" w:name="_Toc380419852"/>
      <w:bookmarkStart w:id="17" w:name="_Toc380483652"/>
      <w:bookmarkStart w:id="18" w:name="_Toc413311288"/>
      <w:bookmarkStart w:id="19" w:name="_Toc413311661"/>
      <w:bookmarkStart w:id="20" w:name="_Toc413335700"/>
      <w:r w:rsidRPr="008B1251">
        <w:t>Verbandsmitglieder</w:t>
      </w:r>
      <w:bookmarkEnd w:id="14"/>
      <w:bookmarkEnd w:id="15"/>
      <w:bookmarkEnd w:id="16"/>
      <w:bookmarkEnd w:id="17"/>
      <w:bookmarkEnd w:id="18"/>
      <w:bookmarkEnd w:id="19"/>
      <w:bookmarkEnd w:id="20"/>
    </w:p>
    <w:p w:rsidR="004D263C" w:rsidRPr="008B1251" w:rsidRDefault="004D263C" w:rsidP="004D263C">
      <w:pPr>
        <w:rPr>
          <w:lang w:val="de-DE"/>
        </w:rPr>
      </w:pPr>
    </w:p>
    <w:p w:rsidR="004D263C" w:rsidRPr="008B1251" w:rsidRDefault="004D263C" w:rsidP="004D263C">
      <w:pPr>
        <w:rPr>
          <w:rFonts w:cs="Arial"/>
          <w:lang w:val="de-DE"/>
        </w:rPr>
      </w:pPr>
      <w:r w:rsidRPr="008B1251">
        <w:rPr>
          <w:rFonts w:cs="Arial"/>
          <w:lang w:val="de-DE"/>
        </w:rPr>
        <w:fldChar w:fldCharType="begin"/>
      </w:r>
      <w:r w:rsidRPr="008B1251">
        <w:rPr>
          <w:rFonts w:cs="Arial"/>
          <w:lang w:val="de-DE"/>
        </w:rPr>
        <w:instrText xml:space="preserve"> AUTONUM  </w:instrText>
      </w:r>
      <w:r w:rsidRPr="008B1251">
        <w:rPr>
          <w:rFonts w:cs="Arial"/>
          <w:lang w:val="de-DE"/>
        </w:rPr>
        <w:fldChar w:fldCharType="end"/>
      </w:r>
      <w:r w:rsidRPr="008B1251">
        <w:rPr>
          <w:rFonts w:cs="Arial"/>
          <w:lang w:val="de-DE"/>
        </w:rPr>
        <w:tab/>
      </w:r>
      <w:r w:rsidR="00451BF6" w:rsidRPr="008B1251">
        <w:rPr>
          <w:rFonts w:cs="Arial"/>
          <w:lang w:val="de-DE"/>
        </w:rPr>
        <w:t>Die Afrikanische Organisation für geistiges Eigentum (OAPI) ist die zweite zwischenstaatliche Organisation und das zweiundsiebzigste Mitglied, das dem Internationalen Verband zum Schutz von Pflanzenzüchtungen (UPOV) am 10. Juli 2014 beitrat.</w:t>
      </w:r>
    </w:p>
    <w:p w:rsidR="004D263C" w:rsidRPr="008B1251" w:rsidRDefault="004D263C" w:rsidP="004D263C">
      <w:pPr>
        <w:rPr>
          <w:rFonts w:cs="Arial"/>
          <w:lang w:val="de-DE"/>
        </w:rPr>
      </w:pPr>
    </w:p>
    <w:p w:rsidR="004D263C" w:rsidRPr="008B1251" w:rsidRDefault="004D263C" w:rsidP="004D263C">
      <w:pPr>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t xml:space="preserve">OAPI betreibt ein Sortenschutzsystem, das das Hoheitsgebiet ihrer 17 Mitglieder </w:t>
      </w:r>
      <w:r w:rsidR="00451BF6" w:rsidRPr="008B1251">
        <w:rPr>
          <w:lang w:val="de-DE"/>
        </w:rPr>
        <w:t>umfaßt</w:t>
      </w:r>
      <w:r w:rsidRPr="008B1251">
        <w:rPr>
          <w:lang w:val="de-DE"/>
        </w:rPr>
        <w:t xml:space="preserve">: </w:t>
      </w:r>
      <w:r w:rsidR="007F4A9F" w:rsidRPr="008B1251">
        <w:rPr>
          <w:lang w:val="de-DE"/>
        </w:rPr>
        <w:t xml:space="preserve">Äquatorialguinea, </w:t>
      </w:r>
      <w:r w:rsidR="006F4496" w:rsidRPr="008B1251">
        <w:rPr>
          <w:lang w:val="de-DE"/>
        </w:rPr>
        <w:t xml:space="preserve">Benin, Burkina Faso, </w:t>
      </w:r>
      <w:r w:rsidR="007F4A9F" w:rsidRPr="008B1251">
        <w:rPr>
          <w:lang w:val="de-DE"/>
        </w:rPr>
        <w:t xml:space="preserve">Côte d’Ivoire, Gabun, Guinea, Guinea-Bissau, Kamerun, </w:t>
      </w:r>
      <w:r w:rsidR="006F4496" w:rsidRPr="008B1251">
        <w:rPr>
          <w:lang w:val="de-DE"/>
        </w:rPr>
        <w:t>K</w:t>
      </w:r>
      <w:r w:rsidRPr="008B1251">
        <w:rPr>
          <w:lang w:val="de-DE"/>
        </w:rPr>
        <w:t>omor</w:t>
      </w:r>
      <w:r w:rsidR="006F4496" w:rsidRPr="008B1251">
        <w:rPr>
          <w:lang w:val="de-DE"/>
        </w:rPr>
        <w:t>en</w:t>
      </w:r>
      <w:r w:rsidRPr="008B1251">
        <w:rPr>
          <w:lang w:val="de-DE"/>
        </w:rPr>
        <w:t xml:space="preserve">, </w:t>
      </w:r>
      <w:r w:rsidR="006F4496" w:rsidRPr="008B1251">
        <w:rPr>
          <w:lang w:val="de-DE"/>
        </w:rPr>
        <w:t>K</w:t>
      </w:r>
      <w:r w:rsidRPr="008B1251">
        <w:rPr>
          <w:lang w:val="de-DE"/>
        </w:rPr>
        <w:t>ongo, Mali, M</w:t>
      </w:r>
      <w:r w:rsidR="006F4496" w:rsidRPr="008B1251">
        <w:rPr>
          <w:lang w:val="de-DE"/>
        </w:rPr>
        <w:t>aure</w:t>
      </w:r>
      <w:r w:rsidRPr="008B1251">
        <w:rPr>
          <w:lang w:val="de-DE"/>
        </w:rPr>
        <w:t>tani</w:t>
      </w:r>
      <w:r w:rsidR="006F4496" w:rsidRPr="008B1251">
        <w:rPr>
          <w:lang w:val="de-DE"/>
        </w:rPr>
        <w:t>en</w:t>
      </w:r>
      <w:r w:rsidRPr="008B1251">
        <w:rPr>
          <w:lang w:val="de-DE"/>
        </w:rPr>
        <w:t>, Niger, Senegal</w:t>
      </w:r>
      <w:r w:rsidR="007F4A9F" w:rsidRPr="008B1251">
        <w:rPr>
          <w:lang w:val="de-DE"/>
        </w:rPr>
        <w:t>,</w:t>
      </w:r>
      <w:r w:rsidRPr="008B1251">
        <w:rPr>
          <w:lang w:val="de-DE"/>
        </w:rPr>
        <w:t xml:space="preserve"> </w:t>
      </w:r>
      <w:r w:rsidR="000A472A" w:rsidRPr="008B1251">
        <w:rPr>
          <w:lang w:val="de-DE"/>
        </w:rPr>
        <w:t xml:space="preserve">Togo, </w:t>
      </w:r>
      <w:r w:rsidR="007F4A9F" w:rsidRPr="008B1251">
        <w:rPr>
          <w:lang w:val="de-DE"/>
        </w:rPr>
        <w:t>Tschad und Zentralafrikanische Republik</w:t>
      </w:r>
      <w:r w:rsidRPr="008B1251">
        <w:rPr>
          <w:lang w:val="de-DE"/>
        </w:rPr>
        <w:t xml:space="preserve">. </w:t>
      </w:r>
      <w:r w:rsidR="006F4496" w:rsidRPr="008B1251">
        <w:rPr>
          <w:lang w:val="de-DE"/>
        </w:rPr>
        <w:t>Der Hauptsitz der</w:t>
      </w:r>
      <w:r w:rsidRPr="008B1251">
        <w:rPr>
          <w:lang w:val="de-DE"/>
        </w:rPr>
        <w:t xml:space="preserve"> OAPI </w:t>
      </w:r>
      <w:r w:rsidR="006F4496" w:rsidRPr="008B1251">
        <w:rPr>
          <w:lang w:val="de-DE"/>
        </w:rPr>
        <w:t>befindet sich in Jaunde, Kamerun</w:t>
      </w:r>
      <w:r w:rsidRPr="008B1251">
        <w:rPr>
          <w:lang w:val="de-DE"/>
        </w:rPr>
        <w:t xml:space="preserve"> (s</w:t>
      </w:r>
      <w:r w:rsidR="006F4496" w:rsidRPr="008B1251">
        <w:rPr>
          <w:lang w:val="de-DE"/>
        </w:rPr>
        <w:t>i</w:t>
      </w:r>
      <w:r w:rsidRPr="008B1251">
        <w:rPr>
          <w:lang w:val="de-DE"/>
        </w:rPr>
        <w:t>e</w:t>
      </w:r>
      <w:r w:rsidR="006F4496" w:rsidRPr="008B1251">
        <w:rPr>
          <w:lang w:val="de-DE"/>
        </w:rPr>
        <w:t>h</w:t>
      </w:r>
      <w:r w:rsidRPr="008B1251">
        <w:rPr>
          <w:lang w:val="de-DE"/>
        </w:rPr>
        <w:t xml:space="preserve">e </w:t>
      </w:r>
      <w:hyperlink r:id="rId10" w:history="1">
        <w:r w:rsidRPr="008B1251">
          <w:rPr>
            <w:rStyle w:val="Hyperlink"/>
            <w:lang w:val="de-DE"/>
          </w:rPr>
          <w:t>http://www.oapi.int/</w:t>
        </w:r>
      </w:hyperlink>
      <w:r w:rsidRPr="008B1251">
        <w:rPr>
          <w:lang w:val="de-DE"/>
        </w:rPr>
        <w:t>).</w:t>
      </w:r>
    </w:p>
    <w:p w:rsidR="004D263C" w:rsidRPr="008B1251" w:rsidRDefault="004D263C" w:rsidP="004D263C">
      <w:pPr>
        <w:rPr>
          <w:color w:val="000000" w:themeColor="text1"/>
          <w:lang w:val="de-DE"/>
        </w:rPr>
      </w:pPr>
    </w:p>
    <w:p w:rsidR="004D263C" w:rsidRPr="008B1251" w:rsidRDefault="004D263C" w:rsidP="006F4496">
      <w:pPr>
        <w:rPr>
          <w:lang w:val="de-DE"/>
        </w:rPr>
      </w:pPr>
      <w:r w:rsidRPr="008B1251">
        <w:rPr>
          <w:snapToGrid w:val="0"/>
          <w:lang w:val="de-DE"/>
        </w:rPr>
        <w:fldChar w:fldCharType="begin"/>
      </w:r>
      <w:r w:rsidRPr="008B1251">
        <w:rPr>
          <w:snapToGrid w:val="0"/>
          <w:lang w:val="de-DE"/>
        </w:rPr>
        <w:instrText xml:space="preserve"> AUTONUM  </w:instrText>
      </w:r>
      <w:r w:rsidRPr="008B1251">
        <w:rPr>
          <w:snapToGrid w:val="0"/>
          <w:lang w:val="de-DE"/>
        </w:rPr>
        <w:fldChar w:fldCharType="end"/>
      </w:r>
      <w:r w:rsidR="006F4496" w:rsidRPr="008B1251">
        <w:rPr>
          <w:snapToGrid w:val="0"/>
          <w:lang w:val="de-DE"/>
        </w:rPr>
        <w:tab/>
      </w:r>
      <w:r w:rsidR="006F4496" w:rsidRPr="008B1251">
        <w:rPr>
          <w:lang w:val="de-DE"/>
        </w:rPr>
        <w:t xml:space="preserve">Zum </w:t>
      </w:r>
      <w:r w:rsidRPr="008B1251">
        <w:rPr>
          <w:lang w:val="de-DE"/>
        </w:rPr>
        <w:t xml:space="preserve">1. </w:t>
      </w:r>
      <w:r w:rsidR="006F4496" w:rsidRPr="008B1251">
        <w:rPr>
          <w:lang w:val="de-DE"/>
        </w:rPr>
        <w:t xml:space="preserve">März 2015 zählte der Verband 72 </w:t>
      </w:r>
      <w:r w:rsidRPr="008B1251">
        <w:rPr>
          <w:lang w:val="de-DE"/>
        </w:rPr>
        <w:t xml:space="preserve">Mitglieder: </w:t>
      </w:r>
      <w:r w:rsidR="00BC5382" w:rsidRPr="008B1251">
        <w:rPr>
          <w:lang w:val="de-DE"/>
        </w:rPr>
        <w:t xml:space="preserve">Afrikanische Organisation für geistiges Eigentum, </w:t>
      </w:r>
      <w:r w:rsidRPr="008B1251">
        <w:rPr>
          <w:lang w:val="de-DE"/>
        </w:rPr>
        <w:t xml:space="preserve">Albanien, </w:t>
      </w:r>
      <w:r w:rsidR="00BC5382" w:rsidRPr="008B1251">
        <w:rPr>
          <w:lang w:val="de-DE"/>
        </w:rPr>
        <w:t xml:space="preserve">Argentinien, </w:t>
      </w:r>
      <w:r w:rsidRPr="008B1251">
        <w:rPr>
          <w:lang w:val="de-DE"/>
        </w:rPr>
        <w:t xml:space="preserve">Aserbaidschan, Australien, Belarus, </w:t>
      </w:r>
      <w:r w:rsidR="00BC5382" w:rsidRPr="008B1251">
        <w:rPr>
          <w:lang w:val="de-DE"/>
        </w:rPr>
        <w:t xml:space="preserve">Belgien, Bolivien (Plurinationaler Staat), Brasilien, </w:t>
      </w:r>
      <w:r w:rsidRPr="008B1251">
        <w:rPr>
          <w:lang w:val="de-DE"/>
        </w:rPr>
        <w:t xml:space="preserve">Bulgarien, </w:t>
      </w:r>
      <w:r w:rsidR="00BC5382" w:rsidRPr="008B1251">
        <w:rPr>
          <w:lang w:val="de-DE"/>
        </w:rPr>
        <w:t xml:space="preserve">Chile, China, </w:t>
      </w:r>
      <w:r w:rsidRPr="008B1251">
        <w:rPr>
          <w:lang w:val="de-DE"/>
        </w:rPr>
        <w:t xml:space="preserve">Costa Rica, Dänemark, Deutschland, Dominikanische Republik, </w:t>
      </w:r>
      <w:r w:rsidR="00BC5382" w:rsidRPr="008B1251">
        <w:rPr>
          <w:lang w:val="de-DE"/>
        </w:rPr>
        <w:t xml:space="preserve">Ecuador, </w:t>
      </w:r>
      <w:r w:rsidRPr="008B1251">
        <w:rPr>
          <w:lang w:val="de-DE"/>
        </w:rPr>
        <w:t xml:space="preserve">Ehemalige Republik Mazedonien, Estland, Europäische </w:t>
      </w:r>
      <w:r w:rsidR="00BC5382" w:rsidRPr="008B1251">
        <w:rPr>
          <w:lang w:val="de-DE"/>
        </w:rPr>
        <w:t>Union</w:t>
      </w:r>
      <w:r w:rsidRPr="008B1251">
        <w:rPr>
          <w:lang w:val="de-DE"/>
        </w:rPr>
        <w:t xml:space="preserve">, Finnland, </w:t>
      </w:r>
      <w:r w:rsidR="00806009" w:rsidRPr="008B1251">
        <w:rPr>
          <w:lang w:val="de-DE"/>
        </w:rPr>
        <w:t xml:space="preserve">Frankreich, </w:t>
      </w:r>
      <w:r w:rsidRPr="008B1251">
        <w:rPr>
          <w:lang w:val="de-DE"/>
        </w:rPr>
        <w:t xml:space="preserve">Georgien, Irland, Island, Israel, </w:t>
      </w:r>
      <w:r w:rsidR="00605E19" w:rsidRPr="008B1251">
        <w:rPr>
          <w:lang w:val="de-DE"/>
        </w:rPr>
        <w:t xml:space="preserve">Italien, </w:t>
      </w:r>
      <w:r w:rsidRPr="008B1251">
        <w:rPr>
          <w:lang w:val="de-DE"/>
        </w:rPr>
        <w:t xml:space="preserve">Japan, Jordanien, </w:t>
      </w:r>
      <w:r w:rsidR="00BC5382" w:rsidRPr="008B1251">
        <w:rPr>
          <w:lang w:val="de-DE"/>
        </w:rPr>
        <w:t xml:space="preserve">Kanada, Kenia, </w:t>
      </w:r>
      <w:r w:rsidRPr="008B1251">
        <w:rPr>
          <w:lang w:val="de-DE"/>
        </w:rPr>
        <w:t xml:space="preserve">Kirgisische Republik, </w:t>
      </w:r>
      <w:r w:rsidR="00BC5382" w:rsidRPr="008B1251">
        <w:rPr>
          <w:lang w:val="de-DE"/>
        </w:rPr>
        <w:t xml:space="preserve">Kolumbien, </w:t>
      </w:r>
      <w:r w:rsidRPr="008B1251">
        <w:rPr>
          <w:lang w:val="de-DE"/>
        </w:rPr>
        <w:t xml:space="preserve">Kroatien, Lettland, Litauen, Marokko, </w:t>
      </w:r>
      <w:r w:rsidR="00BC5382" w:rsidRPr="008B1251">
        <w:rPr>
          <w:lang w:val="de-DE"/>
        </w:rPr>
        <w:t xml:space="preserve">Mexiko, Neuseeland, Nicaragua, </w:t>
      </w:r>
      <w:r w:rsidRPr="008B1251">
        <w:rPr>
          <w:lang w:val="de-DE"/>
        </w:rPr>
        <w:t xml:space="preserve">Niederlande, </w:t>
      </w:r>
      <w:r w:rsidR="00BC5382" w:rsidRPr="008B1251">
        <w:rPr>
          <w:lang w:val="de-DE"/>
        </w:rPr>
        <w:t xml:space="preserve">Norwegen, </w:t>
      </w:r>
      <w:r w:rsidRPr="008B1251">
        <w:rPr>
          <w:lang w:val="de-DE"/>
        </w:rPr>
        <w:t xml:space="preserve">Oman, Österreich, Panama, </w:t>
      </w:r>
      <w:r w:rsidR="007E6B43" w:rsidRPr="008B1251">
        <w:rPr>
          <w:lang w:val="de-DE"/>
        </w:rPr>
        <w:t xml:space="preserve">Paraguay, </w:t>
      </w:r>
      <w:r w:rsidRPr="008B1251">
        <w:rPr>
          <w:lang w:val="de-DE"/>
        </w:rPr>
        <w:t xml:space="preserve">Peru, Polen, </w:t>
      </w:r>
      <w:r w:rsidR="007E6B43" w:rsidRPr="008B1251">
        <w:rPr>
          <w:lang w:val="de-DE"/>
        </w:rPr>
        <w:t xml:space="preserve">Portugal, </w:t>
      </w:r>
      <w:r w:rsidRPr="008B1251">
        <w:rPr>
          <w:lang w:val="de-DE"/>
        </w:rPr>
        <w:t xml:space="preserve">Republik Korea, Republik Moldau, Rumänien, Russische Föderation, Schweden, Schweiz, Serbien, Singapur, Slowakei, Slowenien, Spanien, </w:t>
      </w:r>
      <w:r w:rsidR="00BC5382" w:rsidRPr="008B1251">
        <w:rPr>
          <w:lang w:val="de-DE"/>
        </w:rPr>
        <w:t xml:space="preserve">Südafrika, Trinidad und Tobago, </w:t>
      </w:r>
      <w:r w:rsidRPr="008B1251">
        <w:rPr>
          <w:lang w:val="de-DE"/>
        </w:rPr>
        <w:t xml:space="preserve">Tschechische Republik, Tunesien, Türkei, Ukraine, Ungarn, </w:t>
      </w:r>
      <w:r w:rsidR="007E6B43" w:rsidRPr="008B1251">
        <w:rPr>
          <w:lang w:val="de-DE"/>
        </w:rPr>
        <w:t xml:space="preserve">Uruguay, </w:t>
      </w:r>
      <w:r w:rsidRPr="008B1251">
        <w:rPr>
          <w:lang w:val="de-DE"/>
        </w:rPr>
        <w:t>Usbekistan, Vereinigtes Königreich, Vereinigte Staaten von Amerika und Vietnam.</w:t>
      </w:r>
      <w:r w:rsidR="00806009" w:rsidRPr="008B1251">
        <w:rPr>
          <w:lang w:val="de-DE"/>
        </w:rPr>
        <w:t xml:space="preserve"> </w:t>
      </w:r>
    </w:p>
    <w:bookmarkEnd w:id="13"/>
    <w:p w:rsidR="00411628" w:rsidRPr="008B1251" w:rsidRDefault="00411628" w:rsidP="00411628">
      <w:pPr>
        <w:rPr>
          <w:color w:val="000000" w:themeColor="text1"/>
          <w:lang w:val="de-DE"/>
        </w:rPr>
      </w:pPr>
    </w:p>
    <w:p w:rsidR="002F5258" w:rsidRPr="008B1251" w:rsidRDefault="002F5258" w:rsidP="00411628">
      <w:pPr>
        <w:rPr>
          <w:color w:val="000000" w:themeColor="text1"/>
          <w:lang w:val="de-DE"/>
        </w:rPr>
      </w:pPr>
    </w:p>
    <w:p w:rsidR="00411628" w:rsidRPr="008B1251" w:rsidRDefault="007E6B43" w:rsidP="002E1C71">
      <w:pPr>
        <w:pStyle w:val="Heading2"/>
      </w:pPr>
      <w:bookmarkStart w:id="21" w:name="_Toc413311289"/>
      <w:bookmarkStart w:id="22" w:name="_Toc413311662"/>
      <w:bookmarkStart w:id="23" w:name="_Toc413335701"/>
      <w:bookmarkStart w:id="24" w:name="_Toc399960529"/>
      <w:bookmarkStart w:id="25" w:name="_Toc413078836"/>
      <w:r w:rsidRPr="008B1251">
        <w:t>Lage bezüglich der verschiedenen Akten des Übereinkommens</w:t>
      </w:r>
      <w:bookmarkEnd w:id="21"/>
      <w:bookmarkEnd w:id="22"/>
      <w:bookmarkEnd w:id="23"/>
      <w:r w:rsidRPr="008B1251">
        <w:t xml:space="preserve"> </w:t>
      </w:r>
      <w:bookmarkEnd w:id="24"/>
      <w:bookmarkEnd w:id="25"/>
    </w:p>
    <w:p w:rsidR="00411628" w:rsidRPr="008B1251" w:rsidRDefault="00411628" w:rsidP="00411628">
      <w:pPr>
        <w:keepNext/>
        <w:rPr>
          <w:color w:val="000000" w:themeColor="text1"/>
          <w:lang w:val="de-DE"/>
        </w:rPr>
      </w:pPr>
    </w:p>
    <w:p w:rsidR="007E6B43" w:rsidRPr="008B1251" w:rsidRDefault="00411628" w:rsidP="007E6B43">
      <w:pPr>
        <w:rPr>
          <w:lang w:val="de-DE"/>
        </w:rPr>
      </w:pPr>
      <w:r w:rsidRPr="008B1251">
        <w:rPr>
          <w:color w:val="000000" w:themeColor="text1"/>
          <w:lang w:val="de-DE"/>
        </w:rPr>
        <w:fldChar w:fldCharType="begin"/>
      </w:r>
      <w:r w:rsidRPr="008B1251">
        <w:rPr>
          <w:color w:val="000000" w:themeColor="text1"/>
          <w:lang w:val="de-DE"/>
        </w:rPr>
        <w:instrText xml:space="preserve"> AUTONUM  </w:instrText>
      </w:r>
      <w:r w:rsidRPr="008B1251">
        <w:rPr>
          <w:color w:val="000000" w:themeColor="text1"/>
          <w:lang w:val="de-DE"/>
        </w:rPr>
        <w:fldChar w:fldCharType="end"/>
      </w:r>
      <w:r w:rsidRPr="008B1251">
        <w:rPr>
          <w:color w:val="000000" w:themeColor="text1"/>
          <w:lang w:val="de-DE"/>
        </w:rPr>
        <w:tab/>
      </w:r>
      <w:r w:rsidR="00806009" w:rsidRPr="008B1251">
        <w:rPr>
          <w:color w:val="000000" w:themeColor="text1"/>
          <w:lang w:val="de-DE"/>
        </w:rPr>
        <w:t>Z</w:t>
      </w:r>
      <w:r w:rsidR="00806009" w:rsidRPr="008B1251">
        <w:rPr>
          <w:lang w:val="de-DE"/>
        </w:rPr>
        <w:t xml:space="preserve">um 1. März 2015 waren 52 </w:t>
      </w:r>
      <w:r w:rsidR="007E6B43" w:rsidRPr="008B1251">
        <w:rPr>
          <w:lang w:val="de-DE"/>
        </w:rPr>
        <w:t>Mitglieder durch die Akte von 1991 gebunden;</w:t>
      </w:r>
    </w:p>
    <w:p w:rsidR="007E6B43" w:rsidRPr="008B1251" w:rsidRDefault="007E6B43" w:rsidP="007E6B43">
      <w:pPr>
        <w:rPr>
          <w:lang w:val="de-DE"/>
        </w:rPr>
      </w:pPr>
    </w:p>
    <w:p w:rsidR="00411628" w:rsidRPr="008B1251" w:rsidRDefault="00411628" w:rsidP="00411628">
      <w:pPr>
        <w:rPr>
          <w:color w:val="000000" w:themeColor="text1"/>
          <w:lang w:val="de-DE"/>
        </w:rPr>
      </w:pPr>
      <w:r w:rsidRPr="008B1251">
        <w:rPr>
          <w:color w:val="000000" w:themeColor="text1"/>
          <w:lang w:val="de-DE"/>
        </w:rPr>
        <w:fldChar w:fldCharType="begin"/>
      </w:r>
      <w:r w:rsidRPr="008B1251">
        <w:rPr>
          <w:color w:val="000000" w:themeColor="text1"/>
          <w:lang w:val="de-DE"/>
        </w:rPr>
        <w:instrText xml:space="preserve"> AUTONUM  </w:instrText>
      </w:r>
      <w:r w:rsidRPr="008B1251">
        <w:rPr>
          <w:color w:val="000000" w:themeColor="text1"/>
          <w:lang w:val="de-DE"/>
        </w:rPr>
        <w:fldChar w:fldCharType="end"/>
      </w:r>
      <w:r w:rsidRPr="008B1251">
        <w:rPr>
          <w:color w:val="000000" w:themeColor="text1"/>
          <w:lang w:val="de-DE"/>
        </w:rPr>
        <w:tab/>
      </w:r>
      <w:r w:rsidR="00605E19" w:rsidRPr="008B1251">
        <w:rPr>
          <w:color w:val="000000" w:themeColor="text1"/>
          <w:lang w:val="de-DE"/>
        </w:rPr>
        <w:t>Ein Mitglied war z</w:t>
      </w:r>
      <w:r w:rsidR="007E6B43" w:rsidRPr="008B1251">
        <w:rPr>
          <w:color w:val="000000" w:themeColor="text1"/>
          <w:lang w:val="de-DE"/>
        </w:rPr>
        <w:t xml:space="preserve">um 1. März 2015 durch die Akte von 1961, geändert durch die Akte von 1972, und 19 </w:t>
      </w:r>
      <w:r w:rsidR="00451BF6" w:rsidRPr="008B1251">
        <w:rPr>
          <w:color w:val="000000" w:themeColor="text1"/>
          <w:lang w:val="de-DE"/>
        </w:rPr>
        <w:t>Mitglieder</w:t>
      </w:r>
      <w:r w:rsidR="007E6B43" w:rsidRPr="008B1251">
        <w:rPr>
          <w:color w:val="000000" w:themeColor="text1"/>
          <w:lang w:val="de-DE"/>
        </w:rPr>
        <w:t xml:space="preserve"> waren durch die Akte von 1978 gebunden.</w:t>
      </w:r>
    </w:p>
    <w:p w:rsidR="00071841" w:rsidRPr="008B1251" w:rsidRDefault="00071841" w:rsidP="00071841">
      <w:pPr>
        <w:rPr>
          <w:color w:val="000000" w:themeColor="text1"/>
          <w:lang w:val="de-DE"/>
        </w:rPr>
      </w:pPr>
    </w:p>
    <w:p w:rsidR="00271830" w:rsidRPr="008B1251" w:rsidRDefault="00271830" w:rsidP="00071841">
      <w:pPr>
        <w:rPr>
          <w:color w:val="000000" w:themeColor="text1"/>
          <w:lang w:val="de-DE"/>
        </w:rPr>
      </w:pPr>
    </w:p>
    <w:p w:rsidR="009F64F3" w:rsidRPr="008B1251" w:rsidRDefault="009F64F3" w:rsidP="002E1C71">
      <w:pPr>
        <w:pStyle w:val="Heading2"/>
      </w:pPr>
      <w:bookmarkStart w:id="26" w:name="_Toc379530066"/>
      <w:bookmarkStart w:id="27" w:name="_Toc380391613"/>
      <w:bookmarkStart w:id="28" w:name="_Toc380419853"/>
      <w:bookmarkStart w:id="29" w:name="_Toc380483653"/>
      <w:bookmarkStart w:id="30" w:name="_Toc413311290"/>
      <w:bookmarkStart w:id="31" w:name="_Toc413311663"/>
      <w:bookmarkStart w:id="32" w:name="_Toc413335702"/>
      <w:bookmarkStart w:id="33" w:name="_Toc413078837"/>
      <w:r w:rsidRPr="008B1251">
        <w:t xml:space="preserve">Prüfung von </w:t>
      </w:r>
      <w:bookmarkEnd w:id="26"/>
      <w:r w:rsidRPr="008B1251">
        <w:t>Gesetzen</w:t>
      </w:r>
      <w:bookmarkEnd w:id="27"/>
      <w:bookmarkEnd w:id="28"/>
      <w:bookmarkEnd w:id="29"/>
      <w:bookmarkEnd w:id="30"/>
      <w:bookmarkEnd w:id="31"/>
      <w:bookmarkEnd w:id="32"/>
    </w:p>
    <w:bookmarkEnd w:id="33"/>
    <w:p w:rsidR="00071841" w:rsidRPr="008B1251" w:rsidRDefault="00071841" w:rsidP="00071841">
      <w:pPr>
        <w:keepNext/>
        <w:rPr>
          <w:color w:val="000000" w:themeColor="text1"/>
          <w:lang w:val="de-DE"/>
        </w:rPr>
      </w:pPr>
    </w:p>
    <w:p w:rsidR="00B45708" w:rsidRPr="008B1251" w:rsidRDefault="00B45708" w:rsidP="00B45708">
      <w:pPr>
        <w:pStyle w:val="Heading3"/>
        <w:rPr>
          <w:lang w:val="de-DE"/>
        </w:rPr>
      </w:pPr>
      <w:bookmarkStart w:id="34" w:name="_Toc413078838"/>
      <w:bookmarkStart w:id="35" w:name="_Toc413311291"/>
      <w:bookmarkStart w:id="36" w:name="_Toc413311664"/>
      <w:bookmarkStart w:id="37" w:name="_Toc413335703"/>
      <w:r w:rsidRPr="008B1251">
        <w:rPr>
          <w:rFonts w:eastAsia="MS Mincho"/>
          <w:lang w:val="de-DE" w:eastAsia="ja-JP"/>
        </w:rPr>
        <w:t>Afri</w:t>
      </w:r>
      <w:r w:rsidR="009F64F3" w:rsidRPr="008B1251">
        <w:rPr>
          <w:rFonts w:eastAsia="MS Mincho"/>
          <w:lang w:val="de-DE" w:eastAsia="ja-JP"/>
        </w:rPr>
        <w:t xml:space="preserve">kanische </w:t>
      </w:r>
      <w:r w:rsidR="00451BF6" w:rsidRPr="008B1251">
        <w:rPr>
          <w:rFonts w:eastAsia="MS Mincho"/>
          <w:lang w:val="de-DE" w:eastAsia="ja-JP"/>
        </w:rPr>
        <w:t>Organisation</w:t>
      </w:r>
      <w:r w:rsidR="009F64F3" w:rsidRPr="008B1251">
        <w:rPr>
          <w:rFonts w:eastAsia="MS Mincho"/>
          <w:lang w:val="de-DE" w:eastAsia="ja-JP"/>
        </w:rPr>
        <w:t xml:space="preserve"> für geistiges Eigentum</w:t>
      </w:r>
      <w:r w:rsidRPr="008B1251">
        <w:rPr>
          <w:rFonts w:eastAsia="MS Mincho"/>
          <w:lang w:val="de-DE" w:eastAsia="ja-JP"/>
        </w:rPr>
        <w:t xml:space="preserve"> (ARIPO)</w:t>
      </w:r>
      <w:bookmarkEnd w:id="34"/>
      <w:bookmarkEnd w:id="35"/>
      <w:bookmarkEnd w:id="36"/>
      <w:bookmarkEnd w:id="37"/>
    </w:p>
    <w:p w:rsidR="00B45708" w:rsidRPr="008B1251" w:rsidRDefault="00B45708" w:rsidP="00506508">
      <w:pPr>
        <w:rPr>
          <w:color w:val="000000" w:themeColor="text1"/>
          <w:lang w:val="de-DE"/>
        </w:rPr>
      </w:pPr>
    </w:p>
    <w:p w:rsidR="009F64F3" w:rsidRPr="008B1251" w:rsidRDefault="00271830" w:rsidP="009F64F3">
      <w:pPr>
        <w:rPr>
          <w:szCs w:val="24"/>
          <w:lang w:val="de-DE"/>
        </w:rPr>
      </w:pPr>
      <w:r w:rsidRPr="008B1251">
        <w:rPr>
          <w:color w:val="000000" w:themeColor="text1"/>
          <w:lang w:val="de-DE"/>
        </w:rPr>
        <w:fldChar w:fldCharType="begin"/>
      </w:r>
      <w:r w:rsidRPr="008B1251">
        <w:rPr>
          <w:color w:val="000000" w:themeColor="text1"/>
          <w:lang w:val="de-DE"/>
        </w:rPr>
        <w:instrText xml:space="preserve"> AUTONUM  </w:instrText>
      </w:r>
      <w:r w:rsidRPr="008B1251">
        <w:rPr>
          <w:color w:val="000000" w:themeColor="text1"/>
          <w:lang w:val="de-DE"/>
        </w:rPr>
        <w:fldChar w:fldCharType="end"/>
      </w:r>
      <w:r w:rsidRPr="008B1251">
        <w:rPr>
          <w:color w:val="000000" w:themeColor="text1"/>
          <w:lang w:val="de-DE"/>
        </w:rPr>
        <w:tab/>
      </w:r>
      <w:r w:rsidR="009F64F3" w:rsidRPr="008B1251">
        <w:rPr>
          <w:color w:val="000000" w:themeColor="text1"/>
          <w:lang w:val="de-DE"/>
        </w:rPr>
        <w:t xml:space="preserve">Der Rat traf auf seiner </w:t>
      </w:r>
      <w:r w:rsidR="00451BF6" w:rsidRPr="008B1251">
        <w:rPr>
          <w:color w:val="000000" w:themeColor="text1"/>
          <w:lang w:val="de-DE"/>
        </w:rPr>
        <w:t>einunddreißigsten</w:t>
      </w:r>
      <w:r w:rsidR="009F64F3" w:rsidRPr="008B1251">
        <w:rPr>
          <w:color w:val="000000" w:themeColor="text1"/>
          <w:lang w:val="de-DE"/>
        </w:rPr>
        <w:t xml:space="preserve"> </w:t>
      </w:r>
      <w:r w:rsidR="00451BF6" w:rsidRPr="008B1251">
        <w:rPr>
          <w:color w:val="000000" w:themeColor="text1"/>
          <w:lang w:val="de-DE"/>
        </w:rPr>
        <w:t>außerordentlichen</w:t>
      </w:r>
      <w:r w:rsidR="009F64F3" w:rsidRPr="008B1251">
        <w:rPr>
          <w:color w:val="000000" w:themeColor="text1"/>
          <w:lang w:val="de-DE"/>
        </w:rPr>
        <w:t xml:space="preserve"> </w:t>
      </w:r>
      <w:r w:rsidR="00451BF6" w:rsidRPr="008B1251">
        <w:rPr>
          <w:color w:val="000000" w:themeColor="text1"/>
          <w:lang w:val="de-DE"/>
        </w:rPr>
        <w:t>Tagung vom</w:t>
      </w:r>
      <w:r w:rsidR="009F64F3" w:rsidRPr="008B1251">
        <w:rPr>
          <w:color w:val="000000" w:themeColor="text1"/>
          <w:lang w:val="de-DE"/>
        </w:rPr>
        <w:t xml:space="preserve"> 11. April 2014 in Genf </w:t>
      </w:r>
      <w:r w:rsidR="009F64F3" w:rsidRPr="008B1251">
        <w:rPr>
          <w:szCs w:val="24"/>
          <w:lang w:val="de-DE"/>
        </w:rPr>
        <w:t xml:space="preserve">eine positive Entscheidung über die Vereinbarkeit des Entwurfs des Protokolls der Afrikanischen Organisation für geistiges </w:t>
      </w:r>
      <w:r w:rsidR="00451BF6" w:rsidRPr="008B1251">
        <w:rPr>
          <w:szCs w:val="24"/>
          <w:lang w:val="de-DE"/>
        </w:rPr>
        <w:t>Eigentum</w:t>
      </w:r>
      <w:r w:rsidR="009F64F3" w:rsidRPr="008B1251">
        <w:rPr>
          <w:szCs w:val="24"/>
          <w:lang w:val="de-DE"/>
        </w:rPr>
        <w:t xml:space="preserve"> (ARIPO) über Sortenschutz mit den Bestimmungen der Akte von 1991 des Internationalen Übereinkommens zum Schutz von Pflanzenzüchtungen </w:t>
      </w:r>
      <w:r w:rsidR="00506508" w:rsidRPr="008B1251">
        <w:rPr>
          <w:color w:val="000000" w:themeColor="text1"/>
          <w:lang w:val="de-DE"/>
        </w:rPr>
        <w:t>(UPOV</w:t>
      </w:r>
      <w:r w:rsidR="009F64F3" w:rsidRPr="008B1251">
        <w:rPr>
          <w:color w:val="000000" w:themeColor="text1"/>
          <w:lang w:val="de-DE"/>
        </w:rPr>
        <w:t>-Übereinkommen</w:t>
      </w:r>
      <w:r w:rsidR="00506508" w:rsidRPr="008B1251">
        <w:rPr>
          <w:color w:val="000000" w:themeColor="text1"/>
          <w:lang w:val="de-DE"/>
        </w:rPr>
        <w:t>).</w:t>
      </w:r>
      <w:r w:rsidR="00806009" w:rsidRPr="008B1251">
        <w:rPr>
          <w:color w:val="000000" w:themeColor="text1"/>
          <w:lang w:val="de-DE"/>
        </w:rPr>
        <w:t xml:space="preserve"> </w:t>
      </w:r>
      <w:r w:rsidR="009F64F3" w:rsidRPr="008B1251">
        <w:rPr>
          <w:color w:val="000000" w:themeColor="text1"/>
          <w:lang w:val="de-DE"/>
        </w:rPr>
        <w:t xml:space="preserve">Der Entwurf des Protokolls wird, </w:t>
      </w:r>
      <w:r w:rsidR="009F64F3" w:rsidRPr="008B1251">
        <w:rPr>
          <w:szCs w:val="24"/>
          <w:lang w:val="de-DE"/>
        </w:rPr>
        <w:t>sobald er ohne Änderungen angenommen wurde und in Kraft getreten ist</w:t>
      </w:r>
      <w:r w:rsidR="00806009" w:rsidRPr="008B1251">
        <w:rPr>
          <w:szCs w:val="24"/>
          <w:lang w:val="de-DE"/>
        </w:rPr>
        <w:t>,</w:t>
      </w:r>
      <w:r w:rsidR="009F64F3" w:rsidRPr="008B1251">
        <w:rPr>
          <w:color w:val="000000" w:themeColor="text1"/>
          <w:lang w:val="de-DE"/>
        </w:rPr>
        <w:t xml:space="preserve"> </w:t>
      </w:r>
      <w:r w:rsidR="009F64F3" w:rsidRPr="008B1251">
        <w:rPr>
          <w:szCs w:val="24"/>
          <w:lang w:val="de-DE"/>
        </w:rPr>
        <w:t>den Vertragsstaaten des Protokolls</w:t>
      </w:r>
      <w:r w:rsidR="00B4487D" w:rsidRPr="008B1251">
        <w:rPr>
          <w:szCs w:val="24"/>
          <w:lang w:val="de-DE"/>
        </w:rPr>
        <w:t xml:space="preserve"> </w:t>
      </w:r>
      <w:r w:rsidR="009F64F3" w:rsidRPr="008B1251">
        <w:rPr>
          <w:szCs w:val="24"/>
          <w:lang w:val="de-DE"/>
        </w:rPr>
        <w:t>und</w:t>
      </w:r>
      <w:r w:rsidR="00B4487D" w:rsidRPr="008B1251">
        <w:rPr>
          <w:szCs w:val="24"/>
          <w:lang w:val="de-DE"/>
        </w:rPr>
        <w:t xml:space="preserve"> der ARIPO in Zusammenhang mit den Hoheitsgebieten der durch das Protokoll gebundenen Vertragsstaaten erlauben, ihre Urkunden über den Beitritt zur Akte von 1991 des UPOV-Übereinkommens zu hinterlegen.</w:t>
      </w:r>
    </w:p>
    <w:p w:rsidR="00B45708" w:rsidRPr="008B1251" w:rsidRDefault="00B45708" w:rsidP="00506508">
      <w:pPr>
        <w:rPr>
          <w:color w:val="000000" w:themeColor="text1"/>
          <w:lang w:val="de-DE"/>
        </w:rPr>
      </w:pPr>
    </w:p>
    <w:p w:rsidR="00B4487D" w:rsidRPr="008B1251" w:rsidRDefault="00B4487D" w:rsidP="00355B87">
      <w:pPr>
        <w:pStyle w:val="Heading3"/>
        <w:rPr>
          <w:lang w:val="de-DE"/>
        </w:rPr>
      </w:pPr>
      <w:bookmarkStart w:id="38" w:name="_Toc413311665"/>
      <w:bookmarkStart w:id="39" w:name="_Toc413335704"/>
      <w:bookmarkStart w:id="40" w:name="_Toc413078839"/>
      <w:r w:rsidRPr="008B1251">
        <w:rPr>
          <w:lang w:val="de-DE" w:eastAsia="de-DE" w:bidi="de-DE"/>
        </w:rPr>
        <w:t>Entwicklungen betreffend das Gesetz über Pflanzenzüchterrechte für Sansibar</w:t>
      </w:r>
      <w:bookmarkEnd w:id="38"/>
      <w:bookmarkEnd w:id="39"/>
    </w:p>
    <w:p w:rsidR="00B4487D" w:rsidRPr="008B1251" w:rsidRDefault="00B4487D" w:rsidP="00B4487D">
      <w:pPr>
        <w:keepNext/>
        <w:rPr>
          <w:lang w:val="de-DE"/>
        </w:rPr>
      </w:pPr>
    </w:p>
    <w:bookmarkEnd w:id="40"/>
    <w:p w:rsidR="00B45708" w:rsidRPr="008B1251" w:rsidRDefault="00402138" w:rsidP="00B4487D">
      <w:pPr>
        <w:rPr>
          <w:rFonts w:cs="Arial"/>
          <w:lang w:val="de-DE"/>
        </w:rPr>
      </w:pPr>
      <w:r w:rsidRPr="008B1251">
        <w:rPr>
          <w:rFonts w:cs="Arial"/>
          <w:lang w:val="de-DE"/>
        </w:rPr>
        <w:fldChar w:fldCharType="begin"/>
      </w:r>
      <w:r w:rsidRPr="008B1251">
        <w:rPr>
          <w:rFonts w:cs="Arial"/>
          <w:lang w:val="de-DE"/>
        </w:rPr>
        <w:instrText xml:space="preserve"> AUTONUM  </w:instrText>
      </w:r>
      <w:r w:rsidRPr="008B1251">
        <w:rPr>
          <w:rFonts w:cs="Arial"/>
          <w:lang w:val="de-DE"/>
        </w:rPr>
        <w:fldChar w:fldCharType="end"/>
      </w:r>
      <w:r w:rsidRPr="008B1251">
        <w:rPr>
          <w:rFonts w:cs="Arial"/>
          <w:lang w:val="de-DE"/>
        </w:rPr>
        <w:tab/>
      </w:r>
      <w:r w:rsidR="00B4487D" w:rsidRPr="008B1251">
        <w:rPr>
          <w:rFonts w:cs="Arial"/>
          <w:lang w:val="de-DE"/>
        </w:rPr>
        <w:t xml:space="preserve">Der Rat nahm </w:t>
      </w:r>
      <w:r w:rsidR="00B4487D" w:rsidRPr="008B1251">
        <w:rPr>
          <w:lang w:val="de-DE" w:eastAsia="de-DE" w:bidi="de-DE"/>
        </w:rPr>
        <w:t xml:space="preserve">zur Kenntnis, daß das </w:t>
      </w:r>
      <w:r w:rsidR="00304C44" w:rsidRPr="008B1251">
        <w:rPr>
          <w:lang w:val="de-DE" w:eastAsia="de-DE" w:bidi="de-DE"/>
        </w:rPr>
        <w:t xml:space="preserve">vom Repräsentantenhaus von Sansibar verabschiedete </w:t>
      </w:r>
      <w:r w:rsidR="00B4487D" w:rsidRPr="008B1251">
        <w:rPr>
          <w:lang w:val="de-DE" w:eastAsia="de-DE" w:bidi="de-DE"/>
        </w:rPr>
        <w:t>Gesetz über Pflanzenzüchterrechte von Sansibar die Änderungen in der Entscheidung des Rates vom 22.</w:t>
      </w:r>
      <w:r w:rsidR="00304C44" w:rsidRPr="008B1251">
        <w:rPr>
          <w:lang w:val="de-DE" w:eastAsia="de-DE" w:bidi="de-DE"/>
        </w:rPr>
        <w:t> </w:t>
      </w:r>
      <w:r w:rsidR="00B4487D" w:rsidRPr="008B1251">
        <w:rPr>
          <w:lang w:val="de-DE" w:eastAsia="de-DE" w:bidi="de-DE"/>
        </w:rPr>
        <w:t>März</w:t>
      </w:r>
      <w:r w:rsidR="00304C44" w:rsidRPr="008B1251">
        <w:rPr>
          <w:lang w:val="de-DE" w:eastAsia="de-DE" w:bidi="de-DE"/>
        </w:rPr>
        <w:t> </w:t>
      </w:r>
      <w:r w:rsidR="00B4487D" w:rsidRPr="008B1251">
        <w:rPr>
          <w:lang w:val="de-DE" w:eastAsia="de-DE" w:bidi="de-DE"/>
        </w:rPr>
        <w:t>2013 enthält, und vereinbarte, daß die zusätzlichen Änderungen die materiellen Bestimmungen der Akte von 1991 des UPOV-Übereinkommens nicht betreffen.</w:t>
      </w:r>
      <w:r w:rsidR="00B45708" w:rsidRPr="008B1251">
        <w:rPr>
          <w:rFonts w:cs="Arial"/>
          <w:lang w:val="de-DE"/>
        </w:rPr>
        <w:t xml:space="preserve"> </w:t>
      </w:r>
      <w:r w:rsidR="00B4487D" w:rsidRPr="008B1251">
        <w:rPr>
          <w:rFonts w:cs="Arial"/>
          <w:lang w:val="de-DE"/>
        </w:rPr>
        <w:t xml:space="preserve">Die </w:t>
      </w:r>
      <w:r w:rsidR="00451BF6" w:rsidRPr="008B1251">
        <w:rPr>
          <w:rFonts w:cs="Arial"/>
          <w:lang w:val="de-DE"/>
        </w:rPr>
        <w:t>Rechtsvorschriften</w:t>
      </w:r>
      <w:r w:rsidR="00B4487D" w:rsidRPr="008B1251">
        <w:rPr>
          <w:rFonts w:cs="Arial"/>
          <w:lang w:val="de-DE"/>
        </w:rPr>
        <w:t xml:space="preserve">, die die Züchterrechte regeln, </w:t>
      </w:r>
      <w:r w:rsidR="00451BF6" w:rsidRPr="008B1251">
        <w:rPr>
          <w:rFonts w:cs="Arial"/>
          <w:lang w:val="de-DE"/>
        </w:rPr>
        <w:t>erfassen</w:t>
      </w:r>
      <w:r w:rsidR="00B4487D" w:rsidRPr="008B1251">
        <w:rPr>
          <w:rFonts w:cs="Arial"/>
          <w:lang w:val="de-DE"/>
        </w:rPr>
        <w:t xml:space="preserve"> nunmehr das </w:t>
      </w:r>
      <w:r w:rsidR="00451BF6" w:rsidRPr="008B1251">
        <w:rPr>
          <w:rFonts w:cs="Arial"/>
          <w:lang w:val="de-DE"/>
        </w:rPr>
        <w:t>gesamte</w:t>
      </w:r>
      <w:r w:rsidR="00B4487D" w:rsidRPr="008B1251">
        <w:rPr>
          <w:rFonts w:cs="Arial"/>
          <w:lang w:val="de-DE"/>
        </w:rPr>
        <w:t xml:space="preserve"> </w:t>
      </w:r>
      <w:r w:rsidR="00451BF6" w:rsidRPr="008B1251">
        <w:rPr>
          <w:rFonts w:cs="Arial"/>
          <w:lang w:val="de-DE"/>
        </w:rPr>
        <w:t>Hoheitsgebiet</w:t>
      </w:r>
      <w:r w:rsidR="00B4487D" w:rsidRPr="008B1251">
        <w:rPr>
          <w:rFonts w:cs="Arial"/>
          <w:lang w:val="de-DE"/>
        </w:rPr>
        <w:t xml:space="preserve"> der </w:t>
      </w:r>
      <w:r w:rsidR="00451BF6" w:rsidRPr="008B1251">
        <w:rPr>
          <w:rFonts w:cs="Arial"/>
          <w:lang w:val="de-DE"/>
        </w:rPr>
        <w:t>Vereinigten</w:t>
      </w:r>
      <w:r w:rsidR="00B4487D" w:rsidRPr="008B1251">
        <w:rPr>
          <w:rFonts w:cs="Arial"/>
          <w:lang w:val="de-DE"/>
        </w:rPr>
        <w:t xml:space="preserve"> Republik Tansania, </w:t>
      </w:r>
      <w:r w:rsidR="00451BF6" w:rsidRPr="008B1251">
        <w:rPr>
          <w:rFonts w:cs="Arial"/>
          <w:lang w:val="de-DE"/>
        </w:rPr>
        <w:t>und</w:t>
      </w:r>
      <w:r w:rsidR="00B4487D" w:rsidRPr="008B1251">
        <w:rPr>
          <w:rFonts w:cs="Arial"/>
          <w:lang w:val="de-DE"/>
        </w:rPr>
        <w:t xml:space="preserve"> die </w:t>
      </w:r>
      <w:r w:rsidR="00304C44" w:rsidRPr="008B1251">
        <w:rPr>
          <w:rFonts w:cs="Arial"/>
          <w:lang w:val="de-DE"/>
        </w:rPr>
        <w:t xml:space="preserve">Vereinigte </w:t>
      </w:r>
      <w:r w:rsidR="00451BF6" w:rsidRPr="008B1251">
        <w:rPr>
          <w:rFonts w:cs="Arial"/>
          <w:lang w:val="de-DE"/>
        </w:rPr>
        <w:t>Republik</w:t>
      </w:r>
      <w:r w:rsidR="00B4487D" w:rsidRPr="008B1251">
        <w:rPr>
          <w:rFonts w:cs="Arial"/>
          <w:lang w:val="de-DE"/>
        </w:rPr>
        <w:t xml:space="preserve"> Tansania kann UPOV-</w:t>
      </w:r>
      <w:r w:rsidR="00451BF6" w:rsidRPr="008B1251">
        <w:rPr>
          <w:rFonts w:cs="Arial"/>
          <w:lang w:val="de-DE"/>
        </w:rPr>
        <w:t>Mitglied</w:t>
      </w:r>
      <w:r w:rsidR="00B4487D" w:rsidRPr="008B1251">
        <w:rPr>
          <w:rFonts w:cs="Arial"/>
          <w:lang w:val="de-DE"/>
        </w:rPr>
        <w:t xml:space="preserve"> </w:t>
      </w:r>
      <w:r w:rsidR="00451BF6" w:rsidRPr="008B1251">
        <w:rPr>
          <w:rFonts w:cs="Arial"/>
          <w:lang w:val="de-DE"/>
        </w:rPr>
        <w:t>werden</w:t>
      </w:r>
      <w:r w:rsidR="00B4487D" w:rsidRPr="008B1251">
        <w:rPr>
          <w:rFonts w:cs="Arial"/>
          <w:lang w:val="de-DE"/>
        </w:rPr>
        <w:t>.</w:t>
      </w:r>
    </w:p>
    <w:p w:rsidR="00B45708" w:rsidRPr="008B1251" w:rsidRDefault="00B45708" w:rsidP="00506508">
      <w:pPr>
        <w:rPr>
          <w:color w:val="000000" w:themeColor="text1"/>
          <w:lang w:val="de-DE"/>
        </w:rPr>
      </w:pPr>
    </w:p>
    <w:p w:rsidR="00506508" w:rsidRPr="008B1251" w:rsidRDefault="00506508" w:rsidP="00271830">
      <w:pPr>
        <w:rPr>
          <w:color w:val="000000" w:themeColor="text1"/>
          <w:lang w:val="de-DE"/>
        </w:rPr>
      </w:pPr>
    </w:p>
    <w:p w:rsidR="00E00B59" w:rsidRDefault="00E00B59">
      <w:pPr>
        <w:jc w:val="left"/>
        <w:rPr>
          <w:rFonts w:cs="Arial"/>
          <w:caps/>
          <w:color w:val="000000" w:themeColor="text1"/>
          <w:lang w:val="de-DE"/>
        </w:rPr>
      </w:pPr>
      <w:bookmarkStart w:id="41" w:name="_Toc413078840"/>
      <w:bookmarkStart w:id="42" w:name="_Toc413311292"/>
      <w:bookmarkStart w:id="43" w:name="_Toc413311666"/>
      <w:r>
        <w:rPr>
          <w:lang w:val="de-DE"/>
        </w:rPr>
        <w:br w:type="page"/>
      </w:r>
    </w:p>
    <w:p w:rsidR="00B45708" w:rsidRPr="008B1251" w:rsidRDefault="00B4487D" w:rsidP="00A21CDF">
      <w:pPr>
        <w:pStyle w:val="Heading1"/>
        <w:rPr>
          <w:lang w:val="de-DE"/>
        </w:rPr>
      </w:pPr>
      <w:bookmarkStart w:id="44" w:name="_Toc413335705"/>
      <w:r w:rsidRPr="008B1251">
        <w:rPr>
          <w:lang w:val="de-DE"/>
        </w:rPr>
        <w:lastRenderedPageBreak/>
        <w:t>BEOBACHTER</w:t>
      </w:r>
      <w:bookmarkEnd w:id="41"/>
      <w:bookmarkEnd w:id="42"/>
      <w:bookmarkEnd w:id="43"/>
      <w:bookmarkEnd w:id="44"/>
    </w:p>
    <w:p w:rsidR="00B45708" w:rsidRPr="008B1251" w:rsidRDefault="00B45708" w:rsidP="00271830">
      <w:pPr>
        <w:rPr>
          <w:color w:val="000000" w:themeColor="text1"/>
          <w:lang w:val="de-DE"/>
        </w:rPr>
      </w:pPr>
    </w:p>
    <w:p w:rsidR="00B4487D" w:rsidRPr="008B1251" w:rsidRDefault="00B60971" w:rsidP="00B4487D">
      <w:pPr>
        <w:rPr>
          <w:rFonts w:cs="Arial"/>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B4487D" w:rsidRPr="008B1251">
        <w:rPr>
          <w:rFonts w:cs="Arial"/>
          <w:lang w:val="de-DE"/>
        </w:rPr>
        <w:t xml:space="preserve">Der Rat nahm </w:t>
      </w:r>
      <w:r w:rsidRPr="008B1251">
        <w:rPr>
          <w:rFonts w:cs="Arial"/>
          <w:lang w:val="de-DE"/>
        </w:rPr>
        <w:t>auf seiner achtundvierzigsten ordentlichen</w:t>
      </w:r>
      <w:r w:rsidR="00B4487D" w:rsidRPr="008B1251">
        <w:rPr>
          <w:rFonts w:cs="Arial"/>
          <w:lang w:val="de-DE"/>
        </w:rPr>
        <w:t xml:space="preserve"> Tagung zur Kenntnis, daß der Beratende </w:t>
      </w:r>
      <w:r w:rsidR="00C22C6F" w:rsidRPr="008B1251">
        <w:rPr>
          <w:rFonts w:cs="Arial"/>
          <w:lang w:val="de-DE"/>
        </w:rPr>
        <w:t>Ausschuß</w:t>
      </w:r>
      <w:r w:rsidR="00B4487D" w:rsidRPr="008B1251">
        <w:rPr>
          <w:rFonts w:cs="Arial"/>
          <w:lang w:val="de-DE"/>
        </w:rPr>
        <w:t xml:space="preserve"> folgenden Organisationen </w:t>
      </w:r>
      <w:r w:rsidR="00304C44" w:rsidRPr="008B1251">
        <w:rPr>
          <w:rFonts w:cs="Arial"/>
          <w:lang w:val="de-DE"/>
        </w:rPr>
        <w:t xml:space="preserve">den Beobachterstatus </w:t>
      </w:r>
      <w:r w:rsidR="00B4487D" w:rsidRPr="008B1251">
        <w:rPr>
          <w:rFonts w:cs="Arial"/>
          <w:lang w:val="de-DE"/>
        </w:rPr>
        <w:t>erteilt habe:</w:t>
      </w:r>
    </w:p>
    <w:p w:rsidR="00B4487D" w:rsidRPr="008B1251" w:rsidRDefault="00B4487D" w:rsidP="00B4487D">
      <w:pPr>
        <w:rPr>
          <w:rFonts w:cs="Arial"/>
          <w:lang w:val="de-DE"/>
        </w:rPr>
      </w:pPr>
    </w:p>
    <w:p w:rsidR="00B4487D" w:rsidRPr="008B1251" w:rsidRDefault="00B4487D" w:rsidP="00B4487D">
      <w:pPr>
        <w:pStyle w:val="ListParagraph"/>
        <w:numPr>
          <w:ilvl w:val="0"/>
          <w:numId w:val="9"/>
        </w:numPr>
        <w:rPr>
          <w:rFonts w:cs="Arial"/>
          <w:lang w:val="de-DE"/>
        </w:rPr>
      </w:pPr>
      <w:r w:rsidRPr="008B1251">
        <w:rPr>
          <w:rFonts w:cs="Arial"/>
          <w:lang w:val="de-DE"/>
        </w:rPr>
        <w:t>South Centre beim Rat und beim Verwaltungs- und Rechtsausschuß (CAJ);</w:t>
      </w:r>
    </w:p>
    <w:p w:rsidR="00B4487D" w:rsidRPr="008B1251" w:rsidRDefault="00B4487D" w:rsidP="00B4487D">
      <w:pPr>
        <w:pStyle w:val="ListParagraph"/>
        <w:numPr>
          <w:ilvl w:val="0"/>
          <w:numId w:val="9"/>
        </w:numPr>
        <w:rPr>
          <w:rFonts w:cs="Arial"/>
          <w:lang w:val="de-DE"/>
        </w:rPr>
      </w:pPr>
      <w:r w:rsidRPr="008B1251">
        <w:rPr>
          <w:lang w:val="de-DE" w:eastAsia="de-DE" w:bidi="de-DE"/>
        </w:rPr>
        <w:t xml:space="preserve">Weltlandwirteorganisation </w:t>
      </w:r>
      <w:r w:rsidRPr="008B1251">
        <w:rPr>
          <w:rFonts w:cs="Arial"/>
          <w:lang w:val="de-DE"/>
        </w:rPr>
        <w:t>(WFO) beim Rat , beim CAJ und beim Technischen Ausschuß (TC).</w:t>
      </w:r>
    </w:p>
    <w:p w:rsidR="00B45708" w:rsidRPr="008B1251" w:rsidRDefault="00B45708" w:rsidP="00271830">
      <w:pPr>
        <w:rPr>
          <w:color w:val="000000" w:themeColor="text1"/>
          <w:lang w:val="de-DE"/>
        </w:rPr>
      </w:pPr>
    </w:p>
    <w:p w:rsidR="00B45708" w:rsidRPr="008B1251" w:rsidRDefault="00B45708" w:rsidP="00271830">
      <w:pPr>
        <w:rPr>
          <w:lang w:val="de-DE"/>
        </w:rPr>
      </w:pPr>
    </w:p>
    <w:p w:rsidR="00B45708" w:rsidRPr="008B1251" w:rsidRDefault="00B60971" w:rsidP="00A21CDF">
      <w:pPr>
        <w:pStyle w:val="Heading1"/>
        <w:rPr>
          <w:color w:val="auto"/>
          <w:lang w:val="de-DE"/>
        </w:rPr>
      </w:pPr>
      <w:bookmarkStart w:id="45" w:name="_Toc413311293"/>
      <w:bookmarkStart w:id="46" w:name="_Toc413311667"/>
      <w:bookmarkStart w:id="47" w:name="_Toc413335706"/>
      <w:r w:rsidRPr="008B1251">
        <w:rPr>
          <w:color w:val="auto"/>
          <w:lang w:val="de-DE"/>
        </w:rPr>
        <w:t>VERBANDSBÜRO</w:t>
      </w:r>
      <w:bookmarkEnd w:id="45"/>
      <w:bookmarkEnd w:id="46"/>
      <w:bookmarkEnd w:id="47"/>
    </w:p>
    <w:p w:rsidR="00B45708" w:rsidRPr="008B1251" w:rsidRDefault="00B45708" w:rsidP="00A21CDF">
      <w:pPr>
        <w:pStyle w:val="Heading1"/>
        <w:rPr>
          <w:color w:val="auto"/>
          <w:lang w:val="de-DE"/>
        </w:rPr>
      </w:pPr>
    </w:p>
    <w:p w:rsidR="00B60971" w:rsidRPr="008B1251" w:rsidRDefault="00B60971" w:rsidP="002E1C71">
      <w:pPr>
        <w:pStyle w:val="Heading2"/>
      </w:pPr>
      <w:bookmarkStart w:id="48" w:name="_Toc413311294"/>
      <w:bookmarkStart w:id="49" w:name="_Toc413311668"/>
      <w:bookmarkStart w:id="50" w:name="_Toc413335707"/>
      <w:bookmarkStart w:id="51" w:name="_Toc413078842"/>
      <w:r w:rsidRPr="008B1251">
        <w:t>Ernennung des Generalsekretärs</w:t>
      </w:r>
      <w:bookmarkEnd w:id="48"/>
      <w:bookmarkEnd w:id="49"/>
      <w:bookmarkEnd w:id="50"/>
    </w:p>
    <w:p w:rsidR="00B60971" w:rsidRPr="008B1251" w:rsidRDefault="00B60971" w:rsidP="00B60971">
      <w:pPr>
        <w:rPr>
          <w:lang w:val="de-DE"/>
        </w:rPr>
      </w:pPr>
    </w:p>
    <w:p w:rsidR="00B60971" w:rsidRPr="008B1251" w:rsidRDefault="00B60971" w:rsidP="00B60971">
      <w:pPr>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t>Der Rat ernannte auf seiner achtundvierzigsten ordentlichen Tagung vom 16. Oktober 2014 in Genf Herrn Francis Gurry für den Zeitraum vom 16. Oktober 2014 bis 30. September 2020 durch Zuruf zum Generalsekretär der UPOV.</w:t>
      </w:r>
    </w:p>
    <w:bookmarkEnd w:id="51"/>
    <w:p w:rsidR="001D140D" w:rsidRPr="008B1251" w:rsidRDefault="001D140D" w:rsidP="00B45708">
      <w:pPr>
        <w:rPr>
          <w:lang w:val="de-DE"/>
        </w:rPr>
      </w:pPr>
    </w:p>
    <w:p w:rsidR="001D140D" w:rsidRPr="008B1251" w:rsidRDefault="001D140D" w:rsidP="00B45708">
      <w:pPr>
        <w:rPr>
          <w:lang w:val="de-DE"/>
        </w:rPr>
      </w:pPr>
    </w:p>
    <w:p w:rsidR="001D140D" w:rsidRPr="008B1251" w:rsidRDefault="00B60971" w:rsidP="00A21CDF">
      <w:pPr>
        <w:pStyle w:val="Heading1"/>
        <w:rPr>
          <w:color w:val="auto"/>
          <w:lang w:val="de-DE"/>
        </w:rPr>
      </w:pPr>
      <w:bookmarkStart w:id="52" w:name="_Toc381174857"/>
      <w:bookmarkStart w:id="53" w:name="_Toc413078843"/>
      <w:bookmarkStart w:id="54" w:name="_Toc413311295"/>
      <w:bookmarkStart w:id="55" w:name="_Toc413311669"/>
      <w:bookmarkStart w:id="56" w:name="_Toc413335708"/>
      <w:r w:rsidRPr="008B1251">
        <w:rPr>
          <w:color w:val="auto"/>
          <w:lang w:val="de-DE"/>
        </w:rPr>
        <w:t>SORTENSCHUTZ</w:t>
      </w:r>
      <w:r w:rsidR="001D140D" w:rsidRPr="008B1251">
        <w:rPr>
          <w:color w:val="auto"/>
          <w:lang w:val="de-DE"/>
        </w:rPr>
        <w:t>Statisti</w:t>
      </w:r>
      <w:r w:rsidRPr="008B1251">
        <w:rPr>
          <w:color w:val="auto"/>
          <w:lang w:val="de-DE"/>
        </w:rPr>
        <w:t>K</w:t>
      </w:r>
      <w:bookmarkEnd w:id="52"/>
      <w:bookmarkEnd w:id="53"/>
      <w:bookmarkEnd w:id="54"/>
      <w:bookmarkEnd w:id="55"/>
      <w:bookmarkEnd w:id="56"/>
    </w:p>
    <w:p w:rsidR="001D140D" w:rsidRPr="008B1251" w:rsidRDefault="001D140D" w:rsidP="001D140D">
      <w:pPr>
        <w:keepNext/>
        <w:rPr>
          <w:lang w:val="de-DE"/>
        </w:rPr>
      </w:pPr>
    </w:p>
    <w:p w:rsidR="001D140D" w:rsidRPr="008B1251" w:rsidRDefault="00B60971" w:rsidP="002E1C71">
      <w:pPr>
        <w:pStyle w:val="Heading2"/>
        <w:rPr>
          <w:rFonts w:eastAsia="MS Mincho"/>
          <w:color w:val="auto"/>
          <w:lang w:eastAsia="ja-JP"/>
        </w:rPr>
      </w:pPr>
      <w:bookmarkStart w:id="57" w:name="_Toc381174858"/>
      <w:bookmarkStart w:id="58" w:name="_Toc413078844"/>
      <w:bookmarkStart w:id="59" w:name="_Toc413311296"/>
      <w:bookmarkStart w:id="60" w:name="_Toc413311670"/>
      <w:bookmarkStart w:id="61" w:name="_Toc413335709"/>
      <w:r w:rsidRPr="008B1251">
        <w:t>Liste der in den Verbandsmitgliedern schutzfähigen</w:t>
      </w:r>
      <w:bookmarkEnd w:id="57"/>
      <w:bookmarkEnd w:id="58"/>
      <w:r w:rsidR="00304C44" w:rsidRPr="008B1251">
        <w:t xml:space="preserve"> Taxa</w:t>
      </w:r>
      <w:bookmarkEnd w:id="59"/>
      <w:bookmarkEnd w:id="60"/>
      <w:bookmarkEnd w:id="61"/>
    </w:p>
    <w:p w:rsidR="001D140D" w:rsidRPr="008B1251" w:rsidRDefault="00E07E8D" w:rsidP="001D140D">
      <w:pPr>
        <w:keepNext/>
        <w:autoSpaceDE w:val="0"/>
        <w:autoSpaceDN w:val="0"/>
        <w:adjustRightInd w:val="0"/>
        <w:rPr>
          <w:rFonts w:eastAsia="MS Mincho" w:cs="Arial"/>
          <w:lang w:val="de-DE" w:eastAsia="ja-JP"/>
        </w:rPr>
      </w:pPr>
      <w:r w:rsidRPr="008B1251">
        <w:rPr>
          <w:rFonts w:eastAsia="MS Mincho" w:cs="Arial"/>
          <w:lang w:val="de-DE" w:eastAsia="ja-JP"/>
        </w:rPr>
        <w:t>(</w:t>
      </w:r>
      <w:r w:rsidR="00B60971" w:rsidRPr="008B1251">
        <w:rPr>
          <w:rFonts w:eastAsia="MS Mincho" w:cs="Arial"/>
          <w:lang w:val="de-DE" w:eastAsia="ja-JP"/>
        </w:rPr>
        <w:t>vergleiche D</w:t>
      </w:r>
      <w:r w:rsidRPr="008B1251">
        <w:rPr>
          <w:rFonts w:eastAsia="MS Mincho" w:cs="Arial"/>
          <w:lang w:val="de-DE" w:eastAsia="ja-JP"/>
        </w:rPr>
        <w:t>o</w:t>
      </w:r>
      <w:r w:rsidR="00B60971" w:rsidRPr="008B1251">
        <w:rPr>
          <w:rFonts w:eastAsia="MS Mincho" w:cs="Arial"/>
          <w:lang w:val="de-DE" w:eastAsia="ja-JP"/>
        </w:rPr>
        <w:t>k</w:t>
      </w:r>
      <w:r w:rsidRPr="008B1251">
        <w:rPr>
          <w:rFonts w:eastAsia="MS Mincho" w:cs="Arial"/>
          <w:lang w:val="de-DE" w:eastAsia="ja-JP"/>
        </w:rPr>
        <w:t>ument C/48</w:t>
      </w:r>
      <w:r w:rsidR="001D140D" w:rsidRPr="008B1251">
        <w:rPr>
          <w:rFonts w:eastAsia="MS Mincho" w:cs="Arial"/>
          <w:lang w:val="de-DE" w:eastAsia="ja-JP"/>
        </w:rPr>
        <w:t>/</w:t>
      </w:r>
      <w:r w:rsidR="00304C44" w:rsidRPr="008B1251">
        <w:rPr>
          <w:rFonts w:eastAsia="MS Mincho" w:cs="Arial"/>
          <w:lang w:val="de-DE" w:eastAsia="ja-JP"/>
        </w:rPr>
        <w:t>6</w:t>
      </w:r>
      <w:r w:rsidR="00B60971" w:rsidRPr="008B1251">
        <w:rPr>
          <w:rFonts w:eastAsia="MS Mincho" w:cs="Arial"/>
          <w:lang w:val="de-DE" w:eastAsia="ja-JP"/>
        </w:rPr>
        <w:t>, „</w:t>
      </w:r>
      <w:r w:rsidR="00B60971" w:rsidRPr="008B1251">
        <w:rPr>
          <w:lang w:val="de-DE"/>
        </w:rPr>
        <w:t>Liste der in den Verbandsmitgliedern schutzfähigen Taxa“</w:t>
      </w:r>
      <w:r w:rsidR="001D140D" w:rsidRPr="008B1251">
        <w:rPr>
          <w:rFonts w:eastAsia="MS Mincho" w:cs="Arial"/>
          <w:lang w:val="de-DE" w:eastAsia="ja-JP"/>
        </w:rPr>
        <w:t>)</w:t>
      </w:r>
    </w:p>
    <w:p w:rsidR="001D140D" w:rsidRPr="008B1251" w:rsidRDefault="001D140D" w:rsidP="001D140D">
      <w:pPr>
        <w:keepNext/>
        <w:autoSpaceDE w:val="0"/>
        <w:autoSpaceDN w:val="0"/>
        <w:adjustRightInd w:val="0"/>
        <w:rPr>
          <w:rFonts w:eastAsia="MS Mincho" w:cs="Arial"/>
          <w:lang w:val="de-DE" w:eastAsia="ja-JP"/>
        </w:rPr>
      </w:pPr>
    </w:p>
    <w:p w:rsidR="00E07E8D" w:rsidRPr="008B1251" w:rsidRDefault="00E07E8D" w:rsidP="00E07E8D">
      <w:pPr>
        <w:autoSpaceDE w:val="0"/>
        <w:autoSpaceDN w:val="0"/>
        <w:adjustRightInd w:val="0"/>
        <w:rPr>
          <w:rFonts w:eastAsia="MS Mincho" w:cs="Arial"/>
          <w:lang w:val="de-DE" w:eastAsia="ja-JP"/>
        </w:rPr>
      </w:pPr>
      <w:r w:rsidRPr="008B1251">
        <w:rPr>
          <w:rFonts w:eastAsia="MS Mincho" w:cs="Arial"/>
          <w:lang w:val="de-DE" w:eastAsia="ja-JP"/>
        </w:rPr>
        <w:fldChar w:fldCharType="begin"/>
      </w:r>
      <w:r w:rsidRPr="008B1251">
        <w:rPr>
          <w:rFonts w:eastAsia="MS Mincho" w:cs="Arial"/>
          <w:lang w:val="de-DE" w:eastAsia="ja-JP"/>
        </w:rPr>
        <w:instrText xml:space="preserve"> AUTONUM  </w:instrText>
      </w:r>
      <w:r w:rsidRPr="008B1251">
        <w:rPr>
          <w:rFonts w:eastAsia="MS Mincho" w:cs="Arial"/>
          <w:lang w:val="de-DE" w:eastAsia="ja-JP"/>
        </w:rPr>
        <w:fldChar w:fldCharType="end"/>
      </w:r>
      <w:r w:rsidRPr="008B1251">
        <w:rPr>
          <w:rFonts w:eastAsia="MS Mincho" w:cs="Arial"/>
          <w:lang w:val="de-DE" w:eastAsia="ja-JP"/>
        </w:rPr>
        <w:tab/>
      </w:r>
      <w:r w:rsidR="00B60971" w:rsidRPr="008B1251">
        <w:rPr>
          <w:rFonts w:eastAsia="MS Mincho" w:cs="Arial"/>
          <w:lang w:val="de-DE" w:eastAsia="ja-JP"/>
        </w:rPr>
        <w:t>Insgesamt</w:t>
      </w:r>
      <w:r w:rsidRPr="008B1251">
        <w:rPr>
          <w:rFonts w:eastAsia="MS Mincho" w:cs="Arial"/>
          <w:lang w:val="de-DE" w:eastAsia="ja-JP"/>
        </w:rPr>
        <w:t xml:space="preserve"> 58 </w:t>
      </w:r>
      <w:r w:rsidR="00451BF6" w:rsidRPr="008B1251">
        <w:rPr>
          <w:rFonts w:eastAsia="MS Mincho" w:cs="Arial"/>
          <w:lang w:val="de-DE" w:eastAsia="ja-JP"/>
        </w:rPr>
        <w:t>Verbandsmitglieder</w:t>
      </w:r>
      <w:r w:rsidR="00B60971" w:rsidRPr="008B1251">
        <w:rPr>
          <w:rFonts w:eastAsia="MS Mincho" w:cs="Arial"/>
          <w:lang w:val="de-DE" w:eastAsia="ja-JP"/>
        </w:rPr>
        <w:t xml:space="preserve"> gewähren nun den Sortenschutz allen Pflanzengattungen und </w:t>
      </w:r>
      <w:r w:rsidR="00304C44" w:rsidRPr="008B1251">
        <w:rPr>
          <w:rFonts w:eastAsia="MS Mincho" w:cs="Arial"/>
          <w:lang w:val="de-DE" w:eastAsia="ja-JP"/>
        </w:rPr>
        <w:noBreakHyphen/>
      </w:r>
      <w:r w:rsidR="00B60971" w:rsidRPr="008B1251">
        <w:rPr>
          <w:rFonts w:eastAsia="MS Mincho" w:cs="Arial"/>
          <w:lang w:val="de-DE" w:eastAsia="ja-JP"/>
        </w:rPr>
        <w:t xml:space="preserve">arten (56 im </w:t>
      </w:r>
      <w:r w:rsidR="00451BF6" w:rsidRPr="008B1251">
        <w:rPr>
          <w:rFonts w:eastAsia="MS Mincho" w:cs="Arial"/>
          <w:lang w:val="de-DE" w:eastAsia="ja-JP"/>
        </w:rPr>
        <w:t>Jahre</w:t>
      </w:r>
      <w:r w:rsidR="00B60971" w:rsidRPr="008B1251">
        <w:rPr>
          <w:rFonts w:eastAsia="MS Mincho" w:cs="Arial"/>
          <w:lang w:val="de-DE" w:eastAsia="ja-JP"/>
        </w:rPr>
        <w:t xml:space="preserve"> 2013). Vierzehn </w:t>
      </w:r>
      <w:r w:rsidR="00451BF6" w:rsidRPr="008B1251">
        <w:rPr>
          <w:rFonts w:eastAsia="MS Mincho" w:cs="Arial"/>
          <w:lang w:val="de-DE" w:eastAsia="ja-JP"/>
        </w:rPr>
        <w:t>Verbandsmitglieder</w:t>
      </w:r>
      <w:r w:rsidR="00B60971" w:rsidRPr="008B1251">
        <w:rPr>
          <w:rFonts w:eastAsia="MS Mincho" w:cs="Arial"/>
          <w:lang w:val="de-DE" w:eastAsia="ja-JP"/>
        </w:rPr>
        <w:t xml:space="preserve"> gewähren den Schutz einer begrenzen Anzahl </w:t>
      </w:r>
      <w:r w:rsidR="00451BF6" w:rsidRPr="008B1251">
        <w:rPr>
          <w:rFonts w:eastAsia="MS Mincho" w:cs="Arial"/>
          <w:lang w:val="de-DE" w:eastAsia="ja-JP"/>
        </w:rPr>
        <w:t>Pflanzengattungen</w:t>
      </w:r>
      <w:r w:rsidR="00B60971" w:rsidRPr="008B1251">
        <w:rPr>
          <w:rFonts w:eastAsia="MS Mincho" w:cs="Arial"/>
          <w:lang w:val="de-DE" w:eastAsia="ja-JP"/>
        </w:rPr>
        <w:t xml:space="preserve"> und </w:t>
      </w:r>
      <w:r w:rsidR="00304C44" w:rsidRPr="008B1251">
        <w:rPr>
          <w:rFonts w:eastAsia="MS Mincho" w:cs="Arial"/>
          <w:lang w:val="de-DE" w:eastAsia="ja-JP"/>
        </w:rPr>
        <w:noBreakHyphen/>
      </w:r>
      <w:r w:rsidR="00B60971" w:rsidRPr="008B1251">
        <w:rPr>
          <w:rFonts w:eastAsia="MS Mincho" w:cs="Arial"/>
          <w:lang w:val="de-DE" w:eastAsia="ja-JP"/>
        </w:rPr>
        <w:t xml:space="preserve">arten. Von diesen 14 dehnten drei Länder </w:t>
      </w:r>
      <w:r w:rsidRPr="008B1251">
        <w:rPr>
          <w:rFonts w:eastAsia="MS Mincho" w:cs="Arial"/>
          <w:lang w:val="de-DE" w:eastAsia="ja-JP"/>
        </w:rPr>
        <w:t>(Bra</w:t>
      </w:r>
      <w:r w:rsidR="00B60971" w:rsidRPr="008B1251">
        <w:rPr>
          <w:rFonts w:eastAsia="MS Mincho" w:cs="Arial"/>
          <w:lang w:val="de-DE" w:eastAsia="ja-JP"/>
        </w:rPr>
        <w:t>s</w:t>
      </w:r>
      <w:r w:rsidRPr="008B1251">
        <w:rPr>
          <w:rFonts w:eastAsia="MS Mincho" w:cs="Arial"/>
          <w:lang w:val="de-DE" w:eastAsia="ja-JP"/>
        </w:rPr>
        <w:t>il</w:t>
      </w:r>
      <w:r w:rsidR="00B60971" w:rsidRPr="008B1251">
        <w:rPr>
          <w:rFonts w:eastAsia="MS Mincho" w:cs="Arial"/>
          <w:lang w:val="de-DE" w:eastAsia="ja-JP"/>
        </w:rPr>
        <w:t>ien</w:t>
      </w:r>
      <w:r w:rsidRPr="008B1251">
        <w:rPr>
          <w:rFonts w:eastAsia="MS Mincho" w:cs="Arial"/>
          <w:lang w:val="de-DE" w:eastAsia="ja-JP"/>
        </w:rPr>
        <w:t xml:space="preserve">, China </w:t>
      </w:r>
      <w:r w:rsidR="00B60971" w:rsidRPr="008B1251">
        <w:rPr>
          <w:rFonts w:eastAsia="MS Mincho" w:cs="Arial"/>
          <w:lang w:val="de-DE" w:eastAsia="ja-JP"/>
        </w:rPr>
        <w:t>u</w:t>
      </w:r>
      <w:r w:rsidRPr="008B1251">
        <w:rPr>
          <w:rFonts w:eastAsia="MS Mincho" w:cs="Arial"/>
          <w:lang w:val="de-DE" w:eastAsia="ja-JP"/>
        </w:rPr>
        <w:t>nd S</w:t>
      </w:r>
      <w:r w:rsidR="00B60971" w:rsidRPr="008B1251">
        <w:rPr>
          <w:rFonts w:eastAsia="MS Mincho" w:cs="Arial"/>
          <w:lang w:val="de-DE" w:eastAsia="ja-JP"/>
        </w:rPr>
        <w:t>üdafrika</w:t>
      </w:r>
      <w:r w:rsidRPr="008B1251">
        <w:rPr>
          <w:rFonts w:eastAsia="MS Mincho" w:cs="Arial"/>
          <w:lang w:val="de-DE" w:eastAsia="ja-JP"/>
        </w:rPr>
        <w:t xml:space="preserve">) </w:t>
      </w:r>
      <w:r w:rsidR="0099403C" w:rsidRPr="008B1251">
        <w:rPr>
          <w:rFonts w:eastAsia="MS Mincho" w:cs="Arial"/>
          <w:lang w:val="de-DE" w:eastAsia="ja-JP"/>
        </w:rPr>
        <w:t xml:space="preserve">den Schutz im Jahre </w:t>
      </w:r>
      <w:r w:rsidRPr="008B1251">
        <w:rPr>
          <w:rFonts w:eastAsia="MS Mincho" w:cs="Arial"/>
          <w:lang w:val="de-DE" w:eastAsia="ja-JP"/>
        </w:rPr>
        <w:t> 2014</w:t>
      </w:r>
      <w:r w:rsidR="0099403C" w:rsidRPr="008B1251">
        <w:rPr>
          <w:rFonts w:eastAsia="MS Mincho" w:cs="Arial"/>
          <w:lang w:val="de-DE" w:eastAsia="ja-JP"/>
        </w:rPr>
        <w:t xml:space="preserve"> auf weitere Pflanzengattungen und </w:t>
      </w:r>
      <w:r w:rsidR="00304C44" w:rsidRPr="008B1251">
        <w:rPr>
          <w:rFonts w:eastAsia="MS Mincho" w:cs="Arial"/>
          <w:lang w:val="de-DE" w:eastAsia="ja-JP"/>
        </w:rPr>
        <w:noBreakHyphen/>
      </w:r>
      <w:r w:rsidR="0099403C" w:rsidRPr="008B1251">
        <w:rPr>
          <w:rFonts w:eastAsia="MS Mincho" w:cs="Arial"/>
          <w:lang w:val="de-DE" w:eastAsia="ja-JP"/>
        </w:rPr>
        <w:t>arten aus</w:t>
      </w:r>
      <w:r w:rsidRPr="008B1251">
        <w:rPr>
          <w:rFonts w:eastAsia="MS Mincho" w:cs="Arial"/>
          <w:lang w:val="de-DE" w:eastAsia="ja-JP"/>
        </w:rPr>
        <w:t>.</w:t>
      </w:r>
    </w:p>
    <w:p w:rsidR="00304C44" w:rsidRPr="008B1251" w:rsidRDefault="00304C44" w:rsidP="00E07E8D">
      <w:pPr>
        <w:autoSpaceDE w:val="0"/>
        <w:autoSpaceDN w:val="0"/>
        <w:adjustRightInd w:val="0"/>
        <w:rPr>
          <w:rFonts w:eastAsia="MS Mincho" w:cs="Arial"/>
          <w:lang w:val="de-DE" w:eastAsia="ja-JP"/>
        </w:rPr>
      </w:pPr>
    </w:p>
    <w:p w:rsidR="00304C44" w:rsidRPr="008B1251" w:rsidRDefault="00304C44" w:rsidP="00304C44">
      <w:pPr>
        <w:pStyle w:val="Heading2"/>
      </w:pPr>
      <w:bookmarkStart w:id="62" w:name="_Toc381174859"/>
      <w:bookmarkStart w:id="63" w:name="_Toc413078845"/>
      <w:bookmarkStart w:id="64" w:name="_Toc413311297"/>
      <w:bookmarkStart w:id="65" w:name="_Toc413311671"/>
      <w:bookmarkStart w:id="66" w:name="_Toc413335710"/>
      <w:r w:rsidRPr="008B1251">
        <w:t>Sortenschutzstatistik</w:t>
      </w:r>
      <w:bookmarkEnd w:id="62"/>
      <w:bookmarkEnd w:id="63"/>
      <w:bookmarkEnd w:id="64"/>
      <w:bookmarkEnd w:id="65"/>
      <w:bookmarkEnd w:id="66"/>
    </w:p>
    <w:p w:rsidR="00304C44" w:rsidRPr="008B1251" w:rsidRDefault="00304C44" w:rsidP="00304C44">
      <w:pPr>
        <w:keepNext/>
        <w:autoSpaceDE w:val="0"/>
        <w:autoSpaceDN w:val="0"/>
        <w:adjustRightInd w:val="0"/>
        <w:rPr>
          <w:rFonts w:eastAsia="MS Mincho" w:cs="Arial"/>
          <w:color w:val="000000" w:themeColor="text1"/>
          <w:lang w:val="de-DE" w:eastAsia="ja-JP"/>
        </w:rPr>
      </w:pPr>
      <w:r w:rsidRPr="008B1251">
        <w:rPr>
          <w:rFonts w:eastAsia="MS Mincho" w:cs="Arial"/>
          <w:color w:val="000000" w:themeColor="text1"/>
          <w:lang w:val="de-DE" w:eastAsia="ja-JP"/>
        </w:rPr>
        <w:t>(vergleiche Dokument C/48/7, „</w:t>
      </w:r>
      <w:r w:rsidRPr="008B1251">
        <w:rPr>
          <w:lang w:val="de-DE"/>
        </w:rPr>
        <w:t>Sortenschutzstatistik für den Zeitabschnitt 2009-2013“</w:t>
      </w:r>
      <w:r w:rsidRPr="008B1251">
        <w:rPr>
          <w:color w:val="000000" w:themeColor="text1"/>
          <w:lang w:val="de-DE"/>
        </w:rPr>
        <w:t>)</w:t>
      </w:r>
    </w:p>
    <w:p w:rsidR="001D140D" w:rsidRPr="008B1251" w:rsidRDefault="001D140D" w:rsidP="001D140D">
      <w:pPr>
        <w:rPr>
          <w:lang w:val="de-DE"/>
        </w:rPr>
      </w:pPr>
    </w:p>
    <w:p w:rsidR="00A21CDF" w:rsidRPr="008B1251" w:rsidRDefault="00A21CDF" w:rsidP="00A21CDF">
      <w:pPr>
        <w:autoSpaceDE w:val="0"/>
        <w:autoSpaceDN w:val="0"/>
        <w:adjustRightInd w:val="0"/>
        <w:rPr>
          <w:rFonts w:eastAsia="MS Mincho" w:cs="Arial"/>
          <w:lang w:val="de-DE" w:eastAsia="ja-JP"/>
        </w:rPr>
      </w:pPr>
      <w:r w:rsidRPr="008B1251">
        <w:rPr>
          <w:rFonts w:eastAsia="MS Mincho" w:cs="Arial"/>
          <w:lang w:val="de-DE" w:eastAsia="ja-JP"/>
        </w:rPr>
        <w:fldChar w:fldCharType="begin"/>
      </w:r>
      <w:r w:rsidRPr="008B1251">
        <w:rPr>
          <w:rFonts w:eastAsia="MS Mincho" w:cs="Arial"/>
          <w:lang w:val="de-DE" w:eastAsia="ja-JP"/>
        </w:rPr>
        <w:instrText xml:space="preserve"> AUTONUM  </w:instrText>
      </w:r>
      <w:r w:rsidRPr="008B1251">
        <w:rPr>
          <w:rFonts w:eastAsia="MS Mincho" w:cs="Arial"/>
          <w:lang w:val="de-DE" w:eastAsia="ja-JP"/>
        </w:rPr>
        <w:fldChar w:fldCharType="end"/>
      </w:r>
      <w:r w:rsidRPr="008B1251">
        <w:rPr>
          <w:rFonts w:eastAsia="MS Mincho" w:cs="Arial"/>
          <w:lang w:val="de-DE" w:eastAsia="ja-JP"/>
        </w:rPr>
        <w:tab/>
        <w:t>I</w:t>
      </w:r>
      <w:r w:rsidR="0099403C" w:rsidRPr="008B1251">
        <w:rPr>
          <w:rFonts w:eastAsia="MS Mincho" w:cs="Arial"/>
          <w:lang w:val="de-DE" w:eastAsia="ja-JP"/>
        </w:rPr>
        <w:t>m Jahre</w:t>
      </w:r>
      <w:r w:rsidRPr="008B1251">
        <w:rPr>
          <w:rFonts w:eastAsia="MS Mincho" w:cs="Arial"/>
          <w:lang w:val="de-DE" w:eastAsia="ja-JP"/>
        </w:rPr>
        <w:t xml:space="preserve"> 2013</w:t>
      </w:r>
      <w:r w:rsidR="0099403C" w:rsidRPr="008B1251">
        <w:rPr>
          <w:rFonts w:eastAsia="MS Mincho" w:cs="Arial"/>
          <w:lang w:val="de-DE" w:eastAsia="ja-JP"/>
        </w:rPr>
        <w:t xml:space="preserve"> übersti</w:t>
      </w:r>
      <w:r w:rsidR="00304C44" w:rsidRPr="008B1251">
        <w:rPr>
          <w:rFonts w:eastAsia="MS Mincho" w:cs="Arial"/>
          <w:lang w:val="de-DE" w:eastAsia="ja-JP"/>
        </w:rPr>
        <w:t>e</w:t>
      </w:r>
      <w:r w:rsidR="0099403C" w:rsidRPr="008B1251">
        <w:rPr>
          <w:rFonts w:eastAsia="MS Mincho" w:cs="Arial"/>
          <w:lang w:val="de-DE" w:eastAsia="ja-JP"/>
        </w:rPr>
        <w:t xml:space="preserve">g die Zahl der gültigen </w:t>
      </w:r>
      <w:r w:rsidR="00451BF6" w:rsidRPr="008B1251">
        <w:rPr>
          <w:rFonts w:eastAsia="MS Mincho" w:cs="Arial"/>
          <w:lang w:val="de-DE" w:eastAsia="ja-JP"/>
        </w:rPr>
        <w:t>Schutztitel</w:t>
      </w:r>
      <w:r w:rsidR="0099403C" w:rsidRPr="008B1251">
        <w:rPr>
          <w:rFonts w:eastAsia="MS Mincho" w:cs="Arial"/>
          <w:lang w:val="de-DE" w:eastAsia="ja-JP"/>
        </w:rPr>
        <w:t xml:space="preserve"> erstmals 100 000. </w:t>
      </w:r>
      <w:bookmarkStart w:id="67" w:name="OLE_LINK2"/>
      <w:r w:rsidR="0099403C" w:rsidRPr="008B1251">
        <w:rPr>
          <w:rStyle w:val="f21"/>
          <w:lang w:val="de-DE"/>
        </w:rPr>
        <w:t>Die Gesamtheit der 103 261 gültigen Schutztitel entsprach im Jahre 2013 einem Anstieg von 3,8 % gegenüber den Zahlen für das Jahr 2012 (99 501).</w:t>
      </w:r>
      <w:bookmarkEnd w:id="67"/>
    </w:p>
    <w:p w:rsidR="00A21CDF" w:rsidRPr="008B1251" w:rsidRDefault="00A21CDF" w:rsidP="00A21CDF">
      <w:pPr>
        <w:autoSpaceDE w:val="0"/>
        <w:autoSpaceDN w:val="0"/>
        <w:adjustRightInd w:val="0"/>
        <w:rPr>
          <w:rFonts w:eastAsia="MS Mincho" w:cs="Arial"/>
          <w:lang w:val="de-DE" w:eastAsia="ja-JP"/>
        </w:rPr>
      </w:pPr>
    </w:p>
    <w:p w:rsidR="00A21CDF" w:rsidRPr="008B1251" w:rsidRDefault="00A21CDF" w:rsidP="00A21CDF">
      <w:pPr>
        <w:autoSpaceDE w:val="0"/>
        <w:autoSpaceDN w:val="0"/>
        <w:adjustRightInd w:val="0"/>
        <w:rPr>
          <w:rFonts w:eastAsia="MS Mincho" w:cs="Arial"/>
          <w:lang w:val="de-DE" w:eastAsia="ja-JP"/>
        </w:rPr>
      </w:pPr>
      <w:r w:rsidRPr="008B1251">
        <w:rPr>
          <w:rFonts w:eastAsia="MS Mincho" w:cs="Arial"/>
          <w:lang w:val="de-DE" w:eastAsia="ja-JP"/>
        </w:rPr>
        <w:fldChar w:fldCharType="begin"/>
      </w:r>
      <w:r w:rsidRPr="008B1251">
        <w:rPr>
          <w:rFonts w:eastAsia="MS Mincho" w:cs="Arial"/>
          <w:lang w:val="de-DE" w:eastAsia="ja-JP"/>
        </w:rPr>
        <w:instrText xml:space="preserve"> AUTONUM  </w:instrText>
      </w:r>
      <w:r w:rsidRPr="008B1251">
        <w:rPr>
          <w:rFonts w:eastAsia="MS Mincho" w:cs="Arial"/>
          <w:lang w:val="de-DE" w:eastAsia="ja-JP"/>
        </w:rPr>
        <w:fldChar w:fldCharType="end"/>
      </w:r>
      <w:r w:rsidRPr="008B1251">
        <w:rPr>
          <w:rFonts w:eastAsia="MS Mincho" w:cs="Arial"/>
          <w:lang w:val="de-DE" w:eastAsia="ja-JP"/>
        </w:rPr>
        <w:tab/>
      </w:r>
      <w:r w:rsidR="0099403C" w:rsidRPr="008B1251">
        <w:rPr>
          <w:rFonts w:eastAsia="MS Mincho" w:cs="Arial"/>
          <w:lang w:val="de-DE" w:eastAsia="ja-JP"/>
        </w:rPr>
        <w:t>Der Rat nahm zur Kenntnis, daß es bei der Anzahl von Anträgen auf Erteilung des Sortenschutzes einen Anstieg von 6,3 % gab (14 788 im Jahre 2013; 13 908 im Jahre 2012), wobei die Anzahl der Anträge von Inländern um 8,7 % zunahm (9 502 im Jahre 2013; 8 739 im Jahre 2012) und die Anzahl der Anträge von Ausländern um 2,3 % anstieg (5 286 im Jahre 2013; 5 169 im Jahre 2012). Die Anzahl der erteilten Schutztitel nahm von 9 822 im Jahre 2012 auf 10 052 im Jahre 2013 zu (ein Anstieg von 2,3 %).</w:t>
      </w:r>
    </w:p>
    <w:p w:rsidR="001D140D" w:rsidRPr="008B1251" w:rsidRDefault="001D140D" w:rsidP="001D140D">
      <w:pPr>
        <w:autoSpaceDE w:val="0"/>
        <w:autoSpaceDN w:val="0"/>
        <w:adjustRightInd w:val="0"/>
        <w:rPr>
          <w:rFonts w:eastAsia="MS Mincho" w:cs="Arial"/>
          <w:lang w:val="de-DE" w:eastAsia="ja-JP"/>
        </w:rPr>
      </w:pPr>
    </w:p>
    <w:p w:rsidR="0099403C" w:rsidRPr="008B1251" w:rsidRDefault="0099403C" w:rsidP="00355B87">
      <w:pPr>
        <w:pStyle w:val="Heading2"/>
      </w:pPr>
      <w:bookmarkStart w:id="68" w:name="_Toc413311672"/>
      <w:bookmarkStart w:id="69" w:name="_Toc413335711"/>
      <w:bookmarkStart w:id="70" w:name="_Toc381174860"/>
      <w:bookmarkStart w:id="71" w:name="_Toc413078846"/>
      <w:r w:rsidRPr="008B1251">
        <w:t>Zusammenarbeit bei der Prüfung neuer Pflanzensorten</w:t>
      </w:r>
      <w:bookmarkEnd w:id="68"/>
      <w:bookmarkEnd w:id="69"/>
    </w:p>
    <w:p w:rsidR="00304C44" w:rsidRPr="008B1251" w:rsidRDefault="00304C44" w:rsidP="00304C44">
      <w:pPr>
        <w:keepNext/>
        <w:autoSpaceDE w:val="0"/>
        <w:autoSpaceDN w:val="0"/>
        <w:adjustRightInd w:val="0"/>
        <w:rPr>
          <w:rFonts w:eastAsia="MS Mincho" w:cs="Arial"/>
          <w:color w:val="000000" w:themeColor="text1"/>
          <w:lang w:val="de-DE" w:eastAsia="ja-JP"/>
        </w:rPr>
      </w:pPr>
      <w:r w:rsidRPr="008B1251">
        <w:rPr>
          <w:rFonts w:eastAsia="MS Mincho" w:cs="Arial"/>
          <w:color w:val="000000" w:themeColor="text1"/>
          <w:lang w:val="de-DE" w:eastAsia="ja-JP"/>
        </w:rPr>
        <w:t xml:space="preserve">(vergleiche Dokument C/48/5, </w:t>
      </w:r>
      <w:r w:rsidR="0083141F" w:rsidRPr="008B1251">
        <w:rPr>
          <w:rFonts w:eastAsia="MS Mincho" w:cs="Arial"/>
          <w:color w:val="000000" w:themeColor="text1"/>
          <w:lang w:val="de-DE" w:eastAsia="ja-JP"/>
        </w:rPr>
        <w:t>„</w:t>
      </w:r>
      <w:r w:rsidR="00C22C6F" w:rsidRPr="008B1251">
        <w:rPr>
          <w:rFonts w:eastAsia="MS Mincho" w:cs="Arial"/>
          <w:color w:val="000000" w:themeColor="text1"/>
          <w:lang w:val="de-DE" w:eastAsia="ja-JP"/>
        </w:rPr>
        <w:t>Zusammenarbeit</w:t>
      </w:r>
      <w:r w:rsidRPr="008B1251">
        <w:rPr>
          <w:rFonts w:eastAsia="MS Mincho" w:cs="Arial"/>
          <w:color w:val="000000" w:themeColor="text1"/>
          <w:lang w:val="de-DE" w:eastAsia="ja-JP"/>
        </w:rPr>
        <w:t xml:space="preserve"> be</w:t>
      </w:r>
      <w:r w:rsidR="0083141F" w:rsidRPr="008B1251">
        <w:rPr>
          <w:rFonts w:eastAsia="MS Mincho" w:cs="Arial"/>
          <w:color w:val="000000" w:themeColor="text1"/>
          <w:lang w:val="de-DE" w:eastAsia="ja-JP"/>
        </w:rPr>
        <w:t>i</w:t>
      </w:r>
      <w:r w:rsidRPr="008B1251">
        <w:rPr>
          <w:rFonts w:eastAsia="MS Mincho" w:cs="Arial"/>
          <w:color w:val="000000" w:themeColor="text1"/>
          <w:lang w:val="de-DE" w:eastAsia="ja-JP"/>
        </w:rPr>
        <w:t xml:space="preserve"> der Pr</w:t>
      </w:r>
      <w:r w:rsidR="0083141F" w:rsidRPr="008B1251">
        <w:rPr>
          <w:rFonts w:eastAsia="MS Mincho" w:cs="Arial"/>
          <w:color w:val="000000" w:themeColor="text1"/>
          <w:lang w:val="de-DE" w:eastAsia="ja-JP"/>
        </w:rPr>
        <w:t>ü</w:t>
      </w:r>
      <w:r w:rsidRPr="008B1251">
        <w:rPr>
          <w:rFonts w:eastAsia="MS Mincho" w:cs="Arial"/>
          <w:color w:val="000000" w:themeColor="text1"/>
          <w:lang w:val="de-DE" w:eastAsia="ja-JP"/>
        </w:rPr>
        <w:t>fung</w:t>
      </w:r>
      <w:r w:rsidR="0083141F" w:rsidRPr="008B1251">
        <w:rPr>
          <w:rFonts w:eastAsia="MS Mincho" w:cs="Arial"/>
          <w:color w:val="000000" w:themeColor="text1"/>
          <w:lang w:val="de-DE" w:eastAsia="ja-JP"/>
        </w:rPr>
        <w:t>“</w:t>
      </w:r>
      <w:r w:rsidRPr="008B1251">
        <w:rPr>
          <w:rFonts w:eastAsia="MS Mincho" w:cs="Arial"/>
          <w:color w:val="000000" w:themeColor="text1"/>
          <w:lang w:val="de-DE" w:eastAsia="ja-JP"/>
        </w:rPr>
        <w:t>)</w:t>
      </w:r>
    </w:p>
    <w:p w:rsidR="00304C44" w:rsidRPr="008B1251" w:rsidRDefault="00304C44" w:rsidP="0099403C">
      <w:pPr>
        <w:keepNext/>
        <w:tabs>
          <w:tab w:val="num" w:pos="1440"/>
        </w:tabs>
        <w:autoSpaceDE w:val="0"/>
        <w:autoSpaceDN w:val="0"/>
        <w:adjustRightInd w:val="0"/>
        <w:rPr>
          <w:rFonts w:cs="Arial"/>
          <w:lang w:val="de-DE"/>
        </w:rPr>
      </w:pPr>
    </w:p>
    <w:p w:rsidR="0099403C" w:rsidRPr="008B1251" w:rsidRDefault="000F24A8" w:rsidP="0099403C">
      <w:pPr>
        <w:tabs>
          <w:tab w:val="num" w:pos="567"/>
        </w:tabs>
        <w:autoSpaceDE w:val="0"/>
        <w:autoSpaceDN w:val="0"/>
        <w:adjustRightInd w:val="0"/>
        <w:rPr>
          <w:rFonts w:cs="Arial"/>
          <w:lang w:val="de-DE"/>
        </w:rPr>
      </w:pPr>
      <w:r w:rsidRPr="008B1251">
        <w:rPr>
          <w:rFonts w:eastAsia="MS Mincho" w:cs="Arial"/>
          <w:lang w:val="de-DE" w:eastAsia="ja-JP"/>
        </w:rPr>
        <w:fldChar w:fldCharType="begin"/>
      </w:r>
      <w:r w:rsidRPr="008B1251">
        <w:rPr>
          <w:rFonts w:eastAsia="MS Mincho" w:cs="Arial"/>
          <w:lang w:val="de-DE" w:eastAsia="ja-JP"/>
        </w:rPr>
        <w:instrText xml:space="preserve"> AUTONUM  </w:instrText>
      </w:r>
      <w:r w:rsidRPr="008B1251">
        <w:rPr>
          <w:rFonts w:eastAsia="MS Mincho" w:cs="Arial"/>
          <w:lang w:val="de-DE" w:eastAsia="ja-JP"/>
        </w:rPr>
        <w:fldChar w:fldCharType="end"/>
      </w:r>
      <w:r w:rsidRPr="008B1251">
        <w:rPr>
          <w:rFonts w:eastAsia="MS Mincho" w:cs="Arial"/>
          <w:lang w:val="de-DE" w:eastAsia="ja-JP"/>
        </w:rPr>
        <w:tab/>
      </w:r>
      <w:r w:rsidR="0099403C" w:rsidRPr="008B1251">
        <w:rPr>
          <w:rFonts w:eastAsia="MS Mincho" w:cs="Arial"/>
          <w:lang w:val="de-DE" w:eastAsia="ja-JP"/>
        </w:rPr>
        <w:t xml:space="preserve">Im Jahre 2014 belief sich die Zahl der Pflanzengattungen und </w:t>
      </w:r>
      <w:r w:rsidR="0099403C" w:rsidRPr="008B1251">
        <w:rPr>
          <w:rFonts w:eastAsia="MS Mincho" w:cs="Arial"/>
          <w:lang w:val="de-DE" w:eastAsia="ja-JP"/>
        </w:rPr>
        <w:noBreakHyphen/>
        <w:t>arten, für die Abkommen zwischen Verbandsmitgliedern zur Zusammenarbeit bei der Prüfung auf Unterscheidbarkeit, Homogenität und Beständigkeit bestehen, auf insgesamt 2 005, gegenüber 1 997 im Jahre 2013.</w:t>
      </w:r>
    </w:p>
    <w:bookmarkEnd w:id="70"/>
    <w:bookmarkEnd w:id="71"/>
    <w:p w:rsidR="001D140D" w:rsidRPr="008B1251" w:rsidRDefault="001D140D" w:rsidP="001D140D">
      <w:pPr>
        <w:rPr>
          <w:lang w:val="de-DE"/>
        </w:rPr>
      </w:pPr>
    </w:p>
    <w:p w:rsidR="001D140D" w:rsidRPr="008B1251" w:rsidRDefault="001D140D" w:rsidP="001D140D">
      <w:pPr>
        <w:rPr>
          <w:lang w:val="de-DE"/>
        </w:rPr>
      </w:pPr>
    </w:p>
    <w:p w:rsidR="001D140D" w:rsidRPr="008B1251" w:rsidRDefault="001D140D" w:rsidP="00A21CDF">
      <w:pPr>
        <w:pStyle w:val="Heading1"/>
        <w:rPr>
          <w:color w:val="auto"/>
          <w:lang w:val="de-DE"/>
        </w:rPr>
      </w:pPr>
      <w:bookmarkStart w:id="72" w:name="_Toc381174861"/>
      <w:bookmarkStart w:id="73" w:name="_Toc413078847"/>
      <w:bookmarkStart w:id="74" w:name="_Toc413311298"/>
      <w:bookmarkStart w:id="75" w:name="_Toc413311673"/>
      <w:bookmarkStart w:id="76" w:name="_Toc413335712"/>
      <w:r w:rsidRPr="008B1251">
        <w:rPr>
          <w:color w:val="auto"/>
          <w:lang w:val="de-DE"/>
        </w:rPr>
        <w:t>Finan</w:t>
      </w:r>
      <w:r w:rsidR="0099403C" w:rsidRPr="008B1251">
        <w:rPr>
          <w:color w:val="auto"/>
          <w:lang w:val="de-DE"/>
        </w:rPr>
        <w:t>zlage</w:t>
      </w:r>
      <w:bookmarkEnd w:id="72"/>
      <w:bookmarkEnd w:id="73"/>
      <w:bookmarkEnd w:id="74"/>
      <w:bookmarkEnd w:id="75"/>
      <w:bookmarkEnd w:id="76"/>
    </w:p>
    <w:p w:rsidR="001D140D" w:rsidRPr="008B1251" w:rsidRDefault="001D140D" w:rsidP="001D140D">
      <w:pPr>
        <w:keepNext/>
        <w:rPr>
          <w:lang w:val="de-DE"/>
        </w:rPr>
      </w:pPr>
    </w:p>
    <w:p w:rsidR="0099403C" w:rsidRPr="008B1251" w:rsidRDefault="0099403C" w:rsidP="00355B87">
      <w:pPr>
        <w:pStyle w:val="Heading2"/>
      </w:pPr>
      <w:bookmarkStart w:id="77" w:name="_Toc413311674"/>
      <w:bookmarkStart w:id="78" w:name="_Toc413335713"/>
      <w:bookmarkStart w:id="79" w:name="_Toc413078848"/>
      <w:r w:rsidRPr="008B1251">
        <w:t>Sonderprojektfonds</w:t>
      </w:r>
      <w:bookmarkEnd w:id="77"/>
      <w:bookmarkEnd w:id="78"/>
    </w:p>
    <w:p w:rsidR="0099403C" w:rsidRPr="008B1251" w:rsidRDefault="0099403C" w:rsidP="0099403C">
      <w:pPr>
        <w:rPr>
          <w:rFonts w:cs="Arial"/>
          <w:u w:val="single"/>
          <w:lang w:val="de-DE"/>
        </w:rPr>
      </w:pPr>
    </w:p>
    <w:p w:rsidR="0099403C" w:rsidRPr="008B1251" w:rsidRDefault="000F24A8" w:rsidP="0099403C">
      <w:pPr>
        <w:rPr>
          <w:rFonts w:cs="Arial"/>
          <w:lang w:val="de-DE"/>
        </w:rPr>
      </w:pPr>
      <w:r w:rsidRPr="008B1251">
        <w:rPr>
          <w:rFonts w:eastAsia="MS Mincho" w:cs="Arial"/>
          <w:lang w:val="de-DE" w:eastAsia="ja-JP"/>
        </w:rPr>
        <w:fldChar w:fldCharType="begin"/>
      </w:r>
      <w:r w:rsidRPr="008B1251">
        <w:rPr>
          <w:rFonts w:eastAsia="MS Mincho" w:cs="Arial"/>
          <w:lang w:val="de-DE" w:eastAsia="ja-JP"/>
        </w:rPr>
        <w:instrText xml:space="preserve"> AUTONUM  </w:instrText>
      </w:r>
      <w:r w:rsidRPr="008B1251">
        <w:rPr>
          <w:rFonts w:eastAsia="MS Mincho" w:cs="Arial"/>
          <w:lang w:val="de-DE" w:eastAsia="ja-JP"/>
        </w:rPr>
        <w:fldChar w:fldCharType="end"/>
      </w:r>
      <w:r w:rsidRPr="008B1251">
        <w:rPr>
          <w:rFonts w:eastAsia="MS Mincho" w:cs="Arial"/>
          <w:lang w:val="de-DE" w:eastAsia="ja-JP"/>
        </w:rPr>
        <w:tab/>
      </w:r>
      <w:r w:rsidR="0099403C" w:rsidRPr="008B1251">
        <w:rPr>
          <w:rFonts w:cs="Arial"/>
          <w:lang w:val="de-DE"/>
        </w:rPr>
        <w:t>Der Rat entschied auf seiner einunddreißigsten außerordentlichen Tagung</w:t>
      </w:r>
      <w:r w:rsidR="0099403C" w:rsidRPr="008B1251">
        <w:rPr>
          <w:szCs w:val="24"/>
          <w:lang w:val="de-DE"/>
        </w:rPr>
        <w:t>, einen Sonderprojektfonds zu errichten und den 15 % der Gesamteinnahmen der Rechnungsperiode 2012-2013 übersteigenden Betrag des Reservefonds in diesen Fonds einzuzahlen. Der Rat entschied auf seiner achtundvierzigsten ordentlichen Tagung, den Sonderprojektfonds für Ausbildungszecke zu verwenden.</w:t>
      </w:r>
    </w:p>
    <w:bookmarkEnd w:id="79"/>
    <w:p w:rsidR="00B45708" w:rsidRPr="008B1251" w:rsidRDefault="00B45708" w:rsidP="001D140D">
      <w:pPr>
        <w:rPr>
          <w:lang w:val="de-DE"/>
        </w:rPr>
      </w:pPr>
    </w:p>
    <w:p w:rsidR="001D140D" w:rsidRPr="008B1251" w:rsidRDefault="001D140D" w:rsidP="001D140D">
      <w:pPr>
        <w:rPr>
          <w:spacing w:val="-2"/>
          <w:lang w:val="de-DE"/>
        </w:rPr>
      </w:pPr>
    </w:p>
    <w:p w:rsidR="001D140D" w:rsidRPr="008B1251" w:rsidRDefault="00DE3CB1" w:rsidP="00A21CDF">
      <w:pPr>
        <w:pStyle w:val="Heading1"/>
        <w:rPr>
          <w:color w:val="auto"/>
          <w:lang w:val="de-DE"/>
        </w:rPr>
      </w:pPr>
      <w:bookmarkStart w:id="80" w:name="_Toc381174864"/>
      <w:bookmarkStart w:id="81" w:name="_Toc413078849"/>
      <w:bookmarkStart w:id="82" w:name="_Toc413311299"/>
      <w:bookmarkStart w:id="83" w:name="_Toc413311675"/>
      <w:bookmarkStart w:id="84" w:name="_Toc413335714"/>
      <w:r w:rsidRPr="008B1251">
        <w:rPr>
          <w:color w:val="auto"/>
          <w:lang w:val="de-DE"/>
        </w:rPr>
        <w:lastRenderedPageBreak/>
        <w:t>VORSITZ VON UPOV-ORGANEN</w:t>
      </w:r>
      <w:bookmarkEnd w:id="80"/>
      <w:bookmarkEnd w:id="81"/>
      <w:bookmarkEnd w:id="82"/>
      <w:bookmarkEnd w:id="83"/>
      <w:bookmarkEnd w:id="84"/>
    </w:p>
    <w:p w:rsidR="001D140D" w:rsidRPr="008B1251" w:rsidRDefault="001D140D" w:rsidP="001D140D">
      <w:pPr>
        <w:keepNext/>
        <w:rPr>
          <w:rFonts w:cs="Arial"/>
          <w:lang w:val="de-DE"/>
        </w:rPr>
      </w:pPr>
    </w:p>
    <w:p w:rsidR="00DE3CB1" w:rsidRPr="008B1251" w:rsidRDefault="00E07E8D" w:rsidP="00DE3CB1">
      <w:pPr>
        <w:keepNext/>
        <w:rPr>
          <w:szCs w:val="24"/>
          <w:lang w:val="de-DE"/>
        </w:rPr>
      </w:pPr>
      <w:r w:rsidRPr="008B1251">
        <w:rPr>
          <w:szCs w:val="24"/>
          <w:lang w:val="de-DE"/>
        </w:rPr>
        <w:fldChar w:fldCharType="begin"/>
      </w:r>
      <w:r w:rsidRPr="008B1251">
        <w:rPr>
          <w:szCs w:val="24"/>
          <w:lang w:val="de-DE"/>
        </w:rPr>
        <w:instrText xml:space="preserve"> AUTONUM  </w:instrText>
      </w:r>
      <w:r w:rsidRPr="008B1251">
        <w:rPr>
          <w:szCs w:val="24"/>
          <w:lang w:val="de-DE"/>
        </w:rPr>
        <w:fldChar w:fldCharType="end"/>
      </w:r>
      <w:r w:rsidRPr="008B1251">
        <w:rPr>
          <w:szCs w:val="24"/>
          <w:lang w:val="de-DE"/>
        </w:rPr>
        <w:tab/>
      </w:r>
      <w:r w:rsidR="00DE3CB1" w:rsidRPr="008B1251">
        <w:rPr>
          <w:lang w:val="de-DE"/>
        </w:rPr>
        <w:t xml:space="preserve">Der Rat wählte auf seiner </w:t>
      </w:r>
      <w:r w:rsidR="00451BF6" w:rsidRPr="008B1251">
        <w:rPr>
          <w:lang w:val="de-DE"/>
        </w:rPr>
        <w:t>achtundvierzigsten</w:t>
      </w:r>
      <w:r w:rsidR="00DE3CB1" w:rsidRPr="008B1251">
        <w:rPr>
          <w:lang w:val="de-DE"/>
        </w:rPr>
        <w:t xml:space="preserve"> ordentlichen Tagung, jeweils für eine Amtszeit von drei Jahren, die mit der einundfünfzigsten ordentlichen Tagung des Rates im Jahre 2017 endet:</w:t>
      </w:r>
    </w:p>
    <w:p w:rsidR="00DE3CB1" w:rsidRPr="008B1251" w:rsidRDefault="00DE3CB1" w:rsidP="00DE3CB1">
      <w:pPr>
        <w:keepNext/>
        <w:rPr>
          <w:szCs w:val="24"/>
          <w:lang w:val="de-DE"/>
        </w:rPr>
      </w:pPr>
    </w:p>
    <w:p w:rsidR="00DE3CB1" w:rsidRPr="008B1251" w:rsidRDefault="00DE3CB1" w:rsidP="00DE3CB1">
      <w:pPr>
        <w:ind w:left="1134" w:hanging="567"/>
        <w:rPr>
          <w:szCs w:val="24"/>
          <w:lang w:val="de-DE"/>
        </w:rPr>
      </w:pPr>
      <w:r w:rsidRPr="008B1251">
        <w:rPr>
          <w:szCs w:val="24"/>
          <w:lang w:val="de-DE"/>
        </w:rPr>
        <w:t>a)</w:t>
      </w:r>
      <w:r w:rsidRPr="008B1251">
        <w:rPr>
          <w:szCs w:val="24"/>
          <w:lang w:val="de-DE"/>
        </w:rPr>
        <w:tab/>
      </w:r>
      <w:r w:rsidRPr="008B1251">
        <w:rPr>
          <w:snapToGrid w:val="0"/>
          <w:lang w:val="de-DE"/>
        </w:rPr>
        <w:t>Herrn Tanvir Hossain (Australien)</w:t>
      </w:r>
      <w:r w:rsidRPr="008B1251">
        <w:rPr>
          <w:szCs w:val="24"/>
          <w:lang w:val="de-DE"/>
        </w:rPr>
        <w:t>, Vorsitzender, Technische Arbeitsgruppe für landwirtschaftliche Arten (TWA);</w:t>
      </w:r>
    </w:p>
    <w:p w:rsidR="00DE3CB1" w:rsidRPr="008B1251" w:rsidRDefault="00DE3CB1" w:rsidP="00DE3CB1">
      <w:pPr>
        <w:ind w:left="1134" w:hanging="567"/>
        <w:rPr>
          <w:szCs w:val="24"/>
          <w:lang w:val="de-DE"/>
        </w:rPr>
      </w:pPr>
    </w:p>
    <w:p w:rsidR="00DE3CB1" w:rsidRPr="008B1251" w:rsidRDefault="00DE3CB1" w:rsidP="00DE3CB1">
      <w:pPr>
        <w:ind w:left="1134" w:hanging="567"/>
        <w:rPr>
          <w:szCs w:val="24"/>
          <w:lang w:val="de-DE"/>
        </w:rPr>
      </w:pPr>
      <w:r w:rsidRPr="008B1251">
        <w:rPr>
          <w:szCs w:val="24"/>
          <w:lang w:val="de-DE"/>
        </w:rPr>
        <w:t>b)</w:t>
      </w:r>
      <w:r w:rsidRPr="008B1251">
        <w:rPr>
          <w:szCs w:val="24"/>
          <w:lang w:val="de-DE"/>
        </w:rPr>
        <w:tab/>
      </w:r>
      <w:r w:rsidRPr="008B1251">
        <w:rPr>
          <w:snapToGrid w:val="0"/>
          <w:lang w:val="de-DE"/>
        </w:rPr>
        <w:t>Herrn Adrian Roberts (Vereinigtes Königreich)</w:t>
      </w:r>
      <w:r w:rsidRPr="008B1251">
        <w:rPr>
          <w:szCs w:val="24"/>
          <w:lang w:val="de-DE"/>
        </w:rPr>
        <w:t>, Vorsitzender, Technische Arbeitsgruppe für Automatisierung und Computerprogramme (TWC);</w:t>
      </w:r>
    </w:p>
    <w:p w:rsidR="00DE3CB1" w:rsidRPr="008B1251" w:rsidRDefault="00DE3CB1" w:rsidP="00DE3CB1">
      <w:pPr>
        <w:ind w:left="1134" w:hanging="567"/>
        <w:rPr>
          <w:szCs w:val="24"/>
          <w:lang w:val="de-DE"/>
        </w:rPr>
      </w:pPr>
    </w:p>
    <w:p w:rsidR="00DE3CB1" w:rsidRPr="008B1251" w:rsidRDefault="00DE3CB1" w:rsidP="00DE3CB1">
      <w:pPr>
        <w:ind w:left="1134" w:hanging="567"/>
        <w:rPr>
          <w:szCs w:val="24"/>
          <w:lang w:val="de-DE"/>
        </w:rPr>
      </w:pPr>
      <w:r w:rsidRPr="008B1251">
        <w:rPr>
          <w:szCs w:val="24"/>
          <w:lang w:val="de-DE"/>
        </w:rPr>
        <w:t>c)</w:t>
      </w:r>
      <w:r w:rsidRPr="008B1251">
        <w:rPr>
          <w:szCs w:val="24"/>
          <w:lang w:val="de-DE"/>
        </w:rPr>
        <w:tab/>
      </w:r>
      <w:r w:rsidRPr="008B1251">
        <w:rPr>
          <w:snapToGrid w:val="0"/>
          <w:lang w:val="de-DE"/>
        </w:rPr>
        <w:t>Herrn Katsumi Yamaguchi (Japan)</w:t>
      </w:r>
      <w:r w:rsidRPr="008B1251">
        <w:rPr>
          <w:szCs w:val="24"/>
          <w:lang w:val="de-DE"/>
        </w:rPr>
        <w:t>, Vorsitzender, Technische Arbeitsgruppe für Obstarten (TWF);</w:t>
      </w:r>
    </w:p>
    <w:p w:rsidR="00DE3CB1" w:rsidRPr="008B1251" w:rsidRDefault="00DE3CB1" w:rsidP="00DE3CB1">
      <w:pPr>
        <w:ind w:left="1134" w:hanging="567"/>
        <w:rPr>
          <w:szCs w:val="24"/>
          <w:lang w:val="de-DE"/>
        </w:rPr>
      </w:pPr>
    </w:p>
    <w:p w:rsidR="00DE3CB1" w:rsidRPr="008B1251" w:rsidRDefault="00DE3CB1" w:rsidP="00DE3CB1">
      <w:pPr>
        <w:ind w:left="1134" w:hanging="567"/>
        <w:rPr>
          <w:szCs w:val="24"/>
          <w:lang w:val="de-DE"/>
        </w:rPr>
      </w:pPr>
      <w:r w:rsidRPr="008B1251">
        <w:rPr>
          <w:szCs w:val="24"/>
          <w:lang w:val="de-DE"/>
        </w:rPr>
        <w:t>d)</w:t>
      </w:r>
      <w:r w:rsidRPr="008B1251">
        <w:rPr>
          <w:szCs w:val="24"/>
          <w:lang w:val="de-DE"/>
        </w:rPr>
        <w:tab/>
      </w:r>
      <w:r w:rsidRPr="008B1251">
        <w:rPr>
          <w:snapToGrid w:val="0"/>
          <w:lang w:val="de-DE"/>
        </w:rPr>
        <w:t>Herrn Kenji Numaguchi (Japan)</w:t>
      </w:r>
      <w:r w:rsidRPr="008B1251">
        <w:rPr>
          <w:szCs w:val="24"/>
          <w:lang w:val="de-DE"/>
        </w:rPr>
        <w:t>, Vorsitzender, Technische Arbeitsgruppe für Zierpflanzen und forstliche Baumarten (TWO);</w:t>
      </w:r>
    </w:p>
    <w:p w:rsidR="00DE3CB1" w:rsidRPr="008B1251" w:rsidRDefault="00DE3CB1" w:rsidP="00DE3CB1">
      <w:pPr>
        <w:ind w:left="1134" w:hanging="567"/>
        <w:rPr>
          <w:szCs w:val="24"/>
          <w:lang w:val="de-DE"/>
        </w:rPr>
      </w:pPr>
    </w:p>
    <w:p w:rsidR="00DE3CB1" w:rsidRPr="008B1251" w:rsidRDefault="00DE3CB1" w:rsidP="00DE3CB1">
      <w:pPr>
        <w:ind w:left="1134" w:hanging="567"/>
        <w:rPr>
          <w:szCs w:val="24"/>
          <w:lang w:val="de-DE"/>
        </w:rPr>
      </w:pPr>
      <w:r w:rsidRPr="008B1251">
        <w:rPr>
          <w:szCs w:val="24"/>
          <w:lang w:val="de-DE"/>
        </w:rPr>
        <w:t>e)</w:t>
      </w:r>
      <w:r w:rsidRPr="008B1251">
        <w:rPr>
          <w:szCs w:val="24"/>
          <w:lang w:val="de-DE"/>
        </w:rPr>
        <w:tab/>
        <w:t>Frau</w:t>
      </w:r>
      <w:r w:rsidRPr="008B1251">
        <w:rPr>
          <w:snapToGrid w:val="0"/>
          <w:lang w:val="de-DE"/>
        </w:rPr>
        <w:t xml:space="preserve"> Swenja Tams (Deutschland)</w:t>
      </w:r>
      <w:r w:rsidRPr="008B1251">
        <w:rPr>
          <w:szCs w:val="24"/>
          <w:lang w:val="de-DE"/>
        </w:rPr>
        <w:t>, Vorsitzende, Technische Arbeitsgruppe für Gemüsearten (TWV), und</w:t>
      </w:r>
    </w:p>
    <w:p w:rsidR="00DE3CB1" w:rsidRPr="008B1251" w:rsidRDefault="00DE3CB1" w:rsidP="00DE3CB1">
      <w:pPr>
        <w:ind w:left="1134" w:hanging="567"/>
        <w:rPr>
          <w:lang w:val="de-DE"/>
        </w:rPr>
      </w:pPr>
    </w:p>
    <w:p w:rsidR="00DE3CB1" w:rsidRPr="008B1251" w:rsidRDefault="00DE3CB1" w:rsidP="00DE3CB1">
      <w:pPr>
        <w:ind w:left="1134" w:hanging="567"/>
        <w:rPr>
          <w:lang w:val="de-DE"/>
        </w:rPr>
      </w:pPr>
      <w:r w:rsidRPr="008B1251">
        <w:rPr>
          <w:lang w:val="de-DE"/>
        </w:rPr>
        <w:t>f)</w:t>
      </w:r>
      <w:r w:rsidRPr="008B1251">
        <w:rPr>
          <w:lang w:val="de-DE"/>
        </w:rPr>
        <w:tab/>
      </w:r>
      <w:r w:rsidRPr="008B1251">
        <w:rPr>
          <w:rFonts w:cs="Arial"/>
          <w:lang w:val="de-DE"/>
        </w:rPr>
        <w:t xml:space="preserve">Herrn Kees van Ettekoven (Niederlande), Vorsitzender, Arbeitsgruppe für biochemische und molekulare Verfahren und insbesondere für DNS-Profilierungsverfahren </w:t>
      </w:r>
      <w:r w:rsidRPr="008B1251">
        <w:rPr>
          <w:lang w:val="de-DE"/>
        </w:rPr>
        <w:t>(BMT).</w:t>
      </w:r>
    </w:p>
    <w:p w:rsidR="001D140D" w:rsidRPr="008B1251" w:rsidRDefault="001D140D" w:rsidP="001D140D">
      <w:pPr>
        <w:rPr>
          <w:lang w:val="de-DE"/>
        </w:rPr>
      </w:pPr>
    </w:p>
    <w:p w:rsidR="001D140D" w:rsidRPr="008B1251" w:rsidRDefault="001D140D" w:rsidP="001D140D">
      <w:pPr>
        <w:rPr>
          <w:lang w:val="de-DE"/>
        </w:rPr>
      </w:pPr>
    </w:p>
    <w:p w:rsidR="001D140D" w:rsidRPr="008B1251" w:rsidRDefault="001D140D" w:rsidP="00A21CDF">
      <w:pPr>
        <w:pStyle w:val="Heading1"/>
        <w:rPr>
          <w:color w:val="auto"/>
          <w:lang w:val="de-DE"/>
        </w:rPr>
      </w:pPr>
      <w:bookmarkStart w:id="85" w:name="_Toc381174865"/>
      <w:bookmarkStart w:id="86" w:name="_Toc413078850"/>
      <w:bookmarkStart w:id="87" w:name="_Toc413311300"/>
      <w:bookmarkStart w:id="88" w:name="_Toc413311676"/>
      <w:bookmarkStart w:id="89" w:name="_Toc413335715"/>
      <w:r w:rsidRPr="008B1251">
        <w:rPr>
          <w:color w:val="auto"/>
          <w:lang w:val="de-DE"/>
        </w:rPr>
        <w:t>UPOV</w:t>
      </w:r>
      <w:r w:rsidR="00DE3CB1" w:rsidRPr="008B1251">
        <w:rPr>
          <w:color w:val="auto"/>
          <w:lang w:val="de-DE"/>
        </w:rPr>
        <w:t>-SAMMLUNG</w:t>
      </w:r>
      <w:bookmarkEnd w:id="85"/>
      <w:bookmarkEnd w:id="86"/>
      <w:bookmarkEnd w:id="87"/>
      <w:bookmarkEnd w:id="88"/>
      <w:bookmarkEnd w:id="89"/>
    </w:p>
    <w:p w:rsidR="001D140D" w:rsidRPr="008B1251" w:rsidRDefault="00A21CDF" w:rsidP="00A21CDF">
      <w:pPr>
        <w:rPr>
          <w:lang w:val="de-DE"/>
        </w:rPr>
      </w:pPr>
      <w:r w:rsidRPr="008B1251">
        <w:rPr>
          <w:rFonts w:cs="Arial"/>
          <w:lang w:val="de-DE"/>
        </w:rPr>
        <w:t>(</w:t>
      </w:r>
      <w:r w:rsidR="00451BF6" w:rsidRPr="008B1251">
        <w:rPr>
          <w:rFonts w:cs="Arial"/>
          <w:lang w:val="de-DE"/>
        </w:rPr>
        <w:t>siehe</w:t>
      </w:r>
      <w:r w:rsidRPr="008B1251">
        <w:rPr>
          <w:rFonts w:cs="Arial"/>
          <w:lang w:val="de-DE"/>
        </w:rPr>
        <w:t xml:space="preserve"> </w:t>
      </w:r>
      <w:hyperlink r:id="rId11" w:history="1">
        <w:r w:rsidR="0045684D" w:rsidRPr="00CA24E1">
          <w:rPr>
            <w:rStyle w:val="Hyperlink"/>
            <w:rFonts w:cs="Arial"/>
            <w:lang w:val="de-DE"/>
          </w:rPr>
          <w:t>http://www.upov.int/upov_collection/de/</w:t>
        </w:r>
      </w:hyperlink>
      <w:r w:rsidRPr="008B1251">
        <w:rPr>
          <w:rFonts w:cs="Arial"/>
          <w:lang w:val="de-DE"/>
        </w:rPr>
        <w:t>)</w:t>
      </w:r>
    </w:p>
    <w:p w:rsidR="00A21CDF" w:rsidRPr="008B1251" w:rsidRDefault="00A21CDF" w:rsidP="001D140D">
      <w:pPr>
        <w:rPr>
          <w:lang w:val="de-DE"/>
        </w:rPr>
      </w:pPr>
    </w:p>
    <w:p w:rsidR="00DE3CB1" w:rsidRPr="008B1251" w:rsidRDefault="00A21CDF" w:rsidP="00DE3CB1">
      <w:pPr>
        <w:rPr>
          <w:lang w:val="de-DE"/>
        </w:rPr>
      </w:pPr>
      <w:r w:rsidRPr="008B1251">
        <w:rPr>
          <w:rFonts w:cs="Arial"/>
          <w:lang w:val="de-DE"/>
        </w:rPr>
        <w:fldChar w:fldCharType="begin"/>
      </w:r>
      <w:r w:rsidRPr="008B1251">
        <w:rPr>
          <w:rFonts w:cs="Arial"/>
          <w:lang w:val="de-DE"/>
        </w:rPr>
        <w:instrText xml:space="preserve"> AUTONUM  </w:instrText>
      </w:r>
      <w:r w:rsidRPr="008B1251">
        <w:rPr>
          <w:rFonts w:cs="Arial"/>
          <w:lang w:val="de-DE"/>
        </w:rPr>
        <w:fldChar w:fldCharType="end"/>
      </w:r>
      <w:r w:rsidRPr="008B1251">
        <w:rPr>
          <w:rFonts w:cs="Arial"/>
          <w:lang w:val="de-DE"/>
        </w:rPr>
        <w:tab/>
      </w:r>
      <w:r w:rsidR="00DE3CB1" w:rsidRPr="008B1251">
        <w:rPr>
          <w:rFonts w:cs="Arial"/>
          <w:lang w:val="de-DE"/>
        </w:rPr>
        <w:t>Der Rat nahm auf seiner achtundvierzigsten ordentlichen Tagung folgende Dokumente an</w:t>
      </w:r>
      <w:r w:rsidR="00DE3CB1" w:rsidRPr="008B1251">
        <w:rPr>
          <w:lang w:val="de-DE"/>
        </w:rPr>
        <w:t>:</w:t>
      </w:r>
    </w:p>
    <w:p w:rsidR="00DE3CB1" w:rsidRPr="008B1251" w:rsidRDefault="00DE3CB1" w:rsidP="00DE3CB1">
      <w:pPr>
        <w:jc w:val="left"/>
        <w:rPr>
          <w:lang w:val="de-DE"/>
        </w:rPr>
      </w:pP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TGP/2/2</w:t>
      </w:r>
      <w:r w:rsidRPr="008B1251">
        <w:rPr>
          <w:rFonts w:cs="Arial"/>
          <w:lang w:val="de-DE"/>
        </w:rPr>
        <w:tab/>
      </w:r>
      <w:r w:rsidRPr="008B1251">
        <w:rPr>
          <w:lang w:val="de-DE"/>
        </w:rPr>
        <w:t>Liste der von der UPOV angenommenen Prüfungsrichtlinien (Überarbeitung)</w:t>
      </w: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TGP/5</w:t>
      </w:r>
      <w:r w:rsidRPr="008B1251">
        <w:rPr>
          <w:rFonts w:cs="Arial"/>
          <w:lang w:val="de-DE"/>
        </w:rPr>
        <w:tab/>
      </w:r>
      <w:r w:rsidRPr="008B1251">
        <w:rPr>
          <w:lang w:val="de-DE"/>
        </w:rPr>
        <w:t>Erfahrung und Zusammenarbeit bei der DUS-Prüfung</w:t>
      </w:r>
      <w:r w:rsidRPr="008B1251">
        <w:rPr>
          <w:rFonts w:cs="Arial"/>
          <w:lang w:val="de-DE"/>
        </w:rPr>
        <w:t xml:space="preserve">: Abschnitt 10/3: </w:t>
      </w:r>
      <w:r w:rsidRPr="008B1251">
        <w:rPr>
          <w:lang w:val="de-DE"/>
        </w:rPr>
        <w:t xml:space="preserve">Mitteilung zusätzlicher Merkmale und Ausprägungsstufen </w:t>
      </w:r>
      <w:r w:rsidRPr="008B1251">
        <w:rPr>
          <w:rFonts w:cs="Arial"/>
          <w:lang w:val="de-DE"/>
        </w:rPr>
        <w:t>(Überarbeitung)</w:t>
      </w: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TGP/7/4</w:t>
      </w:r>
      <w:r w:rsidRPr="008B1251">
        <w:rPr>
          <w:rFonts w:cs="Arial"/>
          <w:lang w:val="de-DE"/>
        </w:rPr>
        <w:tab/>
      </w:r>
      <w:r w:rsidRPr="008B1251">
        <w:rPr>
          <w:lang w:val="de-DE"/>
        </w:rPr>
        <w:t>Erstellung von Prüfungsrichtlinien (Überarbeitung)</w:t>
      </w: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TGP/8/2</w:t>
      </w:r>
      <w:r w:rsidRPr="008B1251">
        <w:rPr>
          <w:rFonts w:cs="Arial"/>
          <w:lang w:val="de-DE"/>
        </w:rPr>
        <w:tab/>
      </w:r>
      <w:r w:rsidRPr="008B1251">
        <w:rPr>
          <w:lang w:val="de-DE"/>
        </w:rPr>
        <w:t xml:space="preserve">Prüfungsanlage und Verfahren für die Prüfung der Unterscheidbarkeit, der Homogenität und der Beständigkeit </w:t>
      </w:r>
      <w:r w:rsidRPr="008B1251">
        <w:rPr>
          <w:snapToGrid w:val="0"/>
          <w:lang w:val="de-DE"/>
        </w:rPr>
        <w:t>(Überarbeitung)</w:t>
      </w: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TGP/14/2</w:t>
      </w:r>
      <w:r w:rsidRPr="008B1251">
        <w:rPr>
          <w:rFonts w:cs="Arial"/>
          <w:lang w:val="de-DE"/>
        </w:rPr>
        <w:tab/>
      </w:r>
      <w:r w:rsidRPr="008B1251">
        <w:rPr>
          <w:lang w:val="de-DE"/>
        </w:rPr>
        <w:t xml:space="preserve">Glossar der in den UPOV-Dokumenten verwendeten Begriffe </w:t>
      </w:r>
      <w:r w:rsidRPr="008B1251">
        <w:rPr>
          <w:snapToGrid w:val="0"/>
          <w:lang w:val="de-DE"/>
        </w:rPr>
        <w:t>(Berichtigung der spanischen Fassung)</w:t>
      </w: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TGP/0/7</w:t>
      </w:r>
      <w:r w:rsidRPr="008B1251">
        <w:rPr>
          <w:rFonts w:cs="Arial"/>
          <w:lang w:val="de-DE"/>
        </w:rPr>
        <w:tab/>
      </w:r>
      <w:r w:rsidRPr="008B1251">
        <w:rPr>
          <w:lang w:val="de-DE"/>
        </w:rPr>
        <w:t xml:space="preserve">Liste der TGP-Dokumente und Datum der jüngsten Ausgabe </w:t>
      </w:r>
      <w:r w:rsidRPr="008B1251">
        <w:rPr>
          <w:snapToGrid w:val="0"/>
          <w:lang w:val="de-DE"/>
        </w:rPr>
        <w:t>(Überarbeitung)</w:t>
      </w:r>
    </w:p>
    <w:p w:rsidR="00DE3CB1" w:rsidRPr="008B1251" w:rsidRDefault="00DE3CB1" w:rsidP="00DE3CB1">
      <w:pPr>
        <w:pStyle w:val="ListParagraph"/>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UPOV/INF/16/4</w:t>
      </w:r>
      <w:r w:rsidRPr="008B1251">
        <w:rPr>
          <w:rFonts w:cs="Arial"/>
          <w:lang w:val="de-DE"/>
        </w:rPr>
        <w:tab/>
      </w:r>
      <w:r w:rsidRPr="008B1251">
        <w:rPr>
          <w:lang w:val="de-DE"/>
        </w:rPr>
        <w:t>Austauschbare Software</w:t>
      </w:r>
      <w:r w:rsidRPr="008B1251">
        <w:rPr>
          <w:snapToGrid w:val="0"/>
          <w:lang w:val="de-DE"/>
        </w:rPr>
        <w:t xml:space="preserve"> (Überarbeitung)</w:t>
      </w:r>
    </w:p>
    <w:p w:rsidR="00DE3CB1" w:rsidRPr="008B1251" w:rsidRDefault="00DE3CB1" w:rsidP="00DE3CB1">
      <w:pPr>
        <w:pStyle w:val="ListParagraph"/>
        <w:keepNext/>
        <w:numPr>
          <w:ilvl w:val="0"/>
          <w:numId w:val="11"/>
        </w:numPr>
        <w:tabs>
          <w:tab w:val="left" w:pos="709"/>
        </w:tabs>
        <w:autoSpaceDE w:val="0"/>
        <w:autoSpaceDN w:val="0"/>
        <w:adjustRightInd w:val="0"/>
        <w:spacing w:after="60"/>
        <w:ind w:left="2552" w:hanging="2268"/>
        <w:contextualSpacing w:val="0"/>
        <w:jc w:val="left"/>
        <w:rPr>
          <w:rFonts w:cs="Arial"/>
          <w:lang w:val="de-DE"/>
        </w:rPr>
      </w:pPr>
      <w:r w:rsidRPr="008B1251">
        <w:rPr>
          <w:rFonts w:cs="Arial"/>
          <w:lang w:val="de-DE"/>
        </w:rPr>
        <w:t>UPOV/INF/22/1</w:t>
      </w:r>
      <w:r w:rsidRPr="008B1251">
        <w:rPr>
          <w:rFonts w:cs="Arial"/>
          <w:lang w:val="de-DE"/>
        </w:rPr>
        <w:tab/>
      </w:r>
      <w:r w:rsidRPr="008B1251">
        <w:rPr>
          <w:lang w:val="de-DE"/>
        </w:rPr>
        <w:t>Von Verbandsmitgliedern verwendete Software und Ausrüstung</w:t>
      </w:r>
    </w:p>
    <w:p w:rsidR="00DE3CB1" w:rsidRPr="008B1251" w:rsidRDefault="00DE3CB1" w:rsidP="00DE3CB1">
      <w:pPr>
        <w:pStyle w:val="ListParagraph"/>
        <w:numPr>
          <w:ilvl w:val="0"/>
          <w:numId w:val="11"/>
        </w:numPr>
        <w:tabs>
          <w:tab w:val="left" w:pos="709"/>
        </w:tabs>
        <w:autoSpaceDE w:val="0"/>
        <w:autoSpaceDN w:val="0"/>
        <w:adjustRightInd w:val="0"/>
        <w:ind w:left="2552" w:hanging="2268"/>
        <w:jc w:val="left"/>
        <w:rPr>
          <w:rFonts w:cs="Arial"/>
          <w:lang w:val="de-DE"/>
        </w:rPr>
      </w:pPr>
      <w:r w:rsidRPr="008B1251">
        <w:rPr>
          <w:rFonts w:cs="Arial"/>
          <w:lang w:val="de-DE"/>
        </w:rPr>
        <w:t>UPOV/INF-EXN/6</w:t>
      </w:r>
      <w:r w:rsidRPr="008B1251">
        <w:rPr>
          <w:rFonts w:cs="Arial"/>
          <w:lang w:val="de-DE"/>
        </w:rPr>
        <w:tab/>
      </w:r>
      <w:r w:rsidRPr="008B1251">
        <w:rPr>
          <w:lang w:val="de-DE"/>
        </w:rPr>
        <w:t>Liste der UPOV/INF-EXN-Dokumente und Datum der jüngsten Ausgabe</w:t>
      </w:r>
    </w:p>
    <w:p w:rsidR="00DE3CB1" w:rsidRPr="008B1251" w:rsidRDefault="00DE3CB1" w:rsidP="00DE3CB1">
      <w:pPr>
        <w:autoSpaceDE w:val="0"/>
        <w:autoSpaceDN w:val="0"/>
        <w:adjustRightInd w:val="0"/>
        <w:jc w:val="left"/>
        <w:rPr>
          <w:rFonts w:cs="Arial"/>
          <w:lang w:val="de-DE"/>
        </w:rPr>
      </w:pPr>
    </w:p>
    <w:p w:rsidR="00A21CDF" w:rsidRPr="008B1251" w:rsidRDefault="000F24A8" w:rsidP="00DE3CB1">
      <w:pPr>
        <w:rPr>
          <w:rFonts w:cs="Arial"/>
          <w:lang w:val="de-DE"/>
        </w:rPr>
      </w:pPr>
      <w:r w:rsidRPr="008B1251">
        <w:rPr>
          <w:rFonts w:eastAsia="MS Mincho" w:cs="Arial"/>
          <w:lang w:val="de-DE" w:eastAsia="ja-JP"/>
        </w:rPr>
        <w:fldChar w:fldCharType="begin"/>
      </w:r>
      <w:r w:rsidRPr="008B1251">
        <w:rPr>
          <w:rFonts w:eastAsia="MS Mincho" w:cs="Arial"/>
          <w:lang w:val="de-DE" w:eastAsia="ja-JP"/>
        </w:rPr>
        <w:instrText xml:space="preserve"> AUTONUM  </w:instrText>
      </w:r>
      <w:r w:rsidRPr="008B1251">
        <w:rPr>
          <w:rFonts w:eastAsia="MS Mincho" w:cs="Arial"/>
          <w:lang w:val="de-DE" w:eastAsia="ja-JP"/>
        </w:rPr>
        <w:fldChar w:fldCharType="end"/>
      </w:r>
      <w:r w:rsidRPr="008B1251">
        <w:rPr>
          <w:rFonts w:eastAsia="MS Mincho" w:cs="Arial"/>
          <w:lang w:val="de-DE" w:eastAsia="ja-JP"/>
        </w:rPr>
        <w:tab/>
      </w:r>
      <w:r w:rsidR="00DE3CB1" w:rsidRPr="008B1251">
        <w:rPr>
          <w:rFonts w:cs="Arial"/>
          <w:lang w:val="de-DE"/>
        </w:rPr>
        <w:t>Alle angenommenen Dokumente wurden in die UPOV-Sammlung aufgenommen.</w:t>
      </w:r>
    </w:p>
    <w:p w:rsidR="00DE3CB1" w:rsidRPr="008B1251" w:rsidRDefault="00DE3CB1" w:rsidP="00DE3CB1">
      <w:pPr>
        <w:rPr>
          <w:rFonts w:cs="Arial"/>
          <w:lang w:val="de-DE"/>
        </w:rPr>
      </w:pPr>
    </w:p>
    <w:p w:rsidR="00A21CDF" w:rsidRPr="008B1251" w:rsidRDefault="00A21CDF" w:rsidP="002E1C71">
      <w:pPr>
        <w:pStyle w:val="Heading2"/>
      </w:pPr>
      <w:bookmarkStart w:id="90" w:name="_Toc381174870"/>
    </w:p>
    <w:p w:rsidR="001D140D" w:rsidRPr="008B1251" w:rsidRDefault="001D140D" w:rsidP="002E1C71">
      <w:pPr>
        <w:pStyle w:val="Heading2"/>
      </w:pPr>
      <w:bookmarkStart w:id="91" w:name="_Toc413078851"/>
      <w:bookmarkStart w:id="92" w:name="_Toc413311301"/>
      <w:bookmarkStart w:id="93" w:name="_Toc413311677"/>
      <w:bookmarkStart w:id="94" w:name="_Toc413335716"/>
      <w:r w:rsidRPr="008B1251">
        <w:t>Program</w:t>
      </w:r>
      <w:r w:rsidR="00DE3CB1" w:rsidRPr="008B1251">
        <w:t xml:space="preserve">m für die Ausarbeitung von </w:t>
      </w:r>
      <w:r w:rsidR="00451BF6" w:rsidRPr="008B1251">
        <w:t>Erläuterungen</w:t>
      </w:r>
      <w:r w:rsidR="00DE3CB1" w:rsidRPr="008B1251">
        <w:t xml:space="preserve"> </w:t>
      </w:r>
      <w:r w:rsidR="00451BF6" w:rsidRPr="008B1251">
        <w:t>zum</w:t>
      </w:r>
      <w:r w:rsidR="00DE3CB1" w:rsidRPr="008B1251">
        <w:t xml:space="preserve"> UPOV-Übereinkommen</w:t>
      </w:r>
      <w:bookmarkEnd w:id="90"/>
      <w:bookmarkEnd w:id="91"/>
      <w:bookmarkEnd w:id="92"/>
      <w:bookmarkEnd w:id="93"/>
      <w:bookmarkEnd w:id="94"/>
    </w:p>
    <w:p w:rsidR="001D140D" w:rsidRPr="008B1251" w:rsidRDefault="001D140D" w:rsidP="002E1C71">
      <w:pPr>
        <w:pStyle w:val="Heading2"/>
      </w:pPr>
    </w:p>
    <w:p w:rsidR="00DE3CB1" w:rsidRPr="008B1251" w:rsidRDefault="005308C7" w:rsidP="00DE3CB1">
      <w:pPr>
        <w:tabs>
          <w:tab w:val="left" w:pos="567"/>
        </w:tabs>
        <w:rPr>
          <w:lang w:val="de-DE"/>
        </w:rPr>
      </w:pPr>
      <w:r w:rsidRPr="008B1251">
        <w:rPr>
          <w:color w:val="000000" w:themeColor="text1"/>
          <w:lang w:val="de-DE"/>
        </w:rPr>
        <w:fldChar w:fldCharType="begin"/>
      </w:r>
      <w:r w:rsidRPr="008B1251">
        <w:rPr>
          <w:color w:val="000000" w:themeColor="text1"/>
          <w:lang w:val="de-DE"/>
        </w:rPr>
        <w:instrText xml:space="preserve"> AUTONUM  </w:instrText>
      </w:r>
      <w:r w:rsidRPr="008B1251">
        <w:rPr>
          <w:color w:val="000000" w:themeColor="text1"/>
          <w:lang w:val="de-DE"/>
        </w:rPr>
        <w:fldChar w:fldCharType="end"/>
      </w:r>
      <w:r w:rsidRPr="008B1251">
        <w:rPr>
          <w:color w:val="000000" w:themeColor="text1"/>
          <w:lang w:val="de-DE"/>
        </w:rPr>
        <w:tab/>
      </w:r>
      <w:r w:rsidR="00DE3CB1" w:rsidRPr="008B1251">
        <w:rPr>
          <w:lang w:val="de-DE"/>
        </w:rPr>
        <w:t>Der CAJ vereinbarte auf seiner siebzigsten Tagung, daß alle Angelegenheiten, die von der CAJ-AG auf ihrer neunten Tagung geprüft werden, nach der neunten Tagung der CAJ-AG vom CAJ geprüft werden sollten und daß die CAJ</w:t>
      </w:r>
      <w:r w:rsidR="00DE3CB1" w:rsidRPr="008B1251">
        <w:rPr>
          <w:lang w:val="de-DE"/>
        </w:rPr>
        <w:noBreakHyphen/>
        <w:t xml:space="preserve">AG nur auf </w:t>
      </w:r>
      <w:r w:rsidR="00DE3CB1" w:rsidRPr="008B1251">
        <w:rPr>
          <w:i/>
          <w:lang w:val="de-DE"/>
        </w:rPr>
        <w:t>Ad-hoc</w:t>
      </w:r>
      <w:r w:rsidR="00DE3CB1" w:rsidRPr="008B1251">
        <w:rPr>
          <w:lang w:val="de-DE"/>
        </w:rPr>
        <w:t>-Basis, wenn vom CAJ für zweckmäßig erachtet, einberufen werden sollte.</w:t>
      </w:r>
    </w:p>
    <w:p w:rsidR="00DE3CB1" w:rsidRPr="008B1251" w:rsidRDefault="00DE3CB1" w:rsidP="00DE3CB1">
      <w:pPr>
        <w:tabs>
          <w:tab w:val="left" w:pos="567"/>
        </w:tabs>
        <w:rPr>
          <w:lang w:val="de-DE"/>
        </w:rPr>
      </w:pPr>
    </w:p>
    <w:p w:rsidR="00DE3CB1" w:rsidRPr="008B1251" w:rsidRDefault="00DE3CB1" w:rsidP="00DE3CB1">
      <w:pPr>
        <w:tabs>
          <w:tab w:val="left" w:pos="567"/>
        </w:tabs>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t>Auf dieser Grundlage ersuchte der CAJ die CAJ-AG, daß sie auf ihrer neunten Tagung den CAJ über diejenigen Dokumente unterrichten sollte, die auf der einundsiebzigsten Tagung des CAJ im März 2015 zu prüfen sind.</w:t>
      </w:r>
    </w:p>
    <w:p w:rsidR="00DE3CB1" w:rsidRPr="008B1251" w:rsidRDefault="00DE3CB1" w:rsidP="00DE3CB1">
      <w:pPr>
        <w:tabs>
          <w:tab w:val="left" w:pos="567"/>
        </w:tabs>
        <w:rPr>
          <w:lang w:val="de-DE"/>
        </w:rPr>
      </w:pPr>
    </w:p>
    <w:p w:rsidR="005308C7" w:rsidRPr="008B1251" w:rsidRDefault="005308C7" w:rsidP="005308C7">
      <w:pPr>
        <w:tabs>
          <w:tab w:val="left" w:pos="567"/>
        </w:tabs>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0F24A8" w:rsidRPr="008B1251">
        <w:rPr>
          <w:lang w:val="de-DE"/>
        </w:rPr>
        <w:t>Die</w:t>
      </w:r>
      <w:r w:rsidRPr="008B1251">
        <w:rPr>
          <w:lang w:val="de-DE"/>
        </w:rPr>
        <w:t xml:space="preserve"> CAJ</w:t>
      </w:r>
      <w:r w:rsidRPr="008B1251">
        <w:rPr>
          <w:lang w:val="de-DE"/>
        </w:rPr>
        <w:noBreakHyphen/>
        <w:t xml:space="preserve">AG </w:t>
      </w:r>
      <w:r w:rsidR="0083141F" w:rsidRPr="008B1251">
        <w:rPr>
          <w:lang w:val="de-DE"/>
        </w:rPr>
        <w:t>teilte</w:t>
      </w:r>
      <w:r w:rsidR="000F24A8" w:rsidRPr="008B1251">
        <w:rPr>
          <w:lang w:val="de-DE"/>
        </w:rPr>
        <w:t xml:space="preserve"> </w:t>
      </w:r>
      <w:r w:rsidR="0083141F" w:rsidRPr="008B1251">
        <w:rPr>
          <w:lang w:val="de-DE"/>
        </w:rPr>
        <w:t xml:space="preserve">diesbezüglich </w:t>
      </w:r>
      <w:r w:rsidR="000F24A8" w:rsidRPr="008B1251">
        <w:rPr>
          <w:lang w:val="de-DE"/>
        </w:rPr>
        <w:t xml:space="preserve">in </w:t>
      </w:r>
      <w:r w:rsidR="00451BF6" w:rsidRPr="008B1251">
        <w:rPr>
          <w:lang w:val="de-DE"/>
        </w:rPr>
        <w:t>Zusammenhang</w:t>
      </w:r>
      <w:r w:rsidR="000F24A8" w:rsidRPr="008B1251">
        <w:rPr>
          <w:lang w:val="de-DE"/>
        </w:rPr>
        <w:t xml:space="preserve"> </w:t>
      </w:r>
      <w:r w:rsidR="00451BF6" w:rsidRPr="008B1251">
        <w:rPr>
          <w:lang w:val="de-DE"/>
        </w:rPr>
        <w:t>mit</w:t>
      </w:r>
      <w:r w:rsidR="000F24A8" w:rsidRPr="008B1251">
        <w:rPr>
          <w:lang w:val="de-DE"/>
        </w:rPr>
        <w:t xml:space="preserve"> den Punkten </w:t>
      </w:r>
      <w:r w:rsidR="0083141F" w:rsidRPr="008B1251">
        <w:rPr>
          <w:lang w:val="de-DE"/>
        </w:rPr>
        <w:t>„</w:t>
      </w:r>
      <w:r w:rsidR="00451BF6" w:rsidRPr="008B1251">
        <w:rPr>
          <w:lang w:val="de-DE"/>
        </w:rPr>
        <w:t>Ausarbeitung</w:t>
      </w:r>
      <w:r w:rsidR="000F24A8" w:rsidRPr="008B1251">
        <w:rPr>
          <w:lang w:val="de-DE"/>
        </w:rPr>
        <w:t xml:space="preserve"> von Informationsmaterial zum UPOV-Übereinkommen</w:t>
      </w:r>
      <w:r w:rsidR="0083141F" w:rsidRPr="008B1251">
        <w:rPr>
          <w:lang w:val="de-DE"/>
        </w:rPr>
        <w:t>“</w:t>
      </w:r>
      <w:r w:rsidR="000F24A8" w:rsidRPr="008B1251">
        <w:rPr>
          <w:lang w:val="de-DE"/>
        </w:rPr>
        <w:t xml:space="preserve"> und </w:t>
      </w:r>
      <w:r w:rsidR="0083141F" w:rsidRPr="008B1251">
        <w:rPr>
          <w:lang w:val="de-DE"/>
        </w:rPr>
        <w:t>„</w:t>
      </w:r>
      <w:r w:rsidR="000F24A8" w:rsidRPr="008B1251">
        <w:rPr>
          <w:lang w:val="de-DE"/>
        </w:rPr>
        <w:t>Sortenbezeichnungen</w:t>
      </w:r>
      <w:r w:rsidR="0083141F" w:rsidRPr="008B1251">
        <w:rPr>
          <w:lang w:val="de-DE"/>
        </w:rPr>
        <w:t>“</w:t>
      </w:r>
      <w:r w:rsidR="000F24A8" w:rsidRPr="008B1251">
        <w:rPr>
          <w:lang w:val="de-DE"/>
        </w:rPr>
        <w:t xml:space="preserve"> der einundsiebzigsten Tagung des </w:t>
      </w:r>
      <w:r w:rsidRPr="008B1251">
        <w:rPr>
          <w:lang w:val="de-DE"/>
        </w:rPr>
        <w:t>CAJ</w:t>
      </w:r>
      <w:r w:rsidR="0083141F" w:rsidRPr="008B1251">
        <w:rPr>
          <w:lang w:val="de-DE"/>
        </w:rPr>
        <w:t xml:space="preserve"> folgendes mit:</w:t>
      </w:r>
    </w:p>
    <w:p w:rsidR="005308C7" w:rsidRPr="008B1251" w:rsidRDefault="005308C7" w:rsidP="005308C7">
      <w:pPr>
        <w:tabs>
          <w:tab w:val="left" w:pos="567"/>
        </w:tabs>
        <w:rPr>
          <w:lang w:val="de-DE"/>
        </w:rPr>
      </w:pPr>
    </w:p>
    <w:p w:rsidR="005308C7" w:rsidRPr="008B1251" w:rsidRDefault="000F24A8" w:rsidP="005308C7">
      <w:pPr>
        <w:tabs>
          <w:tab w:val="left" w:pos="567"/>
        </w:tabs>
        <w:ind w:left="1134" w:right="567" w:hanging="567"/>
        <w:rPr>
          <w:i/>
          <w:kern w:val="28"/>
          <w:lang w:val="de-DE"/>
        </w:rPr>
      </w:pPr>
      <w:r w:rsidRPr="008B1251">
        <w:rPr>
          <w:i/>
          <w:kern w:val="28"/>
          <w:lang w:val="de-DE"/>
        </w:rPr>
        <w:lastRenderedPageBreak/>
        <w:t>Ausarbeitung von Informationsmaterial zum UPOV-Übereinkommen</w:t>
      </w:r>
    </w:p>
    <w:p w:rsidR="005308C7" w:rsidRPr="008B1251" w:rsidRDefault="005308C7" w:rsidP="005308C7">
      <w:pPr>
        <w:ind w:left="1134" w:right="567" w:hanging="567"/>
        <w:rPr>
          <w:lang w:val="de-DE"/>
        </w:rPr>
      </w:pPr>
    </w:p>
    <w:p w:rsidR="005308C7" w:rsidRPr="008B1251" w:rsidRDefault="00451BF6" w:rsidP="005308C7">
      <w:pPr>
        <w:ind w:left="1701" w:right="567" w:hanging="567"/>
        <w:rPr>
          <w:strike/>
          <w:lang w:val="de-DE"/>
        </w:rPr>
      </w:pPr>
      <w:r w:rsidRPr="008B1251">
        <w:rPr>
          <w:lang w:val="de-DE"/>
        </w:rPr>
        <w:t>a)</w:t>
      </w:r>
      <w:r w:rsidRPr="008B1251">
        <w:rPr>
          <w:lang w:val="de-DE"/>
        </w:rPr>
        <w:tab/>
        <w:t>Erläuterungen zu den im wesentlichen abgeleiteten Sorten nach der Akte von 1991 des UPOV</w:t>
      </w:r>
      <w:r w:rsidRPr="008B1251">
        <w:rPr>
          <w:lang w:val="de-DE"/>
        </w:rPr>
        <w:noBreakHyphen/>
        <w:t>Übereinkommens (Überarbeitung) (D</w:t>
      </w:r>
      <w:r w:rsidRPr="008B1251">
        <w:rPr>
          <w:kern w:val="28"/>
          <w:lang w:val="de-DE"/>
        </w:rPr>
        <w:t>okument CAJ/71/2: Vorgeschlagener künftiger Weg im Hinblick auf die Erörterung eines neuen Entwurfs des Dokuments UPOV/EXN/EDV/2 im CAJ im Oktober 2015</w:t>
      </w:r>
      <w:r w:rsidRPr="008B1251">
        <w:rPr>
          <w:lang w:val="de-DE"/>
        </w:rPr>
        <w:t>)</w:t>
      </w:r>
    </w:p>
    <w:p w:rsidR="005308C7" w:rsidRPr="008B1251" w:rsidRDefault="005308C7" w:rsidP="005308C7">
      <w:pPr>
        <w:ind w:left="1134" w:right="567" w:hanging="567"/>
        <w:rPr>
          <w:strike/>
          <w:lang w:val="de-DE"/>
        </w:rPr>
      </w:pPr>
    </w:p>
    <w:p w:rsidR="005308C7" w:rsidRPr="008B1251" w:rsidRDefault="005308C7" w:rsidP="005308C7">
      <w:pPr>
        <w:ind w:left="1701" w:right="567" w:hanging="567"/>
        <w:rPr>
          <w:lang w:val="de-DE"/>
        </w:rPr>
      </w:pPr>
      <w:r w:rsidRPr="008B1251">
        <w:rPr>
          <w:lang w:val="de-DE"/>
        </w:rPr>
        <w:t>b)</w:t>
      </w:r>
      <w:r w:rsidRPr="008B1251">
        <w:rPr>
          <w:lang w:val="de-DE"/>
        </w:rPr>
        <w:tab/>
      </w:r>
      <w:r w:rsidR="000F24A8" w:rsidRPr="008B1251">
        <w:rPr>
          <w:lang w:val="de-DE"/>
        </w:rPr>
        <w:t>Erläuterungen zu Vermehrungsmaterial nach de</w:t>
      </w:r>
      <w:r w:rsidR="004F1D16" w:rsidRPr="008B1251">
        <w:rPr>
          <w:lang w:val="de-DE"/>
        </w:rPr>
        <w:t xml:space="preserve">r Akte von 1991 des </w:t>
      </w:r>
      <w:r w:rsidR="000F24A8" w:rsidRPr="008B1251">
        <w:rPr>
          <w:lang w:val="de-DE"/>
        </w:rPr>
        <w:t>UPOV</w:t>
      </w:r>
      <w:r w:rsidR="000F24A8" w:rsidRPr="008B1251">
        <w:rPr>
          <w:lang w:val="de-DE"/>
        </w:rPr>
        <w:noBreakHyphen/>
        <w:t>Übereinkommen</w:t>
      </w:r>
      <w:r w:rsidR="004F1D16" w:rsidRPr="008B1251">
        <w:rPr>
          <w:lang w:val="de-DE"/>
        </w:rPr>
        <w:t>s</w:t>
      </w:r>
      <w:r w:rsidR="000F24A8" w:rsidRPr="008B1251">
        <w:rPr>
          <w:lang w:val="de-DE"/>
        </w:rPr>
        <w:t xml:space="preserve"> </w:t>
      </w:r>
      <w:r w:rsidRPr="008B1251">
        <w:rPr>
          <w:lang w:val="de-DE"/>
        </w:rPr>
        <w:t>(</w:t>
      </w:r>
      <w:r w:rsidR="000F24A8" w:rsidRPr="008B1251">
        <w:rPr>
          <w:lang w:val="de-DE"/>
        </w:rPr>
        <w:t>Dokument</w:t>
      </w:r>
      <w:r w:rsidRPr="008B1251">
        <w:rPr>
          <w:lang w:val="de-DE"/>
        </w:rPr>
        <w:t> UPOV/EXN/PPM/1 Draft 4)</w:t>
      </w:r>
    </w:p>
    <w:p w:rsidR="005308C7" w:rsidRPr="008B1251" w:rsidRDefault="005308C7" w:rsidP="005308C7">
      <w:pPr>
        <w:ind w:left="1701" w:right="567" w:hanging="567"/>
        <w:rPr>
          <w:lang w:val="de-DE"/>
        </w:rPr>
      </w:pPr>
    </w:p>
    <w:p w:rsidR="005308C7" w:rsidRPr="008B1251" w:rsidRDefault="005308C7" w:rsidP="005308C7">
      <w:pPr>
        <w:ind w:left="1701" w:right="567" w:hanging="567"/>
        <w:rPr>
          <w:kern w:val="28"/>
          <w:lang w:val="de-DE"/>
        </w:rPr>
      </w:pPr>
      <w:r w:rsidRPr="008B1251">
        <w:rPr>
          <w:lang w:val="de-DE"/>
        </w:rPr>
        <w:t>c)</w:t>
      </w:r>
      <w:r w:rsidRPr="008B1251">
        <w:rPr>
          <w:lang w:val="de-DE"/>
        </w:rPr>
        <w:tab/>
      </w:r>
      <w:r w:rsidR="000F24A8" w:rsidRPr="008B1251">
        <w:rPr>
          <w:lang w:val="de-DE"/>
        </w:rPr>
        <w:t>Erläuterungen zu Handlungen in bezug auf Erntegut nach der Akte von 1991 des UPOV</w:t>
      </w:r>
      <w:r w:rsidR="000F24A8" w:rsidRPr="008B1251">
        <w:rPr>
          <w:lang w:val="de-DE"/>
        </w:rPr>
        <w:noBreakHyphen/>
        <w:t xml:space="preserve">Übereinkommens (Überarbeitung) </w:t>
      </w:r>
      <w:r w:rsidRPr="008B1251">
        <w:rPr>
          <w:kern w:val="28"/>
          <w:lang w:val="de-DE"/>
        </w:rPr>
        <w:t>(</w:t>
      </w:r>
      <w:r w:rsidR="000F24A8" w:rsidRPr="008B1251">
        <w:rPr>
          <w:kern w:val="28"/>
          <w:lang w:val="de-DE"/>
        </w:rPr>
        <w:t>Dokument</w:t>
      </w:r>
      <w:r w:rsidRPr="008B1251">
        <w:rPr>
          <w:kern w:val="28"/>
          <w:lang w:val="de-DE"/>
        </w:rPr>
        <w:t xml:space="preserve"> CAJ/71/2: </w:t>
      </w:r>
      <w:r w:rsidR="000F24A8" w:rsidRPr="008B1251">
        <w:rPr>
          <w:kern w:val="28"/>
          <w:lang w:val="de-DE"/>
        </w:rPr>
        <w:t xml:space="preserve">Vorschlag der </w:t>
      </w:r>
      <w:r w:rsidRPr="008B1251">
        <w:rPr>
          <w:lang w:val="de-DE"/>
        </w:rPr>
        <w:t>CAJ-AG</w:t>
      </w:r>
      <w:r w:rsidR="001435E2" w:rsidRPr="008B1251">
        <w:rPr>
          <w:lang w:val="de-DE"/>
        </w:rPr>
        <w:t xml:space="preserve">, die Ausarbeitung einer Überarbeitung des Dokuments </w:t>
      </w:r>
      <w:r w:rsidRPr="008B1251">
        <w:rPr>
          <w:lang w:val="de-DE"/>
        </w:rPr>
        <w:t>UPOV/EXN/HRV/1</w:t>
      </w:r>
      <w:r w:rsidRPr="008B1251">
        <w:rPr>
          <w:kern w:val="28"/>
          <w:lang w:val="de-DE"/>
        </w:rPr>
        <w:t>)</w:t>
      </w:r>
      <w:r w:rsidR="001435E2" w:rsidRPr="008B1251">
        <w:rPr>
          <w:kern w:val="28"/>
          <w:lang w:val="de-DE"/>
        </w:rPr>
        <w:t xml:space="preserve"> einzustellen</w:t>
      </w:r>
      <w:r w:rsidR="0083141F" w:rsidRPr="008B1251">
        <w:rPr>
          <w:kern w:val="28"/>
          <w:lang w:val="de-DE"/>
        </w:rPr>
        <w:t>)</w:t>
      </w:r>
    </w:p>
    <w:p w:rsidR="005308C7" w:rsidRPr="008B1251" w:rsidRDefault="005308C7" w:rsidP="005308C7">
      <w:pPr>
        <w:ind w:left="1701" w:right="567" w:hanging="567"/>
        <w:rPr>
          <w:kern w:val="28"/>
          <w:lang w:val="de-DE"/>
        </w:rPr>
      </w:pPr>
    </w:p>
    <w:p w:rsidR="005308C7" w:rsidRPr="008B1251" w:rsidRDefault="005308C7" w:rsidP="005308C7">
      <w:pPr>
        <w:ind w:left="1701" w:right="567" w:hanging="567"/>
        <w:rPr>
          <w:lang w:val="de-DE"/>
        </w:rPr>
      </w:pPr>
      <w:r w:rsidRPr="008B1251">
        <w:rPr>
          <w:kern w:val="28"/>
          <w:lang w:val="de-DE"/>
        </w:rPr>
        <w:t>d)</w:t>
      </w:r>
      <w:r w:rsidRPr="008B1251">
        <w:rPr>
          <w:kern w:val="28"/>
          <w:lang w:val="de-DE"/>
        </w:rPr>
        <w:tab/>
      </w:r>
      <w:r w:rsidR="001435E2" w:rsidRPr="008B1251">
        <w:rPr>
          <w:lang w:val="de-DE"/>
        </w:rPr>
        <w:t>Erläuterungen zur Aufhebung des Züchterrechts nach dem UPOV-Übereinkommen (Überarbeitung)</w:t>
      </w:r>
      <w:r w:rsidRPr="008B1251">
        <w:rPr>
          <w:lang w:val="de-DE"/>
        </w:rPr>
        <w:t xml:space="preserve"> (</w:t>
      </w:r>
      <w:r w:rsidR="000F24A8" w:rsidRPr="008B1251">
        <w:rPr>
          <w:lang w:val="de-DE"/>
        </w:rPr>
        <w:t>Dokument</w:t>
      </w:r>
      <w:r w:rsidRPr="008B1251">
        <w:rPr>
          <w:lang w:val="de-DE"/>
        </w:rPr>
        <w:t> UPOV/EXN/CAN/2 Draft 3)</w:t>
      </w:r>
    </w:p>
    <w:p w:rsidR="005308C7" w:rsidRPr="008B1251" w:rsidRDefault="005308C7" w:rsidP="005308C7">
      <w:pPr>
        <w:ind w:left="1701" w:right="567" w:hanging="567"/>
        <w:rPr>
          <w:lang w:val="de-DE"/>
        </w:rPr>
      </w:pPr>
    </w:p>
    <w:p w:rsidR="005308C7" w:rsidRPr="008B1251" w:rsidRDefault="005308C7" w:rsidP="005308C7">
      <w:pPr>
        <w:ind w:left="1701" w:right="567" w:hanging="567"/>
        <w:rPr>
          <w:lang w:val="de-DE"/>
        </w:rPr>
      </w:pPr>
      <w:r w:rsidRPr="008B1251">
        <w:rPr>
          <w:lang w:val="de-DE"/>
        </w:rPr>
        <w:t>e)</w:t>
      </w:r>
      <w:r w:rsidRPr="008B1251">
        <w:rPr>
          <w:lang w:val="de-DE"/>
        </w:rPr>
        <w:tab/>
      </w:r>
      <w:r w:rsidR="001435E2" w:rsidRPr="008B1251">
        <w:rPr>
          <w:lang w:val="de-DE"/>
        </w:rPr>
        <w:t>Erläuterungen zur Nichtigkeit des Züchterrechts nach dem UPOV</w:t>
      </w:r>
      <w:r w:rsidR="001435E2" w:rsidRPr="008B1251">
        <w:rPr>
          <w:lang w:val="de-DE"/>
        </w:rPr>
        <w:noBreakHyphen/>
        <w:t>Übereinkommen (Überarbeitung)</w:t>
      </w:r>
      <w:r w:rsidRPr="008B1251">
        <w:rPr>
          <w:lang w:val="de-DE"/>
        </w:rPr>
        <w:t xml:space="preserve"> (</w:t>
      </w:r>
      <w:r w:rsidR="000F24A8" w:rsidRPr="008B1251">
        <w:rPr>
          <w:lang w:val="de-DE"/>
        </w:rPr>
        <w:t>Dokument</w:t>
      </w:r>
      <w:r w:rsidRPr="008B1251">
        <w:rPr>
          <w:lang w:val="de-DE"/>
        </w:rPr>
        <w:t> UPOV/EXN/NUL/2 Draft 3)</w:t>
      </w:r>
    </w:p>
    <w:p w:rsidR="005308C7" w:rsidRPr="008B1251" w:rsidRDefault="005308C7" w:rsidP="005308C7">
      <w:pPr>
        <w:ind w:left="1701" w:right="567" w:hanging="567"/>
        <w:rPr>
          <w:lang w:val="de-DE"/>
        </w:rPr>
      </w:pPr>
    </w:p>
    <w:p w:rsidR="005308C7" w:rsidRPr="008B1251" w:rsidRDefault="005308C7" w:rsidP="005308C7">
      <w:pPr>
        <w:ind w:left="1701" w:right="567" w:hanging="567"/>
        <w:rPr>
          <w:kern w:val="28"/>
          <w:lang w:val="de-DE"/>
        </w:rPr>
      </w:pPr>
      <w:r w:rsidRPr="008B1251">
        <w:rPr>
          <w:lang w:val="de-DE"/>
        </w:rPr>
        <w:t>f)</w:t>
      </w:r>
      <w:r w:rsidRPr="008B1251">
        <w:rPr>
          <w:lang w:val="de-DE"/>
        </w:rPr>
        <w:tab/>
      </w:r>
      <w:r w:rsidR="00E623BF" w:rsidRPr="008B1251">
        <w:rPr>
          <w:lang w:val="de-DE"/>
        </w:rPr>
        <w:t>Angelegenheiten betreffend</w:t>
      </w:r>
      <w:r w:rsidR="001435E2" w:rsidRPr="008B1251">
        <w:rPr>
          <w:lang w:val="de-DE"/>
        </w:rPr>
        <w:t xml:space="preserve"> Sortenbe</w:t>
      </w:r>
      <w:r w:rsidR="0083141F" w:rsidRPr="008B1251">
        <w:rPr>
          <w:lang w:val="de-DE"/>
        </w:rPr>
        <w:t>schreib</w:t>
      </w:r>
      <w:r w:rsidR="001435E2" w:rsidRPr="008B1251">
        <w:rPr>
          <w:lang w:val="de-DE"/>
        </w:rPr>
        <w:t xml:space="preserve">ungen </w:t>
      </w:r>
      <w:r w:rsidRPr="008B1251">
        <w:rPr>
          <w:kern w:val="28"/>
          <w:lang w:val="de-DE"/>
        </w:rPr>
        <w:t>(</w:t>
      </w:r>
      <w:r w:rsidR="000F24A8" w:rsidRPr="008B1251">
        <w:rPr>
          <w:kern w:val="28"/>
          <w:lang w:val="de-DE"/>
        </w:rPr>
        <w:t>Dokument</w:t>
      </w:r>
      <w:r w:rsidRPr="008B1251">
        <w:rPr>
          <w:kern w:val="28"/>
          <w:lang w:val="de-DE"/>
        </w:rPr>
        <w:t xml:space="preserve"> CAJ/71/2: </w:t>
      </w:r>
      <w:r w:rsidR="004F1D16" w:rsidRPr="008B1251">
        <w:rPr>
          <w:kern w:val="28"/>
          <w:lang w:val="de-DE"/>
        </w:rPr>
        <w:t xml:space="preserve">Vorlage der </w:t>
      </w:r>
      <w:r w:rsidR="00451BF6" w:rsidRPr="008B1251">
        <w:rPr>
          <w:kern w:val="28"/>
          <w:lang w:val="de-DE"/>
        </w:rPr>
        <w:t>Entschließung</w:t>
      </w:r>
      <w:r w:rsidR="004F1D16" w:rsidRPr="008B1251">
        <w:rPr>
          <w:kern w:val="28"/>
          <w:lang w:val="de-DE"/>
        </w:rPr>
        <w:t xml:space="preserve"> der</w:t>
      </w:r>
      <w:r w:rsidRPr="008B1251">
        <w:rPr>
          <w:lang w:val="de-DE"/>
        </w:rPr>
        <w:t> CAJ-AG</w:t>
      </w:r>
      <w:r w:rsidRPr="008B1251">
        <w:rPr>
          <w:kern w:val="28"/>
          <w:lang w:val="de-DE"/>
        </w:rPr>
        <w:t>)</w:t>
      </w:r>
    </w:p>
    <w:p w:rsidR="005308C7" w:rsidRPr="008B1251" w:rsidRDefault="005308C7" w:rsidP="005308C7">
      <w:pPr>
        <w:ind w:left="1701" w:right="567" w:hanging="567"/>
        <w:rPr>
          <w:kern w:val="28"/>
          <w:lang w:val="de-DE"/>
        </w:rPr>
      </w:pPr>
    </w:p>
    <w:p w:rsidR="005308C7" w:rsidRPr="008B1251" w:rsidRDefault="005308C7" w:rsidP="005308C7">
      <w:pPr>
        <w:ind w:left="1701" w:right="567" w:hanging="567"/>
        <w:rPr>
          <w:lang w:val="de-DE"/>
        </w:rPr>
      </w:pPr>
      <w:r w:rsidRPr="008B1251">
        <w:rPr>
          <w:kern w:val="28"/>
          <w:lang w:val="de-DE"/>
        </w:rPr>
        <w:t>g)</w:t>
      </w:r>
      <w:r w:rsidRPr="008B1251">
        <w:rPr>
          <w:kern w:val="28"/>
          <w:lang w:val="de-DE"/>
        </w:rPr>
        <w:tab/>
      </w:r>
      <w:r w:rsidR="001435E2" w:rsidRPr="008B1251">
        <w:rPr>
          <w:lang w:val="de-DE"/>
        </w:rPr>
        <w:t>Erläuterungen zum vorläufigen Schutz nach dem UPOV-Übereinkommen (Überarbeitung)</w:t>
      </w:r>
      <w:r w:rsidRPr="008B1251">
        <w:rPr>
          <w:lang w:val="de-DE"/>
        </w:rPr>
        <w:t xml:space="preserve"> (</w:t>
      </w:r>
      <w:r w:rsidR="000F24A8" w:rsidRPr="008B1251">
        <w:rPr>
          <w:lang w:val="de-DE"/>
        </w:rPr>
        <w:t>Dokument</w:t>
      </w:r>
      <w:r w:rsidRPr="008B1251">
        <w:rPr>
          <w:lang w:val="de-DE"/>
        </w:rPr>
        <w:t> UPOV/EXN/PRP/2 Draft 3)</w:t>
      </w:r>
    </w:p>
    <w:p w:rsidR="005308C7" w:rsidRPr="008B1251" w:rsidRDefault="005308C7" w:rsidP="005308C7">
      <w:pPr>
        <w:ind w:left="1134" w:right="567" w:hanging="567"/>
        <w:rPr>
          <w:kern w:val="28"/>
          <w:lang w:val="de-DE"/>
        </w:rPr>
      </w:pPr>
    </w:p>
    <w:p w:rsidR="005308C7" w:rsidRPr="008B1251" w:rsidRDefault="001435E2" w:rsidP="005308C7">
      <w:pPr>
        <w:ind w:left="1134" w:right="567" w:hanging="567"/>
        <w:rPr>
          <w:i/>
          <w:kern w:val="28"/>
          <w:lang w:val="de-DE"/>
        </w:rPr>
      </w:pPr>
      <w:r w:rsidRPr="008B1251">
        <w:rPr>
          <w:i/>
          <w:kern w:val="28"/>
          <w:lang w:val="de-DE"/>
        </w:rPr>
        <w:t>Sortenbezeichnungen</w:t>
      </w:r>
    </w:p>
    <w:p w:rsidR="005308C7" w:rsidRPr="008B1251" w:rsidRDefault="005308C7" w:rsidP="005308C7">
      <w:pPr>
        <w:ind w:left="1701" w:right="567" w:hanging="567"/>
        <w:rPr>
          <w:kern w:val="28"/>
          <w:lang w:val="de-DE"/>
        </w:rPr>
      </w:pPr>
    </w:p>
    <w:p w:rsidR="005308C7" w:rsidRPr="008B1251" w:rsidRDefault="005308C7" w:rsidP="005308C7">
      <w:pPr>
        <w:ind w:left="1134" w:right="567"/>
        <w:rPr>
          <w:strike/>
          <w:lang w:val="de-DE"/>
        </w:rPr>
      </w:pPr>
      <w:r w:rsidRPr="008B1251">
        <w:rPr>
          <w:lang w:val="de-DE"/>
        </w:rPr>
        <w:t>E</w:t>
      </w:r>
      <w:r w:rsidR="001435E2" w:rsidRPr="008B1251">
        <w:rPr>
          <w:lang w:val="de-DE"/>
        </w:rPr>
        <w:t xml:space="preserve">rläuterungen zu </w:t>
      </w:r>
      <w:r w:rsidR="004F1D16" w:rsidRPr="008B1251">
        <w:rPr>
          <w:lang w:val="de-DE"/>
        </w:rPr>
        <w:t>S</w:t>
      </w:r>
      <w:r w:rsidR="001435E2" w:rsidRPr="008B1251">
        <w:rPr>
          <w:lang w:val="de-DE"/>
        </w:rPr>
        <w:t xml:space="preserve">ortenbezeichnungen nach </w:t>
      </w:r>
      <w:r w:rsidR="00451BF6" w:rsidRPr="008B1251">
        <w:rPr>
          <w:lang w:val="de-DE"/>
        </w:rPr>
        <w:t>dem</w:t>
      </w:r>
      <w:r w:rsidR="001435E2" w:rsidRPr="008B1251">
        <w:rPr>
          <w:lang w:val="de-DE"/>
        </w:rPr>
        <w:t xml:space="preserve"> </w:t>
      </w:r>
      <w:r w:rsidRPr="008B1251">
        <w:rPr>
          <w:lang w:val="de-DE"/>
        </w:rPr>
        <w:t>UPOV</w:t>
      </w:r>
      <w:r w:rsidR="001435E2" w:rsidRPr="008B1251">
        <w:rPr>
          <w:lang w:val="de-DE"/>
        </w:rPr>
        <w:t xml:space="preserve">-Übereinkommen </w:t>
      </w:r>
      <w:r w:rsidRPr="008B1251">
        <w:rPr>
          <w:lang w:val="de-DE"/>
        </w:rPr>
        <w:t>(</w:t>
      </w:r>
      <w:r w:rsidR="00451BF6" w:rsidRPr="008B1251">
        <w:rPr>
          <w:lang w:val="de-DE"/>
        </w:rPr>
        <w:t>Überarbeitung</w:t>
      </w:r>
      <w:r w:rsidRPr="008B1251">
        <w:rPr>
          <w:lang w:val="de-DE"/>
        </w:rPr>
        <w:t>) (</w:t>
      </w:r>
      <w:r w:rsidR="001435E2" w:rsidRPr="008B1251">
        <w:rPr>
          <w:lang w:val="de-DE"/>
        </w:rPr>
        <w:t xml:space="preserve">Der </w:t>
      </w:r>
      <w:r w:rsidRPr="008B1251">
        <w:rPr>
          <w:kern w:val="28"/>
          <w:lang w:val="de-DE"/>
        </w:rPr>
        <w:t xml:space="preserve">CAJ </w:t>
      </w:r>
      <w:r w:rsidR="001435E2" w:rsidRPr="008B1251">
        <w:rPr>
          <w:kern w:val="28"/>
          <w:lang w:val="de-DE"/>
        </w:rPr>
        <w:t xml:space="preserve">soll ersucht </w:t>
      </w:r>
      <w:r w:rsidR="00451BF6" w:rsidRPr="008B1251">
        <w:rPr>
          <w:kern w:val="28"/>
          <w:lang w:val="de-DE"/>
        </w:rPr>
        <w:t>werden</w:t>
      </w:r>
      <w:r w:rsidR="001435E2" w:rsidRPr="008B1251">
        <w:rPr>
          <w:kern w:val="28"/>
          <w:lang w:val="de-DE"/>
        </w:rPr>
        <w:t xml:space="preserve">, einen Plan für die Überarbeitung des </w:t>
      </w:r>
      <w:r w:rsidR="000F24A8" w:rsidRPr="008B1251">
        <w:rPr>
          <w:kern w:val="28"/>
          <w:lang w:val="de-DE"/>
        </w:rPr>
        <w:t>Dokument</w:t>
      </w:r>
      <w:r w:rsidR="001435E2" w:rsidRPr="008B1251">
        <w:rPr>
          <w:kern w:val="28"/>
          <w:lang w:val="de-DE"/>
        </w:rPr>
        <w:t>s</w:t>
      </w:r>
      <w:r w:rsidRPr="008B1251">
        <w:rPr>
          <w:kern w:val="28"/>
          <w:lang w:val="de-DE"/>
        </w:rPr>
        <w:t xml:space="preserve"> UPOV/INF/12/5</w:t>
      </w:r>
      <w:r w:rsidR="001435E2" w:rsidRPr="008B1251">
        <w:rPr>
          <w:kern w:val="28"/>
          <w:lang w:val="de-DE"/>
        </w:rPr>
        <w:t xml:space="preserve"> zu prüfen</w:t>
      </w:r>
      <w:r w:rsidRPr="008B1251">
        <w:rPr>
          <w:lang w:val="de-DE"/>
        </w:rPr>
        <w:t>)</w:t>
      </w:r>
    </w:p>
    <w:p w:rsidR="005308C7" w:rsidRPr="008B1251" w:rsidRDefault="005308C7" w:rsidP="005308C7">
      <w:pPr>
        <w:ind w:left="567" w:hanging="567"/>
        <w:rPr>
          <w:lang w:val="de-DE"/>
        </w:rPr>
      </w:pPr>
    </w:p>
    <w:p w:rsidR="00A55B16" w:rsidRPr="008B1251" w:rsidRDefault="00A55B16" w:rsidP="001D140D">
      <w:pPr>
        <w:rPr>
          <w:lang w:val="de-DE"/>
        </w:rPr>
      </w:pPr>
    </w:p>
    <w:p w:rsidR="005308C7" w:rsidRPr="008B1251" w:rsidRDefault="001D140D" w:rsidP="005308C7">
      <w:pPr>
        <w:rPr>
          <w:color w:val="000000" w:themeColor="text1"/>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1435E2" w:rsidRPr="008B1251">
        <w:rPr>
          <w:lang w:val="de-DE"/>
        </w:rPr>
        <w:t xml:space="preserve">Das Programm für die Ausarbeitung von Informationsmaterial wird </w:t>
      </w:r>
      <w:r w:rsidR="00451BF6" w:rsidRPr="008B1251">
        <w:rPr>
          <w:lang w:val="de-DE"/>
        </w:rPr>
        <w:t>vom</w:t>
      </w:r>
      <w:r w:rsidR="001435E2" w:rsidRPr="008B1251">
        <w:rPr>
          <w:lang w:val="de-DE"/>
        </w:rPr>
        <w:t xml:space="preserve"> CAJ auf seiner einundsiebzigsten Tagung vom 26. März 2015 in Genf geprüft werden; es enthält folgende Vorschläge</w:t>
      </w:r>
      <w:r w:rsidR="005308C7" w:rsidRPr="008B1251">
        <w:rPr>
          <w:color w:val="000000" w:themeColor="text1"/>
          <w:lang w:val="de-DE"/>
        </w:rPr>
        <w:t>:</w:t>
      </w:r>
    </w:p>
    <w:p w:rsidR="005308C7" w:rsidRPr="008B1251" w:rsidRDefault="005308C7" w:rsidP="005308C7">
      <w:pPr>
        <w:rPr>
          <w:color w:val="000000" w:themeColor="text1"/>
          <w:lang w:val="de-DE"/>
        </w:rPr>
      </w:pPr>
    </w:p>
    <w:p w:rsidR="005308C7" w:rsidRPr="008B1251" w:rsidRDefault="001435E2" w:rsidP="005308C7">
      <w:pPr>
        <w:jc w:val="left"/>
        <w:rPr>
          <w:i/>
          <w:lang w:val="de-DE"/>
        </w:rPr>
      </w:pPr>
      <w:r w:rsidRPr="008B1251">
        <w:rPr>
          <w:i/>
          <w:lang w:val="de-DE"/>
        </w:rPr>
        <w:t>Erläuterungen</w:t>
      </w:r>
    </w:p>
    <w:p w:rsidR="005308C7" w:rsidRPr="008B1251" w:rsidRDefault="005308C7" w:rsidP="005308C7">
      <w:pPr>
        <w:jc w:val="left"/>
        <w:rPr>
          <w:sz w:val="16"/>
          <w:szCs w:val="16"/>
          <w:lang w:val="de-DE"/>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5308C7" w:rsidRPr="008B1251" w:rsidTr="00EA7B64">
        <w:trPr>
          <w:cantSplit/>
          <w:jc w:val="center"/>
        </w:trPr>
        <w:tc>
          <w:tcPr>
            <w:tcW w:w="1741" w:type="dxa"/>
            <w:shd w:val="clear" w:color="auto" w:fill="D9D9D9"/>
          </w:tcPr>
          <w:p w:rsidR="005308C7" w:rsidRPr="008B1251" w:rsidRDefault="00211C8E" w:rsidP="00EA7B64">
            <w:pPr>
              <w:jc w:val="left"/>
              <w:rPr>
                <w:rFonts w:cs="Arial"/>
                <w:sz w:val="18"/>
                <w:szCs w:val="18"/>
                <w:lang w:val="de-DE"/>
              </w:rPr>
            </w:pPr>
            <w:r w:rsidRPr="008B1251">
              <w:rPr>
                <w:rFonts w:cs="Arial"/>
                <w:sz w:val="18"/>
                <w:szCs w:val="18"/>
                <w:lang w:val="de-DE"/>
              </w:rPr>
              <w:t>Dokumentverweis</w:t>
            </w:r>
          </w:p>
        </w:tc>
        <w:tc>
          <w:tcPr>
            <w:tcW w:w="4717" w:type="dxa"/>
            <w:shd w:val="clear" w:color="auto" w:fill="D9D9D9"/>
          </w:tcPr>
          <w:p w:rsidR="005308C7" w:rsidRPr="008B1251" w:rsidRDefault="005308C7" w:rsidP="00211C8E">
            <w:pPr>
              <w:jc w:val="left"/>
              <w:rPr>
                <w:rFonts w:cs="Arial"/>
                <w:sz w:val="18"/>
                <w:szCs w:val="18"/>
                <w:lang w:val="de-DE"/>
              </w:rPr>
            </w:pPr>
            <w:r w:rsidRPr="008B1251">
              <w:rPr>
                <w:rFonts w:cs="Arial"/>
                <w:sz w:val="18"/>
                <w:szCs w:val="18"/>
                <w:lang w:val="de-DE"/>
              </w:rPr>
              <w:t>E</w:t>
            </w:r>
            <w:r w:rsidR="00211C8E" w:rsidRPr="008B1251">
              <w:rPr>
                <w:rFonts w:cs="Arial"/>
                <w:sz w:val="18"/>
                <w:szCs w:val="18"/>
                <w:lang w:val="de-DE"/>
              </w:rPr>
              <w:t>rläuterungen</w:t>
            </w:r>
          </w:p>
        </w:tc>
        <w:tc>
          <w:tcPr>
            <w:tcW w:w="3912" w:type="dxa"/>
            <w:shd w:val="clear" w:color="auto" w:fill="D9D9D9"/>
          </w:tcPr>
          <w:p w:rsidR="005308C7" w:rsidRPr="008B1251" w:rsidRDefault="005308C7" w:rsidP="00211C8E">
            <w:pPr>
              <w:jc w:val="left"/>
              <w:rPr>
                <w:rFonts w:cs="Arial"/>
                <w:sz w:val="18"/>
                <w:szCs w:val="18"/>
                <w:lang w:val="de-DE"/>
              </w:rPr>
            </w:pPr>
            <w:r w:rsidRPr="008B1251">
              <w:rPr>
                <w:rFonts w:cs="Arial"/>
                <w:sz w:val="18"/>
                <w:szCs w:val="18"/>
                <w:lang w:val="de-DE"/>
              </w:rPr>
              <w:t>Sta</w:t>
            </w:r>
            <w:r w:rsidR="00211C8E" w:rsidRPr="008B1251">
              <w:rPr>
                <w:rFonts w:cs="Arial"/>
                <w:sz w:val="18"/>
                <w:szCs w:val="18"/>
                <w:lang w:val="de-DE"/>
              </w:rPr>
              <w:t>nd</w:t>
            </w:r>
          </w:p>
        </w:tc>
      </w:tr>
      <w:tr w:rsidR="005308C7" w:rsidRPr="0045684D" w:rsidTr="00EA7B64">
        <w:trPr>
          <w:cantSplit/>
          <w:jc w:val="center"/>
        </w:trPr>
        <w:tc>
          <w:tcPr>
            <w:tcW w:w="1741" w:type="dxa"/>
          </w:tcPr>
          <w:p w:rsidR="005308C7" w:rsidRPr="008B1251" w:rsidRDefault="005308C7" w:rsidP="00EA7B64">
            <w:pPr>
              <w:jc w:val="left"/>
              <w:rPr>
                <w:rFonts w:cs="Arial"/>
                <w:sz w:val="18"/>
                <w:szCs w:val="18"/>
                <w:lang w:val="de-DE"/>
              </w:rPr>
            </w:pPr>
            <w:r w:rsidRPr="008B1251">
              <w:rPr>
                <w:rFonts w:cs="Arial"/>
                <w:sz w:val="18"/>
                <w:szCs w:val="18"/>
                <w:lang w:val="de-DE"/>
              </w:rPr>
              <w:t>UPOV/EXN/CAN</w:t>
            </w:r>
          </w:p>
        </w:tc>
        <w:tc>
          <w:tcPr>
            <w:tcW w:w="4717" w:type="dxa"/>
          </w:tcPr>
          <w:p w:rsidR="005308C7" w:rsidRPr="008B1251" w:rsidRDefault="001435E2" w:rsidP="004F1D16">
            <w:pPr>
              <w:jc w:val="left"/>
              <w:rPr>
                <w:rFonts w:cs="Arial"/>
                <w:sz w:val="18"/>
                <w:szCs w:val="18"/>
                <w:lang w:val="de-DE"/>
              </w:rPr>
            </w:pPr>
            <w:r w:rsidRPr="008B1251">
              <w:rPr>
                <w:sz w:val="18"/>
                <w:szCs w:val="18"/>
                <w:lang w:val="de-DE"/>
              </w:rPr>
              <w:t>Aufhebung des Züchterrechts nach dem UPOV</w:t>
            </w:r>
            <w:r w:rsidR="004F1D16" w:rsidRPr="008B1251">
              <w:rPr>
                <w:sz w:val="18"/>
                <w:szCs w:val="18"/>
                <w:lang w:val="de-DE"/>
              </w:rPr>
              <w:noBreakHyphen/>
            </w:r>
            <w:r w:rsidRPr="008B1251">
              <w:rPr>
                <w:sz w:val="18"/>
                <w:szCs w:val="18"/>
                <w:lang w:val="de-DE"/>
              </w:rPr>
              <w:t>Übereinkommen</w:t>
            </w:r>
          </w:p>
        </w:tc>
        <w:tc>
          <w:tcPr>
            <w:tcW w:w="3912" w:type="dxa"/>
          </w:tcPr>
          <w:p w:rsidR="005308C7" w:rsidRPr="008B1251" w:rsidRDefault="005308C7" w:rsidP="00EA7B64">
            <w:pPr>
              <w:jc w:val="left"/>
              <w:rPr>
                <w:rFonts w:cs="Arial"/>
                <w:sz w:val="18"/>
                <w:szCs w:val="18"/>
                <w:lang w:val="de-DE"/>
              </w:rPr>
            </w:pPr>
            <w:r w:rsidRPr="008B1251">
              <w:rPr>
                <w:rFonts w:cs="Arial"/>
                <w:spacing w:val="-2"/>
                <w:sz w:val="18"/>
                <w:szCs w:val="18"/>
                <w:lang w:val="de-DE"/>
              </w:rPr>
              <w:t>UPOV/EXN/CAN/2 Draft 3</w:t>
            </w:r>
            <w:r w:rsidR="00E623BF" w:rsidRPr="008B1251">
              <w:rPr>
                <w:rFonts w:cs="Arial"/>
                <w:spacing w:val="-2"/>
                <w:sz w:val="18"/>
                <w:szCs w:val="18"/>
                <w:lang w:val="de-DE"/>
              </w:rPr>
              <w:t>,</w:t>
            </w:r>
            <w:r w:rsidRPr="008B1251">
              <w:rPr>
                <w:rFonts w:cs="Arial"/>
                <w:spacing w:val="-2"/>
                <w:sz w:val="18"/>
                <w:szCs w:val="18"/>
                <w:lang w:val="de-DE"/>
              </w:rPr>
              <w:t xml:space="preserve"> </w:t>
            </w:r>
            <w:r w:rsidR="001435E2" w:rsidRPr="008B1251">
              <w:rPr>
                <w:rFonts w:cs="Arial"/>
                <w:spacing w:val="-2"/>
                <w:sz w:val="18"/>
                <w:szCs w:val="18"/>
                <w:lang w:val="de-DE"/>
              </w:rPr>
              <w:t xml:space="preserve">vom CAJ im März 2015 zu </w:t>
            </w:r>
            <w:r w:rsidR="004F1D16" w:rsidRPr="008B1251">
              <w:rPr>
                <w:rFonts w:cs="Arial"/>
                <w:spacing w:val="-2"/>
                <w:sz w:val="18"/>
                <w:szCs w:val="18"/>
                <w:lang w:val="de-DE"/>
              </w:rPr>
              <w:t>prüfen</w:t>
            </w:r>
          </w:p>
        </w:tc>
      </w:tr>
      <w:tr w:rsidR="005308C7" w:rsidRPr="0045684D" w:rsidTr="00EA7B64">
        <w:trPr>
          <w:cantSplit/>
          <w:jc w:val="center"/>
        </w:trPr>
        <w:tc>
          <w:tcPr>
            <w:tcW w:w="1741" w:type="dxa"/>
          </w:tcPr>
          <w:p w:rsidR="005308C7" w:rsidRPr="008B1251" w:rsidRDefault="005308C7" w:rsidP="00EA7B64">
            <w:pPr>
              <w:jc w:val="left"/>
              <w:rPr>
                <w:rFonts w:cs="Arial"/>
                <w:sz w:val="18"/>
                <w:szCs w:val="18"/>
                <w:lang w:val="de-DE"/>
              </w:rPr>
            </w:pPr>
            <w:r w:rsidRPr="008B1251">
              <w:rPr>
                <w:rFonts w:cs="Arial"/>
                <w:color w:val="000000"/>
                <w:sz w:val="18"/>
                <w:szCs w:val="18"/>
                <w:lang w:val="de-DE"/>
              </w:rPr>
              <w:t>UPOV/EXN/EDV</w:t>
            </w:r>
          </w:p>
        </w:tc>
        <w:tc>
          <w:tcPr>
            <w:tcW w:w="4717" w:type="dxa"/>
          </w:tcPr>
          <w:p w:rsidR="005308C7" w:rsidRPr="008B1251" w:rsidRDefault="001435E2" w:rsidP="001435E2">
            <w:pPr>
              <w:jc w:val="left"/>
              <w:rPr>
                <w:rFonts w:cs="Arial"/>
                <w:color w:val="000000"/>
                <w:sz w:val="18"/>
                <w:szCs w:val="18"/>
                <w:lang w:val="de-DE"/>
              </w:rPr>
            </w:pPr>
            <w:r w:rsidRPr="008B1251">
              <w:rPr>
                <w:sz w:val="18"/>
                <w:szCs w:val="18"/>
                <w:lang w:val="de-DE"/>
              </w:rPr>
              <w:t>Im wesentlichen abgeleiteten Sorten nach der Akte von 1991 des UPOV</w:t>
            </w:r>
            <w:r w:rsidRPr="008B1251">
              <w:rPr>
                <w:sz w:val="18"/>
                <w:szCs w:val="18"/>
                <w:lang w:val="de-DE"/>
              </w:rPr>
              <w:noBreakHyphen/>
              <w:t>Übereinkommens</w:t>
            </w:r>
          </w:p>
        </w:tc>
        <w:tc>
          <w:tcPr>
            <w:tcW w:w="3912" w:type="dxa"/>
          </w:tcPr>
          <w:p w:rsidR="005308C7" w:rsidRPr="008B1251" w:rsidRDefault="005308C7" w:rsidP="005308C7">
            <w:pPr>
              <w:jc w:val="left"/>
              <w:rPr>
                <w:rFonts w:cs="Arial"/>
                <w:sz w:val="18"/>
                <w:szCs w:val="18"/>
                <w:lang w:val="de-DE"/>
              </w:rPr>
            </w:pPr>
            <w:r w:rsidRPr="008B1251">
              <w:rPr>
                <w:rFonts w:cs="Arial"/>
                <w:color w:val="000000"/>
                <w:sz w:val="18"/>
                <w:szCs w:val="18"/>
                <w:lang w:val="de-DE"/>
              </w:rPr>
              <w:t>UPOV/EXN/EDV/2 Draft 6</w:t>
            </w:r>
            <w:r w:rsidR="00E623BF" w:rsidRPr="008B1251">
              <w:rPr>
                <w:rFonts w:cs="Arial"/>
                <w:color w:val="000000"/>
                <w:sz w:val="18"/>
                <w:szCs w:val="18"/>
                <w:lang w:val="de-DE"/>
              </w:rPr>
              <w:t>,</w:t>
            </w:r>
            <w:r w:rsidRPr="008B1251">
              <w:rPr>
                <w:rFonts w:cs="Arial"/>
                <w:iCs/>
                <w:sz w:val="18"/>
                <w:szCs w:val="18"/>
                <w:lang w:val="de-DE"/>
              </w:rPr>
              <w:t xml:space="preserve"> </w:t>
            </w:r>
            <w:r w:rsidR="001435E2" w:rsidRPr="008B1251">
              <w:rPr>
                <w:rFonts w:cs="Arial"/>
                <w:spacing w:val="-2"/>
                <w:sz w:val="18"/>
                <w:szCs w:val="18"/>
                <w:lang w:val="de-DE"/>
              </w:rPr>
              <w:t xml:space="preserve">vom CAJ im Oktober 2015 zu </w:t>
            </w:r>
            <w:r w:rsidR="004F1D16" w:rsidRPr="008B1251">
              <w:rPr>
                <w:rFonts w:cs="Arial"/>
                <w:spacing w:val="-2"/>
                <w:sz w:val="18"/>
                <w:szCs w:val="18"/>
                <w:lang w:val="de-DE"/>
              </w:rPr>
              <w:t>prüfen</w:t>
            </w:r>
          </w:p>
        </w:tc>
      </w:tr>
      <w:tr w:rsidR="005308C7" w:rsidRPr="0045684D" w:rsidTr="00EA7B64">
        <w:trPr>
          <w:cantSplit/>
          <w:jc w:val="center"/>
        </w:trPr>
        <w:tc>
          <w:tcPr>
            <w:tcW w:w="1741" w:type="dxa"/>
          </w:tcPr>
          <w:p w:rsidR="005308C7" w:rsidRPr="008B1251" w:rsidRDefault="005308C7" w:rsidP="00EA7B64">
            <w:pPr>
              <w:jc w:val="left"/>
              <w:rPr>
                <w:rFonts w:cs="Arial"/>
                <w:sz w:val="18"/>
                <w:szCs w:val="18"/>
                <w:lang w:val="de-DE"/>
              </w:rPr>
            </w:pPr>
            <w:r w:rsidRPr="008B1251">
              <w:rPr>
                <w:rFonts w:cs="Arial"/>
                <w:sz w:val="18"/>
                <w:szCs w:val="18"/>
                <w:lang w:val="de-DE"/>
              </w:rPr>
              <w:t>UPOV/EXN/HRV</w:t>
            </w:r>
          </w:p>
        </w:tc>
        <w:tc>
          <w:tcPr>
            <w:tcW w:w="4717" w:type="dxa"/>
          </w:tcPr>
          <w:p w:rsidR="005308C7" w:rsidRPr="008B1251" w:rsidRDefault="001435E2" w:rsidP="001435E2">
            <w:pPr>
              <w:jc w:val="left"/>
              <w:rPr>
                <w:rFonts w:cs="Arial"/>
                <w:sz w:val="18"/>
                <w:szCs w:val="18"/>
                <w:lang w:val="de-DE"/>
              </w:rPr>
            </w:pPr>
            <w:r w:rsidRPr="008B1251">
              <w:rPr>
                <w:sz w:val="18"/>
                <w:szCs w:val="18"/>
                <w:lang w:val="de-DE"/>
              </w:rPr>
              <w:t>Handlungen in bezug auf Erntegut nach der Akte von 1991 des UPOV</w:t>
            </w:r>
            <w:r w:rsidRPr="008B1251">
              <w:rPr>
                <w:sz w:val="18"/>
                <w:szCs w:val="18"/>
                <w:lang w:val="de-DE"/>
              </w:rPr>
              <w:noBreakHyphen/>
              <w:t>Übereinkommens</w:t>
            </w:r>
          </w:p>
        </w:tc>
        <w:tc>
          <w:tcPr>
            <w:tcW w:w="3912" w:type="dxa"/>
          </w:tcPr>
          <w:p w:rsidR="005308C7" w:rsidRPr="008B1251" w:rsidRDefault="00451BF6" w:rsidP="005308C7">
            <w:pPr>
              <w:jc w:val="left"/>
              <w:rPr>
                <w:rFonts w:cs="Arial"/>
                <w:color w:val="000000"/>
                <w:sz w:val="18"/>
                <w:szCs w:val="18"/>
                <w:lang w:val="de-DE"/>
              </w:rPr>
            </w:pPr>
            <w:r w:rsidRPr="008B1251">
              <w:rPr>
                <w:rFonts w:cs="Arial"/>
                <w:iCs/>
                <w:sz w:val="18"/>
                <w:szCs w:val="18"/>
                <w:lang w:val="de-DE"/>
              </w:rPr>
              <w:t xml:space="preserve">die Ausarbeitung des Dokuments UPOV/EXN/HRV/2 ist einzustellen </w:t>
            </w:r>
          </w:p>
        </w:tc>
      </w:tr>
      <w:tr w:rsidR="005308C7" w:rsidRPr="0045684D" w:rsidTr="00EA7B64">
        <w:trPr>
          <w:cantSplit/>
          <w:jc w:val="center"/>
        </w:trPr>
        <w:tc>
          <w:tcPr>
            <w:tcW w:w="1741" w:type="dxa"/>
          </w:tcPr>
          <w:p w:rsidR="005308C7" w:rsidRPr="008B1251" w:rsidRDefault="005308C7" w:rsidP="00EA7B64">
            <w:pPr>
              <w:jc w:val="left"/>
              <w:rPr>
                <w:rFonts w:cs="Arial"/>
                <w:color w:val="000000"/>
                <w:sz w:val="18"/>
                <w:szCs w:val="18"/>
                <w:lang w:val="de-DE"/>
              </w:rPr>
            </w:pPr>
            <w:r w:rsidRPr="008B1251">
              <w:rPr>
                <w:rFonts w:cs="Arial"/>
                <w:color w:val="000000"/>
                <w:sz w:val="18"/>
                <w:szCs w:val="18"/>
                <w:lang w:val="de-DE"/>
              </w:rPr>
              <w:t>UPOV/EXN/NUL</w:t>
            </w:r>
          </w:p>
        </w:tc>
        <w:tc>
          <w:tcPr>
            <w:tcW w:w="4717" w:type="dxa"/>
          </w:tcPr>
          <w:p w:rsidR="005308C7" w:rsidRPr="008B1251" w:rsidRDefault="001435E2" w:rsidP="001435E2">
            <w:pPr>
              <w:jc w:val="left"/>
              <w:rPr>
                <w:rFonts w:cs="Arial"/>
                <w:sz w:val="18"/>
                <w:szCs w:val="18"/>
                <w:lang w:val="de-DE"/>
              </w:rPr>
            </w:pPr>
            <w:r w:rsidRPr="008B1251">
              <w:rPr>
                <w:sz w:val="18"/>
                <w:szCs w:val="18"/>
                <w:lang w:val="de-DE"/>
              </w:rPr>
              <w:t>Nichtigkeit des Züchterrechts nach dem UPOV</w:t>
            </w:r>
            <w:r w:rsidRPr="008B1251">
              <w:rPr>
                <w:sz w:val="18"/>
                <w:szCs w:val="18"/>
                <w:lang w:val="de-DE"/>
              </w:rPr>
              <w:noBreakHyphen/>
              <w:t>Übereinkommen</w:t>
            </w:r>
          </w:p>
        </w:tc>
        <w:tc>
          <w:tcPr>
            <w:tcW w:w="3912" w:type="dxa"/>
          </w:tcPr>
          <w:p w:rsidR="005308C7" w:rsidRPr="008B1251" w:rsidRDefault="005308C7" w:rsidP="00EA7B64">
            <w:pPr>
              <w:jc w:val="left"/>
              <w:rPr>
                <w:rFonts w:cs="Arial"/>
                <w:sz w:val="18"/>
                <w:szCs w:val="18"/>
                <w:lang w:val="de-DE"/>
              </w:rPr>
            </w:pPr>
            <w:r w:rsidRPr="008B1251">
              <w:rPr>
                <w:rFonts w:cs="Arial"/>
                <w:spacing w:val="-2"/>
                <w:sz w:val="18"/>
                <w:szCs w:val="18"/>
                <w:lang w:val="de-DE"/>
              </w:rPr>
              <w:t>UPOV/EXN/NUL/2 Draft 3</w:t>
            </w:r>
            <w:r w:rsidR="00E623BF" w:rsidRPr="008B1251">
              <w:rPr>
                <w:rFonts w:cs="Arial"/>
                <w:spacing w:val="-2"/>
                <w:sz w:val="18"/>
                <w:szCs w:val="18"/>
                <w:lang w:val="de-DE"/>
              </w:rPr>
              <w:t>,</w:t>
            </w:r>
            <w:r w:rsidRPr="008B1251">
              <w:rPr>
                <w:rFonts w:cs="Arial"/>
                <w:spacing w:val="-2"/>
                <w:sz w:val="18"/>
                <w:szCs w:val="18"/>
                <w:lang w:val="de-DE"/>
              </w:rPr>
              <w:t xml:space="preserve"> </w:t>
            </w:r>
            <w:r w:rsidR="001435E2" w:rsidRPr="008B1251">
              <w:rPr>
                <w:rFonts w:cs="Arial"/>
                <w:spacing w:val="-2"/>
                <w:sz w:val="18"/>
                <w:szCs w:val="18"/>
                <w:lang w:val="de-DE"/>
              </w:rPr>
              <w:t xml:space="preserve">vom CAJ im März 2015 zu </w:t>
            </w:r>
            <w:r w:rsidR="004F1D16" w:rsidRPr="008B1251">
              <w:rPr>
                <w:rFonts w:cs="Arial"/>
                <w:spacing w:val="-2"/>
                <w:sz w:val="18"/>
                <w:szCs w:val="18"/>
                <w:lang w:val="de-DE"/>
              </w:rPr>
              <w:t>prüfen</w:t>
            </w:r>
          </w:p>
        </w:tc>
      </w:tr>
      <w:tr w:rsidR="005308C7" w:rsidRPr="0045684D" w:rsidTr="00EA7B64">
        <w:trPr>
          <w:cantSplit/>
          <w:jc w:val="center"/>
        </w:trPr>
        <w:tc>
          <w:tcPr>
            <w:tcW w:w="1741" w:type="dxa"/>
            <w:tcBorders>
              <w:bottom w:val="single" w:sz="2" w:space="0" w:color="auto"/>
            </w:tcBorders>
          </w:tcPr>
          <w:p w:rsidR="005308C7" w:rsidRPr="008B1251" w:rsidRDefault="005308C7" w:rsidP="00EA7B64">
            <w:pPr>
              <w:jc w:val="left"/>
              <w:rPr>
                <w:rFonts w:cs="Arial"/>
                <w:sz w:val="18"/>
                <w:szCs w:val="18"/>
                <w:lang w:val="de-DE"/>
              </w:rPr>
            </w:pPr>
            <w:r w:rsidRPr="008B1251">
              <w:rPr>
                <w:rFonts w:cs="Arial"/>
                <w:sz w:val="18"/>
                <w:szCs w:val="18"/>
                <w:lang w:val="de-DE"/>
              </w:rPr>
              <w:t>UPOV/EXN/PPM</w:t>
            </w:r>
          </w:p>
        </w:tc>
        <w:tc>
          <w:tcPr>
            <w:tcW w:w="4717" w:type="dxa"/>
            <w:tcBorders>
              <w:bottom w:val="single" w:sz="2" w:space="0" w:color="auto"/>
            </w:tcBorders>
          </w:tcPr>
          <w:p w:rsidR="005308C7" w:rsidRPr="008B1251" w:rsidRDefault="004F1D16" w:rsidP="004F1D16">
            <w:pPr>
              <w:jc w:val="left"/>
              <w:rPr>
                <w:rFonts w:cs="Arial"/>
                <w:sz w:val="18"/>
                <w:szCs w:val="18"/>
                <w:lang w:val="de-DE"/>
              </w:rPr>
            </w:pPr>
            <w:r w:rsidRPr="008B1251">
              <w:rPr>
                <w:sz w:val="18"/>
                <w:szCs w:val="18"/>
                <w:lang w:val="de-DE"/>
              </w:rPr>
              <w:t>Vermehrungsmaterial nach der Akte von 1991 des UPOV</w:t>
            </w:r>
            <w:r w:rsidRPr="008B1251">
              <w:rPr>
                <w:sz w:val="18"/>
                <w:szCs w:val="18"/>
                <w:lang w:val="de-DE"/>
              </w:rPr>
              <w:noBreakHyphen/>
              <w:t>Übereinkommens</w:t>
            </w:r>
          </w:p>
        </w:tc>
        <w:tc>
          <w:tcPr>
            <w:tcW w:w="3912" w:type="dxa"/>
            <w:tcBorders>
              <w:bottom w:val="single" w:sz="2" w:space="0" w:color="auto"/>
            </w:tcBorders>
          </w:tcPr>
          <w:p w:rsidR="005308C7" w:rsidRPr="008B1251" w:rsidRDefault="005308C7" w:rsidP="00E623BF">
            <w:pPr>
              <w:jc w:val="left"/>
              <w:rPr>
                <w:rFonts w:cs="Arial"/>
                <w:spacing w:val="-2"/>
                <w:sz w:val="18"/>
                <w:szCs w:val="18"/>
                <w:lang w:val="de-DE"/>
              </w:rPr>
            </w:pPr>
            <w:r w:rsidRPr="008B1251">
              <w:rPr>
                <w:rFonts w:cs="Arial"/>
                <w:spacing w:val="-2"/>
                <w:sz w:val="18"/>
                <w:szCs w:val="18"/>
                <w:lang w:val="de-DE"/>
              </w:rPr>
              <w:t>UPOV/EXN/PPM/1 Draft 4</w:t>
            </w:r>
            <w:r w:rsidR="00E623BF" w:rsidRPr="008B1251">
              <w:rPr>
                <w:rFonts w:cs="Arial"/>
                <w:spacing w:val="-2"/>
                <w:sz w:val="18"/>
                <w:szCs w:val="18"/>
                <w:lang w:val="de-DE"/>
              </w:rPr>
              <w:t xml:space="preserve">, </w:t>
            </w:r>
            <w:r w:rsidR="001435E2" w:rsidRPr="008B1251">
              <w:rPr>
                <w:rFonts w:cs="Arial"/>
                <w:spacing w:val="-2"/>
                <w:sz w:val="18"/>
                <w:szCs w:val="18"/>
                <w:lang w:val="de-DE"/>
              </w:rPr>
              <w:t xml:space="preserve">vom CAJ im März 2015 zu </w:t>
            </w:r>
            <w:r w:rsidR="004F1D16" w:rsidRPr="008B1251">
              <w:rPr>
                <w:rFonts w:cs="Arial"/>
                <w:spacing w:val="-2"/>
                <w:sz w:val="18"/>
                <w:szCs w:val="18"/>
                <w:lang w:val="de-DE"/>
              </w:rPr>
              <w:t>prüfen</w:t>
            </w:r>
          </w:p>
        </w:tc>
      </w:tr>
      <w:tr w:rsidR="005308C7" w:rsidRPr="0045684D" w:rsidTr="00EA7B64">
        <w:trPr>
          <w:cantSplit/>
          <w:jc w:val="center"/>
        </w:trPr>
        <w:tc>
          <w:tcPr>
            <w:tcW w:w="1741" w:type="dxa"/>
          </w:tcPr>
          <w:p w:rsidR="005308C7" w:rsidRPr="008B1251" w:rsidRDefault="005308C7" w:rsidP="00EA7B64">
            <w:pPr>
              <w:jc w:val="left"/>
              <w:rPr>
                <w:rFonts w:cs="Arial"/>
                <w:sz w:val="18"/>
                <w:szCs w:val="18"/>
                <w:lang w:val="de-DE"/>
              </w:rPr>
            </w:pPr>
            <w:r w:rsidRPr="008B1251">
              <w:rPr>
                <w:rFonts w:cs="Arial"/>
                <w:sz w:val="18"/>
                <w:szCs w:val="18"/>
                <w:lang w:val="de-DE"/>
              </w:rPr>
              <w:t>UPOV/EXN/PRP</w:t>
            </w:r>
          </w:p>
        </w:tc>
        <w:tc>
          <w:tcPr>
            <w:tcW w:w="4717" w:type="dxa"/>
          </w:tcPr>
          <w:p w:rsidR="005308C7" w:rsidRPr="008B1251" w:rsidRDefault="004F1D16" w:rsidP="00EA7B64">
            <w:pPr>
              <w:jc w:val="left"/>
              <w:rPr>
                <w:rFonts w:cs="Arial"/>
                <w:sz w:val="18"/>
                <w:szCs w:val="18"/>
                <w:lang w:val="de-DE"/>
              </w:rPr>
            </w:pPr>
            <w:r w:rsidRPr="008B1251">
              <w:rPr>
                <w:sz w:val="18"/>
                <w:szCs w:val="18"/>
                <w:lang w:val="de-DE"/>
              </w:rPr>
              <w:t>Vorläufiger Schutz nach dem UPOV-Übereinkommen</w:t>
            </w:r>
          </w:p>
        </w:tc>
        <w:tc>
          <w:tcPr>
            <w:tcW w:w="3912" w:type="dxa"/>
          </w:tcPr>
          <w:p w:rsidR="005308C7" w:rsidRPr="008B1251" w:rsidRDefault="005308C7" w:rsidP="00EA7B64">
            <w:pPr>
              <w:jc w:val="left"/>
              <w:rPr>
                <w:rFonts w:cs="Arial"/>
                <w:spacing w:val="-2"/>
                <w:sz w:val="18"/>
                <w:szCs w:val="18"/>
                <w:lang w:val="de-DE"/>
              </w:rPr>
            </w:pPr>
            <w:r w:rsidRPr="008B1251">
              <w:rPr>
                <w:rFonts w:cs="Arial"/>
                <w:spacing w:val="-2"/>
                <w:sz w:val="18"/>
                <w:szCs w:val="18"/>
                <w:lang w:val="de-DE"/>
              </w:rPr>
              <w:t>UPOV/EXN/PRP/2 Draft 3</w:t>
            </w:r>
            <w:r w:rsidR="00E623BF" w:rsidRPr="008B1251">
              <w:rPr>
                <w:rFonts w:cs="Arial"/>
                <w:spacing w:val="-2"/>
                <w:sz w:val="18"/>
                <w:szCs w:val="18"/>
                <w:lang w:val="de-DE"/>
              </w:rPr>
              <w:t>,</w:t>
            </w:r>
            <w:r w:rsidRPr="008B1251">
              <w:rPr>
                <w:rFonts w:cs="Arial"/>
                <w:spacing w:val="-2"/>
                <w:sz w:val="18"/>
                <w:szCs w:val="18"/>
                <w:lang w:val="de-DE"/>
              </w:rPr>
              <w:t xml:space="preserve"> </w:t>
            </w:r>
            <w:r w:rsidR="001435E2" w:rsidRPr="008B1251">
              <w:rPr>
                <w:rFonts w:cs="Arial"/>
                <w:spacing w:val="-2"/>
                <w:sz w:val="18"/>
                <w:szCs w:val="18"/>
                <w:lang w:val="de-DE"/>
              </w:rPr>
              <w:t xml:space="preserve">vom CAJ im März 2015 zu </w:t>
            </w:r>
            <w:r w:rsidR="004F1D16" w:rsidRPr="008B1251">
              <w:rPr>
                <w:rFonts w:cs="Arial"/>
                <w:spacing w:val="-2"/>
                <w:sz w:val="18"/>
                <w:szCs w:val="18"/>
                <w:lang w:val="de-DE"/>
              </w:rPr>
              <w:t>prüfen</w:t>
            </w:r>
          </w:p>
        </w:tc>
      </w:tr>
    </w:tbl>
    <w:p w:rsidR="005308C7" w:rsidRPr="008B1251" w:rsidRDefault="005308C7" w:rsidP="005308C7">
      <w:pPr>
        <w:rPr>
          <w:lang w:val="de-DE"/>
        </w:rPr>
      </w:pPr>
    </w:p>
    <w:p w:rsidR="00E00B59" w:rsidRDefault="00E00B59">
      <w:pPr>
        <w:jc w:val="left"/>
        <w:rPr>
          <w:i/>
          <w:lang w:val="de-DE"/>
        </w:rPr>
      </w:pPr>
      <w:r>
        <w:rPr>
          <w:i/>
          <w:lang w:val="de-DE"/>
        </w:rPr>
        <w:br w:type="page"/>
      </w:r>
    </w:p>
    <w:p w:rsidR="005308C7" w:rsidRPr="008B1251" w:rsidRDefault="00402138" w:rsidP="005308C7">
      <w:pPr>
        <w:rPr>
          <w:i/>
          <w:lang w:val="de-DE"/>
        </w:rPr>
      </w:pPr>
      <w:r w:rsidRPr="008B1251">
        <w:rPr>
          <w:i/>
          <w:lang w:val="de-DE"/>
        </w:rPr>
        <w:lastRenderedPageBreak/>
        <w:t>Information</w:t>
      </w:r>
      <w:r w:rsidR="004F1D16" w:rsidRPr="008B1251">
        <w:rPr>
          <w:i/>
          <w:lang w:val="de-DE"/>
        </w:rPr>
        <w:t>sd</w:t>
      </w:r>
      <w:r w:rsidR="000F24A8" w:rsidRPr="008B1251">
        <w:rPr>
          <w:i/>
          <w:lang w:val="de-DE"/>
        </w:rPr>
        <w:t>okumente</w:t>
      </w:r>
    </w:p>
    <w:p w:rsidR="005308C7" w:rsidRPr="008B1251" w:rsidRDefault="005308C7" w:rsidP="005308C7">
      <w:pPr>
        <w:rPr>
          <w:lang w:val="de-DE"/>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5308C7" w:rsidRPr="008B1251" w:rsidTr="00EA7B64">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5308C7" w:rsidRPr="008B1251" w:rsidRDefault="00211C8E" w:rsidP="00EA7B64">
            <w:pPr>
              <w:jc w:val="left"/>
              <w:rPr>
                <w:rFonts w:cs="Arial"/>
                <w:sz w:val="18"/>
                <w:szCs w:val="18"/>
                <w:lang w:val="de-DE"/>
              </w:rPr>
            </w:pPr>
            <w:r w:rsidRPr="008B1251">
              <w:rPr>
                <w:rFonts w:cs="Arial"/>
                <w:sz w:val="18"/>
                <w:szCs w:val="18"/>
                <w:lang w:val="de-DE"/>
              </w:rPr>
              <w:t>Jüngster Dokumentverweis</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5308C7" w:rsidRPr="008B1251" w:rsidRDefault="005308C7" w:rsidP="00211C8E">
            <w:pPr>
              <w:jc w:val="center"/>
              <w:rPr>
                <w:rFonts w:cs="Arial"/>
                <w:sz w:val="18"/>
                <w:szCs w:val="18"/>
                <w:lang w:val="de-DE"/>
              </w:rPr>
            </w:pPr>
            <w:r w:rsidRPr="008B1251">
              <w:rPr>
                <w:rFonts w:cs="Arial"/>
                <w:sz w:val="18"/>
                <w:szCs w:val="18"/>
                <w:lang w:val="de-DE"/>
              </w:rPr>
              <w:t>INF</w:t>
            </w:r>
            <w:r w:rsidR="00211C8E" w:rsidRPr="008B1251">
              <w:rPr>
                <w:rFonts w:cs="Arial"/>
                <w:sz w:val="18"/>
                <w:szCs w:val="18"/>
                <w:lang w:val="de-DE"/>
              </w:rPr>
              <w:t>-</w:t>
            </w:r>
            <w:r w:rsidR="000F24A8" w:rsidRPr="008B1251">
              <w:rPr>
                <w:rFonts w:cs="Arial"/>
                <w:sz w:val="18"/>
                <w:szCs w:val="18"/>
                <w:lang w:val="de-DE"/>
              </w:rPr>
              <w:t>Dokumente</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5308C7" w:rsidRPr="008B1251" w:rsidRDefault="005308C7" w:rsidP="00211C8E">
            <w:pPr>
              <w:jc w:val="left"/>
              <w:rPr>
                <w:rFonts w:cs="Arial"/>
                <w:sz w:val="18"/>
                <w:szCs w:val="18"/>
                <w:lang w:val="de-DE"/>
              </w:rPr>
            </w:pPr>
            <w:r w:rsidRPr="008B1251">
              <w:rPr>
                <w:rFonts w:cs="Arial"/>
                <w:sz w:val="18"/>
                <w:szCs w:val="18"/>
                <w:lang w:val="de-DE"/>
              </w:rPr>
              <w:t>Sta</w:t>
            </w:r>
            <w:r w:rsidR="00211C8E" w:rsidRPr="008B1251">
              <w:rPr>
                <w:rFonts w:cs="Arial"/>
                <w:sz w:val="18"/>
                <w:szCs w:val="18"/>
                <w:lang w:val="de-DE"/>
              </w:rPr>
              <w:t>nd</w:t>
            </w:r>
          </w:p>
        </w:tc>
      </w:tr>
      <w:tr w:rsidR="005308C7" w:rsidRPr="0045684D" w:rsidTr="00EA7B64">
        <w:trPr>
          <w:cantSplit/>
          <w:jc w:val="center"/>
        </w:trPr>
        <w:tc>
          <w:tcPr>
            <w:tcW w:w="1758" w:type="dxa"/>
          </w:tcPr>
          <w:p w:rsidR="005308C7" w:rsidRPr="008B1251" w:rsidRDefault="005308C7" w:rsidP="00EA7B64">
            <w:pPr>
              <w:jc w:val="left"/>
              <w:rPr>
                <w:rFonts w:cs="Arial"/>
                <w:sz w:val="18"/>
                <w:szCs w:val="18"/>
                <w:lang w:val="de-DE"/>
              </w:rPr>
            </w:pPr>
            <w:r w:rsidRPr="008B1251">
              <w:rPr>
                <w:rFonts w:cs="Arial"/>
                <w:sz w:val="18"/>
                <w:szCs w:val="18"/>
                <w:lang w:val="de-DE"/>
              </w:rPr>
              <w:t>UPOV/INF-EXN</w:t>
            </w:r>
          </w:p>
        </w:tc>
        <w:tc>
          <w:tcPr>
            <w:tcW w:w="4807" w:type="dxa"/>
          </w:tcPr>
          <w:p w:rsidR="005308C7" w:rsidRPr="008B1251" w:rsidRDefault="005308C7" w:rsidP="004F1D16">
            <w:pPr>
              <w:jc w:val="left"/>
              <w:rPr>
                <w:rFonts w:cs="Arial"/>
                <w:sz w:val="18"/>
                <w:szCs w:val="18"/>
                <w:lang w:val="de-DE"/>
              </w:rPr>
            </w:pPr>
            <w:r w:rsidRPr="008B1251">
              <w:rPr>
                <w:rFonts w:cs="Arial"/>
                <w:sz w:val="18"/>
                <w:szCs w:val="18"/>
                <w:lang w:val="de-DE"/>
              </w:rPr>
              <w:t>Lis</w:t>
            </w:r>
            <w:r w:rsidR="004F1D16" w:rsidRPr="008B1251">
              <w:rPr>
                <w:rFonts w:cs="Arial"/>
                <w:sz w:val="18"/>
                <w:szCs w:val="18"/>
                <w:lang w:val="de-DE"/>
              </w:rPr>
              <w:t>te</w:t>
            </w:r>
            <w:r w:rsidRPr="008B1251">
              <w:rPr>
                <w:rFonts w:cs="Arial"/>
                <w:sz w:val="18"/>
                <w:szCs w:val="18"/>
                <w:lang w:val="de-DE"/>
              </w:rPr>
              <w:t xml:space="preserve"> </w:t>
            </w:r>
            <w:r w:rsidR="004F1D16" w:rsidRPr="008B1251">
              <w:rPr>
                <w:rFonts w:cs="Arial"/>
                <w:sz w:val="18"/>
                <w:szCs w:val="18"/>
                <w:lang w:val="de-DE"/>
              </w:rPr>
              <w:t>der</w:t>
            </w:r>
            <w:r w:rsidRPr="008B1251">
              <w:rPr>
                <w:rFonts w:cs="Arial"/>
                <w:sz w:val="18"/>
                <w:szCs w:val="18"/>
                <w:lang w:val="de-DE"/>
              </w:rPr>
              <w:t xml:space="preserve"> UPOV/INF-EXN</w:t>
            </w:r>
            <w:r w:rsidR="004F1D16" w:rsidRPr="008B1251">
              <w:rPr>
                <w:rFonts w:cs="Arial"/>
                <w:sz w:val="18"/>
                <w:szCs w:val="18"/>
                <w:lang w:val="de-DE"/>
              </w:rPr>
              <w:t>-</w:t>
            </w:r>
            <w:r w:rsidR="000F24A8" w:rsidRPr="008B1251">
              <w:rPr>
                <w:rFonts w:cs="Arial"/>
                <w:sz w:val="18"/>
                <w:szCs w:val="18"/>
                <w:lang w:val="de-DE"/>
              </w:rPr>
              <w:t>Dokumente</w:t>
            </w:r>
            <w:r w:rsidRPr="008B1251">
              <w:rPr>
                <w:rFonts w:cs="Arial"/>
                <w:sz w:val="18"/>
                <w:szCs w:val="18"/>
                <w:lang w:val="de-DE"/>
              </w:rPr>
              <w:t xml:space="preserve"> </w:t>
            </w:r>
            <w:r w:rsidR="004F1D16" w:rsidRPr="008B1251">
              <w:rPr>
                <w:rFonts w:cs="Arial"/>
                <w:sz w:val="18"/>
                <w:szCs w:val="18"/>
                <w:lang w:val="de-DE"/>
              </w:rPr>
              <w:t>u</w:t>
            </w:r>
            <w:r w:rsidR="00E623BF" w:rsidRPr="008B1251">
              <w:rPr>
                <w:rFonts w:cs="Arial"/>
                <w:sz w:val="18"/>
                <w:szCs w:val="18"/>
                <w:lang w:val="de-DE"/>
              </w:rPr>
              <w:t>nd</w:t>
            </w:r>
            <w:r w:rsidR="004F1D16" w:rsidRPr="008B1251">
              <w:rPr>
                <w:rFonts w:cs="Arial"/>
                <w:sz w:val="18"/>
                <w:szCs w:val="18"/>
                <w:lang w:val="de-DE"/>
              </w:rPr>
              <w:t xml:space="preserve"> Datum der jüngsten Ausgabe</w:t>
            </w:r>
          </w:p>
        </w:tc>
        <w:tc>
          <w:tcPr>
            <w:tcW w:w="3920" w:type="dxa"/>
          </w:tcPr>
          <w:p w:rsidR="005308C7" w:rsidRPr="008B1251" w:rsidRDefault="005308C7" w:rsidP="00EA7B64">
            <w:pPr>
              <w:jc w:val="left"/>
              <w:rPr>
                <w:rFonts w:cs="Arial"/>
                <w:sz w:val="18"/>
                <w:szCs w:val="18"/>
                <w:lang w:val="de-DE"/>
              </w:rPr>
            </w:pPr>
            <w:r w:rsidRPr="008B1251">
              <w:rPr>
                <w:rFonts w:cs="Arial"/>
                <w:sz w:val="18"/>
                <w:szCs w:val="18"/>
                <w:lang w:val="de-DE"/>
              </w:rPr>
              <w:t>UPOV/INF-EXN/7</w:t>
            </w:r>
            <w:r w:rsidR="00E623BF" w:rsidRPr="008B1251">
              <w:rPr>
                <w:rFonts w:cs="Arial"/>
                <w:sz w:val="18"/>
                <w:szCs w:val="18"/>
                <w:lang w:val="de-DE"/>
              </w:rPr>
              <w:t>,</w:t>
            </w:r>
            <w:r w:rsidRPr="008B1251">
              <w:rPr>
                <w:rFonts w:cs="Arial"/>
                <w:sz w:val="18"/>
                <w:szCs w:val="18"/>
                <w:lang w:val="de-DE"/>
              </w:rPr>
              <w:t xml:space="preserve"> </w:t>
            </w:r>
            <w:r w:rsidR="001435E2" w:rsidRPr="008B1251">
              <w:rPr>
                <w:rFonts w:cs="Arial"/>
                <w:sz w:val="18"/>
                <w:szCs w:val="18"/>
                <w:lang w:val="de-DE"/>
              </w:rPr>
              <w:t xml:space="preserve">vom Rat im März 2015 zu </w:t>
            </w:r>
            <w:r w:rsidR="004F1D16" w:rsidRPr="008B1251">
              <w:rPr>
                <w:rFonts w:cs="Arial"/>
                <w:sz w:val="18"/>
                <w:szCs w:val="18"/>
                <w:lang w:val="de-DE"/>
              </w:rPr>
              <w:t>prüfen</w:t>
            </w:r>
          </w:p>
        </w:tc>
      </w:tr>
      <w:tr w:rsidR="005308C7" w:rsidRPr="0045684D" w:rsidTr="00EA7B64">
        <w:trPr>
          <w:cantSplit/>
          <w:jc w:val="center"/>
        </w:trPr>
        <w:tc>
          <w:tcPr>
            <w:tcW w:w="1758" w:type="dxa"/>
          </w:tcPr>
          <w:p w:rsidR="005308C7" w:rsidRPr="008B1251" w:rsidRDefault="005308C7" w:rsidP="00EA7B64">
            <w:pPr>
              <w:jc w:val="left"/>
              <w:rPr>
                <w:rFonts w:cs="Arial"/>
                <w:sz w:val="18"/>
                <w:szCs w:val="18"/>
                <w:lang w:val="de-DE"/>
              </w:rPr>
            </w:pPr>
            <w:r w:rsidRPr="008B1251">
              <w:rPr>
                <w:rFonts w:cs="Arial"/>
                <w:sz w:val="18"/>
                <w:szCs w:val="18"/>
                <w:lang w:val="de-DE"/>
              </w:rPr>
              <w:t>UPOV/INF/4</w:t>
            </w:r>
          </w:p>
        </w:tc>
        <w:tc>
          <w:tcPr>
            <w:tcW w:w="4807" w:type="dxa"/>
          </w:tcPr>
          <w:p w:rsidR="005308C7" w:rsidRPr="008B1251" w:rsidRDefault="004F1D16" w:rsidP="00EA7B64">
            <w:pPr>
              <w:jc w:val="left"/>
              <w:rPr>
                <w:rFonts w:cs="Arial"/>
                <w:sz w:val="18"/>
                <w:szCs w:val="18"/>
                <w:lang w:val="de-DE"/>
              </w:rPr>
            </w:pPr>
            <w:r w:rsidRPr="008B1251">
              <w:rPr>
                <w:sz w:val="18"/>
                <w:szCs w:val="18"/>
                <w:lang w:val="de-DE"/>
              </w:rPr>
              <w:t>Finanzordnung und ihre Durchführungsbestimmungen der UPOV</w:t>
            </w:r>
          </w:p>
        </w:tc>
        <w:tc>
          <w:tcPr>
            <w:tcW w:w="3920" w:type="dxa"/>
          </w:tcPr>
          <w:p w:rsidR="005308C7" w:rsidRPr="008B1251" w:rsidRDefault="005308C7" w:rsidP="005308C7">
            <w:pPr>
              <w:jc w:val="left"/>
              <w:rPr>
                <w:rFonts w:cs="Arial"/>
                <w:sz w:val="18"/>
                <w:szCs w:val="18"/>
                <w:lang w:val="de-DE"/>
              </w:rPr>
            </w:pPr>
            <w:r w:rsidRPr="008B1251">
              <w:rPr>
                <w:rFonts w:cs="Arial"/>
                <w:sz w:val="18"/>
                <w:szCs w:val="18"/>
                <w:lang w:val="de-DE"/>
              </w:rPr>
              <w:t>UPOV/INF/4/4</w:t>
            </w:r>
            <w:r w:rsidR="00E623BF" w:rsidRPr="008B1251">
              <w:rPr>
                <w:rFonts w:cs="Arial"/>
                <w:sz w:val="18"/>
                <w:szCs w:val="18"/>
                <w:lang w:val="de-DE"/>
              </w:rPr>
              <w:t>,</w:t>
            </w:r>
            <w:r w:rsidRPr="008B1251">
              <w:rPr>
                <w:rFonts w:cs="Arial"/>
                <w:sz w:val="18"/>
                <w:szCs w:val="18"/>
                <w:lang w:val="de-DE"/>
              </w:rPr>
              <w:t xml:space="preserve"> </w:t>
            </w:r>
            <w:r w:rsidR="001435E2" w:rsidRPr="008B1251">
              <w:rPr>
                <w:rFonts w:cs="Arial"/>
                <w:sz w:val="18"/>
                <w:szCs w:val="18"/>
                <w:lang w:val="de-DE"/>
              </w:rPr>
              <w:t xml:space="preserve">vom Rat im März 2015 zu </w:t>
            </w:r>
            <w:r w:rsidR="004F1D16" w:rsidRPr="008B1251">
              <w:rPr>
                <w:rFonts w:cs="Arial"/>
                <w:sz w:val="18"/>
                <w:szCs w:val="18"/>
                <w:lang w:val="de-DE"/>
              </w:rPr>
              <w:t>prüfen</w:t>
            </w:r>
          </w:p>
        </w:tc>
      </w:tr>
      <w:tr w:rsidR="005308C7" w:rsidRPr="0045684D" w:rsidTr="00EA7B64">
        <w:trPr>
          <w:cantSplit/>
          <w:jc w:val="center"/>
        </w:trPr>
        <w:tc>
          <w:tcPr>
            <w:tcW w:w="1758" w:type="dxa"/>
          </w:tcPr>
          <w:p w:rsidR="005308C7" w:rsidRPr="008B1251" w:rsidRDefault="005308C7" w:rsidP="00EA7B64">
            <w:pPr>
              <w:jc w:val="left"/>
              <w:rPr>
                <w:rFonts w:cs="Arial"/>
                <w:sz w:val="18"/>
                <w:szCs w:val="18"/>
                <w:lang w:val="de-DE"/>
              </w:rPr>
            </w:pPr>
            <w:r w:rsidRPr="008B1251">
              <w:rPr>
                <w:rFonts w:cs="Arial"/>
                <w:sz w:val="18"/>
                <w:szCs w:val="18"/>
                <w:lang w:val="de-DE"/>
              </w:rPr>
              <w:t>UPOV/INF/15</w:t>
            </w:r>
          </w:p>
        </w:tc>
        <w:tc>
          <w:tcPr>
            <w:tcW w:w="4807" w:type="dxa"/>
          </w:tcPr>
          <w:p w:rsidR="005308C7" w:rsidRPr="008B1251" w:rsidRDefault="004F1D16" w:rsidP="00EA7B64">
            <w:pPr>
              <w:jc w:val="left"/>
              <w:rPr>
                <w:rFonts w:cs="Arial"/>
                <w:sz w:val="18"/>
                <w:szCs w:val="18"/>
                <w:lang w:val="de-DE"/>
              </w:rPr>
            </w:pPr>
            <w:r w:rsidRPr="008B1251">
              <w:rPr>
                <w:sz w:val="18"/>
                <w:szCs w:val="18"/>
                <w:lang w:val="de-DE"/>
              </w:rPr>
              <w:t>Anleitung für Mitglieder der UPOV zu laufenden Verpflichtungen und den damit verbundenen Notifizierungen und zur Erteilung von Informationen zu</w:t>
            </w:r>
            <w:r w:rsidR="00FA09FA" w:rsidRPr="008B1251">
              <w:rPr>
                <w:sz w:val="18"/>
                <w:szCs w:val="18"/>
                <w:lang w:val="de-DE"/>
              </w:rPr>
              <w:t>r</w:t>
            </w:r>
            <w:r w:rsidRPr="008B1251">
              <w:rPr>
                <w:sz w:val="18"/>
                <w:szCs w:val="18"/>
                <w:lang w:val="de-DE"/>
              </w:rPr>
              <w:t xml:space="preserve"> Erleichterung der Zusammenarbeit</w:t>
            </w:r>
          </w:p>
        </w:tc>
        <w:tc>
          <w:tcPr>
            <w:tcW w:w="3920" w:type="dxa"/>
          </w:tcPr>
          <w:p w:rsidR="005308C7" w:rsidRPr="008B1251" w:rsidRDefault="005308C7" w:rsidP="00EA7B64">
            <w:pPr>
              <w:jc w:val="left"/>
              <w:rPr>
                <w:rFonts w:cs="Arial"/>
                <w:sz w:val="18"/>
                <w:szCs w:val="18"/>
                <w:lang w:val="de-DE"/>
              </w:rPr>
            </w:pPr>
            <w:r w:rsidRPr="008B1251">
              <w:rPr>
                <w:rFonts w:cs="Arial"/>
                <w:sz w:val="18"/>
                <w:szCs w:val="18"/>
                <w:lang w:val="de-DE"/>
              </w:rPr>
              <w:t>UPOV/INF/15/3</w:t>
            </w:r>
            <w:r w:rsidR="00E623BF" w:rsidRPr="008B1251">
              <w:rPr>
                <w:rFonts w:cs="Arial"/>
                <w:sz w:val="18"/>
                <w:szCs w:val="18"/>
                <w:lang w:val="de-DE"/>
              </w:rPr>
              <w:t>,</w:t>
            </w:r>
            <w:r w:rsidRPr="008B1251">
              <w:rPr>
                <w:rFonts w:cs="Arial"/>
                <w:sz w:val="18"/>
                <w:szCs w:val="18"/>
                <w:lang w:val="de-DE"/>
              </w:rPr>
              <w:t xml:space="preserve"> </w:t>
            </w:r>
            <w:r w:rsidR="001435E2" w:rsidRPr="008B1251">
              <w:rPr>
                <w:rFonts w:cs="Arial"/>
                <w:sz w:val="18"/>
                <w:szCs w:val="18"/>
                <w:lang w:val="de-DE"/>
              </w:rPr>
              <w:t xml:space="preserve">vom Rat im März 2015 zu </w:t>
            </w:r>
            <w:r w:rsidR="004F1D16" w:rsidRPr="008B1251">
              <w:rPr>
                <w:rFonts w:cs="Arial"/>
                <w:sz w:val="18"/>
                <w:szCs w:val="18"/>
                <w:lang w:val="de-DE"/>
              </w:rPr>
              <w:t>prüfen</w:t>
            </w:r>
          </w:p>
        </w:tc>
      </w:tr>
      <w:tr w:rsidR="005308C7" w:rsidRPr="0045684D" w:rsidTr="00EA7B64">
        <w:trPr>
          <w:cantSplit/>
          <w:jc w:val="center"/>
        </w:trPr>
        <w:tc>
          <w:tcPr>
            <w:tcW w:w="1758" w:type="dxa"/>
          </w:tcPr>
          <w:p w:rsidR="005308C7" w:rsidRPr="008B1251" w:rsidRDefault="005308C7" w:rsidP="00EA7B64">
            <w:pPr>
              <w:jc w:val="left"/>
              <w:rPr>
                <w:rFonts w:cs="Arial"/>
                <w:sz w:val="18"/>
                <w:szCs w:val="18"/>
                <w:lang w:val="de-DE"/>
              </w:rPr>
            </w:pPr>
            <w:r w:rsidRPr="008B1251">
              <w:rPr>
                <w:rFonts w:cs="Arial"/>
                <w:sz w:val="18"/>
                <w:szCs w:val="18"/>
                <w:lang w:val="de-DE"/>
              </w:rPr>
              <w:t>UPOV/INF/16</w:t>
            </w:r>
          </w:p>
        </w:tc>
        <w:tc>
          <w:tcPr>
            <w:tcW w:w="4807" w:type="dxa"/>
          </w:tcPr>
          <w:p w:rsidR="005308C7" w:rsidRPr="008B1251" w:rsidRDefault="004F1D16" w:rsidP="00EA7B64">
            <w:pPr>
              <w:jc w:val="left"/>
              <w:rPr>
                <w:rFonts w:cs="Arial"/>
                <w:sz w:val="18"/>
                <w:szCs w:val="18"/>
                <w:lang w:val="de-DE"/>
              </w:rPr>
            </w:pPr>
            <w:r w:rsidRPr="008B1251">
              <w:rPr>
                <w:rFonts w:cs="Arial"/>
                <w:sz w:val="18"/>
                <w:szCs w:val="18"/>
                <w:lang w:val="de-DE"/>
              </w:rPr>
              <w:t>Austauschbare</w:t>
            </w:r>
            <w:r w:rsidR="005308C7" w:rsidRPr="008B1251">
              <w:rPr>
                <w:rFonts w:cs="Arial"/>
                <w:sz w:val="18"/>
                <w:szCs w:val="18"/>
                <w:lang w:val="de-DE"/>
              </w:rPr>
              <w:t xml:space="preserve"> Software</w:t>
            </w:r>
          </w:p>
        </w:tc>
        <w:tc>
          <w:tcPr>
            <w:tcW w:w="3920" w:type="dxa"/>
          </w:tcPr>
          <w:p w:rsidR="005308C7" w:rsidRPr="008B1251" w:rsidRDefault="00402138" w:rsidP="00EA7B64">
            <w:pPr>
              <w:jc w:val="left"/>
              <w:rPr>
                <w:rFonts w:cs="Arial"/>
                <w:strike/>
                <w:sz w:val="18"/>
                <w:szCs w:val="18"/>
                <w:lang w:val="de-DE"/>
              </w:rPr>
            </w:pPr>
            <w:r w:rsidRPr="008B1251">
              <w:rPr>
                <w:rFonts w:cs="Arial"/>
                <w:sz w:val="18"/>
                <w:szCs w:val="18"/>
                <w:lang w:val="de-DE"/>
              </w:rPr>
              <w:t>UPOV/INF/16/5</w:t>
            </w:r>
            <w:r w:rsidR="00E623BF" w:rsidRPr="008B1251">
              <w:rPr>
                <w:rFonts w:cs="Arial"/>
                <w:sz w:val="18"/>
                <w:szCs w:val="18"/>
                <w:lang w:val="de-DE"/>
              </w:rPr>
              <w:t>,</w:t>
            </w:r>
            <w:r w:rsidR="005308C7" w:rsidRPr="008B1251">
              <w:rPr>
                <w:rFonts w:cs="Arial"/>
                <w:sz w:val="18"/>
                <w:szCs w:val="18"/>
                <w:lang w:val="de-DE"/>
              </w:rPr>
              <w:t xml:space="preserve"> </w:t>
            </w:r>
            <w:r w:rsidR="001435E2" w:rsidRPr="008B1251">
              <w:rPr>
                <w:rFonts w:cs="Arial"/>
                <w:sz w:val="18"/>
                <w:szCs w:val="18"/>
                <w:lang w:val="de-DE"/>
              </w:rPr>
              <w:t xml:space="preserve">vom Rat im Oktober 2015 zu </w:t>
            </w:r>
            <w:r w:rsidR="00451BF6" w:rsidRPr="008B1251">
              <w:rPr>
                <w:rFonts w:cs="Arial"/>
                <w:sz w:val="18"/>
                <w:szCs w:val="18"/>
                <w:lang w:val="de-DE"/>
              </w:rPr>
              <w:t>prüfen</w:t>
            </w:r>
          </w:p>
        </w:tc>
      </w:tr>
      <w:tr w:rsidR="005308C7" w:rsidRPr="0045684D" w:rsidTr="00EA7B64">
        <w:trPr>
          <w:cantSplit/>
          <w:jc w:val="center"/>
        </w:trPr>
        <w:tc>
          <w:tcPr>
            <w:tcW w:w="1758" w:type="dxa"/>
          </w:tcPr>
          <w:p w:rsidR="005308C7" w:rsidRPr="008B1251" w:rsidRDefault="005308C7" w:rsidP="00EA7B64">
            <w:pPr>
              <w:rPr>
                <w:sz w:val="18"/>
                <w:szCs w:val="18"/>
                <w:lang w:val="de-DE"/>
              </w:rPr>
            </w:pPr>
            <w:r w:rsidRPr="008B1251">
              <w:rPr>
                <w:sz w:val="18"/>
                <w:szCs w:val="18"/>
                <w:lang w:val="de-DE"/>
              </w:rPr>
              <w:t>UPOV/INF/22</w:t>
            </w:r>
          </w:p>
        </w:tc>
        <w:tc>
          <w:tcPr>
            <w:tcW w:w="4807" w:type="dxa"/>
          </w:tcPr>
          <w:p w:rsidR="005308C7" w:rsidRPr="008B1251" w:rsidRDefault="004F1D16" w:rsidP="00EA7B64">
            <w:pPr>
              <w:rPr>
                <w:sz w:val="18"/>
                <w:szCs w:val="18"/>
                <w:lang w:val="de-DE"/>
              </w:rPr>
            </w:pPr>
            <w:r w:rsidRPr="008B1251">
              <w:rPr>
                <w:sz w:val="18"/>
                <w:szCs w:val="18"/>
                <w:lang w:val="de-DE"/>
              </w:rPr>
              <w:t>Von Verbandsmitgliedern verwendete Software und Ausrüstung</w:t>
            </w:r>
          </w:p>
        </w:tc>
        <w:tc>
          <w:tcPr>
            <w:tcW w:w="3920" w:type="dxa"/>
          </w:tcPr>
          <w:p w:rsidR="005308C7" w:rsidRPr="008B1251" w:rsidRDefault="00402138" w:rsidP="00EA7B64">
            <w:pPr>
              <w:jc w:val="left"/>
              <w:rPr>
                <w:sz w:val="18"/>
                <w:szCs w:val="18"/>
                <w:lang w:val="de-DE"/>
              </w:rPr>
            </w:pPr>
            <w:r w:rsidRPr="008B1251">
              <w:rPr>
                <w:sz w:val="18"/>
                <w:szCs w:val="18"/>
                <w:lang w:val="de-DE"/>
              </w:rPr>
              <w:t>UPOV/INF/22/2</w:t>
            </w:r>
            <w:r w:rsidR="00E623BF" w:rsidRPr="008B1251">
              <w:rPr>
                <w:sz w:val="18"/>
                <w:szCs w:val="18"/>
                <w:lang w:val="de-DE"/>
              </w:rPr>
              <w:t>,</w:t>
            </w:r>
            <w:r w:rsidR="005308C7" w:rsidRPr="008B1251">
              <w:rPr>
                <w:sz w:val="18"/>
                <w:szCs w:val="18"/>
                <w:lang w:val="de-DE"/>
              </w:rPr>
              <w:t xml:space="preserve"> </w:t>
            </w:r>
            <w:r w:rsidR="001435E2" w:rsidRPr="008B1251">
              <w:rPr>
                <w:rFonts w:cs="Arial"/>
                <w:sz w:val="18"/>
                <w:szCs w:val="18"/>
                <w:lang w:val="de-DE"/>
              </w:rPr>
              <w:t xml:space="preserve">vom Rat im Oktober 2015 zu </w:t>
            </w:r>
            <w:r w:rsidR="00451BF6" w:rsidRPr="008B1251">
              <w:rPr>
                <w:rFonts w:cs="Arial"/>
                <w:sz w:val="18"/>
                <w:szCs w:val="18"/>
                <w:lang w:val="de-DE"/>
              </w:rPr>
              <w:t>prüfen</w:t>
            </w:r>
          </w:p>
        </w:tc>
      </w:tr>
    </w:tbl>
    <w:p w:rsidR="005308C7" w:rsidRPr="008B1251" w:rsidRDefault="005308C7" w:rsidP="005308C7">
      <w:pPr>
        <w:rPr>
          <w:lang w:val="de-DE"/>
        </w:rPr>
      </w:pPr>
    </w:p>
    <w:p w:rsidR="001D140D" w:rsidRPr="008B1251" w:rsidRDefault="001D140D" w:rsidP="001D140D">
      <w:pPr>
        <w:rPr>
          <w:lang w:val="de-DE"/>
        </w:rPr>
      </w:pPr>
    </w:p>
    <w:p w:rsidR="001D140D" w:rsidRPr="008B1251" w:rsidRDefault="00A55B16" w:rsidP="00402138">
      <w:pPr>
        <w:pStyle w:val="Heading1"/>
        <w:rPr>
          <w:color w:val="auto"/>
          <w:lang w:val="de-DE"/>
        </w:rPr>
      </w:pPr>
      <w:bookmarkStart w:id="95" w:name="_Toc413078852"/>
      <w:bookmarkStart w:id="96" w:name="_Toc413311302"/>
      <w:bookmarkStart w:id="97" w:name="_Toc413311678"/>
      <w:bookmarkStart w:id="98" w:name="_Toc413335717"/>
      <w:r w:rsidRPr="008B1251">
        <w:rPr>
          <w:color w:val="auto"/>
          <w:lang w:val="de-DE"/>
        </w:rPr>
        <w:t>UPOV</w:t>
      </w:r>
      <w:r w:rsidR="004F1D16" w:rsidRPr="008B1251">
        <w:rPr>
          <w:color w:val="auto"/>
          <w:lang w:val="de-DE"/>
        </w:rPr>
        <w:t>-</w:t>
      </w:r>
      <w:r w:rsidR="000F24A8" w:rsidRPr="008B1251">
        <w:rPr>
          <w:color w:val="auto"/>
          <w:lang w:val="de-DE"/>
        </w:rPr>
        <w:t>Dokumente</w:t>
      </w:r>
      <w:bookmarkEnd w:id="95"/>
      <w:bookmarkEnd w:id="96"/>
      <w:bookmarkEnd w:id="97"/>
      <w:bookmarkEnd w:id="98"/>
    </w:p>
    <w:p w:rsidR="001D140D" w:rsidRPr="008B1251" w:rsidRDefault="001D140D" w:rsidP="00402138">
      <w:pPr>
        <w:keepNext/>
        <w:rPr>
          <w:lang w:val="de-DE"/>
        </w:rPr>
      </w:pPr>
    </w:p>
    <w:p w:rsidR="00A326E8" w:rsidRPr="008B1251" w:rsidRDefault="00A326E8" w:rsidP="002E1C71">
      <w:pPr>
        <w:pStyle w:val="Heading2"/>
      </w:pPr>
      <w:bookmarkStart w:id="99" w:name="_Toc413078853"/>
      <w:bookmarkStart w:id="100" w:name="_Toc413311303"/>
      <w:bookmarkStart w:id="101" w:name="_Toc413311679"/>
      <w:bookmarkStart w:id="102" w:name="_Toc413335718"/>
      <w:r w:rsidRPr="008B1251">
        <w:t>Histori</w:t>
      </w:r>
      <w:r w:rsidR="004420C1" w:rsidRPr="008B1251">
        <w:t>s</w:t>
      </w:r>
      <w:r w:rsidRPr="008B1251">
        <w:t>c</w:t>
      </w:r>
      <w:r w:rsidR="004420C1" w:rsidRPr="008B1251">
        <w:t>he</w:t>
      </w:r>
      <w:r w:rsidRPr="008B1251">
        <w:t xml:space="preserve"> </w:t>
      </w:r>
      <w:r w:rsidR="000F24A8" w:rsidRPr="008B1251">
        <w:t>Dokumente</w:t>
      </w:r>
      <w:r w:rsidRPr="008B1251">
        <w:t xml:space="preserve"> </w:t>
      </w:r>
      <w:r w:rsidR="004420C1" w:rsidRPr="008B1251">
        <w:t xml:space="preserve">auf der </w:t>
      </w:r>
      <w:r w:rsidRPr="008B1251">
        <w:t>UPOV</w:t>
      </w:r>
      <w:r w:rsidR="004420C1" w:rsidRPr="008B1251">
        <w:t>-W</w:t>
      </w:r>
      <w:r w:rsidRPr="008B1251">
        <w:t>ebsite</w:t>
      </w:r>
      <w:bookmarkEnd w:id="99"/>
      <w:bookmarkEnd w:id="100"/>
      <w:bookmarkEnd w:id="101"/>
      <w:bookmarkEnd w:id="102"/>
    </w:p>
    <w:p w:rsidR="00A326E8" w:rsidRPr="008B1251" w:rsidRDefault="00A326E8" w:rsidP="00A326E8">
      <w:pPr>
        <w:rPr>
          <w:lang w:val="de-DE"/>
        </w:rPr>
      </w:pPr>
    </w:p>
    <w:p w:rsidR="00A326E8" w:rsidRPr="008B1251" w:rsidRDefault="00A326E8" w:rsidP="00A326E8">
      <w:pPr>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4420C1" w:rsidRPr="008B1251">
        <w:rPr>
          <w:lang w:val="de-DE"/>
        </w:rPr>
        <w:t>R</w:t>
      </w:r>
      <w:r w:rsidRPr="008B1251">
        <w:rPr>
          <w:lang w:val="de-DE"/>
        </w:rPr>
        <w:t>und 7</w:t>
      </w:r>
      <w:r w:rsidR="004420C1" w:rsidRPr="008B1251">
        <w:rPr>
          <w:lang w:val="de-DE"/>
        </w:rPr>
        <w:t> </w:t>
      </w:r>
      <w:r w:rsidRPr="008B1251">
        <w:rPr>
          <w:lang w:val="de-DE"/>
        </w:rPr>
        <w:t>000 UPOV</w:t>
      </w:r>
      <w:r w:rsidR="004420C1" w:rsidRPr="008B1251">
        <w:rPr>
          <w:lang w:val="de-DE"/>
        </w:rPr>
        <w:t>-</w:t>
      </w:r>
      <w:r w:rsidR="000F24A8" w:rsidRPr="008B1251">
        <w:rPr>
          <w:lang w:val="de-DE"/>
        </w:rPr>
        <w:t>Dokumente</w:t>
      </w:r>
      <w:r w:rsidRPr="008B1251">
        <w:rPr>
          <w:lang w:val="de-DE"/>
        </w:rPr>
        <w:t xml:space="preserve">, </w:t>
      </w:r>
      <w:r w:rsidR="004420C1" w:rsidRPr="008B1251">
        <w:rPr>
          <w:lang w:val="de-DE"/>
        </w:rPr>
        <w:t xml:space="preserve">die zuvor auf der </w:t>
      </w:r>
      <w:r w:rsidR="00EA7B64" w:rsidRPr="008B1251">
        <w:rPr>
          <w:lang w:val="de-DE"/>
        </w:rPr>
        <w:t>UPOV</w:t>
      </w:r>
      <w:r w:rsidR="004420C1" w:rsidRPr="008B1251">
        <w:rPr>
          <w:lang w:val="de-DE"/>
        </w:rPr>
        <w:t>-W</w:t>
      </w:r>
      <w:r w:rsidR="00EA7B64" w:rsidRPr="008B1251">
        <w:rPr>
          <w:lang w:val="de-DE"/>
        </w:rPr>
        <w:t>ebsite</w:t>
      </w:r>
      <w:r w:rsidR="004420C1" w:rsidRPr="008B1251">
        <w:rPr>
          <w:lang w:val="de-DE"/>
        </w:rPr>
        <w:t xml:space="preserve"> nicht verfügbar waren, wurden </w:t>
      </w:r>
      <w:r w:rsidR="004420C1" w:rsidRPr="008B1251">
        <w:rPr>
          <w:rFonts w:cs="Arial"/>
          <w:lang w:val="de-DE"/>
        </w:rPr>
        <w:t xml:space="preserve">eingescannt und als </w:t>
      </w:r>
      <w:r w:rsidR="00451BF6" w:rsidRPr="008B1251">
        <w:rPr>
          <w:rFonts w:cs="Arial"/>
          <w:lang w:val="de-DE"/>
        </w:rPr>
        <w:t>elektronische</w:t>
      </w:r>
      <w:r w:rsidR="004420C1" w:rsidRPr="008B1251">
        <w:rPr>
          <w:rFonts w:cs="Arial"/>
          <w:lang w:val="de-DE"/>
        </w:rPr>
        <w:t xml:space="preserve">, </w:t>
      </w:r>
      <w:r w:rsidR="004420C1" w:rsidRPr="00EF1423">
        <w:rPr>
          <w:rFonts w:cs="Arial"/>
          <w:lang w:val="de-DE"/>
        </w:rPr>
        <w:t xml:space="preserve">Word-erkennbare </w:t>
      </w:r>
      <w:r w:rsidR="000F24A8" w:rsidRPr="00EF1423">
        <w:rPr>
          <w:rFonts w:cs="Arial"/>
          <w:lang w:val="de-DE"/>
        </w:rPr>
        <w:t>Do</w:t>
      </w:r>
      <w:r w:rsidR="000F24A8" w:rsidRPr="008B1251">
        <w:rPr>
          <w:rFonts w:cs="Arial"/>
          <w:lang w:val="de-DE"/>
        </w:rPr>
        <w:t>kumente</w:t>
      </w:r>
      <w:r w:rsidR="004420C1" w:rsidRPr="008B1251">
        <w:rPr>
          <w:rFonts w:cs="Arial"/>
          <w:lang w:val="de-DE"/>
        </w:rPr>
        <w:t xml:space="preserve"> reproduziert</w:t>
      </w:r>
      <w:r w:rsidRPr="008B1251">
        <w:rPr>
          <w:rFonts w:cs="Arial"/>
          <w:lang w:val="de-DE"/>
        </w:rPr>
        <w:t xml:space="preserve">. </w:t>
      </w:r>
      <w:r w:rsidR="004420C1" w:rsidRPr="008B1251">
        <w:rPr>
          <w:rFonts w:cs="Arial"/>
          <w:lang w:val="de-DE"/>
        </w:rPr>
        <w:t xml:space="preserve">Die </w:t>
      </w:r>
      <w:r w:rsidR="00451BF6" w:rsidRPr="008B1251">
        <w:rPr>
          <w:rFonts w:cs="Arial"/>
          <w:lang w:val="de-DE"/>
        </w:rPr>
        <w:t>Aufzeichnungen</w:t>
      </w:r>
      <w:r w:rsidR="004420C1" w:rsidRPr="008B1251">
        <w:rPr>
          <w:rFonts w:cs="Arial"/>
          <w:lang w:val="de-DE"/>
        </w:rPr>
        <w:t xml:space="preserve"> </w:t>
      </w:r>
      <w:r w:rsidR="001451C9" w:rsidRPr="008B1251">
        <w:rPr>
          <w:rFonts w:cs="Arial"/>
          <w:lang w:val="de-DE"/>
        </w:rPr>
        <w:t>der</w:t>
      </w:r>
      <w:r w:rsidR="004420C1" w:rsidRPr="008B1251">
        <w:rPr>
          <w:rFonts w:cs="Arial"/>
          <w:lang w:val="de-DE"/>
        </w:rPr>
        <w:t xml:space="preserve"> Diplomatischen Konferenzen über die </w:t>
      </w:r>
      <w:r w:rsidR="00451BF6" w:rsidRPr="008B1251">
        <w:rPr>
          <w:rFonts w:cs="Arial"/>
          <w:lang w:val="de-DE"/>
        </w:rPr>
        <w:t>Überarbeitungen</w:t>
      </w:r>
      <w:r w:rsidR="004420C1" w:rsidRPr="008B1251">
        <w:rPr>
          <w:rFonts w:cs="Arial"/>
          <w:lang w:val="de-DE"/>
        </w:rPr>
        <w:t xml:space="preserve"> des </w:t>
      </w:r>
      <w:r w:rsidR="00451BF6" w:rsidRPr="008B1251">
        <w:rPr>
          <w:rFonts w:cs="Arial"/>
          <w:lang w:val="de-DE"/>
        </w:rPr>
        <w:t>UPOV</w:t>
      </w:r>
      <w:r w:rsidR="004420C1" w:rsidRPr="008B1251">
        <w:rPr>
          <w:rFonts w:cs="Arial"/>
          <w:lang w:val="de-DE"/>
        </w:rPr>
        <w:t xml:space="preserve">-Übereinkommen, </w:t>
      </w:r>
      <w:r w:rsidR="001451C9" w:rsidRPr="008B1251">
        <w:rPr>
          <w:rFonts w:cs="Arial"/>
          <w:lang w:val="de-DE"/>
        </w:rPr>
        <w:t>die Dokument</w:t>
      </w:r>
      <w:r w:rsidR="00197EA8" w:rsidRPr="008B1251">
        <w:rPr>
          <w:rFonts w:cs="Arial"/>
          <w:lang w:val="de-DE"/>
        </w:rPr>
        <w:t>e über Zusam</w:t>
      </w:r>
      <w:r w:rsidR="001451C9" w:rsidRPr="008B1251">
        <w:rPr>
          <w:rFonts w:cs="Arial"/>
          <w:lang w:val="de-DE"/>
        </w:rPr>
        <w:t>m</w:t>
      </w:r>
      <w:r w:rsidR="00197EA8" w:rsidRPr="008B1251">
        <w:rPr>
          <w:rFonts w:cs="Arial"/>
          <w:lang w:val="de-DE"/>
        </w:rPr>
        <w:t>e</w:t>
      </w:r>
      <w:r w:rsidR="001451C9" w:rsidRPr="008B1251">
        <w:rPr>
          <w:rFonts w:cs="Arial"/>
          <w:lang w:val="de-DE"/>
        </w:rPr>
        <w:t>nkünfte der UPOV mit internationalen Organisationen (IOM-Dokumente) und Themen de</w:t>
      </w:r>
      <w:r w:rsidR="00F44588" w:rsidRPr="008B1251">
        <w:rPr>
          <w:rFonts w:cs="Arial"/>
          <w:lang w:val="de-DE"/>
        </w:rPr>
        <w:t>r</w:t>
      </w:r>
      <w:r w:rsidR="001451C9" w:rsidRPr="008B1251">
        <w:rPr>
          <w:rFonts w:cs="Arial"/>
          <w:lang w:val="de-DE"/>
        </w:rPr>
        <w:t xml:space="preserve"> </w:t>
      </w:r>
      <w:r w:rsidR="00197EA8" w:rsidRPr="008B1251">
        <w:rPr>
          <w:rFonts w:cs="Arial"/>
          <w:i/>
          <w:iCs/>
          <w:color w:val="000000"/>
          <w:lang w:val="de-DE"/>
        </w:rPr>
        <w:t>Gazette and Newsletter</w:t>
      </w:r>
      <w:r w:rsidR="00197EA8" w:rsidRPr="008B1251">
        <w:rPr>
          <w:rFonts w:cs="Arial"/>
          <w:color w:val="000000"/>
          <w:lang w:val="de-DE"/>
        </w:rPr>
        <w:t xml:space="preserve"> </w:t>
      </w:r>
      <w:r w:rsidR="00F44588" w:rsidRPr="008B1251">
        <w:rPr>
          <w:rFonts w:cs="Arial"/>
          <w:i/>
          <w:iCs/>
          <w:color w:val="000000"/>
          <w:lang w:val="de-DE"/>
        </w:rPr>
        <w:t xml:space="preserve">„Plant Variety Protection“ </w:t>
      </w:r>
      <w:r w:rsidR="004420C1" w:rsidRPr="008B1251">
        <w:rPr>
          <w:rFonts w:cs="Arial"/>
          <w:lang w:val="de-DE"/>
        </w:rPr>
        <w:t xml:space="preserve">waren zuvor ebenfalls auf die UPOV-Website </w:t>
      </w:r>
      <w:r w:rsidR="00451BF6" w:rsidRPr="008B1251">
        <w:rPr>
          <w:rFonts w:cs="Arial"/>
          <w:lang w:val="de-DE"/>
        </w:rPr>
        <w:t>hoch</w:t>
      </w:r>
      <w:r w:rsidR="00F44588" w:rsidRPr="008B1251">
        <w:rPr>
          <w:rFonts w:cs="Arial"/>
          <w:lang w:val="de-DE"/>
        </w:rPr>
        <w:t>g</w:t>
      </w:r>
      <w:r w:rsidR="00451BF6" w:rsidRPr="008B1251">
        <w:rPr>
          <w:rFonts w:cs="Arial"/>
          <w:lang w:val="de-DE"/>
        </w:rPr>
        <w:t>eladen</w:t>
      </w:r>
      <w:r w:rsidR="004420C1" w:rsidRPr="008B1251">
        <w:rPr>
          <w:rFonts w:cs="Arial"/>
          <w:lang w:val="de-DE"/>
        </w:rPr>
        <w:t xml:space="preserve"> </w:t>
      </w:r>
      <w:r w:rsidR="00451BF6" w:rsidRPr="008B1251">
        <w:rPr>
          <w:rFonts w:cs="Arial"/>
          <w:lang w:val="de-DE"/>
        </w:rPr>
        <w:t>worden</w:t>
      </w:r>
      <w:r w:rsidR="004420C1" w:rsidRPr="008B1251">
        <w:rPr>
          <w:rFonts w:cs="Arial"/>
          <w:lang w:val="de-DE"/>
        </w:rPr>
        <w:t>.</w:t>
      </w:r>
      <w:r w:rsidRPr="008B1251">
        <w:rPr>
          <w:rFonts w:cs="Arial"/>
          <w:lang w:val="de-DE"/>
        </w:rPr>
        <w:t xml:space="preserve"> </w:t>
      </w:r>
      <w:r w:rsidR="00451BF6" w:rsidRPr="008B1251">
        <w:rPr>
          <w:rFonts w:cs="Arial"/>
          <w:lang w:val="de-DE"/>
        </w:rPr>
        <w:t xml:space="preserve">Parallel zu diesem Prozeß wurde eine systematische Überprüfung der im Abschnitt </w:t>
      </w:r>
      <w:r w:rsidR="00197EA8" w:rsidRPr="008B1251">
        <w:rPr>
          <w:rFonts w:cs="Arial"/>
          <w:lang w:val="de-DE"/>
        </w:rPr>
        <w:t>„</w:t>
      </w:r>
      <w:r w:rsidR="00451BF6" w:rsidRPr="008B1251">
        <w:rPr>
          <w:rFonts w:cs="Arial"/>
          <w:lang w:val="de-DE"/>
        </w:rPr>
        <w:t>UPOV</w:t>
      </w:r>
      <w:r w:rsidR="00F44588" w:rsidRPr="008B1251">
        <w:rPr>
          <w:rFonts w:cs="Arial"/>
          <w:lang w:val="de-DE"/>
        </w:rPr>
        <w:noBreakHyphen/>
      </w:r>
      <w:r w:rsidR="00451BF6" w:rsidRPr="008B1251">
        <w:rPr>
          <w:rFonts w:cs="Arial"/>
          <w:lang w:val="de-DE"/>
        </w:rPr>
        <w:t>Dokumente</w:t>
      </w:r>
      <w:r w:rsidR="00197EA8" w:rsidRPr="008B1251">
        <w:rPr>
          <w:rFonts w:cs="Arial"/>
          <w:lang w:val="de-DE"/>
        </w:rPr>
        <w:t>“</w:t>
      </w:r>
      <w:r w:rsidR="00451BF6" w:rsidRPr="008B1251">
        <w:rPr>
          <w:rFonts w:cs="Arial"/>
          <w:lang w:val="de-DE"/>
        </w:rPr>
        <w:t xml:space="preserve"> vorhandenen Dokumente vorgenommen, um Fehler und Auslassungen zu ermitteln, die während der Migration auf die von </w:t>
      </w:r>
      <w:r w:rsidR="00451BF6" w:rsidRPr="008B1251">
        <w:rPr>
          <w:rFonts w:cs="Arial"/>
          <w:color w:val="000000" w:themeColor="text1"/>
          <w:lang w:val="de-DE"/>
        </w:rPr>
        <w:t xml:space="preserve">2011 bis 2012 </w:t>
      </w:r>
      <w:r w:rsidR="00451BF6" w:rsidRPr="008B1251">
        <w:rPr>
          <w:rFonts w:cs="Arial"/>
          <w:lang w:val="de-DE"/>
        </w:rPr>
        <w:t>neu gestaltete</w:t>
      </w:r>
      <w:r w:rsidR="00451BF6" w:rsidRPr="008B1251">
        <w:rPr>
          <w:lang w:val="de-DE"/>
        </w:rPr>
        <w:t xml:space="preserve"> Website aufgetreten waren. Hinsichtlich</w:t>
      </w:r>
      <w:r w:rsidR="00211C8E" w:rsidRPr="008B1251">
        <w:rPr>
          <w:lang w:val="de-DE"/>
        </w:rPr>
        <w:t xml:space="preserve"> der </w:t>
      </w:r>
      <w:r w:rsidR="00451BF6" w:rsidRPr="008B1251">
        <w:rPr>
          <w:lang w:val="de-DE"/>
        </w:rPr>
        <w:t>verbleibenden</w:t>
      </w:r>
      <w:r w:rsidR="00211C8E" w:rsidRPr="008B1251">
        <w:rPr>
          <w:lang w:val="de-DE"/>
        </w:rPr>
        <w:t xml:space="preserve"> Arbeit </w:t>
      </w:r>
      <w:r w:rsidR="00197EA8" w:rsidRPr="008B1251">
        <w:rPr>
          <w:lang w:val="de-DE"/>
        </w:rPr>
        <w:t>des</w:t>
      </w:r>
      <w:r w:rsidR="00211C8E" w:rsidRPr="008B1251">
        <w:rPr>
          <w:lang w:val="de-DE"/>
        </w:rPr>
        <w:t xml:space="preserve"> Hochladen</w:t>
      </w:r>
      <w:r w:rsidR="00197EA8" w:rsidRPr="008B1251">
        <w:rPr>
          <w:lang w:val="de-DE"/>
        </w:rPr>
        <w:t>s</w:t>
      </w:r>
      <w:r w:rsidR="00211C8E" w:rsidRPr="008B1251">
        <w:rPr>
          <w:lang w:val="de-DE"/>
        </w:rPr>
        <w:t xml:space="preserve"> älterer UPOV-Tagungsd</w:t>
      </w:r>
      <w:r w:rsidR="000F24A8" w:rsidRPr="008B1251">
        <w:rPr>
          <w:color w:val="000000" w:themeColor="text1"/>
          <w:lang w:val="de-DE"/>
        </w:rPr>
        <w:t>okumente</w:t>
      </w:r>
      <w:r w:rsidRPr="008B1251">
        <w:rPr>
          <w:color w:val="000000" w:themeColor="text1"/>
          <w:lang w:val="de-DE"/>
        </w:rPr>
        <w:t xml:space="preserve"> </w:t>
      </w:r>
      <w:r w:rsidR="00211C8E" w:rsidRPr="008B1251">
        <w:rPr>
          <w:color w:val="000000" w:themeColor="text1"/>
          <w:lang w:val="de-DE"/>
        </w:rPr>
        <w:t>u</w:t>
      </w:r>
      <w:r w:rsidRPr="008B1251">
        <w:rPr>
          <w:color w:val="000000" w:themeColor="text1"/>
          <w:lang w:val="de-DE"/>
        </w:rPr>
        <w:t xml:space="preserve">nd </w:t>
      </w:r>
      <w:r w:rsidR="00451BF6" w:rsidRPr="008B1251">
        <w:rPr>
          <w:color w:val="000000" w:themeColor="text1"/>
          <w:lang w:val="de-DE"/>
        </w:rPr>
        <w:t>älterer</w:t>
      </w:r>
      <w:r w:rsidRPr="008B1251">
        <w:rPr>
          <w:color w:val="000000" w:themeColor="text1"/>
          <w:lang w:val="de-DE"/>
        </w:rPr>
        <w:t xml:space="preserve"> </w:t>
      </w:r>
      <w:r w:rsidR="000F24A8" w:rsidRPr="008B1251">
        <w:rPr>
          <w:color w:val="000000" w:themeColor="text1"/>
          <w:lang w:val="de-DE"/>
        </w:rPr>
        <w:t>Dokumente</w:t>
      </w:r>
      <w:r w:rsidRPr="008B1251">
        <w:rPr>
          <w:color w:val="000000" w:themeColor="text1"/>
          <w:lang w:val="de-DE"/>
        </w:rPr>
        <w:t xml:space="preserve"> </w:t>
      </w:r>
      <w:r w:rsidR="00211C8E" w:rsidRPr="008B1251">
        <w:rPr>
          <w:color w:val="000000" w:themeColor="text1"/>
          <w:lang w:val="de-DE"/>
        </w:rPr>
        <w:t xml:space="preserve">von </w:t>
      </w:r>
      <w:r w:rsidRPr="008B1251">
        <w:rPr>
          <w:color w:val="000000" w:themeColor="text1"/>
          <w:lang w:val="de-DE"/>
        </w:rPr>
        <w:t>UPOV</w:t>
      </w:r>
      <w:r w:rsidR="00197EA8" w:rsidRPr="008B1251">
        <w:rPr>
          <w:color w:val="000000" w:themeColor="text1"/>
          <w:lang w:val="de-DE"/>
        </w:rPr>
        <w:noBreakHyphen/>
      </w:r>
      <w:r w:rsidR="00451BF6" w:rsidRPr="008B1251">
        <w:rPr>
          <w:color w:val="000000" w:themeColor="text1"/>
          <w:lang w:val="de-DE"/>
        </w:rPr>
        <w:t>Seminaren</w:t>
      </w:r>
      <w:r w:rsidR="00211C8E" w:rsidRPr="008B1251">
        <w:rPr>
          <w:color w:val="000000" w:themeColor="text1"/>
          <w:lang w:val="de-DE"/>
        </w:rPr>
        <w:t xml:space="preserve"> wird die Arbeit auf </w:t>
      </w:r>
      <w:r w:rsidR="00211C8E" w:rsidRPr="008B1251">
        <w:rPr>
          <w:i/>
          <w:color w:val="000000" w:themeColor="text1"/>
          <w:lang w:val="de-DE"/>
        </w:rPr>
        <w:t>Ad-hoc</w:t>
      </w:r>
      <w:r w:rsidR="00211C8E" w:rsidRPr="008B1251">
        <w:rPr>
          <w:color w:val="000000" w:themeColor="text1"/>
          <w:lang w:val="de-DE"/>
        </w:rPr>
        <w:t xml:space="preserve">-Basis </w:t>
      </w:r>
      <w:r w:rsidR="00211C8E" w:rsidRPr="008B1251">
        <w:rPr>
          <w:lang w:val="de-DE"/>
        </w:rPr>
        <w:t xml:space="preserve">durchgeführt, wenn die </w:t>
      </w:r>
      <w:r w:rsidR="00451BF6" w:rsidRPr="008B1251">
        <w:rPr>
          <w:lang w:val="de-DE"/>
        </w:rPr>
        <w:t>Ressourcen</w:t>
      </w:r>
      <w:r w:rsidR="00211C8E" w:rsidRPr="008B1251">
        <w:rPr>
          <w:lang w:val="de-DE"/>
        </w:rPr>
        <w:t xml:space="preserve"> dies </w:t>
      </w:r>
      <w:r w:rsidR="00451BF6" w:rsidRPr="008B1251">
        <w:rPr>
          <w:lang w:val="de-DE"/>
        </w:rPr>
        <w:t>erlauben</w:t>
      </w:r>
      <w:r w:rsidR="00211C8E" w:rsidRPr="008B1251">
        <w:rPr>
          <w:lang w:val="de-DE"/>
        </w:rPr>
        <w:t>.</w:t>
      </w:r>
    </w:p>
    <w:p w:rsidR="00A326E8" w:rsidRPr="008B1251" w:rsidRDefault="00A326E8" w:rsidP="00A326E8">
      <w:pPr>
        <w:rPr>
          <w:lang w:val="de-DE"/>
        </w:rPr>
      </w:pPr>
    </w:p>
    <w:p w:rsidR="00A326E8" w:rsidRPr="008B1251" w:rsidRDefault="00A326E8" w:rsidP="002E1C71">
      <w:pPr>
        <w:pStyle w:val="Heading2"/>
      </w:pPr>
      <w:bookmarkStart w:id="103" w:name="_Toc413078854"/>
      <w:bookmarkStart w:id="104" w:name="_Toc413311304"/>
      <w:bookmarkStart w:id="105" w:name="_Toc413311680"/>
      <w:bookmarkStart w:id="106" w:name="_Toc413335719"/>
      <w:r w:rsidRPr="008B1251">
        <w:t>CAJ</w:t>
      </w:r>
      <w:r w:rsidR="00211C8E" w:rsidRPr="008B1251">
        <w:t>-</w:t>
      </w:r>
      <w:r w:rsidR="00451BF6" w:rsidRPr="008B1251">
        <w:t>Tagungsdokumente</w:t>
      </w:r>
      <w:bookmarkEnd w:id="103"/>
      <w:bookmarkEnd w:id="104"/>
      <w:bookmarkEnd w:id="105"/>
      <w:bookmarkEnd w:id="106"/>
    </w:p>
    <w:p w:rsidR="00A326E8" w:rsidRPr="008B1251" w:rsidRDefault="00A326E8" w:rsidP="00402138">
      <w:pPr>
        <w:keepNext/>
        <w:rPr>
          <w:lang w:val="de-DE"/>
        </w:rPr>
      </w:pPr>
    </w:p>
    <w:p w:rsidR="00211C8E" w:rsidRPr="008B1251" w:rsidRDefault="00A55B16" w:rsidP="00211C8E">
      <w:pPr>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211C8E" w:rsidRPr="008B1251">
        <w:rPr>
          <w:lang w:val="de-DE"/>
        </w:rPr>
        <w:t xml:space="preserve">Hinsichtlich des Formats und Stils der CAJ-Dokumente und deren Vorlage auf den Tagungen des CAJ vereinbarte der CAJ auf seiner </w:t>
      </w:r>
      <w:r w:rsidR="00451BF6" w:rsidRPr="008B1251">
        <w:rPr>
          <w:lang w:val="de-DE"/>
        </w:rPr>
        <w:t>siebzigsten Tagung</w:t>
      </w:r>
      <w:r w:rsidR="00211C8E" w:rsidRPr="008B1251">
        <w:rPr>
          <w:lang w:val="de-DE"/>
        </w:rPr>
        <w:t xml:space="preserve"> vom 13. Oktober 2014 in Genf, gegebenenfalls</w:t>
      </w:r>
    </w:p>
    <w:p w:rsidR="00211C8E" w:rsidRPr="008B1251" w:rsidRDefault="00211C8E" w:rsidP="00211C8E">
      <w:pPr>
        <w:rPr>
          <w:lang w:val="de-DE"/>
        </w:rPr>
      </w:pPr>
    </w:p>
    <w:p w:rsidR="00211C8E" w:rsidRPr="008B1251" w:rsidRDefault="00211C8E" w:rsidP="00211C8E">
      <w:pPr>
        <w:ind w:left="567"/>
        <w:rPr>
          <w:lang w:val="de-DE"/>
        </w:rPr>
      </w:pPr>
      <w:r w:rsidRPr="008B1251">
        <w:rPr>
          <w:lang w:val="de-DE"/>
        </w:rPr>
        <w:t>•</w:t>
      </w:r>
      <w:r w:rsidRPr="008B1251">
        <w:rPr>
          <w:lang w:val="de-DE"/>
        </w:rPr>
        <w:tab/>
        <w:t>eine Zusammenfassung aufzunehmen;</w:t>
      </w:r>
    </w:p>
    <w:p w:rsidR="00211C8E" w:rsidRPr="008B1251" w:rsidRDefault="00211C8E" w:rsidP="00211C8E">
      <w:pPr>
        <w:ind w:left="567"/>
        <w:rPr>
          <w:lang w:val="de-DE"/>
        </w:rPr>
      </w:pPr>
      <w:r w:rsidRPr="008B1251">
        <w:rPr>
          <w:lang w:val="de-DE"/>
        </w:rPr>
        <w:t>•</w:t>
      </w:r>
      <w:r w:rsidRPr="008B1251">
        <w:rPr>
          <w:lang w:val="de-DE"/>
        </w:rPr>
        <w:tab/>
        <w:t>in Fußnoten auf frühere Dokumente zu verweisen;</w:t>
      </w:r>
    </w:p>
    <w:p w:rsidR="00211C8E" w:rsidRPr="008B1251" w:rsidRDefault="00211C8E" w:rsidP="00211C8E">
      <w:pPr>
        <w:ind w:left="1134" w:hanging="567"/>
        <w:rPr>
          <w:lang w:val="de-DE"/>
        </w:rPr>
      </w:pPr>
      <w:r w:rsidRPr="008B1251">
        <w:rPr>
          <w:lang w:val="de-DE"/>
        </w:rPr>
        <w:t>•</w:t>
      </w:r>
      <w:r w:rsidRPr="008B1251">
        <w:rPr>
          <w:lang w:val="de-DE"/>
        </w:rPr>
        <w:tab/>
        <w:t>Entscheidungsabsätze, die Angelegenheiten zur Information enthalten, zusammenzufassen, und</w:t>
      </w:r>
    </w:p>
    <w:p w:rsidR="00211C8E" w:rsidRPr="008B1251" w:rsidRDefault="00211C8E" w:rsidP="00211C8E">
      <w:pPr>
        <w:ind w:left="1134" w:hanging="567"/>
        <w:rPr>
          <w:lang w:val="de-DE"/>
        </w:rPr>
      </w:pPr>
      <w:r w:rsidRPr="008B1251">
        <w:rPr>
          <w:lang w:val="de-DE"/>
        </w:rPr>
        <w:t>•</w:t>
      </w:r>
      <w:r w:rsidRPr="008B1251">
        <w:rPr>
          <w:lang w:val="de-DE"/>
        </w:rPr>
        <w:tab/>
        <w:t>auf der Tagung des CAJ eine Zusammenfassung der Hauptpunkte des Dokuments in Form einer PowerPoint</w:t>
      </w:r>
      <w:r w:rsidRPr="008B1251">
        <w:rPr>
          <w:lang w:val="de-DE"/>
        </w:rPr>
        <w:noBreakHyphen/>
        <w:t>Präsentation vorzulegen.</w:t>
      </w:r>
    </w:p>
    <w:p w:rsidR="00A55B16" w:rsidRPr="008B1251" w:rsidRDefault="00A55B16" w:rsidP="001D140D">
      <w:pPr>
        <w:rPr>
          <w:lang w:val="de-DE"/>
        </w:rPr>
      </w:pPr>
    </w:p>
    <w:p w:rsidR="00A55B16" w:rsidRPr="008B1251" w:rsidRDefault="00A55B16" w:rsidP="001D140D">
      <w:pPr>
        <w:rPr>
          <w:lang w:val="de-DE"/>
        </w:rPr>
      </w:pPr>
    </w:p>
    <w:p w:rsidR="001D140D" w:rsidRPr="008B1251" w:rsidRDefault="00451BF6" w:rsidP="00A21CDF">
      <w:pPr>
        <w:pStyle w:val="Heading1"/>
        <w:rPr>
          <w:color w:val="auto"/>
          <w:lang w:val="de-DE"/>
        </w:rPr>
      </w:pPr>
      <w:bookmarkStart w:id="107" w:name="_Toc413311305"/>
      <w:bookmarkStart w:id="108" w:name="_Toc413311681"/>
      <w:bookmarkStart w:id="109" w:name="_Toc413335720"/>
      <w:r w:rsidRPr="008B1251">
        <w:rPr>
          <w:color w:val="auto"/>
          <w:lang w:val="de-DE"/>
        </w:rPr>
        <w:t xml:space="preserve">VERÖFFENTLICHUNGEN, </w:t>
      </w:r>
      <w:r w:rsidR="00197EA8" w:rsidRPr="008B1251">
        <w:rPr>
          <w:color w:val="auto"/>
          <w:lang w:val="de-DE"/>
        </w:rPr>
        <w:t>AKTIVITÄ</w:t>
      </w:r>
      <w:r w:rsidRPr="008B1251">
        <w:rPr>
          <w:color w:val="auto"/>
          <w:lang w:val="de-DE"/>
        </w:rPr>
        <w:t>TEN UND SCHULUNG</w:t>
      </w:r>
      <w:bookmarkEnd w:id="107"/>
      <w:bookmarkEnd w:id="108"/>
      <w:bookmarkEnd w:id="109"/>
    </w:p>
    <w:p w:rsidR="001D140D" w:rsidRPr="008B1251" w:rsidRDefault="001D140D" w:rsidP="001D140D">
      <w:pPr>
        <w:rPr>
          <w:lang w:val="de-DE"/>
        </w:rPr>
      </w:pPr>
    </w:p>
    <w:p w:rsidR="001D140D" w:rsidRPr="008B1251" w:rsidRDefault="00451BF6" w:rsidP="002E1C71">
      <w:pPr>
        <w:pStyle w:val="Heading2"/>
      </w:pPr>
      <w:bookmarkStart w:id="110" w:name="_Toc413311306"/>
      <w:bookmarkStart w:id="111" w:name="_Toc413311682"/>
      <w:bookmarkStart w:id="112" w:name="_Toc413335721"/>
      <w:r w:rsidRPr="008B1251">
        <w:t>Kommunikationsstrategie</w:t>
      </w:r>
      <w:bookmarkEnd w:id="110"/>
      <w:bookmarkEnd w:id="111"/>
      <w:bookmarkEnd w:id="112"/>
    </w:p>
    <w:p w:rsidR="001D140D" w:rsidRPr="008B1251" w:rsidRDefault="001D140D" w:rsidP="001D140D">
      <w:pPr>
        <w:rPr>
          <w:lang w:val="de-DE"/>
        </w:rPr>
      </w:pPr>
    </w:p>
    <w:p w:rsidR="00B45708" w:rsidRPr="008B1251" w:rsidRDefault="00A21CDF" w:rsidP="00B45708">
      <w:pPr>
        <w:rPr>
          <w:rFonts w:cs="Arial"/>
          <w:lang w:val="de-DE"/>
        </w:rPr>
      </w:pPr>
      <w:r w:rsidRPr="008B1251">
        <w:rPr>
          <w:rFonts w:cs="Arial"/>
          <w:snapToGrid w:val="0"/>
          <w:lang w:val="de-DE"/>
        </w:rPr>
        <w:fldChar w:fldCharType="begin"/>
      </w:r>
      <w:r w:rsidRPr="008B1251">
        <w:rPr>
          <w:rFonts w:cs="Arial"/>
          <w:snapToGrid w:val="0"/>
          <w:lang w:val="de-DE"/>
        </w:rPr>
        <w:instrText xml:space="preserve"> AUTONUM  </w:instrText>
      </w:r>
      <w:r w:rsidRPr="008B1251">
        <w:rPr>
          <w:rFonts w:cs="Arial"/>
          <w:snapToGrid w:val="0"/>
          <w:lang w:val="de-DE"/>
        </w:rPr>
        <w:fldChar w:fldCharType="end"/>
      </w:r>
      <w:r w:rsidRPr="008B1251">
        <w:rPr>
          <w:rFonts w:cs="Arial"/>
          <w:snapToGrid w:val="0"/>
          <w:lang w:val="de-DE"/>
        </w:rPr>
        <w:tab/>
      </w:r>
      <w:r w:rsidR="00211C8E" w:rsidRPr="008B1251">
        <w:rPr>
          <w:szCs w:val="24"/>
          <w:lang w:val="de-DE"/>
        </w:rPr>
        <w:t>Der Rat genehmigte</w:t>
      </w:r>
      <w:r w:rsidR="00211C8E" w:rsidRPr="008B1251">
        <w:rPr>
          <w:rFonts w:cs="Arial"/>
          <w:snapToGrid w:val="0"/>
          <w:lang w:val="de-DE"/>
        </w:rPr>
        <w:t xml:space="preserve"> auf seiner </w:t>
      </w:r>
      <w:r w:rsidR="00451BF6" w:rsidRPr="008B1251">
        <w:rPr>
          <w:rFonts w:cs="Arial"/>
          <w:snapToGrid w:val="0"/>
          <w:lang w:val="de-DE"/>
        </w:rPr>
        <w:t>einunddreißigsten</w:t>
      </w:r>
      <w:r w:rsidR="00211C8E" w:rsidRPr="008B1251">
        <w:rPr>
          <w:rFonts w:cs="Arial"/>
          <w:snapToGrid w:val="0"/>
          <w:lang w:val="de-DE"/>
        </w:rPr>
        <w:t xml:space="preserve"> </w:t>
      </w:r>
      <w:r w:rsidR="00451BF6" w:rsidRPr="008B1251">
        <w:rPr>
          <w:rFonts w:cs="Arial"/>
          <w:snapToGrid w:val="0"/>
          <w:lang w:val="de-DE"/>
        </w:rPr>
        <w:t>außerordentlichen</w:t>
      </w:r>
      <w:r w:rsidR="00211C8E" w:rsidRPr="008B1251">
        <w:rPr>
          <w:rFonts w:cs="Arial"/>
          <w:snapToGrid w:val="0"/>
          <w:lang w:val="de-DE"/>
        </w:rPr>
        <w:t xml:space="preserve"> Tagung </w:t>
      </w:r>
      <w:r w:rsidR="00211C8E" w:rsidRPr="008B1251">
        <w:rPr>
          <w:szCs w:val="24"/>
          <w:lang w:val="de-DE"/>
        </w:rPr>
        <w:t>die Antworten zu folgenden häufig gestellten Fragen</w:t>
      </w:r>
      <w:r w:rsidR="00B45708" w:rsidRPr="008B1251">
        <w:rPr>
          <w:rFonts w:cs="Arial"/>
          <w:lang w:val="de-DE"/>
        </w:rPr>
        <w:t>:</w:t>
      </w:r>
    </w:p>
    <w:p w:rsidR="00211C8E" w:rsidRPr="008B1251" w:rsidRDefault="00211C8E" w:rsidP="00211C8E">
      <w:pPr>
        <w:rPr>
          <w:szCs w:val="24"/>
          <w:lang w:val="de-DE"/>
        </w:rPr>
      </w:pP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Wer kann an UPOV-Tagungen teilnehmen?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Was ist die UPOV?</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Was macht die UPOV?</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Wer kann an UPOV-Tagungen teilnehmen?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Was ist eine Pflanzensorte?</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Warum brauchen Landwirte und Pflanzer neue Pflanzensorten?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Warum ist Sortenschutz notwendig?</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Wie funktioniert Sortenschutz?</w:t>
      </w:r>
    </w:p>
    <w:p w:rsidR="00211C8E" w:rsidRPr="008B1251" w:rsidRDefault="00211C8E" w:rsidP="00211C8E">
      <w:pPr>
        <w:ind w:left="567" w:hanging="567"/>
        <w:rPr>
          <w:szCs w:val="24"/>
          <w:lang w:val="de-DE"/>
        </w:rPr>
      </w:pPr>
      <w:r w:rsidRPr="008B1251">
        <w:rPr>
          <w:szCs w:val="24"/>
          <w:lang w:val="de-DE"/>
        </w:rPr>
        <w:lastRenderedPageBreak/>
        <w:t>•</w:t>
      </w:r>
      <w:r w:rsidRPr="008B1251">
        <w:rPr>
          <w:szCs w:val="24"/>
          <w:lang w:val="de-DE"/>
        </w:rPr>
        <w:tab/>
        <w:t>Was sind die Voraussetzungen für den Schutz einer neuen Pflanzensorte?</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Warum verlangt die UPOV, daß eine Sorte homogen und beständig ist? Führt das nicht zu einem Verlust an Vielfalt?</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Können Züchter in ihren Züchtungsprogrammen eine geschützte Sorte verwenden?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Wer kann eine Sorte schützen lassen?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Wo ka</w:t>
      </w:r>
      <w:r w:rsidR="00197EA8" w:rsidRPr="008B1251">
        <w:rPr>
          <w:szCs w:val="24"/>
          <w:lang w:val="de-DE"/>
        </w:rPr>
        <w:t>nn man Sortenschutz beantragen?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Kann man mit einem einzigen Antrag Schutz für mehr als ein Land erhalten?</w:t>
      </w:r>
      <w:r w:rsidRPr="008B1251">
        <w:rPr>
          <w:szCs w:val="24"/>
          <w:lang w:val="de-DE"/>
        </w:rPr>
        <w:tab/>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Was sind die Vorteile des Sortenschutzes und der UPOV-Mitgliedschaft?</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Was sind die Auswirkungen des Sortenschutzes auf Sorten, die nicht geschützt sind (z. B. traditionelle Sorten, Landrassen usw.)?</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Welche Beziehung besteht zwischen dem UPOV-Übereinkommen und internationalen Verträgen betreffend genetische Ressourcen, wie z. B. dem Übereinkommen über die biologische Vielfalt (CBD) und dem internationalen Vertrag über pflanzengenetische Ressourcen für Ernährung und Landwirtschaft (ITPGRFA)?</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Welcher Zusammenhang besteht zwischen Patenten und Züchterrechten?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 xml:space="preserve">Welche Beziehung besteht zwischen Züchterrechten und Maßnahmen zur Regulierung des Handels, z. B. Saatgutzertifizierung, </w:t>
      </w:r>
      <w:r w:rsidR="005B1150" w:rsidRPr="008B1251">
        <w:rPr>
          <w:szCs w:val="24"/>
          <w:lang w:val="de-DE"/>
        </w:rPr>
        <w:t>amtlich</w:t>
      </w:r>
      <w:r w:rsidRPr="008B1251">
        <w:rPr>
          <w:szCs w:val="24"/>
          <w:lang w:val="de-DE"/>
        </w:rPr>
        <w:t xml:space="preserve">e Register von zum Handel zugelassenen Sorten (z. B. </w:t>
      </w:r>
      <w:r w:rsidR="00214FDF" w:rsidRPr="008B1251">
        <w:rPr>
          <w:szCs w:val="24"/>
          <w:lang w:val="de-DE"/>
        </w:rPr>
        <w:t>N</w:t>
      </w:r>
      <w:r w:rsidRPr="008B1251">
        <w:rPr>
          <w:szCs w:val="24"/>
          <w:lang w:val="de-DE"/>
        </w:rPr>
        <w:t>ationale Liste, amtlicher Katalog) usw.?</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Kann ich eine existierende Pflanze oder Sorte, die ich entdecke, schützen lassen?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Läßt es das UPOV-Übereinkommen zu, daß einer Sorte der Schutz verweigert wird, weil sie genetisch verändert ist?</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 xml:space="preserve">Kann man den Sortenschutz dazu verwenden, folgendes zu schützen: - eine Eigenschaft (z. B. Krankheitsresistenz, Blütenfarbe) - eine chemische oder sonstige Substanz (z. B. Öl, DNS) - ein technisches Verfahren der Pflanzenzucht (z. B. </w:t>
      </w:r>
      <w:r w:rsidR="005B1150" w:rsidRPr="008B1251">
        <w:rPr>
          <w:szCs w:val="24"/>
          <w:lang w:val="de-DE"/>
        </w:rPr>
        <w:t>Gewebe</w:t>
      </w:r>
      <w:r w:rsidRPr="008B1251">
        <w:rPr>
          <w:szCs w:val="24"/>
          <w:lang w:val="de-DE"/>
        </w:rPr>
        <w:t>kultur)?</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Kann man nach dem UPOV-System eine Hybridsorte schützen lassen?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Kann ein Landwirt Saatgut einer geschützten Sorte ohne Einwilligung des Züchters wieder aussäen?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Kann ein Landwirt Saatgut einer geschützten Sorte ohne Einwilligung des</w:t>
      </w:r>
      <w:r w:rsidR="005B1150" w:rsidRPr="008B1251">
        <w:rPr>
          <w:szCs w:val="24"/>
          <w:lang w:val="de-DE"/>
        </w:rPr>
        <w:t xml:space="preserve"> Züchters verkaufen?</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Woher weiß man, ob eine Sorte geschützt ist?</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Wer ist für die Durchsetzung der Züchterrechte zuständig?</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Erlaubt die UPOV die Verwendung molekularer Marker (DNS-Profile) bei der Prüfung der Unterscheidbarkeit, der Homogenität und der Beständigkeit („DUS“)?</w:t>
      </w:r>
    </w:p>
    <w:p w:rsidR="00211C8E" w:rsidRPr="008B1251" w:rsidRDefault="00211C8E" w:rsidP="00211C8E">
      <w:pPr>
        <w:ind w:left="567" w:hanging="567"/>
        <w:rPr>
          <w:szCs w:val="24"/>
          <w:lang w:val="de-DE"/>
        </w:rPr>
      </w:pPr>
      <w:r w:rsidRPr="008B1251">
        <w:rPr>
          <w:szCs w:val="24"/>
          <w:lang w:val="de-DE"/>
        </w:rPr>
        <w:t>•</w:t>
      </w:r>
      <w:r w:rsidRPr="008B1251">
        <w:rPr>
          <w:szCs w:val="24"/>
          <w:lang w:val="de-DE"/>
        </w:rPr>
        <w:tab/>
        <w:t>Stimmt es, daß die UPOV nur kommerziell gezüchtete Pflanzensorten, die auf industrialisierte Landwirtschaften ausgerichtet sind, fördert?</w:t>
      </w:r>
    </w:p>
    <w:p w:rsidR="00B45708" w:rsidRPr="008B1251" w:rsidRDefault="00B45708" w:rsidP="001D140D">
      <w:pPr>
        <w:rPr>
          <w:lang w:val="de-DE"/>
        </w:rPr>
      </w:pPr>
    </w:p>
    <w:p w:rsidR="002E1C71" w:rsidRPr="008B1251" w:rsidRDefault="00A21CDF" w:rsidP="002E1C71">
      <w:pPr>
        <w:rPr>
          <w:rFonts w:cs="Arial"/>
          <w:lang w:val="de-DE"/>
        </w:rPr>
      </w:pPr>
      <w:r w:rsidRPr="008B1251">
        <w:rPr>
          <w:rFonts w:cs="Arial"/>
          <w:lang w:val="de-DE"/>
        </w:rPr>
        <w:fldChar w:fldCharType="begin"/>
      </w:r>
      <w:r w:rsidRPr="008B1251">
        <w:rPr>
          <w:rFonts w:cs="Arial"/>
          <w:lang w:val="de-DE"/>
        </w:rPr>
        <w:instrText xml:space="preserve"> AUTONUM  </w:instrText>
      </w:r>
      <w:r w:rsidRPr="008B1251">
        <w:rPr>
          <w:rFonts w:cs="Arial"/>
          <w:lang w:val="de-DE"/>
        </w:rPr>
        <w:fldChar w:fldCharType="end"/>
      </w:r>
      <w:r w:rsidRPr="008B1251">
        <w:rPr>
          <w:rFonts w:cs="Arial"/>
          <w:lang w:val="de-DE"/>
        </w:rPr>
        <w:tab/>
      </w:r>
      <w:r w:rsidR="002E1C71" w:rsidRPr="008B1251">
        <w:rPr>
          <w:rFonts w:cs="Arial"/>
          <w:lang w:val="de-DE"/>
        </w:rPr>
        <w:t xml:space="preserve">Der Rat vereinbarte auf seiner achtundvierzigsten </w:t>
      </w:r>
      <w:r w:rsidR="00214FDF" w:rsidRPr="008B1251">
        <w:rPr>
          <w:rFonts w:cs="Arial"/>
          <w:lang w:val="de-DE"/>
        </w:rPr>
        <w:t xml:space="preserve">ordentlichen </w:t>
      </w:r>
      <w:r w:rsidR="002E1C71" w:rsidRPr="008B1251">
        <w:rPr>
          <w:rFonts w:cs="Arial"/>
          <w:lang w:val="de-DE"/>
        </w:rPr>
        <w:t>Tagung Antworten auf folgende häufig gestellte Fragen:</w:t>
      </w:r>
    </w:p>
    <w:p w:rsidR="002E1C71" w:rsidRPr="008B1251" w:rsidRDefault="002E1C71" w:rsidP="002E1C71">
      <w:pPr>
        <w:rPr>
          <w:rFonts w:cs="Arial"/>
          <w:lang w:val="de-DE"/>
        </w:rPr>
      </w:pPr>
    </w:p>
    <w:p w:rsidR="002E1C71" w:rsidRPr="008B1251" w:rsidRDefault="002E1C71" w:rsidP="002E1C71">
      <w:pPr>
        <w:pStyle w:val="ListParagraph"/>
        <w:numPr>
          <w:ilvl w:val="0"/>
          <w:numId w:val="10"/>
        </w:numPr>
        <w:rPr>
          <w:rFonts w:cs="Arial"/>
          <w:lang w:val="de-DE"/>
        </w:rPr>
      </w:pPr>
      <w:r w:rsidRPr="008B1251">
        <w:rPr>
          <w:rFonts w:cs="Arial"/>
          <w:lang w:val="de-DE"/>
        </w:rPr>
        <w:t>Beinhaltet das UPOV-Übereinkommen eine Regelung für Sorten, die nicht unter Sortenschutz stehen?</w:t>
      </w:r>
    </w:p>
    <w:p w:rsidR="002E1C71" w:rsidRPr="008B1251" w:rsidRDefault="002E1C71" w:rsidP="002E1C71">
      <w:pPr>
        <w:pStyle w:val="ListParagraph"/>
        <w:keepNext/>
        <w:numPr>
          <w:ilvl w:val="0"/>
          <w:numId w:val="10"/>
        </w:numPr>
        <w:rPr>
          <w:lang w:val="de-DE"/>
        </w:rPr>
      </w:pPr>
      <w:r w:rsidRPr="008B1251">
        <w:rPr>
          <w:szCs w:val="24"/>
          <w:lang w:val="de-DE"/>
        </w:rPr>
        <w:t>Besteht die Möglichkeit für Subsistenzlandwirte, Vermehrungsmaterial geschützter Sorten gegen andere lebensnotwendige Güter innerhalb der ortsansässigen Gemeinschaft auszutauschen?</w:t>
      </w:r>
    </w:p>
    <w:p w:rsidR="002E1C71" w:rsidRPr="008B1251" w:rsidRDefault="002E1C71" w:rsidP="002E1C71">
      <w:pPr>
        <w:pStyle w:val="ListParagraph"/>
        <w:numPr>
          <w:ilvl w:val="0"/>
          <w:numId w:val="10"/>
        </w:numPr>
        <w:rPr>
          <w:rFonts w:cs="Arial"/>
          <w:lang w:val="de-DE"/>
        </w:rPr>
      </w:pPr>
      <w:r w:rsidRPr="008B1251">
        <w:rPr>
          <w:rFonts w:cs="Arial"/>
          <w:lang w:val="de-DE"/>
        </w:rPr>
        <w:t>Im Rahmen des UPOV-Systems entscheiden die Züchter über die Bedingungen und Einschränkungen, unter denen sie die Nutzung ihrer geschützten Sorten genehmigen. Kann es Landwirten beispielsweise gestattet werden, Saatgut von geschützten Sorten innerhalb der ortsansässigen Gemeinschaft frei auszutauschen?</w:t>
      </w:r>
    </w:p>
    <w:p w:rsidR="002E1C71" w:rsidRPr="008B1251" w:rsidRDefault="002E1C71" w:rsidP="002E1C71">
      <w:pPr>
        <w:rPr>
          <w:rFonts w:cs="Arial"/>
          <w:lang w:val="de-DE"/>
        </w:rPr>
      </w:pPr>
    </w:p>
    <w:p w:rsidR="002E1C71" w:rsidRPr="008B1251" w:rsidRDefault="002E1C71" w:rsidP="002E1C71">
      <w:pPr>
        <w:rPr>
          <w:rFonts w:cs="Arial"/>
          <w:lang w:val="de-DE"/>
        </w:rPr>
      </w:pPr>
      <w:r w:rsidRPr="008B1251">
        <w:rPr>
          <w:rFonts w:cs="Arial"/>
          <w:lang w:val="de-DE"/>
        </w:rPr>
        <w:t>und vereinbarte ferner eine Überarbeitung folgender häufig gestellter Frage:</w:t>
      </w:r>
    </w:p>
    <w:p w:rsidR="002E1C71" w:rsidRPr="008B1251" w:rsidRDefault="002E1C71" w:rsidP="002E1C71">
      <w:pPr>
        <w:rPr>
          <w:rFonts w:cs="Arial"/>
          <w:lang w:val="de-DE"/>
        </w:rPr>
      </w:pPr>
    </w:p>
    <w:p w:rsidR="002E1C71" w:rsidRPr="008B1251" w:rsidRDefault="002E1C71" w:rsidP="002E1C71">
      <w:pPr>
        <w:pStyle w:val="ListParagraph"/>
        <w:numPr>
          <w:ilvl w:val="0"/>
          <w:numId w:val="10"/>
        </w:numPr>
        <w:rPr>
          <w:rFonts w:cs="Arial"/>
          <w:lang w:val="de-DE"/>
        </w:rPr>
      </w:pPr>
      <w:r w:rsidRPr="008B1251">
        <w:rPr>
          <w:rFonts w:cs="Arial"/>
          <w:lang w:val="de-DE"/>
        </w:rPr>
        <w:t>Warum ist Sortenschutz notwendig?</w:t>
      </w:r>
    </w:p>
    <w:p w:rsidR="001D140D" w:rsidRPr="008B1251" w:rsidRDefault="001D140D" w:rsidP="001D140D">
      <w:pPr>
        <w:rPr>
          <w:lang w:val="de-DE"/>
        </w:rPr>
      </w:pPr>
    </w:p>
    <w:p w:rsidR="001D140D" w:rsidRPr="008B1251" w:rsidRDefault="001D140D" w:rsidP="001D140D">
      <w:pPr>
        <w:rPr>
          <w:lang w:val="de-DE"/>
        </w:rPr>
      </w:pPr>
    </w:p>
    <w:p w:rsidR="002E1C71" w:rsidRPr="008B1251" w:rsidRDefault="002E1C71" w:rsidP="00355B87">
      <w:pPr>
        <w:pStyle w:val="Heading2"/>
      </w:pPr>
      <w:bookmarkStart w:id="113" w:name="_Toc413311683"/>
      <w:bookmarkStart w:id="114" w:name="_Toc413335722"/>
      <w:bookmarkStart w:id="115" w:name="_Toc381174874"/>
      <w:bookmarkStart w:id="116" w:name="_Toc413078857"/>
      <w:r w:rsidRPr="008B1251">
        <w:t>Publikation Trilogie</w:t>
      </w:r>
      <w:bookmarkEnd w:id="113"/>
      <w:bookmarkEnd w:id="114"/>
    </w:p>
    <w:p w:rsidR="002E1C71" w:rsidRPr="008B1251" w:rsidRDefault="002E1C71" w:rsidP="002E1C71">
      <w:pPr>
        <w:keepNext/>
        <w:rPr>
          <w:snapToGrid w:val="0"/>
          <w:lang w:val="de-DE"/>
        </w:rPr>
      </w:pPr>
    </w:p>
    <w:p w:rsidR="00A21CDF" w:rsidRPr="008B1251" w:rsidRDefault="002E1C71" w:rsidP="00355B87">
      <w:pPr>
        <w:rPr>
          <w:lang w:val="de-DE"/>
        </w:rPr>
      </w:pPr>
      <w:bookmarkStart w:id="117" w:name="_Toc413311307"/>
      <w:r w:rsidRPr="008B1251">
        <w:rPr>
          <w:lang w:val="de-DE"/>
        </w:rPr>
        <w:t>Die Publikation Trilogie</w:t>
      </w:r>
      <w:r w:rsidRPr="008B1251">
        <w:rPr>
          <w:rStyle w:val="FootnoteReference"/>
          <w:lang w:val="de-DE"/>
        </w:rPr>
        <w:footnoteReference w:id="2"/>
      </w:r>
      <w:r w:rsidRPr="008B1251">
        <w:rPr>
          <w:lang w:val="de-DE"/>
        </w:rPr>
        <w:t>, einschließlich der Zusammenfassung, wurde in französischer (</w:t>
      </w:r>
      <w:r w:rsidR="00214FDF" w:rsidRPr="008B1251">
        <w:rPr>
          <w:lang w:val="de-DE"/>
        </w:rPr>
        <w:t>sie</w:t>
      </w:r>
      <w:r w:rsidRPr="008B1251">
        <w:rPr>
          <w:lang w:val="de-DE"/>
        </w:rPr>
        <w:t xml:space="preserve">he </w:t>
      </w:r>
      <w:bookmarkEnd w:id="115"/>
      <w:bookmarkEnd w:id="116"/>
      <w:r w:rsidR="00EF1423">
        <w:rPr>
          <w:lang w:val="de-DE"/>
        </w:rPr>
        <w:fldChar w:fldCharType="begin"/>
      </w:r>
      <w:r w:rsidR="00EF1423">
        <w:rPr>
          <w:lang w:val="de-DE"/>
        </w:rPr>
        <w:instrText xml:space="preserve"> HYPERLINK "</w:instrText>
      </w:r>
      <w:r w:rsidR="00EF1423" w:rsidRPr="00EF1423">
        <w:rPr>
          <w:lang w:val="de-DE"/>
        </w:rPr>
        <w:instrText>http://www.upov.int/about/fr/benefits_upov_system.htm</w:instrText>
      </w:r>
      <w:r w:rsidR="00EF1423">
        <w:rPr>
          <w:rStyle w:val="Hyperlink"/>
          <w:color w:val="auto"/>
          <w:u w:val="none"/>
          <w:lang w:val="de-DE"/>
        </w:rPr>
        <w:instrText>l</w:instrText>
      </w:r>
      <w:r w:rsidR="00EF1423">
        <w:rPr>
          <w:lang w:val="de-DE"/>
        </w:rPr>
        <w:instrText xml:space="preserve">" </w:instrText>
      </w:r>
      <w:r w:rsidR="00EF1423">
        <w:rPr>
          <w:lang w:val="de-DE"/>
        </w:rPr>
        <w:fldChar w:fldCharType="separate"/>
      </w:r>
      <w:r w:rsidR="00EF1423" w:rsidRPr="00CA24E1">
        <w:rPr>
          <w:rStyle w:val="Hyperlink"/>
          <w:lang w:val="de-DE"/>
        </w:rPr>
        <w:t>http://www.upov.int/about/fr/benefits_upov_system.html</w:t>
      </w:r>
      <w:r w:rsidR="00EF1423">
        <w:rPr>
          <w:lang w:val="de-DE"/>
        </w:rPr>
        <w:fldChar w:fldCharType="end"/>
      </w:r>
      <w:r w:rsidR="00A21CDF" w:rsidRPr="008B1251">
        <w:rPr>
          <w:lang w:val="de-DE"/>
        </w:rPr>
        <w:t xml:space="preserve">) </w:t>
      </w:r>
      <w:r w:rsidRPr="008B1251">
        <w:rPr>
          <w:lang w:val="de-DE"/>
        </w:rPr>
        <w:t>u</w:t>
      </w:r>
      <w:r w:rsidR="00A21CDF" w:rsidRPr="008B1251">
        <w:rPr>
          <w:lang w:val="de-DE"/>
        </w:rPr>
        <w:t xml:space="preserve">nd </w:t>
      </w:r>
      <w:r w:rsidRPr="008B1251">
        <w:rPr>
          <w:lang w:val="de-DE"/>
        </w:rPr>
        <w:t>s</w:t>
      </w:r>
      <w:r w:rsidR="00A21CDF" w:rsidRPr="008B1251">
        <w:rPr>
          <w:lang w:val="de-DE"/>
        </w:rPr>
        <w:t>panis</w:t>
      </w:r>
      <w:r w:rsidRPr="008B1251">
        <w:rPr>
          <w:lang w:val="de-DE"/>
        </w:rPr>
        <w:t>c</w:t>
      </w:r>
      <w:r w:rsidR="00A21CDF" w:rsidRPr="008B1251">
        <w:rPr>
          <w:lang w:val="de-DE"/>
        </w:rPr>
        <w:t>h</w:t>
      </w:r>
      <w:r w:rsidRPr="008B1251">
        <w:rPr>
          <w:lang w:val="de-DE"/>
        </w:rPr>
        <w:t>er Sprache</w:t>
      </w:r>
      <w:r w:rsidR="00A21CDF" w:rsidRPr="008B1251">
        <w:rPr>
          <w:lang w:val="de-DE"/>
        </w:rPr>
        <w:t xml:space="preserve"> (</w:t>
      </w:r>
      <w:r w:rsidR="00214FDF" w:rsidRPr="008B1251">
        <w:rPr>
          <w:lang w:val="de-DE"/>
        </w:rPr>
        <w:t>sie</w:t>
      </w:r>
      <w:r w:rsidRPr="008B1251">
        <w:rPr>
          <w:lang w:val="de-DE"/>
        </w:rPr>
        <w:t>he</w:t>
      </w:r>
      <w:r w:rsidR="00A21CDF" w:rsidRPr="008B1251">
        <w:rPr>
          <w:lang w:val="de-DE"/>
        </w:rPr>
        <w:t xml:space="preserve"> </w:t>
      </w:r>
      <w:hyperlink r:id="rId12" w:history="1">
        <w:r w:rsidR="00EF1423" w:rsidRPr="00CA24E1">
          <w:rPr>
            <w:rStyle w:val="Hyperlink"/>
            <w:lang w:val="de-DE"/>
          </w:rPr>
          <w:t>http://www.upov.int/about/es/benefits_upov_system.html</w:t>
        </w:r>
      </w:hyperlink>
      <w:r w:rsidR="00A21CDF" w:rsidRPr="008B1251">
        <w:rPr>
          <w:lang w:val="de-DE"/>
        </w:rPr>
        <w:t>)</w:t>
      </w:r>
      <w:r w:rsidRPr="008B1251">
        <w:rPr>
          <w:lang w:val="de-DE"/>
        </w:rPr>
        <w:t xml:space="preserve"> veröffentlicht.</w:t>
      </w:r>
      <w:bookmarkEnd w:id="117"/>
    </w:p>
    <w:p w:rsidR="001D140D" w:rsidRPr="008B1251" w:rsidRDefault="001D140D" w:rsidP="001D140D">
      <w:pPr>
        <w:rPr>
          <w:lang w:val="de-DE"/>
        </w:rPr>
      </w:pPr>
    </w:p>
    <w:p w:rsidR="001D140D" w:rsidRPr="008B1251" w:rsidRDefault="001D140D" w:rsidP="001D140D">
      <w:pPr>
        <w:rPr>
          <w:lang w:val="de-DE"/>
        </w:rPr>
      </w:pPr>
    </w:p>
    <w:p w:rsidR="001D140D" w:rsidRPr="008B1251" w:rsidRDefault="001D140D" w:rsidP="002E1C71">
      <w:pPr>
        <w:pStyle w:val="Heading2"/>
      </w:pPr>
      <w:bookmarkStart w:id="118" w:name="_Toc381174875"/>
      <w:bookmarkStart w:id="119" w:name="_Toc413078858"/>
      <w:bookmarkStart w:id="120" w:name="_Toc413311308"/>
      <w:bookmarkStart w:id="121" w:name="_Toc413311684"/>
      <w:bookmarkStart w:id="122" w:name="_Toc413335723"/>
      <w:r w:rsidRPr="008B1251">
        <w:lastRenderedPageBreak/>
        <w:t xml:space="preserve">Seminar </w:t>
      </w:r>
      <w:r w:rsidR="002E1C71" w:rsidRPr="008B1251">
        <w:t xml:space="preserve">über im wesentlichen abgeleitete Sorten </w:t>
      </w:r>
      <w:r w:rsidRPr="008B1251">
        <w:t>(EDV)</w:t>
      </w:r>
      <w:bookmarkEnd w:id="118"/>
      <w:bookmarkEnd w:id="119"/>
      <w:bookmarkEnd w:id="120"/>
      <w:bookmarkEnd w:id="121"/>
      <w:bookmarkEnd w:id="122"/>
    </w:p>
    <w:p w:rsidR="001D140D" w:rsidRPr="008B1251" w:rsidRDefault="001D140D" w:rsidP="001D140D">
      <w:pPr>
        <w:rPr>
          <w:rFonts w:cs="Arial"/>
          <w:highlight w:val="yellow"/>
          <w:lang w:val="de-DE"/>
        </w:rPr>
      </w:pPr>
      <w:bookmarkStart w:id="123" w:name="OLE_LINK1"/>
    </w:p>
    <w:bookmarkEnd w:id="123"/>
    <w:p w:rsidR="00A55B16" w:rsidRPr="008B1251" w:rsidRDefault="00A55B16" w:rsidP="00A55B16">
      <w:pPr>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2E1C71" w:rsidRPr="008B1251">
        <w:rPr>
          <w:lang w:val="de-DE"/>
        </w:rPr>
        <w:t xml:space="preserve">Die deutsche, die französische und die spanische Fassung der Beratungen des </w:t>
      </w:r>
      <w:r w:rsidR="005B1150" w:rsidRPr="008B1251">
        <w:rPr>
          <w:lang w:val="de-DE"/>
        </w:rPr>
        <w:t>„</w:t>
      </w:r>
      <w:r w:rsidR="002E1C71" w:rsidRPr="008B1251">
        <w:rPr>
          <w:lang w:val="de-DE"/>
        </w:rPr>
        <w:t>Seminars über im wesentlichen abgeleitete Sorten</w:t>
      </w:r>
      <w:r w:rsidR="005B1150" w:rsidRPr="008B1251">
        <w:rPr>
          <w:lang w:val="de-DE"/>
        </w:rPr>
        <w:t>“</w:t>
      </w:r>
      <w:r w:rsidR="002E1C71" w:rsidRPr="008B1251">
        <w:rPr>
          <w:lang w:val="de-DE"/>
        </w:rPr>
        <w:t xml:space="preserve"> (UPOV-Veröffentlichung Nr. 358) vom 22. Oktober 2013 in Genf wurden auf der UPOV-Website veröffentlicht unter</w:t>
      </w:r>
      <w:r w:rsidRPr="008B1251">
        <w:rPr>
          <w:lang w:val="de-DE"/>
        </w:rPr>
        <w:t xml:space="preserve"> </w:t>
      </w:r>
      <w:hyperlink r:id="rId13" w:history="1">
        <w:r w:rsidR="00EF1423" w:rsidRPr="00CA24E1">
          <w:rPr>
            <w:rStyle w:val="Hyperlink"/>
            <w:lang w:val="de-DE"/>
          </w:rPr>
          <w:t>http://www.upov.int/meetings/n/details.jsp?meeting_id=29782</w:t>
        </w:r>
      </w:hyperlink>
      <w:r w:rsidR="005B1150" w:rsidRPr="008B1251">
        <w:rPr>
          <w:lang w:val="de-DE"/>
        </w:rPr>
        <w:t>.</w:t>
      </w:r>
    </w:p>
    <w:p w:rsidR="00A55B16" w:rsidRPr="008B1251" w:rsidRDefault="00A55B16" w:rsidP="00A55B16">
      <w:pPr>
        <w:rPr>
          <w:lang w:val="de-DE"/>
        </w:rPr>
      </w:pPr>
    </w:p>
    <w:p w:rsidR="00A55B16" w:rsidRPr="008B1251" w:rsidRDefault="00A55B16" w:rsidP="002E1C71">
      <w:pPr>
        <w:pStyle w:val="Heading2"/>
        <w:rPr>
          <w:color w:val="auto"/>
        </w:rPr>
      </w:pPr>
      <w:bookmarkStart w:id="124" w:name="_Toc381174876"/>
    </w:p>
    <w:p w:rsidR="001D140D" w:rsidRPr="008B1251" w:rsidRDefault="002E1C71" w:rsidP="002E1C71">
      <w:pPr>
        <w:pStyle w:val="Heading2"/>
        <w:rPr>
          <w:color w:val="auto"/>
        </w:rPr>
      </w:pPr>
      <w:bookmarkStart w:id="125" w:name="_Toc413078859"/>
      <w:bookmarkStart w:id="126" w:name="_Toc413311309"/>
      <w:bookmarkStart w:id="127" w:name="_Toc413311685"/>
      <w:bookmarkStart w:id="128" w:name="_Toc413335724"/>
      <w:r w:rsidRPr="008B1251">
        <w:rPr>
          <w:color w:val="auto"/>
        </w:rPr>
        <w:t>Fernlehrgänge</w:t>
      </w:r>
      <w:bookmarkEnd w:id="124"/>
      <w:bookmarkEnd w:id="125"/>
      <w:bookmarkEnd w:id="126"/>
      <w:bookmarkEnd w:id="127"/>
      <w:bookmarkEnd w:id="128"/>
    </w:p>
    <w:p w:rsidR="001D140D" w:rsidRPr="008B1251" w:rsidRDefault="001D140D" w:rsidP="001D140D">
      <w:pPr>
        <w:keepNext/>
        <w:rPr>
          <w:lang w:val="de-DE"/>
        </w:rPr>
      </w:pPr>
    </w:p>
    <w:p w:rsidR="00A21CDF" w:rsidRPr="008B1251" w:rsidRDefault="00A21CDF" w:rsidP="00446C18">
      <w:pPr>
        <w:rPr>
          <w:rFonts w:cs="Arial"/>
          <w:lang w:val="de-DE"/>
        </w:rPr>
      </w:pPr>
      <w:r w:rsidRPr="008B1251">
        <w:rPr>
          <w:rFonts w:cs="Arial"/>
          <w:lang w:val="de-DE"/>
        </w:rPr>
        <w:fldChar w:fldCharType="begin"/>
      </w:r>
      <w:r w:rsidRPr="008B1251">
        <w:rPr>
          <w:rFonts w:cs="Arial"/>
          <w:lang w:val="de-DE"/>
        </w:rPr>
        <w:instrText xml:space="preserve"> AUTONUM  </w:instrText>
      </w:r>
      <w:r w:rsidRPr="008B1251">
        <w:rPr>
          <w:rFonts w:cs="Arial"/>
          <w:lang w:val="de-DE"/>
        </w:rPr>
        <w:fldChar w:fldCharType="end"/>
      </w:r>
      <w:r w:rsidRPr="008B1251">
        <w:rPr>
          <w:rFonts w:cs="Arial"/>
          <w:lang w:val="de-DE"/>
        </w:rPr>
        <w:tab/>
      </w:r>
      <w:r w:rsidR="002E1C71" w:rsidRPr="008B1251">
        <w:rPr>
          <w:rFonts w:cs="Arial"/>
          <w:lang w:val="de-DE"/>
        </w:rPr>
        <w:t xml:space="preserve">Die UPOV wird im Jahre 2015 einen neuen Fernlehrgang, DL-305, „Prüfung von Anträgen auf Erteilung der Züchterrechte“, sowohl als Einzellehrgang als auch als zweiteiligen Lehrgang: DL-305A, „Verwaltung von Züchterrechten“, und DL-305B, „DUS-Prüfung“, in Englisch, Französisch und Spanisch </w:t>
      </w:r>
      <w:r w:rsidR="00451BF6" w:rsidRPr="008B1251">
        <w:rPr>
          <w:rFonts w:cs="Arial"/>
          <w:lang w:val="de-DE"/>
        </w:rPr>
        <w:t>gemäß</w:t>
      </w:r>
      <w:r w:rsidR="00446C18" w:rsidRPr="008B1251">
        <w:rPr>
          <w:rFonts w:cs="Arial"/>
          <w:lang w:val="de-DE"/>
        </w:rPr>
        <w:t xml:space="preserve"> </w:t>
      </w:r>
      <w:r w:rsidR="00451BF6" w:rsidRPr="008B1251">
        <w:rPr>
          <w:rFonts w:cs="Arial"/>
          <w:lang w:val="de-DE"/>
        </w:rPr>
        <w:t>folgendem</w:t>
      </w:r>
      <w:r w:rsidR="00446C18" w:rsidRPr="008B1251">
        <w:rPr>
          <w:rFonts w:cs="Arial"/>
          <w:lang w:val="de-DE"/>
        </w:rPr>
        <w:t xml:space="preserve"> Zeitplan </w:t>
      </w:r>
      <w:r w:rsidR="002E1C71" w:rsidRPr="008B1251">
        <w:rPr>
          <w:rFonts w:cs="Arial"/>
          <w:lang w:val="de-DE"/>
        </w:rPr>
        <w:t>einführen</w:t>
      </w:r>
      <w:r w:rsidRPr="008B1251">
        <w:rPr>
          <w:rFonts w:cs="Arial"/>
          <w:lang w:val="de-DE"/>
        </w:rPr>
        <w:t>:</w:t>
      </w:r>
    </w:p>
    <w:p w:rsidR="00A21CDF" w:rsidRPr="008B1251" w:rsidRDefault="00A21CDF" w:rsidP="00A21CDF">
      <w:pPr>
        <w:rPr>
          <w:rFonts w:cs="Arial"/>
          <w:lang w:val="de-DE"/>
        </w:rPr>
      </w:pPr>
    </w:p>
    <w:tbl>
      <w:tblPr>
        <w:tblW w:w="9616" w:type="dxa"/>
        <w:tblCellSpacing w:w="22" w:type="dxa"/>
        <w:tblInd w:w="28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60"/>
        <w:gridCol w:w="4010"/>
        <w:gridCol w:w="2105"/>
        <w:gridCol w:w="2241"/>
      </w:tblGrid>
      <w:tr w:rsidR="00446C18" w:rsidRPr="008B1251" w:rsidTr="00A21CDF">
        <w:trPr>
          <w:tblCellSpacing w:w="22" w:type="dxa"/>
        </w:trPr>
        <w:tc>
          <w:tcPr>
            <w:tcW w:w="1194" w:type="dxa"/>
            <w:tcBorders>
              <w:top w:val="outset" w:sz="6" w:space="0" w:color="auto"/>
              <w:left w:val="outset" w:sz="6" w:space="0" w:color="auto"/>
              <w:bottom w:val="outset" w:sz="6" w:space="0" w:color="auto"/>
              <w:right w:val="outset" w:sz="6" w:space="0" w:color="auto"/>
            </w:tcBorders>
            <w:vAlign w:val="center"/>
            <w:hideMark/>
          </w:tcPr>
          <w:p w:rsidR="00A21CDF" w:rsidRPr="008B1251" w:rsidRDefault="00A21CDF" w:rsidP="00A21CDF">
            <w:pPr>
              <w:jc w:val="left"/>
              <w:rPr>
                <w:rFonts w:cs="Arial"/>
                <w:lang w:val="de-DE"/>
              </w:rPr>
            </w:pPr>
            <w:r w:rsidRPr="008B1251">
              <w:rPr>
                <w:rFonts w:cs="Arial"/>
                <w:lang w:val="de-DE"/>
              </w:rPr>
              <w:t>Code</w:t>
            </w:r>
          </w:p>
        </w:tc>
        <w:tc>
          <w:tcPr>
            <w:tcW w:w="3966" w:type="dxa"/>
            <w:tcBorders>
              <w:top w:val="outset" w:sz="6" w:space="0" w:color="auto"/>
              <w:left w:val="outset" w:sz="6" w:space="0" w:color="auto"/>
              <w:bottom w:val="outset" w:sz="6" w:space="0" w:color="auto"/>
              <w:right w:val="outset" w:sz="6" w:space="0" w:color="auto"/>
            </w:tcBorders>
            <w:vAlign w:val="center"/>
            <w:hideMark/>
          </w:tcPr>
          <w:p w:rsidR="00A21CDF" w:rsidRPr="008B1251" w:rsidRDefault="00446C18" w:rsidP="00A21CDF">
            <w:pPr>
              <w:jc w:val="left"/>
              <w:rPr>
                <w:rFonts w:cs="Arial"/>
                <w:lang w:val="de-DE"/>
              </w:rPr>
            </w:pPr>
            <w:r w:rsidRPr="008B1251">
              <w:rPr>
                <w:rFonts w:cs="Arial"/>
                <w:lang w:val="de-DE"/>
              </w:rPr>
              <w:t>Lehrgang</w:t>
            </w:r>
          </w:p>
        </w:tc>
        <w:tc>
          <w:tcPr>
            <w:tcW w:w="0" w:type="auto"/>
            <w:tcBorders>
              <w:top w:val="outset" w:sz="6" w:space="0" w:color="auto"/>
              <w:left w:val="outset" w:sz="6" w:space="0" w:color="auto"/>
              <w:bottom w:val="outset" w:sz="6" w:space="0" w:color="auto"/>
              <w:right w:val="outset" w:sz="6" w:space="0" w:color="auto"/>
            </w:tcBorders>
            <w:vAlign w:val="center"/>
            <w:hideMark/>
          </w:tcPr>
          <w:p w:rsidR="00A21CDF" w:rsidRPr="008B1251" w:rsidRDefault="00A21CDF" w:rsidP="00446C18">
            <w:pPr>
              <w:jc w:val="left"/>
              <w:rPr>
                <w:rFonts w:cs="Arial"/>
                <w:lang w:val="de-DE"/>
              </w:rPr>
            </w:pPr>
            <w:r w:rsidRPr="008B1251">
              <w:rPr>
                <w:rFonts w:cs="Arial"/>
                <w:lang w:val="de-DE"/>
              </w:rPr>
              <w:t>Stud</w:t>
            </w:r>
            <w:r w:rsidR="00446C18" w:rsidRPr="008B1251">
              <w:rPr>
                <w:rFonts w:cs="Arial"/>
                <w:lang w:val="de-DE"/>
              </w:rPr>
              <w:t>ien</w:t>
            </w:r>
            <w:r w:rsidRPr="008B1251">
              <w:rPr>
                <w:rFonts w:cs="Arial"/>
                <w:lang w:val="de-DE"/>
              </w:rPr>
              <w:t>period</w:t>
            </w:r>
            <w:r w:rsidR="00446C18" w:rsidRPr="008B1251">
              <w:rPr>
                <w:rFonts w:cs="Arial"/>
                <w:lang w:val="de-DE"/>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A21CDF" w:rsidRPr="008B1251" w:rsidRDefault="00451BF6" w:rsidP="00446C18">
            <w:pPr>
              <w:jc w:val="left"/>
              <w:rPr>
                <w:rFonts w:cs="Arial"/>
                <w:lang w:val="de-DE"/>
              </w:rPr>
            </w:pPr>
            <w:r w:rsidRPr="008B1251">
              <w:rPr>
                <w:rFonts w:cs="Arial"/>
                <w:lang w:val="de-DE"/>
              </w:rPr>
              <w:t>Anmeldeperiode</w:t>
            </w:r>
          </w:p>
        </w:tc>
      </w:tr>
      <w:tr w:rsidR="00446C18" w:rsidRPr="008B1251"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8B1251" w:rsidRDefault="007A2942" w:rsidP="00A21CDF">
            <w:pPr>
              <w:jc w:val="left"/>
              <w:rPr>
                <w:rFonts w:cs="Arial"/>
                <w:lang w:val="de-DE"/>
              </w:rPr>
            </w:pPr>
            <w:hyperlink r:id="rId14" w:anchor="plus_DL205E" w:history="1">
              <w:r w:rsidR="00A21CDF" w:rsidRPr="008B1251">
                <w:rPr>
                  <w:rStyle w:val="Hyperlink"/>
                  <w:rFonts w:cs="Arial"/>
                  <w:lang w:val="de-DE"/>
                </w:rPr>
                <w:t>DL-205</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8B1251" w:rsidRDefault="00446C18" w:rsidP="005B1150">
            <w:pPr>
              <w:jc w:val="left"/>
              <w:rPr>
                <w:rFonts w:cs="Arial"/>
                <w:lang w:val="de-DE"/>
              </w:rPr>
            </w:pPr>
            <w:r w:rsidRPr="008B1251">
              <w:rPr>
                <w:rFonts w:cs="Arial"/>
                <w:lang w:val="de-DE"/>
              </w:rPr>
              <w:t xml:space="preserve">Einführung in </w:t>
            </w:r>
            <w:r w:rsidR="00451BF6" w:rsidRPr="008B1251">
              <w:rPr>
                <w:rFonts w:cs="Arial"/>
                <w:lang w:val="de-DE"/>
              </w:rPr>
              <w:t>das</w:t>
            </w:r>
            <w:r w:rsidRPr="008B1251">
              <w:rPr>
                <w:rFonts w:cs="Arial"/>
                <w:lang w:val="de-DE"/>
              </w:rPr>
              <w:t xml:space="preserve"> UPOV</w:t>
            </w:r>
            <w:r w:rsidR="005B1150" w:rsidRPr="008B1251">
              <w:rPr>
                <w:rFonts w:cs="Arial"/>
                <w:lang w:val="de-DE"/>
              </w:rPr>
              <w:noBreakHyphen/>
            </w:r>
            <w:r w:rsidRPr="008B1251">
              <w:rPr>
                <w:rFonts w:cs="Arial"/>
                <w:lang w:val="de-DE"/>
              </w:rPr>
              <w:t xml:space="preserve">Sortenschutzsystem nach </w:t>
            </w:r>
            <w:r w:rsidR="00451BF6" w:rsidRPr="008B1251">
              <w:rPr>
                <w:rFonts w:cs="Arial"/>
                <w:lang w:val="de-DE"/>
              </w:rPr>
              <w:t>dem</w:t>
            </w:r>
            <w:r w:rsidRPr="008B1251">
              <w:rPr>
                <w:rFonts w:cs="Arial"/>
                <w:lang w:val="de-DE"/>
              </w:rPr>
              <w:t xml:space="preserve"> UPOV-Übereinkommen</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A21CDF" w:rsidP="00214FDF">
            <w:pPr>
              <w:jc w:val="left"/>
              <w:rPr>
                <w:rFonts w:cs="Arial"/>
                <w:lang w:val="de-DE"/>
              </w:rPr>
            </w:pPr>
            <w:r w:rsidRPr="008B1251">
              <w:rPr>
                <w:rFonts w:cs="Arial"/>
                <w:lang w:val="de-DE"/>
              </w:rPr>
              <w:t>19</w:t>
            </w:r>
            <w:r w:rsidR="00446C18" w:rsidRPr="008B1251">
              <w:rPr>
                <w:rFonts w:cs="Arial"/>
                <w:lang w:val="de-DE"/>
              </w:rPr>
              <w:t xml:space="preserve">. </w:t>
            </w:r>
            <w:r w:rsidRPr="008B1251">
              <w:rPr>
                <w:rFonts w:cs="Arial"/>
                <w:lang w:val="de-DE"/>
              </w:rPr>
              <w:t>O</w:t>
            </w:r>
            <w:r w:rsidR="00446C18" w:rsidRPr="008B1251">
              <w:rPr>
                <w:rFonts w:cs="Arial"/>
                <w:lang w:val="de-DE"/>
              </w:rPr>
              <w:t>k</w:t>
            </w:r>
            <w:r w:rsidRPr="008B1251">
              <w:rPr>
                <w:rFonts w:cs="Arial"/>
                <w:lang w:val="de-DE"/>
              </w:rPr>
              <w:t>t</w:t>
            </w:r>
            <w:r w:rsidR="00446C18" w:rsidRPr="008B1251">
              <w:rPr>
                <w:rFonts w:cs="Arial"/>
                <w:lang w:val="de-DE"/>
              </w:rPr>
              <w:t>ober bis 23.</w:t>
            </w:r>
            <w:r w:rsidR="00214FDF" w:rsidRPr="008B1251">
              <w:rPr>
                <w:rFonts w:cs="Arial"/>
                <w:lang w:val="de-DE"/>
              </w:rPr>
              <w:t> </w:t>
            </w:r>
            <w:r w:rsidR="00446C18" w:rsidRPr="008B1251">
              <w:rPr>
                <w:rFonts w:cs="Arial"/>
                <w:lang w:val="de-DE"/>
              </w:rPr>
              <w:t>November</w:t>
            </w:r>
            <w:r w:rsidR="00214FDF" w:rsidRPr="008B1251">
              <w:rPr>
                <w:rFonts w:cs="Arial"/>
                <w:lang w:val="de-DE"/>
              </w:rPr>
              <w:t> </w:t>
            </w:r>
            <w:r w:rsidRPr="008B1251">
              <w:rPr>
                <w:rFonts w:cs="Arial"/>
                <w:lang w:val="de-DE"/>
              </w:rPr>
              <w:t>2015</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A21CDF" w:rsidP="00214FDF">
            <w:pPr>
              <w:jc w:val="left"/>
              <w:rPr>
                <w:rFonts w:cs="Arial"/>
                <w:lang w:val="de-DE"/>
              </w:rPr>
            </w:pPr>
            <w:r w:rsidRPr="008B1251">
              <w:rPr>
                <w:rFonts w:cs="Arial"/>
                <w:lang w:val="de-DE"/>
              </w:rPr>
              <w:t>1</w:t>
            </w:r>
            <w:r w:rsidR="00446C18" w:rsidRPr="008B1251">
              <w:rPr>
                <w:rFonts w:cs="Arial"/>
                <w:lang w:val="de-DE"/>
              </w:rPr>
              <w:t>. Januar bis 29.</w:t>
            </w:r>
            <w:r w:rsidR="00214FDF" w:rsidRPr="008B1251">
              <w:rPr>
                <w:rFonts w:cs="Arial"/>
                <w:lang w:val="de-DE"/>
              </w:rPr>
              <w:t> </w:t>
            </w:r>
            <w:r w:rsidR="00446C18" w:rsidRPr="008B1251">
              <w:rPr>
                <w:rFonts w:cs="Arial"/>
                <w:lang w:val="de-DE"/>
              </w:rPr>
              <w:t>März</w:t>
            </w:r>
            <w:r w:rsidR="00214FDF" w:rsidRPr="008B1251">
              <w:rPr>
                <w:rFonts w:cs="Arial"/>
                <w:lang w:val="de-DE"/>
              </w:rPr>
              <w:t> </w:t>
            </w:r>
            <w:r w:rsidR="00446C18" w:rsidRPr="008B1251">
              <w:rPr>
                <w:rFonts w:cs="Arial"/>
                <w:lang w:val="de-DE"/>
              </w:rPr>
              <w:t>2015 und 17.</w:t>
            </w:r>
            <w:r w:rsidR="00214FDF" w:rsidRPr="008B1251">
              <w:rPr>
                <w:rFonts w:cs="Arial"/>
                <w:lang w:val="de-DE"/>
              </w:rPr>
              <w:t> </w:t>
            </w:r>
            <w:r w:rsidR="00446C18" w:rsidRPr="008B1251">
              <w:rPr>
                <w:rFonts w:cs="Arial"/>
                <w:lang w:val="de-DE"/>
              </w:rPr>
              <w:t>August bis 27.</w:t>
            </w:r>
            <w:r w:rsidR="00214FDF" w:rsidRPr="008B1251">
              <w:rPr>
                <w:rFonts w:cs="Arial"/>
                <w:lang w:val="de-DE"/>
              </w:rPr>
              <w:t> </w:t>
            </w:r>
            <w:r w:rsidR="00446C18" w:rsidRPr="008B1251">
              <w:rPr>
                <w:rFonts w:cs="Arial"/>
                <w:lang w:val="de-DE"/>
              </w:rPr>
              <w:t xml:space="preserve">September </w:t>
            </w:r>
            <w:r w:rsidRPr="008B1251">
              <w:rPr>
                <w:rFonts w:cs="Arial"/>
                <w:lang w:val="de-DE"/>
              </w:rPr>
              <w:t>2015</w:t>
            </w:r>
          </w:p>
        </w:tc>
      </w:tr>
      <w:tr w:rsidR="00446C18" w:rsidRPr="008B1251"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8B1251" w:rsidRDefault="007A2942" w:rsidP="00A21CDF">
            <w:pPr>
              <w:jc w:val="left"/>
              <w:rPr>
                <w:rFonts w:cs="Arial"/>
                <w:lang w:val="de-DE"/>
              </w:rPr>
            </w:pPr>
            <w:hyperlink r:id="rId15" w:anchor="plus_DL305AE" w:history="1">
              <w:r w:rsidR="00A21CDF" w:rsidRPr="008B1251">
                <w:rPr>
                  <w:rStyle w:val="Hyperlink"/>
                  <w:rFonts w:cs="Arial"/>
                  <w:lang w:val="de-DE"/>
                </w:rPr>
                <w:t>DL-305A</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8B1251" w:rsidRDefault="00451BF6" w:rsidP="00446C18">
            <w:pPr>
              <w:pStyle w:val="NormalWeb"/>
              <w:rPr>
                <w:rFonts w:ascii="Arial" w:hAnsi="Arial" w:cs="Arial"/>
                <w:sz w:val="20"/>
                <w:szCs w:val="20"/>
                <w:lang w:val="de-DE"/>
              </w:rPr>
            </w:pPr>
            <w:r w:rsidRPr="008B1251">
              <w:rPr>
                <w:rFonts w:ascii="Arial" w:hAnsi="Arial" w:cs="Arial"/>
                <w:sz w:val="20"/>
                <w:szCs w:val="20"/>
                <w:lang w:val="de-DE"/>
              </w:rPr>
              <w:t>Verwaltung</w:t>
            </w:r>
            <w:r w:rsidR="00446C18" w:rsidRPr="008B1251">
              <w:rPr>
                <w:rFonts w:ascii="Arial" w:hAnsi="Arial" w:cs="Arial"/>
                <w:sz w:val="20"/>
                <w:szCs w:val="20"/>
                <w:lang w:val="de-DE"/>
              </w:rPr>
              <w:t xml:space="preserve"> von Züchterrechten </w:t>
            </w:r>
            <w:r w:rsidR="00A21CDF" w:rsidRPr="008B1251">
              <w:rPr>
                <w:rFonts w:ascii="Arial" w:hAnsi="Arial" w:cs="Arial"/>
                <w:sz w:val="20"/>
                <w:szCs w:val="20"/>
                <w:lang w:val="de-DE"/>
              </w:rPr>
              <w:br/>
              <w:t>(</w:t>
            </w:r>
            <w:r w:rsidR="00446C18" w:rsidRPr="008B1251">
              <w:rPr>
                <w:rFonts w:ascii="Arial" w:hAnsi="Arial" w:cs="Arial"/>
                <w:sz w:val="20"/>
                <w:szCs w:val="20"/>
                <w:lang w:val="de-DE"/>
              </w:rPr>
              <w:t>Teil</w:t>
            </w:r>
            <w:r w:rsidR="00A21CDF" w:rsidRPr="008B1251">
              <w:rPr>
                <w:rFonts w:ascii="Arial" w:hAnsi="Arial" w:cs="Arial"/>
                <w:sz w:val="20"/>
                <w:szCs w:val="20"/>
                <w:lang w:val="de-DE"/>
              </w:rPr>
              <w:t xml:space="preserve"> A </w:t>
            </w:r>
            <w:r w:rsidR="00446C18" w:rsidRPr="008B1251">
              <w:rPr>
                <w:rFonts w:ascii="Arial" w:hAnsi="Arial" w:cs="Arial"/>
                <w:sz w:val="20"/>
                <w:szCs w:val="20"/>
                <w:lang w:val="de-DE"/>
              </w:rPr>
              <w:t>des Lehrgangs</w:t>
            </w:r>
            <w:r w:rsidR="00A21CDF" w:rsidRPr="008B1251">
              <w:rPr>
                <w:rFonts w:ascii="Arial" w:hAnsi="Arial" w:cs="Arial"/>
                <w:sz w:val="20"/>
                <w:szCs w:val="20"/>
                <w:lang w:val="de-DE"/>
              </w:rPr>
              <w:t xml:space="preserve"> DL-305:</w:t>
            </w:r>
            <w:r w:rsidR="00446C18" w:rsidRPr="008B1251">
              <w:rPr>
                <w:rFonts w:ascii="Arial" w:hAnsi="Arial" w:cs="Arial"/>
                <w:sz w:val="20"/>
                <w:szCs w:val="20"/>
                <w:lang w:val="de-DE"/>
              </w:rPr>
              <w:t xml:space="preserve"> Prüfung von Anträgen auf Erteilung der Züchterrechte</w:t>
            </w:r>
            <w:r w:rsidR="00A21CDF" w:rsidRPr="008B1251">
              <w:rPr>
                <w:rFonts w:ascii="Arial" w:hAnsi="Arial" w:cs="Arial"/>
                <w:sz w:val="20"/>
                <w:szCs w:val="20"/>
                <w:lang w:val="de-DE"/>
              </w:rPr>
              <w:t>)</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A21CDF" w:rsidP="00214FDF">
            <w:pPr>
              <w:jc w:val="left"/>
              <w:rPr>
                <w:rFonts w:cs="Arial"/>
                <w:lang w:val="de-DE"/>
              </w:rPr>
            </w:pPr>
            <w:r w:rsidRPr="008B1251">
              <w:rPr>
                <w:rFonts w:cs="Arial"/>
                <w:lang w:val="de-DE"/>
              </w:rPr>
              <w:t>16</w:t>
            </w:r>
            <w:r w:rsidR="00446C18" w:rsidRPr="008B1251">
              <w:rPr>
                <w:rFonts w:cs="Arial"/>
                <w:lang w:val="de-DE"/>
              </w:rPr>
              <w:t xml:space="preserve">. </w:t>
            </w:r>
            <w:r w:rsidRPr="008B1251">
              <w:rPr>
                <w:rFonts w:cs="Arial"/>
                <w:lang w:val="de-DE"/>
              </w:rPr>
              <w:t>Feb</w:t>
            </w:r>
            <w:r w:rsidR="00446C18" w:rsidRPr="008B1251">
              <w:rPr>
                <w:rFonts w:cs="Arial"/>
                <w:lang w:val="de-DE"/>
              </w:rPr>
              <w:t>ruar bis 22.</w:t>
            </w:r>
            <w:r w:rsidR="00214FDF" w:rsidRPr="008B1251">
              <w:rPr>
                <w:rFonts w:cs="Arial"/>
                <w:lang w:val="de-DE"/>
              </w:rPr>
              <w:t> </w:t>
            </w:r>
            <w:r w:rsidR="00446C18" w:rsidRPr="008B1251">
              <w:rPr>
                <w:rFonts w:cs="Arial"/>
                <w:lang w:val="de-DE"/>
              </w:rPr>
              <w:t xml:space="preserve">März </w:t>
            </w:r>
            <w:r w:rsidRPr="008B1251">
              <w:rPr>
                <w:rFonts w:cs="Arial"/>
                <w:lang w:val="de-DE"/>
              </w:rPr>
              <w:t>2015</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A21CDF" w:rsidP="00214FDF">
            <w:pPr>
              <w:jc w:val="left"/>
              <w:rPr>
                <w:rFonts w:cs="Arial"/>
                <w:lang w:val="de-DE"/>
              </w:rPr>
            </w:pPr>
            <w:r w:rsidRPr="008B1251">
              <w:rPr>
                <w:rFonts w:cs="Arial"/>
                <w:lang w:val="de-DE"/>
              </w:rPr>
              <w:t>1</w:t>
            </w:r>
            <w:r w:rsidR="00446C18" w:rsidRPr="008B1251">
              <w:rPr>
                <w:rFonts w:cs="Arial"/>
                <w:lang w:val="de-DE"/>
              </w:rPr>
              <w:t xml:space="preserve">. </w:t>
            </w:r>
            <w:r w:rsidRPr="008B1251">
              <w:rPr>
                <w:rFonts w:cs="Arial"/>
                <w:lang w:val="de-DE"/>
              </w:rPr>
              <w:t>Jan</w:t>
            </w:r>
            <w:r w:rsidR="00446C18" w:rsidRPr="008B1251">
              <w:rPr>
                <w:rFonts w:cs="Arial"/>
                <w:lang w:val="de-DE"/>
              </w:rPr>
              <w:t>uar bis</w:t>
            </w:r>
            <w:r w:rsidRPr="008B1251">
              <w:rPr>
                <w:rFonts w:cs="Arial"/>
                <w:lang w:val="de-DE"/>
              </w:rPr>
              <w:t xml:space="preserve"> 31</w:t>
            </w:r>
            <w:r w:rsidR="00446C18" w:rsidRPr="008B1251">
              <w:rPr>
                <w:rFonts w:cs="Arial"/>
                <w:lang w:val="de-DE"/>
              </w:rPr>
              <w:t>.</w:t>
            </w:r>
            <w:r w:rsidR="00214FDF" w:rsidRPr="008B1251">
              <w:rPr>
                <w:rFonts w:cs="Arial"/>
                <w:lang w:val="de-DE"/>
              </w:rPr>
              <w:t> </w:t>
            </w:r>
            <w:r w:rsidRPr="008B1251">
              <w:rPr>
                <w:rFonts w:cs="Arial"/>
                <w:lang w:val="de-DE"/>
              </w:rPr>
              <w:t>Jan</w:t>
            </w:r>
            <w:r w:rsidR="00446C18" w:rsidRPr="008B1251">
              <w:rPr>
                <w:rFonts w:cs="Arial"/>
                <w:lang w:val="de-DE"/>
              </w:rPr>
              <w:t>uar</w:t>
            </w:r>
            <w:r w:rsidRPr="008B1251">
              <w:rPr>
                <w:rFonts w:cs="Arial"/>
                <w:lang w:val="de-DE"/>
              </w:rPr>
              <w:t xml:space="preserve"> 2015</w:t>
            </w:r>
          </w:p>
        </w:tc>
      </w:tr>
      <w:tr w:rsidR="00446C18" w:rsidRPr="008B1251"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8B1251" w:rsidRDefault="007A2942" w:rsidP="00A21CDF">
            <w:pPr>
              <w:jc w:val="left"/>
              <w:rPr>
                <w:rFonts w:cs="Arial"/>
                <w:lang w:val="de-DE"/>
              </w:rPr>
            </w:pPr>
            <w:hyperlink r:id="rId16" w:anchor="plus_DL305BE" w:history="1">
              <w:r w:rsidR="00A21CDF" w:rsidRPr="008B1251">
                <w:rPr>
                  <w:rStyle w:val="Hyperlink"/>
                  <w:rFonts w:cs="Arial"/>
                  <w:lang w:val="de-DE"/>
                </w:rPr>
                <w:t>DL-305B</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8B1251" w:rsidRDefault="00A21CDF" w:rsidP="00446C18">
            <w:pPr>
              <w:jc w:val="left"/>
              <w:rPr>
                <w:rFonts w:cs="Arial"/>
                <w:lang w:val="de-DE"/>
              </w:rPr>
            </w:pPr>
            <w:r w:rsidRPr="008B1251">
              <w:rPr>
                <w:rFonts w:cs="Arial"/>
                <w:lang w:val="de-DE"/>
              </w:rPr>
              <w:t>DUS</w:t>
            </w:r>
            <w:r w:rsidR="00446C18" w:rsidRPr="008B1251">
              <w:rPr>
                <w:rFonts w:cs="Arial"/>
                <w:lang w:val="de-DE"/>
              </w:rPr>
              <w:t>-Prüfung</w:t>
            </w:r>
            <w:r w:rsidRPr="008B1251">
              <w:rPr>
                <w:rFonts w:cs="Arial"/>
                <w:lang w:val="de-DE"/>
              </w:rPr>
              <w:br/>
              <w:t>(</w:t>
            </w:r>
            <w:r w:rsidR="00446C18" w:rsidRPr="008B1251">
              <w:rPr>
                <w:rFonts w:cs="Arial"/>
                <w:lang w:val="de-DE"/>
              </w:rPr>
              <w:t>Teil</w:t>
            </w:r>
            <w:r w:rsidRPr="008B1251">
              <w:rPr>
                <w:rFonts w:cs="Arial"/>
                <w:lang w:val="de-DE"/>
              </w:rPr>
              <w:t xml:space="preserve"> B </w:t>
            </w:r>
            <w:r w:rsidR="00446C18" w:rsidRPr="008B1251">
              <w:rPr>
                <w:rFonts w:cs="Arial"/>
                <w:lang w:val="de-DE"/>
              </w:rPr>
              <w:t>des Lehrgangs DL-305: Prüfung von Anträgen auf Erteilung der Züchterrechte</w:t>
            </w:r>
            <w:r w:rsidRPr="008B1251">
              <w:rPr>
                <w:rFonts w:cs="Arial"/>
                <w:lang w:val="de-DE"/>
              </w:rPr>
              <w:t>)</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A21CDF" w:rsidP="00214FDF">
            <w:pPr>
              <w:jc w:val="left"/>
              <w:rPr>
                <w:rFonts w:cs="Arial"/>
                <w:lang w:val="de-DE"/>
              </w:rPr>
            </w:pPr>
            <w:r w:rsidRPr="008B1251">
              <w:rPr>
                <w:rFonts w:cs="Arial"/>
                <w:lang w:val="de-DE"/>
              </w:rPr>
              <w:t>20</w:t>
            </w:r>
            <w:r w:rsidR="00446C18" w:rsidRPr="008B1251">
              <w:rPr>
                <w:rFonts w:cs="Arial"/>
                <w:lang w:val="de-DE"/>
              </w:rPr>
              <w:t xml:space="preserve">. </w:t>
            </w:r>
            <w:r w:rsidRPr="008B1251">
              <w:rPr>
                <w:rFonts w:cs="Arial"/>
                <w:lang w:val="de-DE"/>
              </w:rPr>
              <w:t>Ap</w:t>
            </w:r>
            <w:r w:rsidR="00446C18" w:rsidRPr="008B1251">
              <w:rPr>
                <w:rFonts w:cs="Arial"/>
                <w:lang w:val="de-DE"/>
              </w:rPr>
              <w:t>ril bis</w:t>
            </w:r>
            <w:r w:rsidRPr="008B1251">
              <w:rPr>
                <w:rFonts w:cs="Arial"/>
                <w:lang w:val="de-DE"/>
              </w:rPr>
              <w:t xml:space="preserve"> 24</w:t>
            </w:r>
            <w:r w:rsidR="00446C18" w:rsidRPr="008B1251">
              <w:rPr>
                <w:rFonts w:cs="Arial"/>
                <w:lang w:val="de-DE"/>
              </w:rPr>
              <w:t>.</w:t>
            </w:r>
            <w:r w:rsidR="00214FDF" w:rsidRPr="008B1251">
              <w:rPr>
                <w:rFonts w:cs="Arial"/>
                <w:lang w:val="de-DE"/>
              </w:rPr>
              <w:t> </w:t>
            </w:r>
            <w:r w:rsidRPr="008B1251">
              <w:rPr>
                <w:rFonts w:cs="Arial"/>
                <w:lang w:val="de-DE"/>
              </w:rPr>
              <w:t>Ma</w:t>
            </w:r>
            <w:r w:rsidR="00446C18" w:rsidRPr="008B1251">
              <w:rPr>
                <w:rFonts w:cs="Arial"/>
                <w:lang w:val="de-DE"/>
              </w:rPr>
              <w:t>i</w:t>
            </w:r>
            <w:r w:rsidR="00214FDF" w:rsidRPr="008B1251">
              <w:rPr>
                <w:rFonts w:cs="Arial"/>
                <w:lang w:val="de-DE"/>
              </w:rPr>
              <w:t> </w:t>
            </w:r>
            <w:r w:rsidRPr="008B1251">
              <w:rPr>
                <w:rFonts w:cs="Arial"/>
                <w:lang w:val="de-DE"/>
              </w:rPr>
              <w:t>2015</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A21CDF" w:rsidP="00214FDF">
            <w:pPr>
              <w:jc w:val="left"/>
              <w:rPr>
                <w:rFonts w:cs="Arial"/>
                <w:lang w:val="de-DE"/>
              </w:rPr>
            </w:pPr>
            <w:r w:rsidRPr="008B1251">
              <w:rPr>
                <w:rFonts w:cs="Arial"/>
                <w:lang w:val="de-DE"/>
              </w:rPr>
              <w:t>1</w:t>
            </w:r>
            <w:r w:rsidR="00446C18" w:rsidRPr="008B1251">
              <w:rPr>
                <w:rFonts w:cs="Arial"/>
                <w:lang w:val="de-DE"/>
              </w:rPr>
              <w:t xml:space="preserve">. </w:t>
            </w:r>
            <w:r w:rsidRPr="008B1251">
              <w:rPr>
                <w:rFonts w:cs="Arial"/>
                <w:lang w:val="de-DE"/>
              </w:rPr>
              <w:t>Jan</w:t>
            </w:r>
            <w:r w:rsidR="00446C18" w:rsidRPr="008B1251">
              <w:rPr>
                <w:rFonts w:cs="Arial"/>
                <w:lang w:val="de-DE"/>
              </w:rPr>
              <w:t>uar bis</w:t>
            </w:r>
            <w:r w:rsidRPr="008B1251">
              <w:rPr>
                <w:rFonts w:cs="Arial"/>
                <w:lang w:val="de-DE"/>
              </w:rPr>
              <w:t xml:space="preserve"> 29</w:t>
            </w:r>
            <w:r w:rsidR="00446C18" w:rsidRPr="008B1251">
              <w:rPr>
                <w:rFonts w:cs="Arial"/>
                <w:lang w:val="de-DE"/>
              </w:rPr>
              <w:t>.</w:t>
            </w:r>
            <w:r w:rsidR="00214FDF" w:rsidRPr="008B1251">
              <w:rPr>
                <w:rFonts w:cs="Arial"/>
                <w:lang w:val="de-DE"/>
              </w:rPr>
              <w:t> </w:t>
            </w:r>
            <w:r w:rsidR="00446C18" w:rsidRPr="008B1251">
              <w:rPr>
                <w:rFonts w:cs="Arial"/>
                <w:lang w:val="de-DE"/>
              </w:rPr>
              <w:t>März</w:t>
            </w:r>
            <w:r w:rsidR="00214FDF" w:rsidRPr="008B1251">
              <w:rPr>
                <w:rFonts w:cs="Arial"/>
                <w:lang w:val="de-DE"/>
              </w:rPr>
              <w:t> </w:t>
            </w:r>
            <w:r w:rsidRPr="008B1251">
              <w:rPr>
                <w:rFonts w:cs="Arial"/>
                <w:lang w:val="de-DE"/>
              </w:rPr>
              <w:t>2015</w:t>
            </w:r>
          </w:p>
        </w:tc>
      </w:tr>
      <w:tr w:rsidR="00446C18" w:rsidRPr="008B1251"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8B1251" w:rsidRDefault="007A2942" w:rsidP="00A21CDF">
            <w:pPr>
              <w:jc w:val="left"/>
              <w:rPr>
                <w:rFonts w:cs="Arial"/>
                <w:lang w:val="de-DE"/>
              </w:rPr>
            </w:pPr>
            <w:hyperlink r:id="rId17" w:anchor="plus_DL305E" w:history="1">
              <w:r w:rsidR="00A21CDF" w:rsidRPr="008B1251">
                <w:rPr>
                  <w:rStyle w:val="Hyperlink"/>
                  <w:rFonts w:cs="Arial"/>
                  <w:lang w:val="de-DE"/>
                </w:rPr>
                <w:t>DL-305</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8B1251" w:rsidRDefault="00446C18" w:rsidP="00A21CDF">
            <w:pPr>
              <w:jc w:val="left"/>
              <w:rPr>
                <w:rFonts w:cs="Arial"/>
                <w:lang w:val="de-DE"/>
              </w:rPr>
            </w:pPr>
            <w:r w:rsidRPr="008B1251">
              <w:rPr>
                <w:rFonts w:cs="Arial"/>
                <w:lang w:val="de-DE"/>
              </w:rPr>
              <w:t>Prüfung von Anträgen auf Erteilung der Züchterrechte</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446C18" w:rsidP="00214FDF">
            <w:pPr>
              <w:jc w:val="left"/>
              <w:rPr>
                <w:rFonts w:cs="Arial"/>
                <w:lang w:val="de-DE"/>
              </w:rPr>
            </w:pPr>
            <w:r w:rsidRPr="008B1251">
              <w:rPr>
                <w:rFonts w:cs="Arial"/>
                <w:lang w:val="de-DE"/>
              </w:rPr>
              <w:t>20. April bis 24.</w:t>
            </w:r>
            <w:r w:rsidR="00214FDF" w:rsidRPr="008B1251">
              <w:rPr>
                <w:rFonts w:cs="Arial"/>
                <w:lang w:val="de-DE"/>
              </w:rPr>
              <w:t> </w:t>
            </w:r>
            <w:r w:rsidRPr="008B1251">
              <w:rPr>
                <w:rFonts w:cs="Arial"/>
                <w:lang w:val="de-DE"/>
              </w:rPr>
              <w:t>Mai</w:t>
            </w:r>
            <w:r w:rsidR="00214FDF" w:rsidRPr="008B1251">
              <w:rPr>
                <w:rFonts w:cs="Arial"/>
                <w:lang w:val="de-DE"/>
              </w:rPr>
              <w:t> </w:t>
            </w:r>
            <w:r w:rsidRPr="008B1251">
              <w:rPr>
                <w:rFonts w:cs="Arial"/>
                <w:lang w:val="de-DE"/>
              </w:rPr>
              <w:t>2015</w:t>
            </w:r>
          </w:p>
        </w:tc>
        <w:tc>
          <w:tcPr>
            <w:tcW w:w="0" w:type="auto"/>
            <w:tcBorders>
              <w:top w:val="outset" w:sz="6" w:space="0" w:color="auto"/>
              <w:left w:val="outset" w:sz="6" w:space="0" w:color="auto"/>
              <w:bottom w:val="outset" w:sz="6" w:space="0" w:color="auto"/>
              <w:right w:val="outset" w:sz="6" w:space="0" w:color="auto"/>
            </w:tcBorders>
            <w:hideMark/>
          </w:tcPr>
          <w:p w:rsidR="00A21CDF" w:rsidRPr="008B1251" w:rsidRDefault="00446C18" w:rsidP="00214FDF">
            <w:pPr>
              <w:jc w:val="left"/>
              <w:rPr>
                <w:rFonts w:cs="Arial"/>
                <w:lang w:val="de-DE"/>
              </w:rPr>
            </w:pPr>
            <w:r w:rsidRPr="008B1251">
              <w:rPr>
                <w:rFonts w:cs="Arial"/>
                <w:lang w:val="de-DE"/>
              </w:rPr>
              <w:t>1. Januar bis 29.</w:t>
            </w:r>
            <w:r w:rsidR="00214FDF" w:rsidRPr="008B1251">
              <w:rPr>
                <w:rFonts w:cs="Arial"/>
                <w:lang w:val="de-DE"/>
              </w:rPr>
              <w:t> </w:t>
            </w:r>
            <w:r w:rsidRPr="008B1251">
              <w:rPr>
                <w:rFonts w:cs="Arial"/>
                <w:lang w:val="de-DE"/>
              </w:rPr>
              <w:t>März</w:t>
            </w:r>
            <w:r w:rsidR="00214FDF" w:rsidRPr="008B1251">
              <w:rPr>
                <w:rFonts w:cs="Arial"/>
                <w:lang w:val="de-DE"/>
              </w:rPr>
              <w:t> </w:t>
            </w:r>
            <w:r w:rsidRPr="008B1251">
              <w:rPr>
                <w:rFonts w:cs="Arial"/>
                <w:lang w:val="de-DE"/>
              </w:rPr>
              <w:t>2015</w:t>
            </w:r>
          </w:p>
        </w:tc>
      </w:tr>
    </w:tbl>
    <w:p w:rsidR="00A21CDF" w:rsidRPr="008B1251" w:rsidRDefault="00A21CDF" w:rsidP="00A21CDF">
      <w:pPr>
        <w:rPr>
          <w:rFonts w:cs="Arial"/>
          <w:lang w:val="de-DE"/>
        </w:rPr>
      </w:pPr>
    </w:p>
    <w:p w:rsidR="00A21CDF" w:rsidRPr="008B1251" w:rsidRDefault="00A21CDF" w:rsidP="00A21CDF">
      <w:pPr>
        <w:rPr>
          <w:rFonts w:cs="Arial"/>
          <w:lang w:val="de-DE"/>
        </w:rPr>
      </w:pPr>
      <w:r w:rsidRPr="008B1251">
        <w:rPr>
          <w:rFonts w:cs="Arial"/>
          <w:lang w:val="de-DE"/>
        </w:rPr>
        <w:t>(s</w:t>
      </w:r>
      <w:r w:rsidR="00446C18" w:rsidRPr="008B1251">
        <w:rPr>
          <w:rFonts w:cs="Arial"/>
          <w:lang w:val="de-DE"/>
        </w:rPr>
        <w:t>i</w:t>
      </w:r>
      <w:r w:rsidRPr="008B1251">
        <w:rPr>
          <w:rFonts w:cs="Arial"/>
          <w:lang w:val="de-DE"/>
        </w:rPr>
        <w:t>e</w:t>
      </w:r>
      <w:r w:rsidR="00446C18" w:rsidRPr="008B1251">
        <w:rPr>
          <w:rFonts w:cs="Arial"/>
          <w:lang w:val="de-DE"/>
        </w:rPr>
        <w:t>h</w:t>
      </w:r>
      <w:r w:rsidRPr="008B1251">
        <w:rPr>
          <w:rFonts w:cs="Arial"/>
          <w:lang w:val="de-DE"/>
        </w:rPr>
        <w:t xml:space="preserve">e </w:t>
      </w:r>
      <w:hyperlink r:id="rId18" w:history="1">
        <w:r w:rsidR="00EF1423" w:rsidRPr="00CA24E1">
          <w:rPr>
            <w:rStyle w:val="Hyperlink"/>
            <w:rFonts w:cs="Arial"/>
            <w:lang w:val="de-DE"/>
          </w:rPr>
          <w:t>http://www.upov.int/resource/en/training.html</w:t>
        </w:r>
      </w:hyperlink>
      <w:r w:rsidRPr="008B1251">
        <w:rPr>
          <w:rFonts w:cs="Arial"/>
          <w:lang w:val="de-DE"/>
        </w:rPr>
        <w:t>)</w:t>
      </w:r>
    </w:p>
    <w:p w:rsidR="00A21CDF" w:rsidRPr="008B1251" w:rsidRDefault="00A21CDF" w:rsidP="001D140D">
      <w:pPr>
        <w:keepNext/>
        <w:rPr>
          <w:lang w:val="de-DE"/>
        </w:rPr>
      </w:pPr>
    </w:p>
    <w:p w:rsidR="001D140D" w:rsidRPr="008B1251" w:rsidRDefault="001D140D" w:rsidP="001D140D">
      <w:pPr>
        <w:shd w:val="clear" w:color="auto" w:fill="FFFFFF" w:themeFill="background1"/>
        <w:rPr>
          <w:rFonts w:cs="Arial"/>
          <w:lang w:val="de-DE"/>
        </w:rPr>
      </w:pPr>
      <w:r w:rsidRPr="008B1251">
        <w:rPr>
          <w:rFonts w:cs="Arial"/>
          <w:lang w:val="de-DE"/>
        </w:rPr>
        <w:fldChar w:fldCharType="begin"/>
      </w:r>
      <w:r w:rsidRPr="008B1251">
        <w:rPr>
          <w:rFonts w:cs="Arial"/>
          <w:lang w:val="de-DE"/>
        </w:rPr>
        <w:instrText xml:space="preserve"> AUTONUM  </w:instrText>
      </w:r>
      <w:r w:rsidRPr="008B1251">
        <w:rPr>
          <w:rFonts w:cs="Arial"/>
          <w:lang w:val="de-DE"/>
        </w:rPr>
        <w:fldChar w:fldCharType="end"/>
      </w:r>
      <w:r w:rsidRPr="008B1251">
        <w:rPr>
          <w:rFonts w:cs="Arial"/>
          <w:lang w:val="de-DE"/>
        </w:rPr>
        <w:tab/>
      </w:r>
      <w:r w:rsidR="00446C18" w:rsidRPr="008B1251">
        <w:rPr>
          <w:rFonts w:cs="Arial"/>
          <w:lang w:val="de-DE"/>
        </w:rPr>
        <w:t>Die deutsche Fassung des Lehrgangs DL-305 soll 2016 eingeführt werden</w:t>
      </w:r>
      <w:r w:rsidRPr="008B1251">
        <w:rPr>
          <w:rFonts w:cs="Arial"/>
          <w:lang w:val="de-DE"/>
        </w:rPr>
        <w:t>.</w:t>
      </w:r>
    </w:p>
    <w:p w:rsidR="001D140D" w:rsidRPr="008B1251" w:rsidRDefault="001D140D" w:rsidP="001D140D">
      <w:pPr>
        <w:rPr>
          <w:rFonts w:cs="Arial"/>
          <w:snapToGrid w:val="0"/>
          <w:lang w:val="de-DE"/>
        </w:rPr>
      </w:pPr>
    </w:p>
    <w:p w:rsidR="001D140D" w:rsidRPr="008B1251" w:rsidRDefault="001D140D" w:rsidP="001D140D">
      <w:pPr>
        <w:rPr>
          <w:snapToGrid w:val="0"/>
          <w:lang w:val="de-DE"/>
        </w:rPr>
      </w:pPr>
    </w:p>
    <w:p w:rsidR="00510925" w:rsidRPr="008B1251" w:rsidRDefault="00510925" w:rsidP="00510925">
      <w:pPr>
        <w:pStyle w:val="Heading1"/>
        <w:rPr>
          <w:snapToGrid w:val="0"/>
          <w:color w:val="auto"/>
          <w:lang w:val="de-DE"/>
        </w:rPr>
      </w:pPr>
      <w:bookmarkStart w:id="129" w:name="_Toc413311310"/>
      <w:bookmarkStart w:id="130" w:name="_Toc413311686"/>
      <w:bookmarkStart w:id="131" w:name="_Toc413335725"/>
      <w:bookmarkStart w:id="132" w:name="_Toc413078860"/>
      <w:bookmarkStart w:id="133" w:name="_Toc381174877"/>
      <w:r w:rsidRPr="008B1251">
        <w:rPr>
          <w:snapToGrid w:val="0"/>
          <w:color w:val="auto"/>
          <w:lang w:val="de-DE"/>
        </w:rPr>
        <w:t>Vorschlag für ein Internationales Einreichungssystem, Qualitätssicherung und Suche von Sortenbezeichnungen</w:t>
      </w:r>
      <w:bookmarkEnd w:id="129"/>
      <w:bookmarkEnd w:id="130"/>
      <w:bookmarkEnd w:id="131"/>
    </w:p>
    <w:p w:rsidR="00510925" w:rsidRPr="008B1251" w:rsidRDefault="00510925" w:rsidP="00510925">
      <w:pPr>
        <w:keepNext/>
        <w:rPr>
          <w:snapToGrid w:val="0"/>
          <w:lang w:val="de-DE"/>
        </w:rPr>
      </w:pPr>
    </w:p>
    <w:p w:rsidR="00510925" w:rsidRPr="008B1251" w:rsidRDefault="00510925" w:rsidP="00510925">
      <w:pPr>
        <w:rPr>
          <w:snapToGrid w:val="0"/>
          <w:color w:val="000000" w:themeColor="text1"/>
          <w:lang w:val="de-DE"/>
        </w:rPr>
      </w:pPr>
      <w:r w:rsidRPr="008B1251">
        <w:rPr>
          <w:snapToGrid w:val="0"/>
          <w:lang w:val="de-DE"/>
        </w:rPr>
        <w:fldChar w:fldCharType="begin"/>
      </w:r>
      <w:r w:rsidRPr="008B1251">
        <w:rPr>
          <w:snapToGrid w:val="0"/>
          <w:lang w:val="de-DE"/>
        </w:rPr>
        <w:instrText xml:space="preserve"> AUTONUM  </w:instrText>
      </w:r>
      <w:r w:rsidRPr="008B1251">
        <w:rPr>
          <w:snapToGrid w:val="0"/>
          <w:lang w:val="de-DE"/>
        </w:rPr>
        <w:fldChar w:fldCharType="end"/>
      </w:r>
      <w:r w:rsidRPr="008B1251">
        <w:rPr>
          <w:snapToGrid w:val="0"/>
          <w:lang w:val="de-DE"/>
        </w:rPr>
        <w:tab/>
      </w:r>
      <w:r w:rsidRPr="008B1251">
        <w:rPr>
          <w:lang w:val="de-DE"/>
        </w:rPr>
        <w:t xml:space="preserve">Der Beratende Ausschuß nahm auf seiner </w:t>
      </w:r>
      <w:r w:rsidR="00451BF6" w:rsidRPr="008B1251">
        <w:rPr>
          <w:lang w:val="de-DE"/>
        </w:rPr>
        <w:t>achtundachtzigsten</w:t>
      </w:r>
      <w:r w:rsidRPr="008B1251">
        <w:rPr>
          <w:lang w:val="de-DE"/>
        </w:rPr>
        <w:t xml:space="preserve"> Tagung vom 15. Oktober 2014 in Genf </w:t>
      </w:r>
      <w:r w:rsidRPr="008B1251">
        <w:rPr>
          <w:rFonts w:cs="Arial"/>
          <w:lang w:val="de-DE"/>
        </w:rPr>
        <w:t xml:space="preserve">die </w:t>
      </w:r>
      <w:r w:rsidRPr="008B1251">
        <w:rPr>
          <w:rFonts w:cs="Arial"/>
          <w:snapToGrid w:val="0"/>
          <w:lang w:val="de-DE"/>
        </w:rPr>
        <w:t xml:space="preserve">Informationen über das Internationale Patentsystem (PCT), das Internationale Markensystem (Madrid) </w:t>
      </w:r>
      <w:r w:rsidRPr="008B1251">
        <w:rPr>
          <w:rFonts w:cs="Arial"/>
          <w:snapToGrid w:val="0"/>
          <w:color w:val="000000" w:themeColor="text1"/>
          <w:lang w:val="de-DE"/>
        </w:rPr>
        <w:t xml:space="preserve">und das Internationale Geschmacksmustersystem (Den Haag) der WIPO zur Kenntnis und prüfte den schriftlichen Beitrag des Internationalen Saatgutverbandes (ISF), der </w:t>
      </w:r>
      <w:r w:rsidRPr="008B1251">
        <w:rPr>
          <w:rFonts w:cs="Arial"/>
          <w:color w:val="000000"/>
          <w:lang w:val="de-DE"/>
        </w:rPr>
        <w:t xml:space="preserve">Internationalen Gemeinschaft der Züchter vegetativ vermehrbarer Zier- und Obstpflanzen (CIOPORA) </w:t>
      </w:r>
      <w:r w:rsidRPr="008B1251">
        <w:rPr>
          <w:rFonts w:cs="Arial"/>
          <w:snapToGrid w:val="0"/>
          <w:color w:val="000000" w:themeColor="text1"/>
          <w:lang w:val="de-DE"/>
        </w:rPr>
        <w:t xml:space="preserve">und von </w:t>
      </w:r>
      <w:r w:rsidRPr="008B1251">
        <w:rPr>
          <w:rFonts w:cs="Arial"/>
          <w:i/>
          <w:snapToGrid w:val="0"/>
          <w:color w:val="000000" w:themeColor="text1"/>
          <w:lang w:val="de-DE"/>
        </w:rPr>
        <w:t>CropLife International</w:t>
      </w:r>
      <w:r w:rsidRPr="008B1251">
        <w:rPr>
          <w:rFonts w:cs="Arial"/>
          <w:snapToGrid w:val="0"/>
          <w:color w:val="000000" w:themeColor="text1"/>
          <w:lang w:val="de-DE"/>
        </w:rPr>
        <w:t xml:space="preserve"> in Verbindung mit deren gemeinsamem Referat auf der achtundachtzigsten</w:t>
      </w:r>
      <w:r w:rsidRPr="008B1251">
        <w:rPr>
          <w:snapToGrid w:val="0"/>
          <w:color w:val="000000" w:themeColor="text1"/>
          <w:lang w:val="de-DE"/>
        </w:rPr>
        <w:t xml:space="preserve"> Tagung des Beratenden Ausschusses.</w:t>
      </w:r>
    </w:p>
    <w:p w:rsidR="00510925" w:rsidRPr="008B1251" w:rsidRDefault="00510925" w:rsidP="00510925">
      <w:pPr>
        <w:rPr>
          <w:snapToGrid w:val="0"/>
          <w:color w:val="000000" w:themeColor="text1"/>
          <w:lang w:val="de-DE"/>
        </w:rPr>
      </w:pPr>
    </w:p>
    <w:p w:rsidR="00510925" w:rsidRPr="008B1251" w:rsidRDefault="00510925" w:rsidP="00510925">
      <w:pPr>
        <w:rPr>
          <w:lang w:val="de-DE"/>
        </w:rPr>
      </w:pPr>
      <w:r w:rsidRPr="008B1251">
        <w:rPr>
          <w:snapToGrid w:val="0"/>
          <w:color w:val="000000" w:themeColor="text1"/>
          <w:lang w:val="de-DE"/>
        </w:rPr>
        <w:fldChar w:fldCharType="begin"/>
      </w:r>
      <w:r w:rsidRPr="008B1251">
        <w:rPr>
          <w:snapToGrid w:val="0"/>
          <w:color w:val="000000" w:themeColor="text1"/>
          <w:lang w:val="de-DE"/>
        </w:rPr>
        <w:instrText xml:space="preserve"> AUTONUM  </w:instrText>
      </w:r>
      <w:r w:rsidRPr="008B1251">
        <w:rPr>
          <w:snapToGrid w:val="0"/>
          <w:color w:val="000000" w:themeColor="text1"/>
          <w:lang w:val="de-DE"/>
        </w:rPr>
        <w:fldChar w:fldCharType="end"/>
      </w:r>
      <w:r w:rsidRPr="008B1251">
        <w:rPr>
          <w:snapToGrid w:val="0"/>
          <w:color w:val="000000" w:themeColor="text1"/>
          <w:lang w:val="de-DE"/>
        </w:rPr>
        <w:tab/>
      </w:r>
      <w:r w:rsidRPr="008B1251">
        <w:rPr>
          <w:color w:val="000000" w:themeColor="text1"/>
          <w:lang w:val="de-DE"/>
        </w:rPr>
        <w:t xml:space="preserve">Der Beratende Ausschuß ersuchte das Verbandsbüro, ein Dokument zur Klärung der aufgeworfenen Fragen und </w:t>
      </w:r>
      <w:r w:rsidR="008832D1" w:rsidRPr="008B1251">
        <w:rPr>
          <w:color w:val="000000" w:themeColor="text1"/>
          <w:lang w:val="de-DE"/>
        </w:rPr>
        <w:t xml:space="preserve">des </w:t>
      </w:r>
      <w:r w:rsidRPr="008B1251">
        <w:rPr>
          <w:color w:val="000000" w:themeColor="text1"/>
          <w:lang w:val="de-DE"/>
        </w:rPr>
        <w:t xml:space="preserve">etwaigen </w:t>
      </w:r>
      <w:r w:rsidR="00902E47" w:rsidRPr="008B1251">
        <w:rPr>
          <w:color w:val="000000" w:themeColor="text1"/>
          <w:lang w:val="de-DE"/>
        </w:rPr>
        <w:t xml:space="preserve">künftigen </w:t>
      </w:r>
      <w:r w:rsidR="008832D1" w:rsidRPr="008B1251">
        <w:rPr>
          <w:color w:val="000000" w:themeColor="text1"/>
          <w:lang w:val="de-DE"/>
        </w:rPr>
        <w:t>Vorgehens im Zusammenhang mit</w:t>
      </w:r>
      <w:r w:rsidRPr="008B1251">
        <w:rPr>
          <w:color w:val="000000" w:themeColor="text1"/>
          <w:lang w:val="de-DE"/>
        </w:rPr>
        <w:t xml:space="preserve"> eine</w:t>
      </w:r>
      <w:r w:rsidR="008832D1" w:rsidRPr="008B1251">
        <w:rPr>
          <w:color w:val="000000" w:themeColor="text1"/>
          <w:lang w:val="de-DE"/>
        </w:rPr>
        <w:t>m</w:t>
      </w:r>
      <w:r w:rsidRPr="008B1251">
        <w:rPr>
          <w:color w:val="000000" w:themeColor="text1"/>
          <w:lang w:val="de-DE"/>
        </w:rPr>
        <w:t xml:space="preserve"> internationalen System der Zusammenarbeit zur Prüfung </w:t>
      </w:r>
      <w:r w:rsidRPr="008B1251">
        <w:rPr>
          <w:lang w:val="de-DE"/>
        </w:rPr>
        <w:t>durch den Beratenden Ausschuß auf seiner neunundachtzigsten Tagung im März 2015 zu erstellen.</w:t>
      </w:r>
    </w:p>
    <w:p w:rsidR="00902E47" w:rsidRPr="008B1251" w:rsidRDefault="00902E47" w:rsidP="00510925">
      <w:pPr>
        <w:rPr>
          <w:snapToGrid w:val="0"/>
          <w:lang w:val="de-DE"/>
        </w:rPr>
      </w:pPr>
    </w:p>
    <w:bookmarkEnd w:id="132"/>
    <w:p w:rsidR="00402138" w:rsidRPr="008B1251" w:rsidRDefault="00402138" w:rsidP="00A21CDF">
      <w:pPr>
        <w:pStyle w:val="Heading1"/>
        <w:rPr>
          <w:snapToGrid w:val="0"/>
          <w:color w:val="auto"/>
          <w:lang w:val="de-DE"/>
        </w:rPr>
      </w:pPr>
    </w:p>
    <w:p w:rsidR="001D140D" w:rsidRPr="008B1251" w:rsidRDefault="00510925" w:rsidP="004613D2">
      <w:pPr>
        <w:pStyle w:val="Heading1"/>
        <w:rPr>
          <w:snapToGrid w:val="0"/>
          <w:color w:val="auto"/>
          <w:lang w:val="de-DE"/>
        </w:rPr>
      </w:pPr>
      <w:bookmarkStart w:id="134" w:name="_Toc413311311"/>
      <w:bookmarkStart w:id="135" w:name="_Toc413311687"/>
      <w:bookmarkStart w:id="136" w:name="_Toc413335726"/>
      <w:bookmarkEnd w:id="133"/>
      <w:r w:rsidRPr="008B1251">
        <w:rPr>
          <w:rStyle w:val="f11"/>
          <w:rFonts w:ascii="Arial" w:hAnsi="Arial" w:cs="Arial"/>
          <w:color w:val="auto"/>
          <w:lang w:val="de-DE"/>
        </w:rPr>
        <w:t>Entwicklungen von Belang für die UPOV auf anderen internationalen Foren</w:t>
      </w:r>
      <w:bookmarkEnd w:id="134"/>
      <w:bookmarkEnd w:id="135"/>
      <w:bookmarkEnd w:id="136"/>
    </w:p>
    <w:p w:rsidR="001D140D" w:rsidRPr="008B1251" w:rsidRDefault="001D140D" w:rsidP="001D140D">
      <w:pPr>
        <w:keepNext/>
        <w:rPr>
          <w:snapToGrid w:val="0"/>
          <w:lang w:val="de-DE"/>
        </w:rPr>
      </w:pPr>
    </w:p>
    <w:p w:rsidR="001D140D" w:rsidRPr="008B1251" w:rsidRDefault="004613D2" w:rsidP="002E1C71">
      <w:pPr>
        <w:pStyle w:val="Heading2"/>
        <w:rPr>
          <w:color w:val="auto"/>
        </w:rPr>
      </w:pPr>
      <w:bookmarkStart w:id="137" w:name="_Toc381174878"/>
      <w:bookmarkStart w:id="138" w:name="_Toc413078862"/>
      <w:bookmarkStart w:id="139" w:name="_Toc413311312"/>
      <w:bookmarkStart w:id="140" w:name="_Toc413311688"/>
      <w:bookmarkStart w:id="141" w:name="_Toc413335727"/>
      <w:r w:rsidRPr="008B1251">
        <w:rPr>
          <w:szCs w:val="24"/>
        </w:rPr>
        <w:t>Internationaler Vertrag über pflanzengenetische Ressourcen für Ernährung und Landwirtschaft (ITPGRFA)</w:t>
      </w:r>
      <w:bookmarkEnd w:id="137"/>
      <w:bookmarkEnd w:id="138"/>
      <w:bookmarkEnd w:id="139"/>
      <w:bookmarkEnd w:id="140"/>
      <w:bookmarkEnd w:id="141"/>
    </w:p>
    <w:p w:rsidR="001D140D" w:rsidRPr="008B1251" w:rsidRDefault="001D140D" w:rsidP="001D140D">
      <w:pPr>
        <w:keepNext/>
        <w:rPr>
          <w:snapToGrid w:val="0"/>
          <w:lang w:val="de-DE"/>
        </w:rPr>
      </w:pPr>
    </w:p>
    <w:p w:rsidR="001D140D" w:rsidRPr="008B1251" w:rsidRDefault="004613D2" w:rsidP="00506508">
      <w:pPr>
        <w:pStyle w:val="Heading3"/>
        <w:rPr>
          <w:color w:val="auto"/>
          <w:lang w:val="de-DE"/>
        </w:rPr>
      </w:pPr>
      <w:bookmarkStart w:id="142" w:name="_Toc381174881"/>
      <w:bookmarkStart w:id="143" w:name="_Toc413078863"/>
      <w:bookmarkStart w:id="144" w:name="_Toc379530093"/>
      <w:bookmarkStart w:id="145" w:name="_Toc380391640"/>
      <w:bookmarkStart w:id="146" w:name="_Toc380419880"/>
      <w:bookmarkStart w:id="147" w:name="_Toc380483680"/>
      <w:bookmarkStart w:id="148" w:name="_Toc413311313"/>
      <w:bookmarkStart w:id="149" w:name="_Toc413311689"/>
      <w:bookmarkStart w:id="150" w:name="_Toc413335728"/>
      <w:r w:rsidRPr="008B1251">
        <w:rPr>
          <w:lang w:val="de-DE"/>
        </w:rPr>
        <w:t>Wechselbeziehungen zwischen ITPGRFA, UPOV und WIPO</w:t>
      </w:r>
      <w:bookmarkEnd w:id="142"/>
      <w:bookmarkEnd w:id="143"/>
      <w:bookmarkEnd w:id="144"/>
      <w:bookmarkEnd w:id="145"/>
      <w:bookmarkEnd w:id="146"/>
      <w:bookmarkEnd w:id="147"/>
      <w:bookmarkEnd w:id="148"/>
      <w:bookmarkEnd w:id="149"/>
      <w:bookmarkEnd w:id="150"/>
    </w:p>
    <w:p w:rsidR="001D140D" w:rsidRPr="008B1251" w:rsidRDefault="001D140D" w:rsidP="001D140D">
      <w:pPr>
        <w:keepNext/>
        <w:rPr>
          <w:snapToGrid w:val="0"/>
          <w:lang w:val="de-DE"/>
        </w:rPr>
      </w:pPr>
    </w:p>
    <w:p w:rsidR="00506508" w:rsidRPr="008B1251" w:rsidRDefault="00A326E8" w:rsidP="00506508">
      <w:pPr>
        <w:rPr>
          <w:snapToGrid w:val="0"/>
          <w:lang w:val="de-DE"/>
        </w:rPr>
      </w:pPr>
      <w:r w:rsidRPr="008B1251">
        <w:rPr>
          <w:snapToGrid w:val="0"/>
          <w:lang w:val="de-DE"/>
        </w:rPr>
        <w:fldChar w:fldCharType="begin"/>
      </w:r>
      <w:r w:rsidRPr="008B1251">
        <w:rPr>
          <w:snapToGrid w:val="0"/>
          <w:lang w:val="de-DE"/>
        </w:rPr>
        <w:instrText xml:space="preserve"> AUTONUM  </w:instrText>
      </w:r>
      <w:r w:rsidRPr="008B1251">
        <w:rPr>
          <w:snapToGrid w:val="0"/>
          <w:lang w:val="de-DE"/>
        </w:rPr>
        <w:fldChar w:fldCharType="end"/>
      </w:r>
      <w:r w:rsidRPr="008B1251">
        <w:rPr>
          <w:snapToGrid w:val="0"/>
          <w:lang w:val="de-DE"/>
        </w:rPr>
        <w:tab/>
      </w:r>
      <w:r w:rsidR="004613D2" w:rsidRPr="008B1251">
        <w:rPr>
          <w:szCs w:val="24"/>
          <w:lang w:val="de-DE"/>
        </w:rPr>
        <w:t xml:space="preserve">Der Rat sprach auf seiner </w:t>
      </w:r>
      <w:r w:rsidR="00451BF6" w:rsidRPr="008B1251">
        <w:rPr>
          <w:szCs w:val="24"/>
          <w:lang w:val="de-DE"/>
        </w:rPr>
        <w:t>einunddreißigsten</w:t>
      </w:r>
      <w:r w:rsidR="004613D2" w:rsidRPr="008B1251">
        <w:rPr>
          <w:szCs w:val="24"/>
          <w:lang w:val="de-DE"/>
        </w:rPr>
        <w:t xml:space="preserve"> </w:t>
      </w:r>
      <w:r w:rsidR="00451BF6" w:rsidRPr="008B1251">
        <w:rPr>
          <w:szCs w:val="24"/>
          <w:lang w:val="de-DE"/>
        </w:rPr>
        <w:t>außerordentlichen</w:t>
      </w:r>
      <w:r w:rsidR="004613D2" w:rsidRPr="008B1251">
        <w:rPr>
          <w:szCs w:val="24"/>
          <w:lang w:val="de-DE"/>
        </w:rPr>
        <w:t xml:space="preserve"> Tagung dem Verwaltungsrat des ITPGRFA (GB) seinen Dank für die Anerkennung aus, die der GB gegenüber der UPOV für die von der UPOV geleistete praktische Unterstützung des ITPGRFA ausgedrückt hatte, und bekräftigte seine Zusage für eine fortgesetzte gegenseitige Unterstützung. In Antwort auf eine Einladung des GB, zusammen mit dem Sekretär des ITPGRFA und dem Sekretariat der Weltorganisation für geistiges Eigentum (WIPO) gemeinsam mögliche Bereiche wechselseitiger Beziehungen zwischen den internationalen Vertragswerken des ITPGRFA, der WIPO und der UPOV auszuweisen, entschied der Rat, die Idee einer gemeinsamen Veröffentlichung zu verbundenen Angelegenheiten betreffend Innovation und pflanzengenetische Ressourcen sowie andere geeignete Initiativen zu prüfen.</w:t>
      </w:r>
    </w:p>
    <w:p w:rsidR="00506508" w:rsidRPr="008B1251" w:rsidRDefault="00506508" w:rsidP="001D140D">
      <w:pPr>
        <w:rPr>
          <w:snapToGrid w:val="0"/>
          <w:lang w:val="de-DE"/>
        </w:rPr>
      </w:pPr>
    </w:p>
    <w:p w:rsidR="00A326E8" w:rsidRPr="008B1251" w:rsidRDefault="00451BF6" w:rsidP="00A326E8">
      <w:pPr>
        <w:pStyle w:val="Heading3"/>
        <w:rPr>
          <w:color w:val="auto"/>
          <w:lang w:val="de-DE"/>
        </w:rPr>
      </w:pPr>
      <w:bookmarkStart w:id="151" w:name="_Toc413078864"/>
      <w:bookmarkStart w:id="152" w:name="_Toc413311314"/>
      <w:bookmarkStart w:id="153" w:name="_Toc413311690"/>
      <w:bookmarkStart w:id="154" w:name="_Toc413335729"/>
      <w:r w:rsidRPr="008B1251">
        <w:rPr>
          <w:color w:val="auto"/>
          <w:lang w:val="de-DE"/>
        </w:rPr>
        <w:t>Organisation für wirtschaftliche Zusammenarbeit und Entwicklung (OECD)</w:t>
      </w:r>
      <w:bookmarkEnd w:id="151"/>
      <w:bookmarkEnd w:id="152"/>
      <w:bookmarkEnd w:id="153"/>
      <w:bookmarkEnd w:id="154"/>
    </w:p>
    <w:p w:rsidR="00A326E8" w:rsidRPr="008B1251" w:rsidRDefault="00A326E8" w:rsidP="00A326E8">
      <w:pPr>
        <w:rPr>
          <w:lang w:val="de-DE"/>
        </w:rPr>
      </w:pPr>
    </w:p>
    <w:p w:rsidR="00A326E8" w:rsidRPr="008B1251" w:rsidRDefault="00A326E8" w:rsidP="00902E47">
      <w:pPr>
        <w:rPr>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4613D2" w:rsidRPr="008B1251">
        <w:rPr>
          <w:rFonts w:cs="Arial"/>
          <w:lang w:val="de-DE"/>
        </w:rPr>
        <w:t xml:space="preserve">Das </w:t>
      </w:r>
      <w:r w:rsidRPr="008B1251">
        <w:rPr>
          <w:rFonts w:cs="Arial"/>
          <w:snapToGrid w:val="0"/>
          <w:lang w:val="de-DE"/>
        </w:rPr>
        <w:t>OECD</w:t>
      </w:r>
      <w:r w:rsidR="004613D2" w:rsidRPr="008B1251">
        <w:rPr>
          <w:rFonts w:cs="Arial"/>
          <w:snapToGrid w:val="0"/>
          <w:lang w:val="de-DE"/>
        </w:rPr>
        <w:t>-</w:t>
      </w:r>
      <w:r w:rsidR="00902E47" w:rsidRPr="008B1251">
        <w:rPr>
          <w:rFonts w:cs="Arial"/>
          <w:snapToGrid w:val="0"/>
          <w:lang w:val="de-DE"/>
        </w:rPr>
        <w:t>Z</w:t>
      </w:r>
      <w:r w:rsidR="00451BF6" w:rsidRPr="008B1251">
        <w:rPr>
          <w:rFonts w:cs="Arial"/>
          <w:snapToGrid w:val="0"/>
          <w:lang w:val="de-DE"/>
        </w:rPr>
        <w:t>ertifizierungssystem</w:t>
      </w:r>
      <w:r w:rsidR="004613D2" w:rsidRPr="008B1251">
        <w:rPr>
          <w:rFonts w:cs="Arial"/>
          <w:snapToGrid w:val="0"/>
          <w:lang w:val="de-DE"/>
        </w:rPr>
        <w:t xml:space="preserve"> </w:t>
      </w:r>
      <w:r w:rsidR="00902E47" w:rsidRPr="008B1251">
        <w:rPr>
          <w:rFonts w:cs="Arial"/>
          <w:bCs/>
          <w:lang w:val="de-DE" w:eastAsia="fr-CH"/>
        </w:rPr>
        <w:t>für forstli</w:t>
      </w:r>
      <w:r w:rsidR="00902E47" w:rsidRPr="008B1251">
        <w:rPr>
          <w:rFonts w:cs="Arial"/>
          <w:lang w:val="de-DE" w:eastAsia="fr-CH"/>
        </w:rPr>
        <w:t xml:space="preserve">ches Saat- und Pflanzgut </w:t>
      </w:r>
      <w:r w:rsidR="004613D2" w:rsidRPr="008B1251">
        <w:rPr>
          <w:rFonts w:cs="Arial"/>
          <w:snapToGrid w:val="0"/>
          <w:lang w:val="de-DE"/>
        </w:rPr>
        <w:t>vereinbarte</w:t>
      </w:r>
      <w:r w:rsidR="004613D2" w:rsidRPr="008B1251">
        <w:rPr>
          <w:snapToGrid w:val="0"/>
          <w:lang w:val="de-DE"/>
        </w:rPr>
        <w:t xml:space="preserve"> auf </w:t>
      </w:r>
      <w:r w:rsidR="00451BF6" w:rsidRPr="008B1251">
        <w:rPr>
          <w:snapToGrid w:val="0"/>
          <w:lang w:val="de-DE"/>
        </w:rPr>
        <w:t>seiner</w:t>
      </w:r>
      <w:r w:rsidR="004613D2" w:rsidRPr="008B1251">
        <w:rPr>
          <w:snapToGrid w:val="0"/>
          <w:lang w:val="de-DE"/>
        </w:rPr>
        <w:t xml:space="preserve"> </w:t>
      </w:r>
      <w:r w:rsidR="00451BF6" w:rsidRPr="008B1251">
        <w:rPr>
          <w:snapToGrid w:val="0"/>
          <w:lang w:val="de-DE"/>
        </w:rPr>
        <w:t>Jahrestagung</w:t>
      </w:r>
      <w:r w:rsidR="004613D2" w:rsidRPr="008B1251">
        <w:rPr>
          <w:snapToGrid w:val="0"/>
          <w:lang w:val="de-DE"/>
        </w:rPr>
        <w:t xml:space="preserve"> vom 24. </w:t>
      </w:r>
      <w:r w:rsidR="00902E47" w:rsidRPr="008B1251">
        <w:rPr>
          <w:snapToGrid w:val="0"/>
          <w:lang w:val="de-DE"/>
        </w:rPr>
        <w:t>u</w:t>
      </w:r>
      <w:r w:rsidR="00451BF6" w:rsidRPr="008B1251">
        <w:rPr>
          <w:snapToGrid w:val="0"/>
          <w:lang w:val="de-DE"/>
        </w:rPr>
        <w:t xml:space="preserve">nd 25. September 2014 in Paris, die Regeln des Zertifizierungssystems zu ändern, um eine Begriffsbestimmung des Züchterrechts darin aufzunehmen und auf die Begriffsbestimmung der </w:t>
      </w:r>
      <w:r w:rsidR="00902E47" w:rsidRPr="008B1251">
        <w:rPr>
          <w:snapToGrid w:val="0"/>
          <w:lang w:val="de-DE"/>
        </w:rPr>
        <w:t>„</w:t>
      </w:r>
      <w:r w:rsidR="00451BF6" w:rsidRPr="008B1251">
        <w:rPr>
          <w:snapToGrid w:val="0"/>
          <w:lang w:val="de-DE"/>
        </w:rPr>
        <w:t>Sorte</w:t>
      </w:r>
      <w:r w:rsidR="00902E47" w:rsidRPr="008B1251">
        <w:rPr>
          <w:snapToGrid w:val="0"/>
          <w:lang w:val="de-DE"/>
        </w:rPr>
        <w:t>“</w:t>
      </w:r>
      <w:r w:rsidR="00451BF6" w:rsidRPr="008B1251">
        <w:rPr>
          <w:snapToGrid w:val="0"/>
          <w:lang w:val="de-DE"/>
        </w:rPr>
        <w:t xml:space="preserve"> nach dem UPOV-Übereinkommen zu verweisen.</w:t>
      </w:r>
    </w:p>
    <w:p w:rsidR="00A326E8" w:rsidRPr="008B1251" w:rsidRDefault="00A326E8" w:rsidP="00A326E8">
      <w:pPr>
        <w:rPr>
          <w:lang w:val="de-DE"/>
        </w:rPr>
      </w:pPr>
    </w:p>
    <w:p w:rsidR="00A326E8" w:rsidRPr="008B1251" w:rsidRDefault="00A326E8" w:rsidP="001D140D">
      <w:pPr>
        <w:rPr>
          <w:snapToGrid w:val="0"/>
          <w:lang w:val="de-DE"/>
        </w:rPr>
      </w:pPr>
    </w:p>
    <w:p w:rsidR="00B45708" w:rsidRPr="008B1251" w:rsidRDefault="004613D2" w:rsidP="00A21CDF">
      <w:pPr>
        <w:pStyle w:val="Heading1"/>
        <w:rPr>
          <w:lang w:val="de-DE"/>
        </w:rPr>
      </w:pPr>
      <w:bookmarkStart w:id="155" w:name="_Toc413078865"/>
      <w:bookmarkStart w:id="156" w:name="_Toc413311315"/>
      <w:bookmarkStart w:id="157" w:name="_Toc413311691"/>
      <w:bookmarkStart w:id="158" w:name="_Toc413335730"/>
      <w:r w:rsidRPr="008B1251">
        <w:rPr>
          <w:lang w:val="de-DE"/>
        </w:rPr>
        <w:t xml:space="preserve">WÜRDIGUNG VON HERRN </w:t>
      </w:r>
      <w:r w:rsidR="00B45708" w:rsidRPr="008B1251">
        <w:rPr>
          <w:lang w:val="de-DE"/>
        </w:rPr>
        <w:t>François Boulineau (Fran</w:t>
      </w:r>
      <w:r w:rsidRPr="008B1251">
        <w:rPr>
          <w:lang w:val="de-DE"/>
        </w:rPr>
        <w:t>KREICH</w:t>
      </w:r>
      <w:r w:rsidR="00B45708" w:rsidRPr="008B1251">
        <w:rPr>
          <w:lang w:val="de-DE"/>
        </w:rPr>
        <w:t xml:space="preserve">), </w:t>
      </w:r>
      <w:r w:rsidRPr="008B1251">
        <w:rPr>
          <w:lang w:val="de-DE"/>
        </w:rPr>
        <w:t xml:space="preserve">VORSITZENDER DER TECHNISCHEN ARBEITSGRUPPE </w:t>
      </w:r>
      <w:r w:rsidR="00451BF6" w:rsidRPr="008B1251">
        <w:rPr>
          <w:lang w:val="de-DE"/>
        </w:rPr>
        <w:t>FÜR</w:t>
      </w:r>
      <w:r w:rsidRPr="008B1251">
        <w:rPr>
          <w:lang w:val="de-DE"/>
        </w:rPr>
        <w:t xml:space="preserve"> GEMÜSEARTEN </w:t>
      </w:r>
      <w:r w:rsidR="00B45708" w:rsidRPr="008B1251">
        <w:rPr>
          <w:lang w:val="de-DE"/>
        </w:rPr>
        <w:t>(TWV)</w:t>
      </w:r>
      <w:bookmarkEnd w:id="155"/>
      <w:bookmarkEnd w:id="156"/>
      <w:bookmarkEnd w:id="157"/>
      <w:bookmarkEnd w:id="158"/>
    </w:p>
    <w:p w:rsidR="004613D2" w:rsidRPr="008B1251" w:rsidRDefault="004613D2" w:rsidP="004613D2">
      <w:pPr>
        <w:keepNext/>
        <w:rPr>
          <w:szCs w:val="24"/>
          <w:lang w:val="de-DE"/>
        </w:rPr>
      </w:pPr>
    </w:p>
    <w:p w:rsidR="004613D2" w:rsidRPr="008B1251" w:rsidRDefault="008832D1" w:rsidP="004613D2">
      <w:pPr>
        <w:rPr>
          <w:szCs w:val="24"/>
          <w:lang w:val="de-DE"/>
        </w:rPr>
      </w:pPr>
      <w:r w:rsidRPr="008B1251">
        <w:rPr>
          <w:lang w:val="de-DE"/>
        </w:rPr>
        <w:fldChar w:fldCharType="begin"/>
      </w:r>
      <w:r w:rsidRPr="008B1251">
        <w:rPr>
          <w:lang w:val="de-DE"/>
        </w:rPr>
        <w:instrText xml:space="preserve"> AUTONUM  </w:instrText>
      </w:r>
      <w:r w:rsidRPr="008B1251">
        <w:rPr>
          <w:lang w:val="de-DE"/>
        </w:rPr>
        <w:fldChar w:fldCharType="end"/>
      </w:r>
      <w:r w:rsidRPr="008B1251">
        <w:rPr>
          <w:lang w:val="de-DE"/>
        </w:rPr>
        <w:tab/>
      </w:r>
      <w:r w:rsidR="004613D2" w:rsidRPr="008B1251">
        <w:rPr>
          <w:szCs w:val="24"/>
          <w:lang w:val="de-DE"/>
        </w:rPr>
        <w:t xml:space="preserve">Der Rat bekundete </w:t>
      </w:r>
      <w:r w:rsidR="00902E47" w:rsidRPr="008B1251">
        <w:rPr>
          <w:szCs w:val="24"/>
          <w:lang w:val="de-DE"/>
        </w:rPr>
        <w:t xml:space="preserve">auf seiner </w:t>
      </w:r>
      <w:r w:rsidR="00C22C6F" w:rsidRPr="008B1251">
        <w:rPr>
          <w:szCs w:val="24"/>
          <w:lang w:val="de-DE"/>
        </w:rPr>
        <w:t>einunddreißigsten</w:t>
      </w:r>
      <w:r w:rsidR="00902E47" w:rsidRPr="008B1251">
        <w:rPr>
          <w:szCs w:val="24"/>
          <w:lang w:val="de-DE"/>
        </w:rPr>
        <w:t xml:space="preserve"> </w:t>
      </w:r>
      <w:r w:rsidR="00C22C6F" w:rsidRPr="008B1251">
        <w:rPr>
          <w:szCs w:val="24"/>
          <w:lang w:val="de-DE"/>
        </w:rPr>
        <w:t>außerordentlichen</w:t>
      </w:r>
      <w:r w:rsidR="00902E47" w:rsidRPr="008B1251">
        <w:rPr>
          <w:szCs w:val="24"/>
          <w:lang w:val="de-DE"/>
        </w:rPr>
        <w:t xml:space="preserve"> Tagung </w:t>
      </w:r>
      <w:r w:rsidR="004613D2" w:rsidRPr="008B1251">
        <w:rPr>
          <w:szCs w:val="24"/>
          <w:lang w:val="de-DE"/>
        </w:rPr>
        <w:t xml:space="preserve">sein Beileid für den schmerzlichen Verlust von Herrn François Boulineau, Vorsitzender der Technischen Arbeitsgruppe für Gemüsearten (TWV), der am 23. Dezember 2013 verstorben </w:t>
      </w:r>
      <w:r w:rsidR="00902E47" w:rsidRPr="008B1251">
        <w:rPr>
          <w:szCs w:val="24"/>
          <w:lang w:val="de-DE"/>
        </w:rPr>
        <w:t>war</w:t>
      </w:r>
      <w:r w:rsidR="004613D2" w:rsidRPr="008B1251">
        <w:rPr>
          <w:szCs w:val="24"/>
          <w:lang w:val="de-DE"/>
        </w:rPr>
        <w:t>. Herr Boulineau war nicht nur Vorsitzender der TWV, sondern brachte auch gro</w:t>
      </w:r>
      <w:r w:rsidR="00540798" w:rsidRPr="008B1251">
        <w:rPr>
          <w:szCs w:val="24"/>
          <w:lang w:val="de-DE"/>
        </w:rPr>
        <w:t>ß</w:t>
      </w:r>
      <w:r w:rsidR="004613D2" w:rsidRPr="008B1251">
        <w:rPr>
          <w:szCs w:val="24"/>
          <w:lang w:val="de-DE"/>
        </w:rPr>
        <w:t>e Erfahrung und umfassendes Wissen als Sachverständiger in die technisc</w:t>
      </w:r>
      <w:r w:rsidR="00902E47" w:rsidRPr="008B1251">
        <w:rPr>
          <w:szCs w:val="24"/>
          <w:lang w:val="de-DE"/>
        </w:rPr>
        <w:t>he Arbeit der UPOV ein und war</w:t>
      </w:r>
      <w:r w:rsidR="004613D2" w:rsidRPr="008B1251">
        <w:rPr>
          <w:szCs w:val="24"/>
          <w:lang w:val="de-DE"/>
        </w:rPr>
        <w:t xml:space="preserve"> führender Sachverständiger einer Reihe bedeutender UPOV</w:t>
      </w:r>
      <w:r w:rsidR="00902E47" w:rsidRPr="008B1251">
        <w:rPr>
          <w:szCs w:val="24"/>
          <w:lang w:val="de-DE"/>
        </w:rPr>
        <w:noBreakHyphen/>
      </w:r>
      <w:r w:rsidR="004613D2" w:rsidRPr="008B1251">
        <w:rPr>
          <w:szCs w:val="24"/>
          <w:lang w:val="de-DE"/>
        </w:rPr>
        <w:t>Prüfungsrichtlinien. Der Rat würdigte den bedeutenden Beitrag, den Herr Boulineau für die UPOV leistet</w:t>
      </w:r>
      <w:r w:rsidR="00902E47" w:rsidRPr="008B1251">
        <w:rPr>
          <w:szCs w:val="24"/>
          <w:lang w:val="de-DE"/>
        </w:rPr>
        <w:t>e</w:t>
      </w:r>
      <w:r w:rsidR="004613D2" w:rsidRPr="008B1251">
        <w:rPr>
          <w:szCs w:val="24"/>
          <w:lang w:val="de-DE"/>
        </w:rPr>
        <w:t>.</w:t>
      </w:r>
    </w:p>
    <w:p w:rsidR="00B45708" w:rsidRPr="008B1251" w:rsidRDefault="00B45708" w:rsidP="001D140D">
      <w:pPr>
        <w:rPr>
          <w:snapToGrid w:val="0"/>
          <w:lang w:val="de-DE"/>
        </w:rPr>
      </w:pPr>
    </w:p>
    <w:p w:rsidR="001D140D" w:rsidRPr="008B1251" w:rsidRDefault="001D140D" w:rsidP="001D140D">
      <w:pPr>
        <w:pStyle w:val="DecisionParagraphs"/>
        <w:rPr>
          <w:snapToGrid w:val="0"/>
          <w:lang w:val="de-DE"/>
        </w:rPr>
      </w:pPr>
    </w:p>
    <w:p w:rsidR="001D140D" w:rsidRPr="008B1251" w:rsidRDefault="001D140D" w:rsidP="001D140D">
      <w:pPr>
        <w:pStyle w:val="DecisionParagraphs"/>
        <w:rPr>
          <w:snapToGrid w:val="0"/>
          <w:lang w:val="de-DE"/>
        </w:rPr>
      </w:pPr>
      <w:r w:rsidRPr="008B1251">
        <w:rPr>
          <w:snapToGrid w:val="0"/>
          <w:lang w:val="de-DE"/>
        </w:rPr>
        <w:fldChar w:fldCharType="begin"/>
      </w:r>
      <w:r w:rsidRPr="008B1251">
        <w:rPr>
          <w:snapToGrid w:val="0"/>
          <w:lang w:val="de-DE"/>
        </w:rPr>
        <w:instrText xml:space="preserve"> AUTONUM  </w:instrText>
      </w:r>
      <w:r w:rsidRPr="008B1251">
        <w:rPr>
          <w:snapToGrid w:val="0"/>
          <w:lang w:val="de-DE"/>
        </w:rPr>
        <w:fldChar w:fldCharType="end"/>
      </w:r>
      <w:r w:rsidRPr="008B1251">
        <w:rPr>
          <w:snapToGrid w:val="0"/>
          <w:lang w:val="de-DE"/>
        </w:rPr>
        <w:tab/>
      </w:r>
      <w:r w:rsidR="00540798" w:rsidRPr="008B1251">
        <w:rPr>
          <w:snapToGrid w:val="0"/>
          <w:lang w:val="de-DE"/>
        </w:rPr>
        <w:t>Der</w:t>
      </w:r>
      <w:r w:rsidRPr="008B1251">
        <w:rPr>
          <w:snapToGrid w:val="0"/>
          <w:lang w:val="de-DE"/>
        </w:rPr>
        <w:t xml:space="preserve"> TC </w:t>
      </w:r>
      <w:r w:rsidR="00540798" w:rsidRPr="008B1251">
        <w:rPr>
          <w:snapToGrid w:val="0"/>
          <w:lang w:val="de-DE"/>
        </w:rPr>
        <w:t xml:space="preserve">wird ersucht, die </w:t>
      </w:r>
      <w:r w:rsidR="00451BF6" w:rsidRPr="008B1251">
        <w:rPr>
          <w:snapToGrid w:val="0"/>
          <w:lang w:val="de-DE"/>
        </w:rPr>
        <w:t>Entwicklungen</w:t>
      </w:r>
      <w:r w:rsidR="00540798" w:rsidRPr="008B1251">
        <w:rPr>
          <w:snapToGrid w:val="0"/>
          <w:lang w:val="de-DE"/>
        </w:rPr>
        <w:t xml:space="preserve"> in der UPOV, u</w:t>
      </w:r>
      <w:r w:rsidR="00540798" w:rsidRPr="008B1251">
        <w:rPr>
          <w:lang w:val="de-DE"/>
        </w:rPr>
        <w:t>. a. die auf den letzten Tagungen des Verwaltungs- und Rechtsausschusses, des Beratenden Ausschusses und des Rates erörterten wichtigen Angelegenheiten</w:t>
      </w:r>
      <w:r w:rsidRPr="008B1251">
        <w:rPr>
          <w:snapToGrid w:val="0"/>
          <w:lang w:val="de-DE"/>
        </w:rPr>
        <w:t xml:space="preserve">, </w:t>
      </w:r>
      <w:r w:rsidR="00540798" w:rsidRPr="008B1251">
        <w:rPr>
          <w:snapToGrid w:val="0"/>
          <w:lang w:val="de-DE"/>
        </w:rPr>
        <w:t>wie in den Absätze</w:t>
      </w:r>
      <w:r w:rsidR="00540798" w:rsidRPr="00EF1423">
        <w:rPr>
          <w:snapToGrid w:val="0"/>
          <w:lang w:val="de-DE"/>
        </w:rPr>
        <w:t xml:space="preserve">n </w:t>
      </w:r>
      <w:r w:rsidR="003F0E9F" w:rsidRPr="00EF1423">
        <w:rPr>
          <w:snapToGrid w:val="0"/>
          <w:lang w:val="de-DE"/>
        </w:rPr>
        <w:t>3</w:t>
      </w:r>
      <w:r w:rsidRPr="00EF1423">
        <w:rPr>
          <w:snapToGrid w:val="0"/>
          <w:lang w:val="de-DE"/>
        </w:rPr>
        <w:t xml:space="preserve"> </w:t>
      </w:r>
      <w:r w:rsidR="00540798" w:rsidRPr="00EF1423">
        <w:rPr>
          <w:snapToGrid w:val="0"/>
          <w:lang w:val="de-DE"/>
        </w:rPr>
        <w:t>bis</w:t>
      </w:r>
      <w:r w:rsidRPr="00EF1423">
        <w:rPr>
          <w:snapToGrid w:val="0"/>
          <w:lang w:val="de-DE"/>
        </w:rPr>
        <w:t xml:space="preserve"> 3</w:t>
      </w:r>
      <w:r w:rsidR="00EA7B64" w:rsidRPr="00EF1423">
        <w:rPr>
          <w:snapToGrid w:val="0"/>
          <w:lang w:val="de-DE"/>
        </w:rPr>
        <w:t>5</w:t>
      </w:r>
      <w:r w:rsidRPr="00EF1423">
        <w:rPr>
          <w:snapToGrid w:val="0"/>
          <w:lang w:val="de-DE"/>
        </w:rPr>
        <w:t xml:space="preserve"> </w:t>
      </w:r>
      <w:r w:rsidR="00540798" w:rsidRPr="00EF1423">
        <w:rPr>
          <w:snapToGrid w:val="0"/>
          <w:lang w:val="de-DE"/>
        </w:rPr>
        <w:t>dieses</w:t>
      </w:r>
      <w:r w:rsidRPr="00EF1423">
        <w:rPr>
          <w:snapToGrid w:val="0"/>
          <w:lang w:val="de-DE"/>
        </w:rPr>
        <w:t xml:space="preserve"> </w:t>
      </w:r>
      <w:r w:rsidR="000F24A8" w:rsidRPr="00EF1423">
        <w:rPr>
          <w:snapToGrid w:val="0"/>
          <w:lang w:val="de-DE"/>
        </w:rPr>
        <w:t>Dokument</w:t>
      </w:r>
      <w:r w:rsidR="00540798" w:rsidRPr="00EF1423">
        <w:rPr>
          <w:snapToGrid w:val="0"/>
          <w:lang w:val="de-DE"/>
        </w:rPr>
        <w:t>s dargelegt, zur Kenntnis zu nehmen</w:t>
      </w:r>
      <w:r w:rsidRPr="00EF1423">
        <w:rPr>
          <w:snapToGrid w:val="0"/>
          <w:lang w:val="de-DE"/>
        </w:rPr>
        <w:t>.</w:t>
      </w:r>
    </w:p>
    <w:p w:rsidR="001D140D" w:rsidRPr="008B1251" w:rsidRDefault="001D140D" w:rsidP="001D140D">
      <w:pPr>
        <w:rPr>
          <w:lang w:val="de-DE"/>
        </w:rPr>
      </w:pPr>
    </w:p>
    <w:p w:rsidR="001D140D" w:rsidRPr="008B1251" w:rsidRDefault="001D140D" w:rsidP="001D140D">
      <w:pPr>
        <w:rPr>
          <w:lang w:val="de-DE"/>
        </w:rPr>
      </w:pPr>
    </w:p>
    <w:p w:rsidR="00050E16" w:rsidRPr="008B1251" w:rsidRDefault="00050E16" w:rsidP="00050E16">
      <w:pPr>
        <w:rPr>
          <w:lang w:val="de-DE"/>
        </w:rPr>
      </w:pPr>
    </w:p>
    <w:p w:rsidR="009B440E" w:rsidRPr="008B1251" w:rsidRDefault="00050E16" w:rsidP="00050E16">
      <w:pPr>
        <w:jc w:val="right"/>
        <w:rPr>
          <w:lang w:val="de-DE"/>
        </w:rPr>
      </w:pPr>
      <w:r w:rsidRPr="008B1251">
        <w:rPr>
          <w:lang w:val="de-DE"/>
        </w:rPr>
        <w:t>[End</w:t>
      </w:r>
      <w:r w:rsidR="00540798" w:rsidRPr="008B1251">
        <w:rPr>
          <w:lang w:val="de-DE"/>
        </w:rPr>
        <w:t>e</w:t>
      </w:r>
      <w:r w:rsidRPr="008B1251">
        <w:rPr>
          <w:lang w:val="de-DE"/>
        </w:rPr>
        <w:t xml:space="preserve"> </w:t>
      </w:r>
      <w:r w:rsidR="00540798" w:rsidRPr="008B1251">
        <w:rPr>
          <w:lang w:val="de-DE"/>
        </w:rPr>
        <w:t>des</w:t>
      </w:r>
      <w:r w:rsidRPr="008B1251">
        <w:rPr>
          <w:lang w:val="de-DE"/>
        </w:rPr>
        <w:t xml:space="preserve"> </w:t>
      </w:r>
      <w:r w:rsidR="000F24A8" w:rsidRPr="008B1251">
        <w:rPr>
          <w:lang w:val="de-DE"/>
        </w:rPr>
        <w:t>Dokument</w:t>
      </w:r>
      <w:r w:rsidR="00540798" w:rsidRPr="008B1251">
        <w:rPr>
          <w:lang w:val="de-DE"/>
        </w:rPr>
        <w:t>s</w:t>
      </w:r>
      <w:r w:rsidRPr="008B1251">
        <w:rPr>
          <w:lang w:val="de-DE"/>
        </w:rPr>
        <w:t>]</w:t>
      </w:r>
    </w:p>
    <w:p w:rsidR="00D84E72" w:rsidRPr="008B1251" w:rsidRDefault="00D84E72">
      <w:pPr>
        <w:jc w:val="left"/>
        <w:rPr>
          <w:lang w:val="de-DE"/>
        </w:rPr>
      </w:pPr>
    </w:p>
    <w:sectPr w:rsidR="00D84E72" w:rsidRPr="008B1251" w:rsidSect="00906DDC">
      <w:headerReference w:type="defaul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8C" w:rsidRDefault="0020778C" w:rsidP="006655D3">
      <w:r>
        <w:separator/>
      </w:r>
    </w:p>
    <w:p w:rsidR="0020778C" w:rsidRDefault="0020778C" w:rsidP="006655D3"/>
    <w:p w:rsidR="0020778C" w:rsidRDefault="0020778C" w:rsidP="006655D3"/>
  </w:endnote>
  <w:endnote w:type="continuationSeparator" w:id="0">
    <w:p w:rsidR="0020778C" w:rsidRDefault="0020778C" w:rsidP="006655D3">
      <w:r>
        <w:separator/>
      </w:r>
    </w:p>
    <w:p w:rsidR="0020778C" w:rsidRPr="00D84E72" w:rsidRDefault="0020778C">
      <w:pPr>
        <w:pStyle w:val="Footer"/>
        <w:spacing w:after="60"/>
        <w:rPr>
          <w:sz w:val="18"/>
          <w:lang w:val="fr-CH"/>
        </w:rPr>
      </w:pPr>
      <w:r w:rsidRPr="00D84E72">
        <w:rPr>
          <w:sz w:val="18"/>
          <w:lang w:val="fr-CH"/>
        </w:rPr>
        <w:t>[Suite de la note de la page précédente]</w:t>
      </w:r>
    </w:p>
    <w:p w:rsidR="0020778C" w:rsidRPr="00D84E72" w:rsidRDefault="0020778C" w:rsidP="006655D3">
      <w:pPr>
        <w:rPr>
          <w:lang w:val="fr-CH"/>
        </w:rPr>
      </w:pPr>
    </w:p>
    <w:p w:rsidR="0020778C" w:rsidRPr="00D84E72" w:rsidRDefault="0020778C" w:rsidP="006655D3">
      <w:pPr>
        <w:rPr>
          <w:lang w:val="fr-CH"/>
        </w:rPr>
      </w:pPr>
    </w:p>
  </w:endnote>
  <w:endnote w:type="continuationNotice" w:id="1">
    <w:p w:rsidR="0020778C" w:rsidRPr="00D84E72" w:rsidRDefault="0020778C" w:rsidP="006655D3">
      <w:pPr>
        <w:rPr>
          <w:lang w:val="fr-CH"/>
        </w:rPr>
      </w:pPr>
      <w:r w:rsidRPr="00D84E72">
        <w:rPr>
          <w:lang w:val="fr-CH"/>
        </w:rPr>
        <w:t>[Suite de la note page suivante]</w:t>
      </w:r>
    </w:p>
    <w:p w:rsidR="0020778C" w:rsidRPr="00D84E72" w:rsidRDefault="0020778C" w:rsidP="006655D3">
      <w:pPr>
        <w:rPr>
          <w:lang w:val="fr-CH"/>
        </w:rPr>
      </w:pPr>
    </w:p>
    <w:p w:rsidR="0020778C" w:rsidRPr="00D84E72" w:rsidRDefault="0020778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8C" w:rsidRDefault="0020778C" w:rsidP="006655D3">
      <w:r>
        <w:separator/>
      </w:r>
    </w:p>
  </w:footnote>
  <w:footnote w:type="continuationSeparator" w:id="0">
    <w:p w:rsidR="0020778C" w:rsidRDefault="0020778C" w:rsidP="006655D3">
      <w:r>
        <w:separator/>
      </w:r>
    </w:p>
  </w:footnote>
  <w:footnote w:type="continuationNotice" w:id="1">
    <w:p w:rsidR="0020778C" w:rsidRPr="00AB530F" w:rsidRDefault="0020778C" w:rsidP="00AB530F">
      <w:pPr>
        <w:pStyle w:val="Footer"/>
      </w:pPr>
    </w:p>
  </w:footnote>
  <w:footnote w:id="2">
    <w:p w:rsidR="0020778C" w:rsidRPr="00A50B15" w:rsidRDefault="0020778C" w:rsidP="002E1C71">
      <w:pPr>
        <w:pStyle w:val="FootnoteText"/>
        <w:rPr>
          <w:lang w:val="de-CH"/>
        </w:rPr>
      </w:pPr>
      <w:r>
        <w:rPr>
          <w:rStyle w:val="FootnoteReference"/>
        </w:rPr>
        <w:footnoteRef/>
      </w:r>
      <w:r w:rsidRPr="00E6662C">
        <w:rPr>
          <w:lang w:val="de-CH"/>
        </w:rPr>
        <w:tab/>
      </w:r>
      <w:r>
        <w:rPr>
          <w:lang w:val="de-CH"/>
        </w:rPr>
        <w:t xml:space="preserve">Diese Publikation vereinigt die </w:t>
      </w:r>
      <w:r w:rsidRPr="001E7D64">
        <w:rPr>
          <w:lang w:val="de-CH"/>
        </w:rPr>
        <w:t>Beiträge des</w:t>
      </w:r>
      <w:r>
        <w:rPr>
          <w:lang w:val="de-CH"/>
        </w:rPr>
        <w:t xml:space="preserve"> „UPOV-</w:t>
      </w:r>
      <w:r w:rsidRPr="001E7D64">
        <w:rPr>
          <w:lang w:val="de-CH"/>
        </w:rPr>
        <w:t>Seminars über Sortenschutz und Technologietransfer: die Vorteile öffentlich-privater Partnerschaften“</w:t>
      </w:r>
      <w:r>
        <w:rPr>
          <w:lang w:val="de-CH"/>
        </w:rPr>
        <w:t>,</w:t>
      </w:r>
      <w:r w:rsidRPr="001E7D64">
        <w:rPr>
          <w:lang w:val="de-CH"/>
        </w:rPr>
        <w:t xml:space="preserve"> </w:t>
      </w:r>
      <w:r>
        <w:rPr>
          <w:lang w:val="de-CH"/>
        </w:rPr>
        <w:t>des</w:t>
      </w:r>
      <w:r w:rsidRPr="001E7D64">
        <w:rPr>
          <w:lang w:val="de-CH"/>
        </w:rPr>
        <w:t xml:space="preserve"> „Symposium</w:t>
      </w:r>
      <w:r>
        <w:rPr>
          <w:lang w:val="de-CH"/>
        </w:rPr>
        <w:t>s</w:t>
      </w:r>
      <w:r w:rsidRPr="001E7D64">
        <w:rPr>
          <w:lang w:val="de-CH"/>
        </w:rPr>
        <w:t xml:space="preserve"> über Pflanzenzucht für die Zukunft“</w:t>
      </w:r>
      <w:r>
        <w:rPr>
          <w:lang w:val="de-CH"/>
        </w:rPr>
        <w:t xml:space="preserve"> </w:t>
      </w:r>
      <w:r w:rsidRPr="001E7D64">
        <w:rPr>
          <w:lang w:val="de-CH"/>
        </w:rPr>
        <w:t>und des „Symposiums über die Vorteile des Sortenschutzes für Landwirte und Pflanzer“</w:t>
      </w:r>
      <w:r w:rsidRPr="00A50B15">
        <w:rPr>
          <w:lang w:val="de-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C" w:rsidRPr="00C5280D" w:rsidRDefault="0020778C" w:rsidP="00EB048E">
    <w:pPr>
      <w:pStyle w:val="Header"/>
      <w:rPr>
        <w:rStyle w:val="PageNumber"/>
        <w:lang w:val="en-US"/>
      </w:rPr>
    </w:pPr>
    <w:r>
      <w:rPr>
        <w:rStyle w:val="PageNumber"/>
        <w:lang w:val="en-US"/>
      </w:rPr>
      <w:t>TC/51/10</w:t>
    </w:r>
  </w:p>
  <w:p w:rsidR="0020778C" w:rsidRPr="00C5280D" w:rsidRDefault="0020778C"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2942">
      <w:rPr>
        <w:rStyle w:val="PageNumber"/>
        <w:noProof/>
        <w:lang w:val="en-US"/>
      </w:rPr>
      <w:t>2</w:t>
    </w:r>
    <w:r w:rsidRPr="00C5280D">
      <w:rPr>
        <w:rStyle w:val="PageNumber"/>
        <w:lang w:val="en-US"/>
      </w:rPr>
      <w:fldChar w:fldCharType="end"/>
    </w:r>
  </w:p>
  <w:p w:rsidR="0020778C" w:rsidRPr="00C5280D" w:rsidRDefault="0020778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8"/>
  </w:num>
  <w:num w:numId="3">
    <w:abstractNumId w:val="6"/>
  </w:num>
  <w:num w:numId="4">
    <w:abstractNumId w:val="3"/>
  </w:num>
  <w:num w:numId="5">
    <w:abstractNumId w:val="7"/>
  </w:num>
  <w:num w:numId="6">
    <w:abstractNumId w:val="0"/>
  </w:num>
  <w:num w:numId="7">
    <w:abstractNumId w:val="4"/>
  </w:num>
  <w:num w:numId="8">
    <w:abstractNumId w:val="1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72"/>
    <w:rsid w:val="00010CF3"/>
    <w:rsid w:val="00011E27"/>
    <w:rsid w:val="000148BC"/>
    <w:rsid w:val="00024AB8"/>
    <w:rsid w:val="00030854"/>
    <w:rsid w:val="00036028"/>
    <w:rsid w:val="00044642"/>
    <w:rsid w:val="000446B9"/>
    <w:rsid w:val="00047E21"/>
    <w:rsid w:val="00050E16"/>
    <w:rsid w:val="00071841"/>
    <w:rsid w:val="00085505"/>
    <w:rsid w:val="000A472A"/>
    <w:rsid w:val="000C4BAA"/>
    <w:rsid w:val="000C7021"/>
    <w:rsid w:val="000D6BBC"/>
    <w:rsid w:val="000D7780"/>
    <w:rsid w:val="000F24A8"/>
    <w:rsid w:val="000F2F11"/>
    <w:rsid w:val="00105929"/>
    <w:rsid w:val="001131D5"/>
    <w:rsid w:val="00141DB8"/>
    <w:rsid w:val="001435E2"/>
    <w:rsid w:val="001451C9"/>
    <w:rsid w:val="0017474A"/>
    <w:rsid w:val="001758C6"/>
    <w:rsid w:val="00182B99"/>
    <w:rsid w:val="001857A8"/>
    <w:rsid w:val="00197EA8"/>
    <w:rsid w:val="001B2376"/>
    <w:rsid w:val="001D140D"/>
    <w:rsid w:val="0020778C"/>
    <w:rsid w:val="00211C8E"/>
    <w:rsid w:val="0021332C"/>
    <w:rsid w:val="00213982"/>
    <w:rsid w:val="00214FDF"/>
    <w:rsid w:val="0024416D"/>
    <w:rsid w:val="002461B2"/>
    <w:rsid w:val="00271830"/>
    <w:rsid w:val="00271911"/>
    <w:rsid w:val="002800A0"/>
    <w:rsid w:val="002801B3"/>
    <w:rsid w:val="00281060"/>
    <w:rsid w:val="002940E8"/>
    <w:rsid w:val="002A6E50"/>
    <w:rsid w:val="002C256A"/>
    <w:rsid w:val="002E1C71"/>
    <w:rsid w:val="002F5258"/>
    <w:rsid w:val="00304C44"/>
    <w:rsid w:val="00305A7F"/>
    <w:rsid w:val="003152FE"/>
    <w:rsid w:val="00327436"/>
    <w:rsid w:val="00344BD6"/>
    <w:rsid w:val="0035528D"/>
    <w:rsid w:val="00355B87"/>
    <w:rsid w:val="00355E16"/>
    <w:rsid w:val="00357731"/>
    <w:rsid w:val="00361821"/>
    <w:rsid w:val="003B7820"/>
    <w:rsid w:val="003D227C"/>
    <w:rsid w:val="003D2B4D"/>
    <w:rsid w:val="003F0E9F"/>
    <w:rsid w:val="00402138"/>
    <w:rsid w:val="004048BE"/>
    <w:rsid w:val="00411628"/>
    <w:rsid w:val="004228F4"/>
    <w:rsid w:val="004420C1"/>
    <w:rsid w:val="00444A88"/>
    <w:rsid w:val="00446C18"/>
    <w:rsid w:val="00451BF6"/>
    <w:rsid w:val="0045684D"/>
    <w:rsid w:val="004613D2"/>
    <w:rsid w:val="00474DA4"/>
    <w:rsid w:val="00476B4D"/>
    <w:rsid w:val="004805FA"/>
    <w:rsid w:val="004935D2"/>
    <w:rsid w:val="004B1215"/>
    <w:rsid w:val="004D047D"/>
    <w:rsid w:val="004D263C"/>
    <w:rsid w:val="004F1D16"/>
    <w:rsid w:val="004F305A"/>
    <w:rsid w:val="00506508"/>
    <w:rsid w:val="00510925"/>
    <w:rsid w:val="00512164"/>
    <w:rsid w:val="00520297"/>
    <w:rsid w:val="005308C7"/>
    <w:rsid w:val="005338F9"/>
    <w:rsid w:val="00540798"/>
    <w:rsid w:val="0054281C"/>
    <w:rsid w:val="00547868"/>
    <w:rsid w:val="0055268D"/>
    <w:rsid w:val="00576BE4"/>
    <w:rsid w:val="0059707F"/>
    <w:rsid w:val="005A0C4C"/>
    <w:rsid w:val="005A400A"/>
    <w:rsid w:val="005B1150"/>
    <w:rsid w:val="00605E19"/>
    <w:rsid w:val="00612379"/>
    <w:rsid w:val="0061555F"/>
    <w:rsid w:val="00641200"/>
    <w:rsid w:val="006550C0"/>
    <w:rsid w:val="006655D3"/>
    <w:rsid w:val="00667404"/>
    <w:rsid w:val="00687EB4"/>
    <w:rsid w:val="006B17D2"/>
    <w:rsid w:val="006C224E"/>
    <w:rsid w:val="006C46E0"/>
    <w:rsid w:val="006D780A"/>
    <w:rsid w:val="006F4496"/>
    <w:rsid w:val="00714B03"/>
    <w:rsid w:val="00732DEC"/>
    <w:rsid w:val="00735BD5"/>
    <w:rsid w:val="007556F6"/>
    <w:rsid w:val="00760EEF"/>
    <w:rsid w:val="007770AE"/>
    <w:rsid w:val="00777EE5"/>
    <w:rsid w:val="00784836"/>
    <w:rsid w:val="0079023E"/>
    <w:rsid w:val="00790EE4"/>
    <w:rsid w:val="007A2854"/>
    <w:rsid w:val="007A2942"/>
    <w:rsid w:val="007D0B9D"/>
    <w:rsid w:val="007D19B0"/>
    <w:rsid w:val="007E6B43"/>
    <w:rsid w:val="007F498F"/>
    <w:rsid w:val="007F4A9F"/>
    <w:rsid w:val="00806009"/>
    <w:rsid w:val="0080679D"/>
    <w:rsid w:val="008108B0"/>
    <w:rsid w:val="00811B20"/>
    <w:rsid w:val="008141AD"/>
    <w:rsid w:val="00820CCE"/>
    <w:rsid w:val="0082296E"/>
    <w:rsid w:val="00824099"/>
    <w:rsid w:val="0083141F"/>
    <w:rsid w:val="00846D7C"/>
    <w:rsid w:val="00867AC1"/>
    <w:rsid w:val="008832D1"/>
    <w:rsid w:val="008A743F"/>
    <w:rsid w:val="008B1251"/>
    <w:rsid w:val="008C0651"/>
    <w:rsid w:val="008C0970"/>
    <w:rsid w:val="008D0BC5"/>
    <w:rsid w:val="008D2CF7"/>
    <w:rsid w:val="00900C26"/>
    <w:rsid w:val="0090197F"/>
    <w:rsid w:val="009020A8"/>
    <w:rsid w:val="00902E47"/>
    <w:rsid w:val="00906DDC"/>
    <w:rsid w:val="00934E09"/>
    <w:rsid w:val="00936253"/>
    <w:rsid w:val="00952DD4"/>
    <w:rsid w:val="00970FED"/>
    <w:rsid w:val="00992D82"/>
    <w:rsid w:val="0099403C"/>
    <w:rsid w:val="00997029"/>
    <w:rsid w:val="009B440E"/>
    <w:rsid w:val="009D690D"/>
    <w:rsid w:val="009E65B6"/>
    <w:rsid w:val="009F64F3"/>
    <w:rsid w:val="00A21CDF"/>
    <w:rsid w:val="00A24C10"/>
    <w:rsid w:val="00A326E8"/>
    <w:rsid w:val="00A42AC3"/>
    <w:rsid w:val="00A430CF"/>
    <w:rsid w:val="00A53F0E"/>
    <w:rsid w:val="00A54309"/>
    <w:rsid w:val="00A55B16"/>
    <w:rsid w:val="00AA0DD9"/>
    <w:rsid w:val="00AB2B93"/>
    <w:rsid w:val="00AB530F"/>
    <w:rsid w:val="00AB7E5B"/>
    <w:rsid w:val="00AE0EF1"/>
    <w:rsid w:val="00AE2937"/>
    <w:rsid w:val="00B07301"/>
    <w:rsid w:val="00B224DE"/>
    <w:rsid w:val="00B24F8D"/>
    <w:rsid w:val="00B3094C"/>
    <w:rsid w:val="00B324D4"/>
    <w:rsid w:val="00B4487D"/>
    <w:rsid w:val="00B45708"/>
    <w:rsid w:val="00B46575"/>
    <w:rsid w:val="00B60971"/>
    <w:rsid w:val="00B84BBD"/>
    <w:rsid w:val="00B97816"/>
    <w:rsid w:val="00BA43FB"/>
    <w:rsid w:val="00BC127D"/>
    <w:rsid w:val="00BC1FE6"/>
    <w:rsid w:val="00BC5382"/>
    <w:rsid w:val="00BF29FC"/>
    <w:rsid w:val="00C061B6"/>
    <w:rsid w:val="00C22C6F"/>
    <w:rsid w:val="00C2446C"/>
    <w:rsid w:val="00C36AE5"/>
    <w:rsid w:val="00C41F17"/>
    <w:rsid w:val="00C5280D"/>
    <w:rsid w:val="00C55235"/>
    <w:rsid w:val="00C5791C"/>
    <w:rsid w:val="00C624B5"/>
    <w:rsid w:val="00C66290"/>
    <w:rsid w:val="00C72B7A"/>
    <w:rsid w:val="00C973F2"/>
    <w:rsid w:val="00CA304C"/>
    <w:rsid w:val="00CA774A"/>
    <w:rsid w:val="00CB4CDE"/>
    <w:rsid w:val="00CC11B0"/>
    <w:rsid w:val="00CF7E36"/>
    <w:rsid w:val="00D21212"/>
    <w:rsid w:val="00D3708D"/>
    <w:rsid w:val="00D40426"/>
    <w:rsid w:val="00D57C96"/>
    <w:rsid w:val="00D6509E"/>
    <w:rsid w:val="00D84E72"/>
    <w:rsid w:val="00D91203"/>
    <w:rsid w:val="00D95174"/>
    <w:rsid w:val="00DA6F36"/>
    <w:rsid w:val="00DB596E"/>
    <w:rsid w:val="00DB7773"/>
    <w:rsid w:val="00DC00EA"/>
    <w:rsid w:val="00DE3CB1"/>
    <w:rsid w:val="00DE686D"/>
    <w:rsid w:val="00E00B59"/>
    <w:rsid w:val="00E07E8D"/>
    <w:rsid w:val="00E32F7E"/>
    <w:rsid w:val="00E623BF"/>
    <w:rsid w:val="00E67067"/>
    <w:rsid w:val="00E72D49"/>
    <w:rsid w:val="00E7593C"/>
    <w:rsid w:val="00E7678A"/>
    <w:rsid w:val="00E935F1"/>
    <w:rsid w:val="00E94A81"/>
    <w:rsid w:val="00EA1FFB"/>
    <w:rsid w:val="00EA7B64"/>
    <w:rsid w:val="00EB048E"/>
    <w:rsid w:val="00EE34DF"/>
    <w:rsid w:val="00EF1423"/>
    <w:rsid w:val="00EF2F89"/>
    <w:rsid w:val="00F1237A"/>
    <w:rsid w:val="00F22CBD"/>
    <w:rsid w:val="00F405BB"/>
    <w:rsid w:val="00F44588"/>
    <w:rsid w:val="00F45372"/>
    <w:rsid w:val="00F560F7"/>
    <w:rsid w:val="00F6334D"/>
    <w:rsid w:val="00F65067"/>
    <w:rsid w:val="00F70558"/>
    <w:rsid w:val="00FA09FA"/>
    <w:rsid w:val="00FA49AB"/>
    <w:rsid w:val="00FB6EF5"/>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10925"/>
    <w:pPr>
      <w:keepNext/>
      <w:jc w:val="both"/>
      <w:outlineLvl w:val="0"/>
    </w:pPr>
    <w:rPr>
      <w:rFonts w:ascii="Arial" w:hAnsi="Arial" w:cs="Arial"/>
      <w:caps/>
      <w:color w:val="000000" w:themeColor="text1"/>
      <w:lang w:val="de-CH"/>
    </w:rPr>
  </w:style>
  <w:style w:type="paragraph" w:styleId="Heading2">
    <w:name w:val="heading 2"/>
    <w:next w:val="Normal"/>
    <w:link w:val="Heading2Char"/>
    <w:autoRedefine/>
    <w:qFormat/>
    <w:rsid w:val="00355B87"/>
    <w:pPr>
      <w:keepNext/>
      <w:jc w:val="both"/>
      <w:outlineLvl w:val="1"/>
    </w:pPr>
    <w:rPr>
      <w:rFonts w:ascii="Arial" w:hAnsi="Arial"/>
      <w:snapToGrid w:val="0"/>
      <w:color w:val="000000" w:themeColor="text1"/>
      <w:u w:val="single"/>
      <w:lang w:val="de-DE"/>
    </w:rPr>
  </w:style>
  <w:style w:type="paragraph" w:styleId="Heading3">
    <w:name w:val="heading 3"/>
    <w:next w:val="Normal"/>
    <w:autoRedefine/>
    <w:qFormat/>
    <w:rsid w:val="00506508"/>
    <w:pPr>
      <w:keepNext/>
      <w:jc w:val="both"/>
      <w:outlineLvl w:val="2"/>
    </w:pPr>
    <w:rPr>
      <w:rFonts w:ascii="Arial" w:hAnsi="Arial"/>
      <w:i/>
      <w:snapToGrid w:val="0"/>
      <w:color w:val="000000" w:themeColor="text1"/>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1D14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90EE4"/>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1D140D"/>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1D140D"/>
    <w:rPr>
      <w:rFonts w:ascii="Arial" w:hAnsi="Arial"/>
      <w:sz w:val="16"/>
    </w:rPr>
  </w:style>
  <w:style w:type="paragraph" w:styleId="CommentText">
    <w:name w:val="annotation text"/>
    <w:basedOn w:val="Normal"/>
    <w:link w:val="CommentTextChar"/>
    <w:unhideWhenUsed/>
    <w:rsid w:val="001D140D"/>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D140D"/>
    <w:rPr>
      <w:sz w:val="22"/>
      <w:szCs w:val="22"/>
      <w:lang w:eastAsia="ja-JP"/>
    </w:rPr>
  </w:style>
  <w:style w:type="character" w:customStyle="1" w:styleId="DecisionParagraphsChar">
    <w:name w:val="DecisionParagraphs Char"/>
    <w:basedOn w:val="DefaultParagraphFont"/>
    <w:link w:val="DecisionParagraphs"/>
    <w:rsid w:val="001D140D"/>
    <w:rPr>
      <w:rFonts w:ascii="Arial" w:hAnsi="Arial"/>
      <w:i/>
    </w:rPr>
  </w:style>
  <w:style w:type="paragraph" w:styleId="ListParagraph">
    <w:name w:val="List Paragraph"/>
    <w:basedOn w:val="Normal"/>
    <w:uiPriority w:val="34"/>
    <w:qFormat/>
    <w:rsid w:val="001D140D"/>
    <w:pPr>
      <w:ind w:left="720"/>
      <w:contextualSpacing/>
    </w:pPr>
  </w:style>
  <w:style w:type="paragraph" w:styleId="TOCHeading">
    <w:name w:val="TOC Heading"/>
    <w:basedOn w:val="Heading1"/>
    <w:next w:val="Normal"/>
    <w:uiPriority w:val="39"/>
    <w:unhideWhenUsed/>
    <w:qFormat/>
    <w:rsid w:val="001D140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355B87"/>
    <w:rPr>
      <w:rFonts w:ascii="Arial" w:hAnsi="Arial"/>
      <w:snapToGrid w:val="0"/>
      <w:color w:val="000000" w:themeColor="text1"/>
      <w:u w:val="single"/>
      <w:lang w:val="de-DE"/>
    </w:rPr>
  </w:style>
  <w:style w:type="table" w:styleId="TableGrid">
    <w:name w:val="Table Grid"/>
    <w:basedOn w:val="TableNormal"/>
    <w:rsid w:val="001D1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D140D"/>
    <w:rPr>
      <w:b w:val="0"/>
      <w:bCs/>
      <w:smallCaps/>
      <w:spacing w:val="5"/>
    </w:rPr>
  </w:style>
  <w:style w:type="paragraph" w:styleId="NormalWeb">
    <w:name w:val="Normal (Web)"/>
    <w:basedOn w:val="Normal"/>
    <w:uiPriority w:val="99"/>
    <w:unhideWhenUsed/>
    <w:rsid w:val="00A21CDF"/>
    <w:pPr>
      <w:spacing w:before="100" w:beforeAutospacing="1" w:after="100" w:afterAutospacing="1"/>
      <w:jc w:val="left"/>
    </w:pPr>
    <w:rPr>
      <w:rFonts w:ascii="Times New Roman" w:hAnsi="Times New Roman"/>
      <w:sz w:val="24"/>
      <w:szCs w:val="24"/>
    </w:rPr>
  </w:style>
  <w:style w:type="character" w:customStyle="1" w:styleId="f21">
    <w:name w:val="f21"/>
    <w:basedOn w:val="DefaultParagraphFont"/>
    <w:rsid w:val="0099403C"/>
    <w:rPr>
      <w:rFonts w:ascii="Arial" w:hAnsi="Arial" w:cs="Arial" w:hint="default"/>
    </w:rPr>
  </w:style>
  <w:style w:type="paragraph" w:customStyle="1" w:styleId="a0">
    <w:name w:val="a0"/>
    <w:basedOn w:val="Normal"/>
    <w:rsid w:val="00510925"/>
    <w:pPr>
      <w:spacing w:before="100" w:beforeAutospacing="1" w:after="100" w:afterAutospacing="1"/>
    </w:pPr>
    <w:rPr>
      <w:rFonts w:ascii="Times New Roman" w:hAnsi="Times New Roman"/>
      <w:sz w:val="24"/>
      <w:szCs w:val="24"/>
      <w:lang w:val="fr-CH" w:eastAsia="fr-CH"/>
    </w:rPr>
  </w:style>
  <w:style w:type="character" w:customStyle="1" w:styleId="f11">
    <w:name w:val="f11"/>
    <w:basedOn w:val="DefaultParagraphFont"/>
    <w:rsid w:val="00510925"/>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10925"/>
    <w:pPr>
      <w:keepNext/>
      <w:jc w:val="both"/>
      <w:outlineLvl w:val="0"/>
    </w:pPr>
    <w:rPr>
      <w:rFonts w:ascii="Arial" w:hAnsi="Arial" w:cs="Arial"/>
      <w:caps/>
      <w:color w:val="000000" w:themeColor="text1"/>
      <w:lang w:val="de-CH"/>
    </w:rPr>
  </w:style>
  <w:style w:type="paragraph" w:styleId="Heading2">
    <w:name w:val="heading 2"/>
    <w:next w:val="Normal"/>
    <w:link w:val="Heading2Char"/>
    <w:autoRedefine/>
    <w:qFormat/>
    <w:rsid w:val="00355B87"/>
    <w:pPr>
      <w:keepNext/>
      <w:jc w:val="both"/>
      <w:outlineLvl w:val="1"/>
    </w:pPr>
    <w:rPr>
      <w:rFonts w:ascii="Arial" w:hAnsi="Arial"/>
      <w:snapToGrid w:val="0"/>
      <w:color w:val="000000" w:themeColor="text1"/>
      <w:u w:val="single"/>
      <w:lang w:val="de-DE"/>
    </w:rPr>
  </w:style>
  <w:style w:type="paragraph" w:styleId="Heading3">
    <w:name w:val="heading 3"/>
    <w:next w:val="Normal"/>
    <w:autoRedefine/>
    <w:qFormat/>
    <w:rsid w:val="00506508"/>
    <w:pPr>
      <w:keepNext/>
      <w:jc w:val="both"/>
      <w:outlineLvl w:val="2"/>
    </w:pPr>
    <w:rPr>
      <w:rFonts w:ascii="Arial" w:hAnsi="Arial"/>
      <w:i/>
      <w:snapToGrid w:val="0"/>
      <w:color w:val="000000" w:themeColor="text1"/>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1D14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90EE4"/>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1D140D"/>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1D140D"/>
    <w:rPr>
      <w:rFonts w:ascii="Arial" w:hAnsi="Arial"/>
      <w:sz w:val="16"/>
    </w:rPr>
  </w:style>
  <w:style w:type="paragraph" w:styleId="CommentText">
    <w:name w:val="annotation text"/>
    <w:basedOn w:val="Normal"/>
    <w:link w:val="CommentTextChar"/>
    <w:unhideWhenUsed/>
    <w:rsid w:val="001D140D"/>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D140D"/>
    <w:rPr>
      <w:sz w:val="22"/>
      <w:szCs w:val="22"/>
      <w:lang w:eastAsia="ja-JP"/>
    </w:rPr>
  </w:style>
  <w:style w:type="character" w:customStyle="1" w:styleId="DecisionParagraphsChar">
    <w:name w:val="DecisionParagraphs Char"/>
    <w:basedOn w:val="DefaultParagraphFont"/>
    <w:link w:val="DecisionParagraphs"/>
    <w:rsid w:val="001D140D"/>
    <w:rPr>
      <w:rFonts w:ascii="Arial" w:hAnsi="Arial"/>
      <w:i/>
    </w:rPr>
  </w:style>
  <w:style w:type="paragraph" w:styleId="ListParagraph">
    <w:name w:val="List Paragraph"/>
    <w:basedOn w:val="Normal"/>
    <w:uiPriority w:val="34"/>
    <w:qFormat/>
    <w:rsid w:val="001D140D"/>
    <w:pPr>
      <w:ind w:left="720"/>
      <w:contextualSpacing/>
    </w:pPr>
  </w:style>
  <w:style w:type="paragraph" w:styleId="TOCHeading">
    <w:name w:val="TOC Heading"/>
    <w:basedOn w:val="Heading1"/>
    <w:next w:val="Normal"/>
    <w:uiPriority w:val="39"/>
    <w:unhideWhenUsed/>
    <w:qFormat/>
    <w:rsid w:val="001D140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355B87"/>
    <w:rPr>
      <w:rFonts w:ascii="Arial" w:hAnsi="Arial"/>
      <w:snapToGrid w:val="0"/>
      <w:color w:val="000000" w:themeColor="text1"/>
      <w:u w:val="single"/>
      <w:lang w:val="de-DE"/>
    </w:rPr>
  </w:style>
  <w:style w:type="table" w:styleId="TableGrid">
    <w:name w:val="Table Grid"/>
    <w:basedOn w:val="TableNormal"/>
    <w:rsid w:val="001D1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D140D"/>
    <w:rPr>
      <w:b w:val="0"/>
      <w:bCs/>
      <w:smallCaps/>
      <w:spacing w:val="5"/>
    </w:rPr>
  </w:style>
  <w:style w:type="paragraph" w:styleId="NormalWeb">
    <w:name w:val="Normal (Web)"/>
    <w:basedOn w:val="Normal"/>
    <w:uiPriority w:val="99"/>
    <w:unhideWhenUsed/>
    <w:rsid w:val="00A21CDF"/>
    <w:pPr>
      <w:spacing w:before="100" w:beforeAutospacing="1" w:after="100" w:afterAutospacing="1"/>
      <w:jc w:val="left"/>
    </w:pPr>
    <w:rPr>
      <w:rFonts w:ascii="Times New Roman" w:hAnsi="Times New Roman"/>
      <w:sz w:val="24"/>
      <w:szCs w:val="24"/>
    </w:rPr>
  </w:style>
  <w:style w:type="character" w:customStyle="1" w:styleId="f21">
    <w:name w:val="f21"/>
    <w:basedOn w:val="DefaultParagraphFont"/>
    <w:rsid w:val="0099403C"/>
    <w:rPr>
      <w:rFonts w:ascii="Arial" w:hAnsi="Arial" w:cs="Arial" w:hint="default"/>
    </w:rPr>
  </w:style>
  <w:style w:type="paragraph" w:customStyle="1" w:styleId="a0">
    <w:name w:val="a0"/>
    <w:basedOn w:val="Normal"/>
    <w:rsid w:val="00510925"/>
    <w:pPr>
      <w:spacing w:before="100" w:beforeAutospacing="1" w:after="100" w:afterAutospacing="1"/>
    </w:pPr>
    <w:rPr>
      <w:rFonts w:ascii="Times New Roman" w:hAnsi="Times New Roman"/>
      <w:sz w:val="24"/>
      <w:szCs w:val="24"/>
      <w:lang w:val="fr-CH" w:eastAsia="fr-CH"/>
    </w:rPr>
  </w:style>
  <w:style w:type="character" w:customStyle="1" w:styleId="f11">
    <w:name w:val="f11"/>
    <w:basedOn w:val="DefaultParagraphFont"/>
    <w:rsid w:val="00510925"/>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906">
      <w:bodyDiv w:val="1"/>
      <w:marLeft w:val="0"/>
      <w:marRight w:val="0"/>
      <w:marTop w:val="0"/>
      <w:marBottom w:val="0"/>
      <w:divBdr>
        <w:top w:val="none" w:sz="0" w:space="0" w:color="auto"/>
        <w:left w:val="none" w:sz="0" w:space="0" w:color="auto"/>
        <w:bottom w:val="none" w:sz="0" w:space="0" w:color="auto"/>
        <w:right w:val="none" w:sz="0" w:space="0" w:color="auto"/>
      </w:divBdr>
      <w:divsChild>
        <w:div w:id="456266837">
          <w:marLeft w:val="0"/>
          <w:marRight w:val="0"/>
          <w:marTop w:val="0"/>
          <w:marBottom w:val="0"/>
          <w:divBdr>
            <w:top w:val="none" w:sz="0" w:space="0" w:color="auto"/>
            <w:left w:val="none" w:sz="0" w:space="0" w:color="auto"/>
            <w:bottom w:val="none" w:sz="0" w:space="0" w:color="auto"/>
            <w:right w:val="none" w:sz="0" w:space="0" w:color="auto"/>
          </w:divBdr>
        </w:div>
      </w:divsChild>
    </w:div>
    <w:div w:id="112722044">
      <w:bodyDiv w:val="1"/>
      <w:marLeft w:val="0"/>
      <w:marRight w:val="0"/>
      <w:marTop w:val="0"/>
      <w:marBottom w:val="0"/>
      <w:divBdr>
        <w:top w:val="none" w:sz="0" w:space="0" w:color="auto"/>
        <w:left w:val="none" w:sz="0" w:space="0" w:color="auto"/>
        <w:bottom w:val="none" w:sz="0" w:space="0" w:color="auto"/>
        <w:right w:val="none" w:sz="0" w:space="0" w:color="auto"/>
      </w:divBdr>
      <w:divsChild>
        <w:div w:id="1006053963">
          <w:marLeft w:val="0"/>
          <w:marRight w:val="0"/>
          <w:marTop w:val="0"/>
          <w:marBottom w:val="0"/>
          <w:divBdr>
            <w:top w:val="none" w:sz="0" w:space="0" w:color="auto"/>
            <w:left w:val="none" w:sz="0" w:space="0" w:color="auto"/>
            <w:bottom w:val="none" w:sz="0" w:space="0" w:color="auto"/>
            <w:right w:val="none" w:sz="0" w:space="0" w:color="auto"/>
          </w:divBdr>
          <w:divsChild>
            <w:div w:id="141849273">
              <w:marLeft w:val="0"/>
              <w:marRight w:val="0"/>
              <w:marTop w:val="0"/>
              <w:marBottom w:val="0"/>
              <w:divBdr>
                <w:top w:val="none" w:sz="0" w:space="0" w:color="auto"/>
                <w:left w:val="none" w:sz="0" w:space="0" w:color="auto"/>
                <w:bottom w:val="none" w:sz="0" w:space="0" w:color="auto"/>
                <w:right w:val="none" w:sz="0" w:space="0" w:color="auto"/>
              </w:divBdr>
              <w:divsChild>
                <w:div w:id="1925263981">
                  <w:marLeft w:val="0"/>
                  <w:marRight w:val="0"/>
                  <w:marTop w:val="0"/>
                  <w:marBottom w:val="0"/>
                  <w:divBdr>
                    <w:top w:val="none" w:sz="0" w:space="0" w:color="auto"/>
                    <w:left w:val="none" w:sz="0" w:space="0" w:color="auto"/>
                    <w:bottom w:val="none" w:sz="0" w:space="0" w:color="auto"/>
                    <w:right w:val="none" w:sz="0" w:space="0" w:color="auto"/>
                  </w:divBdr>
                  <w:divsChild>
                    <w:div w:id="1795051862">
                      <w:marLeft w:val="0"/>
                      <w:marRight w:val="0"/>
                      <w:marTop w:val="0"/>
                      <w:marBottom w:val="0"/>
                      <w:divBdr>
                        <w:top w:val="none" w:sz="0" w:space="0" w:color="auto"/>
                        <w:left w:val="none" w:sz="0" w:space="0" w:color="auto"/>
                        <w:bottom w:val="none" w:sz="0" w:space="0" w:color="auto"/>
                        <w:right w:val="none" w:sz="0" w:space="0" w:color="auto"/>
                      </w:divBdr>
                      <w:divsChild>
                        <w:div w:id="422455595">
                          <w:marLeft w:val="0"/>
                          <w:marRight w:val="0"/>
                          <w:marTop w:val="0"/>
                          <w:marBottom w:val="0"/>
                          <w:divBdr>
                            <w:top w:val="none" w:sz="0" w:space="0" w:color="auto"/>
                            <w:left w:val="none" w:sz="0" w:space="0" w:color="auto"/>
                            <w:bottom w:val="none" w:sz="0" w:space="0" w:color="auto"/>
                            <w:right w:val="none" w:sz="0" w:space="0" w:color="auto"/>
                          </w:divBdr>
                          <w:divsChild>
                            <w:div w:id="17945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82334">
      <w:bodyDiv w:val="1"/>
      <w:marLeft w:val="0"/>
      <w:marRight w:val="0"/>
      <w:marTop w:val="0"/>
      <w:marBottom w:val="0"/>
      <w:divBdr>
        <w:top w:val="none" w:sz="0" w:space="0" w:color="auto"/>
        <w:left w:val="none" w:sz="0" w:space="0" w:color="auto"/>
        <w:bottom w:val="none" w:sz="0" w:space="0" w:color="auto"/>
        <w:right w:val="none" w:sz="0" w:space="0" w:color="auto"/>
      </w:divBdr>
      <w:divsChild>
        <w:div w:id="749080135">
          <w:marLeft w:val="0"/>
          <w:marRight w:val="0"/>
          <w:marTop w:val="0"/>
          <w:marBottom w:val="0"/>
          <w:divBdr>
            <w:top w:val="none" w:sz="0" w:space="0" w:color="auto"/>
            <w:left w:val="none" w:sz="0" w:space="0" w:color="auto"/>
            <w:bottom w:val="none" w:sz="0" w:space="0" w:color="auto"/>
            <w:right w:val="none" w:sz="0" w:space="0" w:color="auto"/>
          </w:divBdr>
          <w:divsChild>
            <w:div w:id="880702059">
              <w:marLeft w:val="0"/>
              <w:marRight w:val="0"/>
              <w:marTop w:val="0"/>
              <w:marBottom w:val="0"/>
              <w:divBdr>
                <w:top w:val="none" w:sz="0" w:space="0" w:color="auto"/>
                <w:left w:val="none" w:sz="0" w:space="0" w:color="auto"/>
                <w:bottom w:val="none" w:sz="0" w:space="0" w:color="auto"/>
                <w:right w:val="none" w:sz="0" w:space="0" w:color="auto"/>
              </w:divBdr>
              <w:divsChild>
                <w:div w:id="1121337170">
                  <w:marLeft w:val="0"/>
                  <w:marRight w:val="0"/>
                  <w:marTop w:val="0"/>
                  <w:marBottom w:val="0"/>
                  <w:divBdr>
                    <w:top w:val="none" w:sz="0" w:space="0" w:color="auto"/>
                    <w:left w:val="none" w:sz="0" w:space="0" w:color="auto"/>
                    <w:bottom w:val="none" w:sz="0" w:space="0" w:color="auto"/>
                    <w:right w:val="none" w:sz="0" w:space="0" w:color="auto"/>
                  </w:divBdr>
                  <w:divsChild>
                    <w:div w:id="414939887">
                      <w:marLeft w:val="0"/>
                      <w:marRight w:val="0"/>
                      <w:marTop w:val="0"/>
                      <w:marBottom w:val="0"/>
                      <w:divBdr>
                        <w:top w:val="none" w:sz="0" w:space="0" w:color="auto"/>
                        <w:left w:val="none" w:sz="0" w:space="0" w:color="auto"/>
                        <w:bottom w:val="none" w:sz="0" w:space="0" w:color="auto"/>
                        <w:right w:val="none" w:sz="0" w:space="0" w:color="auto"/>
                      </w:divBdr>
                      <w:divsChild>
                        <w:div w:id="734470971">
                          <w:marLeft w:val="0"/>
                          <w:marRight w:val="0"/>
                          <w:marTop w:val="0"/>
                          <w:marBottom w:val="0"/>
                          <w:divBdr>
                            <w:top w:val="none" w:sz="0" w:space="0" w:color="auto"/>
                            <w:left w:val="none" w:sz="0" w:space="0" w:color="auto"/>
                            <w:bottom w:val="none" w:sz="0" w:space="0" w:color="auto"/>
                            <w:right w:val="none" w:sz="0" w:space="0" w:color="auto"/>
                          </w:divBdr>
                          <w:divsChild>
                            <w:div w:id="2155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122325">
      <w:bodyDiv w:val="1"/>
      <w:marLeft w:val="0"/>
      <w:marRight w:val="0"/>
      <w:marTop w:val="0"/>
      <w:marBottom w:val="0"/>
      <w:divBdr>
        <w:top w:val="none" w:sz="0" w:space="0" w:color="auto"/>
        <w:left w:val="none" w:sz="0" w:space="0" w:color="auto"/>
        <w:bottom w:val="none" w:sz="0" w:space="0" w:color="auto"/>
        <w:right w:val="none" w:sz="0" w:space="0" w:color="auto"/>
      </w:divBdr>
      <w:divsChild>
        <w:div w:id="1994596780">
          <w:marLeft w:val="0"/>
          <w:marRight w:val="0"/>
          <w:marTop w:val="0"/>
          <w:marBottom w:val="0"/>
          <w:divBdr>
            <w:top w:val="none" w:sz="0" w:space="0" w:color="auto"/>
            <w:left w:val="none" w:sz="0" w:space="0" w:color="auto"/>
            <w:bottom w:val="none" w:sz="0" w:space="0" w:color="auto"/>
            <w:right w:val="none" w:sz="0" w:space="0" w:color="auto"/>
          </w:divBdr>
        </w:div>
      </w:divsChild>
    </w:div>
    <w:div w:id="2066836126">
      <w:bodyDiv w:val="1"/>
      <w:marLeft w:val="0"/>
      <w:marRight w:val="0"/>
      <w:marTop w:val="0"/>
      <w:marBottom w:val="0"/>
      <w:divBdr>
        <w:top w:val="none" w:sz="0" w:space="0" w:color="auto"/>
        <w:left w:val="none" w:sz="0" w:space="0" w:color="auto"/>
        <w:bottom w:val="none" w:sz="0" w:space="0" w:color="auto"/>
        <w:right w:val="none" w:sz="0" w:space="0" w:color="auto"/>
      </w:divBdr>
      <w:divsChild>
        <w:div w:id="1459955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n/details.jsp?meeting_id=29782" TargetMode="External"/><Relationship Id="rId18" Type="http://schemas.openxmlformats.org/officeDocument/2006/relationships/hyperlink" Target="http://www.upov.int/resource/en/traini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about/es/benefits_upov_system.html" TargetMode="External"/><Relationship Id="rId17" Type="http://schemas.openxmlformats.org/officeDocument/2006/relationships/hyperlink" Target="http://welc.wipo.int/acc/index.jsf?page=upovCatalog.xhtml&amp;cc=DL305E&amp;lang=en&amp;" TargetMode="External"/><Relationship Id="rId2" Type="http://schemas.openxmlformats.org/officeDocument/2006/relationships/numbering" Target="numbering.xml"/><Relationship Id="rId16" Type="http://schemas.openxmlformats.org/officeDocument/2006/relationships/hyperlink" Target="https://welc.wipo.int/acc/index.jsf?page=upovCatalog.xhtml&amp;cc=DL305EB&amp;lang=en&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de/" TargetMode="External"/><Relationship Id="rId5" Type="http://schemas.openxmlformats.org/officeDocument/2006/relationships/settings" Target="settings.xml"/><Relationship Id="rId15" Type="http://schemas.openxmlformats.org/officeDocument/2006/relationships/hyperlink" Target="http://welc.wipo.int/acc/index.jsf?page=upovCatalog.xhtml&amp;cc=DL305EA&amp;lang=en&amp;" TargetMode="External"/><Relationship Id="rId10" Type="http://schemas.openxmlformats.org/officeDocument/2006/relationships/hyperlink" Target="http://www.oapi.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lc.wipo.int/acc/index.jsf?page=upovCatalog.xhtml&amp;cc=DL205E&amp;lang=en&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6FD5-0F7B-4093-8B0B-C5B5612E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327</TotalTime>
  <Pages>10</Pages>
  <Words>3187</Words>
  <Characters>25255</Characters>
  <Application>Microsoft Office Word</Application>
  <DocSecurity>0</DocSecurity>
  <Lines>210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33</cp:revision>
  <cp:lastPrinted>2015-03-10T14:46:00Z</cp:lastPrinted>
  <dcterms:created xsi:type="dcterms:W3CDTF">2015-03-04T09:13:00Z</dcterms:created>
  <dcterms:modified xsi:type="dcterms:W3CDTF">2015-03-10T14:46:00Z</dcterms:modified>
</cp:coreProperties>
</file>