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F6989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44455D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F6989" w:rsidRDefault="00C27491" w:rsidP="00F45372">
            <w:pPr>
              <w:pStyle w:val="Lettrine"/>
              <w:rPr>
                <w:lang w:val="de-DE"/>
              </w:rPr>
            </w:pPr>
            <w:r w:rsidRPr="00EF6989">
              <w:rPr>
                <w:lang w:val="de-DE"/>
              </w:rPr>
              <w:t>G</w:t>
            </w:r>
          </w:p>
          <w:p w:rsidR="000D7780" w:rsidRPr="00EF6989" w:rsidRDefault="00A34364" w:rsidP="00F45372">
            <w:pPr>
              <w:pStyle w:val="Docoriginal"/>
              <w:rPr>
                <w:lang w:val="de-DE"/>
              </w:rPr>
            </w:pPr>
            <w:r w:rsidRPr="00EF6989">
              <w:rPr>
                <w:lang w:val="de-DE"/>
              </w:rPr>
              <w:t>TC/</w:t>
            </w:r>
            <w:r w:rsidR="00400114" w:rsidRPr="00EF6989">
              <w:rPr>
                <w:lang w:val="de-DE"/>
              </w:rPr>
              <w:t>50</w:t>
            </w:r>
            <w:r w:rsidRPr="00EF6989">
              <w:rPr>
                <w:lang w:val="de-DE"/>
              </w:rPr>
              <w:t>/</w:t>
            </w:r>
            <w:bookmarkStart w:id="0" w:name="Code"/>
            <w:bookmarkEnd w:id="0"/>
            <w:r w:rsidR="00901F8A" w:rsidRPr="00EF6989">
              <w:rPr>
                <w:lang w:val="de-DE"/>
              </w:rPr>
              <w:t>34</w:t>
            </w:r>
          </w:p>
          <w:p w:rsidR="000D7780" w:rsidRPr="00EF6989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EF6989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EF6989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EF698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EF6989">
              <w:rPr>
                <w:b w:val="0"/>
                <w:spacing w:val="0"/>
                <w:lang w:val="de-DE"/>
              </w:rPr>
              <w:t>e</w:t>
            </w:r>
            <w:r w:rsidR="0024416D" w:rsidRPr="00EF6989">
              <w:rPr>
                <w:b w:val="0"/>
                <w:spacing w:val="0"/>
                <w:lang w:val="de-DE"/>
              </w:rPr>
              <w:t>nglis</w:t>
            </w:r>
            <w:r w:rsidR="00C27491" w:rsidRPr="00EF6989">
              <w:rPr>
                <w:b w:val="0"/>
                <w:spacing w:val="0"/>
                <w:lang w:val="de-DE"/>
              </w:rPr>
              <w:t>c</w:t>
            </w:r>
            <w:r w:rsidR="0024416D" w:rsidRPr="00EF6989">
              <w:rPr>
                <w:b w:val="0"/>
                <w:spacing w:val="0"/>
                <w:lang w:val="de-DE"/>
              </w:rPr>
              <w:t>h</w:t>
            </w:r>
          </w:p>
          <w:p w:rsidR="000D7780" w:rsidRPr="00EF6989" w:rsidRDefault="00A34364" w:rsidP="002B54A3">
            <w:pPr>
              <w:pStyle w:val="Docoriginal"/>
              <w:rPr>
                <w:lang w:val="de-DE"/>
              </w:rPr>
            </w:pPr>
            <w:r w:rsidRPr="00EF6989">
              <w:rPr>
                <w:spacing w:val="0"/>
                <w:lang w:val="de-DE"/>
              </w:rPr>
              <w:t>DATUM</w:t>
            </w:r>
            <w:r w:rsidR="000D7780" w:rsidRPr="00EF6989">
              <w:rPr>
                <w:spacing w:val="0"/>
                <w:lang w:val="de-DE"/>
              </w:rPr>
              <w:t>:</w:t>
            </w:r>
            <w:r w:rsidR="0061555F" w:rsidRPr="00EF6989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EF6989" w:rsidRPr="00EF6989">
              <w:rPr>
                <w:b w:val="0"/>
                <w:spacing w:val="0"/>
                <w:lang w:val="de-DE"/>
              </w:rPr>
              <w:t>20</w:t>
            </w:r>
            <w:r w:rsidR="00C27491" w:rsidRPr="00EF6989">
              <w:rPr>
                <w:b w:val="0"/>
                <w:spacing w:val="0"/>
                <w:lang w:val="de-DE"/>
              </w:rPr>
              <w:t xml:space="preserve">. </w:t>
            </w:r>
            <w:r w:rsidR="002B54A3">
              <w:rPr>
                <w:b w:val="0"/>
                <w:spacing w:val="0"/>
                <w:lang w:val="de-DE"/>
              </w:rPr>
              <w:t>Januar</w:t>
            </w:r>
            <w:bookmarkStart w:id="3" w:name="_GoBack"/>
            <w:bookmarkEnd w:id="3"/>
            <w:r w:rsidR="005E74F6" w:rsidRPr="00EF6989">
              <w:rPr>
                <w:b w:val="0"/>
                <w:spacing w:val="0"/>
                <w:lang w:val="de-DE"/>
              </w:rPr>
              <w:t xml:space="preserve"> </w:t>
            </w:r>
            <w:r w:rsidR="001131D5" w:rsidRPr="00EF6989">
              <w:rPr>
                <w:b w:val="0"/>
                <w:spacing w:val="0"/>
                <w:lang w:val="de-DE"/>
              </w:rPr>
              <w:t>201</w:t>
            </w:r>
            <w:r w:rsidR="00400114" w:rsidRPr="00EF6989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2B54A3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C27491" w:rsidP="00F45372">
      <w:pPr>
        <w:pStyle w:val="Sessiontc"/>
        <w:rPr>
          <w:lang w:val="de-DE"/>
        </w:rPr>
      </w:pPr>
      <w:r w:rsidRPr="00C27491">
        <w:rPr>
          <w:lang w:val="de-DE"/>
        </w:rPr>
        <w:t>TECHNISCHER AUSSCHUSS</w:t>
      </w:r>
    </w:p>
    <w:p w:rsidR="00361821" w:rsidRPr="00C27491" w:rsidRDefault="00054790" w:rsidP="00F45372">
      <w:pPr>
        <w:pStyle w:val="Sessiontcplacedate"/>
        <w:rPr>
          <w:lang w:val="de-DE"/>
        </w:rPr>
      </w:pPr>
      <w:r w:rsidRPr="00054790">
        <w:rPr>
          <w:lang w:val="de-DE"/>
        </w:rPr>
        <w:t>Fünfzigste</w:t>
      </w:r>
      <w:r w:rsidR="00C27491" w:rsidRPr="00C27491">
        <w:rPr>
          <w:lang w:val="de-DE"/>
        </w:rPr>
        <w:t xml:space="preserve"> Tagung</w:t>
      </w:r>
      <w:r w:rsidR="00C27491" w:rsidRPr="00C27491">
        <w:rPr>
          <w:lang w:val="de-DE"/>
        </w:rPr>
        <w:br/>
        <w:t xml:space="preserve">Genf, </w:t>
      </w:r>
      <w:r w:rsidR="00400114">
        <w:rPr>
          <w:lang w:val="de-DE"/>
        </w:rPr>
        <w:t>7</w:t>
      </w:r>
      <w:r w:rsidR="00C27491" w:rsidRPr="00C27491">
        <w:rPr>
          <w:lang w:val="de-DE"/>
        </w:rPr>
        <w:t xml:space="preserve">. bis </w:t>
      </w:r>
      <w:r w:rsidR="00400114">
        <w:rPr>
          <w:lang w:val="de-DE"/>
        </w:rPr>
        <w:t>9</w:t>
      </w:r>
      <w:r w:rsidR="00C27491" w:rsidRPr="00C27491">
        <w:rPr>
          <w:lang w:val="de-DE"/>
        </w:rPr>
        <w:t xml:space="preserve">. </w:t>
      </w:r>
      <w:r w:rsidR="00400114">
        <w:rPr>
          <w:lang w:val="de-DE"/>
        </w:rPr>
        <w:t>April</w:t>
      </w:r>
      <w:r w:rsidR="00C27491" w:rsidRPr="00C27491">
        <w:rPr>
          <w:lang w:val="de-DE"/>
        </w:rPr>
        <w:t xml:space="preserve"> 201</w:t>
      </w:r>
      <w:r w:rsidR="00400114">
        <w:rPr>
          <w:lang w:val="de-DE"/>
        </w:rPr>
        <w:t>4</w:t>
      </w:r>
    </w:p>
    <w:p w:rsidR="000D7780" w:rsidRPr="00C27491" w:rsidRDefault="00901F8A" w:rsidP="00F45372">
      <w:pPr>
        <w:pStyle w:val="Titleofdoc0"/>
        <w:rPr>
          <w:lang w:val="de-DE"/>
        </w:rPr>
      </w:pPr>
      <w:bookmarkStart w:id="4" w:name="TitleOfDoc"/>
      <w:bookmarkEnd w:id="4"/>
      <w:r w:rsidRPr="0014793B">
        <w:rPr>
          <w:snapToGrid w:val="0"/>
          <w:color w:val="000000"/>
          <w:lang w:val="de-DE"/>
        </w:rPr>
        <w:t>Berichtigung von Prüfungsrichtlinien</w:t>
      </w:r>
    </w:p>
    <w:p w:rsidR="00054790" w:rsidRPr="00C27491" w:rsidRDefault="00054790" w:rsidP="00054790">
      <w:pPr>
        <w:pStyle w:val="preparedby1"/>
        <w:rPr>
          <w:lang w:val="de-DE"/>
        </w:rPr>
      </w:pPr>
      <w:bookmarkStart w:id="5" w:name="Prepared"/>
      <w:bookmarkEnd w:id="5"/>
      <w:r w:rsidRPr="00901F8A">
        <w:rPr>
          <w:lang w:val="de-DE"/>
        </w:rPr>
        <w:t>vom Verbandsbüro erstelltes Dokument</w:t>
      </w:r>
      <w:r>
        <w:rPr>
          <w:lang w:val="de-DE"/>
        </w:rPr>
        <w:br/>
      </w:r>
      <w:r>
        <w:rPr>
          <w:lang w:val="de-DE"/>
        </w:rPr>
        <w:br/>
      </w:r>
      <w:r w:rsidRPr="000D007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901F8A" w:rsidRPr="00901F8A" w:rsidRDefault="00901F8A" w:rsidP="00901F8A">
      <w:pPr>
        <w:rPr>
          <w:snapToGrid w:val="0"/>
          <w:lang w:val="de-DE"/>
        </w:rPr>
      </w:pPr>
      <w:r>
        <w:rPr>
          <w:snapToGrid w:val="0"/>
        </w:rPr>
        <w:fldChar w:fldCharType="begin"/>
      </w:r>
      <w:r w:rsidRPr="00901F8A">
        <w:rPr>
          <w:snapToGrid w:val="0"/>
          <w:lang w:val="de-DE"/>
        </w:rPr>
        <w:instrText xml:space="preserve"> AUTONUM  </w:instrText>
      </w:r>
      <w:r>
        <w:rPr>
          <w:snapToGrid w:val="0"/>
        </w:rPr>
        <w:fldChar w:fldCharType="end"/>
      </w:r>
      <w:r w:rsidRPr="00901F8A">
        <w:rPr>
          <w:lang w:val="de-DE"/>
        </w:rPr>
        <w:tab/>
        <w:t>Zweck dieses Dokuments ist es, über Berichtigungen zu berichten, die, wie in den Anlagen dieses Dokuments dargelegt, an folgenden Prüfungsrichtlinien vorgenommen wurden:</w:t>
      </w:r>
    </w:p>
    <w:p w:rsidR="00901F8A" w:rsidRPr="00901F8A" w:rsidRDefault="00901F8A" w:rsidP="00901F8A">
      <w:pPr>
        <w:rPr>
          <w:snapToGrid w:val="0"/>
          <w:lang w:val="de-DE"/>
        </w:rPr>
      </w:pPr>
    </w:p>
    <w:p w:rsidR="00901F8A" w:rsidRPr="00901F8A" w:rsidRDefault="00901F8A" w:rsidP="00901F8A">
      <w:pPr>
        <w:ind w:firstLine="567"/>
        <w:rPr>
          <w:snapToGrid w:val="0"/>
          <w:lang w:val="de-DE"/>
        </w:rPr>
      </w:pPr>
      <w:r w:rsidRPr="00901F8A">
        <w:rPr>
          <w:lang w:val="de-DE"/>
        </w:rPr>
        <w:t>ANLAGE I</w:t>
      </w:r>
      <w:r w:rsidRPr="00901F8A">
        <w:rPr>
          <w:lang w:val="de-DE"/>
        </w:rPr>
        <w:tab/>
        <w:t>Berichtigung der Prüfungsrichtlinien für Grünkohl (Dokument TG/90/6)</w:t>
      </w:r>
    </w:p>
    <w:p w:rsidR="00901F8A" w:rsidRPr="00901F8A" w:rsidRDefault="00901F8A" w:rsidP="00901F8A">
      <w:pPr>
        <w:rPr>
          <w:snapToGrid w:val="0"/>
          <w:lang w:val="de-DE"/>
        </w:rPr>
      </w:pPr>
    </w:p>
    <w:p w:rsidR="00901F8A" w:rsidRPr="00901F8A" w:rsidRDefault="00901F8A" w:rsidP="00901F8A">
      <w:pPr>
        <w:ind w:firstLine="567"/>
        <w:rPr>
          <w:snapToGrid w:val="0"/>
          <w:lang w:val="de-DE"/>
        </w:rPr>
      </w:pPr>
      <w:r w:rsidRPr="00901F8A">
        <w:rPr>
          <w:lang w:val="de-DE"/>
        </w:rPr>
        <w:t>ANLAGE II</w:t>
      </w:r>
      <w:r w:rsidRPr="00901F8A">
        <w:rPr>
          <w:lang w:val="de-DE"/>
        </w:rPr>
        <w:tab/>
        <w:t>Berichtigung der Prüfungsrichtlinien für Tomatenunterlagen (Dokument TG/294/1)</w:t>
      </w:r>
    </w:p>
    <w:p w:rsidR="00901F8A" w:rsidRPr="00901F8A" w:rsidRDefault="00901F8A" w:rsidP="00901F8A">
      <w:pPr>
        <w:rPr>
          <w:snapToGrid w:val="0"/>
          <w:lang w:val="de-DE"/>
        </w:rPr>
      </w:pPr>
    </w:p>
    <w:p w:rsidR="00901F8A" w:rsidRPr="00901F8A" w:rsidRDefault="00901F8A" w:rsidP="00901F8A">
      <w:pPr>
        <w:ind w:firstLine="567"/>
        <w:rPr>
          <w:snapToGrid w:val="0"/>
          <w:lang w:val="de-DE"/>
        </w:rPr>
      </w:pPr>
      <w:r w:rsidRPr="00901F8A">
        <w:rPr>
          <w:lang w:val="de-DE"/>
        </w:rPr>
        <w:t>ANLAGE III</w:t>
      </w:r>
      <w:r w:rsidRPr="00901F8A">
        <w:rPr>
          <w:lang w:val="de-DE"/>
        </w:rPr>
        <w:tab/>
        <w:t>Berichtigung der Prüfungsrichtlinien für Agapanthus, Schmucklilie (Dokument TG/266/1)</w:t>
      </w:r>
    </w:p>
    <w:p w:rsidR="00901F8A" w:rsidRPr="00901F8A" w:rsidRDefault="00901F8A" w:rsidP="00901F8A">
      <w:pPr>
        <w:pStyle w:val="TOC1"/>
        <w:tabs>
          <w:tab w:val="clear" w:pos="9639"/>
        </w:tabs>
        <w:rPr>
          <w:b/>
          <w:snapToGrid w:val="0"/>
          <w:lang w:val="de-DE"/>
        </w:rPr>
      </w:pPr>
    </w:p>
    <w:p w:rsidR="009119C7" w:rsidRPr="009119C7" w:rsidRDefault="00901F8A" w:rsidP="00901F8A">
      <w:pPr>
        <w:tabs>
          <w:tab w:val="left" w:pos="5387"/>
          <w:tab w:val="left" w:pos="5954"/>
        </w:tabs>
        <w:ind w:left="4820"/>
        <w:rPr>
          <w:i/>
          <w:lang w:val="de-DE"/>
        </w:rPr>
      </w:pPr>
      <w:r w:rsidRPr="009119C7">
        <w:rPr>
          <w:i/>
        </w:rPr>
        <w:fldChar w:fldCharType="begin"/>
      </w:r>
      <w:r w:rsidRPr="009119C7">
        <w:rPr>
          <w:i/>
          <w:lang w:val="de-DE"/>
        </w:rPr>
        <w:instrText xml:space="preserve"> AUTONUM  </w:instrText>
      </w:r>
      <w:r w:rsidRPr="009119C7">
        <w:rPr>
          <w:i/>
        </w:rPr>
        <w:fldChar w:fldCharType="end"/>
      </w:r>
      <w:r w:rsidRPr="009119C7">
        <w:rPr>
          <w:i/>
          <w:lang w:val="de-DE"/>
        </w:rPr>
        <w:tab/>
      </w:r>
      <w:r w:rsidR="009119C7" w:rsidRPr="009119C7">
        <w:rPr>
          <w:i/>
          <w:lang w:val="de-DE"/>
        </w:rPr>
        <w:t>Der TC</w:t>
      </w:r>
      <w:r w:rsidRPr="009119C7">
        <w:rPr>
          <w:i/>
          <w:lang w:val="de-DE"/>
        </w:rPr>
        <w:t xml:space="preserve"> wird ersucht, die</w:t>
      </w:r>
      <w:r w:rsidR="009119C7" w:rsidRPr="009119C7">
        <w:rPr>
          <w:i/>
          <w:lang w:val="de-DE"/>
        </w:rPr>
        <w:t xml:space="preserve"> Berichtigung der Prüfungsrichtlinien für Grünkohl, Tomatenunterlagen, und Agapanthus, Schmucklilie, wie in den Anlagen I bis III dieses Dokuments</w:t>
      </w:r>
      <w:r w:rsidR="009119C7">
        <w:rPr>
          <w:i/>
          <w:lang w:val="de-DE"/>
        </w:rPr>
        <w:t xml:space="preserve"> dargelegt, </w:t>
      </w:r>
      <w:r w:rsidR="009119C7" w:rsidRPr="009119C7">
        <w:rPr>
          <w:i/>
          <w:lang w:val="de-DE"/>
        </w:rPr>
        <w:t>zur Kenntnis zu nehmen.</w:t>
      </w:r>
    </w:p>
    <w:p w:rsidR="009119C7" w:rsidRDefault="009119C7" w:rsidP="00901F8A">
      <w:pPr>
        <w:tabs>
          <w:tab w:val="left" w:pos="5387"/>
          <w:tab w:val="left" w:pos="5954"/>
        </w:tabs>
        <w:ind w:left="4820"/>
        <w:rPr>
          <w:i/>
          <w:lang w:val="de-DE"/>
        </w:rPr>
      </w:pP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jc w:val="right"/>
        <w:rPr>
          <w:lang w:val="de-DE"/>
        </w:rPr>
      </w:pPr>
      <w:r w:rsidRPr="00901F8A">
        <w:rPr>
          <w:lang w:val="de-DE"/>
        </w:rPr>
        <w:t>[Anlagen folgen]</w:t>
      </w:r>
    </w:p>
    <w:p w:rsidR="00901F8A" w:rsidRPr="00901F8A" w:rsidRDefault="00901F8A" w:rsidP="00901F8A">
      <w:pPr>
        <w:rPr>
          <w:snapToGrid w:val="0"/>
          <w:lang w:val="de-DE"/>
        </w:rPr>
        <w:sectPr w:rsidR="00901F8A" w:rsidRPr="00901F8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01F8A" w:rsidRPr="00901F8A" w:rsidRDefault="00901F8A" w:rsidP="00901F8A">
      <w:pPr>
        <w:pStyle w:val="Heading1"/>
        <w:rPr>
          <w:rFonts w:cs="Arial"/>
          <w:lang w:val="de-DE"/>
        </w:rPr>
      </w:pPr>
      <w:r w:rsidRPr="00901F8A">
        <w:rPr>
          <w:lang w:val="de-DE"/>
        </w:rPr>
        <w:lastRenderedPageBreak/>
        <w:t>Berichtigung der Prüfungsrichtlinien für Grünkohl (Dokument TG/90/6)</w:t>
      </w:r>
    </w:p>
    <w:p w:rsidR="00901F8A" w:rsidRPr="00901F8A" w:rsidRDefault="00901F8A" w:rsidP="00901F8A">
      <w:pPr>
        <w:rPr>
          <w:rFonts w:cs="Arial"/>
          <w:lang w:val="de-DE"/>
        </w:rPr>
      </w:pPr>
    </w:p>
    <w:p w:rsidR="00901F8A" w:rsidRDefault="00901F8A" w:rsidP="00901F8A">
      <w:pPr>
        <w:rPr>
          <w:i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>
        <w:rPr>
          <w:i/>
        </w:rPr>
        <w:t>:</w:t>
      </w:r>
    </w:p>
    <w:p w:rsidR="00901F8A" w:rsidRDefault="00901F8A" w:rsidP="00901F8A">
      <w:pPr>
        <w:rPr>
          <w:rFonts w:cs="Arial"/>
        </w:rPr>
      </w:pPr>
    </w:p>
    <w:tbl>
      <w:tblPr>
        <w:tblW w:w="8789" w:type="dxa"/>
        <w:jc w:val="center"/>
        <w:tblInd w:w="2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418"/>
        <w:gridCol w:w="1418"/>
        <w:gridCol w:w="1418"/>
        <w:gridCol w:w="1276"/>
        <w:gridCol w:w="1558"/>
        <w:gridCol w:w="425"/>
      </w:tblGrid>
      <w:tr w:rsidR="00901F8A" w:rsidRPr="002B54A3" w:rsidTr="00A101A8">
        <w:trPr>
          <w:jc w:val="center"/>
        </w:trPr>
        <w:tc>
          <w:tcPr>
            <w:tcW w:w="426" w:type="dxa"/>
          </w:tcPr>
          <w:p w:rsidR="00901F8A" w:rsidRPr="00625A09" w:rsidRDefault="00901F8A" w:rsidP="00A101A8">
            <w:pPr>
              <w:pStyle w:val="Normaltb"/>
              <w:jc w:val="center"/>
              <w:rPr>
                <w:noProof w:val="0"/>
                <w:sz w:val="16"/>
                <w:szCs w:val="16"/>
                <w:lang w:val="fr-FR"/>
              </w:rPr>
            </w:pPr>
            <w:proofErr w:type="gramStart"/>
            <w:r w:rsidRPr="00625A09">
              <w:rPr>
                <w:noProof w:val="0"/>
                <w:sz w:val="16"/>
                <w:szCs w:val="16"/>
                <w:lang w:val="fr-FR"/>
              </w:rPr>
              <w:t>4.</w:t>
            </w:r>
            <w:proofErr w:type="gramEnd"/>
            <w:r w:rsidRPr="00625A09">
              <w:rPr>
                <w:noProof w:val="0"/>
                <w:sz w:val="16"/>
                <w:szCs w:val="16"/>
                <w:lang w:val="fr-FR"/>
              </w:rPr>
              <w:br/>
            </w:r>
            <w:r w:rsidRPr="00625A09">
              <w:rPr>
                <w:noProof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850" w:type="dxa"/>
          </w:tcPr>
          <w:p w:rsidR="00901F8A" w:rsidRPr="00625A09" w:rsidRDefault="00901F8A" w:rsidP="00A101A8">
            <w:pPr>
              <w:pStyle w:val="Normaltb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140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180</w:t>
            </w:r>
          </w:p>
        </w:tc>
        <w:tc>
          <w:tcPr>
            <w:tcW w:w="1418" w:type="dxa"/>
          </w:tcPr>
          <w:p w:rsidR="00901F8A" w:rsidRPr="005343F6" w:rsidRDefault="00901F8A" w:rsidP="00A101A8">
            <w:pPr>
              <w:pStyle w:val="Normaltb"/>
              <w:rPr>
                <w:noProof w:val="0"/>
                <w:sz w:val="16"/>
                <w:szCs w:val="16"/>
              </w:rPr>
            </w:pPr>
            <w:r w:rsidRPr="005343F6">
              <w:rPr>
                <w:noProof w:val="0"/>
                <w:sz w:val="16"/>
                <w:szCs w:val="16"/>
                <w:u w:val="single"/>
              </w:rPr>
              <w:t>Only varieties of dome, pyramid or column shape</w:t>
            </w:r>
            <w:r w:rsidRPr="005343F6">
              <w:rPr>
                <w:noProof w:val="0"/>
                <w:sz w:val="16"/>
                <w:szCs w:val="16"/>
              </w:rPr>
              <w:t>: Plant: position of growing point in relation to top of plant</w:t>
            </w: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b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u w:val="single"/>
                <w:lang w:val="fr-FR"/>
              </w:rPr>
              <w:t>Variétés en dôme, pyramidales ou cylindriques seulement</w:t>
            </w:r>
            <w:r w:rsidRPr="00C65836">
              <w:rPr>
                <w:noProof w:val="0"/>
                <w:sz w:val="16"/>
                <w:szCs w:val="16"/>
                <w:lang w:val="fr-FR"/>
              </w:rPr>
              <w:t> </w:t>
            </w:r>
            <w:r w:rsidRPr="00625A09">
              <w:rPr>
                <w:noProof w:val="0"/>
                <w:sz w:val="16"/>
                <w:szCs w:val="16"/>
                <w:lang w:val="fr-FR"/>
              </w:rPr>
              <w:t>: Plante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625A09">
              <w:rPr>
                <w:noProof w:val="0"/>
                <w:sz w:val="16"/>
                <w:szCs w:val="16"/>
                <w:lang w:val="fr-FR"/>
              </w:rPr>
              <w:t>: position du point végétatif par rapport au sommet de la plante</w:t>
            </w:r>
          </w:p>
        </w:tc>
        <w:tc>
          <w:tcPr>
            <w:tcW w:w="1418" w:type="dxa"/>
          </w:tcPr>
          <w:p w:rsidR="00901F8A" w:rsidRPr="005343F6" w:rsidRDefault="00901F8A" w:rsidP="006E2B98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  <w:r w:rsidRPr="005343F6">
              <w:rPr>
                <w:noProof w:val="0"/>
                <w:sz w:val="16"/>
                <w:szCs w:val="16"/>
                <w:u w:val="single"/>
                <w:lang w:val="de-DE"/>
              </w:rPr>
              <w:t>Nur kuppelförmige, pyramidenförmige oder säulenförmige Sorten</w:t>
            </w:r>
            <w:r w:rsidRPr="005343F6">
              <w:rPr>
                <w:noProof w:val="0"/>
                <w:sz w:val="16"/>
                <w:szCs w:val="16"/>
                <w:lang w:val="de-DE"/>
              </w:rPr>
              <w:t>: Pflanze: Position des Vegetationspunkts im Verhältnis zum obersten Pflanzenteil</w:t>
            </w:r>
          </w:p>
        </w:tc>
        <w:tc>
          <w:tcPr>
            <w:tcW w:w="1276" w:type="dxa"/>
          </w:tcPr>
          <w:p w:rsidR="00901F8A" w:rsidRPr="00EF6989" w:rsidRDefault="00901F8A" w:rsidP="00A101A8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  <w:r w:rsidRPr="00EF6989">
              <w:rPr>
                <w:noProof w:val="0"/>
                <w:sz w:val="16"/>
                <w:szCs w:val="16"/>
                <w:u w:val="single"/>
                <w:lang w:val="de-DE"/>
              </w:rPr>
              <w:t>Sólo variedades cupuliformes, piramidales o columnares:</w:t>
            </w:r>
            <w:r w:rsidRPr="00EF6989">
              <w:rPr>
                <w:noProof w:val="0"/>
                <w:sz w:val="16"/>
                <w:szCs w:val="16"/>
                <w:lang w:val="de-DE"/>
              </w:rPr>
              <w:t xml:space="preserve"> Planta: posición del punto vegetativo en relación con el extremo superior de la planta</w:t>
            </w:r>
          </w:p>
        </w:tc>
        <w:tc>
          <w:tcPr>
            <w:tcW w:w="1558" w:type="dxa"/>
          </w:tcPr>
          <w:p w:rsidR="00901F8A" w:rsidRPr="00EF6989" w:rsidRDefault="00901F8A" w:rsidP="00A101A8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</w:tcPr>
          <w:p w:rsidR="00901F8A" w:rsidRPr="00EF6989" w:rsidRDefault="00901F8A" w:rsidP="00A101A8">
            <w:pPr>
              <w:pStyle w:val="Normaltb"/>
              <w:jc w:val="center"/>
              <w:rPr>
                <w:noProof w:val="0"/>
                <w:sz w:val="16"/>
                <w:szCs w:val="16"/>
                <w:lang w:val="de-DE"/>
              </w:rPr>
            </w:pPr>
          </w:p>
        </w:tc>
      </w:tr>
      <w:tr w:rsidR="00901F8A" w:rsidRPr="00625A09" w:rsidTr="00A101A8">
        <w:trPr>
          <w:jc w:val="center"/>
        </w:trPr>
        <w:tc>
          <w:tcPr>
            <w:tcW w:w="426" w:type="dxa"/>
          </w:tcPr>
          <w:p w:rsidR="00901F8A" w:rsidRPr="00EF6989" w:rsidRDefault="00901F8A" w:rsidP="00A101A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:rsidR="00901F8A" w:rsidRPr="00EF698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same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level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au même niveau</w:t>
            </w: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auf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gleicher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Höhe</w:t>
            </w:r>
            <w:proofErr w:type="spellEnd"/>
          </w:p>
        </w:tc>
        <w:tc>
          <w:tcPr>
            <w:tcW w:w="1276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 xml:space="preserve">al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mismo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nivel</w:t>
            </w:r>
            <w:proofErr w:type="spellEnd"/>
          </w:p>
        </w:tc>
        <w:tc>
          <w:tcPr>
            <w:tcW w:w="155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Pentland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Brig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, Lav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opretvoksende</w:t>
            </w:r>
            <w:proofErr w:type="spellEnd"/>
          </w:p>
        </w:tc>
        <w:tc>
          <w:tcPr>
            <w:tcW w:w="425" w:type="dxa"/>
          </w:tcPr>
          <w:p w:rsidR="00901F8A" w:rsidRPr="00625A09" w:rsidRDefault="00901F8A" w:rsidP="00A101A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1</w:t>
            </w:r>
          </w:p>
        </w:tc>
      </w:tr>
      <w:tr w:rsidR="00901F8A" w:rsidRPr="00625A09" w:rsidTr="00A101A8">
        <w:trPr>
          <w:jc w:val="center"/>
        </w:trPr>
        <w:tc>
          <w:tcPr>
            <w:tcW w:w="426" w:type="dxa"/>
          </w:tcPr>
          <w:p w:rsidR="00901F8A" w:rsidRPr="00625A09" w:rsidRDefault="00901F8A" w:rsidP="00A101A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slightly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below</w:t>
            </w:r>
            <w:proofErr w:type="spellEnd"/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faiblement au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leicht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unterhalb</w:t>
            </w:r>
            <w:proofErr w:type="spellEnd"/>
          </w:p>
        </w:tc>
        <w:tc>
          <w:tcPr>
            <w:tcW w:w="1276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ligeramente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por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debajo</w:t>
            </w:r>
            <w:proofErr w:type="spellEnd"/>
          </w:p>
        </w:tc>
        <w:tc>
          <w:tcPr>
            <w:tcW w:w="1558" w:type="dxa"/>
          </w:tcPr>
          <w:p w:rsidR="00901F8A" w:rsidRPr="00625A09" w:rsidRDefault="00901F8A" w:rsidP="00A101A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Spurt</w:t>
            </w:r>
            <w:proofErr w:type="spellEnd"/>
          </w:p>
        </w:tc>
        <w:tc>
          <w:tcPr>
            <w:tcW w:w="425" w:type="dxa"/>
          </w:tcPr>
          <w:p w:rsidR="00901F8A" w:rsidRPr="00625A09" w:rsidRDefault="00901F8A" w:rsidP="00A101A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901F8A" w:rsidRPr="00625A09" w:rsidTr="00A101A8">
        <w:trPr>
          <w:jc w:val="center"/>
        </w:trPr>
        <w:tc>
          <w:tcPr>
            <w:tcW w:w="426" w:type="dxa"/>
          </w:tcPr>
          <w:p w:rsidR="00901F8A" w:rsidRPr="00625A09" w:rsidRDefault="00901F8A" w:rsidP="00A101A8">
            <w:pPr>
              <w:pStyle w:val="Normalt"/>
              <w:jc w:val="center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901F8A" w:rsidRPr="00625A09" w:rsidRDefault="00901F8A" w:rsidP="00A101A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deeply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below</w:t>
            </w:r>
            <w:proofErr w:type="spellEnd"/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fortement au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418" w:type="dxa"/>
          </w:tcPr>
          <w:p w:rsidR="00901F8A" w:rsidRPr="00625A09" w:rsidRDefault="00901F8A" w:rsidP="00A101A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weit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unterhalb</w:t>
            </w:r>
            <w:proofErr w:type="spellEnd"/>
          </w:p>
        </w:tc>
        <w:tc>
          <w:tcPr>
            <w:tcW w:w="1276" w:type="dxa"/>
          </w:tcPr>
          <w:p w:rsidR="00901F8A" w:rsidRPr="00625A09" w:rsidRDefault="00901F8A" w:rsidP="00A101A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por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debajo</w:t>
            </w:r>
            <w:proofErr w:type="spellEnd"/>
          </w:p>
        </w:tc>
        <w:tc>
          <w:tcPr>
            <w:tcW w:w="1558" w:type="dxa"/>
          </w:tcPr>
          <w:p w:rsidR="00901F8A" w:rsidRPr="00625A09" w:rsidRDefault="00901F8A" w:rsidP="00A101A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Moosbor</w:t>
            </w:r>
            <w:proofErr w:type="spellEnd"/>
          </w:p>
        </w:tc>
        <w:tc>
          <w:tcPr>
            <w:tcW w:w="425" w:type="dxa"/>
          </w:tcPr>
          <w:p w:rsidR="00901F8A" w:rsidRPr="00625A09" w:rsidRDefault="00901F8A" w:rsidP="00A101A8">
            <w:pPr>
              <w:pStyle w:val="Normalt"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:rsidR="00901F8A" w:rsidRDefault="00901F8A" w:rsidP="00901F8A">
      <w:pPr>
        <w:jc w:val="center"/>
        <w:rPr>
          <w:rFonts w:cs="Arial"/>
          <w:snapToGrid w:val="0"/>
          <w:szCs w:val="24"/>
        </w:rPr>
      </w:pPr>
    </w:p>
    <w:p w:rsidR="00901F8A" w:rsidRPr="00901F8A" w:rsidRDefault="00901F8A" w:rsidP="0014793B">
      <w:pPr>
        <w:ind w:left="426"/>
        <w:rPr>
          <w:u w:val="single"/>
          <w:lang w:val="de-DE"/>
        </w:rPr>
      </w:pPr>
      <w:r w:rsidRPr="00901F8A">
        <w:rPr>
          <w:u w:val="single"/>
          <w:lang w:val="de-DE"/>
        </w:rPr>
        <w:t>Zu 4: Pflanze: Position des Vegetationspunkts im Verhältnis zum obersten Pflanzenteil</w:t>
      </w:r>
    </w:p>
    <w:p w:rsidR="00901F8A" w:rsidRPr="00901F8A" w:rsidRDefault="00901F8A" w:rsidP="0014793B">
      <w:pPr>
        <w:ind w:left="426"/>
        <w:rPr>
          <w:lang w:val="de-DE"/>
        </w:rPr>
      </w:pPr>
    </w:p>
    <w:p w:rsidR="00901F8A" w:rsidRPr="00901F8A" w:rsidRDefault="00901F8A" w:rsidP="0014793B">
      <w:pPr>
        <w:ind w:left="426"/>
        <w:rPr>
          <w:lang w:val="de-DE"/>
        </w:rPr>
      </w:pPr>
    </w:p>
    <w:p w:rsidR="00901F8A" w:rsidRDefault="00901F8A" w:rsidP="0014793B">
      <w:pPr>
        <w:ind w:left="426"/>
      </w:pPr>
      <w:r w:rsidRPr="00901F8A">
        <w:rPr>
          <w:lang w:val="de-DE"/>
        </w:rPr>
        <w:t xml:space="preserve"> </w:t>
      </w:r>
      <w:r>
        <w:object w:dxaOrig="463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105pt" o:ole="" fillcolor="window">
            <v:imagedata r:id="rId9" o:title=""/>
          </v:shape>
          <o:OLEObject Type="Embed" ProgID="PBrush" ShapeID="_x0000_i1025" DrawAspect="Content" ObjectID="_1453900324" r:id="rId10"/>
        </w:object>
      </w:r>
    </w:p>
    <w:p w:rsidR="00901F8A" w:rsidRDefault="00901F8A" w:rsidP="0014793B">
      <w:pPr>
        <w:ind w:left="426"/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095"/>
        <w:gridCol w:w="2542"/>
        <w:gridCol w:w="2976"/>
      </w:tblGrid>
      <w:tr w:rsidR="00901F8A" w:rsidTr="0014793B">
        <w:tc>
          <w:tcPr>
            <w:tcW w:w="3095" w:type="dxa"/>
          </w:tcPr>
          <w:p w:rsidR="00901F8A" w:rsidRDefault="00901F8A" w:rsidP="0014793B">
            <w:pPr>
              <w:ind w:left="426"/>
              <w:jc w:val="center"/>
            </w:pPr>
            <w:r>
              <w:t>1</w:t>
            </w:r>
          </w:p>
        </w:tc>
        <w:tc>
          <w:tcPr>
            <w:tcW w:w="2542" w:type="dxa"/>
          </w:tcPr>
          <w:p w:rsidR="00901F8A" w:rsidRDefault="00901F8A" w:rsidP="0014793B">
            <w:pPr>
              <w:pStyle w:val="Header"/>
              <w:tabs>
                <w:tab w:val="clear" w:pos="4536"/>
                <w:tab w:val="clear" w:pos="9072"/>
              </w:tabs>
              <w:ind w:left="426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   2</w:t>
            </w:r>
          </w:p>
        </w:tc>
        <w:tc>
          <w:tcPr>
            <w:tcW w:w="2976" w:type="dxa"/>
          </w:tcPr>
          <w:p w:rsidR="00901F8A" w:rsidRDefault="00901F8A" w:rsidP="0014793B">
            <w:pPr>
              <w:pStyle w:val="Header"/>
              <w:tabs>
                <w:tab w:val="clear" w:pos="4536"/>
                <w:tab w:val="clear" w:pos="9072"/>
              </w:tabs>
              <w:ind w:left="426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                   3</w:t>
            </w:r>
          </w:p>
        </w:tc>
      </w:tr>
      <w:tr w:rsidR="00901F8A" w:rsidTr="0014793B">
        <w:tc>
          <w:tcPr>
            <w:tcW w:w="3095" w:type="dxa"/>
          </w:tcPr>
          <w:p w:rsidR="00901F8A" w:rsidRDefault="00901F8A" w:rsidP="0014793B">
            <w:pPr>
              <w:ind w:left="426"/>
              <w:jc w:val="center"/>
            </w:pPr>
            <w:r>
              <w:t xml:space="preserve">auf </w:t>
            </w:r>
            <w:proofErr w:type="spellStart"/>
            <w:r>
              <w:t>gleicher</w:t>
            </w:r>
            <w:proofErr w:type="spellEnd"/>
            <w:r>
              <w:t xml:space="preserve"> </w:t>
            </w:r>
            <w:proofErr w:type="spellStart"/>
            <w:r>
              <w:t>Höhe</w:t>
            </w:r>
            <w:proofErr w:type="spellEnd"/>
          </w:p>
        </w:tc>
        <w:tc>
          <w:tcPr>
            <w:tcW w:w="2542" w:type="dxa"/>
          </w:tcPr>
          <w:p w:rsidR="00901F8A" w:rsidRDefault="00901F8A" w:rsidP="0014793B">
            <w:pPr>
              <w:ind w:left="426"/>
            </w:pPr>
            <w:r>
              <w:t xml:space="preserve">    </w:t>
            </w:r>
            <w:proofErr w:type="spellStart"/>
            <w:r>
              <w:t>leicht</w:t>
            </w:r>
            <w:proofErr w:type="spellEnd"/>
            <w:r>
              <w:t xml:space="preserve"> </w:t>
            </w:r>
            <w:proofErr w:type="spellStart"/>
            <w:r>
              <w:t>unterhalb</w:t>
            </w:r>
            <w:proofErr w:type="spellEnd"/>
          </w:p>
        </w:tc>
        <w:tc>
          <w:tcPr>
            <w:tcW w:w="2976" w:type="dxa"/>
          </w:tcPr>
          <w:p w:rsidR="00901F8A" w:rsidRDefault="00901F8A" w:rsidP="0014793B">
            <w:pPr>
              <w:ind w:left="426"/>
            </w:pPr>
            <w:r>
              <w:t xml:space="preserve">        </w:t>
            </w:r>
            <w:proofErr w:type="spellStart"/>
            <w:r>
              <w:t>weit</w:t>
            </w:r>
            <w:proofErr w:type="spellEnd"/>
            <w:r>
              <w:t xml:space="preserve"> </w:t>
            </w:r>
            <w:proofErr w:type="spellStart"/>
            <w:r>
              <w:t>unterhalb</w:t>
            </w:r>
            <w:proofErr w:type="spellEnd"/>
          </w:p>
        </w:tc>
      </w:tr>
    </w:tbl>
    <w:p w:rsidR="00901F8A" w:rsidRDefault="00901F8A" w:rsidP="00901F8A">
      <w:pPr>
        <w:jc w:val="center"/>
        <w:rPr>
          <w:rFonts w:cs="Arial"/>
          <w:snapToGrid w:val="0"/>
          <w:szCs w:val="24"/>
        </w:rPr>
      </w:pPr>
    </w:p>
    <w:p w:rsidR="00901F8A" w:rsidRPr="00901F8A" w:rsidRDefault="00901F8A" w:rsidP="00901F8A">
      <w:pPr>
        <w:rPr>
          <w:i/>
          <w:lang w:val="de-DE"/>
        </w:rPr>
      </w:pPr>
      <w:r w:rsidRPr="00901F8A">
        <w:rPr>
          <w:i/>
          <w:lang w:val="de-DE"/>
        </w:rPr>
        <w:t>Berichtigung:</w:t>
      </w:r>
    </w:p>
    <w:p w:rsidR="00901F8A" w:rsidRPr="00901F8A" w:rsidRDefault="00901F8A" w:rsidP="00901F8A">
      <w:pPr>
        <w:rPr>
          <w:snapToGrid w:val="0"/>
          <w:lang w:val="de-DE"/>
        </w:rPr>
      </w:pPr>
    </w:p>
    <w:p w:rsidR="00901F8A" w:rsidRPr="00901F8A" w:rsidRDefault="00901F8A" w:rsidP="00901F8A">
      <w:pPr>
        <w:autoSpaceDE w:val="0"/>
        <w:autoSpaceDN w:val="0"/>
        <w:adjustRightInd w:val="0"/>
        <w:rPr>
          <w:szCs w:val="24"/>
          <w:lang w:val="de-DE"/>
        </w:rPr>
      </w:pPr>
      <w:r w:rsidRPr="00901F8A">
        <w:rPr>
          <w:color w:val="000000"/>
          <w:lang w:val="de-DE"/>
        </w:rPr>
        <w:t xml:space="preserve">Auf ihrer </w:t>
      </w:r>
      <w:r w:rsidRPr="00901F8A">
        <w:rPr>
          <w:lang w:val="de-DE"/>
        </w:rPr>
        <w:t xml:space="preserve">siebenundvierzigsten Tagung vom 20. bis 24. Mai 2013 in Nagasaki, Japan, vereinbarte die Technische Arbeitsgruppe für Gemüsearten (TWV), </w:t>
      </w:r>
      <w:r w:rsidRPr="00901F8A">
        <w:rPr>
          <w:szCs w:val="24"/>
          <w:lang w:val="de-DE"/>
        </w:rPr>
        <w:t>die Prüfungsrichtlinien für Grünkohl (Dokument TG/90/6)</w:t>
      </w:r>
      <w:r w:rsidRPr="00901F8A">
        <w:rPr>
          <w:lang w:val="de-DE"/>
        </w:rPr>
        <w:t xml:space="preserve"> zu berichtigen, um die mangelnde Übereinstimmung zwischen den Noten von Merkmal 4 und der Erläuterung zu Merkmal 4 wie folgt zu beheben (vergleiche Dokument TWV/47/34 „Bericht“):</w:t>
      </w:r>
    </w:p>
    <w:p w:rsidR="00901F8A" w:rsidRPr="00700478" w:rsidRDefault="00901F8A" w:rsidP="00901F8A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901F8A" w:rsidRPr="009119C7" w:rsidTr="00A101A8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1F8A" w:rsidRPr="00700478" w:rsidRDefault="00901F8A" w:rsidP="00A101A8">
            <w:pPr>
              <w:jc w:val="left"/>
            </w:pPr>
            <w:proofErr w:type="spellStart"/>
            <w:r>
              <w:t>Merkm</w:t>
            </w:r>
            <w:proofErr w:type="spellEnd"/>
            <w:r>
              <w:t>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1F8A" w:rsidRPr="00901F8A" w:rsidRDefault="00901F8A" w:rsidP="00901F8A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soll</w:t>
            </w:r>
            <w:r w:rsidRPr="00901F8A">
              <w:rPr>
                <w:lang w:val="de-DE"/>
              </w:rPr>
              <w:t xml:space="preserve"> soll die Noten 1, 2, 3 </w:t>
            </w:r>
            <w:r>
              <w:rPr>
                <w:lang w:val="de-DE"/>
              </w:rPr>
              <w:t>haben</w:t>
            </w:r>
          </w:p>
        </w:tc>
      </w:tr>
    </w:tbl>
    <w:p w:rsidR="00901F8A" w:rsidRPr="00901F8A" w:rsidRDefault="00901F8A" w:rsidP="00901F8A">
      <w:pPr>
        <w:pStyle w:val="Heading1"/>
        <w:rPr>
          <w:snapToGrid w:val="0"/>
          <w:lang w:val="de-DE"/>
        </w:rPr>
      </w:pP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jc w:val="right"/>
        <w:rPr>
          <w:lang w:val="de-DE"/>
        </w:rPr>
      </w:pPr>
      <w:r w:rsidRPr="00901F8A">
        <w:rPr>
          <w:lang w:val="de-DE"/>
        </w:rPr>
        <w:t>[Anlage II folgt]</w:t>
      </w: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pStyle w:val="Heading1"/>
        <w:rPr>
          <w:snapToGrid w:val="0"/>
          <w:lang w:val="de-DE"/>
        </w:rPr>
      </w:pPr>
    </w:p>
    <w:p w:rsidR="00901F8A" w:rsidRPr="00901F8A" w:rsidRDefault="00901F8A" w:rsidP="00901F8A">
      <w:pPr>
        <w:pStyle w:val="Heading1"/>
        <w:rPr>
          <w:snapToGrid w:val="0"/>
          <w:lang w:val="de-DE"/>
        </w:rPr>
        <w:sectPr w:rsidR="00901F8A" w:rsidRPr="00901F8A" w:rsidSect="00906DDC"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01F8A" w:rsidRPr="00901F8A" w:rsidRDefault="00901F8A" w:rsidP="00901F8A">
      <w:pPr>
        <w:pStyle w:val="Heading1"/>
        <w:rPr>
          <w:snapToGrid w:val="0"/>
          <w:lang w:val="de-DE"/>
        </w:rPr>
      </w:pPr>
      <w:r w:rsidRPr="00901F8A">
        <w:rPr>
          <w:lang w:val="de-DE"/>
        </w:rPr>
        <w:lastRenderedPageBreak/>
        <w:t>Berichtigung der Prüfungsrichtlinien für Tomatenunterlagen (Dokument TG/294/1)</w:t>
      </w:r>
    </w:p>
    <w:p w:rsidR="00901F8A" w:rsidRPr="00901F8A" w:rsidRDefault="00901F8A" w:rsidP="00901F8A">
      <w:pPr>
        <w:pStyle w:val="Heading1"/>
        <w:rPr>
          <w:snapToGrid w:val="0"/>
          <w:lang w:val="de-DE"/>
        </w:rPr>
      </w:pPr>
    </w:p>
    <w:p w:rsidR="00901F8A" w:rsidRPr="00901F8A" w:rsidRDefault="00901F8A" w:rsidP="00901F8A">
      <w:pPr>
        <w:rPr>
          <w:i/>
          <w:lang w:val="de-DE"/>
        </w:rPr>
      </w:pPr>
      <w:r w:rsidRPr="00901F8A">
        <w:rPr>
          <w:i/>
          <w:lang w:val="de-DE"/>
        </w:rPr>
        <w:t>Derzeitiger Wortlaut:</w:t>
      </w: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autoSpaceDE w:val="0"/>
        <w:autoSpaceDN w:val="0"/>
        <w:adjustRightInd w:val="0"/>
        <w:rPr>
          <w:u w:val="single"/>
          <w:lang w:val="de-DE"/>
        </w:rPr>
      </w:pPr>
      <w:r w:rsidRPr="00901F8A">
        <w:rPr>
          <w:u w:val="single"/>
          <w:lang w:val="de-DE"/>
        </w:rPr>
        <w:t xml:space="preserve">Zu 24:  Resistenz gegen </w:t>
      </w:r>
      <w:r w:rsidRPr="00901F8A">
        <w:rPr>
          <w:i/>
          <w:iCs/>
          <w:u w:val="single"/>
          <w:lang w:val="de-DE"/>
        </w:rPr>
        <w:t xml:space="preserve">Fusarium oxysporum </w:t>
      </w:r>
      <w:r w:rsidRPr="00901F8A">
        <w:rPr>
          <w:u w:val="single"/>
          <w:lang w:val="de-DE"/>
        </w:rPr>
        <w:t xml:space="preserve">f. sp. </w:t>
      </w:r>
      <w:r w:rsidRPr="00901F8A">
        <w:rPr>
          <w:i/>
          <w:iCs/>
          <w:u w:val="single"/>
          <w:lang w:val="de-DE"/>
        </w:rPr>
        <w:t xml:space="preserve">lycopersici </w:t>
      </w:r>
      <w:r w:rsidRPr="00901F8A">
        <w:rPr>
          <w:u w:val="single"/>
          <w:lang w:val="de-DE"/>
        </w:rPr>
        <w:t xml:space="preserve"> (Fol)</w:t>
      </w:r>
    </w:p>
    <w:p w:rsidR="00901F8A" w:rsidRPr="00901F8A" w:rsidRDefault="00901F8A" w:rsidP="00901F8A">
      <w:pPr>
        <w:pStyle w:val="Heading1"/>
        <w:rPr>
          <w:snapToGrid w:val="0"/>
          <w:lang w:val="de-DE"/>
        </w:rPr>
      </w:pPr>
    </w:p>
    <w:p w:rsidR="00901F8A" w:rsidRPr="00901F8A" w:rsidRDefault="00901F8A" w:rsidP="00901F8A">
      <w:pPr>
        <w:rPr>
          <w:bCs/>
          <w:lang w:val="de-DE"/>
        </w:rPr>
      </w:pPr>
      <w:r w:rsidRPr="00901F8A">
        <w:rPr>
          <w:bCs/>
          <w:lang w:val="de-DE"/>
        </w:rPr>
        <w:t xml:space="preserve">9.3 </w:t>
      </w:r>
      <w:r w:rsidRPr="00901F8A">
        <w:rPr>
          <w:lang w:val="de-DE"/>
        </w:rPr>
        <w:tab/>
      </w:r>
      <w:r w:rsidRPr="00901F8A">
        <w:rPr>
          <w:bCs/>
          <w:lang w:val="de-DE"/>
        </w:rPr>
        <w:t>[…]</w:t>
      </w:r>
    </w:p>
    <w:p w:rsidR="00901F8A" w:rsidRPr="00901F8A" w:rsidRDefault="00901F8A" w:rsidP="00901F8A">
      <w:pPr>
        <w:ind w:firstLine="567"/>
        <w:rPr>
          <w:bCs/>
          <w:lang w:val="de-DE"/>
        </w:rPr>
      </w:pPr>
      <w:r w:rsidRPr="00901F8A">
        <w:rPr>
          <w:bCs/>
          <w:lang w:val="de-DE"/>
        </w:rPr>
        <w:t>Kontrollsorten für die Prüfung mit Pathotyp 2 (ex 3)</w:t>
      </w:r>
      <w:r w:rsidRPr="00901F8A">
        <w:rPr>
          <w:lang w:val="de-DE"/>
        </w:rPr>
        <w:tab/>
      </w:r>
    </w:p>
    <w:p w:rsidR="00901F8A" w:rsidRPr="00901F8A" w:rsidRDefault="00901F8A" w:rsidP="00901F8A">
      <w:pPr>
        <w:rPr>
          <w:bCs/>
          <w:lang w:val="de-DE"/>
        </w:rPr>
      </w:pPr>
      <w:r w:rsidRPr="00901F8A">
        <w:rPr>
          <w:bCs/>
          <w:lang w:val="de-DE"/>
        </w:rPr>
        <w:t>Anfällig für Pathotyp 0, 1 und 2..........</w:t>
      </w:r>
      <w:r w:rsidRPr="00901F8A">
        <w:rPr>
          <w:lang w:val="de-DE"/>
        </w:rPr>
        <w:tab/>
      </w:r>
      <w:r w:rsidRPr="00901F8A">
        <w:rPr>
          <w:bCs/>
          <w:lang w:val="de-DE"/>
        </w:rPr>
        <w:t>Emperador</w:t>
      </w:r>
    </w:p>
    <w:p w:rsidR="00901F8A" w:rsidRPr="00901F8A" w:rsidRDefault="00901F8A" w:rsidP="00901F8A">
      <w:pPr>
        <w:rPr>
          <w:bCs/>
          <w:lang w:val="de-DE" w:eastAsia="nl-NL"/>
        </w:rPr>
      </w:pPr>
    </w:p>
    <w:p w:rsidR="00901F8A" w:rsidRPr="00901F8A" w:rsidRDefault="00901F8A" w:rsidP="00901F8A">
      <w:pPr>
        <w:rPr>
          <w:i/>
          <w:lang w:val="de-DE"/>
        </w:rPr>
      </w:pPr>
    </w:p>
    <w:p w:rsidR="00901F8A" w:rsidRPr="00901F8A" w:rsidRDefault="00901F8A" w:rsidP="00901F8A">
      <w:pPr>
        <w:rPr>
          <w:i/>
          <w:lang w:val="de-DE"/>
        </w:rPr>
      </w:pPr>
      <w:r w:rsidRPr="00901F8A">
        <w:rPr>
          <w:i/>
          <w:lang w:val="de-DE"/>
        </w:rPr>
        <w:t>Berichtigung:</w:t>
      </w:r>
    </w:p>
    <w:p w:rsidR="00901F8A" w:rsidRPr="00901F8A" w:rsidRDefault="00901F8A" w:rsidP="00901F8A">
      <w:pPr>
        <w:rPr>
          <w:bCs/>
          <w:lang w:val="de-DE" w:eastAsia="nl-NL"/>
        </w:rPr>
      </w:pPr>
    </w:p>
    <w:p w:rsidR="00901F8A" w:rsidRPr="00901F8A" w:rsidRDefault="00901F8A" w:rsidP="00901F8A">
      <w:pPr>
        <w:rPr>
          <w:bCs/>
          <w:lang w:val="de-DE"/>
        </w:rPr>
      </w:pPr>
      <w:r w:rsidRPr="00901F8A">
        <w:rPr>
          <w:bCs/>
          <w:lang w:val="de-DE"/>
        </w:rPr>
        <w:t>Anfällig für Pathotyp 2........</w:t>
      </w:r>
      <w:r w:rsidRPr="00901F8A">
        <w:rPr>
          <w:lang w:val="de-DE"/>
        </w:rPr>
        <w:tab/>
      </w:r>
      <w:r w:rsidRPr="00901F8A">
        <w:rPr>
          <w:bCs/>
          <w:lang w:val="de-DE"/>
        </w:rPr>
        <w:t>Emperador</w:t>
      </w:r>
    </w:p>
    <w:p w:rsidR="00901F8A" w:rsidRPr="00901F8A" w:rsidRDefault="00901F8A" w:rsidP="00901F8A">
      <w:pPr>
        <w:rPr>
          <w:bCs/>
          <w:lang w:val="de-DE" w:eastAsia="nl-NL"/>
        </w:rPr>
      </w:pPr>
    </w:p>
    <w:p w:rsidR="00901F8A" w:rsidRPr="00901F8A" w:rsidRDefault="00901F8A" w:rsidP="00901F8A">
      <w:pPr>
        <w:rPr>
          <w:bCs/>
          <w:lang w:val="de-DE" w:eastAsia="nl-NL"/>
        </w:rPr>
      </w:pPr>
    </w:p>
    <w:p w:rsidR="00901F8A" w:rsidRPr="00901F8A" w:rsidRDefault="00901F8A" w:rsidP="00901F8A">
      <w:pPr>
        <w:jc w:val="right"/>
        <w:rPr>
          <w:lang w:val="de-DE"/>
        </w:rPr>
      </w:pPr>
    </w:p>
    <w:p w:rsidR="00901F8A" w:rsidRPr="00901F8A" w:rsidRDefault="00901F8A" w:rsidP="00901F8A">
      <w:pPr>
        <w:jc w:val="right"/>
        <w:rPr>
          <w:lang w:val="de-DE"/>
        </w:rPr>
      </w:pPr>
      <w:r w:rsidRPr="00901F8A">
        <w:rPr>
          <w:lang w:val="de-DE"/>
        </w:rPr>
        <w:t>[Anlage III folgt]</w:t>
      </w:r>
    </w:p>
    <w:p w:rsidR="00901F8A" w:rsidRPr="00901F8A" w:rsidRDefault="00901F8A" w:rsidP="00901F8A">
      <w:pPr>
        <w:rPr>
          <w:bCs/>
          <w:sz w:val="19"/>
          <w:szCs w:val="19"/>
          <w:lang w:val="de-DE" w:eastAsia="nl-NL"/>
        </w:rPr>
      </w:pPr>
    </w:p>
    <w:p w:rsidR="00901F8A" w:rsidRPr="00901F8A" w:rsidRDefault="00901F8A" w:rsidP="00901F8A">
      <w:pPr>
        <w:rPr>
          <w:bCs/>
          <w:sz w:val="19"/>
          <w:szCs w:val="19"/>
          <w:lang w:val="de-DE" w:eastAsia="nl-NL"/>
        </w:rPr>
      </w:pPr>
    </w:p>
    <w:p w:rsidR="00901F8A" w:rsidRPr="00901F8A" w:rsidRDefault="00901F8A" w:rsidP="00901F8A">
      <w:pPr>
        <w:pStyle w:val="Heading1"/>
        <w:rPr>
          <w:snapToGrid w:val="0"/>
          <w:lang w:val="de-DE"/>
        </w:rPr>
        <w:sectPr w:rsidR="00901F8A" w:rsidRPr="00901F8A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01F8A" w:rsidRPr="00901F8A" w:rsidRDefault="00901F8A" w:rsidP="00901F8A">
      <w:pPr>
        <w:pStyle w:val="Heading1"/>
        <w:rPr>
          <w:snapToGrid w:val="0"/>
          <w:lang w:val="de-DE"/>
        </w:rPr>
      </w:pPr>
      <w:r w:rsidRPr="00901F8A">
        <w:rPr>
          <w:lang w:val="de-DE"/>
        </w:rPr>
        <w:lastRenderedPageBreak/>
        <w:t>Berichtigung der Prüfungsrichtlinien für Aga</w:t>
      </w:r>
      <w:r>
        <w:rPr>
          <w:lang w:val="de-DE"/>
        </w:rPr>
        <w:t>panthus, Schmucklilie (Dokument </w:t>
      </w:r>
      <w:r w:rsidRPr="00901F8A">
        <w:rPr>
          <w:lang w:val="de-DE"/>
        </w:rPr>
        <w:t>TG/266/1 Rev.)</w:t>
      </w:r>
    </w:p>
    <w:p w:rsidR="00901F8A" w:rsidRPr="00901F8A" w:rsidRDefault="00901F8A" w:rsidP="00901F8A">
      <w:pPr>
        <w:pStyle w:val="Heading1"/>
        <w:rPr>
          <w:snapToGrid w:val="0"/>
          <w:lang w:val="de-DE"/>
        </w:rPr>
      </w:pPr>
    </w:p>
    <w:p w:rsidR="00901F8A" w:rsidRDefault="00901F8A" w:rsidP="00901F8A">
      <w:pPr>
        <w:rPr>
          <w:i/>
        </w:rPr>
      </w:pPr>
      <w:proofErr w:type="spellStart"/>
      <w:r>
        <w:rPr>
          <w:i/>
        </w:rPr>
        <w:t>Derzeitiger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Wortlaut</w:t>
      </w:r>
      <w:proofErr w:type="spellEnd"/>
      <w:r>
        <w:rPr>
          <w:i/>
        </w:rPr>
        <w:t>:</w:t>
      </w:r>
    </w:p>
    <w:p w:rsidR="00901F8A" w:rsidRDefault="00901F8A" w:rsidP="00901F8A"/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901F8A" w:rsidRPr="001274E7" w:rsidTr="00A101A8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901F8A" w:rsidRPr="001274E7" w:rsidRDefault="00901F8A" w:rsidP="00A101A8">
            <w:pPr>
              <w:spacing w:before="120" w:after="12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Merkmale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901F8A" w:rsidRPr="001274E7" w:rsidRDefault="00901F8A" w:rsidP="00A101A8">
            <w:pPr>
              <w:spacing w:before="120" w:after="120"/>
            </w:pPr>
            <w:proofErr w:type="spellStart"/>
            <w:r>
              <w:t>Beispielssorten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01F8A" w:rsidRPr="001274E7" w:rsidRDefault="00901F8A" w:rsidP="00A101A8">
            <w:pPr>
              <w:spacing w:before="120" w:after="120"/>
              <w:jc w:val="center"/>
            </w:pPr>
            <w:r>
              <w:t>Note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>5.1</w:t>
            </w:r>
            <w:r>
              <w:br/>
            </w:r>
            <w:r>
              <w:rPr>
                <w:b/>
              </w:rPr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Pflanze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rPr>
                <w:sz w:val="18"/>
              </w:rPr>
            </w:pP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laubabwerfend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  <w:r>
              <w:t>Deep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immergrün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  <w:r>
              <w:t>Cloudy Skies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2[    ]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>5.2</w:t>
            </w:r>
            <w:r>
              <w:br/>
            </w:r>
            <w:r>
              <w:rPr>
                <w:b/>
              </w:rPr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 xml:space="preserve">Blatt: </w:t>
            </w:r>
            <w:proofErr w:type="spellStart"/>
            <w:r>
              <w:rPr>
                <w:b/>
              </w:rPr>
              <w:t>Panaschierung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fehlend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  <w:r>
              <w:t>Blue Velvet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vorhanden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  <w:proofErr w:type="spellStart"/>
            <w:r>
              <w:t>Tinkerbell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9[    ]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 xml:space="preserve">5.4 </w:t>
            </w:r>
            <w:r>
              <w:br/>
            </w:r>
            <w:r>
              <w:rPr>
                <w:b/>
              </w:rPr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Deckblatt</w:t>
            </w:r>
            <w:proofErr w:type="spellEnd"/>
            <w:r>
              <w:rPr>
                <w:b/>
              </w:rPr>
              <w:t xml:space="preserve"> des </w:t>
            </w:r>
            <w:proofErr w:type="spellStart"/>
            <w:r>
              <w:rPr>
                <w:b/>
              </w:rPr>
              <w:t>Blütenstands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Öffnung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rPr>
                <w:sz w:val="18"/>
              </w:rPr>
            </w:pP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einseitig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  <w:r>
              <w:t>Wiley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beidseitig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</w:pPr>
            <w:r>
              <w:t>Double Diamond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2[    ]</w:t>
            </w: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>
              <w:rPr>
                <w:b/>
              </w:rPr>
              <w:t xml:space="preserve">5.5 </w:t>
            </w:r>
            <w:r>
              <w:br/>
            </w:r>
            <w:r>
              <w:rPr>
                <w:b/>
              </w:rPr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  <w:rPr>
                <w:b/>
              </w:rPr>
            </w:pPr>
            <w:proofErr w:type="spellStart"/>
            <w:r>
              <w:rPr>
                <w:b/>
              </w:rPr>
              <w:t>Blütenstand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Anzahl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Blüten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spacing w:before="120" w:after="120"/>
              <w:jc w:val="center"/>
              <w:rPr>
                <w:sz w:val="18"/>
              </w:rPr>
            </w:pPr>
          </w:p>
        </w:tc>
      </w:tr>
      <w:tr w:rsidR="00901F8A" w:rsidRPr="001274E7" w:rsidTr="00A101A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keepLines/>
              <w:spacing w:before="120" w:after="120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gering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spacing w:before="120" w:after="120"/>
            </w:pPr>
            <w:r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901F8A" w:rsidRPr="001274E7" w:rsidRDefault="00901F8A" w:rsidP="00A101A8">
            <w:pPr>
              <w:keepNext/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1[    ]</w:t>
            </w:r>
          </w:p>
        </w:tc>
      </w:tr>
    </w:tbl>
    <w:p w:rsidR="00901F8A" w:rsidRDefault="00901F8A" w:rsidP="00901F8A"/>
    <w:p w:rsidR="00901F8A" w:rsidRDefault="00901F8A" w:rsidP="00901F8A"/>
    <w:p w:rsidR="00901F8A" w:rsidRDefault="00901F8A" w:rsidP="00901F8A">
      <w:pPr>
        <w:rPr>
          <w:i/>
        </w:rPr>
      </w:pPr>
      <w:proofErr w:type="spellStart"/>
      <w:r>
        <w:rPr>
          <w:i/>
        </w:rPr>
        <w:t>Berichtigung</w:t>
      </w:r>
      <w:proofErr w:type="spellEnd"/>
      <w:r>
        <w:rPr>
          <w:i/>
        </w:rPr>
        <w:t>:</w:t>
      </w:r>
    </w:p>
    <w:p w:rsidR="00901F8A" w:rsidRDefault="00901F8A" w:rsidP="00901F8A"/>
    <w:p w:rsidR="00901F8A" w:rsidRPr="00901F8A" w:rsidRDefault="00901F8A" w:rsidP="00901F8A">
      <w:pPr>
        <w:rPr>
          <w:lang w:val="de-DE"/>
        </w:rPr>
      </w:pPr>
      <w:r w:rsidRPr="00901F8A">
        <w:rPr>
          <w:lang w:val="de-DE"/>
        </w:rPr>
        <w:t xml:space="preserve">Neu nummerieren (5.4 </w:t>
      </w:r>
      <w:r>
        <w:rPr>
          <w:lang w:val="de-DE"/>
        </w:rPr>
        <w:t>wird</w:t>
      </w:r>
      <w:r w:rsidRPr="00901F8A">
        <w:rPr>
          <w:lang w:val="de-DE"/>
        </w:rPr>
        <w:t xml:space="preserve"> 5.3, 5.5 </w:t>
      </w:r>
      <w:r>
        <w:rPr>
          <w:lang w:val="de-DE"/>
        </w:rPr>
        <w:t>wird</w:t>
      </w:r>
      <w:r w:rsidRPr="00901F8A">
        <w:rPr>
          <w:lang w:val="de-DE"/>
        </w:rPr>
        <w:t xml:space="preserve"> 5.4, 5.6 </w:t>
      </w:r>
      <w:r>
        <w:rPr>
          <w:lang w:val="de-DE"/>
        </w:rPr>
        <w:t>wird</w:t>
      </w:r>
      <w:r w:rsidRPr="00901F8A">
        <w:rPr>
          <w:lang w:val="de-DE"/>
        </w:rPr>
        <w:t xml:space="preserve"> 5.5, 5.7 </w:t>
      </w:r>
      <w:r>
        <w:rPr>
          <w:lang w:val="de-DE"/>
        </w:rPr>
        <w:t>wird</w:t>
      </w:r>
      <w:r w:rsidRPr="00901F8A">
        <w:rPr>
          <w:lang w:val="de-DE"/>
        </w:rPr>
        <w:t xml:space="preserve"> 5.6, 5.8 </w:t>
      </w:r>
      <w:r>
        <w:rPr>
          <w:lang w:val="de-DE"/>
        </w:rPr>
        <w:t>wird</w:t>
      </w:r>
      <w:r w:rsidRPr="00901F8A">
        <w:rPr>
          <w:lang w:val="de-DE"/>
        </w:rPr>
        <w:t xml:space="preserve"> 5.7).</w:t>
      </w: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rPr>
          <w:lang w:val="de-DE"/>
        </w:rPr>
      </w:pPr>
    </w:p>
    <w:p w:rsidR="00901F8A" w:rsidRPr="00901F8A" w:rsidRDefault="00901F8A" w:rsidP="00901F8A">
      <w:pPr>
        <w:jc w:val="right"/>
        <w:rPr>
          <w:lang w:val="de-DE"/>
        </w:rPr>
      </w:pPr>
      <w:r w:rsidRPr="00901F8A">
        <w:rPr>
          <w:lang w:val="de-DE"/>
        </w:rPr>
        <w:t>[Ende der Anlage III und des Dokuments]</w:t>
      </w:r>
    </w:p>
    <w:p w:rsidR="00900C26" w:rsidRPr="00901F8A" w:rsidRDefault="00900C26" w:rsidP="00901F8A">
      <w:pPr>
        <w:rPr>
          <w:lang w:val="de-DE"/>
        </w:rPr>
      </w:pPr>
    </w:p>
    <w:sectPr w:rsidR="00900C26" w:rsidRPr="00901F8A" w:rsidSect="00906DDC">
      <w:head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17" w:rsidRDefault="00990317" w:rsidP="00F45372">
      <w:r>
        <w:separator/>
      </w:r>
    </w:p>
    <w:p w:rsidR="00990317" w:rsidRDefault="00990317" w:rsidP="00F45372"/>
    <w:p w:rsidR="00990317" w:rsidRDefault="00990317" w:rsidP="00F45372"/>
  </w:endnote>
  <w:endnote w:type="continuationSeparator" w:id="0">
    <w:p w:rsidR="00990317" w:rsidRDefault="00990317" w:rsidP="00F45372">
      <w:r>
        <w:separator/>
      </w:r>
    </w:p>
    <w:p w:rsidR="00990317" w:rsidRPr="00901F8A" w:rsidRDefault="00990317">
      <w:pPr>
        <w:pStyle w:val="Footer"/>
        <w:spacing w:after="60"/>
        <w:rPr>
          <w:sz w:val="18"/>
          <w:lang w:val="fr-CH"/>
        </w:rPr>
      </w:pPr>
      <w:r w:rsidRPr="00901F8A">
        <w:rPr>
          <w:sz w:val="18"/>
          <w:lang w:val="fr-CH"/>
        </w:rPr>
        <w:t>[Suite de la note de la page précédente]</w:t>
      </w:r>
    </w:p>
    <w:p w:rsidR="00990317" w:rsidRPr="00901F8A" w:rsidRDefault="00990317" w:rsidP="00F45372">
      <w:pPr>
        <w:rPr>
          <w:lang w:val="fr-CH"/>
        </w:rPr>
      </w:pPr>
    </w:p>
    <w:p w:rsidR="00990317" w:rsidRPr="00901F8A" w:rsidRDefault="00990317" w:rsidP="00F45372">
      <w:pPr>
        <w:rPr>
          <w:lang w:val="fr-CH"/>
        </w:rPr>
      </w:pPr>
    </w:p>
  </w:endnote>
  <w:endnote w:type="continuationNotice" w:id="1">
    <w:p w:rsidR="00990317" w:rsidRPr="00901F8A" w:rsidRDefault="00990317" w:rsidP="00F45372">
      <w:pPr>
        <w:rPr>
          <w:lang w:val="fr-CH"/>
        </w:rPr>
      </w:pPr>
      <w:r w:rsidRPr="00901F8A">
        <w:rPr>
          <w:lang w:val="fr-CH"/>
        </w:rPr>
        <w:t>[Suite de la note page suivante]</w:t>
      </w:r>
    </w:p>
    <w:p w:rsidR="00990317" w:rsidRPr="00901F8A" w:rsidRDefault="00990317" w:rsidP="00F45372">
      <w:pPr>
        <w:rPr>
          <w:lang w:val="fr-CH"/>
        </w:rPr>
      </w:pPr>
    </w:p>
    <w:p w:rsidR="00990317" w:rsidRPr="00901F8A" w:rsidRDefault="00990317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EF6989" w:rsidRDefault="00A56F40" w:rsidP="00EF6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17" w:rsidRDefault="00990317" w:rsidP="00F45372">
      <w:r>
        <w:separator/>
      </w:r>
    </w:p>
  </w:footnote>
  <w:footnote w:type="continuationSeparator" w:id="0">
    <w:p w:rsidR="00990317" w:rsidRDefault="00990317" w:rsidP="00F45372">
      <w:r>
        <w:separator/>
      </w:r>
    </w:p>
  </w:footnote>
  <w:footnote w:type="continuationNotice" w:id="1">
    <w:p w:rsidR="00990317" w:rsidRPr="005E74F6" w:rsidRDefault="00990317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A" w:rsidRPr="00C5280D" w:rsidRDefault="00901F8A" w:rsidP="00EB048E">
    <w:pPr>
      <w:pStyle w:val="Header"/>
      <w:rPr>
        <w:rStyle w:val="PageNumber"/>
      </w:rPr>
    </w:pPr>
    <w:r>
      <w:rPr>
        <w:rStyle w:val="PageNumber"/>
      </w:rPr>
      <w:t>TC-EDC/Jan14/23</w:t>
    </w:r>
  </w:p>
  <w:p w:rsidR="00901F8A" w:rsidRPr="00C5280D" w:rsidRDefault="00901F8A" w:rsidP="00EB048E">
    <w:pPr>
      <w:pStyle w:val="Header"/>
    </w:pPr>
    <w:proofErr w:type="spellStart"/>
    <w:r>
      <w:t>Seite</w:t>
    </w:r>
    <w:proofErr w:type="spellEnd"/>
    <w: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901F8A" w:rsidRPr="00C5280D" w:rsidRDefault="00901F8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A" w:rsidRDefault="00901F8A" w:rsidP="00AC0D7B">
    <w:pPr>
      <w:pStyle w:val="Header"/>
      <w:rPr>
        <w:rStyle w:val="PageNumber"/>
      </w:rPr>
    </w:pPr>
    <w:r>
      <w:rPr>
        <w:rStyle w:val="PageNumber"/>
      </w:rPr>
      <w:t>TC/50/34</w:t>
    </w:r>
  </w:p>
  <w:p w:rsidR="00901F8A" w:rsidRDefault="00901F8A" w:rsidP="00AC0D7B">
    <w:pPr>
      <w:pStyle w:val="Header"/>
    </w:pPr>
  </w:p>
  <w:p w:rsidR="00901F8A" w:rsidRDefault="00901F8A" w:rsidP="00AC0D7B">
    <w:pPr>
      <w:pStyle w:val="Header"/>
    </w:pPr>
    <w:r>
      <w:t>ANLAGE I</w:t>
    </w:r>
  </w:p>
  <w:p w:rsidR="00901F8A" w:rsidRDefault="00901F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A" w:rsidRDefault="00901F8A" w:rsidP="00AC0D7B">
    <w:pPr>
      <w:pStyle w:val="Header"/>
      <w:rPr>
        <w:rStyle w:val="PageNumber"/>
      </w:rPr>
    </w:pPr>
    <w:r>
      <w:rPr>
        <w:rStyle w:val="PageNumber"/>
      </w:rPr>
      <w:t>TC/50/34</w:t>
    </w:r>
  </w:p>
  <w:p w:rsidR="00901F8A" w:rsidRDefault="00901F8A" w:rsidP="00AC0D7B">
    <w:pPr>
      <w:pStyle w:val="Header"/>
    </w:pPr>
  </w:p>
  <w:p w:rsidR="00901F8A" w:rsidRDefault="00901F8A" w:rsidP="00AC0D7B">
    <w:pPr>
      <w:pStyle w:val="Header"/>
    </w:pPr>
    <w:r>
      <w:t>ANLAGE II</w:t>
    </w:r>
  </w:p>
  <w:p w:rsidR="00901F8A" w:rsidRDefault="00901F8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50</w:t>
    </w:r>
    <w:r>
      <w:rPr>
        <w:rStyle w:val="PageNumber"/>
        <w:lang w:val="de-DE"/>
      </w:rPr>
      <w:t>/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901F8A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>
    <w:pPr>
      <w:rPr>
        <w:lang w:val="de-DE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8A" w:rsidRDefault="00901F8A" w:rsidP="00AC0D7B">
    <w:pPr>
      <w:pStyle w:val="Header"/>
      <w:rPr>
        <w:rStyle w:val="PageNumber"/>
      </w:rPr>
    </w:pPr>
    <w:r>
      <w:rPr>
        <w:rStyle w:val="PageNumber"/>
      </w:rPr>
      <w:t>TC/50/34</w:t>
    </w:r>
  </w:p>
  <w:p w:rsidR="00901F8A" w:rsidRDefault="00901F8A" w:rsidP="00AC0D7B">
    <w:pPr>
      <w:pStyle w:val="Header"/>
    </w:pPr>
  </w:p>
  <w:p w:rsidR="00901F8A" w:rsidRDefault="00901F8A" w:rsidP="00AC0D7B">
    <w:pPr>
      <w:pStyle w:val="Header"/>
    </w:pPr>
    <w:r>
      <w:t>ANLAGE III</w:t>
    </w:r>
  </w:p>
  <w:p w:rsidR="00901F8A" w:rsidRDefault="00901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1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4793B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B54A3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3D5E5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87EB4"/>
    <w:rsid w:val="006B17D2"/>
    <w:rsid w:val="006C224E"/>
    <w:rsid w:val="006D780A"/>
    <w:rsid w:val="006E2B98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1F8A"/>
    <w:rsid w:val="00906DDC"/>
    <w:rsid w:val="009119C7"/>
    <w:rsid w:val="0092535E"/>
    <w:rsid w:val="00934E09"/>
    <w:rsid w:val="00936253"/>
    <w:rsid w:val="00952DD4"/>
    <w:rsid w:val="00970FED"/>
    <w:rsid w:val="00990317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6989"/>
    <w:rsid w:val="00F1237A"/>
    <w:rsid w:val="00F22CBD"/>
    <w:rsid w:val="00F45372"/>
    <w:rsid w:val="00F560F7"/>
    <w:rsid w:val="00F6334D"/>
    <w:rsid w:val="00FA49AB"/>
    <w:rsid w:val="00FA58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901F8A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val="de-DE" w:eastAsia="de-DE" w:bidi="de-DE"/>
    </w:rPr>
  </w:style>
  <w:style w:type="character" w:customStyle="1" w:styleId="HeaderChar">
    <w:name w:val="Header Char"/>
    <w:basedOn w:val="DefaultParagraphFont"/>
    <w:link w:val="Header"/>
    <w:rsid w:val="00901F8A"/>
    <w:rPr>
      <w:rFonts w:ascii="Arial" w:hAnsi="Arial"/>
      <w:lang w:val="fr-FR"/>
    </w:rPr>
  </w:style>
  <w:style w:type="paragraph" w:customStyle="1" w:styleId="Normalt">
    <w:name w:val="Normalt"/>
    <w:basedOn w:val="Normal"/>
    <w:rsid w:val="00901F8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01F8A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901F8A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val="de-DE" w:eastAsia="de-DE" w:bidi="de-DE"/>
    </w:rPr>
  </w:style>
  <w:style w:type="character" w:customStyle="1" w:styleId="HeaderChar">
    <w:name w:val="Header Char"/>
    <w:basedOn w:val="DefaultParagraphFont"/>
    <w:link w:val="Header"/>
    <w:rsid w:val="00901F8A"/>
    <w:rPr>
      <w:rFonts w:ascii="Arial" w:hAnsi="Arial"/>
      <w:lang w:val="fr-FR"/>
    </w:rPr>
  </w:style>
  <w:style w:type="paragraph" w:customStyle="1" w:styleId="Normalt">
    <w:name w:val="Normalt"/>
    <w:basedOn w:val="Normal"/>
    <w:rsid w:val="00901F8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01F8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tc_50_DE</Template>
  <TotalTime>14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LONG Victoria</cp:lastModifiedBy>
  <cp:revision>7</cp:revision>
  <cp:lastPrinted>2011-12-19T06:47:00Z</cp:lastPrinted>
  <dcterms:created xsi:type="dcterms:W3CDTF">2014-01-14T08:32:00Z</dcterms:created>
  <dcterms:modified xsi:type="dcterms:W3CDTF">2014-02-14T15:26:00Z</dcterms:modified>
</cp:coreProperties>
</file>