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256494" w:rsidP="006655D3">
            <w:pPr>
              <w:pStyle w:val="LogoUPO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7.25pt;height:38.25pt;visibility:visible;mso-wrap-style:square">
                  <v:imagedata r:id="rId9" o:title=""/>
                </v:shape>
              </w:pict>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1" w:name="Code"/>
            <w:bookmarkEnd w:id="1"/>
            <w:r>
              <w:t>3</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r>
              <w:rPr>
                <w:spacing w:val="0"/>
              </w:rPr>
              <w:t xml:space="preserve"> </w:t>
            </w:r>
            <w:bookmarkStart w:id="2" w:name="Original"/>
            <w:bookmarkEnd w:id="2"/>
            <w:r>
              <w:rPr>
                <w:b w:val="0"/>
                <w:spacing w:val="0"/>
              </w:rPr>
              <w:t>englisch</w:t>
            </w:r>
          </w:p>
          <w:p w:rsidR="000D7780" w:rsidRPr="00C5280D" w:rsidRDefault="000D7780" w:rsidP="00297396">
            <w:pPr>
              <w:pStyle w:val="Docoriginal"/>
            </w:pPr>
            <w:r>
              <w:rPr>
                <w:spacing w:val="0"/>
              </w:rPr>
              <w:t xml:space="preserve">DATUM: </w:t>
            </w:r>
            <w:r>
              <w:rPr>
                <w:rStyle w:val="StyleDocoriginalNotBold1"/>
                <w:spacing w:val="0"/>
              </w:rPr>
              <w:t xml:space="preserve"> </w:t>
            </w:r>
            <w:bookmarkStart w:id="3" w:name="Date"/>
            <w:bookmarkEnd w:id="3"/>
            <w:r w:rsidR="00297396" w:rsidRPr="00297396">
              <w:rPr>
                <w:b w:val="0"/>
              </w:rPr>
              <w:t>30.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5280D" w:rsidRDefault="00746A32" w:rsidP="006655D3">
      <w:pPr>
        <w:pStyle w:val="Titleofdoc0"/>
      </w:pPr>
      <w:bookmarkStart w:id="4" w:name="TitleOfDoc"/>
      <w:bookmarkEnd w:id="4"/>
      <w:r>
        <w:t>Fragen, die von den technischen Arbeitsgruppen aufgeworfen wurden</w:t>
      </w:r>
    </w:p>
    <w:p w:rsidR="00050E16" w:rsidRPr="00C5280D" w:rsidRDefault="00AE0EF1" w:rsidP="00050E16">
      <w:pPr>
        <w:pStyle w:val="preparedby1"/>
      </w:pPr>
      <w:bookmarkStart w:id="5" w:name="Prepared"/>
      <w:bookmarkEnd w:id="5"/>
      <w:r>
        <w:t>vom Verbandsbüro erstelltes Dokument</w:t>
      </w:r>
      <w:r>
        <w:br/>
      </w:r>
      <w:r>
        <w:br/>
      </w:r>
      <w:r>
        <w:rPr>
          <w:color w:val="A6A6A6"/>
        </w:rPr>
        <w:t>Haftungsausschluß:  dieses Dokument gibt nicht die Grundsätze oder eine Anleitung der UPOV wieder</w:t>
      </w:r>
    </w:p>
    <w:p w:rsidR="00C05293" w:rsidRPr="00FC6CC1" w:rsidRDefault="00BE066A" w:rsidP="00C05293">
      <w:r>
        <w:rPr>
          <w:color w:val="000000"/>
        </w:rPr>
        <w:fldChar w:fldCharType="begin"/>
      </w:r>
      <w:r>
        <w:rPr>
          <w:color w:val="000000"/>
        </w:rPr>
        <w:instrText xml:space="preserve"> AUTONUM  </w:instrText>
      </w:r>
      <w:r>
        <w:rPr>
          <w:color w:val="000000"/>
        </w:rPr>
        <w:fldChar w:fldCharType="end"/>
      </w:r>
      <w:r>
        <w:tab/>
      </w:r>
      <w:r>
        <w:rPr>
          <w:color w:val="000000"/>
        </w:rPr>
        <w:t>Dieses Dokument faßt Fragen zusammen, die auf den Tagungen 2013 der Technischen Arbeitsgruppen (TWP) aufgeworfen wurden und nicht ausdrücklich von spezifischen Tage</w:t>
      </w:r>
      <w:r w:rsidR="00A61B0A">
        <w:rPr>
          <w:color w:val="000000"/>
        </w:rPr>
        <w:t>sordnungspunkten erfaßt wurden.</w:t>
      </w:r>
      <w:r>
        <w:rPr>
          <w:color w:val="000000"/>
        </w:rPr>
        <w:t xml:space="preserve"> </w:t>
      </w:r>
      <w:r>
        <w:t>Die aufgeworfenen Fragen sind in zwei Abschnitten dargelegt</w:t>
      </w:r>
      <w:r w:rsidR="00A61B0A">
        <w:t>.</w:t>
      </w:r>
      <w:r>
        <w:t xml:space="preserve"> Der erste Abschnitt, „Fragen zur Information und für eine vom Technischen Ausschuß (TC) gegebenenfalls zu treffende Entscheidung</w:t>
      </w:r>
      <w:r>
        <w:rPr>
          <w:caps/>
        </w:rPr>
        <w:t xml:space="preserve">“, </w:t>
      </w:r>
      <w:r>
        <w:t>weist die von den TWP aufgeworfenen Angelegenheiten aus, die einer Entsch</w:t>
      </w:r>
      <w:r w:rsidR="00A61B0A">
        <w:t>eidung des TC bedürfen könnten.</w:t>
      </w:r>
      <w:r>
        <w:t xml:space="preserve"> Das Verbandsbüro (Büro) hob die Aspekte hervor, für die der TC eine Entscheidung treffen könnte, indem es einen Absatz mit den vorgeschlagenen Entscheidungen einführte</w:t>
      </w:r>
      <w:r w:rsidR="00A61B0A">
        <w:t>.</w:t>
      </w:r>
      <w:r>
        <w:t xml:space="preserve"> Der zweite Abschnitt, „Fragen zur Information“, dient dem </w:t>
      </w:r>
      <w:r>
        <w:rPr>
          <w:color w:val="000000"/>
        </w:rPr>
        <w:t xml:space="preserve">TC </w:t>
      </w:r>
      <w:r>
        <w:t>zur Information, bedarf jedoch in diesem Stadium keiner Entscheidung.</w:t>
      </w:r>
    </w:p>
    <w:p w:rsidR="00BE066A" w:rsidRPr="0094600F" w:rsidRDefault="00BE066A" w:rsidP="00BE066A">
      <w:pPr>
        <w:tabs>
          <w:tab w:val="left" w:pos="567"/>
          <w:tab w:val="left" w:pos="1701"/>
        </w:tabs>
        <w:ind w:left="1695" w:hanging="1695"/>
        <w:rPr>
          <w:rFonts w:eastAsia="PMingLiU"/>
          <w:szCs w:val="24"/>
        </w:rPr>
      </w:pPr>
    </w:p>
    <w:p w:rsidR="00BE066A" w:rsidRDefault="00BE066A" w:rsidP="00BE066A">
      <w:r w:rsidRPr="00FC6CC1">
        <w:rPr>
          <w:color w:val="000000"/>
        </w:rPr>
        <w:fldChar w:fldCharType="begin"/>
      </w:r>
      <w:r w:rsidRPr="00FC6CC1">
        <w:rPr>
          <w:color w:val="000000"/>
        </w:rPr>
        <w:instrText xml:space="preserve"> AUTONUM  </w:instrText>
      </w:r>
      <w:r w:rsidRPr="00FC6CC1">
        <w:rPr>
          <w:color w:val="000000"/>
        </w:rPr>
        <w:fldChar w:fldCharType="end"/>
      </w:r>
      <w:r>
        <w:tab/>
        <w:t>Der Aufbau dieses Dokuments ist wie folgt:</w:t>
      </w:r>
    </w:p>
    <w:p w:rsidR="00027EA1" w:rsidRDefault="00027EA1" w:rsidP="00BE066A"/>
    <w:p w:rsidR="00D2278C" w:rsidRDefault="00936DDD" w:rsidP="00D2278C">
      <w:pPr>
        <w:pStyle w:val="TOC1"/>
        <w:rPr>
          <w:rFonts w:asciiTheme="minorHAnsi" w:eastAsiaTheme="minorEastAsia" w:hAnsiTheme="minorHAnsi" w:cstheme="minorBidi"/>
          <w:caps w:val="0"/>
          <w:noProof/>
          <w:sz w:val="22"/>
          <w:szCs w:val="22"/>
          <w:lang w:val="en-US" w:eastAsia="en-US" w:bidi="ar-SA"/>
        </w:rPr>
      </w:pPr>
      <w:r>
        <w:fldChar w:fldCharType="begin"/>
      </w:r>
      <w:r>
        <w:instrText xml:space="preserve"> TOC \o "1-3" \h \z \u </w:instrText>
      </w:r>
      <w:r>
        <w:fldChar w:fldCharType="separate"/>
      </w:r>
      <w:hyperlink w:anchor="_Toc379459105" w:history="1">
        <w:r w:rsidR="00D2278C" w:rsidRPr="008A3159">
          <w:rPr>
            <w:rStyle w:val="Hyperlink"/>
            <w:noProof/>
          </w:rPr>
          <w:t>Fragen zur Information und für eine vom Technischen AusschuSS (TC) gegebenenfalls zu treffende Entscheidung</w:t>
        </w:r>
        <w:r w:rsidR="00D2278C">
          <w:rPr>
            <w:noProof/>
            <w:webHidden/>
          </w:rPr>
          <w:tab/>
        </w:r>
        <w:r w:rsidR="00D2278C">
          <w:rPr>
            <w:noProof/>
            <w:webHidden/>
          </w:rPr>
          <w:fldChar w:fldCharType="begin"/>
        </w:r>
        <w:r w:rsidR="00D2278C">
          <w:rPr>
            <w:noProof/>
            <w:webHidden/>
          </w:rPr>
          <w:instrText xml:space="preserve"> PAGEREF _Toc379459105 \h </w:instrText>
        </w:r>
        <w:r w:rsidR="00D2278C">
          <w:rPr>
            <w:noProof/>
            <w:webHidden/>
          </w:rPr>
        </w:r>
        <w:r w:rsidR="00D2278C">
          <w:rPr>
            <w:noProof/>
            <w:webHidden/>
          </w:rPr>
          <w:fldChar w:fldCharType="separate"/>
        </w:r>
        <w:r w:rsidR="00256494">
          <w:rPr>
            <w:noProof/>
            <w:webHidden/>
          </w:rPr>
          <w:t>2</w:t>
        </w:r>
        <w:r w:rsidR="00D2278C">
          <w:rPr>
            <w:noProof/>
            <w:webHidden/>
          </w:rPr>
          <w:fldChar w:fldCharType="end"/>
        </w:r>
      </w:hyperlink>
    </w:p>
    <w:p w:rsidR="00D2278C" w:rsidRDefault="00256494">
      <w:pPr>
        <w:pStyle w:val="TOC2"/>
        <w:rPr>
          <w:rFonts w:asciiTheme="minorHAnsi" w:eastAsiaTheme="minorEastAsia" w:hAnsiTheme="minorHAnsi" w:cstheme="minorBidi"/>
          <w:smallCaps w:val="0"/>
          <w:noProof/>
          <w:sz w:val="22"/>
          <w:szCs w:val="22"/>
          <w:lang w:val="en-US" w:eastAsia="en-US" w:bidi="ar-SA"/>
        </w:rPr>
      </w:pPr>
      <w:hyperlink w:anchor="_Toc379459106" w:history="1">
        <w:r w:rsidR="00D2278C" w:rsidRPr="008A3159">
          <w:rPr>
            <w:rStyle w:val="Hyperlink"/>
            <w:noProof/>
          </w:rPr>
          <w:t>Anleitung für Verfasser von Prüfungsrichtlinien</w:t>
        </w:r>
        <w:r w:rsidR="00D2278C">
          <w:rPr>
            <w:noProof/>
            <w:webHidden/>
          </w:rPr>
          <w:tab/>
        </w:r>
        <w:r w:rsidR="00D2278C">
          <w:rPr>
            <w:noProof/>
            <w:webHidden/>
          </w:rPr>
          <w:fldChar w:fldCharType="begin"/>
        </w:r>
        <w:r w:rsidR="00D2278C">
          <w:rPr>
            <w:noProof/>
            <w:webHidden/>
          </w:rPr>
          <w:instrText xml:space="preserve"> PAGEREF _Toc379459106 \h </w:instrText>
        </w:r>
        <w:r w:rsidR="00D2278C">
          <w:rPr>
            <w:noProof/>
            <w:webHidden/>
          </w:rPr>
        </w:r>
        <w:r w:rsidR="00D2278C">
          <w:rPr>
            <w:noProof/>
            <w:webHidden/>
          </w:rPr>
          <w:fldChar w:fldCharType="separate"/>
        </w:r>
        <w:r>
          <w:rPr>
            <w:noProof/>
            <w:webHidden/>
          </w:rPr>
          <w:t>2</w:t>
        </w:r>
        <w:r w:rsidR="00D2278C">
          <w:rPr>
            <w:noProof/>
            <w:webHidden/>
          </w:rPr>
          <w:fldChar w:fldCharType="end"/>
        </w:r>
      </w:hyperlink>
    </w:p>
    <w:p w:rsidR="00D2278C" w:rsidRDefault="00256494">
      <w:pPr>
        <w:pStyle w:val="TOC2"/>
        <w:rPr>
          <w:rFonts w:asciiTheme="minorHAnsi" w:eastAsiaTheme="minorEastAsia" w:hAnsiTheme="minorHAnsi" w:cstheme="minorBidi"/>
          <w:smallCaps w:val="0"/>
          <w:noProof/>
          <w:sz w:val="22"/>
          <w:szCs w:val="22"/>
          <w:lang w:val="en-US" w:eastAsia="en-US" w:bidi="ar-SA"/>
        </w:rPr>
      </w:pPr>
      <w:hyperlink w:anchor="_Toc379459107" w:history="1">
        <w:r w:rsidR="00D2278C" w:rsidRPr="008A3159">
          <w:rPr>
            <w:rStyle w:val="Hyperlink"/>
            <w:noProof/>
          </w:rPr>
          <w:t>Datenlogger</w:t>
        </w:r>
        <w:r w:rsidR="00D2278C">
          <w:rPr>
            <w:noProof/>
            <w:webHidden/>
          </w:rPr>
          <w:tab/>
        </w:r>
        <w:r w:rsidR="00D2278C">
          <w:rPr>
            <w:noProof/>
            <w:webHidden/>
          </w:rPr>
          <w:fldChar w:fldCharType="begin"/>
        </w:r>
        <w:r w:rsidR="00D2278C">
          <w:rPr>
            <w:noProof/>
            <w:webHidden/>
          </w:rPr>
          <w:instrText xml:space="preserve"> PAGEREF _Toc379459107 \h </w:instrText>
        </w:r>
        <w:r w:rsidR="00D2278C">
          <w:rPr>
            <w:noProof/>
            <w:webHidden/>
          </w:rPr>
        </w:r>
        <w:r w:rsidR="00D2278C">
          <w:rPr>
            <w:noProof/>
            <w:webHidden/>
          </w:rPr>
          <w:fldChar w:fldCharType="separate"/>
        </w:r>
        <w:r>
          <w:rPr>
            <w:noProof/>
            <w:webHidden/>
          </w:rPr>
          <w:t>3</w:t>
        </w:r>
        <w:r w:rsidR="00D2278C">
          <w:rPr>
            <w:noProof/>
            <w:webHidden/>
          </w:rPr>
          <w:fldChar w:fldCharType="end"/>
        </w:r>
      </w:hyperlink>
    </w:p>
    <w:p w:rsidR="00D2278C" w:rsidRDefault="00256494">
      <w:pPr>
        <w:pStyle w:val="TOC1"/>
        <w:rPr>
          <w:rFonts w:asciiTheme="minorHAnsi" w:eastAsiaTheme="minorEastAsia" w:hAnsiTheme="minorHAnsi" w:cstheme="minorBidi"/>
          <w:caps w:val="0"/>
          <w:noProof/>
          <w:sz w:val="22"/>
          <w:szCs w:val="22"/>
          <w:lang w:val="en-US" w:eastAsia="en-US" w:bidi="ar-SA"/>
        </w:rPr>
      </w:pPr>
      <w:hyperlink w:anchor="_Toc379459108" w:history="1">
        <w:r w:rsidR="00D2278C" w:rsidRPr="008A3159">
          <w:rPr>
            <w:rStyle w:val="Hyperlink"/>
            <w:noProof/>
          </w:rPr>
          <w:t>Angelegenheiten zur Information</w:t>
        </w:r>
        <w:r w:rsidR="00D2278C">
          <w:rPr>
            <w:noProof/>
            <w:webHidden/>
          </w:rPr>
          <w:tab/>
        </w:r>
        <w:r w:rsidR="00D2278C">
          <w:rPr>
            <w:noProof/>
            <w:webHidden/>
          </w:rPr>
          <w:fldChar w:fldCharType="begin"/>
        </w:r>
        <w:r w:rsidR="00D2278C">
          <w:rPr>
            <w:noProof/>
            <w:webHidden/>
          </w:rPr>
          <w:instrText xml:space="preserve"> PAGEREF _Toc379459108 \h </w:instrText>
        </w:r>
        <w:r w:rsidR="00D2278C">
          <w:rPr>
            <w:noProof/>
            <w:webHidden/>
          </w:rPr>
        </w:r>
        <w:r w:rsidR="00D2278C">
          <w:rPr>
            <w:noProof/>
            <w:webHidden/>
          </w:rPr>
          <w:fldChar w:fldCharType="separate"/>
        </w:r>
        <w:r>
          <w:rPr>
            <w:noProof/>
            <w:webHidden/>
          </w:rPr>
          <w:t>3</w:t>
        </w:r>
        <w:r w:rsidR="00D2278C">
          <w:rPr>
            <w:noProof/>
            <w:webHidden/>
          </w:rPr>
          <w:fldChar w:fldCharType="end"/>
        </w:r>
      </w:hyperlink>
    </w:p>
    <w:p w:rsidR="00D2278C" w:rsidRDefault="00256494">
      <w:pPr>
        <w:pStyle w:val="TOC2"/>
        <w:rPr>
          <w:rFonts w:asciiTheme="minorHAnsi" w:eastAsiaTheme="minorEastAsia" w:hAnsiTheme="minorHAnsi" w:cstheme="minorBidi"/>
          <w:smallCaps w:val="0"/>
          <w:noProof/>
          <w:sz w:val="22"/>
          <w:szCs w:val="22"/>
          <w:lang w:val="en-US" w:eastAsia="en-US" w:bidi="ar-SA"/>
        </w:rPr>
      </w:pPr>
      <w:hyperlink w:anchor="_Toc379459109" w:history="1">
        <w:r w:rsidR="00D2278C" w:rsidRPr="008A3159">
          <w:rPr>
            <w:rStyle w:val="Hyperlink"/>
            <w:noProof/>
          </w:rPr>
          <w:t>Fragen zur Erörterung</w:t>
        </w:r>
        <w:r w:rsidR="00D2278C">
          <w:rPr>
            <w:noProof/>
            <w:webHidden/>
          </w:rPr>
          <w:tab/>
        </w:r>
        <w:r w:rsidR="00D2278C">
          <w:rPr>
            <w:noProof/>
            <w:webHidden/>
          </w:rPr>
          <w:fldChar w:fldCharType="begin"/>
        </w:r>
        <w:r w:rsidR="00D2278C">
          <w:rPr>
            <w:noProof/>
            <w:webHidden/>
          </w:rPr>
          <w:instrText xml:space="preserve"> PAGEREF _Toc379459109 \h </w:instrText>
        </w:r>
        <w:r w:rsidR="00D2278C">
          <w:rPr>
            <w:noProof/>
            <w:webHidden/>
          </w:rPr>
        </w:r>
        <w:r w:rsidR="00D2278C">
          <w:rPr>
            <w:noProof/>
            <w:webHidden/>
          </w:rPr>
          <w:fldChar w:fldCharType="separate"/>
        </w:r>
        <w:r>
          <w:rPr>
            <w:noProof/>
            <w:webHidden/>
          </w:rPr>
          <w:t>3</w:t>
        </w:r>
        <w:r w:rsidR="00D2278C">
          <w:rPr>
            <w:noProof/>
            <w:webHidden/>
          </w:rPr>
          <w:fldChar w:fldCharType="end"/>
        </w:r>
      </w:hyperlink>
    </w:p>
    <w:p w:rsidR="00D2278C" w:rsidRDefault="00256494">
      <w:pPr>
        <w:pStyle w:val="TOC2"/>
        <w:rPr>
          <w:rFonts w:asciiTheme="minorHAnsi" w:eastAsiaTheme="minorEastAsia" w:hAnsiTheme="minorHAnsi" w:cstheme="minorBidi"/>
          <w:smallCaps w:val="0"/>
          <w:noProof/>
          <w:sz w:val="22"/>
          <w:szCs w:val="22"/>
          <w:lang w:val="en-US" w:eastAsia="en-US" w:bidi="ar-SA"/>
        </w:rPr>
      </w:pPr>
      <w:hyperlink w:anchor="_Toc379459110" w:history="1">
        <w:r w:rsidR="00D2278C" w:rsidRPr="008A3159">
          <w:rPr>
            <w:rStyle w:val="Hyperlink"/>
            <w:noProof/>
          </w:rPr>
          <w:t>Erfahrungen mit neuen Typen und Arten</w:t>
        </w:r>
        <w:r w:rsidR="00D2278C">
          <w:rPr>
            <w:noProof/>
            <w:webHidden/>
          </w:rPr>
          <w:tab/>
        </w:r>
        <w:r w:rsidR="00D2278C">
          <w:rPr>
            <w:noProof/>
            <w:webHidden/>
          </w:rPr>
          <w:fldChar w:fldCharType="begin"/>
        </w:r>
        <w:r w:rsidR="00D2278C">
          <w:rPr>
            <w:noProof/>
            <w:webHidden/>
          </w:rPr>
          <w:instrText xml:space="preserve"> PAGEREF _Toc379459110 \h </w:instrText>
        </w:r>
        <w:r w:rsidR="00D2278C">
          <w:rPr>
            <w:noProof/>
            <w:webHidden/>
          </w:rPr>
        </w:r>
        <w:r w:rsidR="00D2278C">
          <w:rPr>
            <w:noProof/>
            <w:webHidden/>
          </w:rPr>
          <w:fldChar w:fldCharType="separate"/>
        </w:r>
        <w:r>
          <w:rPr>
            <w:noProof/>
            <w:webHidden/>
          </w:rPr>
          <w:t>4</w:t>
        </w:r>
        <w:r w:rsidR="00D2278C">
          <w:rPr>
            <w:noProof/>
            <w:webHidden/>
          </w:rPr>
          <w:fldChar w:fldCharType="end"/>
        </w:r>
      </w:hyperlink>
    </w:p>
    <w:p w:rsidR="003224CD" w:rsidRPr="00606A99" w:rsidRDefault="00936DDD">
      <w:pPr>
        <w:pStyle w:val="TOC1"/>
        <w:rPr>
          <w:rFonts w:ascii="Calibri" w:hAnsi="Calibri"/>
          <w:caps w:val="0"/>
          <w:noProof/>
          <w:sz w:val="22"/>
          <w:szCs w:val="22"/>
        </w:rPr>
      </w:pPr>
      <w:r>
        <w:rPr>
          <w:b/>
          <w:bCs/>
          <w:noProof/>
        </w:rPr>
        <w:fldChar w:fldCharType="end"/>
      </w:r>
    </w:p>
    <w:p w:rsidR="00BE066A" w:rsidRDefault="00BE066A" w:rsidP="00BE066A">
      <w:pPr>
        <w:keepNext/>
        <w:rPr>
          <w:color w:val="000000"/>
        </w:rPr>
      </w:pPr>
      <w:r w:rsidRPr="00FC6CC1">
        <w:rPr>
          <w:color w:val="000000"/>
        </w:rPr>
        <w:fldChar w:fldCharType="begin"/>
      </w:r>
      <w:r w:rsidRPr="00FC6CC1">
        <w:rPr>
          <w:color w:val="000000"/>
        </w:rPr>
        <w:instrText xml:space="preserve"> AUTONUM  </w:instrText>
      </w:r>
      <w:r w:rsidRPr="00FC6CC1">
        <w:rPr>
          <w:color w:val="000000"/>
        </w:rPr>
        <w:fldChar w:fldCharType="end"/>
      </w:r>
      <w:r>
        <w:tab/>
      </w:r>
      <w:r>
        <w:rPr>
          <w:color w:val="000000"/>
        </w:rPr>
        <w:t>In diesem Dokument werden folgende Abkürzungen verwendet:</w:t>
      </w:r>
    </w:p>
    <w:p w:rsidR="00BE066A" w:rsidRPr="00FC6CC1" w:rsidRDefault="00BE066A" w:rsidP="00BE066A">
      <w:pPr>
        <w:keepNext/>
        <w:ind w:left="1692" w:hanging="1125"/>
        <w:jc w:val="left"/>
        <w:rPr>
          <w:color w:val="000000"/>
        </w:rPr>
      </w:pPr>
    </w:p>
    <w:p w:rsidR="00BE066A" w:rsidRPr="00FC6CC1" w:rsidRDefault="00BE066A" w:rsidP="00BE066A">
      <w:pPr>
        <w:keepNext/>
        <w:tabs>
          <w:tab w:val="left" w:pos="567"/>
          <w:tab w:val="left" w:pos="1701"/>
        </w:tabs>
      </w:pPr>
      <w:r>
        <w:tab/>
        <w:t>CAJ</w:t>
      </w:r>
      <w:r>
        <w:tab/>
        <w:t xml:space="preserve">Verwaltungs- und Rechtsausschuß </w:t>
      </w:r>
    </w:p>
    <w:p w:rsidR="00BE066A" w:rsidRPr="00FC6CC1" w:rsidRDefault="00BE066A" w:rsidP="00BE066A">
      <w:pPr>
        <w:keepNext/>
        <w:tabs>
          <w:tab w:val="left" w:pos="567"/>
          <w:tab w:val="left" w:pos="1701"/>
        </w:tabs>
      </w:pPr>
      <w:r>
        <w:tab/>
        <w:t>TC:</w:t>
      </w:r>
      <w:r>
        <w:tab/>
        <w:t>Technischer Ausschuß</w:t>
      </w:r>
    </w:p>
    <w:p w:rsidR="00BE066A" w:rsidRPr="00FC6CC1" w:rsidRDefault="00BE066A" w:rsidP="00BE066A">
      <w:pPr>
        <w:keepNext/>
        <w:tabs>
          <w:tab w:val="left" w:pos="567"/>
          <w:tab w:val="left" w:pos="1701"/>
        </w:tabs>
        <w:rPr>
          <w:rFonts w:eastAsia="PMingLiU"/>
          <w:szCs w:val="24"/>
        </w:rPr>
      </w:pPr>
      <w:r>
        <w:tab/>
      </w:r>
      <w:r>
        <w:rPr>
          <w:szCs w:val="24"/>
        </w:rPr>
        <w:t>TC-EDC:</w:t>
      </w:r>
      <w:r>
        <w:tab/>
      </w:r>
      <w:r>
        <w:rPr>
          <w:szCs w:val="24"/>
        </w:rPr>
        <w:t>Erweiterter Redaktionsausschuß</w:t>
      </w:r>
    </w:p>
    <w:p w:rsidR="00BE066A" w:rsidRPr="00FC6CC1" w:rsidRDefault="00BE066A" w:rsidP="00BE066A">
      <w:pPr>
        <w:keepNext/>
        <w:tabs>
          <w:tab w:val="left" w:pos="567"/>
          <w:tab w:val="left" w:pos="1701"/>
        </w:tabs>
        <w:rPr>
          <w:rFonts w:eastAsia="PMingLiU"/>
          <w:szCs w:val="24"/>
        </w:rPr>
      </w:pPr>
      <w:r>
        <w:tab/>
      </w:r>
      <w:r>
        <w:rPr>
          <w:szCs w:val="24"/>
        </w:rPr>
        <w:t>TWA:</w:t>
      </w:r>
      <w:r>
        <w:tab/>
      </w:r>
      <w:r>
        <w:rPr>
          <w:szCs w:val="24"/>
        </w:rPr>
        <w:t>Technische Arbeitsgruppe für landwirtschaftliche Arten</w:t>
      </w:r>
    </w:p>
    <w:p w:rsidR="00BE066A" w:rsidRPr="00FC6CC1" w:rsidRDefault="00BE066A" w:rsidP="00BE066A">
      <w:pPr>
        <w:keepNext/>
        <w:tabs>
          <w:tab w:val="left" w:pos="567"/>
          <w:tab w:val="left" w:pos="1701"/>
        </w:tabs>
        <w:rPr>
          <w:rFonts w:eastAsia="PMingLiU"/>
          <w:szCs w:val="24"/>
        </w:rPr>
      </w:pPr>
      <w:r>
        <w:tab/>
      </w:r>
      <w:r>
        <w:rPr>
          <w:szCs w:val="24"/>
        </w:rPr>
        <w:t>TWC:</w:t>
      </w:r>
      <w:r>
        <w:tab/>
      </w:r>
      <w:r>
        <w:rPr>
          <w:szCs w:val="24"/>
        </w:rPr>
        <w:t>Technische Arbeitsgruppe für Automatisierung und Computerprogramme</w:t>
      </w:r>
    </w:p>
    <w:p w:rsidR="00BE066A" w:rsidRPr="00FC6CC1" w:rsidRDefault="00BE066A" w:rsidP="00BE066A">
      <w:pPr>
        <w:keepNext/>
        <w:tabs>
          <w:tab w:val="left" w:pos="567"/>
          <w:tab w:val="left" w:pos="1701"/>
        </w:tabs>
        <w:rPr>
          <w:rFonts w:eastAsia="PMingLiU"/>
          <w:szCs w:val="24"/>
        </w:rPr>
      </w:pPr>
      <w:r>
        <w:tab/>
      </w:r>
      <w:r>
        <w:rPr>
          <w:szCs w:val="24"/>
        </w:rPr>
        <w:t xml:space="preserve">TWF: </w:t>
      </w:r>
      <w:r>
        <w:tab/>
      </w:r>
      <w:r>
        <w:rPr>
          <w:szCs w:val="24"/>
        </w:rPr>
        <w:t>Technische Arbeitsgruppe für Obstarten</w:t>
      </w:r>
    </w:p>
    <w:p w:rsidR="00BE066A" w:rsidRPr="00FC6CC1" w:rsidRDefault="00BE066A" w:rsidP="00BE066A">
      <w:pPr>
        <w:keepNext/>
        <w:tabs>
          <w:tab w:val="left" w:pos="567"/>
          <w:tab w:val="left" w:pos="1701"/>
        </w:tabs>
        <w:rPr>
          <w:rFonts w:eastAsia="PMingLiU"/>
          <w:szCs w:val="24"/>
        </w:rPr>
      </w:pPr>
      <w:r>
        <w:tab/>
      </w:r>
      <w:r>
        <w:rPr>
          <w:szCs w:val="24"/>
        </w:rPr>
        <w:t>TWO:</w:t>
      </w:r>
      <w:r>
        <w:tab/>
      </w:r>
      <w:r>
        <w:rPr>
          <w:szCs w:val="24"/>
        </w:rPr>
        <w:t>Technische Arbeitsgruppe für Zierpflanzen und forstliche Baumarten</w:t>
      </w:r>
    </w:p>
    <w:p w:rsidR="00BE066A" w:rsidRPr="00FC6CC1" w:rsidRDefault="00BE066A" w:rsidP="00BE066A">
      <w:pPr>
        <w:keepNext/>
        <w:tabs>
          <w:tab w:val="left" w:pos="567"/>
          <w:tab w:val="left" w:pos="1701"/>
        </w:tabs>
        <w:rPr>
          <w:rFonts w:eastAsia="PMingLiU"/>
          <w:szCs w:val="24"/>
        </w:rPr>
      </w:pPr>
      <w:r>
        <w:tab/>
      </w:r>
      <w:r>
        <w:rPr>
          <w:szCs w:val="24"/>
        </w:rPr>
        <w:t>TWP:</w:t>
      </w:r>
      <w:r>
        <w:tab/>
      </w:r>
      <w:r>
        <w:rPr>
          <w:szCs w:val="24"/>
        </w:rPr>
        <w:t>Technische Arbeitsgruppen</w:t>
      </w:r>
    </w:p>
    <w:p w:rsidR="00BE066A" w:rsidRDefault="00BE066A" w:rsidP="00BE066A">
      <w:pPr>
        <w:keepNext/>
        <w:tabs>
          <w:tab w:val="left" w:pos="567"/>
          <w:tab w:val="left" w:pos="1701"/>
        </w:tabs>
        <w:rPr>
          <w:rFonts w:eastAsia="PMingLiU"/>
          <w:szCs w:val="24"/>
        </w:rPr>
      </w:pPr>
      <w:r>
        <w:tab/>
      </w:r>
      <w:r>
        <w:rPr>
          <w:szCs w:val="24"/>
        </w:rPr>
        <w:t>TWV:</w:t>
      </w:r>
      <w:r>
        <w:tab/>
      </w:r>
      <w:r>
        <w:rPr>
          <w:szCs w:val="24"/>
        </w:rPr>
        <w:t>Technische Arbeitsgruppe für Gemüsearten</w:t>
      </w:r>
    </w:p>
    <w:p w:rsidR="00BE066A" w:rsidRDefault="00BE066A" w:rsidP="00BE066A">
      <w:pPr>
        <w:tabs>
          <w:tab w:val="left" w:pos="567"/>
          <w:tab w:val="left" w:pos="1701"/>
        </w:tabs>
        <w:rPr>
          <w:rFonts w:eastAsia="PMingLiU"/>
          <w:szCs w:val="24"/>
        </w:rPr>
      </w:pPr>
    </w:p>
    <w:p w:rsidR="00541CA2" w:rsidRDefault="00541CA2" w:rsidP="00BE066A">
      <w:pPr>
        <w:tabs>
          <w:tab w:val="left" w:pos="567"/>
          <w:tab w:val="left" w:pos="1701"/>
        </w:tabs>
        <w:rPr>
          <w:rFonts w:eastAsia="PMingLiU"/>
          <w:szCs w:val="24"/>
        </w:rPr>
      </w:pPr>
    </w:p>
    <w:p w:rsidR="00C05293" w:rsidRDefault="00C05293" w:rsidP="00BE066A">
      <w:pPr>
        <w:tabs>
          <w:tab w:val="left" w:pos="567"/>
          <w:tab w:val="left" w:pos="1701"/>
        </w:tabs>
        <w:rPr>
          <w:rFonts w:eastAsia="PMingLiU"/>
          <w:szCs w:val="24"/>
        </w:rPr>
      </w:pPr>
    </w:p>
    <w:p w:rsidR="003224CD" w:rsidRDefault="003224CD" w:rsidP="00BE066A">
      <w:pPr>
        <w:tabs>
          <w:tab w:val="left" w:pos="567"/>
          <w:tab w:val="left" w:pos="1701"/>
        </w:tabs>
        <w:rPr>
          <w:rFonts w:eastAsia="PMingLiU"/>
          <w:szCs w:val="24"/>
        </w:rPr>
      </w:pPr>
    </w:p>
    <w:p w:rsidR="003224CD" w:rsidRDefault="003224CD" w:rsidP="00BE066A">
      <w:pPr>
        <w:tabs>
          <w:tab w:val="left" w:pos="567"/>
          <w:tab w:val="left" w:pos="1701"/>
        </w:tabs>
        <w:rPr>
          <w:rFonts w:eastAsia="PMingLiU"/>
          <w:szCs w:val="24"/>
        </w:rPr>
      </w:pPr>
    </w:p>
    <w:p w:rsidR="00C57C1A" w:rsidRDefault="00C05293" w:rsidP="00C05293">
      <w:pPr>
        <w:pStyle w:val="Heading1"/>
      </w:pPr>
      <w:bookmarkStart w:id="6" w:name="_Toc379459105"/>
      <w:bookmarkStart w:id="7" w:name="_Toc378262737"/>
      <w:r>
        <w:lastRenderedPageBreak/>
        <w:t>Fragen zur Information und f</w:t>
      </w:r>
      <w:r w:rsidR="00C57C1A">
        <w:t>ür eine vom Technischen AusschuSS</w:t>
      </w:r>
      <w:r>
        <w:t xml:space="preserve"> (TC) gegebenenfalls zu treffende Entscheidung</w:t>
      </w:r>
      <w:bookmarkEnd w:id="6"/>
    </w:p>
    <w:p w:rsidR="00C05293" w:rsidRDefault="00C05293" w:rsidP="00C05293">
      <w:pPr>
        <w:pStyle w:val="Heading1"/>
        <w:rPr>
          <w:rFonts w:eastAsia="PMingLiU"/>
          <w:szCs w:val="24"/>
        </w:rPr>
      </w:pPr>
      <w:r>
        <w:t xml:space="preserve"> </w:t>
      </w:r>
      <w:bookmarkEnd w:id="7"/>
    </w:p>
    <w:p w:rsidR="00C05293" w:rsidRDefault="00C05293" w:rsidP="00BE066A">
      <w:pPr>
        <w:tabs>
          <w:tab w:val="left" w:pos="567"/>
          <w:tab w:val="left" w:pos="1701"/>
        </w:tabs>
        <w:rPr>
          <w:rFonts w:eastAsia="PMingLiU"/>
          <w:szCs w:val="24"/>
        </w:rPr>
      </w:pPr>
    </w:p>
    <w:p w:rsidR="00541CA2" w:rsidRPr="000D2BFB" w:rsidRDefault="00541CA2" w:rsidP="00936DDD">
      <w:pPr>
        <w:pStyle w:val="Heading2"/>
      </w:pPr>
      <w:bookmarkStart w:id="8" w:name="_Toc348535866"/>
      <w:bookmarkStart w:id="9" w:name="_Toc378176935"/>
      <w:bookmarkStart w:id="10" w:name="_Toc378262738"/>
      <w:bookmarkStart w:id="11" w:name="_Toc379459106"/>
      <w:r>
        <w:t>Anleitung für Verfasser von Prüfungsrichtlinien</w:t>
      </w:r>
      <w:bookmarkEnd w:id="8"/>
      <w:bookmarkEnd w:id="9"/>
      <w:bookmarkEnd w:id="10"/>
      <w:bookmarkEnd w:id="11"/>
    </w:p>
    <w:p w:rsidR="00BE066A" w:rsidRDefault="00BE066A" w:rsidP="003C38D5"/>
    <w:p w:rsidR="00541CA2" w:rsidRDefault="00541CA2" w:rsidP="003C38D5">
      <w:r w:rsidRPr="003C38D5">
        <w:fldChar w:fldCharType="begin"/>
      </w:r>
      <w:r w:rsidRPr="003C38D5">
        <w:instrText xml:space="preserve"> AUTONUM  </w:instrText>
      </w:r>
      <w:r w:rsidRPr="003C38D5">
        <w:fldChar w:fldCharType="end"/>
      </w:r>
      <w:r>
        <w:tab/>
      </w:r>
      <w:r w:rsidR="006F33B5">
        <w:t>Auf ihren Tagungen im Jahr 2013 nahmen die TWP die auf der Webs</w:t>
      </w:r>
      <w:r w:rsidR="00D976E5">
        <w:t>e</w:t>
      </w:r>
      <w:r w:rsidR="006F33B5">
        <w:t>ite für Verfasser von Prüfungsrichtlinien der UPOV-Website enthaltenen Inf</w:t>
      </w:r>
      <w:r w:rsidR="00A61B0A">
        <w:t>ormationen, einschließlich der ü</w:t>
      </w:r>
      <w:r w:rsidR="006F33B5">
        <w:t>berarbeiteten Praktischen Anleitung für Verfasser (führende Sachverständige) von UPOV-Prüfungsrichtlinien sowie die Datei „</w:t>
      </w:r>
      <w:r w:rsidR="006F33B5" w:rsidRPr="00C57C1A">
        <w:rPr>
          <w:i/>
        </w:rPr>
        <w:t>Summary information on quantity of plant material required on adopted Test Guidelines</w:t>
      </w:r>
      <w:r w:rsidR="00A61B0A">
        <w:t>“ (z</w:t>
      </w:r>
      <w:r w:rsidR="006F33B5">
        <w:t>usammengefaßte Information über die in angenommenen Prüfungsrichtlinien geforderte Menge an Pflanzenmaterial), die auf der Website für Verfasser von Prüfungsrichtlinien auf der UPOV-Website verfügbar ist, zur Kenntnis</w:t>
      </w:r>
      <w:r w:rsidR="006F33B5">
        <w:rPr>
          <w:szCs w:val="24"/>
        </w:rPr>
        <w:t xml:space="preserve"> (vergleiche </w:t>
      </w:r>
      <w:r w:rsidR="006F33B5">
        <w:t>Dokument</w:t>
      </w:r>
      <w:r w:rsidR="006F33B5">
        <w:rPr>
          <w:szCs w:val="24"/>
        </w:rPr>
        <w:t> TWO/46/29 „</w:t>
      </w:r>
      <w:r w:rsidR="00D2278C" w:rsidRPr="00D2278C">
        <w:rPr>
          <w:i/>
          <w:szCs w:val="24"/>
        </w:rPr>
        <w:t>Report</w:t>
      </w:r>
      <w:r w:rsidR="006F33B5">
        <w:rPr>
          <w:szCs w:val="24"/>
        </w:rPr>
        <w:t>”, Absätze 86 und 89, Dokument TWF/44/31 „</w:t>
      </w:r>
      <w:r w:rsidR="00D2278C" w:rsidRPr="00D2278C">
        <w:rPr>
          <w:i/>
          <w:szCs w:val="24"/>
        </w:rPr>
        <w:t>Report</w:t>
      </w:r>
      <w:r w:rsidR="006F33B5">
        <w:rPr>
          <w:szCs w:val="24"/>
        </w:rPr>
        <w:t>”, Absätze 84 und 87, Dokument</w:t>
      </w:r>
      <w:r w:rsidR="006F33B5">
        <w:t> TWV/47/34 „</w:t>
      </w:r>
      <w:r w:rsidR="00D2278C" w:rsidRPr="00D2278C">
        <w:rPr>
          <w:i/>
        </w:rPr>
        <w:t>Report</w:t>
      </w:r>
      <w:r w:rsidR="006F33B5">
        <w:t>”, Absätze 98 und</w:t>
      </w:r>
      <w:r w:rsidR="006F33B5">
        <w:rPr>
          <w:szCs w:val="24"/>
        </w:rPr>
        <w:t xml:space="preserve"> 102, Dokument</w:t>
      </w:r>
      <w:r w:rsidR="006F33B5">
        <w:t xml:space="preserve"> TWC/31/32 „</w:t>
      </w:r>
      <w:r w:rsidR="00D2278C" w:rsidRPr="00D2278C">
        <w:rPr>
          <w:i/>
        </w:rPr>
        <w:t>Report</w:t>
      </w:r>
      <w:r w:rsidR="006F33B5">
        <w:t>”, Absätze 98 und</w:t>
      </w:r>
      <w:r w:rsidR="006F33B5">
        <w:rPr>
          <w:szCs w:val="24"/>
        </w:rPr>
        <w:t xml:space="preserve"> 100 und Dokument TWA/42/31 „</w:t>
      </w:r>
      <w:r w:rsidR="00D2278C" w:rsidRPr="00D2278C">
        <w:rPr>
          <w:i/>
          <w:szCs w:val="24"/>
        </w:rPr>
        <w:t>Report</w:t>
      </w:r>
      <w:r w:rsidR="006F33B5">
        <w:rPr>
          <w:szCs w:val="24"/>
        </w:rPr>
        <w:t>”, Absätze 94 und 98</w:t>
      </w:r>
      <w:r w:rsidR="006F33B5">
        <w:t xml:space="preserve">). </w:t>
      </w:r>
    </w:p>
    <w:p w:rsidR="00541CA2" w:rsidRDefault="00541CA2" w:rsidP="00BE066A"/>
    <w:p w:rsidR="00BB61B0" w:rsidRDefault="00BB61B0" w:rsidP="00BB61B0">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tab/>
        <w:t>Die TWO nahm die Schwierigkeiten bei der Verwendung der auf der UPOV-Website verfügbaren TG-Vorlage zur Kenntnis und schlug vor, in die vorbereitende Arbeitstagung eine Demonstratio</w:t>
      </w:r>
      <w:r w:rsidR="00C57C1A">
        <w:t>n ihrer Verwendung aufzunehmen.</w:t>
      </w:r>
      <w:r>
        <w:t xml:space="preserve"> Die TWO ersuchte um ein kurzes Dokument mit dem für die Arten von Prüfungsrichtlinien, die in jeder TWP-Tagung erörtert werden, geltenden Standardwortlaut </w:t>
      </w:r>
      <w:r>
        <w:rPr>
          <w:szCs w:val="24"/>
        </w:rPr>
        <w:t xml:space="preserve">(vergleiche </w:t>
      </w:r>
      <w:r>
        <w:t>Dokument</w:t>
      </w:r>
      <w:r>
        <w:rPr>
          <w:szCs w:val="24"/>
        </w:rPr>
        <w:t> TWO/46/29 „</w:t>
      </w:r>
      <w:r w:rsidR="00D2278C" w:rsidRPr="00D2278C">
        <w:rPr>
          <w:i/>
          <w:szCs w:val="24"/>
        </w:rPr>
        <w:t>Report</w:t>
      </w:r>
      <w:r>
        <w:rPr>
          <w:szCs w:val="24"/>
        </w:rPr>
        <w:t>”, Absatz 87)</w:t>
      </w:r>
      <w:r>
        <w:t>.</w:t>
      </w:r>
    </w:p>
    <w:p w:rsidR="00110E10" w:rsidRDefault="00110E10" w:rsidP="00BB61B0">
      <w:pPr>
        <w:rPr>
          <w:rFonts w:cs="Arial"/>
        </w:rPr>
      </w:pPr>
    </w:p>
    <w:p w:rsidR="00893CA3" w:rsidRPr="00462D28" w:rsidRDefault="00893CA3" w:rsidP="00893CA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tab/>
        <w:t xml:space="preserve">Die TWF schlug die Aufnahme einer Vorlage für ein Raster für Form und Verhältnis in die künftige </w:t>
      </w:r>
      <w:r w:rsidR="00A61B0A">
        <w:t>webbasierte TG-Vorlage, die führ</w:t>
      </w:r>
      <w:r>
        <w:t xml:space="preserve">ende Sachverständige bei der Verfassung von Prüfungsrichtlinien verwenden können, vor </w:t>
      </w:r>
      <w:r>
        <w:rPr>
          <w:szCs w:val="24"/>
        </w:rPr>
        <w:t xml:space="preserve">(vergleiche </w:t>
      </w:r>
      <w:r>
        <w:t>Dokument</w:t>
      </w:r>
      <w:r>
        <w:rPr>
          <w:szCs w:val="24"/>
        </w:rPr>
        <w:t> TWF/44/31 „</w:t>
      </w:r>
      <w:r w:rsidR="00D2278C" w:rsidRPr="00D2278C">
        <w:rPr>
          <w:i/>
          <w:szCs w:val="24"/>
        </w:rPr>
        <w:t>Report</w:t>
      </w:r>
      <w:r>
        <w:rPr>
          <w:szCs w:val="24"/>
        </w:rPr>
        <w:t>”, Absatz 86</w:t>
      </w:r>
      <w:r w:rsidR="00A61B0A">
        <w:rPr>
          <w:szCs w:val="24"/>
        </w:rPr>
        <w:t>)</w:t>
      </w:r>
      <w:r>
        <w:t>.</w:t>
      </w:r>
    </w:p>
    <w:p w:rsidR="00893CA3" w:rsidRPr="00143E49" w:rsidRDefault="00893CA3" w:rsidP="00BB61B0">
      <w:pPr>
        <w:rPr>
          <w:rFonts w:cs="Arial"/>
        </w:rPr>
      </w:pPr>
    </w:p>
    <w:p w:rsidR="00110E10" w:rsidRPr="00700478" w:rsidRDefault="00110E10" w:rsidP="00620C39">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tab/>
        <w:t>Die TWV und die TWA stimmten dem Vorschlag der TWO auf ihrer sechsundvierzigsten Tagung und der T</w:t>
      </w:r>
      <w:r w:rsidR="00C57C1A">
        <w:t>WF auf ihrer vierundvierzigsten Tagung zu, bei der v</w:t>
      </w:r>
      <w:r>
        <w:t xml:space="preserve">orbereitenden Arbeitstagung eine Demonstration der Verwendung der auf der UPOV-Website verfügbaren TG-Vorlage zu erhalten und eine Vorlage für ein Raster für Form und Verhältnis in die künftige </w:t>
      </w:r>
      <w:r w:rsidR="00A61B0A">
        <w:t>webbasierte TG-Vorlage, die führ</w:t>
      </w:r>
      <w:r>
        <w:t xml:space="preserve">ende Sachverständige bei der Verfassung von Prüfungsrichtlinien verwenden können, aufzunehmen (vergleiche </w:t>
      </w:r>
      <w:r>
        <w:rPr>
          <w:szCs w:val="24"/>
        </w:rPr>
        <w:t>Dokument </w:t>
      </w:r>
      <w:r>
        <w:t>TWV/47/34 „</w:t>
      </w:r>
      <w:r w:rsidR="00D2278C" w:rsidRPr="00D2278C">
        <w:rPr>
          <w:i/>
        </w:rPr>
        <w:t>Report</w:t>
      </w:r>
      <w:r>
        <w:t xml:space="preserve">”, Absatz 101 und </w:t>
      </w:r>
      <w:r w:rsidR="00C57C1A">
        <w:rPr>
          <w:szCs w:val="24"/>
        </w:rPr>
        <w:t>Dokument TWA/42/31 „</w:t>
      </w:r>
      <w:r w:rsidR="00D2278C" w:rsidRPr="00D2278C">
        <w:rPr>
          <w:i/>
          <w:szCs w:val="24"/>
        </w:rPr>
        <w:t>Report</w:t>
      </w:r>
      <w:r>
        <w:rPr>
          <w:szCs w:val="24"/>
        </w:rPr>
        <w:t>”, Absatz 97</w:t>
      </w:r>
      <w:r>
        <w:t>).</w:t>
      </w:r>
    </w:p>
    <w:p w:rsidR="00BB61B0" w:rsidRPr="00BD6040" w:rsidRDefault="00BB61B0" w:rsidP="00BB61B0">
      <w:pPr>
        <w:ind w:left="567"/>
        <w:rPr>
          <w:rFonts w:cs="Arial"/>
        </w:rPr>
      </w:pPr>
    </w:p>
    <w:p w:rsidR="00BB61B0" w:rsidRPr="00700478" w:rsidRDefault="00BB61B0" w:rsidP="00BB61B0">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tab/>
        <w:t xml:space="preserve">Die TWV und die TWA ersuchten das Verbandsbüro, die Möglichkeit der Verwendung eines anderen Weges zum Austausch von Prüfungsrichtlinienentwürfen unter interessierten Sachverständigen zu prüfen (z.B. SharePoint oder eingeschränkten Bereich auf der Website für Verfasser von Prüfungsrichtlinien auf der UPOV-Website), da die Größe der Dokumente bei der Verwendung regulärer E-Mail-Adressen ein Problem darstellen könnte (vergleiche </w:t>
      </w:r>
      <w:r>
        <w:rPr>
          <w:szCs w:val="24"/>
        </w:rPr>
        <w:t>Dokument</w:t>
      </w:r>
      <w:r>
        <w:t xml:space="preserve"> TWV/47/34 „</w:t>
      </w:r>
      <w:r w:rsidR="00D2278C" w:rsidRPr="00D2278C">
        <w:rPr>
          <w:i/>
        </w:rPr>
        <w:t>Report</w:t>
      </w:r>
      <w:r>
        <w:t xml:space="preserve">”, Absatz 100 und </w:t>
      </w:r>
      <w:r>
        <w:rPr>
          <w:szCs w:val="24"/>
        </w:rPr>
        <w:t>Dokument TWA/42/31 „</w:t>
      </w:r>
      <w:r w:rsidR="00D2278C" w:rsidRPr="00D2278C">
        <w:rPr>
          <w:i/>
          <w:szCs w:val="24"/>
        </w:rPr>
        <w:t>Report</w:t>
      </w:r>
      <w:r>
        <w:rPr>
          <w:szCs w:val="24"/>
        </w:rPr>
        <w:t>”, Absatz 96</w:t>
      </w:r>
      <w:r>
        <w:t xml:space="preserve">).  </w:t>
      </w:r>
    </w:p>
    <w:p w:rsidR="00BB61B0" w:rsidRDefault="00BB61B0" w:rsidP="00BB61B0">
      <w:pPr>
        <w:rPr>
          <w:rFonts w:cs="Arial"/>
        </w:rPr>
      </w:pPr>
    </w:p>
    <w:p w:rsidR="006361CD" w:rsidRDefault="006361CD" w:rsidP="006361CD">
      <w:pPr>
        <w:rPr>
          <w:rFonts w:cs="Arial"/>
        </w:rPr>
      </w:pPr>
      <w:r w:rsidRPr="00E423D0">
        <w:rPr>
          <w:rFonts w:cs="Arial"/>
        </w:rPr>
        <w:fldChar w:fldCharType="begin"/>
      </w:r>
      <w:r w:rsidRPr="00E423D0">
        <w:rPr>
          <w:rFonts w:cs="Arial"/>
        </w:rPr>
        <w:instrText xml:space="preserve"> AUTONUM  </w:instrText>
      </w:r>
      <w:r w:rsidRPr="00E423D0">
        <w:rPr>
          <w:rFonts w:cs="Arial"/>
        </w:rPr>
        <w:fldChar w:fldCharType="end"/>
      </w:r>
      <w:r>
        <w:tab/>
        <w:t>Dokument TC/50/10 „Bericht über die Entwicklungen bei der UPOV, einschließlich der auf den letzten Tagungen des Verwaltungs- und Rechtsausschusses, des Beratenden Ausschusses und des Rates erörterten wichtigen Angelegenheiten“ wird Entwicklungen bei der neuen webbasierten TG-Vorlage darlegen.</w:t>
      </w:r>
    </w:p>
    <w:p w:rsidR="004C598D" w:rsidRDefault="004C598D" w:rsidP="006361CD">
      <w:pPr>
        <w:rPr>
          <w:rFonts w:cs="Arial"/>
        </w:rPr>
      </w:pPr>
    </w:p>
    <w:p w:rsidR="004C598D" w:rsidRDefault="004C598D" w:rsidP="006361CD">
      <w:pPr>
        <w:rPr>
          <w:rFonts w:cs="Arial"/>
        </w:rPr>
      </w:pPr>
      <w:r>
        <w:rPr>
          <w:rFonts w:cs="Arial"/>
        </w:rPr>
        <w:fldChar w:fldCharType="begin"/>
      </w:r>
      <w:r>
        <w:rPr>
          <w:rFonts w:cs="Arial"/>
        </w:rPr>
        <w:instrText xml:space="preserve"> AUTONUM  </w:instrText>
      </w:r>
      <w:r>
        <w:rPr>
          <w:rFonts w:cs="Arial"/>
        </w:rPr>
        <w:fldChar w:fldCharType="end"/>
      </w:r>
      <w:r>
        <w:tab/>
        <w:t>Was den Vorschlag zur Abhaltung einer Schulung über die Verwendung der neuen webbasier</w:t>
      </w:r>
      <w:r w:rsidR="00D976E5">
        <w:t>ten TG</w:t>
      </w:r>
      <w:r w:rsidR="00D976E5">
        <w:noBreakHyphen/>
      </w:r>
      <w:r w:rsidR="00C57C1A">
        <w:t>Vorlage bei der v</w:t>
      </w:r>
      <w:r>
        <w:t>orbere</w:t>
      </w:r>
      <w:r w:rsidR="00C57C1A">
        <w:t>itenden Arbeitstagung betrifft,</w:t>
      </w:r>
      <w:r>
        <w:t xml:space="preserve"> so wird dar</w:t>
      </w:r>
      <w:r w:rsidR="00C57C1A">
        <w:t>an erinnert, daß der Zweck der v</w:t>
      </w:r>
      <w:r>
        <w:t>orbereitenden Arbeitstagungen darin besteht, einigen der Delegierten dabei zu helfen, sich aktiver an der Tagung zu beteiligen und zudem ist anzunehmen, daß eine Schulung zur Verfassung von Prüfungsrichtlinien am effektivsten wä</w:t>
      </w:r>
      <w:r w:rsidR="00A61B0A">
        <w:t>re, wenn sie kurz bevor der führ</w:t>
      </w:r>
      <w:r>
        <w:t>ende Sachverständige mit den Arbeiten zur Verfassung von P</w:t>
      </w:r>
      <w:r w:rsidR="00C57C1A">
        <w:t xml:space="preserve">rüfungsrichtlinien </w:t>
      </w:r>
      <w:r w:rsidR="006F33B5">
        <w:t>beginnt</w:t>
      </w:r>
      <w:r>
        <w:t>, stattfinden würde. Deshalb wird die Organisation einer Reihe von elektronischen Arbeitstagungen zur Demonstrati</w:t>
      </w:r>
      <w:r w:rsidR="00C57C1A">
        <w:t>on der Verwendung der neuen web</w:t>
      </w:r>
      <w:r>
        <w:t xml:space="preserve">basierten TG-Vorlage vorgeschlagen. Die </w:t>
      </w:r>
      <w:r w:rsidR="007E5722">
        <w:t xml:space="preserve">elektronischen Arbeitstagungen </w:t>
      </w:r>
      <w:r>
        <w:t>würden so angesetzt werden, daß sie zeitlich mit dem Beginn d</w:t>
      </w:r>
      <w:r w:rsidR="00ED0FBB">
        <w:t>er Arbeit des Verfassens durch f</w:t>
      </w:r>
      <w:r>
        <w:t>ührende Sachverständige zusammenfallen.</w:t>
      </w:r>
    </w:p>
    <w:p w:rsidR="00897EDD" w:rsidRDefault="00897EDD" w:rsidP="006361CD">
      <w:pPr>
        <w:rPr>
          <w:rFonts w:cs="Arial"/>
        </w:rPr>
      </w:pPr>
    </w:p>
    <w:p w:rsidR="00897EDD" w:rsidRDefault="00897EDD" w:rsidP="006361CD">
      <w:pPr>
        <w:rPr>
          <w:rFonts w:cs="Arial"/>
        </w:rPr>
      </w:pPr>
      <w:r>
        <w:rPr>
          <w:rFonts w:cs="Arial"/>
        </w:rPr>
        <w:fldChar w:fldCharType="begin"/>
      </w:r>
      <w:r>
        <w:rPr>
          <w:rFonts w:cs="Arial"/>
        </w:rPr>
        <w:instrText xml:space="preserve"> AUTONUM  </w:instrText>
      </w:r>
      <w:r>
        <w:rPr>
          <w:rFonts w:cs="Arial"/>
        </w:rPr>
        <w:fldChar w:fldCharType="end"/>
      </w:r>
      <w:r>
        <w:tab/>
        <w:t>Das Verbandsbüro wird eine Vorlage für ein Raster für Form- und Verhältnismerkmale ausarbeiten, das Verfasser von Prüfungsrichtlinien verwenden können.</w:t>
      </w:r>
    </w:p>
    <w:p w:rsidR="00046773" w:rsidRPr="00E423D0" w:rsidRDefault="00046773" w:rsidP="006361CD">
      <w:pPr>
        <w:rPr>
          <w:rFonts w:cs="Arial"/>
        </w:rPr>
      </w:pPr>
    </w:p>
    <w:p w:rsidR="00897EDD" w:rsidRPr="00897EDD" w:rsidRDefault="007A4CE3" w:rsidP="00D976E5">
      <w:pPr>
        <w:pStyle w:val="DecisionParagraphs"/>
        <w:keepNext/>
      </w:pPr>
      <w:r w:rsidRPr="00897EDD">
        <w:fldChar w:fldCharType="begin"/>
      </w:r>
      <w:r w:rsidRPr="00897EDD">
        <w:instrText xml:space="preserve"> AUTONUM  </w:instrText>
      </w:r>
      <w:r w:rsidRPr="00897EDD">
        <w:fldChar w:fldCharType="end"/>
      </w:r>
      <w:r>
        <w:tab/>
        <w:t>Der TC wird ersucht,</w:t>
      </w:r>
    </w:p>
    <w:p w:rsidR="00897EDD" w:rsidRPr="00897EDD" w:rsidRDefault="00897EDD" w:rsidP="00D976E5">
      <w:pPr>
        <w:pStyle w:val="DecisionParagraphs"/>
        <w:keepNext/>
      </w:pPr>
    </w:p>
    <w:p w:rsidR="007A4CE3" w:rsidRPr="00897EDD" w:rsidRDefault="001437AA" w:rsidP="00D976E5">
      <w:pPr>
        <w:pStyle w:val="DecisionParagraphs"/>
        <w:keepNext/>
        <w:numPr>
          <w:ilvl w:val="0"/>
          <w:numId w:val="3"/>
        </w:numPr>
        <w:tabs>
          <w:tab w:val="clear" w:pos="5387"/>
          <w:tab w:val="left" w:pos="5954"/>
        </w:tabs>
        <w:ind w:left="4820" w:firstLine="567"/>
      </w:pPr>
      <w:r>
        <w:t xml:space="preserve"> zur Kenntnis zu nehmen, daß Entwicklungen betreffend die neue webbasierte </w:t>
      </w:r>
      <w:r>
        <w:lastRenderedPageBreak/>
        <w:t>TG</w:t>
      </w:r>
      <w:r w:rsidR="00D976E5">
        <w:noBreakHyphen/>
      </w:r>
      <w:r>
        <w:t>Vorlage in Dokument TC/50/10 „</w:t>
      </w:r>
      <w:r w:rsidR="00D976E5">
        <w:t>Bericht über die Entwicklungen in der UPOV, u. a. die auf den letzten Tagungen des Verwaltungs- und Rechtsausschusses, des Beratenden Ausschusses und des Rates erörterten wichtigen Angelegenheiten</w:t>
      </w:r>
      <w:r>
        <w:t>“ berichtet werden;</w:t>
      </w:r>
    </w:p>
    <w:p w:rsidR="00897EDD" w:rsidRPr="00897EDD" w:rsidRDefault="00897EDD" w:rsidP="00897EDD">
      <w:pPr>
        <w:pStyle w:val="DecisionParagraphs"/>
        <w:tabs>
          <w:tab w:val="clear" w:pos="5387"/>
          <w:tab w:val="left" w:pos="5954"/>
        </w:tabs>
        <w:ind w:left="5387"/>
      </w:pPr>
    </w:p>
    <w:p w:rsidR="00897EDD" w:rsidRDefault="00D976E5" w:rsidP="00897EDD">
      <w:pPr>
        <w:pStyle w:val="DecisionParagraphs"/>
        <w:numPr>
          <w:ilvl w:val="0"/>
          <w:numId w:val="3"/>
        </w:numPr>
        <w:tabs>
          <w:tab w:val="clear" w:pos="5387"/>
          <w:tab w:val="left" w:pos="5954"/>
        </w:tabs>
        <w:ind w:left="4820" w:firstLine="567"/>
      </w:pPr>
      <w:r>
        <w:t xml:space="preserve">der Organisation elektronischer </w:t>
      </w:r>
      <w:r w:rsidR="00C11CF0">
        <w:t>Arbeitstagung</w:t>
      </w:r>
      <w:r>
        <w:t>en</w:t>
      </w:r>
      <w:r w:rsidR="00C11CF0">
        <w:t xml:space="preserve"> zur Demonstration der Verwendung der neuen webbasierten TG-Vorlage zuzustimmen; und</w:t>
      </w:r>
    </w:p>
    <w:p w:rsidR="00897EDD" w:rsidRDefault="00897EDD" w:rsidP="00897EDD">
      <w:pPr>
        <w:pStyle w:val="ListParagraph"/>
      </w:pPr>
    </w:p>
    <w:p w:rsidR="00897EDD" w:rsidRPr="00897EDD" w:rsidRDefault="00C11CF0" w:rsidP="00897EDD">
      <w:pPr>
        <w:pStyle w:val="DecisionParagraphs"/>
        <w:numPr>
          <w:ilvl w:val="0"/>
          <w:numId w:val="3"/>
        </w:numPr>
        <w:tabs>
          <w:tab w:val="clear" w:pos="5387"/>
          <w:tab w:val="left" w:pos="5954"/>
        </w:tabs>
        <w:ind w:left="4820" w:firstLine="567"/>
      </w:pPr>
      <w:r>
        <w:t xml:space="preserve">zur Kenntnis zu nehmen, daß das Verbandsbüro eine </w:t>
      </w:r>
      <w:r w:rsidR="00D976E5">
        <w:t>Vorlage für ein Raster für Form</w:t>
      </w:r>
      <w:r w:rsidR="00D976E5">
        <w:noBreakHyphen/>
        <w:t> </w:t>
      </w:r>
      <w:r>
        <w:t>und Verhältnismerkmale zur Verwendung durch Verfasser von Prüfungsrichtlinien ausarbeiten wird.</w:t>
      </w:r>
    </w:p>
    <w:p w:rsidR="007A4CE3" w:rsidRDefault="007A4CE3" w:rsidP="007A4CE3">
      <w:pPr>
        <w:ind w:firstLine="567"/>
        <w:rPr>
          <w:i/>
        </w:rPr>
      </w:pPr>
    </w:p>
    <w:p w:rsidR="00A756A7" w:rsidRPr="00897EDD" w:rsidRDefault="00A756A7" w:rsidP="007A4CE3">
      <w:pPr>
        <w:ind w:firstLine="567"/>
        <w:rPr>
          <w:i/>
        </w:rPr>
      </w:pPr>
    </w:p>
    <w:p w:rsidR="00BB61B0" w:rsidRPr="00A65FD9" w:rsidRDefault="00BB61B0" w:rsidP="00936DDD">
      <w:pPr>
        <w:pStyle w:val="Heading2"/>
      </w:pPr>
      <w:bookmarkStart w:id="12" w:name="_Toc378176936"/>
      <w:bookmarkStart w:id="13" w:name="_Toc378262739"/>
      <w:bookmarkStart w:id="14" w:name="_Toc379459107"/>
      <w:r>
        <w:t>Datenlogger</w:t>
      </w:r>
      <w:bookmarkEnd w:id="12"/>
      <w:bookmarkEnd w:id="13"/>
      <w:bookmarkEnd w:id="14"/>
    </w:p>
    <w:p w:rsidR="00BB61B0" w:rsidRPr="00A65FD9" w:rsidRDefault="00BB61B0" w:rsidP="00BB61B0">
      <w:pPr>
        <w:autoSpaceDE w:val="0"/>
        <w:autoSpaceDN w:val="0"/>
        <w:adjustRightInd w:val="0"/>
        <w:jc w:val="left"/>
        <w:rPr>
          <w:szCs w:val="24"/>
        </w:rPr>
      </w:pPr>
    </w:p>
    <w:p w:rsidR="00BB61B0" w:rsidRPr="00112B8B" w:rsidRDefault="00BB61B0" w:rsidP="00BB61B0">
      <w:pPr>
        <w:autoSpaceDE w:val="0"/>
        <w:autoSpaceDN w:val="0"/>
        <w:adjustRightInd w:val="0"/>
        <w:rPr>
          <w:spacing w:val="-2"/>
        </w:rPr>
      </w:pPr>
      <w:r w:rsidRPr="00A65FD9">
        <w:fldChar w:fldCharType="begin"/>
      </w:r>
      <w:r w:rsidRPr="00A65FD9">
        <w:instrText xml:space="preserve"> AUTONUM  </w:instrText>
      </w:r>
      <w:r w:rsidRPr="00A65FD9">
        <w:fldChar w:fldCharType="end"/>
      </w:r>
      <w:r>
        <w:tab/>
        <w:t xml:space="preserve">Die TWC nahm auf ihrer einunddreißigsten Tagung die Information zur aktualisierten Befragung über Handgeräte zur Datenerhebung in der Anlage von Dokument TWC/31/28 Rev. zur Kenntnis und vereinbarte, daß </w:t>
      </w:r>
      <w:r>
        <w:rPr>
          <w:spacing w:val="-2"/>
        </w:rPr>
        <w:t xml:space="preserve">das Verbandsbüro im Vorfeld der zweiunddreißigsten Tagung der TWC ein neues Rundschreiben mit der Bitte um weitere Einträge versenden solle (vergleiche </w:t>
      </w:r>
      <w:r>
        <w:rPr>
          <w:szCs w:val="24"/>
        </w:rPr>
        <w:t>Dokument</w:t>
      </w:r>
      <w:r>
        <w:t xml:space="preserve"> TWC/31/32 „</w:t>
      </w:r>
      <w:r w:rsidR="00D2278C" w:rsidRPr="00D2278C">
        <w:rPr>
          <w:i/>
        </w:rPr>
        <w:t>Report</w:t>
      </w:r>
      <w:r>
        <w:t>”, Absätze 76 und 77)</w:t>
      </w:r>
      <w:r>
        <w:rPr>
          <w:spacing w:val="-2"/>
        </w:rPr>
        <w:t>.</w:t>
      </w:r>
    </w:p>
    <w:p w:rsidR="00BB61B0" w:rsidRPr="00E52BE8" w:rsidRDefault="00BB61B0" w:rsidP="00BB61B0">
      <w:pPr>
        <w:autoSpaceDE w:val="0"/>
        <w:autoSpaceDN w:val="0"/>
        <w:adjustRightInd w:val="0"/>
        <w:jc w:val="left"/>
        <w:rPr>
          <w:szCs w:val="24"/>
        </w:rPr>
      </w:pPr>
    </w:p>
    <w:p w:rsidR="00165C5B" w:rsidRDefault="00165C5B" w:rsidP="00165C5B">
      <w:pPr>
        <w:pStyle w:val="DecisionParagraphs"/>
      </w:pPr>
      <w:r w:rsidRPr="00CC587F">
        <w:fldChar w:fldCharType="begin"/>
      </w:r>
      <w:r w:rsidRPr="00CC587F">
        <w:instrText xml:space="preserve"> AUTONUM  </w:instrText>
      </w:r>
      <w:r w:rsidRPr="00CC587F">
        <w:fldChar w:fldCharType="end"/>
      </w:r>
      <w:r>
        <w:tab/>
        <w:t>Der TC wird ersucht, das Verbandsbüro zu ersuchen, im Vorfeld der zweiunddreißigsten Tagung der TWC ein neues Rundschreiben betreffend Handgeräte zur Datenerhebung mit der Bitte um weitere Einträge zu verschicken.</w:t>
      </w:r>
    </w:p>
    <w:p w:rsidR="00BB61B0" w:rsidRPr="00E52BE8" w:rsidRDefault="00BB61B0" w:rsidP="00BB61B0">
      <w:pPr>
        <w:autoSpaceDE w:val="0"/>
        <w:autoSpaceDN w:val="0"/>
        <w:adjustRightInd w:val="0"/>
        <w:ind w:left="426" w:hanging="426"/>
        <w:jc w:val="left"/>
      </w:pPr>
    </w:p>
    <w:p w:rsidR="007A221A" w:rsidRDefault="007A221A" w:rsidP="007A221A">
      <w:pPr>
        <w:rPr>
          <w:caps/>
        </w:rPr>
      </w:pPr>
    </w:p>
    <w:p w:rsidR="00C05293" w:rsidRDefault="00C05293" w:rsidP="007A221A">
      <w:pPr>
        <w:rPr>
          <w:caps/>
        </w:rPr>
      </w:pPr>
    </w:p>
    <w:p w:rsidR="00C05293" w:rsidRDefault="00C05293" w:rsidP="00C05293">
      <w:pPr>
        <w:pStyle w:val="Heading1"/>
      </w:pPr>
      <w:bookmarkStart w:id="15" w:name="_Toc378262740"/>
      <w:bookmarkStart w:id="16" w:name="_Toc379459108"/>
      <w:r>
        <w:t>Angelegenheiten zur Information</w:t>
      </w:r>
      <w:bookmarkEnd w:id="15"/>
      <w:bookmarkEnd w:id="16"/>
    </w:p>
    <w:p w:rsidR="00C05293" w:rsidRDefault="00C05293" w:rsidP="007A221A">
      <w:pPr>
        <w:rPr>
          <w:caps/>
        </w:rPr>
      </w:pPr>
    </w:p>
    <w:p w:rsidR="00BD4B39" w:rsidRPr="00462D28" w:rsidRDefault="00C05293" w:rsidP="00936DDD">
      <w:pPr>
        <w:pStyle w:val="Heading2"/>
      </w:pPr>
      <w:bookmarkStart w:id="17" w:name="_Toc378262741"/>
      <w:bookmarkStart w:id="18" w:name="_Toc379459109"/>
      <w:r>
        <w:t>Fragen zur Erörterung</w:t>
      </w:r>
      <w:bookmarkEnd w:id="17"/>
      <w:bookmarkEnd w:id="18"/>
    </w:p>
    <w:p w:rsidR="00BD4B39" w:rsidRPr="00462D28" w:rsidRDefault="00BD4B39" w:rsidP="00BD4B39">
      <w:pPr>
        <w:pStyle w:val="Style1"/>
        <w:tabs>
          <w:tab w:val="left" w:pos="720"/>
        </w:tabs>
        <w:rPr>
          <w:color w:val="000000"/>
        </w:rPr>
      </w:pPr>
    </w:p>
    <w:p w:rsidR="00BD4B39" w:rsidRPr="00462D28" w:rsidRDefault="00BD4B39" w:rsidP="00BD4B39">
      <w:pPr>
        <w:pStyle w:val="Style1"/>
        <w:tabs>
          <w:tab w:val="clear" w:pos="907"/>
          <w:tab w:val="clear" w:pos="1077"/>
          <w:tab w:val="left" w:pos="630"/>
        </w:tabs>
        <w:rPr>
          <w:rFonts w:ascii="Arial" w:hAnsi="Arial" w:cs="Arial"/>
          <w:color w:val="000000"/>
          <w:sz w:val="20"/>
          <w:szCs w:val="20"/>
        </w:rPr>
      </w:pPr>
      <w:r w:rsidRPr="00462D28">
        <w:rPr>
          <w:rFonts w:ascii="Arial" w:hAnsi="Arial" w:cs="Arial"/>
          <w:color w:val="000000"/>
          <w:sz w:val="20"/>
          <w:szCs w:val="20"/>
        </w:rPr>
        <w:fldChar w:fldCharType="begin"/>
      </w:r>
      <w:r w:rsidRPr="00462D28">
        <w:rPr>
          <w:rFonts w:ascii="Arial" w:hAnsi="Arial" w:cs="Arial"/>
          <w:color w:val="000000"/>
          <w:sz w:val="20"/>
          <w:szCs w:val="20"/>
        </w:rPr>
        <w:instrText xml:space="preserve"> AUTONUM  </w:instrText>
      </w:r>
      <w:r w:rsidRPr="00462D28">
        <w:rPr>
          <w:rFonts w:ascii="Arial" w:hAnsi="Arial" w:cs="Arial"/>
          <w:color w:val="000000"/>
          <w:sz w:val="20"/>
          <w:szCs w:val="20"/>
        </w:rPr>
        <w:fldChar w:fldCharType="end"/>
      </w:r>
      <w:r>
        <w:tab/>
      </w:r>
      <w:r>
        <w:rPr>
          <w:rFonts w:ascii="Arial" w:hAnsi="Arial"/>
          <w:color w:val="000000"/>
          <w:sz w:val="20"/>
          <w:szCs w:val="20"/>
        </w:rPr>
        <w:t>Die TWF schlug auf ihrer vierundvierzigsten Tagung vor, dem Programm ihrer fünfundvierzigsten Tagung einen Tagesordnungspunkt hinzuzufügen, unter dem folgende Angelegenheiten erörtert würden (vergleiche Dokument TWF/44/31 „</w:t>
      </w:r>
      <w:r w:rsidR="00D2278C" w:rsidRPr="00D2278C">
        <w:rPr>
          <w:rFonts w:ascii="Arial" w:hAnsi="Arial"/>
          <w:i/>
          <w:color w:val="000000"/>
          <w:sz w:val="20"/>
          <w:szCs w:val="20"/>
        </w:rPr>
        <w:t>Report</w:t>
      </w:r>
      <w:r>
        <w:rPr>
          <w:rFonts w:ascii="Arial" w:hAnsi="Arial"/>
          <w:color w:val="000000"/>
          <w:sz w:val="20"/>
          <w:szCs w:val="20"/>
        </w:rPr>
        <w:t>”, Absatz 107):</w:t>
      </w:r>
    </w:p>
    <w:p w:rsidR="00BD4B39" w:rsidRPr="00462D28" w:rsidRDefault="00BD4B39" w:rsidP="00BD4B39">
      <w:pPr>
        <w:pStyle w:val="Style1"/>
        <w:tabs>
          <w:tab w:val="left" w:pos="720"/>
        </w:tabs>
        <w:rPr>
          <w:rFonts w:ascii="Arial" w:hAnsi="Arial" w:cs="Arial"/>
          <w:color w:val="000000"/>
          <w:sz w:val="20"/>
          <w:szCs w:val="20"/>
        </w:rPr>
      </w:pPr>
    </w:p>
    <w:p w:rsidR="00BD4B39" w:rsidRPr="00462D28" w:rsidRDefault="00BD4B39" w:rsidP="003A1E0F">
      <w:pPr>
        <w:pStyle w:val="Style1"/>
        <w:numPr>
          <w:ilvl w:val="0"/>
          <w:numId w:val="2"/>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Verwaltung von Vergleichssammlungen für die DUS-Prüfung (von Frankreich und der Europäischen Union zu erstellendes Dokument)</w:t>
      </w:r>
    </w:p>
    <w:p w:rsidR="00BD4B39" w:rsidRPr="00462D28" w:rsidRDefault="00BD4B39" w:rsidP="003A1E0F">
      <w:pPr>
        <w:pStyle w:val="Style1"/>
        <w:numPr>
          <w:ilvl w:val="0"/>
          <w:numId w:val="2"/>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Dauer der DUS-Prüfungen im Obstsektor (von der Europäischen Union zu erstellendes Dokument)</w:t>
      </w:r>
    </w:p>
    <w:p w:rsidR="00BD4B39" w:rsidRPr="003A1E0F" w:rsidRDefault="00BD4B39" w:rsidP="003A1E0F">
      <w:pPr>
        <w:pStyle w:val="Style1"/>
        <w:numPr>
          <w:ilvl w:val="0"/>
          <w:numId w:val="2"/>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Harmonisierte Beispielssorten für Apfel: historische Daten und etwaige neue Entwicklungen (von Deutschland, Neuseeland und der Europäischen Union zu erstellendes Dokument)</w:t>
      </w:r>
    </w:p>
    <w:p w:rsidR="008D6020" w:rsidRDefault="008D6020" w:rsidP="008D6020">
      <w:pPr>
        <w:rPr>
          <w:color w:val="000000"/>
        </w:rPr>
      </w:pPr>
    </w:p>
    <w:p w:rsidR="00AF448F" w:rsidRPr="00700478" w:rsidRDefault="00AF448F" w:rsidP="00AF448F">
      <w:pPr>
        <w:pStyle w:val="Style1"/>
        <w:tabs>
          <w:tab w:val="clear" w:pos="907"/>
          <w:tab w:val="clear" w:pos="1077"/>
          <w:tab w:val="left" w:pos="630"/>
        </w:tabs>
        <w:rPr>
          <w:rFonts w:ascii="Arial" w:hAnsi="Arial" w:cs="Arial"/>
          <w:color w:val="000000"/>
          <w:sz w:val="20"/>
          <w:szCs w:val="20"/>
        </w:rPr>
      </w:pPr>
      <w:r w:rsidRPr="00700478">
        <w:rPr>
          <w:rFonts w:ascii="Arial" w:hAnsi="Arial"/>
          <w:sz w:val="20"/>
          <w:szCs w:val="20"/>
          <w:lang w:eastAsia="en-US"/>
        </w:rPr>
        <w:fldChar w:fldCharType="begin"/>
      </w:r>
      <w:r w:rsidRPr="00700478">
        <w:rPr>
          <w:rFonts w:ascii="Arial" w:hAnsi="Arial"/>
          <w:sz w:val="20"/>
          <w:szCs w:val="20"/>
          <w:lang w:eastAsia="en-US"/>
        </w:rPr>
        <w:instrText xml:space="preserve"> AUTONUM  </w:instrText>
      </w:r>
      <w:r w:rsidRPr="00700478">
        <w:rPr>
          <w:rFonts w:ascii="Arial" w:hAnsi="Arial"/>
          <w:sz w:val="20"/>
          <w:szCs w:val="20"/>
          <w:lang w:eastAsia="en-US"/>
        </w:rPr>
        <w:fldChar w:fldCharType="end"/>
      </w:r>
      <w:r>
        <w:tab/>
      </w:r>
      <w:r>
        <w:rPr>
          <w:rFonts w:ascii="Arial" w:hAnsi="Arial"/>
          <w:color w:val="000000"/>
          <w:sz w:val="20"/>
          <w:szCs w:val="20"/>
        </w:rPr>
        <w:t>Die TWF schlug auf ihrer siebenundvierzigsten Tagung vor, dem Programm ihrer achtundvierzigsten Tagung geeignete Tagesordnungspunkte hinzuzufügen, unter denen folgende Angelegenheiten dargelegt und erörtert würden (vergleiche Dokument TWV/47/34 „</w:t>
      </w:r>
      <w:r w:rsidR="00D2278C" w:rsidRPr="00D2278C">
        <w:rPr>
          <w:rFonts w:ascii="Arial" w:hAnsi="Arial"/>
          <w:i/>
          <w:color w:val="000000"/>
          <w:sz w:val="20"/>
          <w:szCs w:val="20"/>
        </w:rPr>
        <w:t>Report</w:t>
      </w:r>
      <w:r>
        <w:rPr>
          <w:rFonts w:ascii="Arial" w:hAnsi="Arial"/>
          <w:color w:val="000000"/>
          <w:sz w:val="20"/>
          <w:szCs w:val="20"/>
        </w:rPr>
        <w:t>”, Absatz 122):</w:t>
      </w:r>
    </w:p>
    <w:p w:rsidR="00AF448F" w:rsidRPr="00700478" w:rsidRDefault="00AF448F" w:rsidP="00AF448F">
      <w:pPr>
        <w:pStyle w:val="Style1"/>
        <w:tabs>
          <w:tab w:val="clear" w:pos="907"/>
          <w:tab w:val="clear" w:pos="1077"/>
          <w:tab w:val="left" w:pos="630"/>
        </w:tabs>
        <w:rPr>
          <w:rFonts w:ascii="Arial" w:hAnsi="Arial" w:cs="Arial"/>
          <w:color w:val="000000"/>
          <w:sz w:val="20"/>
          <w:szCs w:val="20"/>
        </w:rPr>
      </w:pPr>
    </w:p>
    <w:p w:rsidR="00AF448F" w:rsidRPr="00700478" w:rsidRDefault="00AF448F" w:rsidP="00345714">
      <w:pPr>
        <w:pStyle w:val="Style1"/>
        <w:numPr>
          <w:ilvl w:val="0"/>
          <w:numId w:val="4"/>
        </w:numPr>
        <w:tabs>
          <w:tab w:val="clear" w:pos="907"/>
          <w:tab w:val="clear" w:pos="1077"/>
        </w:tabs>
        <w:ind w:left="1134" w:hanging="566"/>
        <w:rPr>
          <w:rFonts w:ascii="Arial" w:hAnsi="Arial" w:cs="Arial"/>
          <w:color w:val="000000"/>
          <w:sz w:val="20"/>
          <w:szCs w:val="20"/>
        </w:rPr>
      </w:pPr>
      <w:r>
        <w:rPr>
          <w:rFonts w:ascii="Arial" w:hAnsi="Arial"/>
          <w:color w:val="000000"/>
          <w:sz w:val="20"/>
          <w:szCs w:val="20"/>
        </w:rPr>
        <w:t>molekulare Verfahren bei der DUS-Prüfung (von den Niederlanden zu erstellendes Dokument und die Verbandsmitglieder werden um Referate gebeten)</w:t>
      </w:r>
    </w:p>
    <w:p w:rsidR="00AF448F" w:rsidRPr="00700478" w:rsidRDefault="00C05293" w:rsidP="00345714">
      <w:pPr>
        <w:pStyle w:val="Style1"/>
        <w:numPr>
          <w:ilvl w:val="0"/>
          <w:numId w:val="4"/>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Verwendung statistischer Ansätze bei der DUS-Prüfung (von den Niederlanden zu erstellendes Dokument und die Verbandsmitglieder werden um Referate gebeten)</w:t>
      </w:r>
    </w:p>
    <w:p w:rsidR="00AF448F" w:rsidRPr="00700478" w:rsidRDefault="00AF448F" w:rsidP="00345714">
      <w:pPr>
        <w:pStyle w:val="Style1"/>
        <w:numPr>
          <w:ilvl w:val="0"/>
          <w:numId w:val="4"/>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Verwendung von Krankheitsresistenzmerkmalen bei der DUS-Prüfung (von der Europäischen Union zu erstellendes Dokument und die Verbandsmitglieder werden um Referate gebeten)</w:t>
      </w:r>
    </w:p>
    <w:p w:rsidR="00AF448F" w:rsidRPr="00700478" w:rsidRDefault="00AF448F" w:rsidP="00345714">
      <w:pPr>
        <w:pStyle w:val="Style1"/>
        <w:numPr>
          <w:ilvl w:val="0"/>
          <w:numId w:val="4"/>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Verwaltung von Vergleichssammlungen (von Frankreich zu erstellendes Dokument und die Verbandsmitglieder werden um Referate gebeten)</w:t>
      </w:r>
    </w:p>
    <w:p w:rsidR="00AF448F" w:rsidRPr="00700478" w:rsidRDefault="00AF448F" w:rsidP="00345714">
      <w:pPr>
        <w:pStyle w:val="Style1"/>
        <w:numPr>
          <w:ilvl w:val="0"/>
          <w:numId w:val="4"/>
        </w:numPr>
        <w:tabs>
          <w:tab w:val="clear" w:pos="907"/>
          <w:tab w:val="clear" w:pos="1077"/>
          <w:tab w:val="left" w:pos="630"/>
        </w:tabs>
        <w:ind w:left="1134" w:hanging="566"/>
        <w:rPr>
          <w:rFonts w:ascii="Arial" w:hAnsi="Arial" w:cs="Arial"/>
          <w:color w:val="000000"/>
          <w:sz w:val="20"/>
          <w:szCs w:val="20"/>
        </w:rPr>
      </w:pPr>
      <w:r>
        <w:rPr>
          <w:rFonts w:ascii="Arial" w:hAnsi="Arial"/>
          <w:color w:val="000000"/>
          <w:sz w:val="20"/>
          <w:szCs w:val="20"/>
        </w:rPr>
        <w:t>Neue Fragen, die sich für die DUS-Prüfung ergeben (die Verbandsmitglieder werden um Referate gebeten)</w:t>
      </w:r>
    </w:p>
    <w:p w:rsidR="00AF448F" w:rsidRDefault="00AF448F" w:rsidP="00AF448F">
      <w:pPr>
        <w:rPr>
          <w:color w:val="000000"/>
        </w:rPr>
      </w:pPr>
    </w:p>
    <w:p w:rsidR="008D6020" w:rsidRDefault="008D6020" w:rsidP="008D6020">
      <w:pPr>
        <w:pStyle w:val="DecisionParagraphs"/>
      </w:pPr>
      <w:r w:rsidRPr="00CC587F">
        <w:fldChar w:fldCharType="begin"/>
      </w:r>
      <w:r w:rsidRPr="00CC587F">
        <w:instrText xml:space="preserve"> AUTONUM  </w:instrText>
      </w:r>
      <w:r w:rsidRPr="00CC587F">
        <w:fldChar w:fldCharType="end"/>
      </w:r>
      <w:r>
        <w:tab/>
        <w:t>Der TC wird ersucht, die Hinzufügung von Themen zur Erörterung auf den Tagungen der TWF und der TWV im Jahr 2014, wie in den Absätzen 15 und 16 dargelegt, zur Kenntnis zu nehmen.</w:t>
      </w:r>
    </w:p>
    <w:p w:rsidR="008D6020" w:rsidRPr="00700478" w:rsidRDefault="008D6020" w:rsidP="00AF448F">
      <w:pPr>
        <w:rPr>
          <w:color w:val="000000"/>
        </w:rPr>
      </w:pPr>
    </w:p>
    <w:p w:rsidR="00C05293" w:rsidRDefault="00C05293" w:rsidP="00BE066A"/>
    <w:p w:rsidR="00C05293" w:rsidRPr="00936DDD" w:rsidRDefault="00C05293" w:rsidP="00C05293">
      <w:pPr>
        <w:pStyle w:val="Heading2"/>
      </w:pPr>
      <w:bookmarkStart w:id="19" w:name="_Toc348535868"/>
      <w:bookmarkStart w:id="20" w:name="_Toc378176937"/>
      <w:bookmarkStart w:id="21" w:name="_Toc378262742"/>
      <w:bookmarkStart w:id="22" w:name="_Toc379459110"/>
      <w:r>
        <w:t>Erfahrungen mit neuen Typen und Arten</w:t>
      </w:r>
      <w:bookmarkEnd w:id="19"/>
      <w:bookmarkEnd w:id="20"/>
      <w:bookmarkEnd w:id="21"/>
      <w:bookmarkEnd w:id="22"/>
    </w:p>
    <w:p w:rsidR="00C05293" w:rsidRDefault="00C05293" w:rsidP="00C05293"/>
    <w:p w:rsidR="00C05293" w:rsidRPr="00143E49" w:rsidRDefault="00C05293" w:rsidP="00C05293">
      <w:pPr>
        <w:rPr>
          <w:snapToGrid w:val="0"/>
        </w:rPr>
      </w:pPr>
      <w:r w:rsidRPr="00143E49">
        <w:rPr>
          <w:snapToGrid w:val="0"/>
        </w:rPr>
        <w:fldChar w:fldCharType="begin"/>
      </w:r>
      <w:r w:rsidRPr="00143E49">
        <w:rPr>
          <w:snapToGrid w:val="0"/>
        </w:rPr>
        <w:instrText xml:space="preserve"> AUTONUM  </w:instrText>
      </w:r>
      <w:r w:rsidRPr="00143E49">
        <w:rPr>
          <w:snapToGrid w:val="0"/>
        </w:rPr>
        <w:fldChar w:fldCharType="end"/>
      </w:r>
      <w:r>
        <w:tab/>
        <w:t xml:space="preserve">Die TWO hörte auf ihrer sechsundvierzigsten Tagung ein Referat eines Sachverständigen aus Australien über eine neue Gattungshybridsorte zwischen </w:t>
      </w:r>
      <w:r>
        <w:rPr>
          <w:i/>
        </w:rPr>
        <w:t>Disphyma crassifolium</w:t>
      </w:r>
      <w:r>
        <w:t xml:space="preserve"> ssp. </w:t>
      </w:r>
      <w:r>
        <w:rPr>
          <w:i/>
        </w:rPr>
        <w:t>clavellatum</w:t>
      </w:r>
      <w:r>
        <w:t xml:space="preserve"> und </w:t>
      </w:r>
      <w:r>
        <w:rPr>
          <w:i/>
        </w:rPr>
        <w:t>Glottiphyllum longum</w:t>
      </w:r>
      <w:r w:rsidR="0076287D">
        <w:t>.</w:t>
      </w:r>
      <w:r>
        <w:t xml:space="preserve"> Eine Abschrift des Referats wurde in Dokument TWO/46/28 „Berichte über Entwicklungen im Sortenschutz von Mitgliedern und Beobachtern” aufgenommen </w:t>
      </w:r>
      <w:r>
        <w:rPr>
          <w:szCs w:val="24"/>
        </w:rPr>
        <w:t xml:space="preserve">(vergleiche </w:t>
      </w:r>
      <w:r>
        <w:t>Dokument</w:t>
      </w:r>
      <w:r>
        <w:rPr>
          <w:szCs w:val="24"/>
        </w:rPr>
        <w:t> TWO/46/29 „</w:t>
      </w:r>
      <w:r w:rsidR="00D2278C" w:rsidRPr="00D2278C">
        <w:rPr>
          <w:i/>
          <w:szCs w:val="24"/>
        </w:rPr>
        <w:t>Report</w:t>
      </w:r>
      <w:r>
        <w:rPr>
          <w:szCs w:val="24"/>
        </w:rPr>
        <w:t>”, Absatz 103)</w:t>
      </w:r>
      <w:r>
        <w:t>.</w:t>
      </w:r>
    </w:p>
    <w:p w:rsidR="00C05293" w:rsidRPr="004B761D" w:rsidRDefault="00C05293" w:rsidP="00C05293"/>
    <w:p w:rsidR="00C05293" w:rsidRDefault="00C05293" w:rsidP="00C05293">
      <w:pPr>
        <w:rPr>
          <w:rFonts w:eastAsia="PMingLiU" w:cs="Arial"/>
          <w:szCs w:val="24"/>
        </w:rPr>
      </w:pPr>
      <w:r w:rsidRPr="00D25E50">
        <w:fldChar w:fldCharType="begin"/>
      </w:r>
      <w:r w:rsidRPr="00D25E50">
        <w:instrText xml:space="preserve"> AUTONUM  </w:instrText>
      </w:r>
      <w:r w:rsidRPr="00D25E50">
        <w:fldChar w:fldCharType="end"/>
      </w:r>
      <w:r>
        <w:tab/>
        <w:t xml:space="preserve">Die TWA hörte auf ihrer zweiundvierzigsten Tagung ein Referat von einem Sachverständigen aus der Ukraine über Erfahrungen mit neuen Typen und Arten, einschließlich </w:t>
      </w:r>
      <w:r>
        <w:rPr>
          <w:i/>
        </w:rPr>
        <w:t>Sorghum oryzoidum</w:t>
      </w:r>
      <w:r>
        <w:t xml:space="preserve">, einem  Gattungshybriden zwischen </w:t>
      </w:r>
      <w:r>
        <w:rPr>
          <w:i/>
        </w:rPr>
        <w:t>Sorghum bicolor</w:t>
      </w:r>
      <w:r>
        <w:t xml:space="preserve"> und </w:t>
      </w:r>
      <w:r>
        <w:rPr>
          <w:i/>
        </w:rPr>
        <w:t>Oryza sativa</w:t>
      </w:r>
      <w:r>
        <w:t>. Das Referat wurde als eine Anlage von Dokument TWA/42/28 „Berichte über Entwicklungen im Sortenschutz von Mitgliedern und Beobachtern” aufgenommen (vergleiche Dokument</w:t>
      </w:r>
      <w:r>
        <w:rPr>
          <w:szCs w:val="24"/>
        </w:rPr>
        <w:t> TWA/42/31 „</w:t>
      </w:r>
      <w:r w:rsidR="00D2278C" w:rsidRPr="00D2278C">
        <w:rPr>
          <w:i/>
          <w:szCs w:val="24"/>
        </w:rPr>
        <w:t>Report</w:t>
      </w:r>
      <w:r>
        <w:rPr>
          <w:szCs w:val="24"/>
        </w:rPr>
        <w:t>”, Absatz 73)</w:t>
      </w:r>
      <w:r>
        <w:t>.</w:t>
      </w:r>
    </w:p>
    <w:p w:rsidR="005D1338" w:rsidRDefault="005D1338" w:rsidP="005D1338">
      <w:pPr>
        <w:rPr>
          <w:color w:val="000000"/>
        </w:rPr>
      </w:pPr>
    </w:p>
    <w:p w:rsidR="005D1338" w:rsidRDefault="005D1338" w:rsidP="005D1338">
      <w:pPr>
        <w:pStyle w:val="DecisionParagraphs"/>
      </w:pPr>
      <w:r w:rsidRPr="00CC587F">
        <w:fldChar w:fldCharType="begin"/>
      </w:r>
      <w:r w:rsidRPr="00CC587F">
        <w:instrText xml:space="preserve"> AUTONUM  </w:instrText>
      </w:r>
      <w:r w:rsidRPr="00CC587F">
        <w:fldChar w:fldCharType="end"/>
      </w:r>
      <w:r>
        <w:tab/>
        <w:t>Der TC wird ersucht, die Information über Erfahrungen mit neuen Typen und Arten, die der TWO und der TWA auf ihren Tagungen im Jahr 2013 erteilt wurde, wie in den Absätzen 18 und 19 dargelegt, zur Kenntnis zu nehmen.</w:t>
      </w:r>
    </w:p>
    <w:p w:rsidR="005D1338" w:rsidRPr="00700478" w:rsidRDefault="005D1338" w:rsidP="005D1338">
      <w:pPr>
        <w:rPr>
          <w:color w:val="000000"/>
        </w:rPr>
      </w:pPr>
    </w:p>
    <w:p w:rsidR="00C05293" w:rsidRDefault="00C05293" w:rsidP="00050E16">
      <w:pPr>
        <w:rPr>
          <w:caps/>
        </w:rPr>
      </w:pPr>
    </w:p>
    <w:p w:rsidR="00050E16" w:rsidRPr="00C651CE" w:rsidRDefault="00050E16" w:rsidP="00050E16"/>
    <w:p w:rsidR="00050E16" w:rsidRPr="00C5280D" w:rsidRDefault="00050E16" w:rsidP="00050E16">
      <w:pPr>
        <w:jc w:val="right"/>
      </w:pPr>
      <w:r>
        <w:t xml:space="preserve"> [Ende des Dokuments]</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0A" w:rsidRDefault="0047320A" w:rsidP="006655D3">
      <w:r>
        <w:separator/>
      </w:r>
    </w:p>
    <w:p w:rsidR="0047320A" w:rsidRDefault="0047320A" w:rsidP="006655D3"/>
    <w:p w:rsidR="0047320A" w:rsidRDefault="0047320A" w:rsidP="006655D3"/>
  </w:endnote>
  <w:endnote w:type="continuationSeparator" w:id="0">
    <w:p w:rsidR="0047320A" w:rsidRDefault="0047320A" w:rsidP="006655D3">
      <w:r>
        <w:separator/>
      </w:r>
    </w:p>
    <w:p w:rsidR="0047320A" w:rsidRPr="00BE066A" w:rsidRDefault="0047320A">
      <w:pPr>
        <w:pStyle w:val="Footer"/>
        <w:spacing w:after="60"/>
        <w:rPr>
          <w:sz w:val="18"/>
          <w:lang w:val="fr-FR"/>
        </w:rPr>
      </w:pPr>
      <w:r w:rsidRPr="00BE066A">
        <w:rPr>
          <w:sz w:val="18"/>
          <w:lang w:val="fr-FR"/>
        </w:rPr>
        <w:t>[Suite de la note de la page précédente]</w:t>
      </w:r>
    </w:p>
    <w:p w:rsidR="0047320A" w:rsidRPr="00BE066A" w:rsidRDefault="0047320A" w:rsidP="006655D3">
      <w:pPr>
        <w:rPr>
          <w:lang w:val="fr-FR"/>
        </w:rPr>
      </w:pPr>
    </w:p>
    <w:p w:rsidR="0047320A" w:rsidRPr="00BE066A" w:rsidRDefault="0047320A" w:rsidP="006655D3">
      <w:pPr>
        <w:rPr>
          <w:lang w:val="fr-FR"/>
        </w:rPr>
      </w:pPr>
    </w:p>
  </w:endnote>
  <w:endnote w:type="continuationNotice" w:id="1">
    <w:p w:rsidR="0047320A" w:rsidRPr="00BE066A" w:rsidRDefault="0047320A" w:rsidP="006655D3">
      <w:pPr>
        <w:rPr>
          <w:lang w:val="fr-FR"/>
        </w:rPr>
      </w:pPr>
      <w:r w:rsidRPr="00BE066A">
        <w:rPr>
          <w:lang w:val="fr-FR"/>
        </w:rPr>
        <w:t>[Suite de la note page suivante]</w:t>
      </w:r>
    </w:p>
    <w:p w:rsidR="0047320A" w:rsidRPr="00BE066A" w:rsidRDefault="0047320A" w:rsidP="006655D3">
      <w:pPr>
        <w:rPr>
          <w:lang w:val="fr-FR"/>
        </w:rPr>
      </w:pPr>
    </w:p>
    <w:p w:rsidR="0047320A" w:rsidRPr="00BE066A" w:rsidRDefault="004732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0A" w:rsidRDefault="0047320A" w:rsidP="006655D3">
      <w:r>
        <w:separator/>
      </w:r>
    </w:p>
  </w:footnote>
  <w:footnote w:type="continuationSeparator" w:id="0">
    <w:p w:rsidR="0047320A" w:rsidRDefault="0047320A" w:rsidP="006655D3">
      <w:r>
        <w:separator/>
      </w:r>
    </w:p>
  </w:footnote>
  <w:footnote w:type="continuationNotice" w:id="1">
    <w:p w:rsidR="0047320A" w:rsidRPr="00AB530F" w:rsidRDefault="0047320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TC/50/3</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6494">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04F1"/>
    <w:multiLevelType w:val="hybridMultilevel"/>
    <w:tmpl w:val="E2A6B3F6"/>
    <w:lvl w:ilvl="0" w:tplc="04070017">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54E6588"/>
    <w:multiLevelType w:val="hybridMultilevel"/>
    <w:tmpl w:val="200610E2"/>
    <w:lvl w:ilvl="0" w:tplc="0F4AC6FA">
      <w:start w:val="1"/>
      <w:numFmt w:val="lowerLetter"/>
      <w:lvlText w:val="(%1)"/>
      <w:lvlJc w:val="left"/>
      <w:pPr>
        <w:ind w:left="6711" w:hanging="615"/>
      </w:pPr>
      <w:rPr>
        <w:rFonts w:cs="Times New Roman"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
    <w:nsid w:val="5EFF291D"/>
    <w:multiLevelType w:val="hybridMultilevel"/>
    <w:tmpl w:val="E2A6B3F6"/>
    <w:lvl w:ilvl="0" w:tplc="04070017">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F595D9F"/>
    <w:multiLevelType w:val="hybridMultilevel"/>
    <w:tmpl w:val="CF48ABF6"/>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1A"/>
    <w:rsid w:val="000100D8"/>
    <w:rsid w:val="00010CF3"/>
    <w:rsid w:val="00011E27"/>
    <w:rsid w:val="000148BC"/>
    <w:rsid w:val="00024AB8"/>
    <w:rsid w:val="00027EA1"/>
    <w:rsid w:val="00030854"/>
    <w:rsid w:val="00036028"/>
    <w:rsid w:val="00037387"/>
    <w:rsid w:val="00044642"/>
    <w:rsid w:val="000446B9"/>
    <w:rsid w:val="00046773"/>
    <w:rsid w:val="00047E21"/>
    <w:rsid w:val="00050E16"/>
    <w:rsid w:val="00085505"/>
    <w:rsid w:val="000C7021"/>
    <w:rsid w:val="000D6BBC"/>
    <w:rsid w:val="000D7780"/>
    <w:rsid w:val="000F2F11"/>
    <w:rsid w:val="00105929"/>
    <w:rsid w:val="00110E10"/>
    <w:rsid w:val="001131D5"/>
    <w:rsid w:val="00122FA5"/>
    <w:rsid w:val="00141DB8"/>
    <w:rsid w:val="001437AA"/>
    <w:rsid w:val="00165C5B"/>
    <w:rsid w:val="0017474A"/>
    <w:rsid w:val="001758C6"/>
    <w:rsid w:val="00182B99"/>
    <w:rsid w:val="001F3725"/>
    <w:rsid w:val="0021332C"/>
    <w:rsid w:val="00213982"/>
    <w:rsid w:val="0024416D"/>
    <w:rsid w:val="00253574"/>
    <w:rsid w:val="00256494"/>
    <w:rsid w:val="00271911"/>
    <w:rsid w:val="002800A0"/>
    <w:rsid w:val="002801B3"/>
    <w:rsid w:val="00281060"/>
    <w:rsid w:val="002940E8"/>
    <w:rsid w:val="00297396"/>
    <w:rsid w:val="002A6E50"/>
    <w:rsid w:val="002B777C"/>
    <w:rsid w:val="002C256A"/>
    <w:rsid w:val="002E1469"/>
    <w:rsid w:val="00305A7F"/>
    <w:rsid w:val="003152FE"/>
    <w:rsid w:val="003224CD"/>
    <w:rsid w:val="00327436"/>
    <w:rsid w:val="00332DBC"/>
    <w:rsid w:val="00344BD6"/>
    <w:rsid w:val="00345714"/>
    <w:rsid w:val="0035528D"/>
    <w:rsid w:val="00361821"/>
    <w:rsid w:val="003A1E0F"/>
    <w:rsid w:val="003B5E7A"/>
    <w:rsid w:val="003C38D5"/>
    <w:rsid w:val="003D227C"/>
    <w:rsid w:val="003D2B4D"/>
    <w:rsid w:val="00407963"/>
    <w:rsid w:val="00444A88"/>
    <w:rsid w:val="0047320A"/>
    <w:rsid w:val="00474DA4"/>
    <w:rsid w:val="00476B4D"/>
    <w:rsid w:val="004805FA"/>
    <w:rsid w:val="004C598D"/>
    <w:rsid w:val="004D047D"/>
    <w:rsid w:val="004F305A"/>
    <w:rsid w:val="00512164"/>
    <w:rsid w:val="00520297"/>
    <w:rsid w:val="005205D4"/>
    <w:rsid w:val="005338F9"/>
    <w:rsid w:val="00541CA2"/>
    <w:rsid w:val="0054281C"/>
    <w:rsid w:val="0055268D"/>
    <w:rsid w:val="0057139C"/>
    <w:rsid w:val="00576BE4"/>
    <w:rsid w:val="005A400A"/>
    <w:rsid w:val="005A4E4E"/>
    <w:rsid w:val="005C4BB4"/>
    <w:rsid w:val="005D1338"/>
    <w:rsid w:val="00606A99"/>
    <w:rsid w:val="00612379"/>
    <w:rsid w:val="0061555F"/>
    <w:rsid w:val="00620C39"/>
    <w:rsid w:val="00623211"/>
    <w:rsid w:val="006361CD"/>
    <w:rsid w:val="00641200"/>
    <w:rsid w:val="00656F7A"/>
    <w:rsid w:val="006655D3"/>
    <w:rsid w:val="00667404"/>
    <w:rsid w:val="00687EB4"/>
    <w:rsid w:val="006A2FEB"/>
    <w:rsid w:val="006B17D2"/>
    <w:rsid w:val="006C224E"/>
    <w:rsid w:val="006D179E"/>
    <w:rsid w:val="006D780A"/>
    <w:rsid w:val="006F33B5"/>
    <w:rsid w:val="00715991"/>
    <w:rsid w:val="00732DEC"/>
    <w:rsid w:val="00735BD5"/>
    <w:rsid w:val="00746A32"/>
    <w:rsid w:val="007556F6"/>
    <w:rsid w:val="00760EEF"/>
    <w:rsid w:val="0076287D"/>
    <w:rsid w:val="00777EE5"/>
    <w:rsid w:val="00784836"/>
    <w:rsid w:val="0079023E"/>
    <w:rsid w:val="007A221A"/>
    <w:rsid w:val="007A2854"/>
    <w:rsid w:val="007A4CE3"/>
    <w:rsid w:val="007A5308"/>
    <w:rsid w:val="007D0B9D"/>
    <w:rsid w:val="007D19B0"/>
    <w:rsid w:val="007E5722"/>
    <w:rsid w:val="007F498F"/>
    <w:rsid w:val="007F4BE5"/>
    <w:rsid w:val="00803F05"/>
    <w:rsid w:val="0080679D"/>
    <w:rsid w:val="008108B0"/>
    <w:rsid w:val="00811B20"/>
    <w:rsid w:val="0082296E"/>
    <w:rsid w:val="00824099"/>
    <w:rsid w:val="00837E2A"/>
    <w:rsid w:val="00867AC1"/>
    <w:rsid w:val="008724EC"/>
    <w:rsid w:val="00893CA3"/>
    <w:rsid w:val="00897EDD"/>
    <w:rsid w:val="008A743F"/>
    <w:rsid w:val="008C0970"/>
    <w:rsid w:val="008D2CF7"/>
    <w:rsid w:val="008D6020"/>
    <w:rsid w:val="00900C26"/>
    <w:rsid w:val="0090197F"/>
    <w:rsid w:val="00906DDC"/>
    <w:rsid w:val="009234AE"/>
    <w:rsid w:val="00934E09"/>
    <w:rsid w:val="00936253"/>
    <w:rsid w:val="00936DDD"/>
    <w:rsid w:val="00952DD4"/>
    <w:rsid w:val="00970FED"/>
    <w:rsid w:val="00992D82"/>
    <w:rsid w:val="00997029"/>
    <w:rsid w:val="009D690D"/>
    <w:rsid w:val="009E65B6"/>
    <w:rsid w:val="00A24C10"/>
    <w:rsid w:val="00A27005"/>
    <w:rsid w:val="00A42AC3"/>
    <w:rsid w:val="00A42C03"/>
    <w:rsid w:val="00A430CF"/>
    <w:rsid w:val="00A47B14"/>
    <w:rsid w:val="00A54309"/>
    <w:rsid w:val="00A61B0A"/>
    <w:rsid w:val="00A756A7"/>
    <w:rsid w:val="00A87A3D"/>
    <w:rsid w:val="00AB2B93"/>
    <w:rsid w:val="00AB530F"/>
    <w:rsid w:val="00AB7E5B"/>
    <w:rsid w:val="00AE0EF1"/>
    <w:rsid w:val="00AE2937"/>
    <w:rsid w:val="00AF448F"/>
    <w:rsid w:val="00B03254"/>
    <w:rsid w:val="00B07301"/>
    <w:rsid w:val="00B224DE"/>
    <w:rsid w:val="00B46575"/>
    <w:rsid w:val="00B84BBD"/>
    <w:rsid w:val="00BA43FB"/>
    <w:rsid w:val="00BB61B0"/>
    <w:rsid w:val="00BC127D"/>
    <w:rsid w:val="00BC1FE6"/>
    <w:rsid w:val="00BD4B39"/>
    <w:rsid w:val="00BE066A"/>
    <w:rsid w:val="00C05293"/>
    <w:rsid w:val="00C061B6"/>
    <w:rsid w:val="00C077ED"/>
    <w:rsid w:val="00C11CF0"/>
    <w:rsid w:val="00C14281"/>
    <w:rsid w:val="00C2446C"/>
    <w:rsid w:val="00C36AE5"/>
    <w:rsid w:val="00C41F17"/>
    <w:rsid w:val="00C5280D"/>
    <w:rsid w:val="00C5791C"/>
    <w:rsid w:val="00C57C1A"/>
    <w:rsid w:val="00C66290"/>
    <w:rsid w:val="00C72B7A"/>
    <w:rsid w:val="00C917A2"/>
    <w:rsid w:val="00C973F2"/>
    <w:rsid w:val="00CA304C"/>
    <w:rsid w:val="00CA774A"/>
    <w:rsid w:val="00CC11B0"/>
    <w:rsid w:val="00CF0EF4"/>
    <w:rsid w:val="00CF3842"/>
    <w:rsid w:val="00CF7E36"/>
    <w:rsid w:val="00D2278C"/>
    <w:rsid w:val="00D3708D"/>
    <w:rsid w:val="00D40426"/>
    <w:rsid w:val="00D43B00"/>
    <w:rsid w:val="00D57C96"/>
    <w:rsid w:val="00D60F2F"/>
    <w:rsid w:val="00D91203"/>
    <w:rsid w:val="00D95174"/>
    <w:rsid w:val="00D976E5"/>
    <w:rsid w:val="00DA6F36"/>
    <w:rsid w:val="00DB596E"/>
    <w:rsid w:val="00DB7773"/>
    <w:rsid w:val="00DC00EA"/>
    <w:rsid w:val="00E31916"/>
    <w:rsid w:val="00E32F7E"/>
    <w:rsid w:val="00E64EE6"/>
    <w:rsid w:val="00E72D49"/>
    <w:rsid w:val="00E7593C"/>
    <w:rsid w:val="00E7678A"/>
    <w:rsid w:val="00E935F1"/>
    <w:rsid w:val="00E94A81"/>
    <w:rsid w:val="00EA1FFB"/>
    <w:rsid w:val="00EB048E"/>
    <w:rsid w:val="00ED0FBB"/>
    <w:rsid w:val="00EE34DF"/>
    <w:rsid w:val="00EE50E1"/>
    <w:rsid w:val="00EF2F89"/>
    <w:rsid w:val="00EF6164"/>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autoRedefine/>
    <w:qFormat/>
    <w:rsid w:val="004805FA"/>
    <w:pPr>
      <w:keepNext/>
      <w:jc w:val="both"/>
      <w:outlineLvl w:val="0"/>
    </w:pPr>
    <w:rPr>
      <w:rFonts w:ascii="Arial" w:hAnsi="Arial"/>
      <w:caps/>
      <w:lang w:bidi="de-DE"/>
    </w:rPr>
  </w:style>
  <w:style w:type="paragraph" w:styleId="Heading2">
    <w:name w:val="heading 2"/>
    <w:next w:val="Normal"/>
    <w:link w:val="Heading2Char"/>
    <w:autoRedefine/>
    <w:qFormat/>
    <w:rsid w:val="00936DDD"/>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D2278C"/>
    <w:pPr>
      <w:tabs>
        <w:tab w:val="right" w:leader="dot" w:pos="9639"/>
      </w:tabs>
      <w:contextualSpacing/>
    </w:pPr>
    <w:rPr>
      <w:rFonts w:ascii="Arial" w:hAnsi="Arial"/>
      <w:caps/>
      <w:small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Heading2Char">
    <w:name w:val="Heading 2 Char"/>
    <w:link w:val="Heading2"/>
    <w:rsid w:val="00936DDD"/>
    <w:rPr>
      <w:rFonts w:ascii="Arial" w:hAnsi="Arial"/>
      <w:u w:val="single"/>
    </w:rPr>
  </w:style>
  <w:style w:type="character" w:customStyle="1" w:styleId="DecisionParagraphsChar">
    <w:name w:val="DecisionParagraphs Char"/>
    <w:link w:val="DecisionParagraphs"/>
    <w:rsid w:val="007A4CE3"/>
    <w:rPr>
      <w:rFonts w:ascii="Arial" w:hAnsi="Arial"/>
      <w:i/>
    </w:rPr>
  </w:style>
  <w:style w:type="paragraph" w:styleId="ListParagraph">
    <w:name w:val="List Paragraph"/>
    <w:basedOn w:val="Normal"/>
    <w:uiPriority w:val="34"/>
    <w:qFormat/>
    <w:rsid w:val="00837E2A"/>
    <w:pPr>
      <w:ind w:left="720"/>
      <w:contextualSpacing/>
    </w:pPr>
  </w:style>
  <w:style w:type="paragraph" w:customStyle="1" w:styleId="Style1">
    <w:name w:val="Style1"/>
    <w:basedOn w:val="Normal"/>
    <w:rsid w:val="00BD4B39"/>
    <w:pPr>
      <w:tabs>
        <w:tab w:val="decimal" w:pos="907"/>
        <w:tab w:val="left" w:pos="1077"/>
      </w:tabs>
    </w:pPr>
    <w:rPr>
      <w:rFonts w:ascii="Times New Roman" w:hAnsi="Times New Roman"/>
      <w:sz w:val="24"/>
      <w:szCs w:val="24"/>
    </w:rPr>
  </w:style>
  <w:style w:type="paragraph" w:styleId="TOCHeading">
    <w:name w:val="TOC Heading"/>
    <w:basedOn w:val="Heading1"/>
    <w:next w:val="Normal"/>
    <w:uiPriority w:val="39"/>
    <w:unhideWhenUsed/>
    <w:qFormat/>
    <w:rsid w:val="00936DDD"/>
    <w:pPr>
      <w:keepLines/>
      <w:spacing w:before="480" w:line="276" w:lineRule="auto"/>
      <w:jc w:val="left"/>
      <w:outlineLvl w:val="9"/>
    </w:pPr>
    <w:rPr>
      <w:rFonts w:ascii="Cambria" w:hAnsi="Cambria"/>
      <w:b/>
      <w:bCs/>
      <w:cap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20Witzig\UPOV%202014%20-%201\tc_50_03_34346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A755-452F-423F-9519-0CCD8AB6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tc_50_03_34346_DE.dotx</Template>
  <TotalTime>44</TotalTime>
  <Pages>4</Pages>
  <Words>1655</Words>
  <Characters>9434</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Sabine Witzig</dc:creator>
  <cp:lastModifiedBy>FAVA Alexandra</cp:lastModifiedBy>
  <cp:revision>19</cp:revision>
  <cp:lastPrinted>2014-02-14T12:48:00Z</cp:lastPrinted>
  <dcterms:created xsi:type="dcterms:W3CDTF">2014-02-04T14:08:00Z</dcterms:created>
  <dcterms:modified xsi:type="dcterms:W3CDTF">2014-02-14T12:49:00Z</dcterms:modified>
</cp:coreProperties>
</file>