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4C7E38" w:rsidRPr="00CB1D49" w:rsidTr="004826F7">
        <w:trPr>
          <w:trHeight w:val="1760"/>
        </w:trPr>
        <w:tc>
          <w:tcPr>
            <w:tcW w:w="4243" w:type="dxa"/>
          </w:tcPr>
          <w:p w:rsidR="004C7E38" w:rsidRPr="00C5280D" w:rsidRDefault="004C7E38" w:rsidP="006655D3"/>
        </w:tc>
        <w:tc>
          <w:tcPr>
            <w:tcW w:w="1646" w:type="dxa"/>
            <w:vAlign w:val="center"/>
          </w:tcPr>
          <w:p w:rsidR="004C7E38" w:rsidRPr="00C5280D" w:rsidRDefault="00C40993" w:rsidP="006655D3">
            <w:pPr>
              <w:pStyle w:val="LogoUPOV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75.45pt;height:35.15pt;visibility:visible">
                  <v:imagedata r:id="rId8" o:title=""/>
                </v:shape>
              </w:pict>
            </w:r>
          </w:p>
        </w:tc>
        <w:tc>
          <w:tcPr>
            <w:tcW w:w="4242" w:type="dxa"/>
            <w:vAlign w:val="center"/>
          </w:tcPr>
          <w:p w:rsidR="004C7E38" w:rsidRPr="004826F7" w:rsidRDefault="004C7E38" w:rsidP="006655D3">
            <w:pPr>
              <w:pStyle w:val="Lettrine"/>
              <w:rPr>
                <w:lang w:val="de-DE"/>
              </w:rPr>
            </w:pPr>
            <w:r w:rsidRPr="004826F7">
              <w:rPr>
                <w:lang w:val="de-DE"/>
              </w:rPr>
              <w:t>G</w:t>
            </w:r>
          </w:p>
          <w:p w:rsidR="004C7E38" w:rsidRPr="004826F7" w:rsidRDefault="004C7E38" w:rsidP="006655D3">
            <w:pPr>
              <w:pStyle w:val="Docoriginal"/>
              <w:rPr>
                <w:lang w:val="de-DE"/>
              </w:rPr>
            </w:pPr>
            <w:r w:rsidRPr="004826F7">
              <w:rPr>
                <w:lang w:val="de-DE"/>
              </w:rPr>
              <w:t>TC/50/</w:t>
            </w:r>
            <w:bookmarkStart w:id="0" w:name="Code"/>
            <w:bookmarkEnd w:id="0"/>
            <w:r w:rsidRPr="004826F7">
              <w:rPr>
                <w:lang w:val="de-DE"/>
              </w:rPr>
              <w:t>29</w:t>
            </w:r>
          </w:p>
          <w:p w:rsidR="004C7E38" w:rsidRPr="00CB1D49" w:rsidRDefault="004C7E38" w:rsidP="006655D3">
            <w:pPr>
              <w:pStyle w:val="Docoriginal"/>
              <w:rPr>
                <w:b w:val="0"/>
                <w:spacing w:val="0"/>
                <w:lang w:val="de-DE"/>
              </w:rPr>
            </w:pPr>
            <w:r w:rsidRPr="00CB1D49">
              <w:rPr>
                <w:rStyle w:val="StyleDoclangBold"/>
                <w:b/>
                <w:bCs/>
                <w:spacing w:val="0"/>
                <w:lang w:val="de-DE"/>
              </w:rPr>
              <w:t>ORIGINAL:</w:t>
            </w:r>
            <w:r w:rsidRPr="00CB1D49">
              <w:rPr>
                <w:rStyle w:val="StyleDocoriginalNotBold1"/>
                <w:spacing w:val="0"/>
                <w:lang w:val="de-DE"/>
              </w:rPr>
              <w:t xml:space="preserve"> </w:t>
            </w:r>
            <w:r w:rsidRPr="00CB1D49">
              <w:rPr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>
              <w:rPr>
                <w:b w:val="0"/>
                <w:spacing w:val="0"/>
                <w:lang w:val="de-DE"/>
              </w:rPr>
              <w:t>e</w:t>
            </w:r>
            <w:r w:rsidRPr="00CB1D49">
              <w:rPr>
                <w:b w:val="0"/>
                <w:spacing w:val="0"/>
                <w:lang w:val="de-DE"/>
              </w:rPr>
              <w:t>nglisch</w:t>
            </w:r>
          </w:p>
          <w:p w:rsidR="004C7E38" w:rsidRPr="00CB1D49" w:rsidRDefault="004C7E38" w:rsidP="00C40993">
            <w:pPr>
              <w:pStyle w:val="Docoriginal"/>
              <w:rPr>
                <w:lang w:val="de-DE"/>
              </w:rPr>
            </w:pPr>
            <w:r w:rsidRPr="00CB1D49">
              <w:rPr>
                <w:spacing w:val="0"/>
                <w:lang w:val="de-DE"/>
              </w:rPr>
              <w:t xml:space="preserve">DATUM: </w:t>
            </w:r>
            <w:r w:rsidRPr="00CB1D49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C40993">
              <w:rPr>
                <w:rStyle w:val="StyleDocoriginalNotBold1"/>
                <w:spacing w:val="0"/>
                <w:lang w:val="de-DE"/>
              </w:rPr>
              <w:t>20</w:t>
            </w:r>
            <w:r w:rsidRPr="00CB1D49">
              <w:rPr>
                <w:rStyle w:val="StyleDocoriginalNotBold1"/>
                <w:spacing w:val="0"/>
                <w:lang w:val="de-DE"/>
              </w:rPr>
              <w:t xml:space="preserve">. </w:t>
            </w:r>
            <w:r w:rsidRPr="00CB1D49">
              <w:rPr>
                <w:b w:val="0"/>
                <w:spacing w:val="0"/>
                <w:lang w:val="de-DE"/>
              </w:rPr>
              <w:t>Januar 2014</w:t>
            </w:r>
          </w:p>
        </w:tc>
      </w:tr>
      <w:tr w:rsidR="004C7E38" w:rsidRPr="00C40993" w:rsidTr="004826F7">
        <w:tc>
          <w:tcPr>
            <w:tcW w:w="10131" w:type="dxa"/>
            <w:gridSpan w:val="3"/>
          </w:tcPr>
          <w:p w:rsidR="004C7E38" w:rsidRPr="004F679E" w:rsidRDefault="004C7E38" w:rsidP="003D79E9">
            <w:pPr>
              <w:pStyle w:val="upove"/>
              <w:rPr>
                <w:sz w:val="28"/>
                <w:lang w:val="de-DE"/>
              </w:rPr>
            </w:pPr>
            <w:r w:rsidRPr="004F679E">
              <w:rPr>
                <w:rFonts w:cs="Arial"/>
                <w:lang w:val="de-DE" w:eastAsia="de-DE"/>
              </w:rPr>
              <w:t>INTERNATIONALER VERBAND ZUM SCHUTZ VON PFLANZENZÜCHTUNGEN</w:t>
            </w:r>
          </w:p>
        </w:tc>
      </w:tr>
      <w:tr w:rsidR="004C7E38" w:rsidRPr="00C5280D" w:rsidTr="004826F7">
        <w:tc>
          <w:tcPr>
            <w:tcW w:w="10131" w:type="dxa"/>
            <w:gridSpan w:val="3"/>
          </w:tcPr>
          <w:p w:rsidR="004C7E38" w:rsidRPr="00C712AE" w:rsidRDefault="004C7E38" w:rsidP="003D79E9">
            <w:pPr>
              <w:pStyle w:val="Country"/>
            </w:pPr>
            <w:proofErr w:type="spellStart"/>
            <w:r w:rsidRPr="00C712AE">
              <w:t>Gen</w:t>
            </w:r>
            <w:r>
              <w:t>f</w:t>
            </w:r>
            <w:proofErr w:type="spellEnd"/>
          </w:p>
        </w:tc>
      </w:tr>
    </w:tbl>
    <w:p w:rsidR="004C7E38" w:rsidRPr="004A1DAE" w:rsidRDefault="004C7E38" w:rsidP="004826F7">
      <w:pPr>
        <w:spacing w:before="240"/>
        <w:jc w:val="center"/>
        <w:rPr>
          <w:rFonts w:cs="Arial"/>
          <w:b/>
          <w:bCs/>
          <w:caps/>
          <w:kern w:val="28"/>
          <w:sz w:val="24"/>
          <w:lang w:val="de-DE" w:eastAsia="de-DE"/>
        </w:rPr>
      </w:pPr>
      <w:bookmarkStart w:id="3" w:name="TitleOfDoc"/>
      <w:bookmarkEnd w:id="3"/>
      <w:r w:rsidRPr="004A1DAE">
        <w:rPr>
          <w:rFonts w:cs="Arial"/>
          <w:b/>
          <w:bCs/>
          <w:caps/>
          <w:kern w:val="28"/>
          <w:sz w:val="24"/>
          <w:lang w:val="de-DE" w:eastAsia="de-DE"/>
        </w:rPr>
        <w:t>Technischer AusschuSS</w:t>
      </w:r>
    </w:p>
    <w:p w:rsidR="004C7E38" w:rsidRPr="00E934CE" w:rsidRDefault="004C7E38" w:rsidP="004826F7">
      <w:pPr>
        <w:pStyle w:val="Sessiontcplacedate"/>
        <w:rPr>
          <w:lang w:val="de-DE"/>
        </w:rPr>
      </w:pPr>
      <w:r w:rsidRPr="00E934CE">
        <w:rPr>
          <w:lang w:val="de-DE"/>
        </w:rPr>
        <w:t>Fünfzigste T</w:t>
      </w:r>
      <w:r>
        <w:rPr>
          <w:lang w:val="de-DE"/>
        </w:rPr>
        <w:t>agung</w:t>
      </w:r>
      <w:r w:rsidRPr="00E934CE">
        <w:rPr>
          <w:lang w:val="de-DE"/>
        </w:rPr>
        <w:br/>
        <w:t>Gen</w:t>
      </w:r>
      <w:r>
        <w:rPr>
          <w:lang w:val="de-DE"/>
        </w:rPr>
        <w:t>f</w:t>
      </w:r>
      <w:r w:rsidRPr="00E934CE">
        <w:rPr>
          <w:lang w:val="de-DE"/>
        </w:rPr>
        <w:t>,</w:t>
      </w:r>
      <w:r>
        <w:rPr>
          <w:lang w:val="de-DE"/>
        </w:rPr>
        <w:t xml:space="preserve"> 7. bis 9.</w:t>
      </w:r>
      <w:r w:rsidRPr="00E934CE">
        <w:rPr>
          <w:lang w:val="de-DE"/>
        </w:rPr>
        <w:t xml:space="preserve"> April 2014</w:t>
      </w:r>
    </w:p>
    <w:p w:rsidR="004C7E38" w:rsidRPr="004826F7" w:rsidRDefault="004C7E38" w:rsidP="00383797">
      <w:pPr>
        <w:pStyle w:val="Titleofdoc0"/>
        <w:rPr>
          <w:lang w:val="de-DE"/>
        </w:rPr>
      </w:pPr>
      <w:r w:rsidRPr="004826F7">
        <w:rPr>
          <w:rFonts w:cs="Arial"/>
          <w:caps w:val="0"/>
          <w:lang w:val="de-DE" w:eastAsia="de-DE"/>
        </w:rPr>
        <w:t xml:space="preserve">ÜBERARBEITUNG VON DOKUMENT </w:t>
      </w:r>
      <w:r w:rsidRPr="004826F7">
        <w:rPr>
          <w:rFonts w:cs="Arial"/>
          <w:lang w:val="de-DE"/>
        </w:rPr>
        <w:t xml:space="preserve">TGP/14: </w:t>
      </w:r>
      <w:bookmarkStart w:id="4" w:name="_GoBack"/>
      <w:bookmarkEnd w:id="4"/>
      <w:r w:rsidRPr="004826F7">
        <w:rPr>
          <w:rFonts w:cs="Arial"/>
          <w:lang w:val="de-DE"/>
        </w:rPr>
        <w:t>abschnitt 2: Botani</w:t>
      </w:r>
      <w:r>
        <w:rPr>
          <w:rFonts w:cs="Arial"/>
          <w:lang w:val="de-DE"/>
        </w:rPr>
        <w:t>sche begriffe</w:t>
      </w:r>
      <w:r w:rsidRPr="004826F7">
        <w:rPr>
          <w:rFonts w:cs="Arial"/>
          <w:lang w:val="de-DE"/>
        </w:rPr>
        <w:t xml:space="preserve">, </w:t>
      </w:r>
      <w:r w:rsidRPr="004826F7">
        <w:rPr>
          <w:rFonts w:cs="Arial"/>
          <w:lang w:val="de-DE"/>
        </w:rPr>
        <w:br/>
      </w:r>
      <w:r>
        <w:rPr>
          <w:rFonts w:cs="Arial"/>
          <w:lang w:val="de-DE"/>
        </w:rPr>
        <w:t>unterAbschnitt</w:t>
      </w:r>
      <w:r w:rsidRPr="004826F7">
        <w:rPr>
          <w:rFonts w:cs="Arial"/>
          <w:lang w:val="de-DE"/>
        </w:rPr>
        <w:t xml:space="preserve"> 3: </w:t>
      </w:r>
      <w:r>
        <w:rPr>
          <w:rFonts w:cs="Arial"/>
          <w:lang w:val="de-DE"/>
        </w:rPr>
        <w:t>farbe</w:t>
      </w:r>
      <w:r w:rsidRPr="004826F7">
        <w:rPr>
          <w:rFonts w:cs="Arial"/>
          <w:lang w:val="de-DE"/>
        </w:rPr>
        <w:t xml:space="preserve">, </w:t>
      </w:r>
      <w:r>
        <w:rPr>
          <w:rFonts w:cs="Arial"/>
          <w:lang w:val="de-DE"/>
        </w:rPr>
        <w:t>Begriffsbestimmung</w:t>
      </w:r>
      <w:r w:rsidRPr="004826F7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>von</w:t>
      </w:r>
      <w:r w:rsidRPr="004826F7">
        <w:rPr>
          <w:rFonts w:cs="Arial"/>
          <w:lang w:val="de-DE"/>
        </w:rPr>
        <w:t> </w:t>
      </w:r>
      <w:r>
        <w:rPr>
          <w:lang w:val="de-DE"/>
        </w:rPr>
        <w:t>„</w:t>
      </w:r>
      <w:r w:rsidRPr="006C4799">
        <w:rPr>
          <w:rFonts w:cs="Arial"/>
          <w:i/>
          <w:lang w:val="de-DE"/>
        </w:rPr>
        <w:t>Dot</w:t>
      </w:r>
      <w:r w:rsidR="00FE2C2C">
        <w:rPr>
          <w:rFonts w:cs="Arial"/>
          <w:i/>
          <w:lang w:val="de-DE"/>
        </w:rPr>
        <w:t>“</w:t>
      </w:r>
      <w:r>
        <w:rPr>
          <w:lang w:val="de-DE"/>
        </w:rPr>
        <w:t xml:space="preserve"> (Punkt)</w:t>
      </w:r>
    </w:p>
    <w:p w:rsidR="004C7E38" w:rsidRPr="00A43DDF" w:rsidRDefault="004C7E38" w:rsidP="004826F7">
      <w:pPr>
        <w:pStyle w:val="preparedby1"/>
        <w:rPr>
          <w:lang w:val="de-DE"/>
        </w:rPr>
      </w:pPr>
      <w:bookmarkStart w:id="5" w:name="Prepared"/>
      <w:bookmarkEnd w:id="5"/>
      <w:r w:rsidRPr="004826F7">
        <w:rPr>
          <w:rFonts w:cs="Arial"/>
          <w:lang w:val="de-DE" w:eastAsia="de-DE"/>
        </w:rPr>
        <w:t>Vom Verbandsbüro erstelltes Dokument</w:t>
      </w:r>
      <w:r w:rsidRPr="004826F7">
        <w:rPr>
          <w:lang w:val="de-DE"/>
        </w:rPr>
        <w:br/>
      </w:r>
      <w:r w:rsidRPr="004826F7">
        <w:rPr>
          <w:lang w:val="de-DE"/>
        </w:rPr>
        <w:br/>
      </w:r>
      <w:r w:rsidRPr="00A43DDF">
        <w:rPr>
          <w:color w:val="A6A6A6"/>
          <w:lang w:val="de-DE"/>
        </w:rPr>
        <w:t>Haftungsausschluß: dieses Dokument gibt nicht die Grundsätze oder eine Anleitung der UPOV wieder</w:t>
      </w:r>
    </w:p>
    <w:p w:rsidR="004C7E38" w:rsidRPr="007D62EE" w:rsidRDefault="004C7E38" w:rsidP="00E1546A">
      <w:pPr>
        <w:rPr>
          <w:snapToGrid w:val="0"/>
          <w:lang w:val="de-DE"/>
        </w:rPr>
      </w:pPr>
      <w:r w:rsidRPr="007D62EE">
        <w:rPr>
          <w:snapToGrid w:val="0"/>
          <w:lang w:val="de-DE"/>
        </w:rPr>
        <w:fldChar w:fldCharType="begin"/>
      </w:r>
      <w:r w:rsidRPr="007D62EE">
        <w:rPr>
          <w:snapToGrid w:val="0"/>
          <w:lang w:val="de-DE"/>
        </w:rPr>
        <w:instrText xml:space="preserve"> AUTONUM  </w:instrText>
      </w:r>
      <w:r w:rsidRPr="007D62EE">
        <w:rPr>
          <w:snapToGrid w:val="0"/>
          <w:lang w:val="de-DE"/>
        </w:rPr>
        <w:fldChar w:fldCharType="end"/>
      </w:r>
      <w:r w:rsidRPr="007D62EE">
        <w:rPr>
          <w:snapToGrid w:val="0"/>
          <w:lang w:val="de-DE"/>
        </w:rPr>
        <w:tab/>
      </w:r>
      <w:r w:rsidRPr="007D62EE">
        <w:rPr>
          <w:rFonts w:cs="Arial"/>
          <w:lang w:val="de-DE" w:eastAsia="de-DE"/>
        </w:rPr>
        <w:t>Zweck dieses Dokuments ist es, eine</w:t>
      </w:r>
      <w:r>
        <w:rPr>
          <w:rFonts w:cs="Arial"/>
          <w:lang w:val="de-DE" w:eastAsia="de-DE"/>
        </w:rPr>
        <w:t>n Vorschlag für eine</w:t>
      </w:r>
      <w:r w:rsidRPr="007D62EE">
        <w:rPr>
          <w:rFonts w:cs="Arial"/>
          <w:lang w:val="de-DE" w:eastAsia="de-DE"/>
        </w:rPr>
        <w:t xml:space="preserve"> </w:t>
      </w:r>
      <w:r w:rsidRPr="007D62EE">
        <w:rPr>
          <w:snapToGrid w:val="0"/>
          <w:lang w:val="de-DE"/>
        </w:rPr>
        <w:t xml:space="preserve">Begriffsbestimmung </w:t>
      </w:r>
      <w:r>
        <w:rPr>
          <w:snapToGrid w:val="0"/>
          <w:lang w:val="de-DE"/>
        </w:rPr>
        <w:t>des</w:t>
      </w:r>
      <w:r w:rsidRPr="007D62EE">
        <w:rPr>
          <w:snapToGrid w:val="0"/>
          <w:lang w:val="de-DE"/>
        </w:rPr>
        <w:t xml:space="preserve"> Begriff</w:t>
      </w:r>
      <w:r>
        <w:rPr>
          <w:snapToGrid w:val="0"/>
          <w:lang w:val="de-DE"/>
        </w:rPr>
        <w:t xml:space="preserve">s </w:t>
      </w:r>
      <w:r w:rsidRPr="007D62EE">
        <w:rPr>
          <w:snapToGrid w:val="0"/>
          <w:lang w:val="de-DE"/>
        </w:rPr>
        <w:t>„</w:t>
      </w:r>
      <w:r w:rsidR="00FE2C2C">
        <w:rPr>
          <w:i/>
          <w:snapToGrid w:val="0"/>
          <w:lang w:val="de-DE"/>
        </w:rPr>
        <w:t>dot“</w:t>
      </w:r>
      <w:r>
        <w:rPr>
          <w:snapToGrid w:val="0"/>
          <w:lang w:val="de-DE"/>
        </w:rPr>
        <w:t xml:space="preserve"> (Punkt)</w:t>
      </w:r>
      <w:r w:rsidRPr="007D62EE">
        <w:rPr>
          <w:snapToGrid w:val="0"/>
          <w:lang w:val="de-DE"/>
        </w:rPr>
        <w:t xml:space="preserve"> </w:t>
      </w:r>
      <w:r>
        <w:rPr>
          <w:snapToGrid w:val="0"/>
          <w:lang w:val="de-DE"/>
        </w:rPr>
        <w:t>für</w:t>
      </w:r>
      <w:r w:rsidRPr="007D62EE">
        <w:rPr>
          <w:snapToGrid w:val="0"/>
          <w:lang w:val="de-DE"/>
        </w:rPr>
        <w:t xml:space="preserve"> eine künftige Überarbeitung von Dokument TGP/14 Abschnitt 2: „Botanische Begr</w:t>
      </w:r>
      <w:r>
        <w:rPr>
          <w:snapToGrid w:val="0"/>
          <w:lang w:val="de-DE"/>
        </w:rPr>
        <w:t>iffe, Unterabschnitt 3: Farbe</w:t>
      </w:r>
      <w:r w:rsidR="00FE2C2C">
        <w:rPr>
          <w:snapToGrid w:val="0"/>
          <w:lang w:val="de-DE"/>
        </w:rPr>
        <w:t>“</w:t>
      </w:r>
      <w:r>
        <w:rPr>
          <w:snapToGrid w:val="0"/>
          <w:lang w:val="de-DE"/>
        </w:rPr>
        <w:t xml:space="preserve"> vorzulegen</w:t>
      </w:r>
      <w:r w:rsidRPr="007D62EE">
        <w:rPr>
          <w:snapToGrid w:val="0"/>
          <w:lang w:val="de-DE"/>
        </w:rPr>
        <w:t xml:space="preserve">. </w:t>
      </w:r>
    </w:p>
    <w:p w:rsidR="004C7E38" w:rsidRPr="007D62EE" w:rsidRDefault="004C7E38" w:rsidP="00E11277">
      <w:pPr>
        <w:rPr>
          <w:snapToGrid w:val="0"/>
          <w:lang w:val="de-DE"/>
        </w:rPr>
      </w:pPr>
    </w:p>
    <w:p w:rsidR="004C7E38" w:rsidRPr="004A1DAE" w:rsidRDefault="004C7E38" w:rsidP="00091EA9">
      <w:pPr>
        <w:rPr>
          <w:rFonts w:cs="Arial"/>
          <w:color w:val="000000"/>
          <w:lang w:val="de-DE" w:eastAsia="de-DE"/>
        </w:rPr>
      </w:pPr>
      <w:r w:rsidRPr="00091EA9">
        <w:rPr>
          <w:snapToGrid w:val="0"/>
          <w:lang w:val="de-DE"/>
        </w:rPr>
        <w:fldChar w:fldCharType="begin"/>
      </w:r>
      <w:r w:rsidRPr="00091EA9">
        <w:rPr>
          <w:snapToGrid w:val="0"/>
          <w:lang w:val="de-DE"/>
        </w:rPr>
        <w:instrText xml:space="preserve"> AUTONUM  </w:instrText>
      </w:r>
      <w:r w:rsidRPr="00091EA9">
        <w:rPr>
          <w:snapToGrid w:val="0"/>
          <w:lang w:val="de-DE"/>
        </w:rPr>
        <w:fldChar w:fldCharType="end"/>
      </w:r>
      <w:r w:rsidRPr="00091EA9">
        <w:rPr>
          <w:snapToGrid w:val="0"/>
          <w:lang w:val="de-DE"/>
        </w:rPr>
        <w:tab/>
      </w:r>
      <w:r w:rsidRPr="004A1DAE">
        <w:rPr>
          <w:rFonts w:cs="Arial"/>
          <w:color w:val="000000"/>
          <w:lang w:val="de-DE" w:eastAsia="de-DE"/>
        </w:rPr>
        <w:t>In diesem Dokument werden folgende Abkürzungen verwendet:</w:t>
      </w:r>
    </w:p>
    <w:p w:rsidR="004C7E38" w:rsidRDefault="004C7E38" w:rsidP="00091EA9">
      <w:pPr>
        <w:rPr>
          <w:rFonts w:cs="Arial"/>
          <w:color w:val="000000"/>
          <w:lang w:val="de-DE" w:eastAsia="de-DE"/>
        </w:rPr>
      </w:pPr>
    </w:p>
    <w:p w:rsidR="004C7E38" w:rsidRPr="004A1DAE" w:rsidRDefault="004C7E38" w:rsidP="00091EA9">
      <w:pPr>
        <w:tabs>
          <w:tab w:val="left" w:pos="567"/>
        </w:tabs>
        <w:ind w:left="1701" w:hanging="1701"/>
        <w:rPr>
          <w:rFonts w:cs="Arial"/>
          <w:lang w:val="de-DE" w:eastAsia="de-DE"/>
        </w:rPr>
      </w:pPr>
      <w:r w:rsidRPr="004A1DAE">
        <w:rPr>
          <w:rFonts w:cs="Arial"/>
          <w:lang w:val="de-DE" w:eastAsia="de-DE"/>
        </w:rPr>
        <w:tab/>
        <w:t>TC:</w:t>
      </w:r>
      <w:r w:rsidRPr="004A1DAE">
        <w:rPr>
          <w:rFonts w:cs="Arial"/>
          <w:lang w:val="de-DE" w:eastAsia="de-DE"/>
        </w:rPr>
        <w:tab/>
        <w:t>Technischer Ausschuß</w:t>
      </w:r>
    </w:p>
    <w:p w:rsidR="004C7E38" w:rsidRPr="004A1DAE" w:rsidRDefault="004C7E38" w:rsidP="00091EA9">
      <w:pPr>
        <w:tabs>
          <w:tab w:val="left" w:pos="567"/>
        </w:tabs>
        <w:ind w:left="1701" w:hanging="1701"/>
        <w:rPr>
          <w:rFonts w:eastAsia="PMingLiU" w:cs="Arial"/>
          <w:szCs w:val="24"/>
          <w:lang w:val="de-DE" w:eastAsia="de-DE"/>
        </w:rPr>
      </w:pPr>
      <w:r w:rsidRPr="004A1DAE">
        <w:rPr>
          <w:rFonts w:cs="Arial"/>
          <w:lang w:val="de-DE" w:eastAsia="de-DE"/>
        </w:rPr>
        <w:tab/>
      </w:r>
      <w:r w:rsidRPr="004A1DAE">
        <w:rPr>
          <w:rFonts w:cs="Arial"/>
          <w:szCs w:val="24"/>
          <w:lang w:val="de-DE" w:eastAsia="de-DE"/>
        </w:rPr>
        <w:t>TC-EDC:</w:t>
      </w:r>
      <w:r w:rsidRPr="004A1DAE">
        <w:rPr>
          <w:rFonts w:cs="Arial"/>
          <w:lang w:val="de-DE" w:eastAsia="de-DE"/>
        </w:rPr>
        <w:tab/>
      </w:r>
      <w:r w:rsidRPr="004A1DAE">
        <w:rPr>
          <w:rFonts w:cs="Arial"/>
          <w:szCs w:val="24"/>
          <w:lang w:val="de-DE" w:eastAsia="de-DE"/>
        </w:rPr>
        <w:t>Erweiterter Redaktionsausschuß</w:t>
      </w:r>
    </w:p>
    <w:p w:rsidR="004C7E38" w:rsidRPr="004A1DAE" w:rsidRDefault="004C7E38" w:rsidP="00091EA9">
      <w:pPr>
        <w:tabs>
          <w:tab w:val="left" w:pos="567"/>
        </w:tabs>
        <w:ind w:left="1701" w:hanging="1701"/>
        <w:rPr>
          <w:rFonts w:eastAsia="PMingLiU" w:cs="Arial"/>
          <w:szCs w:val="24"/>
          <w:lang w:val="de-DE" w:eastAsia="de-DE"/>
        </w:rPr>
      </w:pPr>
      <w:r w:rsidRPr="004A1DAE">
        <w:rPr>
          <w:rFonts w:cs="Arial"/>
          <w:lang w:val="de-DE" w:eastAsia="de-DE"/>
        </w:rPr>
        <w:tab/>
      </w:r>
      <w:r w:rsidRPr="004A1DAE">
        <w:rPr>
          <w:rFonts w:cs="Arial"/>
          <w:szCs w:val="24"/>
          <w:lang w:val="de-DE" w:eastAsia="de-DE"/>
        </w:rPr>
        <w:t>TWA:</w:t>
      </w:r>
      <w:r w:rsidRPr="004A1DAE">
        <w:rPr>
          <w:rFonts w:cs="Arial"/>
          <w:lang w:val="de-DE" w:eastAsia="de-DE"/>
        </w:rPr>
        <w:tab/>
      </w:r>
      <w:r w:rsidRPr="004A1DAE">
        <w:rPr>
          <w:rFonts w:cs="Arial"/>
          <w:szCs w:val="24"/>
          <w:lang w:val="de-DE" w:eastAsia="de-DE"/>
        </w:rPr>
        <w:t>Technische Arbeitsgruppe für landwirtschaftliche Arten</w:t>
      </w:r>
    </w:p>
    <w:p w:rsidR="004C7E38" w:rsidRPr="004A1DAE" w:rsidRDefault="004C7E38" w:rsidP="00091EA9">
      <w:pPr>
        <w:tabs>
          <w:tab w:val="left" w:pos="567"/>
        </w:tabs>
        <w:ind w:left="1701" w:hanging="1701"/>
        <w:rPr>
          <w:rFonts w:eastAsia="PMingLiU" w:cs="Arial"/>
          <w:szCs w:val="24"/>
          <w:lang w:val="de-DE" w:eastAsia="de-DE"/>
        </w:rPr>
      </w:pPr>
      <w:r w:rsidRPr="004A1DAE">
        <w:rPr>
          <w:rFonts w:cs="Arial"/>
          <w:lang w:val="de-DE" w:eastAsia="de-DE"/>
        </w:rPr>
        <w:tab/>
      </w:r>
      <w:r w:rsidRPr="004A1DAE">
        <w:rPr>
          <w:rFonts w:cs="Arial"/>
          <w:szCs w:val="24"/>
          <w:lang w:val="de-DE" w:eastAsia="de-DE"/>
        </w:rPr>
        <w:t>TWC:</w:t>
      </w:r>
      <w:r w:rsidRPr="004A1DAE">
        <w:rPr>
          <w:rFonts w:cs="Arial"/>
          <w:lang w:val="de-DE" w:eastAsia="de-DE"/>
        </w:rPr>
        <w:tab/>
      </w:r>
      <w:r w:rsidRPr="004A1DAE">
        <w:rPr>
          <w:rFonts w:cs="Arial"/>
          <w:szCs w:val="24"/>
          <w:lang w:val="de-DE" w:eastAsia="de-DE"/>
        </w:rPr>
        <w:t>Technische Arbeitsgruppe für Automatisierung und Computerprogramme</w:t>
      </w:r>
    </w:p>
    <w:p w:rsidR="004C7E38" w:rsidRPr="004A1DAE" w:rsidRDefault="004C7E38" w:rsidP="00091EA9">
      <w:pPr>
        <w:tabs>
          <w:tab w:val="left" w:pos="567"/>
        </w:tabs>
        <w:ind w:left="1701" w:hanging="1701"/>
        <w:rPr>
          <w:rFonts w:eastAsia="PMingLiU" w:cs="Arial"/>
          <w:szCs w:val="24"/>
          <w:lang w:val="de-DE" w:eastAsia="de-DE"/>
        </w:rPr>
      </w:pPr>
      <w:r w:rsidRPr="004A1DAE">
        <w:rPr>
          <w:rFonts w:cs="Arial"/>
          <w:lang w:val="de-DE" w:eastAsia="de-DE"/>
        </w:rPr>
        <w:tab/>
      </w:r>
      <w:r w:rsidRPr="004A1DAE">
        <w:rPr>
          <w:rFonts w:cs="Arial"/>
          <w:szCs w:val="24"/>
          <w:lang w:val="de-DE" w:eastAsia="de-DE"/>
        </w:rPr>
        <w:t xml:space="preserve">TWF: </w:t>
      </w:r>
      <w:r w:rsidRPr="004A1DAE">
        <w:rPr>
          <w:rFonts w:cs="Arial"/>
          <w:lang w:val="de-DE" w:eastAsia="de-DE"/>
        </w:rPr>
        <w:tab/>
      </w:r>
      <w:r w:rsidRPr="004A1DAE">
        <w:rPr>
          <w:rFonts w:cs="Arial"/>
          <w:szCs w:val="24"/>
          <w:lang w:val="de-DE" w:eastAsia="de-DE"/>
        </w:rPr>
        <w:t>Technische Arbeitsgruppe für Obstarten</w:t>
      </w:r>
    </w:p>
    <w:p w:rsidR="004C7E38" w:rsidRDefault="004C7E38" w:rsidP="00091EA9">
      <w:pPr>
        <w:tabs>
          <w:tab w:val="left" w:pos="567"/>
        </w:tabs>
        <w:ind w:left="1701" w:hanging="1701"/>
        <w:rPr>
          <w:rFonts w:cs="Arial"/>
          <w:szCs w:val="24"/>
          <w:lang w:val="de-DE" w:eastAsia="de-DE"/>
        </w:rPr>
      </w:pPr>
      <w:r w:rsidRPr="004A1DAE">
        <w:rPr>
          <w:rFonts w:cs="Arial"/>
          <w:lang w:val="de-DE" w:eastAsia="de-DE"/>
        </w:rPr>
        <w:tab/>
      </w:r>
      <w:r w:rsidRPr="004A1DAE">
        <w:rPr>
          <w:rFonts w:cs="Arial"/>
          <w:szCs w:val="24"/>
          <w:lang w:val="de-DE" w:eastAsia="de-DE"/>
        </w:rPr>
        <w:t>TWO:</w:t>
      </w:r>
      <w:r w:rsidRPr="004A1DAE">
        <w:rPr>
          <w:rFonts w:cs="Arial"/>
          <w:lang w:val="de-DE" w:eastAsia="de-DE"/>
        </w:rPr>
        <w:tab/>
      </w:r>
      <w:r w:rsidRPr="004A1DAE">
        <w:rPr>
          <w:rFonts w:cs="Arial"/>
          <w:szCs w:val="24"/>
          <w:lang w:val="de-DE" w:eastAsia="de-DE"/>
        </w:rPr>
        <w:t>Technische Arbeitsgruppe für Zierpflanzen und forstliche Baumarten</w:t>
      </w:r>
    </w:p>
    <w:p w:rsidR="004C7E38" w:rsidRDefault="004C7E38" w:rsidP="00D91EBF">
      <w:pPr>
        <w:tabs>
          <w:tab w:val="left" w:pos="567"/>
        </w:tabs>
        <w:ind w:left="1701" w:hanging="1701"/>
        <w:rPr>
          <w:rFonts w:cs="Arial"/>
          <w:szCs w:val="24"/>
          <w:lang w:val="de-DE" w:eastAsia="de-DE"/>
        </w:rPr>
      </w:pPr>
      <w:r>
        <w:rPr>
          <w:rFonts w:cs="Arial"/>
          <w:szCs w:val="24"/>
          <w:lang w:val="de-DE" w:eastAsia="de-DE"/>
        </w:rPr>
        <w:tab/>
      </w:r>
      <w:r w:rsidRPr="004A1DAE">
        <w:rPr>
          <w:rFonts w:cs="Arial"/>
          <w:szCs w:val="24"/>
          <w:lang w:val="de-DE" w:eastAsia="de-DE"/>
        </w:rPr>
        <w:t>TWPs:</w:t>
      </w:r>
      <w:r w:rsidRPr="004A1DAE">
        <w:rPr>
          <w:rFonts w:cs="Arial"/>
          <w:lang w:val="de-DE" w:eastAsia="de-DE"/>
        </w:rPr>
        <w:tab/>
      </w:r>
      <w:r w:rsidRPr="004A1DAE">
        <w:rPr>
          <w:rFonts w:cs="Arial"/>
          <w:szCs w:val="24"/>
          <w:lang w:val="de-DE" w:eastAsia="de-DE"/>
        </w:rPr>
        <w:t>Technische Arbeitsgruppen</w:t>
      </w:r>
    </w:p>
    <w:p w:rsidR="004C7E38" w:rsidRDefault="004C7E38" w:rsidP="00D91EBF">
      <w:pPr>
        <w:tabs>
          <w:tab w:val="left" w:pos="567"/>
        </w:tabs>
        <w:ind w:left="1701" w:hanging="1701"/>
        <w:rPr>
          <w:rFonts w:cs="Arial"/>
          <w:szCs w:val="24"/>
          <w:lang w:val="de-DE" w:eastAsia="de-DE"/>
        </w:rPr>
      </w:pPr>
      <w:r>
        <w:rPr>
          <w:rFonts w:cs="Arial"/>
          <w:szCs w:val="24"/>
          <w:lang w:val="de-DE" w:eastAsia="de-DE"/>
        </w:rPr>
        <w:tab/>
      </w:r>
      <w:r w:rsidRPr="004A1DAE">
        <w:rPr>
          <w:rFonts w:cs="Arial"/>
          <w:szCs w:val="24"/>
          <w:lang w:val="de-DE" w:eastAsia="de-DE"/>
        </w:rPr>
        <w:t>TWV:</w:t>
      </w:r>
      <w:r w:rsidRPr="004A1DAE">
        <w:rPr>
          <w:rFonts w:cs="Arial"/>
          <w:lang w:val="de-DE" w:eastAsia="de-DE"/>
        </w:rPr>
        <w:tab/>
      </w:r>
      <w:r w:rsidRPr="004A1DAE">
        <w:rPr>
          <w:rFonts w:cs="Arial"/>
          <w:szCs w:val="24"/>
          <w:lang w:val="de-DE" w:eastAsia="de-DE"/>
        </w:rPr>
        <w:t>Technische Arbeitsgruppe für Gemüsearten</w:t>
      </w:r>
    </w:p>
    <w:p w:rsidR="004C7E38" w:rsidRPr="00D91EBF" w:rsidRDefault="004C7E38" w:rsidP="00091EA9">
      <w:pPr>
        <w:rPr>
          <w:snapToGrid w:val="0"/>
          <w:lang w:val="de-DE"/>
        </w:rPr>
      </w:pPr>
    </w:p>
    <w:p w:rsidR="004C7E38" w:rsidRDefault="004C7E38" w:rsidP="00091EA9">
      <w:pPr>
        <w:jc w:val="left"/>
        <w:rPr>
          <w:rFonts w:cs="Arial"/>
          <w:lang w:val="de-DE" w:eastAsia="ja-JP"/>
        </w:rPr>
      </w:pPr>
      <w:r w:rsidRPr="00091EA9">
        <w:rPr>
          <w:rFonts w:cs="Arial"/>
          <w:lang w:val="de-DE"/>
        </w:rPr>
        <w:fldChar w:fldCharType="begin"/>
      </w:r>
      <w:r w:rsidRPr="00091EA9">
        <w:rPr>
          <w:rFonts w:cs="Arial"/>
          <w:lang w:val="de-DE"/>
        </w:rPr>
        <w:instrText xml:space="preserve"> AUTONUM  </w:instrText>
      </w:r>
      <w:r w:rsidRPr="00091EA9">
        <w:rPr>
          <w:rFonts w:cs="Arial"/>
          <w:lang w:val="de-DE"/>
        </w:rPr>
        <w:fldChar w:fldCharType="end"/>
      </w:r>
      <w:r w:rsidRPr="00091EA9">
        <w:rPr>
          <w:rFonts w:cs="Arial"/>
          <w:lang w:val="de-DE"/>
        </w:rPr>
        <w:tab/>
      </w:r>
      <w:r w:rsidRPr="00ED524B">
        <w:rPr>
          <w:lang w:val="de-DE"/>
        </w:rPr>
        <w:t>Der Aufbau des Dokuments ist nachstehend zusammengefaßt</w:t>
      </w:r>
      <w:r w:rsidRPr="00091EA9">
        <w:rPr>
          <w:rFonts w:cs="Arial"/>
          <w:lang w:val="de-DE" w:eastAsia="ja-JP"/>
        </w:rPr>
        <w:t>:</w:t>
      </w:r>
    </w:p>
    <w:p w:rsidR="00480CD6" w:rsidRPr="00091EA9" w:rsidRDefault="00480CD6" w:rsidP="00091EA9">
      <w:pPr>
        <w:jc w:val="left"/>
        <w:rPr>
          <w:rFonts w:cs="Arial"/>
          <w:color w:val="000000"/>
          <w:lang w:val="de-DE"/>
        </w:rPr>
      </w:pPr>
    </w:p>
    <w:p w:rsidR="007B18B4" w:rsidRDefault="004C7E3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"1-3" \h \z \u </w:instrText>
      </w:r>
      <w:r>
        <w:rPr>
          <w:caps w:val="0"/>
        </w:rPr>
        <w:fldChar w:fldCharType="separate"/>
      </w:r>
      <w:hyperlink w:anchor="_Toc379271721" w:history="1">
        <w:r w:rsidR="007B18B4" w:rsidRPr="00873F33">
          <w:rPr>
            <w:rStyle w:val="Hyperlink"/>
            <w:noProof/>
            <w:snapToGrid w:val="0"/>
            <w:lang w:val="de-DE"/>
          </w:rPr>
          <w:t>hintergrund</w:t>
        </w:r>
        <w:r w:rsidR="007B18B4">
          <w:rPr>
            <w:noProof/>
            <w:webHidden/>
          </w:rPr>
          <w:tab/>
        </w:r>
        <w:r w:rsidR="007B18B4">
          <w:rPr>
            <w:noProof/>
            <w:webHidden/>
          </w:rPr>
          <w:fldChar w:fldCharType="begin"/>
        </w:r>
        <w:r w:rsidR="007B18B4">
          <w:rPr>
            <w:noProof/>
            <w:webHidden/>
          </w:rPr>
          <w:instrText xml:space="preserve"> PAGEREF _Toc379271721 \h </w:instrText>
        </w:r>
        <w:r w:rsidR="007B18B4">
          <w:rPr>
            <w:noProof/>
            <w:webHidden/>
          </w:rPr>
        </w:r>
        <w:r w:rsidR="007B18B4">
          <w:rPr>
            <w:noProof/>
            <w:webHidden/>
          </w:rPr>
          <w:fldChar w:fldCharType="separate"/>
        </w:r>
        <w:r w:rsidR="00C40993">
          <w:rPr>
            <w:noProof/>
            <w:webHidden/>
          </w:rPr>
          <w:t>1</w:t>
        </w:r>
        <w:r w:rsidR="007B18B4">
          <w:rPr>
            <w:noProof/>
            <w:webHidden/>
          </w:rPr>
          <w:fldChar w:fldCharType="end"/>
        </w:r>
      </w:hyperlink>
    </w:p>
    <w:p w:rsidR="007B18B4" w:rsidRDefault="00C40993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9271722" w:history="1">
        <w:r w:rsidR="007B18B4" w:rsidRPr="00873F33">
          <w:rPr>
            <w:rStyle w:val="Hyperlink"/>
            <w:noProof/>
            <w:snapToGrid w:val="0"/>
            <w:lang w:val="de-DE"/>
          </w:rPr>
          <w:t xml:space="preserve">beispiele für die Verwendung von </w:t>
        </w:r>
        <w:r w:rsidR="007B18B4" w:rsidRPr="00873F33">
          <w:rPr>
            <w:rStyle w:val="Hyperlink"/>
            <w:rFonts w:cs="Arial"/>
            <w:noProof/>
            <w:lang w:val="de-DE"/>
          </w:rPr>
          <w:t>„</w:t>
        </w:r>
        <w:r w:rsidR="007B18B4" w:rsidRPr="00873F33">
          <w:rPr>
            <w:rStyle w:val="Hyperlink"/>
            <w:i/>
            <w:noProof/>
            <w:snapToGrid w:val="0"/>
            <w:lang w:val="de-DE"/>
          </w:rPr>
          <w:t>DOT</w:t>
        </w:r>
        <w:r w:rsidR="007B18B4" w:rsidRPr="00873F33">
          <w:rPr>
            <w:rStyle w:val="Hyperlink"/>
            <w:rFonts w:cs="Arial"/>
            <w:noProof/>
            <w:lang w:val="de-DE"/>
          </w:rPr>
          <w:t>”</w:t>
        </w:r>
        <w:r w:rsidR="007B18B4" w:rsidRPr="00873F33">
          <w:rPr>
            <w:rStyle w:val="Hyperlink"/>
            <w:noProof/>
            <w:snapToGrid w:val="0"/>
            <w:lang w:val="de-DE"/>
          </w:rPr>
          <w:t xml:space="preserve"> und </w:t>
        </w:r>
        <w:r w:rsidR="007B18B4" w:rsidRPr="00873F33">
          <w:rPr>
            <w:rStyle w:val="Hyperlink"/>
            <w:rFonts w:cs="Arial"/>
            <w:noProof/>
            <w:lang w:val="de-DE"/>
          </w:rPr>
          <w:t>„</w:t>
        </w:r>
        <w:r w:rsidR="007B18B4" w:rsidRPr="00873F33">
          <w:rPr>
            <w:rStyle w:val="Hyperlink"/>
            <w:i/>
            <w:noProof/>
            <w:snapToGrid w:val="0"/>
            <w:lang w:val="de-DE"/>
          </w:rPr>
          <w:t>SPOT</w:t>
        </w:r>
        <w:r w:rsidR="007B18B4" w:rsidRPr="00873F33">
          <w:rPr>
            <w:rStyle w:val="Hyperlink"/>
            <w:rFonts w:cs="Arial"/>
            <w:noProof/>
            <w:lang w:val="de-DE"/>
          </w:rPr>
          <w:t>”</w:t>
        </w:r>
        <w:r w:rsidR="007B18B4">
          <w:rPr>
            <w:noProof/>
            <w:webHidden/>
          </w:rPr>
          <w:tab/>
        </w:r>
        <w:r w:rsidR="007B18B4">
          <w:rPr>
            <w:noProof/>
            <w:webHidden/>
          </w:rPr>
          <w:fldChar w:fldCharType="begin"/>
        </w:r>
        <w:r w:rsidR="007B18B4">
          <w:rPr>
            <w:noProof/>
            <w:webHidden/>
          </w:rPr>
          <w:instrText xml:space="preserve"> PAGEREF _Toc379271722 \h </w:instrText>
        </w:r>
        <w:r w:rsidR="007B18B4">
          <w:rPr>
            <w:noProof/>
            <w:webHidden/>
          </w:rPr>
        </w:r>
        <w:r w:rsidR="007B18B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7B18B4">
          <w:rPr>
            <w:noProof/>
            <w:webHidden/>
          </w:rPr>
          <w:fldChar w:fldCharType="end"/>
        </w:r>
      </w:hyperlink>
    </w:p>
    <w:p w:rsidR="007B18B4" w:rsidRDefault="00C40993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9271723" w:history="1">
        <w:r w:rsidR="007B18B4" w:rsidRPr="00873F33">
          <w:rPr>
            <w:rStyle w:val="Hyperlink"/>
            <w:noProof/>
            <w:lang w:val="de-DE"/>
          </w:rPr>
          <w:t>von den TWPS auf ihren Tagungen im jahr 2013 geprüfter Entwurf eines vorschlags für die BEGRIFFSBESTIMMUNG von „</w:t>
        </w:r>
        <w:r w:rsidR="007B18B4" w:rsidRPr="00873F33">
          <w:rPr>
            <w:rStyle w:val="Hyperlink"/>
            <w:i/>
            <w:noProof/>
            <w:lang w:val="de-DE"/>
          </w:rPr>
          <w:t>DOT</w:t>
        </w:r>
        <w:r w:rsidR="007B18B4" w:rsidRPr="00873F33">
          <w:rPr>
            <w:rStyle w:val="Hyperlink"/>
            <w:noProof/>
            <w:lang w:val="de-DE"/>
          </w:rPr>
          <w:t>”</w:t>
        </w:r>
        <w:r w:rsidR="007B18B4">
          <w:rPr>
            <w:noProof/>
            <w:webHidden/>
          </w:rPr>
          <w:tab/>
        </w:r>
        <w:r w:rsidR="007B18B4">
          <w:rPr>
            <w:noProof/>
            <w:webHidden/>
          </w:rPr>
          <w:fldChar w:fldCharType="begin"/>
        </w:r>
        <w:r w:rsidR="007B18B4">
          <w:rPr>
            <w:noProof/>
            <w:webHidden/>
          </w:rPr>
          <w:instrText xml:space="preserve"> PAGEREF _Toc379271723 \h </w:instrText>
        </w:r>
        <w:r w:rsidR="007B18B4">
          <w:rPr>
            <w:noProof/>
            <w:webHidden/>
          </w:rPr>
        </w:r>
        <w:r w:rsidR="007B18B4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B18B4">
          <w:rPr>
            <w:noProof/>
            <w:webHidden/>
          </w:rPr>
          <w:fldChar w:fldCharType="end"/>
        </w:r>
      </w:hyperlink>
    </w:p>
    <w:p w:rsidR="007B18B4" w:rsidRDefault="00C40993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9271724" w:history="1">
        <w:r w:rsidR="007B18B4" w:rsidRPr="00873F33">
          <w:rPr>
            <w:rStyle w:val="Hyperlink"/>
            <w:noProof/>
            <w:lang w:val="de-DE"/>
          </w:rPr>
          <w:t>BEMERKUNGEN DER TECHNISCHEn arbeitsgruppen Im jahr 2013</w:t>
        </w:r>
        <w:r w:rsidR="007B18B4">
          <w:rPr>
            <w:noProof/>
            <w:webHidden/>
          </w:rPr>
          <w:tab/>
        </w:r>
        <w:r w:rsidR="007B18B4">
          <w:rPr>
            <w:noProof/>
            <w:webHidden/>
          </w:rPr>
          <w:fldChar w:fldCharType="begin"/>
        </w:r>
        <w:r w:rsidR="007B18B4">
          <w:rPr>
            <w:noProof/>
            <w:webHidden/>
          </w:rPr>
          <w:instrText xml:space="preserve"> PAGEREF _Toc379271724 \h </w:instrText>
        </w:r>
        <w:r w:rsidR="007B18B4">
          <w:rPr>
            <w:noProof/>
            <w:webHidden/>
          </w:rPr>
        </w:r>
        <w:r w:rsidR="007B18B4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B18B4">
          <w:rPr>
            <w:noProof/>
            <w:webHidden/>
          </w:rPr>
          <w:fldChar w:fldCharType="end"/>
        </w:r>
      </w:hyperlink>
    </w:p>
    <w:p w:rsidR="007B18B4" w:rsidRDefault="00C40993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9271725" w:history="1">
        <w:r w:rsidR="007B18B4" w:rsidRPr="00873F33">
          <w:rPr>
            <w:rStyle w:val="Hyperlink"/>
            <w:noProof/>
          </w:rPr>
          <w:t>vorschlag</w:t>
        </w:r>
        <w:r w:rsidR="007B18B4">
          <w:rPr>
            <w:noProof/>
            <w:webHidden/>
          </w:rPr>
          <w:tab/>
        </w:r>
        <w:r w:rsidR="007B18B4">
          <w:rPr>
            <w:noProof/>
            <w:webHidden/>
          </w:rPr>
          <w:fldChar w:fldCharType="begin"/>
        </w:r>
        <w:r w:rsidR="007B18B4">
          <w:rPr>
            <w:noProof/>
            <w:webHidden/>
          </w:rPr>
          <w:instrText xml:space="preserve"> PAGEREF _Toc379271725 \h </w:instrText>
        </w:r>
        <w:r w:rsidR="007B18B4">
          <w:rPr>
            <w:noProof/>
            <w:webHidden/>
          </w:rPr>
        </w:r>
        <w:r w:rsidR="007B18B4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B18B4">
          <w:rPr>
            <w:noProof/>
            <w:webHidden/>
          </w:rPr>
          <w:fldChar w:fldCharType="end"/>
        </w:r>
      </w:hyperlink>
    </w:p>
    <w:p w:rsidR="004C7E38" w:rsidRDefault="004C7E38" w:rsidP="00E11277">
      <w:r>
        <w:rPr>
          <w:caps/>
        </w:rPr>
        <w:fldChar w:fldCharType="end"/>
      </w:r>
    </w:p>
    <w:p w:rsidR="004C7E38" w:rsidRDefault="004C7E38" w:rsidP="006C5852">
      <w:pPr>
        <w:pStyle w:val="Heading1"/>
        <w:rPr>
          <w:snapToGrid w:val="0"/>
        </w:rPr>
      </w:pPr>
    </w:p>
    <w:p w:rsidR="004C7E38" w:rsidRPr="00D91EBF" w:rsidRDefault="004C7E38" w:rsidP="006C5852">
      <w:pPr>
        <w:pStyle w:val="Heading1"/>
        <w:rPr>
          <w:snapToGrid w:val="0"/>
          <w:lang w:val="de-DE"/>
        </w:rPr>
      </w:pPr>
      <w:bookmarkStart w:id="6" w:name="_Toc379271721"/>
      <w:r w:rsidRPr="00D91EBF">
        <w:rPr>
          <w:snapToGrid w:val="0"/>
          <w:lang w:val="de-DE"/>
        </w:rPr>
        <w:t>hintergrund</w:t>
      </w:r>
      <w:bookmarkEnd w:id="6"/>
    </w:p>
    <w:p w:rsidR="004C7E38" w:rsidRPr="00D91EBF" w:rsidRDefault="004C7E38" w:rsidP="00E11277">
      <w:pPr>
        <w:rPr>
          <w:lang w:val="de-DE"/>
        </w:rPr>
      </w:pPr>
    </w:p>
    <w:p w:rsidR="004C7E38" w:rsidRDefault="004C7E38" w:rsidP="00D91EBF">
      <w:pPr>
        <w:rPr>
          <w:lang w:val="de-DE"/>
        </w:rPr>
      </w:pPr>
      <w:r w:rsidRPr="007D62EE">
        <w:rPr>
          <w:snapToGrid w:val="0"/>
          <w:lang w:val="de-DE"/>
        </w:rPr>
        <w:fldChar w:fldCharType="begin"/>
      </w:r>
      <w:r w:rsidRPr="007D62EE">
        <w:rPr>
          <w:snapToGrid w:val="0"/>
          <w:lang w:val="de-DE"/>
        </w:rPr>
        <w:instrText xml:space="preserve"> AUTONUM  </w:instrText>
      </w:r>
      <w:r w:rsidRPr="007D62EE">
        <w:rPr>
          <w:snapToGrid w:val="0"/>
          <w:lang w:val="de-DE"/>
        </w:rPr>
        <w:fldChar w:fldCharType="end"/>
      </w:r>
      <w:r w:rsidRPr="007D62EE">
        <w:rPr>
          <w:snapToGrid w:val="0"/>
          <w:lang w:val="de-DE"/>
        </w:rPr>
        <w:tab/>
      </w:r>
      <w:r w:rsidRPr="007D62EE">
        <w:rPr>
          <w:color w:val="000000"/>
          <w:lang w:val="de-DE"/>
        </w:rPr>
        <w:t>Der TC</w:t>
      </w:r>
      <w:r w:rsidRPr="007D62EE">
        <w:rPr>
          <w:rFonts w:cs="Arial"/>
          <w:lang w:val="de-DE" w:eastAsia="ja-JP"/>
        </w:rPr>
        <w:t xml:space="preserve">, auf seiner neunundvierzigsten Tagung vom 18. bis zum 20. </w:t>
      </w:r>
      <w:r w:rsidRPr="00D91EBF">
        <w:rPr>
          <w:rFonts w:cs="Arial"/>
          <w:lang w:val="de-DE" w:eastAsia="ja-JP"/>
        </w:rPr>
        <w:t>März 1</w:t>
      </w:r>
      <w:r>
        <w:rPr>
          <w:rFonts w:cs="Arial"/>
          <w:lang w:val="de-DE" w:eastAsia="ja-JP"/>
        </w:rPr>
        <w:t xml:space="preserve">013 </w:t>
      </w:r>
      <w:r w:rsidRPr="007D62EE">
        <w:rPr>
          <w:rFonts w:cs="Arial"/>
          <w:lang w:val="de-DE" w:eastAsia="ja-JP"/>
        </w:rPr>
        <w:t>in Genf</w:t>
      </w:r>
      <w:r>
        <w:rPr>
          <w:rFonts w:cs="Arial"/>
          <w:lang w:val="de-DE" w:eastAsia="ja-JP"/>
        </w:rPr>
        <w:t>,</w:t>
      </w:r>
      <w:r w:rsidRPr="00D91EBF">
        <w:rPr>
          <w:color w:val="000000"/>
          <w:lang w:val="de-DE"/>
        </w:rPr>
        <w:t xml:space="preserve"> und der </w:t>
      </w:r>
      <w:r w:rsidRPr="00D91EBF">
        <w:rPr>
          <w:lang w:val="de-DE"/>
        </w:rPr>
        <w:t xml:space="preserve">CAJ, auf seiner siebenundsechzigsten Tagung </w:t>
      </w:r>
      <w:r>
        <w:rPr>
          <w:lang w:val="de-DE"/>
        </w:rPr>
        <w:t>a</w:t>
      </w:r>
      <w:r w:rsidRPr="00D91EBF">
        <w:rPr>
          <w:lang w:val="de-DE"/>
        </w:rPr>
        <w:t xml:space="preserve">m 21. </w:t>
      </w:r>
      <w:r w:rsidRPr="003F2CDD">
        <w:rPr>
          <w:lang w:val="de-DE"/>
        </w:rPr>
        <w:t>März 2013</w:t>
      </w:r>
      <w:r>
        <w:rPr>
          <w:lang w:val="de-DE"/>
        </w:rPr>
        <w:t xml:space="preserve"> </w:t>
      </w:r>
      <w:r w:rsidRPr="007D62EE">
        <w:rPr>
          <w:rFonts w:cs="Arial"/>
          <w:lang w:val="de-DE" w:eastAsia="ja-JP"/>
        </w:rPr>
        <w:t>in Genf</w:t>
      </w:r>
      <w:r w:rsidRPr="003F2CDD">
        <w:rPr>
          <w:lang w:val="de-DE"/>
        </w:rPr>
        <w:t>, vereinbarten, den Rat zu ersuchen, Dokument TG</w:t>
      </w:r>
      <w:r w:rsidR="00886E4A">
        <w:rPr>
          <w:lang w:val="de-DE"/>
        </w:rPr>
        <w:t>P/14/2 „Glossar der in den UPOV</w:t>
      </w:r>
      <w:r w:rsidR="00886E4A">
        <w:rPr>
          <w:lang w:val="de-DE"/>
        </w:rPr>
        <w:noBreakHyphen/>
      </w:r>
      <w:r w:rsidRPr="003F2CDD">
        <w:rPr>
          <w:lang w:val="de-DE"/>
        </w:rPr>
        <w:t>Dokumenten verwendeten Begriffe</w:t>
      </w:r>
      <w:r w:rsidR="00FE2C2C">
        <w:rPr>
          <w:lang w:val="de-DE"/>
        </w:rPr>
        <w:t>“</w:t>
      </w:r>
      <w:r w:rsidRPr="003F2CDD">
        <w:rPr>
          <w:lang w:val="de-DE"/>
        </w:rPr>
        <w:t xml:space="preserve"> auf seiner siebenundvierzigsten Tagung am 24.</w:t>
      </w:r>
      <w:r>
        <w:rPr>
          <w:lang w:val="de-DE"/>
        </w:rPr>
        <w:t xml:space="preserve"> </w:t>
      </w:r>
      <w:r w:rsidRPr="003F2CDD">
        <w:rPr>
          <w:lang w:val="de-DE"/>
        </w:rPr>
        <w:t xml:space="preserve">Oktober 2013 anzunehmen </w:t>
      </w:r>
      <w:r w:rsidRPr="003F2CDD">
        <w:rPr>
          <w:rFonts w:cs="Arial"/>
          <w:lang w:val="de-DE"/>
        </w:rPr>
        <w:t>(</w:t>
      </w:r>
      <w:r>
        <w:rPr>
          <w:rFonts w:cs="Arial"/>
          <w:lang w:val="de-DE"/>
        </w:rPr>
        <w:t xml:space="preserve">vergleiche </w:t>
      </w:r>
      <w:r w:rsidRPr="003F2CDD">
        <w:rPr>
          <w:rFonts w:cs="Arial"/>
          <w:lang w:val="de-DE"/>
        </w:rPr>
        <w:t>Dokument TC/49/41 „Bericht über die Entschließungen</w:t>
      </w:r>
      <w:r w:rsidR="00FE2C2C">
        <w:rPr>
          <w:rFonts w:cs="Arial"/>
          <w:lang w:val="de-DE"/>
        </w:rPr>
        <w:t>“</w:t>
      </w:r>
      <w:r w:rsidRPr="003F2CDD">
        <w:rPr>
          <w:rFonts w:cs="Arial"/>
          <w:lang w:val="de-DE"/>
        </w:rPr>
        <w:t>,</w:t>
      </w:r>
      <w:r>
        <w:rPr>
          <w:rFonts w:cs="Arial"/>
          <w:lang w:val="de-DE"/>
        </w:rPr>
        <w:t xml:space="preserve"> Absätze</w:t>
      </w:r>
      <w:r w:rsidRPr="003F2CDD">
        <w:rPr>
          <w:rFonts w:cs="Arial"/>
          <w:lang w:val="de-DE"/>
        </w:rPr>
        <w:t xml:space="preserve"> 29</w:t>
      </w:r>
      <w:r>
        <w:rPr>
          <w:rFonts w:cs="Arial"/>
          <w:lang w:val="de-DE"/>
        </w:rPr>
        <w:t xml:space="preserve"> und </w:t>
      </w:r>
      <w:r w:rsidRPr="003F2CDD">
        <w:rPr>
          <w:rFonts w:cs="Arial"/>
          <w:lang w:val="de-DE"/>
        </w:rPr>
        <w:t xml:space="preserve">30, </w:t>
      </w:r>
      <w:r>
        <w:rPr>
          <w:rFonts w:cs="Arial"/>
          <w:lang w:val="de-DE"/>
        </w:rPr>
        <w:t xml:space="preserve">und Dokument </w:t>
      </w:r>
      <w:r w:rsidRPr="003F2CDD">
        <w:rPr>
          <w:rFonts w:cs="Arial"/>
          <w:lang w:val="de-DE"/>
        </w:rPr>
        <w:t>CAJ/67/14 „Bericht über die Entschließungen</w:t>
      </w:r>
      <w:r w:rsidR="00FE2C2C">
        <w:rPr>
          <w:rFonts w:cs="Arial"/>
          <w:lang w:val="de-DE"/>
        </w:rPr>
        <w:t>“</w:t>
      </w:r>
      <w:r w:rsidRPr="003F2CDD">
        <w:rPr>
          <w:rFonts w:cs="Arial"/>
          <w:lang w:val="de-DE"/>
        </w:rPr>
        <w:t>, Absatz 36)</w:t>
      </w:r>
      <w:r>
        <w:rPr>
          <w:rFonts w:cs="Arial"/>
          <w:lang w:val="de-DE"/>
        </w:rPr>
        <w:t>.</w:t>
      </w:r>
      <w:r w:rsidRPr="003F2CDD">
        <w:rPr>
          <w:lang w:val="de-DE"/>
        </w:rPr>
        <w:t xml:space="preserve"> </w:t>
      </w:r>
    </w:p>
    <w:p w:rsidR="004C7E38" w:rsidRDefault="004C7E38" w:rsidP="00D91EBF">
      <w:pPr>
        <w:rPr>
          <w:lang w:val="de-DE"/>
        </w:rPr>
      </w:pPr>
    </w:p>
    <w:p w:rsidR="004C7E38" w:rsidRPr="008619E8" w:rsidRDefault="004C7E38" w:rsidP="00E213AC">
      <w:pPr>
        <w:rPr>
          <w:rFonts w:cs="Arial"/>
          <w:lang w:val="de-DE"/>
        </w:rPr>
      </w:pPr>
      <w:r w:rsidRPr="00C70841">
        <w:rPr>
          <w:iCs/>
          <w:snapToGrid w:val="0"/>
          <w:lang w:val="de-DE"/>
        </w:rPr>
        <w:lastRenderedPageBreak/>
        <w:fldChar w:fldCharType="begin"/>
      </w:r>
      <w:r w:rsidRPr="00C70841">
        <w:rPr>
          <w:iCs/>
          <w:snapToGrid w:val="0"/>
          <w:lang w:val="de-DE"/>
        </w:rPr>
        <w:instrText xml:space="preserve"> AUTONUM  </w:instrText>
      </w:r>
      <w:r w:rsidRPr="00C70841">
        <w:rPr>
          <w:iCs/>
          <w:snapToGrid w:val="0"/>
          <w:lang w:val="de-DE"/>
        </w:rPr>
        <w:fldChar w:fldCharType="end"/>
      </w:r>
      <w:r w:rsidRPr="00C70841">
        <w:rPr>
          <w:iCs/>
          <w:snapToGrid w:val="0"/>
          <w:lang w:val="de-DE"/>
        </w:rPr>
        <w:tab/>
        <w:t>Dokument TGP/14/2 enthält</w:t>
      </w:r>
      <w:r>
        <w:rPr>
          <w:iCs/>
          <w:snapToGrid w:val="0"/>
          <w:lang w:val="de-DE"/>
        </w:rPr>
        <w:t xml:space="preserve"> </w:t>
      </w:r>
      <w:r w:rsidRPr="00C70841">
        <w:rPr>
          <w:iCs/>
          <w:snapToGrid w:val="0"/>
          <w:lang w:val="de-DE"/>
        </w:rPr>
        <w:t>Begriffsbestimmung</w:t>
      </w:r>
      <w:r>
        <w:rPr>
          <w:iCs/>
          <w:snapToGrid w:val="0"/>
          <w:lang w:val="de-DE"/>
        </w:rPr>
        <w:t>en</w:t>
      </w:r>
      <w:r w:rsidRPr="00C70841">
        <w:rPr>
          <w:iCs/>
          <w:snapToGrid w:val="0"/>
          <w:lang w:val="de-DE"/>
        </w:rPr>
        <w:t xml:space="preserve"> </w:t>
      </w:r>
      <w:r>
        <w:rPr>
          <w:iCs/>
          <w:snapToGrid w:val="0"/>
          <w:lang w:val="de-DE"/>
        </w:rPr>
        <w:t>von</w:t>
      </w:r>
      <w:r w:rsidRPr="00C70841">
        <w:rPr>
          <w:iCs/>
          <w:snapToGrid w:val="0"/>
          <w:lang w:val="de-DE"/>
        </w:rPr>
        <w:t xml:space="preserve"> </w:t>
      </w:r>
      <w:r>
        <w:rPr>
          <w:lang w:val="de-DE"/>
        </w:rPr>
        <w:t>„</w:t>
      </w:r>
      <w:r w:rsidRPr="00886E4A">
        <w:rPr>
          <w:i/>
          <w:lang w:val="de-DE"/>
        </w:rPr>
        <w:t>spot</w:t>
      </w:r>
      <w:r w:rsidR="00FE2C2C">
        <w:rPr>
          <w:i/>
          <w:lang w:val="de-DE"/>
        </w:rPr>
        <w:t>“</w:t>
      </w:r>
      <w:r>
        <w:rPr>
          <w:lang w:val="de-DE"/>
        </w:rPr>
        <w:t xml:space="preserve"> (Punkt)</w:t>
      </w:r>
      <w:r w:rsidRPr="00C70841">
        <w:rPr>
          <w:iCs/>
          <w:snapToGrid w:val="0"/>
          <w:lang w:val="de-DE"/>
        </w:rPr>
        <w:t xml:space="preserve">, </w:t>
      </w:r>
      <w:r>
        <w:rPr>
          <w:lang w:val="de-DE"/>
        </w:rPr>
        <w:t>„</w:t>
      </w:r>
      <w:r w:rsidRPr="00886E4A">
        <w:rPr>
          <w:i/>
          <w:lang w:val="de-DE"/>
        </w:rPr>
        <w:t>blotch</w:t>
      </w:r>
      <w:r w:rsidR="00FE2C2C">
        <w:rPr>
          <w:i/>
          <w:lang w:val="de-DE"/>
        </w:rPr>
        <w:t>“</w:t>
      </w:r>
      <w:r>
        <w:rPr>
          <w:lang w:val="de-DE"/>
        </w:rPr>
        <w:t xml:space="preserve"> (Fleck)</w:t>
      </w:r>
      <w:r w:rsidRPr="00C70841">
        <w:rPr>
          <w:iCs/>
          <w:snapToGrid w:val="0"/>
          <w:lang w:val="de-DE"/>
        </w:rPr>
        <w:t xml:space="preserve"> und </w:t>
      </w:r>
      <w:r>
        <w:rPr>
          <w:lang w:val="de-DE"/>
        </w:rPr>
        <w:t>„</w:t>
      </w:r>
      <w:r w:rsidRPr="00886E4A">
        <w:rPr>
          <w:i/>
          <w:lang w:val="de-DE"/>
        </w:rPr>
        <w:t>speckle</w:t>
      </w:r>
      <w:r w:rsidR="00FE2C2C">
        <w:rPr>
          <w:i/>
          <w:lang w:val="de-DE"/>
        </w:rPr>
        <w:t>“</w:t>
      </w:r>
      <w:r>
        <w:rPr>
          <w:lang w:val="de-DE"/>
        </w:rPr>
        <w:t xml:space="preserve"> (Sprenkel)</w:t>
      </w:r>
      <w:r w:rsidRPr="00C70841">
        <w:rPr>
          <w:iCs/>
          <w:snapToGrid w:val="0"/>
          <w:lang w:val="de-DE"/>
        </w:rPr>
        <w:t xml:space="preserve">, </w:t>
      </w:r>
      <w:r>
        <w:rPr>
          <w:iCs/>
          <w:snapToGrid w:val="0"/>
          <w:lang w:val="de-DE"/>
        </w:rPr>
        <w:t xml:space="preserve">jedoch keine von </w:t>
      </w:r>
      <w:r>
        <w:rPr>
          <w:lang w:val="de-DE"/>
        </w:rPr>
        <w:t>„</w:t>
      </w:r>
      <w:r w:rsidRPr="00886E4A">
        <w:rPr>
          <w:i/>
          <w:iCs/>
          <w:snapToGrid w:val="0"/>
          <w:lang w:val="de-DE"/>
        </w:rPr>
        <w:t>dot</w:t>
      </w:r>
      <w:r w:rsidR="00FE2C2C">
        <w:rPr>
          <w:i/>
          <w:iCs/>
          <w:snapToGrid w:val="0"/>
          <w:lang w:val="de-DE"/>
        </w:rPr>
        <w:t>“</w:t>
      </w:r>
      <w:r w:rsidR="00232247">
        <w:rPr>
          <w:lang w:val="de-DE"/>
        </w:rPr>
        <w:t xml:space="preserve"> (Punkt)</w:t>
      </w:r>
      <w:r w:rsidRPr="00C70841">
        <w:rPr>
          <w:iCs/>
          <w:snapToGrid w:val="0"/>
          <w:lang w:val="de-DE"/>
        </w:rPr>
        <w:t xml:space="preserve">. </w:t>
      </w:r>
      <w:r w:rsidRPr="008619E8">
        <w:rPr>
          <w:iCs/>
          <w:snapToGrid w:val="0"/>
          <w:lang w:val="de-DE"/>
        </w:rPr>
        <w:t xml:space="preserve">Der </w:t>
      </w:r>
      <w:r w:rsidRPr="008619E8">
        <w:rPr>
          <w:lang w:val="de-DE"/>
        </w:rPr>
        <w:t>TC vereinbarte</w:t>
      </w:r>
      <w:r>
        <w:rPr>
          <w:lang w:val="de-DE"/>
        </w:rPr>
        <w:t xml:space="preserve"> auf seiner neunundvierzigsten Tagung</w:t>
      </w:r>
      <w:r w:rsidRPr="008619E8">
        <w:rPr>
          <w:lang w:val="de-DE"/>
        </w:rPr>
        <w:t xml:space="preserve">, daß eine </w:t>
      </w:r>
      <w:r>
        <w:rPr>
          <w:lang w:val="de-DE"/>
        </w:rPr>
        <w:t>Begriffsbestimmung</w:t>
      </w:r>
      <w:r w:rsidRPr="008619E8">
        <w:rPr>
          <w:lang w:val="de-DE"/>
        </w:rPr>
        <w:t xml:space="preserve"> von „</w:t>
      </w:r>
      <w:r w:rsidRPr="00886E4A">
        <w:rPr>
          <w:i/>
          <w:lang w:val="de-DE"/>
        </w:rPr>
        <w:t>dot</w:t>
      </w:r>
      <w:r w:rsidR="00FE2C2C">
        <w:rPr>
          <w:i/>
          <w:lang w:val="de-DE"/>
        </w:rPr>
        <w:t>“</w:t>
      </w:r>
      <w:r w:rsidR="00232247">
        <w:rPr>
          <w:lang w:val="de-DE"/>
        </w:rPr>
        <w:t xml:space="preserve"> (Punkt)</w:t>
      </w:r>
      <w:r w:rsidRPr="008619E8">
        <w:rPr>
          <w:lang w:val="de-DE"/>
        </w:rPr>
        <w:t xml:space="preserve"> in eine künftige Überarbeitun</w:t>
      </w:r>
      <w:r w:rsidR="00480CD6">
        <w:rPr>
          <w:lang w:val="de-DE"/>
        </w:rPr>
        <w:t>g von Dokument TGP/14 Abschnitt </w:t>
      </w:r>
      <w:r w:rsidRPr="008619E8">
        <w:rPr>
          <w:lang w:val="de-DE"/>
        </w:rPr>
        <w:t>2: „Botanische Begriffe, Unterabschnitt 3: Farbe</w:t>
      </w:r>
      <w:r w:rsidR="00FE2C2C">
        <w:rPr>
          <w:lang w:val="de-DE"/>
        </w:rPr>
        <w:t>“</w:t>
      </w:r>
      <w:r w:rsidRPr="008619E8">
        <w:rPr>
          <w:lang w:val="de-DE"/>
        </w:rPr>
        <w:t xml:space="preserve"> aufgenommen werden solle</w:t>
      </w:r>
      <w:r>
        <w:rPr>
          <w:lang w:val="de-DE"/>
        </w:rPr>
        <w:t>,</w:t>
      </w:r>
      <w:r w:rsidRPr="008619E8">
        <w:rPr>
          <w:lang w:val="de-DE"/>
        </w:rPr>
        <w:t xml:space="preserve"> und bat das Verbandsbüro, einen Entwurf zur Prüfung durch die TWP</w:t>
      </w:r>
      <w:r>
        <w:rPr>
          <w:lang w:val="de-DE"/>
        </w:rPr>
        <w:t>s</w:t>
      </w:r>
      <w:r w:rsidRPr="008619E8">
        <w:rPr>
          <w:lang w:val="de-DE"/>
        </w:rPr>
        <w:t xml:space="preserve"> auf ihren Tagungen im Jahr 2013 auszuarbeiten </w:t>
      </w:r>
      <w:r w:rsidRPr="008619E8">
        <w:rPr>
          <w:rFonts w:cs="Arial"/>
          <w:lang w:val="de-DE"/>
        </w:rPr>
        <w:t xml:space="preserve">(vergleiche Dokument TC/49/41 </w:t>
      </w:r>
      <w:r>
        <w:rPr>
          <w:rFonts w:cs="Arial"/>
          <w:lang w:val="de-DE"/>
        </w:rPr>
        <w:t>„Bericht über die Entschließungen</w:t>
      </w:r>
      <w:r w:rsidR="00480CD6">
        <w:rPr>
          <w:rFonts w:cs="Arial"/>
          <w:lang w:val="de-DE"/>
        </w:rPr>
        <w:t>“</w:t>
      </w:r>
      <w:r w:rsidRPr="008619E8">
        <w:rPr>
          <w:rFonts w:cs="Arial"/>
          <w:lang w:val="de-DE"/>
        </w:rPr>
        <w:t xml:space="preserve">, </w:t>
      </w:r>
      <w:r>
        <w:rPr>
          <w:rFonts w:cs="Arial"/>
          <w:lang w:val="de-DE"/>
        </w:rPr>
        <w:t>Absatz</w:t>
      </w:r>
      <w:r w:rsidRPr="008619E8">
        <w:rPr>
          <w:rFonts w:cs="Arial"/>
          <w:lang w:val="de-DE"/>
        </w:rPr>
        <w:t xml:space="preserve"> </w:t>
      </w:r>
      <w:r w:rsidR="00245216">
        <w:rPr>
          <w:rFonts w:cs="Arial"/>
          <w:lang w:val="de-DE"/>
        </w:rPr>
        <w:t>8</w:t>
      </w:r>
      <w:r w:rsidRPr="008619E8">
        <w:rPr>
          <w:rFonts w:cs="Arial"/>
          <w:lang w:val="de-DE"/>
        </w:rPr>
        <w:t>5).</w:t>
      </w:r>
    </w:p>
    <w:p w:rsidR="004C7E38" w:rsidRPr="008619E8" w:rsidRDefault="004C7E38" w:rsidP="00E11277">
      <w:pPr>
        <w:rPr>
          <w:rFonts w:cs="Arial"/>
          <w:lang w:val="de-DE"/>
        </w:rPr>
      </w:pPr>
    </w:p>
    <w:p w:rsidR="004C7E38" w:rsidRPr="008619E8" w:rsidRDefault="004C7E38" w:rsidP="00E11277">
      <w:pPr>
        <w:rPr>
          <w:rFonts w:cs="Arial"/>
          <w:lang w:val="de-DE"/>
        </w:rPr>
      </w:pPr>
    </w:p>
    <w:p w:rsidR="004C7E38" w:rsidRPr="00C323CF" w:rsidRDefault="004C7E38" w:rsidP="006C5852">
      <w:pPr>
        <w:pStyle w:val="Heading1"/>
        <w:rPr>
          <w:snapToGrid w:val="0"/>
          <w:lang w:val="de-DE"/>
        </w:rPr>
      </w:pPr>
      <w:bookmarkStart w:id="7" w:name="_Toc379271722"/>
      <w:r w:rsidRPr="00C323CF">
        <w:rPr>
          <w:snapToGrid w:val="0"/>
          <w:lang w:val="de-DE"/>
        </w:rPr>
        <w:t xml:space="preserve">beispiele für die </w:t>
      </w:r>
      <w:r>
        <w:rPr>
          <w:snapToGrid w:val="0"/>
          <w:lang w:val="de-DE"/>
        </w:rPr>
        <w:t>Ver</w:t>
      </w:r>
      <w:r w:rsidRPr="00C323CF">
        <w:rPr>
          <w:snapToGrid w:val="0"/>
          <w:lang w:val="de-DE"/>
        </w:rPr>
        <w:t xml:space="preserve">wendung von </w:t>
      </w:r>
      <w:r>
        <w:rPr>
          <w:rFonts w:cs="Arial"/>
          <w:lang w:val="de-DE"/>
        </w:rPr>
        <w:t>„</w:t>
      </w:r>
      <w:r w:rsidRPr="007B18B4">
        <w:rPr>
          <w:i/>
          <w:snapToGrid w:val="0"/>
          <w:lang w:val="de-DE"/>
        </w:rPr>
        <w:t>DOT</w:t>
      </w:r>
      <w:r w:rsidR="00480CD6">
        <w:rPr>
          <w:rFonts w:cs="Arial"/>
          <w:lang w:val="de-DE"/>
        </w:rPr>
        <w:t>”</w:t>
      </w:r>
      <w:r>
        <w:rPr>
          <w:snapToGrid w:val="0"/>
          <w:lang w:val="de-DE"/>
        </w:rPr>
        <w:t xml:space="preserve"> </w:t>
      </w:r>
      <w:r w:rsidRPr="00C323CF">
        <w:rPr>
          <w:snapToGrid w:val="0"/>
          <w:lang w:val="de-DE"/>
        </w:rPr>
        <w:t xml:space="preserve">und </w:t>
      </w:r>
      <w:r>
        <w:rPr>
          <w:rFonts w:cs="Arial"/>
          <w:lang w:val="de-DE"/>
        </w:rPr>
        <w:t>„</w:t>
      </w:r>
      <w:r w:rsidRPr="007B18B4">
        <w:rPr>
          <w:i/>
          <w:snapToGrid w:val="0"/>
          <w:lang w:val="de-DE"/>
        </w:rPr>
        <w:t>SPOT</w:t>
      </w:r>
      <w:r w:rsidR="00480CD6">
        <w:rPr>
          <w:rFonts w:cs="Arial"/>
          <w:lang w:val="de-DE"/>
        </w:rPr>
        <w:t>”</w:t>
      </w:r>
      <w:bookmarkEnd w:id="7"/>
    </w:p>
    <w:p w:rsidR="004C7E38" w:rsidRPr="00C323CF" w:rsidRDefault="004C7E38" w:rsidP="00E11277">
      <w:pPr>
        <w:keepNext/>
        <w:rPr>
          <w:lang w:val="de-DE"/>
        </w:rPr>
      </w:pPr>
    </w:p>
    <w:p w:rsidR="004C7E38" w:rsidRPr="00C323CF" w:rsidRDefault="004C7E38" w:rsidP="00DC6E64">
      <w:pPr>
        <w:keepNext/>
        <w:rPr>
          <w:lang w:val="de-DE"/>
        </w:rPr>
      </w:pPr>
      <w:r w:rsidRPr="00C323CF">
        <w:rPr>
          <w:iCs/>
          <w:snapToGrid w:val="0"/>
          <w:lang w:val="de-DE"/>
        </w:rPr>
        <w:fldChar w:fldCharType="begin"/>
      </w:r>
      <w:r w:rsidRPr="00C323CF">
        <w:rPr>
          <w:iCs/>
          <w:snapToGrid w:val="0"/>
          <w:lang w:val="de-DE"/>
        </w:rPr>
        <w:instrText xml:space="preserve"> AUTONUM  </w:instrText>
      </w:r>
      <w:r w:rsidRPr="00C323CF">
        <w:rPr>
          <w:iCs/>
          <w:snapToGrid w:val="0"/>
          <w:lang w:val="de-DE"/>
        </w:rPr>
        <w:fldChar w:fldCharType="end"/>
      </w:r>
      <w:r w:rsidRPr="00C323CF">
        <w:rPr>
          <w:iCs/>
          <w:snapToGrid w:val="0"/>
          <w:lang w:val="de-DE"/>
        </w:rPr>
        <w:tab/>
        <w:t>Eine Suche in den UPOV-Prüfungsrichtlinien er</w:t>
      </w:r>
      <w:r>
        <w:rPr>
          <w:iCs/>
          <w:snapToGrid w:val="0"/>
          <w:lang w:val="de-DE"/>
        </w:rPr>
        <w:t xml:space="preserve">gibt </w:t>
      </w:r>
      <w:r w:rsidRPr="00C323CF">
        <w:rPr>
          <w:iCs/>
          <w:snapToGrid w:val="0"/>
          <w:lang w:val="de-DE"/>
        </w:rPr>
        <w:t xml:space="preserve">67 </w:t>
      </w:r>
      <w:r>
        <w:rPr>
          <w:iCs/>
          <w:snapToGrid w:val="0"/>
          <w:lang w:val="de-DE"/>
        </w:rPr>
        <w:t xml:space="preserve">Ergebnisse zur Verwendung des Begriffes </w:t>
      </w:r>
      <w:r>
        <w:rPr>
          <w:lang w:val="de-DE"/>
        </w:rPr>
        <w:t>„</w:t>
      </w:r>
      <w:r w:rsidRPr="00886E4A">
        <w:rPr>
          <w:i/>
          <w:lang w:val="de-DE"/>
        </w:rPr>
        <w:t>dot</w:t>
      </w:r>
      <w:r w:rsidR="00FE2C2C">
        <w:rPr>
          <w:i/>
          <w:lang w:val="de-DE"/>
        </w:rPr>
        <w:t>“</w:t>
      </w:r>
      <w:r w:rsidRPr="00C323CF">
        <w:rPr>
          <w:lang w:val="de-DE"/>
        </w:rPr>
        <w:t xml:space="preserve"> in </w:t>
      </w:r>
      <w:r>
        <w:rPr>
          <w:lang w:val="de-DE"/>
        </w:rPr>
        <w:t xml:space="preserve">den </w:t>
      </w:r>
      <w:r w:rsidRPr="00C323CF">
        <w:rPr>
          <w:lang w:val="de-DE"/>
        </w:rPr>
        <w:t>Prüfungsrichtlinien.</w:t>
      </w:r>
      <w:r>
        <w:rPr>
          <w:lang w:val="de-DE"/>
        </w:rPr>
        <w:t xml:space="preserve"> </w:t>
      </w:r>
      <w:r w:rsidRPr="00C323CF">
        <w:rPr>
          <w:lang w:val="de-DE"/>
        </w:rPr>
        <w:t>Die folgenden Merkmale sind Beispiele für di</w:t>
      </w:r>
      <w:r>
        <w:rPr>
          <w:lang w:val="de-DE"/>
        </w:rPr>
        <w:t>e Verwendung von „</w:t>
      </w:r>
      <w:r w:rsidRPr="00886E4A">
        <w:rPr>
          <w:i/>
          <w:lang w:val="de-DE"/>
        </w:rPr>
        <w:t>dot</w:t>
      </w:r>
      <w:r w:rsidR="00FE2C2C">
        <w:rPr>
          <w:i/>
          <w:lang w:val="de-DE"/>
        </w:rPr>
        <w:t>“</w:t>
      </w:r>
      <w:r>
        <w:rPr>
          <w:lang w:val="de-DE"/>
        </w:rPr>
        <w:t>, wo auch der Begriff „</w:t>
      </w:r>
      <w:r w:rsidRPr="00886E4A">
        <w:rPr>
          <w:i/>
          <w:lang w:val="de-DE"/>
        </w:rPr>
        <w:t>spot</w:t>
      </w:r>
      <w:r w:rsidR="00FE2C2C">
        <w:rPr>
          <w:i/>
          <w:lang w:val="de-DE"/>
        </w:rPr>
        <w:t>“</w:t>
      </w:r>
      <w:r w:rsidRPr="00C323CF">
        <w:rPr>
          <w:lang w:val="de-DE"/>
        </w:rPr>
        <w:t xml:space="preserve"> </w:t>
      </w:r>
      <w:r>
        <w:rPr>
          <w:lang w:val="de-DE"/>
        </w:rPr>
        <w:t>verwendet wird</w:t>
      </w:r>
      <w:r w:rsidRPr="00C323CF">
        <w:rPr>
          <w:lang w:val="de-DE"/>
        </w:rPr>
        <w:t>:</w:t>
      </w:r>
    </w:p>
    <w:p w:rsidR="004C7E38" w:rsidRPr="00C323CF" w:rsidRDefault="004C7E38" w:rsidP="00E11277">
      <w:pPr>
        <w:keepNext/>
        <w:rPr>
          <w:snapToGrid w:val="0"/>
          <w:lang w:val="de-DE"/>
        </w:rPr>
      </w:pPr>
    </w:p>
    <w:p w:rsidR="004C7E38" w:rsidRPr="00C24147" w:rsidRDefault="004C7E38" w:rsidP="00E11277">
      <w:pPr>
        <w:pStyle w:val="Header"/>
        <w:rPr>
          <w:rFonts w:cs="Arial"/>
          <w:lang w:val="it-CH"/>
        </w:rPr>
      </w:pPr>
      <w:r w:rsidRPr="00C24147">
        <w:rPr>
          <w:rFonts w:cs="Arial"/>
          <w:spacing w:val="10"/>
          <w:lang w:val="it-CH"/>
        </w:rPr>
        <w:t>TG/28/9 Corr.</w:t>
      </w:r>
    </w:p>
    <w:p w:rsidR="004C7E38" w:rsidRDefault="004C7E38" w:rsidP="00E11277">
      <w:pPr>
        <w:pStyle w:val="Header"/>
        <w:rPr>
          <w:rFonts w:cs="Arial"/>
          <w:lang w:val="it-CH"/>
        </w:rPr>
      </w:pPr>
      <w:r w:rsidRPr="00C24147">
        <w:rPr>
          <w:rFonts w:cs="Arial"/>
          <w:lang w:val="it-CH"/>
        </w:rPr>
        <w:t>Zonal Pelargonium, Ivy-leaved Pelargonium/Géranium lierre, Pelargonium zonale/</w:t>
      </w:r>
      <w:r w:rsidRPr="00C24147">
        <w:rPr>
          <w:rFonts w:cs="Arial"/>
          <w:lang w:val="it-CH"/>
        </w:rPr>
        <w:br/>
        <w:t>Zonal-Pelargonie, Efeupelargonie, Efeublättrige Pelargonie/Geranio, 2009-04-01 + 2009-10-27</w:t>
      </w:r>
    </w:p>
    <w:p w:rsidR="004C7E38" w:rsidRPr="00C24147" w:rsidRDefault="004C7E38" w:rsidP="00E11277">
      <w:pPr>
        <w:pStyle w:val="Header"/>
        <w:rPr>
          <w:rFonts w:cs="Arial"/>
          <w:lang w:val="it-CH"/>
        </w:rPr>
      </w:pPr>
    </w:p>
    <w:tbl>
      <w:tblPr>
        <w:tblW w:w="9640" w:type="dxa"/>
        <w:jc w:val="center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68"/>
        <w:gridCol w:w="1841"/>
        <w:gridCol w:w="1984"/>
        <w:gridCol w:w="1843"/>
        <w:gridCol w:w="1843"/>
        <w:gridCol w:w="568"/>
        <w:gridCol w:w="425"/>
      </w:tblGrid>
      <w:tr w:rsidR="004C7E38" w:rsidRPr="007B18B4" w:rsidTr="003D79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</w:tcBorders>
          </w:tcPr>
          <w:p w:rsidR="004C7E38" w:rsidRPr="0046224D" w:rsidRDefault="004C7E38" w:rsidP="003D79E9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 xml:space="preserve">55. </w:t>
            </w:r>
            <w:r w:rsidRPr="0046224D">
              <w:rPr>
                <w:rFonts w:cs="Arial"/>
                <w:b/>
                <w:sz w:val="18"/>
                <w:szCs w:val="18"/>
                <w:lang w:val="en-GB"/>
              </w:rPr>
              <w:br/>
            </w: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 xml:space="preserve"> </w:t>
            </w:r>
            <w:r w:rsidRPr="0046224D">
              <w:rPr>
                <w:rFonts w:cs="Arial"/>
                <w:b/>
                <w:sz w:val="18"/>
                <w:szCs w:val="18"/>
                <w:lang w:val="en-GB"/>
              </w:rPr>
              <w:br/>
            </w: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(+)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4C7E38" w:rsidRPr="0046224D" w:rsidRDefault="004C7E38" w:rsidP="003D79E9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4C7E38" w:rsidRPr="0046224D" w:rsidRDefault="004C7E38" w:rsidP="003D79E9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b/>
                <w:color w:val="000000"/>
                <w:sz w:val="18"/>
                <w:szCs w:val="18"/>
                <w:u w:val="single"/>
              </w:rPr>
              <w:t>Lower</w:t>
            </w:r>
            <w:r w:rsidRPr="0046224D">
              <w:rPr>
                <w:rFonts w:cs="Arial"/>
                <w:b/>
                <w:color w:val="000000"/>
                <w:sz w:val="18"/>
                <w:szCs w:val="18"/>
              </w:rPr>
              <w:t xml:space="preserve"> petal: type of marking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4C7E38" w:rsidRPr="0001508D" w:rsidRDefault="004C7E38" w:rsidP="003D79E9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46224D">
              <w:rPr>
                <w:rFonts w:cs="Arial"/>
                <w:b/>
                <w:sz w:val="18"/>
                <w:szCs w:val="18"/>
                <w:lang w:val="fr-FR"/>
              </w:rPr>
              <w:t xml:space="preserve">Pétale </w:t>
            </w:r>
            <w:r w:rsidRPr="0046224D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inférieur</w:t>
            </w:r>
            <w:r w:rsidRPr="0046224D">
              <w:rPr>
                <w:rFonts w:cs="Arial"/>
                <w:b/>
                <w:sz w:val="18"/>
                <w:szCs w:val="18"/>
                <w:lang w:val="fr-FR"/>
              </w:rPr>
              <w:t> : type d’ornementations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4C7E38" w:rsidRPr="0046224D" w:rsidRDefault="004C7E38" w:rsidP="003D79E9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color w:val="000000"/>
                <w:sz w:val="18"/>
                <w:szCs w:val="18"/>
                <w:u w:val="single"/>
                <w:lang w:val="de-DE"/>
              </w:rPr>
              <w:t>Unteres</w:t>
            </w:r>
            <w:r w:rsidRPr="0046224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Blütenblatt: Art der Zeichnung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4C7E38" w:rsidRPr="0046224D" w:rsidRDefault="004C7E38" w:rsidP="003D79E9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b/>
                <w:sz w:val="18"/>
                <w:szCs w:val="18"/>
                <w:lang w:val="es-ES_tradnl"/>
              </w:rPr>
              <w:t xml:space="preserve">Pétalo </w:t>
            </w:r>
            <w:r w:rsidRPr="0046224D">
              <w:rPr>
                <w:rFonts w:cs="Arial"/>
                <w:b/>
                <w:sz w:val="18"/>
                <w:szCs w:val="18"/>
                <w:u w:val="single"/>
                <w:lang w:val="es-ES_tradnl"/>
              </w:rPr>
              <w:t>inferior</w:t>
            </w:r>
            <w:r w:rsidRPr="0046224D">
              <w:rPr>
                <w:rFonts w:cs="Arial"/>
                <w:b/>
                <w:sz w:val="18"/>
                <w:szCs w:val="18"/>
                <w:lang w:val="es-ES_tradnl"/>
              </w:rPr>
              <w:t>: tipo de manchas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4C7E38" w:rsidRPr="00245216" w:rsidRDefault="004C7E38" w:rsidP="003D79E9">
            <w:pPr>
              <w:keepNext/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:rsidR="004C7E38" w:rsidRPr="00245216" w:rsidRDefault="004C7E38" w:rsidP="003D79E9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4C7E38" w:rsidRPr="0046224D" w:rsidTr="003D79E9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4C7E38" w:rsidRPr="0046224D" w:rsidRDefault="004C7E38" w:rsidP="003D79E9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PQ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4C7E38" w:rsidRPr="0046224D" w:rsidRDefault="004C7E38" w:rsidP="003D79E9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(b)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C7E38" w:rsidRPr="0046224D" w:rsidRDefault="004C7E38" w:rsidP="003D79E9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stripes only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C7E38" w:rsidRPr="0046224D" w:rsidRDefault="004C7E38" w:rsidP="003D79E9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46224D">
              <w:rPr>
                <w:rFonts w:cs="Arial"/>
                <w:sz w:val="18"/>
                <w:szCs w:val="18"/>
                <w:lang w:val="fr-FR"/>
              </w:rPr>
              <w:t>stries seulement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C7E38" w:rsidRPr="0046224D" w:rsidRDefault="004C7E38" w:rsidP="003D79E9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color w:val="000000"/>
                <w:sz w:val="18"/>
                <w:szCs w:val="18"/>
                <w:lang w:val="de-DE"/>
              </w:rPr>
              <w:t>nur gestreift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C7E38" w:rsidRPr="0046224D" w:rsidRDefault="004C7E38" w:rsidP="003D79E9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sólo rayas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4C7E38" w:rsidRPr="0046224D" w:rsidRDefault="004C7E38" w:rsidP="003D79E9">
            <w:pPr>
              <w:keepNext/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C7E38" w:rsidRPr="0046224D" w:rsidRDefault="004C7E38" w:rsidP="003D79E9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</w:tr>
      <w:tr w:rsidR="004C7E38" w:rsidRPr="0046224D" w:rsidTr="003D79E9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(c)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stripes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und </w:t>
            </w:r>
            <w:r w:rsidRPr="0046224D">
              <w:rPr>
                <w:rFonts w:cs="Arial"/>
                <w:color w:val="000000"/>
                <w:sz w:val="18"/>
                <w:szCs w:val="18"/>
              </w:rPr>
              <w:t>dots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46224D">
              <w:rPr>
                <w:rFonts w:cs="Arial"/>
                <w:sz w:val="18"/>
                <w:szCs w:val="18"/>
                <w:lang w:val="fr-FR"/>
              </w:rPr>
              <w:t>stries et points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color w:val="000000"/>
                <w:sz w:val="18"/>
                <w:szCs w:val="18"/>
                <w:lang w:val="de-DE"/>
              </w:rPr>
              <w:t>gestreift und Punkte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rayas y puntos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2</w:t>
            </w:r>
          </w:p>
        </w:tc>
      </w:tr>
      <w:tr w:rsidR="004C7E38" w:rsidRPr="0046224D" w:rsidTr="003D79E9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stripes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und </w:t>
            </w:r>
            <w:r w:rsidRPr="0046224D">
              <w:rPr>
                <w:rFonts w:cs="Arial"/>
                <w:color w:val="000000"/>
                <w:sz w:val="18"/>
                <w:szCs w:val="18"/>
              </w:rPr>
              <w:t>spot/spots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46224D">
              <w:rPr>
                <w:rFonts w:cs="Arial"/>
                <w:sz w:val="18"/>
                <w:szCs w:val="18"/>
                <w:lang w:val="fr-FR"/>
              </w:rPr>
              <w:t>stries et tache/taches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color w:val="000000"/>
                <w:sz w:val="18"/>
                <w:szCs w:val="18"/>
                <w:lang w:val="de-DE"/>
              </w:rPr>
              <w:t>gestreift und Fleck/Flecken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rayas y una o más manchas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3</w:t>
            </w:r>
          </w:p>
        </w:tc>
      </w:tr>
      <w:tr w:rsidR="004C7E38" w:rsidRPr="0046224D" w:rsidTr="003D79E9">
        <w:trPr>
          <w:jc w:val="center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4C7E38" w:rsidRPr="0046224D" w:rsidRDefault="004C7E38" w:rsidP="003D79E9">
            <w:pPr>
              <w:pStyle w:val="Normaltb"/>
              <w:keepNext w:val="0"/>
              <w:tabs>
                <w:tab w:val="left" w:pos="709"/>
              </w:tabs>
              <w:spacing w:before="60" w:after="60"/>
              <w:jc w:val="center"/>
              <w:rPr>
                <w:rFonts w:ascii="Arial" w:hAnsi="Arial" w:cs="Arial"/>
                <w:noProof w:val="0"/>
                <w:sz w:val="18"/>
                <w:szCs w:val="18"/>
                <w:lang w:val="de-DE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single spot only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4C7E38" w:rsidRPr="0046224D" w:rsidRDefault="004C7E38" w:rsidP="003D79E9">
            <w:pPr>
              <w:pStyle w:val="Normalt"/>
              <w:tabs>
                <w:tab w:val="left" w:pos="709"/>
              </w:tabs>
              <w:spacing w:before="60" w:after="60"/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  <w:t xml:space="preserve">une seule tache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nur einzelner Fleck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sólo una única mancha</w:t>
            </w: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4C7E38" w:rsidRPr="0046224D" w:rsidRDefault="004C7E38" w:rsidP="003D79E9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4</w:t>
            </w:r>
          </w:p>
        </w:tc>
      </w:tr>
    </w:tbl>
    <w:p w:rsidR="004C7E38" w:rsidRDefault="004C7E38" w:rsidP="00E11277">
      <w:pPr>
        <w:tabs>
          <w:tab w:val="left" w:pos="709"/>
        </w:tabs>
        <w:rPr>
          <w:szCs w:val="24"/>
          <w:u w:val="single"/>
        </w:rPr>
      </w:pPr>
    </w:p>
    <w:p w:rsidR="004C7E38" w:rsidRPr="009D1BBF" w:rsidRDefault="004C7E38" w:rsidP="009D1BBF">
      <w:pPr>
        <w:tabs>
          <w:tab w:val="left" w:pos="709"/>
        </w:tabs>
        <w:rPr>
          <w:szCs w:val="24"/>
          <w:u w:val="single"/>
          <w:lang w:val="de-DE"/>
        </w:rPr>
      </w:pPr>
      <w:r w:rsidRPr="009D1BBF">
        <w:rPr>
          <w:szCs w:val="24"/>
          <w:u w:val="single"/>
          <w:lang w:val="de-DE"/>
        </w:rPr>
        <w:t>Ad. 55:  Unteres Blütenblatt: Art der Ze</w:t>
      </w:r>
      <w:r>
        <w:rPr>
          <w:szCs w:val="24"/>
          <w:u w:val="single"/>
          <w:lang w:val="de-DE"/>
        </w:rPr>
        <w:t>ichnung</w:t>
      </w:r>
    </w:p>
    <w:p w:rsidR="004C7E38" w:rsidRPr="009D1BBF" w:rsidRDefault="004C7E38" w:rsidP="00E11277">
      <w:pPr>
        <w:pStyle w:val="Normaltg"/>
        <w:tabs>
          <w:tab w:val="clear" w:pos="1418"/>
        </w:tabs>
        <w:rPr>
          <w:szCs w:val="24"/>
          <w:lang w:val="de-DE"/>
        </w:rPr>
      </w:pPr>
    </w:p>
    <w:tbl>
      <w:tblPr>
        <w:tblW w:w="8930" w:type="dxa"/>
        <w:jc w:val="center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4"/>
        <w:gridCol w:w="1915"/>
        <w:gridCol w:w="3011"/>
        <w:gridCol w:w="2020"/>
      </w:tblGrid>
      <w:tr w:rsidR="004C7E38" w:rsidRPr="00041E49" w:rsidTr="00E1546A">
        <w:trPr>
          <w:jc w:val="center"/>
        </w:trPr>
        <w:tc>
          <w:tcPr>
            <w:tcW w:w="1984" w:type="dxa"/>
          </w:tcPr>
          <w:p w:rsidR="004C7E38" w:rsidRPr="00041E49" w:rsidRDefault="00C40993" w:rsidP="003D79E9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pict>
                <v:shape id="Picture 6" o:spid="_x0000_i1026" type="#_x0000_t75" alt="Zeich_Petale_ohne" style="width:65.1pt;height:70.85pt;visibility:visible">
                  <v:imagedata r:id="rId9" o:title="" blacklevel="3932f"/>
                </v:shape>
              </w:pict>
            </w:r>
          </w:p>
        </w:tc>
        <w:tc>
          <w:tcPr>
            <w:tcW w:w="1915" w:type="dxa"/>
          </w:tcPr>
          <w:p w:rsidR="004C7E38" w:rsidRPr="00041E49" w:rsidRDefault="00C40993" w:rsidP="003D79E9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pict>
                <v:shape id="Picture 5" o:spid="_x0000_i1027" type="#_x0000_t75" alt="Zeich_Petale_Flecken" style="width:65.1pt;height:70.85pt;visibility:visible">
                  <v:imagedata r:id="rId10" o:title="" blacklevel="3932f"/>
                </v:shape>
              </w:pict>
            </w:r>
          </w:p>
        </w:tc>
        <w:tc>
          <w:tcPr>
            <w:tcW w:w="3011" w:type="dxa"/>
          </w:tcPr>
          <w:p w:rsidR="004C7E38" w:rsidRPr="00041E49" w:rsidRDefault="00C40993" w:rsidP="003D79E9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pict>
                <v:shape id="Picture 4" o:spid="_x0000_i1028" type="#_x0000_t75" alt="Zeich_Petale_Fleck" style="width:66.25pt;height:70.85pt;visibility:visible">
                  <v:imagedata r:id="rId11" o:title="" blacklevel="3932f"/>
                </v:shape>
              </w:pict>
            </w:r>
            <w:r>
              <w:rPr>
                <w:noProof/>
                <w:szCs w:val="24"/>
                <w:lang w:eastAsia="en-US"/>
              </w:rPr>
              <w:pict>
                <v:shape id="Picture 3" o:spid="_x0000_i1029" type="#_x0000_t75" alt="Zeich_Petale_zwei Flecken" style="width:66.25pt;height:70.85pt;visibility:visible">
                  <v:imagedata r:id="rId12" o:title="" blacklevel="3932f"/>
                </v:shape>
              </w:pict>
            </w:r>
          </w:p>
        </w:tc>
        <w:tc>
          <w:tcPr>
            <w:tcW w:w="2020" w:type="dxa"/>
          </w:tcPr>
          <w:p w:rsidR="004C7E38" w:rsidRPr="00041E49" w:rsidRDefault="00C40993" w:rsidP="003D79E9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pict>
                <v:shape id="Picture 2" o:spid="_x0000_i1030" type="#_x0000_t75" alt="Fleck3" style="width:57pt;height:68.55pt;visibility:visible">
                  <v:imagedata r:id="rId13" o:title="" blacklevel="3932f"/>
                </v:shape>
              </w:pict>
            </w:r>
          </w:p>
        </w:tc>
      </w:tr>
      <w:tr w:rsidR="004C7E38" w:rsidRPr="00D2170F" w:rsidTr="00E1546A">
        <w:trPr>
          <w:jc w:val="center"/>
        </w:trPr>
        <w:tc>
          <w:tcPr>
            <w:tcW w:w="1984" w:type="dxa"/>
          </w:tcPr>
          <w:p w:rsidR="004C7E38" w:rsidRPr="00D2170F" w:rsidRDefault="004C7E38" w:rsidP="003D79E9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15" w:type="dxa"/>
          </w:tcPr>
          <w:p w:rsidR="004C7E38" w:rsidRPr="00D2170F" w:rsidRDefault="004C7E38" w:rsidP="003D79E9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11" w:type="dxa"/>
          </w:tcPr>
          <w:p w:rsidR="004C7E38" w:rsidRPr="00D2170F" w:rsidRDefault="004C7E38" w:rsidP="003D79E9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20" w:type="dxa"/>
          </w:tcPr>
          <w:p w:rsidR="004C7E38" w:rsidRPr="00D2170F" w:rsidRDefault="004C7E38" w:rsidP="003D79E9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4</w:t>
            </w:r>
          </w:p>
        </w:tc>
      </w:tr>
      <w:tr w:rsidR="004C7E38" w:rsidRPr="00E1546A" w:rsidTr="00E1546A">
        <w:trPr>
          <w:jc w:val="center"/>
        </w:trPr>
        <w:tc>
          <w:tcPr>
            <w:tcW w:w="1984" w:type="dxa"/>
          </w:tcPr>
          <w:p w:rsidR="004C7E38" w:rsidRPr="00E1546A" w:rsidRDefault="00245216" w:rsidP="003D79E9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nur gestreift</w:t>
            </w:r>
          </w:p>
        </w:tc>
        <w:tc>
          <w:tcPr>
            <w:tcW w:w="1915" w:type="dxa"/>
          </w:tcPr>
          <w:p w:rsidR="004C7E38" w:rsidRPr="00E1546A" w:rsidRDefault="00245216" w:rsidP="003D79E9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1546A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gestreift und Punkte</w:t>
            </w:r>
          </w:p>
        </w:tc>
        <w:tc>
          <w:tcPr>
            <w:tcW w:w="3011" w:type="dxa"/>
          </w:tcPr>
          <w:p w:rsidR="004C7E38" w:rsidRPr="00E1546A" w:rsidRDefault="00245216" w:rsidP="00E1546A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gestreift und Fleck/Flecken</w:t>
            </w:r>
          </w:p>
        </w:tc>
        <w:tc>
          <w:tcPr>
            <w:tcW w:w="2020" w:type="dxa"/>
          </w:tcPr>
          <w:p w:rsidR="004C7E38" w:rsidRPr="00E1546A" w:rsidRDefault="004C7E38" w:rsidP="00E1546A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1546A">
              <w:rPr>
                <w:rFonts w:ascii="Arial" w:hAnsi="Arial" w:cs="Arial"/>
                <w:sz w:val="18"/>
                <w:szCs w:val="18"/>
                <w:lang w:val="de-DE"/>
              </w:rPr>
              <w:t>nur einzelner Fleck</w:t>
            </w:r>
          </w:p>
        </w:tc>
      </w:tr>
    </w:tbl>
    <w:p w:rsidR="004C7E38" w:rsidRDefault="004C7E38" w:rsidP="00E11277">
      <w:pPr>
        <w:pStyle w:val="Header"/>
        <w:rPr>
          <w:lang w:val="es-ES"/>
        </w:rPr>
      </w:pPr>
    </w:p>
    <w:p w:rsidR="004C7E38" w:rsidRDefault="004C7E38" w:rsidP="00E11277">
      <w:pPr>
        <w:pStyle w:val="Header"/>
        <w:rPr>
          <w:lang w:val="es-ES"/>
        </w:rPr>
      </w:pPr>
    </w:p>
    <w:p w:rsidR="004C7E38" w:rsidRPr="00901EED" w:rsidRDefault="004C7E38" w:rsidP="00E11277">
      <w:pPr>
        <w:pStyle w:val="Header"/>
        <w:rPr>
          <w:lang w:val="es-ES"/>
        </w:rPr>
      </w:pPr>
      <w:r w:rsidRPr="00901EED">
        <w:rPr>
          <w:lang w:val="es-ES"/>
        </w:rPr>
        <w:t>TG/70/4 Rev.</w:t>
      </w:r>
    </w:p>
    <w:p w:rsidR="004C7E38" w:rsidRDefault="004C7E38" w:rsidP="00E11277">
      <w:pPr>
        <w:pStyle w:val="Header"/>
        <w:rPr>
          <w:lang w:val="es-ES"/>
        </w:rPr>
      </w:pPr>
      <w:r w:rsidRPr="00901EED">
        <w:rPr>
          <w:lang w:val="es-ES"/>
        </w:rPr>
        <w:t>Apricot/Abricotier/Aprikose, Marille/Albaricoquero, Chabacano, Damasco, 2007-03-28</w:t>
      </w:r>
    </w:p>
    <w:p w:rsidR="004C7E38" w:rsidRPr="00901EED" w:rsidRDefault="004C7E38" w:rsidP="00E11277">
      <w:pPr>
        <w:pStyle w:val="Header"/>
        <w:rPr>
          <w:lang w:val="es-ES"/>
        </w:rPr>
      </w:pPr>
    </w:p>
    <w:tbl>
      <w:tblPr>
        <w:tblW w:w="967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2"/>
        <w:gridCol w:w="1824"/>
        <w:gridCol w:w="1994"/>
        <w:gridCol w:w="1843"/>
        <w:gridCol w:w="1974"/>
        <w:gridCol w:w="907"/>
        <w:gridCol w:w="246"/>
      </w:tblGrid>
      <w:tr w:rsidR="004C7E38" w:rsidRPr="007B18B4" w:rsidTr="003D79E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4C7E38" w:rsidRPr="0046224D" w:rsidRDefault="004C7E38" w:rsidP="003D79E9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48.</w:t>
            </w: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4C7E38" w:rsidRPr="0046224D" w:rsidRDefault="004C7E38" w:rsidP="003D79E9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4C7E38" w:rsidRPr="0046224D" w:rsidRDefault="004C7E38" w:rsidP="003D79E9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Fruit: pattern of over color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4C7E38" w:rsidRPr="0046224D" w:rsidRDefault="004C7E38" w:rsidP="003D79E9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Fruit: distribution du lavis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C7E38" w:rsidRPr="0046224D" w:rsidRDefault="004C7E38" w:rsidP="003D79E9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Frucht: Verteilung der Deckfarbe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4C7E38" w:rsidRPr="0046224D" w:rsidRDefault="004C7E38" w:rsidP="003D79E9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Fruto: distribución  del color superpuesto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4C7E38" w:rsidRPr="0046224D" w:rsidRDefault="004C7E38" w:rsidP="003D79E9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4C7E38" w:rsidRPr="0046224D" w:rsidRDefault="004C7E38" w:rsidP="003D79E9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C7E38" w:rsidRPr="0046224D" w:rsidTr="003D79E9">
        <w:trPr>
          <w:cantSplit/>
          <w:jc w:val="center"/>
        </w:trPr>
        <w:tc>
          <w:tcPr>
            <w:tcW w:w="567" w:type="dxa"/>
          </w:tcPr>
          <w:p w:rsidR="004C7E38" w:rsidRPr="0046224D" w:rsidRDefault="004C7E38" w:rsidP="003D79E9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24D">
              <w:rPr>
                <w:rFonts w:ascii="Arial" w:hAnsi="Arial" w:cs="Arial"/>
                <w:b/>
                <w:sz w:val="18"/>
                <w:szCs w:val="18"/>
              </w:rPr>
              <w:t>PQ</w:t>
            </w:r>
          </w:p>
        </w:tc>
        <w:tc>
          <w:tcPr>
            <w:tcW w:w="322" w:type="dxa"/>
          </w:tcPr>
          <w:p w:rsidR="004C7E38" w:rsidRPr="0001508D" w:rsidRDefault="004C7E38" w:rsidP="003D79E9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08D">
              <w:rPr>
                <w:rFonts w:ascii="Arial" w:hAnsi="Arial" w:cs="Arial"/>
                <w:b/>
                <w:sz w:val="18"/>
                <w:szCs w:val="18"/>
              </w:rPr>
              <w:t>(d)</w:t>
            </w:r>
          </w:p>
        </w:tc>
        <w:tc>
          <w:tcPr>
            <w:tcW w:w="1824" w:type="dxa"/>
          </w:tcPr>
          <w:p w:rsidR="004C7E38" w:rsidRPr="0046224D" w:rsidRDefault="004C7E38" w:rsidP="003D79E9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isolated flecks (spots)</w:t>
            </w:r>
          </w:p>
        </w:tc>
        <w:tc>
          <w:tcPr>
            <w:tcW w:w="1994" w:type="dxa"/>
          </w:tcPr>
          <w:p w:rsidR="004C7E38" w:rsidRPr="0046224D" w:rsidRDefault="004C7E38" w:rsidP="003D79E9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panachure isolée (tâches)</w:t>
            </w:r>
          </w:p>
        </w:tc>
        <w:tc>
          <w:tcPr>
            <w:tcW w:w="1843" w:type="dxa"/>
          </w:tcPr>
          <w:p w:rsidR="004C7E38" w:rsidRPr="0046224D" w:rsidRDefault="004C7E38" w:rsidP="003D79E9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isolierte Panaschierung (Flecken)</w:t>
            </w:r>
          </w:p>
        </w:tc>
        <w:tc>
          <w:tcPr>
            <w:tcW w:w="1974" w:type="dxa"/>
          </w:tcPr>
          <w:p w:rsidR="004C7E38" w:rsidRPr="0046224D" w:rsidRDefault="004C7E38" w:rsidP="003D79E9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manchas aisladas (lunares)</w:t>
            </w:r>
          </w:p>
        </w:tc>
        <w:tc>
          <w:tcPr>
            <w:tcW w:w="907" w:type="dxa"/>
          </w:tcPr>
          <w:p w:rsidR="004C7E38" w:rsidRPr="0046224D" w:rsidRDefault="004C7E38" w:rsidP="003D79E9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Rouge du Roussillon</w:t>
            </w:r>
          </w:p>
        </w:tc>
        <w:tc>
          <w:tcPr>
            <w:tcW w:w="246" w:type="dxa"/>
          </w:tcPr>
          <w:p w:rsidR="004C7E38" w:rsidRPr="0046224D" w:rsidRDefault="004C7E38" w:rsidP="003D79E9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4C7E38" w:rsidRPr="0046224D" w:rsidTr="003D79E9">
        <w:trPr>
          <w:cantSplit/>
          <w:jc w:val="center"/>
        </w:trPr>
        <w:tc>
          <w:tcPr>
            <w:tcW w:w="567" w:type="dxa"/>
          </w:tcPr>
          <w:p w:rsidR="004C7E38" w:rsidRPr="0046224D" w:rsidRDefault="004C7E38" w:rsidP="003D79E9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</w:tcPr>
          <w:p w:rsidR="004C7E38" w:rsidRPr="0046224D" w:rsidRDefault="004C7E38" w:rsidP="003D79E9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:rsidR="004C7E38" w:rsidRPr="0046224D" w:rsidRDefault="004C7E38" w:rsidP="003D79E9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solid flush</w:t>
            </w:r>
          </w:p>
        </w:tc>
        <w:tc>
          <w:tcPr>
            <w:tcW w:w="1994" w:type="dxa"/>
          </w:tcPr>
          <w:p w:rsidR="004C7E38" w:rsidRPr="0046224D" w:rsidRDefault="004C7E38" w:rsidP="003D79E9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en plages continues</w:t>
            </w:r>
          </w:p>
        </w:tc>
        <w:tc>
          <w:tcPr>
            <w:tcW w:w="1843" w:type="dxa"/>
          </w:tcPr>
          <w:p w:rsidR="004C7E38" w:rsidRPr="0046224D" w:rsidRDefault="004C7E38" w:rsidP="003D79E9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ganzflächig</w:t>
            </w:r>
          </w:p>
        </w:tc>
        <w:tc>
          <w:tcPr>
            <w:tcW w:w="1974" w:type="dxa"/>
          </w:tcPr>
          <w:p w:rsidR="004C7E38" w:rsidRPr="0046224D" w:rsidRDefault="004C7E38" w:rsidP="003D79E9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tono uniforme</w:t>
            </w:r>
          </w:p>
        </w:tc>
        <w:tc>
          <w:tcPr>
            <w:tcW w:w="907" w:type="dxa"/>
          </w:tcPr>
          <w:p w:rsidR="004C7E38" w:rsidRPr="0046224D" w:rsidRDefault="004C7E38" w:rsidP="003D79E9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Bergeron</w:t>
            </w:r>
          </w:p>
        </w:tc>
        <w:tc>
          <w:tcPr>
            <w:tcW w:w="246" w:type="dxa"/>
          </w:tcPr>
          <w:p w:rsidR="004C7E38" w:rsidRPr="0046224D" w:rsidRDefault="004C7E38" w:rsidP="003D79E9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4C7E38" w:rsidRPr="0046224D" w:rsidTr="003D79E9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4C7E38" w:rsidRPr="0046224D" w:rsidRDefault="004C7E38" w:rsidP="003D79E9">
            <w:pPr>
              <w:pStyle w:val="Normalt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C7E38" w:rsidRPr="0046224D" w:rsidRDefault="004C7E38" w:rsidP="003D79E9">
            <w:pPr>
              <w:pStyle w:val="Normalt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4C7E38" w:rsidRPr="0046224D" w:rsidRDefault="004C7E38" w:rsidP="003D79E9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covered all over with very small dots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4C7E38" w:rsidRPr="0046224D" w:rsidRDefault="004C7E38" w:rsidP="003D79E9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totalement recouvert avec de très petits points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7E38" w:rsidRPr="0046224D" w:rsidRDefault="004C7E38" w:rsidP="003D79E9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überall sehr fein gepunktet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4C7E38" w:rsidRPr="0046224D" w:rsidRDefault="004C7E38" w:rsidP="003D79E9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cubierto con puntos muy pequeños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C7E38" w:rsidRPr="0046224D" w:rsidRDefault="004C7E38" w:rsidP="003D79E9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Moniquí</w:t>
            </w: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4C7E38" w:rsidRPr="0046224D" w:rsidRDefault="004C7E38" w:rsidP="003D79E9">
            <w:pPr>
              <w:pStyle w:val="Normalt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4C7E38" w:rsidRDefault="004C7E38" w:rsidP="00E11277">
      <w:pPr>
        <w:pStyle w:val="Header"/>
        <w:jc w:val="left"/>
        <w:rPr>
          <w:lang w:val="it-CH"/>
        </w:rPr>
      </w:pPr>
    </w:p>
    <w:p w:rsidR="00232247" w:rsidRDefault="004C7E38" w:rsidP="00232247">
      <w:pPr>
        <w:pStyle w:val="Header"/>
        <w:jc w:val="both"/>
        <w:rPr>
          <w:lang w:val="it-CH"/>
        </w:rPr>
      </w:pPr>
      <w:r>
        <w:rPr>
          <w:lang w:val="it-CH"/>
        </w:rPr>
        <w:fldChar w:fldCharType="begin"/>
      </w:r>
      <w:r>
        <w:rPr>
          <w:lang w:val="it-CH"/>
        </w:rPr>
        <w:instrText xml:space="preserve"> AUTONUM  </w:instrText>
      </w:r>
      <w:r>
        <w:rPr>
          <w:lang w:val="it-CH"/>
        </w:rPr>
        <w:fldChar w:fldCharType="end"/>
      </w:r>
      <w:r>
        <w:rPr>
          <w:lang w:val="it-CH"/>
        </w:rPr>
        <w:tab/>
        <w:t xml:space="preserve">Es wurden in allen UPOV-Sprachen und bei verschiedenen Merkmalen unterschiedliche </w:t>
      </w:r>
      <w:r w:rsidR="00232247">
        <w:rPr>
          <w:lang w:val="it-CH"/>
        </w:rPr>
        <w:t>Ü</w:t>
      </w:r>
      <w:r>
        <w:rPr>
          <w:lang w:val="it-CH"/>
        </w:rPr>
        <w:t xml:space="preserve">bersetzungen für die Begriffe </w:t>
      </w:r>
      <w:r>
        <w:rPr>
          <w:lang w:val="de-DE"/>
        </w:rPr>
        <w:t>„</w:t>
      </w:r>
      <w:r w:rsidRPr="00886E4A">
        <w:rPr>
          <w:i/>
          <w:lang w:val="it-CH"/>
        </w:rPr>
        <w:t>do</w:t>
      </w:r>
      <w:r w:rsidR="00FE2C2C">
        <w:rPr>
          <w:i/>
          <w:lang w:val="it-CH"/>
        </w:rPr>
        <w:t>t</w:t>
      </w:r>
      <w:r w:rsidR="00FE2C2C">
        <w:rPr>
          <w:i/>
          <w:lang w:val="de-DE"/>
        </w:rPr>
        <w:t>“</w:t>
      </w:r>
      <w:r w:rsidRPr="00C323CF">
        <w:rPr>
          <w:lang w:val="de-DE"/>
        </w:rPr>
        <w:t xml:space="preserve"> </w:t>
      </w:r>
      <w:r>
        <w:rPr>
          <w:lang w:val="it-CH"/>
        </w:rPr>
        <w:t xml:space="preserve">und </w:t>
      </w:r>
      <w:r>
        <w:rPr>
          <w:lang w:val="de-DE"/>
        </w:rPr>
        <w:t>„</w:t>
      </w:r>
      <w:r w:rsidRPr="00886E4A">
        <w:rPr>
          <w:i/>
          <w:lang w:val="it-CH"/>
        </w:rPr>
        <w:t>spot</w:t>
      </w:r>
      <w:r w:rsidR="00FE2C2C">
        <w:rPr>
          <w:i/>
          <w:lang w:val="de-DE"/>
        </w:rPr>
        <w:t>“</w:t>
      </w:r>
      <w:r w:rsidR="00245216">
        <w:rPr>
          <w:lang w:val="de-DE"/>
        </w:rPr>
        <w:t xml:space="preserve"> </w:t>
      </w:r>
      <w:r>
        <w:rPr>
          <w:lang w:val="it-CH"/>
        </w:rPr>
        <w:t>gefunden.</w:t>
      </w:r>
    </w:p>
    <w:p w:rsidR="004C7E38" w:rsidRPr="00C323CF" w:rsidRDefault="004C7E38" w:rsidP="00232247">
      <w:pPr>
        <w:pStyle w:val="Header"/>
        <w:jc w:val="both"/>
        <w:rPr>
          <w:lang w:val="it-CH"/>
        </w:rPr>
      </w:pPr>
      <w:r w:rsidRPr="00C323CF">
        <w:rPr>
          <w:lang w:val="it-CH"/>
        </w:rPr>
        <w:br w:type="page"/>
      </w:r>
    </w:p>
    <w:p w:rsidR="004C7E38" w:rsidRPr="007107A8" w:rsidRDefault="004C7E38" w:rsidP="007107A8">
      <w:pPr>
        <w:pStyle w:val="Heading1"/>
        <w:rPr>
          <w:lang w:val="de-DE"/>
        </w:rPr>
      </w:pPr>
      <w:bookmarkStart w:id="8" w:name="_Toc379271723"/>
      <w:r>
        <w:rPr>
          <w:lang w:val="de-DE"/>
        </w:rPr>
        <w:t xml:space="preserve">von den </w:t>
      </w:r>
      <w:r w:rsidRPr="007107A8">
        <w:rPr>
          <w:lang w:val="de-DE"/>
        </w:rPr>
        <w:t xml:space="preserve">TWPS </w:t>
      </w:r>
      <w:r>
        <w:rPr>
          <w:lang w:val="de-DE"/>
        </w:rPr>
        <w:t xml:space="preserve">auf ihren </w:t>
      </w:r>
      <w:r w:rsidRPr="007107A8">
        <w:rPr>
          <w:lang w:val="de-DE"/>
        </w:rPr>
        <w:t>Tagung</w:t>
      </w:r>
      <w:r>
        <w:rPr>
          <w:lang w:val="de-DE"/>
        </w:rPr>
        <w:t>en im jahr</w:t>
      </w:r>
      <w:r w:rsidRPr="007107A8">
        <w:rPr>
          <w:lang w:val="de-DE"/>
        </w:rPr>
        <w:t xml:space="preserve"> 2013</w:t>
      </w:r>
      <w:r>
        <w:rPr>
          <w:lang w:val="de-DE"/>
        </w:rPr>
        <w:t xml:space="preserve"> geprüfter</w:t>
      </w:r>
      <w:r w:rsidRPr="007107A8">
        <w:rPr>
          <w:lang w:val="de-DE"/>
        </w:rPr>
        <w:t xml:space="preserve"> Entwurf eine</w:t>
      </w:r>
      <w:r>
        <w:rPr>
          <w:lang w:val="de-DE"/>
        </w:rPr>
        <w:t>s</w:t>
      </w:r>
      <w:r w:rsidRPr="007107A8">
        <w:rPr>
          <w:lang w:val="de-DE"/>
        </w:rPr>
        <w:t xml:space="preserve"> vorschlag</w:t>
      </w:r>
      <w:r>
        <w:rPr>
          <w:lang w:val="de-DE"/>
        </w:rPr>
        <w:t>s</w:t>
      </w:r>
      <w:r w:rsidRPr="007107A8">
        <w:rPr>
          <w:lang w:val="de-DE"/>
        </w:rPr>
        <w:t xml:space="preserve"> fü</w:t>
      </w:r>
      <w:r>
        <w:rPr>
          <w:lang w:val="de-DE"/>
        </w:rPr>
        <w:t>r die</w:t>
      </w:r>
      <w:r w:rsidRPr="007107A8">
        <w:rPr>
          <w:lang w:val="de-DE"/>
        </w:rPr>
        <w:t xml:space="preserve"> BEGRIFFSBESTIMMUNG </w:t>
      </w:r>
      <w:r>
        <w:rPr>
          <w:lang w:val="de-DE"/>
        </w:rPr>
        <w:t>von</w:t>
      </w:r>
      <w:r w:rsidRPr="007107A8">
        <w:rPr>
          <w:lang w:val="de-DE"/>
        </w:rPr>
        <w:t xml:space="preserve"> </w:t>
      </w:r>
      <w:r>
        <w:rPr>
          <w:lang w:val="de-DE"/>
        </w:rPr>
        <w:t>„</w:t>
      </w:r>
      <w:r w:rsidRPr="00886E4A">
        <w:rPr>
          <w:i/>
          <w:lang w:val="de-DE"/>
        </w:rPr>
        <w:t>DOT</w:t>
      </w:r>
      <w:r w:rsidR="00480CD6">
        <w:rPr>
          <w:lang w:val="de-DE"/>
        </w:rPr>
        <w:t>”</w:t>
      </w:r>
      <w:bookmarkEnd w:id="8"/>
      <w:r>
        <w:rPr>
          <w:lang w:val="de-DE"/>
        </w:rPr>
        <w:t xml:space="preserve"> </w:t>
      </w:r>
    </w:p>
    <w:p w:rsidR="004C7E38" w:rsidRPr="007107A8" w:rsidRDefault="004C7E38" w:rsidP="00E11277">
      <w:pPr>
        <w:pStyle w:val="Header"/>
        <w:jc w:val="left"/>
        <w:rPr>
          <w:lang w:val="de-DE"/>
        </w:rPr>
      </w:pPr>
    </w:p>
    <w:p w:rsidR="004C7E38" w:rsidRPr="009A242C" w:rsidRDefault="004C7E38" w:rsidP="00E1546A">
      <w:pPr>
        <w:pStyle w:val="Header"/>
        <w:jc w:val="both"/>
        <w:rPr>
          <w:lang w:val="de-DE"/>
        </w:rPr>
      </w:pPr>
      <w:r w:rsidRPr="009A242C">
        <w:rPr>
          <w:lang w:val="de-DE"/>
        </w:rPr>
        <w:fldChar w:fldCharType="begin"/>
      </w:r>
      <w:r w:rsidRPr="009A242C">
        <w:rPr>
          <w:lang w:val="de-DE"/>
        </w:rPr>
        <w:instrText xml:space="preserve"> AUTONUM  </w:instrText>
      </w:r>
      <w:r w:rsidRPr="009A242C">
        <w:rPr>
          <w:lang w:val="de-DE"/>
        </w:rPr>
        <w:fldChar w:fldCharType="end"/>
      </w:r>
      <w:r w:rsidRPr="009A242C">
        <w:rPr>
          <w:lang w:val="de-DE"/>
        </w:rPr>
        <w:tab/>
        <w:t>Auf der Grundlage der b</w:t>
      </w:r>
      <w:r>
        <w:rPr>
          <w:lang w:val="de-DE"/>
        </w:rPr>
        <w:t>estehenden Verwendung des Begriffs</w:t>
      </w:r>
      <w:r w:rsidRPr="009A242C">
        <w:rPr>
          <w:lang w:val="de-DE"/>
        </w:rPr>
        <w:t xml:space="preserve"> </w:t>
      </w:r>
      <w:r>
        <w:rPr>
          <w:lang w:val="de-DE"/>
        </w:rPr>
        <w:t>„</w:t>
      </w:r>
      <w:r w:rsidRPr="00886E4A">
        <w:rPr>
          <w:i/>
          <w:lang w:val="de-DE"/>
        </w:rPr>
        <w:t>dot</w:t>
      </w:r>
      <w:r w:rsidR="00FE2C2C">
        <w:rPr>
          <w:i/>
          <w:lang w:val="de-DE"/>
        </w:rPr>
        <w:t>“</w:t>
      </w:r>
      <w:r w:rsidRPr="009A242C">
        <w:rPr>
          <w:lang w:val="de-DE"/>
        </w:rPr>
        <w:t xml:space="preserve"> in </w:t>
      </w:r>
      <w:r>
        <w:rPr>
          <w:lang w:val="de-DE"/>
        </w:rPr>
        <w:t xml:space="preserve">den </w:t>
      </w:r>
      <w:r w:rsidRPr="009A242C">
        <w:rPr>
          <w:lang w:val="de-DE"/>
        </w:rPr>
        <w:t>Prüfungsrichtlinien</w:t>
      </w:r>
      <w:r>
        <w:rPr>
          <w:lang w:val="de-DE"/>
        </w:rPr>
        <w:t xml:space="preserve"> wurde von den </w:t>
      </w:r>
      <w:r w:rsidRPr="009A242C">
        <w:rPr>
          <w:lang w:val="de-DE"/>
        </w:rPr>
        <w:t xml:space="preserve">TWPs </w:t>
      </w:r>
      <w:r>
        <w:rPr>
          <w:lang w:val="de-DE"/>
        </w:rPr>
        <w:t>auf ihren</w:t>
      </w:r>
      <w:r w:rsidRPr="009A242C">
        <w:rPr>
          <w:lang w:val="de-DE"/>
        </w:rPr>
        <w:t xml:space="preserve"> Tagung</w:t>
      </w:r>
      <w:r>
        <w:rPr>
          <w:lang w:val="de-DE"/>
        </w:rPr>
        <w:t>en</w:t>
      </w:r>
      <w:r w:rsidRPr="009A242C">
        <w:rPr>
          <w:lang w:val="de-DE"/>
        </w:rPr>
        <w:t xml:space="preserve"> in 2013</w:t>
      </w:r>
      <w:r>
        <w:rPr>
          <w:lang w:val="de-DE"/>
        </w:rPr>
        <w:t xml:space="preserve"> der folgende En</w:t>
      </w:r>
      <w:r w:rsidR="00245216">
        <w:rPr>
          <w:lang w:val="de-DE"/>
        </w:rPr>
        <w:t>twurf für einen Vorschlag, die nachstehende</w:t>
      </w:r>
      <w:r>
        <w:rPr>
          <w:lang w:val="de-DE"/>
        </w:rPr>
        <w:t xml:space="preserve"> </w:t>
      </w:r>
      <w:r w:rsidRPr="009A242C">
        <w:rPr>
          <w:lang w:val="de-DE"/>
        </w:rPr>
        <w:t xml:space="preserve">Begriffsbestimmung </w:t>
      </w:r>
      <w:r>
        <w:rPr>
          <w:lang w:val="de-DE"/>
        </w:rPr>
        <w:t>von</w:t>
      </w:r>
      <w:r w:rsidRPr="009A242C">
        <w:rPr>
          <w:lang w:val="de-DE"/>
        </w:rPr>
        <w:t xml:space="preserve"> </w:t>
      </w:r>
      <w:r>
        <w:rPr>
          <w:lang w:val="de-DE"/>
        </w:rPr>
        <w:t>„</w:t>
      </w:r>
      <w:r w:rsidRPr="00886E4A">
        <w:rPr>
          <w:i/>
          <w:lang w:val="de-DE"/>
        </w:rPr>
        <w:t>dot</w:t>
      </w:r>
      <w:r w:rsidR="00FE2C2C">
        <w:rPr>
          <w:i/>
          <w:lang w:val="de-DE"/>
        </w:rPr>
        <w:t>“</w:t>
      </w:r>
      <w:r>
        <w:rPr>
          <w:lang w:val="de-DE"/>
        </w:rPr>
        <w:t xml:space="preserve"> zur Aufnahme in eine </w:t>
      </w:r>
      <w:r w:rsidRPr="009A242C">
        <w:rPr>
          <w:lang w:val="de-DE"/>
        </w:rPr>
        <w:t>künf</w:t>
      </w:r>
      <w:r w:rsidR="00245216">
        <w:rPr>
          <w:lang w:val="de-DE"/>
        </w:rPr>
        <w:t>tige Überarbeitung von Dokument </w:t>
      </w:r>
      <w:r w:rsidRPr="009A242C">
        <w:rPr>
          <w:lang w:val="de-DE"/>
        </w:rPr>
        <w:t xml:space="preserve">TGP/14, </w:t>
      </w:r>
      <w:r>
        <w:rPr>
          <w:lang w:val="de-DE"/>
        </w:rPr>
        <w:t>Abschnitt</w:t>
      </w:r>
      <w:r w:rsidRPr="009A242C">
        <w:rPr>
          <w:lang w:val="de-DE"/>
        </w:rPr>
        <w:t xml:space="preserve"> 4.2.1.2</w:t>
      </w:r>
      <w:r>
        <w:rPr>
          <w:lang w:val="de-DE"/>
        </w:rPr>
        <w:t xml:space="preserve"> hinzuzufügen, geprüft</w:t>
      </w:r>
      <w:r w:rsidRPr="009A242C">
        <w:rPr>
          <w:lang w:val="de-DE"/>
        </w:rPr>
        <w:t>.</w:t>
      </w:r>
    </w:p>
    <w:p w:rsidR="004C7E38" w:rsidRPr="009A242C" w:rsidRDefault="004C7E38" w:rsidP="00E11277">
      <w:pPr>
        <w:pStyle w:val="Header"/>
        <w:jc w:val="both"/>
        <w:rPr>
          <w:lang w:val="de-DE"/>
        </w:rPr>
      </w:pPr>
    </w:p>
    <w:p w:rsidR="004C7E38" w:rsidRPr="00350BD7" w:rsidRDefault="004C7E38" w:rsidP="00E1546A">
      <w:pPr>
        <w:pStyle w:val="Heading5"/>
        <w:ind w:firstLine="0"/>
        <w:rPr>
          <w:sz w:val="18"/>
          <w:szCs w:val="18"/>
          <w:lang w:val="de-DE"/>
        </w:rPr>
      </w:pPr>
      <w:bookmarkStart w:id="9" w:name="_Toc323031857"/>
      <w:bookmarkStart w:id="10" w:name="_Toc333313628"/>
      <w:bookmarkStart w:id="11" w:name="_Toc346525377"/>
      <w:bookmarkStart w:id="12" w:name="_Toc346525505"/>
      <w:r w:rsidRPr="00485DA6">
        <w:rPr>
          <w:sz w:val="18"/>
          <w:szCs w:val="18"/>
          <w:lang w:val="de-DE"/>
        </w:rPr>
        <w:t>„4.2.1.2</w:t>
      </w:r>
      <w:r w:rsidRPr="00485DA6">
        <w:rPr>
          <w:sz w:val="18"/>
          <w:szCs w:val="18"/>
          <w:lang w:val="de-DE"/>
        </w:rPr>
        <w:tab/>
      </w:r>
      <w:bookmarkEnd w:id="9"/>
      <w:bookmarkEnd w:id="10"/>
      <w:bookmarkEnd w:id="11"/>
      <w:bookmarkEnd w:id="12"/>
      <w:r w:rsidRPr="00350BD7">
        <w:rPr>
          <w:sz w:val="18"/>
          <w:szCs w:val="18"/>
          <w:lang w:val="de-DE"/>
        </w:rPr>
        <w:t>Gepunktet / Fleckig / Gesprenkelt</w:t>
      </w:r>
    </w:p>
    <w:p w:rsidR="004C7E38" w:rsidRPr="00350BD7" w:rsidRDefault="004C7E38" w:rsidP="00E11277">
      <w:pPr>
        <w:rPr>
          <w:sz w:val="18"/>
          <w:szCs w:val="18"/>
          <w:lang w:val="de-DE"/>
        </w:rPr>
      </w:pPr>
    </w:p>
    <w:p w:rsidR="004C7E38" w:rsidRPr="00350BD7" w:rsidRDefault="00485DA6" w:rsidP="00485DA6">
      <w:pPr>
        <w:tabs>
          <w:tab w:val="left" w:pos="1134"/>
          <w:tab w:val="left" w:pos="2552"/>
        </w:tabs>
        <w:ind w:left="1134"/>
        <w:rPr>
          <w:sz w:val="18"/>
          <w:szCs w:val="18"/>
          <w:lang w:val="de-DE"/>
        </w:rPr>
      </w:pPr>
      <w:r w:rsidRPr="00350BD7">
        <w:rPr>
          <w:sz w:val="18"/>
          <w:szCs w:val="18"/>
          <w:lang w:val="de-DE"/>
        </w:rPr>
        <w:t>‚</w:t>
      </w:r>
      <w:r w:rsidRPr="00350BD7">
        <w:rPr>
          <w:i/>
          <w:sz w:val="18"/>
          <w:szCs w:val="18"/>
          <w:lang w:val="de-DE"/>
        </w:rPr>
        <w:t>Spot</w:t>
      </w:r>
      <w:r w:rsidRPr="00350BD7">
        <w:rPr>
          <w:sz w:val="18"/>
          <w:szCs w:val="18"/>
          <w:lang w:val="de-DE"/>
        </w:rPr>
        <w:t>‘ (</w:t>
      </w:r>
      <w:r w:rsidR="004C7E38" w:rsidRPr="00350BD7">
        <w:rPr>
          <w:sz w:val="18"/>
          <w:szCs w:val="18"/>
          <w:lang w:val="de-DE"/>
        </w:rPr>
        <w:t>Punkt</w:t>
      </w:r>
      <w:r w:rsidRPr="00350BD7">
        <w:rPr>
          <w:sz w:val="18"/>
          <w:szCs w:val="18"/>
          <w:lang w:val="de-DE"/>
        </w:rPr>
        <w:t>)</w:t>
      </w:r>
      <w:r w:rsidR="004C7E38" w:rsidRPr="00350BD7">
        <w:rPr>
          <w:sz w:val="18"/>
          <w:szCs w:val="18"/>
          <w:lang w:val="de-DE"/>
        </w:rPr>
        <w:t xml:space="preserve">: </w:t>
      </w:r>
      <w:r w:rsidR="004C7E38" w:rsidRPr="00350BD7">
        <w:rPr>
          <w:sz w:val="18"/>
          <w:szCs w:val="18"/>
          <w:lang w:val="de-DE"/>
        </w:rPr>
        <w:tab/>
        <w:t>scharf und klar abgegrenzter rund oder fast rund geformter farbiger Bereich.</w:t>
      </w:r>
    </w:p>
    <w:p w:rsidR="004C7E38" w:rsidRPr="00DD18D2" w:rsidRDefault="00485DA6" w:rsidP="00485DA6">
      <w:pPr>
        <w:tabs>
          <w:tab w:val="left" w:pos="2552"/>
        </w:tabs>
        <w:ind w:left="2552" w:hanging="1418"/>
        <w:rPr>
          <w:sz w:val="18"/>
          <w:szCs w:val="18"/>
          <w:u w:val="single"/>
          <w:lang w:val="de-DE"/>
        </w:rPr>
      </w:pPr>
      <w:r w:rsidRPr="00DD18D2">
        <w:rPr>
          <w:sz w:val="18"/>
          <w:szCs w:val="18"/>
          <w:u w:val="single"/>
          <w:lang w:val="de-DE"/>
        </w:rPr>
        <w:t>‚</w:t>
      </w:r>
      <w:r w:rsidR="004C7E38" w:rsidRPr="00DD18D2">
        <w:rPr>
          <w:i/>
          <w:sz w:val="18"/>
          <w:szCs w:val="18"/>
          <w:highlight w:val="lightGray"/>
          <w:u w:val="single"/>
          <w:lang w:val="de-DE"/>
        </w:rPr>
        <w:t>Dot</w:t>
      </w:r>
      <w:r w:rsidRPr="00DD18D2">
        <w:rPr>
          <w:sz w:val="18"/>
          <w:szCs w:val="18"/>
          <w:highlight w:val="lightGray"/>
          <w:u w:val="single"/>
          <w:lang w:val="de-DE"/>
        </w:rPr>
        <w:t>‘ (Punkt)</w:t>
      </w:r>
      <w:r w:rsidR="004C7E38" w:rsidRPr="00DD18D2">
        <w:rPr>
          <w:sz w:val="18"/>
          <w:szCs w:val="18"/>
          <w:highlight w:val="lightGray"/>
          <w:u w:val="single"/>
          <w:lang w:val="de-DE"/>
        </w:rPr>
        <w:t>:</w:t>
      </w:r>
      <w:r w:rsidRPr="00DD18D2">
        <w:rPr>
          <w:sz w:val="18"/>
          <w:szCs w:val="18"/>
          <w:highlight w:val="lightGray"/>
          <w:u w:val="single"/>
          <w:lang w:val="de-DE"/>
        </w:rPr>
        <w:tab/>
      </w:r>
      <w:r w:rsidR="004C7E38" w:rsidRPr="00DD18D2">
        <w:rPr>
          <w:sz w:val="18"/>
          <w:szCs w:val="18"/>
          <w:highlight w:val="lightGray"/>
          <w:u w:val="single"/>
          <w:lang w:val="de-DE"/>
        </w:rPr>
        <w:t xml:space="preserve">sehr kleiner scharf und klar abgegrenzter rund oder fast rund geformter farbiger Bereich (kleiner als </w:t>
      </w:r>
      <w:r w:rsidRPr="00DD18D2">
        <w:rPr>
          <w:sz w:val="18"/>
          <w:szCs w:val="18"/>
          <w:highlight w:val="lightGray"/>
          <w:u w:val="single"/>
          <w:lang w:val="de-DE"/>
        </w:rPr>
        <w:t>‚</w:t>
      </w:r>
      <w:r w:rsidRPr="00DD18D2">
        <w:rPr>
          <w:i/>
          <w:sz w:val="18"/>
          <w:szCs w:val="18"/>
          <w:highlight w:val="lightGray"/>
          <w:u w:val="single"/>
          <w:lang w:val="de-DE"/>
        </w:rPr>
        <w:t>spot</w:t>
      </w:r>
      <w:r w:rsidRPr="00DD18D2">
        <w:rPr>
          <w:sz w:val="18"/>
          <w:szCs w:val="18"/>
          <w:highlight w:val="lightGray"/>
          <w:u w:val="single"/>
          <w:lang w:val="de-DE"/>
        </w:rPr>
        <w:t>‘</w:t>
      </w:r>
      <w:r w:rsidR="004C7E38" w:rsidRPr="00DD18D2">
        <w:rPr>
          <w:sz w:val="18"/>
          <w:szCs w:val="18"/>
          <w:highlight w:val="lightGray"/>
          <w:u w:val="single"/>
          <w:lang w:val="de-DE"/>
        </w:rPr>
        <w:t>).</w:t>
      </w:r>
    </w:p>
    <w:p w:rsidR="004C7E38" w:rsidRPr="00350BD7" w:rsidRDefault="004C7E38" w:rsidP="00485DA6">
      <w:pPr>
        <w:tabs>
          <w:tab w:val="left" w:pos="1134"/>
          <w:tab w:val="left" w:pos="2552"/>
        </w:tabs>
        <w:ind w:left="1134"/>
        <w:rPr>
          <w:sz w:val="18"/>
          <w:szCs w:val="18"/>
          <w:lang w:val="de-DE"/>
        </w:rPr>
      </w:pPr>
      <w:r w:rsidRPr="00350BD7">
        <w:rPr>
          <w:sz w:val="18"/>
          <w:szCs w:val="18"/>
          <w:lang w:val="de-DE"/>
        </w:rPr>
        <w:t xml:space="preserve">Fleck: </w:t>
      </w:r>
      <w:r w:rsidRPr="00350BD7">
        <w:rPr>
          <w:sz w:val="18"/>
          <w:szCs w:val="18"/>
          <w:lang w:val="de-DE"/>
        </w:rPr>
        <w:tab/>
        <w:t>scharf und klar abgegrenzter unregelmäßig geformter farbiger Bereich.</w:t>
      </w:r>
    </w:p>
    <w:p w:rsidR="004C7E38" w:rsidRPr="00350BD7" w:rsidRDefault="004C7E38" w:rsidP="00485DA6">
      <w:pPr>
        <w:tabs>
          <w:tab w:val="left" w:pos="1134"/>
          <w:tab w:val="left" w:pos="2552"/>
        </w:tabs>
        <w:ind w:left="1134"/>
        <w:rPr>
          <w:sz w:val="18"/>
          <w:szCs w:val="18"/>
          <w:lang w:val="de-DE"/>
        </w:rPr>
      </w:pPr>
      <w:r w:rsidRPr="00350BD7">
        <w:rPr>
          <w:sz w:val="18"/>
          <w:szCs w:val="18"/>
          <w:lang w:val="de-DE"/>
        </w:rPr>
        <w:t xml:space="preserve">Sprenkel: </w:t>
      </w:r>
      <w:r w:rsidRPr="00350BD7">
        <w:rPr>
          <w:sz w:val="18"/>
          <w:szCs w:val="18"/>
          <w:lang w:val="de-DE"/>
        </w:rPr>
        <w:tab/>
        <w:t>unscharf abgegrenzter unregelmäß</w:t>
      </w:r>
      <w:r w:rsidR="00485DA6" w:rsidRPr="00350BD7">
        <w:rPr>
          <w:sz w:val="18"/>
          <w:szCs w:val="18"/>
          <w:lang w:val="de-DE"/>
        </w:rPr>
        <w:t>ig geformter farbiger Bereich.</w:t>
      </w:r>
      <w:r w:rsidR="00FE2C2C" w:rsidRPr="00350BD7">
        <w:rPr>
          <w:i/>
          <w:lang w:val="de-DE"/>
        </w:rPr>
        <w:t>“</w:t>
      </w:r>
    </w:p>
    <w:p w:rsidR="00DD18D2" w:rsidRPr="00350BD7" w:rsidRDefault="00DD18D2" w:rsidP="00485DA6">
      <w:pPr>
        <w:tabs>
          <w:tab w:val="left" w:pos="1134"/>
          <w:tab w:val="left" w:pos="2552"/>
        </w:tabs>
        <w:ind w:left="1134"/>
        <w:rPr>
          <w:sz w:val="18"/>
          <w:szCs w:val="18"/>
          <w:lang w:val="de-DE"/>
        </w:rPr>
      </w:pPr>
    </w:p>
    <w:p w:rsidR="00DD18D2" w:rsidRPr="007B18B4" w:rsidRDefault="00DD18D2" w:rsidP="00485DA6">
      <w:pPr>
        <w:tabs>
          <w:tab w:val="left" w:pos="1134"/>
          <w:tab w:val="left" w:pos="2552"/>
        </w:tabs>
        <w:ind w:left="1134"/>
        <w:rPr>
          <w:sz w:val="18"/>
          <w:szCs w:val="18"/>
        </w:rPr>
      </w:pPr>
      <w:r w:rsidRPr="007B18B4">
        <w:rPr>
          <w:sz w:val="18"/>
          <w:szCs w:val="18"/>
        </w:rPr>
        <w:t>(</w:t>
      </w:r>
      <w:proofErr w:type="gramStart"/>
      <w:r w:rsidRPr="007B18B4">
        <w:rPr>
          <w:sz w:val="18"/>
          <w:szCs w:val="18"/>
        </w:rPr>
        <w:t>in</w:t>
      </w:r>
      <w:proofErr w:type="gramEnd"/>
      <w:r w:rsidRPr="007B18B4">
        <w:rPr>
          <w:sz w:val="18"/>
          <w:szCs w:val="18"/>
        </w:rPr>
        <w:t xml:space="preserve"> </w:t>
      </w:r>
      <w:proofErr w:type="spellStart"/>
      <w:r w:rsidRPr="007B18B4">
        <w:rPr>
          <w:sz w:val="18"/>
          <w:szCs w:val="18"/>
        </w:rPr>
        <w:t>Englisch</w:t>
      </w:r>
      <w:proofErr w:type="spellEnd"/>
      <w:r w:rsidRPr="007B18B4">
        <w:rPr>
          <w:sz w:val="18"/>
          <w:szCs w:val="18"/>
        </w:rPr>
        <w:t>:</w:t>
      </w:r>
    </w:p>
    <w:p w:rsidR="00DD18D2" w:rsidRPr="007B18B4" w:rsidRDefault="00DD18D2" w:rsidP="00485DA6">
      <w:pPr>
        <w:tabs>
          <w:tab w:val="left" w:pos="1134"/>
          <w:tab w:val="left" w:pos="2552"/>
        </w:tabs>
        <w:ind w:left="1134"/>
        <w:rPr>
          <w:sz w:val="18"/>
          <w:szCs w:val="18"/>
          <w:u w:val="single"/>
        </w:rPr>
      </w:pPr>
    </w:p>
    <w:p w:rsidR="00DD18D2" w:rsidRDefault="00480CD6" w:rsidP="00DD18D2">
      <w:pPr>
        <w:pStyle w:val="Heading5"/>
        <w:ind w:firstLine="0"/>
      </w:pPr>
      <w:r>
        <w:rPr>
          <w:sz w:val="18"/>
          <w:szCs w:val="18"/>
        </w:rPr>
        <w:t>“</w:t>
      </w:r>
      <w:r w:rsidR="00DD18D2" w:rsidRPr="00480CD6">
        <w:rPr>
          <w:sz w:val="18"/>
          <w:szCs w:val="18"/>
        </w:rPr>
        <w:t>4.2.1.2</w:t>
      </w:r>
      <w:r w:rsidR="00DD18D2" w:rsidRPr="00480CD6">
        <w:rPr>
          <w:sz w:val="18"/>
          <w:szCs w:val="18"/>
        </w:rPr>
        <w:tab/>
        <w:t>Spotted /</w:t>
      </w:r>
      <w:r w:rsidR="00DD18D2" w:rsidRPr="00DD18D2">
        <w:rPr>
          <w:sz w:val="18"/>
          <w:szCs w:val="18"/>
        </w:rPr>
        <w:t xml:space="preserve"> Blotched / Speckled</w:t>
      </w:r>
    </w:p>
    <w:p w:rsidR="00DD18D2" w:rsidRPr="00C02FA8" w:rsidRDefault="00DD18D2" w:rsidP="00DD18D2"/>
    <w:p w:rsidR="00DD18D2" w:rsidRPr="00C20E9B" w:rsidRDefault="00DD18D2" w:rsidP="00DD18D2">
      <w:pPr>
        <w:tabs>
          <w:tab w:val="left" w:pos="1134"/>
          <w:tab w:val="left" w:pos="2127"/>
        </w:tabs>
        <w:ind w:left="1134"/>
        <w:rPr>
          <w:sz w:val="18"/>
          <w:szCs w:val="18"/>
        </w:rPr>
      </w:pPr>
      <w:r w:rsidRPr="00C20E9B">
        <w:rPr>
          <w:sz w:val="18"/>
          <w:szCs w:val="18"/>
        </w:rPr>
        <w:t>Spot:</w:t>
      </w:r>
      <w:r w:rsidRPr="00C20E9B">
        <w:rPr>
          <w:sz w:val="18"/>
          <w:szCs w:val="18"/>
        </w:rPr>
        <w:tab/>
        <w:t>sharp, clear outlined round or nearly round shaped colored area.</w:t>
      </w:r>
    </w:p>
    <w:p w:rsidR="00DD18D2" w:rsidRPr="00E213AC" w:rsidRDefault="00DD18D2" w:rsidP="00DD18D2">
      <w:pPr>
        <w:tabs>
          <w:tab w:val="left" w:pos="2127"/>
        </w:tabs>
        <w:ind w:left="2127" w:hanging="993"/>
        <w:rPr>
          <w:sz w:val="18"/>
          <w:szCs w:val="18"/>
          <w:u w:val="single"/>
        </w:rPr>
      </w:pPr>
      <w:r w:rsidRPr="00DD18D2">
        <w:rPr>
          <w:sz w:val="18"/>
          <w:szCs w:val="18"/>
          <w:highlight w:val="lightGray"/>
          <w:u w:val="single"/>
        </w:rPr>
        <w:t>Dot:</w:t>
      </w:r>
      <w:r w:rsidRPr="00DD18D2">
        <w:rPr>
          <w:sz w:val="18"/>
          <w:szCs w:val="18"/>
          <w:highlight w:val="lightGray"/>
          <w:u w:val="single"/>
        </w:rPr>
        <w:tab/>
        <w:t>very small sharp, clear outlined round or nearly round shaped colored area (smaller than spot).</w:t>
      </w:r>
    </w:p>
    <w:p w:rsidR="00DD18D2" w:rsidRPr="00E213AC" w:rsidRDefault="00DD18D2" w:rsidP="00DD18D2">
      <w:pPr>
        <w:tabs>
          <w:tab w:val="left" w:pos="1134"/>
          <w:tab w:val="left" w:pos="2127"/>
        </w:tabs>
        <w:ind w:left="1134"/>
        <w:rPr>
          <w:sz w:val="18"/>
          <w:szCs w:val="18"/>
        </w:rPr>
      </w:pPr>
      <w:r w:rsidRPr="00E213AC">
        <w:rPr>
          <w:sz w:val="18"/>
          <w:szCs w:val="18"/>
        </w:rPr>
        <w:t>Blotch:</w:t>
      </w:r>
      <w:r w:rsidRPr="00E213AC">
        <w:rPr>
          <w:sz w:val="18"/>
          <w:szCs w:val="18"/>
        </w:rPr>
        <w:tab/>
        <w:t>sharp, clear outlined irregular shaped colored area.</w:t>
      </w:r>
    </w:p>
    <w:p w:rsidR="00DD18D2" w:rsidRPr="00E213AC" w:rsidRDefault="00DD18D2" w:rsidP="00DD18D2">
      <w:pPr>
        <w:tabs>
          <w:tab w:val="left" w:pos="1134"/>
          <w:tab w:val="left" w:pos="2127"/>
        </w:tabs>
        <w:ind w:left="1134"/>
        <w:rPr>
          <w:sz w:val="18"/>
          <w:szCs w:val="18"/>
        </w:rPr>
      </w:pPr>
      <w:r w:rsidRPr="00E213AC">
        <w:rPr>
          <w:sz w:val="18"/>
          <w:szCs w:val="18"/>
        </w:rPr>
        <w:t>Speckle:</w:t>
      </w:r>
      <w:r w:rsidRPr="00E213AC">
        <w:rPr>
          <w:sz w:val="18"/>
          <w:szCs w:val="18"/>
        </w:rPr>
        <w:tab/>
        <w:t>diffuse outlined irregular shaped colored area.</w:t>
      </w:r>
      <w:r w:rsidR="00480CD6">
        <w:rPr>
          <w:sz w:val="18"/>
          <w:szCs w:val="18"/>
        </w:rPr>
        <w:t>”</w:t>
      </w:r>
      <w:r>
        <w:rPr>
          <w:sz w:val="18"/>
          <w:szCs w:val="18"/>
        </w:rPr>
        <w:t>)</w:t>
      </w:r>
    </w:p>
    <w:p w:rsidR="00DD18D2" w:rsidRPr="00DD18D2" w:rsidRDefault="00DD18D2" w:rsidP="00485DA6">
      <w:pPr>
        <w:tabs>
          <w:tab w:val="left" w:pos="1134"/>
          <w:tab w:val="left" w:pos="2552"/>
        </w:tabs>
        <w:ind w:left="1134"/>
        <w:rPr>
          <w:sz w:val="18"/>
          <w:szCs w:val="18"/>
        </w:rPr>
      </w:pPr>
    </w:p>
    <w:p w:rsidR="004C7E38" w:rsidRPr="00DD18D2" w:rsidRDefault="004C7E38" w:rsidP="006C5852">
      <w:pPr>
        <w:pStyle w:val="Heading1"/>
        <w:rPr>
          <w:sz w:val="18"/>
          <w:szCs w:val="18"/>
        </w:rPr>
      </w:pPr>
    </w:p>
    <w:p w:rsidR="004C7E38" w:rsidRPr="00DD18D2" w:rsidRDefault="004C7E38" w:rsidP="006C5852">
      <w:pPr>
        <w:pStyle w:val="Heading1"/>
      </w:pPr>
    </w:p>
    <w:p w:rsidR="004C7E38" w:rsidRPr="003D79E9" w:rsidRDefault="004C7E38" w:rsidP="006C5852">
      <w:pPr>
        <w:pStyle w:val="Heading1"/>
        <w:rPr>
          <w:lang w:val="de-DE"/>
        </w:rPr>
      </w:pPr>
      <w:bookmarkStart w:id="13" w:name="_Toc379271724"/>
      <w:r w:rsidRPr="00005259">
        <w:rPr>
          <w:lang w:val="de-DE"/>
        </w:rPr>
        <w:t xml:space="preserve">BEMERKUNGEN DER TECHNISCHEn arbeitsgruppen Im jahr </w:t>
      </w:r>
      <w:r w:rsidRPr="003D79E9">
        <w:rPr>
          <w:lang w:val="de-DE"/>
        </w:rPr>
        <w:t>2013</w:t>
      </w:r>
      <w:bookmarkEnd w:id="13"/>
    </w:p>
    <w:p w:rsidR="004C7E38" w:rsidRPr="002627AC" w:rsidRDefault="004C7E38" w:rsidP="00E1546A">
      <w:pPr>
        <w:keepNext/>
        <w:spacing w:before="120" w:after="120"/>
        <w:rPr>
          <w:lang w:val="de-DE"/>
        </w:rPr>
      </w:pPr>
      <w:r w:rsidRPr="002627AC">
        <w:rPr>
          <w:lang w:val="de-DE"/>
        </w:rPr>
        <w:fldChar w:fldCharType="begin"/>
      </w:r>
      <w:r w:rsidRPr="002627AC">
        <w:rPr>
          <w:lang w:val="de-DE"/>
        </w:rPr>
        <w:instrText xml:space="preserve"> AUTONUM  </w:instrText>
      </w:r>
      <w:r w:rsidRPr="002627AC">
        <w:rPr>
          <w:lang w:val="de-DE"/>
        </w:rPr>
        <w:fldChar w:fldCharType="end"/>
      </w:r>
      <w:r w:rsidRPr="002627AC">
        <w:rPr>
          <w:lang w:val="de-DE"/>
        </w:rPr>
        <w:tab/>
        <w:t xml:space="preserve">Auf ihren </w:t>
      </w:r>
      <w:r w:rsidRPr="002627AC">
        <w:rPr>
          <w:rFonts w:cs="Arial"/>
          <w:lang w:val="de-DE"/>
        </w:rPr>
        <w:t>Tagung</w:t>
      </w:r>
      <w:r>
        <w:rPr>
          <w:rFonts w:cs="Arial"/>
          <w:lang w:val="de-DE"/>
        </w:rPr>
        <w:t>en</w:t>
      </w:r>
      <w:r w:rsidRPr="002627AC">
        <w:rPr>
          <w:rFonts w:cs="Arial"/>
          <w:lang w:val="de-DE"/>
        </w:rPr>
        <w:t xml:space="preserve"> im Jahr 2013 prüften die TWO, TWF, TWV, TWC und TWA d</w:t>
      </w:r>
      <w:r>
        <w:rPr>
          <w:rFonts w:cs="Arial"/>
          <w:lang w:val="de-DE"/>
        </w:rPr>
        <w:t>en vorgeschlagenen Wortlaut</w:t>
      </w:r>
      <w:r w:rsidRPr="002627AC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>für die</w:t>
      </w:r>
      <w:r w:rsidRPr="002627AC">
        <w:rPr>
          <w:rFonts w:cs="Arial"/>
          <w:lang w:val="de-DE"/>
        </w:rPr>
        <w:t xml:space="preserve"> Begriffsbestimmung </w:t>
      </w:r>
      <w:r>
        <w:rPr>
          <w:rFonts w:cs="Arial"/>
          <w:lang w:val="de-DE"/>
        </w:rPr>
        <w:t>von</w:t>
      </w:r>
      <w:r w:rsidRPr="002627AC">
        <w:rPr>
          <w:rFonts w:cs="Arial"/>
          <w:lang w:val="de-DE"/>
        </w:rPr>
        <w:t xml:space="preserve"> „</w:t>
      </w:r>
      <w:r w:rsidRPr="00D05DD1">
        <w:rPr>
          <w:rFonts w:cs="Arial"/>
          <w:i/>
          <w:lang w:val="de-DE"/>
        </w:rPr>
        <w:t>do</w:t>
      </w:r>
      <w:r w:rsidR="00FE2C2C">
        <w:rPr>
          <w:rFonts w:cs="Arial"/>
          <w:i/>
          <w:lang w:val="de-DE"/>
        </w:rPr>
        <w:t>t</w:t>
      </w:r>
      <w:r w:rsidR="00FE2C2C">
        <w:rPr>
          <w:i/>
          <w:lang w:val="de-DE"/>
        </w:rPr>
        <w:t>“</w:t>
      </w:r>
      <w:r w:rsidR="00886E4A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 xml:space="preserve">wie </w:t>
      </w:r>
      <w:r w:rsidRPr="002627AC">
        <w:rPr>
          <w:rFonts w:cs="Arial"/>
          <w:lang w:val="de-DE"/>
        </w:rPr>
        <w:t xml:space="preserve">in Absatz 8 </w:t>
      </w:r>
      <w:r>
        <w:rPr>
          <w:rFonts w:cs="Arial"/>
          <w:lang w:val="de-DE"/>
        </w:rPr>
        <w:t xml:space="preserve">dieses </w:t>
      </w:r>
      <w:r w:rsidRPr="002627AC">
        <w:rPr>
          <w:rFonts w:cs="Arial"/>
          <w:lang w:val="de-DE"/>
        </w:rPr>
        <w:t>Dokument</w:t>
      </w:r>
      <w:r>
        <w:rPr>
          <w:rFonts w:cs="Arial"/>
          <w:lang w:val="de-DE"/>
        </w:rPr>
        <w:t>s dargelegt und gaben folgende Bemerkungen ab</w:t>
      </w:r>
      <w:r w:rsidRPr="002627AC">
        <w:rPr>
          <w:rFonts w:cs="Arial"/>
          <w:lang w:val="de-DE"/>
        </w:rPr>
        <w:t>:</w:t>
      </w:r>
    </w:p>
    <w:p w:rsidR="004C7E38" w:rsidRPr="002627AC" w:rsidRDefault="004C7E38" w:rsidP="00E11277">
      <w:pPr>
        <w:pStyle w:val="Header"/>
        <w:jc w:val="both"/>
        <w:rPr>
          <w:lang w:val="de-DE"/>
        </w:rPr>
      </w:pP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6804"/>
        <w:gridCol w:w="823"/>
      </w:tblGrid>
      <w:tr w:rsidR="004C7E38" w:rsidRPr="00100526" w:rsidTr="003D79E9">
        <w:trPr>
          <w:cantSplit/>
        </w:trPr>
        <w:tc>
          <w:tcPr>
            <w:tcW w:w="1366" w:type="dxa"/>
          </w:tcPr>
          <w:p w:rsidR="004C7E38" w:rsidRPr="00100526" w:rsidRDefault="004C7E38" w:rsidP="003D79E9">
            <w:pPr>
              <w:spacing w:before="120"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>Allgemein</w:t>
            </w:r>
          </w:p>
        </w:tc>
        <w:tc>
          <w:tcPr>
            <w:tcW w:w="6804" w:type="dxa"/>
          </w:tcPr>
          <w:p w:rsidR="004C7E38" w:rsidRPr="00C003ED" w:rsidRDefault="004C7E38" w:rsidP="00DC6E64">
            <w:pPr>
              <w:rPr>
                <w:lang w:val="de-DE"/>
              </w:rPr>
            </w:pPr>
            <w:r w:rsidRPr="00D91EBF">
              <w:rPr>
                <w:rFonts w:cs="Arial"/>
                <w:lang w:val="de-DE"/>
              </w:rPr>
              <w:t xml:space="preserve">Die TWO prüfte Dokument </w:t>
            </w:r>
            <w:r w:rsidRPr="00D91EBF">
              <w:rPr>
                <w:lang w:val="de-DE"/>
              </w:rPr>
              <w:t>TWO/46/21</w:t>
            </w:r>
            <w:r w:rsidRPr="00D91EBF">
              <w:rPr>
                <w:rFonts w:cs="Arial"/>
                <w:lang w:val="de-DE"/>
              </w:rPr>
              <w:t xml:space="preserve">. </w:t>
            </w:r>
            <w:r w:rsidRPr="004812A6">
              <w:rPr>
                <w:rFonts w:cs="Arial"/>
                <w:lang w:val="de-DE"/>
              </w:rPr>
              <w:t xml:space="preserve">Die </w:t>
            </w:r>
            <w:r w:rsidRPr="004812A6">
              <w:rPr>
                <w:lang w:val="de-DE"/>
              </w:rPr>
              <w:t>TWO vereinbarte, daß „</w:t>
            </w:r>
            <w:r w:rsidRPr="004B0D55">
              <w:rPr>
                <w:i/>
                <w:lang w:val="de-DE"/>
              </w:rPr>
              <w:t>dot</w:t>
            </w:r>
            <w:r w:rsidR="00FE2C2C">
              <w:rPr>
                <w:i/>
                <w:lang w:val="de-DE"/>
              </w:rPr>
              <w:t>“</w:t>
            </w:r>
            <w:r w:rsidR="004B0D55">
              <w:rPr>
                <w:lang w:val="de-DE"/>
              </w:rPr>
              <w:t xml:space="preserve"> </w:t>
            </w:r>
            <w:r w:rsidRPr="004812A6">
              <w:rPr>
                <w:lang w:val="de-DE"/>
              </w:rPr>
              <w:t>ein kleiner „</w:t>
            </w:r>
            <w:r w:rsidRPr="004B0D55">
              <w:rPr>
                <w:i/>
                <w:lang w:val="de-DE"/>
              </w:rPr>
              <w:t>spot</w:t>
            </w:r>
            <w:r w:rsidR="00FE2C2C">
              <w:rPr>
                <w:i/>
                <w:lang w:val="de-DE"/>
              </w:rPr>
              <w:t>“</w:t>
            </w:r>
            <w:r>
              <w:rPr>
                <w:lang w:val="de-DE"/>
              </w:rPr>
              <w:t xml:space="preserve"> </w:t>
            </w:r>
            <w:r w:rsidRPr="004812A6">
              <w:rPr>
                <w:lang w:val="de-DE"/>
              </w:rPr>
              <w:t>sei</w:t>
            </w:r>
            <w:r>
              <w:rPr>
                <w:lang w:val="de-DE"/>
              </w:rPr>
              <w:t>,</w:t>
            </w:r>
            <w:r w:rsidRPr="004812A6">
              <w:rPr>
                <w:lang w:val="de-DE"/>
              </w:rPr>
              <w:t xml:space="preserve"> und daß </w:t>
            </w:r>
            <w:r>
              <w:rPr>
                <w:lang w:val="de-DE"/>
              </w:rPr>
              <w:t xml:space="preserve">gemäß der </w:t>
            </w:r>
            <w:r w:rsidRPr="004812A6">
              <w:rPr>
                <w:lang w:val="de-DE"/>
              </w:rPr>
              <w:t xml:space="preserve">in Dokument TGP/14: Abschnitt 2: </w:t>
            </w:r>
            <w:r>
              <w:rPr>
                <w:lang w:val="de-DE"/>
              </w:rPr>
              <w:t>Botanische Begriffe, Unterabschnitt 3: Farbe dargelegten Anleitung</w:t>
            </w:r>
            <w:r w:rsidRPr="004812A6">
              <w:rPr>
                <w:lang w:val="de-DE"/>
              </w:rPr>
              <w:t xml:space="preserve"> künftig nur der Begriff „</w:t>
            </w:r>
            <w:r w:rsidRPr="004B0D55">
              <w:rPr>
                <w:i/>
                <w:lang w:val="de-DE"/>
              </w:rPr>
              <w:t>spot</w:t>
            </w:r>
            <w:r w:rsidR="00FE2C2C">
              <w:rPr>
                <w:i/>
                <w:lang w:val="de-DE"/>
              </w:rPr>
              <w:t>“</w:t>
            </w:r>
            <w:r w:rsidRPr="004812A6">
              <w:rPr>
                <w:lang w:val="de-DE"/>
              </w:rPr>
              <w:t xml:space="preserve"> v</w:t>
            </w:r>
            <w:r>
              <w:rPr>
                <w:lang w:val="de-DE"/>
              </w:rPr>
              <w:t>erwendet werden solle</w:t>
            </w:r>
            <w:r w:rsidRPr="004812A6">
              <w:rPr>
                <w:lang w:val="de-DE"/>
              </w:rPr>
              <w:t xml:space="preserve">. </w:t>
            </w:r>
            <w:r w:rsidRPr="00C003ED">
              <w:rPr>
                <w:lang w:val="de-DE"/>
              </w:rPr>
              <w:t xml:space="preserve">Die TWO schlug vor, daß </w:t>
            </w:r>
            <w:r>
              <w:rPr>
                <w:lang w:val="de-DE"/>
              </w:rPr>
              <w:t xml:space="preserve">die </w:t>
            </w:r>
            <w:r w:rsidRPr="00C003ED">
              <w:rPr>
                <w:lang w:val="de-DE"/>
              </w:rPr>
              <w:t>Prüfungsrichtlinien</w:t>
            </w:r>
            <w:r>
              <w:rPr>
                <w:lang w:val="de-DE"/>
              </w:rPr>
              <w:t xml:space="preserve"> an allen Stellen, an denen die Verwendung dieser Begriffe</w:t>
            </w:r>
            <w:r w:rsidRPr="00C003ED">
              <w:rPr>
                <w:lang w:val="de-DE"/>
              </w:rPr>
              <w:t xml:space="preserve"> </w:t>
            </w:r>
            <w:r>
              <w:rPr>
                <w:lang w:val="de-DE"/>
              </w:rPr>
              <w:t>zu Verwechslungen führen könnte,</w:t>
            </w:r>
            <w:r w:rsidRPr="00C003ED">
              <w:rPr>
                <w:lang w:val="de-DE"/>
              </w:rPr>
              <w:t xml:space="preserve"> überarbeitet werden sollten</w:t>
            </w:r>
            <w:r>
              <w:rPr>
                <w:lang w:val="de-DE"/>
              </w:rPr>
              <w:t xml:space="preserve"> (ve</w:t>
            </w:r>
            <w:r w:rsidRPr="00C003ED">
              <w:rPr>
                <w:rFonts w:cs="Arial"/>
                <w:lang w:val="de-DE"/>
              </w:rPr>
              <w:t xml:space="preserve">rgleiche Dokument TWO/46/29 </w:t>
            </w:r>
            <w:r>
              <w:rPr>
                <w:lang w:val="de-DE"/>
              </w:rPr>
              <w:t>„</w:t>
            </w:r>
            <w:r w:rsidR="004B0D55" w:rsidRPr="004B0D55">
              <w:rPr>
                <w:rFonts w:cs="Arial"/>
                <w:i/>
                <w:lang w:val="de-DE"/>
              </w:rPr>
              <w:t>R</w:t>
            </w:r>
            <w:r w:rsidR="00FE2C2C">
              <w:rPr>
                <w:rFonts w:cs="Arial"/>
                <w:i/>
                <w:lang w:val="de-DE"/>
              </w:rPr>
              <w:t>eport</w:t>
            </w:r>
            <w:r w:rsidR="00FE2C2C">
              <w:rPr>
                <w:i/>
                <w:lang w:val="de-DE"/>
              </w:rPr>
              <w:t>“</w:t>
            </w:r>
            <w:r w:rsidRPr="00C003ED">
              <w:rPr>
                <w:rFonts w:cs="Arial"/>
                <w:lang w:val="de-DE"/>
              </w:rPr>
              <w:t>, Absätze 53 und 54)</w:t>
            </w:r>
            <w:r w:rsidRPr="00C003ED">
              <w:rPr>
                <w:lang w:val="de-DE"/>
              </w:rPr>
              <w:t>.</w:t>
            </w:r>
          </w:p>
          <w:p w:rsidR="004C7E38" w:rsidRPr="00C003ED" w:rsidRDefault="004C7E38" w:rsidP="003D79E9">
            <w:pPr>
              <w:rPr>
                <w:rFonts w:cs="Arial"/>
                <w:lang w:val="de-DE"/>
              </w:rPr>
            </w:pPr>
          </w:p>
        </w:tc>
        <w:tc>
          <w:tcPr>
            <w:tcW w:w="823" w:type="dxa"/>
          </w:tcPr>
          <w:p w:rsidR="004C7E38" w:rsidRPr="00100526" w:rsidRDefault="004C7E38" w:rsidP="003D79E9">
            <w:pPr>
              <w:spacing w:before="120"/>
            </w:pPr>
            <w:r w:rsidRPr="00100526">
              <w:t>TW</w:t>
            </w:r>
            <w:r>
              <w:t>O</w:t>
            </w:r>
          </w:p>
        </w:tc>
      </w:tr>
      <w:tr w:rsidR="004C7E38" w:rsidRPr="00100526" w:rsidTr="003D79E9">
        <w:trPr>
          <w:cantSplit/>
        </w:trPr>
        <w:tc>
          <w:tcPr>
            <w:tcW w:w="1366" w:type="dxa"/>
          </w:tcPr>
          <w:p w:rsidR="004C7E38" w:rsidRPr="00100526" w:rsidRDefault="004C7E38" w:rsidP="003D79E9">
            <w:pPr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6804" w:type="dxa"/>
          </w:tcPr>
          <w:p w:rsidR="004C7E38" w:rsidRPr="00C003ED" w:rsidRDefault="004C7E38" w:rsidP="00DC6E64">
            <w:pPr>
              <w:rPr>
                <w:rFonts w:cs="Arial"/>
                <w:lang w:val="de-DE"/>
              </w:rPr>
            </w:pPr>
            <w:r w:rsidRPr="00383797">
              <w:rPr>
                <w:rFonts w:cs="Arial"/>
                <w:lang w:val="de-DE"/>
              </w:rPr>
              <w:t xml:space="preserve">Die TWF prüfte Dokument </w:t>
            </w:r>
            <w:r w:rsidRPr="00383797">
              <w:rPr>
                <w:caps/>
                <w:lang w:val="de-DE"/>
              </w:rPr>
              <w:t>TWF/44/21</w:t>
            </w:r>
            <w:r w:rsidRPr="00383797">
              <w:rPr>
                <w:rFonts w:cs="Arial"/>
                <w:lang w:val="de-DE"/>
              </w:rPr>
              <w:t xml:space="preserve">. Die </w:t>
            </w:r>
            <w:r w:rsidRPr="00383797">
              <w:rPr>
                <w:lang w:val="de-DE"/>
              </w:rPr>
              <w:t xml:space="preserve">TWF stimmte dem Vorschlag der TWO </w:t>
            </w:r>
            <w:r>
              <w:rPr>
                <w:lang w:val="de-DE"/>
              </w:rPr>
              <w:t xml:space="preserve">auf deren sechsundvierzigster </w:t>
            </w:r>
            <w:r w:rsidRPr="00383797">
              <w:rPr>
                <w:lang w:val="de-DE"/>
              </w:rPr>
              <w:t>Tagung</w:t>
            </w:r>
            <w:r>
              <w:rPr>
                <w:lang w:val="de-DE"/>
              </w:rPr>
              <w:t xml:space="preserve"> zu</w:t>
            </w:r>
            <w:r w:rsidRPr="00383797">
              <w:rPr>
                <w:lang w:val="de-DE"/>
              </w:rPr>
              <w:t xml:space="preserve">, </w:t>
            </w:r>
            <w:r w:rsidRPr="004812A6">
              <w:rPr>
                <w:lang w:val="de-DE"/>
              </w:rPr>
              <w:t>daß „</w:t>
            </w:r>
            <w:r w:rsidR="00FE2C2C">
              <w:rPr>
                <w:i/>
                <w:lang w:val="de-DE"/>
              </w:rPr>
              <w:t>dot“</w:t>
            </w:r>
            <w:r>
              <w:rPr>
                <w:lang w:val="de-DE"/>
              </w:rPr>
              <w:t xml:space="preserve"> </w:t>
            </w:r>
            <w:r w:rsidRPr="004812A6">
              <w:rPr>
                <w:lang w:val="de-DE"/>
              </w:rPr>
              <w:t>ein kleiner „</w:t>
            </w:r>
            <w:r w:rsidRPr="004B0D55">
              <w:rPr>
                <w:i/>
                <w:lang w:val="de-DE"/>
              </w:rPr>
              <w:t>spot</w:t>
            </w:r>
            <w:r w:rsidR="00FE2C2C">
              <w:rPr>
                <w:i/>
                <w:lang w:val="de-DE"/>
              </w:rPr>
              <w:t>“</w:t>
            </w:r>
            <w:r>
              <w:rPr>
                <w:lang w:val="de-DE"/>
              </w:rPr>
              <w:t xml:space="preserve"> </w:t>
            </w:r>
            <w:r w:rsidRPr="004812A6">
              <w:rPr>
                <w:lang w:val="de-DE"/>
              </w:rPr>
              <w:t>sei</w:t>
            </w:r>
            <w:r>
              <w:rPr>
                <w:lang w:val="de-DE"/>
              </w:rPr>
              <w:t>,</w:t>
            </w:r>
            <w:r w:rsidRPr="00383797">
              <w:rPr>
                <w:lang w:val="de-DE"/>
              </w:rPr>
              <w:t xml:space="preserve"> und </w:t>
            </w:r>
            <w:r w:rsidRPr="004812A6">
              <w:rPr>
                <w:lang w:val="de-DE"/>
              </w:rPr>
              <w:t xml:space="preserve">daß </w:t>
            </w:r>
            <w:r>
              <w:rPr>
                <w:lang w:val="de-DE"/>
              </w:rPr>
              <w:t xml:space="preserve">gemäß der </w:t>
            </w:r>
            <w:r w:rsidRPr="004812A6">
              <w:rPr>
                <w:lang w:val="de-DE"/>
              </w:rPr>
              <w:t xml:space="preserve">in Dokument TGP/14: Abschnitt 2: </w:t>
            </w:r>
            <w:r>
              <w:rPr>
                <w:lang w:val="de-DE"/>
              </w:rPr>
              <w:t>Botanische Begriffe, Unterabschnitt 3: Farbe dargelegten Anleitung</w:t>
            </w:r>
            <w:r w:rsidRPr="004812A6">
              <w:rPr>
                <w:lang w:val="de-DE"/>
              </w:rPr>
              <w:t xml:space="preserve"> künftig nur der Begriff „</w:t>
            </w:r>
            <w:r w:rsidRPr="004B0D55">
              <w:rPr>
                <w:i/>
                <w:lang w:val="de-DE"/>
              </w:rPr>
              <w:t>spot</w:t>
            </w:r>
            <w:r w:rsidR="00FE2C2C">
              <w:rPr>
                <w:i/>
                <w:lang w:val="de-DE"/>
              </w:rPr>
              <w:t>“</w:t>
            </w:r>
            <w:r w:rsidRPr="004812A6">
              <w:rPr>
                <w:lang w:val="de-DE"/>
              </w:rPr>
              <w:t xml:space="preserve"> v</w:t>
            </w:r>
            <w:r>
              <w:rPr>
                <w:lang w:val="de-DE"/>
              </w:rPr>
              <w:t xml:space="preserve">erwendet werden solle. Die </w:t>
            </w:r>
            <w:r w:rsidRPr="00C003ED">
              <w:rPr>
                <w:lang w:val="de-DE"/>
              </w:rPr>
              <w:t xml:space="preserve">TWF schlug vor, daß </w:t>
            </w:r>
            <w:r>
              <w:rPr>
                <w:lang w:val="de-DE"/>
              </w:rPr>
              <w:t xml:space="preserve">die </w:t>
            </w:r>
            <w:r w:rsidRPr="00C003ED">
              <w:rPr>
                <w:lang w:val="de-DE"/>
              </w:rPr>
              <w:t>Prüfungsrichtlinien</w:t>
            </w:r>
            <w:r>
              <w:rPr>
                <w:lang w:val="de-DE"/>
              </w:rPr>
              <w:t xml:space="preserve"> an allen Stellen, an denen die Verwendung dieser Begriffe</w:t>
            </w:r>
            <w:r w:rsidRPr="00C003ED">
              <w:rPr>
                <w:lang w:val="de-DE"/>
              </w:rPr>
              <w:t xml:space="preserve"> </w:t>
            </w:r>
            <w:r>
              <w:rPr>
                <w:lang w:val="de-DE"/>
              </w:rPr>
              <w:t>zu Verwechslungen führen könnte,</w:t>
            </w:r>
            <w:r w:rsidRPr="00C003ED">
              <w:rPr>
                <w:lang w:val="de-DE"/>
              </w:rPr>
              <w:t xml:space="preserve"> überarbeitet werden sollten </w:t>
            </w:r>
            <w:r w:rsidRPr="00C003ED">
              <w:rPr>
                <w:rFonts w:cs="Arial"/>
                <w:lang w:val="de-DE"/>
              </w:rPr>
              <w:t xml:space="preserve">(vergleiche Dokument TWF/44/31 </w:t>
            </w:r>
            <w:r>
              <w:rPr>
                <w:rFonts w:cs="Arial"/>
                <w:lang w:val="de-DE"/>
              </w:rPr>
              <w:t>„</w:t>
            </w:r>
            <w:r w:rsidR="004B0D55" w:rsidRPr="004B0D55">
              <w:rPr>
                <w:rFonts w:cs="Arial"/>
                <w:i/>
                <w:lang w:val="de-DE"/>
              </w:rPr>
              <w:t>Report</w:t>
            </w:r>
            <w:r w:rsidR="00FE2C2C">
              <w:rPr>
                <w:i/>
                <w:lang w:val="de-DE"/>
              </w:rPr>
              <w:t>“</w:t>
            </w:r>
            <w:r w:rsidRPr="00C003ED">
              <w:rPr>
                <w:rFonts w:cs="Arial"/>
                <w:lang w:val="de-DE"/>
              </w:rPr>
              <w:t>, Absätze 56 und 57).</w:t>
            </w:r>
          </w:p>
          <w:p w:rsidR="004C7E38" w:rsidRPr="00C003ED" w:rsidRDefault="004C7E38" w:rsidP="003D79E9">
            <w:pPr>
              <w:rPr>
                <w:rFonts w:cs="Arial"/>
                <w:lang w:val="de-DE"/>
              </w:rPr>
            </w:pPr>
          </w:p>
        </w:tc>
        <w:tc>
          <w:tcPr>
            <w:tcW w:w="823" w:type="dxa"/>
          </w:tcPr>
          <w:p w:rsidR="004C7E38" w:rsidRPr="00100526" w:rsidRDefault="004C7E38" w:rsidP="003D79E9">
            <w:pPr>
              <w:spacing w:before="120"/>
            </w:pPr>
            <w:r w:rsidRPr="00100526">
              <w:t>TW</w:t>
            </w:r>
            <w:r>
              <w:t>F</w:t>
            </w:r>
          </w:p>
        </w:tc>
      </w:tr>
      <w:tr w:rsidR="004C7E38" w:rsidRPr="00100526" w:rsidTr="003D79E9">
        <w:trPr>
          <w:cantSplit/>
        </w:trPr>
        <w:tc>
          <w:tcPr>
            <w:tcW w:w="1366" w:type="dxa"/>
          </w:tcPr>
          <w:p w:rsidR="004C7E38" w:rsidRPr="00100526" w:rsidRDefault="004C7E38" w:rsidP="003D79E9">
            <w:pPr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6804" w:type="dxa"/>
          </w:tcPr>
          <w:p w:rsidR="004C7E38" w:rsidRPr="000A7E4E" w:rsidRDefault="004C7E38" w:rsidP="00EE5F59">
            <w:pPr>
              <w:rPr>
                <w:lang w:val="de-DE"/>
              </w:rPr>
            </w:pPr>
            <w:r>
              <w:rPr>
                <w:rFonts w:cs="Arial"/>
                <w:lang w:val="de-DE"/>
              </w:rPr>
              <w:t xml:space="preserve">Die </w:t>
            </w:r>
            <w:r w:rsidRPr="004812A6">
              <w:rPr>
                <w:rFonts w:cs="Arial"/>
                <w:lang w:val="de-DE"/>
              </w:rPr>
              <w:t xml:space="preserve">TWV prüfte Dokument </w:t>
            </w:r>
            <w:r w:rsidRPr="004812A6">
              <w:rPr>
                <w:caps/>
                <w:lang w:val="de-DE"/>
              </w:rPr>
              <w:t>TWV/47/21</w:t>
            </w:r>
            <w:r w:rsidRPr="004812A6">
              <w:rPr>
                <w:rFonts w:cs="Arial"/>
                <w:lang w:val="de-DE"/>
              </w:rPr>
              <w:t xml:space="preserve">. </w:t>
            </w:r>
            <w:r>
              <w:rPr>
                <w:rFonts w:cs="Arial"/>
                <w:lang w:val="de-DE"/>
              </w:rPr>
              <w:t xml:space="preserve">Die </w:t>
            </w:r>
            <w:r w:rsidRPr="00383797">
              <w:rPr>
                <w:lang w:val="de-DE"/>
              </w:rPr>
              <w:t>TWV stimmte dem Vorschlag der</w:t>
            </w:r>
            <w:r w:rsidRPr="00383797">
              <w:rPr>
                <w:shd w:val="clear" w:color="auto" w:fill="FFFFFF"/>
                <w:lang w:val="de-DE"/>
              </w:rPr>
              <w:t xml:space="preserve"> TWO </w:t>
            </w:r>
            <w:r>
              <w:rPr>
                <w:lang w:val="de-DE"/>
              </w:rPr>
              <w:t xml:space="preserve">auf deren sechsundvierzigster </w:t>
            </w:r>
            <w:r w:rsidRPr="00383797">
              <w:rPr>
                <w:lang w:val="de-DE"/>
              </w:rPr>
              <w:t>Tagung</w:t>
            </w:r>
            <w:r>
              <w:rPr>
                <w:lang w:val="de-DE"/>
              </w:rPr>
              <w:t xml:space="preserve"> </w:t>
            </w:r>
            <w:r w:rsidRPr="00383797">
              <w:rPr>
                <w:shd w:val="clear" w:color="auto" w:fill="FFFFFF"/>
                <w:lang w:val="de-DE"/>
              </w:rPr>
              <w:t xml:space="preserve">und </w:t>
            </w:r>
            <w:r>
              <w:rPr>
                <w:shd w:val="clear" w:color="auto" w:fill="FFFFFF"/>
                <w:lang w:val="de-DE"/>
              </w:rPr>
              <w:t>der</w:t>
            </w:r>
            <w:r w:rsidRPr="00383797">
              <w:rPr>
                <w:shd w:val="clear" w:color="auto" w:fill="FFFFFF"/>
                <w:lang w:val="de-DE"/>
              </w:rPr>
              <w:t xml:space="preserve"> TWF </w:t>
            </w:r>
            <w:r>
              <w:rPr>
                <w:lang w:val="de-DE"/>
              </w:rPr>
              <w:t xml:space="preserve">auf deren vierundvierzigster </w:t>
            </w:r>
            <w:r w:rsidRPr="00383797">
              <w:rPr>
                <w:lang w:val="de-DE"/>
              </w:rPr>
              <w:t>Tagung</w:t>
            </w:r>
            <w:r>
              <w:rPr>
                <w:lang w:val="de-DE"/>
              </w:rPr>
              <w:t xml:space="preserve"> zu, </w:t>
            </w:r>
            <w:r w:rsidRPr="004812A6">
              <w:rPr>
                <w:lang w:val="de-DE"/>
              </w:rPr>
              <w:t>daß „</w:t>
            </w:r>
            <w:r w:rsidR="00FE2C2C">
              <w:rPr>
                <w:i/>
                <w:lang w:val="de-DE"/>
              </w:rPr>
              <w:t>dot“</w:t>
            </w:r>
            <w:r>
              <w:rPr>
                <w:lang w:val="de-DE"/>
              </w:rPr>
              <w:t xml:space="preserve"> </w:t>
            </w:r>
            <w:r w:rsidRPr="004812A6">
              <w:rPr>
                <w:lang w:val="de-DE"/>
              </w:rPr>
              <w:t>ein kleiner „</w:t>
            </w:r>
            <w:r w:rsidRPr="004E605F">
              <w:rPr>
                <w:i/>
                <w:lang w:val="de-DE"/>
              </w:rPr>
              <w:t>spot</w:t>
            </w:r>
            <w:r w:rsidR="00FE2C2C">
              <w:rPr>
                <w:i/>
                <w:lang w:val="de-DE"/>
              </w:rPr>
              <w:t>“</w:t>
            </w:r>
            <w:r>
              <w:rPr>
                <w:lang w:val="de-DE"/>
              </w:rPr>
              <w:t xml:space="preserve"> </w:t>
            </w:r>
            <w:r w:rsidRPr="004812A6">
              <w:rPr>
                <w:lang w:val="de-DE"/>
              </w:rPr>
              <w:t>sei</w:t>
            </w:r>
            <w:r>
              <w:rPr>
                <w:shd w:val="clear" w:color="auto" w:fill="FFFFFF"/>
                <w:lang w:val="de-DE"/>
              </w:rPr>
              <w:t>,</w:t>
            </w:r>
            <w:r w:rsidRPr="00383797">
              <w:rPr>
                <w:lang w:val="de-DE"/>
              </w:rPr>
              <w:t xml:space="preserve"> und </w:t>
            </w:r>
            <w:r w:rsidRPr="004812A6">
              <w:rPr>
                <w:lang w:val="de-DE"/>
              </w:rPr>
              <w:t xml:space="preserve">daß </w:t>
            </w:r>
            <w:r>
              <w:rPr>
                <w:lang w:val="de-DE"/>
              </w:rPr>
              <w:t xml:space="preserve">gemäß der </w:t>
            </w:r>
            <w:r w:rsidRPr="004812A6">
              <w:rPr>
                <w:lang w:val="de-DE"/>
              </w:rPr>
              <w:t xml:space="preserve">in Dokument TGP/14: Abschnitt 2: </w:t>
            </w:r>
            <w:r>
              <w:rPr>
                <w:lang w:val="de-DE"/>
              </w:rPr>
              <w:t>Botanische Begriffe, Unterabschnitt 3: Farbe dargelegten Anleitung</w:t>
            </w:r>
            <w:r w:rsidRPr="004812A6">
              <w:rPr>
                <w:lang w:val="de-DE"/>
              </w:rPr>
              <w:t xml:space="preserve"> künftig nur der Begriff „</w:t>
            </w:r>
            <w:r w:rsidRPr="004E605F">
              <w:rPr>
                <w:i/>
                <w:lang w:val="de-DE"/>
              </w:rPr>
              <w:t>spot</w:t>
            </w:r>
            <w:r w:rsidR="00FE2C2C">
              <w:rPr>
                <w:i/>
                <w:lang w:val="de-DE"/>
              </w:rPr>
              <w:t>“</w:t>
            </w:r>
            <w:r w:rsidRPr="004812A6">
              <w:rPr>
                <w:lang w:val="de-DE"/>
              </w:rPr>
              <w:t xml:space="preserve"> v</w:t>
            </w:r>
            <w:r>
              <w:rPr>
                <w:lang w:val="de-DE"/>
              </w:rPr>
              <w:t>erwendet werden solle</w:t>
            </w:r>
            <w:r w:rsidRPr="00383797">
              <w:rPr>
                <w:lang w:val="de-DE"/>
              </w:rPr>
              <w:t xml:space="preserve">. </w:t>
            </w:r>
            <w:r>
              <w:rPr>
                <w:lang w:val="de-DE"/>
              </w:rPr>
              <w:t xml:space="preserve">Die </w:t>
            </w:r>
            <w:r w:rsidRPr="000A7E4E">
              <w:rPr>
                <w:lang w:val="de-DE"/>
              </w:rPr>
              <w:t xml:space="preserve">TWV </w:t>
            </w:r>
            <w:r>
              <w:rPr>
                <w:lang w:val="de-DE"/>
              </w:rPr>
              <w:t>stimmte dem Vorschlag der</w:t>
            </w:r>
            <w:r w:rsidRPr="000A7E4E">
              <w:rPr>
                <w:lang w:val="de-DE"/>
              </w:rPr>
              <w:t xml:space="preserve"> TWF </w:t>
            </w:r>
            <w:r>
              <w:rPr>
                <w:lang w:val="de-DE"/>
              </w:rPr>
              <w:t xml:space="preserve">zu, daß die </w:t>
            </w:r>
            <w:r w:rsidRPr="00C003ED">
              <w:rPr>
                <w:lang w:val="de-DE"/>
              </w:rPr>
              <w:t>Prüfungsrichtlinien</w:t>
            </w:r>
            <w:r>
              <w:rPr>
                <w:lang w:val="de-DE"/>
              </w:rPr>
              <w:t xml:space="preserve"> an allen Stellen, an denen die Verwendung dieser Begriffe</w:t>
            </w:r>
            <w:r w:rsidRPr="00C003ED">
              <w:rPr>
                <w:lang w:val="de-DE"/>
              </w:rPr>
              <w:t xml:space="preserve"> </w:t>
            </w:r>
            <w:r>
              <w:rPr>
                <w:lang w:val="de-DE"/>
              </w:rPr>
              <w:t>zu Verwechslungen führen könnte,</w:t>
            </w:r>
            <w:r w:rsidRPr="00C003ED">
              <w:rPr>
                <w:lang w:val="de-DE"/>
              </w:rPr>
              <w:t xml:space="preserve"> überarbeitet werden sollten</w:t>
            </w:r>
            <w:r>
              <w:rPr>
                <w:lang w:val="de-DE"/>
              </w:rPr>
              <w:t xml:space="preserve"> </w:t>
            </w:r>
            <w:r w:rsidRPr="000A7E4E">
              <w:rPr>
                <w:rFonts w:cs="Arial"/>
                <w:lang w:val="de-DE"/>
              </w:rPr>
              <w:t xml:space="preserve">(vergleiche Dokument TWV/47/34 </w:t>
            </w:r>
            <w:r>
              <w:rPr>
                <w:rFonts w:cs="Arial"/>
                <w:lang w:val="de-DE"/>
              </w:rPr>
              <w:t>„</w:t>
            </w:r>
            <w:r w:rsidR="004B0D55" w:rsidRPr="004B0D55">
              <w:rPr>
                <w:rFonts w:cs="Arial"/>
                <w:i/>
                <w:lang w:val="de-DE"/>
              </w:rPr>
              <w:t>Report</w:t>
            </w:r>
            <w:r w:rsidR="00FE2C2C">
              <w:rPr>
                <w:i/>
                <w:lang w:val="de-DE"/>
              </w:rPr>
              <w:t>“</w:t>
            </w:r>
            <w:r w:rsidRPr="000A7E4E">
              <w:rPr>
                <w:rFonts w:cs="Arial"/>
                <w:lang w:val="de-DE"/>
              </w:rPr>
              <w:t>, Absätze 57 und 58)</w:t>
            </w:r>
            <w:r w:rsidRPr="000A7E4E">
              <w:rPr>
                <w:lang w:val="de-DE"/>
              </w:rPr>
              <w:t>.</w:t>
            </w:r>
          </w:p>
          <w:p w:rsidR="004C7E38" w:rsidRPr="000A7E4E" w:rsidRDefault="004C7E38" w:rsidP="003D79E9">
            <w:pPr>
              <w:tabs>
                <w:tab w:val="left" w:pos="1228"/>
              </w:tabs>
              <w:rPr>
                <w:lang w:val="de-DE"/>
              </w:rPr>
            </w:pPr>
          </w:p>
        </w:tc>
        <w:tc>
          <w:tcPr>
            <w:tcW w:w="823" w:type="dxa"/>
          </w:tcPr>
          <w:p w:rsidR="004C7E38" w:rsidRPr="00100526" w:rsidRDefault="004C7E38" w:rsidP="003D79E9">
            <w:pPr>
              <w:spacing w:before="120"/>
            </w:pPr>
            <w:r w:rsidRPr="00100526">
              <w:t>TW</w:t>
            </w:r>
            <w:r>
              <w:t>V</w:t>
            </w:r>
          </w:p>
        </w:tc>
      </w:tr>
      <w:tr w:rsidR="004C7E38" w:rsidRPr="00100526" w:rsidTr="003D79E9">
        <w:trPr>
          <w:cantSplit/>
        </w:trPr>
        <w:tc>
          <w:tcPr>
            <w:tcW w:w="1366" w:type="dxa"/>
          </w:tcPr>
          <w:p w:rsidR="004C7E38" w:rsidRPr="00100526" w:rsidRDefault="004C7E38" w:rsidP="003D79E9">
            <w:pPr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6804" w:type="dxa"/>
          </w:tcPr>
          <w:p w:rsidR="004C7E38" w:rsidRDefault="004C7E38" w:rsidP="00EE5F59">
            <w:pPr>
              <w:keepNext/>
              <w:rPr>
                <w:rFonts w:cs="Arial"/>
                <w:lang w:val="de-DE"/>
              </w:rPr>
            </w:pPr>
            <w:r w:rsidRPr="00191864">
              <w:rPr>
                <w:lang w:val="de-DE"/>
              </w:rPr>
              <w:t xml:space="preserve">Die TWC prüfte Dokument TWC/31/21. </w:t>
            </w:r>
            <w:r>
              <w:rPr>
                <w:lang w:val="de-DE"/>
              </w:rPr>
              <w:t xml:space="preserve">Die </w:t>
            </w:r>
            <w:r w:rsidRPr="00191864">
              <w:rPr>
                <w:rFonts w:cs="Arial"/>
                <w:color w:val="000000"/>
                <w:lang w:val="de-DE"/>
              </w:rPr>
              <w:t xml:space="preserve">TWC </w:t>
            </w:r>
            <w:r>
              <w:rPr>
                <w:rFonts w:cs="Arial"/>
                <w:color w:val="000000"/>
                <w:lang w:val="de-DE"/>
              </w:rPr>
              <w:t xml:space="preserve">stimmte der </w:t>
            </w:r>
            <w:r w:rsidRPr="00191864">
              <w:rPr>
                <w:rFonts w:cs="Arial"/>
                <w:color w:val="000000"/>
                <w:lang w:val="de-DE"/>
              </w:rPr>
              <w:t>TWO, TWF und TWV </w:t>
            </w:r>
            <w:r>
              <w:rPr>
                <w:rFonts w:cs="Arial"/>
                <w:color w:val="000000"/>
                <w:lang w:val="de-DE"/>
              </w:rPr>
              <w:t xml:space="preserve">zu, </w:t>
            </w:r>
            <w:r w:rsidRPr="004812A6">
              <w:rPr>
                <w:lang w:val="de-DE"/>
              </w:rPr>
              <w:t>daß „</w:t>
            </w:r>
            <w:r w:rsidRPr="00F23F10">
              <w:rPr>
                <w:i/>
                <w:lang w:val="de-DE"/>
              </w:rPr>
              <w:t>dot</w:t>
            </w:r>
            <w:r w:rsidR="00FE2C2C">
              <w:rPr>
                <w:i/>
                <w:lang w:val="de-DE"/>
              </w:rPr>
              <w:t>“</w:t>
            </w:r>
            <w:r>
              <w:rPr>
                <w:lang w:val="de-DE"/>
              </w:rPr>
              <w:t xml:space="preserve"> </w:t>
            </w:r>
            <w:r w:rsidRPr="004812A6">
              <w:rPr>
                <w:lang w:val="de-DE"/>
              </w:rPr>
              <w:t>ein kleiner „</w:t>
            </w:r>
            <w:r w:rsidRPr="00F23F10">
              <w:rPr>
                <w:i/>
                <w:lang w:val="de-DE"/>
              </w:rPr>
              <w:t>spot</w:t>
            </w:r>
            <w:r w:rsidR="00FE2C2C">
              <w:rPr>
                <w:i/>
                <w:lang w:val="de-DE"/>
              </w:rPr>
              <w:t>“</w:t>
            </w:r>
            <w:r w:rsidR="004E605F">
              <w:rPr>
                <w:lang w:val="de-DE"/>
              </w:rPr>
              <w:t xml:space="preserve"> </w:t>
            </w:r>
            <w:r w:rsidRPr="004812A6">
              <w:rPr>
                <w:lang w:val="de-DE"/>
              </w:rPr>
              <w:t>sei</w:t>
            </w:r>
            <w:r>
              <w:rPr>
                <w:rFonts w:cs="Arial"/>
                <w:color w:val="000000"/>
                <w:lang w:val="de-DE"/>
              </w:rPr>
              <w:t>,</w:t>
            </w:r>
            <w:r w:rsidRPr="00191864">
              <w:rPr>
                <w:rFonts w:cs="Arial"/>
                <w:color w:val="000000"/>
                <w:lang w:val="de-DE"/>
              </w:rPr>
              <w:t xml:space="preserve"> und </w:t>
            </w:r>
            <w:r w:rsidRPr="004812A6">
              <w:rPr>
                <w:lang w:val="de-DE"/>
              </w:rPr>
              <w:t xml:space="preserve">daß </w:t>
            </w:r>
            <w:r>
              <w:rPr>
                <w:lang w:val="de-DE"/>
              </w:rPr>
              <w:t xml:space="preserve">gemäß der </w:t>
            </w:r>
            <w:r w:rsidRPr="004812A6">
              <w:rPr>
                <w:lang w:val="de-DE"/>
              </w:rPr>
              <w:t xml:space="preserve">in Dokument TGP/14: Abschnitt 2: </w:t>
            </w:r>
            <w:r>
              <w:rPr>
                <w:lang w:val="de-DE"/>
              </w:rPr>
              <w:t>Botanische Begriffe, Unterabschnitt 3: Farbe dargelegten Anleitung</w:t>
            </w:r>
            <w:r w:rsidRPr="004812A6">
              <w:rPr>
                <w:lang w:val="de-DE"/>
              </w:rPr>
              <w:t xml:space="preserve"> künftig nur der Begriff „</w:t>
            </w:r>
            <w:r w:rsidRPr="00F23F10">
              <w:rPr>
                <w:i/>
                <w:lang w:val="de-DE"/>
              </w:rPr>
              <w:t>spot</w:t>
            </w:r>
            <w:r w:rsidR="00FE2C2C">
              <w:rPr>
                <w:i/>
                <w:lang w:val="de-DE"/>
              </w:rPr>
              <w:t>“</w:t>
            </w:r>
            <w:r w:rsidRPr="004812A6">
              <w:rPr>
                <w:lang w:val="de-DE"/>
              </w:rPr>
              <w:t xml:space="preserve"> v</w:t>
            </w:r>
            <w:r>
              <w:rPr>
                <w:lang w:val="de-DE"/>
              </w:rPr>
              <w:t>erwendet werden solle</w:t>
            </w:r>
            <w:r w:rsidRPr="00191864">
              <w:rPr>
                <w:rFonts w:cs="Arial"/>
                <w:color w:val="000000"/>
                <w:lang w:val="de-DE"/>
              </w:rPr>
              <w:t xml:space="preserve">. </w:t>
            </w:r>
            <w:r>
              <w:rPr>
                <w:rFonts w:cs="Arial"/>
                <w:color w:val="000000"/>
                <w:lang w:val="de-DE"/>
              </w:rPr>
              <w:t xml:space="preserve">Die </w:t>
            </w:r>
            <w:r w:rsidRPr="000A7E4E">
              <w:rPr>
                <w:rFonts w:cs="Arial"/>
                <w:color w:val="000000"/>
                <w:lang w:val="de-DE"/>
              </w:rPr>
              <w:t xml:space="preserve">TWC </w:t>
            </w:r>
            <w:r>
              <w:rPr>
                <w:rFonts w:cs="Arial"/>
                <w:color w:val="000000"/>
                <w:lang w:val="de-DE"/>
              </w:rPr>
              <w:t>nahm zur Kenntis, daß die</w:t>
            </w:r>
            <w:r w:rsidRPr="000A7E4E">
              <w:rPr>
                <w:rFonts w:cs="Arial"/>
                <w:color w:val="000000"/>
                <w:lang w:val="de-DE"/>
              </w:rPr>
              <w:t xml:space="preserve"> TWO, TWF und TWV vor</w:t>
            </w:r>
            <w:r>
              <w:rPr>
                <w:rFonts w:cs="Arial"/>
                <w:color w:val="000000"/>
                <w:lang w:val="de-DE"/>
              </w:rPr>
              <w:t>geschlagen hatten</w:t>
            </w:r>
            <w:r w:rsidRPr="000A7E4E">
              <w:rPr>
                <w:rFonts w:cs="Arial"/>
                <w:color w:val="000000"/>
                <w:lang w:val="de-DE"/>
              </w:rPr>
              <w:t xml:space="preserve">, </w:t>
            </w:r>
            <w:r>
              <w:rPr>
                <w:rFonts w:cs="Arial"/>
                <w:color w:val="000000"/>
                <w:lang w:val="de-DE"/>
              </w:rPr>
              <w:t>da</w:t>
            </w:r>
            <w:r w:rsidRPr="004812A6">
              <w:rPr>
                <w:lang w:val="de-DE"/>
              </w:rPr>
              <w:t>ß</w:t>
            </w:r>
            <w:r>
              <w:rPr>
                <w:rFonts w:cs="Arial"/>
                <w:color w:val="000000"/>
                <w:lang w:val="de-DE"/>
              </w:rPr>
              <w:t xml:space="preserve"> </w:t>
            </w:r>
            <w:r>
              <w:rPr>
                <w:lang w:val="de-DE"/>
              </w:rPr>
              <w:t xml:space="preserve">die </w:t>
            </w:r>
            <w:r w:rsidRPr="00C003ED">
              <w:rPr>
                <w:lang w:val="de-DE"/>
              </w:rPr>
              <w:t>Prüfungsrichtlinien</w:t>
            </w:r>
            <w:r>
              <w:rPr>
                <w:lang w:val="de-DE"/>
              </w:rPr>
              <w:t xml:space="preserve"> an allen Stellen, an denen die Verwendung dieser Begriffe</w:t>
            </w:r>
            <w:r w:rsidRPr="00C003ED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zu Verwechslungen führen könnte, </w:t>
            </w:r>
            <w:r w:rsidRPr="00C003ED">
              <w:rPr>
                <w:lang w:val="de-DE"/>
              </w:rPr>
              <w:t>überarbeite</w:t>
            </w:r>
            <w:r>
              <w:rPr>
                <w:lang w:val="de-DE"/>
              </w:rPr>
              <w:t>t werden sollen</w:t>
            </w:r>
            <w:r w:rsidRPr="000A7E4E">
              <w:rPr>
                <w:rFonts w:cs="Arial"/>
                <w:color w:val="000000"/>
                <w:lang w:val="de-DE"/>
              </w:rPr>
              <w:t xml:space="preserve">, </w:t>
            </w:r>
            <w:r>
              <w:rPr>
                <w:rFonts w:cs="Arial"/>
                <w:color w:val="000000"/>
                <w:lang w:val="de-DE"/>
              </w:rPr>
              <w:t>nahm jedoch die Ansicht der Sachverständigen zur Kenntnis, daß es gegebenfalls notwendig sei, die</w:t>
            </w:r>
            <w:r w:rsidRPr="000A7E4E">
              <w:rPr>
                <w:rFonts w:cs="Arial"/>
                <w:snapToGrid w:val="0"/>
                <w:color w:val="000000"/>
                <w:lang w:val="de-DE"/>
              </w:rPr>
              <w:t xml:space="preserve"> Begriff</w:t>
            </w:r>
            <w:r>
              <w:rPr>
                <w:rFonts w:cs="Arial"/>
                <w:snapToGrid w:val="0"/>
                <w:color w:val="000000"/>
                <w:lang w:val="de-DE"/>
              </w:rPr>
              <w:t>e</w:t>
            </w:r>
            <w:r w:rsidRPr="000A7E4E">
              <w:rPr>
                <w:rFonts w:cs="Arial"/>
                <w:snapToGrid w:val="0"/>
                <w:color w:val="000000"/>
                <w:lang w:val="de-DE"/>
              </w:rPr>
              <w:t xml:space="preserve"> in </w:t>
            </w:r>
            <w:r>
              <w:rPr>
                <w:rFonts w:cs="Arial"/>
                <w:snapToGrid w:val="0"/>
                <w:color w:val="000000"/>
                <w:lang w:val="de-DE"/>
              </w:rPr>
              <w:t xml:space="preserve">einigen Sprachen getrennt zu verwenden </w:t>
            </w:r>
            <w:r w:rsidRPr="000A7E4E">
              <w:rPr>
                <w:rFonts w:cs="Arial"/>
                <w:lang w:val="de-DE"/>
              </w:rPr>
              <w:t>(vergleiche Dokument TWC/31/32 „</w:t>
            </w:r>
            <w:r w:rsidR="00F23F10">
              <w:rPr>
                <w:rFonts w:cs="Arial"/>
                <w:i/>
                <w:lang w:val="de-DE"/>
              </w:rPr>
              <w:t>Report</w:t>
            </w:r>
            <w:r w:rsidR="00FE2C2C">
              <w:rPr>
                <w:i/>
                <w:lang w:val="de-DE"/>
              </w:rPr>
              <w:t>“</w:t>
            </w:r>
            <w:r w:rsidRPr="000A7E4E">
              <w:rPr>
                <w:rFonts w:cs="Arial"/>
                <w:lang w:val="de-DE"/>
              </w:rPr>
              <w:t>, Absätze 56 und 57).</w:t>
            </w:r>
          </w:p>
          <w:p w:rsidR="004C7E38" w:rsidRPr="000A7E4E" w:rsidRDefault="004C7E38" w:rsidP="00EE5F59">
            <w:pPr>
              <w:keepNext/>
              <w:rPr>
                <w:lang w:val="de-DE"/>
              </w:rPr>
            </w:pPr>
            <w:r w:rsidRPr="000A7E4E">
              <w:rPr>
                <w:lang w:val="de-DE"/>
              </w:rPr>
              <w:tab/>
            </w:r>
          </w:p>
        </w:tc>
        <w:tc>
          <w:tcPr>
            <w:tcW w:w="823" w:type="dxa"/>
          </w:tcPr>
          <w:p w:rsidR="004C7E38" w:rsidRPr="00100526" w:rsidRDefault="004C7E38" w:rsidP="003D79E9">
            <w:pPr>
              <w:spacing w:before="120"/>
            </w:pPr>
            <w:r>
              <w:t>TWC</w:t>
            </w:r>
          </w:p>
        </w:tc>
      </w:tr>
      <w:tr w:rsidR="004C7E38" w:rsidRPr="00100526" w:rsidTr="003D79E9">
        <w:trPr>
          <w:cantSplit/>
        </w:trPr>
        <w:tc>
          <w:tcPr>
            <w:tcW w:w="1366" w:type="dxa"/>
          </w:tcPr>
          <w:p w:rsidR="004C7E38" w:rsidRPr="00100526" w:rsidRDefault="004C7E38" w:rsidP="003D79E9">
            <w:pPr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6804" w:type="dxa"/>
          </w:tcPr>
          <w:p w:rsidR="004C7E38" w:rsidRDefault="004C7E38" w:rsidP="00EE5F59">
            <w:pPr>
              <w:rPr>
                <w:lang w:val="de-DE"/>
              </w:rPr>
            </w:pPr>
            <w:r>
              <w:rPr>
                <w:lang w:val="de-DE"/>
              </w:rPr>
              <w:t>Die</w:t>
            </w:r>
            <w:r w:rsidRPr="004812A6">
              <w:rPr>
                <w:lang w:val="de-DE"/>
              </w:rPr>
              <w:t xml:space="preserve"> TWA prüfte Dokument </w:t>
            </w:r>
            <w:r w:rsidRPr="004812A6">
              <w:rPr>
                <w:caps/>
                <w:lang w:val="de-DE"/>
              </w:rPr>
              <w:t>TWA/42/21</w:t>
            </w:r>
            <w:r w:rsidRPr="004812A6">
              <w:rPr>
                <w:lang w:val="de-DE"/>
              </w:rPr>
              <w:t xml:space="preserve">. </w:t>
            </w:r>
            <w:r>
              <w:rPr>
                <w:lang w:val="de-DE"/>
              </w:rPr>
              <w:t xml:space="preserve">Die </w:t>
            </w:r>
            <w:r w:rsidRPr="004812A6">
              <w:rPr>
                <w:lang w:val="de-DE"/>
              </w:rPr>
              <w:t xml:space="preserve">TWA vereinbarte, daß </w:t>
            </w:r>
            <w:r>
              <w:rPr>
                <w:lang w:val="de-DE"/>
              </w:rPr>
              <w:t>es nicht sinnvoll sei, eine</w:t>
            </w:r>
            <w:r w:rsidRPr="004812A6">
              <w:rPr>
                <w:lang w:val="de-DE"/>
              </w:rPr>
              <w:t xml:space="preserve"> Begriffsbestimmung </w:t>
            </w:r>
            <w:r>
              <w:rPr>
                <w:lang w:val="de-DE"/>
              </w:rPr>
              <w:t>von</w:t>
            </w:r>
            <w:r w:rsidRPr="004812A6">
              <w:rPr>
                <w:lang w:val="de-DE"/>
              </w:rPr>
              <w:t xml:space="preserve"> „</w:t>
            </w:r>
            <w:r w:rsidRPr="00480CD6">
              <w:rPr>
                <w:i/>
                <w:lang w:val="de-DE"/>
              </w:rPr>
              <w:t>dot</w:t>
            </w:r>
            <w:r w:rsidR="00FE2C2C">
              <w:rPr>
                <w:i/>
                <w:lang w:val="de-DE"/>
              </w:rPr>
              <w:t>“</w:t>
            </w:r>
            <w:r w:rsidRPr="004812A6">
              <w:rPr>
                <w:lang w:val="de-DE"/>
              </w:rPr>
              <w:t xml:space="preserve"> in Dokument TGP/14 Abschnitt 2: „Botanische Begriffe, Unterabschnitt 3: Farbe</w:t>
            </w:r>
            <w:r w:rsidR="00FE2C2C">
              <w:rPr>
                <w:i/>
                <w:lang w:val="de-DE"/>
              </w:rPr>
              <w:t>“</w:t>
            </w:r>
            <w:r w:rsidRPr="004812A6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aufzunehmen, </w:t>
            </w:r>
            <w:r w:rsidRPr="004812A6">
              <w:rPr>
                <w:lang w:val="de-DE"/>
              </w:rPr>
              <w:t>und</w:t>
            </w:r>
            <w:r>
              <w:rPr>
                <w:lang w:val="de-DE"/>
              </w:rPr>
              <w:t xml:space="preserve"> nahm zur Kenntnis, daß die</w:t>
            </w:r>
            <w:r w:rsidRPr="004812A6">
              <w:rPr>
                <w:lang w:val="de-DE"/>
              </w:rPr>
              <w:t xml:space="preserve"> Begriff</w:t>
            </w:r>
            <w:r>
              <w:rPr>
                <w:lang w:val="de-DE"/>
              </w:rPr>
              <w:t>e</w:t>
            </w:r>
            <w:r w:rsidRPr="004812A6">
              <w:rPr>
                <w:lang w:val="de-DE"/>
              </w:rPr>
              <w:t xml:space="preserve"> „</w:t>
            </w:r>
            <w:r w:rsidRPr="00480CD6">
              <w:rPr>
                <w:i/>
                <w:lang w:val="de-DE"/>
              </w:rPr>
              <w:t>dot</w:t>
            </w:r>
            <w:r w:rsidR="00FE2C2C">
              <w:rPr>
                <w:i/>
                <w:lang w:val="de-DE"/>
              </w:rPr>
              <w:t>“</w:t>
            </w:r>
            <w:r>
              <w:rPr>
                <w:lang w:val="de-DE"/>
              </w:rPr>
              <w:t xml:space="preserve"> </w:t>
            </w:r>
            <w:r w:rsidRPr="004812A6">
              <w:rPr>
                <w:lang w:val="de-DE"/>
              </w:rPr>
              <w:t>und „</w:t>
            </w:r>
            <w:r w:rsidRPr="00480CD6">
              <w:rPr>
                <w:i/>
                <w:lang w:val="de-DE"/>
              </w:rPr>
              <w:t>spot</w:t>
            </w:r>
            <w:r w:rsidR="00FE2C2C">
              <w:rPr>
                <w:i/>
                <w:lang w:val="de-DE"/>
              </w:rPr>
              <w:t>“</w:t>
            </w:r>
            <w:r w:rsidRPr="004812A6">
              <w:rPr>
                <w:lang w:val="de-DE"/>
              </w:rPr>
              <w:t xml:space="preserve"> in </w:t>
            </w:r>
            <w:r>
              <w:rPr>
                <w:lang w:val="de-DE"/>
              </w:rPr>
              <w:t xml:space="preserve">den unterschiedlichen </w:t>
            </w:r>
            <w:r w:rsidRPr="004812A6">
              <w:rPr>
                <w:lang w:val="de-DE"/>
              </w:rPr>
              <w:t>UPOV</w:t>
            </w:r>
            <w:r>
              <w:rPr>
                <w:lang w:val="de-DE"/>
              </w:rPr>
              <w:t>-Sprachen sowohl als</w:t>
            </w:r>
            <w:r w:rsidRPr="004812A6">
              <w:rPr>
                <w:lang w:val="de-DE"/>
              </w:rPr>
              <w:t xml:space="preserve"> </w:t>
            </w:r>
            <w:r>
              <w:rPr>
                <w:lang w:val="de-DE"/>
              </w:rPr>
              <w:t>Sy</w:t>
            </w:r>
            <w:r w:rsidRPr="004812A6">
              <w:rPr>
                <w:lang w:val="de-DE"/>
              </w:rPr>
              <w:t>nonym</w:t>
            </w:r>
            <w:r>
              <w:rPr>
                <w:lang w:val="de-DE"/>
              </w:rPr>
              <w:t xml:space="preserve">e als auch als </w:t>
            </w:r>
            <w:r w:rsidRPr="004812A6">
              <w:rPr>
                <w:lang w:val="de-DE"/>
              </w:rPr>
              <w:t xml:space="preserve">separate </w:t>
            </w:r>
            <w:r>
              <w:rPr>
                <w:lang w:val="de-DE"/>
              </w:rPr>
              <w:t>Begriffe n</w:t>
            </w:r>
            <w:r w:rsidRPr="00C003ED">
              <w:rPr>
                <w:lang w:val="de-DE"/>
              </w:rPr>
              <w:t>ü</w:t>
            </w:r>
            <w:r>
              <w:rPr>
                <w:lang w:val="de-DE"/>
              </w:rPr>
              <w:t>tzlich seien</w:t>
            </w:r>
            <w:r w:rsidRPr="004812A6">
              <w:rPr>
                <w:lang w:val="de-DE"/>
              </w:rPr>
              <w:t xml:space="preserve">. </w:t>
            </w:r>
            <w:r w:rsidRPr="00677863">
              <w:rPr>
                <w:lang w:val="de-DE"/>
              </w:rPr>
              <w:t>Diesbezüglich nahm die TWA zu</w:t>
            </w:r>
            <w:r>
              <w:rPr>
                <w:lang w:val="de-DE"/>
              </w:rPr>
              <w:t>r Kenntnis, daß</w:t>
            </w:r>
            <w:r w:rsidRPr="00677863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nicht erwartet werden solle, daß </w:t>
            </w:r>
            <w:r w:rsidRPr="00677863">
              <w:rPr>
                <w:lang w:val="de-DE"/>
              </w:rPr>
              <w:t xml:space="preserve">Dokument TGP/14 </w:t>
            </w:r>
            <w:r>
              <w:rPr>
                <w:lang w:val="de-DE"/>
              </w:rPr>
              <w:t>gegebenenfalls auftretende Unterschiede in den Übersetzungen lösen werde</w:t>
            </w:r>
            <w:r w:rsidRPr="00677863">
              <w:rPr>
                <w:lang w:val="de-DE"/>
              </w:rPr>
              <w:t xml:space="preserve"> (</w:t>
            </w:r>
            <w:r w:rsidRPr="00677863">
              <w:rPr>
                <w:rFonts w:cs="Arial"/>
                <w:lang w:val="de-DE"/>
              </w:rPr>
              <w:t>vergleiche Dokument TWA/42/31 „</w:t>
            </w:r>
            <w:r w:rsidR="00480CD6" w:rsidRPr="00480CD6">
              <w:rPr>
                <w:rFonts w:cs="Arial"/>
                <w:i/>
                <w:lang w:val="de-DE"/>
              </w:rPr>
              <w:t>Report</w:t>
            </w:r>
            <w:r w:rsidR="00FE2C2C">
              <w:rPr>
                <w:i/>
                <w:lang w:val="de-DE"/>
              </w:rPr>
              <w:t>“</w:t>
            </w:r>
            <w:r w:rsidRPr="00677863">
              <w:rPr>
                <w:rFonts w:cs="Arial"/>
                <w:lang w:val="de-DE"/>
              </w:rPr>
              <w:t>, Absätze 63 und 64)</w:t>
            </w:r>
            <w:r w:rsidRPr="00677863">
              <w:rPr>
                <w:lang w:val="de-DE"/>
              </w:rPr>
              <w:t>.</w:t>
            </w:r>
          </w:p>
          <w:p w:rsidR="004C7E38" w:rsidRPr="00677863" w:rsidRDefault="004C7E38" w:rsidP="00EE5F59">
            <w:pPr>
              <w:rPr>
                <w:lang w:val="de-DE"/>
              </w:rPr>
            </w:pPr>
          </w:p>
        </w:tc>
        <w:tc>
          <w:tcPr>
            <w:tcW w:w="823" w:type="dxa"/>
          </w:tcPr>
          <w:p w:rsidR="004C7E38" w:rsidRPr="00100526" w:rsidRDefault="004C7E38" w:rsidP="003D79E9">
            <w:pPr>
              <w:spacing w:before="120"/>
            </w:pPr>
            <w:r>
              <w:t>TWA</w:t>
            </w:r>
          </w:p>
        </w:tc>
      </w:tr>
    </w:tbl>
    <w:p w:rsidR="004C7E38" w:rsidRDefault="004C7E38" w:rsidP="00E11277">
      <w:pPr>
        <w:pStyle w:val="Header"/>
        <w:jc w:val="both"/>
        <w:rPr>
          <w:lang w:val="en-US"/>
        </w:rPr>
      </w:pPr>
    </w:p>
    <w:p w:rsidR="004C7E38" w:rsidRPr="000C6B68" w:rsidRDefault="004C7E38" w:rsidP="00E11277">
      <w:pPr>
        <w:pStyle w:val="Header"/>
        <w:jc w:val="both"/>
        <w:rPr>
          <w:lang w:val="en-US"/>
        </w:rPr>
      </w:pPr>
    </w:p>
    <w:p w:rsidR="004C7E38" w:rsidRDefault="004C7E38" w:rsidP="006C5852">
      <w:pPr>
        <w:pStyle w:val="Heading1"/>
      </w:pPr>
      <w:bookmarkStart w:id="14" w:name="_Toc379271725"/>
      <w:r>
        <w:t>vorschlag</w:t>
      </w:r>
      <w:bookmarkEnd w:id="14"/>
    </w:p>
    <w:p w:rsidR="004C7E38" w:rsidRDefault="004C7E38" w:rsidP="00E11277"/>
    <w:p w:rsidR="004C7E38" w:rsidRPr="00DD59B0" w:rsidRDefault="004C7E38" w:rsidP="00E1546A">
      <w:pPr>
        <w:rPr>
          <w:lang w:val="de-DE"/>
        </w:rPr>
      </w:pPr>
      <w:r w:rsidRPr="00DD59B0">
        <w:rPr>
          <w:lang w:val="de-DE"/>
        </w:rPr>
        <w:fldChar w:fldCharType="begin"/>
      </w:r>
      <w:r w:rsidRPr="00DD59B0">
        <w:rPr>
          <w:lang w:val="de-DE"/>
        </w:rPr>
        <w:instrText xml:space="preserve"> AUTONUM  </w:instrText>
      </w:r>
      <w:r w:rsidRPr="00DD59B0">
        <w:rPr>
          <w:lang w:val="de-DE"/>
        </w:rPr>
        <w:fldChar w:fldCharType="end"/>
      </w:r>
      <w:r w:rsidRPr="00DD59B0">
        <w:rPr>
          <w:lang w:val="de-DE"/>
        </w:rPr>
        <w:tab/>
        <w:t>Es wird vorgeschlag</w:t>
      </w:r>
      <w:r>
        <w:rPr>
          <w:lang w:val="de-DE"/>
        </w:rPr>
        <w:t xml:space="preserve">en, keine </w:t>
      </w:r>
      <w:r w:rsidRPr="00DD59B0">
        <w:rPr>
          <w:lang w:val="de-DE"/>
        </w:rPr>
        <w:t xml:space="preserve">Begriffsbestimmung </w:t>
      </w:r>
      <w:r>
        <w:rPr>
          <w:lang w:val="de-DE"/>
        </w:rPr>
        <w:t>von</w:t>
      </w:r>
      <w:r w:rsidRPr="00DD59B0">
        <w:rPr>
          <w:lang w:val="de-DE"/>
        </w:rPr>
        <w:t xml:space="preserve"> „</w:t>
      </w:r>
      <w:r w:rsidRPr="00FE2C2C">
        <w:rPr>
          <w:i/>
          <w:lang w:val="de-DE"/>
        </w:rPr>
        <w:t>dot</w:t>
      </w:r>
      <w:r w:rsidR="00FE2C2C">
        <w:rPr>
          <w:i/>
          <w:lang w:val="de-DE"/>
        </w:rPr>
        <w:t>“</w:t>
      </w:r>
      <w:r>
        <w:rPr>
          <w:lang w:val="de-DE"/>
        </w:rPr>
        <w:t xml:space="preserve"> zur Aufnahme </w:t>
      </w:r>
      <w:r w:rsidR="00245216">
        <w:rPr>
          <w:lang w:val="de-DE"/>
        </w:rPr>
        <w:t>in Dokument </w:t>
      </w:r>
      <w:r w:rsidRPr="00DD59B0">
        <w:rPr>
          <w:lang w:val="de-DE"/>
        </w:rPr>
        <w:t>TGP/14 Abschnitt 2: „Botanische Begriffe, Unterabschnitt 3: Farbe</w:t>
      </w:r>
      <w:r w:rsidR="00FE2C2C">
        <w:rPr>
          <w:i/>
          <w:lang w:val="de-DE"/>
        </w:rPr>
        <w:t>“</w:t>
      </w:r>
      <w:r>
        <w:rPr>
          <w:lang w:val="de-DE"/>
        </w:rPr>
        <w:t xml:space="preserve"> zu erarbeiten.</w:t>
      </w:r>
      <w:r w:rsidRPr="00DD59B0">
        <w:rPr>
          <w:lang w:val="de-DE"/>
        </w:rPr>
        <w:t xml:space="preserve">  </w:t>
      </w:r>
    </w:p>
    <w:p w:rsidR="004C7E38" w:rsidRPr="00DD59B0" w:rsidRDefault="004C7E38" w:rsidP="00E11277">
      <w:pPr>
        <w:pStyle w:val="Header"/>
        <w:jc w:val="both"/>
        <w:rPr>
          <w:lang w:val="de-DE"/>
        </w:rPr>
      </w:pPr>
    </w:p>
    <w:p w:rsidR="004C7E38" w:rsidRPr="00DD59B0" w:rsidRDefault="004C7E38" w:rsidP="00EE5F59">
      <w:pPr>
        <w:pStyle w:val="Header"/>
        <w:ind w:left="4820"/>
        <w:jc w:val="both"/>
        <w:rPr>
          <w:i/>
          <w:lang w:val="de-DE"/>
        </w:rPr>
      </w:pPr>
      <w:r w:rsidRPr="00DD59B0">
        <w:rPr>
          <w:i/>
          <w:lang w:val="de-DE"/>
        </w:rPr>
        <w:fldChar w:fldCharType="begin"/>
      </w:r>
      <w:r w:rsidRPr="00DD59B0">
        <w:rPr>
          <w:i/>
          <w:lang w:val="de-DE"/>
        </w:rPr>
        <w:instrText xml:space="preserve"> AUTONUM  </w:instrText>
      </w:r>
      <w:r w:rsidRPr="00DD59B0">
        <w:rPr>
          <w:i/>
          <w:lang w:val="de-DE"/>
        </w:rPr>
        <w:fldChar w:fldCharType="end"/>
      </w:r>
      <w:r w:rsidRPr="00DD59B0">
        <w:rPr>
          <w:i/>
          <w:lang w:val="de-DE"/>
        </w:rPr>
        <w:tab/>
      </w:r>
      <w:r w:rsidRPr="00DD59B0">
        <w:rPr>
          <w:i/>
          <w:lang w:val="de-DE"/>
        </w:rPr>
        <w:tab/>
        <w:t>Der TC wir</w:t>
      </w:r>
      <w:r>
        <w:rPr>
          <w:i/>
          <w:lang w:val="de-DE"/>
        </w:rPr>
        <w:t xml:space="preserve">d ersucht, den Vorschlag zu prüfen, keine </w:t>
      </w:r>
      <w:r w:rsidRPr="00DD59B0">
        <w:rPr>
          <w:i/>
          <w:lang w:val="de-DE"/>
        </w:rPr>
        <w:t xml:space="preserve">Begriffsbestimmung </w:t>
      </w:r>
      <w:r>
        <w:rPr>
          <w:i/>
          <w:lang w:val="de-DE"/>
        </w:rPr>
        <w:t>von</w:t>
      </w:r>
      <w:r w:rsidRPr="00DD59B0">
        <w:rPr>
          <w:i/>
          <w:lang w:val="de-DE"/>
        </w:rPr>
        <w:t xml:space="preserve"> „</w:t>
      </w:r>
      <w:r w:rsidRPr="00FE2C2C">
        <w:rPr>
          <w:lang w:val="de-DE"/>
        </w:rPr>
        <w:t>dot</w:t>
      </w:r>
      <w:r w:rsidR="00FE2C2C">
        <w:rPr>
          <w:i/>
          <w:lang w:val="de-DE"/>
        </w:rPr>
        <w:t>“</w:t>
      </w:r>
      <w:r>
        <w:rPr>
          <w:i/>
          <w:lang w:val="de-DE"/>
        </w:rPr>
        <w:t xml:space="preserve"> für die Aufnahme</w:t>
      </w:r>
      <w:r w:rsidRPr="00DD59B0">
        <w:rPr>
          <w:i/>
          <w:lang w:val="de-DE"/>
        </w:rPr>
        <w:t xml:space="preserve"> in Dokument</w:t>
      </w:r>
      <w:r w:rsidR="00AD6FAB">
        <w:rPr>
          <w:i/>
          <w:lang w:val="de-DE"/>
        </w:rPr>
        <w:t> </w:t>
      </w:r>
      <w:r w:rsidRPr="00DD59B0">
        <w:rPr>
          <w:i/>
          <w:lang w:val="de-DE"/>
        </w:rPr>
        <w:t>TGP/14, Abschnitt 2:</w:t>
      </w:r>
      <w:r w:rsidR="00AD6FAB">
        <w:rPr>
          <w:i/>
          <w:lang w:val="de-DE"/>
        </w:rPr>
        <w:t xml:space="preserve"> </w:t>
      </w:r>
      <w:r w:rsidRPr="00DD59B0">
        <w:rPr>
          <w:i/>
          <w:lang w:val="de-DE"/>
        </w:rPr>
        <w:t>„Botanische Begriffe, Unterabschnitt 3: Farbe</w:t>
      </w:r>
      <w:r w:rsidR="00FE2C2C">
        <w:rPr>
          <w:i/>
          <w:lang w:val="de-DE"/>
        </w:rPr>
        <w:t>“</w:t>
      </w:r>
      <w:r>
        <w:rPr>
          <w:i/>
          <w:lang w:val="de-DE"/>
        </w:rPr>
        <w:t xml:space="preserve"> auszuarbeiten</w:t>
      </w:r>
      <w:r w:rsidRPr="00DD59B0">
        <w:rPr>
          <w:i/>
          <w:lang w:val="de-DE"/>
        </w:rPr>
        <w:t xml:space="preserve">.  </w:t>
      </w:r>
    </w:p>
    <w:p w:rsidR="004C7E38" w:rsidRPr="00DD59B0" w:rsidRDefault="004C7E38" w:rsidP="00480CD6">
      <w:pPr>
        <w:pStyle w:val="TOC1"/>
        <w:ind w:left="0" w:firstLine="0"/>
        <w:rPr>
          <w:i/>
          <w:snapToGrid w:val="0"/>
          <w:lang w:val="de-DE"/>
        </w:rPr>
      </w:pPr>
    </w:p>
    <w:p w:rsidR="004C7E38" w:rsidRPr="00DD59B0" w:rsidRDefault="004C7E38" w:rsidP="00050E16">
      <w:pPr>
        <w:rPr>
          <w:lang w:val="de-DE"/>
        </w:rPr>
      </w:pPr>
    </w:p>
    <w:p w:rsidR="004C7E38" w:rsidRPr="00DD59B0" w:rsidRDefault="004C7E38" w:rsidP="00050E16">
      <w:pPr>
        <w:rPr>
          <w:lang w:val="de-DE"/>
        </w:rPr>
      </w:pPr>
    </w:p>
    <w:p w:rsidR="004C7E38" w:rsidRPr="00C5280D" w:rsidRDefault="004C7E38" w:rsidP="00DD59B0">
      <w:pPr>
        <w:jc w:val="right"/>
      </w:pPr>
      <w:r w:rsidRPr="00DD59B0">
        <w:rPr>
          <w:lang w:val="de-DE"/>
        </w:rPr>
        <w:t xml:space="preserve"> </w:t>
      </w:r>
      <w:r w:rsidRPr="00C5280D">
        <w:t>[End</w:t>
      </w:r>
      <w:r>
        <w:t>e</w:t>
      </w:r>
      <w:r w:rsidRPr="00C5280D">
        <w:t xml:space="preserve"> </w:t>
      </w:r>
      <w:r>
        <w:t>des Dokuments</w:t>
      </w:r>
      <w:r w:rsidRPr="00C5280D">
        <w:t>]</w:t>
      </w:r>
    </w:p>
    <w:sectPr w:rsidR="004C7E38" w:rsidRPr="00C5280D" w:rsidSect="00906DDC">
      <w:headerReference w:type="default" r:id="rId14"/>
      <w:pgSz w:w="11907" w:h="16840" w:code="9"/>
      <w:pgMar w:top="510" w:right="1134" w:bottom="1134" w:left="1134" w:header="51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38" w:rsidRDefault="004C7E38" w:rsidP="006655D3">
      <w:r>
        <w:separator/>
      </w:r>
    </w:p>
    <w:p w:rsidR="004C7E38" w:rsidRDefault="004C7E38" w:rsidP="006655D3"/>
    <w:p w:rsidR="004C7E38" w:rsidRDefault="004C7E38" w:rsidP="006655D3"/>
  </w:endnote>
  <w:endnote w:type="continuationSeparator" w:id="0">
    <w:p w:rsidR="004C7E38" w:rsidRDefault="004C7E38" w:rsidP="006655D3">
      <w:r>
        <w:separator/>
      </w:r>
    </w:p>
    <w:p w:rsidR="004C7E38" w:rsidRPr="00E11277" w:rsidRDefault="004C7E38">
      <w:pPr>
        <w:pStyle w:val="Footer"/>
        <w:spacing w:after="60"/>
        <w:rPr>
          <w:sz w:val="18"/>
          <w:lang w:val="fr-FR"/>
        </w:rPr>
      </w:pPr>
      <w:r w:rsidRPr="00E11277">
        <w:rPr>
          <w:sz w:val="18"/>
          <w:lang w:val="fr-FR"/>
        </w:rPr>
        <w:t>[Suite de la note de la page précédente]</w:t>
      </w:r>
    </w:p>
    <w:p w:rsidR="004C7E38" w:rsidRPr="00E11277" w:rsidRDefault="004C7E38" w:rsidP="006655D3">
      <w:pPr>
        <w:rPr>
          <w:lang w:val="fr-FR"/>
        </w:rPr>
      </w:pPr>
    </w:p>
    <w:p w:rsidR="004C7E38" w:rsidRPr="00E11277" w:rsidRDefault="004C7E38" w:rsidP="006655D3">
      <w:pPr>
        <w:rPr>
          <w:lang w:val="fr-FR"/>
        </w:rPr>
      </w:pPr>
    </w:p>
  </w:endnote>
  <w:endnote w:type="continuationNotice" w:id="1">
    <w:p w:rsidR="004C7E38" w:rsidRPr="00E11277" w:rsidRDefault="004C7E38" w:rsidP="006655D3">
      <w:pPr>
        <w:rPr>
          <w:lang w:val="fr-FR"/>
        </w:rPr>
      </w:pPr>
      <w:r w:rsidRPr="00E11277">
        <w:rPr>
          <w:lang w:val="fr-FR"/>
        </w:rPr>
        <w:t>[Suite de la note page suivante]</w:t>
      </w:r>
    </w:p>
    <w:p w:rsidR="004C7E38" w:rsidRPr="00E11277" w:rsidRDefault="004C7E38" w:rsidP="006655D3">
      <w:pPr>
        <w:rPr>
          <w:lang w:val="fr-FR"/>
        </w:rPr>
      </w:pPr>
    </w:p>
    <w:p w:rsidR="004C7E38" w:rsidRPr="00E11277" w:rsidRDefault="004C7E3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38" w:rsidRDefault="004C7E38" w:rsidP="006655D3">
      <w:r>
        <w:separator/>
      </w:r>
    </w:p>
  </w:footnote>
  <w:footnote w:type="continuationSeparator" w:id="0">
    <w:p w:rsidR="004C7E38" w:rsidRDefault="004C7E38" w:rsidP="006655D3">
      <w:r>
        <w:separator/>
      </w:r>
    </w:p>
  </w:footnote>
  <w:footnote w:type="continuationNotice" w:id="1">
    <w:p w:rsidR="004C7E38" w:rsidRPr="00AB530F" w:rsidRDefault="004C7E3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E38" w:rsidRPr="00C5280D" w:rsidRDefault="004C7E3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TC/50/29</w:t>
    </w:r>
  </w:p>
  <w:p w:rsidR="004C7E38" w:rsidRPr="00C5280D" w:rsidRDefault="004C7E38" w:rsidP="00EB048E">
    <w:pPr>
      <w:pStyle w:val="Header"/>
      <w:rPr>
        <w:lang w:val="en-US"/>
      </w:rPr>
    </w:pPr>
    <w:proofErr w:type="spellStart"/>
    <w:r>
      <w:rPr>
        <w:lang w:val="en-US"/>
      </w:rPr>
      <w:t>Seite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40993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4C7E38" w:rsidRPr="00C5280D" w:rsidRDefault="004C7E38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026"/>
    <w:rsid w:val="00005259"/>
    <w:rsid w:val="00010CF3"/>
    <w:rsid w:val="00011E27"/>
    <w:rsid w:val="000148BC"/>
    <w:rsid w:val="0001508D"/>
    <w:rsid w:val="00024AB8"/>
    <w:rsid w:val="000300BD"/>
    <w:rsid w:val="00030854"/>
    <w:rsid w:val="000310F8"/>
    <w:rsid w:val="00036028"/>
    <w:rsid w:val="00041E49"/>
    <w:rsid w:val="00044642"/>
    <w:rsid w:val="000446B9"/>
    <w:rsid w:val="00047E21"/>
    <w:rsid w:val="00050E16"/>
    <w:rsid w:val="00085505"/>
    <w:rsid w:val="00091EA9"/>
    <w:rsid w:val="000A7E4E"/>
    <w:rsid w:val="000C6B68"/>
    <w:rsid w:val="000C7021"/>
    <w:rsid w:val="000D6BBC"/>
    <w:rsid w:val="000D7780"/>
    <w:rsid w:val="000F2F11"/>
    <w:rsid w:val="00100526"/>
    <w:rsid w:val="00105929"/>
    <w:rsid w:val="001131D5"/>
    <w:rsid w:val="00141DB8"/>
    <w:rsid w:val="0017474A"/>
    <w:rsid w:val="001758C6"/>
    <w:rsid w:val="00182B99"/>
    <w:rsid w:val="00191864"/>
    <w:rsid w:val="001D18FF"/>
    <w:rsid w:val="0021332C"/>
    <w:rsid w:val="00213982"/>
    <w:rsid w:val="002243BA"/>
    <w:rsid w:val="00232247"/>
    <w:rsid w:val="0024416D"/>
    <w:rsid w:val="00245216"/>
    <w:rsid w:val="002627AC"/>
    <w:rsid w:val="00270CCC"/>
    <w:rsid w:val="00271911"/>
    <w:rsid w:val="00273B06"/>
    <w:rsid w:val="002800A0"/>
    <w:rsid w:val="002801B3"/>
    <w:rsid w:val="00281060"/>
    <w:rsid w:val="002940E8"/>
    <w:rsid w:val="002A6E50"/>
    <w:rsid w:val="002C256A"/>
    <w:rsid w:val="002E077B"/>
    <w:rsid w:val="00305A7F"/>
    <w:rsid w:val="003152FE"/>
    <w:rsid w:val="00327436"/>
    <w:rsid w:val="00344BD6"/>
    <w:rsid w:val="00350BD7"/>
    <w:rsid w:val="0035516C"/>
    <w:rsid w:val="0035528D"/>
    <w:rsid w:val="00361821"/>
    <w:rsid w:val="00383797"/>
    <w:rsid w:val="00384B1D"/>
    <w:rsid w:val="00387A5E"/>
    <w:rsid w:val="003A0F37"/>
    <w:rsid w:val="003A5CCB"/>
    <w:rsid w:val="003D227C"/>
    <w:rsid w:val="003D2B4D"/>
    <w:rsid w:val="003D79E9"/>
    <w:rsid w:val="003F2CDD"/>
    <w:rsid w:val="0040560D"/>
    <w:rsid w:val="004433C9"/>
    <w:rsid w:val="00444A88"/>
    <w:rsid w:val="0046224D"/>
    <w:rsid w:val="00474DA4"/>
    <w:rsid w:val="00476B4D"/>
    <w:rsid w:val="004805FA"/>
    <w:rsid w:val="00480CD6"/>
    <w:rsid w:val="004812A6"/>
    <w:rsid w:val="004826F7"/>
    <w:rsid w:val="00485DA6"/>
    <w:rsid w:val="004A1DAE"/>
    <w:rsid w:val="004B0D55"/>
    <w:rsid w:val="004B1754"/>
    <w:rsid w:val="004C7E38"/>
    <w:rsid w:val="004D047D"/>
    <w:rsid w:val="004E605F"/>
    <w:rsid w:val="004F305A"/>
    <w:rsid w:val="004F679E"/>
    <w:rsid w:val="00500A68"/>
    <w:rsid w:val="00512164"/>
    <w:rsid w:val="00520297"/>
    <w:rsid w:val="00532695"/>
    <w:rsid w:val="00532D48"/>
    <w:rsid w:val="005338F9"/>
    <w:rsid w:val="0054281C"/>
    <w:rsid w:val="00542F6F"/>
    <w:rsid w:val="0055268D"/>
    <w:rsid w:val="005729FD"/>
    <w:rsid w:val="00576BE4"/>
    <w:rsid w:val="005834CB"/>
    <w:rsid w:val="005A400A"/>
    <w:rsid w:val="005B3482"/>
    <w:rsid w:val="00612379"/>
    <w:rsid w:val="0061555F"/>
    <w:rsid w:val="00617FB0"/>
    <w:rsid w:val="00641200"/>
    <w:rsid w:val="00664955"/>
    <w:rsid w:val="006655D3"/>
    <w:rsid w:val="00667404"/>
    <w:rsid w:val="00677863"/>
    <w:rsid w:val="00687EB4"/>
    <w:rsid w:val="00693138"/>
    <w:rsid w:val="006B17D2"/>
    <w:rsid w:val="006C2076"/>
    <w:rsid w:val="006C224E"/>
    <w:rsid w:val="006C4799"/>
    <w:rsid w:val="006C5852"/>
    <w:rsid w:val="006D780A"/>
    <w:rsid w:val="007107A8"/>
    <w:rsid w:val="00732DEC"/>
    <w:rsid w:val="00735BD5"/>
    <w:rsid w:val="007556F6"/>
    <w:rsid w:val="00760EEF"/>
    <w:rsid w:val="00777EE5"/>
    <w:rsid w:val="00784836"/>
    <w:rsid w:val="0079023E"/>
    <w:rsid w:val="007A2854"/>
    <w:rsid w:val="007B18B4"/>
    <w:rsid w:val="007C3E1F"/>
    <w:rsid w:val="007D0B9D"/>
    <w:rsid w:val="007D19B0"/>
    <w:rsid w:val="007D62EE"/>
    <w:rsid w:val="007F498F"/>
    <w:rsid w:val="008009AC"/>
    <w:rsid w:val="0080679D"/>
    <w:rsid w:val="008108B0"/>
    <w:rsid w:val="00811B20"/>
    <w:rsid w:val="00812EA9"/>
    <w:rsid w:val="0082296E"/>
    <w:rsid w:val="00824099"/>
    <w:rsid w:val="008453AE"/>
    <w:rsid w:val="008619E8"/>
    <w:rsid w:val="00867AC1"/>
    <w:rsid w:val="00886E4A"/>
    <w:rsid w:val="008A52D9"/>
    <w:rsid w:val="008A743F"/>
    <w:rsid w:val="008C0970"/>
    <w:rsid w:val="008D2CF7"/>
    <w:rsid w:val="00900C26"/>
    <w:rsid w:val="0090197F"/>
    <w:rsid w:val="00901EED"/>
    <w:rsid w:val="00906DDC"/>
    <w:rsid w:val="00934E09"/>
    <w:rsid w:val="00936253"/>
    <w:rsid w:val="009465D5"/>
    <w:rsid w:val="00952DD4"/>
    <w:rsid w:val="00970FED"/>
    <w:rsid w:val="00992D82"/>
    <w:rsid w:val="00997029"/>
    <w:rsid w:val="00997937"/>
    <w:rsid w:val="009A001E"/>
    <w:rsid w:val="009A242C"/>
    <w:rsid w:val="009A5B67"/>
    <w:rsid w:val="009C4296"/>
    <w:rsid w:val="009D1BBF"/>
    <w:rsid w:val="009D690D"/>
    <w:rsid w:val="009E4F78"/>
    <w:rsid w:val="009E65B6"/>
    <w:rsid w:val="00A24C10"/>
    <w:rsid w:val="00A42AC3"/>
    <w:rsid w:val="00A430CF"/>
    <w:rsid w:val="00A43DDF"/>
    <w:rsid w:val="00A54309"/>
    <w:rsid w:val="00A6257D"/>
    <w:rsid w:val="00A80E0F"/>
    <w:rsid w:val="00AB2B93"/>
    <w:rsid w:val="00AB530F"/>
    <w:rsid w:val="00AB7E5B"/>
    <w:rsid w:val="00AD6FAB"/>
    <w:rsid w:val="00AE0EF1"/>
    <w:rsid w:val="00AE2937"/>
    <w:rsid w:val="00B07301"/>
    <w:rsid w:val="00B224DE"/>
    <w:rsid w:val="00B46575"/>
    <w:rsid w:val="00B84BBD"/>
    <w:rsid w:val="00BA43FB"/>
    <w:rsid w:val="00BC041B"/>
    <w:rsid w:val="00BC127D"/>
    <w:rsid w:val="00BC1FE6"/>
    <w:rsid w:val="00BD25F6"/>
    <w:rsid w:val="00C003ED"/>
    <w:rsid w:val="00C02FA8"/>
    <w:rsid w:val="00C04B6F"/>
    <w:rsid w:val="00C061B6"/>
    <w:rsid w:val="00C20E9B"/>
    <w:rsid w:val="00C24147"/>
    <w:rsid w:val="00C2446C"/>
    <w:rsid w:val="00C323CF"/>
    <w:rsid w:val="00C33A55"/>
    <w:rsid w:val="00C36AE5"/>
    <w:rsid w:val="00C40993"/>
    <w:rsid w:val="00C41F17"/>
    <w:rsid w:val="00C462DD"/>
    <w:rsid w:val="00C5280D"/>
    <w:rsid w:val="00C5791C"/>
    <w:rsid w:val="00C66290"/>
    <w:rsid w:val="00C70841"/>
    <w:rsid w:val="00C712AE"/>
    <w:rsid w:val="00C72B7A"/>
    <w:rsid w:val="00C947B6"/>
    <w:rsid w:val="00C973F2"/>
    <w:rsid w:val="00CA304C"/>
    <w:rsid w:val="00CA774A"/>
    <w:rsid w:val="00CB1D49"/>
    <w:rsid w:val="00CC11B0"/>
    <w:rsid w:val="00CF7E36"/>
    <w:rsid w:val="00D03026"/>
    <w:rsid w:val="00D05DD1"/>
    <w:rsid w:val="00D2170F"/>
    <w:rsid w:val="00D21EFF"/>
    <w:rsid w:val="00D3708D"/>
    <w:rsid w:val="00D40426"/>
    <w:rsid w:val="00D43168"/>
    <w:rsid w:val="00D57C96"/>
    <w:rsid w:val="00D91203"/>
    <w:rsid w:val="00D91EBF"/>
    <w:rsid w:val="00D95174"/>
    <w:rsid w:val="00DA6F36"/>
    <w:rsid w:val="00DB596E"/>
    <w:rsid w:val="00DB7773"/>
    <w:rsid w:val="00DC00EA"/>
    <w:rsid w:val="00DC6E64"/>
    <w:rsid w:val="00DD18D2"/>
    <w:rsid w:val="00DD59B0"/>
    <w:rsid w:val="00E00CCE"/>
    <w:rsid w:val="00E11277"/>
    <w:rsid w:val="00E1546A"/>
    <w:rsid w:val="00E213AC"/>
    <w:rsid w:val="00E32F7E"/>
    <w:rsid w:val="00E36C4B"/>
    <w:rsid w:val="00E52038"/>
    <w:rsid w:val="00E72D49"/>
    <w:rsid w:val="00E7593C"/>
    <w:rsid w:val="00E7678A"/>
    <w:rsid w:val="00E934CE"/>
    <w:rsid w:val="00E935F1"/>
    <w:rsid w:val="00E94A81"/>
    <w:rsid w:val="00EA0D23"/>
    <w:rsid w:val="00EA1FFB"/>
    <w:rsid w:val="00EB048E"/>
    <w:rsid w:val="00ED524B"/>
    <w:rsid w:val="00EE34DF"/>
    <w:rsid w:val="00EE5F59"/>
    <w:rsid w:val="00EF2F89"/>
    <w:rsid w:val="00F1237A"/>
    <w:rsid w:val="00F22CBD"/>
    <w:rsid w:val="00F23F10"/>
    <w:rsid w:val="00F45372"/>
    <w:rsid w:val="00F560F7"/>
    <w:rsid w:val="00F6334D"/>
    <w:rsid w:val="00FA49AB"/>
    <w:rsid w:val="00FD292C"/>
    <w:rsid w:val="00FE0A59"/>
    <w:rsid w:val="00FE2C2C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6C5852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805F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4805FA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4805FA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4805FA"/>
    <w:pPr>
      <w:keepNext/>
      <w:ind w:left="1134" w:hanging="567"/>
      <w:outlineLvl w:val="4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5852"/>
    <w:rPr>
      <w:rFonts w:ascii="Arial" w:hAnsi="Arial" w:cs="Times New Roman"/>
      <w:caps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5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5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57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57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573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AE2937"/>
    <w:pPr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1277"/>
    <w:rPr>
      <w:rFonts w:ascii="Arial" w:hAnsi="Arial" w:cs="Times New Roman"/>
      <w:lang w:val="fr-FR" w:eastAsia="en-US" w:bidi="ar-SA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9D690D"/>
    <w:rPr>
      <w:sz w:val="1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rsid w:val="00472573"/>
    <w:rPr>
      <w:rFonts w:ascii="Arial" w:hAnsi="Arial"/>
      <w:sz w:val="20"/>
      <w:szCs w:val="20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uiPriority w:val="10"/>
    <w:rsid w:val="004725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basedOn w:val="Normal"/>
    <w:link w:val="FootnoteTextChar"/>
    <w:autoRedefine/>
    <w:uiPriority w:val="99"/>
    <w:rsid w:val="009D690D"/>
    <w:pPr>
      <w:spacing w:before="60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573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rFonts w:cs="Times New Roman"/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2573"/>
    <w:rPr>
      <w:rFonts w:ascii="Arial" w:hAnsi="Arial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2573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2573"/>
    <w:rPr>
      <w:rFonts w:ascii="Arial" w:hAnsi="Arial"/>
      <w:sz w:val="20"/>
      <w:szCs w:val="20"/>
    </w:r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 w:cs="Times New Roman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D3708D"/>
  </w:style>
  <w:style w:type="character" w:customStyle="1" w:styleId="BodyTextChar">
    <w:name w:val="Body Text Char"/>
    <w:basedOn w:val="DefaultParagraphFont"/>
    <w:link w:val="BodyText"/>
    <w:uiPriority w:val="99"/>
    <w:semiHidden/>
    <w:rsid w:val="00472573"/>
    <w:rPr>
      <w:rFonts w:ascii="Arial" w:hAnsi="Arial"/>
      <w:sz w:val="20"/>
      <w:szCs w:val="2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2573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3708D"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472573"/>
    <w:rPr>
      <w:rFonts w:ascii="Arial" w:hAnsi="Arial"/>
      <w:sz w:val="20"/>
      <w:szCs w:val="20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AB530F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AB530F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AB530F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locked/>
    <w:rsid w:val="00D3708D"/>
    <w:rPr>
      <w:rFonts w:ascii="Arial" w:hAnsi="Arial" w:cs="Times New Roman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uiPriority w:val="99"/>
    <w:rsid w:val="00E32F7E"/>
    <w:pPr>
      <w:spacing w:before="480"/>
      <w:ind w:left="567" w:hanging="567"/>
      <w:jc w:val="right"/>
    </w:pPr>
    <w:rPr>
      <w:rFonts w:ascii="Arial" w:hAnsi="Arial"/>
      <w:sz w:val="20"/>
      <w:szCs w:val="20"/>
    </w:rPr>
  </w:style>
  <w:style w:type="character" w:customStyle="1" w:styleId="DocoriginalChar">
    <w:name w:val="Doc_original Char"/>
    <w:basedOn w:val="CodeChar"/>
    <w:link w:val="Docoriginal"/>
    <w:uiPriority w:val="99"/>
    <w:locked/>
    <w:rsid w:val="00612379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locked/>
    <w:rsid w:val="00D3708D"/>
    <w:rPr>
      <w:rFonts w:ascii="Arial" w:hAnsi="Arial" w:cs="Times New Roman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locked/>
    <w:rsid w:val="00D3708D"/>
    <w:rPr>
      <w:rFonts w:ascii="Arial" w:hAnsi="Arial" w:cs="Times New Roman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locked/>
    <w:rsid w:val="00281060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 w:cs="Times New Roman"/>
      <w:b/>
      <w:bCs/>
      <w:sz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  <w:jc w:val="left"/>
    </w:pPr>
    <w:rPr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 w:cs="Times New Roman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1D18FF"/>
    <w:pPr>
      <w:tabs>
        <w:tab w:val="right" w:leader="dot" w:pos="9639"/>
      </w:tabs>
      <w:spacing w:before="120"/>
      <w:ind w:left="1152" w:hanging="576"/>
      <w:jc w:val="left"/>
    </w:pPr>
    <w:rPr>
      <w:caps/>
    </w:rPr>
  </w:style>
  <w:style w:type="paragraph" w:styleId="TOC5">
    <w:name w:val="toc 5"/>
    <w:basedOn w:val="Normal"/>
    <w:next w:val="Normal"/>
    <w:autoRedefine/>
    <w:uiPriority w:val="99"/>
    <w:semiHidden/>
    <w:rsid w:val="00C72B7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7191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E11277"/>
    <w:pPr>
      <w:keepLines/>
      <w:spacing w:before="480"/>
      <w:outlineLvl w:val="9"/>
    </w:pPr>
    <w:rPr>
      <w:rFonts w:ascii="Cambria" w:hAnsi="Cambria"/>
      <w:b/>
      <w:bCs/>
      <w:caps w:val="0"/>
      <w:color w:val="365F91"/>
      <w:sz w:val="28"/>
      <w:szCs w:val="28"/>
    </w:rPr>
  </w:style>
  <w:style w:type="paragraph" w:customStyle="1" w:styleId="Normalt">
    <w:name w:val="Normalt"/>
    <w:basedOn w:val="Normal"/>
    <w:uiPriority w:val="99"/>
    <w:rsid w:val="00E11277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uiPriority w:val="99"/>
    <w:rsid w:val="00E11277"/>
    <w:pPr>
      <w:keepNext/>
    </w:pPr>
    <w:rPr>
      <w:b/>
    </w:rPr>
  </w:style>
  <w:style w:type="paragraph" w:customStyle="1" w:styleId="Normaltg">
    <w:name w:val="Normaltg"/>
    <w:basedOn w:val="Normal"/>
    <w:uiPriority w:val="99"/>
    <w:rsid w:val="00E11277"/>
    <w:pPr>
      <w:tabs>
        <w:tab w:val="left" w:pos="709"/>
        <w:tab w:val="left" w:pos="1418"/>
      </w:tabs>
    </w:pPr>
    <w:rPr>
      <w:rFonts w:ascii="Times New Roman" w:hAnsi="Times New Roman"/>
      <w:sz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0\templates\tc_5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C80AB-0D29-4C12-9DC6-88F68088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tc_50_EN</Template>
  <TotalTime>61</TotalTime>
  <Pages>4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tc_5_xx_xxx</vt:lpstr>
    </vt:vector>
  </TitlesOfParts>
  <Company>UPOV</Company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subject/>
  <dc:creator>FAVA Alexandra</dc:creator>
  <cp:keywords/>
  <dc:description/>
  <cp:lastModifiedBy>LONG Victoria</cp:lastModifiedBy>
  <cp:revision>18</cp:revision>
  <cp:lastPrinted>2014-02-14T15:15:00Z</cp:lastPrinted>
  <dcterms:created xsi:type="dcterms:W3CDTF">2014-01-31T10:31:00Z</dcterms:created>
  <dcterms:modified xsi:type="dcterms:W3CDTF">2014-02-14T15:16:00Z</dcterms:modified>
</cp:coreProperties>
</file>