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21</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22282D" w:rsidP="0022282D">
            <w:pPr>
              <w:pStyle w:val="Docoriginal"/>
            </w:pPr>
            <w:r>
              <w:rPr>
                <w:spacing w:val="0"/>
              </w:rPr>
              <w:t>DATUM:</w:t>
            </w:r>
            <w:r w:rsidR="000D7780">
              <w:rPr>
                <w:rStyle w:val="StyleDocoriginalNotBold1"/>
                <w:spacing w:val="0"/>
              </w:rPr>
              <w:t xml:space="preserve"> </w:t>
            </w:r>
            <w:bookmarkStart w:id="2" w:name="Date"/>
            <w:bookmarkEnd w:id="2"/>
            <w:r w:rsidR="000D7780" w:rsidRPr="0022282D">
              <w:rPr>
                <w:b w:val="0"/>
                <w:spacing w:val="0"/>
              </w:rPr>
              <w:t>2</w:t>
            </w:r>
            <w:r w:rsidRPr="0022282D">
              <w:rPr>
                <w:b w:val="0"/>
                <w:spacing w:val="0"/>
              </w:rPr>
              <w:t>8</w:t>
            </w:r>
            <w:r w:rsidR="000D7780" w:rsidRPr="0022282D">
              <w:rPr>
                <w:b w:val="0"/>
                <w:spacing w:val="0"/>
              </w:rPr>
              <w:t>.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32418F"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5280D" w:rsidRDefault="00277E2D" w:rsidP="006655D3">
      <w:pPr>
        <w:pStyle w:val="Titleofdoc0"/>
      </w:pPr>
      <w:bookmarkStart w:id="3" w:name="TitleOfDoc"/>
      <w:bookmarkEnd w:id="3"/>
      <w:r>
        <w:t>Überarbeitung von Dokument TGP/8: Teil I: DUS-Prüfungsanlage und Datenanalyse,</w:t>
      </w:r>
      <w:r>
        <w:br/>
        <w:t xml:space="preserve"> Neuer Abschnitt: Minimierung der Variation infolge verschiedener Erfasser</w:t>
      </w:r>
    </w:p>
    <w:p w:rsidR="00050E16" w:rsidRPr="00C5280D" w:rsidRDefault="00AE0EF1" w:rsidP="00050E16">
      <w:pPr>
        <w:pStyle w:val="preparedby1"/>
      </w:pPr>
      <w:bookmarkStart w:id="4" w:name="Prepared"/>
      <w:bookmarkEnd w:id="4"/>
      <w:r>
        <w:t>vom Verbandsbüro erstelltes Dokument</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tab/>
        <w:t>Zweck dieses Dokuments ist es, einen Entwurf für einen neuen Abschnitt für Dokument TGP/8 Teil I: DUS-Prüfungsanlage und Datenanalyse, über „Minimierung der Variation infolge verschiedener Erfasser“ darzulegen.</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tab/>
        <w:t>In diesem Dokument werden folgende Abkürzungen verwendet:</w:t>
      </w:r>
    </w:p>
    <w:p w:rsidR="00704EB7" w:rsidRPr="00791943" w:rsidRDefault="00704EB7" w:rsidP="00704EB7"/>
    <w:p w:rsidR="00704EB7" w:rsidRPr="00791943" w:rsidRDefault="00704EB7" w:rsidP="00704EB7">
      <w:pPr>
        <w:ind w:left="1701" w:hanging="981"/>
      </w:pPr>
      <w:r>
        <w:t xml:space="preserve">CAJ  </w:t>
      </w:r>
      <w:r>
        <w:tab/>
        <w:t xml:space="preserve">Verwaltungs- und </w:t>
      </w:r>
      <w:proofErr w:type="spellStart"/>
      <w:r>
        <w:t>Rechtsausschuß</w:t>
      </w:r>
      <w:proofErr w:type="spellEnd"/>
      <w:r>
        <w:t xml:space="preserve"> </w:t>
      </w:r>
    </w:p>
    <w:p w:rsidR="00704EB7" w:rsidRPr="00791943" w:rsidRDefault="00704EB7" w:rsidP="00704EB7">
      <w:pPr>
        <w:ind w:left="1701" w:hanging="981"/>
      </w:pPr>
      <w:r>
        <w:t xml:space="preserve">TC:  </w:t>
      </w:r>
      <w:r>
        <w:tab/>
        <w:t xml:space="preserve">Technischer </w:t>
      </w:r>
      <w:proofErr w:type="spellStart"/>
      <w:r>
        <w:t>Ausschuß</w:t>
      </w:r>
      <w:proofErr w:type="spellEnd"/>
    </w:p>
    <w:p w:rsidR="00704EB7" w:rsidRPr="00791943" w:rsidRDefault="00704EB7" w:rsidP="00704EB7">
      <w:pPr>
        <w:ind w:left="1701" w:hanging="981"/>
      </w:pPr>
      <w:r>
        <w:t xml:space="preserve">TC-EDC:  </w:t>
      </w:r>
      <w:r>
        <w:tab/>
        <w:t xml:space="preserve">Erweiterter </w:t>
      </w:r>
      <w:proofErr w:type="spellStart"/>
      <w:r>
        <w:t>Redaktionsausschuß</w:t>
      </w:r>
      <w:proofErr w:type="spellEnd"/>
    </w:p>
    <w:p w:rsidR="00704EB7" w:rsidRPr="00791943" w:rsidRDefault="00704EB7" w:rsidP="00704EB7">
      <w:pPr>
        <w:ind w:left="1701" w:hanging="981"/>
      </w:pPr>
      <w:r>
        <w:t xml:space="preserve">TWA:  </w:t>
      </w:r>
      <w:r>
        <w:tab/>
        <w:t>Technische Arbeitsgruppe für landwirtschaftliche Arten</w:t>
      </w:r>
    </w:p>
    <w:p w:rsidR="00704EB7" w:rsidRPr="00791943" w:rsidRDefault="00704EB7" w:rsidP="00704EB7">
      <w:pPr>
        <w:ind w:left="1701" w:hanging="981"/>
      </w:pPr>
      <w:r>
        <w:t xml:space="preserve">TWC:  </w:t>
      </w:r>
      <w:r>
        <w:tab/>
        <w:t>Technische Arbeitsgruppe für Automatisierung und Computerprogramme</w:t>
      </w:r>
    </w:p>
    <w:p w:rsidR="00704EB7" w:rsidRPr="00791943" w:rsidRDefault="00704EB7" w:rsidP="00704EB7">
      <w:pPr>
        <w:ind w:left="1701" w:hanging="981"/>
      </w:pPr>
      <w:r>
        <w:t xml:space="preserve">TWF:  </w:t>
      </w:r>
      <w:r>
        <w:tab/>
        <w:t xml:space="preserve">Technische Arbeitsgruppe für Obstarten </w:t>
      </w:r>
    </w:p>
    <w:p w:rsidR="00704EB7" w:rsidRPr="00791943" w:rsidRDefault="00704EB7" w:rsidP="00704EB7">
      <w:pPr>
        <w:ind w:left="1701" w:hanging="981"/>
      </w:pPr>
      <w:r>
        <w:t xml:space="preserve">TWO:  </w:t>
      </w:r>
      <w:r>
        <w:tab/>
        <w:t xml:space="preserve">Technische Arbeitsgruppe für Zierpflanzen und forstliche Baumarten </w:t>
      </w:r>
    </w:p>
    <w:p w:rsidR="00704EB7" w:rsidRPr="00791943" w:rsidRDefault="00704EB7" w:rsidP="00704EB7">
      <w:pPr>
        <w:ind w:left="1701" w:hanging="981"/>
      </w:pPr>
      <w:r>
        <w:t>TWP:</w:t>
      </w:r>
      <w:r>
        <w:tab/>
        <w:t>Technische Arbeitsgruppen</w:t>
      </w:r>
    </w:p>
    <w:p w:rsidR="00704EB7" w:rsidRDefault="00704EB7" w:rsidP="00704EB7">
      <w:pPr>
        <w:ind w:left="1701" w:hanging="981"/>
      </w:pPr>
      <w:r>
        <w:t xml:space="preserve">TWV:  </w:t>
      </w:r>
      <w:r>
        <w:tab/>
        <w:t>Technische Arbeitsgruppe für Gemüsearten</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tab/>
        <w:t>Der Aufbau dieses Dokuments ist wie folgt:</w:t>
      </w:r>
    </w:p>
    <w:p w:rsidR="00704EB7" w:rsidRPr="00791943" w:rsidRDefault="00704EB7" w:rsidP="00704EB7">
      <w:pPr>
        <w:rPr>
          <w:snapToGrid w:val="0"/>
        </w:rPr>
      </w:pPr>
    </w:p>
    <w:p w:rsidR="0059529B" w:rsidRDefault="00704EB7">
      <w:pPr>
        <w:pStyle w:val="TOC1"/>
        <w:rPr>
          <w:rFonts w:asciiTheme="minorHAnsi" w:eastAsiaTheme="minorEastAsia" w:hAnsiTheme="minorHAnsi" w:cstheme="minorBidi"/>
          <w:caps w:val="0"/>
          <w:noProof/>
          <w:sz w:val="22"/>
          <w:szCs w:val="22"/>
          <w:lang w:val="en-US" w:eastAsia="en-US" w:bidi="ar-SA"/>
        </w:rPr>
      </w:pPr>
      <w:r w:rsidRPr="008B2341">
        <w:rPr>
          <w:noProof/>
        </w:rPr>
        <w:fldChar w:fldCharType="begin"/>
      </w:r>
      <w:r w:rsidRPr="008B2341">
        <w:instrText xml:space="preserve"> TOC \o "1-3" \h \z \u </w:instrText>
      </w:r>
      <w:r w:rsidRPr="008B2341">
        <w:rPr>
          <w:noProof/>
        </w:rPr>
        <w:fldChar w:fldCharType="separate"/>
      </w:r>
      <w:hyperlink w:anchor="_Toc379979589" w:history="1">
        <w:r w:rsidR="0059529B" w:rsidRPr="00F861DD">
          <w:rPr>
            <w:rStyle w:val="Hyperlink"/>
            <w:noProof/>
          </w:rPr>
          <w:t>Hintergrund</w:t>
        </w:r>
        <w:r w:rsidR="0059529B">
          <w:rPr>
            <w:noProof/>
            <w:webHidden/>
          </w:rPr>
          <w:tab/>
        </w:r>
        <w:r w:rsidR="0059529B">
          <w:rPr>
            <w:noProof/>
            <w:webHidden/>
          </w:rPr>
          <w:fldChar w:fldCharType="begin"/>
        </w:r>
        <w:r w:rsidR="0059529B">
          <w:rPr>
            <w:noProof/>
            <w:webHidden/>
          </w:rPr>
          <w:instrText xml:space="preserve"> PAGEREF _Toc379979589 \h </w:instrText>
        </w:r>
        <w:r w:rsidR="0059529B">
          <w:rPr>
            <w:noProof/>
            <w:webHidden/>
          </w:rPr>
        </w:r>
        <w:r w:rsidR="0059529B">
          <w:rPr>
            <w:noProof/>
            <w:webHidden/>
          </w:rPr>
          <w:fldChar w:fldCharType="separate"/>
        </w:r>
        <w:r w:rsidR="0059529B">
          <w:rPr>
            <w:noProof/>
            <w:webHidden/>
          </w:rPr>
          <w:t>2</w:t>
        </w:r>
        <w:r w:rsidR="0059529B">
          <w:rPr>
            <w:noProof/>
            <w:webHidden/>
          </w:rPr>
          <w:fldChar w:fldCharType="end"/>
        </w:r>
      </w:hyperlink>
    </w:p>
    <w:p w:rsidR="0059529B" w:rsidRDefault="0059529B">
      <w:pPr>
        <w:pStyle w:val="TOC1"/>
        <w:rPr>
          <w:rFonts w:asciiTheme="minorHAnsi" w:eastAsiaTheme="minorEastAsia" w:hAnsiTheme="minorHAnsi" w:cstheme="minorBidi"/>
          <w:caps w:val="0"/>
          <w:noProof/>
          <w:sz w:val="22"/>
          <w:szCs w:val="22"/>
          <w:lang w:val="en-US" w:eastAsia="en-US" w:bidi="ar-SA"/>
        </w:rPr>
      </w:pPr>
      <w:hyperlink w:anchor="_Toc379979590" w:history="1">
        <w:r w:rsidRPr="00F861DD">
          <w:rPr>
            <w:rStyle w:val="Hyperlink"/>
            <w:noProof/>
          </w:rPr>
          <w:t>Entwicklungen im Jahr 2012</w:t>
        </w:r>
        <w:r>
          <w:rPr>
            <w:noProof/>
            <w:webHidden/>
          </w:rPr>
          <w:tab/>
        </w:r>
        <w:r>
          <w:rPr>
            <w:noProof/>
            <w:webHidden/>
          </w:rPr>
          <w:fldChar w:fldCharType="begin"/>
        </w:r>
        <w:r>
          <w:rPr>
            <w:noProof/>
            <w:webHidden/>
          </w:rPr>
          <w:instrText xml:space="preserve"> PAGEREF _Toc379979590 \h </w:instrText>
        </w:r>
        <w:r>
          <w:rPr>
            <w:noProof/>
            <w:webHidden/>
          </w:rPr>
        </w:r>
        <w:r>
          <w:rPr>
            <w:noProof/>
            <w:webHidden/>
          </w:rPr>
          <w:fldChar w:fldCharType="separate"/>
        </w:r>
        <w:r>
          <w:rPr>
            <w:noProof/>
            <w:webHidden/>
          </w:rPr>
          <w:t>2</w:t>
        </w:r>
        <w:r>
          <w:rPr>
            <w:noProof/>
            <w:webHidden/>
          </w:rPr>
          <w:fldChar w:fldCharType="end"/>
        </w:r>
      </w:hyperlink>
    </w:p>
    <w:p w:rsidR="0059529B" w:rsidRDefault="0059529B">
      <w:pPr>
        <w:pStyle w:val="TOC2"/>
        <w:rPr>
          <w:rFonts w:asciiTheme="minorHAnsi" w:eastAsiaTheme="minorEastAsia" w:hAnsiTheme="minorHAnsi" w:cstheme="minorBidi"/>
          <w:smallCaps w:val="0"/>
          <w:noProof/>
          <w:sz w:val="22"/>
          <w:szCs w:val="22"/>
          <w:lang w:val="en-US" w:eastAsia="en-US" w:bidi="ar-SA"/>
        </w:rPr>
      </w:pPr>
      <w:hyperlink w:anchor="_Toc379979591" w:history="1">
        <w:r w:rsidRPr="00F861DD">
          <w:rPr>
            <w:rStyle w:val="Hyperlink"/>
            <w:noProof/>
          </w:rPr>
          <w:t>Technischer Ausschuß</w:t>
        </w:r>
        <w:r>
          <w:rPr>
            <w:noProof/>
            <w:webHidden/>
          </w:rPr>
          <w:tab/>
        </w:r>
        <w:r>
          <w:rPr>
            <w:noProof/>
            <w:webHidden/>
          </w:rPr>
          <w:fldChar w:fldCharType="begin"/>
        </w:r>
        <w:r>
          <w:rPr>
            <w:noProof/>
            <w:webHidden/>
          </w:rPr>
          <w:instrText xml:space="preserve"> PAGEREF _Toc379979591 \h </w:instrText>
        </w:r>
        <w:r>
          <w:rPr>
            <w:noProof/>
            <w:webHidden/>
          </w:rPr>
        </w:r>
        <w:r>
          <w:rPr>
            <w:noProof/>
            <w:webHidden/>
          </w:rPr>
          <w:fldChar w:fldCharType="separate"/>
        </w:r>
        <w:r>
          <w:rPr>
            <w:noProof/>
            <w:webHidden/>
          </w:rPr>
          <w:t>2</w:t>
        </w:r>
        <w:r>
          <w:rPr>
            <w:noProof/>
            <w:webHidden/>
          </w:rPr>
          <w:fldChar w:fldCharType="end"/>
        </w:r>
      </w:hyperlink>
    </w:p>
    <w:p w:rsidR="0059529B" w:rsidRDefault="0059529B">
      <w:pPr>
        <w:pStyle w:val="TOC2"/>
        <w:rPr>
          <w:rStyle w:val="Hyperlink"/>
          <w:noProof/>
        </w:rPr>
      </w:pPr>
      <w:hyperlink w:anchor="_Toc379979592" w:history="1">
        <w:r w:rsidRPr="00F861DD">
          <w:rPr>
            <w:rStyle w:val="Hyperlink"/>
            <w:noProof/>
          </w:rPr>
          <w:t>Technische Arbeitsgruppen</w:t>
        </w:r>
        <w:r>
          <w:rPr>
            <w:noProof/>
            <w:webHidden/>
          </w:rPr>
          <w:tab/>
        </w:r>
        <w:r>
          <w:rPr>
            <w:noProof/>
            <w:webHidden/>
          </w:rPr>
          <w:fldChar w:fldCharType="begin"/>
        </w:r>
        <w:r>
          <w:rPr>
            <w:noProof/>
            <w:webHidden/>
          </w:rPr>
          <w:instrText xml:space="preserve"> PAGEREF _Toc379979592 \h </w:instrText>
        </w:r>
        <w:r>
          <w:rPr>
            <w:noProof/>
            <w:webHidden/>
          </w:rPr>
        </w:r>
        <w:r>
          <w:rPr>
            <w:noProof/>
            <w:webHidden/>
          </w:rPr>
          <w:fldChar w:fldCharType="separate"/>
        </w:r>
        <w:r>
          <w:rPr>
            <w:noProof/>
            <w:webHidden/>
          </w:rPr>
          <w:t>2</w:t>
        </w:r>
        <w:r>
          <w:rPr>
            <w:noProof/>
            <w:webHidden/>
          </w:rPr>
          <w:fldChar w:fldCharType="end"/>
        </w:r>
      </w:hyperlink>
    </w:p>
    <w:p w:rsidR="0059529B" w:rsidRPr="0059529B" w:rsidRDefault="0059529B" w:rsidP="0059529B">
      <w:pPr>
        <w:rPr>
          <w:rFonts w:eastAsiaTheme="minorEastAsia"/>
        </w:rPr>
      </w:pPr>
    </w:p>
    <w:p w:rsidR="0059529B" w:rsidRDefault="0059529B">
      <w:pPr>
        <w:pStyle w:val="TOC1"/>
        <w:rPr>
          <w:rFonts w:asciiTheme="minorHAnsi" w:eastAsiaTheme="minorEastAsia" w:hAnsiTheme="minorHAnsi" w:cstheme="minorBidi"/>
          <w:caps w:val="0"/>
          <w:noProof/>
          <w:sz w:val="22"/>
          <w:szCs w:val="22"/>
          <w:lang w:val="en-US" w:eastAsia="en-US" w:bidi="ar-SA"/>
        </w:rPr>
      </w:pPr>
      <w:hyperlink w:anchor="_Toc379979593" w:history="1">
        <w:r w:rsidRPr="00F861DD">
          <w:rPr>
            <w:rStyle w:val="Hyperlink"/>
            <w:noProof/>
          </w:rPr>
          <w:t>Entwicklungen im Jahr 2013</w:t>
        </w:r>
        <w:r>
          <w:rPr>
            <w:noProof/>
            <w:webHidden/>
          </w:rPr>
          <w:tab/>
        </w:r>
        <w:r>
          <w:rPr>
            <w:noProof/>
            <w:webHidden/>
          </w:rPr>
          <w:fldChar w:fldCharType="begin"/>
        </w:r>
        <w:r>
          <w:rPr>
            <w:noProof/>
            <w:webHidden/>
          </w:rPr>
          <w:instrText xml:space="preserve"> PAGEREF _Toc379979593 \h </w:instrText>
        </w:r>
        <w:r>
          <w:rPr>
            <w:noProof/>
            <w:webHidden/>
          </w:rPr>
        </w:r>
        <w:r>
          <w:rPr>
            <w:noProof/>
            <w:webHidden/>
          </w:rPr>
          <w:fldChar w:fldCharType="separate"/>
        </w:r>
        <w:r>
          <w:rPr>
            <w:noProof/>
            <w:webHidden/>
          </w:rPr>
          <w:t>2</w:t>
        </w:r>
        <w:r>
          <w:rPr>
            <w:noProof/>
            <w:webHidden/>
          </w:rPr>
          <w:fldChar w:fldCharType="end"/>
        </w:r>
      </w:hyperlink>
    </w:p>
    <w:p w:rsidR="0059529B" w:rsidRDefault="0059529B">
      <w:pPr>
        <w:pStyle w:val="TOC2"/>
        <w:rPr>
          <w:rFonts w:asciiTheme="minorHAnsi" w:eastAsiaTheme="minorEastAsia" w:hAnsiTheme="minorHAnsi" w:cstheme="minorBidi"/>
          <w:smallCaps w:val="0"/>
          <w:noProof/>
          <w:sz w:val="22"/>
          <w:szCs w:val="22"/>
          <w:lang w:val="en-US" w:eastAsia="en-US" w:bidi="ar-SA"/>
        </w:rPr>
      </w:pPr>
      <w:hyperlink w:anchor="_Toc379979594" w:history="1">
        <w:r w:rsidRPr="00F861DD">
          <w:rPr>
            <w:rStyle w:val="Hyperlink"/>
            <w:noProof/>
          </w:rPr>
          <w:t>Erweiterter Redaktionsausschuß</w:t>
        </w:r>
        <w:r>
          <w:rPr>
            <w:noProof/>
            <w:webHidden/>
          </w:rPr>
          <w:tab/>
        </w:r>
        <w:r>
          <w:rPr>
            <w:noProof/>
            <w:webHidden/>
          </w:rPr>
          <w:fldChar w:fldCharType="begin"/>
        </w:r>
        <w:r>
          <w:rPr>
            <w:noProof/>
            <w:webHidden/>
          </w:rPr>
          <w:instrText xml:space="preserve"> PAGEREF _Toc379979594 \h </w:instrText>
        </w:r>
        <w:r>
          <w:rPr>
            <w:noProof/>
            <w:webHidden/>
          </w:rPr>
        </w:r>
        <w:r>
          <w:rPr>
            <w:noProof/>
            <w:webHidden/>
          </w:rPr>
          <w:fldChar w:fldCharType="separate"/>
        </w:r>
        <w:r>
          <w:rPr>
            <w:noProof/>
            <w:webHidden/>
          </w:rPr>
          <w:t>2</w:t>
        </w:r>
        <w:r>
          <w:rPr>
            <w:noProof/>
            <w:webHidden/>
          </w:rPr>
          <w:fldChar w:fldCharType="end"/>
        </w:r>
      </w:hyperlink>
    </w:p>
    <w:p w:rsidR="0059529B" w:rsidRDefault="0059529B">
      <w:pPr>
        <w:pStyle w:val="TOC2"/>
        <w:rPr>
          <w:rFonts w:asciiTheme="minorHAnsi" w:eastAsiaTheme="minorEastAsia" w:hAnsiTheme="minorHAnsi" w:cstheme="minorBidi"/>
          <w:smallCaps w:val="0"/>
          <w:noProof/>
          <w:sz w:val="22"/>
          <w:szCs w:val="22"/>
          <w:lang w:val="en-US" w:eastAsia="en-US" w:bidi="ar-SA"/>
        </w:rPr>
      </w:pPr>
      <w:hyperlink w:anchor="_Toc379979595" w:history="1">
        <w:r w:rsidRPr="00F861DD">
          <w:rPr>
            <w:rStyle w:val="Hyperlink"/>
            <w:noProof/>
          </w:rPr>
          <w:t>Technischer Ausschuß</w:t>
        </w:r>
        <w:r>
          <w:rPr>
            <w:noProof/>
            <w:webHidden/>
          </w:rPr>
          <w:tab/>
        </w:r>
        <w:r>
          <w:rPr>
            <w:noProof/>
            <w:webHidden/>
          </w:rPr>
          <w:fldChar w:fldCharType="begin"/>
        </w:r>
        <w:r>
          <w:rPr>
            <w:noProof/>
            <w:webHidden/>
          </w:rPr>
          <w:instrText xml:space="preserve"> PAGEREF _Toc379979595 \h </w:instrText>
        </w:r>
        <w:r>
          <w:rPr>
            <w:noProof/>
            <w:webHidden/>
          </w:rPr>
        </w:r>
        <w:r>
          <w:rPr>
            <w:noProof/>
            <w:webHidden/>
          </w:rPr>
          <w:fldChar w:fldCharType="separate"/>
        </w:r>
        <w:r>
          <w:rPr>
            <w:noProof/>
            <w:webHidden/>
          </w:rPr>
          <w:t>3</w:t>
        </w:r>
        <w:r>
          <w:rPr>
            <w:noProof/>
            <w:webHidden/>
          </w:rPr>
          <w:fldChar w:fldCharType="end"/>
        </w:r>
      </w:hyperlink>
    </w:p>
    <w:p w:rsidR="0059529B" w:rsidRDefault="0059529B">
      <w:pPr>
        <w:pStyle w:val="TOC2"/>
        <w:rPr>
          <w:rFonts w:asciiTheme="minorHAnsi" w:eastAsiaTheme="minorEastAsia" w:hAnsiTheme="minorHAnsi" w:cstheme="minorBidi"/>
          <w:smallCaps w:val="0"/>
          <w:noProof/>
          <w:sz w:val="22"/>
          <w:szCs w:val="22"/>
          <w:lang w:val="en-US" w:eastAsia="en-US" w:bidi="ar-SA"/>
        </w:rPr>
      </w:pPr>
      <w:hyperlink w:anchor="_Toc379979596" w:history="1">
        <w:r w:rsidRPr="00F861DD">
          <w:rPr>
            <w:rStyle w:val="Hyperlink"/>
            <w:noProof/>
          </w:rPr>
          <w:t>Bemerkungen der Technischen Arbeitsgruppen im Jahr 2013</w:t>
        </w:r>
        <w:r>
          <w:rPr>
            <w:noProof/>
            <w:webHidden/>
          </w:rPr>
          <w:tab/>
        </w:r>
        <w:r>
          <w:rPr>
            <w:noProof/>
            <w:webHidden/>
          </w:rPr>
          <w:fldChar w:fldCharType="begin"/>
        </w:r>
        <w:r>
          <w:rPr>
            <w:noProof/>
            <w:webHidden/>
          </w:rPr>
          <w:instrText xml:space="preserve"> PAGEREF _Toc379979596 \h </w:instrText>
        </w:r>
        <w:r>
          <w:rPr>
            <w:noProof/>
            <w:webHidden/>
          </w:rPr>
        </w:r>
        <w:r>
          <w:rPr>
            <w:noProof/>
            <w:webHidden/>
          </w:rPr>
          <w:fldChar w:fldCharType="separate"/>
        </w:r>
        <w:r>
          <w:rPr>
            <w:noProof/>
            <w:webHidden/>
          </w:rPr>
          <w:t>3</w:t>
        </w:r>
        <w:r>
          <w:rPr>
            <w:noProof/>
            <w:webHidden/>
          </w:rPr>
          <w:fldChar w:fldCharType="end"/>
        </w:r>
      </w:hyperlink>
    </w:p>
    <w:p w:rsidR="00C31582" w:rsidRDefault="00704EB7" w:rsidP="00C31582">
      <w:pPr>
        <w:pStyle w:val="TOC1"/>
        <w:rPr>
          <w:rFonts w:asciiTheme="minorHAnsi" w:eastAsiaTheme="minorEastAsia" w:hAnsiTheme="minorHAnsi" w:cstheme="minorBidi"/>
          <w:noProof/>
          <w:sz w:val="22"/>
          <w:szCs w:val="22"/>
        </w:rPr>
      </w:pPr>
      <w:r w:rsidRPr="008B2341">
        <w:rPr>
          <w:bCs/>
          <w:szCs w:val="24"/>
        </w:rPr>
        <w:fldChar w:fldCharType="end"/>
      </w:r>
    </w:p>
    <w:p w:rsidR="00B27346" w:rsidRDefault="00B27346">
      <w:pPr>
        <w:jc w:val="left"/>
        <w:rPr>
          <w:caps/>
        </w:rPr>
      </w:pPr>
      <w:bookmarkStart w:id="5" w:name="_Toc378063626"/>
      <w:r>
        <w:br w:type="page"/>
      </w:r>
    </w:p>
    <w:p w:rsidR="00704EB7" w:rsidRDefault="00704EB7" w:rsidP="00704EB7">
      <w:pPr>
        <w:pStyle w:val="Heading1"/>
        <w:keepNext w:val="0"/>
      </w:pPr>
      <w:bookmarkStart w:id="6" w:name="_Toc379979589"/>
      <w:r>
        <w:lastRenderedPageBreak/>
        <w:t>Hintergrund</w:t>
      </w:r>
      <w:bookmarkEnd w:id="5"/>
      <w:bookmarkEnd w:id="6"/>
    </w:p>
    <w:p w:rsidR="00704EB7" w:rsidRPr="00375E8B" w:rsidRDefault="00704EB7" w:rsidP="00704EB7"/>
    <w:p w:rsidR="00704EB7" w:rsidRPr="00467AB3" w:rsidRDefault="00704EB7" w:rsidP="00704EB7">
      <w:pPr>
        <w:pStyle w:val="Header"/>
        <w:tabs>
          <w:tab w:val="left" w:pos="720"/>
        </w:tabs>
        <w:jc w:val="both"/>
      </w:pPr>
      <w:r w:rsidRPr="00652FF1">
        <w:fldChar w:fldCharType="begin"/>
      </w:r>
      <w:r w:rsidRPr="0059529B">
        <w:instrText xml:space="preserve"> AUTONUM  </w:instrText>
      </w:r>
      <w:r w:rsidRPr="00652FF1">
        <w:fldChar w:fldCharType="end"/>
      </w:r>
      <w:r>
        <w:tab/>
        <w:t xml:space="preserve">In Dokument TGP/8/1 </w:t>
      </w:r>
      <w:proofErr w:type="spellStart"/>
      <w:r>
        <w:t>Draft</w:t>
      </w:r>
      <w:proofErr w:type="spellEnd"/>
      <w:r>
        <w:t xml:space="preserve"> 7 TEIL I, Absatz 2.9.1: „Kontrolle der Variation infolge verschiedener Erfasser“, das von den Technischen Arbeitsgruppen auf ihren Tagungen im Jahr 2007 geprüft wurde, heißt es:</w:t>
      </w:r>
    </w:p>
    <w:p w:rsidR="00704EB7" w:rsidRPr="0059529B" w:rsidRDefault="00704EB7" w:rsidP="00704EB7">
      <w:pPr>
        <w:pStyle w:val="Header"/>
        <w:tabs>
          <w:tab w:val="left" w:pos="720"/>
        </w:tabs>
        <w:jc w:val="both"/>
      </w:pPr>
    </w:p>
    <w:p w:rsidR="00704EB7" w:rsidRDefault="00745974" w:rsidP="00704EB7">
      <w:pPr>
        <w:ind w:left="720" w:right="998"/>
        <w:rPr>
          <w:i/>
          <w:iCs/>
        </w:rPr>
      </w:pPr>
      <w:r w:rsidRPr="00745974">
        <w:rPr>
          <w:i/>
          <w:iCs/>
        </w:rPr>
        <w:t>[Ist</w:t>
      </w:r>
      <w:r w:rsidR="00704EB7" w:rsidRPr="00745974">
        <w:rPr>
          <w:i/>
          <w:iCs/>
        </w:rPr>
        <w:t xml:space="preserve"> d</w:t>
      </w:r>
      <w:r w:rsidRPr="00745974">
        <w:rPr>
          <w:i/>
          <w:iCs/>
        </w:rPr>
        <w:t>ieser Abschnitt erforderlich</w:t>
      </w:r>
      <w:r w:rsidR="00704EB7" w:rsidRPr="00745974">
        <w:rPr>
          <w:i/>
          <w:iCs/>
        </w:rPr>
        <w:t xml:space="preserve">, </w:t>
      </w:r>
      <w:r w:rsidRPr="00745974">
        <w:rPr>
          <w:i/>
          <w:iCs/>
        </w:rPr>
        <w:t xml:space="preserve">so </w:t>
      </w:r>
      <w:r w:rsidR="00704EB7" w:rsidRPr="00745974">
        <w:rPr>
          <w:i/>
          <w:iCs/>
        </w:rPr>
        <w:t xml:space="preserve">sind die TWP aufgefordert, Anleitung zur Kontrolle der Variation infolge verschiedener Erfasser zu erteilen, wenn </w:t>
      </w:r>
      <w:r w:rsidR="0032418F" w:rsidRPr="00745974">
        <w:rPr>
          <w:i/>
          <w:iCs/>
        </w:rPr>
        <w:t xml:space="preserve">keine </w:t>
      </w:r>
      <w:r w:rsidR="00704EB7" w:rsidRPr="00745974">
        <w:rPr>
          <w:i/>
          <w:iCs/>
        </w:rPr>
        <w:t xml:space="preserve">statistische </w:t>
      </w:r>
      <w:r w:rsidR="0032418F" w:rsidRPr="00745974">
        <w:rPr>
          <w:i/>
          <w:iCs/>
        </w:rPr>
        <w:t xml:space="preserve">Analyse </w:t>
      </w:r>
      <w:r w:rsidR="00704EB7" w:rsidRPr="00745974">
        <w:rPr>
          <w:i/>
          <w:iCs/>
        </w:rPr>
        <w:t xml:space="preserve">zur Bestimmung </w:t>
      </w:r>
      <w:r w:rsidR="0032418F" w:rsidRPr="00745974">
        <w:rPr>
          <w:i/>
          <w:iCs/>
        </w:rPr>
        <w:t>der Unterscheidbarkeit eingesetzt</w:t>
      </w:r>
      <w:r w:rsidR="00704EB7" w:rsidRPr="00745974">
        <w:rPr>
          <w:i/>
          <w:iCs/>
        </w:rPr>
        <w:t xml:space="preserve"> wird</w:t>
      </w:r>
      <w:r w:rsidR="0032418F" w:rsidRPr="00745974">
        <w:rPr>
          <w:i/>
          <w:iCs/>
        </w:rPr>
        <w:t xml:space="preserve">, </w:t>
      </w:r>
      <w:r w:rsidR="00B46E36">
        <w:rPr>
          <w:i/>
          <w:iCs/>
        </w:rPr>
        <w:t>und sie in b</w:t>
      </w:r>
      <w:bookmarkStart w:id="7" w:name="_GoBack"/>
      <w:bookmarkEnd w:id="7"/>
      <w:r w:rsidR="00B46E36">
        <w:rPr>
          <w:i/>
          <w:iCs/>
        </w:rPr>
        <w:t>ezug auf Absatz </w:t>
      </w:r>
      <w:r w:rsidR="00704EB7" w:rsidRPr="00745974">
        <w:rPr>
          <w:i/>
          <w:iCs/>
        </w:rPr>
        <w:t>2.7.2.9. zu prüfen]</w:t>
      </w:r>
    </w:p>
    <w:p w:rsidR="00704EB7" w:rsidRPr="0059529B" w:rsidRDefault="00704EB7" w:rsidP="00704EB7">
      <w:pPr>
        <w:ind w:left="720" w:right="998"/>
        <w:rPr>
          <w:i/>
          <w:iCs/>
        </w:rPr>
      </w:pPr>
    </w:p>
    <w:p w:rsidR="00704EB7" w:rsidRDefault="00704EB7" w:rsidP="00704EB7">
      <w:r w:rsidRPr="00652FF1">
        <w:fldChar w:fldCharType="begin"/>
      </w:r>
      <w:r w:rsidRPr="00EF293D">
        <w:instrText xml:space="preserve"> AUTONUM  </w:instrText>
      </w:r>
      <w:r w:rsidRPr="00652FF1">
        <w:fldChar w:fldCharType="end"/>
      </w:r>
      <w:r>
        <w:tab/>
        <w:t xml:space="preserve">Die TWC vereinbarte auf ihrer sechsundzwanzigsten Tagung vom 2. bis 5. September 2008 in </w:t>
      </w:r>
      <w:proofErr w:type="spellStart"/>
      <w:r>
        <w:t>Jeju</w:t>
      </w:r>
      <w:proofErr w:type="spellEnd"/>
      <w:r>
        <w:t xml:space="preserve">, Republik Korea, </w:t>
      </w:r>
      <w:proofErr w:type="spellStart"/>
      <w:r>
        <w:t>daß</w:t>
      </w:r>
      <w:proofErr w:type="spellEnd"/>
      <w:r>
        <w:t xml:space="preserve"> </w:t>
      </w:r>
      <w:proofErr w:type="spellStart"/>
      <w:r>
        <w:t>Gerie</w:t>
      </w:r>
      <w:proofErr w:type="spellEnd"/>
      <w:r>
        <w:t xml:space="preserve"> van der </w:t>
      </w:r>
      <w:proofErr w:type="spellStart"/>
      <w:r>
        <w:t>Heijden</w:t>
      </w:r>
      <w:proofErr w:type="spellEnd"/>
      <w:r>
        <w:t xml:space="preserve"> (Niederlande) Rücksprache mit seinen Kollegen vom </w:t>
      </w:r>
      <w:proofErr w:type="spellStart"/>
      <w:r>
        <w:t>Naktuinbouw</w:t>
      </w:r>
      <w:proofErr w:type="spellEnd"/>
      <w:r>
        <w:t xml:space="preserve"> in den Niederlanden halten werde, um abzuklären, ob sie einen Entwurf für diesen Abschnitt beitragen könnten.</w:t>
      </w:r>
    </w:p>
    <w:p w:rsidR="00704EB7" w:rsidRPr="0059529B" w:rsidRDefault="00704EB7" w:rsidP="00704EB7">
      <w:pPr>
        <w:rPr>
          <w:rFonts w:cs="Arial"/>
          <w:color w:val="000000"/>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tab/>
      </w:r>
      <w:r>
        <w:rPr>
          <w:color w:val="000000"/>
        </w:rPr>
        <w:t xml:space="preserve">Die TWV merkte auf ihrer zweiundvierzigsten Tagung vom 23. bis 27. Juni </w:t>
      </w:r>
      <w:r w:rsidR="003C5FD1">
        <w:rPr>
          <w:color w:val="000000"/>
        </w:rPr>
        <w:t xml:space="preserve">in Krakau, Polen an, </w:t>
      </w:r>
      <w:proofErr w:type="spellStart"/>
      <w:r w:rsidR="003C5FD1">
        <w:rPr>
          <w:color w:val="000000"/>
        </w:rPr>
        <w:t>daß</w:t>
      </w:r>
      <w:proofErr w:type="spellEnd"/>
      <w:r w:rsidR="003C5FD1">
        <w:rPr>
          <w:color w:val="000000"/>
        </w:rPr>
        <w:t xml:space="preserve"> sie die</w:t>
      </w:r>
      <w:r>
        <w:rPr>
          <w:color w:val="000000"/>
        </w:rPr>
        <w:t xml:space="preserve"> Erstellung dieses Abschnitts angeregt habe und vereinbarte, </w:t>
      </w:r>
      <w:proofErr w:type="spellStart"/>
      <w:r>
        <w:rPr>
          <w:color w:val="000000"/>
        </w:rPr>
        <w:t>daß</w:t>
      </w:r>
      <w:proofErr w:type="spellEnd"/>
      <w:r>
        <w:rPr>
          <w:color w:val="000000"/>
        </w:rPr>
        <w:t xml:space="preserve"> er geeigneten Wortlaut für Aspekte liefern solle, die nicht entsprechend in Dokument TWC/25/12 behandelt seien.</w:t>
      </w:r>
    </w:p>
    <w:p w:rsidR="00704EB7" w:rsidRDefault="00704EB7" w:rsidP="00704EB7">
      <w:pPr>
        <w:pStyle w:val="Heading1"/>
      </w:pPr>
    </w:p>
    <w:p w:rsidR="000107D3" w:rsidRPr="000107D3" w:rsidRDefault="000107D3" w:rsidP="000107D3"/>
    <w:p w:rsidR="00704EB7" w:rsidRDefault="00704EB7" w:rsidP="00704EB7">
      <w:pPr>
        <w:pStyle w:val="Heading1"/>
      </w:pPr>
      <w:bookmarkStart w:id="8" w:name="_Toc378063627"/>
      <w:bookmarkStart w:id="9" w:name="_Toc379979590"/>
      <w:r>
        <w:t>Entwicklungen im Jahr 2012</w:t>
      </w:r>
      <w:bookmarkEnd w:id="8"/>
      <w:bookmarkEnd w:id="9"/>
    </w:p>
    <w:p w:rsidR="00704EB7" w:rsidRPr="00375E8B" w:rsidRDefault="00704EB7" w:rsidP="00704EB7"/>
    <w:p w:rsidR="00704EB7" w:rsidRDefault="00704EB7" w:rsidP="00704EB7">
      <w:pPr>
        <w:pStyle w:val="Heading2"/>
      </w:pPr>
      <w:bookmarkStart w:id="10" w:name="_Toc378063628"/>
      <w:bookmarkStart w:id="11" w:name="_Toc379979591"/>
      <w:r>
        <w:t xml:space="preserve">Technischer </w:t>
      </w:r>
      <w:proofErr w:type="spellStart"/>
      <w:r>
        <w:t>Ausschuß</w:t>
      </w:r>
      <w:bookmarkEnd w:id="10"/>
      <w:bookmarkEnd w:id="11"/>
      <w:proofErr w:type="spellEnd"/>
    </w:p>
    <w:p w:rsidR="00704EB7" w:rsidRPr="00375E8B" w:rsidRDefault="00704EB7" w:rsidP="00704EB7"/>
    <w:p w:rsidR="00704EB7" w:rsidRDefault="00704EB7" w:rsidP="00704EB7">
      <w:r w:rsidRPr="00652FF1">
        <w:fldChar w:fldCharType="begin"/>
      </w:r>
      <w:r w:rsidRPr="00791943">
        <w:instrText xml:space="preserve"> AUTONUM  </w:instrText>
      </w:r>
      <w:r w:rsidRPr="00652FF1">
        <w:fldChar w:fldCharType="end"/>
      </w:r>
      <w:r>
        <w:tab/>
        <w:t xml:space="preserve">Der Technische </w:t>
      </w:r>
      <w:proofErr w:type="spellStart"/>
      <w:r>
        <w:t>Ausschuß</w:t>
      </w:r>
      <w:proofErr w:type="spellEnd"/>
      <w:r>
        <w:t xml:space="preserve"> (TC) vereinbarte auf seiner achtundvierzigsten Tagung vom 26. bis 28. März 2012 in Genf, den Verfasser zu ersuchen, auf der Grundlage der von den TWP im</w:t>
      </w:r>
      <w:r w:rsidR="000C6BDE">
        <w:t xml:space="preserve"> Jahr 2011 gemachten Kommentare</w:t>
      </w:r>
      <w:r w:rsidR="003C5FD1">
        <w:t xml:space="preserve"> </w:t>
      </w:r>
      <w:r w:rsidR="003C5FD1" w:rsidRPr="003C5FD1">
        <w:t>einen neuen Entwurf des Abschnittes zu verfassen</w:t>
      </w:r>
      <w:r>
        <w:t xml:space="preserve">, wie in Dokument TC/48/19 </w:t>
      </w:r>
      <w:proofErr w:type="spellStart"/>
      <w:r>
        <w:t>Rev</w:t>
      </w:r>
      <w:proofErr w:type="spellEnd"/>
      <w:r>
        <w:t>., Anlage II dargelegt (vergleiche Dokument TC/48/22 „Bericht über die Entschließungen“, Absatz 51).</w:t>
      </w:r>
    </w:p>
    <w:p w:rsidR="00704EB7" w:rsidRPr="00757E5D" w:rsidRDefault="00704EB7" w:rsidP="00704EB7"/>
    <w:p w:rsidR="00704EB7" w:rsidRDefault="00704EB7" w:rsidP="00704EB7">
      <w:pPr>
        <w:pStyle w:val="Heading2"/>
      </w:pPr>
      <w:bookmarkStart w:id="12" w:name="_Toc378063629"/>
      <w:bookmarkStart w:id="13" w:name="_Toc379979592"/>
      <w:r>
        <w:t>Technische Arbeitsgruppen</w:t>
      </w:r>
      <w:bookmarkEnd w:id="12"/>
      <w:bookmarkEnd w:id="13"/>
      <w:r>
        <w:t xml:space="preserve"> </w:t>
      </w:r>
    </w:p>
    <w:p w:rsidR="00704EB7" w:rsidRPr="00375E8B" w:rsidRDefault="00704EB7" w:rsidP="00704EB7"/>
    <w:p w:rsidR="00704EB7" w:rsidRDefault="00704EB7" w:rsidP="00704EB7">
      <w:pPr>
        <w:rPr>
          <w:snapToGrid w:val="0"/>
        </w:rPr>
      </w:pPr>
      <w:r w:rsidRPr="00652FF1">
        <w:fldChar w:fldCharType="begin"/>
      </w:r>
      <w:r w:rsidRPr="00791943">
        <w:instrText xml:space="preserve"> AUTONUM  </w:instrText>
      </w:r>
      <w:r w:rsidRPr="00652FF1">
        <w:fldChar w:fldCharType="end"/>
      </w:r>
      <w:r>
        <w:tab/>
        <w:t xml:space="preserve">Auf ihren Tagungen im Jahr 2012 prüften die TWA, TWV, TWC, TWF und TWO jeweils die Dokumente TWA/41/24, TWV/46/24, TWC/30/24, TWF/43/24 und TWO/45/24 mit dem vorgeschlagenen Wortlaut als Anlage für einen neuen Abschnitt in TGP/8 Teil I: „DUS-Prüfungsanlage und Datenanalyse“ über </w:t>
      </w:r>
      <w:r w:rsidR="003C5FD1">
        <w:t>„</w:t>
      </w:r>
      <w:r>
        <w:t xml:space="preserve">Minimierung der Variation infolge verschiedener Erfasser“, erstellt von Herrn </w:t>
      </w:r>
      <w:proofErr w:type="spellStart"/>
      <w:r>
        <w:t>Gerie</w:t>
      </w:r>
      <w:proofErr w:type="spellEnd"/>
      <w:r>
        <w:t xml:space="preserve"> van der </w:t>
      </w:r>
      <w:proofErr w:type="spellStart"/>
      <w:r>
        <w:t>Heijden</w:t>
      </w:r>
      <w:proofErr w:type="spellEnd"/>
      <w:r>
        <w:t xml:space="preserve"> (Niederlande) und machten folgende Kommentare:</w:t>
      </w:r>
    </w:p>
    <w:p w:rsidR="00704EB7" w:rsidRPr="00791943" w:rsidRDefault="00704EB7" w:rsidP="00704EB7">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1095"/>
        <w:gridCol w:w="7731"/>
        <w:gridCol w:w="916"/>
      </w:tblGrid>
      <w:tr w:rsidR="00704EB7" w:rsidRPr="00BE1141" w:rsidTr="000771CF">
        <w:tc>
          <w:tcPr>
            <w:tcW w:w="938" w:type="dxa"/>
            <w:tcMar>
              <w:top w:w="0" w:type="dxa"/>
              <w:left w:w="108" w:type="dxa"/>
              <w:bottom w:w="0" w:type="dxa"/>
              <w:right w:w="108" w:type="dxa"/>
            </w:tcMar>
          </w:tcPr>
          <w:p w:rsidR="00704EB7" w:rsidRPr="00BE1141" w:rsidRDefault="00704EB7" w:rsidP="000771CF">
            <w:pPr>
              <w:rPr>
                <w:rFonts w:cs="Arial"/>
                <w:sz w:val="22"/>
                <w:szCs w:val="22"/>
              </w:rPr>
            </w:pPr>
            <w:r>
              <w:t>Allgemein</w:t>
            </w:r>
          </w:p>
        </w:tc>
        <w:tc>
          <w:tcPr>
            <w:tcW w:w="7882" w:type="dxa"/>
            <w:tcMar>
              <w:top w:w="0" w:type="dxa"/>
              <w:left w:w="108" w:type="dxa"/>
              <w:bottom w:w="0" w:type="dxa"/>
              <w:right w:w="108" w:type="dxa"/>
            </w:tcMar>
          </w:tcPr>
          <w:p w:rsidR="00704EB7" w:rsidRPr="00791943" w:rsidRDefault="00704EB7" w:rsidP="000771CF">
            <w:pPr>
              <w:rPr>
                <w:rFonts w:cs="Arial"/>
                <w:sz w:val="22"/>
                <w:szCs w:val="22"/>
              </w:rPr>
            </w:pPr>
            <w:r>
              <w:t>Die TWV prüfte Dokument TWV/46/24 und betonte die Bedeutung der Kalibrierung des Erfassers (vergleiche Dokument TWV/46/41 „</w:t>
            </w:r>
            <w:r w:rsidRPr="003C5FD1">
              <w:rPr>
                <w:i/>
              </w:rPr>
              <w:t>Report</w:t>
            </w:r>
            <w:r>
              <w:t>“, Absatz 35).</w:t>
            </w:r>
          </w:p>
        </w:tc>
        <w:tc>
          <w:tcPr>
            <w:tcW w:w="922" w:type="dxa"/>
            <w:tcMar>
              <w:top w:w="0" w:type="dxa"/>
              <w:left w:w="108" w:type="dxa"/>
              <w:bottom w:w="0" w:type="dxa"/>
              <w:right w:w="108" w:type="dxa"/>
            </w:tcMar>
          </w:tcPr>
          <w:p w:rsidR="00704EB7" w:rsidRPr="00BE1141" w:rsidRDefault="00704EB7" w:rsidP="000771CF">
            <w:pPr>
              <w:rPr>
                <w:rFonts w:cs="Arial"/>
                <w:sz w:val="22"/>
                <w:szCs w:val="22"/>
              </w:rPr>
            </w:pPr>
            <w:r>
              <w:t>TWV</w:t>
            </w:r>
          </w:p>
        </w:tc>
      </w:tr>
      <w:tr w:rsidR="00704EB7" w:rsidRPr="00BE1141" w:rsidTr="000771CF">
        <w:tc>
          <w:tcPr>
            <w:tcW w:w="938" w:type="dxa"/>
            <w:tcMar>
              <w:top w:w="0" w:type="dxa"/>
              <w:left w:w="108" w:type="dxa"/>
              <w:bottom w:w="0" w:type="dxa"/>
              <w:right w:w="108" w:type="dxa"/>
            </w:tcMar>
          </w:tcPr>
          <w:p w:rsidR="00704EB7" w:rsidRPr="00BE1141" w:rsidRDefault="00704EB7" w:rsidP="000771CF">
            <w:pPr>
              <w:rPr>
                <w:rFonts w:cs="Arial"/>
                <w:sz w:val="22"/>
                <w:szCs w:val="22"/>
              </w:rPr>
            </w:pPr>
          </w:p>
        </w:tc>
        <w:tc>
          <w:tcPr>
            <w:tcW w:w="7882" w:type="dxa"/>
            <w:tcMar>
              <w:top w:w="0" w:type="dxa"/>
              <w:left w:w="108" w:type="dxa"/>
              <w:bottom w:w="0" w:type="dxa"/>
              <w:right w:w="108" w:type="dxa"/>
            </w:tcMar>
          </w:tcPr>
          <w:p w:rsidR="00704EB7" w:rsidRPr="00791943" w:rsidRDefault="00704EB7" w:rsidP="000771CF">
            <w:pPr>
              <w:rPr>
                <w:rFonts w:cs="Arial"/>
                <w:sz w:val="22"/>
                <w:szCs w:val="22"/>
              </w:rPr>
            </w:pPr>
            <w:r>
              <w:t xml:space="preserve">Die TWC prüfte Dokument TWC/30/24 und empfahl, </w:t>
            </w:r>
            <w:proofErr w:type="spellStart"/>
            <w:r>
              <w:t>daß</w:t>
            </w:r>
            <w:proofErr w:type="spellEnd"/>
            <w:r>
              <w:t xml:space="preserve"> dieses nach der Änderung im letzten Satz von Abschnitt 6.1, wo es heißen sollte „systematische Unterschiede“ dem TC zur Prüfung für die Aufnahme in TGP/8 vorgelegt werden sollte (vergleiche Dokument TWC/30/41 „</w:t>
            </w:r>
            <w:r w:rsidRPr="003C5FD1">
              <w:rPr>
                <w:i/>
              </w:rPr>
              <w:t>Report</w:t>
            </w:r>
            <w:r>
              <w:t>”, Absatz 23).</w:t>
            </w:r>
          </w:p>
        </w:tc>
        <w:tc>
          <w:tcPr>
            <w:tcW w:w="922" w:type="dxa"/>
            <w:tcMar>
              <w:top w:w="0" w:type="dxa"/>
              <w:left w:w="108" w:type="dxa"/>
              <w:bottom w:w="0" w:type="dxa"/>
              <w:right w:w="108" w:type="dxa"/>
            </w:tcMar>
          </w:tcPr>
          <w:p w:rsidR="00704EB7" w:rsidRPr="00BE1141" w:rsidRDefault="00704EB7" w:rsidP="000771CF">
            <w:pPr>
              <w:rPr>
                <w:rFonts w:cs="Arial"/>
                <w:sz w:val="22"/>
                <w:szCs w:val="22"/>
              </w:rPr>
            </w:pPr>
            <w:r>
              <w:t>TWC</w:t>
            </w:r>
          </w:p>
        </w:tc>
      </w:tr>
    </w:tbl>
    <w:p w:rsidR="000107D3" w:rsidRDefault="000107D3" w:rsidP="000107D3">
      <w:pPr>
        <w:pStyle w:val="Heading1"/>
      </w:pPr>
    </w:p>
    <w:p w:rsidR="000107D3" w:rsidRPr="000107D3" w:rsidRDefault="000107D3" w:rsidP="000107D3"/>
    <w:p w:rsidR="00704EB7" w:rsidRDefault="00704EB7" w:rsidP="00704EB7">
      <w:pPr>
        <w:pStyle w:val="Heading1"/>
      </w:pPr>
      <w:bookmarkStart w:id="14" w:name="_Toc378063630"/>
      <w:bookmarkStart w:id="15" w:name="_Toc379979593"/>
      <w:r>
        <w:t>Entwicklungen im Jahr 2013</w:t>
      </w:r>
      <w:bookmarkEnd w:id="14"/>
      <w:bookmarkEnd w:id="15"/>
    </w:p>
    <w:p w:rsidR="00704EB7" w:rsidRPr="00375E8B" w:rsidRDefault="00704EB7" w:rsidP="00704EB7"/>
    <w:p w:rsidR="00704EB7" w:rsidRDefault="00704EB7" w:rsidP="00704EB7">
      <w:pPr>
        <w:pStyle w:val="Heading2"/>
      </w:pPr>
      <w:bookmarkStart w:id="16" w:name="_Toc378063631"/>
      <w:bookmarkStart w:id="17" w:name="_Toc379979594"/>
      <w:r>
        <w:t xml:space="preserve">Erweiterter </w:t>
      </w:r>
      <w:proofErr w:type="spellStart"/>
      <w:r>
        <w:t>Redaktionsausschuß</w:t>
      </w:r>
      <w:bookmarkEnd w:id="16"/>
      <w:bookmarkEnd w:id="17"/>
      <w:proofErr w:type="spellEnd"/>
      <w:r>
        <w:t xml:space="preserve"> </w:t>
      </w:r>
    </w:p>
    <w:p w:rsidR="00704EB7" w:rsidRPr="00375E8B" w:rsidRDefault="00704EB7" w:rsidP="00704EB7"/>
    <w:p w:rsidR="00704EB7" w:rsidRDefault="00704EB7" w:rsidP="00704EB7">
      <w:r w:rsidRPr="00652FF1">
        <w:fldChar w:fldCharType="begin"/>
      </w:r>
      <w:r w:rsidRPr="00791943">
        <w:instrText xml:space="preserve"> AUTONUM  </w:instrText>
      </w:r>
      <w:r w:rsidRPr="00652FF1">
        <w:fldChar w:fldCharType="end"/>
      </w:r>
      <w:r>
        <w:tab/>
        <w:t>Der TC-EDC prüfte auf seiner Tagung am 9. und 10. Januar 2013 in Genf Dokument TC-EDC/Jan13/9 „Überarbeitung von Dokument TGP/8 Teil I: DUS-Prüfungsanlage und Datenanalyse, neuer Abschnitt: Minimierung der Variation infolge verschiedener Erfasser“ und machte folgende Kommentare:</w:t>
      </w:r>
    </w:p>
    <w:p w:rsidR="00704EB7" w:rsidRPr="00791943" w:rsidRDefault="00704EB7" w:rsidP="00704EB7"/>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704EB7" w:rsidRPr="00791943" w:rsidTr="00713E73">
        <w:trPr>
          <w:cantSplit/>
        </w:trPr>
        <w:tc>
          <w:tcPr>
            <w:tcW w:w="1658" w:type="dxa"/>
          </w:tcPr>
          <w:p w:rsidR="00704EB7" w:rsidRPr="00EE3F80" w:rsidRDefault="00704EB7" w:rsidP="000771CF">
            <w:pPr>
              <w:rPr>
                <w:rFonts w:cs="Arial"/>
              </w:rPr>
            </w:pPr>
            <w:r>
              <w:t>Allgemeine Anmerkung</w:t>
            </w:r>
          </w:p>
        </w:tc>
        <w:tc>
          <w:tcPr>
            <w:tcW w:w="8062" w:type="dxa"/>
          </w:tcPr>
          <w:p w:rsidR="00704EB7" w:rsidRPr="00791943" w:rsidRDefault="00757FD5" w:rsidP="000771CF">
            <w:pPr>
              <w:keepNext/>
              <w:rPr>
                <w:rFonts w:cs="Arial"/>
              </w:rPr>
            </w:pPr>
            <w:r>
              <w:t>Dokument sollte auch PQ-</w:t>
            </w:r>
            <w:r w:rsidR="00704EB7">
              <w:t>Merkmale (z.B. Farbe, Form usw.) behandeln</w:t>
            </w:r>
          </w:p>
        </w:tc>
      </w:tr>
      <w:tr w:rsidR="00704EB7" w:rsidRPr="00791943" w:rsidTr="00713E73">
        <w:trPr>
          <w:cantSplit/>
        </w:trPr>
        <w:tc>
          <w:tcPr>
            <w:tcW w:w="1658" w:type="dxa"/>
          </w:tcPr>
          <w:p w:rsidR="00704EB7" w:rsidRPr="00EE3F80" w:rsidRDefault="00704EB7" w:rsidP="000771CF">
            <w:pPr>
              <w:rPr>
                <w:rFonts w:cs="Arial"/>
              </w:rPr>
            </w:pPr>
            <w:r>
              <w:t>Überschrift</w:t>
            </w:r>
          </w:p>
        </w:tc>
        <w:tc>
          <w:tcPr>
            <w:tcW w:w="8062" w:type="dxa"/>
          </w:tcPr>
          <w:p w:rsidR="00704EB7" w:rsidRPr="00791943" w:rsidRDefault="00704EB7" w:rsidP="0059529B">
            <w:pPr>
              <w:keepNext/>
              <w:rPr>
                <w:rFonts w:cs="Arial"/>
              </w:rPr>
            </w:pPr>
            <w:r>
              <w:t xml:space="preserve">Sollte lauten: </w:t>
            </w:r>
            <w:r>
              <w:rPr>
                <w:color w:val="000000"/>
              </w:rPr>
              <w:t xml:space="preserve">ÜBERARBEITUNG VON DOKUMENT TGP/8 TEIL I: </w:t>
            </w:r>
            <w:r>
              <w:t>DUS</w:t>
            </w:r>
            <w:r w:rsidR="0059529B">
              <w:noBreakHyphen/>
            </w:r>
            <w:r>
              <w:t>PRÜFUNGSANLAGE</w:t>
            </w:r>
            <w:r>
              <w:rPr>
                <w:strike/>
                <w:highlight w:val="lightGray"/>
              </w:rPr>
              <w:t xml:space="preserve"> VON</w:t>
            </w:r>
            <w:r>
              <w:t xml:space="preserve"> </w:t>
            </w:r>
            <w:r>
              <w:rPr>
                <w:highlight w:val="lightGray"/>
                <w:u w:val="single"/>
              </w:rPr>
              <w:t>UND</w:t>
            </w:r>
            <w:r>
              <w:t xml:space="preserve"> DATENANALYSE, </w:t>
            </w:r>
            <w:r>
              <w:rPr>
                <w:color w:val="000000"/>
              </w:rPr>
              <w:t>NEUER ABSCHNITT: MINIMIERUNG DER VARIATION INFOLGE VERSCHIEDENER ERFASSER</w:t>
            </w:r>
          </w:p>
        </w:tc>
      </w:tr>
      <w:tr w:rsidR="00704EB7" w:rsidRPr="00EE3F80" w:rsidTr="00713E73">
        <w:trPr>
          <w:cantSplit/>
        </w:trPr>
        <w:tc>
          <w:tcPr>
            <w:tcW w:w="1658" w:type="dxa"/>
          </w:tcPr>
          <w:p w:rsidR="00704EB7" w:rsidRPr="00EE3F80" w:rsidRDefault="00704EB7" w:rsidP="0059529B">
            <w:pPr>
              <w:rPr>
                <w:rFonts w:cs="Arial"/>
              </w:rPr>
            </w:pPr>
            <w:r>
              <w:t>Anlage, Absatz</w:t>
            </w:r>
            <w:r w:rsidR="0059529B">
              <w:t> </w:t>
            </w:r>
            <w:r>
              <w:t>1</w:t>
            </w:r>
          </w:p>
        </w:tc>
        <w:tc>
          <w:tcPr>
            <w:tcW w:w="8062" w:type="dxa"/>
          </w:tcPr>
          <w:p w:rsidR="00704EB7" w:rsidRPr="00EE3F80" w:rsidRDefault="00704EB7" w:rsidP="000771CF">
            <w:pPr>
              <w:rPr>
                <w:rFonts w:cs="Arial"/>
              </w:rPr>
            </w:pPr>
            <w:r>
              <w:t>Es sollte nicht nur auf QN/MS, sondern auch auf QN/MG verwiesen werden</w:t>
            </w:r>
          </w:p>
        </w:tc>
      </w:tr>
      <w:tr w:rsidR="00704EB7" w:rsidRPr="00791943" w:rsidTr="00713E73">
        <w:trPr>
          <w:cantSplit/>
        </w:trPr>
        <w:tc>
          <w:tcPr>
            <w:tcW w:w="1658" w:type="dxa"/>
          </w:tcPr>
          <w:p w:rsidR="00704EB7" w:rsidRPr="00EE3F80" w:rsidRDefault="00704EB7" w:rsidP="0059529B">
            <w:pPr>
              <w:rPr>
                <w:rFonts w:cs="Arial"/>
              </w:rPr>
            </w:pPr>
            <w:r>
              <w:t>Anlage, Absatz</w:t>
            </w:r>
            <w:r w:rsidR="0059529B">
              <w:t> </w:t>
            </w:r>
            <w:r>
              <w:t>1.1</w:t>
            </w:r>
          </w:p>
        </w:tc>
        <w:tc>
          <w:tcPr>
            <w:tcW w:w="8062" w:type="dxa"/>
          </w:tcPr>
          <w:p w:rsidR="00704EB7" w:rsidRPr="00791943" w:rsidRDefault="00704EB7" w:rsidP="000771CF">
            <w:pPr>
              <w:rPr>
                <w:rFonts w:cs="Arial"/>
              </w:rPr>
            </w:pPr>
            <w:r>
              <w:t xml:space="preserve">soll lauten: „... </w:t>
            </w:r>
            <w:proofErr w:type="spellStart"/>
            <w:r>
              <w:rPr>
                <w:highlight w:val="lightGray"/>
                <w:u w:val="single"/>
              </w:rPr>
              <w:t>Erfaßt</w:t>
            </w:r>
            <w:proofErr w:type="spellEnd"/>
            <w:r>
              <w:rPr>
                <w:highlight w:val="lightGray"/>
              </w:rPr>
              <w:t xml:space="preserve"> </w:t>
            </w:r>
            <w:proofErr w:type="spellStart"/>
            <w:r>
              <w:rPr>
                <w:strike/>
                <w:highlight w:val="lightGray"/>
              </w:rPr>
              <w:t>mißt</w:t>
            </w:r>
            <w:proofErr w:type="spellEnd"/>
            <w:r>
              <w:t xml:space="preserve"> also Erfasser A die Sorte 1 und Erfasser B die Sorte 2, so sind die </w:t>
            </w:r>
            <w:proofErr w:type="spellStart"/>
            <w:r>
              <w:rPr>
                <w:highlight w:val="lightGray"/>
                <w:u w:val="single"/>
              </w:rPr>
              <w:t>erfaßten</w:t>
            </w:r>
            <w:proofErr w:type="spellEnd"/>
            <w:r w:rsidRPr="003C5FD1">
              <w:rPr>
                <w:highlight w:val="lightGray"/>
              </w:rPr>
              <w:t xml:space="preserve"> </w:t>
            </w:r>
            <w:r>
              <w:rPr>
                <w:strike/>
                <w:highlight w:val="lightGray"/>
              </w:rPr>
              <w:t>gemessenen</w:t>
            </w:r>
            <w:r>
              <w:t xml:space="preserve"> Unterschiede zwischen Erfasser A und B statt auf Unterschiede zwischen Sorte 1 und 2 zurückzuführen. Unser Interesse gilt eindeutig den </w:t>
            </w:r>
            <w:r>
              <w:lastRenderedPageBreak/>
              <w:t>Unterschieden zwischen den Sorten und nicht den Unterschieden zwischen den Erfassern. ….“</w:t>
            </w:r>
          </w:p>
        </w:tc>
      </w:tr>
      <w:tr w:rsidR="00704EB7" w:rsidRPr="00EE3F80" w:rsidTr="00713E73">
        <w:trPr>
          <w:cantSplit/>
        </w:trPr>
        <w:tc>
          <w:tcPr>
            <w:tcW w:w="1658" w:type="dxa"/>
          </w:tcPr>
          <w:p w:rsidR="00704EB7" w:rsidRDefault="00704EB7" w:rsidP="0059529B">
            <w:pPr>
              <w:keepNext/>
              <w:jc w:val="left"/>
              <w:rPr>
                <w:rFonts w:cs="Arial"/>
              </w:rPr>
            </w:pPr>
            <w:r>
              <w:lastRenderedPageBreak/>
              <w:t>Anlage, Absätze 2.1 und 2.2</w:t>
            </w:r>
          </w:p>
        </w:tc>
        <w:tc>
          <w:tcPr>
            <w:tcW w:w="8062" w:type="dxa"/>
          </w:tcPr>
          <w:p w:rsidR="00704EB7" w:rsidRPr="00EE3F80" w:rsidRDefault="00704EB7" w:rsidP="00CC0462">
            <w:pPr>
              <w:keepNext/>
              <w:rPr>
                <w:rFonts w:cs="Arial"/>
              </w:rPr>
            </w:pPr>
            <w:r>
              <w:t>Nummerierung berichtigen</w:t>
            </w:r>
          </w:p>
        </w:tc>
      </w:tr>
      <w:tr w:rsidR="00704EB7" w:rsidRPr="00EE3F80" w:rsidTr="00713E73">
        <w:trPr>
          <w:cantSplit/>
        </w:trPr>
        <w:tc>
          <w:tcPr>
            <w:tcW w:w="1658" w:type="dxa"/>
          </w:tcPr>
          <w:p w:rsidR="00704EB7" w:rsidRPr="00EE3F80" w:rsidRDefault="00704EB7" w:rsidP="000771CF">
            <w:pPr>
              <w:rPr>
                <w:rFonts w:cs="Arial"/>
              </w:rPr>
            </w:pPr>
            <w:r>
              <w:t>2.1</w:t>
            </w:r>
          </w:p>
        </w:tc>
        <w:tc>
          <w:tcPr>
            <w:tcW w:w="8062" w:type="dxa"/>
          </w:tcPr>
          <w:p w:rsidR="00704EB7" w:rsidRPr="00EE3F80" w:rsidRDefault="00757FD5" w:rsidP="000771CF">
            <w:pPr>
              <w:rPr>
                <w:rFonts w:cs="Arial"/>
              </w:rPr>
            </w:pPr>
            <w:r>
              <w:t>Letzten Satz streichen</w:t>
            </w:r>
          </w:p>
        </w:tc>
      </w:tr>
      <w:tr w:rsidR="00704EB7" w:rsidRPr="00791943" w:rsidTr="00713E73">
        <w:trPr>
          <w:cantSplit/>
        </w:trPr>
        <w:tc>
          <w:tcPr>
            <w:tcW w:w="1658" w:type="dxa"/>
          </w:tcPr>
          <w:p w:rsidR="00704EB7" w:rsidRPr="00EE3F80" w:rsidRDefault="00704EB7" w:rsidP="000771CF">
            <w:pPr>
              <w:rPr>
                <w:rFonts w:cs="Arial"/>
              </w:rPr>
            </w:pPr>
            <w:r>
              <w:t>3.1</w:t>
            </w:r>
          </w:p>
        </w:tc>
        <w:tc>
          <w:tcPr>
            <w:tcW w:w="8062" w:type="dxa"/>
          </w:tcPr>
          <w:p w:rsidR="00704EB7" w:rsidRPr="00791943" w:rsidRDefault="00704EB7" w:rsidP="000771CF">
            <w:pPr>
              <w:rPr>
                <w:rFonts w:cs="Arial"/>
              </w:rPr>
            </w:pPr>
            <w:r>
              <w:t xml:space="preserve">Sollte lauten „Im </w:t>
            </w:r>
            <w:proofErr w:type="spellStart"/>
            <w:r>
              <w:t>Anschluß</w:t>
            </w:r>
            <w:proofErr w:type="spellEnd"/>
            <w:r>
              <w:t xml:space="preserve"> an die Schulung eines Erfassers könnte der nächste Schritt darin bestehen, die Leistung des Erfassers anhand eines Kalibrierungsversuchs zu prüfen. Dies ist für unerfahrene Erfasser, die visuelle Erfassungen vornehmen müssen (QN/VG- </w:t>
            </w:r>
            <w:r>
              <w:rPr>
                <w:highlight w:val="lightGray"/>
                <w:u w:val="single"/>
              </w:rPr>
              <w:t>und QN/VS-</w:t>
            </w:r>
            <w:r>
              <w:t xml:space="preserve">Merkmale) besonders nützlich. Bei </w:t>
            </w:r>
            <w:r>
              <w:rPr>
                <w:highlight w:val="lightGray"/>
                <w:u w:val="single"/>
              </w:rPr>
              <w:t>visuellen</w:t>
            </w:r>
            <w:r>
              <w:rPr>
                <w:highlight w:val="lightGray"/>
              </w:rPr>
              <w:t xml:space="preserve"> </w:t>
            </w:r>
            <w:r>
              <w:rPr>
                <w:strike/>
                <w:highlight w:val="lightGray"/>
              </w:rPr>
              <w:t>VG</w:t>
            </w:r>
            <w:r>
              <w:t xml:space="preserve"> Erfassungen sollten sie vorzugsweise einer Kalibrierungsprüfung unterzogen werden, bevor sie Erfassungen im Rahmen eines Anbauversuchs vornehmen. Aber auch für erfahrene Erfasser ist es nützlich, sich selbst regelmäßig zu testen, um sicher sein zu können, </w:t>
            </w:r>
            <w:proofErr w:type="spellStart"/>
            <w:r>
              <w:t>daß</w:t>
            </w:r>
            <w:proofErr w:type="spellEnd"/>
            <w:r>
              <w:t xml:space="preserve"> die Kalibrierungskriterien immer noch erfüllt werden.“</w:t>
            </w:r>
          </w:p>
        </w:tc>
      </w:tr>
      <w:tr w:rsidR="00704EB7" w:rsidRPr="00EE3F80" w:rsidTr="00713E73">
        <w:trPr>
          <w:cantSplit/>
        </w:trPr>
        <w:tc>
          <w:tcPr>
            <w:tcW w:w="1658" w:type="dxa"/>
          </w:tcPr>
          <w:p w:rsidR="00704EB7" w:rsidRPr="00EE3F80" w:rsidRDefault="00704EB7" w:rsidP="000771CF">
            <w:pPr>
              <w:rPr>
                <w:rFonts w:cs="Arial"/>
              </w:rPr>
            </w:pPr>
            <w:r>
              <w:t>3.3</w:t>
            </w:r>
          </w:p>
        </w:tc>
        <w:tc>
          <w:tcPr>
            <w:tcW w:w="8062" w:type="dxa"/>
          </w:tcPr>
          <w:p w:rsidR="00704EB7" w:rsidRPr="00EE3F80" w:rsidRDefault="00704EB7" w:rsidP="000771CF">
            <w:pPr>
              <w:rPr>
                <w:rFonts w:cs="Arial"/>
              </w:rPr>
            </w:pPr>
            <w:r>
              <w:t>streichen</w:t>
            </w:r>
          </w:p>
        </w:tc>
      </w:tr>
      <w:tr w:rsidR="00704EB7" w:rsidRPr="00791943" w:rsidTr="00713E73">
        <w:trPr>
          <w:cantSplit/>
        </w:trPr>
        <w:tc>
          <w:tcPr>
            <w:tcW w:w="1658" w:type="dxa"/>
          </w:tcPr>
          <w:p w:rsidR="00704EB7" w:rsidRPr="00EE3F80" w:rsidRDefault="00704EB7" w:rsidP="000771CF">
            <w:pPr>
              <w:rPr>
                <w:rFonts w:cs="Arial"/>
              </w:rPr>
            </w:pPr>
            <w:r>
              <w:t>4.</w:t>
            </w:r>
          </w:p>
        </w:tc>
        <w:tc>
          <w:tcPr>
            <w:tcW w:w="8062" w:type="dxa"/>
          </w:tcPr>
          <w:p w:rsidR="00704EB7" w:rsidRPr="00791943" w:rsidRDefault="00704EB7" w:rsidP="000771CF">
            <w:pPr>
              <w:rPr>
                <w:rFonts w:cs="Arial"/>
              </w:rPr>
            </w:pPr>
            <w:r>
              <w:t xml:space="preserve">sollte lauten „Prüfung der Kalibrierung für </w:t>
            </w:r>
            <w:r>
              <w:rPr>
                <w:highlight w:val="lightGray"/>
              </w:rPr>
              <w:t>QN/MG- oder</w:t>
            </w:r>
            <w:r>
              <w:t xml:space="preserve"> QN/MS-Merkmale”</w:t>
            </w:r>
          </w:p>
        </w:tc>
      </w:tr>
      <w:tr w:rsidR="00704EB7" w:rsidRPr="00791943" w:rsidTr="00713E73">
        <w:trPr>
          <w:cantSplit/>
        </w:trPr>
        <w:tc>
          <w:tcPr>
            <w:tcW w:w="1658" w:type="dxa"/>
          </w:tcPr>
          <w:p w:rsidR="00704EB7" w:rsidRPr="00EE3F80" w:rsidRDefault="00704EB7" w:rsidP="000771CF">
            <w:pPr>
              <w:rPr>
                <w:rFonts w:cs="Arial"/>
              </w:rPr>
            </w:pPr>
            <w:r>
              <w:t>4.1</w:t>
            </w:r>
          </w:p>
        </w:tc>
        <w:tc>
          <w:tcPr>
            <w:tcW w:w="8062" w:type="dxa"/>
          </w:tcPr>
          <w:p w:rsidR="00704EB7" w:rsidRPr="00791943" w:rsidRDefault="00704EB7" w:rsidP="000771CF">
            <w:pPr>
              <w:rPr>
                <w:rFonts w:cs="Arial"/>
              </w:rPr>
            </w:pPr>
            <w:r>
              <w:t>Eine Leerzeile nach dem Absatz hinzufügen</w:t>
            </w:r>
          </w:p>
        </w:tc>
      </w:tr>
    </w:tbl>
    <w:p w:rsidR="00704EB7" w:rsidRDefault="00704EB7" w:rsidP="00704EB7">
      <w:pPr>
        <w:pStyle w:val="Heading2"/>
      </w:pPr>
    </w:p>
    <w:p w:rsidR="00704EB7" w:rsidRDefault="00704EB7" w:rsidP="00704EB7">
      <w:pPr>
        <w:pStyle w:val="Heading2"/>
      </w:pPr>
      <w:bookmarkStart w:id="18" w:name="_Toc378063632"/>
      <w:bookmarkStart w:id="19" w:name="_Toc379979595"/>
      <w:r>
        <w:t xml:space="preserve">Technischer </w:t>
      </w:r>
      <w:proofErr w:type="spellStart"/>
      <w:r>
        <w:t>Ausschuß</w:t>
      </w:r>
      <w:bookmarkEnd w:id="18"/>
      <w:bookmarkEnd w:id="19"/>
      <w:proofErr w:type="spellEnd"/>
    </w:p>
    <w:p w:rsidR="00704EB7" w:rsidRPr="00375E8B" w:rsidRDefault="00704EB7" w:rsidP="00704EB7"/>
    <w:p w:rsidR="00704EB7" w:rsidRDefault="00704EB7" w:rsidP="00704EB7">
      <w:r w:rsidRPr="006133CD">
        <w:fldChar w:fldCharType="begin"/>
      </w:r>
      <w:r w:rsidRPr="00791943">
        <w:instrText xml:space="preserve"> AUTONUM  </w:instrText>
      </w:r>
      <w:r w:rsidRPr="006133CD">
        <w:fldChar w:fldCharType="end"/>
      </w:r>
      <w:r>
        <w:tab/>
        <w:t xml:space="preserve">Der Technische </w:t>
      </w:r>
      <w:proofErr w:type="spellStart"/>
      <w:r>
        <w:t>Ausschuß</w:t>
      </w:r>
      <w:proofErr w:type="spellEnd"/>
      <w:r>
        <w:t xml:space="preserve"> (TC) prüfte auf seiner neunundvierzigs</w:t>
      </w:r>
      <w:r w:rsidR="000107D3">
        <w:t>ten Tagung vom 18. bis 20. März </w:t>
      </w:r>
      <w:r>
        <w:t>2013 in Genf die Überarbeitung von Dokument TGP/8, Teil I „Prüfungsanlage und Verfahren für die Prüfung von Unterscheidbarkeit, Homogenität und Beständigkeit“ auf der Grundlage von Dokument TC/49/22: „Überarbeitung von Dokument TGP/8: Teil I: DUS-Prüfungsanlage und Datenanalyse, neuer Abschnitt: Minimierung der Variation infolge verschiedener Erfasser”.</w:t>
      </w:r>
    </w:p>
    <w:p w:rsidR="00704EB7" w:rsidRPr="00791943" w:rsidRDefault="00704EB7" w:rsidP="00704EB7"/>
    <w:p w:rsidR="00704EB7" w:rsidRDefault="00704EB7" w:rsidP="00704EB7">
      <w:r w:rsidRPr="006133CD">
        <w:fldChar w:fldCharType="begin"/>
      </w:r>
      <w:r w:rsidRPr="00791943">
        <w:instrText xml:space="preserve"> AUTONUM  </w:instrText>
      </w:r>
      <w:r w:rsidRPr="006133CD">
        <w:fldChar w:fldCharType="end"/>
      </w:r>
      <w:r>
        <w:tab/>
        <w:t>Der TC vereinbarte auf seiner neunundvierzigsten Tagung, den Sachverständigen aus den Niederlanden zu ersuchen, ausgehend von den Anmerkungen der TWP auf ihren Tagungen im Jahr 2012 und des TC-EDC auf seiner Tagung im Januar 2013, und insbesondere zum Zwecke der Aufnahme einer Anleitung zu PQ</w:t>
      </w:r>
      <w:r w:rsidR="00816ED2">
        <w:t>-</w:t>
      </w:r>
      <w:r>
        <w:t xml:space="preserve"> und QN/MG-Merkmalen, einen neuen Entwurf des Abschnitts über „Minimierung der Variation infolge verschiedener Erfasser“ zur Prüfung durch die TWP auf ihren Tagungen im Jahr 2013 zu erstellen (vergleiche Dokument TC/49/41 „Bericht über die Entschließungen“, Absatz 51).</w:t>
      </w:r>
    </w:p>
    <w:p w:rsidR="00704EB7" w:rsidRPr="0018543E" w:rsidRDefault="00704EB7" w:rsidP="00704EB7"/>
    <w:p w:rsidR="00704EB7" w:rsidRDefault="00704EB7" w:rsidP="00704EB7">
      <w:r w:rsidRPr="0018543E">
        <w:fldChar w:fldCharType="begin"/>
      </w:r>
      <w:r w:rsidRPr="00F01EBE">
        <w:instrText xml:space="preserve"> AUTONUM  </w:instrText>
      </w:r>
      <w:r w:rsidRPr="0018543E">
        <w:fldChar w:fldCharType="end"/>
      </w:r>
      <w:r>
        <w:tab/>
        <w:t>Als Antwort auf das Ersuchen des TC bat der Verfasser um Unterstützung durch Sachverständige der anderen TWP, um eine Anleitung zu PQ- und QN/MG-Merkmalen z</w:t>
      </w:r>
      <w:r w:rsidR="00A23E6D">
        <w:t>u entwickeln. Diesbezüglich</w:t>
      </w:r>
      <w:r>
        <w:t xml:space="preserve"> wurde daran erinn</w:t>
      </w:r>
      <w:r w:rsidR="00227C28">
        <w:t xml:space="preserve">ert, </w:t>
      </w:r>
      <w:proofErr w:type="spellStart"/>
      <w:r w:rsidR="00227C28">
        <w:t>daß</w:t>
      </w:r>
      <w:proofErr w:type="spellEnd"/>
      <w:r w:rsidR="00227C28">
        <w:t xml:space="preserve"> das Ziel des Abschnitt</w:t>
      </w:r>
      <w:r>
        <w:t xml:space="preserve">s darin bestehe, Anleitung zur Kontrolle der Variation infolge verschiedener Erfasser zu erteilen, wenn keine statistische Analyse zur Bestimmung </w:t>
      </w:r>
      <w:r w:rsidR="00816ED2">
        <w:t>der Unterscheidbarkeit eingesetzt</w:t>
      </w:r>
      <w:r>
        <w:t xml:space="preserve"> wird (vergleiche Absatz 4 dieses Dokuments).</w:t>
      </w:r>
    </w:p>
    <w:p w:rsidR="00704EB7" w:rsidRDefault="00704EB7" w:rsidP="00C31582">
      <w:pPr>
        <w:pStyle w:val="TOC1"/>
        <w:rPr>
          <w:snapToGrid w:val="0"/>
        </w:rPr>
      </w:pPr>
    </w:p>
    <w:p w:rsidR="00704EB7" w:rsidRDefault="0059529B" w:rsidP="00704EB7">
      <w:pPr>
        <w:pStyle w:val="Heading2"/>
      </w:pPr>
      <w:bookmarkStart w:id="20" w:name="_Toc372555732"/>
      <w:bookmarkStart w:id="21" w:name="_Toc372633488"/>
      <w:bookmarkStart w:id="22" w:name="_Toc378063633"/>
      <w:bookmarkStart w:id="23" w:name="_Toc379979596"/>
      <w:r>
        <w:t>Bemerkungen</w:t>
      </w:r>
      <w:r w:rsidR="00704EB7">
        <w:t xml:space="preserve"> der Technischen Arbeitsgruppen im Jahr 2013</w:t>
      </w:r>
      <w:bookmarkEnd w:id="20"/>
      <w:bookmarkEnd w:id="21"/>
      <w:bookmarkEnd w:id="22"/>
      <w:bookmarkEnd w:id="23"/>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tab/>
      </w:r>
      <w:r>
        <w:rPr>
          <w:caps w:val="0"/>
        </w:rPr>
        <w:t xml:space="preserve">Die TWO, TWF, TWV, TWC und TWA prüften jeweils die Dokumente </w:t>
      </w:r>
      <w:r>
        <w:t>TWO/46/</w:t>
      </w:r>
      <w:r>
        <w:rPr>
          <w:caps w:val="0"/>
        </w:rPr>
        <w:t>14, TWF/44/14, TWV/47/14, TWC/31/14 und TWA/42/14 (vergleiche Dokumente TWO/46/29 „</w:t>
      </w:r>
      <w:r w:rsidRPr="00816ED2">
        <w:rPr>
          <w:i/>
          <w:caps w:val="0"/>
        </w:rPr>
        <w:t>Report</w:t>
      </w:r>
      <w:r>
        <w:rPr>
          <w:caps w:val="0"/>
        </w:rPr>
        <w:t>”, Absätze 30 bis 32, TWF/44/31 „</w:t>
      </w:r>
      <w:r w:rsidRPr="00816ED2">
        <w:rPr>
          <w:i/>
          <w:caps w:val="0"/>
        </w:rPr>
        <w:t>Report</w:t>
      </w:r>
      <w:r>
        <w:rPr>
          <w:caps w:val="0"/>
        </w:rPr>
        <w:t>”</w:t>
      </w:r>
      <w:r w:rsidR="00816ED2">
        <w:rPr>
          <w:caps w:val="0"/>
        </w:rPr>
        <w:t>, Absätze 33 bis 35, TWV/47/34 „</w:t>
      </w:r>
      <w:r w:rsidRPr="00816ED2">
        <w:rPr>
          <w:i/>
          <w:caps w:val="0"/>
        </w:rPr>
        <w:t>Report</w:t>
      </w:r>
      <w:r>
        <w:rPr>
          <w:caps w:val="0"/>
        </w:rPr>
        <w:t>”, Absätze 33 und 35, TWC/31/32 „</w:t>
      </w:r>
      <w:r w:rsidRPr="00816ED2">
        <w:rPr>
          <w:i/>
          <w:caps w:val="0"/>
        </w:rPr>
        <w:t>Report</w:t>
      </w:r>
      <w:r>
        <w:rPr>
          <w:caps w:val="0"/>
        </w:rPr>
        <w:t>”, Absätze 30 bis 32 und TWA/42/31 „</w:t>
      </w:r>
      <w:r w:rsidRPr="00816ED2">
        <w:rPr>
          <w:i/>
          <w:caps w:val="0"/>
        </w:rPr>
        <w:t>Report</w:t>
      </w:r>
      <w:r>
        <w:rPr>
          <w:caps w:val="0"/>
        </w:rPr>
        <w:t>”, Absätze 33 bis 35).</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tab/>
        <w:t xml:space="preserve">Die TWO schlug vor, </w:t>
      </w:r>
      <w:proofErr w:type="spellStart"/>
      <w:r>
        <w:t>daß</w:t>
      </w:r>
      <w:proofErr w:type="spellEnd"/>
      <w:r>
        <w:t xml:space="preserve"> Sachverständige aus Australien, Deutschland, den Niederlanden und dem Vereinigten Königreich bei der Entwicklung weiterer Anleitung zum vorgeschlagenen Wortlaut zur Aufnahme in TGP/8 Teil I: DUS-Prüfungsanlage und Datenanalyse, neuer Abschnitt: Minimierung der Variation in</w:t>
      </w:r>
      <w:r w:rsidR="008E3FA5">
        <w:t xml:space="preserve">folge verschiedener Erfasser, </w:t>
      </w:r>
      <w:r w:rsidR="004E33D2">
        <w:t>bei</w:t>
      </w:r>
      <w:r>
        <w:t xml:space="preserve"> eine</w:t>
      </w:r>
      <w:r w:rsidR="004E33D2">
        <w:t>r</w:t>
      </w:r>
      <w:r>
        <w:t xml:space="preserve"> künftige</w:t>
      </w:r>
      <w:r w:rsidR="004E33D2">
        <w:t>n</w:t>
      </w:r>
      <w:r>
        <w:t xml:space="preserve"> Überarbeitung von TGP/8</w:t>
      </w:r>
      <w:r w:rsidR="004E33D2">
        <w:t>,</w:t>
      </w:r>
      <w:r>
        <w:t xml:space="preserve"> im Hinblick auf Anleitung zu PQ- und QN/MG-Merkmalen beitragen sollten.</w:t>
      </w:r>
    </w:p>
    <w:p w:rsidR="00704EB7" w:rsidRDefault="00704EB7" w:rsidP="00704EB7"/>
    <w:p w:rsidR="00704EB7" w:rsidRDefault="00704EB7" w:rsidP="00704EB7">
      <w:pPr>
        <w:keepLines/>
      </w:pPr>
      <w:r>
        <w:fldChar w:fldCharType="begin"/>
      </w:r>
      <w:r>
        <w:instrText xml:space="preserve"> AUTONUM  </w:instrText>
      </w:r>
      <w:r>
        <w:fldChar w:fldCharType="end"/>
      </w:r>
      <w:r>
        <w:tab/>
        <w:t>Die TWO merkte jedoch an, wie wichtig die Prüfungsrichtlinien für die Erteilung klarer Anleitung für DUS-Prüfer und die Gewährleistung der Übe</w:t>
      </w:r>
      <w:r w:rsidR="00816ED2">
        <w:t>reinstimmung von Erfassungen sei</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tab/>
        <w:t xml:space="preserve">Die TWF vereinbarte, </w:t>
      </w:r>
      <w:proofErr w:type="spellStart"/>
      <w:r>
        <w:t>daß</w:t>
      </w:r>
      <w:proofErr w:type="spellEnd"/>
      <w:r>
        <w:t xml:space="preserve"> die Variation infolge verschiedener Erfass</w:t>
      </w:r>
      <w:r w:rsidR="000107D3">
        <w:t>er nicht maßgeblich für die DUS</w:t>
      </w:r>
      <w:r w:rsidR="000107D3">
        <w:noBreakHyphen/>
      </w:r>
      <w:r>
        <w:t>Prüfung von Obstarten sei, da die Erfassungen für gewöhnlich von einem einzigen Erfasser gemacht werden und die TWF es deshalb als unnötig erachte, Sachverständige für die Entwicklung weiterer Anleitung zum vorgeschlagenen</w:t>
      </w:r>
      <w:r w:rsidR="008E3FA5">
        <w:t xml:space="preserve"> Wortlaut zur</w:t>
      </w:r>
      <w:r>
        <w:t xml:space="preserve"> Aufnahme in TGP/8 Teil I: DUS-Prüfungsanlage und Datenanalyse, neuer Abschnitt: Minimierung der Variation in</w:t>
      </w:r>
      <w:r w:rsidR="008E3FA5">
        <w:t xml:space="preserve">folge verschiedener Erfasser, </w:t>
      </w:r>
      <w:r w:rsidR="004E33D2">
        <w:t>bei</w:t>
      </w:r>
      <w:r>
        <w:t xml:space="preserve"> eine</w:t>
      </w:r>
      <w:r w:rsidR="004E33D2">
        <w:t>r</w:t>
      </w:r>
      <w:r>
        <w:t xml:space="preserve"> künftige</w:t>
      </w:r>
      <w:r w:rsidR="004E33D2">
        <w:t>n</w:t>
      </w:r>
      <w:r>
        <w:t xml:space="preserve"> Überarbeitung von Dokument TGP/8</w:t>
      </w:r>
      <w:r w:rsidR="008E3FA5">
        <w:t>,</w:t>
      </w:r>
      <w:r>
        <w:t xml:space="preserve"> zur Verfügung zu stellen.</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tab/>
        <w:t xml:space="preserve">Die TWF merkte jedoch an, wie wichtig die Qualität der Prüfungsrichtlinien für die Erteilung klarer Anleitung für DUS-Prüfer und die Gewährleistung der Übereinstimmung von Erfassungen ist. In dieser Hinsicht erinnerte die TWF an die zuvor erstellte Arbeit über die Übereinstimmung von Sortenbeschreibungen bei Erdbeere und Apfel (vergleiche Dokument TWF/35/4). Die TWF schlug vor, </w:t>
      </w:r>
      <w:proofErr w:type="spellStart"/>
      <w:r>
        <w:t>daß</w:t>
      </w:r>
      <w:proofErr w:type="spellEnd"/>
      <w:r>
        <w:t xml:space="preserve"> der Sachverständige aus Neuseeland auf der fünfundvierzigsten Tagung über die Arbeit über die:</w:t>
      </w:r>
      <w:r w:rsidR="008E3FA5">
        <w:t xml:space="preserve"> „</w:t>
      </w:r>
      <w:r>
        <w:t>Veröffentlichung harmonisierter Sortenbeschreibungen für Apfel für eine vereinbarte Sortenserie“ berichten solle, um zu prüfen, ob sie für die weitere Entwicklung der Studie maßgeblich sein könnte.</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tab/>
        <w:t xml:space="preserve">Die TWV schlug vor, </w:t>
      </w:r>
      <w:proofErr w:type="spellStart"/>
      <w:r>
        <w:t>daß</w:t>
      </w:r>
      <w:proofErr w:type="spellEnd"/>
      <w:r>
        <w:t xml:space="preserve"> Sachverständige aus der Europäischen Union, Frankreich und den Niederlanden dem Verfasser bei der Entwicklung weiterer Anleitung zum vorgeschlagenen Wortlaut für die Aufnahme in TGP/8 Teil I: DUS-Prüfungsanlage und Datenanalyse, neuer Abschnitt: Minimierung der Variation in</w:t>
      </w:r>
      <w:r w:rsidR="008E3FA5">
        <w:t xml:space="preserve">folge verschiedener Erfasser, </w:t>
      </w:r>
      <w:r w:rsidR="004E33D2">
        <w:t>bei</w:t>
      </w:r>
      <w:r>
        <w:t xml:space="preserve"> eine</w:t>
      </w:r>
      <w:r w:rsidR="004E33D2">
        <w:t>r</w:t>
      </w:r>
      <w:r>
        <w:t xml:space="preserve"> künftige</w:t>
      </w:r>
      <w:r w:rsidR="004E33D2">
        <w:t>n</w:t>
      </w:r>
      <w:r>
        <w:t xml:space="preserve"> Überarbeitung von Dokumen</w:t>
      </w:r>
      <w:r w:rsidR="004E33D2">
        <w:t>t TGP/8, helfen sollten</w:t>
      </w:r>
      <w: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tab/>
        <w:t xml:space="preserve">Die TWV und die TWA nahmen zur Kenntnis, </w:t>
      </w:r>
      <w:proofErr w:type="spellStart"/>
      <w:r>
        <w:t>daß</w:t>
      </w:r>
      <w:proofErr w:type="spellEnd"/>
      <w:r>
        <w:t xml:space="preserve"> der Sachverständige aus den Niederlanden zusammen mit anderen Sachverständigen einen V</w:t>
      </w:r>
      <w:r w:rsidR="008E3FA5">
        <w:t>o</w:t>
      </w:r>
      <w:r>
        <w:t xml:space="preserve">rschlag für einen Wortlaut im Hinblick auf eine </w:t>
      </w:r>
      <w:r w:rsidR="008E3FA5">
        <w:t>künftige Anleitung zu</w:t>
      </w:r>
      <w:r>
        <w:t xml:space="preserve"> PQ- und QN/MG-Merkmale</w:t>
      </w:r>
      <w:r w:rsidR="008E3FA5">
        <w:t>n</w:t>
      </w:r>
      <w:r>
        <w:t xml:space="preserve"> zur Verbreitung an die Sachverständigengruppen und andere interessierte Parteien (TWP) verfassen werde.</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tab/>
        <w:t xml:space="preserve">Die TWC merkte an, </w:t>
      </w:r>
      <w:proofErr w:type="spellStart"/>
      <w:r>
        <w:t>daß</w:t>
      </w:r>
      <w:proofErr w:type="spellEnd"/>
      <w:r>
        <w:t xml:space="preserve"> der Verfasser aus den Niederlanden nicht mehr an den TWC-Tagungen teilnehme und </w:t>
      </w:r>
      <w:proofErr w:type="spellStart"/>
      <w:r>
        <w:t>daß</w:t>
      </w:r>
      <w:proofErr w:type="spellEnd"/>
      <w:r>
        <w:t xml:space="preserve"> es nicht möglich sei, (einen) andere(n) Sachverständige(n) der TWC zur Fortsetzung der Arbeit zu benennen. Die TWC nahm allerdings zur Kenntnis, </w:t>
      </w:r>
      <w:proofErr w:type="spellStart"/>
      <w:r>
        <w:t>daß</w:t>
      </w:r>
      <w:proofErr w:type="spellEnd"/>
      <w:r>
        <w:t xml:space="preserve"> die TWO und die TWV Sachverständige für die Entwicklung weiterer Anleitung zum vorgeschlagen Text zu</w:t>
      </w:r>
      <w:r w:rsidR="0059529B">
        <w:t>r Aufnahme in TGP/8 Teil I: DUS</w:t>
      </w:r>
      <w:r w:rsidR="0059529B">
        <w:noBreakHyphen/>
      </w:r>
      <w:r>
        <w:t>Prüfungsanlage und Datenanalyse, neuer Abschnitt: Minimierung der Variation in</w:t>
      </w:r>
      <w:r w:rsidR="004E33D2">
        <w:t>folge verschiedener Erfasser, bei</w:t>
      </w:r>
      <w:r>
        <w:t xml:space="preserve"> eine</w:t>
      </w:r>
      <w:r w:rsidR="004E33D2">
        <w:t>r</w:t>
      </w:r>
      <w:r>
        <w:t xml:space="preserve"> künftige</w:t>
      </w:r>
      <w:r w:rsidR="004E33D2">
        <w:t>n</w:t>
      </w:r>
      <w:r>
        <w:t xml:space="preserve"> Überarbeitung von Dokument TGP/8</w:t>
      </w:r>
      <w:r w:rsidR="000C6BDE">
        <w:t>,</w:t>
      </w:r>
      <w:r>
        <w:t xml:space="preserve"> im Hinbl</w:t>
      </w:r>
      <w:r w:rsidR="0059529B">
        <w:t>ick auf Anleitung zu PQ- und QN</w:t>
      </w:r>
      <w:r>
        <w:t>/MG-Merkmalen vorgeschlagen haben.</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Die TWC nahm zur Kenntnis, </w:t>
      </w:r>
      <w:proofErr w:type="spellStart"/>
      <w:r>
        <w:t>daß</w:t>
      </w:r>
      <w:proofErr w:type="spellEnd"/>
      <w:r>
        <w:t xml:space="preserve"> die TWF vorgeschlagen hatte, </w:t>
      </w:r>
      <w:proofErr w:type="spellStart"/>
      <w:r>
        <w:t>daß</w:t>
      </w:r>
      <w:proofErr w:type="spellEnd"/>
      <w:r>
        <w:t xml:space="preserve"> ein Sachverständiger aus Neuseeland auf ihrer fünfundvierzigsten Tagung über die Arbeit zur „Veröffentlichung harmonisierter Sortenbeschreibungen für Apfel für eine vereinbarte Sortenserie“ berichten werde, um zu prüfen, ob sie maßgeblich für die Weiterentwicklung der Studie sein könnte.</w:t>
      </w:r>
    </w:p>
    <w:p w:rsidR="00704EB7" w:rsidRDefault="00704EB7" w:rsidP="00704EB7"/>
    <w:p w:rsidR="00704EB7" w:rsidRPr="00084AC2" w:rsidRDefault="00704EB7" w:rsidP="00704EB7">
      <w:pPr>
        <w:keepLines/>
        <w:shd w:val="clear" w:color="auto" w:fill="FFFFFF"/>
      </w:pPr>
      <w:r w:rsidRPr="004B761D">
        <w:fldChar w:fldCharType="begin"/>
      </w:r>
      <w:r w:rsidRPr="004B761D">
        <w:instrText xml:space="preserve"> AUTONUM  </w:instrText>
      </w:r>
      <w:r w:rsidRPr="004B761D">
        <w:fldChar w:fldCharType="end"/>
      </w:r>
      <w:r>
        <w:tab/>
        <w:t xml:space="preserve">Die TWA schlug vor, </w:t>
      </w:r>
      <w:proofErr w:type="spellStart"/>
      <w:r>
        <w:t>daß</w:t>
      </w:r>
      <w:proofErr w:type="spellEnd"/>
      <w:r>
        <w:t xml:space="preserve"> TWA-Sachverständige aus Australien und den Niederlanden den Verfasser bei der Entwicklung weiterer Anlei</w:t>
      </w:r>
      <w:r w:rsidR="000C6BDE">
        <w:t>tung zu dem vorgeschlagenen Wortlaut</w:t>
      </w:r>
      <w:r>
        <w:t xml:space="preserve"> zur Aufnahme in TGP/8 Teil I: DUS-Prüfungsanlage und Datenanalyse, neuer Abschnitt: Minimierung der Variation in</w:t>
      </w:r>
      <w:r w:rsidR="00745974">
        <w:t>folge verschiedener Erfasser, bei</w:t>
      </w:r>
      <w:r>
        <w:t xml:space="preserve"> eine</w:t>
      </w:r>
      <w:r w:rsidR="00745974">
        <w:t>r</w:t>
      </w:r>
      <w:r>
        <w:t xml:space="preserve"> künftige</w:t>
      </w:r>
      <w:r w:rsidR="00745974">
        <w:t>n</w:t>
      </w:r>
      <w:r>
        <w:t xml:space="preserve"> Überarbeitung von Dokument TGP/8</w:t>
      </w:r>
      <w:r w:rsidR="00745974">
        <w:t>,</w:t>
      </w:r>
      <w:r>
        <w:t xml:space="preserve"> unterstützen</w:t>
      </w:r>
      <w:r w:rsidR="000C6BDE">
        <w:t xml:space="preserve"> sollten</w:t>
      </w:r>
      <w:r>
        <w:t>.</w:t>
      </w:r>
    </w:p>
    <w:p w:rsidR="00704EB7" w:rsidRPr="00F00C80" w:rsidRDefault="00704EB7" w:rsidP="00704EB7"/>
    <w:p w:rsidR="00704EB7" w:rsidRDefault="00704EB7" w:rsidP="00704EB7">
      <w:r w:rsidRPr="004B761D">
        <w:fldChar w:fldCharType="begin"/>
      </w:r>
      <w:r w:rsidRPr="004B761D">
        <w:instrText xml:space="preserve"> AUTONUM  </w:instrText>
      </w:r>
      <w:r w:rsidRPr="004B761D">
        <w:fldChar w:fldCharType="end"/>
      </w:r>
      <w:r>
        <w:tab/>
        <w:t>Herr Nik Hulse (Australien) stimmte zu, mit Unterstützung von Sachverständigen aus der Europäischen Union, Frankreich, Deutschland, den Niederlanden und dem Vereinigten Königreich einen Entwurf einer weiteren Anleitung zur Aufnahme in TGP/8 Teil I: DUS-Prüfungsanlage und Datenanalyse, neuer Abschnitt: Minimierung der Variation in</w:t>
      </w:r>
      <w:r w:rsidR="00745974">
        <w:t>folge verschiedener Erfasser, bei</w:t>
      </w:r>
      <w:r>
        <w:t xml:space="preserve"> eine</w:t>
      </w:r>
      <w:r w:rsidR="00745974">
        <w:t>r</w:t>
      </w:r>
      <w:r>
        <w:t xml:space="preserve"> künftige</w:t>
      </w:r>
      <w:r w:rsidR="00745974">
        <w:t>n</w:t>
      </w:r>
      <w:r>
        <w:t xml:space="preserve"> Überarbeitung von TGP/8</w:t>
      </w:r>
      <w:r w:rsidR="004E33D2">
        <w:t>,</w:t>
      </w:r>
      <w:r>
        <w:t xml:space="preserve"> im Hinblick auf Anleitung zu PQ- und QN/MG-Merkmalen zur Prüfung durch die TWP auf ihren Tagungen im Jahr 2014 zu verfassen. </w:t>
      </w:r>
    </w:p>
    <w:p w:rsidR="00704EB7" w:rsidRDefault="00704EB7" w:rsidP="00704EB7"/>
    <w:p w:rsidR="004B5768" w:rsidRPr="008A668D" w:rsidRDefault="004B5768" w:rsidP="004B5768">
      <w:pPr>
        <w:tabs>
          <w:tab w:val="left" w:pos="5103"/>
          <w:tab w:val="left" w:pos="5670"/>
        </w:tabs>
        <w:ind w:left="4536"/>
        <w:rPr>
          <w:i/>
        </w:rPr>
      </w:pPr>
      <w:r w:rsidRPr="008A668D">
        <w:rPr>
          <w:i/>
        </w:rPr>
        <w:fldChar w:fldCharType="begin"/>
      </w:r>
      <w:r w:rsidRPr="008A668D">
        <w:rPr>
          <w:i/>
        </w:rPr>
        <w:instrText xml:space="preserve"> AUTONUM  </w:instrText>
      </w:r>
      <w:r w:rsidRPr="008A668D">
        <w:rPr>
          <w:i/>
        </w:rPr>
        <w:fldChar w:fldCharType="end"/>
      </w:r>
      <w:r>
        <w:tab/>
      </w:r>
      <w:r>
        <w:rPr>
          <w:i/>
        </w:rPr>
        <w:t>Der TC wird ersucht,</w:t>
      </w:r>
    </w:p>
    <w:p w:rsidR="004B5768" w:rsidRPr="008A668D" w:rsidRDefault="004B5768" w:rsidP="004B5768">
      <w:pPr>
        <w:tabs>
          <w:tab w:val="left" w:pos="5103"/>
          <w:tab w:val="left" w:pos="5670"/>
        </w:tabs>
        <w:rPr>
          <w:i/>
        </w:rPr>
      </w:pPr>
    </w:p>
    <w:p w:rsidR="004B5768" w:rsidRPr="008A668D" w:rsidRDefault="004B5768" w:rsidP="004B5768">
      <w:pPr>
        <w:tabs>
          <w:tab w:val="left" w:pos="5103"/>
          <w:tab w:val="left" w:pos="5670"/>
        </w:tabs>
        <w:ind w:left="4536" w:firstLine="567"/>
        <w:rPr>
          <w:i/>
        </w:rPr>
      </w:pPr>
      <w:r>
        <w:rPr>
          <w:i/>
        </w:rPr>
        <w:t>a)</w:t>
      </w:r>
      <w:r>
        <w:tab/>
      </w:r>
      <w:r>
        <w:rPr>
          <w:i/>
        </w:rPr>
        <w:t xml:space="preserve">zur Kenntnis zu nehmen, </w:t>
      </w:r>
      <w:proofErr w:type="spellStart"/>
      <w:r>
        <w:rPr>
          <w:i/>
        </w:rPr>
        <w:t>daß</w:t>
      </w:r>
      <w:proofErr w:type="spellEnd"/>
      <w:r>
        <w:rPr>
          <w:i/>
        </w:rPr>
        <w:t xml:space="preserve"> die TWF einen Sachverständigen aus Neuseeland ersucht habe, auf ihrer Tagung im Jahr 2014 über die zuvor erstellte Arbeit über harmonisierte Sortenbeschreibung für Apfel für eine vereinbarte Sortenserie, wie in Absatz 17 dieses Dokuments dargelegt, zu berichten; und</w:t>
      </w:r>
    </w:p>
    <w:p w:rsidR="004B5768" w:rsidRPr="008A668D" w:rsidRDefault="004B5768" w:rsidP="004B5768">
      <w:pPr>
        <w:tabs>
          <w:tab w:val="left" w:pos="5103"/>
          <w:tab w:val="left" w:pos="5670"/>
        </w:tabs>
        <w:ind w:left="4536" w:firstLine="567"/>
        <w:rPr>
          <w:i/>
        </w:rPr>
      </w:pPr>
    </w:p>
    <w:p w:rsidR="004B5768" w:rsidRPr="004B5768" w:rsidRDefault="004B5768" w:rsidP="004B5768">
      <w:pPr>
        <w:tabs>
          <w:tab w:val="left" w:pos="4536"/>
          <w:tab w:val="left" w:pos="5670"/>
        </w:tabs>
        <w:ind w:left="4536" w:firstLine="567"/>
        <w:rPr>
          <w:i/>
        </w:rPr>
      </w:pPr>
      <w:r>
        <w:rPr>
          <w:i/>
        </w:rPr>
        <w:t>b) den Sachverständigen aus Australien zu ersuchen, mit Unterstützung von Sachverständigen aus der Europäischen Union, Frankreich, Deutschland, den Niederlanden und dem Vereinigten Königreich einen Entwurf einer weiteren Anleitung zur Aufnahme in eine künftige Überarbeitung von Dokument TGP/8 über die Minimierung der Variation infolge verschiedener Erfasser, einschließlich einer Anleitung zu PQ- und QN/MG-Merkmalen zur Prüfung durch die TWP auf ihren Tagungen im Jahr 2014 zu verfassen.</w:t>
      </w:r>
    </w:p>
    <w:p w:rsidR="004B5768" w:rsidRDefault="004B5768" w:rsidP="004B5768">
      <w:pPr>
        <w:tabs>
          <w:tab w:val="left" w:pos="4536"/>
          <w:tab w:val="left" w:pos="5670"/>
        </w:tabs>
        <w:ind w:left="4536" w:firstLine="567"/>
        <w:rPr>
          <w:i/>
        </w:rPr>
      </w:pPr>
    </w:p>
    <w:p w:rsidR="0059529B" w:rsidRPr="008A668D" w:rsidRDefault="0059529B" w:rsidP="004B5768">
      <w:pPr>
        <w:tabs>
          <w:tab w:val="left" w:pos="4536"/>
          <w:tab w:val="left" w:pos="5670"/>
        </w:tabs>
        <w:ind w:left="4536" w:firstLine="567"/>
        <w:rPr>
          <w:i/>
        </w:rPr>
      </w:pPr>
    </w:p>
    <w:p w:rsidR="00704EB7" w:rsidRPr="007D4259" w:rsidRDefault="00704EB7" w:rsidP="00704EB7"/>
    <w:p w:rsidR="00050E16" w:rsidRPr="00C5280D" w:rsidRDefault="00050E16" w:rsidP="00050E16">
      <w:pPr>
        <w:jc w:val="right"/>
      </w:pPr>
      <w:r>
        <w:t xml:space="preserve"> [Ende des Dokuments]</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40" w:rsidRDefault="00AE3340" w:rsidP="006655D3">
      <w:r>
        <w:separator/>
      </w:r>
    </w:p>
    <w:p w:rsidR="00AE3340" w:rsidRDefault="00AE3340" w:rsidP="006655D3"/>
    <w:p w:rsidR="00AE3340" w:rsidRDefault="00AE3340" w:rsidP="006655D3"/>
  </w:endnote>
  <w:endnote w:type="continuationSeparator" w:id="0">
    <w:p w:rsidR="00AE3340" w:rsidRDefault="00AE3340" w:rsidP="006655D3">
      <w:r>
        <w:separator/>
      </w:r>
    </w:p>
    <w:p w:rsidR="00AE3340" w:rsidRPr="00704EB7" w:rsidRDefault="00AE3340">
      <w:pPr>
        <w:pStyle w:val="Footer"/>
        <w:spacing w:after="60"/>
        <w:rPr>
          <w:sz w:val="18"/>
          <w:lang w:val="fr-FR"/>
        </w:rPr>
      </w:pPr>
      <w:r w:rsidRPr="00704EB7">
        <w:rPr>
          <w:sz w:val="18"/>
          <w:lang w:val="fr-FR"/>
        </w:rPr>
        <w:t>[Suite de la note de la page précédente]</w:t>
      </w:r>
    </w:p>
    <w:p w:rsidR="00AE3340" w:rsidRPr="00704EB7" w:rsidRDefault="00AE3340" w:rsidP="006655D3">
      <w:pPr>
        <w:rPr>
          <w:lang w:val="fr-FR"/>
        </w:rPr>
      </w:pPr>
    </w:p>
    <w:p w:rsidR="00AE3340" w:rsidRPr="00704EB7" w:rsidRDefault="00AE3340" w:rsidP="006655D3">
      <w:pPr>
        <w:rPr>
          <w:lang w:val="fr-FR"/>
        </w:rPr>
      </w:pPr>
    </w:p>
  </w:endnote>
  <w:endnote w:type="continuationNotice" w:id="1">
    <w:p w:rsidR="00AE3340" w:rsidRPr="00704EB7" w:rsidRDefault="00AE3340" w:rsidP="006655D3">
      <w:pPr>
        <w:rPr>
          <w:lang w:val="fr-FR"/>
        </w:rPr>
      </w:pPr>
      <w:r w:rsidRPr="00704EB7">
        <w:rPr>
          <w:lang w:val="fr-FR"/>
        </w:rPr>
        <w:t>[Suite de la note page suivante]</w:t>
      </w:r>
    </w:p>
    <w:p w:rsidR="00AE3340" w:rsidRPr="00704EB7" w:rsidRDefault="00AE3340" w:rsidP="006655D3">
      <w:pPr>
        <w:rPr>
          <w:lang w:val="fr-FR"/>
        </w:rPr>
      </w:pPr>
    </w:p>
    <w:p w:rsidR="00AE3340" w:rsidRPr="00704EB7" w:rsidRDefault="00AE33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40" w:rsidRDefault="00AE3340" w:rsidP="006655D3">
      <w:r>
        <w:separator/>
      </w:r>
    </w:p>
  </w:footnote>
  <w:footnote w:type="continuationSeparator" w:id="0">
    <w:p w:rsidR="00AE3340" w:rsidRDefault="00AE3340" w:rsidP="006655D3">
      <w:r>
        <w:separator/>
      </w:r>
    </w:p>
  </w:footnote>
  <w:footnote w:type="continuationNotice" w:id="1">
    <w:p w:rsidR="00AE3340" w:rsidRPr="00AB530F" w:rsidRDefault="00AE334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TC/50/21</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6E36">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7D3"/>
    <w:rsid w:val="00010CF3"/>
    <w:rsid w:val="00011E27"/>
    <w:rsid w:val="000148BC"/>
    <w:rsid w:val="00024AB8"/>
    <w:rsid w:val="00030854"/>
    <w:rsid w:val="00036028"/>
    <w:rsid w:val="00044642"/>
    <w:rsid w:val="000446B9"/>
    <w:rsid w:val="00047E21"/>
    <w:rsid w:val="00050E16"/>
    <w:rsid w:val="00085505"/>
    <w:rsid w:val="000B42A0"/>
    <w:rsid w:val="000C6BDE"/>
    <w:rsid w:val="000C7021"/>
    <w:rsid w:val="000D6BBC"/>
    <w:rsid w:val="000D7780"/>
    <w:rsid w:val="000D77AD"/>
    <w:rsid w:val="000E1E8E"/>
    <w:rsid w:val="000F2F11"/>
    <w:rsid w:val="00105929"/>
    <w:rsid w:val="001131D5"/>
    <w:rsid w:val="00141DB8"/>
    <w:rsid w:val="0017474A"/>
    <w:rsid w:val="001758C6"/>
    <w:rsid w:val="00182B99"/>
    <w:rsid w:val="0021332C"/>
    <w:rsid w:val="00213982"/>
    <w:rsid w:val="0022282D"/>
    <w:rsid w:val="00227C28"/>
    <w:rsid w:val="0024416D"/>
    <w:rsid w:val="00271911"/>
    <w:rsid w:val="00277E2D"/>
    <w:rsid w:val="002800A0"/>
    <w:rsid w:val="002801B3"/>
    <w:rsid w:val="00281060"/>
    <w:rsid w:val="00282529"/>
    <w:rsid w:val="002940E8"/>
    <w:rsid w:val="002A6E50"/>
    <w:rsid w:val="002C256A"/>
    <w:rsid w:val="002D0CBC"/>
    <w:rsid w:val="00305A7F"/>
    <w:rsid w:val="003152FE"/>
    <w:rsid w:val="0032418F"/>
    <w:rsid w:val="00327436"/>
    <w:rsid w:val="00344BD6"/>
    <w:rsid w:val="0035528D"/>
    <w:rsid w:val="00361821"/>
    <w:rsid w:val="00373B0C"/>
    <w:rsid w:val="003C5FD1"/>
    <w:rsid w:val="003D227C"/>
    <w:rsid w:val="003D2B4D"/>
    <w:rsid w:val="00444A88"/>
    <w:rsid w:val="00474DA4"/>
    <w:rsid w:val="00476B4D"/>
    <w:rsid w:val="004805FA"/>
    <w:rsid w:val="004B5768"/>
    <w:rsid w:val="004D047D"/>
    <w:rsid w:val="004E33D2"/>
    <w:rsid w:val="004F305A"/>
    <w:rsid w:val="00512164"/>
    <w:rsid w:val="00520297"/>
    <w:rsid w:val="005338F9"/>
    <w:rsid w:val="0053429E"/>
    <w:rsid w:val="0054281C"/>
    <w:rsid w:val="0055268D"/>
    <w:rsid w:val="00576BE4"/>
    <w:rsid w:val="0059529B"/>
    <w:rsid w:val="005A400A"/>
    <w:rsid w:val="00612379"/>
    <w:rsid w:val="0061555F"/>
    <w:rsid w:val="00641200"/>
    <w:rsid w:val="006655D3"/>
    <w:rsid w:val="00667404"/>
    <w:rsid w:val="00687EB4"/>
    <w:rsid w:val="006B17D2"/>
    <w:rsid w:val="006C224E"/>
    <w:rsid w:val="006D780A"/>
    <w:rsid w:val="00704EB7"/>
    <w:rsid w:val="00713E73"/>
    <w:rsid w:val="00732DEC"/>
    <w:rsid w:val="00735BD5"/>
    <w:rsid w:val="00737C00"/>
    <w:rsid w:val="00745974"/>
    <w:rsid w:val="007556F6"/>
    <w:rsid w:val="00757FD5"/>
    <w:rsid w:val="00760EEF"/>
    <w:rsid w:val="00777EE5"/>
    <w:rsid w:val="00784836"/>
    <w:rsid w:val="0079023E"/>
    <w:rsid w:val="00797356"/>
    <w:rsid w:val="007A2854"/>
    <w:rsid w:val="007D0B9D"/>
    <w:rsid w:val="007D19B0"/>
    <w:rsid w:val="007D7322"/>
    <w:rsid w:val="007F498F"/>
    <w:rsid w:val="0080679D"/>
    <w:rsid w:val="008108B0"/>
    <w:rsid w:val="00811B20"/>
    <w:rsid w:val="00816ED2"/>
    <w:rsid w:val="0082296E"/>
    <w:rsid w:val="00824099"/>
    <w:rsid w:val="00846003"/>
    <w:rsid w:val="00867AC1"/>
    <w:rsid w:val="008A743F"/>
    <w:rsid w:val="008C0970"/>
    <w:rsid w:val="008D2CF7"/>
    <w:rsid w:val="008E3FA5"/>
    <w:rsid w:val="00900C26"/>
    <w:rsid w:val="0090197F"/>
    <w:rsid w:val="00906DDC"/>
    <w:rsid w:val="00934E09"/>
    <w:rsid w:val="00936253"/>
    <w:rsid w:val="00952DD4"/>
    <w:rsid w:val="00970FED"/>
    <w:rsid w:val="00992D82"/>
    <w:rsid w:val="00997029"/>
    <w:rsid w:val="009D305B"/>
    <w:rsid w:val="009D690D"/>
    <w:rsid w:val="009E65B6"/>
    <w:rsid w:val="00A23E6D"/>
    <w:rsid w:val="00A24C10"/>
    <w:rsid w:val="00A42AC3"/>
    <w:rsid w:val="00A430CF"/>
    <w:rsid w:val="00A54309"/>
    <w:rsid w:val="00AA342C"/>
    <w:rsid w:val="00AB2B93"/>
    <w:rsid w:val="00AB530F"/>
    <w:rsid w:val="00AB7E5B"/>
    <w:rsid w:val="00AE0EF1"/>
    <w:rsid w:val="00AE2937"/>
    <w:rsid w:val="00AE3340"/>
    <w:rsid w:val="00B07301"/>
    <w:rsid w:val="00B224DE"/>
    <w:rsid w:val="00B27346"/>
    <w:rsid w:val="00B46575"/>
    <w:rsid w:val="00B46E36"/>
    <w:rsid w:val="00B84BBD"/>
    <w:rsid w:val="00BA43FB"/>
    <w:rsid w:val="00BC127D"/>
    <w:rsid w:val="00BC1FE6"/>
    <w:rsid w:val="00BE0D27"/>
    <w:rsid w:val="00C061B6"/>
    <w:rsid w:val="00C222B7"/>
    <w:rsid w:val="00C2446C"/>
    <w:rsid w:val="00C31582"/>
    <w:rsid w:val="00C36AE5"/>
    <w:rsid w:val="00C41F17"/>
    <w:rsid w:val="00C5280D"/>
    <w:rsid w:val="00C5791C"/>
    <w:rsid w:val="00C66290"/>
    <w:rsid w:val="00C72B7A"/>
    <w:rsid w:val="00C973F2"/>
    <w:rsid w:val="00CA304C"/>
    <w:rsid w:val="00CA774A"/>
    <w:rsid w:val="00CC0462"/>
    <w:rsid w:val="00CC11B0"/>
    <w:rsid w:val="00CF7E36"/>
    <w:rsid w:val="00D3708D"/>
    <w:rsid w:val="00D40426"/>
    <w:rsid w:val="00D57C96"/>
    <w:rsid w:val="00D91203"/>
    <w:rsid w:val="00D95174"/>
    <w:rsid w:val="00DA6F36"/>
    <w:rsid w:val="00DB596E"/>
    <w:rsid w:val="00DB7773"/>
    <w:rsid w:val="00DC00EA"/>
    <w:rsid w:val="00E00DD4"/>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C31582"/>
    <w:pPr>
      <w:tabs>
        <w:tab w:val="right" w:leader="dot" w:pos="9639"/>
      </w:tabs>
      <w:spacing w:line="276" w:lineRule="auto"/>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de-DE"/>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C31582"/>
    <w:pPr>
      <w:tabs>
        <w:tab w:val="right" w:leader="dot" w:pos="9639"/>
      </w:tabs>
      <w:spacing w:line="276" w:lineRule="auto"/>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de-DE"/>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289F-FBA8-4880-8271-461048E1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4</TotalTime>
  <Pages>5</Pages>
  <Words>1776</Words>
  <Characters>12133</Characters>
  <Application>Microsoft Office Word</Application>
  <DocSecurity>0</DocSecurity>
  <Lines>101</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tc_5_xx_xxx</vt:lpstr>
      <vt:lpstr>tc_5_xx_xxx</vt:lpstr>
    </vt:vector>
  </TitlesOfParts>
  <Company>UPOV</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OERTEL Romy</cp:lastModifiedBy>
  <cp:revision>15</cp:revision>
  <cp:lastPrinted>2014-01-23T14:40:00Z</cp:lastPrinted>
  <dcterms:created xsi:type="dcterms:W3CDTF">2014-02-10T13:39:00Z</dcterms:created>
  <dcterms:modified xsi:type="dcterms:W3CDTF">2014-02-12T13:47:00Z</dcterms:modified>
</cp:coreProperties>
</file>