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354075" w:rsidP="006655D3">
            <w:pPr>
              <w:pStyle w:val="LogoUPOV"/>
            </w:pPr>
            <w:r>
              <w:rPr>
                <w:noProof/>
                <w:lang w:val="en-US" w:eastAsia="en-US" w:bidi="ar-SA"/>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0" w:name="Code"/>
            <w:bookmarkEnd w:id="0"/>
            <w:r>
              <w:t>19</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r>
              <w:rPr>
                <w:spacing w:val="0"/>
              </w:rPr>
              <w:t xml:space="preserve"> </w:t>
            </w:r>
            <w:bookmarkStart w:id="1" w:name="Original"/>
            <w:bookmarkEnd w:id="1"/>
            <w:r>
              <w:rPr>
                <w:b w:val="0"/>
                <w:spacing w:val="0"/>
              </w:rPr>
              <w:t>englisch</w:t>
            </w:r>
          </w:p>
          <w:p w:rsidR="000D7780" w:rsidRPr="00C5280D" w:rsidRDefault="000D7780" w:rsidP="00C45A4E">
            <w:pPr>
              <w:pStyle w:val="Docoriginal"/>
            </w:pPr>
            <w:r>
              <w:rPr>
                <w:spacing w:val="0"/>
              </w:rPr>
              <w:t xml:space="preserve">DATUM: </w:t>
            </w:r>
            <w:r>
              <w:rPr>
                <w:rStyle w:val="StyleDocoriginalNotBold1"/>
                <w:spacing w:val="0"/>
              </w:rPr>
              <w:t xml:space="preserve"> </w:t>
            </w:r>
            <w:bookmarkStart w:id="2" w:name="Date"/>
            <w:bookmarkEnd w:id="2"/>
            <w:r w:rsidR="00BA6737">
              <w:rPr>
                <w:b w:val="0"/>
                <w:spacing w:val="0"/>
              </w:rPr>
              <w:t>19</w:t>
            </w:r>
            <w:bookmarkStart w:id="3" w:name="_GoBack"/>
            <w:bookmarkEnd w:id="3"/>
            <w:r>
              <w:rPr>
                <w:b w:val="0"/>
                <w:spacing w:val="0"/>
              </w:rPr>
              <w:t>. Januar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306B1D" w:rsidRDefault="00306B1D" w:rsidP="006655D3">
      <w:pPr>
        <w:pStyle w:val="Titleofdoc0"/>
      </w:pPr>
      <w:bookmarkStart w:id="4" w:name="TitleOfDoc"/>
      <w:bookmarkEnd w:id="4"/>
      <w:r>
        <w:t>Überarbeitung von Dokument TGP/7: Bereitstellung von Farbabbildungen in Prüfungsrichtlinien</w:t>
      </w:r>
    </w:p>
    <w:p w:rsidR="00050E16" w:rsidRPr="00C5280D" w:rsidRDefault="00AE0EF1" w:rsidP="00050E16">
      <w:pPr>
        <w:pStyle w:val="preparedby1"/>
      </w:pPr>
      <w:bookmarkStart w:id="5" w:name="Prepared"/>
      <w:bookmarkEnd w:id="5"/>
      <w:r>
        <w:t>vom Verbandsbüro erstelltes Dokument</w:t>
      </w:r>
      <w:r>
        <w:br/>
      </w:r>
      <w:r>
        <w:br/>
      </w:r>
      <w:r>
        <w:rPr>
          <w:color w:val="A6A6A6"/>
        </w:rPr>
        <w:t>Haftungsausschluß:  dieses Dokument gibt nicht die Grundsätze oder eine Anleitung der UPOV wieder</w:t>
      </w:r>
    </w:p>
    <w:p w:rsidR="00A445B4" w:rsidRDefault="00A445B4" w:rsidP="00A445B4">
      <w:pPr>
        <w:rPr>
          <w:snapToGrid w:val="0"/>
        </w:rPr>
      </w:pPr>
      <w:r>
        <w:rPr>
          <w:snapToGrid w:val="0"/>
        </w:rPr>
        <w:fldChar w:fldCharType="begin"/>
      </w:r>
      <w:r>
        <w:rPr>
          <w:snapToGrid w:val="0"/>
        </w:rPr>
        <w:instrText xml:space="preserve"> AUTONUM  </w:instrText>
      </w:r>
      <w:r>
        <w:rPr>
          <w:snapToGrid w:val="0"/>
        </w:rPr>
        <w:fldChar w:fldCharType="end"/>
      </w:r>
      <w:r>
        <w:tab/>
        <w:t>Zweck dieses Dokuments ist es, einen Vorschlag für Anleitung zur Bereitstellung von Farbabbildungen in Prüfungsrichtlinien darzulegen.</w:t>
      </w:r>
    </w:p>
    <w:p w:rsidR="00A445B4" w:rsidRDefault="00A445B4" w:rsidP="00A445B4">
      <w:pPr>
        <w:rPr>
          <w:snapToGrid w:val="0"/>
        </w:rPr>
      </w:pPr>
    </w:p>
    <w:p w:rsidR="00A445B4" w:rsidRDefault="00A445B4" w:rsidP="00A445B4">
      <w:pPr>
        <w:rPr>
          <w:rFonts w:cs="Arial"/>
          <w:color w:val="000000"/>
        </w:rPr>
      </w:pPr>
      <w:r>
        <w:rPr>
          <w:snapToGrid w:val="0"/>
        </w:rPr>
        <w:fldChar w:fldCharType="begin"/>
      </w:r>
      <w:r>
        <w:rPr>
          <w:snapToGrid w:val="0"/>
        </w:rPr>
        <w:instrText xml:space="preserve"> AUTONUM  </w:instrText>
      </w:r>
      <w:r>
        <w:rPr>
          <w:snapToGrid w:val="0"/>
        </w:rPr>
        <w:fldChar w:fldCharType="end"/>
      </w:r>
      <w:r>
        <w:tab/>
      </w:r>
      <w:r>
        <w:rPr>
          <w:color w:val="000000"/>
        </w:rPr>
        <w:t>In diesem Dokument werden folgende Abkürzungen verwendet:</w:t>
      </w:r>
    </w:p>
    <w:p w:rsidR="00A445B4" w:rsidRDefault="00A445B4" w:rsidP="00A445B4">
      <w:pPr>
        <w:rPr>
          <w:rFonts w:cs="Arial"/>
          <w:color w:val="000000"/>
        </w:rPr>
      </w:pPr>
    </w:p>
    <w:p w:rsidR="00A445B4" w:rsidRPr="00322838" w:rsidRDefault="00A445B4" w:rsidP="00A445B4">
      <w:pPr>
        <w:rPr>
          <w:rFonts w:cs="Arial"/>
        </w:rPr>
      </w:pPr>
      <w:r>
        <w:tab/>
        <w:t>TC:</w:t>
      </w:r>
      <w:r>
        <w:tab/>
      </w:r>
      <w:r>
        <w:tab/>
        <w:t>Technischer Ausschuß</w:t>
      </w:r>
    </w:p>
    <w:p w:rsidR="00A445B4" w:rsidRPr="00322838" w:rsidRDefault="00A445B4" w:rsidP="00A445B4">
      <w:pPr>
        <w:rPr>
          <w:rFonts w:eastAsia="PMingLiU" w:cs="Arial"/>
          <w:szCs w:val="24"/>
        </w:rPr>
      </w:pPr>
      <w:r>
        <w:tab/>
      </w:r>
      <w:r>
        <w:rPr>
          <w:szCs w:val="24"/>
        </w:rPr>
        <w:t>TC-EDC:</w:t>
      </w:r>
      <w:r>
        <w:tab/>
      </w:r>
      <w:r>
        <w:rPr>
          <w:szCs w:val="24"/>
        </w:rPr>
        <w:t>Erweiterter Redaktionsausschuß</w:t>
      </w:r>
    </w:p>
    <w:p w:rsidR="00A445B4" w:rsidRPr="00322838" w:rsidRDefault="00A445B4" w:rsidP="00A445B4">
      <w:pPr>
        <w:rPr>
          <w:rFonts w:eastAsia="PMingLiU" w:cs="Arial"/>
          <w:szCs w:val="24"/>
        </w:rPr>
      </w:pPr>
      <w:r>
        <w:tab/>
      </w:r>
      <w:r>
        <w:rPr>
          <w:szCs w:val="24"/>
        </w:rPr>
        <w:t>TWA:</w:t>
      </w:r>
      <w:r>
        <w:tab/>
      </w:r>
      <w:r>
        <w:tab/>
      </w:r>
      <w:r>
        <w:rPr>
          <w:szCs w:val="24"/>
        </w:rPr>
        <w:t>Technische Arbeitsgruppe für landwirtschaftliche Arten</w:t>
      </w:r>
    </w:p>
    <w:p w:rsidR="00A445B4" w:rsidRPr="00322838" w:rsidRDefault="00A445B4" w:rsidP="00A445B4">
      <w:pPr>
        <w:rPr>
          <w:rFonts w:eastAsia="PMingLiU" w:cs="Arial"/>
          <w:szCs w:val="24"/>
        </w:rPr>
      </w:pPr>
      <w:r>
        <w:tab/>
      </w:r>
      <w:r>
        <w:rPr>
          <w:szCs w:val="24"/>
        </w:rPr>
        <w:t>TWC:</w:t>
      </w:r>
      <w:r>
        <w:tab/>
      </w:r>
      <w:r>
        <w:tab/>
      </w:r>
      <w:r>
        <w:rPr>
          <w:szCs w:val="24"/>
        </w:rPr>
        <w:t>Technische Arbeitsgruppe für Automatisierung und Computerprogramme</w:t>
      </w:r>
    </w:p>
    <w:p w:rsidR="00A445B4" w:rsidRPr="00322838" w:rsidRDefault="00A445B4" w:rsidP="00A445B4">
      <w:pPr>
        <w:rPr>
          <w:rFonts w:eastAsia="PMingLiU" w:cs="Arial"/>
          <w:szCs w:val="24"/>
        </w:rPr>
      </w:pPr>
      <w:r>
        <w:tab/>
      </w:r>
      <w:r>
        <w:rPr>
          <w:szCs w:val="24"/>
        </w:rPr>
        <w:t xml:space="preserve">TWF: </w:t>
      </w:r>
      <w:r>
        <w:tab/>
      </w:r>
      <w:r>
        <w:tab/>
      </w:r>
      <w:r>
        <w:rPr>
          <w:szCs w:val="24"/>
        </w:rPr>
        <w:t>Technische Arbeitsgruppe für Obstarten</w:t>
      </w:r>
    </w:p>
    <w:p w:rsidR="00A445B4" w:rsidRPr="00322838" w:rsidRDefault="00A445B4" w:rsidP="00A445B4">
      <w:pPr>
        <w:rPr>
          <w:rFonts w:eastAsia="PMingLiU" w:cs="Arial"/>
          <w:szCs w:val="24"/>
        </w:rPr>
      </w:pPr>
      <w:r>
        <w:tab/>
      </w:r>
      <w:r>
        <w:rPr>
          <w:szCs w:val="24"/>
        </w:rPr>
        <w:t>TWO:</w:t>
      </w:r>
      <w:r>
        <w:tab/>
      </w:r>
      <w:r>
        <w:tab/>
      </w:r>
      <w:r>
        <w:rPr>
          <w:szCs w:val="24"/>
        </w:rPr>
        <w:t>Technische Arbeitsgruppe für Zierpflanzen und forstliche Baumarten</w:t>
      </w:r>
    </w:p>
    <w:p w:rsidR="00A445B4" w:rsidRPr="00322838" w:rsidRDefault="00A445B4" w:rsidP="00A445B4">
      <w:pPr>
        <w:rPr>
          <w:rFonts w:eastAsia="PMingLiU" w:cs="Arial"/>
          <w:szCs w:val="24"/>
        </w:rPr>
      </w:pPr>
      <w:r>
        <w:tab/>
      </w:r>
      <w:r>
        <w:rPr>
          <w:szCs w:val="24"/>
        </w:rPr>
        <w:t>TWP:</w:t>
      </w:r>
      <w:r>
        <w:tab/>
      </w:r>
      <w:r w:rsidR="00F30573">
        <w:tab/>
      </w:r>
      <w:r>
        <w:rPr>
          <w:szCs w:val="24"/>
        </w:rPr>
        <w:t>Technische Arbeitsgruppen</w:t>
      </w:r>
    </w:p>
    <w:p w:rsidR="00A445B4" w:rsidRPr="00FF5F20" w:rsidRDefault="00A445B4" w:rsidP="00A445B4">
      <w:pPr>
        <w:rPr>
          <w:rFonts w:eastAsia="PMingLiU" w:cs="Arial"/>
          <w:szCs w:val="24"/>
        </w:rPr>
      </w:pPr>
      <w:r>
        <w:tab/>
      </w:r>
      <w:r>
        <w:rPr>
          <w:szCs w:val="24"/>
        </w:rPr>
        <w:t>TWV:</w:t>
      </w:r>
      <w:r>
        <w:tab/>
      </w:r>
      <w:r>
        <w:tab/>
      </w:r>
      <w:r>
        <w:rPr>
          <w:szCs w:val="24"/>
        </w:rPr>
        <w:t>Technische Arbeitsgruppe für Gemüsearten</w:t>
      </w:r>
    </w:p>
    <w:p w:rsidR="00A445B4" w:rsidRDefault="00A445B4" w:rsidP="00A445B4">
      <w:pPr>
        <w:rPr>
          <w:snapToGrid w:val="0"/>
        </w:rPr>
      </w:pPr>
    </w:p>
    <w:p w:rsidR="00A445B4" w:rsidRDefault="00A445B4" w:rsidP="00A445B4">
      <w:pPr>
        <w:jc w:val="left"/>
        <w:rPr>
          <w:rFonts w:cs="Arial"/>
          <w:color w:val="000000"/>
        </w:rPr>
      </w:pPr>
      <w:r>
        <w:rPr>
          <w:rFonts w:cs="Arial"/>
        </w:rPr>
        <w:fldChar w:fldCharType="begin"/>
      </w:r>
      <w:r>
        <w:rPr>
          <w:rFonts w:cs="Arial"/>
        </w:rPr>
        <w:instrText xml:space="preserve"> AUTONUM  </w:instrText>
      </w:r>
      <w:r>
        <w:rPr>
          <w:rFonts w:cs="Arial"/>
        </w:rPr>
        <w:fldChar w:fldCharType="end"/>
      </w:r>
      <w:r>
        <w:tab/>
        <w:t>Der Aufbau dieses Dokuments ist wie folgt:</w:t>
      </w:r>
    </w:p>
    <w:p w:rsidR="00A445B4" w:rsidRDefault="00A445B4" w:rsidP="00A445B4">
      <w:pPr>
        <w:pStyle w:val="Heading1"/>
      </w:pPr>
    </w:p>
    <w:p w:rsidR="00A445B4" w:rsidRPr="00384E3C" w:rsidRDefault="00A445B4" w:rsidP="00A445B4">
      <w:pPr>
        <w:pStyle w:val="TOCHeading"/>
        <w:tabs>
          <w:tab w:val="left" w:pos="1881"/>
        </w:tabs>
        <w:spacing w:before="0"/>
        <w:rPr>
          <w:rFonts w:ascii="Arial" w:hAnsi="Arial" w:cs="Arial"/>
          <w:sz w:val="2"/>
        </w:rPr>
      </w:pPr>
    </w:p>
    <w:p w:rsidR="00CE4C74" w:rsidRDefault="00A730CD">
      <w:pPr>
        <w:pStyle w:val="TOC1"/>
        <w:rPr>
          <w:rFonts w:asciiTheme="minorHAnsi" w:eastAsiaTheme="minorEastAsia" w:hAnsiTheme="minorHAnsi" w:cstheme="minorBidi"/>
          <w:caps w:val="0"/>
          <w:noProof/>
          <w:sz w:val="22"/>
          <w:szCs w:val="22"/>
          <w:lang w:val="en-US" w:eastAsia="en-US" w:bidi="ar-SA"/>
        </w:rPr>
      </w:pPr>
      <w:r>
        <w:fldChar w:fldCharType="begin"/>
      </w:r>
      <w:r>
        <w:instrText xml:space="preserve"> TOC \o "1-5" \h \z \u </w:instrText>
      </w:r>
      <w:r>
        <w:fldChar w:fldCharType="separate"/>
      </w:r>
      <w:hyperlink w:anchor="_Toc378603964" w:history="1">
        <w:r w:rsidR="00CE4C74" w:rsidRPr="00901704">
          <w:rPr>
            <w:rStyle w:val="Hyperlink"/>
            <w:noProof/>
          </w:rPr>
          <w:t>HINTERGRUND</w:t>
        </w:r>
        <w:r w:rsidR="00CE4C74">
          <w:rPr>
            <w:noProof/>
            <w:webHidden/>
          </w:rPr>
          <w:tab/>
        </w:r>
        <w:r w:rsidR="00CE4C74">
          <w:rPr>
            <w:noProof/>
            <w:webHidden/>
          </w:rPr>
          <w:fldChar w:fldCharType="begin"/>
        </w:r>
        <w:r w:rsidR="00CE4C74">
          <w:rPr>
            <w:noProof/>
            <w:webHidden/>
          </w:rPr>
          <w:instrText xml:space="preserve"> PAGEREF _Toc378603964 \h </w:instrText>
        </w:r>
        <w:r w:rsidR="00CE4C74">
          <w:rPr>
            <w:noProof/>
            <w:webHidden/>
          </w:rPr>
        </w:r>
        <w:r w:rsidR="00CE4C74">
          <w:rPr>
            <w:noProof/>
            <w:webHidden/>
          </w:rPr>
          <w:fldChar w:fldCharType="separate"/>
        </w:r>
        <w:r w:rsidR="00BA6737">
          <w:rPr>
            <w:noProof/>
            <w:webHidden/>
          </w:rPr>
          <w:t>2</w:t>
        </w:r>
        <w:r w:rsidR="00CE4C74">
          <w:rPr>
            <w:noProof/>
            <w:webHidden/>
          </w:rPr>
          <w:fldChar w:fldCharType="end"/>
        </w:r>
      </w:hyperlink>
    </w:p>
    <w:p w:rsidR="00CE4C74" w:rsidRDefault="00BA6737">
      <w:pPr>
        <w:pStyle w:val="TOC1"/>
        <w:rPr>
          <w:rFonts w:asciiTheme="minorHAnsi" w:eastAsiaTheme="minorEastAsia" w:hAnsiTheme="minorHAnsi" w:cstheme="minorBidi"/>
          <w:caps w:val="0"/>
          <w:noProof/>
          <w:sz w:val="22"/>
          <w:szCs w:val="22"/>
          <w:lang w:val="en-US" w:eastAsia="en-US" w:bidi="ar-SA"/>
        </w:rPr>
      </w:pPr>
      <w:hyperlink w:anchor="_Toc378603965" w:history="1">
        <w:r w:rsidR="00CE4C74" w:rsidRPr="00901704">
          <w:rPr>
            <w:rStyle w:val="Hyperlink"/>
            <w:noProof/>
          </w:rPr>
          <w:t>Von den TWP im Jahr 2013 geprüfter ENTWURF EINER ANLEITUNG zu den Gefahren der Bereitstellung von Farbabbildungen in Prüfungsrichtlinien</w:t>
        </w:r>
        <w:r w:rsidR="00CE4C74">
          <w:rPr>
            <w:noProof/>
            <w:webHidden/>
          </w:rPr>
          <w:tab/>
        </w:r>
        <w:r w:rsidR="00CE4C74">
          <w:rPr>
            <w:noProof/>
            <w:webHidden/>
          </w:rPr>
          <w:fldChar w:fldCharType="begin"/>
        </w:r>
        <w:r w:rsidR="00CE4C74">
          <w:rPr>
            <w:noProof/>
            <w:webHidden/>
          </w:rPr>
          <w:instrText xml:space="preserve"> PAGEREF _Toc378603965 \h </w:instrText>
        </w:r>
        <w:r w:rsidR="00CE4C74">
          <w:rPr>
            <w:noProof/>
            <w:webHidden/>
          </w:rPr>
        </w:r>
        <w:r w:rsidR="00CE4C74">
          <w:rPr>
            <w:noProof/>
            <w:webHidden/>
          </w:rPr>
          <w:fldChar w:fldCharType="separate"/>
        </w:r>
        <w:r>
          <w:rPr>
            <w:noProof/>
            <w:webHidden/>
          </w:rPr>
          <w:t>2</w:t>
        </w:r>
        <w:r w:rsidR="00CE4C74">
          <w:rPr>
            <w:noProof/>
            <w:webHidden/>
          </w:rPr>
          <w:fldChar w:fldCharType="end"/>
        </w:r>
      </w:hyperlink>
    </w:p>
    <w:p w:rsidR="00CE4C74" w:rsidRDefault="00BA6737">
      <w:pPr>
        <w:pStyle w:val="TOC1"/>
        <w:rPr>
          <w:rFonts w:asciiTheme="minorHAnsi" w:eastAsiaTheme="minorEastAsia" w:hAnsiTheme="minorHAnsi" w:cstheme="minorBidi"/>
          <w:caps w:val="0"/>
          <w:noProof/>
          <w:sz w:val="22"/>
          <w:szCs w:val="22"/>
          <w:lang w:val="en-US" w:eastAsia="en-US" w:bidi="ar-SA"/>
        </w:rPr>
      </w:pPr>
      <w:hyperlink w:anchor="_Toc378603966" w:history="1">
        <w:r w:rsidR="00CE4C74" w:rsidRPr="00901704">
          <w:rPr>
            <w:rStyle w:val="Hyperlink"/>
            <w:noProof/>
          </w:rPr>
          <w:t>Bemerkungen DER TECHNISCHEN ARBEITSGRUPPEN IM JAHR 2013</w:t>
        </w:r>
        <w:r w:rsidR="00CE4C74">
          <w:rPr>
            <w:noProof/>
            <w:webHidden/>
          </w:rPr>
          <w:tab/>
        </w:r>
        <w:r w:rsidR="00CE4C74">
          <w:rPr>
            <w:noProof/>
            <w:webHidden/>
          </w:rPr>
          <w:fldChar w:fldCharType="begin"/>
        </w:r>
        <w:r w:rsidR="00CE4C74">
          <w:rPr>
            <w:noProof/>
            <w:webHidden/>
          </w:rPr>
          <w:instrText xml:space="preserve"> PAGEREF _Toc378603966 \h </w:instrText>
        </w:r>
        <w:r w:rsidR="00CE4C74">
          <w:rPr>
            <w:noProof/>
            <w:webHidden/>
          </w:rPr>
        </w:r>
        <w:r w:rsidR="00CE4C74">
          <w:rPr>
            <w:noProof/>
            <w:webHidden/>
          </w:rPr>
          <w:fldChar w:fldCharType="separate"/>
        </w:r>
        <w:r>
          <w:rPr>
            <w:noProof/>
            <w:webHidden/>
          </w:rPr>
          <w:t>2</w:t>
        </w:r>
        <w:r w:rsidR="00CE4C74">
          <w:rPr>
            <w:noProof/>
            <w:webHidden/>
          </w:rPr>
          <w:fldChar w:fldCharType="end"/>
        </w:r>
      </w:hyperlink>
    </w:p>
    <w:p w:rsidR="00CE4C74" w:rsidRDefault="00BA6737">
      <w:pPr>
        <w:pStyle w:val="TOC1"/>
        <w:rPr>
          <w:rFonts w:asciiTheme="minorHAnsi" w:eastAsiaTheme="minorEastAsia" w:hAnsiTheme="minorHAnsi" w:cstheme="minorBidi"/>
          <w:caps w:val="0"/>
          <w:noProof/>
          <w:sz w:val="22"/>
          <w:szCs w:val="22"/>
          <w:lang w:val="en-US" w:eastAsia="en-US" w:bidi="ar-SA"/>
        </w:rPr>
      </w:pPr>
      <w:hyperlink w:anchor="_Toc378603967" w:history="1">
        <w:r w:rsidR="00CE4C74" w:rsidRPr="00901704">
          <w:rPr>
            <w:rStyle w:val="Hyperlink"/>
            <w:noProof/>
          </w:rPr>
          <w:t>Bemerkungen DES Erweiterten Redaktionsausschusses auf seiner Sitzung im Januar 2014</w:t>
        </w:r>
        <w:r w:rsidR="00CE4C74">
          <w:rPr>
            <w:noProof/>
            <w:webHidden/>
          </w:rPr>
          <w:tab/>
        </w:r>
        <w:r w:rsidR="00CE4C74">
          <w:rPr>
            <w:noProof/>
            <w:webHidden/>
          </w:rPr>
          <w:fldChar w:fldCharType="begin"/>
        </w:r>
        <w:r w:rsidR="00CE4C74">
          <w:rPr>
            <w:noProof/>
            <w:webHidden/>
          </w:rPr>
          <w:instrText xml:space="preserve"> PAGEREF _Toc378603967 \h </w:instrText>
        </w:r>
        <w:r w:rsidR="00CE4C74">
          <w:rPr>
            <w:noProof/>
            <w:webHidden/>
          </w:rPr>
        </w:r>
        <w:r w:rsidR="00CE4C74">
          <w:rPr>
            <w:noProof/>
            <w:webHidden/>
          </w:rPr>
          <w:fldChar w:fldCharType="separate"/>
        </w:r>
        <w:r>
          <w:rPr>
            <w:noProof/>
            <w:webHidden/>
          </w:rPr>
          <w:t>4</w:t>
        </w:r>
        <w:r w:rsidR="00CE4C74">
          <w:rPr>
            <w:noProof/>
            <w:webHidden/>
          </w:rPr>
          <w:fldChar w:fldCharType="end"/>
        </w:r>
      </w:hyperlink>
    </w:p>
    <w:p w:rsidR="00CE4C74" w:rsidRDefault="00BA6737">
      <w:pPr>
        <w:pStyle w:val="TOC1"/>
        <w:rPr>
          <w:rFonts w:asciiTheme="minorHAnsi" w:eastAsiaTheme="minorEastAsia" w:hAnsiTheme="minorHAnsi" w:cstheme="minorBidi"/>
          <w:caps w:val="0"/>
          <w:noProof/>
          <w:sz w:val="22"/>
          <w:szCs w:val="22"/>
          <w:lang w:val="en-US" w:eastAsia="en-US" w:bidi="ar-SA"/>
        </w:rPr>
      </w:pPr>
      <w:hyperlink w:anchor="_Toc378603968" w:history="1">
        <w:r w:rsidR="00CE4C74" w:rsidRPr="00901704">
          <w:rPr>
            <w:rStyle w:val="Hyperlink"/>
            <w:noProof/>
          </w:rPr>
          <w:t>VORSCHLAG</w:t>
        </w:r>
        <w:r w:rsidR="00CE4C74">
          <w:rPr>
            <w:noProof/>
            <w:webHidden/>
          </w:rPr>
          <w:tab/>
        </w:r>
        <w:r w:rsidR="00CE4C74">
          <w:rPr>
            <w:noProof/>
            <w:webHidden/>
          </w:rPr>
          <w:fldChar w:fldCharType="begin"/>
        </w:r>
        <w:r w:rsidR="00CE4C74">
          <w:rPr>
            <w:noProof/>
            <w:webHidden/>
          </w:rPr>
          <w:instrText xml:space="preserve"> PAGEREF _Toc378603968 \h </w:instrText>
        </w:r>
        <w:r w:rsidR="00CE4C74">
          <w:rPr>
            <w:noProof/>
            <w:webHidden/>
          </w:rPr>
        </w:r>
        <w:r w:rsidR="00CE4C74">
          <w:rPr>
            <w:noProof/>
            <w:webHidden/>
          </w:rPr>
          <w:fldChar w:fldCharType="separate"/>
        </w:r>
        <w:r>
          <w:rPr>
            <w:noProof/>
            <w:webHidden/>
          </w:rPr>
          <w:t>5</w:t>
        </w:r>
        <w:r w:rsidR="00CE4C74">
          <w:rPr>
            <w:noProof/>
            <w:webHidden/>
          </w:rPr>
          <w:fldChar w:fldCharType="end"/>
        </w:r>
      </w:hyperlink>
    </w:p>
    <w:p w:rsidR="00A730CD" w:rsidRPr="00111FA5" w:rsidRDefault="00A730CD">
      <w:pPr>
        <w:pStyle w:val="TOC1"/>
        <w:rPr>
          <w:rFonts w:ascii="Calibri" w:hAnsi="Calibri"/>
          <w:caps w:val="0"/>
          <w:noProof/>
          <w:sz w:val="22"/>
          <w:szCs w:val="22"/>
        </w:rPr>
      </w:pPr>
      <w:r>
        <w:fldChar w:fldCharType="end"/>
      </w:r>
    </w:p>
    <w:p w:rsidR="00A445B4" w:rsidRDefault="00A445B4" w:rsidP="00A445B4">
      <w:pPr>
        <w:pStyle w:val="Heading1"/>
      </w:pPr>
    </w:p>
    <w:p w:rsidR="00A445B4" w:rsidRDefault="00A445B4" w:rsidP="00A445B4">
      <w:pPr>
        <w:pStyle w:val="Heading1"/>
      </w:pPr>
      <w:bookmarkStart w:id="6" w:name="_Toc377561585"/>
      <w:bookmarkStart w:id="7" w:name="_Toc377567530"/>
      <w:bookmarkStart w:id="8" w:name="_Toc378603964"/>
      <w:r>
        <w:t>HINTERGRUND</w:t>
      </w:r>
      <w:bookmarkEnd w:id="6"/>
      <w:bookmarkEnd w:id="7"/>
      <w:bookmarkEnd w:id="8"/>
    </w:p>
    <w:p w:rsidR="00A445B4" w:rsidRDefault="00A445B4" w:rsidP="00A445B4">
      <w:pPr>
        <w:keepNext/>
        <w:rPr>
          <w:snapToGrid w:val="0"/>
        </w:rPr>
      </w:pPr>
    </w:p>
    <w:p w:rsidR="00A445B4" w:rsidRDefault="00A445B4" w:rsidP="00A445B4">
      <w:pPr>
        <w:keepNext/>
      </w:pPr>
      <w:r>
        <w:rPr>
          <w:snapToGrid w:val="0"/>
        </w:rPr>
        <w:fldChar w:fldCharType="begin"/>
      </w:r>
      <w:r>
        <w:rPr>
          <w:snapToGrid w:val="0"/>
        </w:rPr>
        <w:instrText xml:space="preserve"> AUTONUM  </w:instrText>
      </w:r>
      <w:r>
        <w:rPr>
          <w:snapToGrid w:val="0"/>
        </w:rPr>
        <w:fldChar w:fldCharType="end"/>
      </w:r>
      <w:r>
        <w:tab/>
      </w:r>
      <w:r>
        <w:rPr>
          <w:color w:val="000000"/>
        </w:rPr>
        <w:t>Der TC</w:t>
      </w:r>
      <w:r>
        <w:t xml:space="preserve"> auf seiner neunundvierzigsten Tagung vom 18. bis 20. März 2013 in </w:t>
      </w:r>
      <w:r w:rsidR="00F30573">
        <w:t xml:space="preserve">Genf </w:t>
      </w:r>
      <w:r w:rsidR="00F30573">
        <w:rPr>
          <w:color w:val="000000"/>
        </w:rPr>
        <w:t>und</w:t>
      </w:r>
      <w:r>
        <w:rPr>
          <w:color w:val="000000"/>
        </w:rPr>
        <w:t xml:space="preserve"> der </w:t>
      </w:r>
      <w:r>
        <w:t xml:space="preserve">CAJ </w:t>
      </w:r>
      <w:r w:rsidR="00F30573">
        <w:t>auf seiner siebenundsechzigsten</w:t>
      </w:r>
      <w:r>
        <w:t xml:space="preserve"> Tagung am 21. März 2013 in Genf vereinbarten, </w:t>
      </w:r>
      <w:r>
        <w:rPr>
          <w:iCs/>
          <w:snapToGrid w:val="0"/>
        </w:rPr>
        <w:t xml:space="preserve">den Rat zu ersuchen, Dokument TGP/14/2 „Glossar der in den UPOV-Dokumenten verwendeten Begriffe” auf seiner siebenundvierzigsten Tagung am 24. Oktober 2013 anzunehmen </w:t>
      </w:r>
      <w:r>
        <w:t xml:space="preserve">(vergleiche Dokument TC/49/41 „Bericht über die Entschließungen“, Absätze 29 und 30, und Dokument CAJ/67/14 „Bericht über die Entschließungen“, Absatz 36). </w:t>
      </w:r>
    </w:p>
    <w:p w:rsidR="00A445B4" w:rsidRDefault="00A445B4" w:rsidP="00A445B4">
      <w:pPr>
        <w:keepNext/>
      </w:pPr>
    </w:p>
    <w:p w:rsidR="00A445B4" w:rsidRDefault="00A445B4" w:rsidP="00A445B4">
      <w:pPr>
        <w:keepNext/>
        <w:rPr>
          <w:rFonts w:cs="Arial"/>
        </w:rPr>
      </w:pPr>
      <w:r>
        <w:fldChar w:fldCharType="begin"/>
      </w:r>
      <w:r>
        <w:instrText xml:space="preserve"> AUTONUM  </w:instrText>
      </w:r>
      <w:r>
        <w:fldChar w:fldCharType="end"/>
      </w:r>
      <w:r>
        <w:tab/>
        <w:t>Im Verlauf seiner Erörterungen zu Dokument TGP/14 auf seiner neunundvierzigsten Tagung vereinbarte der TC, daß bei einer künftigen Überarbeitung von Dokument TGP/7 Anleitung zu den Gefahren der Bereitstellung von Farbabbildungen in Prüfungsrichtlinien erteilt werden solle</w:t>
      </w:r>
      <w:r w:rsidR="00F30573">
        <w:t>. Der TC ersuchte das Verbandsbüro, einen Entwurf zur Prüfung durch die TWP auf ihren Tagungen im Jahr 2013 auszuarbeiten (vergleiche Dokument CAJ/49/41 „Bericht über die Entschließungen“, Absatz 86).</w:t>
      </w:r>
    </w:p>
    <w:p w:rsidR="005E340B" w:rsidRDefault="005E340B" w:rsidP="00A445B4">
      <w:pPr>
        <w:keepNext/>
        <w:rPr>
          <w:rFonts w:cs="Arial"/>
        </w:rPr>
      </w:pPr>
    </w:p>
    <w:p w:rsidR="00A445B4" w:rsidRDefault="00A445B4" w:rsidP="00A445B4">
      <w:pPr>
        <w:keepNext/>
      </w:pPr>
      <w:r>
        <w:fldChar w:fldCharType="begin"/>
      </w:r>
      <w:r>
        <w:instrText xml:space="preserve"> AUTONUM  </w:instrText>
      </w:r>
      <w:r>
        <w:fldChar w:fldCharType="end"/>
      </w:r>
      <w:r>
        <w:tab/>
        <w:t>Folgende Anleitung ist in Dokument TGP/14/2 enthalten:</w:t>
      </w:r>
    </w:p>
    <w:p w:rsidR="00A445B4" w:rsidRDefault="00A445B4" w:rsidP="00A445B4">
      <w:pPr>
        <w:keepNext/>
      </w:pPr>
    </w:p>
    <w:p w:rsidR="00A445B4" w:rsidRPr="00E56BA5" w:rsidRDefault="00A445B4" w:rsidP="00A445B4">
      <w:bookmarkStart w:id="9" w:name="_Toc323031865"/>
      <w:bookmarkStart w:id="10" w:name="_Toc333313636"/>
      <w:bookmarkStart w:id="11" w:name="_Toc346526056"/>
      <w:bookmarkStart w:id="12" w:name="_Toc367861913"/>
      <w:r>
        <w:t>„4.3</w:t>
      </w:r>
      <w:r>
        <w:tab/>
        <w:t>Die Verwendung von Fotos zur Illustration der Farbverteilung oder Farbmuster</w:t>
      </w:r>
      <w:bookmarkEnd w:id="9"/>
      <w:bookmarkEnd w:id="10"/>
      <w:bookmarkEnd w:id="11"/>
      <w:bookmarkEnd w:id="12"/>
    </w:p>
    <w:p w:rsidR="00A445B4" w:rsidRPr="00E56BA5" w:rsidRDefault="00A445B4" w:rsidP="00A445B4">
      <w:pPr>
        <w:ind w:left="567" w:right="567"/>
        <w:rPr>
          <w:sz w:val="18"/>
        </w:rPr>
      </w:pPr>
    </w:p>
    <w:p w:rsidR="00A445B4" w:rsidRPr="00E56BA5" w:rsidRDefault="00A445B4" w:rsidP="00A445B4">
      <w:pPr>
        <w:ind w:left="567" w:right="567"/>
        <w:rPr>
          <w:sz w:val="18"/>
          <w:szCs w:val="24"/>
        </w:rPr>
      </w:pPr>
      <w:r>
        <w:rPr>
          <w:sz w:val="18"/>
          <w:szCs w:val="24"/>
        </w:rPr>
        <w:t>Zu allen angeführten Vorgehensweisen könnte es zweckmäßig sein zu empfehlen, daß zur Illustration bestimmter Farbmerkmale eine Fotoaufnahme gemacht wird</w:t>
      </w:r>
      <w:r w:rsidR="00F30573">
        <w:rPr>
          <w:sz w:val="18"/>
          <w:szCs w:val="24"/>
        </w:rPr>
        <w:t xml:space="preserve">. </w:t>
      </w:r>
      <w:r>
        <w:rPr>
          <w:sz w:val="18"/>
          <w:szCs w:val="24"/>
        </w:rPr>
        <w:t xml:space="preserve">Es ist empfehlenswert, den Prüfungsrichtlinien eine Ausschlußklausel hinzuzufügen, um klarzustellen, wozu die Fotoaufnahme verwendet wird, also </w:t>
      </w:r>
      <w:r w:rsidR="00F30573">
        <w:rPr>
          <w:sz w:val="18"/>
          <w:szCs w:val="24"/>
        </w:rPr>
        <w:t>z. B.</w:t>
      </w:r>
      <w:r>
        <w:rPr>
          <w:sz w:val="18"/>
          <w:szCs w:val="24"/>
        </w:rPr>
        <w:t xml:space="preserve"> zur Illustration der Anzahl der Farben, der Arten der Farbverteilung und/oder Farbmuster, aber nicht zur Illustration der tatsächlichen Farben des betreffenden Pflanzenteils.</w:t>
      </w:r>
    </w:p>
    <w:p w:rsidR="00A445B4" w:rsidRPr="00E56BA5" w:rsidRDefault="00A445B4" w:rsidP="00A445B4">
      <w:pPr>
        <w:ind w:left="567" w:right="567"/>
        <w:rPr>
          <w:sz w:val="18"/>
          <w:szCs w:val="24"/>
        </w:rPr>
      </w:pPr>
    </w:p>
    <w:p w:rsidR="00A445B4" w:rsidRPr="00E56BA5" w:rsidRDefault="00A445B4" w:rsidP="00A445B4">
      <w:pPr>
        <w:keepNext/>
        <w:keepLines/>
        <w:ind w:left="1134" w:right="1134"/>
        <w:rPr>
          <w:color w:val="000000"/>
          <w:sz w:val="16"/>
          <w:szCs w:val="18"/>
        </w:rPr>
      </w:pPr>
      <w:r>
        <w:rPr>
          <w:snapToGrid w:val="0"/>
          <w:sz w:val="16"/>
          <w:szCs w:val="18"/>
        </w:rPr>
        <w:t xml:space="preserve">„Eine Fotoaufnahme [des betreffenden Pflanzenteils] kann zusammen mit der Beschreibung eingereicht werden, </w:t>
      </w:r>
      <w:r>
        <w:rPr>
          <w:snapToGrid w:val="0"/>
          <w:color w:val="000000"/>
          <w:sz w:val="16"/>
          <w:szCs w:val="18"/>
        </w:rPr>
        <w:t>um die Farbverteilung und/oder die Farbmuster zu verdeutlichen</w:t>
      </w:r>
      <w:r w:rsidR="00F30573">
        <w:rPr>
          <w:snapToGrid w:val="0"/>
          <w:sz w:val="16"/>
          <w:szCs w:val="18"/>
        </w:rPr>
        <w:t>.</w:t>
      </w:r>
      <w:r w:rsidR="00F30573">
        <w:rPr>
          <w:snapToGrid w:val="0"/>
          <w:color w:val="000000"/>
          <w:sz w:val="16"/>
          <w:szCs w:val="18"/>
        </w:rPr>
        <w:t xml:space="preserve"> </w:t>
      </w:r>
      <w:r>
        <w:rPr>
          <w:snapToGrid w:val="0"/>
          <w:color w:val="000000"/>
          <w:sz w:val="16"/>
          <w:szCs w:val="18"/>
        </w:rPr>
        <w:t>Jedoch sollte die Fotoaufnahme mit dem ausdrücklichen Hinweis versehen werden, daß der Hauptzweck der Fotoaufnahme darin besteht, die Verteilung und/oder die Muster der Farben auf dem Pflanzenteil und nicht so sehr die tatsächlichen Farben zu verdeutlichen</w:t>
      </w:r>
      <w:r w:rsidR="00F30573">
        <w:rPr>
          <w:snapToGrid w:val="0"/>
          <w:color w:val="000000"/>
          <w:sz w:val="16"/>
          <w:szCs w:val="18"/>
        </w:rPr>
        <w:t xml:space="preserve">. </w:t>
      </w:r>
      <w:r>
        <w:rPr>
          <w:snapToGrid w:val="0"/>
          <w:color w:val="000000"/>
          <w:sz w:val="16"/>
          <w:szCs w:val="18"/>
        </w:rPr>
        <w:t>Die Farbe auf den Fotoaufnahmen kann von der Kameratechnologie und den Geräten zur Abbildung der Fotoaufnahmen (Drucker, Overheadprojektor usw.) beeinflußt werden.“</w:t>
      </w:r>
    </w:p>
    <w:p w:rsidR="00A445B4" w:rsidRPr="00ED3CF8" w:rsidRDefault="00A445B4" w:rsidP="00A445B4">
      <w:pPr>
        <w:jc w:val="left"/>
        <w:rPr>
          <w:color w:val="000000"/>
          <w:szCs w:val="24"/>
        </w:rPr>
      </w:pPr>
    </w:p>
    <w:p w:rsidR="00A445B4" w:rsidRDefault="00A445B4" w:rsidP="00A445B4">
      <w:pPr>
        <w:keepNext/>
      </w:pPr>
    </w:p>
    <w:p w:rsidR="00A445B4" w:rsidRPr="008F3F45" w:rsidRDefault="00A445B4" w:rsidP="00A445B4">
      <w:pPr>
        <w:pStyle w:val="Heading1"/>
      </w:pPr>
      <w:bookmarkStart w:id="13" w:name="_Toc378603965"/>
      <w:bookmarkStart w:id="14" w:name="_Toc377561586"/>
      <w:bookmarkStart w:id="15" w:name="_Toc377567531"/>
      <w:r>
        <w:t>Von den TWP im Jahr 2013 geprüfter ENTWURF EINER ANLEITUNG zu den Gefahren der Bereitstellung von Farbabbildungen in Prüfungsrichtlinien</w:t>
      </w:r>
      <w:bookmarkEnd w:id="13"/>
      <w:r>
        <w:t xml:space="preserve"> </w:t>
      </w:r>
      <w:bookmarkEnd w:id="14"/>
      <w:bookmarkEnd w:id="15"/>
    </w:p>
    <w:p w:rsidR="00A445B4" w:rsidRDefault="00A445B4" w:rsidP="00A445B4">
      <w:pPr>
        <w:keepNext/>
      </w:pPr>
    </w:p>
    <w:p w:rsidR="00A445B4" w:rsidRDefault="00A445B4" w:rsidP="00A445B4">
      <w:pPr>
        <w:keepNext/>
      </w:pPr>
      <w:r>
        <w:fldChar w:fldCharType="begin"/>
      </w:r>
      <w:r>
        <w:instrText xml:space="preserve"> AUTONUM  </w:instrText>
      </w:r>
      <w:r>
        <w:fldChar w:fldCharType="end"/>
      </w:r>
      <w:r>
        <w:tab/>
        <w:t xml:space="preserve">In Einklang mit dem Ersuchen des TC auf seiner neunundvierzigsten Tagung wurde folgender Entwurf einer Anleitung zur Prüfung durch die TWP auf ihren Tagungen im Jahr 2013 vorgelegt: </w:t>
      </w:r>
    </w:p>
    <w:p w:rsidR="00A445B4" w:rsidRDefault="00A445B4" w:rsidP="00A445B4">
      <w:pPr>
        <w:keepNext/>
      </w:pPr>
    </w:p>
    <w:p w:rsidR="00A445B4" w:rsidRPr="007E718C" w:rsidRDefault="00A445B4" w:rsidP="00A445B4">
      <w:pPr>
        <w:keepNext/>
        <w:tabs>
          <w:tab w:val="left" w:pos="9072"/>
        </w:tabs>
        <w:ind w:left="567" w:right="567"/>
      </w:pPr>
      <w:r>
        <w:t>„Bei der Überlegung, ob Farbabbildungen in den Prüfungsrichtlinien verwendet werden sollen, ist besondere Vorsicht geboten, da die Farbe in Fotoaufnahmen von der Kameratechnologie und den Geräten zur Abbildung der Fotoaufnahmen (Drucker, Computerbildschirm usw.) beeinflußt werden kann. Zudem kann die Ausprägung der Farbe je nach Umgebung, in der die Sorte angepflanzt wird, variieren. Eine von einem Führen</w:t>
      </w:r>
      <w:r w:rsidR="00947BE9">
        <w:t>den Sachverständigen eines UPOV</w:t>
      </w:r>
      <w:r w:rsidR="00947BE9">
        <w:noBreakHyphen/>
      </w:r>
      <w:r>
        <w:t>Mitglieds bere</w:t>
      </w:r>
      <w:r w:rsidR="00947BE9">
        <w:t>itgestellte Fotoaufnahme einer ‚</w:t>
      </w:r>
      <w:r>
        <w:t>geri</w:t>
      </w:r>
      <w:r w:rsidR="00017C7A">
        <w:t>ngen Intensität</w:t>
      </w:r>
      <w:r w:rsidR="00947BE9">
        <w:t>‘</w:t>
      </w:r>
      <w:r w:rsidR="00017C7A">
        <w:t xml:space="preserve"> der Anthocyan</w:t>
      </w:r>
      <w:r w:rsidR="003E5189">
        <w:t>färbung gibt</w:t>
      </w:r>
      <w:r>
        <w:t xml:space="preserve"> beisp</w:t>
      </w:r>
      <w:r w:rsidR="00947BE9">
        <w:t>ielsweise nicht unbedingt eine ‚</w:t>
      </w:r>
      <w:r>
        <w:t>ger</w:t>
      </w:r>
      <w:r w:rsidR="00017C7A">
        <w:t>inge Intensität</w:t>
      </w:r>
      <w:r w:rsidR="00947BE9">
        <w:t>‘</w:t>
      </w:r>
      <w:r w:rsidR="00017C7A">
        <w:t xml:space="preserve"> der Anthocyan</w:t>
      </w:r>
      <w:r>
        <w:t>färbung in</w:t>
      </w:r>
      <w:r w:rsidR="003E5189">
        <w:t xml:space="preserve"> einem anderen UPOV-Mitglied wieder</w:t>
      </w:r>
      <w:r>
        <w:t>.</w:t>
      </w:r>
      <w:r w:rsidR="00947BE9">
        <w:t>“</w:t>
      </w:r>
      <w:r>
        <w:t xml:space="preserve"> </w:t>
      </w:r>
    </w:p>
    <w:p w:rsidR="00A445B4" w:rsidRDefault="00A445B4" w:rsidP="00A445B4">
      <w:pPr>
        <w:keepNext/>
        <w:ind w:firstLine="567"/>
      </w:pPr>
    </w:p>
    <w:p w:rsidR="00A445B4" w:rsidRDefault="00A445B4" w:rsidP="00A445B4">
      <w:pPr>
        <w:keepNext/>
        <w:ind w:firstLine="567"/>
      </w:pPr>
    </w:p>
    <w:p w:rsidR="00A445B4" w:rsidRPr="00100526" w:rsidRDefault="00947BE9" w:rsidP="00A445B4">
      <w:pPr>
        <w:pStyle w:val="Heading1"/>
      </w:pPr>
      <w:bookmarkStart w:id="16" w:name="_Toc377561587"/>
      <w:bookmarkStart w:id="17" w:name="_Toc377567532"/>
      <w:bookmarkStart w:id="18" w:name="_Toc378603966"/>
      <w:r>
        <w:t>Bemerkungen</w:t>
      </w:r>
      <w:r w:rsidR="00A445B4">
        <w:t xml:space="preserve"> DER TECHNISCHEN ARBEITSGRUPPEN IM JAHR 2013</w:t>
      </w:r>
      <w:bookmarkEnd w:id="16"/>
      <w:bookmarkEnd w:id="17"/>
      <w:bookmarkEnd w:id="18"/>
    </w:p>
    <w:p w:rsidR="00A445B4" w:rsidRPr="00100526" w:rsidRDefault="00A445B4" w:rsidP="00A445B4">
      <w:pPr>
        <w:keepNext/>
        <w:spacing w:before="120" w:after="120"/>
      </w:pPr>
      <w:r w:rsidRPr="00100526">
        <w:fldChar w:fldCharType="begin"/>
      </w:r>
      <w:r w:rsidRPr="00100526">
        <w:instrText xml:space="preserve"> AUTONUM  </w:instrText>
      </w:r>
      <w:r w:rsidRPr="00100526">
        <w:fldChar w:fldCharType="end"/>
      </w:r>
      <w:r>
        <w:tab/>
        <w:t xml:space="preserve">Auf ihren Tagungen im Jahr 2013 prüften die TWO, TWF, TWV, TWC und die TWA jeweils die Dokumente TWO/46/12, TWF/44/12, TWV/47/12, TWC/31/12 und TWA/42/12 und gaben folgende </w:t>
      </w:r>
      <w:r w:rsidR="00947BE9">
        <w:t>Bemerkungen</w:t>
      </w:r>
      <w:r>
        <w:t xml:space="preserve"> ab:</w:t>
      </w:r>
    </w:p>
    <w:p w:rsidR="00A445B4" w:rsidRDefault="00A445B4" w:rsidP="00A445B4">
      <w:pPr>
        <w:rPr>
          <w:rFonts w:cs="Arial"/>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6"/>
        <w:gridCol w:w="6804"/>
        <w:gridCol w:w="823"/>
      </w:tblGrid>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r>
              <w:lastRenderedPageBreak/>
              <w:t>Allgemein</w:t>
            </w:r>
          </w:p>
        </w:tc>
        <w:tc>
          <w:tcPr>
            <w:tcW w:w="6804" w:type="dxa"/>
            <w:shd w:val="clear" w:color="auto" w:fill="auto"/>
          </w:tcPr>
          <w:p w:rsidR="00A445B4" w:rsidRPr="00143E49" w:rsidRDefault="00A445B4" w:rsidP="00C622EB">
            <w:r>
              <w:t>Die TWO vereinbarte vorzuschlagen, daß folgende Anleitung in eine künftige Überarbeitung von Dokument TGP/7 aufgenommen wird (vergle</w:t>
            </w:r>
            <w:r w:rsidR="00E35D92">
              <w:t>iche Dokument TWO/46/29 „</w:t>
            </w:r>
            <w:r w:rsidR="00E35D92" w:rsidRPr="00E35D92">
              <w:rPr>
                <w:i/>
              </w:rPr>
              <w:t>Report</w:t>
            </w:r>
            <w:r>
              <w:t xml:space="preserve">“ Absatz 28): </w:t>
            </w:r>
          </w:p>
          <w:p w:rsidR="00A445B4" w:rsidRPr="00143E49" w:rsidRDefault="00A445B4" w:rsidP="00C622EB">
            <w:pPr>
              <w:keepNext/>
            </w:pPr>
          </w:p>
          <w:p w:rsidR="00A445B4" w:rsidRPr="00143E49" w:rsidRDefault="00F30573" w:rsidP="00C622EB">
            <w:pPr>
              <w:keepNext/>
              <w:tabs>
                <w:tab w:val="left" w:pos="9072"/>
              </w:tabs>
              <w:ind w:left="567" w:right="567"/>
              <w:rPr>
                <w:sz w:val="18"/>
              </w:rPr>
            </w:pPr>
            <w:r>
              <w:rPr>
                <w:sz w:val="18"/>
              </w:rPr>
              <w:t>„</w:t>
            </w:r>
            <w:r>
              <w:rPr>
                <w:strike/>
                <w:sz w:val="18"/>
                <w:shd w:val="clear" w:color="auto" w:fill="BFBFBF"/>
              </w:rPr>
              <w:t>Bei der Überlegung, ob Farbabbildungen in den Prüfungsrichtlinien verwendet werden sollen, ist besondere Vorsicht geboten</w:t>
            </w:r>
            <w:r>
              <w:rPr>
                <w:sz w:val="18"/>
              </w:rPr>
              <w:t xml:space="preserve"> </w:t>
            </w:r>
            <w:r w:rsidRPr="007953A1">
              <w:rPr>
                <w:sz w:val="18"/>
                <w:highlight w:val="lightGray"/>
                <w:u w:val="single"/>
              </w:rPr>
              <w:t>Im Allgemeinen ist es nicht zweckmäßig,</w:t>
            </w:r>
            <w:r>
              <w:rPr>
                <w:sz w:val="18"/>
              </w:rPr>
              <w:t xml:space="preserve"> Farbabbildungen in den Prüfungsrichtlinien zu verwenden, da die Farbe in Fotoaufnahmen von der Kameratechnologie, </w:t>
            </w:r>
            <w:r w:rsidRPr="007953A1">
              <w:rPr>
                <w:strike/>
                <w:sz w:val="18"/>
                <w:highlight w:val="lightGray"/>
              </w:rPr>
              <w:t>und</w:t>
            </w:r>
            <w:r>
              <w:rPr>
                <w:sz w:val="18"/>
              </w:rPr>
              <w:t xml:space="preserve"> den Geräten zur Abbildung der Fotoaufnahmen (</w:t>
            </w:r>
            <w:r w:rsidRPr="007953A1">
              <w:rPr>
                <w:sz w:val="18"/>
                <w:highlight w:val="lightGray"/>
                <w:u w:val="single"/>
              </w:rPr>
              <w:t>einschließlich</w:t>
            </w:r>
            <w:r>
              <w:rPr>
                <w:sz w:val="18"/>
              </w:rPr>
              <w:t xml:space="preserve"> Drucker, Computer </w:t>
            </w:r>
            <w:r w:rsidRPr="007953A1">
              <w:rPr>
                <w:sz w:val="18"/>
                <w:highlight w:val="lightGray"/>
                <w:u w:val="single"/>
              </w:rPr>
              <w:t>und</w:t>
            </w:r>
            <w:r>
              <w:rPr>
                <w:sz w:val="18"/>
              </w:rPr>
              <w:t xml:space="preserve"> Bildschirm</w:t>
            </w:r>
            <w:r w:rsidRPr="007953A1">
              <w:rPr>
                <w:strike/>
                <w:sz w:val="18"/>
                <w:highlight w:val="lightGray"/>
              </w:rPr>
              <w:t>,</w:t>
            </w:r>
            <w:r>
              <w:rPr>
                <w:strike/>
                <w:sz w:val="18"/>
              </w:rPr>
              <w:t xml:space="preserve"> </w:t>
            </w:r>
            <w:r w:rsidRPr="007953A1">
              <w:rPr>
                <w:strike/>
                <w:sz w:val="18"/>
                <w:highlight w:val="lightGray"/>
              </w:rPr>
              <w:t>usw.</w:t>
            </w:r>
            <w:r>
              <w:rPr>
                <w:sz w:val="18"/>
              </w:rPr>
              <w:t xml:space="preserve">) </w:t>
            </w:r>
            <w:r w:rsidRPr="007953A1">
              <w:rPr>
                <w:sz w:val="18"/>
                <w:highlight w:val="lightGray"/>
                <w:u w:val="single"/>
              </w:rPr>
              <w:t>und</w:t>
            </w:r>
            <w:r>
              <w:rPr>
                <w:sz w:val="18"/>
                <w:u w:val="single"/>
              </w:rPr>
              <w:t xml:space="preserve"> </w:t>
            </w:r>
            <w:r w:rsidRPr="007953A1">
              <w:rPr>
                <w:sz w:val="18"/>
                <w:highlight w:val="lightGray"/>
                <w:u w:val="single"/>
              </w:rPr>
              <w:t>Lichtbedingungen, unter denen die Fotoaufnahme gemacht wird</w:t>
            </w:r>
            <w:r w:rsidR="003F419A">
              <w:rPr>
                <w:sz w:val="18"/>
                <w:u w:val="single"/>
              </w:rPr>
              <w:t>,</w:t>
            </w:r>
            <w:r>
              <w:rPr>
                <w:sz w:val="18"/>
                <w:u w:val="single"/>
              </w:rPr>
              <w:t xml:space="preserve"> </w:t>
            </w:r>
            <w:r>
              <w:rPr>
                <w:sz w:val="18"/>
              </w:rPr>
              <w:t xml:space="preserve">beeinflußt werden kann. </w:t>
            </w:r>
            <w:r w:rsidR="00A445B4">
              <w:rPr>
                <w:sz w:val="18"/>
              </w:rPr>
              <w:t xml:space="preserve">Zudem kann die Ausprägung der Farbe je nach Umgebung, in der die Sorte angepflanzt wird, variieren. Eine von einem Führenden Sachverständigen eines UPOV-Mitglieds bereitgestellte Fotoaufnahme einer </w:t>
            </w:r>
            <w:r w:rsidR="00947BE9">
              <w:rPr>
                <w:sz w:val="18"/>
              </w:rPr>
              <w:t>‚</w:t>
            </w:r>
            <w:r w:rsidR="00A445B4" w:rsidRPr="007953A1">
              <w:rPr>
                <w:strike/>
                <w:sz w:val="18"/>
                <w:highlight w:val="lightGray"/>
              </w:rPr>
              <w:t>geringen</w:t>
            </w:r>
            <w:r w:rsidR="00A445B4">
              <w:rPr>
                <w:sz w:val="18"/>
              </w:rPr>
              <w:t xml:space="preserve"> </w:t>
            </w:r>
            <w:r w:rsidR="00A445B4" w:rsidRPr="007953A1">
              <w:rPr>
                <w:sz w:val="18"/>
                <w:highlight w:val="lightGray"/>
                <w:u w:val="single"/>
              </w:rPr>
              <w:t>schwachen</w:t>
            </w:r>
            <w:r w:rsidR="00A445B4">
              <w:rPr>
                <w:sz w:val="18"/>
              </w:rPr>
              <w:t xml:space="preserve"> Intensität</w:t>
            </w:r>
            <w:r w:rsidR="00947BE9">
              <w:rPr>
                <w:sz w:val="18"/>
              </w:rPr>
              <w:t>‘</w:t>
            </w:r>
            <w:r w:rsidR="00A445B4">
              <w:rPr>
                <w:sz w:val="18"/>
              </w:rPr>
              <w:t xml:space="preserve"> der </w:t>
            </w:r>
            <w:r w:rsidR="00017C7A">
              <w:rPr>
                <w:sz w:val="18"/>
              </w:rPr>
              <w:t>Anthocyan</w:t>
            </w:r>
            <w:r w:rsidR="003F419A">
              <w:rPr>
                <w:sz w:val="18"/>
              </w:rPr>
              <w:t>färbung gibt</w:t>
            </w:r>
            <w:r w:rsidR="00A445B4">
              <w:rPr>
                <w:sz w:val="18"/>
              </w:rPr>
              <w:t xml:space="preserve"> beispielsweise nicht unbedingt eine </w:t>
            </w:r>
            <w:r w:rsidR="00947BE9">
              <w:rPr>
                <w:sz w:val="18"/>
              </w:rPr>
              <w:t>‚</w:t>
            </w:r>
            <w:r w:rsidR="00A445B4" w:rsidRPr="007953A1">
              <w:rPr>
                <w:sz w:val="18"/>
                <w:highlight w:val="lightGray"/>
                <w:u w:val="single"/>
              </w:rPr>
              <w:t>schwache</w:t>
            </w:r>
            <w:r w:rsidR="00A445B4">
              <w:rPr>
                <w:sz w:val="18"/>
              </w:rPr>
              <w:t xml:space="preserve"> </w:t>
            </w:r>
            <w:r w:rsidR="00A445B4" w:rsidRPr="007953A1">
              <w:rPr>
                <w:strike/>
                <w:sz w:val="18"/>
                <w:highlight w:val="lightGray"/>
              </w:rPr>
              <w:t>geringe</w:t>
            </w:r>
            <w:r w:rsidR="00E35D92">
              <w:rPr>
                <w:sz w:val="18"/>
              </w:rPr>
              <w:t> Intensität</w:t>
            </w:r>
            <w:r w:rsidR="00947BE9">
              <w:rPr>
                <w:sz w:val="18"/>
              </w:rPr>
              <w:t>‘</w:t>
            </w:r>
            <w:r w:rsidR="00E35D92">
              <w:rPr>
                <w:sz w:val="18"/>
              </w:rPr>
              <w:t xml:space="preserve"> der</w:t>
            </w:r>
            <w:r w:rsidR="00A445B4">
              <w:rPr>
                <w:sz w:val="18"/>
              </w:rPr>
              <w:t xml:space="preserve"> </w:t>
            </w:r>
            <w:r w:rsidR="00017C7A">
              <w:rPr>
                <w:sz w:val="18"/>
              </w:rPr>
              <w:t>Anthocyan</w:t>
            </w:r>
            <w:r w:rsidR="00A445B4">
              <w:rPr>
                <w:sz w:val="18"/>
              </w:rPr>
              <w:t>färbung in</w:t>
            </w:r>
            <w:r w:rsidR="003F419A">
              <w:rPr>
                <w:sz w:val="18"/>
              </w:rPr>
              <w:t xml:space="preserve"> einem anderen UPOV-Mitglied wieder</w:t>
            </w:r>
            <w:r w:rsidR="00A445B4">
              <w:rPr>
                <w:sz w:val="18"/>
              </w:rPr>
              <w:t>.”</w:t>
            </w:r>
          </w:p>
          <w:p w:rsidR="00A445B4" w:rsidRPr="00100526" w:rsidRDefault="00A445B4" w:rsidP="00C622EB">
            <w:pPr>
              <w:ind w:firstLine="567"/>
              <w:rPr>
                <w:rFonts w:cs="Arial"/>
              </w:rPr>
            </w:pPr>
          </w:p>
        </w:tc>
        <w:tc>
          <w:tcPr>
            <w:tcW w:w="823" w:type="dxa"/>
            <w:shd w:val="clear" w:color="auto" w:fill="auto"/>
          </w:tcPr>
          <w:p w:rsidR="00A445B4" w:rsidRPr="00100526" w:rsidRDefault="00A445B4" w:rsidP="00C622EB">
            <w:pPr>
              <w:spacing w:before="120"/>
            </w:pPr>
            <w:r>
              <w:t>TWO</w:t>
            </w:r>
          </w:p>
        </w:tc>
      </w:tr>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r>
              <w:t>Allgemein</w:t>
            </w:r>
          </w:p>
        </w:tc>
        <w:tc>
          <w:tcPr>
            <w:tcW w:w="6804" w:type="dxa"/>
            <w:shd w:val="clear" w:color="auto" w:fill="auto"/>
          </w:tcPr>
          <w:p w:rsidR="00A445B4" w:rsidRPr="003042E3" w:rsidRDefault="00A445B4" w:rsidP="00C622EB">
            <w:pPr>
              <w:keepNext/>
            </w:pPr>
            <w:r>
              <w:t>Die TWF stimmte dem Vorschlag der TWO auf ihrer sechsundvierzigsten Tagung zu, folgende Anleitung in eine künftige Überarbeitung von Dokument TGP/7 unter H</w:t>
            </w:r>
            <w:r w:rsidR="00651DAB">
              <w:t>inzufügung der Worte „als solche</w:t>
            </w:r>
            <w:r>
              <w:t>“ im ersten Satz aufzunehmen (vergleiche Dokument TWF/44/31 „</w:t>
            </w:r>
            <w:r w:rsidRPr="00E35D92">
              <w:rPr>
                <w:i/>
              </w:rPr>
              <w:t>Report</w:t>
            </w:r>
            <w:r>
              <w:t xml:space="preserve">“, Absatz 57): </w:t>
            </w:r>
          </w:p>
          <w:p w:rsidR="00A445B4" w:rsidRPr="003042E3" w:rsidRDefault="00A445B4" w:rsidP="00C622EB">
            <w:pPr>
              <w:keepNext/>
            </w:pPr>
          </w:p>
          <w:p w:rsidR="00A445B4" w:rsidRDefault="00F30573" w:rsidP="00C622EB">
            <w:pPr>
              <w:keepNext/>
              <w:tabs>
                <w:tab w:val="left" w:pos="9072"/>
              </w:tabs>
              <w:ind w:left="567" w:right="567"/>
              <w:rPr>
                <w:sz w:val="18"/>
              </w:rPr>
            </w:pPr>
            <w:r>
              <w:rPr>
                <w:sz w:val="18"/>
              </w:rPr>
              <w:t>„Im</w:t>
            </w:r>
            <w:r w:rsidRPr="007953A1">
              <w:rPr>
                <w:sz w:val="18"/>
                <w:highlight w:val="lightGray"/>
                <w:u w:val="single"/>
              </w:rPr>
              <w:t xml:space="preserve"> Allgemeinen ist es nicht zweckmäßig, </w:t>
            </w:r>
            <w:r>
              <w:rPr>
                <w:sz w:val="18"/>
              </w:rPr>
              <w:t xml:space="preserve">Farbabbildungen </w:t>
            </w:r>
            <w:r w:rsidR="00651DAB" w:rsidRPr="007953A1">
              <w:rPr>
                <w:sz w:val="18"/>
                <w:highlight w:val="lightGray"/>
                <w:u w:val="single"/>
              </w:rPr>
              <w:t>als solche</w:t>
            </w:r>
            <w:r>
              <w:rPr>
                <w:sz w:val="18"/>
                <w:u w:val="single"/>
              </w:rPr>
              <w:t xml:space="preserve"> </w:t>
            </w:r>
            <w:r>
              <w:rPr>
                <w:sz w:val="18"/>
              </w:rPr>
              <w:t xml:space="preserve">in den Prüfungsrichtlinien zu verwenden, da die Farbe in Fotoaufnahmen von der Kameratechnologie, </w:t>
            </w:r>
            <w:r w:rsidRPr="007953A1">
              <w:rPr>
                <w:strike/>
                <w:sz w:val="18"/>
                <w:highlight w:val="lightGray"/>
              </w:rPr>
              <w:t>und</w:t>
            </w:r>
            <w:r>
              <w:rPr>
                <w:sz w:val="18"/>
              </w:rPr>
              <w:t xml:space="preserve"> den Geräten zur Abbildung der Fotoaufnahmen (</w:t>
            </w:r>
            <w:r w:rsidRPr="007953A1">
              <w:rPr>
                <w:sz w:val="18"/>
                <w:highlight w:val="lightGray"/>
                <w:u w:val="single"/>
              </w:rPr>
              <w:t>einschließlich</w:t>
            </w:r>
            <w:r>
              <w:rPr>
                <w:sz w:val="18"/>
              </w:rPr>
              <w:t xml:space="preserve"> Drucker, Computer </w:t>
            </w:r>
            <w:r w:rsidRPr="007953A1">
              <w:rPr>
                <w:sz w:val="18"/>
                <w:highlight w:val="lightGray"/>
                <w:u w:val="single"/>
              </w:rPr>
              <w:t>und</w:t>
            </w:r>
            <w:r w:rsidR="00651DAB">
              <w:rPr>
                <w:sz w:val="18"/>
              </w:rPr>
              <w:t xml:space="preserve"> Bildschirm</w:t>
            </w:r>
            <w:r w:rsidRPr="007953A1">
              <w:rPr>
                <w:strike/>
                <w:sz w:val="18"/>
                <w:highlight w:val="lightGray"/>
              </w:rPr>
              <w:t>usw.</w:t>
            </w:r>
            <w:r>
              <w:rPr>
                <w:sz w:val="18"/>
              </w:rPr>
              <w:t xml:space="preserve">) und </w:t>
            </w:r>
            <w:r w:rsidRPr="007953A1">
              <w:rPr>
                <w:sz w:val="18"/>
                <w:highlight w:val="lightGray"/>
                <w:u w:val="single"/>
              </w:rPr>
              <w:t>Lichtbedingungen, unter denen die Fotoaufnahme gemacht wird</w:t>
            </w:r>
            <w:r w:rsidR="00651DAB">
              <w:rPr>
                <w:sz w:val="18"/>
                <w:u w:val="single"/>
              </w:rPr>
              <w:t>,</w:t>
            </w:r>
            <w:r>
              <w:rPr>
                <w:sz w:val="18"/>
                <w:u w:val="single"/>
              </w:rPr>
              <w:t xml:space="preserve"> </w:t>
            </w:r>
            <w:r>
              <w:rPr>
                <w:sz w:val="18"/>
              </w:rPr>
              <w:t xml:space="preserve">beeinflußt werden kann. </w:t>
            </w:r>
            <w:r w:rsidR="00A445B4">
              <w:rPr>
                <w:sz w:val="18"/>
              </w:rPr>
              <w:t xml:space="preserve">Zudem kann die Ausprägung der Farbe je nach Umgebung, in der die Sorte angepflanzt wird, variieren. Eine von einem Führenden Sachverständigen eines UPOV-Mitglieds bereitgestellte Fotoaufnahme einer </w:t>
            </w:r>
            <w:r w:rsidR="00947BE9">
              <w:rPr>
                <w:sz w:val="18"/>
              </w:rPr>
              <w:t>‚</w:t>
            </w:r>
            <w:r w:rsidR="00A445B4" w:rsidRPr="007953A1">
              <w:rPr>
                <w:strike/>
                <w:sz w:val="18"/>
                <w:highlight w:val="lightGray"/>
              </w:rPr>
              <w:t>geringen</w:t>
            </w:r>
            <w:r w:rsidR="00A445B4">
              <w:rPr>
                <w:sz w:val="18"/>
              </w:rPr>
              <w:t xml:space="preserve"> </w:t>
            </w:r>
            <w:r w:rsidR="00A445B4" w:rsidRPr="007953A1">
              <w:rPr>
                <w:sz w:val="18"/>
                <w:highlight w:val="lightGray"/>
                <w:u w:val="single"/>
              </w:rPr>
              <w:t>schwachen</w:t>
            </w:r>
            <w:r w:rsidR="00A445B4">
              <w:rPr>
                <w:sz w:val="18"/>
              </w:rPr>
              <w:t xml:space="preserve"> Intensität</w:t>
            </w:r>
            <w:r w:rsidR="00947BE9">
              <w:rPr>
                <w:sz w:val="18"/>
              </w:rPr>
              <w:t>‘</w:t>
            </w:r>
            <w:r w:rsidR="00A445B4">
              <w:rPr>
                <w:sz w:val="18"/>
              </w:rPr>
              <w:t xml:space="preserve"> der </w:t>
            </w:r>
            <w:r w:rsidR="00017C7A">
              <w:rPr>
                <w:sz w:val="18"/>
              </w:rPr>
              <w:t>Anthocyan</w:t>
            </w:r>
            <w:r w:rsidR="00651DAB">
              <w:rPr>
                <w:sz w:val="18"/>
              </w:rPr>
              <w:t>färbung gibt</w:t>
            </w:r>
            <w:r w:rsidR="00A445B4">
              <w:rPr>
                <w:sz w:val="18"/>
              </w:rPr>
              <w:t xml:space="preserve"> beispielsweise nicht unbedingt eine </w:t>
            </w:r>
            <w:r w:rsidR="00947BE9">
              <w:rPr>
                <w:sz w:val="18"/>
              </w:rPr>
              <w:t>‚</w:t>
            </w:r>
            <w:r w:rsidR="00A445B4" w:rsidRPr="007953A1">
              <w:rPr>
                <w:sz w:val="18"/>
                <w:highlight w:val="lightGray"/>
                <w:u w:val="single"/>
              </w:rPr>
              <w:t>schwache</w:t>
            </w:r>
            <w:r w:rsidR="00A445B4">
              <w:rPr>
                <w:sz w:val="18"/>
              </w:rPr>
              <w:t xml:space="preserve"> </w:t>
            </w:r>
            <w:r w:rsidR="00A445B4" w:rsidRPr="007953A1">
              <w:rPr>
                <w:strike/>
                <w:sz w:val="18"/>
                <w:highlight w:val="lightGray"/>
              </w:rPr>
              <w:t>geringe</w:t>
            </w:r>
            <w:r w:rsidR="00A445B4">
              <w:rPr>
                <w:sz w:val="18"/>
              </w:rPr>
              <w:t> Intensität</w:t>
            </w:r>
            <w:r w:rsidR="00947BE9">
              <w:rPr>
                <w:sz w:val="18"/>
              </w:rPr>
              <w:t>‘</w:t>
            </w:r>
            <w:r w:rsidR="00A445B4">
              <w:rPr>
                <w:sz w:val="18"/>
              </w:rPr>
              <w:t xml:space="preserve"> der </w:t>
            </w:r>
            <w:r w:rsidR="00017C7A">
              <w:rPr>
                <w:sz w:val="18"/>
              </w:rPr>
              <w:t>Anthocyan</w:t>
            </w:r>
            <w:r w:rsidR="00A445B4">
              <w:rPr>
                <w:sz w:val="18"/>
              </w:rPr>
              <w:t>färbung in</w:t>
            </w:r>
            <w:r w:rsidR="00651DAB">
              <w:rPr>
                <w:sz w:val="18"/>
              </w:rPr>
              <w:t xml:space="preserve"> einem anderen UPOV-Mitglied wieder</w:t>
            </w:r>
            <w:r w:rsidR="00A445B4">
              <w:rPr>
                <w:sz w:val="18"/>
              </w:rPr>
              <w:t>.”</w:t>
            </w:r>
          </w:p>
          <w:p w:rsidR="00A445B4" w:rsidRPr="00384E3C" w:rsidRDefault="00A445B4" w:rsidP="00C622EB">
            <w:pPr>
              <w:keepNext/>
              <w:tabs>
                <w:tab w:val="left" w:pos="9072"/>
              </w:tabs>
              <w:ind w:left="567" w:right="567"/>
              <w:rPr>
                <w:sz w:val="18"/>
              </w:rPr>
            </w:pPr>
          </w:p>
        </w:tc>
        <w:tc>
          <w:tcPr>
            <w:tcW w:w="823" w:type="dxa"/>
            <w:shd w:val="clear" w:color="auto" w:fill="auto"/>
          </w:tcPr>
          <w:p w:rsidR="00A445B4" w:rsidRPr="00100526" w:rsidRDefault="00A445B4" w:rsidP="00C622EB">
            <w:pPr>
              <w:spacing w:before="120"/>
            </w:pPr>
            <w:r>
              <w:t>TWF</w:t>
            </w:r>
          </w:p>
        </w:tc>
      </w:tr>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p>
        </w:tc>
        <w:tc>
          <w:tcPr>
            <w:tcW w:w="6804" w:type="dxa"/>
            <w:shd w:val="clear" w:color="auto" w:fill="auto"/>
          </w:tcPr>
          <w:p w:rsidR="00A445B4" w:rsidRPr="00401ED3" w:rsidRDefault="00A445B4" w:rsidP="00C622EB">
            <w:pPr>
              <w:keepNext/>
            </w:pPr>
            <w:r>
              <w:t>Die TWV stimmte dem Vorschlag der TWO auf ihrer sechsundvierzigsten Tagung und der TWF auf ihrer vierundvierzigsten Tagung zu, folgende Anleitung in eine künftige Überarbeitung von Dokument TGP/7 unter Hinzufügung des Hinweises zu „geringe Intensität</w:t>
            </w:r>
            <w:r w:rsidR="00662ED1">
              <w:t>“ einer Farbe im letzten Satz aufzunehmen</w:t>
            </w:r>
            <w:r>
              <w:t xml:space="preserve"> (vergleiche Dokument TWF/47/34 „</w:t>
            </w:r>
            <w:r w:rsidRPr="00E35D92">
              <w:rPr>
                <w:i/>
              </w:rPr>
              <w:t>Report</w:t>
            </w:r>
            <w:r>
              <w:t>“, Absatz</w:t>
            </w:r>
            <w:r w:rsidR="00947BE9">
              <w:t> </w:t>
            </w:r>
            <w:r>
              <w:t xml:space="preserve">58): </w:t>
            </w:r>
          </w:p>
          <w:p w:rsidR="00A445B4" w:rsidRPr="00401ED3" w:rsidRDefault="00A445B4" w:rsidP="00C622EB">
            <w:pPr>
              <w:keepNext/>
            </w:pPr>
          </w:p>
          <w:p w:rsidR="00A445B4" w:rsidRDefault="00A445B4" w:rsidP="00C622EB">
            <w:pPr>
              <w:ind w:left="567" w:right="580"/>
              <w:rPr>
                <w:snapToGrid w:val="0"/>
              </w:rPr>
            </w:pPr>
            <w:r>
              <w:rPr>
                <w:sz w:val="18"/>
              </w:rPr>
              <w:t>„</w:t>
            </w:r>
            <w:r w:rsidRPr="007953A1">
              <w:rPr>
                <w:strike/>
                <w:sz w:val="18"/>
                <w:highlight w:val="lightGray"/>
                <w:shd w:val="clear" w:color="auto" w:fill="BFBFBF"/>
              </w:rPr>
              <w:t>Bei der Überlegung, ob Farbabbildungen in den Prüfungsrichtlinien verwendet werden sollen, ist besondere Vorsicht geboten</w:t>
            </w:r>
            <w:r>
              <w:rPr>
                <w:sz w:val="18"/>
              </w:rPr>
              <w:t xml:space="preserve"> </w:t>
            </w:r>
            <w:r w:rsidRPr="007953A1">
              <w:rPr>
                <w:sz w:val="18"/>
                <w:highlight w:val="lightGray"/>
                <w:u w:val="single"/>
              </w:rPr>
              <w:t>Im Allgemeinen ist es nicht zweckmäßig,</w:t>
            </w:r>
            <w:r>
              <w:rPr>
                <w:sz w:val="18"/>
              </w:rPr>
              <w:t xml:space="preserve"> Farbabbildungen</w:t>
            </w:r>
            <w:r w:rsidR="00340D11" w:rsidRPr="007953A1">
              <w:rPr>
                <w:sz w:val="18"/>
                <w:highlight w:val="lightGray"/>
                <w:u w:val="single"/>
              </w:rPr>
              <w:t xml:space="preserve"> als</w:t>
            </w:r>
            <w:r w:rsidRPr="007953A1">
              <w:rPr>
                <w:sz w:val="18"/>
                <w:highlight w:val="lightGray"/>
                <w:u w:val="single"/>
              </w:rPr>
              <w:t xml:space="preserve"> s</w:t>
            </w:r>
            <w:r w:rsidR="00340D11" w:rsidRPr="007953A1">
              <w:rPr>
                <w:sz w:val="18"/>
                <w:highlight w:val="lightGray"/>
                <w:u w:val="single"/>
              </w:rPr>
              <w:t>olche</w:t>
            </w:r>
            <w:r>
              <w:rPr>
                <w:sz w:val="18"/>
              </w:rPr>
              <w:t xml:space="preserve"> in den Prüfungsrichtlinien zu verwenden, da die Farbe in Fotoaufnahmen von der Kameratechnologie, </w:t>
            </w:r>
            <w:r w:rsidRPr="007953A1">
              <w:rPr>
                <w:strike/>
                <w:sz w:val="18"/>
                <w:highlight w:val="lightGray"/>
              </w:rPr>
              <w:t>und</w:t>
            </w:r>
            <w:r>
              <w:rPr>
                <w:sz w:val="18"/>
              </w:rPr>
              <w:t xml:space="preserve"> den Geräten zur Abbildung der Fotoaufnahmen (</w:t>
            </w:r>
            <w:r w:rsidRPr="007953A1">
              <w:rPr>
                <w:sz w:val="18"/>
                <w:highlight w:val="lightGray"/>
                <w:u w:val="single"/>
              </w:rPr>
              <w:t>einschließlich</w:t>
            </w:r>
            <w:r>
              <w:rPr>
                <w:sz w:val="18"/>
              </w:rPr>
              <w:t xml:space="preserve"> Drucker, Computer </w:t>
            </w:r>
            <w:r w:rsidRPr="007953A1">
              <w:rPr>
                <w:sz w:val="18"/>
                <w:highlight w:val="lightGray"/>
                <w:u w:val="single"/>
              </w:rPr>
              <w:t>und</w:t>
            </w:r>
            <w:r>
              <w:rPr>
                <w:sz w:val="18"/>
              </w:rPr>
              <w:t xml:space="preserve"> Bildschirm</w:t>
            </w:r>
            <w:r w:rsidRPr="007953A1">
              <w:rPr>
                <w:strike/>
                <w:sz w:val="18"/>
                <w:highlight w:val="lightGray"/>
              </w:rPr>
              <w:t xml:space="preserve"> usw.</w:t>
            </w:r>
            <w:r>
              <w:rPr>
                <w:sz w:val="18"/>
              </w:rPr>
              <w:t xml:space="preserve">) </w:t>
            </w:r>
            <w:r w:rsidRPr="007953A1">
              <w:rPr>
                <w:sz w:val="18"/>
                <w:highlight w:val="lightGray"/>
                <w:u w:val="single"/>
              </w:rPr>
              <w:t>sowie den Lichtbedingungen</w:t>
            </w:r>
            <w:r w:rsidR="00340D11" w:rsidRPr="007953A1">
              <w:rPr>
                <w:sz w:val="18"/>
                <w:highlight w:val="lightGray"/>
                <w:u w:val="single"/>
              </w:rPr>
              <w:t>,</w:t>
            </w:r>
            <w:r w:rsidRPr="007953A1">
              <w:rPr>
                <w:sz w:val="18"/>
                <w:highlight w:val="lightGray"/>
                <w:u w:val="single"/>
              </w:rPr>
              <w:t xml:space="preserve"> unter denen die Fotoaufnahme gemacht wird, beeinflußt werden kann</w:t>
            </w:r>
            <w:r>
              <w:rPr>
                <w:sz w:val="18"/>
              </w:rPr>
              <w:t xml:space="preserve">. Zudem kann die Ausprägung der Farbe je nach Umgebung, in der die Sorte angepflanzt wird, variieren. </w:t>
            </w:r>
            <w:r w:rsidR="00F30573">
              <w:rPr>
                <w:sz w:val="18"/>
              </w:rPr>
              <w:t xml:space="preserve">Eine von einem Führenden Sachverständigen eines UPOV-Mitglieds bereitgestellte Fotoaufnahme einer </w:t>
            </w:r>
            <w:r w:rsidR="00947BE9">
              <w:rPr>
                <w:sz w:val="18"/>
              </w:rPr>
              <w:t>‚</w:t>
            </w:r>
            <w:r w:rsidR="00F30573" w:rsidRPr="007953A1">
              <w:rPr>
                <w:strike/>
                <w:sz w:val="18"/>
                <w:highlight w:val="lightGray"/>
              </w:rPr>
              <w:t>geringen</w:t>
            </w:r>
            <w:r w:rsidR="00F30573">
              <w:rPr>
                <w:sz w:val="18"/>
              </w:rPr>
              <w:t xml:space="preserve"> </w:t>
            </w:r>
            <w:r w:rsidR="00F30573" w:rsidRPr="007953A1">
              <w:rPr>
                <w:sz w:val="18"/>
                <w:highlight w:val="lightGray"/>
                <w:u w:val="single"/>
              </w:rPr>
              <w:t>schwachen</w:t>
            </w:r>
            <w:r w:rsidR="00F30573">
              <w:rPr>
                <w:sz w:val="18"/>
              </w:rPr>
              <w:t xml:space="preserve"> Intensität</w:t>
            </w:r>
            <w:r w:rsidR="00947BE9">
              <w:rPr>
                <w:sz w:val="18"/>
              </w:rPr>
              <w:t>‘</w:t>
            </w:r>
            <w:r w:rsidR="00F30573">
              <w:rPr>
                <w:sz w:val="18"/>
              </w:rPr>
              <w:t xml:space="preserve"> der Anthocyanfärbung</w:t>
            </w:r>
            <w:r w:rsidR="00947BE9">
              <w:rPr>
                <w:sz w:val="18"/>
                <w:u w:val="single"/>
                <w:shd w:val="clear" w:color="auto" w:fill="D9D9D9"/>
              </w:rPr>
              <w:t xml:space="preserve"> oder einer ‚schwachen Intensität‘</w:t>
            </w:r>
            <w:r w:rsidR="00F30573">
              <w:rPr>
                <w:sz w:val="18"/>
                <w:u w:val="single"/>
                <w:shd w:val="clear" w:color="auto" w:fill="D9D9D9"/>
              </w:rPr>
              <w:t xml:space="preserve"> einer Farbe </w:t>
            </w:r>
            <w:r w:rsidR="00340D11">
              <w:rPr>
                <w:sz w:val="18"/>
              </w:rPr>
              <w:t>gibt</w:t>
            </w:r>
            <w:r w:rsidR="00F30573">
              <w:rPr>
                <w:sz w:val="18"/>
              </w:rPr>
              <w:t xml:space="preserve"> beispielsweise nicht unbedingt eine </w:t>
            </w:r>
            <w:r w:rsidR="00947BE9">
              <w:rPr>
                <w:sz w:val="18"/>
              </w:rPr>
              <w:t>‚</w:t>
            </w:r>
            <w:r w:rsidR="00F30573">
              <w:rPr>
                <w:sz w:val="18"/>
                <w:u w:val="single"/>
                <w:shd w:val="clear" w:color="auto" w:fill="D9D9D9"/>
              </w:rPr>
              <w:t>schwache</w:t>
            </w:r>
            <w:r w:rsidR="00F30573">
              <w:rPr>
                <w:sz w:val="18"/>
              </w:rPr>
              <w:t xml:space="preserve"> </w:t>
            </w:r>
            <w:r w:rsidR="00F30573" w:rsidRPr="007953A1">
              <w:rPr>
                <w:strike/>
                <w:sz w:val="18"/>
                <w:highlight w:val="lightGray"/>
              </w:rPr>
              <w:t>geringe</w:t>
            </w:r>
            <w:r w:rsidR="00947BE9">
              <w:rPr>
                <w:sz w:val="18"/>
              </w:rPr>
              <w:t xml:space="preserve"> </w:t>
            </w:r>
            <w:r w:rsidR="00F30573">
              <w:rPr>
                <w:sz w:val="18"/>
              </w:rPr>
              <w:t>Intensität</w:t>
            </w:r>
            <w:r w:rsidR="00947BE9">
              <w:rPr>
                <w:sz w:val="18"/>
              </w:rPr>
              <w:t>‘</w:t>
            </w:r>
            <w:r w:rsidR="00F30573">
              <w:rPr>
                <w:sz w:val="18"/>
              </w:rPr>
              <w:t xml:space="preserve"> der </w:t>
            </w:r>
            <w:r w:rsidR="00017C7A">
              <w:rPr>
                <w:sz w:val="18"/>
              </w:rPr>
              <w:t>Anthocyan</w:t>
            </w:r>
            <w:r w:rsidR="00F30573">
              <w:rPr>
                <w:sz w:val="18"/>
              </w:rPr>
              <w:t xml:space="preserve">färbung </w:t>
            </w:r>
            <w:r w:rsidR="00F30573">
              <w:rPr>
                <w:sz w:val="18"/>
                <w:u w:val="single"/>
                <w:shd w:val="clear" w:color="auto" w:fill="D9D9D9"/>
              </w:rPr>
              <w:t xml:space="preserve">oder eine </w:t>
            </w:r>
            <w:r w:rsidR="00947BE9">
              <w:rPr>
                <w:sz w:val="18"/>
                <w:u w:val="single"/>
                <w:shd w:val="clear" w:color="auto" w:fill="D9D9D9"/>
              </w:rPr>
              <w:t>‚</w:t>
            </w:r>
            <w:r w:rsidR="00F30573">
              <w:rPr>
                <w:sz w:val="18"/>
                <w:u w:val="single"/>
                <w:shd w:val="clear" w:color="auto" w:fill="D9D9D9"/>
              </w:rPr>
              <w:t>schwache Intensität</w:t>
            </w:r>
            <w:r w:rsidR="00947BE9">
              <w:rPr>
                <w:sz w:val="18"/>
                <w:u w:val="single"/>
                <w:shd w:val="clear" w:color="auto" w:fill="D9D9D9"/>
              </w:rPr>
              <w:t>‘</w:t>
            </w:r>
            <w:r w:rsidR="00F30573">
              <w:rPr>
                <w:sz w:val="18"/>
                <w:u w:val="single"/>
                <w:shd w:val="clear" w:color="auto" w:fill="D9D9D9"/>
              </w:rPr>
              <w:t xml:space="preserve"> einer Farbe </w:t>
            </w:r>
            <w:r w:rsidR="00F30573">
              <w:rPr>
                <w:sz w:val="18"/>
              </w:rPr>
              <w:t>in ein</w:t>
            </w:r>
            <w:r w:rsidR="00340D11">
              <w:rPr>
                <w:sz w:val="18"/>
              </w:rPr>
              <w:t>em anderen UPOV-Mitglied wieder</w:t>
            </w:r>
            <w:r w:rsidR="00F30573">
              <w:rPr>
                <w:sz w:val="18"/>
              </w:rPr>
              <w:t>.”</w:t>
            </w:r>
          </w:p>
          <w:p w:rsidR="00A445B4" w:rsidRPr="00100526" w:rsidRDefault="00A445B4" w:rsidP="00C622EB"/>
        </w:tc>
        <w:tc>
          <w:tcPr>
            <w:tcW w:w="823" w:type="dxa"/>
            <w:shd w:val="clear" w:color="auto" w:fill="auto"/>
          </w:tcPr>
          <w:p w:rsidR="00A445B4" w:rsidRPr="00100526" w:rsidRDefault="00A445B4" w:rsidP="00C622EB">
            <w:pPr>
              <w:spacing w:before="120"/>
            </w:pPr>
            <w:r>
              <w:t>TWV</w:t>
            </w:r>
          </w:p>
        </w:tc>
      </w:tr>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p>
        </w:tc>
        <w:tc>
          <w:tcPr>
            <w:tcW w:w="6804" w:type="dxa"/>
            <w:shd w:val="clear" w:color="auto" w:fill="auto"/>
          </w:tcPr>
          <w:p w:rsidR="00A445B4" w:rsidRPr="00917C3E" w:rsidRDefault="00A445B4" w:rsidP="00C622EB">
            <w:pPr>
              <w:keepNext/>
            </w:pPr>
            <w:r>
              <w:t>Die TWC stimmte folgender von der Technischen Arbeitsgruppe für Zierpflanzen und forstliche Baumarten (TWO) auf ihrer sechsundvierzigsten Tagung und der TWF auf ihrer vierundvierzigsten Tagung vorgeschlagenen Anleitung</w:t>
            </w:r>
            <w:r w:rsidR="00662ED1">
              <w:t>, die</w:t>
            </w:r>
            <w:r>
              <w:t xml:space="preserve"> in eine künftige Überarbeitung von Dokument TGP/7 aufgenommen werden soll</w:t>
            </w:r>
            <w:r w:rsidR="00662ED1">
              <w:t>, unter Aufnahme des Wortes „erfaßte“ im letzten Satz zu</w:t>
            </w:r>
            <w:r>
              <w:t xml:space="preserve"> (vergleiche Dokument TWC/31/32 „</w:t>
            </w:r>
            <w:r w:rsidRPr="00E35D92">
              <w:rPr>
                <w:i/>
              </w:rPr>
              <w:t>Report</w:t>
            </w:r>
            <w:r>
              <w:t xml:space="preserve">“, Absatz 57): </w:t>
            </w:r>
          </w:p>
          <w:p w:rsidR="00A445B4" w:rsidRPr="00917C3E" w:rsidRDefault="00A445B4" w:rsidP="00C622EB">
            <w:pPr>
              <w:keepNext/>
            </w:pPr>
          </w:p>
          <w:p w:rsidR="00A445B4" w:rsidRPr="00917C3E" w:rsidRDefault="00A445B4" w:rsidP="00C622EB">
            <w:pPr>
              <w:keepNext/>
              <w:tabs>
                <w:tab w:val="left" w:pos="9072"/>
              </w:tabs>
              <w:ind w:left="567" w:right="567"/>
              <w:rPr>
                <w:sz w:val="18"/>
              </w:rPr>
            </w:pPr>
            <w:r>
              <w:rPr>
                <w:sz w:val="18"/>
              </w:rPr>
              <w:t>„</w:t>
            </w:r>
            <w:r>
              <w:rPr>
                <w:strike/>
                <w:sz w:val="18"/>
                <w:shd w:val="clear" w:color="auto" w:fill="BFBFBF"/>
              </w:rPr>
              <w:t>Bei der Überlegung, ob Farbabbildungen in den Prüfungsrichtlinien verwendet werden sollen, ist besondere Vorsicht geboten</w:t>
            </w:r>
            <w:r>
              <w:rPr>
                <w:sz w:val="18"/>
              </w:rPr>
              <w:t xml:space="preserve"> </w:t>
            </w:r>
            <w:r w:rsidRPr="007953A1">
              <w:rPr>
                <w:sz w:val="18"/>
                <w:highlight w:val="lightGray"/>
                <w:u w:val="single"/>
              </w:rPr>
              <w:t>Im Allgemeinen ist es nicht zweckmäßig,</w:t>
            </w:r>
            <w:r>
              <w:rPr>
                <w:sz w:val="18"/>
              </w:rPr>
              <w:t xml:space="preserve"> Farbabbildungen</w:t>
            </w:r>
            <w:r w:rsidR="00B0351A" w:rsidRPr="007953A1">
              <w:rPr>
                <w:sz w:val="18"/>
                <w:highlight w:val="lightGray"/>
                <w:u w:val="single"/>
              </w:rPr>
              <w:t xml:space="preserve"> als solche</w:t>
            </w:r>
            <w:r>
              <w:rPr>
                <w:sz w:val="18"/>
              </w:rPr>
              <w:t xml:space="preserve"> in den Prüfungsrichtlinien zu verwenden, da die Farbe in Fotoaufnahmen von der Kameratechnologie, </w:t>
            </w:r>
            <w:r w:rsidRPr="007953A1">
              <w:rPr>
                <w:strike/>
                <w:sz w:val="18"/>
                <w:highlight w:val="lightGray"/>
              </w:rPr>
              <w:t>und</w:t>
            </w:r>
            <w:r>
              <w:rPr>
                <w:sz w:val="18"/>
              </w:rPr>
              <w:t xml:space="preserve"> den Geräten zur Abbildung der Fotoaufnahmen (</w:t>
            </w:r>
            <w:r w:rsidRPr="007953A1">
              <w:rPr>
                <w:sz w:val="18"/>
                <w:highlight w:val="lightGray"/>
                <w:u w:val="single"/>
              </w:rPr>
              <w:t>einschließlich</w:t>
            </w:r>
            <w:r>
              <w:rPr>
                <w:sz w:val="18"/>
              </w:rPr>
              <w:t xml:space="preserve"> Drucker, Computer </w:t>
            </w:r>
            <w:r w:rsidRPr="007953A1">
              <w:rPr>
                <w:sz w:val="18"/>
                <w:highlight w:val="lightGray"/>
                <w:u w:val="single"/>
              </w:rPr>
              <w:t>und</w:t>
            </w:r>
            <w:r>
              <w:rPr>
                <w:sz w:val="18"/>
              </w:rPr>
              <w:t xml:space="preserve"> Bildschirm</w:t>
            </w:r>
            <w:r w:rsidRPr="007953A1">
              <w:rPr>
                <w:strike/>
                <w:sz w:val="18"/>
                <w:highlight w:val="lightGray"/>
              </w:rPr>
              <w:t xml:space="preserve"> usw.</w:t>
            </w:r>
            <w:r>
              <w:rPr>
                <w:sz w:val="18"/>
              </w:rPr>
              <w:t xml:space="preserve">) </w:t>
            </w:r>
            <w:r w:rsidRPr="007953A1">
              <w:rPr>
                <w:sz w:val="18"/>
                <w:highlight w:val="lightGray"/>
                <w:u w:val="single"/>
              </w:rPr>
              <w:t>sowie den Lichtbedingungen</w:t>
            </w:r>
            <w:r w:rsidR="00B0351A" w:rsidRPr="007953A1">
              <w:rPr>
                <w:sz w:val="18"/>
                <w:highlight w:val="lightGray"/>
                <w:u w:val="single"/>
              </w:rPr>
              <w:t>,</w:t>
            </w:r>
            <w:r w:rsidRPr="007953A1">
              <w:rPr>
                <w:sz w:val="18"/>
                <w:highlight w:val="lightGray"/>
                <w:u w:val="single"/>
              </w:rPr>
              <w:t xml:space="preserve"> unter denen die Fotoaufnahme gemacht wird, beeinflußt werden kann</w:t>
            </w:r>
            <w:r>
              <w:rPr>
                <w:sz w:val="18"/>
              </w:rPr>
              <w:t xml:space="preserve">. Zudem kann die Ausprägung der Farbe je nach Umgebung, in der die Sorte angepflanzt wird, variieren. </w:t>
            </w:r>
            <w:r w:rsidR="00F30573">
              <w:rPr>
                <w:sz w:val="18"/>
              </w:rPr>
              <w:t xml:space="preserve">Eine von einem Führenden Sachverständigen eines UPOV-Mitglieds bereitgestellte Fotoaufnahme einer </w:t>
            </w:r>
            <w:r w:rsidR="00947BE9">
              <w:rPr>
                <w:sz w:val="18"/>
              </w:rPr>
              <w:t>‚</w:t>
            </w:r>
            <w:r w:rsidR="00F30573" w:rsidRPr="007953A1">
              <w:rPr>
                <w:strike/>
                <w:sz w:val="18"/>
                <w:highlight w:val="lightGray"/>
              </w:rPr>
              <w:t>geringen</w:t>
            </w:r>
            <w:r w:rsidR="00F30573">
              <w:rPr>
                <w:sz w:val="18"/>
              </w:rPr>
              <w:t xml:space="preserve"> </w:t>
            </w:r>
            <w:r w:rsidR="00F30573" w:rsidRPr="007953A1">
              <w:rPr>
                <w:sz w:val="18"/>
                <w:highlight w:val="lightGray"/>
                <w:u w:val="single"/>
              </w:rPr>
              <w:t>schwachen</w:t>
            </w:r>
            <w:r w:rsidR="00F30573">
              <w:rPr>
                <w:sz w:val="18"/>
              </w:rPr>
              <w:t xml:space="preserve"> Intensität</w:t>
            </w:r>
            <w:r w:rsidR="00947BE9">
              <w:rPr>
                <w:sz w:val="18"/>
              </w:rPr>
              <w:t>‘</w:t>
            </w:r>
            <w:r w:rsidR="00F30573">
              <w:rPr>
                <w:sz w:val="18"/>
              </w:rPr>
              <w:t xml:space="preserve"> der Anthocyan</w:t>
            </w:r>
            <w:r w:rsidR="00B0351A">
              <w:rPr>
                <w:sz w:val="18"/>
              </w:rPr>
              <w:t>färbung gibt</w:t>
            </w:r>
            <w:r w:rsidR="00F30573">
              <w:rPr>
                <w:sz w:val="18"/>
              </w:rPr>
              <w:t xml:space="preserve"> beispielsweise nicht unbedingt eine</w:t>
            </w:r>
            <w:r w:rsidR="00B0351A">
              <w:rPr>
                <w:sz w:val="18"/>
              </w:rPr>
              <w:t xml:space="preserve"> in einem anderen UPOV-Mitglied erfaßte</w:t>
            </w:r>
            <w:r w:rsidR="00F30573">
              <w:rPr>
                <w:sz w:val="18"/>
              </w:rPr>
              <w:t xml:space="preserve"> </w:t>
            </w:r>
            <w:r w:rsidR="00947BE9">
              <w:rPr>
                <w:sz w:val="18"/>
              </w:rPr>
              <w:t>‚</w:t>
            </w:r>
            <w:r w:rsidR="00F30573" w:rsidRPr="007953A1">
              <w:rPr>
                <w:sz w:val="18"/>
                <w:highlight w:val="lightGray"/>
                <w:u w:val="single"/>
              </w:rPr>
              <w:t>schwache</w:t>
            </w:r>
            <w:r w:rsidR="00F30573">
              <w:rPr>
                <w:sz w:val="18"/>
              </w:rPr>
              <w:t xml:space="preserve"> </w:t>
            </w:r>
            <w:r w:rsidR="00F30573" w:rsidRPr="007953A1">
              <w:rPr>
                <w:strike/>
                <w:sz w:val="18"/>
                <w:highlight w:val="lightGray"/>
              </w:rPr>
              <w:t>geringe</w:t>
            </w:r>
            <w:r w:rsidR="00947BE9">
              <w:rPr>
                <w:sz w:val="18"/>
              </w:rPr>
              <w:t> Intensität‘</w:t>
            </w:r>
            <w:r w:rsidR="00F30573">
              <w:rPr>
                <w:sz w:val="18"/>
              </w:rPr>
              <w:t xml:space="preserve"> der Anthocyan</w:t>
            </w:r>
            <w:r w:rsidR="00B0351A">
              <w:rPr>
                <w:sz w:val="18"/>
              </w:rPr>
              <w:t>färbung wieder</w:t>
            </w:r>
            <w:r w:rsidR="00F30573">
              <w:rPr>
                <w:sz w:val="18"/>
              </w:rPr>
              <w:t>.”</w:t>
            </w:r>
          </w:p>
          <w:p w:rsidR="00A445B4" w:rsidRPr="00700478" w:rsidRDefault="00A445B4" w:rsidP="00C622EB"/>
        </w:tc>
        <w:tc>
          <w:tcPr>
            <w:tcW w:w="823" w:type="dxa"/>
            <w:shd w:val="clear" w:color="auto" w:fill="auto"/>
          </w:tcPr>
          <w:p w:rsidR="00A445B4" w:rsidRPr="00100526" w:rsidRDefault="00A445B4" w:rsidP="00C622EB">
            <w:pPr>
              <w:spacing w:before="120"/>
            </w:pPr>
            <w:r>
              <w:t>TWC</w:t>
            </w:r>
          </w:p>
        </w:tc>
      </w:tr>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r>
              <w:t>Allgemein</w:t>
            </w:r>
          </w:p>
        </w:tc>
        <w:tc>
          <w:tcPr>
            <w:tcW w:w="6804" w:type="dxa"/>
            <w:shd w:val="clear" w:color="auto" w:fill="auto"/>
          </w:tcPr>
          <w:p w:rsidR="00A445B4" w:rsidRDefault="00A445B4" w:rsidP="00C622EB">
            <w:pPr>
              <w:keepNext/>
              <w:rPr>
                <w:rFonts w:cs="Arial"/>
              </w:rPr>
            </w:pPr>
            <w:r>
              <w:t>Die TWA stimmte dem Vorschlag der TWO auf ihrer sechsundvierzigsten Tagung und der TWF auf ihrer vierundvierzigsten Tagung zu, folgende Anleitung in eine künftige Über</w:t>
            </w:r>
            <w:r w:rsidR="00E35D92">
              <w:t>arbeitung von Dokument TGP/7 mit</w:t>
            </w:r>
            <w:r>
              <w:t xml:space="preserve"> Streichung von „Führender Sachver</w:t>
            </w:r>
            <w:r w:rsidR="00947BE9">
              <w:t>ständiger“ und Ersatz von „UPOV</w:t>
            </w:r>
            <w:r w:rsidR="00947BE9">
              <w:noBreakHyphen/>
            </w:r>
            <w:r>
              <w:t xml:space="preserve">Mitglied“ durch „Umgebung“ im letzten Satz </w:t>
            </w:r>
            <w:r w:rsidR="00E35D92">
              <w:t>auf</w:t>
            </w:r>
            <w:r>
              <w:t>zu</w:t>
            </w:r>
            <w:r w:rsidR="00E35D92">
              <w:t>nehmen</w:t>
            </w:r>
            <w:r>
              <w:t xml:space="preserve"> (vergleiche Dokument TWA/42/31 „</w:t>
            </w:r>
            <w:r w:rsidRPr="00E35D92">
              <w:rPr>
                <w:i/>
              </w:rPr>
              <w:t>Report</w:t>
            </w:r>
            <w:r>
              <w:t>“, Absatz 64):</w:t>
            </w:r>
          </w:p>
          <w:p w:rsidR="00A445B4" w:rsidRDefault="00A445B4" w:rsidP="00C622EB">
            <w:pPr>
              <w:keepNext/>
              <w:rPr>
                <w:rFonts w:cs="Arial"/>
              </w:rPr>
            </w:pPr>
          </w:p>
          <w:p w:rsidR="00A445B4" w:rsidRDefault="00A445B4" w:rsidP="00C622EB">
            <w:pPr>
              <w:ind w:left="567" w:right="567"/>
              <w:rPr>
                <w:snapToGrid w:val="0"/>
              </w:rPr>
            </w:pPr>
            <w:r>
              <w:rPr>
                <w:sz w:val="18"/>
                <w:szCs w:val="18"/>
              </w:rPr>
              <w:t>„</w:t>
            </w:r>
            <w:r>
              <w:rPr>
                <w:strike/>
                <w:sz w:val="18"/>
                <w:szCs w:val="18"/>
                <w:shd w:val="clear" w:color="auto" w:fill="BFBFBF"/>
              </w:rPr>
              <w:t>Bei der Überlegung, ob Farbabbildungen in den Prüfungsrichtlinien verwendet werden sollen, ist besondere Vorsicht geboten</w:t>
            </w:r>
            <w:r>
              <w:rPr>
                <w:sz w:val="18"/>
                <w:szCs w:val="18"/>
              </w:rPr>
              <w:t xml:space="preserve"> </w:t>
            </w:r>
            <w:r w:rsidRPr="007953A1">
              <w:rPr>
                <w:sz w:val="18"/>
                <w:szCs w:val="18"/>
                <w:highlight w:val="lightGray"/>
                <w:u w:val="single"/>
              </w:rPr>
              <w:t>Im Allgemeinen ist es nicht zweckmäßig,</w:t>
            </w:r>
            <w:r>
              <w:rPr>
                <w:sz w:val="18"/>
                <w:szCs w:val="18"/>
              </w:rPr>
              <w:t xml:space="preserve"> Farbabbildungen</w:t>
            </w:r>
            <w:r w:rsidR="00EE5C1D" w:rsidRPr="007953A1">
              <w:rPr>
                <w:sz w:val="18"/>
                <w:szCs w:val="18"/>
                <w:highlight w:val="lightGray"/>
                <w:u w:val="single"/>
              </w:rPr>
              <w:t xml:space="preserve"> als solche</w:t>
            </w:r>
            <w:r>
              <w:rPr>
                <w:sz w:val="18"/>
                <w:szCs w:val="18"/>
              </w:rPr>
              <w:t xml:space="preserve"> in den Prüfungsrichtlinien zu verwenden, da die Farbe in Fotoaufnahmen von der Kameratechnologie, </w:t>
            </w:r>
            <w:r w:rsidRPr="007953A1">
              <w:rPr>
                <w:strike/>
                <w:sz w:val="18"/>
                <w:szCs w:val="18"/>
                <w:highlight w:val="lightGray"/>
              </w:rPr>
              <w:t>und</w:t>
            </w:r>
            <w:r>
              <w:rPr>
                <w:sz w:val="18"/>
                <w:szCs w:val="18"/>
              </w:rPr>
              <w:t xml:space="preserve"> den Geräten zur Abbildung der Fotoaufnahmen (</w:t>
            </w:r>
            <w:r w:rsidRPr="007953A1">
              <w:rPr>
                <w:sz w:val="18"/>
                <w:szCs w:val="18"/>
                <w:highlight w:val="lightGray"/>
                <w:u w:val="single"/>
              </w:rPr>
              <w:t>einschließlich</w:t>
            </w:r>
            <w:r>
              <w:rPr>
                <w:sz w:val="18"/>
                <w:szCs w:val="18"/>
              </w:rPr>
              <w:t xml:space="preserve"> Drucker, Computer </w:t>
            </w:r>
            <w:r w:rsidRPr="007953A1">
              <w:rPr>
                <w:sz w:val="18"/>
                <w:szCs w:val="18"/>
                <w:highlight w:val="lightGray"/>
                <w:u w:val="single"/>
              </w:rPr>
              <w:t>und</w:t>
            </w:r>
            <w:r>
              <w:rPr>
                <w:sz w:val="18"/>
                <w:szCs w:val="18"/>
              </w:rPr>
              <w:t xml:space="preserve"> Bildschirm</w:t>
            </w:r>
            <w:r w:rsidRPr="007953A1">
              <w:rPr>
                <w:strike/>
                <w:sz w:val="18"/>
                <w:szCs w:val="18"/>
                <w:highlight w:val="lightGray"/>
              </w:rPr>
              <w:t xml:space="preserve"> usw.</w:t>
            </w:r>
            <w:r>
              <w:rPr>
                <w:sz w:val="18"/>
                <w:szCs w:val="18"/>
              </w:rPr>
              <w:t xml:space="preserve">) </w:t>
            </w:r>
            <w:r w:rsidRPr="007953A1">
              <w:rPr>
                <w:sz w:val="18"/>
                <w:szCs w:val="18"/>
                <w:highlight w:val="lightGray"/>
                <w:u w:val="single"/>
              </w:rPr>
              <w:t>sowie den Lichtbedingungen</w:t>
            </w:r>
            <w:r w:rsidR="00EE5C1D" w:rsidRPr="007953A1">
              <w:rPr>
                <w:sz w:val="18"/>
                <w:szCs w:val="18"/>
                <w:highlight w:val="lightGray"/>
                <w:u w:val="single"/>
              </w:rPr>
              <w:t>,</w:t>
            </w:r>
            <w:r w:rsidRPr="007953A1">
              <w:rPr>
                <w:sz w:val="18"/>
                <w:szCs w:val="18"/>
                <w:highlight w:val="lightGray"/>
                <w:u w:val="single"/>
              </w:rPr>
              <w:t xml:space="preserve"> unter denen die Fotoaufnahme gemacht wird, beeinflußt werden kann</w:t>
            </w:r>
            <w:r>
              <w:rPr>
                <w:sz w:val="18"/>
                <w:szCs w:val="18"/>
              </w:rPr>
              <w:t xml:space="preserve">. Zudem kann die Ausprägung der Farbe je nach Umgebung, in der die Sorte angepflanzt wird, variieren. </w:t>
            </w:r>
            <w:r w:rsidR="00F30573">
              <w:rPr>
                <w:sz w:val="18"/>
                <w:szCs w:val="18"/>
              </w:rPr>
              <w:t xml:space="preserve">Eine </w:t>
            </w:r>
            <w:r w:rsidR="00F30573" w:rsidRPr="007953A1">
              <w:rPr>
                <w:strike/>
                <w:sz w:val="18"/>
                <w:szCs w:val="18"/>
                <w:highlight w:val="lightGray"/>
              </w:rPr>
              <w:t>von einem Führenden Sachverständigen eines UPOV-Mitglieds bereitgestellte</w:t>
            </w:r>
            <w:r w:rsidR="00F30573">
              <w:rPr>
                <w:sz w:val="18"/>
                <w:szCs w:val="18"/>
              </w:rPr>
              <w:t xml:space="preserve"> Fotoaufna</w:t>
            </w:r>
            <w:r w:rsidR="00947BE9">
              <w:rPr>
                <w:sz w:val="18"/>
                <w:szCs w:val="18"/>
              </w:rPr>
              <w:t>hme einer ‚</w:t>
            </w:r>
            <w:r w:rsidR="00F30573" w:rsidRPr="007953A1">
              <w:rPr>
                <w:strike/>
                <w:sz w:val="18"/>
                <w:szCs w:val="18"/>
                <w:highlight w:val="lightGray"/>
              </w:rPr>
              <w:t>geringen</w:t>
            </w:r>
            <w:r w:rsidR="00F30573">
              <w:rPr>
                <w:sz w:val="18"/>
                <w:szCs w:val="18"/>
              </w:rPr>
              <w:t xml:space="preserve"> </w:t>
            </w:r>
            <w:r w:rsidR="00F30573" w:rsidRPr="007953A1">
              <w:rPr>
                <w:sz w:val="18"/>
                <w:szCs w:val="18"/>
                <w:highlight w:val="lightGray"/>
                <w:u w:val="single"/>
              </w:rPr>
              <w:t>schwachen</w:t>
            </w:r>
            <w:r w:rsidR="00F30573">
              <w:rPr>
                <w:sz w:val="18"/>
                <w:szCs w:val="18"/>
              </w:rPr>
              <w:t xml:space="preserve"> Intensität</w:t>
            </w:r>
            <w:r w:rsidR="00947BE9">
              <w:rPr>
                <w:sz w:val="18"/>
                <w:szCs w:val="18"/>
              </w:rPr>
              <w:t>‘</w:t>
            </w:r>
            <w:r w:rsidR="00F30573">
              <w:rPr>
                <w:sz w:val="18"/>
                <w:szCs w:val="18"/>
              </w:rPr>
              <w:t xml:space="preserve"> der </w:t>
            </w:r>
            <w:r w:rsidR="00017C7A">
              <w:rPr>
                <w:sz w:val="18"/>
                <w:szCs w:val="18"/>
              </w:rPr>
              <w:t>Anthocyan</w:t>
            </w:r>
            <w:r w:rsidR="00F30573">
              <w:rPr>
                <w:sz w:val="18"/>
                <w:szCs w:val="18"/>
              </w:rPr>
              <w:t>färbung</w:t>
            </w:r>
            <w:r w:rsidR="00EE5C1D">
              <w:rPr>
                <w:sz w:val="18"/>
                <w:szCs w:val="18"/>
              </w:rPr>
              <w:t xml:space="preserve"> in </w:t>
            </w:r>
            <w:r w:rsidR="00EE5C1D" w:rsidRPr="007953A1">
              <w:rPr>
                <w:sz w:val="18"/>
                <w:szCs w:val="18"/>
                <w:highlight w:val="lightGray"/>
                <w:u w:val="single"/>
              </w:rPr>
              <w:t>einer Umgebung</w:t>
            </w:r>
            <w:r w:rsidR="00E35D92">
              <w:rPr>
                <w:sz w:val="18"/>
                <w:szCs w:val="18"/>
              </w:rPr>
              <w:t xml:space="preserve"> gibt</w:t>
            </w:r>
            <w:r w:rsidR="00F30573">
              <w:rPr>
                <w:sz w:val="18"/>
                <w:szCs w:val="18"/>
              </w:rPr>
              <w:t xml:space="preserve"> beisp</w:t>
            </w:r>
            <w:r w:rsidR="00947BE9">
              <w:rPr>
                <w:sz w:val="18"/>
                <w:szCs w:val="18"/>
              </w:rPr>
              <w:t>ielsweise nicht unbedingt eine ‚</w:t>
            </w:r>
            <w:r w:rsidR="00F30573" w:rsidRPr="007953A1">
              <w:rPr>
                <w:sz w:val="18"/>
                <w:szCs w:val="18"/>
                <w:highlight w:val="lightGray"/>
                <w:u w:val="single"/>
              </w:rPr>
              <w:t>schwache</w:t>
            </w:r>
            <w:r w:rsidR="00F30573" w:rsidRPr="00EE5C1D">
              <w:rPr>
                <w:sz w:val="18"/>
                <w:szCs w:val="18"/>
                <w:u w:val="single"/>
              </w:rPr>
              <w:t xml:space="preserve"> </w:t>
            </w:r>
            <w:r w:rsidR="00F30573" w:rsidRPr="007953A1">
              <w:rPr>
                <w:strike/>
                <w:sz w:val="18"/>
                <w:szCs w:val="18"/>
                <w:highlight w:val="lightGray"/>
              </w:rPr>
              <w:t>geringe</w:t>
            </w:r>
            <w:r w:rsidR="00F30573">
              <w:rPr>
                <w:sz w:val="18"/>
                <w:szCs w:val="18"/>
              </w:rPr>
              <w:t> Intensität</w:t>
            </w:r>
            <w:r w:rsidR="00947BE9">
              <w:rPr>
                <w:sz w:val="18"/>
                <w:szCs w:val="18"/>
              </w:rPr>
              <w:t>‘</w:t>
            </w:r>
            <w:r w:rsidR="00F30573">
              <w:rPr>
                <w:sz w:val="18"/>
                <w:szCs w:val="18"/>
              </w:rPr>
              <w:t xml:space="preserve"> der </w:t>
            </w:r>
            <w:r w:rsidR="00017C7A">
              <w:rPr>
                <w:sz w:val="18"/>
                <w:szCs w:val="18"/>
              </w:rPr>
              <w:t>Anthocyan</w:t>
            </w:r>
            <w:r w:rsidR="00F30573">
              <w:rPr>
                <w:sz w:val="18"/>
                <w:szCs w:val="18"/>
              </w:rPr>
              <w:t xml:space="preserve">färbung in </w:t>
            </w:r>
            <w:r w:rsidR="00F30573" w:rsidRPr="007953A1">
              <w:rPr>
                <w:strike/>
                <w:sz w:val="18"/>
                <w:szCs w:val="18"/>
                <w:highlight w:val="lightGray"/>
              </w:rPr>
              <w:t>einem anderen</w:t>
            </w:r>
            <w:r w:rsidR="00F30573">
              <w:rPr>
                <w:sz w:val="18"/>
                <w:szCs w:val="18"/>
              </w:rPr>
              <w:t xml:space="preserve"> </w:t>
            </w:r>
            <w:r w:rsidR="00F30573" w:rsidRPr="007953A1">
              <w:rPr>
                <w:strike/>
                <w:sz w:val="18"/>
                <w:szCs w:val="18"/>
                <w:highlight w:val="lightGray"/>
              </w:rPr>
              <w:t xml:space="preserve">UPOV-Mitglied </w:t>
            </w:r>
            <w:r w:rsidR="00F30573" w:rsidRPr="007953A1">
              <w:rPr>
                <w:sz w:val="18"/>
                <w:szCs w:val="18"/>
                <w:highlight w:val="lightGray"/>
                <w:u w:val="single"/>
              </w:rPr>
              <w:t>einer anderen Umgebung</w:t>
            </w:r>
            <w:r w:rsidR="00F30573">
              <w:rPr>
                <w:sz w:val="18"/>
                <w:szCs w:val="18"/>
                <w:u w:val="single"/>
              </w:rPr>
              <w:t xml:space="preserve"> </w:t>
            </w:r>
            <w:r w:rsidR="00E35D92">
              <w:rPr>
                <w:sz w:val="18"/>
                <w:szCs w:val="18"/>
              </w:rPr>
              <w:t>wieder</w:t>
            </w:r>
            <w:r w:rsidR="00F30573">
              <w:rPr>
                <w:sz w:val="18"/>
                <w:szCs w:val="18"/>
              </w:rPr>
              <w:t>.”</w:t>
            </w:r>
          </w:p>
          <w:p w:rsidR="00A445B4" w:rsidRPr="00700478" w:rsidRDefault="00A445B4" w:rsidP="00C622EB">
            <w:pPr>
              <w:keepNext/>
            </w:pPr>
          </w:p>
        </w:tc>
        <w:tc>
          <w:tcPr>
            <w:tcW w:w="823" w:type="dxa"/>
            <w:shd w:val="clear" w:color="auto" w:fill="auto"/>
          </w:tcPr>
          <w:p w:rsidR="00A445B4" w:rsidRPr="00100526" w:rsidRDefault="00A445B4" w:rsidP="00C622EB">
            <w:pPr>
              <w:spacing w:before="120"/>
            </w:pPr>
            <w:r>
              <w:t>TWA</w:t>
            </w:r>
          </w:p>
        </w:tc>
      </w:tr>
    </w:tbl>
    <w:p w:rsidR="00A445B4" w:rsidRDefault="00A445B4" w:rsidP="00A445B4">
      <w:pPr>
        <w:jc w:val="left"/>
      </w:pPr>
    </w:p>
    <w:p w:rsidR="00A445B4" w:rsidRDefault="00A445B4" w:rsidP="00A445B4">
      <w:pPr>
        <w:jc w:val="left"/>
      </w:pPr>
    </w:p>
    <w:p w:rsidR="00A445B4" w:rsidRPr="00100526" w:rsidRDefault="00947BE9" w:rsidP="00A445B4">
      <w:pPr>
        <w:pStyle w:val="Heading1"/>
      </w:pPr>
      <w:bookmarkStart w:id="19" w:name="_Toc377561588"/>
      <w:bookmarkStart w:id="20" w:name="_Toc377567533"/>
      <w:bookmarkStart w:id="21" w:name="_Toc378603967"/>
      <w:r>
        <w:t>Bemerkungen</w:t>
      </w:r>
      <w:r w:rsidR="00A445B4">
        <w:t xml:space="preserve"> DES Erweiterten Redaktionsausschusses auf seiner </w:t>
      </w:r>
      <w:r>
        <w:t>Sitzun</w:t>
      </w:r>
      <w:r w:rsidR="00A445B4">
        <w:t>g im Januar 2014</w:t>
      </w:r>
      <w:bookmarkEnd w:id="19"/>
      <w:bookmarkEnd w:id="20"/>
      <w:bookmarkEnd w:id="21"/>
    </w:p>
    <w:p w:rsidR="00A445B4" w:rsidRDefault="00A445B4" w:rsidP="00A445B4">
      <w:pPr>
        <w:jc w:val="left"/>
      </w:pPr>
    </w:p>
    <w:p w:rsidR="00A445B4" w:rsidRDefault="00A445B4" w:rsidP="00A445B4">
      <w:r>
        <w:fldChar w:fldCharType="begin"/>
      </w:r>
      <w:r>
        <w:instrText xml:space="preserve"> AUTONUM  </w:instrText>
      </w:r>
      <w:r>
        <w:fldChar w:fldCharType="end"/>
      </w:r>
      <w:r>
        <w:tab/>
        <w:t>Der TC-EDC</w:t>
      </w:r>
      <w:r>
        <w:rPr>
          <w:color w:val="000000"/>
        </w:rPr>
        <w:t xml:space="preserve"> </w:t>
      </w:r>
      <w:r>
        <w:t xml:space="preserve">prüfte auf seiner </w:t>
      </w:r>
      <w:r w:rsidR="00947BE9">
        <w:t>Sitzung</w:t>
      </w:r>
      <w:r>
        <w:t xml:space="preserve"> am 8. und 9. Januar 2014 in </w:t>
      </w:r>
      <w:r w:rsidR="00F30573">
        <w:t xml:space="preserve">Genf </w:t>
      </w:r>
      <w:r w:rsidR="00F30573">
        <w:rPr>
          <w:color w:val="000000"/>
        </w:rPr>
        <w:t>Dokument</w:t>
      </w:r>
      <w:r>
        <w:t xml:space="preserve"> TC</w:t>
      </w:r>
      <w:r>
        <w:noBreakHyphen/>
        <w:t>EDC/Jan14/7 „Überarbeitung von Dokument TGP/7: Bereitstellung von Farbabbildungen in Prüfungsrichtlinien“ und die von den TWP auf ihren Tagungen i</w:t>
      </w:r>
      <w:r w:rsidR="005E17E4">
        <w:t>m Jahr 2013 gemachten Anmerkungen</w:t>
      </w:r>
      <w:r>
        <w:t xml:space="preserve"> und billigte den vorgeschlagenen Anleitungsentwurf vorbehaltlich folgender Änderung: </w:t>
      </w:r>
    </w:p>
    <w:p w:rsidR="00A445B4" w:rsidRDefault="00A445B4" w:rsidP="00A445B4">
      <w:pPr>
        <w:jc w:val="left"/>
      </w:pPr>
    </w:p>
    <w:p w:rsidR="00336A35" w:rsidRPr="001267C6" w:rsidRDefault="00336A35" w:rsidP="00336A35">
      <w:pPr>
        <w:ind w:left="567" w:right="567"/>
        <w:rPr>
          <w:snapToGrid w:val="0"/>
          <w:sz w:val="22"/>
        </w:rPr>
      </w:pPr>
      <w:r>
        <w:rPr>
          <w:szCs w:val="18"/>
        </w:rPr>
        <w:t xml:space="preserve">„Im Allgemeinen ist es nicht zweckmäßig, Farbabbildungen in den Prüfungsrichtlinien zu verwenden, da die Farbe in Fotoaufnahmen von der Kameratechnologie, den Geräten zur Abbildung der Fotoaufnahmen (einschließlich Drucker, Computer und Bildschirm) sowie den Lichtbedingungen, unter denen die Fotoaufnahme gemacht </w:t>
      </w:r>
      <w:r w:rsidR="00F30573">
        <w:rPr>
          <w:szCs w:val="18"/>
        </w:rPr>
        <w:t>wird/</w:t>
      </w:r>
      <w:r w:rsidR="00F30573" w:rsidRPr="007953A1">
        <w:rPr>
          <w:szCs w:val="18"/>
          <w:highlight w:val="lightGray"/>
          <w:u w:val="single"/>
        </w:rPr>
        <w:t>wurde</w:t>
      </w:r>
      <w:r w:rsidR="00F30573" w:rsidRPr="002D0A20">
        <w:rPr>
          <w:szCs w:val="18"/>
        </w:rPr>
        <w:t xml:space="preserve">, </w:t>
      </w:r>
      <w:r w:rsidR="00F30573">
        <w:rPr>
          <w:szCs w:val="18"/>
        </w:rPr>
        <w:t>beeinflußt</w:t>
      </w:r>
      <w:r>
        <w:rPr>
          <w:szCs w:val="18"/>
        </w:rPr>
        <w:t xml:space="preserve"> werden kann</w:t>
      </w:r>
      <w:r w:rsidR="00F30573">
        <w:rPr>
          <w:szCs w:val="18"/>
        </w:rPr>
        <w:t xml:space="preserve">. </w:t>
      </w:r>
      <w:r>
        <w:rPr>
          <w:szCs w:val="18"/>
        </w:rPr>
        <w:t>Zudem kann die Ausprägung der Farbe je nach Umgebung, in der die Sorte angepflanzt wird, variieren. Eine Fotoaufnahme einer</w:t>
      </w:r>
      <w:r w:rsidR="002D0A20">
        <w:rPr>
          <w:szCs w:val="18"/>
        </w:rPr>
        <w:t xml:space="preserve"> in einer Umgebung erfaßten</w:t>
      </w:r>
      <w:r>
        <w:rPr>
          <w:szCs w:val="18"/>
        </w:rPr>
        <w:t xml:space="preserve"> ‘schwachen Intensität’ der </w:t>
      </w:r>
      <w:r w:rsidR="00017C7A">
        <w:rPr>
          <w:szCs w:val="18"/>
        </w:rPr>
        <w:t>Anthocyan</w:t>
      </w:r>
      <w:r>
        <w:rPr>
          <w:szCs w:val="18"/>
        </w:rPr>
        <w:t>färbung (oder einer ‘schw</w:t>
      </w:r>
      <w:r w:rsidR="002D0A20">
        <w:rPr>
          <w:szCs w:val="18"/>
        </w:rPr>
        <w:t xml:space="preserve">achen Intensität’ einer Farbe) gibt </w:t>
      </w:r>
      <w:r>
        <w:rPr>
          <w:szCs w:val="18"/>
        </w:rPr>
        <w:t xml:space="preserve">beispielsweise nicht </w:t>
      </w:r>
      <w:r>
        <w:rPr>
          <w:szCs w:val="18"/>
        </w:rPr>
        <w:lastRenderedPageBreak/>
        <w:t>unbedingt eine</w:t>
      </w:r>
      <w:r w:rsidR="002D0A20">
        <w:rPr>
          <w:szCs w:val="18"/>
        </w:rPr>
        <w:t xml:space="preserve"> in einer anderen Umgebung erfaßte</w:t>
      </w:r>
      <w:r>
        <w:rPr>
          <w:szCs w:val="18"/>
        </w:rPr>
        <w:t xml:space="preserve"> ‘schwache Intensität’ der </w:t>
      </w:r>
      <w:r w:rsidR="00017C7A">
        <w:rPr>
          <w:szCs w:val="18"/>
        </w:rPr>
        <w:t>Anthocyan</w:t>
      </w:r>
      <w:r>
        <w:rPr>
          <w:szCs w:val="18"/>
        </w:rPr>
        <w:t>färbung (oder eine ‘schwache Intensität’ eine</w:t>
      </w:r>
      <w:r w:rsidR="002D0A20">
        <w:rPr>
          <w:szCs w:val="18"/>
        </w:rPr>
        <w:t>r Farbe) wieder</w:t>
      </w:r>
      <w:r>
        <w:rPr>
          <w:szCs w:val="18"/>
        </w:rPr>
        <w:t>.”</w:t>
      </w:r>
    </w:p>
    <w:p w:rsidR="00A445B4" w:rsidRDefault="00A445B4" w:rsidP="00A445B4">
      <w:pPr>
        <w:jc w:val="left"/>
      </w:pPr>
    </w:p>
    <w:p w:rsidR="00A445B4" w:rsidRDefault="00A445B4" w:rsidP="00A445B4">
      <w:pPr>
        <w:jc w:val="left"/>
      </w:pPr>
    </w:p>
    <w:p w:rsidR="00A445B4" w:rsidRDefault="00A445B4" w:rsidP="00A445B4">
      <w:pPr>
        <w:pStyle w:val="Heading1"/>
      </w:pPr>
      <w:bookmarkStart w:id="22" w:name="_Toc377561589"/>
      <w:bookmarkStart w:id="23" w:name="_Toc377567534"/>
      <w:bookmarkStart w:id="24" w:name="_Toc378603968"/>
      <w:r>
        <w:t>VORSCHLAG</w:t>
      </w:r>
      <w:bookmarkEnd w:id="22"/>
      <w:bookmarkEnd w:id="23"/>
      <w:bookmarkEnd w:id="24"/>
    </w:p>
    <w:p w:rsidR="00A445B4" w:rsidRDefault="00A445B4" w:rsidP="00A445B4"/>
    <w:p w:rsidR="00A445B4" w:rsidRDefault="00A445B4" w:rsidP="00A445B4">
      <w:pPr>
        <w:rPr>
          <w:rFonts w:cs="Arial"/>
        </w:rPr>
      </w:pPr>
      <w:r>
        <w:fldChar w:fldCharType="begin"/>
      </w:r>
      <w:r>
        <w:instrText xml:space="preserve"> AUTONUM  </w:instrText>
      </w:r>
      <w:r>
        <w:fldChar w:fldCharType="end"/>
      </w:r>
      <w:r>
        <w:tab/>
        <w:t xml:space="preserve">Auf der Grundlage der </w:t>
      </w:r>
      <w:r w:rsidR="00947BE9">
        <w:t>Bemerkungen</w:t>
      </w:r>
      <w:r>
        <w:t xml:space="preserve"> der TWP auf ihren Tagungen im Jahr 2013 und des TC-EDC auf seiner </w:t>
      </w:r>
      <w:r w:rsidR="00947BE9">
        <w:t>Sitzung</w:t>
      </w:r>
      <w:r>
        <w:t xml:space="preserve"> im Januar 2014 wird folgender Entwurf einer Anleitung zur Aufnahme in Dokument TGP/7 vorgeschlagen:</w:t>
      </w:r>
    </w:p>
    <w:p w:rsidR="00A445B4" w:rsidRDefault="00A445B4" w:rsidP="00A445B4"/>
    <w:p w:rsidR="00C7627D" w:rsidRDefault="00A445B4" w:rsidP="00A445B4">
      <w:pPr>
        <w:ind w:left="567" w:right="567"/>
        <w:rPr>
          <w:szCs w:val="18"/>
        </w:rPr>
      </w:pPr>
      <w:r>
        <w:rPr>
          <w:szCs w:val="18"/>
        </w:rPr>
        <w:t xml:space="preserve">„Im Allgemeinen ist es nicht zweckmäßig, Farbabbildungen als solche in den Prüfungsrichtlinien zu verwenden, da die Farbe in Fotoaufnahmen von der Kameratechnologie, den Geräten zur Abbildung der Fotoaufnahmen (einschließlich Drucker, Computer und Bildschirm) sowie den Lichtbedingungen, unter denen die Fotoaufnahme gemacht </w:t>
      </w:r>
      <w:r w:rsidR="00F30573">
        <w:rPr>
          <w:szCs w:val="18"/>
        </w:rPr>
        <w:t>wird/wurde</w:t>
      </w:r>
      <w:r>
        <w:rPr>
          <w:szCs w:val="18"/>
        </w:rPr>
        <w:t>, beeinflußt werden kann</w:t>
      </w:r>
      <w:r w:rsidR="00F30573">
        <w:rPr>
          <w:szCs w:val="18"/>
        </w:rPr>
        <w:t xml:space="preserve">. </w:t>
      </w:r>
      <w:r>
        <w:rPr>
          <w:szCs w:val="18"/>
        </w:rPr>
        <w:t xml:space="preserve">Zudem kann die Ausprägung der Farbe je nach Umgebung, in der die Sorte angepflanzt wird, variieren. </w:t>
      </w:r>
      <w:r w:rsidR="00C7627D">
        <w:rPr>
          <w:szCs w:val="18"/>
        </w:rPr>
        <w:t>Eine Fotoaufnahme einer in einer Umgebung erfaßten ‘schwachen Intensität’ der Anthocyanfärbung (oder einer ‘schwachen Intensität’ einer Farbe) gibt beispielsweise nicht unbedingt eine in einer anderen Umgebung erfaßte ‘schwache Intensität’ der Anthocyanfärbung (oder eine ‘schwache Intensität’ einer Farbe) wieder.“</w:t>
      </w:r>
    </w:p>
    <w:p w:rsidR="00C7627D" w:rsidRDefault="00C7627D" w:rsidP="00A445B4">
      <w:pPr>
        <w:ind w:left="567" w:right="567"/>
        <w:rPr>
          <w:szCs w:val="18"/>
        </w:rPr>
      </w:pPr>
    </w:p>
    <w:p w:rsidR="00A445B4" w:rsidRDefault="00A445B4" w:rsidP="00C7627D">
      <w:pPr>
        <w:keepNext/>
      </w:pPr>
    </w:p>
    <w:p w:rsidR="00A445B4" w:rsidRDefault="00A445B4" w:rsidP="00A445B4">
      <w:pPr>
        <w:keepNext/>
        <w:ind w:left="4820"/>
      </w:pPr>
      <w:r>
        <w:rPr>
          <w:i/>
        </w:rPr>
        <w:fldChar w:fldCharType="begin"/>
      </w:r>
      <w:r>
        <w:rPr>
          <w:i/>
        </w:rPr>
        <w:instrText xml:space="preserve"> AUTONUM  </w:instrText>
      </w:r>
      <w:r>
        <w:rPr>
          <w:i/>
        </w:rPr>
        <w:fldChar w:fldCharType="end"/>
      </w:r>
      <w:r>
        <w:tab/>
      </w:r>
      <w:r>
        <w:tab/>
      </w:r>
      <w:r>
        <w:rPr>
          <w:i/>
        </w:rPr>
        <w:t>Der TC wird ersucht, den vorgeschlagenen Entwurf einer Anleitung zu den Gefahren der Bereitstellung von Farbabbildungen in Prüfungsrichtlini</w:t>
      </w:r>
      <w:r w:rsidR="00947BE9">
        <w:rPr>
          <w:i/>
        </w:rPr>
        <w:t>en für die Aufnahme in Dokument </w:t>
      </w:r>
      <w:r>
        <w:rPr>
          <w:i/>
        </w:rPr>
        <w:t>TGP/7, wie in Absatz 10 dieses Dokuments dargelegt, zu prüfen.</w:t>
      </w:r>
    </w:p>
    <w:p w:rsidR="00A445B4" w:rsidRDefault="00A445B4" w:rsidP="00A445B4">
      <w:pPr>
        <w:keepNext/>
        <w:ind w:firstLine="567"/>
      </w:pPr>
    </w:p>
    <w:p w:rsidR="00827005" w:rsidRDefault="00827005" w:rsidP="00A445B4">
      <w:pPr>
        <w:keepNext/>
        <w:ind w:firstLine="567"/>
      </w:pPr>
    </w:p>
    <w:p w:rsidR="00A445B4" w:rsidRDefault="00A445B4" w:rsidP="00A445B4">
      <w:pPr>
        <w:rPr>
          <w:snapToGrid w:val="0"/>
        </w:rPr>
      </w:pPr>
    </w:p>
    <w:p w:rsidR="00A445B4" w:rsidRDefault="00A445B4" w:rsidP="00A445B4">
      <w:pPr>
        <w:pStyle w:val="endofdoc"/>
        <w:spacing w:before="0"/>
        <w:rPr>
          <w:snapToGrid w:val="0"/>
        </w:rPr>
      </w:pPr>
      <w:r>
        <w:t>[Ende des Dokuments]</w:t>
      </w:r>
    </w:p>
    <w:sectPr w:rsidR="00A445B4"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A1" w:rsidRDefault="007953A1" w:rsidP="006655D3">
      <w:r>
        <w:separator/>
      </w:r>
    </w:p>
    <w:p w:rsidR="007953A1" w:rsidRDefault="007953A1" w:rsidP="006655D3"/>
    <w:p w:rsidR="007953A1" w:rsidRDefault="007953A1" w:rsidP="006655D3"/>
  </w:endnote>
  <w:endnote w:type="continuationSeparator" w:id="0">
    <w:p w:rsidR="007953A1" w:rsidRDefault="007953A1" w:rsidP="006655D3">
      <w:r>
        <w:separator/>
      </w:r>
    </w:p>
    <w:p w:rsidR="007953A1" w:rsidRPr="00A445B4" w:rsidRDefault="007953A1">
      <w:pPr>
        <w:pStyle w:val="Footer"/>
        <w:spacing w:after="60"/>
        <w:rPr>
          <w:sz w:val="18"/>
          <w:lang w:val="fr-FR"/>
        </w:rPr>
      </w:pPr>
      <w:r w:rsidRPr="00A445B4">
        <w:rPr>
          <w:sz w:val="18"/>
          <w:lang w:val="fr-FR"/>
        </w:rPr>
        <w:t>[Suite de la note de la page précédente]</w:t>
      </w:r>
    </w:p>
    <w:p w:rsidR="007953A1" w:rsidRPr="00A445B4" w:rsidRDefault="007953A1" w:rsidP="006655D3">
      <w:pPr>
        <w:rPr>
          <w:lang w:val="fr-FR"/>
        </w:rPr>
      </w:pPr>
    </w:p>
    <w:p w:rsidR="007953A1" w:rsidRPr="00A445B4" w:rsidRDefault="007953A1" w:rsidP="006655D3">
      <w:pPr>
        <w:rPr>
          <w:lang w:val="fr-FR"/>
        </w:rPr>
      </w:pPr>
    </w:p>
  </w:endnote>
  <w:endnote w:type="continuationNotice" w:id="1">
    <w:p w:rsidR="007953A1" w:rsidRPr="00A445B4" w:rsidRDefault="007953A1" w:rsidP="006655D3">
      <w:pPr>
        <w:rPr>
          <w:lang w:val="fr-FR"/>
        </w:rPr>
      </w:pPr>
      <w:r w:rsidRPr="00A445B4">
        <w:rPr>
          <w:lang w:val="fr-FR"/>
        </w:rPr>
        <w:t>[Suite de la note page suivante]</w:t>
      </w:r>
    </w:p>
    <w:p w:rsidR="007953A1" w:rsidRPr="00A445B4" w:rsidRDefault="007953A1" w:rsidP="006655D3">
      <w:pPr>
        <w:rPr>
          <w:lang w:val="fr-FR"/>
        </w:rPr>
      </w:pPr>
    </w:p>
    <w:p w:rsidR="007953A1" w:rsidRPr="00A445B4" w:rsidRDefault="007953A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A1" w:rsidRDefault="007953A1" w:rsidP="006655D3">
      <w:r>
        <w:separator/>
      </w:r>
    </w:p>
  </w:footnote>
  <w:footnote w:type="continuationSeparator" w:id="0">
    <w:p w:rsidR="007953A1" w:rsidRDefault="007953A1" w:rsidP="006655D3">
      <w:r>
        <w:separator/>
      </w:r>
    </w:p>
  </w:footnote>
  <w:footnote w:type="continuationNotice" w:id="1">
    <w:p w:rsidR="007953A1" w:rsidRPr="00AB530F" w:rsidRDefault="007953A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TC/50/19</w:t>
    </w:r>
  </w:p>
  <w:p w:rsidR="00182B99" w:rsidRPr="00C5280D" w:rsidRDefault="00182B99"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A6737">
      <w:rPr>
        <w:rStyle w:val="PageNumber"/>
        <w:noProof/>
        <w:lang w:val="en-US"/>
      </w:rPr>
      <w:t>5</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73"/>
    <w:rsid w:val="00010CF3"/>
    <w:rsid w:val="00011E27"/>
    <w:rsid w:val="000148BC"/>
    <w:rsid w:val="00017C7A"/>
    <w:rsid w:val="00024AB8"/>
    <w:rsid w:val="00030854"/>
    <w:rsid w:val="00036028"/>
    <w:rsid w:val="00044642"/>
    <w:rsid w:val="000446B9"/>
    <w:rsid w:val="00047E21"/>
    <w:rsid w:val="00050E16"/>
    <w:rsid w:val="00085505"/>
    <w:rsid w:val="000C7021"/>
    <w:rsid w:val="000D6BBC"/>
    <w:rsid w:val="000D7780"/>
    <w:rsid w:val="000F2F11"/>
    <w:rsid w:val="00105929"/>
    <w:rsid w:val="00111FA5"/>
    <w:rsid w:val="001131D5"/>
    <w:rsid w:val="00141DB8"/>
    <w:rsid w:val="00143E31"/>
    <w:rsid w:val="0016222B"/>
    <w:rsid w:val="0017474A"/>
    <w:rsid w:val="001758C6"/>
    <w:rsid w:val="00182B99"/>
    <w:rsid w:val="0021332C"/>
    <w:rsid w:val="00213982"/>
    <w:rsid w:val="0024416D"/>
    <w:rsid w:val="00271911"/>
    <w:rsid w:val="002800A0"/>
    <w:rsid w:val="002801B3"/>
    <w:rsid w:val="00281060"/>
    <w:rsid w:val="002940E8"/>
    <w:rsid w:val="002A6E50"/>
    <w:rsid w:val="002C256A"/>
    <w:rsid w:val="002D0A20"/>
    <w:rsid w:val="002E2EB0"/>
    <w:rsid w:val="002E65FE"/>
    <w:rsid w:val="00305A7F"/>
    <w:rsid w:val="00306B1D"/>
    <w:rsid w:val="003152FE"/>
    <w:rsid w:val="00320ECA"/>
    <w:rsid w:val="00327436"/>
    <w:rsid w:val="00336A35"/>
    <w:rsid w:val="00340D11"/>
    <w:rsid w:val="00344BD6"/>
    <w:rsid w:val="00354075"/>
    <w:rsid w:val="0035528D"/>
    <w:rsid w:val="00361821"/>
    <w:rsid w:val="003A7321"/>
    <w:rsid w:val="003D227C"/>
    <w:rsid w:val="003D2B4D"/>
    <w:rsid w:val="003E5189"/>
    <w:rsid w:val="003F419A"/>
    <w:rsid w:val="00444A88"/>
    <w:rsid w:val="00474DA4"/>
    <w:rsid w:val="00476B4D"/>
    <w:rsid w:val="004805FA"/>
    <w:rsid w:val="004D047D"/>
    <w:rsid w:val="004F305A"/>
    <w:rsid w:val="00512164"/>
    <w:rsid w:val="00520297"/>
    <w:rsid w:val="00522163"/>
    <w:rsid w:val="005338F9"/>
    <w:rsid w:val="0054281C"/>
    <w:rsid w:val="0055268D"/>
    <w:rsid w:val="00576BE4"/>
    <w:rsid w:val="005A400A"/>
    <w:rsid w:val="005C1777"/>
    <w:rsid w:val="005E17E4"/>
    <w:rsid w:val="005E340B"/>
    <w:rsid w:val="00612379"/>
    <w:rsid w:val="0061555F"/>
    <w:rsid w:val="00641200"/>
    <w:rsid w:val="00651DAB"/>
    <w:rsid w:val="00662ED1"/>
    <w:rsid w:val="006655D3"/>
    <w:rsid w:val="00667404"/>
    <w:rsid w:val="006701ED"/>
    <w:rsid w:val="00687EB4"/>
    <w:rsid w:val="006B17D2"/>
    <w:rsid w:val="006C224E"/>
    <w:rsid w:val="006D780A"/>
    <w:rsid w:val="00732DEC"/>
    <w:rsid w:val="00735BD5"/>
    <w:rsid w:val="007556F6"/>
    <w:rsid w:val="00760EEF"/>
    <w:rsid w:val="00777EE5"/>
    <w:rsid w:val="00784836"/>
    <w:rsid w:val="0079023E"/>
    <w:rsid w:val="007953A1"/>
    <w:rsid w:val="00795B55"/>
    <w:rsid w:val="007A2854"/>
    <w:rsid w:val="007A5BCF"/>
    <w:rsid w:val="007B7060"/>
    <w:rsid w:val="007D0B9D"/>
    <w:rsid w:val="007D19B0"/>
    <w:rsid w:val="007F498F"/>
    <w:rsid w:val="0080679D"/>
    <w:rsid w:val="008108B0"/>
    <w:rsid w:val="00811B20"/>
    <w:rsid w:val="0082296E"/>
    <w:rsid w:val="00824099"/>
    <w:rsid w:val="00827005"/>
    <w:rsid w:val="00867AC1"/>
    <w:rsid w:val="008A743F"/>
    <w:rsid w:val="008C0970"/>
    <w:rsid w:val="008D2CF7"/>
    <w:rsid w:val="00900C26"/>
    <w:rsid w:val="0090197F"/>
    <w:rsid w:val="00906DDC"/>
    <w:rsid w:val="00934E09"/>
    <w:rsid w:val="00936253"/>
    <w:rsid w:val="00947BE9"/>
    <w:rsid w:val="00952DD4"/>
    <w:rsid w:val="00970FED"/>
    <w:rsid w:val="009844CF"/>
    <w:rsid w:val="00985C79"/>
    <w:rsid w:val="00992D82"/>
    <w:rsid w:val="00997029"/>
    <w:rsid w:val="009D690D"/>
    <w:rsid w:val="009E65B6"/>
    <w:rsid w:val="00A24C10"/>
    <w:rsid w:val="00A42AC3"/>
    <w:rsid w:val="00A430CF"/>
    <w:rsid w:val="00A445B4"/>
    <w:rsid w:val="00A54309"/>
    <w:rsid w:val="00A730CD"/>
    <w:rsid w:val="00AB2B93"/>
    <w:rsid w:val="00AB530F"/>
    <w:rsid w:val="00AB7E5B"/>
    <w:rsid w:val="00AD617E"/>
    <w:rsid w:val="00AE0EF1"/>
    <w:rsid w:val="00AE2937"/>
    <w:rsid w:val="00B0351A"/>
    <w:rsid w:val="00B07301"/>
    <w:rsid w:val="00B224DE"/>
    <w:rsid w:val="00B46575"/>
    <w:rsid w:val="00B84BBD"/>
    <w:rsid w:val="00BA43FB"/>
    <w:rsid w:val="00BA6737"/>
    <w:rsid w:val="00BC127D"/>
    <w:rsid w:val="00BC1FE6"/>
    <w:rsid w:val="00BC4D75"/>
    <w:rsid w:val="00C061B6"/>
    <w:rsid w:val="00C2446C"/>
    <w:rsid w:val="00C36AE5"/>
    <w:rsid w:val="00C41F17"/>
    <w:rsid w:val="00C45A4E"/>
    <w:rsid w:val="00C5280D"/>
    <w:rsid w:val="00C5791C"/>
    <w:rsid w:val="00C66290"/>
    <w:rsid w:val="00C72B7A"/>
    <w:rsid w:val="00C7627D"/>
    <w:rsid w:val="00C973F2"/>
    <w:rsid w:val="00CA304C"/>
    <w:rsid w:val="00CA774A"/>
    <w:rsid w:val="00CC11B0"/>
    <w:rsid w:val="00CE4C74"/>
    <w:rsid w:val="00CF7E36"/>
    <w:rsid w:val="00D3708D"/>
    <w:rsid w:val="00D40426"/>
    <w:rsid w:val="00D57C96"/>
    <w:rsid w:val="00D63171"/>
    <w:rsid w:val="00D91203"/>
    <w:rsid w:val="00D95174"/>
    <w:rsid w:val="00DA6F36"/>
    <w:rsid w:val="00DB596E"/>
    <w:rsid w:val="00DB7773"/>
    <w:rsid w:val="00DC00EA"/>
    <w:rsid w:val="00E32F7E"/>
    <w:rsid w:val="00E35D92"/>
    <w:rsid w:val="00E72D49"/>
    <w:rsid w:val="00E7593C"/>
    <w:rsid w:val="00E7678A"/>
    <w:rsid w:val="00E935F1"/>
    <w:rsid w:val="00E94A81"/>
    <w:rsid w:val="00EA1FFB"/>
    <w:rsid w:val="00EB048E"/>
    <w:rsid w:val="00ED2C1F"/>
    <w:rsid w:val="00EE34DF"/>
    <w:rsid w:val="00EE5C1D"/>
    <w:rsid w:val="00EE5E2A"/>
    <w:rsid w:val="00EF2F89"/>
    <w:rsid w:val="00F1237A"/>
    <w:rsid w:val="00F22CBD"/>
    <w:rsid w:val="00F30573"/>
    <w:rsid w:val="00F45372"/>
    <w:rsid w:val="00F560F7"/>
    <w:rsid w:val="00F6334D"/>
    <w:rsid w:val="00F868A8"/>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bidi="de-DE"/>
    </w:rPr>
  </w:style>
  <w:style w:type="paragraph" w:styleId="Heading1">
    <w:name w:val="heading 1"/>
    <w:next w:val="Normal"/>
    <w:link w:val="Heading1Char"/>
    <w:autoRedefine/>
    <w:qFormat/>
    <w:rsid w:val="004805FA"/>
    <w:pPr>
      <w:keepNext/>
      <w:jc w:val="both"/>
      <w:outlineLvl w:val="0"/>
    </w:pPr>
    <w:rPr>
      <w:rFonts w:ascii="Arial" w:hAnsi="Arial"/>
      <w:caps/>
      <w:lang w:bidi="de-DE"/>
    </w:rPr>
  </w:style>
  <w:style w:type="paragraph" w:styleId="Heading2">
    <w:name w:val="heading 2"/>
    <w:next w:val="Normal"/>
    <w:autoRedefine/>
    <w:qFormat/>
    <w:rsid w:val="004805FA"/>
    <w:pPr>
      <w:keepNext/>
      <w:jc w:val="both"/>
      <w:outlineLvl w:val="1"/>
    </w:pPr>
    <w:rPr>
      <w:rFonts w:ascii="Arial" w:hAnsi="Arial"/>
      <w:u w:val="single"/>
      <w:lang w:bidi="de-DE"/>
    </w:rPr>
  </w:style>
  <w:style w:type="paragraph" w:styleId="Heading3">
    <w:name w:val="heading 3"/>
    <w:next w:val="Normal"/>
    <w:autoRedefine/>
    <w:qFormat/>
    <w:rsid w:val="004805FA"/>
    <w:pPr>
      <w:keepNext/>
      <w:jc w:val="both"/>
      <w:outlineLvl w:val="2"/>
    </w:pPr>
    <w:rPr>
      <w:rFonts w:ascii="Arial" w:hAnsi="Arial"/>
      <w:i/>
      <w:lang w:bidi="de-DE"/>
    </w:rPr>
  </w:style>
  <w:style w:type="paragraph" w:styleId="Heading4">
    <w:name w:val="heading 4"/>
    <w:next w:val="Normal"/>
    <w:autoRedefine/>
    <w:qFormat/>
    <w:rsid w:val="004805FA"/>
    <w:pPr>
      <w:keepNext/>
      <w:ind w:left="567"/>
      <w:jc w:val="both"/>
      <w:outlineLvl w:val="3"/>
    </w:pPr>
    <w:rPr>
      <w:rFonts w:ascii="Arial" w:hAnsi="Arial"/>
      <w:u w:val="single"/>
      <w:lang w:bidi="de-DE"/>
    </w:rPr>
  </w:style>
  <w:style w:type="paragraph" w:styleId="Heading5">
    <w:name w:val="heading 5"/>
    <w:next w:val="Normal"/>
    <w:autoRedefine/>
    <w:qFormat/>
    <w:rsid w:val="004805FA"/>
    <w:pPr>
      <w:keepNext/>
      <w:ind w:left="1134" w:hanging="567"/>
      <w:jc w:val="both"/>
      <w:outlineLvl w:val="4"/>
    </w:pPr>
    <w:rPr>
      <w:rFonts w:ascii="Arial" w:hAnsi="Arial"/>
      <w:i/>
      <w:lang w:bidi="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bidi="de-DE"/>
    </w:rPr>
  </w:style>
  <w:style w:type="paragraph" w:styleId="Footer">
    <w:name w:val="footer"/>
    <w:aliases w:val="doc_path_name"/>
    <w:autoRedefine/>
    <w:rsid w:val="009D690D"/>
    <w:pPr>
      <w:jc w:val="both"/>
    </w:pPr>
    <w:rPr>
      <w:rFonts w:ascii="Arial" w:hAnsi="Arial"/>
      <w:sz w:val="14"/>
      <w:lang w:bidi="de-DE"/>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bidi="de-DE"/>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lang w:bidi="de-DE"/>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lang w:bidi="de-DE"/>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bidi="de-DE"/>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bidi="de-DE"/>
    </w:rPr>
  </w:style>
  <w:style w:type="paragraph" w:styleId="TOC1">
    <w:name w:val="toc 1"/>
    <w:next w:val="Normal"/>
    <w:autoRedefine/>
    <w:uiPriority w:val="39"/>
    <w:rsid w:val="00A730CD"/>
    <w:pPr>
      <w:tabs>
        <w:tab w:val="right" w:leader="dot" w:pos="9639"/>
      </w:tabs>
      <w:spacing w:before="120"/>
      <w:ind w:left="1152" w:hanging="576"/>
    </w:pPr>
    <w:rPr>
      <w:rFonts w:ascii="Arial" w:hAnsi="Arial"/>
      <w:caps/>
      <w:lang w:bidi="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bidi="de-DE"/>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A445B4"/>
    <w:pPr>
      <w:keepLines/>
      <w:spacing w:before="480"/>
      <w:outlineLvl w:val="9"/>
    </w:pPr>
    <w:rPr>
      <w:rFonts w:ascii="Cambria" w:hAnsi="Cambria"/>
      <w:b/>
      <w:bCs/>
      <w:caps w:val="0"/>
      <w:color w:val="365F91"/>
      <w:sz w:val="28"/>
      <w:szCs w:val="28"/>
    </w:rPr>
  </w:style>
  <w:style w:type="character" w:customStyle="1" w:styleId="Heading1Char">
    <w:name w:val="Heading 1 Char"/>
    <w:link w:val="Heading1"/>
    <w:rsid w:val="00A445B4"/>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bidi="de-DE"/>
    </w:rPr>
  </w:style>
  <w:style w:type="paragraph" w:styleId="Heading1">
    <w:name w:val="heading 1"/>
    <w:next w:val="Normal"/>
    <w:link w:val="Heading1Char"/>
    <w:autoRedefine/>
    <w:qFormat/>
    <w:rsid w:val="004805FA"/>
    <w:pPr>
      <w:keepNext/>
      <w:jc w:val="both"/>
      <w:outlineLvl w:val="0"/>
    </w:pPr>
    <w:rPr>
      <w:rFonts w:ascii="Arial" w:hAnsi="Arial"/>
      <w:caps/>
      <w:lang w:bidi="de-DE"/>
    </w:rPr>
  </w:style>
  <w:style w:type="paragraph" w:styleId="Heading2">
    <w:name w:val="heading 2"/>
    <w:next w:val="Normal"/>
    <w:autoRedefine/>
    <w:qFormat/>
    <w:rsid w:val="004805FA"/>
    <w:pPr>
      <w:keepNext/>
      <w:jc w:val="both"/>
      <w:outlineLvl w:val="1"/>
    </w:pPr>
    <w:rPr>
      <w:rFonts w:ascii="Arial" w:hAnsi="Arial"/>
      <w:u w:val="single"/>
      <w:lang w:bidi="de-DE"/>
    </w:rPr>
  </w:style>
  <w:style w:type="paragraph" w:styleId="Heading3">
    <w:name w:val="heading 3"/>
    <w:next w:val="Normal"/>
    <w:autoRedefine/>
    <w:qFormat/>
    <w:rsid w:val="004805FA"/>
    <w:pPr>
      <w:keepNext/>
      <w:jc w:val="both"/>
      <w:outlineLvl w:val="2"/>
    </w:pPr>
    <w:rPr>
      <w:rFonts w:ascii="Arial" w:hAnsi="Arial"/>
      <w:i/>
      <w:lang w:bidi="de-DE"/>
    </w:rPr>
  </w:style>
  <w:style w:type="paragraph" w:styleId="Heading4">
    <w:name w:val="heading 4"/>
    <w:next w:val="Normal"/>
    <w:autoRedefine/>
    <w:qFormat/>
    <w:rsid w:val="004805FA"/>
    <w:pPr>
      <w:keepNext/>
      <w:ind w:left="567"/>
      <w:jc w:val="both"/>
      <w:outlineLvl w:val="3"/>
    </w:pPr>
    <w:rPr>
      <w:rFonts w:ascii="Arial" w:hAnsi="Arial"/>
      <w:u w:val="single"/>
      <w:lang w:bidi="de-DE"/>
    </w:rPr>
  </w:style>
  <w:style w:type="paragraph" w:styleId="Heading5">
    <w:name w:val="heading 5"/>
    <w:next w:val="Normal"/>
    <w:autoRedefine/>
    <w:qFormat/>
    <w:rsid w:val="004805FA"/>
    <w:pPr>
      <w:keepNext/>
      <w:ind w:left="1134" w:hanging="567"/>
      <w:jc w:val="both"/>
      <w:outlineLvl w:val="4"/>
    </w:pPr>
    <w:rPr>
      <w:rFonts w:ascii="Arial" w:hAnsi="Arial"/>
      <w:i/>
      <w:lang w:bidi="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bidi="de-DE"/>
    </w:rPr>
  </w:style>
  <w:style w:type="paragraph" w:styleId="Footer">
    <w:name w:val="footer"/>
    <w:aliases w:val="doc_path_name"/>
    <w:autoRedefine/>
    <w:rsid w:val="009D690D"/>
    <w:pPr>
      <w:jc w:val="both"/>
    </w:pPr>
    <w:rPr>
      <w:rFonts w:ascii="Arial" w:hAnsi="Arial"/>
      <w:sz w:val="14"/>
      <w:lang w:bidi="de-DE"/>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bidi="de-DE"/>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bidi="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lang w:bidi="de-DE"/>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lang w:bidi="de-DE"/>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bidi="de-DE"/>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bidi="de-DE"/>
    </w:rPr>
  </w:style>
  <w:style w:type="paragraph" w:styleId="TOC1">
    <w:name w:val="toc 1"/>
    <w:next w:val="Normal"/>
    <w:autoRedefine/>
    <w:uiPriority w:val="39"/>
    <w:rsid w:val="00A730CD"/>
    <w:pPr>
      <w:tabs>
        <w:tab w:val="right" w:leader="dot" w:pos="9639"/>
      </w:tabs>
      <w:spacing w:before="120"/>
      <w:ind w:left="1152" w:hanging="576"/>
    </w:pPr>
    <w:rPr>
      <w:rFonts w:ascii="Arial" w:hAnsi="Arial"/>
      <w:caps/>
      <w:lang w:bidi="de-DE"/>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bidi="de-DE"/>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A445B4"/>
    <w:pPr>
      <w:keepLines/>
      <w:spacing w:before="480"/>
      <w:outlineLvl w:val="9"/>
    </w:pPr>
    <w:rPr>
      <w:rFonts w:ascii="Cambria" w:hAnsi="Cambria"/>
      <w:b/>
      <w:bCs/>
      <w:caps w:val="0"/>
      <w:color w:val="365F91"/>
      <w:sz w:val="28"/>
      <w:szCs w:val="28"/>
    </w:rPr>
  </w:style>
  <w:style w:type="character" w:customStyle="1" w:styleId="Heading1Char">
    <w:name w:val="Heading 1 Char"/>
    <w:link w:val="Heading1"/>
    <w:rsid w:val="00A445B4"/>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20Witzig\UPOV%202014%20-%201\tc_50_19_EN_34263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0307-FF1E-4780-8DE7-23B104C5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tc_50_19_EN_34263_DE</Template>
  <TotalTime>9</TotalTime>
  <Pages>5</Pages>
  <Words>1703</Words>
  <Characters>12020</Characters>
  <Application>Microsoft Office Word</Application>
  <DocSecurity>0</DocSecurity>
  <Lines>100</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13696</CharactersWithSpaces>
  <SharedDoc>false</SharedDoc>
  <HLinks>
    <vt:vector size="30" baseType="variant">
      <vt:variant>
        <vt:i4>1114167</vt:i4>
      </vt:variant>
      <vt:variant>
        <vt:i4>32</vt:i4>
      </vt:variant>
      <vt:variant>
        <vt:i4>0</vt:i4>
      </vt:variant>
      <vt:variant>
        <vt:i4>5</vt:i4>
      </vt:variant>
      <vt:variant>
        <vt:lpwstr/>
      </vt:variant>
      <vt:variant>
        <vt:lpwstr>_Toc377567534</vt:lpwstr>
      </vt:variant>
      <vt:variant>
        <vt:i4>1114167</vt:i4>
      </vt:variant>
      <vt:variant>
        <vt:i4>26</vt:i4>
      </vt:variant>
      <vt:variant>
        <vt:i4>0</vt:i4>
      </vt:variant>
      <vt:variant>
        <vt:i4>5</vt:i4>
      </vt:variant>
      <vt:variant>
        <vt:lpwstr/>
      </vt:variant>
      <vt:variant>
        <vt:lpwstr>_Toc377567533</vt:lpwstr>
      </vt:variant>
      <vt:variant>
        <vt:i4>1114167</vt:i4>
      </vt:variant>
      <vt:variant>
        <vt:i4>20</vt:i4>
      </vt:variant>
      <vt:variant>
        <vt:i4>0</vt:i4>
      </vt:variant>
      <vt:variant>
        <vt:i4>5</vt:i4>
      </vt:variant>
      <vt:variant>
        <vt:lpwstr/>
      </vt:variant>
      <vt:variant>
        <vt:lpwstr>_Toc377567532</vt:lpwstr>
      </vt:variant>
      <vt:variant>
        <vt:i4>1114167</vt:i4>
      </vt:variant>
      <vt:variant>
        <vt:i4>14</vt:i4>
      </vt:variant>
      <vt:variant>
        <vt:i4>0</vt:i4>
      </vt:variant>
      <vt:variant>
        <vt:i4>5</vt:i4>
      </vt:variant>
      <vt:variant>
        <vt:lpwstr/>
      </vt:variant>
      <vt:variant>
        <vt:lpwstr>_Toc377567531</vt:lpwstr>
      </vt:variant>
      <vt:variant>
        <vt:i4>1114167</vt:i4>
      </vt:variant>
      <vt:variant>
        <vt:i4>8</vt:i4>
      </vt:variant>
      <vt:variant>
        <vt:i4>0</vt:i4>
      </vt:variant>
      <vt:variant>
        <vt:i4>5</vt:i4>
      </vt:variant>
      <vt:variant>
        <vt:lpwstr/>
      </vt:variant>
      <vt:variant>
        <vt:lpwstr>_Toc377567530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Sabine Witzig</dc:creator>
  <cp:lastModifiedBy>LONG Victoria</cp:lastModifiedBy>
  <cp:revision>8</cp:revision>
  <cp:lastPrinted>2014-02-14T13:57:00Z</cp:lastPrinted>
  <dcterms:created xsi:type="dcterms:W3CDTF">2014-01-24T14:03:00Z</dcterms:created>
  <dcterms:modified xsi:type="dcterms:W3CDTF">2014-02-14T13:58:00Z</dcterms:modified>
</cp:coreProperties>
</file>