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lang w:val="en-US" w:eastAsia="en-US" w:bidi="ar-SA"/>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TC/50/</w:t>
            </w:r>
            <w:bookmarkStart w:id="0" w:name="Code"/>
            <w:bookmarkEnd w:id="0"/>
            <w:r>
              <w:t>18</w:t>
            </w:r>
          </w:p>
          <w:p w:rsidR="000D7780" w:rsidRPr="00B46575" w:rsidRDefault="0061555F" w:rsidP="006655D3">
            <w:pPr>
              <w:pStyle w:val="Docoriginal"/>
              <w:rPr>
                <w:b w:val="0"/>
                <w:spacing w:val="0"/>
              </w:rPr>
            </w:pPr>
            <w:r>
              <w:rPr>
                <w:rStyle w:val="StyleDoclangBold"/>
                <w:b/>
                <w:bCs/>
                <w:spacing w:val="0"/>
              </w:rPr>
              <w:t>ORIGINAL:</w:t>
            </w:r>
            <w:r>
              <w:rPr>
                <w:rStyle w:val="StyleDocoriginalNotBold1"/>
                <w:spacing w:val="0"/>
              </w:rPr>
              <w:t xml:space="preserve"> </w:t>
            </w:r>
            <w:r>
              <w:rPr>
                <w:spacing w:val="0"/>
              </w:rPr>
              <w:t xml:space="preserve"> </w:t>
            </w:r>
            <w:bookmarkStart w:id="1" w:name="Original"/>
            <w:bookmarkEnd w:id="1"/>
            <w:r>
              <w:rPr>
                <w:b w:val="0"/>
                <w:spacing w:val="0"/>
              </w:rPr>
              <w:t>englisch</w:t>
            </w:r>
          </w:p>
          <w:p w:rsidR="000D7780" w:rsidRPr="00C5280D" w:rsidRDefault="000D7780" w:rsidP="00123B68">
            <w:pPr>
              <w:pStyle w:val="Docoriginal"/>
            </w:pPr>
            <w:r>
              <w:rPr>
                <w:spacing w:val="0"/>
              </w:rPr>
              <w:t xml:space="preserve">DATUM: </w:t>
            </w:r>
            <w:r w:rsidRPr="00123B68">
              <w:rPr>
                <w:b w:val="0"/>
                <w:spacing w:val="0"/>
              </w:rPr>
              <w:t>2</w:t>
            </w:r>
            <w:r w:rsidR="00123B68" w:rsidRPr="00123B68">
              <w:rPr>
                <w:b w:val="0"/>
                <w:spacing w:val="0"/>
              </w:rPr>
              <w:t>7</w:t>
            </w:r>
            <w:r w:rsidRPr="00123B68">
              <w:rPr>
                <w:b w:val="0"/>
                <w:spacing w:val="0"/>
              </w:rPr>
              <w:t>. Januar 2014</w:t>
            </w:r>
            <w:bookmarkStart w:id="2" w:name="_GoBack"/>
            <w:bookmarkEnd w:id="2"/>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EE1190" w:rsidP="006655D3">
      <w:pPr>
        <w:pStyle w:val="Sessiontc"/>
      </w:pPr>
      <w:r>
        <w:t>Technischer AusschuSS</w:t>
      </w:r>
    </w:p>
    <w:p w:rsidR="00361821" w:rsidRPr="00C5280D" w:rsidRDefault="0061555F" w:rsidP="006655D3">
      <w:pPr>
        <w:pStyle w:val="Sessiontcplacedate"/>
      </w:pPr>
      <w:r>
        <w:t>Fünfzigste Tagung</w:t>
      </w:r>
      <w:r>
        <w:br/>
        <w:t>Genf, 7. bis 9. April 2014</w:t>
      </w:r>
    </w:p>
    <w:p w:rsidR="000D7780" w:rsidRPr="00673971" w:rsidRDefault="00673971" w:rsidP="006655D3">
      <w:pPr>
        <w:pStyle w:val="Titleofdoc0"/>
      </w:pPr>
      <w:bookmarkStart w:id="3" w:name="TitleOfDoc"/>
      <w:bookmarkEnd w:id="3"/>
      <w:r>
        <w:t>Überarbeitung von Dokument TGP/7: Angabe des Entwicklungsstadiums in Prüfungsrichtlinien</w:t>
      </w:r>
    </w:p>
    <w:p w:rsidR="00050E16" w:rsidRPr="00C5280D" w:rsidRDefault="00AE0EF1" w:rsidP="00050E16">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106F14" w:rsidRPr="004F1C91" w:rsidRDefault="00106F14" w:rsidP="00106F14">
      <w:pPr>
        <w:rPr>
          <w:rFonts w:cs="Arial"/>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tab/>
        <w:t>Zweck dieses Dokuments ist es, eine Anleitung zur Angabe des Entwicklungsstadiums, in dem die Merkmale in den Prüfungsrichtlinien zu erfassen sind, für eine künftige Überarbeitung von Dokument TGP/7: „Erstellung von Prüfungsrichtlinien“ vorzuschlagen.</w:t>
      </w:r>
    </w:p>
    <w:p w:rsidR="00106F14" w:rsidRPr="004F1C91" w:rsidRDefault="00106F14" w:rsidP="00106F14">
      <w:pPr>
        <w:rPr>
          <w:rFonts w:cs="Arial"/>
          <w:lang w:eastAsia="ja-JP"/>
        </w:rPr>
      </w:pPr>
    </w:p>
    <w:p w:rsidR="00106F14" w:rsidRPr="004F1C91" w:rsidRDefault="00106F14" w:rsidP="00106F14">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tab/>
      </w:r>
      <w:r>
        <w:rPr>
          <w:color w:val="000000"/>
        </w:rPr>
        <w:t>In diesem Dokument werden folgende Abkürzungen verwendet:</w:t>
      </w:r>
    </w:p>
    <w:p w:rsidR="00106F14" w:rsidRPr="004F1C91" w:rsidRDefault="00106F14" w:rsidP="00106F14">
      <w:pPr>
        <w:rPr>
          <w:rFonts w:cs="Arial"/>
          <w:color w:val="000000"/>
        </w:rPr>
      </w:pPr>
    </w:p>
    <w:p w:rsidR="00106F14" w:rsidRPr="004F1C91" w:rsidRDefault="00106F14" w:rsidP="00106F14">
      <w:pPr>
        <w:rPr>
          <w:rFonts w:cs="Arial"/>
        </w:rPr>
      </w:pPr>
      <w:r>
        <w:tab/>
        <w:t>TC:</w:t>
      </w:r>
      <w:r>
        <w:tab/>
      </w:r>
      <w:r>
        <w:tab/>
        <w:t>Technischer Ausschuß</w:t>
      </w:r>
    </w:p>
    <w:p w:rsidR="00106F14" w:rsidRPr="004F1C91" w:rsidRDefault="00106F14" w:rsidP="00106F14">
      <w:pPr>
        <w:rPr>
          <w:rFonts w:eastAsia="PMingLiU" w:cs="Arial"/>
        </w:rPr>
      </w:pPr>
      <w:r>
        <w:tab/>
        <w:t>TC-EDC:</w:t>
      </w:r>
      <w:r>
        <w:tab/>
        <w:t>Erweiterter Redaktionsausschuß</w:t>
      </w:r>
    </w:p>
    <w:p w:rsidR="00106F14" w:rsidRPr="004F1C91" w:rsidRDefault="00106F14" w:rsidP="00106F14">
      <w:pPr>
        <w:rPr>
          <w:rFonts w:eastAsia="PMingLiU" w:cs="Arial"/>
        </w:rPr>
      </w:pPr>
      <w:r>
        <w:tab/>
        <w:t>TWA:</w:t>
      </w:r>
      <w:r>
        <w:tab/>
      </w:r>
      <w:r>
        <w:tab/>
        <w:t>Technische Arbeitsgruppe für landwirtschaftliche Arten</w:t>
      </w:r>
    </w:p>
    <w:p w:rsidR="00106F14" w:rsidRPr="004F1C91" w:rsidRDefault="00106F14" w:rsidP="00106F14">
      <w:pPr>
        <w:rPr>
          <w:rFonts w:eastAsia="PMingLiU" w:cs="Arial"/>
        </w:rPr>
      </w:pPr>
      <w:r>
        <w:tab/>
        <w:t>TWC:</w:t>
      </w:r>
      <w:r>
        <w:tab/>
      </w:r>
      <w:r>
        <w:tab/>
        <w:t>Technische Arbeitsgruppe für Automatisierung und Computerprogramme</w:t>
      </w:r>
    </w:p>
    <w:p w:rsidR="00106F14" w:rsidRPr="004F1C91" w:rsidRDefault="00106F14" w:rsidP="00106F14">
      <w:pPr>
        <w:rPr>
          <w:rFonts w:eastAsia="PMingLiU" w:cs="Arial"/>
        </w:rPr>
      </w:pPr>
      <w:r>
        <w:tab/>
        <w:t xml:space="preserve">TWF: </w:t>
      </w:r>
      <w:r>
        <w:tab/>
      </w:r>
      <w:r>
        <w:tab/>
        <w:t>Technische Arbeitsgruppe für Obstarten</w:t>
      </w:r>
    </w:p>
    <w:p w:rsidR="00106F14" w:rsidRPr="004F1C91" w:rsidRDefault="00106F14" w:rsidP="00106F14">
      <w:pPr>
        <w:rPr>
          <w:rFonts w:eastAsia="PMingLiU" w:cs="Arial"/>
        </w:rPr>
      </w:pPr>
      <w:r>
        <w:tab/>
        <w:t>TWO:</w:t>
      </w:r>
      <w:r>
        <w:tab/>
      </w:r>
      <w:r>
        <w:tab/>
        <w:t>Technische Arbeitsgruppe für Zierpflanzen und forstliche Baumarten</w:t>
      </w:r>
    </w:p>
    <w:p w:rsidR="00106F14" w:rsidRPr="004F1C91" w:rsidRDefault="00106F14" w:rsidP="00106F14">
      <w:pPr>
        <w:rPr>
          <w:rFonts w:eastAsia="PMingLiU" w:cs="Arial"/>
        </w:rPr>
      </w:pPr>
      <w:r>
        <w:tab/>
        <w:t>TWP:</w:t>
      </w:r>
      <w:r>
        <w:tab/>
      </w:r>
      <w:r w:rsidR="00A21827">
        <w:tab/>
      </w:r>
      <w:r>
        <w:t>Technische Arbeitsgruppen</w:t>
      </w:r>
    </w:p>
    <w:p w:rsidR="00106F14" w:rsidRPr="004F1C91" w:rsidRDefault="00106F14" w:rsidP="00106F14">
      <w:pPr>
        <w:rPr>
          <w:rFonts w:eastAsia="PMingLiU" w:cs="Arial"/>
        </w:rPr>
      </w:pPr>
      <w:r>
        <w:tab/>
        <w:t>TWV:</w:t>
      </w:r>
      <w:r>
        <w:tab/>
      </w:r>
      <w:r>
        <w:tab/>
        <w:t>Technische Arbeitsgruppe für Gemüsearten</w:t>
      </w:r>
    </w:p>
    <w:p w:rsidR="00106F14" w:rsidRDefault="00106F14" w:rsidP="00106F14">
      <w:pPr>
        <w:rPr>
          <w:snapToGrid w:val="0"/>
        </w:rPr>
      </w:pPr>
    </w:p>
    <w:p w:rsidR="00106F14" w:rsidRDefault="00106F14" w:rsidP="00106F14">
      <w:r w:rsidRPr="00FF2AF5">
        <w:fldChar w:fldCharType="begin"/>
      </w:r>
      <w:r w:rsidRPr="00FF2AF5">
        <w:instrText xml:space="preserve"> AUTONUM  </w:instrText>
      </w:r>
      <w:r w:rsidRPr="00FF2AF5">
        <w:fldChar w:fldCharType="end"/>
      </w:r>
      <w:r>
        <w:tab/>
        <w:t>Der Aufbau dieses Dokuments ist wie folgt:</w:t>
      </w:r>
    </w:p>
    <w:p w:rsidR="00106F14" w:rsidRPr="00640BB2" w:rsidRDefault="00106F14" w:rsidP="00106F14">
      <w:pPr>
        <w:rPr>
          <w:snapToGrid w:val="0"/>
        </w:rPr>
      </w:pPr>
    </w:p>
    <w:bookmarkStart w:id="5" w:name="_Toc353210066"/>
    <w:bookmarkStart w:id="6" w:name="_Toc353371599"/>
    <w:p w:rsidR="00A21827" w:rsidRDefault="00723FB9" w:rsidP="00DA67E7">
      <w:pPr>
        <w:pStyle w:val="TOC1"/>
        <w:rPr>
          <w:rFonts w:asciiTheme="minorHAnsi" w:eastAsiaTheme="minorEastAsia" w:hAnsiTheme="minorHAnsi" w:cstheme="minorBidi"/>
          <w:noProof/>
          <w:sz w:val="22"/>
          <w:szCs w:val="22"/>
          <w:lang w:bidi="ar-SA"/>
        </w:rPr>
      </w:pPr>
      <w:r>
        <w:rPr>
          <w:bCs/>
          <w:noProof/>
          <w:snapToGrid w:val="0"/>
        </w:rPr>
        <w:fldChar w:fldCharType="begin"/>
      </w:r>
      <w:r>
        <w:rPr>
          <w:bCs/>
          <w:noProof/>
          <w:snapToGrid w:val="0"/>
        </w:rPr>
        <w:instrText xml:space="preserve"> TOC \o "1-5" \h \z \u </w:instrText>
      </w:r>
      <w:r>
        <w:rPr>
          <w:bCs/>
          <w:noProof/>
          <w:snapToGrid w:val="0"/>
        </w:rPr>
        <w:fldChar w:fldCharType="separate"/>
      </w:r>
      <w:hyperlink w:anchor="_Toc378838822" w:history="1">
        <w:r w:rsidR="00A21827" w:rsidRPr="00630529">
          <w:rPr>
            <w:rStyle w:val="Hyperlink"/>
            <w:noProof/>
          </w:rPr>
          <w:t>HINTERGRUND</w:t>
        </w:r>
        <w:r w:rsidR="00A21827">
          <w:rPr>
            <w:noProof/>
            <w:webHidden/>
          </w:rPr>
          <w:tab/>
        </w:r>
        <w:r w:rsidR="00A21827">
          <w:rPr>
            <w:noProof/>
            <w:webHidden/>
          </w:rPr>
          <w:fldChar w:fldCharType="begin"/>
        </w:r>
        <w:r w:rsidR="00A21827">
          <w:rPr>
            <w:noProof/>
            <w:webHidden/>
          </w:rPr>
          <w:instrText xml:space="preserve"> PAGEREF _Toc378838822 \h </w:instrText>
        </w:r>
        <w:r w:rsidR="00A21827">
          <w:rPr>
            <w:noProof/>
            <w:webHidden/>
          </w:rPr>
        </w:r>
        <w:r w:rsidR="00A21827">
          <w:rPr>
            <w:noProof/>
            <w:webHidden/>
          </w:rPr>
          <w:fldChar w:fldCharType="separate"/>
        </w:r>
        <w:r w:rsidR="004B22B3">
          <w:rPr>
            <w:noProof/>
            <w:webHidden/>
          </w:rPr>
          <w:t>1</w:t>
        </w:r>
        <w:r w:rsidR="00A21827">
          <w:rPr>
            <w:noProof/>
            <w:webHidden/>
          </w:rPr>
          <w:fldChar w:fldCharType="end"/>
        </w:r>
      </w:hyperlink>
    </w:p>
    <w:p w:rsidR="00A21827" w:rsidRDefault="00123B68" w:rsidP="00DA67E7">
      <w:pPr>
        <w:pStyle w:val="TOC1"/>
        <w:rPr>
          <w:rFonts w:asciiTheme="minorHAnsi" w:eastAsiaTheme="minorEastAsia" w:hAnsiTheme="minorHAnsi" w:cstheme="minorBidi"/>
          <w:noProof/>
          <w:sz w:val="22"/>
          <w:szCs w:val="22"/>
          <w:lang w:bidi="ar-SA"/>
        </w:rPr>
      </w:pPr>
      <w:hyperlink w:anchor="_Toc378838823" w:history="1">
        <w:r w:rsidR="00A21827" w:rsidRPr="00630529">
          <w:rPr>
            <w:rStyle w:val="Hyperlink"/>
            <w:noProof/>
          </w:rPr>
          <w:t>Bestehende ANLEITUNG IN DOKUMENT TGP/7</w:t>
        </w:r>
        <w:r w:rsidR="00A21827">
          <w:rPr>
            <w:noProof/>
            <w:webHidden/>
          </w:rPr>
          <w:tab/>
        </w:r>
        <w:r w:rsidR="00A21827">
          <w:rPr>
            <w:noProof/>
            <w:webHidden/>
          </w:rPr>
          <w:fldChar w:fldCharType="begin"/>
        </w:r>
        <w:r w:rsidR="00A21827">
          <w:rPr>
            <w:noProof/>
            <w:webHidden/>
          </w:rPr>
          <w:instrText xml:space="preserve"> PAGEREF _Toc378838823 \h </w:instrText>
        </w:r>
        <w:r w:rsidR="00A21827">
          <w:rPr>
            <w:noProof/>
            <w:webHidden/>
          </w:rPr>
        </w:r>
        <w:r w:rsidR="00A21827">
          <w:rPr>
            <w:noProof/>
            <w:webHidden/>
          </w:rPr>
          <w:fldChar w:fldCharType="separate"/>
        </w:r>
        <w:r w:rsidR="004B22B3">
          <w:rPr>
            <w:noProof/>
            <w:webHidden/>
          </w:rPr>
          <w:t>2</w:t>
        </w:r>
        <w:r w:rsidR="00A21827">
          <w:rPr>
            <w:noProof/>
            <w:webHidden/>
          </w:rPr>
          <w:fldChar w:fldCharType="end"/>
        </w:r>
      </w:hyperlink>
    </w:p>
    <w:p w:rsidR="00A21827" w:rsidRDefault="00123B68">
      <w:pPr>
        <w:pStyle w:val="TOC2"/>
        <w:rPr>
          <w:rFonts w:asciiTheme="minorHAnsi" w:eastAsiaTheme="minorEastAsia" w:hAnsiTheme="minorHAnsi" w:cstheme="minorBidi"/>
          <w:smallCaps w:val="0"/>
          <w:noProof/>
          <w:sz w:val="22"/>
          <w:szCs w:val="22"/>
          <w:lang w:bidi="ar-SA"/>
        </w:rPr>
      </w:pPr>
      <w:hyperlink w:anchor="_Toc378838824" w:history="1">
        <w:r w:rsidR="00A21827" w:rsidRPr="00630529">
          <w:rPr>
            <w:rStyle w:val="Hyperlink"/>
            <w:noProof/>
          </w:rPr>
          <w:t>TG Vorlage</w:t>
        </w:r>
        <w:r w:rsidR="00A21827">
          <w:rPr>
            <w:noProof/>
            <w:webHidden/>
          </w:rPr>
          <w:tab/>
        </w:r>
        <w:r w:rsidR="00A21827">
          <w:rPr>
            <w:noProof/>
            <w:webHidden/>
          </w:rPr>
          <w:fldChar w:fldCharType="begin"/>
        </w:r>
        <w:r w:rsidR="00A21827">
          <w:rPr>
            <w:noProof/>
            <w:webHidden/>
          </w:rPr>
          <w:instrText xml:space="preserve"> PAGEREF _Toc378838824 \h </w:instrText>
        </w:r>
        <w:r w:rsidR="00A21827">
          <w:rPr>
            <w:noProof/>
            <w:webHidden/>
          </w:rPr>
        </w:r>
        <w:r w:rsidR="00A21827">
          <w:rPr>
            <w:noProof/>
            <w:webHidden/>
          </w:rPr>
          <w:fldChar w:fldCharType="separate"/>
        </w:r>
        <w:r w:rsidR="004B22B3">
          <w:rPr>
            <w:noProof/>
            <w:webHidden/>
          </w:rPr>
          <w:t>2</w:t>
        </w:r>
        <w:r w:rsidR="00A21827">
          <w:rPr>
            <w:noProof/>
            <w:webHidden/>
          </w:rPr>
          <w:fldChar w:fldCharType="end"/>
        </w:r>
      </w:hyperlink>
    </w:p>
    <w:p w:rsidR="00A21827" w:rsidRDefault="00123B68">
      <w:pPr>
        <w:pStyle w:val="TOC2"/>
        <w:rPr>
          <w:rFonts w:asciiTheme="minorHAnsi" w:eastAsiaTheme="minorEastAsia" w:hAnsiTheme="minorHAnsi" w:cstheme="minorBidi"/>
          <w:smallCaps w:val="0"/>
          <w:noProof/>
          <w:sz w:val="22"/>
          <w:szCs w:val="22"/>
          <w:lang w:bidi="ar-SA"/>
        </w:rPr>
      </w:pPr>
      <w:hyperlink w:anchor="_Toc378838825" w:history="1">
        <w:r w:rsidR="00A21827" w:rsidRPr="00630529">
          <w:rPr>
            <w:rStyle w:val="Hyperlink"/>
            <w:noProof/>
          </w:rPr>
          <w:t>GN 23</w:t>
        </w:r>
        <w:r w:rsidR="00A21827">
          <w:rPr>
            <w:noProof/>
            <w:webHidden/>
          </w:rPr>
          <w:tab/>
        </w:r>
        <w:r w:rsidR="00A21827">
          <w:rPr>
            <w:noProof/>
            <w:webHidden/>
          </w:rPr>
          <w:fldChar w:fldCharType="begin"/>
        </w:r>
        <w:r w:rsidR="00A21827">
          <w:rPr>
            <w:noProof/>
            <w:webHidden/>
          </w:rPr>
          <w:instrText xml:space="preserve"> PAGEREF _Toc378838825 \h </w:instrText>
        </w:r>
        <w:r w:rsidR="00A21827">
          <w:rPr>
            <w:noProof/>
            <w:webHidden/>
          </w:rPr>
        </w:r>
        <w:r w:rsidR="00A21827">
          <w:rPr>
            <w:noProof/>
            <w:webHidden/>
          </w:rPr>
          <w:fldChar w:fldCharType="separate"/>
        </w:r>
        <w:r w:rsidR="004B22B3">
          <w:rPr>
            <w:noProof/>
            <w:webHidden/>
          </w:rPr>
          <w:t>3</w:t>
        </w:r>
        <w:r w:rsidR="00A21827">
          <w:rPr>
            <w:noProof/>
            <w:webHidden/>
          </w:rPr>
          <w:fldChar w:fldCharType="end"/>
        </w:r>
      </w:hyperlink>
    </w:p>
    <w:p w:rsidR="00A21827" w:rsidRDefault="00123B68">
      <w:pPr>
        <w:pStyle w:val="TOC2"/>
        <w:rPr>
          <w:noProof/>
        </w:rPr>
      </w:pPr>
      <w:hyperlink w:anchor="_Toc378838826" w:history="1">
        <w:r w:rsidR="00A21827" w:rsidRPr="00630529">
          <w:rPr>
            <w:rStyle w:val="Hyperlink"/>
            <w:noProof/>
          </w:rPr>
          <w:t>Kapitel 3.3 und GN 9</w:t>
        </w:r>
        <w:r w:rsidR="00A21827">
          <w:rPr>
            <w:noProof/>
            <w:webHidden/>
          </w:rPr>
          <w:tab/>
        </w:r>
        <w:r w:rsidR="00A21827">
          <w:rPr>
            <w:noProof/>
            <w:webHidden/>
          </w:rPr>
          <w:fldChar w:fldCharType="begin"/>
        </w:r>
        <w:r w:rsidR="00A21827">
          <w:rPr>
            <w:noProof/>
            <w:webHidden/>
          </w:rPr>
          <w:instrText xml:space="preserve"> PAGEREF _Toc378838826 \h </w:instrText>
        </w:r>
        <w:r w:rsidR="00A21827">
          <w:rPr>
            <w:noProof/>
            <w:webHidden/>
          </w:rPr>
        </w:r>
        <w:r w:rsidR="00A21827">
          <w:rPr>
            <w:noProof/>
            <w:webHidden/>
          </w:rPr>
          <w:fldChar w:fldCharType="separate"/>
        </w:r>
        <w:r w:rsidR="004B22B3">
          <w:rPr>
            <w:noProof/>
            <w:webHidden/>
          </w:rPr>
          <w:t>3</w:t>
        </w:r>
        <w:r w:rsidR="00A21827">
          <w:rPr>
            <w:noProof/>
            <w:webHidden/>
          </w:rPr>
          <w:fldChar w:fldCharType="end"/>
        </w:r>
      </w:hyperlink>
    </w:p>
    <w:p w:rsidR="00DA67E7" w:rsidRPr="00DA67E7" w:rsidRDefault="00DA67E7" w:rsidP="00DA67E7">
      <w:pPr>
        <w:rPr>
          <w:rFonts w:eastAsiaTheme="minorEastAsia"/>
        </w:rPr>
      </w:pPr>
    </w:p>
    <w:p w:rsidR="00A21827" w:rsidRDefault="00123B68" w:rsidP="00DA67E7">
      <w:pPr>
        <w:pStyle w:val="TOC1"/>
        <w:rPr>
          <w:rFonts w:asciiTheme="minorHAnsi" w:eastAsiaTheme="minorEastAsia" w:hAnsiTheme="minorHAnsi" w:cstheme="minorBidi"/>
          <w:noProof/>
          <w:sz w:val="22"/>
          <w:szCs w:val="22"/>
          <w:lang w:bidi="ar-SA"/>
        </w:rPr>
      </w:pPr>
      <w:hyperlink w:anchor="_Toc378838827" w:history="1">
        <w:r w:rsidR="00A21827" w:rsidRPr="00630529">
          <w:rPr>
            <w:rStyle w:val="Hyperlink"/>
            <w:noProof/>
          </w:rPr>
          <w:t>Kommentare der Technischen Arbeitsgruppen im Jahr 2013</w:t>
        </w:r>
        <w:r w:rsidR="00A21827">
          <w:rPr>
            <w:noProof/>
            <w:webHidden/>
          </w:rPr>
          <w:tab/>
        </w:r>
        <w:r w:rsidR="00A21827">
          <w:rPr>
            <w:noProof/>
            <w:webHidden/>
          </w:rPr>
          <w:fldChar w:fldCharType="begin"/>
        </w:r>
        <w:r w:rsidR="00A21827">
          <w:rPr>
            <w:noProof/>
            <w:webHidden/>
          </w:rPr>
          <w:instrText xml:space="preserve"> PAGEREF _Toc378838827 \h </w:instrText>
        </w:r>
        <w:r w:rsidR="00A21827">
          <w:rPr>
            <w:noProof/>
            <w:webHidden/>
          </w:rPr>
        </w:r>
        <w:r w:rsidR="00A21827">
          <w:rPr>
            <w:noProof/>
            <w:webHidden/>
          </w:rPr>
          <w:fldChar w:fldCharType="separate"/>
        </w:r>
        <w:r w:rsidR="004B22B3">
          <w:rPr>
            <w:noProof/>
            <w:webHidden/>
          </w:rPr>
          <w:t>4</w:t>
        </w:r>
        <w:r w:rsidR="00A21827">
          <w:rPr>
            <w:noProof/>
            <w:webHidden/>
          </w:rPr>
          <w:fldChar w:fldCharType="end"/>
        </w:r>
      </w:hyperlink>
    </w:p>
    <w:p w:rsidR="00A21827" w:rsidRDefault="00123B68" w:rsidP="00DA67E7">
      <w:pPr>
        <w:pStyle w:val="TOC1"/>
        <w:rPr>
          <w:rFonts w:asciiTheme="minorHAnsi" w:eastAsiaTheme="minorEastAsia" w:hAnsiTheme="minorHAnsi" w:cstheme="minorBidi"/>
          <w:noProof/>
          <w:sz w:val="22"/>
          <w:szCs w:val="22"/>
          <w:lang w:bidi="ar-SA"/>
        </w:rPr>
      </w:pPr>
      <w:hyperlink w:anchor="_Toc378838828" w:history="1">
        <w:r w:rsidR="00A21827" w:rsidRPr="00630529">
          <w:rPr>
            <w:rStyle w:val="Hyperlink"/>
            <w:noProof/>
          </w:rPr>
          <w:t>VORSCHLAG</w:t>
        </w:r>
        <w:r w:rsidR="00A21827">
          <w:rPr>
            <w:noProof/>
            <w:webHidden/>
          </w:rPr>
          <w:tab/>
        </w:r>
        <w:r w:rsidR="00A21827">
          <w:rPr>
            <w:noProof/>
            <w:webHidden/>
          </w:rPr>
          <w:fldChar w:fldCharType="begin"/>
        </w:r>
        <w:r w:rsidR="00A21827">
          <w:rPr>
            <w:noProof/>
            <w:webHidden/>
          </w:rPr>
          <w:instrText xml:space="preserve"> PAGEREF _Toc378838828 \h </w:instrText>
        </w:r>
        <w:r w:rsidR="00A21827">
          <w:rPr>
            <w:noProof/>
            <w:webHidden/>
          </w:rPr>
        </w:r>
        <w:r w:rsidR="00A21827">
          <w:rPr>
            <w:noProof/>
            <w:webHidden/>
          </w:rPr>
          <w:fldChar w:fldCharType="separate"/>
        </w:r>
        <w:r w:rsidR="004B22B3">
          <w:rPr>
            <w:noProof/>
            <w:webHidden/>
          </w:rPr>
          <w:t>5</w:t>
        </w:r>
        <w:r w:rsidR="00A21827">
          <w:rPr>
            <w:noProof/>
            <w:webHidden/>
          </w:rPr>
          <w:fldChar w:fldCharType="end"/>
        </w:r>
      </w:hyperlink>
    </w:p>
    <w:p w:rsidR="00DA67E7" w:rsidRDefault="00723FB9" w:rsidP="00DA67E7">
      <w:pPr>
        <w:pStyle w:val="TOC1"/>
        <w:rPr>
          <w:noProof/>
          <w:snapToGrid w:val="0"/>
        </w:rPr>
      </w:pPr>
      <w:r>
        <w:rPr>
          <w:noProof/>
          <w:snapToGrid w:val="0"/>
        </w:rPr>
        <w:fldChar w:fldCharType="end"/>
      </w:r>
      <w:bookmarkStart w:id="7" w:name="_Toc378233479"/>
      <w:bookmarkStart w:id="8" w:name="_Toc378838822"/>
    </w:p>
    <w:p w:rsidR="00DA67E7" w:rsidRPr="00DA67E7" w:rsidRDefault="00DA67E7" w:rsidP="00DA67E7"/>
    <w:p w:rsidR="00106F14" w:rsidRDefault="00610CDC" w:rsidP="000F17DA">
      <w:pPr>
        <w:pStyle w:val="TOC1"/>
        <w:ind w:left="0" w:firstLine="0"/>
        <w:rPr>
          <w:snapToGrid w:val="0"/>
        </w:rPr>
      </w:pPr>
      <w:r>
        <w:t>HINTERGRUND</w:t>
      </w:r>
      <w:bookmarkEnd w:id="5"/>
      <w:bookmarkEnd w:id="6"/>
      <w:bookmarkEnd w:id="7"/>
      <w:bookmarkEnd w:id="8"/>
    </w:p>
    <w:p w:rsidR="00106F14" w:rsidRDefault="00106F14" w:rsidP="00106F14">
      <w:pPr>
        <w:keepNext/>
      </w:pPr>
    </w:p>
    <w:p w:rsidR="00106F14" w:rsidRDefault="00106F14" w:rsidP="00106F14">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tab/>
      </w:r>
      <w:r>
        <w:rPr>
          <w:color w:val="000000"/>
        </w:rPr>
        <w:t xml:space="preserve">Der </w:t>
      </w:r>
      <w:r>
        <w:t>Technische Ausschuß (TC) vereinbarte auf seiner neunundvie</w:t>
      </w:r>
      <w:r w:rsidR="00DA67E7">
        <w:t>rzigsten Tagung vom 18. bis 20. </w:t>
      </w:r>
      <w:r>
        <w:t>März 2013 in Genf, daß bei einer künftigen Überarbeitung von Dokument TGP/7 im Hinblick auf die Aufnahme von Schlüsseln der Entwicklungsstadien in Kapitel 8 der Prüfungsrichtlinien eine Klarstellung vorzunehmen sei und ersuchte das Verbandsbüro, einen Entwurf für eine Anleitung zur Prüfung durch die TWP auf ihren Tagungen im Jahr 2013 auszuarbeiten (vergleiche Dokument TC/49/41 „Bericht über die Entschließungen“, Absatz 83).</w:t>
      </w:r>
    </w:p>
    <w:p w:rsidR="00106F14" w:rsidRPr="00AF342C" w:rsidRDefault="00106F14" w:rsidP="00106F14"/>
    <w:p w:rsidR="00106F14" w:rsidRDefault="00106F14" w:rsidP="00106F14">
      <w:pPr>
        <w:pStyle w:val="Heading1"/>
      </w:pPr>
      <w:bookmarkStart w:id="9" w:name="_Toc353210067"/>
      <w:bookmarkStart w:id="10" w:name="_Toc353371600"/>
      <w:bookmarkStart w:id="11" w:name="_Toc378233480"/>
      <w:bookmarkStart w:id="12" w:name="_Toc378838823"/>
      <w:r>
        <w:lastRenderedPageBreak/>
        <w:t xml:space="preserve">Bestehende </w:t>
      </w:r>
      <w:bookmarkEnd w:id="9"/>
      <w:bookmarkEnd w:id="10"/>
      <w:r>
        <w:t>ANLEITUNG IN DOKUMENT TGP/7</w:t>
      </w:r>
      <w:bookmarkEnd w:id="11"/>
      <w:bookmarkEnd w:id="12"/>
    </w:p>
    <w:p w:rsidR="00106F14" w:rsidRDefault="00106F14" w:rsidP="00106F14">
      <w:pPr>
        <w:keepNext/>
      </w:pPr>
    </w:p>
    <w:p w:rsidR="00106F14" w:rsidRDefault="00A5739C" w:rsidP="00106F14">
      <w:pPr>
        <w:pStyle w:val="Heading2"/>
      </w:pPr>
      <w:bookmarkStart w:id="13" w:name="_Toc353371601"/>
      <w:bookmarkStart w:id="14" w:name="_Toc378233481"/>
      <w:bookmarkStart w:id="15" w:name="_Toc378838824"/>
      <w:r>
        <w:t>TG-</w:t>
      </w:r>
      <w:r w:rsidR="00106F14">
        <w:t>Vorlage</w:t>
      </w:r>
      <w:bookmarkEnd w:id="13"/>
      <w:bookmarkEnd w:id="14"/>
      <w:bookmarkEnd w:id="15"/>
    </w:p>
    <w:p w:rsidR="00106F14" w:rsidRPr="00007CD0" w:rsidRDefault="00106F14" w:rsidP="00106F14">
      <w:pPr>
        <w:keepNext/>
      </w:pPr>
    </w:p>
    <w:p w:rsidR="00106F14" w:rsidRDefault="00106F14" w:rsidP="00106F14">
      <w:pPr>
        <w:keepNext/>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tab/>
      </w:r>
      <w:r w:rsidR="00A5739C">
        <w:rPr>
          <w:color w:val="000000"/>
        </w:rPr>
        <w:t>Die TG-</w:t>
      </w:r>
      <w:r>
        <w:rPr>
          <w:color w:val="000000"/>
        </w:rPr>
        <w:t>Vorlage un</w:t>
      </w:r>
      <w:r w:rsidR="00A5739C">
        <w:rPr>
          <w:color w:val="000000"/>
        </w:rPr>
        <w:t xml:space="preserve">d die verbundene Erläuterung </w:t>
      </w:r>
      <w:r>
        <w:rPr>
          <w:color w:val="000000"/>
        </w:rPr>
        <w:t>(GN24) erteilen folgende Anleitung für die Angabe des Entwicklungsstadiums zur Erfassung von Merkmalen in den Prüfungsrichtlinien:</w:t>
      </w:r>
    </w:p>
    <w:p w:rsidR="00106F14" w:rsidRDefault="00106F14" w:rsidP="00106F14">
      <w:pPr>
        <w:rPr>
          <w:rFonts w:cs="Arial"/>
          <w:color w:val="000000"/>
        </w:rPr>
      </w:pPr>
    </w:p>
    <w:p w:rsidR="00DA67E7" w:rsidRDefault="00DA67E7" w:rsidP="00106F14">
      <w:pPr>
        <w:jc w:val="center"/>
      </w:pPr>
      <w:r>
        <w:rPr>
          <w:noProof/>
          <w:lang w:val="en-US" w:eastAsia="en-US" w:bidi="ar-SA"/>
        </w:rPr>
        <w:drawing>
          <wp:inline distT="0" distB="0" distL="0" distR="0" wp14:anchorId="3B501F61" wp14:editId="0BD0A615">
            <wp:extent cx="5917212" cy="4671060"/>
            <wp:effectExtent l="19050" t="19050" r="2667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24721" cy="4676988"/>
                    </a:xfrm>
                    <a:prstGeom prst="rect">
                      <a:avLst/>
                    </a:prstGeom>
                    <a:ln>
                      <a:solidFill>
                        <a:schemeClr val="tx1"/>
                      </a:solidFill>
                    </a:ln>
                  </pic:spPr>
                </pic:pic>
              </a:graphicData>
            </a:graphic>
          </wp:inline>
        </w:drawing>
      </w:r>
    </w:p>
    <w:p w:rsidR="00DA67E7" w:rsidRDefault="00DA67E7" w:rsidP="00106F14">
      <w:pPr>
        <w:jc w:val="center"/>
      </w:pPr>
    </w:p>
    <w:p w:rsidR="00DA67E7" w:rsidRDefault="00DA67E7" w:rsidP="00106F14">
      <w:pPr>
        <w:jc w:val="center"/>
      </w:pPr>
      <w:r>
        <w:rPr>
          <w:noProof/>
          <w:lang w:val="en-US" w:eastAsia="en-US" w:bidi="ar-SA"/>
        </w:rPr>
        <w:drawing>
          <wp:inline distT="0" distB="0" distL="0" distR="0" wp14:anchorId="69BDB654" wp14:editId="1F1DE79D">
            <wp:extent cx="5943600" cy="1035443"/>
            <wp:effectExtent l="19050" t="19050" r="190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54809" cy="1037396"/>
                    </a:xfrm>
                    <a:prstGeom prst="rect">
                      <a:avLst/>
                    </a:prstGeom>
                    <a:ln>
                      <a:solidFill>
                        <a:schemeClr val="tx1"/>
                      </a:solidFill>
                    </a:ln>
                  </pic:spPr>
                </pic:pic>
              </a:graphicData>
            </a:graphic>
          </wp:inline>
        </w:drawing>
      </w:r>
    </w:p>
    <w:p w:rsidR="00DA67E7" w:rsidRDefault="00DA67E7" w:rsidP="00106F14">
      <w:pPr>
        <w:jc w:val="center"/>
      </w:pPr>
    </w:p>
    <w:p w:rsidR="00106F14" w:rsidRDefault="00DA67E7" w:rsidP="00106F14">
      <w:pPr>
        <w:jc w:val="center"/>
      </w:pPr>
      <w:r>
        <w:rPr>
          <w:noProof/>
          <w:lang w:val="en-US" w:eastAsia="en-US" w:bidi="ar-SA"/>
        </w:rPr>
        <w:drawing>
          <wp:inline distT="0" distB="0" distL="0" distR="0" wp14:anchorId="0081F4BB" wp14:editId="69678159">
            <wp:extent cx="5882640" cy="1666119"/>
            <wp:effectExtent l="19050" t="19050" r="2286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07151" cy="1673061"/>
                    </a:xfrm>
                    <a:prstGeom prst="rect">
                      <a:avLst/>
                    </a:prstGeom>
                    <a:ln>
                      <a:solidFill>
                        <a:schemeClr val="tx1"/>
                      </a:solidFill>
                    </a:ln>
                  </pic:spPr>
                </pic:pic>
              </a:graphicData>
            </a:graphic>
          </wp:inline>
        </w:drawing>
      </w:r>
    </w:p>
    <w:p w:rsidR="00106F14" w:rsidRDefault="00106F14" w:rsidP="00106F14">
      <w:pPr>
        <w:jc w:val="center"/>
      </w:pPr>
    </w:p>
    <w:p w:rsidR="00DA67E7" w:rsidRDefault="00DA67E7" w:rsidP="00106F14">
      <w:pPr>
        <w:jc w:val="center"/>
      </w:pPr>
    </w:p>
    <w:p w:rsidR="00106F14" w:rsidRDefault="00106F14" w:rsidP="00106F14">
      <w:pPr>
        <w:pStyle w:val="Heading2"/>
      </w:pPr>
      <w:bookmarkStart w:id="16" w:name="_Toc378233482"/>
      <w:bookmarkStart w:id="17" w:name="_Toc378838825"/>
      <w:bookmarkStart w:id="18" w:name="_Toc353371603"/>
      <w:r>
        <w:lastRenderedPageBreak/>
        <w:t>GN 23</w:t>
      </w:r>
      <w:bookmarkEnd w:id="16"/>
      <w:bookmarkEnd w:id="17"/>
      <w:r>
        <w:t xml:space="preserve"> </w:t>
      </w:r>
      <w:bookmarkEnd w:id="18"/>
    </w:p>
    <w:p w:rsidR="00106F14" w:rsidRPr="00DF60E9" w:rsidRDefault="00106F14" w:rsidP="00106F14"/>
    <w:p w:rsidR="00106F14" w:rsidRDefault="00106F14" w:rsidP="00106F14">
      <w:pPr>
        <w:keepNext/>
        <w:rPr>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tab/>
        <w:t xml:space="preserve">Erläuterung GN 23 </w:t>
      </w:r>
      <w:r>
        <w:rPr>
          <w:color w:val="000000"/>
        </w:rPr>
        <w:t>Anleitung für Verfasser von Prüfungsrichtlinien: „Erläuterungen, die mehrere Merkmale betreffen“ besagt folgendes:</w:t>
      </w:r>
    </w:p>
    <w:p w:rsidR="00DA67E7" w:rsidRDefault="00DA67E7" w:rsidP="00106F14">
      <w:pPr>
        <w:keepNext/>
        <w:rPr>
          <w:rFonts w:cs="Arial"/>
          <w:color w:val="000000"/>
        </w:rPr>
      </w:pPr>
    </w:p>
    <w:p w:rsidR="00106F14" w:rsidRDefault="00DA67E7" w:rsidP="00106F14">
      <w:pPr>
        <w:jc w:val="center"/>
      </w:pPr>
      <w:r>
        <w:rPr>
          <w:noProof/>
          <w:lang w:val="en-US" w:eastAsia="en-US" w:bidi="ar-SA"/>
        </w:rPr>
        <w:drawing>
          <wp:inline distT="0" distB="0" distL="0" distR="0" wp14:anchorId="4BACA25F" wp14:editId="372669AD">
            <wp:extent cx="5943600" cy="17145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714500"/>
                    </a:xfrm>
                    <a:prstGeom prst="rect">
                      <a:avLst/>
                    </a:prstGeom>
                    <a:ln>
                      <a:solidFill>
                        <a:schemeClr val="tx1"/>
                      </a:solidFill>
                    </a:ln>
                  </pic:spPr>
                </pic:pic>
              </a:graphicData>
            </a:graphic>
          </wp:inline>
        </w:drawing>
      </w:r>
    </w:p>
    <w:p w:rsidR="00106F14" w:rsidRPr="009B3C30" w:rsidRDefault="00106F14" w:rsidP="00106F14">
      <w:pPr>
        <w:jc w:val="center"/>
        <w:rPr>
          <w:sz w:val="12"/>
          <w:szCs w:val="12"/>
        </w:rPr>
      </w:pPr>
    </w:p>
    <w:p w:rsidR="00106F14" w:rsidRPr="00384A9A" w:rsidRDefault="00106F14" w:rsidP="00106F14">
      <w:pPr>
        <w:jc w:val="center"/>
        <w:rPr>
          <w:sz w:val="12"/>
          <w:szCs w:val="12"/>
        </w:rPr>
      </w:pPr>
    </w:p>
    <w:p w:rsidR="00106F14" w:rsidRDefault="00106F14" w:rsidP="00106F14">
      <w:pPr>
        <w:pStyle w:val="Heading2"/>
      </w:pPr>
      <w:bookmarkStart w:id="19" w:name="_Toc353371604"/>
      <w:bookmarkStart w:id="20" w:name="_Toc378233483"/>
      <w:bookmarkStart w:id="21" w:name="_Toc378838826"/>
      <w:r>
        <w:t>Kapitel 3.3</w:t>
      </w:r>
      <w:bookmarkEnd w:id="19"/>
      <w:r>
        <w:t xml:space="preserve"> und GN 9</w:t>
      </w:r>
      <w:bookmarkEnd w:id="20"/>
      <w:bookmarkEnd w:id="21"/>
    </w:p>
    <w:p w:rsidR="00106F14" w:rsidRPr="00DF60E9" w:rsidRDefault="00106F14" w:rsidP="00106F14"/>
    <w:p w:rsidR="00106F14" w:rsidRDefault="00106F14" w:rsidP="00106F14">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00A5739C">
        <w:tab/>
        <w:t>Die TG-</w:t>
      </w:r>
      <w:r>
        <w:t xml:space="preserve">Vorlage und </w:t>
      </w:r>
      <w:r w:rsidR="00A21827">
        <w:t xml:space="preserve">die </w:t>
      </w:r>
      <w:r>
        <w:t>Erläuterung (GN 9) erteilen weitere Anleitung wie folgt:</w:t>
      </w:r>
    </w:p>
    <w:p w:rsidR="00DA67E7" w:rsidRDefault="00DA67E7" w:rsidP="00106F14"/>
    <w:p w:rsidR="00106F14" w:rsidRDefault="00DA67E7" w:rsidP="00106F14">
      <w:pPr>
        <w:jc w:val="center"/>
      </w:pPr>
      <w:r>
        <w:rPr>
          <w:noProof/>
          <w:lang w:val="en-US" w:eastAsia="en-US" w:bidi="ar-SA"/>
        </w:rPr>
        <w:drawing>
          <wp:inline distT="0" distB="0" distL="0" distR="0" wp14:anchorId="23C75C8D" wp14:editId="69A455F0">
            <wp:extent cx="5943600" cy="3075305"/>
            <wp:effectExtent l="19050" t="19050" r="19050"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075305"/>
                    </a:xfrm>
                    <a:prstGeom prst="rect">
                      <a:avLst/>
                    </a:prstGeom>
                    <a:ln>
                      <a:solidFill>
                        <a:schemeClr val="tx1"/>
                      </a:solidFill>
                    </a:ln>
                  </pic:spPr>
                </pic:pic>
              </a:graphicData>
            </a:graphic>
          </wp:inline>
        </w:drawing>
      </w:r>
    </w:p>
    <w:p w:rsidR="00106F14" w:rsidRDefault="00106F14" w:rsidP="00106F14">
      <w:pPr>
        <w:keepNext/>
      </w:pPr>
    </w:p>
    <w:p w:rsidR="00106F14" w:rsidRDefault="00DA67E7" w:rsidP="00106F14">
      <w:pPr>
        <w:keepNext/>
        <w:jc w:val="center"/>
      </w:pPr>
      <w:r>
        <w:rPr>
          <w:noProof/>
          <w:lang w:val="en-US" w:eastAsia="en-US" w:bidi="ar-SA"/>
        </w:rPr>
        <w:drawing>
          <wp:inline distT="0" distB="0" distL="0" distR="0" wp14:anchorId="039CCCC5" wp14:editId="31684276">
            <wp:extent cx="5943600" cy="1950720"/>
            <wp:effectExtent l="19050" t="19050" r="1905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950720"/>
                    </a:xfrm>
                    <a:prstGeom prst="rect">
                      <a:avLst/>
                    </a:prstGeom>
                    <a:ln>
                      <a:solidFill>
                        <a:schemeClr val="tx1"/>
                      </a:solidFill>
                    </a:ln>
                  </pic:spPr>
                </pic:pic>
              </a:graphicData>
            </a:graphic>
          </wp:inline>
        </w:drawing>
      </w:r>
    </w:p>
    <w:p w:rsidR="00106F14" w:rsidRDefault="00106F14" w:rsidP="00106F14">
      <w:pPr>
        <w:jc w:val="left"/>
      </w:pPr>
      <w:r>
        <w:br w:type="page"/>
      </w:r>
    </w:p>
    <w:p w:rsidR="00106F14" w:rsidRDefault="00106F14" w:rsidP="00106F14"/>
    <w:p w:rsidR="00106F14" w:rsidRDefault="00106F14" w:rsidP="00106F14">
      <w:pPr>
        <w:pStyle w:val="Heading1"/>
      </w:pPr>
      <w:bookmarkStart w:id="22" w:name="_Toc372555732"/>
      <w:bookmarkStart w:id="23" w:name="_Toc378233484"/>
      <w:bookmarkStart w:id="24" w:name="_Toc378838827"/>
      <w:r>
        <w:t>Kommentare der Technischen Arbeitsgruppen im Jahr 2013</w:t>
      </w:r>
      <w:bookmarkEnd w:id="22"/>
      <w:bookmarkEnd w:id="23"/>
      <w:bookmarkEnd w:id="24"/>
    </w:p>
    <w:p w:rsidR="00106F14" w:rsidRDefault="00106F14" w:rsidP="00106F14">
      <w:pPr>
        <w:rPr>
          <w:snapToGrid w:val="0"/>
        </w:rPr>
      </w:pPr>
    </w:p>
    <w:p w:rsidR="00106F14" w:rsidRDefault="00106F14" w:rsidP="00106F14">
      <w:pPr>
        <w:pStyle w:val="Titleofdoc0"/>
        <w:spacing w:before="0"/>
        <w:jc w:val="both"/>
        <w:rPr>
          <w:rFonts w:cs="Arial"/>
          <w:caps w:val="0"/>
        </w:rPr>
      </w:pPr>
      <w:r w:rsidRPr="00F00C80">
        <w:fldChar w:fldCharType="begin"/>
      </w:r>
      <w:r w:rsidRPr="00F00C80">
        <w:instrText xml:space="preserve"> AUTONUM  </w:instrText>
      </w:r>
      <w:r w:rsidRPr="00F00C80">
        <w:fldChar w:fldCharType="end"/>
      </w:r>
      <w:r>
        <w:tab/>
      </w:r>
      <w:r>
        <w:rPr>
          <w:caps w:val="0"/>
        </w:rPr>
        <w:t xml:space="preserve">Die TWO, TWF, TWV, TWC und TWA prüften jeweils die Dokumente </w:t>
      </w:r>
      <w:r>
        <w:t>TWO/46/</w:t>
      </w:r>
      <w:r>
        <w:rPr>
          <w:caps w:val="0"/>
        </w:rPr>
        <w:t>11, TWF/44/11, TWV/47/11, TWC/31/11 und TWA/42/11 (vergleiche Dokumente TWO/46/29 „</w:t>
      </w:r>
      <w:r w:rsidRPr="00DA67E7">
        <w:rPr>
          <w:i/>
          <w:caps w:val="0"/>
        </w:rPr>
        <w:t>Report</w:t>
      </w:r>
      <w:r>
        <w:rPr>
          <w:caps w:val="0"/>
        </w:rPr>
        <w:t>”, Absätze 24 bis 26, TWF/44/31 „</w:t>
      </w:r>
      <w:r w:rsidRPr="00DA67E7">
        <w:rPr>
          <w:i/>
          <w:caps w:val="0"/>
        </w:rPr>
        <w:t>Report</w:t>
      </w:r>
      <w:r>
        <w:rPr>
          <w:caps w:val="0"/>
        </w:rPr>
        <w:t>”, Absätze 28 bis 29, TWV/47/34 “</w:t>
      </w:r>
      <w:r w:rsidRPr="00DA67E7">
        <w:rPr>
          <w:i/>
          <w:caps w:val="0"/>
        </w:rPr>
        <w:t>Report</w:t>
      </w:r>
      <w:r>
        <w:rPr>
          <w:caps w:val="0"/>
        </w:rPr>
        <w:t>”, Absätze 28 und 29</w:t>
      </w:r>
      <w:r w:rsidR="00A5739C">
        <w:rPr>
          <w:caps w:val="0"/>
        </w:rPr>
        <w:t>, TWC/31/32 „</w:t>
      </w:r>
      <w:r w:rsidR="00A5739C" w:rsidRPr="00DA67E7">
        <w:rPr>
          <w:i/>
          <w:caps w:val="0"/>
        </w:rPr>
        <w:t>Report</w:t>
      </w:r>
      <w:r w:rsidR="00A5739C">
        <w:rPr>
          <w:caps w:val="0"/>
        </w:rPr>
        <w:t>”, Absatz 25</w:t>
      </w:r>
      <w:r>
        <w:rPr>
          <w:caps w:val="0"/>
        </w:rPr>
        <w:t xml:space="preserve"> und TWA/42/31 „</w:t>
      </w:r>
      <w:r w:rsidRPr="00DA67E7">
        <w:rPr>
          <w:i/>
          <w:caps w:val="0"/>
        </w:rPr>
        <w:t>Report</w:t>
      </w:r>
      <w:r>
        <w:rPr>
          <w:caps w:val="0"/>
        </w:rPr>
        <w:t>”, Absätze 27 und 28).</w:t>
      </w:r>
    </w:p>
    <w:p w:rsidR="00106F14" w:rsidRPr="0011028E" w:rsidRDefault="00106F14" w:rsidP="00106F14">
      <w:pPr>
        <w:keepNext/>
      </w:pPr>
    </w:p>
    <w:p w:rsidR="00106F14" w:rsidRPr="00296954" w:rsidRDefault="00106F14" w:rsidP="00106F14">
      <w:r w:rsidRPr="00296954">
        <w:fldChar w:fldCharType="begin"/>
      </w:r>
      <w:r w:rsidRPr="00296954">
        <w:instrText xml:space="preserve"> AUTONUM  </w:instrText>
      </w:r>
      <w:r w:rsidRPr="00296954">
        <w:fldChar w:fldCharType="end"/>
      </w:r>
      <w:r>
        <w:tab/>
        <w:t xml:space="preserve">Die TWO merkte an, daß Zierpflanzen normalerweise zum Zeitpunkt der Vollblüte erfaßt werden und die Angabe der Entwicklungsstadien in Prüfungsrichtlinien auch weiterhin freigestellt sein und </w:t>
      </w:r>
      <w:r w:rsidR="00A5739C">
        <w:t>gegebenenfalls</w:t>
      </w:r>
      <w:r>
        <w:t xml:space="preserve"> verwendet werden sollte. </w:t>
      </w:r>
    </w:p>
    <w:p w:rsidR="00106F14" w:rsidRPr="00296954" w:rsidRDefault="00106F14" w:rsidP="00106F14"/>
    <w:p w:rsidR="00106F14" w:rsidRPr="00296954" w:rsidRDefault="00106F14" w:rsidP="00106F14">
      <w:r w:rsidRPr="00296954">
        <w:fldChar w:fldCharType="begin"/>
      </w:r>
      <w:r w:rsidRPr="00296954">
        <w:instrText xml:space="preserve"> AUTONUM  </w:instrText>
      </w:r>
      <w:r w:rsidRPr="00296954">
        <w:fldChar w:fldCharType="end"/>
      </w:r>
      <w:r>
        <w:tab/>
        <w:t>Die TWO und die TWA waren sich darin einig, daß der Zusätzliche Standardwortlaut 4 (ASW 4) so geändert werden sollte, daß er die derzeitige Praxis in den Prüfungsrichtlinien, die Wachsstumsstadien unter Verwendung von Buchstaben, Ziffern und Kombinationen aus Buchstaben u</w:t>
      </w:r>
      <w:r w:rsidR="00A21827">
        <w:t>nd Ziffern anzugeben, reflektiert</w:t>
      </w:r>
      <w:r>
        <w:t xml:space="preserve"> und wie folgt lauten sollte: </w:t>
      </w:r>
    </w:p>
    <w:p w:rsidR="00106F14" w:rsidRDefault="00106F14" w:rsidP="00106F14">
      <w:pPr>
        <w:rPr>
          <w:highlight w:val="yellow"/>
        </w:rPr>
      </w:pPr>
    </w:p>
    <w:p w:rsidR="00106F14" w:rsidRPr="000F0B65" w:rsidRDefault="00106F14" w:rsidP="00106F14">
      <w:pPr>
        <w:spacing w:after="240"/>
        <w:ind w:left="540"/>
        <w:rPr>
          <w:rFonts w:cs="Arial"/>
          <w:sz w:val="18"/>
          <w:szCs w:val="18"/>
          <w:u w:val="single"/>
        </w:rPr>
      </w:pPr>
      <w:r>
        <w:rPr>
          <w:sz w:val="18"/>
          <w:szCs w:val="18"/>
          <w:u w:val="single"/>
        </w:rPr>
        <w:t xml:space="preserve">ASW 4  (TG Mustervorlage: </w:t>
      </w:r>
      <w:r w:rsidRPr="00DA67E7">
        <w:rPr>
          <w:sz w:val="18"/>
          <w:szCs w:val="18"/>
          <w:u w:val="single"/>
        </w:rPr>
        <w:t>Kapitel 3.3</w:t>
      </w:r>
      <w:r w:rsidRPr="00DA67E7">
        <w:rPr>
          <w:u w:val="single"/>
        </w:rPr>
        <w:tab/>
      </w:r>
      <w:r w:rsidRPr="00DA67E7">
        <w:rPr>
          <w:sz w:val="18"/>
          <w:szCs w:val="18"/>
          <w:u w:val="single"/>
        </w:rPr>
        <w:t>Bedingungen</w:t>
      </w:r>
      <w:r>
        <w:rPr>
          <w:sz w:val="18"/>
          <w:szCs w:val="18"/>
          <w:u w:val="single"/>
        </w:rPr>
        <w:t xml:space="preserve"> für die Durchführung der Prüfung</w:t>
      </w:r>
    </w:p>
    <w:p w:rsidR="00106F14" w:rsidRDefault="00106F14" w:rsidP="00106F14">
      <w:pPr>
        <w:autoSpaceDE w:val="0"/>
        <w:autoSpaceDN w:val="0"/>
        <w:adjustRightInd w:val="0"/>
        <w:ind w:left="540"/>
        <w:jc w:val="left"/>
        <w:rPr>
          <w:i/>
          <w:iCs/>
          <w:sz w:val="18"/>
          <w:szCs w:val="18"/>
        </w:rPr>
      </w:pPr>
      <w:r>
        <w:rPr>
          <w:i/>
          <w:iCs/>
          <w:sz w:val="18"/>
          <w:szCs w:val="18"/>
        </w:rPr>
        <w:t>Information zur Durchführung der Prüfung einzelner Merkmale</w:t>
      </w:r>
    </w:p>
    <w:p w:rsidR="00106F14" w:rsidRPr="000F0B65" w:rsidRDefault="00106F14" w:rsidP="00106F14">
      <w:pPr>
        <w:spacing w:after="240"/>
        <w:ind w:left="540"/>
        <w:rPr>
          <w:rFonts w:cs="Arial"/>
          <w:sz w:val="18"/>
          <w:szCs w:val="18"/>
          <w:highlight w:val="yellow"/>
        </w:rPr>
      </w:pPr>
      <w:r>
        <w:rPr>
          <w:i/>
          <w:iCs/>
          <w:sz w:val="18"/>
          <w:szCs w:val="18"/>
        </w:rPr>
        <w:t>a) Entwicklungsstadium für die Prüfung</w:t>
      </w:r>
    </w:p>
    <w:p w:rsidR="00106F14" w:rsidRPr="00663D7E" w:rsidRDefault="00106F14" w:rsidP="00106F14">
      <w:pPr>
        <w:autoSpaceDE w:val="0"/>
        <w:autoSpaceDN w:val="0"/>
        <w:adjustRightInd w:val="0"/>
        <w:ind w:left="567" w:right="567"/>
        <w:rPr>
          <w:rFonts w:cs="Arial"/>
          <w:sz w:val="18"/>
          <w:szCs w:val="18"/>
        </w:rPr>
      </w:pPr>
      <w:r>
        <w:rPr>
          <w:sz w:val="18"/>
          <w:szCs w:val="18"/>
        </w:rPr>
        <w:t xml:space="preserve">„Das optimale Entwicklungsstadium für die Erfassung eines jeden Merkmals ist durch eine </w:t>
      </w:r>
      <w:r>
        <w:rPr>
          <w:strike/>
          <w:sz w:val="18"/>
          <w:szCs w:val="18"/>
          <w:highlight w:val="lightGray"/>
        </w:rPr>
        <w:t>Ziffer</w:t>
      </w:r>
      <w:r>
        <w:rPr>
          <w:sz w:val="18"/>
          <w:szCs w:val="18"/>
        </w:rPr>
        <w:t xml:space="preserve"> </w:t>
      </w:r>
      <w:r w:rsidR="000130E2" w:rsidRPr="000130E2">
        <w:rPr>
          <w:sz w:val="18"/>
          <w:szCs w:val="18"/>
          <w:highlight w:val="lightGray"/>
          <w:u w:val="single"/>
        </w:rPr>
        <w:t>Referenz</w:t>
      </w:r>
      <w:r>
        <w:rPr>
          <w:sz w:val="18"/>
          <w:szCs w:val="18"/>
        </w:rPr>
        <w:t xml:space="preserve"> in der zweiten Spalte der Merkmalstabelle angegeben. Die durch die einzelnen </w:t>
      </w:r>
      <w:r>
        <w:rPr>
          <w:strike/>
          <w:sz w:val="18"/>
          <w:szCs w:val="18"/>
          <w:highlight w:val="lightGray"/>
        </w:rPr>
        <w:t>Ziffern</w:t>
      </w:r>
      <w:r>
        <w:rPr>
          <w:sz w:val="18"/>
          <w:szCs w:val="18"/>
        </w:rPr>
        <w:t xml:space="preserve"> </w:t>
      </w:r>
      <w:r w:rsidR="000130E2" w:rsidRPr="000130E2">
        <w:rPr>
          <w:sz w:val="18"/>
          <w:szCs w:val="18"/>
          <w:highlight w:val="lightGray"/>
          <w:u w:val="single"/>
        </w:rPr>
        <w:t>Referenzen</w:t>
      </w:r>
      <w:r>
        <w:rPr>
          <w:sz w:val="18"/>
          <w:szCs w:val="18"/>
        </w:rPr>
        <w:t xml:space="preserve"> angegebenen Entwicklungsstadien sind in Kapitel 8 </w:t>
      </w:r>
      <w:r w:rsidR="00DA67E7">
        <w:rPr>
          <w:sz w:val="18"/>
          <w:szCs w:val="18"/>
        </w:rPr>
        <w:t xml:space="preserve">[…] </w:t>
      </w:r>
      <w:r>
        <w:rPr>
          <w:sz w:val="18"/>
          <w:szCs w:val="18"/>
        </w:rPr>
        <w:t>beschrieben.”</w:t>
      </w:r>
    </w:p>
    <w:p w:rsidR="00106F14" w:rsidRDefault="00106F14" w:rsidP="00106F14">
      <w:pPr>
        <w:autoSpaceDE w:val="0"/>
        <w:autoSpaceDN w:val="0"/>
        <w:adjustRightInd w:val="0"/>
        <w:rPr>
          <w:rFonts w:cs="Arial"/>
          <w:highlight w:val="yellow"/>
        </w:rPr>
      </w:pPr>
    </w:p>
    <w:p w:rsidR="00106F14" w:rsidRDefault="00106F14" w:rsidP="00106F14">
      <w:r w:rsidRPr="00D25E50">
        <w:rPr>
          <w:caps/>
        </w:rPr>
        <w:fldChar w:fldCharType="begin"/>
      </w:r>
      <w:r w:rsidRPr="00D25E50">
        <w:rPr>
          <w:caps/>
        </w:rPr>
        <w:instrText xml:space="preserve"> AUTONUM  </w:instrText>
      </w:r>
      <w:r w:rsidRPr="00D25E50">
        <w:rPr>
          <w:caps/>
        </w:rPr>
        <w:fldChar w:fldCharType="end"/>
      </w:r>
      <w:r>
        <w:tab/>
        <w:t>Die TWA merkte an, daß GN 24 geändert werden sollte, um die vorgeschlagene Änderung an ASW 4 zu reflektieren, indem das Wort „Ziffer“ durch „</w:t>
      </w:r>
      <w:r w:rsidR="000130E2">
        <w:t>Referenz</w:t>
      </w:r>
      <w:r>
        <w:t>“ ersetzt wird.</w:t>
      </w:r>
    </w:p>
    <w:p w:rsidR="00106F14" w:rsidRDefault="00106F14" w:rsidP="00106F14"/>
    <w:p w:rsidR="00106F14" w:rsidRPr="000F0B65" w:rsidRDefault="00106F14" w:rsidP="00106F14">
      <w:pPr>
        <w:autoSpaceDE w:val="0"/>
        <w:autoSpaceDN w:val="0"/>
        <w:adjustRightInd w:val="0"/>
        <w:spacing w:after="240"/>
        <w:ind w:left="540"/>
        <w:jc w:val="left"/>
        <w:rPr>
          <w:rFonts w:cs="Arial"/>
          <w:sz w:val="18"/>
          <w:szCs w:val="18"/>
          <w:u w:val="single"/>
        </w:rPr>
      </w:pPr>
      <w:r>
        <w:rPr>
          <w:sz w:val="18"/>
          <w:szCs w:val="18"/>
          <w:u w:val="single"/>
        </w:rPr>
        <w:t>GN 24  (</w:t>
      </w:r>
      <w:r w:rsidR="004D7D0A">
        <w:rPr>
          <w:sz w:val="18"/>
          <w:szCs w:val="18"/>
          <w:u w:val="single"/>
        </w:rPr>
        <w:t>TG-Mustervorlage: Abschnitt 7: Spalte 2, Kopfzeile</w:t>
      </w:r>
      <w:r>
        <w:rPr>
          <w:sz w:val="18"/>
          <w:szCs w:val="18"/>
          <w:u w:val="single"/>
        </w:rPr>
        <w:t xml:space="preserve"> Reihe 1) – Entwicklungsstadium</w:t>
      </w:r>
    </w:p>
    <w:p w:rsidR="00106F14" w:rsidRPr="000F0B65" w:rsidRDefault="004D7D0A" w:rsidP="00DA67E7">
      <w:pPr>
        <w:autoSpaceDE w:val="0"/>
        <w:autoSpaceDN w:val="0"/>
        <w:adjustRightInd w:val="0"/>
        <w:ind w:left="540" w:right="567"/>
        <w:rPr>
          <w:rFonts w:cs="Arial"/>
          <w:sz w:val="18"/>
          <w:szCs w:val="18"/>
        </w:rPr>
      </w:pPr>
      <w:r w:rsidRPr="004D7D0A">
        <w:rPr>
          <w:sz w:val="18"/>
          <w:szCs w:val="18"/>
        </w:rPr>
        <w:t>In einigen Prüfungsrichtlinien wird hier das Entwicklungssta</w:t>
      </w:r>
      <w:r>
        <w:rPr>
          <w:sz w:val="18"/>
          <w:szCs w:val="18"/>
        </w:rPr>
        <w:t>dium angegeben, zu dem die Erfassu</w:t>
      </w:r>
      <w:r w:rsidRPr="004D7D0A">
        <w:rPr>
          <w:sz w:val="18"/>
          <w:szCs w:val="18"/>
        </w:rPr>
        <w:t>ng des Merkmals erfolgen sollte</w:t>
      </w:r>
      <w:r>
        <w:rPr>
          <w:sz w:val="18"/>
          <w:szCs w:val="18"/>
        </w:rPr>
        <w:t>. In diesen</w:t>
      </w:r>
      <w:r w:rsidR="00106F14">
        <w:rPr>
          <w:sz w:val="18"/>
          <w:szCs w:val="18"/>
        </w:rPr>
        <w:t xml:space="preserve"> Fällen werden die </w:t>
      </w:r>
      <w:r>
        <w:rPr>
          <w:sz w:val="18"/>
          <w:szCs w:val="18"/>
        </w:rPr>
        <w:t>Entwicklungsstadien, die mit</w:t>
      </w:r>
      <w:r w:rsidR="00106F14">
        <w:rPr>
          <w:sz w:val="18"/>
          <w:szCs w:val="18"/>
        </w:rPr>
        <w:t xml:space="preserve"> </w:t>
      </w:r>
      <w:r w:rsidR="00106F14" w:rsidRPr="004D7D0A">
        <w:rPr>
          <w:strike/>
          <w:sz w:val="18"/>
          <w:szCs w:val="18"/>
          <w:highlight w:val="lightGray"/>
        </w:rPr>
        <w:t>Z</w:t>
      </w:r>
      <w:r w:rsidRPr="004D7D0A">
        <w:rPr>
          <w:strike/>
          <w:sz w:val="18"/>
          <w:szCs w:val="18"/>
          <w:highlight w:val="lightGray"/>
        </w:rPr>
        <w:t>ahlen</w:t>
      </w:r>
      <w:r w:rsidR="00106F14">
        <w:rPr>
          <w:sz w:val="18"/>
          <w:szCs w:val="18"/>
        </w:rPr>
        <w:t xml:space="preserve"> </w:t>
      </w:r>
      <w:r w:rsidR="000130E2" w:rsidRPr="000130E2">
        <w:rPr>
          <w:sz w:val="18"/>
          <w:szCs w:val="18"/>
          <w:highlight w:val="lightGray"/>
          <w:u w:val="single"/>
        </w:rPr>
        <w:t>Referenzen</w:t>
      </w:r>
      <w:r w:rsidR="000130E2" w:rsidRPr="000130E2">
        <w:rPr>
          <w:sz w:val="18"/>
          <w:szCs w:val="18"/>
          <w:u w:val="single"/>
        </w:rPr>
        <w:t xml:space="preserve"> </w:t>
      </w:r>
      <w:r>
        <w:rPr>
          <w:sz w:val="18"/>
          <w:szCs w:val="18"/>
        </w:rPr>
        <w:t>bezeichnet sind,</w:t>
      </w:r>
      <w:r w:rsidRPr="004D7D0A">
        <w:rPr>
          <w:sz w:val="18"/>
          <w:szCs w:val="18"/>
        </w:rPr>
        <w:t xml:space="preserve"> </w:t>
      </w:r>
      <w:r>
        <w:rPr>
          <w:sz w:val="18"/>
          <w:szCs w:val="18"/>
        </w:rPr>
        <w:t xml:space="preserve">gemäß ASW </w:t>
      </w:r>
      <w:r w:rsidR="00DA67E7">
        <w:rPr>
          <w:sz w:val="18"/>
          <w:szCs w:val="18"/>
        </w:rPr>
        <w:t>4.2</w:t>
      </w:r>
      <w:r>
        <w:rPr>
          <w:sz w:val="18"/>
          <w:szCs w:val="18"/>
        </w:rPr>
        <w:t xml:space="preserve"> </w:t>
      </w:r>
      <w:r w:rsidR="00106F14">
        <w:rPr>
          <w:sz w:val="18"/>
          <w:szCs w:val="18"/>
        </w:rPr>
        <w:t>in einem Abschn</w:t>
      </w:r>
      <w:r>
        <w:rPr>
          <w:sz w:val="18"/>
          <w:szCs w:val="18"/>
        </w:rPr>
        <w:t xml:space="preserve">itt in Kapitel 8 </w:t>
      </w:r>
      <w:r w:rsidR="00106F14">
        <w:rPr>
          <w:sz w:val="18"/>
          <w:szCs w:val="18"/>
        </w:rPr>
        <w:t>beschrieben.</w:t>
      </w:r>
    </w:p>
    <w:p w:rsidR="00106F14" w:rsidRDefault="00106F14" w:rsidP="00106F14">
      <w:pPr>
        <w:autoSpaceDE w:val="0"/>
        <w:autoSpaceDN w:val="0"/>
        <w:adjustRightInd w:val="0"/>
        <w:rPr>
          <w:rFonts w:cs="Arial"/>
          <w:highlight w:val="yellow"/>
        </w:rPr>
      </w:pPr>
    </w:p>
    <w:p w:rsidR="00106F14" w:rsidRDefault="00106F14" w:rsidP="00106F14">
      <w:r w:rsidRPr="00296954">
        <w:fldChar w:fldCharType="begin"/>
      </w:r>
      <w:r w:rsidRPr="00296954">
        <w:instrText xml:space="preserve"> AUTONUM  </w:instrText>
      </w:r>
      <w:r w:rsidRPr="00296954">
        <w:fldChar w:fldCharType="end"/>
      </w:r>
      <w:r>
        <w:tab/>
        <w:t>Die TWF war der Ansicht, daß es nicht erforderlich sei, die bestehende Anleitung in Dokument TGP/7 im Hinblick auf die Angabe des Entwicklungsstadiums, in dem die Merkmale zu erfassen sind, in den Prüfungsrichtlinien zu ändern. Die TWF vereinbarte, daß die bestehende Anleitung ausreichend Information erteile, und daß die Angabe der Entwicklungsstadien in Prüfungsrichtlinien auch weiterhin freige</w:t>
      </w:r>
      <w:r w:rsidR="00ED410A">
        <w:t>stellt sein und gegebenenfalls</w:t>
      </w:r>
      <w:r>
        <w:t xml:space="preserve"> verwendet werden sollte. </w:t>
      </w:r>
    </w:p>
    <w:p w:rsidR="00106F14" w:rsidRDefault="00106F14" w:rsidP="00106F14"/>
    <w:p w:rsidR="00106F14" w:rsidRDefault="00106F14" w:rsidP="00106F14">
      <w:pPr>
        <w:autoSpaceDE w:val="0"/>
        <w:autoSpaceDN w:val="0"/>
        <w:adjustRightInd w:val="0"/>
      </w:pPr>
      <w:r w:rsidRPr="00EA0510">
        <w:fldChar w:fldCharType="begin"/>
      </w:r>
      <w:r w:rsidRPr="00EA0510">
        <w:instrText xml:space="preserve"> AUTONUM  </w:instrText>
      </w:r>
      <w:r w:rsidRPr="00EA0510">
        <w:fldChar w:fldCharType="end"/>
      </w:r>
      <w:r>
        <w:tab/>
        <w:t>Die TWF merkte an, daß der Sachverständige aus Deutschland einen aktualisierten Link für „</w:t>
      </w:r>
      <w:r w:rsidR="00624F22" w:rsidRPr="00624F22">
        <w:t>Entwicklungsstadien mono- und dikotyler Pflanzen – BBCH Monografie</w:t>
      </w:r>
      <w:r w:rsidR="00A16A1E">
        <w:t>” in GN</w:t>
      </w:r>
      <w:r w:rsidR="00DA67E7">
        <w:t xml:space="preserve"> </w:t>
      </w:r>
      <w:r w:rsidR="00A16A1E">
        <w:t>9 liefern werde.</w:t>
      </w:r>
    </w:p>
    <w:p w:rsidR="00C24C0E" w:rsidRDefault="00C24C0E" w:rsidP="00106F14">
      <w:pPr>
        <w:autoSpaceDE w:val="0"/>
        <w:autoSpaceDN w:val="0"/>
        <w:adjustRightInd w:val="0"/>
      </w:pPr>
    </w:p>
    <w:p w:rsidR="00106F14" w:rsidRDefault="00DA67E7" w:rsidP="00106F14">
      <w:pPr>
        <w:autoSpaceDE w:val="0"/>
        <w:autoSpaceDN w:val="0"/>
        <w:adjustRightInd w:val="0"/>
        <w:rPr>
          <w:rFonts w:cs="Arial"/>
          <w:highlight w:val="yellow"/>
        </w:rPr>
      </w:pPr>
      <w:r>
        <w:rPr>
          <w:noProof/>
          <w:lang w:val="en-US" w:eastAsia="en-US" w:bidi="ar-SA"/>
        </w:rPr>
        <w:drawing>
          <wp:inline distT="0" distB="0" distL="0" distR="0" wp14:anchorId="4E7EB666" wp14:editId="6E283D4B">
            <wp:extent cx="5943601" cy="1950720"/>
            <wp:effectExtent l="19050" t="19050" r="1905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77354" cy="1961798"/>
                    </a:xfrm>
                    <a:prstGeom prst="rect">
                      <a:avLst/>
                    </a:prstGeom>
                    <a:ln>
                      <a:solidFill>
                        <a:schemeClr val="tx1"/>
                      </a:solidFill>
                    </a:ln>
                  </pic:spPr>
                </pic:pic>
              </a:graphicData>
            </a:graphic>
          </wp:inline>
        </w:drawing>
      </w:r>
    </w:p>
    <w:p w:rsidR="00C24C0E" w:rsidRPr="00663D7E" w:rsidRDefault="00C24C0E" w:rsidP="00106F14">
      <w:pPr>
        <w:autoSpaceDE w:val="0"/>
        <w:autoSpaceDN w:val="0"/>
        <w:adjustRightInd w:val="0"/>
        <w:rPr>
          <w:rFonts w:cs="Arial"/>
          <w:highlight w:val="yellow"/>
        </w:rPr>
      </w:pPr>
    </w:p>
    <w:p w:rsidR="00106F14" w:rsidRPr="00F00C80" w:rsidRDefault="00106F14" w:rsidP="00106F14">
      <w:pPr>
        <w:keepNext/>
        <w:rPr>
          <w:rFonts w:eastAsiaTheme="minorEastAsia"/>
        </w:rPr>
      </w:pPr>
      <w:r w:rsidRPr="00F00C80">
        <w:rPr>
          <w:rFonts w:eastAsiaTheme="minorEastAsia"/>
          <w:caps/>
        </w:rPr>
        <w:lastRenderedPageBreak/>
        <w:fldChar w:fldCharType="begin"/>
      </w:r>
      <w:r w:rsidRPr="00F00C80">
        <w:rPr>
          <w:rFonts w:eastAsiaTheme="minorEastAsia"/>
          <w:caps/>
        </w:rPr>
        <w:instrText xml:space="preserve"> AUTONUM  </w:instrText>
      </w:r>
      <w:r w:rsidRPr="00F00C80">
        <w:rPr>
          <w:rFonts w:eastAsiaTheme="minorEastAsia"/>
          <w:caps/>
        </w:rPr>
        <w:fldChar w:fldCharType="end"/>
      </w:r>
      <w:r>
        <w:tab/>
        <w:t>Die TWV war der Ansicht, daß es nicht erforderlich sei, die bestehende Anleitung in Dokument TGP/7 im Hinblick auf die Angabe des Entwicklungsstadiums, in dem die Merkmale zu erfassen sind, in den Prüfungsrichtlinien zu ändern. Die TWV vereinbarte, daß die bestehende Anleitung ausreichend Information erteile, und daß die Angabe der Entwicklungsstadien in Prüfungsrichtlinien auch weiterhin freige</w:t>
      </w:r>
      <w:r w:rsidR="00A16A1E">
        <w:t>stellt sein und gegebenenfalls</w:t>
      </w:r>
      <w:r>
        <w:t xml:space="preserve"> verwendet werden sollte. </w:t>
      </w:r>
    </w:p>
    <w:p w:rsidR="00106F14" w:rsidRPr="00F00C80" w:rsidRDefault="00106F14" w:rsidP="00106F14">
      <w:pPr>
        <w:rPr>
          <w:rFonts w:eastAsiaTheme="minorEastAsia"/>
        </w:rPr>
      </w:pPr>
    </w:p>
    <w:p w:rsidR="00106F14" w:rsidRPr="00F00C80" w:rsidRDefault="00106F14" w:rsidP="00106F14">
      <w:pPr>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tab/>
        <w:t>Die TWV stimmte mit der TWO darin überein, daß die Angabe von Entwicklungsstad</w:t>
      </w:r>
      <w:r w:rsidR="00ED410A">
        <w:t>ien in Prüfungsrichtlinien gegebenenfalls</w:t>
      </w:r>
      <w:r>
        <w:t xml:space="preserve"> verwendet werden sollte und sofern möglich eine harmonisierte einfache Nummerierung, wie etwa in den Prüfungsrichtlinien für Kartoffel (Dokument TG/23/6), wie unten dargestellt, verwendet werden sollte:</w:t>
      </w:r>
    </w:p>
    <w:p w:rsidR="00106F14" w:rsidRPr="00106F14" w:rsidRDefault="00106F14" w:rsidP="00106F14">
      <w:pPr>
        <w:rPr>
          <w:rFonts w:eastAsiaTheme="minorEastAsia"/>
          <w:sz w:val="10"/>
        </w:rPr>
      </w:pPr>
    </w:p>
    <w:p w:rsidR="00106F14" w:rsidRPr="00F00C80" w:rsidRDefault="00106F14" w:rsidP="00106F14">
      <w:pPr>
        <w:autoSpaceDE w:val="0"/>
        <w:autoSpaceDN w:val="0"/>
        <w:adjustRightInd w:val="0"/>
        <w:ind w:left="567" w:right="567"/>
        <w:jc w:val="left"/>
        <w:rPr>
          <w:rFonts w:eastAsiaTheme="minorEastAsia"/>
          <w:i/>
          <w:sz w:val="18"/>
          <w:szCs w:val="18"/>
        </w:rPr>
      </w:pPr>
      <w:r>
        <w:rPr>
          <w:rFonts w:eastAsiaTheme="minorEastAsia"/>
          <w:i/>
          <w:sz w:val="18"/>
          <w:szCs w:val="18"/>
        </w:rPr>
        <w:t>„8.3 Optimales Entwicklungsstadium für die Erfassung der Merkmale</w:t>
      </w:r>
    </w:p>
    <w:p w:rsidR="00106F14" w:rsidRPr="00F00C80" w:rsidRDefault="00106F14" w:rsidP="00106F14">
      <w:pPr>
        <w:autoSpaceDE w:val="0"/>
        <w:autoSpaceDN w:val="0"/>
        <w:adjustRightInd w:val="0"/>
        <w:ind w:left="567" w:right="567"/>
        <w:jc w:val="left"/>
        <w:rPr>
          <w:rFonts w:eastAsiaTheme="minorEastAsia"/>
          <w:sz w:val="18"/>
          <w:szCs w:val="18"/>
        </w:rPr>
      </w:pPr>
      <w:r>
        <w:rPr>
          <w:rFonts w:eastAsiaTheme="minorEastAsia"/>
          <w:sz w:val="18"/>
          <w:szCs w:val="18"/>
        </w:rPr>
        <w:t>1 = Knospenstadium</w:t>
      </w:r>
    </w:p>
    <w:p w:rsidR="00106F14" w:rsidRPr="00F00C80" w:rsidRDefault="00106F14" w:rsidP="00106F14">
      <w:pPr>
        <w:autoSpaceDE w:val="0"/>
        <w:autoSpaceDN w:val="0"/>
        <w:adjustRightInd w:val="0"/>
        <w:ind w:left="567" w:right="567"/>
        <w:jc w:val="left"/>
        <w:rPr>
          <w:rFonts w:eastAsiaTheme="minorEastAsia"/>
          <w:sz w:val="18"/>
          <w:szCs w:val="18"/>
        </w:rPr>
      </w:pPr>
      <w:r>
        <w:rPr>
          <w:rFonts w:eastAsiaTheme="minorEastAsia"/>
          <w:sz w:val="18"/>
          <w:szCs w:val="18"/>
        </w:rPr>
        <w:t>2 = Blühstadium</w:t>
      </w:r>
    </w:p>
    <w:p w:rsidR="00106F14" w:rsidRPr="00F00C80" w:rsidRDefault="00106F14" w:rsidP="00106F14">
      <w:pPr>
        <w:autoSpaceDE w:val="0"/>
        <w:autoSpaceDN w:val="0"/>
        <w:adjustRightInd w:val="0"/>
        <w:ind w:left="567" w:right="567"/>
        <w:jc w:val="left"/>
        <w:rPr>
          <w:rFonts w:eastAsiaTheme="minorEastAsia"/>
          <w:sz w:val="18"/>
          <w:szCs w:val="18"/>
        </w:rPr>
      </w:pPr>
      <w:r>
        <w:rPr>
          <w:rFonts w:eastAsiaTheme="minorEastAsia"/>
          <w:sz w:val="18"/>
          <w:szCs w:val="18"/>
        </w:rPr>
        <w:t>3 = Reifestadium der Knollen</w:t>
      </w:r>
    </w:p>
    <w:p w:rsidR="00106F14" w:rsidRPr="00F00C80" w:rsidRDefault="00106F14" w:rsidP="00106F14">
      <w:pPr>
        <w:ind w:left="567" w:right="567"/>
        <w:jc w:val="left"/>
        <w:rPr>
          <w:rFonts w:eastAsiaTheme="minorEastAsia"/>
          <w:sz w:val="18"/>
          <w:szCs w:val="18"/>
        </w:rPr>
      </w:pPr>
      <w:r>
        <w:rPr>
          <w:rFonts w:eastAsiaTheme="minorEastAsia"/>
          <w:sz w:val="18"/>
          <w:szCs w:val="18"/>
        </w:rPr>
        <w:t>4 = nach der Ernte”</w:t>
      </w:r>
    </w:p>
    <w:p w:rsidR="00106F14" w:rsidRPr="00F00C80" w:rsidRDefault="00106F14" w:rsidP="00106F14"/>
    <w:p w:rsidR="00106F14" w:rsidRDefault="00106F14" w:rsidP="00106F14">
      <w:r>
        <w:fldChar w:fldCharType="begin"/>
      </w:r>
      <w:r>
        <w:instrText xml:space="preserve"> AUTONUM  </w:instrText>
      </w:r>
      <w:r>
        <w:fldChar w:fldCharType="end"/>
      </w:r>
      <w:r>
        <w:tab/>
        <w:t>Die TWC war der Ansicht, daß es nicht erforderlich sei, die bestehende Anleitung in Dokument TGP/7 im Hinblick auf die Angabe des Entwicklungsstadiums, in dem die Merkmale zu erfassen sind, in den Prüfungsrichtlinien zu ändern.</w:t>
      </w:r>
    </w:p>
    <w:p w:rsidR="00106F14" w:rsidRDefault="00106F14" w:rsidP="00106F14"/>
    <w:p w:rsidR="00106F14" w:rsidRDefault="00106F14" w:rsidP="00106F14">
      <w:pPr>
        <w:pStyle w:val="Heading1"/>
      </w:pPr>
      <w:bookmarkStart w:id="25" w:name="_Toc378233485"/>
      <w:bookmarkStart w:id="26" w:name="_Toc378838828"/>
      <w:r>
        <w:t>VORSCHLAG</w:t>
      </w:r>
      <w:bookmarkEnd w:id="25"/>
      <w:bookmarkEnd w:id="26"/>
    </w:p>
    <w:p w:rsidR="00106F14" w:rsidRDefault="00106F14" w:rsidP="00106F14"/>
    <w:p w:rsidR="00106F14" w:rsidRDefault="00106F14" w:rsidP="00106F14">
      <w:r w:rsidRPr="00CF22FA">
        <w:fldChar w:fldCharType="begin"/>
      </w:r>
      <w:r w:rsidRPr="00CF22FA">
        <w:instrText xml:space="preserve"> AUTONUM  </w:instrText>
      </w:r>
      <w:r w:rsidRPr="00CF22FA">
        <w:fldChar w:fldCharType="end"/>
      </w:r>
      <w:r>
        <w:tab/>
        <w:t>In Einklang mit den Anmerkungen der TWP im Jahr 2013 wird vorgeschlagen, die Anleitung in Dokument TGP/7 im Hinblick auf die Angabe des Entwicklungsstadiums, in dem die Merkmale zu erfassen sind, in den Prüfungsrichtlinien wie folgt zu ändern.</w:t>
      </w:r>
    </w:p>
    <w:p w:rsidR="00106F14" w:rsidRDefault="00106F14" w:rsidP="00106F14">
      <w:pPr>
        <w:jc w:val="left"/>
      </w:pPr>
    </w:p>
    <w:p w:rsidR="00106F14" w:rsidRPr="000F0B65" w:rsidRDefault="00106F14" w:rsidP="00106F14">
      <w:pPr>
        <w:spacing w:after="240"/>
        <w:ind w:left="540"/>
        <w:rPr>
          <w:rFonts w:cs="Arial"/>
          <w:sz w:val="18"/>
          <w:szCs w:val="18"/>
          <w:u w:val="single"/>
        </w:rPr>
      </w:pPr>
      <w:r>
        <w:rPr>
          <w:sz w:val="18"/>
          <w:szCs w:val="18"/>
          <w:u w:val="single"/>
        </w:rPr>
        <w:t xml:space="preserve">ASW 4  (TG Mustervorlage: </w:t>
      </w:r>
      <w:r w:rsidRPr="00DA67E7">
        <w:rPr>
          <w:sz w:val="18"/>
          <w:szCs w:val="18"/>
          <w:u w:val="single"/>
        </w:rPr>
        <w:t>Kapitel 3.3</w:t>
      </w:r>
      <w:r w:rsidR="00D21C68">
        <w:rPr>
          <w:sz w:val="18"/>
          <w:szCs w:val="18"/>
          <w:u w:val="single"/>
        </w:rPr>
        <w:t>)</w:t>
      </w:r>
      <w:r w:rsidRPr="00DA67E7">
        <w:rPr>
          <w:u w:val="single"/>
        </w:rPr>
        <w:tab/>
      </w:r>
      <w:r w:rsidRPr="00DA67E7">
        <w:rPr>
          <w:sz w:val="18"/>
          <w:szCs w:val="18"/>
          <w:u w:val="single"/>
        </w:rPr>
        <w:t>Bedingungen</w:t>
      </w:r>
      <w:r>
        <w:rPr>
          <w:sz w:val="18"/>
          <w:szCs w:val="18"/>
          <w:u w:val="single"/>
        </w:rPr>
        <w:t xml:space="preserve">  für die Durchführung der Prüfung</w:t>
      </w:r>
    </w:p>
    <w:p w:rsidR="00106F14" w:rsidRDefault="00106F14" w:rsidP="00106F14">
      <w:pPr>
        <w:autoSpaceDE w:val="0"/>
        <w:autoSpaceDN w:val="0"/>
        <w:adjustRightInd w:val="0"/>
        <w:ind w:left="540"/>
        <w:jc w:val="left"/>
        <w:rPr>
          <w:rFonts w:cs="Arial"/>
          <w:i/>
          <w:iCs/>
          <w:sz w:val="18"/>
          <w:szCs w:val="18"/>
        </w:rPr>
      </w:pPr>
      <w:r>
        <w:rPr>
          <w:i/>
          <w:iCs/>
          <w:sz w:val="18"/>
          <w:szCs w:val="18"/>
        </w:rPr>
        <w:t>Information zur Durchführung der Prüfung einzelner Merkmale</w:t>
      </w:r>
    </w:p>
    <w:p w:rsidR="00106F14" w:rsidRPr="000F0B65" w:rsidRDefault="00106F14" w:rsidP="00106F14">
      <w:pPr>
        <w:autoSpaceDE w:val="0"/>
        <w:autoSpaceDN w:val="0"/>
        <w:adjustRightInd w:val="0"/>
        <w:ind w:left="540"/>
        <w:jc w:val="left"/>
        <w:rPr>
          <w:rFonts w:cs="Arial"/>
          <w:i/>
          <w:iCs/>
          <w:sz w:val="18"/>
          <w:szCs w:val="18"/>
        </w:rPr>
      </w:pPr>
    </w:p>
    <w:p w:rsidR="00106F14" w:rsidRPr="000F0B65" w:rsidRDefault="00106F14" w:rsidP="00106F14">
      <w:pPr>
        <w:ind w:left="540"/>
        <w:rPr>
          <w:rFonts w:cs="Arial"/>
          <w:sz w:val="18"/>
          <w:szCs w:val="18"/>
          <w:highlight w:val="yellow"/>
        </w:rPr>
      </w:pPr>
      <w:r>
        <w:rPr>
          <w:i/>
          <w:iCs/>
          <w:sz w:val="18"/>
          <w:szCs w:val="18"/>
        </w:rPr>
        <w:t>a) Entwicklungsstadium für die Prüfung</w:t>
      </w:r>
    </w:p>
    <w:p w:rsidR="00106F14" w:rsidRDefault="00106F14" w:rsidP="00106F14">
      <w:pPr>
        <w:keepNext/>
        <w:ind w:left="567" w:right="567"/>
        <w:rPr>
          <w:sz w:val="18"/>
          <w:szCs w:val="18"/>
        </w:rPr>
      </w:pPr>
      <w:r>
        <w:rPr>
          <w:sz w:val="18"/>
          <w:szCs w:val="18"/>
        </w:rPr>
        <w:t xml:space="preserve">„Das optimale Entwicklungsstadium für die Erfassung eines jeden Merkmals ist durch eine </w:t>
      </w:r>
      <w:r>
        <w:rPr>
          <w:strike/>
          <w:sz w:val="18"/>
          <w:szCs w:val="18"/>
          <w:highlight w:val="lightGray"/>
        </w:rPr>
        <w:t>Ziffer</w:t>
      </w:r>
      <w:r>
        <w:rPr>
          <w:sz w:val="18"/>
          <w:szCs w:val="18"/>
        </w:rPr>
        <w:t xml:space="preserve"> </w:t>
      </w:r>
      <w:r w:rsidR="000130E2" w:rsidRPr="000130E2">
        <w:rPr>
          <w:sz w:val="18"/>
          <w:szCs w:val="18"/>
          <w:highlight w:val="lightGray"/>
          <w:u w:val="single"/>
        </w:rPr>
        <w:t>Referenz</w:t>
      </w:r>
      <w:r>
        <w:rPr>
          <w:sz w:val="18"/>
          <w:szCs w:val="18"/>
        </w:rPr>
        <w:t xml:space="preserve"> in der zweiten Spalte der Merkmalstabelle  angegeben. Die durch die einzelnen </w:t>
      </w:r>
      <w:r>
        <w:rPr>
          <w:strike/>
          <w:sz w:val="18"/>
          <w:szCs w:val="18"/>
          <w:highlight w:val="lightGray"/>
        </w:rPr>
        <w:t>Ziffern</w:t>
      </w:r>
      <w:r>
        <w:rPr>
          <w:sz w:val="18"/>
          <w:szCs w:val="18"/>
        </w:rPr>
        <w:t xml:space="preserve"> </w:t>
      </w:r>
      <w:r w:rsidR="000130E2" w:rsidRPr="000130E2">
        <w:rPr>
          <w:sz w:val="18"/>
          <w:szCs w:val="18"/>
          <w:highlight w:val="lightGray"/>
          <w:u w:val="single"/>
        </w:rPr>
        <w:t>Referenzen</w:t>
      </w:r>
      <w:r>
        <w:rPr>
          <w:sz w:val="18"/>
          <w:szCs w:val="18"/>
        </w:rPr>
        <w:t xml:space="preserve"> angegebenen Entwicklungsstadien sind in Kapitel 8</w:t>
      </w:r>
      <w:r w:rsidR="00DA67E7">
        <w:rPr>
          <w:sz w:val="18"/>
          <w:szCs w:val="18"/>
        </w:rPr>
        <w:t xml:space="preserve"> […]</w:t>
      </w:r>
      <w:r>
        <w:rPr>
          <w:sz w:val="18"/>
          <w:szCs w:val="18"/>
        </w:rPr>
        <w:t xml:space="preserve"> beschrieben.”</w:t>
      </w:r>
    </w:p>
    <w:p w:rsidR="00106F14" w:rsidRDefault="00106F14" w:rsidP="00106F14">
      <w:pPr>
        <w:jc w:val="left"/>
        <w:rPr>
          <w:caps/>
        </w:rPr>
      </w:pPr>
    </w:p>
    <w:p w:rsidR="00106F14" w:rsidRPr="000F0B65" w:rsidRDefault="00106F14" w:rsidP="00106F14">
      <w:pPr>
        <w:autoSpaceDE w:val="0"/>
        <w:autoSpaceDN w:val="0"/>
        <w:adjustRightInd w:val="0"/>
        <w:spacing w:after="240"/>
        <w:ind w:left="540"/>
        <w:jc w:val="left"/>
        <w:rPr>
          <w:rFonts w:cs="Arial"/>
          <w:sz w:val="18"/>
          <w:szCs w:val="18"/>
          <w:u w:val="single"/>
        </w:rPr>
      </w:pPr>
      <w:r>
        <w:rPr>
          <w:sz w:val="18"/>
          <w:szCs w:val="18"/>
          <w:u w:val="single"/>
        </w:rPr>
        <w:t>GN 9  (TG Mustervorlage: Kapitel 3.3) - Schlüssel der Entwicklungsstadien</w:t>
      </w:r>
    </w:p>
    <w:p w:rsidR="00106F14" w:rsidRPr="000F0B65" w:rsidRDefault="00106F14" w:rsidP="00A16A1E">
      <w:pPr>
        <w:autoSpaceDE w:val="0"/>
        <w:autoSpaceDN w:val="0"/>
        <w:adjustRightInd w:val="0"/>
        <w:ind w:left="540"/>
        <w:jc w:val="left"/>
        <w:rPr>
          <w:rFonts w:cs="Arial"/>
          <w:sz w:val="18"/>
          <w:szCs w:val="18"/>
        </w:rPr>
      </w:pPr>
      <w:r>
        <w:rPr>
          <w:strike/>
          <w:sz w:val="18"/>
          <w:szCs w:val="18"/>
          <w:highlight w:val="lightGray"/>
        </w:rPr>
        <w:t>In Fällen</w:t>
      </w:r>
      <w:r>
        <w:rPr>
          <w:sz w:val="18"/>
          <w:szCs w:val="18"/>
        </w:rPr>
        <w:t xml:space="preserve"> </w:t>
      </w:r>
      <w:r>
        <w:rPr>
          <w:sz w:val="18"/>
          <w:szCs w:val="18"/>
          <w:highlight w:val="lightGray"/>
          <w:u w:val="single"/>
        </w:rPr>
        <w:t>In einigen Fällen</w:t>
      </w:r>
      <w:r>
        <w:rPr>
          <w:sz w:val="18"/>
          <w:szCs w:val="18"/>
        </w:rPr>
        <w:t>, in denen es zweckmäßig ist, einen Schlüssel des Entwicklungsstadiums für die Erfassung von</w:t>
      </w:r>
      <w:r w:rsidR="00A16A1E">
        <w:rPr>
          <w:rFonts w:cs="Arial"/>
          <w:sz w:val="18"/>
          <w:szCs w:val="18"/>
        </w:rPr>
        <w:t xml:space="preserve"> </w:t>
      </w:r>
      <w:r>
        <w:rPr>
          <w:sz w:val="18"/>
          <w:szCs w:val="18"/>
        </w:rPr>
        <w:t>Merkmalen zu liefern, erteilt folgendes nützl</w:t>
      </w:r>
      <w:r w:rsidR="00ED410A">
        <w:rPr>
          <w:sz w:val="18"/>
          <w:szCs w:val="18"/>
        </w:rPr>
        <w:t>iche</w:t>
      </w:r>
      <w:r>
        <w:rPr>
          <w:sz w:val="18"/>
          <w:szCs w:val="18"/>
        </w:rPr>
        <w:t xml:space="preserve"> Anleitung:</w:t>
      </w:r>
    </w:p>
    <w:p w:rsidR="00106F14" w:rsidRPr="000F0B65" w:rsidRDefault="00106F14" w:rsidP="00106F14">
      <w:pPr>
        <w:autoSpaceDE w:val="0"/>
        <w:autoSpaceDN w:val="0"/>
        <w:adjustRightInd w:val="0"/>
        <w:ind w:left="540"/>
        <w:jc w:val="left"/>
        <w:rPr>
          <w:rFonts w:cs="Arial"/>
          <w:sz w:val="18"/>
          <w:szCs w:val="18"/>
        </w:rPr>
      </w:pPr>
    </w:p>
    <w:p w:rsidR="00106F14" w:rsidRPr="00D21C68" w:rsidRDefault="00106F14" w:rsidP="00106F14">
      <w:pPr>
        <w:autoSpaceDE w:val="0"/>
        <w:autoSpaceDN w:val="0"/>
        <w:adjustRightInd w:val="0"/>
        <w:ind w:left="540"/>
        <w:jc w:val="left"/>
        <w:rPr>
          <w:rFonts w:cs="Arial"/>
          <w:sz w:val="18"/>
          <w:szCs w:val="18"/>
        </w:rPr>
      </w:pPr>
      <w:r w:rsidRPr="00D21C68">
        <w:rPr>
          <w:sz w:val="18"/>
          <w:szCs w:val="18"/>
        </w:rPr>
        <w:t>„</w:t>
      </w:r>
      <w:r w:rsidR="00D21C68" w:rsidRPr="00D21C68">
        <w:rPr>
          <w:sz w:val="18"/>
          <w:szCs w:val="18"/>
        </w:rPr>
        <w:t>Entwicklungsstadien mono- und dikotyler Pflanzen – BBCH Monografie</w:t>
      </w:r>
      <w:r w:rsidRPr="00D21C68">
        <w:rPr>
          <w:sz w:val="18"/>
          <w:szCs w:val="18"/>
        </w:rPr>
        <w:t>”</w:t>
      </w:r>
    </w:p>
    <w:p w:rsidR="00106F14" w:rsidRPr="000F0B65" w:rsidRDefault="00106F14" w:rsidP="00106F14">
      <w:pPr>
        <w:autoSpaceDE w:val="0"/>
        <w:autoSpaceDN w:val="0"/>
        <w:adjustRightInd w:val="0"/>
        <w:ind w:left="540"/>
        <w:jc w:val="left"/>
        <w:rPr>
          <w:rFonts w:cs="Arial"/>
          <w:sz w:val="18"/>
          <w:szCs w:val="18"/>
        </w:rPr>
      </w:pPr>
      <w:r>
        <w:rPr>
          <w:sz w:val="18"/>
          <w:szCs w:val="18"/>
        </w:rPr>
        <w:t>(Biologische Bundesanstalt für Land- und Forstwirtschaft (BBA))</w:t>
      </w:r>
    </w:p>
    <w:p w:rsidR="00106F14" w:rsidRPr="008171E2" w:rsidRDefault="00106F14" w:rsidP="00106F14">
      <w:pPr>
        <w:autoSpaceDE w:val="0"/>
        <w:autoSpaceDN w:val="0"/>
        <w:adjustRightInd w:val="0"/>
        <w:ind w:left="540"/>
        <w:jc w:val="left"/>
        <w:rPr>
          <w:rFonts w:cs="Arial"/>
          <w:sz w:val="18"/>
          <w:szCs w:val="18"/>
        </w:rPr>
      </w:pPr>
      <w:r>
        <w:rPr>
          <w:sz w:val="18"/>
          <w:szCs w:val="18"/>
        </w:rPr>
        <w:t>ISBN-Nummer: 3-8263-3152-4</w:t>
      </w:r>
    </w:p>
    <w:p w:rsidR="00106F14" w:rsidRPr="000F0B65" w:rsidRDefault="00123B68" w:rsidP="00106F14">
      <w:pPr>
        <w:ind w:left="720"/>
        <w:jc w:val="left"/>
        <w:rPr>
          <w:rFonts w:cs="Arial"/>
          <w:i/>
          <w:iCs/>
          <w:strike/>
          <w:color w:val="0000FF"/>
          <w:sz w:val="18"/>
          <w:szCs w:val="18"/>
        </w:rPr>
      </w:pPr>
      <w:hyperlink r:id="rId15">
        <w:r w:rsidR="003B4A78">
          <w:rPr>
            <w:rStyle w:val="Hyperlink"/>
            <w:i/>
            <w:iCs/>
            <w:strike/>
            <w:sz w:val="18"/>
            <w:szCs w:val="18"/>
            <w:highlight w:val="lightGray"/>
          </w:rPr>
          <w:t>http://www.bba.de/veroeff/bbch/bbcheng.pdf</w:t>
        </w:r>
      </w:hyperlink>
    </w:p>
    <w:p w:rsidR="00106F14" w:rsidRDefault="00106F14" w:rsidP="00106F14">
      <w:pPr>
        <w:tabs>
          <w:tab w:val="left" w:pos="720"/>
        </w:tabs>
        <w:rPr>
          <w:rStyle w:val="Hyperlink"/>
          <w:rFonts w:cs="Arial"/>
          <w:i/>
          <w:iCs/>
          <w:sz w:val="18"/>
          <w:szCs w:val="18"/>
          <w:highlight w:val="lightGray"/>
        </w:rPr>
      </w:pPr>
      <w:r>
        <w:tab/>
      </w:r>
      <w:hyperlink r:id="rId16" w:history="1">
        <w:r w:rsidR="001E6A87" w:rsidRPr="00637F20">
          <w:rPr>
            <w:rStyle w:val="Hyperlink"/>
            <w:i/>
            <w:iCs/>
            <w:sz w:val="18"/>
            <w:szCs w:val="18"/>
            <w:highlight w:val="lightGray"/>
          </w:rPr>
          <w:t>http://www.jki.bund.de/fileadmin/dam_uploads/_veroeff/bbch/BBCH-Skala_deutsch.pdf</w:t>
        </w:r>
      </w:hyperlink>
    </w:p>
    <w:p w:rsidR="00106F14" w:rsidRDefault="00106F14" w:rsidP="00106F14">
      <w:pPr>
        <w:ind w:left="567"/>
        <w:rPr>
          <w:rFonts w:cs="Arial"/>
          <w:sz w:val="18"/>
          <w:szCs w:val="18"/>
          <w:highlight w:val="lightGray"/>
          <w:u w:val="single"/>
        </w:rPr>
      </w:pPr>
    </w:p>
    <w:p w:rsidR="00106F14" w:rsidRPr="008171E2" w:rsidRDefault="00106F14" w:rsidP="00CE70E4">
      <w:pPr>
        <w:ind w:left="567" w:right="567"/>
        <w:rPr>
          <w:rFonts w:cs="Arial"/>
          <w:sz w:val="18"/>
          <w:szCs w:val="18"/>
          <w:highlight w:val="lightGray"/>
          <w:u w:val="single"/>
        </w:rPr>
      </w:pPr>
      <w:r>
        <w:rPr>
          <w:sz w:val="18"/>
          <w:szCs w:val="18"/>
          <w:highlight w:val="lightGray"/>
          <w:u w:val="single"/>
        </w:rPr>
        <w:t>In einigen anderen Fällen könnte ein vereinfachter Schlüssel der Entwicklungsstadien zweckmäßig sein, wie zum Beispiel in der Prüfungsrichtlinie</w:t>
      </w:r>
      <w:r w:rsidR="00CE70E4">
        <w:rPr>
          <w:sz w:val="18"/>
          <w:szCs w:val="18"/>
          <w:highlight w:val="lightGray"/>
          <w:u w:val="single"/>
        </w:rPr>
        <w:t>n</w:t>
      </w:r>
      <w:r>
        <w:rPr>
          <w:sz w:val="18"/>
          <w:szCs w:val="18"/>
          <w:highlight w:val="lightGray"/>
          <w:u w:val="single"/>
        </w:rPr>
        <w:t xml:space="preserve"> für Kartoffel (Dokument TG/23/6):</w:t>
      </w:r>
    </w:p>
    <w:p w:rsidR="00106F14" w:rsidRPr="008171E2" w:rsidRDefault="00106F14" w:rsidP="00106F14">
      <w:pPr>
        <w:rPr>
          <w:rFonts w:cs="Arial"/>
          <w:sz w:val="18"/>
          <w:szCs w:val="18"/>
          <w:highlight w:val="lightGray"/>
          <w:u w:val="single"/>
        </w:rPr>
      </w:pPr>
    </w:p>
    <w:p w:rsidR="00106F14" w:rsidRPr="008171E2" w:rsidRDefault="00106F14" w:rsidP="00106F14">
      <w:pPr>
        <w:autoSpaceDE w:val="0"/>
        <w:autoSpaceDN w:val="0"/>
        <w:adjustRightInd w:val="0"/>
        <w:ind w:left="709" w:right="567"/>
        <w:jc w:val="left"/>
        <w:rPr>
          <w:rFonts w:cs="Arial"/>
          <w:sz w:val="18"/>
          <w:szCs w:val="18"/>
          <w:highlight w:val="lightGray"/>
          <w:u w:val="single"/>
        </w:rPr>
      </w:pPr>
      <w:r>
        <w:rPr>
          <w:sz w:val="18"/>
          <w:szCs w:val="18"/>
          <w:highlight w:val="lightGray"/>
          <w:u w:val="single"/>
        </w:rPr>
        <w:t>„8.3 Optimales Entwicklungsstadium für die Erfassung der Merkmale</w:t>
      </w:r>
    </w:p>
    <w:p w:rsidR="00106F14" w:rsidRPr="00625E04" w:rsidRDefault="00106F14" w:rsidP="00106F14">
      <w:pPr>
        <w:autoSpaceDE w:val="0"/>
        <w:autoSpaceDN w:val="0"/>
        <w:adjustRightInd w:val="0"/>
        <w:ind w:left="709" w:right="567"/>
        <w:jc w:val="left"/>
        <w:rPr>
          <w:rFonts w:cs="Arial"/>
          <w:sz w:val="16"/>
          <w:szCs w:val="18"/>
          <w:highlight w:val="lightGray"/>
          <w:u w:val="single"/>
        </w:rPr>
      </w:pPr>
    </w:p>
    <w:p w:rsidR="00106F14" w:rsidRPr="008171E2" w:rsidRDefault="00106F14" w:rsidP="00106F14">
      <w:pPr>
        <w:autoSpaceDE w:val="0"/>
        <w:autoSpaceDN w:val="0"/>
        <w:adjustRightInd w:val="0"/>
        <w:ind w:left="709" w:right="567"/>
        <w:jc w:val="left"/>
        <w:rPr>
          <w:rFonts w:cs="Arial"/>
          <w:sz w:val="18"/>
          <w:szCs w:val="18"/>
          <w:highlight w:val="lightGray"/>
          <w:u w:val="single"/>
        </w:rPr>
      </w:pPr>
      <w:r>
        <w:rPr>
          <w:sz w:val="18"/>
          <w:szCs w:val="18"/>
          <w:highlight w:val="lightGray"/>
          <w:u w:val="single"/>
        </w:rPr>
        <w:t>1 = Knospenstadium</w:t>
      </w:r>
    </w:p>
    <w:p w:rsidR="00106F14" w:rsidRPr="008171E2" w:rsidRDefault="00106F14" w:rsidP="00106F14">
      <w:pPr>
        <w:autoSpaceDE w:val="0"/>
        <w:autoSpaceDN w:val="0"/>
        <w:adjustRightInd w:val="0"/>
        <w:ind w:left="709" w:right="567"/>
        <w:jc w:val="left"/>
        <w:rPr>
          <w:rFonts w:cs="Arial"/>
          <w:sz w:val="18"/>
          <w:szCs w:val="18"/>
          <w:highlight w:val="lightGray"/>
          <w:u w:val="single"/>
        </w:rPr>
      </w:pPr>
      <w:r>
        <w:rPr>
          <w:sz w:val="18"/>
          <w:szCs w:val="18"/>
          <w:highlight w:val="lightGray"/>
          <w:u w:val="single"/>
        </w:rPr>
        <w:t>2 = Blühstadium</w:t>
      </w:r>
    </w:p>
    <w:p w:rsidR="00106F14" w:rsidRPr="008171E2" w:rsidRDefault="00106F14" w:rsidP="00106F14">
      <w:pPr>
        <w:autoSpaceDE w:val="0"/>
        <w:autoSpaceDN w:val="0"/>
        <w:adjustRightInd w:val="0"/>
        <w:ind w:left="709" w:right="567"/>
        <w:jc w:val="left"/>
        <w:rPr>
          <w:rFonts w:cs="Arial"/>
          <w:sz w:val="18"/>
          <w:szCs w:val="18"/>
          <w:highlight w:val="lightGray"/>
          <w:u w:val="single"/>
        </w:rPr>
      </w:pPr>
      <w:r>
        <w:rPr>
          <w:sz w:val="18"/>
          <w:szCs w:val="18"/>
          <w:highlight w:val="lightGray"/>
          <w:u w:val="single"/>
        </w:rPr>
        <w:t>3 = Reifestadium der Knollen</w:t>
      </w:r>
    </w:p>
    <w:p w:rsidR="00106F14" w:rsidRPr="008171E2" w:rsidRDefault="00106F14" w:rsidP="00106F14">
      <w:pPr>
        <w:ind w:left="709" w:right="567"/>
        <w:jc w:val="left"/>
        <w:rPr>
          <w:rFonts w:cs="Arial"/>
          <w:sz w:val="18"/>
          <w:szCs w:val="18"/>
          <w:highlight w:val="lightGray"/>
          <w:u w:val="single"/>
        </w:rPr>
      </w:pPr>
      <w:r>
        <w:rPr>
          <w:sz w:val="18"/>
          <w:szCs w:val="18"/>
          <w:highlight w:val="lightGray"/>
          <w:u w:val="single"/>
        </w:rPr>
        <w:t>4 = nach der Ernte”</w:t>
      </w:r>
    </w:p>
    <w:p w:rsidR="00106F14" w:rsidRDefault="00106F14" w:rsidP="00106F14">
      <w:pPr>
        <w:jc w:val="left"/>
        <w:rPr>
          <w:caps/>
        </w:rPr>
      </w:pPr>
    </w:p>
    <w:p w:rsidR="00106F14" w:rsidRPr="000F0B65" w:rsidRDefault="00106F14" w:rsidP="00106F14">
      <w:pPr>
        <w:autoSpaceDE w:val="0"/>
        <w:autoSpaceDN w:val="0"/>
        <w:adjustRightInd w:val="0"/>
        <w:spacing w:after="240"/>
        <w:ind w:left="540"/>
        <w:jc w:val="left"/>
        <w:rPr>
          <w:rFonts w:cs="Arial"/>
          <w:sz w:val="18"/>
          <w:szCs w:val="18"/>
          <w:u w:val="single"/>
        </w:rPr>
      </w:pPr>
      <w:r>
        <w:rPr>
          <w:sz w:val="18"/>
          <w:szCs w:val="18"/>
          <w:u w:val="single"/>
        </w:rPr>
        <w:t xml:space="preserve">GN 24  (TG Mustervorlage: </w:t>
      </w:r>
      <w:r w:rsidR="00ED410A">
        <w:rPr>
          <w:sz w:val="18"/>
          <w:szCs w:val="18"/>
          <w:u w:val="single"/>
        </w:rPr>
        <w:t>Kapitel 7: Spalte 2, Kopfzeile</w:t>
      </w:r>
      <w:r>
        <w:rPr>
          <w:sz w:val="18"/>
          <w:szCs w:val="18"/>
          <w:u w:val="single"/>
        </w:rPr>
        <w:t xml:space="preserve"> Reihe 1) – Entwicklungsstadium</w:t>
      </w:r>
    </w:p>
    <w:p w:rsidR="00DA67E7" w:rsidRPr="00DA67E7" w:rsidRDefault="00DA67E7" w:rsidP="00DA67E7">
      <w:pPr>
        <w:ind w:left="567" w:right="567"/>
        <w:rPr>
          <w:sz w:val="18"/>
          <w:szCs w:val="18"/>
        </w:rPr>
      </w:pPr>
      <w:r w:rsidRPr="00DA67E7">
        <w:rPr>
          <w:sz w:val="18"/>
          <w:szCs w:val="18"/>
        </w:rPr>
        <w:t xml:space="preserve">In einigen Prüfungsrichtlinien wird hier das Entwicklungsstadium angegeben, zu dem die Erfassung des Merkmals erfolgen sollte. In diesen Fällen werden die Entwicklungsstadien, die mit </w:t>
      </w:r>
      <w:r w:rsidRPr="00DA67E7">
        <w:rPr>
          <w:strike/>
          <w:sz w:val="18"/>
          <w:szCs w:val="18"/>
          <w:highlight w:val="lightGray"/>
        </w:rPr>
        <w:t>Zahlen</w:t>
      </w:r>
      <w:r w:rsidRPr="00DA67E7">
        <w:rPr>
          <w:sz w:val="18"/>
          <w:szCs w:val="18"/>
        </w:rPr>
        <w:t xml:space="preserve"> </w:t>
      </w:r>
      <w:r w:rsidR="000130E2">
        <w:rPr>
          <w:sz w:val="18"/>
          <w:szCs w:val="18"/>
          <w:highlight w:val="lightGray"/>
          <w:u w:val="single"/>
        </w:rPr>
        <w:t>Referenz</w:t>
      </w:r>
      <w:r w:rsidRPr="00DA67E7">
        <w:rPr>
          <w:sz w:val="18"/>
          <w:szCs w:val="18"/>
          <w:highlight w:val="lightGray"/>
          <w:u w:val="single"/>
        </w:rPr>
        <w:t>en</w:t>
      </w:r>
      <w:r w:rsidRPr="00DA67E7">
        <w:rPr>
          <w:sz w:val="18"/>
          <w:szCs w:val="18"/>
          <w:highlight w:val="lightGray"/>
        </w:rPr>
        <w:t xml:space="preserve"> </w:t>
      </w:r>
      <w:r w:rsidRPr="00DA67E7">
        <w:rPr>
          <w:sz w:val="18"/>
          <w:szCs w:val="18"/>
        </w:rPr>
        <w:t>bezeichnet sind, gemäß ASW 4.2 in einem Abschnitt in Kapitel 8 beschrieben.</w:t>
      </w:r>
    </w:p>
    <w:p w:rsidR="00106F14" w:rsidRPr="00DA67E7" w:rsidRDefault="00106F14" w:rsidP="00DA67E7">
      <w:pPr>
        <w:autoSpaceDE w:val="0"/>
        <w:autoSpaceDN w:val="0"/>
        <w:adjustRightInd w:val="0"/>
        <w:ind w:left="540" w:right="567"/>
        <w:rPr>
          <w:rFonts w:cs="Arial"/>
          <w:sz w:val="18"/>
          <w:szCs w:val="18"/>
        </w:rPr>
      </w:pPr>
    </w:p>
    <w:p w:rsidR="00106F14" w:rsidRDefault="00106F14" w:rsidP="00106F14">
      <w:pPr>
        <w:keepNext/>
        <w:ind w:left="4820"/>
      </w:pPr>
      <w:r w:rsidRPr="00EF6F6F">
        <w:rPr>
          <w:i/>
        </w:rPr>
        <w:lastRenderedPageBreak/>
        <w:fldChar w:fldCharType="begin"/>
      </w:r>
      <w:r w:rsidRPr="00EF6F6F">
        <w:rPr>
          <w:i/>
        </w:rPr>
        <w:instrText xml:space="preserve"> AUTONUM  </w:instrText>
      </w:r>
      <w:r w:rsidRPr="00EF6F6F">
        <w:rPr>
          <w:i/>
        </w:rPr>
        <w:fldChar w:fldCharType="end"/>
      </w:r>
      <w:r>
        <w:tab/>
      </w:r>
      <w:r>
        <w:tab/>
      </w:r>
      <w:r>
        <w:rPr>
          <w:i/>
        </w:rPr>
        <w:t>Der TC wird ersucht, die vorgeschlagenen Änderungen an Dokument TGP/7, ASW 4, GN 24 und GN 9, wie in Absatz 17 dieses Dokuments dargelegt, zu prüfen.</w:t>
      </w:r>
    </w:p>
    <w:p w:rsidR="00106F14" w:rsidRPr="00106F14" w:rsidRDefault="00106F14" w:rsidP="00106F14">
      <w:pPr>
        <w:tabs>
          <w:tab w:val="left" w:pos="5387"/>
          <w:tab w:val="left" w:pos="5954"/>
        </w:tabs>
        <w:ind w:left="4820"/>
      </w:pPr>
    </w:p>
    <w:p w:rsidR="00050E16" w:rsidRPr="00C5280D" w:rsidRDefault="00106F14" w:rsidP="00106F14">
      <w:pPr>
        <w:pStyle w:val="endofdoc"/>
      </w:pPr>
      <w:r>
        <w:tab/>
        <w:t>[Ende des Dokuments]</w:t>
      </w:r>
    </w:p>
    <w:sectPr w:rsidR="00050E16" w:rsidRPr="00C5280D" w:rsidSect="00906DDC">
      <w:headerReference w:type="defaul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FF" w:rsidRDefault="00DA30FF" w:rsidP="006655D3">
      <w:r>
        <w:separator/>
      </w:r>
    </w:p>
    <w:p w:rsidR="00DA30FF" w:rsidRDefault="00DA30FF" w:rsidP="006655D3"/>
    <w:p w:rsidR="00DA30FF" w:rsidRDefault="00DA30FF" w:rsidP="006655D3"/>
  </w:endnote>
  <w:endnote w:type="continuationSeparator" w:id="0">
    <w:p w:rsidR="00DA30FF" w:rsidRDefault="00DA30FF" w:rsidP="006655D3">
      <w:r>
        <w:separator/>
      </w:r>
    </w:p>
    <w:p w:rsidR="00DA30FF" w:rsidRPr="00106F14" w:rsidRDefault="00DA30FF">
      <w:pPr>
        <w:pStyle w:val="Footer"/>
        <w:spacing w:after="60"/>
        <w:rPr>
          <w:sz w:val="18"/>
          <w:lang w:val="fr-FR"/>
        </w:rPr>
      </w:pPr>
      <w:r w:rsidRPr="00106F14">
        <w:rPr>
          <w:sz w:val="18"/>
          <w:lang w:val="fr-FR"/>
        </w:rPr>
        <w:t>[Suite de la note de la page précédente]</w:t>
      </w:r>
    </w:p>
    <w:p w:rsidR="00DA30FF" w:rsidRPr="00106F14" w:rsidRDefault="00DA30FF" w:rsidP="006655D3">
      <w:pPr>
        <w:rPr>
          <w:lang w:val="fr-FR"/>
        </w:rPr>
      </w:pPr>
    </w:p>
    <w:p w:rsidR="00DA30FF" w:rsidRPr="00106F14" w:rsidRDefault="00DA30FF" w:rsidP="006655D3">
      <w:pPr>
        <w:rPr>
          <w:lang w:val="fr-FR"/>
        </w:rPr>
      </w:pPr>
    </w:p>
  </w:endnote>
  <w:endnote w:type="continuationNotice" w:id="1">
    <w:p w:rsidR="00DA30FF" w:rsidRPr="00106F14" w:rsidRDefault="00DA30FF" w:rsidP="006655D3">
      <w:pPr>
        <w:rPr>
          <w:lang w:val="fr-FR"/>
        </w:rPr>
      </w:pPr>
      <w:r w:rsidRPr="00106F14">
        <w:rPr>
          <w:lang w:val="fr-FR"/>
        </w:rPr>
        <w:t>[Suite de la note page suivante]</w:t>
      </w:r>
    </w:p>
    <w:p w:rsidR="00DA30FF" w:rsidRPr="00106F14" w:rsidRDefault="00DA30FF" w:rsidP="006655D3">
      <w:pPr>
        <w:rPr>
          <w:lang w:val="fr-FR"/>
        </w:rPr>
      </w:pPr>
    </w:p>
    <w:p w:rsidR="00DA30FF" w:rsidRPr="00106F14" w:rsidRDefault="00DA30F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FF" w:rsidRDefault="00DA30FF" w:rsidP="006655D3">
      <w:r>
        <w:separator/>
      </w:r>
    </w:p>
  </w:footnote>
  <w:footnote w:type="continuationSeparator" w:id="0">
    <w:p w:rsidR="00DA30FF" w:rsidRDefault="00DA30FF" w:rsidP="006655D3">
      <w:r>
        <w:separator/>
      </w:r>
    </w:p>
  </w:footnote>
  <w:footnote w:type="continuationNotice" w:id="1">
    <w:p w:rsidR="00DA30FF" w:rsidRPr="00AB530F" w:rsidRDefault="00DA30F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TC/50/18</w:t>
    </w:r>
  </w:p>
  <w:p w:rsidR="00182B99" w:rsidRPr="00C5280D" w:rsidRDefault="00182B99"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23B68">
      <w:rPr>
        <w:rStyle w:val="PageNumber"/>
        <w:noProof/>
        <w:lang w:val="en-US"/>
      </w:rPr>
      <w:t>6</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BB"/>
    <w:rsid w:val="00010CF3"/>
    <w:rsid w:val="00011E27"/>
    <w:rsid w:val="000130E2"/>
    <w:rsid w:val="000148BC"/>
    <w:rsid w:val="00024AB8"/>
    <w:rsid w:val="00030854"/>
    <w:rsid w:val="00036028"/>
    <w:rsid w:val="00044642"/>
    <w:rsid w:val="000446B9"/>
    <w:rsid w:val="00047E21"/>
    <w:rsid w:val="00050E16"/>
    <w:rsid w:val="00085505"/>
    <w:rsid w:val="000C0680"/>
    <w:rsid w:val="000C7021"/>
    <w:rsid w:val="000D6BBC"/>
    <w:rsid w:val="000D7780"/>
    <w:rsid w:val="000F17DA"/>
    <w:rsid w:val="000F2F11"/>
    <w:rsid w:val="00105929"/>
    <w:rsid w:val="00106F14"/>
    <w:rsid w:val="001131D5"/>
    <w:rsid w:val="00123B68"/>
    <w:rsid w:val="00141DB8"/>
    <w:rsid w:val="0017474A"/>
    <w:rsid w:val="001758C6"/>
    <w:rsid w:val="00182B99"/>
    <w:rsid w:val="001D0F1D"/>
    <w:rsid w:val="001E6A87"/>
    <w:rsid w:val="0021332C"/>
    <w:rsid w:val="00213982"/>
    <w:rsid w:val="0024416D"/>
    <w:rsid w:val="00271911"/>
    <w:rsid w:val="002800A0"/>
    <w:rsid w:val="002801B3"/>
    <w:rsid w:val="00281060"/>
    <w:rsid w:val="002940E8"/>
    <w:rsid w:val="002A6E50"/>
    <w:rsid w:val="002C256A"/>
    <w:rsid w:val="00305A7F"/>
    <w:rsid w:val="003152FE"/>
    <w:rsid w:val="00327436"/>
    <w:rsid w:val="00344BD6"/>
    <w:rsid w:val="0035528D"/>
    <w:rsid w:val="00361821"/>
    <w:rsid w:val="003B4A78"/>
    <w:rsid w:val="003D227C"/>
    <w:rsid w:val="003D2B4D"/>
    <w:rsid w:val="00444A88"/>
    <w:rsid w:val="00474DA4"/>
    <w:rsid w:val="00476B4D"/>
    <w:rsid w:val="004805FA"/>
    <w:rsid w:val="004B22B3"/>
    <w:rsid w:val="004D047D"/>
    <w:rsid w:val="004D7D0A"/>
    <w:rsid w:val="004F305A"/>
    <w:rsid w:val="00512164"/>
    <w:rsid w:val="00520297"/>
    <w:rsid w:val="005338F9"/>
    <w:rsid w:val="0054281C"/>
    <w:rsid w:val="00546B6B"/>
    <w:rsid w:val="0055268D"/>
    <w:rsid w:val="00576BE4"/>
    <w:rsid w:val="0059505E"/>
    <w:rsid w:val="005A400A"/>
    <w:rsid w:val="00610CDC"/>
    <w:rsid w:val="00612379"/>
    <w:rsid w:val="0061555F"/>
    <w:rsid w:val="00624F22"/>
    <w:rsid w:val="00625E04"/>
    <w:rsid w:val="00641200"/>
    <w:rsid w:val="006655D3"/>
    <w:rsid w:val="00667404"/>
    <w:rsid w:val="00673971"/>
    <w:rsid w:val="00687EB4"/>
    <w:rsid w:val="006A6FBB"/>
    <w:rsid w:val="006B17D2"/>
    <w:rsid w:val="006C224E"/>
    <w:rsid w:val="006D04AB"/>
    <w:rsid w:val="006D780A"/>
    <w:rsid w:val="00723FB9"/>
    <w:rsid w:val="007269AB"/>
    <w:rsid w:val="00732DEC"/>
    <w:rsid w:val="00735BD5"/>
    <w:rsid w:val="007556F6"/>
    <w:rsid w:val="00760EEF"/>
    <w:rsid w:val="00777EE5"/>
    <w:rsid w:val="00784836"/>
    <w:rsid w:val="0079023E"/>
    <w:rsid w:val="007926BF"/>
    <w:rsid w:val="007A2854"/>
    <w:rsid w:val="007C1500"/>
    <w:rsid w:val="007D0B9D"/>
    <w:rsid w:val="007D19B0"/>
    <w:rsid w:val="007F498F"/>
    <w:rsid w:val="0080679D"/>
    <w:rsid w:val="008108B0"/>
    <w:rsid w:val="00811B20"/>
    <w:rsid w:val="0082296E"/>
    <w:rsid w:val="00824099"/>
    <w:rsid w:val="00867AC1"/>
    <w:rsid w:val="008A1745"/>
    <w:rsid w:val="008A743F"/>
    <w:rsid w:val="008C0970"/>
    <w:rsid w:val="008D2CF7"/>
    <w:rsid w:val="00900C26"/>
    <w:rsid w:val="0090197F"/>
    <w:rsid w:val="00906DDC"/>
    <w:rsid w:val="00934E09"/>
    <w:rsid w:val="00936253"/>
    <w:rsid w:val="00952DD4"/>
    <w:rsid w:val="00970FED"/>
    <w:rsid w:val="00992D82"/>
    <w:rsid w:val="00997029"/>
    <w:rsid w:val="009D690D"/>
    <w:rsid w:val="009E65B6"/>
    <w:rsid w:val="00A16A1E"/>
    <w:rsid w:val="00A21827"/>
    <w:rsid w:val="00A24C10"/>
    <w:rsid w:val="00A42AC3"/>
    <w:rsid w:val="00A430CF"/>
    <w:rsid w:val="00A54309"/>
    <w:rsid w:val="00A5739C"/>
    <w:rsid w:val="00AB2B93"/>
    <w:rsid w:val="00AB530F"/>
    <w:rsid w:val="00AB7E5B"/>
    <w:rsid w:val="00AE0EF1"/>
    <w:rsid w:val="00AE2937"/>
    <w:rsid w:val="00B07301"/>
    <w:rsid w:val="00B224DE"/>
    <w:rsid w:val="00B46575"/>
    <w:rsid w:val="00B84BBD"/>
    <w:rsid w:val="00BA43FB"/>
    <w:rsid w:val="00BC127D"/>
    <w:rsid w:val="00BC1FE6"/>
    <w:rsid w:val="00C061B6"/>
    <w:rsid w:val="00C2446C"/>
    <w:rsid w:val="00C24C0E"/>
    <w:rsid w:val="00C36AE5"/>
    <w:rsid w:val="00C41F17"/>
    <w:rsid w:val="00C5280D"/>
    <w:rsid w:val="00C5791C"/>
    <w:rsid w:val="00C66290"/>
    <w:rsid w:val="00C72B7A"/>
    <w:rsid w:val="00C973F2"/>
    <w:rsid w:val="00CA304C"/>
    <w:rsid w:val="00CA774A"/>
    <w:rsid w:val="00CC11B0"/>
    <w:rsid w:val="00CD171A"/>
    <w:rsid w:val="00CE70E4"/>
    <w:rsid w:val="00CF7E36"/>
    <w:rsid w:val="00D21C68"/>
    <w:rsid w:val="00D3708D"/>
    <w:rsid w:val="00D40426"/>
    <w:rsid w:val="00D57C96"/>
    <w:rsid w:val="00D91203"/>
    <w:rsid w:val="00D95174"/>
    <w:rsid w:val="00DA30FF"/>
    <w:rsid w:val="00DA67E7"/>
    <w:rsid w:val="00DA6F36"/>
    <w:rsid w:val="00DB596E"/>
    <w:rsid w:val="00DB7773"/>
    <w:rsid w:val="00DC00EA"/>
    <w:rsid w:val="00E32F7E"/>
    <w:rsid w:val="00E72D49"/>
    <w:rsid w:val="00E7593C"/>
    <w:rsid w:val="00E7678A"/>
    <w:rsid w:val="00E935F1"/>
    <w:rsid w:val="00E94A81"/>
    <w:rsid w:val="00EA1FFB"/>
    <w:rsid w:val="00EA5374"/>
    <w:rsid w:val="00EB048E"/>
    <w:rsid w:val="00ED410A"/>
    <w:rsid w:val="00EE1190"/>
    <w:rsid w:val="00EE34DF"/>
    <w:rsid w:val="00EF2F89"/>
    <w:rsid w:val="00EF59BF"/>
    <w:rsid w:val="00F1237A"/>
    <w:rsid w:val="00F22CBD"/>
    <w:rsid w:val="00F45372"/>
    <w:rsid w:val="00F46BB5"/>
    <w:rsid w:val="00F560F7"/>
    <w:rsid w:val="00F6334D"/>
    <w:rsid w:val="00FA49AB"/>
    <w:rsid w:val="00FD590A"/>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106F14"/>
    <w:pPr>
      <w:spacing w:before="24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723FB9"/>
    <w:pPr>
      <w:tabs>
        <w:tab w:val="right" w:leader="dot" w:pos="9639"/>
      </w:tabs>
      <w:spacing w:before="120"/>
      <w:ind w:left="1440" w:right="850" w:hanging="288"/>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DA67E7"/>
    <w:pPr>
      <w:tabs>
        <w:tab w:val="right" w:leader="dot" w:pos="9639"/>
      </w:tabs>
      <w:ind w:left="867" w:hanging="289"/>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styleId="FollowedHyperlink">
    <w:name w:val="FollowedHyperlink"/>
    <w:basedOn w:val="DefaultParagraphFont"/>
    <w:rsid w:val="004B22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106F14"/>
    <w:pPr>
      <w:spacing w:before="24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723FB9"/>
    <w:pPr>
      <w:tabs>
        <w:tab w:val="right" w:leader="dot" w:pos="9639"/>
      </w:tabs>
      <w:spacing w:before="120"/>
      <w:ind w:left="1440" w:right="850" w:hanging="288"/>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DA67E7"/>
    <w:pPr>
      <w:tabs>
        <w:tab w:val="right" w:leader="dot" w:pos="9639"/>
      </w:tabs>
      <w:ind w:left="867" w:hanging="289"/>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styleId="FollowedHyperlink">
    <w:name w:val="FollowedHyperlink"/>
    <w:basedOn w:val="DefaultParagraphFont"/>
    <w:rsid w:val="004B22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jki.bund.de/fileadmin/dam_uploads/_veroeff/bbch/BBCH-Skala_deutsc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ba.de/veroeff/bbch/bbcheng.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DA79B-D2E1-4627-92E2-78311CD4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54</TotalTime>
  <Pages>6</Pages>
  <Words>1113</Words>
  <Characters>8004</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tc_5_xx_xxx</vt:lpstr>
      <vt:lpstr>tc_5_xx_xxx</vt:lpstr>
    </vt:vector>
  </TitlesOfParts>
  <Company>UPOV</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27</cp:revision>
  <cp:lastPrinted>2014-01-30T15:16:00Z</cp:lastPrinted>
  <dcterms:created xsi:type="dcterms:W3CDTF">2014-01-30T07:05:00Z</dcterms:created>
  <dcterms:modified xsi:type="dcterms:W3CDTF">2014-02-14T13:50:00Z</dcterms:modified>
</cp:coreProperties>
</file>