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16</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1D3B71" w:rsidP="00D418D9">
            <w:pPr>
              <w:pStyle w:val="Docoriginal"/>
            </w:pPr>
            <w:r>
              <w:rPr>
                <w:spacing w:val="0"/>
              </w:rPr>
              <w:t>DATUM:</w:t>
            </w:r>
            <w:r w:rsidR="000D7780">
              <w:rPr>
                <w:rStyle w:val="StyleDocoriginalNotBold1"/>
                <w:spacing w:val="0"/>
              </w:rPr>
              <w:t xml:space="preserve"> </w:t>
            </w:r>
            <w:bookmarkStart w:id="2" w:name="Date"/>
            <w:bookmarkEnd w:id="2"/>
            <w:r w:rsidR="00D418D9" w:rsidRPr="00D418D9">
              <w:rPr>
                <w:b w:val="0"/>
                <w:spacing w:val="0"/>
              </w:rPr>
              <w:t>28</w:t>
            </w:r>
            <w:r w:rsidR="000D7780" w:rsidRPr="00D418D9">
              <w:rPr>
                <w:b w:val="0"/>
                <w:spacing w:val="0"/>
              </w:rPr>
              <w:t>. Januar 2014</w:t>
            </w:r>
            <w:bookmarkStart w:id="3" w:name="_GoBack"/>
            <w:bookmarkEnd w:id="3"/>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9E6CB5" w:rsidRDefault="009E6CB5" w:rsidP="006655D3">
      <w:pPr>
        <w:pStyle w:val="Titleofdoc0"/>
      </w:pPr>
      <w:bookmarkStart w:id="4" w:name="TitleOfDoc"/>
      <w:bookmarkEnd w:id="4"/>
      <w:r>
        <w:t xml:space="preserve">Überarbeitung von Dokument TGP/7: </w:t>
      </w:r>
      <w:r>
        <w:br/>
        <w:t>Zusätzlicher Standardwortlaut für Wachstumsperiode für tropische Arten</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4E0DDA" w:rsidRPr="004F1C91" w:rsidRDefault="004E0DDA" w:rsidP="004E0DDA">
      <w:pPr>
        <w:rPr>
          <w:rFonts w:cs="Arial"/>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tab/>
        <w:t>Zweck dieses Dokuments ist es, einen Vorschlag für Zusätzlichen Standardwortlaut (ASW) für Wachstumsperiode für tropische Arten zur Aufnahme in eine künftige Überarbeitung von Dokument TGP/7: „Erstellung von Prüfungsrichtlinien“ vorzulegen.</w:t>
      </w:r>
    </w:p>
    <w:p w:rsidR="004E0DDA" w:rsidRPr="004F1C91" w:rsidRDefault="004E0DDA" w:rsidP="004E0DDA">
      <w:pPr>
        <w:rPr>
          <w:rFonts w:cs="Arial"/>
          <w:lang w:eastAsia="ja-JP"/>
        </w:rPr>
      </w:pPr>
    </w:p>
    <w:p w:rsidR="004E0DDA" w:rsidRPr="004F1C91" w:rsidRDefault="004E0DDA" w:rsidP="004E0DDA">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In diesem Dokument werden folgende Abkürzungen verwendet:</w:t>
      </w:r>
    </w:p>
    <w:p w:rsidR="004E0DDA" w:rsidRPr="004F1C91" w:rsidRDefault="004E0DDA" w:rsidP="004E0DDA">
      <w:pPr>
        <w:rPr>
          <w:rFonts w:cs="Arial"/>
          <w:color w:val="000000"/>
        </w:rPr>
      </w:pPr>
    </w:p>
    <w:p w:rsidR="004E0DDA" w:rsidRPr="004F1C91" w:rsidRDefault="004E0DDA" w:rsidP="004E0DDA">
      <w:pPr>
        <w:rPr>
          <w:rFonts w:cs="Arial"/>
        </w:rPr>
      </w:pPr>
      <w:r>
        <w:tab/>
        <w:t>TC:</w:t>
      </w:r>
      <w:r>
        <w:tab/>
      </w:r>
      <w:r>
        <w:tab/>
        <w:t>Technischer Ausschuß</w:t>
      </w:r>
    </w:p>
    <w:p w:rsidR="004E0DDA" w:rsidRPr="004F1C91" w:rsidRDefault="004E0DDA" w:rsidP="004E0DDA">
      <w:pPr>
        <w:rPr>
          <w:rFonts w:eastAsia="PMingLiU" w:cs="Arial"/>
        </w:rPr>
      </w:pPr>
      <w:r>
        <w:tab/>
        <w:t>TC-EDC:</w:t>
      </w:r>
      <w:r>
        <w:tab/>
        <w:t>Erweiterter Redaktionsausschuß</w:t>
      </w:r>
    </w:p>
    <w:p w:rsidR="004E0DDA" w:rsidRPr="004F1C91" w:rsidRDefault="004E0DDA" w:rsidP="004E0DDA">
      <w:pPr>
        <w:rPr>
          <w:rFonts w:eastAsia="PMingLiU" w:cs="Arial"/>
        </w:rPr>
      </w:pPr>
      <w:r>
        <w:tab/>
        <w:t>TWA:</w:t>
      </w:r>
      <w:r>
        <w:tab/>
      </w:r>
      <w:r>
        <w:tab/>
        <w:t>Technische Arbeitsgruppe für landwirtschaftliche Arten</w:t>
      </w:r>
    </w:p>
    <w:p w:rsidR="004E0DDA" w:rsidRPr="004F1C91" w:rsidRDefault="004E0DDA" w:rsidP="004E0DDA">
      <w:pPr>
        <w:rPr>
          <w:rFonts w:eastAsia="PMingLiU" w:cs="Arial"/>
        </w:rPr>
      </w:pPr>
      <w:r>
        <w:tab/>
        <w:t>TWC:</w:t>
      </w:r>
      <w:r>
        <w:tab/>
      </w:r>
      <w:r>
        <w:tab/>
        <w:t>Technische Arbeitsgruppe für Automatisierung und Computerprogramme</w:t>
      </w:r>
    </w:p>
    <w:p w:rsidR="004E0DDA" w:rsidRPr="004F1C91" w:rsidRDefault="004E0DDA" w:rsidP="004E0DDA">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tab/>
        <w:t xml:space="preserve">TWF: </w:t>
      </w:r>
      <w:r>
        <w:tab/>
      </w:r>
      <w:r>
        <w:tab/>
        <w:t>Technische Arbeitsgruppe für Obstarten</w:t>
      </w:r>
      <w:r>
        <w:tab/>
      </w:r>
    </w:p>
    <w:p w:rsidR="004E0DDA" w:rsidRPr="004F1C91" w:rsidRDefault="004E0DDA" w:rsidP="004E0DDA">
      <w:pPr>
        <w:rPr>
          <w:rFonts w:eastAsia="PMingLiU" w:cs="Arial"/>
        </w:rPr>
      </w:pPr>
      <w:r>
        <w:tab/>
        <w:t>TWO:</w:t>
      </w:r>
      <w:r>
        <w:tab/>
      </w:r>
      <w:r>
        <w:tab/>
        <w:t>Technische Arbeitsgruppe für Zierpflanzen und forstliche Baumarten</w:t>
      </w:r>
    </w:p>
    <w:p w:rsidR="004E0DDA" w:rsidRPr="004F1C91" w:rsidRDefault="004E0DDA" w:rsidP="004E0DDA">
      <w:pPr>
        <w:rPr>
          <w:rFonts w:eastAsia="PMingLiU" w:cs="Arial"/>
        </w:rPr>
      </w:pPr>
      <w:r>
        <w:tab/>
        <w:t>TWP:</w:t>
      </w:r>
      <w:r>
        <w:tab/>
      </w:r>
      <w:r w:rsidR="009D6293">
        <w:tab/>
      </w:r>
      <w:r>
        <w:t>Technische Arbeitsgruppen</w:t>
      </w:r>
    </w:p>
    <w:p w:rsidR="004E0DDA" w:rsidRPr="004F1C91" w:rsidRDefault="004E0DDA" w:rsidP="004E0DDA">
      <w:pPr>
        <w:rPr>
          <w:rFonts w:eastAsia="PMingLiU" w:cs="Arial"/>
        </w:rPr>
      </w:pPr>
      <w:r>
        <w:tab/>
        <w:t>TWV:</w:t>
      </w:r>
      <w:r>
        <w:tab/>
      </w:r>
      <w:r>
        <w:tab/>
        <w:t>Technische Arbeitsgruppe für Gemüsearten</w:t>
      </w:r>
    </w:p>
    <w:p w:rsidR="004E0DDA" w:rsidRDefault="004E0DDA" w:rsidP="004E0DDA">
      <w:pPr>
        <w:rPr>
          <w:snapToGrid w:val="0"/>
        </w:rPr>
      </w:pPr>
    </w:p>
    <w:p w:rsidR="004E0DDA" w:rsidRDefault="004E0DDA" w:rsidP="004E0DDA">
      <w:r w:rsidRPr="00FF2AF5">
        <w:fldChar w:fldCharType="begin"/>
      </w:r>
      <w:r w:rsidRPr="00FF2AF5">
        <w:instrText xml:space="preserve"> AUTONUM  </w:instrText>
      </w:r>
      <w:r w:rsidRPr="00FF2AF5">
        <w:fldChar w:fldCharType="end"/>
      </w:r>
      <w:r>
        <w:tab/>
        <w:t>Der Aufbau dieses Dokuments ist wie folgt:</w:t>
      </w:r>
    </w:p>
    <w:p w:rsidR="004E0DDA" w:rsidRDefault="004E0DDA" w:rsidP="008367CD">
      <w:pPr>
        <w:pStyle w:val="TOC1"/>
        <w:rPr>
          <w:snapToGrid w:val="0"/>
        </w:rPr>
      </w:pPr>
    </w:p>
    <w:p w:rsidR="009D6293" w:rsidRDefault="008367CD">
      <w:pPr>
        <w:pStyle w:val="TOC1"/>
        <w:rPr>
          <w:rFonts w:asciiTheme="minorHAnsi" w:eastAsiaTheme="minorEastAsia" w:hAnsiTheme="minorHAnsi" w:cstheme="minorBidi"/>
          <w:caps w:val="0"/>
          <w:noProof/>
          <w:sz w:val="22"/>
          <w:szCs w:val="22"/>
          <w:lang w:bidi="ar-SA"/>
        </w:rPr>
      </w:pPr>
      <w:r>
        <w:rPr>
          <w:caps w:val="0"/>
          <w:snapToGrid w:val="0"/>
        </w:rPr>
        <w:fldChar w:fldCharType="begin"/>
      </w:r>
      <w:r>
        <w:rPr>
          <w:caps w:val="0"/>
          <w:snapToGrid w:val="0"/>
        </w:rPr>
        <w:instrText xml:space="preserve"> TOC \o "1-5" \u </w:instrText>
      </w:r>
      <w:r>
        <w:rPr>
          <w:caps w:val="0"/>
          <w:snapToGrid w:val="0"/>
        </w:rPr>
        <w:fldChar w:fldCharType="separate"/>
      </w:r>
      <w:r w:rsidR="009D6293">
        <w:rPr>
          <w:noProof/>
        </w:rPr>
        <w:t>HINTERGRUND</w:t>
      </w:r>
      <w:r w:rsidR="009D6293">
        <w:rPr>
          <w:noProof/>
        </w:rPr>
        <w:tab/>
      </w:r>
      <w:r w:rsidR="009D6293">
        <w:rPr>
          <w:noProof/>
        </w:rPr>
        <w:fldChar w:fldCharType="begin"/>
      </w:r>
      <w:r w:rsidR="009D6293">
        <w:rPr>
          <w:noProof/>
        </w:rPr>
        <w:instrText xml:space="preserve"> PAGEREF _Toc378850166 \h </w:instrText>
      </w:r>
      <w:r w:rsidR="009D6293">
        <w:rPr>
          <w:noProof/>
        </w:rPr>
      </w:r>
      <w:r w:rsidR="009D6293">
        <w:rPr>
          <w:noProof/>
        </w:rPr>
        <w:fldChar w:fldCharType="separate"/>
      </w:r>
      <w:r w:rsidR="009D6293">
        <w:rPr>
          <w:noProof/>
        </w:rPr>
        <w:t>1</w:t>
      </w:r>
      <w:r w:rsidR="009D6293">
        <w:rPr>
          <w:noProof/>
        </w:rPr>
        <w:fldChar w:fldCharType="end"/>
      </w:r>
    </w:p>
    <w:p w:rsidR="009D6293" w:rsidRDefault="009D6293">
      <w:pPr>
        <w:pStyle w:val="TOC1"/>
        <w:rPr>
          <w:rFonts w:asciiTheme="minorHAnsi" w:eastAsiaTheme="minorEastAsia" w:hAnsiTheme="minorHAnsi" w:cstheme="minorBidi"/>
          <w:caps w:val="0"/>
          <w:noProof/>
          <w:sz w:val="22"/>
          <w:szCs w:val="22"/>
          <w:lang w:bidi="ar-SA"/>
        </w:rPr>
      </w:pPr>
      <w:r>
        <w:rPr>
          <w:noProof/>
        </w:rPr>
        <w:t>DERZEITIGER WORTLAUT</w:t>
      </w:r>
      <w:r>
        <w:rPr>
          <w:noProof/>
        </w:rPr>
        <w:tab/>
      </w:r>
      <w:r>
        <w:rPr>
          <w:noProof/>
        </w:rPr>
        <w:fldChar w:fldCharType="begin"/>
      </w:r>
      <w:r>
        <w:rPr>
          <w:noProof/>
        </w:rPr>
        <w:instrText xml:space="preserve"> PAGEREF _Toc378850167 \h </w:instrText>
      </w:r>
      <w:r>
        <w:rPr>
          <w:noProof/>
        </w:rPr>
      </w:r>
      <w:r>
        <w:rPr>
          <w:noProof/>
        </w:rPr>
        <w:fldChar w:fldCharType="separate"/>
      </w:r>
      <w:r>
        <w:rPr>
          <w:noProof/>
        </w:rPr>
        <w:t>2</w:t>
      </w:r>
      <w:r>
        <w:rPr>
          <w:noProof/>
        </w:rPr>
        <w:fldChar w:fldCharType="end"/>
      </w:r>
    </w:p>
    <w:p w:rsidR="009D6293" w:rsidRDefault="009D6293">
      <w:pPr>
        <w:pStyle w:val="TOC1"/>
        <w:rPr>
          <w:rFonts w:asciiTheme="minorHAnsi" w:eastAsiaTheme="minorEastAsia" w:hAnsiTheme="minorHAnsi" w:cstheme="minorBidi"/>
          <w:caps w:val="0"/>
          <w:noProof/>
          <w:sz w:val="22"/>
          <w:szCs w:val="22"/>
          <w:lang w:bidi="ar-SA"/>
        </w:rPr>
      </w:pPr>
      <w:r>
        <w:rPr>
          <w:noProof/>
        </w:rPr>
        <w:t>Kommentare der Technischen Arbeitsgruppen im Jahr 2013</w:t>
      </w:r>
      <w:r>
        <w:rPr>
          <w:noProof/>
        </w:rPr>
        <w:tab/>
      </w:r>
      <w:r>
        <w:rPr>
          <w:noProof/>
        </w:rPr>
        <w:fldChar w:fldCharType="begin"/>
      </w:r>
      <w:r>
        <w:rPr>
          <w:noProof/>
        </w:rPr>
        <w:instrText xml:space="preserve"> PAGEREF _Toc378850168 \h </w:instrText>
      </w:r>
      <w:r>
        <w:rPr>
          <w:noProof/>
        </w:rPr>
      </w:r>
      <w:r>
        <w:rPr>
          <w:noProof/>
        </w:rPr>
        <w:fldChar w:fldCharType="separate"/>
      </w:r>
      <w:r>
        <w:rPr>
          <w:noProof/>
        </w:rPr>
        <w:t>2</w:t>
      </w:r>
      <w:r>
        <w:rPr>
          <w:noProof/>
        </w:rPr>
        <w:fldChar w:fldCharType="end"/>
      </w:r>
    </w:p>
    <w:p w:rsidR="009D6293" w:rsidRDefault="009D6293">
      <w:pPr>
        <w:pStyle w:val="TOC1"/>
        <w:rPr>
          <w:rFonts w:asciiTheme="minorHAnsi" w:eastAsiaTheme="minorEastAsia" w:hAnsiTheme="minorHAnsi" w:cstheme="minorBidi"/>
          <w:caps w:val="0"/>
          <w:noProof/>
          <w:sz w:val="22"/>
          <w:szCs w:val="22"/>
          <w:lang w:bidi="ar-SA"/>
        </w:rPr>
      </w:pPr>
      <w:r>
        <w:rPr>
          <w:noProof/>
        </w:rPr>
        <w:t>VORSCHLAG</w:t>
      </w:r>
      <w:r>
        <w:rPr>
          <w:noProof/>
        </w:rPr>
        <w:tab/>
      </w:r>
      <w:r>
        <w:rPr>
          <w:noProof/>
        </w:rPr>
        <w:fldChar w:fldCharType="begin"/>
      </w:r>
      <w:r>
        <w:rPr>
          <w:noProof/>
        </w:rPr>
        <w:instrText xml:space="preserve"> PAGEREF _Toc378850169 \h </w:instrText>
      </w:r>
      <w:r>
        <w:rPr>
          <w:noProof/>
        </w:rPr>
      </w:r>
      <w:r>
        <w:rPr>
          <w:noProof/>
        </w:rPr>
        <w:fldChar w:fldCharType="separate"/>
      </w:r>
      <w:r>
        <w:rPr>
          <w:noProof/>
        </w:rPr>
        <w:t>3</w:t>
      </w:r>
      <w:r>
        <w:rPr>
          <w:noProof/>
        </w:rPr>
        <w:fldChar w:fldCharType="end"/>
      </w:r>
    </w:p>
    <w:p w:rsidR="008367CD" w:rsidRDefault="008367CD">
      <w:pPr>
        <w:pStyle w:val="TOC1"/>
        <w:rPr>
          <w:rFonts w:asciiTheme="minorHAnsi" w:eastAsiaTheme="minorEastAsia" w:hAnsiTheme="minorHAnsi" w:cstheme="minorBidi"/>
          <w:caps w:val="0"/>
          <w:noProof/>
          <w:sz w:val="22"/>
          <w:szCs w:val="22"/>
        </w:rPr>
      </w:pPr>
      <w:r>
        <w:rPr>
          <w:snapToGrid w:val="0"/>
        </w:rPr>
        <w:fldChar w:fldCharType="end"/>
      </w:r>
    </w:p>
    <w:p w:rsidR="004E0DDA" w:rsidRPr="00CD4740" w:rsidRDefault="004E0DDA" w:rsidP="004E0DDA"/>
    <w:p w:rsidR="004E0DDA" w:rsidRDefault="004E0DDA" w:rsidP="004E0DDA">
      <w:pPr>
        <w:pStyle w:val="Heading1"/>
        <w:rPr>
          <w:snapToGrid w:val="0"/>
        </w:rPr>
      </w:pPr>
      <w:bookmarkStart w:id="6" w:name="_Toc378233341"/>
      <w:bookmarkStart w:id="7" w:name="_Toc378850166"/>
      <w:r>
        <w:t>HINTERGRUND</w:t>
      </w:r>
      <w:bookmarkEnd w:id="6"/>
      <w:bookmarkEnd w:id="7"/>
    </w:p>
    <w:p w:rsidR="004E0DDA" w:rsidRDefault="004E0DDA" w:rsidP="004E0DDA">
      <w:pPr>
        <w:keepNext/>
      </w:pPr>
    </w:p>
    <w:p w:rsidR="004E0DDA" w:rsidRDefault="004E0DDA" w:rsidP="004E0DDA">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 xml:space="preserve">Der </w:t>
      </w:r>
      <w:r>
        <w:t>Technische Ausschuß (TC) ersuchte die TWF auf seiner neunundvierzigsten Tagung vom 18. bis 20. März 2013 in Genf, zu prüfen, ob es notwendig sei, einen neuen ASW für eine Wachstumsperiode für tropische Arten zu entwickeln (vergleiche Dokument TC/49/41 „Bericht über die Entschließungen“, Absatz 80).</w:t>
      </w:r>
    </w:p>
    <w:p w:rsidR="004E0DDA" w:rsidRDefault="004E0DDA" w:rsidP="004E0DDA">
      <w:pPr>
        <w:rPr>
          <w:rFonts w:cs="Arial"/>
        </w:rPr>
      </w:pPr>
    </w:p>
    <w:p w:rsidR="004E0DDA" w:rsidRDefault="004E0DDA" w:rsidP="004E0DDA">
      <w:pPr>
        <w:jc w:val="left"/>
        <w:rPr>
          <w:caps/>
        </w:rPr>
      </w:pPr>
      <w:r>
        <w:br w:type="page"/>
      </w:r>
    </w:p>
    <w:p w:rsidR="004E0DDA" w:rsidRDefault="004E0DDA" w:rsidP="004E0DDA">
      <w:pPr>
        <w:pStyle w:val="Heading1"/>
      </w:pPr>
      <w:bookmarkStart w:id="8" w:name="_Toc378233342"/>
      <w:bookmarkStart w:id="9" w:name="_Toc378850167"/>
      <w:r>
        <w:lastRenderedPageBreak/>
        <w:t>DERZEITIGER WORTLAUT</w:t>
      </w:r>
      <w:bookmarkEnd w:id="8"/>
      <w:bookmarkEnd w:id="9"/>
    </w:p>
    <w:p w:rsidR="004E0DDA" w:rsidRPr="00D34A85" w:rsidRDefault="004E0DDA" w:rsidP="004E0DDA"/>
    <w:p w:rsidR="004E0DDA" w:rsidRDefault="004E0DDA" w:rsidP="004E0DDA">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Die bestehende Anleitung in Dokument TGP/7 zur Wachstumsperiode für tropische Arten lautet folgendermaßen:</w:t>
      </w:r>
    </w:p>
    <w:p w:rsidR="004E0DDA" w:rsidRDefault="004E0DDA" w:rsidP="004E0DDA">
      <w:pPr>
        <w:rPr>
          <w:rFonts w:cs="Arial"/>
          <w:color w:val="000000"/>
        </w:rPr>
      </w:pPr>
    </w:p>
    <w:p w:rsidR="004E0DDA" w:rsidRPr="003D5AEE" w:rsidRDefault="004E0DDA" w:rsidP="004E0DDA">
      <w:pPr>
        <w:pBdr>
          <w:top w:val="dotted" w:sz="4" w:space="1" w:color="auto"/>
          <w:left w:val="dotted" w:sz="4" w:space="4" w:color="auto"/>
          <w:bottom w:val="dotted" w:sz="4" w:space="1" w:color="auto"/>
          <w:right w:val="dotted" w:sz="4" w:space="4" w:color="auto"/>
        </w:pBdr>
        <w:spacing w:after="120"/>
        <w:ind w:left="992" w:right="1559"/>
      </w:pPr>
      <w:bookmarkStart w:id="10" w:name="_Toc309114901"/>
      <w:bookmarkStart w:id="11" w:name="_Toc309114847"/>
      <w:r w:rsidRPr="001D3B71">
        <w:rPr>
          <w:u w:val="single"/>
        </w:rPr>
        <w:t>GN 8</w:t>
      </w:r>
      <w:r w:rsidRPr="001D3B71">
        <w:rPr>
          <w:u w:val="single"/>
        </w:rPr>
        <w:tab/>
        <w:t>(</w:t>
      </w:r>
      <w:r>
        <w:rPr>
          <w:u w:val="single"/>
        </w:rPr>
        <w:t>TG-Mustervorlage: Kapitel 3.1.2) – Erläuterung der Wachstumsperiode</w:t>
      </w:r>
      <w:bookmarkEnd w:id="10"/>
    </w:p>
    <w:p w:rsidR="004E0DDA" w:rsidRPr="00DD4626" w:rsidRDefault="001D3B71" w:rsidP="004E0DDA">
      <w:pPr>
        <w:pBdr>
          <w:top w:val="dotted" w:sz="4" w:space="1" w:color="auto"/>
          <w:left w:val="dotted" w:sz="4" w:space="4" w:color="auto"/>
          <w:bottom w:val="dotted" w:sz="4" w:space="1" w:color="auto"/>
          <w:right w:val="dotted" w:sz="4" w:space="4" w:color="auto"/>
        </w:pBdr>
        <w:spacing w:after="120"/>
        <w:ind w:left="992" w:right="1559"/>
      </w:pPr>
      <w:r w:rsidRPr="00E7583C">
        <w:rPr>
          <w:lang w:val="de-CH"/>
        </w:rPr>
        <w:t>Kapitel 3.1 gibt die Anzahl Wachstumsperioden an. In einigen Fällen kann es notwendig sein zu klären, was unter einer „Wachstumsperiode“ zu verstehen ist. Für bestimmte Situationen wurde ein zusätzlicher Standardwortlaut entwickelt (vgl. ASW 3).</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u w:val="single"/>
        </w:rPr>
      </w:pPr>
      <w:r>
        <w:rPr>
          <w:u w:val="single"/>
        </w:rPr>
        <w:t>ASW 3  (TG-Mustervorlage: Kapitel 3.1.2) – Erläuterung der Wachstumsperiode</w:t>
      </w:r>
      <w:bookmarkEnd w:id="11"/>
      <w:r>
        <w:rPr>
          <w:u w:val="single"/>
        </w:rPr>
        <w:t xml:space="preserve"> </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
        </w:rPr>
      </w:pPr>
      <w:bookmarkStart w:id="12" w:name="_Toc309114848"/>
      <w:r>
        <w:rPr>
          <w:i/>
        </w:rPr>
        <w:t>a)</w:t>
      </w:r>
      <w:r>
        <w:tab/>
      </w:r>
      <w:r>
        <w:rPr>
          <w:i/>
        </w:rPr>
        <w:t>Obstarten, mit deutlich abgegrenzter Ruheperiode</w:t>
      </w:r>
      <w:bookmarkEnd w:id="12"/>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Pr>
          <w:iCs/>
        </w:rPr>
        <w:t>„3.1.2</w:t>
      </w:r>
      <w:r>
        <w:tab/>
      </w:r>
      <w:r>
        <w:rPr>
          <w:iCs/>
        </w:rPr>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
        </w:rPr>
      </w:pPr>
      <w:bookmarkStart w:id="13" w:name="_Toc309114849"/>
      <w:r>
        <w:rPr>
          <w:i/>
        </w:rPr>
        <w:t>b)</w:t>
      </w:r>
      <w:r>
        <w:tab/>
      </w:r>
      <w:r>
        <w:rPr>
          <w:i/>
        </w:rPr>
        <w:t>Obstart mit nicht deutlich abgegrenzter Ruheperiode</w:t>
      </w:r>
      <w:bookmarkEnd w:id="13"/>
      <w:r>
        <w:rPr>
          <w:i/>
        </w:rPr>
        <w:t xml:space="preserve"> </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Pr>
          <w:iCs/>
        </w:rPr>
        <w:t>„3.1.2</w:t>
      </w:r>
      <w:r>
        <w:tab/>
      </w:r>
      <w:r>
        <w:rPr>
          <w:iCs/>
        </w:rPr>
        <w:t>Als Wachstumsperiode wird die Periode angesehen, die zum Beginn des aktiven vegetativen Wachstums oder der Blüte anfängt, sich während des aktiven vegetativen Wachstums oder der Blüte und Fruchtentwicklung fortsetzt und mit der Ernte der Früchte endet.“</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
        </w:rPr>
      </w:pPr>
      <w:bookmarkStart w:id="14" w:name="_Toc309114850"/>
      <w:r>
        <w:rPr>
          <w:i/>
        </w:rPr>
        <w:t>c)</w:t>
      </w:r>
      <w:r w:rsidR="00D9242E">
        <w:rPr>
          <w:i/>
        </w:rPr>
        <w:tab/>
      </w:r>
      <w:r>
        <w:rPr>
          <w:i/>
        </w:rPr>
        <w:t>Obstarten</w:t>
      </w:r>
      <w:bookmarkEnd w:id="14"/>
    </w:p>
    <w:p w:rsidR="001D3B71" w:rsidRDefault="001D3B71" w:rsidP="004E0DDA">
      <w:pPr>
        <w:pBdr>
          <w:top w:val="dotted" w:sz="4" w:space="1" w:color="auto"/>
          <w:left w:val="dotted" w:sz="4" w:space="4" w:color="auto"/>
          <w:bottom w:val="dotted" w:sz="4" w:space="1" w:color="auto"/>
          <w:right w:val="dotted" w:sz="4" w:space="4" w:color="auto"/>
        </w:pBdr>
        <w:spacing w:after="120"/>
        <w:ind w:left="992" w:right="1559"/>
        <w:rPr>
          <w:lang w:val="de-CH"/>
        </w:rPr>
      </w:pPr>
      <w:r w:rsidRPr="00E7583C">
        <w:rPr>
          <w:lang w:val="de-CH"/>
        </w:rPr>
        <w:t>Bei Prüfungsrichtlinien, die Obstarten betreffen, kann in Kapitel 3.1 folgender Satz hinzugefügt werden:</w:t>
      </w:r>
    </w:p>
    <w:p w:rsidR="004E0DDA"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Pr>
          <w:iCs/>
        </w:rPr>
        <w:t>„Insbesondere ist es erforderlich, da</w:t>
      </w:r>
      <w:r w:rsidR="001D3B71">
        <w:rPr>
          <w:iCs/>
        </w:rPr>
        <w:t>ß</w:t>
      </w:r>
      <w:r>
        <w:rPr>
          <w:iCs/>
        </w:rPr>
        <w:t xml:space="preserve"> die [Bäume] / [Pflanzen] in jeder der beiden Wachstumsperioden genügend Früchte tragen.“</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p>
    <w:p w:rsidR="004E0DDA" w:rsidRDefault="004E0DDA" w:rsidP="004E0DDA">
      <w:pPr>
        <w:pStyle w:val="Heading1"/>
      </w:pPr>
    </w:p>
    <w:p w:rsidR="004E0DDA" w:rsidRDefault="004E0DDA" w:rsidP="004E0DDA">
      <w:pPr>
        <w:pStyle w:val="Heading1"/>
      </w:pPr>
      <w:bookmarkStart w:id="15" w:name="_Toc378233343"/>
      <w:bookmarkStart w:id="16" w:name="_Toc378850168"/>
      <w:r>
        <w:t>Kommentare der Technischen Arbeitsgruppen im Jahr 2013</w:t>
      </w:r>
      <w:bookmarkEnd w:id="15"/>
      <w:bookmarkEnd w:id="16"/>
    </w:p>
    <w:p w:rsidR="004E0DDA" w:rsidRDefault="004E0DDA" w:rsidP="004E0DDA">
      <w:pPr>
        <w:pStyle w:val="Titleofdoc0"/>
        <w:spacing w:before="0"/>
        <w:jc w:val="both"/>
      </w:pPr>
    </w:p>
    <w:p w:rsidR="004E0DDA" w:rsidRDefault="004E0DDA" w:rsidP="004E0DDA">
      <w:pPr>
        <w:pStyle w:val="Titleofdoc0"/>
        <w:spacing w:before="0"/>
        <w:jc w:val="both"/>
        <w:rPr>
          <w:caps w:val="0"/>
        </w:rPr>
      </w:pPr>
      <w:r w:rsidRPr="00B461C7">
        <w:fldChar w:fldCharType="begin"/>
      </w:r>
      <w:r w:rsidRPr="00B461C7">
        <w:instrText xml:space="preserve"> AUTONUM  </w:instrText>
      </w:r>
      <w:r w:rsidRPr="00B461C7">
        <w:fldChar w:fldCharType="end"/>
      </w:r>
      <w:r>
        <w:tab/>
      </w:r>
      <w:r>
        <w:rPr>
          <w:caps w:val="0"/>
        </w:rPr>
        <w:t xml:space="preserve">Die TWO, TWF, TWV, TWC und die TWA prüften jeweils die Dokumente </w:t>
      </w:r>
      <w:r>
        <w:t>TWO/46/9</w:t>
      </w:r>
      <w:r>
        <w:rPr>
          <w:caps w:val="0"/>
        </w:rPr>
        <w:t xml:space="preserve">, </w:t>
      </w:r>
      <w:r>
        <w:t xml:space="preserve">TWF/44/9, </w:t>
      </w:r>
      <w:r>
        <w:rPr>
          <w:caps w:val="0"/>
        </w:rPr>
        <w:t>TWV/47/9, TWC/31/9 und TWA/42/9, die vorgeschlage</w:t>
      </w:r>
      <w:r w:rsidR="00021FE5">
        <w:rPr>
          <w:caps w:val="0"/>
        </w:rPr>
        <w:t xml:space="preserve">nen </w:t>
      </w:r>
      <w:r w:rsidR="009C1515">
        <w:rPr>
          <w:caps w:val="0"/>
        </w:rPr>
        <w:t>ASW</w:t>
      </w:r>
      <w:r>
        <w:rPr>
          <w:caps w:val="0"/>
        </w:rPr>
        <w:t xml:space="preserve"> für Wachstumsperiode für tropische Arten enthalten (vergleiche Dokument TWO/46/29 „</w:t>
      </w:r>
      <w:r w:rsidRPr="00EC424D">
        <w:rPr>
          <w:i/>
          <w:caps w:val="0"/>
        </w:rPr>
        <w:t>Report</w:t>
      </w:r>
      <w:r>
        <w:rPr>
          <w:caps w:val="0"/>
        </w:rPr>
        <w:t>”, Absätze 19 bis 21, Dokument TWF/44/31 „</w:t>
      </w:r>
      <w:r w:rsidRPr="00EC424D">
        <w:rPr>
          <w:i/>
          <w:caps w:val="0"/>
        </w:rPr>
        <w:t>Report</w:t>
      </w:r>
      <w:r>
        <w:rPr>
          <w:caps w:val="0"/>
        </w:rPr>
        <w:t>”, Absätze 23 bis 24, Dokument TWV/47/34 „</w:t>
      </w:r>
      <w:r w:rsidRPr="00EC424D">
        <w:rPr>
          <w:i/>
          <w:caps w:val="0"/>
        </w:rPr>
        <w:t>Report</w:t>
      </w:r>
      <w:r>
        <w:rPr>
          <w:caps w:val="0"/>
        </w:rPr>
        <w:t>”, Absätze 23 und 24, Dokument TWC/31/32 „</w:t>
      </w:r>
      <w:r w:rsidRPr="00EC424D">
        <w:rPr>
          <w:i/>
          <w:caps w:val="0"/>
        </w:rPr>
        <w:t>Report</w:t>
      </w:r>
      <w:r>
        <w:rPr>
          <w:caps w:val="0"/>
        </w:rPr>
        <w:t>”, Absätze 21 und 22 und Dokument TWA/42/31 „</w:t>
      </w:r>
      <w:r w:rsidRPr="009C1515">
        <w:rPr>
          <w:i/>
          <w:caps w:val="0"/>
        </w:rPr>
        <w:t>Report</w:t>
      </w:r>
      <w:r>
        <w:rPr>
          <w:caps w:val="0"/>
        </w:rPr>
        <w:t>”, Absätze 21 bis 23).</w:t>
      </w:r>
    </w:p>
    <w:p w:rsidR="004E0DDA" w:rsidRDefault="004E0DDA" w:rsidP="004E0DDA">
      <w:pPr>
        <w:pStyle w:val="Titleofdoc0"/>
        <w:spacing w:before="0"/>
        <w:jc w:val="both"/>
        <w:rPr>
          <w:caps w:val="0"/>
        </w:rPr>
      </w:pPr>
    </w:p>
    <w:p w:rsidR="004E0DDA" w:rsidRPr="00BB178E" w:rsidRDefault="004E0DDA" w:rsidP="004E0DDA">
      <w:pPr>
        <w:keepNext/>
      </w:pPr>
      <w:r w:rsidRPr="00BB178E">
        <w:fldChar w:fldCharType="begin"/>
      </w:r>
      <w:r w:rsidRPr="00BB178E">
        <w:instrText xml:space="preserve"> AUTONUM  </w:instrText>
      </w:r>
      <w:r w:rsidRPr="00BB178E">
        <w:fldChar w:fldCharType="end"/>
      </w:r>
      <w:r>
        <w:tab/>
        <w:t>Die TWO prüfte folgenden vorgeschlagenen Zusätzlichen Standardwortlaut (ASW) für Wachstumsperiode für tropische Arten:</w:t>
      </w:r>
    </w:p>
    <w:p w:rsidR="004E0DDA" w:rsidRPr="00BB178E" w:rsidRDefault="004E0DDA" w:rsidP="004E0DDA">
      <w:pPr>
        <w:keepNext/>
      </w:pP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t xml:space="preserve">Neu (nach (b)): Tropische Obstarten </w:t>
      </w: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t>Als Wachstumsperiode wird die Periode betrachtet, die vom Beginn</w:t>
      </w:r>
      <w:r w:rsidR="00C11CD8">
        <w:t xml:space="preserve"> der Blüte</w:t>
      </w:r>
      <w:r>
        <w:t xml:space="preserve"> einer einzelnen Blüte oder eines einzelnen Blütenstandes über die aktive Blüte und Fruchtentwicklung reicht und mit der Ernte der Früchte endet.</w:t>
      </w:r>
    </w:p>
    <w:p w:rsidR="004E0DDA" w:rsidRPr="003B2298" w:rsidRDefault="004E0DDA" w:rsidP="004E0DDA">
      <w:pPr>
        <w:rPr>
          <w:i/>
        </w:rPr>
      </w:pPr>
    </w:p>
    <w:p w:rsidR="004E0DDA" w:rsidRDefault="004E0DDA" w:rsidP="004E0DDA">
      <w:r w:rsidRPr="00BB178E">
        <w:fldChar w:fldCharType="begin"/>
      </w:r>
      <w:r w:rsidRPr="00BB178E">
        <w:instrText xml:space="preserve"> AUTONUM  </w:instrText>
      </w:r>
      <w:r w:rsidRPr="00BB178E">
        <w:fldChar w:fldCharType="end"/>
      </w:r>
      <w:r>
        <w:tab/>
        <w:t>Die TWO merkte an, daß der vorgeschlagene ASW Anleitung für Obstarten liefere und vereinbarte, daß es sich um eine von der TWF zu prüfende Angelegenheit handele</w:t>
      </w:r>
      <w:r w:rsidR="009D6293">
        <w:t xml:space="preserve">. </w:t>
      </w:r>
      <w:r>
        <w:t xml:space="preserve">Sie nahm zur Kenntnis, daß der Verfasser aus Neuseeland der TWF vorschlagen werde, daß der Titel des ASW lauten sollte „Obstarten mit unbestimmtem Wachstum“. </w:t>
      </w:r>
    </w:p>
    <w:p w:rsidR="004E0DDA" w:rsidRDefault="004E0DDA" w:rsidP="004E0DDA"/>
    <w:p w:rsidR="004E0DDA" w:rsidRPr="00D14F90" w:rsidRDefault="004E0DDA" w:rsidP="009C1515">
      <w:pPr>
        <w:keepNext/>
        <w:autoSpaceDE w:val="0"/>
        <w:autoSpaceDN w:val="0"/>
        <w:adjustRightInd w:val="0"/>
        <w:jc w:val="left"/>
      </w:pPr>
      <w:r w:rsidRPr="00BB178E">
        <w:lastRenderedPageBreak/>
        <w:fldChar w:fldCharType="begin"/>
      </w:r>
      <w:r w:rsidRPr="00BB178E">
        <w:instrText xml:space="preserve"> AUTONUM  </w:instrText>
      </w:r>
      <w:r w:rsidRPr="00BB178E">
        <w:fldChar w:fldCharType="end"/>
      </w:r>
      <w:r>
        <w:tab/>
        <w:t xml:space="preserve">Die TWF prüfte folgenden vorgeschlagenen </w:t>
      </w:r>
      <w:r w:rsidR="009C1515">
        <w:t>ASW</w:t>
      </w:r>
      <w:r>
        <w:t xml:space="preserve"> für eine Wachstumsperiode für tropische Arten:</w:t>
      </w:r>
    </w:p>
    <w:p w:rsidR="004E0DDA" w:rsidRDefault="004E0DDA" w:rsidP="009C1515">
      <w:pPr>
        <w:keepNext/>
        <w:rPr>
          <w:rFonts w:cs="Arial"/>
          <w:sz w:val="19"/>
          <w:szCs w:val="19"/>
        </w:rPr>
      </w:pPr>
    </w:p>
    <w:p w:rsidR="004E0DDA" w:rsidRPr="003B2298" w:rsidRDefault="004E0DDA" w:rsidP="009C1515">
      <w:pPr>
        <w:keepNext/>
        <w:pBdr>
          <w:top w:val="dotted" w:sz="4" w:space="1" w:color="auto"/>
          <w:left w:val="dotted" w:sz="4" w:space="4" w:color="auto"/>
          <w:bottom w:val="dotted" w:sz="4" w:space="1" w:color="auto"/>
          <w:right w:val="dotted" w:sz="4" w:space="4" w:color="auto"/>
        </w:pBdr>
        <w:ind w:left="992" w:right="1559"/>
        <w:rPr>
          <w:rFonts w:cs="Arial"/>
          <w:u w:val="single"/>
        </w:rPr>
      </w:pPr>
      <w:r>
        <w:t xml:space="preserve">Neu (nach (b)): </w:t>
      </w:r>
      <w:r>
        <w:rPr>
          <w:strike/>
        </w:rPr>
        <w:t>Tropische Obstarten</w:t>
      </w:r>
      <w:r>
        <w:t xml:space="preserve"> </w:t>
      </w:r>
      <w:r w:rsidR="00021FE5" w:rsidRPr="00021FE5">
        <w:rPr>
          <w:highlight w:val="lightGray"/>
          <w:u w:val="single"/>
        </w:rPr>
        <w:t>Immergrüne</w:t>
      </w:r>
      <w:r>
        <w:rPr>
          <w:u w:val="single"/>
        </w:rPr>
        <w:t xml:space="preserve"> Arten mit unbestimmtem</w:t>
      </w:r>
    </w:p>
    <w:p w:rsidR="004E0DDA" w:rsidRPr="003B2298" w:rsidRDefault="004E0DDA" w:rsidP="009C1515">
      <w:pPr>
        <w:keepNext/>
        <w:pBdr>
          <w:top w:val="dotted" w:sz="4" w:space="1" w:color="auto"/>
          <w:left w:val="dotted" w:sz="4" w:space="4" w:color="auto"/>
          <w:bottom w:val="dotted" w:sz="4" w:space="1" w:color="auto"/>
          <w:right w:val="dotted" w:sz="4" w:space="4" w:color="auto"/>
        </w:pBdr>
        <w:ind w:left="992" w:right="1559"/>
        <w:rPr>
          <w:rFonts w:cs="Arial"/>
          <w:u w:val="single"/>
        </w:rPr>
      </w:pPr>
      <w:r>
        <w:rPr>
          <w:u w:val="single"/>
        </w:rPr>
        <w:t>Wachstum</w:t>
      </w:r>
    </w:p>
    <w:p w:rsidR="004E0DDA" w:rsidRPr="003B2298" w:rsidRDefault="004E0DDA" w:rsidP="009C1515">
      <w:pPr>
        <w:keepNext/>
        <w:pBdr>
          <w:top w:val="dotted" w:sz="4" w:space="1" w:color="auto"/>
          <w:left w:val="dotted" w:sz="4" w:space="4" w:color="auto"/>
          <w:bottom w:val="dotted" w:sz="4" w:space="1" w:color="auto"/>
          <w:right w:val="dotted" w:sz="4" w:space="4" w:color="auto"/>
        </w:pBdr>
        <w:ind w:left="992" w:right="1559"/>
        <w:rPr>
          <w:rFonts w:cs="Arial"/>
        </w:rPr>
      </w:pPr>
      <w:r>
        <w:rPr>
          <w:highlight w:val="lightGray"/>
          <w:u w:val="single"/>
        </w:rPr>
        <w:t>Die Wachstumsperiode wird betrachtet als</w:t>
      </w:r>
      <w:r>
        <w:t xml:space="preserve"> die Periode, die vom Beginn der</w:t>
      </w:r>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rPr>
      </w:pPr>
      <w:r>
        <w:t>Blüte einer einzelnen Blüte oder eines einzelnen Blütenstandes über die aktive Blüte und</w:t>
      </w:r>
      <w:r w:rsidR="00021FE5">
        <w:t xml:space="preserve"> </w:t>
      </w:r>
      <w:r>
        <w:t xml:space="preserve">Fruchtentwicklung reicht und mit </w:t>
      </w:r>
      <w:r>
        <w:rPr>
          <w:highlight w:val="lightGray"/>
          <w:u w:val="single"/>
        </w:rPr>
        <w:t>der</w:t>
      </w:r>
      <w:r>
        <w:t xml:space="preserve"> Ernte </w:t>
      </w:r>
      <w:r>
        <w:rPr>
          <w:highlight w:val="lightGray"/>
          <w:u w:val="single"/>
        </w:rPr>
        <w:t>der Früchte endet.</w:t>
      </w:r>
    </w:p>
    <w:p w:rsidR="004E0DDA" w:rsidRDefault="004E0DDA" w:rsidP="004E0DDA"/>
    <w:p w:rsidR="004E0DDA" w:rsidRDefault="004E0DDA" w:rsidP="004E0DDA">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tab/>
        <w:t>Die TWV und die TWC stimmten dem von der TWF vorgeschlagenen</w:t>
      </w:r>
      <w:r w:rsidR="009C1515">
        <w:t xml:space="preserve"> </w:t>
      </w:r>
      <w:r>
        <w:t>ASW (siehe oben) zu.</w:t>
      </w:r>
    </w:p>
    <w:p w:rsidR="004E0DDA" w:rsidRDefault="004E0DDA" w:rsidP="004E0DDA">
      <w:pPr>
        <w:rPr>
          <w:rFonts w:eastAsiaTheme="minorEastAsia"/>
        </w:rPr>
      </w:pPr>
    </w:p>
    <w:p w:rsidR="004E0DDA" w:rsidRPr="00530DCF" w:rsidRDefault="004E0DDA" w:rsidP="004E0DDA">
      <w:r>
        <w:rPr>
          <w:rFonts w:eastAsiaTheme="minorEastAsia"/>
        </w:rPr>
        <w:fldChar w:fldCharType="begin"/>
      </w:r>
      <w:r>
        <w:rPr>
          <w:rFonts w:eastAsiaTheme="minorEastAsia"/>
        </w:rPr>
        <w:instrText xml:space="preserve"> AUTONUM  </w:instrText>
      </w:r>
      <w:r>
        <w:rPr>
          <w:rFonts w:eastAsiaTheme="minorEastAsia"/>
        </w:rPr>
        <w:fldChar w:fldCharType="end"/>
      </w:r>
      <w:r>
        <w:tab/>
        <w:t>Die TWA schlug vor, die Worte „aktive Blüte und“ aus dem von der TWF vorgeschlagenen Text zu streichen:</w:t>
      </w:r>
    </w:p>
    <w:p w:rsidR="004E0DDA" w:rsidRDefault="004E0DDA" w:rsidP="004E0DDA">
      <w:pPr>
        <w:pStyle w:val="Titleofdoc0"/>
        <w:spacing w:before="0"/>
        <w:jc w:val="both"/>
        <w:rPr>
          <w:caps w:val="0"/>
        </w:rPr>
      </w:pPr>
    </w:p>
    <w:p w:rsidR="004E0DDA" w:rsidRPr="00530DCF" w:rsidRDefault="004E0DDA" w:rsidP="004E0DDA">
      <w:pPr>
        <w:pBdr>
          <w:top w:val="dotted" w:sz="4" w:space="1" w:color="auto"/>
          <w:left w:val="dotted" w:sz="4" w:space="4" w:color="auto"/>
          <w:bottom w:val="dotted" w:sz="4" w:space="1" w:color="auto"/>
          <w:right w:val="dotted" w:sz="4" w:space="4" w:color="auto"/>
        </w:pBdr>
        <w:spacing w:before="120"/>
        <w:ind w:left="993" w:right="1559"/>
        <w:rPr>
          <w:i/>
          <w:iCs/>
        </w:rPr>
      </w:pPr>
      <w:r>
        <w:rPr>
          <w:caps/>
        </w:rPr>
        <w:t xml:space="preserve">  </w:t>
      </w:r>
      <w:r>
        <w:rPr>
          <w:i/>
          <w:iCs/>
        </w:rPr>
        <w:t xml:space="preserve">Neu (nach (b)): </w:t>
      </w:r>
      <w:r>
        <w:rPr>
          <w:i/>
          <w:iCs/>
          <w:strike/>
        </w:rPr>
        <w:t>Tropische Obstarten</w:t>
      </w:r>
      <w:r>
        <w:rPr>
          <w:i/>
          <w:iCs/>
        </w:rPr>
        <w:t xml:space="preserve"> </w:t>
      </w:r>
      <w:r>
        <w:rPr>
          <w:i/>
          <w:iCs/>
          <w:highlight w:val="lightGray"/>
          <w:u w:val="single"/>
        </w:rPr>
        <w:t>Immergrüne</w:t>
      </w:r>
      <w:r>
        <w:rPr>
          <w:i/>
          <w:iCs/>
          <w:u w:val="single"/>
        </w:rPr>
        <w:t xml:space="preserve"> Arten mit unbestimmtem Wachstum</w:t>
      </w:r>
    </w:p>
    <w:p w:rsidR="004E0DDA" w:rsidRPr="000B2ED0" w:rsidRDefault="004E0DDA" w:rsidP="004E0DDA">
      <w:pPr>
        <w:pBdr>
          <w:top w:val="dotted" w:sz="4" w:space="1" w:color="auto"/>
          <w:left w:val="dotted" w:sz="4" w:space="4" w:color="auto"/>
          <w:bottom w:val="dotted" w:sz="4" w:space="1" w:color="auto"/>
          <w:right w:val="dotted" w:sz="4" w:space="4" w:color="auto"/>
        </w:pBdr>
        <w:spacing w:before="120"/>
        <w:ind w:left="993" w:right="1559"/>
      </w:pPr>
      <w:r>
        <w:rPr>
          <w:highlight w:val="lightGray"/>
          <w:u w:val="single"/>
        </w:rPr>
        <w:t xml:space="preserve">Als Wachstumsperiode wird </w:t>
      </w:r>
      <w:r>
        <w:t xml:space="preserve"> die Periode betrachtet, die vom Beginn</w:t>
      </w:r>
      <w:r w:rsidR="00C11CD8">
        <w:t xml:space="preserve"> der Blüte</w:t>
      </w:r>
      <w:r>
        <w:t xml:space="preserve"> einer einzelnen Blüte oder eines einzelnen Blütenstandes über die  </w:t>
      </w:r>
      <w:r>
        <w:rPr>
          <w:strike/>
          <w:highlight w:val="lightGray"/>
        </w:rPr>
        <w:t xml:space="preserve">aktive Blüte und </w:t>
      </w:r>
      <w:r>
        <w:t xml:space="preserve"> Fruchtentwicklung reicht und mit </w:t>
      </w:r>
      <w:r>
        <w:rPr>
          <w:highlight w:val="lightGray"/>
          <w:u w:val="single"/>
        </w:rPr>
        <w:t>der</w:t>
      </w:r>
      <w:r>
        <w:t xml:space="preserve"> Ernte</w:t>
      </w:r>
      <w:r>
        <w:rPr>
          <w:highlight w:val="lightGray"/>
          <w:u w:val="single"/>
        </w:rPr>
        <w:t xml:space="preserve"> der Früchte</w:t>
      </w:r>
      <w:r>
        <w:t xml:space="preserve"> endet.</w:t>
      </w:r>
    </w:p>
    <w:p w:rsidR="004E0DDA" w:rsidRDefault="004E0DDA" w:rsidP="004E0DDA"/>
    <w:p w:rsidR="004E0DDA" w:rsidRPr="002E3368" w:rsidRDefault="004E0DDA" w:rsidP="004E0DDA">
      <w:r w:rsidRPr="00141C18">
        <w:fldChar w:fldCharType="begin"/>
      </w:r>
      <w:r w:rsidRPr="00141C18">
        <w:instrText xml:space="preserve"> AUTONUM  </w:instrText>
      </w:r>
      <w:r w:rsidRPr="00141C18">
        <w:fldChar w:fldCharType="end"/>
      </w:r>
      <w:r>
        <w:tab/>
        <w:t xml:space="preserve">Die TWA bat darum, daß der Verfasser des Vorschlags die Beziehung zwischen einer einzelnen Blüte und der Ernte der Früchte </w:t>
      </w:r>
      <w:r w:rsidR="009D6293">
        <w:t>klarstellen</w:t>
      </w:r>
      <w:r>
        <w:t xml:space="preserve"> solle.</w:t>
      </w:r>
    </w:p>
    <w:p w:rsidR="004E0DDA" w:rsidRDefault="004E0DDA" w:rsidP="004E0DDA"/>
    <w:p w:rsidR="004E0DDA" w:rsidRDefault="004E0DDA" w:rsidP="004E0DDA">
      <w:pPr>
        <w:pStyle w:val="Heading1"/>
      </w:pPr>
      <w:bookmarkStart w:id="17" w:name="_Toc378233344"/>
      <w:bookmarkStart w:id="18" w:name="_Toc378850169"/>
      <w:r>
        <w:t>VORSCHLAG</w:t>
      </w:r>
      <w:bookmarkEnd w:id="17"/>
      <w:bookmarkEnd w:id="18"/>
    </w:p>
    <w:p w:rsidR="004E0DDA" w:rsidRPr="00AF342C" w:rsidRDefault="004E0DDA" w:rsidP="004E0DDA"/>
    <w:p w:rsidR="004E0DDA" w:rsidRDefault="004E0DDA" w:rsidP="004E0DDA">
      <w:r>
        <w:fldChar w:fldCharType="begin"/>
      </w:r>
      <w:r>
        <w:instrText xml:space="preserve"> AUTONUM  </w:instrText>
      </w:r>
      <w:r>
        <w:fldChar w:fldCharType="end"/>
      </w:r>
      <w:r w:rsidR="00021FE5">
        <w:tab/>
        <w:t>Auf der Grundlage</w:t>
      </w:r>
      <w:r>
        <w:t xml:space="preserve"> der von den TWP auf ihren Tagungen im Jahr 2013 gemachten Anmerkungen schlug der Sachverständige aus Neuseeland folgenden ASW vor:</w:t>
      </w:r>
    </w:p>
    <w:p w:rsidR="00CE3258" w:rsidRDefault="00CE3258" w:rsidP="004E0DDA"/>
    <w:p w:rsidR="004E0DDA" w:rsidRPr="00347939" w:rsidRDefault="004E0DDA" w:rsidP="004E0DDA">
      <w:pPr>
        <w:keepNext/>
        <w:pBdr>
          <w:top w:val="dotted" w:sz="4" w:space="1" w:color="auto"/>
          <w:left w:val="dotted" w:sz="4" w:space="4" w:color="auto"/>
          <w:bottom w:val="dotted" w:sz="4" w:space="1" w:color="auto"/>
          <w:right w:val="dotted" w:sz="4" w:space="4" w:color="auto"/>
        </w:pBdr>
        <w:spacing w:before="120"/>
        <w:ind w:left="993" w:right="1559" w:firstLine="141"/>
        <w:rPr>
          <w:rFonts w:cs="Arial"/>
          <w:u w:val="single"/>
        </w:rPr>
      </w:pPr>
      <w:r>
        <w:rPr>
          <w:iCs/>
          <w:u w:val="single"/>
        </w:rPr>
        <w:t xml:space="preserve">Neu (nach (b)): </w:t>
      </w:r>
      <w:r>
        <w:rPr>
          <w:u w:val="single"/>
        </w:rPr>
        <w:t>Immergrüne Arten mit unbestimmtem Wachstum</w:t>
      </w: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t>Als Wachstumsperiode wird die Periode betrachtet, die vom Beginn</w:t>
      </w:r>
      <w:r w:rsidR="00C11CD8">
        <w:t xml:space="preserve"> der Blüte</w:t>
      </w:r>
      <w:r>
        <w:t xml:space="preserve"> einer einzelnen Blüte oder eines einzelnen Blütenstandes über die Fruchtentwicklung reicht und mit der Ernte der Früchte aus der entsprechenden einzelnen Blüte oder dem einzelnen Blütenstand endet.</w:t>
      </w:r>
    </w:p>
    <w:p w:rsidR="004E0DDA" w:rsidRDefault="004E0DDA" w:rsidP="008367CD">
      <w:pPr>
        <w:pStyle w:val="TOC1"/>
        <w:rPr>
          <w:snapToGrid w:val="0"/>
        </w:rPr>
      </w:pPr>
    </w:p>
    <w:p w:rsidR="004E0DDA" w:rsidRPr="004E0DDA" w:rsidRDefault="004E0DDA" w:rsidP="004E0DDA"/>
    <w:p w:rsidR="004E0DDA" w:rsidRDefault="004E0DDA" w:rsidP="004E0DDA">
      <w:pPr>
        <w:keepNext/>
        <w:ind w:left="4820"/>
      </w:pPr>
      <w:r w:rsidRPr="00EF6F6F">
        <w:rPr>
          <w:i/>
        </w:rPr>
        <w:fldChar w:fldCharType="begin"/>
      </w:r>
      <w:r w:rsidRPr="00EF6F6F">
        <w:rPr>
          <w:i/>
        </w:rPr>
        <w:instrText xml:space="preserve"> AUTONUM  </w:instrText>
      </w:r>
      <w:r w:rsidRPr="00EF6F6F">
        <w:rPr>
          <w:i/>
        </w:rPr>
        <w:fldChar w:fldCharType="end"/>
      </w:r>
      <w:r>
        <w:tab/>
      </w:r>
      <w:r>
        <w:tab/>
      </w:r>
      <w:r>
        <w:rPr>
          <w:i/>
        </w:rPr>
        <w:t>Der TC wird ersucht, den vorgeschlagenen ASW für immergrüne Arten mit unbestimmtem Wachstum für die Aufnahme in Dokument TGP/7, wie in Absatz 13 dieses Dokuments dargelegt, zu prüfen.</w:t>
      </w:r>
    </w:p>
    <w:p w:rsidR="004E0DDA" w:rsidRDefault="004E0DDA" w:rsidP="004E0DDA">
      <w:pPr>
        <w:pStyle w:val="endofdoc"/>
        <w:rPr>
          <w:snapToGrid w:val="0"/>
        </w:rPr>
      </w:pPr>
      <w:r>
        <w:t>[Ende des Dokuments]</w:t>
      </w:r>
    </w:p>
    <w:p w:rsidR="004E0DDA" w:rsidRDefault="004E0DDA" w:rsidP="004E0DDA">
      <w:pPr>
        <w:rPr>
          <w:snapToGrid w:val="0"/>
        </w:rPr>
      </w:pPr>
    </w:p>
    <w:p w:rsidR="00050E16" w:rsidRDefault="00050E16" w:rsidP="008367CD">
      <w:pPr>
        <w:pStyle w:val="TOC1"/>
        <w:rPr>
          <w:snapToGrid w:val="0"/>
        </w:rPr>
      </w:pPr>
    </w:p>
    <w:p w:rsidR="00050E16" w:rsidRDefault="00050E16" w:rsidP="00050E16"/>
    <w:p w:rsidR="00050E16" w:rsidRPr="00C651CE" w:rsidRDefault="00050E16" w:rsidP="00050E16"/>
    <w:sectPr w:rsidR="00050E16" w:rsidRPr="00C651C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5C" w:rsidRDefault="00D4125C" w:rsidP="006655D3">
      <w:r>
        <w:separator/>
      </w:r>
    </w:p>
    <w:p w:rsidR="00D4125C" w:rsidRDefault="00D4125C" w:rsidP="006655D3"/>
    <w:p w:rsidR="00D4125C" w:rsidRDefault="00D4125C" w:rsidP="006655D3"/>
  </w:endnote>
  <w:endnote w:type="continuationSeparator" w:id="0">
    <w:p w:rsidR="00D4125C" w:rsidRDefault="00D4125C" w:rsidP="006655D3">
      <w:r>
        <w:separator/>
      </w:r>
    </w:p>
    <w:p w:rsidR="00D4125C" w:rsidRPr="004E0DDA" w:rsidRDefault="00D4125C">
      <w:pPr>
        <w:pStyle w:val="Footer"/>
        <w:spacing w:after="60"/>
        <w:rPr>
          <w:sz w:val="18"/>
          <w:lang w:val="fr-FR"/>
        </w:rPr>
      </w:pPr>
      <w:r w:rsidRPr="004E0DDA">
        <w:rPr>
          <w:sz w:val="18"/>
          <w:lang w:val="fr-FR"/>
        </w:rPr>
        <w:t>[Suite de la note de la page précédente]</w:t>
      </w:r>
    </w:p>
    <w:p w:rsidR="00D4125C" w:rsidRPr="004E0DDA" w:rsidRDefault="00D4125C" w:rsidP="006655D3">
      <w:pPr>
        <w:rPr>
          <w:lang w:val="fr-FR"/>
        </w:rPr>
      </w:pPr>
    </w:p>
    <w:p w:rsidR="00D4125C" w:rsidRPr="004E0DDA" w:rsidRDefault="00D4125C" w:rsidP="006655D3">
      <w:pPr>
        <w:rPr>
          <w:lang w:val="fr-FR"/>
        </w:rPr>
      </w:pPr>
    </w:p>
  </w:endnote>
  <w:endnote w:type="continuationNotice" w:id="1">
    <w:p w:rsidR="00D4125C" w:rsidRPr="004E0DDA" w:rsidRDefault="00D4125C" w:rsidP="006655D3">
      <w:pPr>
        <w:rPr>
          <w:lang w:val="fr-FR"/>
        </w:rPr>
      </w:pPr>
      <w:r w:rsidRPr="004E0DDA">
        <w:rPr>
          <w:lang w:val="fr-FR"/>
        </w:rPr>
        <w:t>[Suite de la note page suivante]</w:t>
      </w:r>
    </w:p>
    <w:p w:rsidR="00D4125C" w:rsidRPr="004E0DDA" w:rsidRDefault="00D4125C" w:rsidP="006655D3">
      <w:pPr>
        <w:rPr>
          <w:lang w:val="fr-FR"/>
        </w:rPr>
      </w:pPr>
    </w:p>
    <w:p w:rsidR="00D4125C" w:rsidRPr="004E0DDA" w:rsidRDefault="00D412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5C" w:rsidRDefault="00D4125C" w:rsidP="006655D3">
      <w:r>
        <w:separator/>
      </w:r>
    </w:p>
  </w:footnote>
  <w:footnote w:type="continuationSeparator" w:id="0">
    <w:p w:rsidR="00D4125C" w:rsidRDefault="00D4125C" w:rsidP="006655D3">
      <w:r>
        <w:separator/>
      </w:r>
    </w:p>
  </w:footnote>
  <w:footnote w:type="continuationNotice" w:id="1">
    <w:p w:rsidR="00D4125C" w:rsidRPr="00AB530F" w:rsidRDefault="00D4125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TC/50/16</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18D9">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33"/>
    <w:rsid w:val="00010CF3"/>
    <w:rsid w:val="00011E27"/>
    <w:rsid w:val="000148BC"/>
    <w:rsid w:val="00021FE5"/>
    <w:rsid w:val="00024AB8"/>
    <w:rsid w:val="00030854"/>
    <w:rsid w:val="00036028"/>
    <w:rsid w:val="00044642"/>
    <w:rsid w:val="000446B9"/>
    <w:rsid w:val="00047E21"/>
    <w:rsid w:val="00050E16"/>
    <w:rsid w:val="00085505"/>
    <w:rsid w:val="000C7021"/>
    <w:rsid w:val="000D6BBC"/>
    <w:rsid w:val="000D7780"/>
    <w:rsid w:val="000E1552"/>
    <w:rsid w:val="000F2F11"/>
    <w:rsid w:val="00105929"/>
    <w:rsid w:val="001131D5"/>
    <w:rsid w:val="00141DB8"/>
    <w:rsid w:val="0017474A"/>
    <w:rsid w:val="001758C6"/>
    <w:rsid w:val="00182B99"/>
    <w:rsid w:val="001B5CEE"/>
    <w:rsid w:val="001D3B71"/>
    <w:rsid w:val="0021332C"/>
    <w:rsid w:val="00213982"/>
    <w:rsid w:val="00214621"/>
    <w:rsid w:val="0024416D"/>
    <w:rsid w:val="002449E8"/>
    <w:rsid w:val="00271911"/>
    <w:rsid w:val="002800A0"/>
    <w:rsid w:val="002801B3"/>
    <w:rsid w:val="00281060"/>
    <w:rsid w:val="002940E8"/>
    <w:rsid w:val="002A6E50"/>
    <w:rsid w:val="002B5C33"/>
    <w:rsid w:val="002C256A"/>
    <w:rsid w:val="00305A7F"/>
    <w:rsid w:val="003152FE"/>
    <w:rsid w:val="00327436"/>
    <w:rsid w:val="00344BD6"/>
    <w:rsid w:val="0035528D"/>
    <w:rsid w:val="00361821"/>
    <w:rsid w:val="0037054E"/>
    <w:rsid w:val="003D227C"/>
    <w:rsid w:val="003D2B4D"/>
    <w:rsid w:val="00444A88"/>
    <w:rsid w:val="00474DA4"/>
    <w:rsid w:val="00476B4D"/>
    <w:rsid w:val="004805FA"/>
    <w:rsid w:val="004D047D"/>
    <w:rsid w:val="004E0DDA"/>
    <w:rsid w:val="004F305A"/>
    <w:rsid w:val="00512164"/>
    <w:rsid w:val="00520297"/>
    <w:rsid w:val="005338F9"/>
    <w:rsid w:val="0054281C"/>
    <w:rsid w:val="0055268D"/>
    <w:rsid w:val="00576BE4"/>
    <w:rsid w:val="00576D33"/>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E6585"/>
    <w:rsid w:val="007F498F"/>
    <w:rsid w:val="0080679D"/>
    <w:rsid w:val="008108B0"/>
    <w:rsid w:val="00811B20"/>
    <w:rsid w:val="0082296E"/>
    <w:rsid w:val="00824099"/>
    <w:rsid w:val="008367CD"/>
    <w:rsid w:val="00836A2B"/>
    <w:rsid w:val="00867AC1"/>
    <w:rsid w:val="008A743F"/>
    <w:rsid w:val="008C0970"/>
    <w:rsid w:val="008D2CF7"/>
    <w:rsid w:val="00900C26"/>
    <w:rsid w:val="0090197F"/>
    <w:rsid w:val="00906DDC"/>
    <w:rsid w:val="00934E09"/>
    <w:rsid w:val="00936253"/>
    <w:rsid w:val="00952DD4"/>
    <w:rsid w:val="00970FED"/>
    <w:rsid w:val="00992D82"/>
    <w:rsid w:val="00997029"/>
    <w:rsid w:val="009C1515"/>
    <w:rsid w:val="009D6293"/>
    <w:rsid w:val="009D690D"/>
    <w:rsid w:val="009E65B6"/>
    <w:rsid w:val="009E6CB5"/>
    <w:rsid w:val="00A053B3"/>
    <w:rsid w:val="00A24C10"/>
    <w:rsid w:val="00A42AC3"/>
    <w:rsid w:val="00A430CF"/>
    <w:rsid w:val="00A54309"/>
    <w:rsid w:val="00A820EA"/>
    <w:rsid w:val="00A9583F"/>
    <w:rsid w:val="00AA576D"/>
    <w:rsid w:val="00AA7724"/>
    <w:rsid w:val="00AB2B93"/>
    <w:rsid w:val="00AB530F"/>
    <w:rsid w:val="00AB7E5B"/>
    <w:rsid w:val="00AE0EF1"/>
    <w:rsid w:val="00AE2937"/>
    <w:rsid w:val="00B07301"/>
    <w:rsid w:val="00B224DE"/>
    <w:rsid w:val="00B41A29"/>
    <w:rsid w:val="00B46575"/>
    <w:rsid w:val="00B84BBD"/>
    <w:rsid w:val="00BA43FB"/>
    <w:rsid w:val="00BC127D"/>
    <w:rsid w:val="00BC1FE6"/>
    <w:rsid w:val="00C061B6"/>
    <w:rsid w:val="00C11CD8"/>
    <w:rsid w:val="00C2446C"/>
    <w:rsid w:val="00C36AE5"/>
    <w:rsid w:val="00C41F17"/>
    <w:rsid w:val="00C5280D"/>
    <w:rsid w:val="00C5791C"/>
    <w:rsid w:val="00C66290"/>
    <w:rsid w:val="00C72B7A"/>
    <w:rsid w:val="00C973F2"/>
    <w:rsid w:val="00CA304C"/>
    <w:rsid w:val="00CA774A"/>
    <w:rsid w:val="00CC11B0"/>
    <w:rsid w:val="00CE3258"/>
    <w:rsid w:val="00CF7E36"/>
    <w:rsid w:val="00D3708D"/>
    <w:rsid w:val="00D40426"/>
    <w:rsid w:val="00D4125C"/>
    <w:rsid w:val="00D418D9"/>
    <w:rsid w:val="00D57C96"/>
    <w:rsid w:val="00D7101D"/>
    <w:rsid w:val="00D91203"/>
    <w:rsid w:val="00D9242E"/>
    <w:rsid w:val="00D95174"/>
    <w:rsid w:val="00DA6F36"/>
    <w:rsid w:val="00DB596E"/>
    <w:rsid w:val="00DB7773"/>
    <w:rsid w:val="00DC00EA"/>
    <w:rsid w:val="00E32F7E"/>
    <w:rsid w:val="00E72D49"/>
    <w:rsid w:val="00E7593C"/>
    <w:rsid w:val="00E7678A"/>
    <w:rsid w:val="00E935F1"/>
    <w:rsid w:val="00E94A81"/>
    <w:rsid w:val="00EA1FFB"/>
    <w:rsid w:val="00EB048E"/>
    <w:rsid w:val="00EC424D"/>
    <w:rsid w:val="00EE34DF"/>
    <w:rsid w:val="00EF2F89"/>
    <w:rsid w:val="00F1237A"/>
    <w:rsid w:val="00F17534"/>
    <w:rsid w:val="00F2282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367CD"/>
    <w:pPr>
      <w:tabs>
        <w:tab w:val="right" w:leader="dot" w:pos="9639"/>
      </w:tabs>
      <w:spacing w:line="360" w:lineRule="auto"/>
      <w:ind w:left="576"/>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E0DDA"/>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367CD"/>
    <w:pPr>
      <w:tabs>
        <w:tab w:val="right" w:leader="dot" w:pos="9639"/>
      </w:tabs>
      <w:spacing w:line="360" w:lineRule="auto"/>
      <w:ind w:left="576"/>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E0DDA"/>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1935-7F14-43D3-B976-8FF9A682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14</TotalTime>
  <Pages>3</Pages>
  <Words>821</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9</cp:revision>
  <cp:lastPrinted>2014-01-23T07:42:00Z</cp:lastPrinted>
  <dcterms:created xsi:type="dcterms:W3CDTF">2014-01-30T10:37:00Z</dcterms:created>
  <dcterms:modified xsi:type="dcterms:W3CDTF">2014-02-14T13:33:00Z</dcterms:modified>
</cp:coreProperties>
</file>