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882528" w:rsidP="006655D3">
            <w:pPr>
              <w:pStyle w:val="LogoUPOV"/>
            </w:pPr>
            <w:r>
              <w:rPr>
                <w:noProof/>
                <w:lang w:val="en-US" w:eastAsia="en-US" w:bidi="ar-SA"/>
              </w:rPr>
              <w:drawing>
                <wp:inline distT="0" distB="0" distL="0" distR="0">
                  <wp:extent cx="957580" cy="4483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7580" cy="448310"/>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t>G</w:t>
            </w:r>
          </w:p>
          <w:p w:rsidR="000D7780" w:rsidRPr="00C5280D" w:rsidRDefault="00667404" w:rsidP="006655D3">
            <w:pPr>
              <w:pStyle w:val="Docoriginal"/>
            </w:pPr>
            <w:r>
              <w:t>TC/50/</w:t>
            </w:r>
            <w:bookmarkStart w:id="0" w:name="Code"/>
            <w:bookmarkEnd w:id="0"/>
            <w:r>
              <w:t>15</w:t>
            </w:r>
          </w:p>
          <w:p w:rsidR="000D7780" w:rsidRPr="00B46575" w:rsidRDefault="0061555F" w:rsidP="006655D3">
            <w:pPr>
              <w:pStyle w:val="Docoriginal"/>
              <w:rPr>
                <w:b w:val="0"/>
                <w:spacing w:val="0"/>
              </w:rPr>
            </w:pPr>
            <w:r>
              <w:rPr>
                <w:rStyle w:val="StyleDoclangBold"/>
                <w:b/>
                <w:bCs/>
                <w:spacing w:val="0"/>
              </w:rPr>
              <w:t>ORIGINAL:</w:t>
            </w:r>
            <w:r>
              <w:rPr>
                <w:rStyle w:val="StyleDocoriginalNotBold1"/>
                <w:spacing w:val="0"/>
              </w:rPr>
              <w:t xml:space="preserve"> </w:t>
            </w:r>
            <w:r>
              <w:rPr>
                <w:spacing w:val="0"/>
              </w:rPr>
              <w:t xml:space="preserve"> </w:t>
            </w:r>
            <w:bookmarkStart w:id="1" w:name="Original"/>
            <w:bookmarkEnd w:id="1"/>
            <w:r>
              <w:rPr>
                <w:b w:val="0"/>
                <w:spacing w:val="0"/>
              </w:rPr>
              <w:t>englisch</w:t>
            </w:r>
          </w:p>
          <w:p w:rsidR="000D7780" w:rsidRPr="00C5280D" w:rsidRDefault="000D7780" w:rsidP="003E081C">
            <w:pPr>
              <w:pStyle w:val="Docoriginal"/>
            </w:pPr>
            <w:r>
              <w:rPr>
                <w:spacing w:val="0"/>
              </w:rPr>
              <w:t>DATUM</w:t>
            </w:r>
            <w:r w:rsidRPr="003E081C">
              <w:rPr>
                <w:spacing w:val="0"/>
              </w:rPr>
              <w:t xml:space="preserve">: </w:t>
            </w:r>
            <w:r w:rsidRPr="003E081C">
              <w:rPr>
                <w:rStyle w:val="StyleDocoriginalNotBold1"/>
                <w:spacing w:val="0"/>
              </w:rPr>
              <w:t xml:space="preserve"> </w:t>
            </w:r>
            <w:bookmarkStart w:id="2" w:name="Date"/>
            <w:bookmarkEnd w:id="2"/>
            <w:r w:rsidR="003E081C" w:rsidRPr="003E081C">
              <w:rPr>
                <w:b w:val="0"/>
                <w:spacing w:val="0"/>
              </w:rPr>
              <w:t>19.</w:t>
            </w:r>
            <w:r w:rsidRPr="003E081C">
              <w:rPr>
                <w:b w:val="0"/>
                <w:spacing w:val="0"/>
              </w:rPr>
              <w:t xml:space="preserve"> Januar 2014</w:t>
            </w:r>
          </w:p>
        </w:tc>
      </w:tr>
      <w:tr w:rsidR="000D7780" w:rsidRPr="00C5280D" w:rsidTr="00FA49AB">
        <w:tc>
          <w:tcPr>
            <w:tcW w:w="9534"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FA49AB">
        <w:tc>
          <w:tcPr>
            <w:tcW w:w="9534" w:type="dxa"/>
            <w:gridSpan w:val="3"/>
          </w:tcPr>
          <w:p w:rsidR="000D7780" w:rsidRPr="00C5280D" w:rsidRDefault="00867AC1" w:rsidP="006655D3">
            <w:pPr>
              <w:pStyle w:val="Country"/>
            </w:pPr>
            <w:r>
              <w:t>Genf</w:t>
            </w:r>
          </w:p>
        </w:tc>
      </w:tr>
    </w:tbl>
    <w:p w:rsidR="000D7780" w:rsidRPr="00C5280D" w:rsidRDefault="0024416D" w:rsidP="006655D3">
      <w:pPr>
        <w:pStyle w:val="Sessiontc"/>
      </w:pPr>
      <w:r>
        <w:t>Technischer Ausschu</w:t>
      </w:r>
      <w:r w:rsidR="00B8137A">
        <w:t>SS</w:t>
      </w:r>
    </w:p>
    <w:p w:rsidR="00361821" w:rsidRPr="00C5280D" w:rsidRDefault="0061555F" w:rsidP="006655D3">
      <w:pPr>
        <w:pStyle w:val="Sessiontcplacedate"/>
      </w:pPr>
      <w:r>
        <w:t>Fünfzigste Tagun</w:t>
      </w:r>
      <w:bookmarkStart w:id="3" w:name="_GoBack"/>
      <w:bookmarkEnd w:id="3"/>
      <w:r>
        <w:t>g</w:t>
      </w:r>
      <w:r>
        <w:br/>
        <w:t>Genf, 7. bis 9. April 2014</w:t>
      </w:r>
    </w:p>
    <w:p w:rsidR="000D7780" w:rsidRPr="004D4C11" w:rsidRDefault="004D4C11" w:rsidP="006655D3">
      <w:pPr>
        <w:pStyle w:val="Titleofdoc0"/>
      </w:pPr>
      <w:bookmarkStart w:id="4" w:name="TitleOfDoc"/>
      <w:bookmarkEnd w:id="4"/>
      <w:r>
        <w:t>Überarbeitung von Dokument TGP/5 Abschnitt 10: Mitteilung zusätzlicher Merkmale</w:t>
      </w:r>
    </w:p>
    <w:p w:rsidR="00050E16" w:rsidRPr="00C5280D" w:rsidRDefault="00AE0EF1" w:rsidP="00050E16">
      <w:pPr>
        <w:pStyle w:val="preparedby1"/>
      </w:pPr>
      <w:bookmarkStart w:id="5" w:name="Prepared"/>
      <w:bookmarkEnd w:id="5"/>
      <w:r>
        <w:t>vom Verbandsbüro erstelltes Dokument</w:t>
      </w:r>
      <w:r>
        <w:br/>
      </w:r>
      <w:r>
        <w:br/>
      </w:r>
      <w:r>
        <w:rPr>
          <w:color w:val="A6A6A6"/>
        </w:rPr>
        <w:t>Haftungsausschluß:  dieses Dokument gibt nicht die Grundsätze oder eine Anleitung der UPOV wieder</w:t>
      </w:r>
    </w:p>
    <w:p w:rsidR="009C1FFE" w:rsidRDefault="009C1FFE" w:rsidP="005763CA"/>
    <w:p w:rsidR="005763CA" w:rsidRPr="00100526" w:rsidRDefault="005763CA" w:rsidP="005763CA">
      <w:pPr>
        <w:rPr>
          <w:rFonts w:cs="Arial"/>
        </w:rPr>
      </w:pPr>
      <w:r w:rsidRPr="00100526">
        <w:fldChar w:fldCharType="begin"/>
      </w:r>
      <w:r w:rsidRPr="00100526">
        <w:instrText xml:space="preserve"> AUTONUM  </w:instrText>
      </w:r>
      <w:r w:rsidRPr="00100526">
        <w:fldChar w:fldCharType="end"/>
      </w:r>
      <w:r>
        <w:tab/>
        <w:t xml:space="preserve">Zweck dieses Dokuments ist es, einen Vorschlag für die Überarbeitung von Dokument TGP/5: Erfahrung und Zusammenarbeit bei der DUS-Prüfung, Abschnitt 10: „Mitteilung zusätzlicher Merkmale und Ausprägungsstufen” darzulegen: </w:t>
      </w:r>
    </w:p>
    <w:p w:rsidR="005763CA" w:rsidRPr="00100526" w:rsidRDefault="005763CA" w:rsidP="005763CA">
      <w:pPr>
        <w:tabs>
          <w:tab w:val="left" w:pos="2955"/>
        </w:tabs>
      </w:pPr>
      <w:r>
        <w:tab/>
      </w:r>
    </w:p>
    <w:p w:rsidR="005763CA" w:rsidRPr="00100526" w:rsidRDefault="005763CA" w:rsidP="005763CA">
      <w:pPr>
        <w:rPr>
          <w:rFonts w:cs="Arial"/>
          <w:color w:val="000000"/>
        </w:rPr>
      </w:pPr>
      <w:r w:rsidRPr="00100526">
        <w:fldChar w:fldCharType="begin"/>
      </w:r>
      <w:r w:rsidRPr="00100526">
        <w:instrText xml:space="preserve"> AUTONUM  </w:instrText>
      </w:r>
      <w:r w:rsidRPr="00100526">
        <w:fldChar w:fldCharType="end"/>
      </w:r>
      <w:r>
        <w:tab/>
      </w:r>
      <w:r>
        <w:rPr>
          <w:color w:val="000000"/>
        </w:rPr>
        <w:t>In diesem Dokument werden folgende Abkürzungen verwendet:</w:t>
      </w:r>
    </w:p>
    <w:p w:rsidR="005763CA" w:rsidRPr="00100526" w:rsidRDefault="005763CA" w:rsidP="005763CA">
      <w:pPr>
        <w:rPr>
          <w:rFonts w:cs="Arial"/>
          <w:color w:val="000000"/>
        </w:rPr>
      </w:pPr>
    </w:p>
    <w:p w:rsidR="005763CA" w:rsidRPr="00100526" w:rsidRDefault="005763CA" w:rsidP="005763CA">
      <w:pPr>
        <w:rPr>
          <w:rFonts w:cs="Arial"/>
        </w:rPr>
      </w:pPr>
      <w:r>
        <w:tab/>
        <w:t>TC:</w:t>
      </w:r>
      <w:r>
        <w:tab/>
      </w:r>
      <w:r>
        <w:tab/>
        <w:t>Technischer Ausschuß</w:t>
      </w:r>
    </w:p>
    <w:p w:rsidR="005763CA" w:rsidRPr="00100526" w:rsidRDefault="005763CA" w:rsidP="005763CA">
      <w:pPr>
        <w:rPr>
          <w:rFonts w:eastAsia="PMingLiU" w:cs="Arial"/>
          <w:szCs w:val="24"/>
        </w:rPr>
      </w:pPr>
      <w:r>
        <w:tab/>
      </w:r>
      <w:r>
        <w:rPr>
          <w:szCs w:val="24"/>
        </w:rPr>
        <w:t>TC-EDC:</w:t>
      </w:r>
      <w:r>
        <w:tab/>
      </w:r>
      <w:r>
        <w:rPr>
          <w:szCs w:val="24"/>
        </w:rPr>
        <w:t>Erweiterter Redaktionsausschuß</w:t>
      </w:r>
    </w:p>
    <w:p w:rsidR="005763CA" w:rsidRPr="00100526" w:rsidRDefault="005763CA" w:rsidP="005763CA">
      <w:pPr>
        <w:rPr>
          <w:rFonts w:eastAsia="PMingLiU" w:cs="Arial"/>
          <w:szCs w:val="24"/>
        </w:rPr>
      </w:pPr>
      <w:r>
        <w:tab/>
      </w:r>
      <w:r>
        <w:rPr>
          <w:szCs w:val="24"/>
        </w:rPr>
        <w:t>TWA:</w:t>
      </w:r>
      <w:r>
        <w:tab/>
      </w:r>
      <w:r>
        <w:tab/>
      </w:r>
      <w:r>
        <w:rPr>
          <w:szCs w:val="24"/>
        </w:rPr>
        <w:t>Technische Arbeitsgruppe für landwirtschaftliche Arten</w:t>
      </w:r>
    </w:p>
    <w:p w:rsidR="005763CA" w:rsidRPr="00100526" w:rsidRDefault="005763CA" w:rsidP="005763CA">
      <w:pPr>
        <w:rPr>
          <w:rFonts w:eastAsia="PMingLiU" w:cs="Arial"/>
          <w:szCs w:val="24"/>
        </w:rPr>
      </w:pPr>
      <w:r>
        <w:tab/>
      </w:r>
      <w:r>
        <w:rPr>
          <w:szCs w:val="24"/>
        </w:rPr>
        <w:t>TWC:</w:t>
      </w:r>
      <w:r>
        <w:tab/>
      </w:r>
      <w:r>
        <w:tab/>
      </w:r>
      <w:r>
        <w:rPr>
          <w:szCs w:val="24"/>
        </w:rPr>
        <w:t>Technische Arbeitsgruppe für Automatisierung und Computerprogramme</w:t>
      </w:r>
    </w:p>
    <w:p w:rsidR="005763CA" w:rsidRPr="00100526" w:rsidRDefault="005763CA" w:rsidP="005763CA">
      <w:pPr>
        <w:rPr>
          <w:rFonts w:eastAsia="PMingLiU" w:cs="Arial"/>
          <w:szCs w:val="24"/>
        </w:rPr>
      </w:pPr>
      <w:r>
        <w:tab/>
      </w:r>
      <w:r>
        <w:rPr>
          <w:szCs w:val="24"/>
        </w:rPr>
        <w:t xml:space="preserve">TWF: </w:t>
      </w:r>
      <w:r>
        <w:tab/>
      </w:r>
      <w:r>
        <w:tab/>
      </w:r>
      <w:r>
        <w:rPr>
          <w:szCs w:val="24"/>
        </w:rPr>
        <w:t>Technische Arbeitsgruppe für Obstarten</w:t>
      </w:r>
    </w:p>
    <w:p w:rsidR="005763CA" w:rsidRPr="00100526" w:rsidRDefault="005763CA" w:rsidP="005763CA">
      <w:pPr>
        <w:rPr>
          <w:rFonts w:eastAsia="PMingLiU" w:cs="Arial"/>
          <w:szCs w:val="24"/>
        </w:rPr>
      </w:pPr>
      <w:r>
        <w:tab/>
      </w:r>
      <w:r>
        <w:rPr>
          <w:szCs w:val="24"/>
        </w:rPr>
        <w:t>TWO:</w:t>
      </w:r>
      <w:r>
        <w:tab/>
      </w:r>
      <w:r>
        <w:tab/>
      </w:r>
      <w:r>
        <w:rPr>
          <w:szCs w:val="24"/>
        </w:rPr>
        <w:t>Technische Arbeitsgruppe für Zierpflanzen und forstliche Baumarten</w:t>
      </w:r>
    </w:p>
    <w:p w:rsidR="005763CA" w:rsidRPr="00100526" w:rsidRDefault="005763CA" w:rsidP="005763CA">
      <w:pPr>
        <w:rPr>
          <w:rFonts w:eastAsia="PMingLiU" w:cs="Arial"/>
          <w:szCs w:val="24"/>
        </w:rPr>
      </w:pPr>
      <w:r>
        <w:tab/>
      </w:r>
      <w:r>
        <w:rPr>
          <w:szCs w:val="24"/>
        </w:rPr>
        <w:t>TWP:</w:t>
      </w:r>
      <w:r>
        <w:tab/>
      </w:r>
      <w:r w:rsidR="00C3482A">
        <w:tab/>
      </w:r>
      <w:r>
        <w:rPr>
          <w:szCs w:val="24"/>
        </w:rPr>
        <w:t>Technische Arbeitsgruppen</w:t>
      </w:r>
    </w:p>
    <w:p w:rsidR="005763CA" w:rsidRPr="00100526" w:rsidRDefault="005763CA" w:rsidP="005763CA">
      <w:pPr>
        <w:rPr>
          <w:rFonts w:eastAsia="PMingLiU" w:cs="Arial"/>
          <w:szCs w:val="24"/>
        </w:rPr>
      </w:pPr>
      <w:r>
        <w:tab/>
      </w:r>
      <w:r>
        <w:rPr>
          <w:szCs w:val="24"/>
        </w:rPr>
        <w:t>TWV:</w:t>
      </w:r>
      <w:r>
        <w:tab/>
      </w:r>
      <w:r>
        <w:tab/>
      </w:r>
      <w:r>
        <w:rPr>
          <w:szCs w:val="24"/>
        </w:rPr>
        <w:t>Technische Arbeitsgruppe für Gemüsearten</w:t>
      </w:r>
    </w:p>
    <w:p w:rsidR="005763CA" w:rsidRDefault="005763CA" w:rsidP="005763CA">
      <w:pPr>
        <w:keepNext/>
        <w:outlineLvl w:val="0"/>
        <w:rPr>
          <w:b/>
          <w:caps/>
        </w:rPr>
      </w:pPr>
    </w:p>
    <w:p w:rsidR="009C1FFE" w:rsidRPr="00100526" w:rsidRDefault="009C1FFE" w:rsidP="005763CA">
      <w:pPr>
        <w:keepNext/>
        <w:outlineLvl w:val="0"/>
        <w:rPr>
          <w:b/>
          <w:caps/>
        </w:rPr>
      </w:pPr>
    </w:p>
    <w:p w:rsidR="005763CA" w:rsidRDefault="005763CA" w:rsidP="005763CA">
      <w:pPr>
        <w:keepNext/>
        <w:outlineLvl w:val="0"/>
        <w:rPr>
          <w:b/>
          <w:caps/>
        </w:rPr>
      </w:pPr>
    </w:p>
    <w:p w:rsidR="005763CA" w:rsidRDefault="005763CA" w:rsidP="005763CA">
      <w:pPr>
        <w:jc w:val="left"/>
        <w:rPr>
          <w:rFonts w:cs="Arial"/>
        </w:rPr>
      </w:pPr>
      <w:r>
        <w:rPr>
          <w:rFonts w:cs="Arial"/>
        </w:rPr>
        <w:fldChar w:fldCharType="begin"/>
      </w:r>
      <w:r>
        <w:rPr>
          <w:rFonts w:cs="Arial"/>
        </w:rPr>
        <w:instrText xml:space="preserve"> AUTONUM  </w:instrText>
      </w:r>
      <w:r>
        <w:rPr>
          <w:rFonts w:cs="Arial"/>
        </w:rPr>
        <w:fldChar w:fldCharType="end"/>
      </w:r>
      <w:r>
        <w:tab/>
        <w:t>Der Aufbau dieses Dokuments ist wie folgt:</w:t>
      </w:r>
    </w:p>
    <w:p w:rsidR="000D3EB0" w:rsidRDefault="000D3EB0" w:rsidP="005763CA">
      <w:pPr>
        <w:jc w:val="left"/>
        <w:rPr>
          <w:rFonts w:cs="Arial"/>
          <w:color w:val="000000"/>
        </w:rPr>
      </w:pPr>
    </w:p>
    <w:p w:rsidR="004E79FB" w:rsidRPr="00C459FC" w:rsidRDefault="000D3EB0">
      <w:pPr>
        <w:pStyle w:val="TOC1"/>
        <w:rPr>
          <w:rFonts w:ascii="Calibri" w:hAnsi="Calibri"/>
          <w:caps w:val="0"/>
          <w:noProof/>
          <w:sz w:val="22"/>
          <w:szCs w:val="22"/>
          <w:lang w:bidi="ar-SA"/>
        </w:rPr>
      </w:pPr>
      <w:r>
        <w:rPr>
          <w:caps w:val="0"/>
        </w:rPr>
        <w:fldChar w:fldCharType="begin"/>
      </w:r>
      <w:r>
        <w:rPr>
          <w:caps w:val="0"/>
        </w:rPr>
        <w:instrText xml:space="preserve"> TOC \o "1-5" \h \z \u </w:instrText>
      </w:r>
      <w:r>
        <w:rPr>
          <w:caps w:val="0"/>
        </w:rPr>
        <w:fldChar w:fldCharType="separate"/>
      </w:r>
      <w:hyperlink w:anchor="_Toc378253764" w:history="1">
        <w:r w:rsidR="004E79FB" w:rsidRPr="009E775C">
          <w:rPr>
            <w:rStyle w:val="Hyperlink"/>
            <w:noProof/>
          </w:rPr>
          <w:t>HINTERGRUND</w:t>
        </w:r>
        <w:r w:rsidR="004E79FB">
          <w:rPr>
            <w:noProof/>
            <w:webHidden/>
          </w:rPr>
          <w:tab/>
        </w:r>
        <w:r w:rsidR="004E79FB">
          <w:rPr>
            <w:noProof/>
            <w:webHidden/>
          </w:rPr>
          <w:fldChar w:fldCharType="begin"/>
        </w:r>
        <w:r w:rsidR="004E79FB">
          <w:rPr>
            <w:noProof/>
            <w:webHidden/>
          </w:rPr>
          <w:instrText xml:space="preserve"> PAGEREF _Toc378253764 \h </w:instrText>
        </w:r>
        <w:r w:rsidR="004E79FB">
          <w:rPr>
            <w:noProof/>
            <w:webHidden/>
          </w:rPr>
        </w:r>
        <w:r w:rsidR="004E79FB">
          <w:rPr>
            <w:noProof/>
            <w:webHidden/>
          </w:rPr>
          <w:fldChar w:fldCharType="separate"/>
        </w:r>
        <w:r w:rsidR="004E79FB">
          <w:rPr>
            <w:noProof/>
            <w:webHidden/>
          </w:rPr>
          <w:t>1</w:t>
        </w:r>
        <w:r w:rsidR="004E79FB">
          <w:rPr>
            <w:noProof/>
            <w:webHidden/>
          </w:rPr>
          <w:fldChar w:fldCharType="end"/>
        </w:r>
      </w:hyperlink>
    </w:p>
    <w:p w:rsidR="004E79FB" w:rsidRPr="00C459FC" w:rsidRDefault="003E081C">
      <w:pPr>
        <w:pStyle w:val="TOC1"/>
        <w:rPr>
          <w:rFonts w:ascii="Calibri" w:hAnsi="Calibri"/>
          <w:caps w:val="0"/>
          <w:noProof/>
          <w:sz w:val="22"/>
          <w:szCs w:val="22"/>
          <w:lang w:bidi="ar-SA"/>
        </w:rPr>
      </w:pPr>
      <w:hyperlink w:anchor="_Toc378253765" w:history="1">
        <w:r w:rsidR="004E79FB" w:rsidRPr="009E775C">
          <w:rPr>
            <w:rStyle w:val="Hyperlink"/>
            <w:noProof/>
          </w:rPr>
          <w:t>Vorschlag für die Überarbeitung von Dokument TGP/5: Abschnitt 10: „Mitteilung zusätzlicher Merkmale und Ausprägungsstufen”</w:t>
        </w:r>
        <w:r w:rsidR="004E79FB">
          <w:rPr>
            <w:noProof/>
            <w:webHidden/>
          </w:rPr>
          <w:tab/>
        </w:r>
        <w:r w:rsidR="004E79FB">
          <w:rPr>
            <w:noProof/>
            <w:webHidden/>
          </w:rPr>
          <w:fldChar w:fldCharType="begin"/>
        </w:r>
        <w:r w:rsidR="004E79FB">
          <w:rPr>
            <w:noProof/>
            <w:webHidden/>
          </w:rPr>
          <w:instrText xml:space="preserve"> PAGEREF _Toc378253765 \h </w:instrText>
        </w:r>
        <w:r w:rsidR="004E79FB">
          <w:rPr>
            <w:noProof/>
            <w:webHidden/>
          </w:rPr>
        </w:r>
        <w:r w:rsidR="004E79FB">
          <w:rPr>
            <w:noProof/>
            <w:webHidden/>
          </w:rPr>
          <w:fldChar w:fldCharType="separate"/>
        </w:r>
        <w:r w:rsidR="004E79FB">
          <w:rPr>
            <w:noProof/>
            <w:webHidden/>
          </w:rPr>
          <w:t>2</w:t>
        </w:r>
        <w:r w:rsidR="004E79FB">
          <w:rPr>
            <w:noProof/>
            <w:webHidden/>
          </w:rPr>
          <w:fldChar w:fldCharType="end"/>
        </w:r>
      </w:hyperlink>
    </w:p>
    <w:p w:rsidR="000D3EB0" w:rsidRPr="00F07230" w:rsidRDefault="000D3EB0">
      <w:pPr>
        <w:pStyle w:val="TOC1"/>
        <w:rPr>
          <w:rFonts w:ascii="Calibri" w:hAnsi="Calibri"/>
          <w:caps w:val="0"/>
          <w:noProof/>
          <w:sz w:val="22"/>
          <w:szCs w:val="22"/>
        </w:rPr>
      </w:pPr>
      <w:r>
        <w:fldChar w:fldCharType="end"/>
      </w:r>
    </w:p>
    <w:p w:rsidR="005763CA" w:rsidRDefault="005763CA" w:rsidP="00B04125">
      <w:pPr>
        <w:pStyle w:val="Heading2"/>
      </w:pPr>
    </w:p>
    <w:p w:rsidR="009C1FFE" w:rsidRPr="009C1FFE" w:rsidRDefault="009C1FFE" w:rsidP="009C1FFE"/>
    <w:p w:rsidR="005763CA" w:rsidRDefault="005763CA" w:rsidP="005763CA">
      <w:pPr>
        <w:pStyle w:val="Heading1"/>
      </w:pPr>
      <w:bookmarkStart w:id="6" w:name="_Toc377568416"/>
      <w:bookmarkStart w:id="7" w:name="_Toc378253764"/>
      <w:r>
        <w:t>HINTERGRUND</w:t>
      </w:r>
      <w:bookmarkEnd w:id="6"/>
      <w:bookmarkEnd w:id="7"/>
    </w:p>
    <w:p w:rsidR="005763CA" w:rsidRDefault="005763CA" w:rsidP="005763CA"/>
    <w:p w:rsidR="005763CA" w:rsidRDefault="005763CA" w:rsidP="005763CA">
      <w:pPr>
        <w:tabs>
          <w:tab w:val="left" w:pos="567"/>
        </w:tabs>
        <w:rPr>
          <w:spacing w:val="-2"/>
        </w:rPr>
      </w:pPr>
      <w:r>
        <w:rPr>
          <w:rFonts w:cs="Arial"/>
        </w:rPr>
        <w:fldChar w:fldCharType="begin"/>
      </w:r>
      <w:r>
        <w:rPr>
          <w:rFonts w:cs="Arial"/>
        </w:rPr>
        <w:instrText xml:space="preserve"> AUTONUM  </w:instrText>
      </w:r>
      <w:r>
        <w:rPr>
          <w:rFonts w:cs="Arial"/>
        </w:rPr>
        <w:fldChar w:fldCharType="end"/>
      </w:r>
      <w:r>
        <w:tab/>
        <w:t xml:space="preserve">Auf seiner fünfundvierzigsten ordentlichen Tagung am 20. Oktober 2011 in Genf nahm der Rat die Überarbeitung von Dokument TGP/5, Abschnitt 10/1 „Erfahrung und Zusammenarbeit bei der DUS-Prüfung, Abschnitt 10:  Mitteilung zusätzlicher Merkmale“ </w:t>
      </w:r>
      <w:r>
        <w:rPr>
          <w:spacing w:val="-2"/>
        </w:rPr>
        <w:t>auf der Grundlage von Doku</w:t>
      </w:r>
      <w:r w:rsidR="005229C6">
        <w:rPr>
          <w:spacing w:val="-2"/>
        </w:rPr>
        <w:t>ment TGP/5 Abschnitt 10/2 Draft </w:t>
      </w:r>
      <w:r>
        <w:rPr>
          <w:spacing w:val="-2"/>
        </w:rPr>
        <w:t>3 an (vergleiche Dokument C/45/17 „Bericht über die</w:t>
      </w:r>
      <w:r w:rsidR="004E79FB">
        <w:rPr>
          <w:spacing w:val="-2"/>
        </w:rPr>
        <w:t xml:space="preserve"> Entschließungen“, Absatz 12)</w:t>
      </w:r>
      <w:r>
        <w:rPr>
          <w:spacing w:val="-2"/>
        </w:rPr>
        <w:t>.</w:t>
      </w:r>
    </w:p>
    <w:p w:rsidR="005763CA" w:rsidRDefault="005763CA" w:rsidP="005763CA">
      <w:pPr>
        <w:tabs>
          <w:tab w:val="left" w:pos="567"/>
        </w:tabs>
        <w:rPr>
          <w:spacing w:val="-2"/>
        </w:rPr>
      </w:pPr>
    </w:p>
    <w:p w:rsidR="005763CA" w:rsidRPr="005F349D" w:rsidRDefault="005763CA" w:rsidP="005763CA">
      <w:pPr>
        <w:rPr>
          <w:szCs w:val="24"/>
        </w:rPr>
      </w:pPr>
      <w:r>
        <w:rPr>
          <w:rFonts w:cs="Arial"/>
        </w:rPr>
        <w:fldChar w:fldCharType="begin"/>
      </w:r>
      <w:r>
        <w:rPr>
          <w:rFonts w:cs="Arial"/>
        </w:rPr>
        <w:instrText xml:space="preserve"> AUTONUM  </w:instrText>
      </w:r>
      <w:r>
        <w:rPr>
          <w:rFonts w:cs="Arial"/>
        </w:rPr>
        <w:fldChar w:fldCharType="end"/>
      </w:r>
      <w:r>
        <w:tab/>
        <w:t>In</w:t>
      </w:r>
      <w:r w:rsidR="004E79FB">
        <w:t xml:space="preserve"> Dokument TGP/5 Abschnitt 10/2 „</w:t>
      </w:r>
      <w:r>
        <w:rPr>
          <w:szCs w:val="24"/>
        </w:rPr>
        <w:t>Erfahrung und Zusammenarbeit</w:t>
      </w:r>
      <w:r w:rsidR="005229C6">
        <w:rPr>
          <w:szCs w:val="24"/>
        </w:rPr>
        <w:t xml:space="preserve"> bei der DUS-Prüfung, Abschnitt </w:t>
      </w:r>
      <w:r>
        <w:rPr>
          <w:szCs w:val="24"/>
        </w:rPr>
        <w:t xml:space="preserve">10:  </w:t>
      </w:r>
      <w:r>
        <w:rPr>
          <w:snapToGrid w:val="0"/>
          <w:color w:val="000000"/>
          <w:szCs w:val="24"/>
        </w:rPr>
        <w:t xml:space="preserve">Mitteilung zusätzlicher Merkmale </w:t>
      </w:r>
      <w:r>
        <w:t xml:space="preserve">und </w:t>
      </w:r>
      <w:r>
        <w:rPr>
          <w:szCs w:val="24"/>
        </w:rPr>
        <w:t>Ausprägungsstufen” heißt es:</w:t>
      </w:r>
    </w:p>
    <w:p w:rsidR="005763CA" w:rsidRDefault="005763CA" w:rsidP="005763CA">
      <w:pPr>
        <w:rPr>
          <w:szCs w:val="24"/>
        </w:rPr>
      </w:pPr>
    </w:p>
    <w:p w:rsidR="009C1FFE" w:rsidRPr="005F349D" w:rsidRDefault="009C1FFE" w:rsidP="005763CA">
      <w:pPr>
        <w:rPr>
          <w:szCs w:val="24"/>
        </w:rPr>
      </w:pPr>
    </w:p>
    <w:p w:rsidR="005763CA" w:rsidRDefault="005763CA" w:rsidP="005763CA">
      <w:pPr>
        <w:ind w:left="567" w:right="566"/>
        <w:rPr>
          <w:sz w:val="18"/>
          <w:szCs w:val="18"/>
        </w:rPr>
      </w:pPr>
      <w:r>
        <w:rPr>
          <w:sz w:val="18"/>
          <w:szCs w:val="18"/>
        </w:rPr>
        <w:t>„4.2</w:t>
      </w:r>
      <w:r>
        <w:tab/>
      </w:r>
      <w:r>
        <w:rPr>
          <w:sz w:val="18"/>
          <w:szCs w:val="18"/>
        </w:rPr>
        <w:t>Die mittels Dokument TGP/5 Abschnitt 10 mitgeteilten Vorschläge für zusätzliche Merkmale und Ausprägungsstufen werden der/n entsprechenden Technischen Arbeitsgruppe(n) möglichst umgehend dargelegt unter Angabe des Umfangs der Verwendung jedes Merkmals</w:t>
      </w:r>
      <w:r w:rsidR="00C3482A">
        <w:rPr>
          <w:sz w:val="18"/>
          <w:szCs w:val="18"/>
        </w:rPr>
        <w:t xml:space="preserve">. </w:t>
      </w:r>
      <w:r>
        <w:rPr>
          <w:sz w:val="18"/>
          <w:szCs w:val="18"/>
        </w:rPr>
        <w:t>Die Merkmale werden dann aufgrund der Bemerkungen der entsprechenden TWP gegebenenfalls in den Bereich mit eingeschränktem Zugang der UPOV-Website gestellt (</w:t>
      </w:r>
      <w:hyperlink r:id="rId9">
        <w:r>
          <w:rPr>
            <w:rStyle w:val="Hyperlink"/>
            <w:i/>
            <w:sz w:val="18"/>
            <w:szCs w:val="18"/>
          </w:rPr>
          <w:t>http://www.upov.int/restrict/en/index_drafters_kit.htm</w:t>
        </w:r>
      </w:hyperlink>
      <w:r>
        <w:rPr>
          <w:sz w:val="18"/>
          <w:szCs w:val="18"/>
        </w:rPr>
        <w:t>) und/oder die TWP leiten eine Überarbeitung oder eine Teilüberarbeitung der betreffenden Prüfungsrichtlinien ein.”</w:t>
      </w:r>
    </w:p>
    <w:p w:rsidR="005763CA" w:rsidRPr="00C81C8D" w:rsidRDefault="005763CA" w:rsidP="005763CA">
      <w:pPr>
        <w:ind w:left="567" w:right="566"/>
        <w:rPr>
          <w:sz w:val="18"/>
          <w:szCs w:val="18"/>
        </w:rPr>
      </w:pPr>
    </w:p>
    <w:p w:rsidR="005763CA" w:rsidRDefault="005763CA" w:rsidP="005763CA">
      <w:pPr>
        <w:shd w:val="clear" w:color="auto" w:fill="FFFFFF"/>
      </w:pPr>
      <w:r w:rsidRPr="00AD5FD8">
        <w:rPr>
          <w:rFonts w:cs="Arial"/>
        </w:rPr>
        <w:fldChar w:fldCharType="begin"/>
      </w:r>
      <w:r w:rsidRPr="00AD5FD8">
        <w:rPr>
          <w:rFonts w:cs="Arial"/>
        </w:rPr>
        <w:instrText xml:space="preserve"> AUTONUM  </w:instrText>
      </w:r>
      <w:r w:rsidRPr="00AD5FD8">
        <w:rPr>
          <w:rFonts w:cs="Arial"/>
        </w:rPr>
        <w:fldChar w:fldCharType="end"/>
      </w:r>
      <w:r>
        <w:tab/>
        <w:t xml:space="preserve">Auf seiner zweiundachtzigsten Tagung am 19. Oktober und am Vormittag des 20. Oktober 2011 in Genf empfahl der Beratende Ausschuß dem Rat auf seiner fünfundvierzigsten ordentlichen Tagung, daß die Dokumente, die sich derzeit im ersten eingeschränkten Zugang der UPOV-Website befinden, durch Aufhebung der </w:t>
      </w:r>
      <w:r w:rsidR="00B8137A">
        <w:t>Paßwort</w:t>
      </w:r>
      <w:r>
        <w:t>-Anforderung öffentlich zugänglich gemacht werden sollten</w:t>
      </w:r>
      <w:r w:rsidR="00C3482A">
        <w:t xml:space="preserve">. </w:t>
      </w:r>
      <w:r>
        <w:t xml:space="preserve">Der Beratende Ausschuß vereinbarte, daß die </w:t>
      </w:r>
      <w:r w:rsidR="00B8137A">
        <w:t>Paßwort</w:t>
      </w:r>
      <w:r>
        <w:t>-Anforderung möglichst zeitgleich mit der Lancierung der neu gestalteten UPOV-Website am 1. November 2011 aufgehoben werden solle.</w:t>
      </w:r>
    </w:p>
    <w:p w:rsidR="005763CA" w:rsidRDefault="005763CA" w:rsidP="005763CA"/>
    <w:p w:rsidR="005763CA" w:rsidRPr="00855682" w:rsidRDefault="005763CA" w:rsidP="005763CA">
      <w:pPr>
        <w:shd w:val="clear" w:color="auto" w:fill="FFFFFF"/>
        <w:rPr>
          <w:rFonts w:cs="Arial"/>
        </w:rPr>
      </w:pPr>
      <w:r w:rsidRPr="00AD5FD8">
        <w:rPr>
          <w:rFonts w:cs="Arial"/>
        </w:rPr>
        <w:fldChar w:fldCharType="begin"/>
      </w:r>
      <w:r w:rsidRPr="00AD5FD8">
        <w:rPr>
          <w:rFonts w:cs="Arial"/>
        </w:rPr>
        <w:instrText xml:space="preserve"> AUTONUM  </w:instrText>
      </w:r>
      <w:r w:rsidRPr="00AD5FD8">
        <w:rPr>
          <w:rFonts w:cs="Arial"/>
        </w:rPr>
        <w:fldChar w:fldCharType="end"/>
      </w:r>
      <w:r>
        <w:tab/>
        <w:t xml:space="preserve">Auf der Grundlage der Empfehlungen des Beratenden Ausschusses auf seiner fünfundvierzigsten </w:t>
      </w:r>
      <w:r w:rsidR="00C3482A">
        <w:t>Tagung</w:t>
      </w:r>
      <w:r>
        <w:t xml:space="preserve"> vereinbarte der Rat, daß die Dokumente, die sich derzeit im ersten eingeschränkten Zugang der UPOV-Website befinden, durch Aufhebung der </w:t>
      </w:r>
      <w:r w:rsidR="00B8137A">
        <w:t>Paßwort</w:t>
      </w:r>
      <w:r>
        <w:t>-Anforderung öffentlich zugänglich gemacht werden sollen</w:t>
      </w:r>
      <w:r w:rsidR="00C3482A">
        <w:t xml:space="preserve">. </w:t>
      </w:r>
      <w:r>
        <w:t xml:space="preserve">Er billigte ferner, daß die </w:t>
      </w:r>
      <w:r w:rsidR="00B8137A">
        <w:t>Paßwort</w:t>
      </w:r>
      <w:r>
        <w:t xml:space="preserve">-Anforderung möglichst zeitgleich mit der Lancierung der neu gestalteten </w:t>
      </w:r>
      <w:r w:rsidR="00C3482A">
        <w:t>UPOV-Website</w:t>
      </w:r>
      <w:r>
        <w:t xml:space="preserve"> am 1. November 2011 aufgehoben werden solle.</w:t>
      </w:r>
    </w:p>
    <w:p w:rsidR="005763CA" w:rsidRPr="006B6C0C" w:rsidRDefault="005763CA" w:rsidP="005763CA">
      <w:pPr>
        <w:pStyle w:val="BodyText"/>
        <w:keepNext/>
        <w:ind w:left="567" w:hanging="567"/>
      </w:pPr>
    </w:p>
    <w:p w:rsidR="005763CA" w:rsidRDefault="005763CA" w:rsidP="005763CA">
      <w:pPr>
        <w:rPr>
          <w:rFonts w:cs="Arial"/>
        </w:rPr>
      </w:pPr>
      <w:r w:rsidRPr="00AB235C">
        <w:rPr>
          <w:rFonts w:cs="Arial"/>
        </w:rPr>
        <w:fldChar w:fldCharType="begin"/>
      </w:r>
      <w:r w:rsidRPr="00AB235C">
        <w:rPr>
          <w:rFonts w:cs="Arial"/>
        </w:rPr>
        <w:instrText xml:space="preserve"> AUTONUM  </w:instrText>
      </w:r>
      <w:r w:rsidRPr="00AB235C">
        <w:rPr>
          <w:rFonts w:cs="Arial"/>
        </w:rPr>
        <w:fldChar w:fldCharType="end"/>
      </w:r>
      <w:r>
        <w:tab/>
        <w:t>Im Anschluß an die oben genannten Entwicklungen vereinbarte d</w:t>
      </w:r>
      <w:r>
        <w:rPr>
          <w:rFonts w:ascii="ArialMT" w:hAnsi="ArialMT"/>
        </w:rPr>
        <w:t>er TC auf seiner achtundvierzigsten Tagung vom 26. bis 28. März 2012 in Genf, daß zusätzliche Merkmale zunächst einmal auf der Webpage für Verfasser von Prüfungsrichtlinien veröffentlicht werden sollen. Weitere Überlegungen betreffend die Veröffentlichung zusätzlicher Merkmale auf der allgemeinen Webs</w:t>
      </w:r>
      <w:r w:rsidR="007951BB">
        <w:rPr>
          <w:rFonts w:ascii="ArialMT" w:hAnsi="ArialMT"/>
        </w:rPr>
        <w:t>e</w:t>
      </w:r>
      <w:r>
        <w:rPr>
          <w:rFonts w:ascii="ArialMT" w:hAnsi="ArialMT"/>
        </w:rPr>
        <w:t>ite könnten zu einem späteren Zeitpunkt erörtert werden (vergleiche Dokument TC/48/22 „Bericht über die Entschließungen“, Absatz 152).</w:t>
      </w:r>
    </w:p>
    <w:p w:rsidR="005763CA" w:rsidRPr="00C72979" w:rsidRDefault="005763CA" w:rsidP="005763CA">
      <w:pPr>
        <w:rPr>
          <w:rFonts w:cs="Arial"/>
        </w:rPr>
      </w:pPr>
    </w:p>
    <w:p w:rsidR="005763CA" w:rsidRPr="00AF342C" w:rsidRDefault="005763CA" w:rsidP="005763CA">
      <w:pPr>
        <w:rPr>
          <w:rFonts w:cs="Arial"/>
        </w:rPr>
      </w:pPr>
      <w:r w:rsidRPr="00AF342C">
        <w:fldChar w:fldCharType="begin"/>
      </w:r>
      <w:r w:rsidRPr="00AF342C">
        <w:instrText xml:space="preserve"> AUTONUM  </w:instrText>
      </w:r>
      <w:r w:rsidRPr="00AF342C">
        <w:fldChar w:fldCharType="end"/>
      </w:r>
      <w:r>
        <w:tab/>
      </w:r>
      <w:r w:rsidR="00C3482A">
        <w:t>Auf seiner neunundvierzigsten Tagung vom 18. bis 20. März 2013 in Genf vereinbarte der TC, daß der Entwurf einer Überarbeitung von Dokument TGP/5 Abschnitt 10, vorbehaltlich der Entschließung des Beratenden Ausschusses betreffend die Erörterungen über den Haftungsausschluß für UPOV-Dokumente, zur Prüfung durch den TC auf dessen fünfzigster Tagung vorgelegt we</w:t>
      </w:r>
      <w:r w:rsidR="005229C6">
        <w:t>rden solle (vergleiche Dokument </w:t>
      </w:r>
      <w:r w:rsidR="00C3482A">
        <w:t>TC/49/41 „Bericht</w:t>
      </w:r>
      <w:r w:rsidR="00B8137A">
        <w:t xml:space="preserve"> über die Entschließungen</w:t>
      </w:r>
      <w:r w:rsidR="00C3482A">
        <w:t>“, Absatz 150).</w:t>
      </w:r>
    </w:p>
    <w:p w:rsidR="005763CA" w:rsidRDefault="005763CA" w:rsidP="005763CA"/>
    <w:p w:rsidR="005763CA" w:rsidRDefault="005763CA" w:rsidP="005763CA">
      <w:r w:rsidRPr="00353A4C">
        <w:fldChar w:fldCharType="begin"/>
      </w:r>
      <w:r w:rsidRPr="00353A4C">
        <w:instrText xml:space="preserve"> AUTONUM  </w:instrText>
      </w:r>
      <w:r w:rsidRPr="00353A4C">
        <w:fldChar w:fldCharType="end"/>
      </w:r>
      <w:r>
        <w:tab/>
        <w:t>Der Beratende Ausschuß billigte auf seiner fünfundachtzigsten Tagung am 22. März 2013 in Genf den überarbeiteten Text für den Haftungsausschluß in dem Bereich „Tagungen“ der UPOV-Website und die Hinzufügung eines Haftungsausschlusses für jedes UPOV-Tagungsdokument</w:t>
      </w:r>
      <w:r w:rsidR="00C3482A">
        <w:t xml:space="preserve">. </w:t>
      </w:r>
      <w:r>
        <w:t>Der überarbeitete Text des Haftungsausschlusses wurde im Bereich „Tagungen“ der UPOV-Website veröffentlicht (</w:t>
      </w:r>
      <w:hyperlink r:id="rId10">
        <w:r>
          <w:rPr>
            <w:rStyle w:val="Hyperlink"/>
          </w:rPr>
          <w:t>http://www.upov.int/meetings/en/topic.jsp</w:t>
        </w:r>
      </w:hyperlink>
      <w:r>
        <w:t>) und der Haft</w:t>
      </w:r>
      <w:r w:rsidR="005229C6">
        <w:t>ungsausschluß wurde in die UPOV</w:t>
      </w:r>
      <w:r w:rsidR="005229C6">
        <w:noBreakHyphen/>
      </w:r>
      <w:r>
        <w:t xml:space="preserve">Tagungsdokumente aufgenommen. </w:t>
      </w:r>
    </w:p>
    <w:p w:rsidR="005763CA" w:rsidRDefault="005763CA" w:rsidP="005763CA"/>
    <w:p w:rsidR="005763CA" w:rsidRDefault="005763CA" w:rsidP="005763CA"/>
    <w:p w:rsidR="005763CA" w:rsidRPr="00353A4C" w:rsidRDefault="005763CA" w:rsidP="005763CA">
      <w:pPr>
        <w:pStyle w:val="Heading1"/>
      </w:pPr>
      <w:bookmarkStart w:id="8" w:name="_Toc377568417"/>
      <w:bookmarkStart w:id="9" w:name="_Toc378253765"/>
      <w:r>
        <w:t>Vorschlag für die Überarbeitung von Dokument TGP/5: Abschnitt 10: „Mitteilung zusätzlicher Merkmale und Ausprägungsstufen”</w:t>
      </w:r>
      <w:bookmarkEnd w:id="8"/>
      <w:bookmarkEnd w:id="9"/>
    </w:p>
    <w:p w:rsidR="005763CA" w:rsidRDefault="005763CA" w:rsidP="005763CA"/>
    <w:p w:rsidR="005763CA" w:rsidRPr="00F07230" w:rsidRDefault="005763CA" w:rsidP="005763CA">
      <w:r w:rsidRPr="00CF22FA">
        <w:fldChar w:fldCharType="begin"/>
      </w:r>
      <w:r w:rsidRPr="00CF22FA">
        <w:instrText xml:space="preserve"> AUTONUM  </w:instrText>
      </w:r>
      <w:r w:rsidRPr="00CF22FA">
        <w:fldChar w:fldCharType="end"/>
      </w:r>
      <w:r>
        <w:t xml:space="preserve"> </w:t>
      </w:r>
      <w:r>
        <w:tab/>
        <w:t xml:space="preserve">Es wird </w:t>
      </w:r>
      <w:r w:rsidR="004613EF">
        <w:t>vorgeschlagen, die Anleitung in</w:t>
      </w:r>
      <w:r>
        <w:t xml:space="preserve"> Dokument TGP/5 zu ändern: Abschnitt 10 </w:t>
      </w:r>
      <w:r>
        <w:rPr>
          <w:rFonts w:ascii="ArialMT" w:hAnsi="ArialMT"/>
        </w:rPr>
        <w:t>soll folgendermaßen</w:t>
      </w:r>
      <w:r>
        <w:t xml:space="preserve"> lauten: </w:t>
      </w:r>
    </w:p>
    <w:p w:rsidR="005763CA" w:rsidRPr="00F07230" w:rsidRDefault="005763CA" w:rsidP="005763CA"/>
    <w:p w:rsidR="005763CA" w:rsidRPr="00971829" w:rsidRDefault="005763CA" w:rsidP="005763CA">
      <w:pPr>
        <w:ind w:left="567" w:right="566"/>
        <w:rPr>
          <w:sz w:val="18"/>
          <w:szCs w:val="18"/>
        </w:rPr>
      </w:pPr>
      <w:r>
        <w:rPr>
          <w:sz w:val="18"/>
          <w:szCs w:val="18"/>
        </w:rPr>
        <w:t>„4.2</w:t>
      </w:r>
      <w:r>
        <w:tab/>
      </w:r>
      <w:r>
        <w:rPr>
          <w:sz w:val="18"/>
          <w:szCs w:val="18"/>
        </w:rPr>
        <w:t>Die mittels Dokument TGP/5 Abschnitt 10 mitgeteilten Vorschläge für zusätzliche Merkmale und Ausprägungsstufen werden der/n entsprechenden Technischen Arbeitsgruppe(n) möglichst umgehend dargelegt unter Angabe des Umfangs der Verwendung jedes Merkmals</w:t>
      </w:r>
      <w:r w:rsidR="00C3482A">
        <w:rPr>
          <w:sz w:val="18"/>
          <w:szCs w:val="18"/>
        </w:rPr>
        <w:t xml:space="preserve">. </w:t>
      </w:r>
      <w:r>
        <w:rPr>
          <w:sz w:val="18"/>
          <w:szCs w:val="18"/>
        </w:rPr>
        <w:t xml:space="preserve">Die Merkmale werden dann aufgrund der Bemerkungen der entsprechenden TWP </w:t>
      </w:r>
      <w:r w:rsidR="00C3482A">
        <w:rPr>
          <w:sz w:val="18"/>
          <w:szCs w:val="18"/>
        </w:rPr>
        <w:t>gegebenenfalls in</w:t>
      </w:r>
      <w:r w:rsidRPr="003E3AE4">
        <w:rPr>
          <w:strike/>
          <w:sz w:val="18"/>
          <w:szCs w:val="18"/>
          <w:highlight w:val="lightGray"/>
        </w:rPr>
        <w:t xml:space="preserve"> den Bereich mit eingeschränktem Zugang</w:t>
      </w:r>
      <w:r w:rsidRPr="003E3AE4">
        <w:rPr>
          <w:sz w:val="18"/>
          <w:szCs w:val="18"/>
          <w:highlight w:val="lightGray"/>
        </w:rPr>
        <w:t xml:space="preserve"> </w:t>
      </w:r>
      <w:r w:rsidRPr="003E3AE4">
        <w:rPr>
          <w:rFonts w:ascii="ArialMT" w:hAnsi="ArialMT"/>
          <w:sz w:val="18"/>
          <w:szCs w:val="18"/>
          <w:highlight w:val="lightGray"/>
          <w:u w:val="single"/>
        </w:rPr>
        <w:t>auf die Webpage für Verfasser von Prüfungsrichtlinien</w:t>
      </w:r>
      <w:r>
        <w:rPr>
          <w:sz w:val="18"/>
          <w:szCs w:val="18"/>
        </w:rPr>
        <w:t xml:space="preserve"> der UPOV-Website (</w:t>
      </w:r>
      <w:hyperlink r:id="rId11">
        <w:r w:rsidRPr="003E3AE4">
          <w:rPr>
            <w:rStyle w:val="Hyperlink"/>
            <w:i/>
            <w:strike/>
            <w:sz w:val="18"/>
            <w:szCs w:val="18"/>
            <w:highlight w:val="lightGray"/>
          </w:rPr>
          <w:t>http://www.upov.int/restricted_temporary/twptg/en/drafters_kit.html</w:t>
        </w:r>
      </w:hyperlink>
      <w:r>
        <w:rPr>
          <w:rStyle w:val="Hyperlink"/>
          <w:i/>
          <w:sz w:val="18"/>
          <w:szCs w:val="18"/>
        </w:rPr>
        <w:t xml:space="preserve"> </w:t>
      </w:r>
      <w:hyperlink r:id="rId12">
        <w:r w:rsidRPr="003E3AE4">
          <w:rPr>
            <w:rStyle w:val="Hyperlink"/>
            <w:i/>
            <w:sz w:val="18"/>
            <w:szCs w:val="18"/>
            <w:highlight w:val="lightGray"/>
          </w:rPr>
          <w:t>http://www.upov.int/restricted_temporary/tg/index.html</w:t>
        </w:r>
      </w:hyperlink>
      <w:r>
        <w:rPr>
          <w:sz w:val="18"/>
          <w:szCs w:val="18"/>
        </w:rPr>
        <w:t>) gestellt und/oder die TWP leiten eine Überarbeitung oder eine Teilüberarbeitung der betreffenden Prüfungsrichtlinien ein.”</w:t>
      </w:r>
    </w:p>
    <w:p w:rsidR="005763CA" w:rsidRDefault="005763CA" w:rsidP="005763CA"/>
    <w:p w:rsidR="005763CA" w:rsidRDefault="005763CA" w:rsidP="005763CA">
      <w:pPr>
        <w:tabs>
          <w:tab w:val="left" w:pos="5529"/>
        </w:tabs>
        <w:ind w:left="4820"/>
        <w:rPr>
          <w:i/>
        </w:rPr>
      </w:pPr>
      <w:r w:rsidRPr="00330930">
        <w:rPr>
          <w:i/>
        </w:rPr>
        <w:fldChar w:fldCharType="begin"/>
      </w:r>
      <w:r w:rsidRPr="00330930">
        <w:rPr>
          <w:i/>
        </w:rPr>
        <w:instrText xml:space="preserve"> AUTONUM  </w:instrText>
      </w:r>
      <w:r w:rsidRPr="00330930">
        <w:rPr>
          <w:i/>
        </w:rPr>
        <w:fldChar w:fldCharType="end"/>
      </w:r>
      <w:r>
        <w:tab/>
      </w:r>
      <w:r>
        <w:rPr>
          <w:i/>
        </w:rPr>
        <w:t>Der TC wird ersucht, die vorgeschlagene Änderung der Anleitung in Dokument TGP/5: Abschnitt 10, wie in Absatz 11 dieses Dokuments dargelegt, zu prüfen.</w:t>
      </w:r>
    </w:p>
    <w:p w:rsidR="005763CA" w:rsidRDefault="005763CA" w:rsidP="005763CA">
      <w:pPr>
        <w:tabs>
          <w:tab w:val="left" w:pos="5529"/>
        </w:tabs>
        <w:ind w:left="4820"/>
        <w:rPr>
          <w:i/>
        </w:rPr>
      </w:pPr>
    </w:p>
    <w:p w:rsidR="00493C87" w:rsidRDefault="00493C87" w:rsidP="00681067">
      <w:pPr>
        <w:tabs>
          <w:tab w:val="left" w:pos="5529"/>
        </w:tabs>
        <w:rPr>
          <w:i/>
        </w:rPr>
      </w:pPr>
    </w:p>
    <w:p w:rsidR="00050E16" w:rsidRPr="00C5280D" w:rsidRDefault="005763CA" w:rsidP="005763CA">
      <w:pPr>
        <w:tabs>
          <w:tab w:val="left" w:pos="5529"/>
        </w:tabs>
        <w:ind w:left="4820"/>
        <w:jc w:val="right"/>
      </w:pPr>
      <w:r>
        <w:t>[Ende des Dokuments]</w:t>
      </w:r>
    </w:p>
    <w:sectPr w:rsidR="00050E16" w:rsidRPr="00C5280D" w:rsidSect="00906DDC">
      <w:headerReference w:type="defaul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AE4" w:rsidRDefault="003E3AE4" w:rsidP="006655D3">
      <w:r>
        <w:separator/>
      </w:r>
    </w:p>
    <w:p w:rsidR="003E3AE4" w:rsidRDefault="003E3AE4" w:rsidP="006655D3"/>
    <w:p w:rsidR="003E3AE4" w:rsidRDefault="003E3AE4" w:rsidP="006655D3"/>
  </w:endnote>
  <w:endnote w:type="continuationSeparator" w:id="0">
    <w:p w:rsidR="003E3AE4" w:rsidRDefault="003E3AE4" w:rsidP="006655D3">
      <w:r>
        <w:separator/>
      </w:r>
    </w:p>
    <w:p w:rsidR="003E3AE4" w:rsidRPr="005763CA" w:rsidRDefault="003E3AE4">
      <w:pPr>
        <w:pStyle w:val="Footer"/>
        <w:spacing w:after="60"/>
        <w:rPr>
          <w:sz w:val="18"/>
          <w:lang w:val="fr-FR"/>
        </w:rPr>
      </w:pPr>
      <w:r w:rsidRPr="005763CA">
        <w:rPr>
          <w:sz w:val="18"/>
          <w:lang w:val="fr-FR"/>
        </w:rPr>
        <w:t>[Suite de la note de la page précédente]</w:t>
      </w:r>
    </w:p>
    <w:p w:rsidR="003E3AE4" w:rsidRPr="005763CA" w:rsidRDefault="003E3AE4" w:rsidP="006655D3">
      <w:pPr>
        <w:rPr>
          <w:lang w:val="fr-FR"/>
        </w:rPr>
      </w:pPr>
    </w:p>
    <w:p w:rsidR="003E3AE4" w:rsidRPr="005763CA" w:rsidRDefault="003E3AE4" w:rsidP="006655D3">
      <w:pPr>
        <w:rPr>
          <w:lang w:val="fr-FR"/>
        </w:rPr>
      </w:pPr>
    </w:p>
  </w:endnote>
  <w:endnote w:type="continuationNotice" w:id="1">
    <w:p w:rsidR="003E3AE4" w:rsidRPr="005763CA" w:rsidRDefault="003E3AE4" w:rsidP="006655D3">
      <w:pPr>
        <w:rPr>
          <w:lang w:val="fr-FR"/>
        </w:rPr>
      </w:pPr>
      <w:r w:rsidRPr="005763CA">
        <w:rPr>
          <w:lang w:val="fr-FR"/>
        </w:rPr>
        <w:t>[Suite de la note page suivante]</w:t>
      </w:r>
    </w:p>
    <w:p w:rsidR="003E3AE4" w:rsidRPr="005763CA" w:rsidRDefault="003E3AE4" w:rsidP="006655D3">
      <w:pPr>
        <w:rPr>
          <w:lang w:val="fr-FR"/>
        </w:rPr>
      </w:pPr>
    </w:p>
    <w:p w:rsidR="003E3AE4" w:rsidRPr="005763CA" w:rsidRDefault="003E3AE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AE4" w:rsidRDefault="003E3AE4" w:rsidP="006655D3">
      <w:r>
        <w:separator/>
      </w:r>
    </w:p>
  </w:footnote>
  <w:footnote w:type="continuationSeparator" w:id="0">
    <w:p w:rsidR="003E3AE4" w:rsidRDefault="003E3AE4" w:rsidP="006655D3">
      <w:r>
        <w:separator/>
      </w:r>
    </w:p>
  </w:footnote>
  <w:footnote w:type="continuationNotice" w:id="1">
    <w:p w:rsidR="003E3AE4" w:rsidRPr="00AB530F" w:rsidRDefault="003E3AE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rPr>
    </w:pPr>
    <w:r>
      <w:rPr>
        <w:rStyle w:val="PageNumber"/>
      </w:rPr>
      <w:t>TC/50/15</w:t>
    </w:r>
  </w:p>
  <w:p w:rsidR="00182B99" w:rsidRPr="00C5280D" w:rsidRDefault="00182B99" w:rsidP="00EB048E">
    <w:pPr>
      <w:pStyle w:val="Header"/>
    </w:pPr>
    <w: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E081C">
      <w:rPr>
        <w:rStyle w:val="PageNumber"/>
        <w:noProof/>
        <w:lang w:val="en-US"/>
      </w:rPr>
      <w:t>2</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7F8"/>
    <w:rsid w:val="00010CF3"/>
    <w:rsid w:val="00011E27"/>
    <w:rsid w:val="000148BC"/>
    <w:rsid w:val="00024AB8"/>
    <w:rsid w:val="00030854"/>
    <w:rsid w:val="00036028"/>
    <w:rsid w:val="00044642"/>
    <w:rsid w:val="000446B9"/>
    <w:rsid w:val="00047E21"/>
    <w:rsid w:val="00050E16"/>
    <w:rsid w:val="00085505"/>
    <w:rsid w:val="000C7021"/>
    <w:rsid w:val="000D3EB0"/>
    <w:rsid w:val="000D6BBC"/>
    <w:rsid w:val="000D7780"/>
    <w:rsid w:val="000F2F11"/>
    <w:rsid w:val="00105929"/>
    <w:rsid w:val="001131D5"/>
    <w:rsid w:val="00141DB8"/>
    <w:rsid w:val="0017474A"/>
    <w:rsid w:val="001758C6"/>
    <w:rsid w:val="00182B99"/>
    <w:rsid w:val="001E2884"/>
    <w:rsid w:val="0021332C"/>
    <w:rsid w:val="00213982"/>
    <w:rsid w:val="0024416D"/>
    <w:rsid w:val="00271911"/>
    <w:rsid w:val="002800A0"/>
    <w:rsid w:val="002801B3"/>
    <w:rsid w:val="00281060"/>
    <w:rsid w:val="002940E8"/>
    <w:rsid w:val="002A6E50"/>
    <w:rsid w:val="002C256A"/>
    <w:rsid w:val="00305A7F"/>
    <w:rsid w:val="003152FE"/>
    <w:rsid w:val="00327436"/>
    <w:rsid w:val="00344BD6"/>
    <w:rsid w:val="0035528D"/>
    <w:rsid w:val="00361821"/>
    <w:rsid w:val="003D227C"/>
    <w:rsid w:val="003D2B4D"/>
    <w:rsid w:val="003E081C"/>
    <w:rsid w:val="003E3AE4"/>
    <w:rsid w:val="00444A88"/>
    <w:rsid w:val="004537BC"/>
    <w:rsid w:val="004613EF"/>
    <w:rsid w:val="00474DA4"/>
    <w:rsid w:val="00476B4D"/>
    <w:rsid w:val="004805FA"/>
    <w:rsid w:val="00493C87"/>
    <w:rsid w:val="004D047D"/>
    <w:rsid w:val="004D4C11"/>
    <w:rsid w:val="004E79FB"/>
    <w:rsid w:val="004F305A"/>
    <w:rsid w:val="00512164"/>
    <w:rsid w:val="00520297"/>
    <w:rsid w:val="005229C6"/>
    <w:rsid w:val="005338F9"/>
    <w:rsid w:val="0054281C"/>
    <w:rsid w:val="0055268D"/>
    <w:rsid w:val="00571106"/>
    <w:rsid w:val="005763CA"/>
    <w:rsid w:val="00576BE4"/>
    <w:rsid w:val="005A400A"/>
    <w:rsid w:val="00612379"/>
    <w:rsid w:val="0061555F"/>
    <w:rsid w:val="00641200"/>
    <w:rsid w:val="006655D3"/>
    <w:rsid w:val="00667404"/>
    <w:rsid w:val="00681067"/>
    <w:rsid w:val="00687EB4"/>
    <w:rsid w:val="006B17D2"/>
    <w:rsid w:val="006C224E"/>
    <w:rsid w:val="006D780A"/>
    <w:rsid w:val="00732DEC"/>
    <w:rsid w:val="00735BD5"/>
    <w:rsid w:val="007556F6"/>
    <w:rsid w:val="00760EEF"/>
    <w:rsid w:val="00777EE5"/>
    <w:rsid w:val="00784836"/>
    <w:rsid w:val="0079023E"/>
    <w:rsid w:val="007951BB"/>
    <w:rsid w:val="007A2854"/>
    <w:rsid w:val="007D0B9D"/>
    <w:rsid w:val="007D19B0"/>
    <w:rsid w:val="007F498F"/>
    <w:rsid w:val="0080679D"/>
    <w:rsid w:val="008108B0"/>
    <w:rsid w:val="00811B20"/>
    <w:rsid w:val="0082296E"/>
    <w:rsid w:val="00824099"/>
    <w:rsid w:val="00867AC1"/>
    <w:rsid w:val="00882528"/>
    <w:rsid w:val="008A743F"/>
    <w:rsid w:val="008C0970"/>
    <w:rsid w:val="008D2CF7"/>
    <w:rsid w:val="00900C26"/>
    <w:rsid w:val="0090197F"/>
    <w:rsid w:val="00906DDC"/>
    <w:rsid w:val="00934E09"/>
    <w:rsid w:val="00936253"/>
    <w:rsid w:val="00952DD4"/>
    <w:rsid w:val="00970FED"/>
    <w:rsid w:val="00971829"/>
    <w:rsid w:val="00992D82"/>
    <w:rsid w:val="00997029"/>
    <w:rsid w:val="009C1FFE"/>
    <w:rsid w:val="009D690D"/>
    <w:rsid w:val="009E3064"/>
    <w:rsid w:val="009E65B6"/>
    <w:rsid w:val="00A24C10"/>
    <w:rsid w:val="00A42AC3"/>
    <w:rsid w:val="00A430CF"/>
    <w:rsid w:val="00A54309"/>
    <w:rsid w:val="00AA3E10"/>
    <w:rsid w:val="00AB2B93"/>
    <w:rsid w:val="00AB530F"/>
    <w:rsid w:val="00AB7E5B"/>
    <w:rsid w:val="00AE0EF1"/>
    <w:rsid w:val="00AE2937"/>
    <w:rsid w:val="00B04125"/>
    <w:rsid w:val="00B07301"/>
    <w:rsid w:val="00B224DE"/>
    <w:rsid w:val="00B46575"/>
    <w:rsid w:val="00B8137A"/>
    <w:rsid w:val="00B84BBD"/>
    <w:rsid w:val="00BA43FB"/>
    <w:rsid w:val="00BB0BD6"/>
    <w:rsid w:val="00BC127D"/>
    <w:rsid w:val="00BC1FE6"/>
    <w:rsid w:val="00C061B6"/>
    <w:rsid w:val="00C2446C"/>
    <w:rsid w:val="00C3482A"/>
    <w:rsid w:val="00C36AE5"/>
    <w:rsid w:val="00C41F17"/>
    <w:rsid w:val="00C459FC"/>
    <w:rsid w:val="00C5280D"/>
    <w:rsid w:val="00C5791C"/>
    <w:rsid w:val="00C66290"/>
    <w:rsid w:val="00C72B7A"/>
    <w:rsid w:val="00C973F2"/>
    <w:rsid w:val="00CA2054"/>
    <w:rsid w:val="00CA304C"/>
    <w:rsid w:val="00CA774A"/>
    <w:rsid w:val="00CC11B0"/>
    <w:rsid w:val="00CE27F8"/>
    <w:rsid w:val="00CF7E36"/>
    <w:rsid w:val="00D3708D"/>
    <w:rsid w:val="00D40426"/>
    <w:rsid w:val="00D57C96"/>
    <w:rsid w:val="00D91203"/>
    <w:rsid w:val="00D95174"/>
    <w:rsid w:val="00DA6F36"/>
    <w:rsid w:val="00DB596E"/>
    <w:rsid w:val="00DB7773"/>
    <w:rsid w:val="00DC00EA"/>
    <w:rsid w:val="00E32F7E"/>
    <w:rsid w:val="00E72D49"/>
    <w:rsid w:val="00E7593C"/>
    <w:rsid w:val="00E7678A"/>
    <w:rsid w:val="00E935F1"/>
    <w:rsid w:val="00E94A81"/>
    <w:rsid w:val="00EA1FFB"/>
    <w:rsid w:val="00EB048E"/>
    <w:rsid w:val="00EE34DF"/>
    <w:rsid w:val="00EF2F89"/>
    <w:rsid w:val="00F07230"/>
    <w:rsid w:val="00F1237A"/>
    <w:rsid w:val="00F22CBD"/>
    <w:rsid w:val="00F45372"/>
    <w:rsid w:val="00F560F7"/>
    <w:rsid w:val="00F6334D"/>
    <w:rsid w:val="00FA49AB"/>
    <w:rsid w:val="00FD7F06"/>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lang w:bidi="de-DE"/>
    </w:rPr>
  </w:style>
  <w:style w:type="paragraph" w:styleId="Heading1">
    <w:name w:val="heading 1"/>
    <w:next w:val="Normal"/>
    <w:link w:val="Heading1Char"/>
    <w:autoRedefine/>
    <w:qFormat/>
    <w:rsid w:val="004805FA"/>
    <w:pPr>
      <w:keepNext/>
      <w:jc w:val="both"/>
      <w:outlineLvl w:val="0"/>
    </w:pPr>
    <w:rPr>
      <w:rFonts w:ascii="Arial" w:hAnsi="Arial"/>
      <w:caps/>
      <w:lang w:bidi="de-DE"/>
    </w:rPr>
  </w:style>
  <w:style w:type="paragraph" w:styleId="Heading2">
    <w:name w:val="heading 2"/>
    <w:next w:val="Normal"/>
    <w:link w:val="Heading2Char"/>
    <w:autoRedefine/>
    <w:qFormat/>
    <w:rsid w:val="00B04125"/>
    <w:pPr>
      <w:keepNext/>
      <w:jc w:val="both"/>
      <w:outlineLvl w:val="1"/>
    </w:pPr>
    <w:rPr>
      <w:rFonts w:ascii="Arial" w:hAnsi="Arial"/>
      <w:u w:val="single"/>
      <w:lang w:bidi="de-DE"/>
    </w:rPr>
  </w:style>
  <w:style w:type="paragraph" w:styleId="Heading3">
    <w:name w:val="heading 3"/>
    <w:next w:val="Normal"/>
    <w:autoRedefine/>
    <w:qFormat/>
    <w:rsid w:val="004805FA"/>
    <w:pPr>
      <w:keepNext/>
      <w:jc w:val="both"/>
      <w:outlineLvl w:val="2"/>
    </w:pPr>
    <w:rPr>
      <w:rFonts w:ascii="Arial" w:hAnsi="Arial"/>
      <w:i/>
      <w:lang w:bidi="de-DE"/>
    </w:rPr>
  </w:style>
  <w:style w:type="paragraph" w:styleId="Heading4">
    <w:name w:val="heading 4"/>
    <w:next w:val="Normal"/>
    <w:autoRedefine/>
    <w:qFormat/>
    <w:rsid w:val="004805FA"/>
    <w:pPr>
      <w:keepNext/>
      <w:ind w:left="567"/>
      <w:jc w:val="both"/>
      <w:outlineLvl w:val="3"/>
    </w:pPr>
    <w:rPr>
      <w:rFonts w:ascii="Arial" w:hAnsi="Arial"/>
      <w:u w:val="single"/>
      <w:lang w:bidi="de-DE"/>
    </w:rPr>
  </w:style>
  <w:style w:type="paragraph" w:styleId="Heading5">
    <w:name w:val="heading 5"/>
    <w:next w:val="Normal"/>
    <w:autoRedefine/>
    <w:qFormat/>
    <w:rsid w:val="004805FA"/>
    <w:pPr>
      <w:keepNext/>
      <w:ind w:left="1134" w:hanging="567"/>
      <w:jc w:val="both"/>
      <w:outlineLvl w:val="4"/>
    </w:pPr>
    <w:rPr>
      <w:rFonts w:ascii="Arial" w:hAnsi="Arial"/>
      <w:i/>
      <w:lang w:bidi="de-D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bidi="de-DE"/>
    </w:rPr>
  </w:style>
  <w:style w:type="paragraph" w:styleId="Footer">
    <w:name w:val="footer"/>
    <w:aliases w:val="doc_path_name"/>
    <w:autoRedefine/>
    <w:rsid w:val="009D690D"/>
    <w:pPr>
      <w:jc w:val="both"/>
    </w:pPr>
    <w:rPr>
      <w:rFonts w:ascii="Arial" w:hAnsi="Arial"/>
      <w:sz w:val="14"/>
      <w:lang w:bidi="de-DE"/>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lang w:bidi="de-DE"/>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bidi="de-DE"/>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lang w:bidi="de-DE"/>
    </w:rPr>
  </w:style>
  <w:style w:type="character" w:customStyle="1" w:styleId="DocoriginalChar">
    <w:name w:val="Doc_original Char"/>
    <w:link w:val="Docoriginal"/>
    <w:rsid w:val="00612379"/>
    <w:rPr>
      <w:rFonts w:ascii="Arial" w:hAnsi="Arial"/>
      <w:b/>
      <w:bCs/>
      <w:spacing w:val="10"/>
      <w:lang w:val="de-DE" w:eastAsia="de-DE" w:bidi="de-DE"/>
    </w:rPr>
  </w:style>
  <w:style w:type="character" w:customStyle="1" w:styleId="StyleDocoriginalNotBoldChar">
    <w:name w:val="Style Doc_original + Not Bold 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rsid w:val="00281060"/>
    <w:rPr>
      <w:rFonts w:ascii="Arial" w:hAnsi="Arial"/>
      <w:b/>
      <w:bCs/>
      <w:spacing w:val="10"/>
      <w:lang w:val="de-DE" w:eastAsia="de-DE" w:bidi="de-DE"/>
    </w:rPr>
  </w:style>
  <w:style w:type="character" w:customStyle="1" w:styleId="StyleDoclangBold">
    <w:name w:val="Style Doc_lang + Bold"/>
    <w:rsid w:val="00281060"/>
    <w:rPr>
      <w:rFonts w:ascii="Arial" w:hAnsi="Arial"/>
      <w:b/>
      <w:bCs/>
      <w:sz w:val="20"/>
      <w:lang w:val="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lang w:bidi="de-DE"/>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bidi="de-DE"/>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bidi="de-DE"/>
    </w:rPr>
  </w:style>
  <w:style w:type="paragraph" w:styleId="TOC1">
    <w:name w:val="toc 1"/>
    <w:next w:val="Normal"/>
    <w:autoRedefine/>
    <w:uiPriority w:val="39"/>
    <w:rsid w:val="000D3EB0"/>
    <w:pPr>
      <w:tabs>
        <w:tab w:val="right" w:leader="dot" w:pos="9639"/>
      </w:tabs>
      <w:spacing w:before="120"/>
      <w:ind w:left="1152" w:hanging="576"/>
    </w:pPr>
    <w:rPr>
      <w:rFonts w:ascii="Arial" w:hAnsi="Arial"/>
      <w:caps/>
      <w:lang w:bidi="de-DE"/>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bidi="de-DE"/>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link w:val="BalloonText"/>
    <w:rsid w:val="00271911"/>
    <w:rPr>
      <w:rFonts w:ascii="Tahoma" w:hAnsi="Tahoma" w:cs="Tahoma"/>
      <w:sz w:val="16"/>
      <w:szCs w:val="16"/>
    </w:rPr>
  </w:style>
  <w:style w:type="character" w:customStyle="1" w:styleId="Heading1Char">
    <w:name w:val="Heading 1 Char"/>
    <w:link w:val="Heading1"/>
    <w:rsid w:val="005763CA"/>
    <w:rPr>
      <w:rFonts w:ascii="Arial" w:hAnsi="Arial"/>
      <w:caps/>
    </w:rPr>
  </w:style>
  <w:style w:type="character" w:customStyle="1" w:styleId="Heading2Char">
    <w:name w:val="Heading 2 Char"/>
    <w:link w:val="Heading2"/>
    <w:rsid w:val="00B04125"/>
    <w:rPr>
      <w:rFonts w:ascii="Arial" w:hAnsi="Arial"/>
      <w:u w:val="single"/>
    </w:rPr>
  </w:style>
  <w:style w:type="character" w:customStyle="1" w:styleId="BodyTextChar">
    <w:name w:val="Body Text Char"/>
    <w:link w:val="BodyText"/>
    <w:rsid w:val="005763CA"/>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lang w:bidi="de-DE"/>
    </w:rPr>
  </w:style>
  <w:style w:type="paragraph" w:styleId="Heading1">
    <w:name w:val="heading 1"/>
    <w:next w:val="Normal"/>
    <w:link w:val="Heading1Char"/>
    <w:autoRedefine/>
    <w:qFormat/>
    <w:rsid w:val="004805FA"/>
    <w:pPr>
      <w:keepNext/>
      <w:jc w:val="both"/>
      <w:outlineLvl w:val="0"/>
    </w:pPr>
    <w:rPr>
      <w:rFonts w:ascii="Arial" w:hAnsi="Arial"/>
      <w:caps/>
      <w:lang w:bidi="de-DE"/>
    </w:rPr>
  </w:style>
  <w:style w:type="paragraph" w:styleId="Heading2">
    <w:name w:val="heading 2"/>
    <w:next w:val="Normal"/>
    <w:link w:val="Heading2Char"/>
    <w:autoRedefine/>
    <w:qFormat/>
    <w:rsid w:val="00B04125"/>
    <w:pPr>
      <w:keepNext/>
      <w:jc w:val="both"/>
      <w:outlineLvl w:val="1"/>
    </w:pPr>
    <w:rPr>
      <w:rFonts w:ascii="Arial" w:hAnsi="Arial"/>
      <w:u w:val="single"/>
      <w:lang w:bidi="de-DE"/>
    </w:rPr>
  </w:style>
  <w:style w:type="paragraph" w:styleId="Heading3">
    <w:name w:val="heading 3"/>
    <w:next w:val="Normal"/>
    <w:autoRedefine/>
    <w:qFormat/>
    <w:rsid w:val="004805FA"/>
    <w:pPr>
      <w:keepNext/>
      <w:jc w:val="both"/>
      <w:outlineLvl w:val="2"/>
    </w:pPr>
    <w:rPr>
      <w:rFonts w:ascii="Arial" w:hAnsi="Arial"/>
      <w:i/>
      <w:lang w:bidi="de-DE"/>
    </w:rPr>
  </w:style>
  <w:style w:type="paragraph" w:styleId="Heading4">
    <w:name w:val="heading 4"/>
    <w:next w:val="Normal"/>
    <w:autoRedefine/>
    <w:qFormat/>
    <w:rsid w:val="004805FA"/>
    <w:pPr>
      <w:keepNext/>
      <w:ind w:left="567"/>
      <w:jc w:val="both"/>
      <w:outlineLvl w:val="3"/>
    </w:pPr>
    <w:rPr>
      <w:rFonts w:ascii="Arial" w:hAnsi="Arial"/>
      <w:u w:val="single"/>
      <w:lang w:bidi="de-DE"/>
    </w:rPr>
  </w:style>
  <w:style w:type="paragraph" w:styleId="Heading5">
    <w:name w:val="heading 5"/>
    <w:next w:val="Normal"/>
    <w:autoRedefine/>
    <w:qFormat/>
    <w:rsid w:val="004805FA"/>
    <w:pPr>
      <w:keepNext/>
      <w:ind w:left="1134" w:hanging="567"/>
      <w:jc w:val="both"/>
      <w:outlineLvl w:val="4"/>
    </w:pPr>
    <w:rPr>
      <w:rFonts w:ascii="Arial" w:hAnsi="Arial"/>
      <w:i/>
      <w:lang w:bidi="de-D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bidi="de-DE"/>
    </w:rPr>
  </w:style>
  <w:style w:type="paragraph" w:styleId="Footer">
    <w:name w:val="footer"/>
    <w:aliases w:val="doc_path_name"/>
    <w:autoRedefine/>
    <w:rsid w:val="009D690D"/>
    <w:pPr>
      <w:jc w:val="both"/>
    </w:pPr>
    <w:rPr>
      <w:rFonts w:ascii="Arial" w:hAnsi="Arial"/>
      <w:sz w:val="14"/>
      <w:lang w:bidi="de-DE"/>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lang w:bidi="de-DE"/>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bidi="de-DE"/>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lang w:bidi="de-DE"/>
    </w:rPr>
  </w:style>
  <w:style w:type="character" w:customStyle="1" w:styleId="DocoriginalChar">
    <w:name w:val="Doc_original Char"/>
    <w:link w:val="Docoriginal"/>
    <w:rsid w:val="00612379"/>
    <w:rPr>
      <w:rFonts w:ascii="Arial" w:hAnsi="Arial"/>
      <w:b/>
      <w:bCs/>
      <w:spacing w:val="10"/>
      <w:lang w:val="de-DE" w:eastAsia="de-DE" w:bidi="de-DE"/>
    </w:rPr>
  </w:style>
  <w:style w:type="character" w:customStyle="1" w:styleId="StyleDocoriginalNotBoldChar">
    <w:name w:val="Style Doc_original + Not Bold 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rsid w:val="00281060"/>
    <w:rPr>
      <w:rFonts w:ascii="Arial" w:hAnsi="Arial"/>
      <w:b/>
      <w:bCs/>
      <w:spacing w:val="10"/>
      <w:lang w:val="de-DE" w:eastAsia="de-DE" w:bidi="de-DE"/>
    </w:rPr>
  </w:style>
  <w:style w:type="character" w:customStyle="1" w:styleId="StyleDoclangBold">
    <w:name w:val="Style Doc_lang + Bold"/>
    <w:rsid w:val="00281060"/>
    <w:rPr>
      <w:rFonts w:ascii="Arial" w:hAnsi="Arial"/>
      <w:b/>
      <w:bCs/>
      <w:sz w:val="20"/>
      <w:lang w:val="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lang w:bidi="de-DE"/>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bidi="de-DE"/>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bidi="de-DE"/>
    </w:rPr>
  </w:style>
  <w:style w:type="paragraph" w:styleId="TOC1">
    <w:name w:val="toc 1"/>
    <w:next w:val="Normal"/>
    <w:autoRedefine/>
    <w:uiPriority w:val="39"/>
    <w:rsid w:val="000D3EB0"/>
    <w:pPr>
      <w:tabs>
        <w:tab w:val="right" w:leader="dot" w:pos="9639"/>
      </w:tabs>
      <w:spacing w:before="120"/>
      <w:ind w:left="1152" w:hanging="576"/>
    </w:pPr>
    <w:rPr>
      <w:rFonts w:ascii="Arial" w:hAnsi="Arial"/>
      <w:caps/>
      <w:lang w:bidi="de-DE"/>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bidi="de-DE"/>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link w:val="BalloonText"/>
    <w:rsid w:val="00271911"/>
    <w:rPr>
      <w:rFonts w:ascii="Tahoma" w:hAnsi="Tahoma" w:cs="Tahoma"/>
      <w:sz w:val="16"/>
      <w:szCs w:val="16"/>
    </w:rPr>
  </w:style>
  <w:style w:type="character" w:customStyle="1" w:styleId="Heading1Char">
    <w:name w:val="Heading 1 Char"/>
    <w:link w:val="Heading1"/>
    <w:rsid w:val="005763CA"/>
    <w:rPr>
      <w:rFonts w:ascii="Arial" w:hAnsi="Arial"/>
      <w:caps/>
    </w:rPr>
  </w:style>
  <w:style w:type="character" w:customStyle="1" w:styleId="Heading2Char">
    <w:name w:val="Heading 2 Char"/>
    <w:link w:val="Heading2"/>
    <w:rsid w:val="00B04125"/>
    <w:rPr>
      <w:rFonts w:ascii="Arial" w:hAnsi="Arial"/>
      <w:u w:val="single"/>
    </w:rPr>
  </w:style>
  <w:style w:type="character" w:customStyle="1" w:styleId="BodyTextChar">
    <w:name w:val="Body Text Char"/>
    <w:link w:val="BodyText"/>
    <w:rsid w:val="005763C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pov.int/restricted_temporary/tg/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restricted_temporary/twptg/en/drafters_kit.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pov.int/meetings/en/topic.jsp" TargetMode="External"/><Relationship Id="rId4" Type="http://schemas.openxmlformats.org/officeDocument/2006/relationships/settings" Target="settings.xml"/><Relationship Id="rId9" Type="http://schemas.openxmlformats.org/officeDocument/2006/relationships/hyperlink" Target="http://www.upov.int/restricted_temporary/twptg/en/drafters_ki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9B952-8795-4536-A60C-869A38F6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735</Words>
  <Characters>5905</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tc_5_xx_xxx</vt:lpstr>
      <vt:lpstr>tc_5_xx_xxx</vt:lpstr>
    </vt:vector>
  </TitlesOfParts>
  <Company>UPOV</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6</cp:revision>
  <cp:lastPrinted>2014-01-15T18:26:00Z</cp:lastPrinted>
  <dcterms:created xsi:type="dcterms:W3CDTF">2014-01-24T12:09:00Z</dcterms:created>
  <dcterms:modified xsi:type="dcterms:W3CDTF">2014-02-14T15:33:00Z</dcterms:modified>
</cp:coreProperties>
</file>